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72E" w:rsidRPr="004F7400" w:rsidRDefault="007D67E7" w:rsidP="00645289">
      <w:pPr>
        <w:spacing w:after="360"/>
        <w:jc w:val="center"/>
        <w:rPr>
          <w:b/>
        </w:rPr>
      </w:pPr>
      <w:r w:rsidRPr="004F7400">
        <w:rPr>
          <w:b/>
        </w:rPr>
        <w:t>ROZDÍLOVÁ TABULKA NÁVRHU PRÁVNÍHO PŘEDPISU S PŘEDPISY EU</w:t>
      </w:r>
    </w:p>
    <w:p w:rsidR="00B309BB" w:rsidRDefault="00B309BB" w:rsidP="00B309BB">
      <w:pPr>
        <w:jc w:val="center"/>
        <w:rPr>
          <w:b/>
        </w:rPr>
      </w:pPr>
      <w:r>
        <w:rPr>
          <w:b/>
        </w:rPr>
        <w:t xml:space="preserve">k návrhu zákona, </w:t>
      </w:r>
      <w:r w:rsidRPr="00B309BB">
        <w:rPr>
          <w:b/>
        </w:rPr>
        <w:t xml:space="preserve">kterým se mění zákon č. 412/2005 Sb., o ochraně utajovaných informací a o bezpečnostní způsobilosti, </w:t>
      </w:r>
    </w:p>
    <w:p w:rsidR="005B2FDF" w:rsidRPr="004F7400" w:rsidRDefault="00B309BB" w:rsidP="00B309BB">
      <w:pPr>
        <w:spacing w:after="240"/>
        <w:jc w:val="center"/>
        <w:rPr>
          <w:b/>
        </w:rPr>
      </w:pPr>
      <w:r w:rsidRPr="00B309BB">
        <w:rPr>
          <w:b/>
        </w:rPr>
        <w:t>ve znění pozdějších předpisů</w:t>
      </w:r>
    </w:p>
    <w:tbl>
      <w:tblPr>
        <w:tblW w:w="14292"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51"/>
        <w:gridCol w:w="4395"/>
        <w:gridCol w:w="1134"/>
        <w:gridCol w:w="1417"/>
        <w:gridCol w:w="6095"/>
      </w:tblGrid>
      <w:tr w:rsidR="00D6145A" w:rsidTr="00645289">
        <w:trPr>
          <w:cantSplit/>
          <w:trHeight w:val="624"/>
        </w:trPr>
        <w:tc>
          <w:tcPr>
            <w:tcW w:w="5646" w:type="dxa"/>
            <w:gridSpan w:val="2"/>
            <w:tcBorders>
              <w:top w:val="single" w:sz="4" w:space="0" w:color="auto"/>
              <w:left w:val="single" w:sz="4" w:space="0" w:color="auto"/>
              <w:bottom w:val="single" w:sz="4" w:space="0" w:color="auto"/>
              <w:right w:val="single" w:sz="4" w:space="0" w:color="auto"/>
            </w:tcBorders>
            <w:vAlign w:val="center"/>
          </w:tcPr>
          <w:p w:rsidR="007D67E7" w:rsidRPr="004F7400" w:rsidRDefault="007D67E7" w:rsidP="007D67E7">
            <w:pPr>
              <w:tabs>
                <w:tab w:val="left" w:pos="360"/>
              </w:tabs>
              <w:spacing w:line="276" w:lineRule="auto"/>
              <w:jc w:val="center"/>
              <w:rPr>
                <w:sz w:val="20"/>
                <w:szCs w:val="20"/>
                <w:lang w:eastAsia="ar-SA"/>
              </w:rPr>
            </w:pPr>
            <w:r w:rsidRPr="004F7400">
              <w:rPr>
                <w:sz w:val="20"/>
                <w:szCs w:val="20"/>
              </w:rPr>
              <w:t>Navrhovaný právní předpis</w:t>
            </w:r>
          </w:p>
        </w:tc>
        <w:tc>
          <w:tcPr>
            <w:tcW w:w="8646" w:type="dxa"/>
            <w:gridSpan w:val="3"/>
            <w:tcBorders>
              <w:top w:val="single" w:sz="4" w:space="0" w:color="auto"/>
              <w:left w:val="single" w:sz="4" w:space="0" w:color="auto"/>
              <w:bottom w:val="single" w:sz="4" w:space="0" w:color="auto"/>
              <w:right w:val="single" w:sz="4" w:space="0" w:color="auto"/>
            </w:tcBorders>
            <w:vAlign w:val="center"/>
            <w:hideMark/>
          </w:tcPr>
          <w:p w:rsidR="007D67E7" w:rsidRPr="004F7400" w:rsidRDefault="007D67E7" w:rsidP="007D67E7">
            <w:pPr>
              <w:tabs>
                <w:tab w:val="left" w:pos="360"/>
              </w:tabs>
              <w:suppressAutoHyphens/>
              <w:spacing w:line="276" w:lineRule="auto"/>
              <w:jc w:val="center"/>
              <w:rPr>
                <w:sz w:val="20"/>
                <w:szCs w:val="20"/>
                <w:lang w:eastAsia="ar-SA"/>
              </w:rPr>
            </w:pPr>
            <w:r w:rsidRPr="004F7400">
              <w:rPr>
                <w:sz w:val="20"/>
                <w:szCs w:val="20"/>
              </w:rPr>
              <w:t>Odpovídající předpis EU</w:t>
            </w:r>
          </w:p>
        </w:tc>
      </w:tr>
      <w:tr w:rsidR="00D6145A" w:rsidTr="00645289">
        <w:trPr>
          <w:cantSplit/>
        </w:trPr>
        <w:tc>
          <w:tcPr>
            <w:tcW w:w="1251" w:type="dxa"/>
            <w:tcBorders>
              <w:top w:val="single" w:sz="4" w:space="0" w:color="auto"/>
              <w:left w:val="single" w:sz="4" w:space="0" w:color="auto"/>
              <w:bottom w:val="single" w:sz="4" w:space="0" w:color="auto"/>
              <w:right w:val="single" w:sz="4" w:space="0" w:color="auto"/>
            </w:tcBorders>
            <w:vAlign w:val="center"/>
            <w:hideMark/>
          </w:tcPr>
          <w:p w:rsidR="007D67E7" w:rsidRPr="004F7400" w:rsidRDefault="007D67E7" w:rsidP="007D67E7">
            <w:pPr>
              <w:tabs>
                <w:tab w:val="left" w:pos="360"/>
              </w:tabs>
              <w:suppressAutoHyphens/>
              <w:spacing w:line="276" w:lineRule="auto"/>
              <w:jc w:val="center"/>
              <w:rPr>
                <w:sz w:val="20"/>
                <w:szCs w:val="20"/>
                <w:lang w:eastAsia="ar-SA"/>
              </w:rPr>
            </w:pPr>
            <w:r w:rsidRPr="004F7400">
              <w:rPr>
                <w:sz w:val="20"/>
                <w:szCs w:val="20"/>
              </w:rPr>
              <w:t>Ustanovení (část, §, odst., písm., apod.)</w:t>
            </w:r>
          </w:p>
        </w:tc>
        <w:tc>
          <w:tcPr>
            <w:tcW w:w="4395" w:type="dxa"/>
            <w:tcBorders>
              <w:top w:val="single" w:sz="4" w:space="0" w:color="auto"/>
              <w:left w:val="single" w:sz="4" w:space="0" w:color="auto"/>
              <w:bottom w:val="single" w:sz="4" w:space="0" w:color="auto"/>
              <w:right w:val="single" w:sz="4" w:space="0" w:color="auto"/>
            </w:tcBorders>
            <w:vAlign w:val="center"/>
            <w:hideMark/>
          </w:tcPr>
          <w:p w:rsidR="007D67E7" w:rsidRPr="004F7400" w:rsidRDefault="007D67E7" w:rsidP="007D67E7">
            <w:pPr>
              <w:tabs>
                <w:tab w:val="left" w:pos="360"/>
              </w:tabs>
              <w:suppressAutoHyphens/>
              <w:spacing w:line="276" w:lineRule="auto"/>
              <w:jc w:val="center"/>
              <w:rPr>
                <w:sz w:val="20"/>
                <w:szCs w:val="20"/>
                <w:lang w:eastAsia="ar-SA"/>
              </w:rPr>
            </w:pPr>
            <w:r w:rsidRPr="004F7400">
              <w:rPr>
                <w:sz w:val="20"/>
                <w:szCs w:val="20"/>
              </w:rPr>
              <w:t>Obsah</w:t>
            </w:r>
          </w:p>
        </w:tc>
        <w:tc>
          <w:tcPr>
            <w:tcW w:w="1134" w:type="dxa"/>
            <w:tcBorders>
              <w:top w:val="single" w:sz="4" w:space="0" w:color="auto"/>
              <w:left w:val="single" w:sz="4" w:space="0" w:color="auto"/>
              <w:bottom w:val="single" w:sz="4" w:space="0" w:color="auto"/>
              <w:right w:val="single" w:sz="4" w:space="0" w:color="auto"/>
            </w:tcBorders>
            <w:vAlign w:val="center"/>
            <w:hideMark/>
          </w:tcPr>
          <w:p w:rsidR="007D67E7" w:rsidRPr="004F7400" w:rsidRDefault="007D67E7" w:rsidP="007D67E7">
            <w:pPr>
              <w:tabs>
                <w:tab w:val="left" w:pos="360"/>
              </w:tabs>
              <w:suppressAutoHyphens/>
              <w:spacing w:line="276" w:lineRule="auto"/>
              <w:jc w:val="center"/>
              <w:rPr>
                <w:sz w:val="20"/>
                <w:szCs w:val="20"/>
                <w:lang w:eastAsia="ar-SA"/>
              </w:rPr>
            </w:pPr>
            <w:r w:rsidRPr="004F7400">
              <w:rPr>
                <w:sz w:val="20"/>
                <w:szCs w:val="20"/>
              </w:rPr>
              <w:t>Celex č.</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67E7" w:rsidRPr="004F7400" w:rsidRDefault="007D67E7" w:rsidP="007D67E7">
            <w:pPr>
              <w:tabs>
                <w:tab w:val="left" w:pos="360"/>
              </w:tabs>
              <w:suppressAutoHyphens/>
              <w:spacing w:line="276" w:lineRule="auto"/>
              <w:jc w:val="center"/>
              <w:rPr>
                <w:sz w:val="20"/>
                <w:szCs w:val="20"/>
                <w:lang w:eastAsia="ar-SA"/>
              </w:rPr>
            </w:pPr>
            <w:r w:rsidRPr="004F7400">
              <w:rPr>
                <w:sz w:val="20"/>
                <w:szCs w:val="20"/>
              </w:rPr>
              <w:t>Ustanovení (čl., odst., písm., bod, apod.)</w:t>
            </w:r>
          </w:p>
        </w:tc>
        <w:tc>
          <w:tcPr>
            <w:tcW w:w="6095" w:type="dxa"/>
            <w:tcBorders>
              <w:top w:val="single" w:sz="4" w:space="0" w:color="auto"/>
              <w:left w:val="single" w:sz="4" w:space="0" w:color="auto"/>
              <w:bottom w:val="single" w:sz="4" w:space="0" w:color="auto"/>
              <w:right w:val="single" w:sz="4" w:space="0" w:color="auto"/>
            </w:tcBorders>
            <w:vAlign w:val="center"/>
            <w:hideMark/>
          </w:tcPr>
          <w:p w:rsidR="007D67E7" w:rsidRPr="004F7400" w:rsidRDefault="007D67E7" w:rsidP="007D67E7">
            <w:pPr>
              <w:tabs>
                <w:tab w:val="left" w:pos="360"/>
              </w:tabs>
              <w:suppressAutoHyphens/>
              <w:spacing w:line="276" w:lineRule="auto"/>
              <w:jc w:val="center"/>
              <w:rPr>
                <w:sz w:val="20"/>
                <w:szCs w:val="20"/>
                <w:lang w:eastAsia="ar-SA"/>
              </w:rPr>
            </w:pPr>
            <w:r w:rsidRPr="004F7400">
              <w:rPr>
                <w:sz w:val="20"/>
                <w:szCs w:val="20"/>
              </w:rPr>
              <w:t>Obsah</w:t>
            </w:r>
          </w:p>
        </w:tc>
      </w:tr>
      <w:tr w:rsidR="00B309BB" w:rsidTr="005A6012">
        <w:trPr>
          <w:cantSplit/>
        </w:trPr>
        <w:tc>
          <w:tcPr>
            <w:tcW w:w="1251" w:type="dxa"/>
            <w:tcBorders>
              <w:top w:val="single" w:sz="4" w:space="0" w:color="auto"/>
              <w:left w:val="single" w:sz="4" w:space="0" w:color="auto"/>
              <w:bottom w:val="single" w:sz="4" w:space="0" w:color="auto"/>
              <w:right w:val="single" w:sz="4" w:space="0" w:color="auto"/>
            </w:tcBorders>
          </w:tcPr>
          <w:p w:rsidR="00B309BB" w:rsidRPr="004F7400" w:rsidRDefault="00E06CC5" w:rsidP="009A3DA4">
            <w:pPr>
              <w:suppressAutoHyphens/>
              <w:ind w:left="119"/>
              <w:rPr>
                <w:sz w:val="20"/>
                <w:szCs w:val="20"/>
                <w:lang w:eastAsia="ar-SA"/>
              </w:rPr>
            </w:pPr>
            <w:r>
              <w:rPr>
                <w:sz w:val="20"/>
                <w:szCs w:val="20"/>
                <w:lang w:eastAsia="ar-SA"/>
              </w:rPr>
              <w:t>§ 57 odst. 8</w:t>
            </w:r>
          </w:p>
        </w:tc>
        <w:tc>
          <w:tcPr>
            <w:tcW w:w="4395" w:type="dxa"/>
            <w:tcBorders>
              <w:top w:val="single" w:sz="4" w:space="0" w:color="auto"/>
              <w:left w:val="single" w:sz="4" w:space="0" w:color="auto"/>
              <w:bottom w:val="single" w:sz="4" w:space="0" w:color="auto"/>
              <w:right w:val="single" w:sz="4" w:space="0" w:color="auto"/>
            </w:tcBorders>
          </w:tcPr>
          <w:p w:rsidR="00B309BB" w:rsidRPr="009A3DA4" w:rsidRDefault="00E06CC5" w:rsidP="009A5C0C">
            <w:pPr>
              <w:jc w:val="both"/>
              <w:rPr>
                <w:sz w:val="20"/>
                <w:szCs w:val="20"/>
                <w:highlight w:val="yellow"/>
                <w:lang w:eastAsia="ar-SA"/>
              </w:rPr>
            </w:pPr>
            <w:r w:rsidRPr="005D2576">
              <w:rPr>
                <w:sz w:val="20"/>
                <w:szCs w:val="20"/>
                <w:u w:val="single"/>
                <w:lang w:eastAsia="ar-SA"/>
              </w:rPr>
              <w:t>(8) Platnost osvědčení podle odstavce 2 nezaniká z důvodu uvedeného v § 56 odst. 1 písm. a) do doby rozhodnutí o žádosti podle § 94 odst. 4 nebo podle § 96 odst. 4, nejdéle však po dobu 12 měsíců od uplynutí doby platnosti osvědčení</w:t>
            </w:r>
            <w:r w:rsidRPr="00E06CC5">
              <w:rPr>
                <w:sz w:val="20"/>
                <w:szCs w:val="20"/>
                <w:lang w:eastAsia="ar-SA"/>
              </w:rPr>
              <w:t>, pokud byla žádost podána v době, kdy byl vyhlášen válečný stav nebo pro celé území České republiky nouzový stav nebo stav ohrožení státu (dále jen „krizový stav“), nebo byl-li krizový stav vyhlášen v průběhu řízení o této žádosti.</w:t>
            </w:r>
          </w:p>
        </w:tc>
        <w:tc>
          <w:tcPr>
            <w:tcW w:w="1134" w:type="dxa"/>
            <w:tcBorders>
              <w:top w:val="single" w:sz="4" w:space="0" w:color="auto"/>
              <w:left w:val="single" w:sz="4" w:space="0" w:color="auto"/>
              <w:bottom w:val="single" w:sz="4" w:space="0" w:color="auto"/>
              <w:right w:val="single" w:sz="4" w:space="0" w:color="auto"/>
            </w:tcBorders>
          </w:tcPr>
          <w:p w:rsidR="00B309BB" w:rsidRPr="004F7400" w:rsidRDefault="00B309BB" w:rsidP="007D67E7">
            <w:pPr>
              <w:ind w:left="45"/>
              <w:rPr>
                <w:sz w:val="20"/>
                <w:szCs w:val="20"/>
              </w:rPr>
            </w:pPr>
            <w:r w:rsidRPr="00B309BB">
              <w:rPr>
                <w:sz w:val="20"/>
                <w:szCs w:val="20"/>
              </w:rPr>
              <w:t>32013D0488</w:t>
            </w:r>
          </w:p>
        </w:tc>
        <w:tc>
          <w:tcPr>
            <w:tcW w:w="1417" w:type="dxa"/>
            <w:tcBorders>
              <w:top w:val="single" w:sz="4" w:space="0" w:color="auto"/>
              <w:left w:val="single" w:sz="4" w:space="0" w:color="auto"/>
              <w:bottom w:val="single" w:sz="4" w:space="0" w:color="auto"/>
              <w:right w:val="single" w:sz="4" w:space="0" w:color="auto"/>
            </w:tcBorders>
          </w:tcPr>
          <w:p w:rsidR="00B309BB" w:rsidRPr="00B309BB" w:rsidRDefault="009A5C0C" w:rsidP="00D6145A">
            <w:pPr>
              <w:pStyle w:val="WW-Vchozstyl"/>
              <w:spacing w:after="0" w:line="240" w:lineRule="auto"/>
              <w:rPr>
                <w:bCs/>
                <w:color w:val="auto"/>
                <w:sz w:val="20"/>
                <w:szCs w:val="20"/>
                <w:lang w:eastAsia="cs-CZ"/>
              </w:rPr>
            </w:pPr>
            <w:r>
              <w:rPr>
                <w:bCs/>
                <w:color w:val="auto"/>
                <w:sz w:val="20"/>
                <w:szCs w:val="20"/>
                <w:lang w:eastAsia="cs-CZ"/>
              </w:rPr>
              <w:t xml:space="preserve">Příloha I </w:t>
            </w:r>
            <w:r w:rsidRPr="00650F9D">
              <w:rPr>
                <w:color w:val="auto"/>
                <w:sz w:val="20"/>
                <w:szCs w:val="20"/>
              </w:rPr>
              <w:t>hlava III článek 15</w:t>
            </w:r>
          </w:p>
          <w:p w:rsidR="00B309BB" w:rsidRDefault="00B309BB" w:rsidP="009A5C0C">
            <w:pPr>
              <w:pStyle w:val="WW-Vchozstyl"/>
              <w:spacing w:after="0" w:line="240" w:lineRule="auto"/>
              <w:rPr>
                <w:sz w:val="20"/>
                <w:szCs w:val="20"/>
              </w:rPr>
            </w:pPr>
          </w:p>
        </w:tc>
        <w:tc>
          <w:tcPr>
            <w:tcW w:w="6095" w:type="dxa"/>
            <w:tcBorders>
              <w:top w:val="single" w:sz="4" w:space="0" w:color="auto"/>
              <w:left w:val="single" w:sz="4" w:space="0" w:color="auto"/>
              <w:bottom w:val="single" w:sz="4" w:space="0" w:color="auto"/>
              <w:right w:val="single" w:sz="4" w:space="0" w:color="auto"/>
            </w:tcBorders>
          </w:tcPr>
          <w:p w:rsidR="00B309BB" w:rsidRDefault="009A5C0C" w:rsidP="00D6145A">
            <w:pPr>
              <w:pStyle w:val="WW-Vchozstyl"/>
              <w:spacing w:after="0" w:line="240" w:lineRule="auto"/>
              <w:jc w:val="both"/>
            </w:pPr>
            <w:r w:rsidRPr="00650F9D">
              <w:rPr>
                <w:color w:val="auto"/>
                <w:sz w:val="20"/>
                <w:szCs w:val="20"/>
              </w:rPr>
              <w:t>15. Žádosti o obnovení platnosti bezpečnostní prověrky je třeba předkládat včas a zohlednit dobu nezbytnou pro bezpečnostní šetření. Pokud však příslušný vnitrostátní bezpečnostní orgán nebo jiný příslušný vnitrostátní orgán obdrží příslušnou žá</w:t>
            </w:r>
            <w:bookmarkStart w:id="0" w:name="_GoBack"/>
            <w:bookmarkEnd w:id="0"/>
            <w:r w:rsidRPr="00650F9D">
              <w:rPr>
                <w:color w:val="auto"/>
                <w:sz w:val="20"/>
                <w:szCs w:val="20"/>
              </w:rPr>
              <w:t>dost o obnovení platnosti bezpečnostní prověrky a odpovídající bezpečnostní dotazník personálu před skončením platnosti stávající bezpečnostní prověrky a nezbytné bezpečnostní šetření zatím nebylo skončeno, může příslušný vnitrostátní orgán, pokud to dovolují vnitrostátní právní předpisy, prodloužit platnost stávajícího bezpečnostní prověrky o období až 12 měsíců. Nedojde-li k dokončení bezpečnostního šetření do konce této dvanáctiměsíční lhůty, přidělí se dotyčné osobě úkoly, které nevyžadují bezpečnostní prověrku.</w:t>
            </w:r>
          </w:p>
        </w:tc>
      </w:tr>
      <w:tr w:rsidR="009A5C0C" w:rsidTr="00921629">
        <w:trPr>
          <w:cantSplit/>
        </w:trPr>
        <w:tc>
          <w:tcPr>
            <w:tcW w:w="1251" w:type="dxa"/>
            <w:tcBorders>
              <w:top w:val="single" w:sz="4" w:space="0" w:color="auto"/>
              <w:left w:val="single" w:sz="4" w:space="0" w:color="auto"/>
              <w:bottom w:val="single" w:sz="4" w:space="0" w:color="auto"/>
              <w:right w:val="single" w:sz="4" w:space="0" w:color="auto"/>
            </w:tcBorders>
          </w:tcPr>
          <w:p w:rsidR="009A5C0C" w:rsidRPr="004F7400" w:rsidRDefault="00E06CC5" w:rsidP="009A5C0C">
            <w:pPr>
              <w:suppressAutoHyphens/>
              <w:ind w:left="119"/>
              <w:rPr>
                <w:bCs/>
                <w:sz w:val="20"/>
                <w:szCs w:val="20"/>
              </w:rPr>
            </w:pPr>
            <w:r>
              <w:rPr>
                <w:bCs/>
                <w:sz w:val="20"/>
                <w:szCs w:val="20"/>
              </w:rPr>
              <w:t>§ 6</w:t>
            </w:r>
            <w:r w:rsidR="009A5C0C">
              <w:rPr>
                <w:bCs/>
                <w:sz w:val="20"/>
                <w:szCs w:val="20"/>
              </w:rPr>
              <w:t>0a</w:t>
            </w:r>
          </w:p>
        </w:tc>
        <w:tc>
          <w:tcPr>
            <w:tcW w:w="4395" w:type="dxa"/>
            <w:tcBorders>
              <w:top w:val="single" w:sz="4" w:space="0" w:color="auto"/>
              <w:left w:val="single" w:sz="4" w:space="0" w:color="auto"/>
              <w:bottom w:val="single" w:sz="4" w:space="0" w:color="auto"/>
              <w:right w:val="single" w:sz="4" w:space="0" w:color="auto"/>
            </w:tcBorders>
          </w:tcPr>
          <w:p w:rsidR="00E06CC5" w:rsidRPr="00E06CC5" w:rsidRDefault="00E06CC5" w:rsidP="00E06CC5">
            <w:pPr>
              <w:widowControl w:val="0"/>
              <w:autoSpaceDE w:val="0"/>
              <w:autoSpaceDN w:val="0"/>
              <w:adjustRightInd w:val="0"/>
              <w:jc w:val="center"/>
              <w:rPr>
                <w:sz w:val="20"/>
                <w:szCs w:val="20"/>
              </w:rPr>
            </w:pPr>
            <w:r w:rsidRPr="00E06CC5">
              <w:rPr>
                <w:sz w:val="20"/>
                <w:szCs w:val="20"/>
              </w:rPr>
              <w:t>§ 60a</w:t>
            </w:r>
          </w:p>
          <w:p w:rsidR="009A5C0C" w:rsidRPr="00B309BB" w:rsidRDefault="00E06CC5" w:rsidP="00E06CC5">
            <w:pPr>
              <w:widowControl w:val="0"/>
              <w:autoSpaceDE w:val="0"/>
              <w:autoSpaceDN w:val="0"/>
              <w:adjustRightInd w:val="0"/>
              <w:jc w:val="both"/>
              <w:rPr>
                <w:sz w:val="20"/>
                <w:szCs w:val="20"/>
              </w:rPr>
            </w:pPr>
            <w:r w:rsidRPr="005D2576">
              <w:rPr>
                <w:sz w:val="20"/>
                <w:szCs w:val="20"/>
                <w:u w:val="single"/>
              </w:rPr>
              <w:t>Držitel osvědčení fyzické osoby nebo podnikatele je oprávněn v případě, že mu zanikla platnost dosavadního osvědčení z důvodu uvedeného v § 56 odst. 1 písm. a), mít do doby vydání rozhodnutí o žádosti podle § 94 odst. 4 nebo podle § 96 odst. 4, nejdéle však po dobu 12 měsíců od uplynutí doby platnosti osvědčení, přístup k utajované informaci do stupně utajení a v případě podnikatele i ve formě přístupu odpovídajícím dosavadnímu osvědčení</w:t>
            </w:r>
            <w:r w:rsidRPr="00E06CC5">
              <w:rPr>
                <w:sz w:val="20"/>
                <w:szCs w:val="20"/>
              </w:rPr>
              <w:t>, pokud byla žádost podána v době, kdy byl vyhlášen krizový stav, nebo byl-li krizový stav vyhlášen v průběhu řízení o této žádosti.</w:t>
            </w:r>
          </w:p>
        </w:tc>
        <w:tc>
          <w:tcPr>
            <w:tcW w:w="1134" w:type="dxa"/>
            <w:tcBorders>
              <w:top w:val="single" w:sz="4" w:space="0" w:color="auto"/>
              <w:left w:val="single" w:sz="4" w:space="0" w:color="auto"/>
              <w:bottom w:val="single" w:sz="4" w:space="0" w:color="auto"/>
              <w:right w:val="single" w:sz="4" w:space="0" w:color="auto"/>
            </w:tcBorders>
          </w:tcPr>
          <w:p w:rsidR="009A5C0C" w:rsidRPr="004F7400" w:rsidRDefault="009A5C0C" w:rsidP="009A5C0C">
            <w:pPr>
              <w:ind w:left="45"/>
              <w:rPr>
                <w:sz w:val="20"/>
                <w:szCs w:val="20"/>
              </w:rPr>
            </w:pPr>
            <w:r w:rsidRPr="00B309BB">
              <w:rPr>
                <w:sz w:val="20"/>
                <w:szCs w:val="20"/>
              </w:rPr>
              <w:t>32013D0488</w:t>
            </w:r>
          </w:p>
        </w:tc>
        <w:tc>
          <w:tcPr>
            <w:tcW w:w="1417" w:type="dxa"/>
            <w:tcBorders>
              <w:top w:val="single" w:sz="4" w:space="0" w:color="auto"/>
              <w:left w:val="single" w:sz="4" w:space="0" w:color="auto"/>
              <w:bottom w:val="single" w:sz="4" w:space="0" w:color="auto"/>
              <w:right w:val="single" w:sz="4" w:space="0" w:color="auto"/>
            </w:tcBorders>
          </w:tcPr>
          <w:p w:rsidR="009A5C0C" w:rsidRPr="00B309BB" w:rsidRDefault="009A5C0C" w:rsidP="009A5C0C">
            <w:pPr>
              <w:pStyle w:val="WW-Vchozstyl"/>
              <w:spacing w:after="0" w:line="240" w:lineRule="auto"/>
              <w:rPr>
                <w:bCs/>
                <w:color w:val="auto"/>
                <w:sz w:val="20"/>
                <w:szCs w:val="20"/>
                <w:lang w:eastAsia="cs-CZ"/>
              </w:rPr>
            </w:pPr>
            <w:r>
              <w:rPr>
                <w:bCs/>
                <w:color w:val="auto"/>
                <w:sz w:val="20"/>
                <w:szCs w:val="20"/>
                <w:lang w:eastAsia="cs-CZ"/>
              </w:rPr>
              <w:t xml:space="preserve">Příloha I </w:t>
            </w:r>
            <w:r w:rsidRPr="00650F9D">
              <w:rPr>
                <w:color w:val="auto"/>
                <w:sz w:val="20"/>
                <w:szCs w:val="20"/>
              </w:rPr>
              <w:t>hlava III článek 15</w:t>
            </w:r>
          </w:p>
          <w:p w:rsidR="009A5C0C" w:rsidRDefault="009A5C0C" w:rsidP="009A5C0C">
            <w:pPr>
              <w:pStyle w:val="WW-Vchozstyl"/>
              <w:spacing w:after="0" w:line="240" w:lineRule="auto"/>
              <w:rPr>
                <w:sz w:val="20"/>
                <w:szCs w:val="20"/>
              </w:rPr>
            </w:pPr>
          </w:p>
        </w:tc>
        <w:tc>
          <w:tcPr>
            <w:tcW w:w="6095" w:type="dxa"/>
            <w:tcBorders>
              <w:top w:val="single" w:sz="4" w:space="0" w:color="auto"/>
              <w:left w:val="single" w:sz="4" w:space="0" w:color="auto"/>
              <w:bottom w:val="single" w:sz="4" w:space="0" w:color="auto"/>
              <w:right w:val="single" w:sz="4" w:space="0" w:color="auto"/>
            </w:tcBorders>
          </w:tcPr>
          <w:p w:rsidR="009A5C0C" w:rsidRDefault="009A5C0C" w:rsidP="009A5C0C">
            <w:pPr>
              <w:pStyle w:val="WW-Vchozstyl"/>
              <w:spacing w:after="0" w:line="240" w:lineRule="auto"/>
              <w:jc w:val="both"/>
            </w:pPr>
            <w:r w:rsidRPr="00650F9D">
              <w:rPr>
                <w:color w:val="auto"/>
                <w:sz w:val="20"/>
                <w:szCs w:val="20"/>
              </w:rPr>
              <w:t>15. Žádosti o obnovení platnosti bezpečnostní prověrky je třeba předkládat včas a zohlednit dobu nezbytnou pro bezpečnostní šetření. Pokud však příslušný vnitrostátní bezpečnostní orgán nebo jiný příslušný vnitrostátní orgán obdrží příslušnou žádost o obnovení platnosti bezpečnostní prověrky a odpovídající bezpečnostní dotazník personálu před skončením platnosti stávající bezpečnostní prověrky a nezbytné bezpečnostní šetření zatím nebylo skončeno, může příslušný vnitrostátní orgán, pokud to dovolují vnitrostátní právní předpisy, prodloužit platnost stávajícího bezpečnostní prověrky o období až 12 měsíců. Nedojde-li k dokončení bezpečnostního šetření do konce této dvanáctiměsíční lhůty, přidělí se dotyčné osobě úkoly, které nevyžadují bezpečnostní prověrku.</w:t>
            </w:r>
          </w:p>
        </w:tc>
      </w:tr>
      <w:tr w:rsidR="00412D80" w:rsidTr="00921629">
        <w:trPr>
          <w:cantSplit/>
        </w:trPr>
        <w:tc>
          <w:tcPr>
            <w:tcW w:w="1251" w:type="dxa"/>
            <w:tcBorders>
              <w:top w:val="single" w:sz="4" w:space="0" w:color="auto"/>
              <w:left w:val="single" w:sz="4" w:space="0" w:color="auto"/>
              <w:bottom w:val="single" w:sz="4" w:space="0" w:color="auto"/>
              <w:right w:val="single" w:sz="4" w:space="0" w:color="auto"/>
            </w:tcBorders>
          </w:tcPr>
          <w:p w:rsidR="00412D80" w:rsidRDefault="00412D80" w:rsidP="00412D80">
            <w:pPr>
              <w:suppressAutoHyphens/>
              <w:ind w:left="119"/>
              <w:rPr>
                <w:bCs/>
                <w:sz w:val="20"/>
                <w:szCs w:val="20"/>
              </w:rPr>
            </w:pPr>
            <w:r>
              <w:rPr>
                <w:bCs/>
                <w:sz w:val="20"/>
                <w:szCs w:val="20"/>
              </w:rPr>
              <w:lastRenderedPageBreak/>
              <w:t xml:space="preserve">Přechodná ustanovení </w:t>
            </w:r>
          </w:p>
          <w:p w:rsidR="00412D80" w:rsidRDefault="00412D80" w:rsidP="00412D80">
            <w:pPr>
              <w:suppressAutoHyphens/>
              <w:ind w:left="119"/>
              <w:rPr>
                <w:bCs/>
                <w:sz w:val="20"/>
                <w:szCs w:val="20"/>
              </w:rPr>
            </w:pPr>
            <w:r>
              <w:rPr>
                <w:bCs/>
                <w:sz w:val="20"/>
                <w:szCs w:val="20"/>
              </w:rPr>
              <w:t>Bod I.</w:t>
            </w:r>
          </w:p>
        </w:tc>
        <w:tc>
          <w:tcPr>
            <w:tcW w:w="4395" w:type="dxa"/>
            <w:tcBorders>
              <w:top w:val="single" w:sz="4" w:space="0" w:color="auto"/>
              <w:left w:val="single" w:sz="4" w:space="0" w:color="auto"/>
              <w:bottom w:val="single" w:sz="4" w:space="0" w:color="auto"/>
              <w:right w:val="single" w:sz="4" w:space="0" w:color="auto"/>
            </w:tcBorders>
          </w:tcPr>
          <w:p w:rsidR="00412D80" w:rsidRPr="00412D80" w:rsidRDefault="00E06CC5" w:rsidP="00412D80">
            <w:pPr>
              <w:widowControl w:val="0"/>
              <w:autoSpaceDE w:val="0"/>
              <w:autoSpaceDN w:val="0"/>
              <w:adjustRightInd w:val="0"/>
              <w:jc w:val="both"/>
              <w:rPr>
                <w:sz w:val="20"/>
                <w:szCs w:val="20"/>
              </w:rPr>
            </w:pPr>
            <w:r w:rsidRPr="005D2576">
              <w:rPr>
                <w:sz w:val="20"/>
                <w:szCs w:val="20"/>
                <w:u w:val="single"/>
              </w:rPr>
              <w:t>1. Fyzická osoba nebo podnikatel, kteří podali žádost podle § 94 odst. 4 nebo § 96 odst. 4 zákona č. 412/2005 Sb., o ochraně utajovaných informací a o bezpečnostní způsobilosti, o které Národní bezpečnostní úřad do dne nabytí účinnosti tohoto zákona nerozhodl a u nichž nezanikla platnost osvědčení ke dni nabytí účinnosti tohoto zákona, jsou oprávněni mít přístup k utajované informaci podle § 60a zákona č. 412/2005 Sb., ve znění účinném ode dne nabytí účinnosti tohoto zákona,</w:t>
            </w:r>
            <w:r w:rsidRPr="00E06CC5">
              <w:rPr>
                <w:sz w:val="20"/>
                <w:szCs w:val="20"/>
              </w:rPr>
              <w:t xml:space="preserve"> za podmínky, že žádost byla podána v době, kdy byl vyhlášen válečný stav nebo pro celé území České republiky nouzový stav nebo stav ohrožení státu, nebo byl válečný stav nebo pro celé území České republiky nouzový stav nebo stav ohrožení státu vyhlášen v průběhu řízení o této žádosti, </w:t>
            </w:r>
            <w:r w:rsidRPr="005D2576">
              <w:rPr>
                <w:sz w:val="20"/>
                <w:szCs w:val="20"/>
                <w:u w:val="single"/>
              </w:rPr>
              <w:t>a to do doby vydání rozhodnutí o podané žádosti, nejdéle však po dobu 12 měsíců od uplynutí doby platnosti osvědčení</w:t>
            </w:r>
            <w:r w:rsidRPr="00E06CC5">
              <w:rPr>
                <w:sz w:val="20"/>
                <w:szCs w:val="20"/>
              </w:rPr>
              <w:t>.</w:t>
            </w:r>
          </w:p>
          <w:p w:rsidR="00412D80" w:rsidRPr="009A5C0C" w:rsidRDefault="00412D80" w:rsidP="00412D80">
            <w:pPr>
              <w:widowControl w:val="0"/>
              <w:autoSpaceDE w:val="0"/>
              <w:autoSpaceDN w:val="0"/>
              <w:adjustRightInd w:val="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412D80" w:rsidRPr="004F7400" w:rsidRDefault="00412D80" w:rsidP="00412D80">
            <w:pPr>
              <w:ind w:left="45"/>
              <w:rPr>
                <w:sz w:val="20"/>
                <w:szCs w:val="20"/>
              </w:rPr>
            </w:pPr>
            <w:r w:rsidRPr="00B309BB">
              <w:rPr>
                <w:sz w:val="20"/>
                <w:szCs w:val="20"/>
              </w:rPr>
              <w:t>32013D0488</w:t>
            </w:r>
          </w:p>
        </w:tc>
        <w:tc>
          <w:tcPr>
            <w:tcW w:w="1417" w:type="dxa"/>
            <w:tcBorders>
              <w:top w:val="single" w:sz="4" w:space="0" w:color="auto"/>
              <w:left w:val="single" w:sz="4" w:space="0" w:color="auto"/>
              <w:bottom w:val="single" w:sz="4" w:space="0" w:color="auto"/>
              <w:right w:val="single" w:sz="4" w:space="0" w:color="auto"/>
            </w:tcBorders>
          </w:tcPr>
          <w:p w:rsidR="00412D80" w:rsidRPr="00B309BB" w:rsidRDefault="00412D80" w:rsidP="00412D80">
            <w:pPr>
              <w:pStyle w:val="WW-Vchozstyl"/>
              <w:spacing w:after="0" w:line="240" w:lineRule="auto"/>
              <w:rPr>
                <w:bCs/>
                <w:color w:val="auto"/>
                <w:sz w:val="20"/>
                <w:szCs w:val="20"/>
                <w:lang w:eastAsia="cs-CZ"/>
              </w:rPr>
            </w:pPr>
            <w:r>
              <w:rPr>
                <w:bCs/>
                <w:color w:val="auto"/>
                <w:sz w:val="20"/>
                <w:szCs w:val="20"/>
                <w:lang w:eastAsia="cs-CZ"/>
              </w:rPr>
              <w:t xml:space="preserve">Příloha I </w:t>
            </w:r>
            <w:r w:rsidRPr="00650F9D">
              <w:rPr>
                <w:color w:val="auto"/>
                <w:sz w:val="20"/>
                <w:szCs w:val="20"/>
              </w:rPr>
              <w:t>hlava III článek 15</w:t>
            </w:r>
          </w:p>
          <w:p w:rsidR="00412D80" w:rsidRDefault="00412D80" w:rsidP="00412D80">
            <w:pPr>
              <w:pStyle w:val="WW-Vchozstyl"/>
              <w:spacing w:after="0" w:line="240" w:lineRule="auto"/>
              <w:rPr>
                <w:sz w:val="20"/>
                <w:szCs w:val="20"/>
              </w:rPr>
            </w:pPr>
          </w:p>
        </w:tc>
        <w:tc>
          <w:tcPr>
            <w:tcW w:w="6095" w:type="dxa"/>
            <w:tcBorders>
              <w:top w:val="single" w:sz="4" w:space="0" w:color="auto"/>
              <w:left w:val="single" w:sz="4" w:space="0" w:color="auto"/>
              <w:bottom w:val="single" w:sz="4" w:space="0" w:color="auto"/>
              <w:right w:val="single" w:sz="4" w:space="0" w:color="auto"/>
            </w:tcBorders>
          </w:tcPr>
          <w:p w:rsidR="00412D80" w:rsidRDefault="00412D80" w:rsidP="00412D80">
            <w:pPr>
              <w:pStyle w:val="WW-Vchozstyl"/>
              <w:spacing w:after="0" w:line="240" w:lineRule="auto"/>
              <w:jc w:val="both"/>
            </w:pPr>
            <w:r w:rsidRPr="00650F9D">
              <w:rPr>
                <w:color w:val="auto"/>
                <w:sz w:val="20"/>
                <w:szCs w:val="20"/>
              </w:rPr>
              <w:t>15. Žádosti o obnovení platnosti bezpečnostní prověrky je třeba předkládat včas a zohlednit dobu nezbytnou pro bezpečnostní šetření. Pokud však příslušný vnitrostátní bezpečnostní orgán nebo jiný příslušný vnitrostátní orgán obdrží příslušnou žádost o obnovení platnosti bezpečnostní prověrky a odpovídající bezpečnostní dotazník personálu před skončením platnosti stávající bezpečnostní prověrky a nezbytné bezpečnostní šetření zatím nebylo skončeno, může příslušný vnitrostátní orgán, pokud to dovolují vnitrostátní právní předpisy, prodloužit platnost stávajícího bezpečnostní prověrky o období až 12 měsíců. Nedojde-li k dokončení bezpečnostního šetření do konce této dvanáctiměsíční lhůty, přidělí se dotyčné osobě úkoly, které nevyžadují bezpečnostní prověrku.</w:t>
            </w:r>
          </w:p>
        </w:tc>
      </w:tr>
    </w:tbl>
    <w:p w:rsidR="00214566" w:rsidRPr="004F7400" w:rsidRDefault="00214566" w:rsidP="007D67E7">
      <w:pPr>
        <w:tabs>
          <w:tab w:val="left" w:pos="360"/>
        </w:tabs>
        <w:spacing w:before="360"/>
      </w:pPr>
    </w:p>
    <w:tbl>
      <w:tblPr>
        <w:tblW w:w="14297" w:type="dxa"/>
        <w:tblInd w:w="-112" w:type="dxa"/>
        <w:tblLayout w:type="fixed"/>
        <w:tblCellMar>
          <w:left w:w="0" w:type="dxa"/>
          <w:right w:w="0" w:type="dxa"/>
        </w:tblCellMar>
        <w:tblLook w:val="04A0" w:firstRow="1" w:lastRow="0" w:firstColumn="1" w:lastColumn="0" w:noHBand="0" w:noVBand="1"/>
      </w:tblPr>
      <w:tblGrid>
        <w:gridCol w:w="3666"/>
        <w:gridCol w:w="10631"/>
      </w:tblGrid>
      <w:tr w:rsidR="00D6145A" w:rsidTr="00562E2A">
        <w:trPr>
          <w:cantSplit/>
          <w:trHeight w:val="397"/>
        </w:trPr>
        <w:tc>
          <w:tcPr>
            <w:tcW w:w="3666" w:type="dxa"/>
            <w:tcBorders>
              <w:top w:val="single" w:sz="8" w:space="0" w:color="000000"/>
              <w:left w:val="single" w:sz="8" w:space="0" w:color="000000"/>
              <w:bottom w:val="nil"/>
              <w:right w:val="nil"/>
            </w:tcBorders>
            <w:vAlign w:val="center"/>
            <w:hideMark/>
          </w:tcPr>
          <w:p w:rsidR="007D67E7" w:rsidRPr="004F7400" w:rsidRDefault="007D67E7" w:rsidP="007D67E7">
            <w:pPr>
              <w:tabs>
                <w:tab w:val="left" w:pos="360"/>
              </w:tabs>
              <w:suppressAutoHyphens/>
              <w:spacing w:line="276" w:lineRule="auto"/>
              <w:jc w:val="center"/>
              <w:rPr>
                <w:lang w:eastAsia="ar-SA"/>
              </w:rPr>
            </w:pPr>
            <w:r w:rsidRPr="004F7400">
              <w:t>Číslo předpisu EU (kód celex)</w:t>
            </w:r>
          </w:p>
        </w:tc>
        <w:tc>
          <w:tcPr>
            <w:tcW w:w="10631" w:type="dxa"/>
            <w:tcBorders>
              <w:top w:val="single" w:sz="8" w:space="0" w:color="000000"/>
              <w:left w:val="single" w:sz="8" w:space="0" w:color="000000"/>
              <w:bottom w:val="nil"/>
              <w:right w:val="single" w:sz="8" w:space="0" w:color="000000"/>
            </w:tcBorders>
            <w:vAlign w:val="center"/>
            <w:hideMark/>
          </w:tcPr>
          <w:p w:rsidR="007D67E7" w:rsidRPr="004F7400" w:rsidRDefault="007D67E7" w:rsidP="007D67E7">
            <w:pPr>
              <w:tabs>
                <w:tab w:val="left" w:pos="360"/>
              </w:tabs>
              <w:suppressAutoHyphens/>
              <w:spacing w:line="276" w:lineRule="auto"/>
              <w:jc w:val="center"/>
              <w:rPr>
                <w:lang w:eastAsia="ar-SA"/>
              </w:rPr>
            </w:pPr>
            <w:r w:rsidRPr="004F7400">
              <w:t>Název předpisu EU</w:t>
            </w:r>
          </w:p>
        </w:tc>
      </w:tr>
      <w:tr w:rsidR="00D6145A" w:rsidTr="00562E2A">
        <w:trPr>
          <w:cantSplit/>
        </w:trPr>
        <w:tc>
          <w:tcPr>
            <w:tcW w:w="3666" w:type="dxa"/>
            <w:tcBorders>
              <w:top w:val="single" w:sz="8" w:space="0" w:color="000000"/>
              <w:left w:val="single" w:sz="8" w:space="0" w:color="000000"/>
              <w:bottom w:val="single" w:sz="2" w:space="0" w:color="000000"/>
              <w:right w:val="nil"/>
            </w:tcBorders>
          </w:tcPr>
          <w:p w:rsidR="00260612" w:rsidRPr="004F7400" w:rsidRDefault="00921629" w:rsidP="00260612">
            <w:pPr>
              <w:ind w:left="122"/>
              <w:rPr>
                <w:sz w:val="20"/>
                <w:szCs w:val="20"/>
              </w:rPr>
            </w:pPr>
            <w:r w:rsidRPr="00921629">
              <w:rPr>
                <w:bCs/>
                <w:sz w:val="20"/>
                <w:szCs w:val="20"/>
              </w:rPr>
              <w:t>32013D0488</w:t>
            </w:r>
          </w:p>
        </w:tc>
        <w:tc>
          <w:tcPr>
            <w:tcW w:w="10631" w:type="dxa"/>
            <w:tcBorders>
              <w:top w:val="single" w:sz="8" w:space="0" w:color="000000"/>
              <w:left w:val="single" w:sz="8" w:space="0" w:color="000000"/>
              <w:bottom w:val="single" w:sz="2" w:space="0" w:color="000000"/>
              <w:right w:val="single" w:sz="8" w:space="0" w:color="000000"/>
            </w:tcBorders>
          </w:tcPr>
          <w:p w:rsidR="00260612" w:rsidRPr="004F7400" w:rsidRDefault="00921629" w:rsidP="00260612">
            <w:pPr>
              <w:jc w:val="both"/>
              <w:rPr>
                <w:color w:val="000000"/>
                <w:sz w:val="20"/>
                <w:szCs w:val="20"/>
              </w:rPr>
            </w:pPr>
            <w:r>
              <w:rPr>
                <w:bCs/>
                <w:sz w:val="20"/>
                <w:szCs w:val="20"/>
              </w:rPr>
              <w:t>Rozhodnutí Rady 2013/488/EU ze dne 23. září 2013 o bezpečnostních pravidlech na ochranu utajovaných informací EU</w:t>
            </w:r>
          </w:p>
        </w:tc>
      </w:tr>
    </w:tbl>
    <w:p w:rsidR="0026691E" w:rsidRPr="004F7400" w:rsidRDefault="0026691E" w:rsidP="0026691E">
      <w:pPr>
        <w:jc w:val="center"/>
        <w:rPr>
          <w:b/>
        </w:rPr>
      </w:pPr>
    </w:p>
    <w:sectPr w:rsidR="0026691E" w:rsidRPr="004F7400" w:rsidSect="00645289">
      <w:footerReference w:type="default" r:id="rId8"/>
      <w:pgSz w:w="16838" w:h="11906" w:orient="landscape"/>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490" w:rsidRDefault="008E7490">
      <w:r>
        <w:separator/>
      </w:r>
    </w:p>
  </w:endnote>
  <w:endnote w:type="continuationSeparator" w:id="0">
    <w:p w:rsidR="008E7490" w:rsidRDefault="008E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2DC" w:rsidRDefault="000B12DC">
    <w:pPr>
      <w:pStyle w:val="Zpat"/>
      <w:jc w:val="center"/>
    </w:pPr>
    <w:r>
      <w:fldChar w:fldCharType="begin"/>
    </w:r>
    <w:r>
      <w:instrText>PAGE   \* MERGEFORMAT</w:instrText>
    </w:r>
    <w:r>
      <w:fldChar w:fldCharType="separate"/>
    </w:r>
    <w:r w:rsidR="000E30DB">
      <w:rPr>
        <w:noProof/>
      </w:rPr>
      <w:t>2</w:t>
    </w:r>
    <w:r>
      <w:fldChar w:fldCharType="end"/>
    </w:r>
  </w:p>
  <w:p w:rsidR="000B12DC" w:rsidRPr="00E82FE7" w:rsidRDefault="000B12DC" w:rsidP="00E82FE7">
    <w:pPr>
      <w:pStyle w:val="Podnadpis"/>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490" w:rsidRDefault="008E7490">
      <w:r>
        <w:separator/>
      </w:r>
    </w:p>
  </w:footnote>
  <w:footnote w:type="continuationSeparator" w:id="0">
    <w:p w:rsidR="008E7490" w:rsidRDefault="008E74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713982"/>
    <w:multiLevelType w:val="hybridMultilevel"/>
    <w:tmpl w:val="1282444C"/>
    <w:lvl w:ilvl="0" w:tplc="5CC43F86">
      <w:start w:val="1"/>
      <w:numFmt w:val="decimal"/>
      <w:pStyle w:val="Textodstavce"/>
      <w:lvlText w:val="(%1)"/>
      <w:lvlJc w:val="left"/>
      <w:pPr>
        <w:tabs>
          <w:tab w:val="num" w:pos="785"/>
        </w:tabs>
        <w:ind w:left="0" w:firstLine="425"/>
      </w:pPr>
      <w:rPr>
        <w:rFonts w:hint="default"/>
      </w:rPr>
    </w:lvl>
    <w:lvl w:ilvl="1" w:tplc="85D0206E">
      <w:start w:val="1"/>
      <w:numFmt w:val="lowerLetter"/>
      <w:lvlText w:val="%2)"/>
      <w:lvlJc w:val="left"/>
      <w:pPr>
        <w:tabs>
          <w:tab w:val="num" w:pos="1440"/>
        </w:tabs>
        <w:ind w:left="1440" w:hanging="360"/>
      </w:pPr>
      <w:rPr>
        <w:rFonts w:hint="default"/>
      </w:rPr>
    </w:lvl>
    <w:lvl w:ilvl="2" w:tplc="6F162988" w:tentative="1">
      <w:start w:val="1"/>
      <w:numFmt w:val="lowerRoman"/>
      <w:lvlText w:val="%3."/>
      <w:lvlJc w:val="right"/>
      <w:pPr>
        <w:tabs>
          <w:tab w:val="num" w:pos="2160"/>
        </w:tabs>
        <w:ind w:left="2160" w:hanging="180"/>
      </w:pPr>
    </w:lvl>
    <w:lvl w:ilvl="3" w:tplc="D4043086" w:tentative="1">
      <w:start w:val="1"/>
      <w:numFmt w:val="decimal"/>
      <w:lvlText w:val="%4."/>
      <w:lvlJc w:val="left"/>
      <w:pPr>
        <w:tabs>
          <w:tab w:val="num" w:pos="2880"/>
        </w:tabs>
        <w:ind w:left="2880" w:hanging="360"/>
      </w:pPr>
    </w:lvl>
    <w:lvl w:ilvl="4" w:tplc="FFA8806C" w:tentative="1">
      <w:start w:val="1"/>
      <w:numFmt w:val="lowerLetter"/>
      <w:lvlText w:val="%5."/>
      <w:lvlJc w:val="left"/>
      <w:pPr>
        <w:tabs>
          <w:tab w:val="num" w:pos="3600"/>
        </w:tabs>
        <w:ind w:left="3600" w:hanging="360"/>
      </w:pPr>
    </w:lvl>
    <w:lvl w:ilvl="5" w:tplc="576C337C" w:tentative="1">
      <w:start w:val="1"/>
      <w:numFmt w:val="lowerRoman"/>
      <w:lvlText w:val="%6."/>
      <w:lvlJc w:val="right"/>
      <w:pPr>
        <w:tabs>
          <w:tab w:val="num" w:pos="4320"/>
        </w:tabs>
        <w:ind w:left="4320" w:hanging="180"/>
      </w:pPr>
    </w:lvl>
    <w:lvl w:ilvl="6" w:tplc="78B41672" w:tentative="1">
      <w:start w:val="1"/>
      <w:numFmt w:val="decimal"/>
      <w:lvlText w:val="%7."/>
      <w:lvlJc w:val="left"/>
      <w:pPr>
        <w:tabs>
          <w:tab w:val="num" w:pos="5040"/>
        </w:tabs>
        <w:ind w:left="5040" w:hanging="360"/>
      </w:pPr>
    </w:lvl>
    <w:lvl w:ilvl="7" w:tplc="73B2ED4A" w:tentative="1">
      <w:start w:val="1"/>
      <w:numFmt w:val="lowerLetter"/>
      <w:lvlText w:val="%8."/>
      <w:lvlJc w:val="left"/>
      <w:pPr>
        <w:tabs>
          <w:tab w:val="num" w:pos="5760"/>
        </w:tabs>
        <w:ind w:left="5760" w:hanging="360"/>
      </w:pPr>
    </w:lvl>
    <w:lvl w:ilvl="8" w:tplc="E804A080" w:tentative="1">
      <w:start w:val="1"/>
      <w:numFmt w:val="lowerRoman"/>
      <w:lvlText w:val="%9."/>
      <w:lvlJc w:val="right"/>
      <w:pPr>
        <w:tabs>
          <w:tab w:val="num" w:pos="6480"/>
        </w:tabs>
        <w:ind w:left="6480" w:hanging="180"/>
      </w:pPr>
    </w:lvl>
  </w:abstractNum>
  <w:abstractNum w:abstractNumId="1" w15:restartNumberingAfterBreak="0">
    <w:nsid w:val="6AAF1A1F"/>
    <w:multiLevelType w:val="multilevel"/>
    <w:tmpl w:val="BA62C7D0"/>
    <w:lvl w:ilvl="0">
      <w:start w:val="1"/>
      <w:numFmt w:val="decimal"/>
      <w:isLgl/>
      <w:lvlText w:val="(%1)"/>
      <w:lvlJc w:val="left"/>
      <w:pPr>
        <w:tabs>
          <w:tab w:val="num" w:pos="357"/>
        </w:tabs>
        <w:ind w:left="-425"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C0B"/>
    <w:rsid w:val="00003944"/>
    <w:rsid w:val="00013C9A"/>
    <w:rsid w:val="000145A2"/>
    <w:rsid w:val="0001602E"/>
    <w:rsid w:val="00022344"/>
    <w:rsid w:val="00034C92"/>
    <w:rsid w:val="00034EF2"/>
    <w:rsid w:val="000353F8"/>
    <w:rsid w:val="00036718"/>
    <w:rsid w:val="000368B3"/>
    <w:rsid w:val="000451BB"/>
    <w:rsid w:val="000511CC"/>
    <w:rsid w:val="00096F20"/>
    <w:rsid w:val="000A3E79"/>
    <w:rsid w:val="000B12DC"/>
    <w:rsid w:val="000C6A78"/>
    <w:rsid w:val="000C6DE7"/>
    <w:rsid w:val="000E0B3C"/>
    <w:rsid w:val="000E30DB"/>
    <w:rsid w:val="000F6240"/>
    <w:rsid w:val="001050BF"/>
    <w:rsid w:val="00112711"/>
    <w:rsid w:val="00117C17"/>
    <w:rsid w:val="00127BCD"/>
    <w:rsid w:val="00142D86"/>
    <w:rsid w:val="0016251E"/>
    <w:rsid w:val="00163BFE"/>
    <w:rsid w:val="0017769F"/>
    <w:rsid w:val="0018083C"/>
    <w:rsid w:val="00193610"/>
    <w:rsid w:val="00197B7F"/>
    <w:rsid w:val="001A35F9"/>
    <w:rsid w:val="001B7406"/>
    <w:rsid w:val="001C3A56"/>
    <w:rsid w:val="001D64A0"/>
    <w:rsid w:val="001D76AC"/>
    <w:rsid w:val="001E0BBF"/>
    <w:rsid w:val="001E30E5"/>
    <w:rsid w:val="00214566"/>
    <w:rsid w:val="00216D41"/>
    <w:rsid w:val="00232C77"/>
    <w:rsid w:val="002331DE"/>
    <w:rsid w:val="00240B7D"/>
    <w:rsid w:val="002440BD"/>
    <w:rsid w:val="0025041C"/>
    <w:rsid w:val="0025460C"/>
    <w:rsid w:val="00260612"/>
    <w:rsid w:val="00265175"/>
    <w:rsid w:val="0026691E"/>
    <w:rsid w:val="002778F9"/>
    <w:rsid w:val="002A672E"/>
    <w:rsid w:val="002B2D80"/>
    <w:rsid w:val="002B6C17"/>
    <w:rsid w:val="002C39F4"/>
    <w:rsid w:val="002C5B65"/>
    <w:rsid w:val="002D4FFD"/>
    <w:rsid w:val="002E4FF2"/>
    <w:rsid w:val="002F155D"/>
    <w:rsid w:val="003038D7"/>
    <w:rsid w:val="003130CC"/>
    <w:rsid w:val="00315409"/>
    <w:rsid w:val="00315D11"/>
    <w:rsid w:val="00325DFC"/>
    <w:rsid w:val="00326118"/>
    <w:rsid w:val="00334366"/>
    <w:rsid w:val="00342072"/>
    <w:rsid w:val="00342242"/>
    <w:rsid w:val="0034233E"/>
    <w:rsid w:val="003562A2"/>
    <w:rsid w:val="00361DDC"/>
    <w:rsid w:val="00371422"/>
    <w:rsid w:val="003740BA"/>
    <w:rsid w:val="003968E9"/>
    <w:rsid w:val="003A59AF"/>
    <w:rsid w:val="003B37AB"/>
    <w:rsid w:val="003D0C80"/>
    <w:rsid w:val="003F0CA0"/>
    <w:rsid w:val="003F3F97"/>
    <w:rsid w:val="0040404C"/>
    <w:rsid w:val="00406C16"/>
    <w:rsid w:val="00412D80"/>
    <w:rsid w:val="004204B7"/>
    <w:rsid w:val="00421876"/>
    <w:rsid w:val="00422CA2"/>
    <w:rsid w:val="00432366"/>
    <w:rsid w:val="00433298"/>
    <w:rsid w:val="004802F0"/>
    <w:rsid w:val="00492CBD"/>
    <w:rsid w:val="004A671C"/>
    <w:rsid w:val="004B717B"/>
    <w:rsid w:val="004C2D20"/>
    <w:rsid w:val="004D423C"/>
    <w:rsid w:val="004D60AD"/>
    <w:rsid w:val="004E0362"/>
    <w:rsid w:val="004F7400"/>
    <w:rsid w:val="00502A37"/>
    <w:rsid w:val="005044C5"/>
    <w:rsid w:val="0051423B"/>
    <w:rsid w:val="00517DCD"/>
    <w:rsid w:val="00520C44"/>
    <w:rsid w:val="00523D31"/>
    <w:rsid w:val="00524F74"/>
    <w:rsid w:val="0053384C"/>
    <w:rsid w:val="00543A82"/>
    <w:rsid w:val="005476CA"/>
    <w:rsid w:val="00560822"/>
    <w:rsid w:val="00562E2A"/>
    <w:rsid w:val="0056661A"/>
    <w:rsid w:val="00574B2B"/>
    <w:rsid w:val="00577129"/>
    <w:rsid w:val="00587F30"/>
    <w:rsid w:val="0059049A"/>
    <w:rsid w:val="00595CC6"/>
    <w:rsid w:val="005A6012"/>
    <w:rsid w:val="005A6304"/>
    <w:rsid w:val="005A69E2"/>
    <w:rsid w:val="005B1144"/>
    <w:rsid w:val="005B2FDF"/>
    <w:rsid w:val="005B652E"/>
    <w:rsid w:val="005D2576"/>
    <w:rsid w:val="005F09AF"/>
    <w:rsid w:val="00605E79"/>
    <w:rsid w:val="006359AD"/>
    <w:rsid w:val="00645289"/>
    <w:rsid w:val="006460DC"/>
    <w:rsid w:val="00646648"/>
    <w:rsid w:val="00652066"/>
    <w:rsid w:val="0065546D"/>
    <w:rsid w:val="00663ABE"/>
    <w:rsid w:val="006858E5"/>
    <w:rsid w:val="00696458"/>
    <w:rsid w:val="006965C9"/>
    <w:rsid w:val="006A4877"/>
    <w:rsid w:val="006D0316"/>
    <w:rsid w:val="006D3177"/>
    <w:rsid w:val="006D321E"/>
    <w:rsid w:val="006D7ACD"/>
    <w:rsid w:val="006E70BC"/>
    <w:rsid w:val="006F4630"/>
    <w:rsid w:val="0070235E"/>
    <w:rsid w:val="00704C65"/>
    <w:rsid w:val="00711070"/>
    <w:rsid w:val="00712FA0"/>
    <w:rsid w:val="00713D79"/>
    <w:rsid w:val="00726768"/>
    <w:rsid w:val="00727631"/>
    <w:rsid w:val="00756020"/>
    <w:rsid w:val="00765960"/>
    <w:rsid w:val="00782F38"/>
    <w:rsid w:val="00787C58"/>
    <w:rsid w:val="00794A49"/>
    <w:rsid w:val="007A0E35"/>
    <w:rsid w:val="007B3C1F"/>
    <w:rsid w:val="007B7E65"/>
    <w:rsid w:val="007D2EC9"/>
    <w:rsid w:val="007D3D58"/>
    <w:rsid w:val="007D67E7"/>
    <w:rsid w:val="007E75FF"/>
    <w:rsid w:val="007E7ECA"/>
    <w:rsid w:val="007F16DF"/>
    <w:rsid w:val="00801AB2"/>
    <w:rsid w:val="00804CE1"/>
    <w:rsid w:val="00826247"/>
    <w:rsid w:val="00833ECE"/>
    <w:rsid w:val="0083516E"/>
    <w:rsid w:val="00836B8C"/>
    <w:rsid w:val="0085300A"/>
    <w:rsid w:val="008578B2"/>
    <w:rsid w:val="008621C8"/>
    <w:rsid w:val="00866D0D"/>
    <w:rsid w:val="00867DFF"/>
    <w:rsid w:val="00887ECA"/>
    <w:rsid w:val="008B13A3"/>
    <w:rsid w:val="008B303C"/>
    <w:rsid w:val="008C1953"/>
    <w:rsid w:val="008C2200"/>
    <w:rsid w:val="008C5C1D"/>
    <w:rsid w:val="008D31CA"/>
    <w:rsid w:val="008D3A07"/>
    <w:rsid w:val="008E7490"/>
    <w:rsid w:val="008F1906"/>
    <w:rsid w:val="008F6257"/>
    <w:rsid w:val="008F6D6B"/>
    <w:rsid w:val="009071A1"/>
    <w:rsid w:val="00916AEC"/>
    <w:rsid w:val="00921629"/>
    <w:rsid w:val="009242DC"/>
    <w:rsid w:val="00935544"/>
    <w:rsid w:val="00942359"/>
    <w:rsid w:val="00944860"/>
    <w:rsid w:val="00955B4E"/>
    <w:rsid w:val="009609E3"/>
    <w:rsid w:val="0096520E"/>
    <w:rsid w:val="009854A0"/>
    <w:rsid w:val="00990E91"/>
    <w:rsid w:val="0099325F"/>
    <w:rsid w:val="009A3DA4"/>
    <w:rsid w:val="009A5C0C"/>
    <w:rsid w:val="009B06F1"/>
    <w:rsid w:val="009B2397"/>
    <w:rsid w:val="009B7D0C"/>
    <w:rsid w:val="009C74A1"/>
    <w:rsid w:val="009C78D1"/>
    <w:rsid w:val="009E1C4F"/>
    <w:rsid w:val="009E51CC"/>
    <w:rsid w:val="009E764D"/>
    <w:rsid w:val="009F4360"/>
    <w:rsid w:val="009F6141"/>
    <w:rsid w:val="00A0291F"/>
    <w:rsid w:val="00A20AC0"/>
    <w:rsid w:val="00A21197"/>
    <w:rsid w:val="00A23149"/>
    <w:rsid w:val="00A26EE2"/>
    <w:rsid w:val="00A41490"/>
    <w:rsid w:val="00A45BF1"/>
    <w:rsid w:val="00A60CB3"/>
    <w:rsid w:val="00A8681C"/>
    <w:rsid w:val="00A90BF6"/>
    <w:rsid w:val="00A90DEF"/>
    <w:rsid w:val="00AB24F3"/>
    <w:rsid w:val="00AB5907"/>
    <w:rsid w:val="00AC4CBB"/>
    <w:rsid w:val="00AE2A5C"/>
    <w:rsid w:val="00AE3CE1"/>
    <w:rsid w:val="00B140CF"/>
    <w:rsid w:val="00B14E21"/>
    <w:rsid w:val="00B17049"/>
    <w:rsid w:val="00B27F5D"/>
    <w:rsid w:val="00B30632"/>
    <w:rsid w:val="00B309BB"/>
    <w:rsid w:val="00B42CE1"/>
    <w:rsid w:val="00B52072"/>
    <w:rsid w:val="00B617E9"/>
    <w:rsid w:val="00BC5595"/>
    <w:rsid w:val="00BE6F48"/>
    <w:rsid w:val="00C00561"/>
    <w:rsid w:val="00C066CA"/>
    <w:rsid w:val="00C110F9"/>
    <w:rsid w:val="00C12871"/>
    <w:rsid w:val="00C22BB9"/>
    <w:rsid w:val="00C322BF"/>
    <w:rsid w:val="00C35DA9"/>
    <w:rsid w:val="00C4010E"/>
    <w:rsid w:val="00C40215"/>
    <w:rsid w:val="00C421C3"/>
    <w:rsid w:val="00C5096B"/>
    <w:rsid w:val="00C6169C"/>
    <w:rsid w:val="00C70EED"/>
    <w:rsid w:val="00C732CC"/>
    <w:rsid w:val="00C9742C"/>
    <w:rsid w:val="00CA42F2"/>
    <w:rsid w:val="00CB43C2"/>
    <w:rsid w:val="00CB4C0B"/>
    <w:rsid w:val="00CB511F"/>
    <w:rsid w:val="00CC6817"/>
    <w:rsid w:val="00CD6EF7"/>
    <w:rsid w:val="00CD75BA"/>
    <w:rsid w:val="00CE0A3E"/>
    <w:rsid w:val="00CE3310"/>
    <w:rsid w:val="00CE46C7"/>
    <w:rsid w:val="00D03501"/>
    <w:rsid w:val="00D132A5"/>
    <w:rsid w:val="00D13362"/>
    <w:rsid w:val="00D16E3C"/>
    <w:rsid w:val="00D257F4"/>
    <w:rsid w:val="00D262E1"/>
    <w:rsid w:val="00D34B18"/>
    <w:rsid w:val="00D3641C"/>
    <w:rsid w:val="00D5104A"/>
    <w:rsid w:val="00D6145A"/>
    <w:rsid w:val="00D637E1"/>
    <w:rsid w:val="00D762A8"/>
    <w:rsid w:val="00D8204E"/>
    <w:rsid w:val="00D922CD"/>
    <w:rsid w:val="00D9250E"/>
    <w:rsid w:val="00DA2123"/>
    <w:rsid w:val="00DA2638"/>
    <w:rsid w:val="00DA3CB5"/>
    <w:rsid w:val="00DA45D9"/>
    <w:rsid w:val="00DA789C"/>
    <w:rsid w:val="00DB5DFC"/>
    <w:rsid w:val="00DB71AF"/>
    <w:rsid w:val="00DC19A5"/>
    <w:rsid w:val="00DD1C03"/>
    <w:rsid w:val="00DF5447"/>
    <w:rsid w:val="00E06CC5"/>
    <w:rsid w:val="00E0734D"/>
    <w:rsid w:val="00E41ADB"/>
    <w:rsid w:val="00E553A4"/>
    <w:rsid w:val="00E60D52"/>
    <w:rsid w:val="00E61D40"/>
    <w:rsid w:val="00E65BBC"/>
    <w:rsid w:val="00E67505"/>
    <w:rsid w:val="00E757D9"/>
    <w:rsid w:val="00E81147"/>
    <w:rsid w:val="00E82FE7"/>
    <w:rsid w:val="00E90BD3"/>
    <w:rsid w:val="00E92933"/>
    <w:rsid w:val="00EA10BD"/>
    <w:rsid w:val="00EA20FD"/>
    <w:rsid w:val="00EA2E27"/>
    <w:rsid w:val="00EB11BC"/>
    <w:rsid w:val="00EB5C23"/>
    <w:rsid w:val="00ED0DAF"/>
    <w:rsid w:val="00ED1723"/>
    <w:rsid w:val="00ED4EBD"/>
    <w:rsid w:val="00ED6E97"/>
    <w:rsid w:val="00ED6F7A"/>
    <w:rsid w:val="00EE7B58"/>
    <w:rsid w:val="00EF4B31"/>
    <w:rsid w:val="00EF58C3"/>
    <w:rsid w:val="00EF617B"/>
    <w:rsid w:val="00F00B68"/>
    <w:rsid w:val="00F05218"/>
    <w:rsid w:val="00F062A9"/>
    <w:rsid w:val="00F071B9"/>
    <w:rsid w:val="00F12EE2"/>
    <w:rsid w:val="00F20136"/>
    <w:rsid w:val="00F3391E"/>
    <w:rsid w:val="00F5381C"/>
    <w:rsid w:val="00F552AE"/>
    <w:rsid w:val="00F663CB"/>
    <w:rsid w:val="00F8266C"/>
    <w:rsid w:val="00F92CF7"/>
    <w:rsid w:val="00F95CB4"/>
    <w:rsid w:val="00FA6D0C"/>
    <w:rsid w:val="00FB29E3"/>
    <w:rsid w:val="00FC717C"/>
    <w:rsid w:val="00FD45EB"/>
    <w:rsid w:val="00FD4675"/>
    <w:rsid w:val="00FD5C4A"/>
    <w:rsid w:val="00FE27E8"/>
    <w:rsid w:val="00FE7ACD"/>
    <w:rsid w:val="00FF0E05"/>
    <w:rsid w:val="00FF60DC"/>
  </w:rsids>
  <m:mathPr>
    <m:mathFont m:val="Cambria Math"/>
    <m:brkBin m:val="before"/>
    <m:brkBinSub m:val="--"/>
    <m:smallFrac m:val="0"/>
    <m:dispDef/>
    <m:lMargin m:val="0"/>
    <m:rMargin m:val="0"/>
    <m:defJc m:val="centerGroup"/>
    <m:wrapRight/>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9442437-D729-E143-982C-67DBA6557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26"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uiPriority w:val="9"/>
    <w:qFormat/>
    <w:rsid w:val="00197B7F"/>
    <w:pPr>
      <w:keepNext/>
      <w:spacing w:before="240" w:after="60"/>
      <w:outlineLvl w:val="0"/>
    </w:pPr>
    <w:rPr>
      <w:rFonts w:ascii="Calibri Light" w:hAnsi="Calibri Light"/>
      <w:b/>
      <w:bCs/>
      <w:kern w:val="32"/>
      <w:sz w:val="32"/>
      <w:szCs w:val="32"/>
    </w:rPr>
  </w:style>
  <w:style w:type="paragraph" w:styleId="Nadpis2">
    <w:name w:val="heading 2"/>
    <w:basedOn w:val="Normln"/>
    <w:next w:val="Normln"/>
    <w:link w:val="Nadpis2Char"/>
    <w:qFormat/>
    <w:rsid w:val="001E30E5"/>
    <w:pPr>
      <w:keepNext/>
      <w:jc w:val="center"/>
      <w:outlineLvl w:val="1"/>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7A0E35"/>
    <w:rPr>
      <w:rFonts w:ascii="Tahoma" w:hAnsi="Tahoma" w:cs="Tahoma"/>
      <w:sz w:val="16"/>
      <w:szCs w:val="16"/>
    </w:rPr>
  </w:style>
  <w:style w:type="paragraph" w:styleId="Zhlav">
    <w:name w:val="header"/>
    <w:basedOn w:val="Normln"/>
    <w:rsid w:val="00C110F9"/>
    <w:pPr>
      <w:tabs>
        <w:tab w:val="center" w:pos="4536"/>
        <w:tab w:val="right" w:pos="9072"/>
      </w:tabs>
    </w:pPr>
  </w:style>
  <w:style w:type="paragraph" w:styleId="Zpat">
    <w:name w:val="footer"/>
    <w:basedOn w:val="Normln"/>
    <w:link w:val="ZpatChar"/>
    <w:uiPriority w:val="99"/>
    <w:rsid w:val="00C110F9"/>
    <w:pPr>
      <w:tabs>
        <w:tab w:val="center" w:pos="4536"/>
        <w:tab w:val="right" w:pos="9072"/>
      </w:tabs>
    </w:p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rsid w:val="00BE6F48"/>
    <w:pPr>
      <w:spacing w:after="160" w:line="240" w:lineRule="exact"/>
    </w:pPr>
    <w:rPr>
      <w:rFonts w:ascii="Times New Roman Bold" w:hAnsi="Times New Roman Bold"/>
      <w:sz w:val="22"/>
      <w:szCs w:val="26"/>
      <w:lang w:val="sk-SK" w:eastAsia="en-US"/>
    </w:rPr>
  </w:style>
  <w:style w:type="paragraph" w:styleId="Podnadpis">
    <w:name w:val="Subtitle"/>
    <w:basedOn w:val="Normln"/>
    <w:next w:val="Normln"/>
    <w:link w:val="PodnadpisChar"/>
    <w:uiPriority w:val="11"/>
    <w:qFormat/>
    <w:rsid w:val="00E82FE7"/>
    <w:pPr>
      <w:spacing w:after="60"/>
      <w:jc w:val="center"/>
      <w:outlineLvl w:val="1"/>
    </w:pPr>
    <w:rPr>
      <w:rFonts w:ascii="Cambria" w:hAnsi="Cambria"/>
    </w:rPr>
  </w:style>
  <w:style w:type="character" w:customStyle="1" w:styleId="PodnadpisChar">
    <w:name w:val="Podnadpis Char"/>
    <w:link w:val="Podnadpis"/>
    <w:uiPriority w:val="11"/>
    <w:rsid w:val="00E82FE7"/>
    <w:rPr>
      <w:rFonts w:ascii="Cambria" w:hAnsi="Cambria"/>
      <w:sz w:val="24"/>
      <w:szCs w:val="24"/>
    </w:rPr>
  </w:style>
  <w:style w:type="character" w:styleId="Siln">
    <w:name w:val="Strong"/>
    <w:qFormat/>
    <w:rsid w:val="00260612"/>
    <w:rPr>
      <w:b/>
      <w:bCs/>
    </w:rPr>
  </w:style>
  <w:style w:type="character" w:styleId="Hypertextovodkaz">
    <w:name w:val="Hyperlink"/>
    <w:uiPriority w:val="99"/>
    <w:semiHidden/>
    <w:unhideWhenUsed/>
    <w:rsid w:val="00FF0E05"/>
    <w:rPr>
      <w:strike w:val="0"/>
      <w:dstrike w:val="0"/>
      <w:color w:val="3366CC"/>
      <w:u w:val="none"/>
      <w:effect w:val="none"/>
      <w:shd w:val="clear" w:color="auto" w:fill="auto"/>
    </w:rPr>
  </w:style>
  <w:style w:type="paragraph" w:customStyle="1" w:styleId="Normln1">
    <w:name w:val="Normální1"/>
    <w:basedOn w:val="Normln"/>
    <w:rsid w:val="00FF0E05"/>
    <w:pPr>
      <w:spacing w:before="120"/>
      <w:jc w:val="both"/>
    </w:pPr>
  </w:style>
  <w:style w:type="character" w:customStyle="1" w:styleId="super">
    <w:name w:val="super"/>
    <w:rsid w:val="00FF0E05"/>
    <w:rPr>
      <w:sz w:val="17"/>
      <w:szCs w:val="17"/>
      <w:vertAlign w:val="superscript"/>
    </w:rPr>
  </w:style>
  <w:style w:type="paragraph" w:customStyle="1" w:styleId="CM1">
    <w:name w:val="CM1"/>
    <w:basedOn w:val="Normln"/>
    <w:next w:val="Normln"/>
    <w:uiPriority w:val="99"/>
    <w:rsid w:val="006965C9"/>
    <w:pPr>
      <w:autoSpaceDE w:val="0"/>
      <w:autoSpaceDN w:val="0"/>
      <w:adjustRightInd w:val="0"/>
    </w:pPr>
    <w:rPr>
      <w:rFonts w:ascii="EUAlbertina" w:hAnsi="EUAlbertina"/>
    </w:rPr>
  </w:style>
  <w:style w:type="paragraph" w:customStyle="1" w:styleId="CM3">
    <w:name w:val="CM3"/>
    <w:basedOn w:val="Normln"/>
    <w:next w:val="Normln"/>
    <w:uiPriority w:val="99"/>
    <w:rsid w:val="006965C9"/>
    <w:pPr>
      <w:autoSpaceDE w:val="0"/>
      <w:autoSpaceDN w:val="0"/>
      <w:adjustRightInd w:val="0"/>
    </w:pPr>
    <w:rPr>
      <w:rFonts w:ascii="EUAlbertina" w:hAnsi="EUAlbertina"/>
    </w:rPr>
  </w:style>
  <w:style w:type="paragraph" w:customStyle="1" w:styleId="CM4">
    <w:name w:val="CM4"/>
    <w:basedOn w:val="Normln"/>
    <w:next w:val="Normln"/>
    <w:uiPriority w:val="99"/>
    <w:rsid w:val="00D637E1"/>
    <w:pPr>
      <w:autoSpaceDE w:val="0"/>
      <w:autoSpaceDN w:val="0"/>
      <w:adjustRightInd w:val="0"/>
    </w:pPr>
    <w:rPr>
      <w:rFonts w:ascii="EUAlbertina" w:hAnsi="EUAlbertina"/>
    </w:rPr>
  </w:style>
  <w:style w:type="character" w:styleId="Odkaznakoment">
    <w:name w:val="annotation reference"/>
    <w:uiPriority w:val="99"/>
    <w:semiHidden/>
    <w:unhideWhenUsed/>
    <w:rsid w:val="00003944"/>
    <w:rPr>
      <w:sz w:val="16"/>
      <w:szCs w:val="16"/>
    </w:rPr>
  </w:style>
  <w:style w:type="paragraph" w:styleId="Textkomente">
    <w:name w:val="annotation text"/>
    <w:basedOn w:val="Normln"/>
    <w:link w:val="TextkomenteChar"/>
    <w:uiPriority w:val="99"/>
    <w:unhideWhenUsed/>
    <w:rsid w:val="00003944"/>
    <w:rPr>
      <w:sz w:val="20"/>
      <w:szCs w:val="20"/>
    </w:rPr>
  </w:style>
  <w:style w:type="character" w:customStyle="1" w:styleId="TextkomenteChar">
    <w:name w:val="Text komentáře Char"/>
    <w:basedOn w:val="Standardnpsmoodstavce"/>
    <w:link w:val="Textkomente"/>
    <w:uiPriority w:val="99"/>
    <w:rsid w:val="00003944"/>
  </w:style>
  <w:style w:type="paragraph" w:styleId="Pedmtkomente">
    <w:name w:val="annotation subject"/>
    <w:basedOn w:val="Textkomente"/>
    <w:next w:val="Textkomente"/>
    <w:link w:val="PedmtkomenteChar"/>
    <w:uiPriority w:val="99"/>
    <w:semiHidden/>
    <w:unhideWhenUsed/>
    <w:rsid w:val="00003944"/>
    <w:rPr>
      <w:b/>
      <w:bCs/>
    </w:rPr>
  </w:style>
  <w:style w:type="character" w:customStyle="1" w:styleId="PedmtkomenteChar">
    <w:name w:val="Předmět komentáře Char"/>
    <w:link w:val="Pedmtkomente"/>
    <w:uiPriority w:val="99"/>
    <w:semiHidden/>
    <w:rsid w:val="00003944"/>
    <w:rPr>
      <w:b/>
      <w:bCs/>
    </w:rPr>
  </w:style>
  <w:style w:type="paragraph" w:styleId="Zkladntextodsazen">
    <w:name w:val="Body Text Indent"/>
    <w:basedOn w:val="Normln"/>
    <w:link w:val="ZkladntextodsazenChar"/>
    <w:rsid w:val="001E30E5"/>
    <w:pPr>
      <w:ind w:left="360" w:hanging="360"/>
      <w:jc w:val="both"/>
    </w:pPr>
  </w:style>
  <w:style w:type="character" w:customStyle="1" w:styleId="ZkladntextodsazenChar">
    <w:name w:val="Základní text odsazený Char"/>
    <w:link w:val="Zkladntextodsazen"/>
    <w:rsid w:val="001E30E5"/>
    <w:rPr>
      <w:sz w:val="24"/>
      <w:szCs w:val="24"/>
    </w:rPr>
  </w:style>
  <w:style w:type="character" w:customStyle="1" w:styleId="Nadpis2Char">
    <w:name w:val="Nadpis 2 Char"/>
    <w:link w:val="Nadpis2"/>
    <w:rsid w:val="001E30E5"/>
    <w:rPr>
      <w:i/>
      <w:iCs/>
      <w:sz w:val="24"/>
      <w:szCs w:val="24"/>
    </w:rPr>
  </w:style>
  <w:style w:type="paragraph" w:customStyle="1" w:styleId="Textodstavce">
    <w:name w:val="Text odstavce"/>
    <w:basedOn w:val="Normln"/>
    <w:rsid w:val="00315D11"/>
    <w:pPr>
      <w:numPr>
        <w:numId w:val="1"/>
      </w:numPr>
      <w:tabs>
        <w:tab w:val="left" w:pos="851"/>
      </w:tabs>
      <w:spacing w:before="120" w:after="120"/>
      <w:jc w:val="both"/>
      <w:outlineLvl w:val="6"/>
    </w:pPr>
    <w:rPr>
      <w:szCs w:val="20"/>
    </w:rPr>
  </w:style>
  <w:style w:type="paragraph" w:customStyle="1" w:styleId="Nadpisparagrafu">
    <w:name w:val="Nadpis paragrafu"/>
    <w:basedOn w:val="Normln"/>
    <w:next w:val="Textodstavce"/>
    <w:rsid w:val="00315D11"/>
    <w:pPr>
      <w:keepNext/>
      <w:keepLines/>
      <w:spacing w:before="240"/>
      <w:jc w:val="center"/>
      <w:outlineLvl w:val="5"/>
    </w:pPr>
    <w:rPr>
      <w:b/>
      <w:szCs w:val="20"/>
    </w:rPr>
  </w:style>
  <w:style w:type="character" w:styleId="Znakapoznpodarou">
    <w:name w:val="footnote reference"/>
    <w:rsid w:val="002778F9"/>
    <w:rPr>
      <w:vertAlign w:val="superscript"/>
    </w:rPr>
  </w:style>
  <w:style w:type="paragraph" w:customStyle="1" w:styleId="Default">
    <w:name w:val="Default"/>
    <w:rsid w:val="00801AB2"/>
    <w:pPr>
      <w:autoSpaceDE w:val="0"/>
      <w:autoSpaceDN w:val="0"/>
      <w:adjustRightInd w:val="0"/>
    </w:pPr>
    <w:rPr>
      <w:color w:val="000000"/>
      <w:sz w:val="24"/>
      <w:szCs w:val="24"/>
    </w:rPr>
  </w:style>
  <w:style w:type="character" w:customStyle="1" w:styleId="ZpatChar">
    <w:name w:val="Zápatí Char"/>
    <w:link w:val="Zpat"/>
    <w:uiPriority w:val="99"/>
    <w:rsid w:val="00326118"/>
    <w:rPr>
      <w:sz w:val="24"/>
      <w:szCs w:val="24"/>
    </w:rPr>
  </w:style>
  <w:style w:type="paragraph" w:customStyle="1" w:styleId="doc-ti">
    <w:name w:val="doc-ti"/>
    <w:basedOn w:val="Normln"/>
    <w:rsid w:val="000145A2"/>
    <w:pPr>
      <w:spacing w:before="240" w:after="120"/>
      <w:jc w:val="center"/>
    </w:pPr>
    <w:rPr>
      <w:b/>
      <w:bCs/>
    </w:rPr>
  </w:style>
  <w:style w:type="paragraph" w:styleId="Odstavecseseznamem">
    <w:name w:val="List Paragraph"/>
    <w:basedOn w:val="Normln"/>
    <w:uiPriority w:val="26"/>
    <w:qFormat/>
    <w:rsid w:val="00022344"/>
    <w:pPr>
      <w:ind w:left="708"/>
    </w:pPr>
  </w:style>
  <w:style w:type="paragraph" w:styleId="Normlnweb">
    <w:name w:val="Normal (Web)"/>
    <w:basedOn w:val="Normln"/>
    <w:unhideWhenUsed/>
    <w:rsid w:val="00265175"/>
    <w:pPr>
      <w:spacing w:before="100" w:beforeAutospacing="1" w:after="100" w:afterAutospacing="1"/>
    </w:pPr>
  </w:style>
  <w:style w:type="paragraph" w:styleId="Textpoznpodarou">
    <w:name w:val="footnote text"/>
    <w:aliases w:val=" Char Char, Char Char Char,Footnote Text Char Char,Footnote Text Char1,Text pozn. pod čarou Char Char Char,Text pozn. pod čarou Char1,Text pozn. pod čarou Char1 Char,Text pozn. pod čarou Char1 Char Char Cha"/>
    <w:basedOn w:val="Normln"/>
    <w:link w:val="TextpoznpodarouChar2"/>
    <w:qFormat/>
    <w:rsid w:val="00EA20FD"/>
    <w:rPr>
      <w:sz w:val="20"/>
      <w:szCs w:val="20"/>
    </w:rPr>
  </w:style>
  <w:style w:type="character" w:customStyle="1" w:styleId="TextpoznpodarouChar">
    <w:name w:val="Text pozn. pod čarou Char"/>
    <w:basedOn w:val="Standardnpsmoodstavce"/>
    <w:rsid w:val="00EA20FD"/>
  </w:style>
  <w:style w:type="character" w:customStyle="1" w:styleId="TextpoznpodarouChar2">
    <w:name w:val="Text pozn. pod čarou Char2"/>
    <w:aliases w:val=" Char Char Char1, Char Char Char Char,Footnote Text Char Char Char,Footnote Text Char1 Char,Text pozn. pod čarou Char Char Char Char,Text pozn. pod čarou Char1 Char1,Text pozn. pod čarou Char1 Char Char"/>
    <w:link w:val="Textpoznpodarou"/>
    <w:uiPriority w:val="99"/>
    <w:rsid w:val="00EA20FD"/>
  </w:style>
  <w:style w:type="paragraph" w:customStyle="1" w:styleId="Stylbod10b">
    <w:name w:val="Styl bod + 10 b."/>
    <w:basedOn w:val="Normln"/>
    <w:rsid w:val="00866D0D"/>
    <w:pPr>
      <w:tabs>
        <w:tab w:val="num" w:pos="540"/>
      </w:tabs>
      <w:spacing w:after="120"/>
      <w:ind w:left="340" w:hanging="360"/>
      <w:jc w:val="both"/>
    </w:pPr>
    <w:rPr>
      <w:rFonts w:ascii="Arial" w:eastAsia="Calibri" w:hAnsi="Arial"/>
      <w:sz w:val="20"/>
    </w:rPr>
  </w:style>
  <w:style w:type="character" w:customStyle="1" w:styleId="italic">
    <w:name w:val="italic"/>
    <w:rsid w:val="00866D0D"/>
  </w:style>
  <w:style w:type="paragraph" w:customStyle="1" w:styleId="Textpsmene">
    <w:name w:val="Text písmene"/>
    <w:basedOn w:val="Normln"/>
    <w:link w:val="TextpsmeneChar"/>
    <w:rsid w:val="00DA2638"/>
    <w:pPr>
      <w:tabs>
        <w:tab w:val="num" w:pos="360"/>
      </w:tabs>
      <w:ind w:left="360" w:hanging="360"/>
      <w:jc w:val="both"/>
      <w:outlineLvl w:val="7"/>
    </w:pPr>
    <w:rPr>
      <w:szCs w:val="20"/>
    </w:rPr>
  </w:style>
  <w:style w:type="character" w:customStyle="1" w:styleId="TextpsmeneChar">
    <w:name w:val="Text písmene Char"/>
    <w:link w:val="Textpsmene"/>
    <w:rsid w:val="00DA2638"/>
    <w:rPr>
      <w:sz w:val="24"/>
    </w:rPr>
  </w:style>
  <w:style w:type="character" w:customStyle="1" w:styleId="Nadpis1Char">
    <w:name w:val="Nadpis 1 Char"/>
    <w:link w:val="Nadpis1"/>
    <w:uiPriority w:val="9"/>
    <w:rsid w:val="00197B7F"/>
    <w:rPr>
      <w:rFonts w:ascii="Calibri Light" w:eastAsia="Times New Roman" w:hAnsi="Calibri Light" w:cs="Times New Roman"/>
      <w:b/>
      <w:bCs/>
      <w:kern w:val="32"/>
      <w:sz w:val="32"/>
      <w:szCs w:val="32"/>
    </w:rPr>
  </w:style>
  <w:style w:type="paragraph" w:customStyle="1" w:styleId="Textlnku">
    <w:name w:val="Text článku"/>
    <w:basedOn w:val="Normln"/>
    <w:rsid w:val="008578B2"/>
    <w:pPr>
      <w:spacing w:before="240"/>
      <w:ind w:firstLine="425"/>
      <w:jc w:val="both"/>
      <w:outlineLvl w:val="5"/>
    </w:pPr>
    <w:rPr>
      <w:szCs w:val="20"/>
    </w:rPr>
  </w:style>
  <w:style w:type="paragraph" w:customStyle="1" w:styleId="Novelizanbod">
    <w:name w:val="Novelizační bod"/>
    <w:basedOn w:val="Normln"/>
    <w:next w:val="Normln"/>
    <w:rsid w:val="000B12DC"/>
    <w:pPr>
      <w:keepNext/>
      <w:keepLines/>
      <w:tabs>
        <w:tab w:val="num" w:pos="567"/>
        <w:tab w:val="left" w:pos="851"/>
      </w:tabs>
      <w:spacing w:before="480" w:after="120"/>
      <w:ind w:left="567" w:hanging="567"/>
      <w:jc w:val="both"/>
    </w:pPr>
    <w:rPr>
      <w:szCs w:val="20"/>
    </w:rPr>
  </w:style>
  <w:style w:type="paragraph" w:customStyle="1" w:styleId="WW-Vchozstyl">
    <w:name w:val="WW-Výchozí styl"/>
    <w:rsid w:val="00B309BB"/>
    <w:pPr>
      <w:suppressAutoHyphens/>
      <w:spacing w:after="200" w:line="276" w:lineRule="auto"/>
    </w:pPr>
    <w:rPr>
      <w:color w:val="00000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80561">
      <w:bodyDiv w:val="1"/>
      <w:marLeft w:val="0"/>
      <w:marRight w:val="0"/>
      <w:marTop w:val="0"/>
      <w:marBottom w:val="0"/>
      <w:divBdr>
        <w:top w:val="none" w:sz="0" w:space="0" w:color="auto"/>
        <w:left w:val="none" w:sz="0" w:space="0" w:color="auto"/>
        <w:bottom w:val="none" w:sz="0" w:space="0" w:color="auto"/>
        <w:right w:val="none" w:sz="0" w:space="0" w:color="auto"/>
      </w:divBdr>
    </w:div>
    <w:div w:id="150026606">
      <w:bodyDiv w:val="1"/>
      <w:marLeft w:val="0"/>
      <w:marRight w:val="0"/>
      <w:marTop w:val="0"/>
      <w:marBottom w:val="0"/>
      <w:divBdr>
        <w:top w:val="none" w:sz="0" w:space="0" w:color="auto"/>
        <w:left w:val="none" w:sz="0" w:space="0" w:color="auto"/>
        <w:bottom w:val="none" w:sz="0" w:space="0" w:color="auto"/>
        <w:right w:val="none" w:sz="0" w:space="0" w:color="auto"/>
      </w:divBdr>
      <w:divsChild>
        <w:div w:id="130739283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81168096">
      <w:bodyDiv w:val="1"/>
      <w:marLeft w:val="0"/>
      <w:marRight w:val="0"/>
      <w:marTop w:val="0"/>
      <w:marBottom w:val="0"/>
      <w:divBdr>
        <w:top w:val="none" w:sz="0" w:space="0" w:color="auto"/>
        <w:left w:val="none" w:sz="0" w:space="0" w:color="auto"/>
        <w:bottom w:val="none" w:sz="0" w:space="0" w:color="auto"/>
        <w:right w:val="none" w:sz="0" w:space="0" w:color="auto"/>
      </w:divBdr>
    </w:div>
    <w:div w:id="183397975">
      <w:bodyDiv w:val="1"/>
      <w:marLeft w:val="0"/>
      <w:marRight w:val="0"/>
      <w:marTop w:val="0"/>
      <w:marBottom w:val="0"/>
      <w:divBdr>
        <w:top w:val="none" w:sz="0" w:space="0" w:color="auto"/>
        <w:left w:val="none" w:sz="0" w:space="0" w:color="auto"/>
        <w:bottom w:val="none" w:sz="0" w:space="0" w:color="auto"/>
        <w:right w:val="none" w:sz="0" w:space="0" w:color="auto"/>
      </w:divBdr>
    </w:div>
    <w:div w:id="231893715">
      <w:bodyDiv w:val="1"/>
      <w:marLeft w:val="390"/>
      <w:marRight w:val="390"/>
      <w:marTop w:val="0"/>
      <w:marBottom w:val="0"/>
      <w:divBdr>
        <w:top w:val="none" w:sz="0" w:space="0" w:color="auto"/>
        <w:left w:val="none" w:sz="0" w:space="0" w:color="auto"/>
        <w:bottom w:val="none" w:sz="0" w:space="0" w:color="auto"/>
        <w:right w:val="none" w:sz="0" w:space="0" w:color="auto"/>
      </w:divBdr>
      <w:divsChild>
        <w:div w:id="2113435590">
          <w:marLeft w:val="0"/>
          <w:marRight w:val="0"/>
          <w:marTop w:val="0"/>
          <w:marBottom w:val="0"/>
          <w:divBdr>
            <w:top w:val="none" w:sz="0" w:space="0" w:color="auto"/>
            <w:left w:val="none" w:sz="0" w:space="0" w:color="auto"/>
            <w:bottom w:val="none" w:sz="0" w:space="0" w:color="auto"/>
            <w:right w:val="none" w:sz="0" w:space="0" w:color="auto"/>
          </w:divBdr>
          <w:divsChild>
            <w:div w:id="1265648351">
              <w:marLeft w:val="0"/>
              <w:marRight w:val="0"/>
              <w:marTop w:val="0"/>
              <w:marBottom w:val="0"/>
              <w:divBdr>
                <w:top w:val="none" w:sz="0" w:space="0" w:color="auto"/>
                <w:left w:val="none" w:sz="0" w:space="0" w:color="auto"/>
                <w:bottom w:val="none" w:sz="0" w:space="0" w:color="auto"/>
                <w:right w:val="none" w:sz="0" w:space="0" w:color="auto"/>
              </w:divBdr>
              <w:divsChild>
                <w:div w:id="1784692632">
                  <w:marLeft w:val="-150"/>
                  <w:marRight w:val="-150"/>
                  <w:marTop w:val="0"/>
                  <w:marBottom w:val="0"/>
                  <w:divBdr>
                    <w:top w:val="none" w:sz="0" w:space="0" w:color="auto"/>
                    <w:left w:val="none" w:sz="0" w:space="0" w:color="auto"/>
                    <w:bottom w:val="none" w:sz="0" w:space="0" w:color="auto"/>
                    <w:right w:val="none" w:sz="0" w:space="0" w:color="auto"/>
                  </w:divBdr>
                  <w:divsChild>
                    <w:div w:id="121754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981128">
      <w:bodyDiv w:val="1"/>
      <w:marLeft w:val="0"/>
      <w:marRight w:val="0"/>
      <w:marTop w:val="0"/>
      <w:marBottom w:val="0"/>
      <w:divBdr>
        <w:top w:val="none" w:sz="0" w:space="0" w:color="auto"/>
        <w:left w:val="none" w:sz="0" w:space="0" w:color="auto"/>
        <w:bottom w:val="none" w:sz="0" w:space="0" w:color="auto"/>
        <w:right w:val="none" w:sz="0" w:space="0" w:color="auto"/>
      </w:divBdr>
    </w:div>
    <w:div w:id="415131471">
      <w:bodyDiv w:val="1"/>
      <w:marLeft w:val="0"/>
      <w:marRight w:val="0"/>
      <w:marTop w:val="0"/>
      <w:marBottom w:val="0"/>
      <w:divBdr>
        <w:top w:val="none" w:sz="0" w:space="0" w:color="auto"/>
        <w:left w:val="none" w:sz="0" w:space="0" w:color="auto"/>
        <w:bottom w:val="none" w:sz="0" w:space="0" w:color="auto"/>
        <w:right w:val="none" w:sz="0" w:space="0" w:color="auto"/>
      </w:divBdr>
      <w:divsChild>
        <w:div w:id="195725420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496505916">
      <w:bodyDiv w:val="1"/>
      <w:marLeft w:val="0"/>
      <w:marRight w:val="0"/>
      <w:marTop w:val="0"/>
      <w:marBottom w:val="0"/>
      <w:divBdr>
        <w:top w:val="none" w:sz="0" w:space="0" w:color="auto"/>
        <w:left w:val="none" w:sz="0" w:space="0" w:color="auto"/>
        <w:bottom w:val="none" w:sz="0" w:space="0" w:color="auto"/>
        <w:right w:val="none" w:sz="0" w:space="0" w:color="auto"/>
      </w:divBdr>
    </w:div>
    <w:div w:id="577791056">
      <w:bodyDiv w:val="1"/>
      <w:marLeft w:val="390"/>
      <w:marRight w:val="390"/>
      <w:marTop w:val="0"/>
      <w:marBottom w:val="0"/>
      <w:divBdr>
        <w:top w:val="none" w:sz="0" w:space="0" w:color="auto"/>
        <w:left w:val="none" w:sz="0" w:space="0" w:color="auto"/>
        <w:bottom w:val="none" w:sz="0" w:space="0" w:color="auto"/>
        <w:right w:val="none" w:sz="0" w:space="0" w:color="auto"/>
      </w:divBdr>
      <w:divsChild>
        <w:div w:id="2045203613">
          <w:marLeft w:val="0"/>
          <w:marRight w:val="0"/>
          <w:marTop w:val="0"/>
          <w:marBottom w:val="0"/>
          <w:divBdr>
            <w:top w:val="none" w:sz="0" w:space="0" w:color="auto"/>
            <w:left w:val="none" w:sz="0" w:space="0" w:color="auto"/>
            <w:bottom w:val="none" w:sz="0" w:space="0" w:color="auto"/>
            <w:right w:val="none" w:sz="0" w:space="0" w:color="auto"/>
          </w:divBdr>
          <w:divsChild>
            <w:div w:id="648560097">
              <w:marLeft w:val="0"/>
              <w:marRight w:val="0"/>
              <w:marTop w:val="0"/>
              <w:marBottom w:val="0"/>
              <w:divBdr>
                <w:top w:val="none" w:sz="0" w:space="0" w:color="auto"/>
                <w:left w:val="none" w:sz="0" w:space="0" w:color="auto"/>
                <w:bottom w:val="none" w:sz="0" w:space="0" w:color="auto"/>
                <w:right w:val="none" w:sz="0" w:space="0" w:color="auto"/>
              </w:divBdr>
              <w:divsChild>
                <w:div w:id="321860019">
                  <w:marLeft w:val="-150"/>
                  <w:marRight w:val="-150"/>
                  <w:marTop w:val="0"/>
                  <w:marBottom w:val="0"/>
                  <w:divBdr>
                    <w:top w:val="none" w:sz="0" w:space="0" w:color="auto"/>
                    <w:left w:val="none" w:sz="0" w:space="0" w:color="auto"/>
                    <w:bottom w:val="none" w:sz="0" w:space="0" w:color="auto"/>
                    <w:right w:val="none" w:sz="0" w:space="0" w:color="auto"/>
                  </w:divBdr>
                  <w:divsChild>
                    <w:div w:id="57871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8758194">
      <w:bodyDiv w:val="1"/>
      <w:marLeft w:val="0"/>
      <w:marRight w:val="0"/>
      <w:marTop w:val="0"/>
      <w:marBottom w:val="0"/>
      <w:divBdr>
        <w:top w:val="none" w:sz="0" w:space="0" w:color="auto"/>
        <w:left w:val="none" w:sz="0" w:space="0" w:color="auto"/>
        <w:bottom w:val="none" w:sz="0" w:space="0" w:color="auto"/>
        <w:right w:val="none" w:sz="0" w:space="0" w:color="auto"/>
      </w:divBdr>
    </w:div>
    <w:div w:id="651493409">
      <w:bodyDiv w:val="1"/>
      <w:marLeft w:val="0"/>
      <w:marRight w:val="0"/>
      <w:marTop w:val="0"/>
      <w:marBottom w:val="0"/>
      <w:divBdr>
        <w:top w:val="none" w:sz="0" w:space="0" w:color="auto"/>
        <w:left w:val="none" w:sz="0" w:space="0" w:color="auto"/>
        <w:bottom w:val="none" w:sz="0" w:space="0" w:color="auto"/>
        <w:right w:val="none" w:sz="0" w:space="0" w:color="auto"/>
      </w:divBdr>
      <w:divsChild>
        <w:div w:id="169168679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733508718">
      <w:bodyDiv w:val="1"/>
      <w:marLeft w:val="0"/>
      <w:marRight w:val="0"/>
      <w:marTop w:val="0"/>
      <w:marBottom w:val="0"/>
      <w:divBdr>
        <w:top w:val="none" w:sz="0" w:space="0" w:color="auto"/>
        <w:left w:val="none" w:sz="0" w:space="0" w:color="auto"/>
        <w:bottom w:val="none" w:sz="0" w:space="0" w:color="auto"/>
        <w:right w:val="none" w:sz="0" w:space="0" w:color="auto"/>
      </w:divBdr>
    </w:div>
    <w:div w:id="798302043">
      <w:bodyDiv w:val="1"/>
      <w:marLeft w:val="0"/>
      <w:marRight w:val="0"/>
      <w:marTop w:val="0"/>
      <w:marBottom w:val="0"/>
      <w:divBdr>
        <w:top w:val="none" w:sz="0" w:space="0" w:color="auto"/>
        <w:left w:val="none" w:sz="0" w:space="0" w:color="auto"/>
        <w:bottom w:val="none" w:sz="0" w:space="0" w:color="auto"/>
        <w:right w:val="none" w:sz="0" w:space="0" w:color="auto"/>
      </w:divBdr>
    </w:div>
    <w:div w:id="807162098">
      <w:bodyDiv w:val="1"/>
      <w:marLeft w:val="0"/>
      <w:marRight w:val="0"/>
      <w:marTop w:val="0"/>
      <w:marBottom w:val="0"/>
      <w:divBdr>
        <w:top w:val="none" w:sz="0" w:space="0" w:color="auto"/>
        <w:left w:val="none" w:sz="0" w:space="0" w:color="auto"/>
        <w:bottom w:val="none" w:sz="0" w:space="0" w:color="auto"/>
        <w:right w:val="none" w:sz="0" w:space="0" w:color="auto"/>
      </w:divBdr>
      <w:divsChild>
        <w:div w:id="840630543">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988171168">
      <w:bodyDiv w:val="1"/>
      <w:marLeft w:val="390"/>
      <w:marRight w:val="390"/>
      <w:marTop w:val="0"/>
      <w:marBottom w:val="0"/>
      <w:divBdr>
        <w:top w:val="none" w:sz="0" w:space="0" w:color="auto"/>
        <w:left w:val="none" w:sz="0" w:space="0" w:color="auto"/>
        <w:bottom w:val="none" w:sz="0" w:space="0" w:color="auto"/>
        <w:right w:val="none" w:sz="0" w:space="0" w:color="auto"/>
      </w:divBdr>
      <w:divsChild>
        <w:div w:id="897546994">
          <w:marLeft w:val="0"/>
          <w:marRight w:val="0"/>
          <w:marTop w:val="0"/>
          <w:marBottom w:val="0"/>
          <w:divBdr>
            <w:top w:val="none" w:sz="0" w:space="0" w:color="auto"/>
            <w:left w:val="none" w:sz="0" w:space="0" w:color="auto"/>
            <w:bottom w:val="none" w:sz="0" w:space="0" w:color="auto"/>
            <w:right w:val="none" w:sz="0" w:space="0" w:color="auto"/>
          </w:divBdr>
          <w:divsChild>
            <w:div w:id="1968275443">
              <w:marLeft w:val="0"/>
              <w:marRight w:val="0"/>
              <w:marTop w:val="0"/>
              <w:marBottom w:val="0"/>
              <w:divBdr>
                <w:top w:val="none" w:sz="0" w:space="0" w:color="auto"/>
                <w:left w:val="none" w:sz="0" w:space="0" w:color="auto"/>
                <w:bottom w:val="none" w:sz="0" w:space="0" w:color="auto"/>
                <w:right w:val="none" w:sz="0" w:space="0" w:color="auto"/>
              </w:divBdr>
              <w:divsChild>
                <w:div w:id="1046294828">
                  <w:marLeft w:val="-150"/>
                  <w:marRight w:val="-150"/>
                  <w:marTop w:val="0"/>
                  <w:marBottom w:val="0"/>
                  <w:divBdr>
                    <w:top w:val="none" w:sz="0" w:space="0" w:color="auto"/>
                    <w:left w:val="none" w:sz="0" w:space="0" w:color="auto"/>
                    <w:bottom w:val="none" w:sz="0" w:space="0" w:color="auto"/>
                    <w:right w:val="none" w:sz="0" w:space="0" w:color="auto"/>
                  </w:divBdr>
                  <w:divsChild>
                    <w:div w:id="145702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80">
      <w:bodyDiv w:val="1"/>
      <w:marLeft w:val="0"/>
      <w:marRight w:val="0"/>
      <w:marTop w:val="0"/>
      <w:marBottom w:val="0"/>
      <w:divBdr>
        <w:top w:val="none" w:sz="0" w:space="0" w:color="auto"/>
        <w:left w:val="none" w:sz="0" w:space="0" w:color="auto"/>
        <w:bottom w:val="none" w:sz="0" w:space="0" w:color="auto"/>
        <w:right w:val="none" w:sz="0" w:space="0" w:color="auto"/>
      </w:divBdr>
    </w:div>
    <w:div w:id="1032413527">
      <w:bodyDiv w:val="1"/>
      <w:marLeft w:val="0"/>
      <w:marRight w:val="0"/>
      <w:marTop w:val="0"/>
      <w:marBottom w:val="0"/>
      <w:divBdr>
        <w:top w:val="none" w:sz="0" w:space="0" w:color="auto"/>
        <w:left w:val="none" w:sz="0" w:space="0" w:color="auto"/>
        <w:bottom w:val="none" w:sz="0" w:space="0" w:color="auto"/>
        <w:right w:val="none" w:sz="0" w:space="0" w:color="auto"/>
      </w:divBdr>
    </w:div>
    <w:div w:id="1055618161">
      <w:bodyDiv w:val="1"/>
      <w:marLeft w:val="0"/>
      <w:marRight w:val="0"/>
      <w:marTop w:val="0"/>
      <w:marBottom w:val="0"/>
      <w:divBdr>
        <w:top w:val="none" w:sz="0" w:space="0" w:color="auto"/>
        <w:left w:val="none" w:sz="0" w:space="0" w:color="auto"/>
        <w:bottom w:val="none" w:sz="0" w:space="0" w:color="auto"/>
        <w:right w:val="none" w:sz="0" w:space="0" w:color="auto"/>
      </w:divBdr>
    </w:div>
    <w:div w:id="1081561574">
      <w:bodyDiv w:val="1"/>
      <w:marLeft w:val="0"/>
      <w:marRight w:val="0"/>
      <w:marTop w:val="0"/>
      <w:marBottom w:val="0"/>
      <w:divBdr>
        <w:top w:val="none" w:sz="0" w:space="0" w:color="auto"/>
        <w:left w:val="none" w:sz="0" w:space="0" w:color="auto"/>
        <w:bottom w:val="none" w:sz="0" w:space="0" w:color="auto"/>
        <w:right w:val="none" w:sz="0" w:space="0" w:color="auto"/>
      </w:divBdr>
    </w:div>
    <w:div w:id="1093819873">
      <w:bodyDiv w:val="1"/>
      <w:marLeft w:val="0"/>
      <w:marRight w:val="0"/>
      <w:marTop w:val="0"/>
      <w:marBottom w:val="0"/>
      <w:divBdr>
        <w:top w:val="none" w:sz="0" w:space="0" w:color="auto"/>
        <w:left w:val="none" w:sz="0" w:space="0" w:color="auto"/>
        <w:bottom w:val="none" w:sz="0" w:space="0" w:color="auto"/>
        <w:right w:val="none" w:sz="0" w:space="0" w:color="auto"/>
      </w:divBdr>
    </w:div>
    <w:div w:id="1099566759">
      <w:bodyDiv w:val="1"/>
      <w:marLeft w:val="0"/>
      <w:marRight w:val="0"/>
      <w:marTop w:val="0"/>
      <w:marBottom w:val="0"/>
      <w:divBdr>
        <w:top w:val="none" w:sz="0" w:space="0" w:color="auto"/>
        <w:left w:val="none" w:sz="0" w:space="0" w:color="auto"/>
        <w:bottom w:val="none" w:sz="0" w:space="0" w:color="auto"/>
        <w:right w:val="none" w:sz="0" w:space="0" w:color="auto"/>
      </w:divBdr>
      <w:divsChild>
        <w:div w:id="1940336885">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197540994">
      <w:bodyDiv w:val="1"/>
      <w:marLeft w:val="0"/>
      <w:marRight w:val="0"/>
      <w:marTop w:val="0"/>
      <w:marBottom w:val="0"/>
      <w:divBdr>
        <w:top w:val="none" w:sz="0" w:space="0" w:color="auto"/>
        <w:left w:val="none" w:sz="0" w:space="0" w:color="auto"/>
        <w:bottom w:val="none" w:sz="0" w:space="0" w:color="auto"/>
        <w:right w:val="none" w:sz="0" w:space="0" w:color="auto"/>
      </w:divBdr>
      <w:divsChild>
        <w:div w:id="20129070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207259867">
      <w:bodyDiv w:val="1"/>
      <w:marLeft w:val="0"/>
      <w:marRight w:val="0"/>
      <w:marTop w:val="0"/>
      <w:marBottom w:val="0"/>
      <w:divBdr>
        <w:top w:val="none" w:sz="0" w:space="0" w:color="auto"/>
        <w:left w:val="none" w:sz="0" w:space="0" w:color="auto"/>
        <w:bottom w:val="none" w:sz="0" w:space="0" w:color="auto"/>
        <w:right w:val="none" w:sz="0" w:space="0" w:color="auto"/>
      </w:divBdr>
    </w:div>
    <w:div w:id="1237935129">
      <w:bodyDiv w:val="1"/>
      <w:marLeft w:val="0"/>
      <w:marRight w:val="0"/>
      <w:marTop w:val="0"/>
      <w:marBottom w:val="0"/>
      <w:divBdr>
        <w:top w:val="none" w:sz="0" w:space="0" w:color="auto"/>
        <w:left w:val="none" w:sz="0" w:space="0" w:color="auto"/>
        <w:bottom w:val="none" w:sz="0" w:space="0" w:color="auto"/>
        <w:right w:val="none" w:sz="0" w:space="0" w:color="auto"/>
      </w:divBdr>
      <w:divsChild>
        <w:div w:id="819661883">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270046188">
      <w:bodyDiv w:val="1"/>
      <w:marLeft w:val="0"/>
      <w:marRight w:val="0"/>
      <w:marTop w:val="0"/>
      <w:marBottom w:val="0"/>
      <w:divBdr>
        <w:top w:val="none" w:sz="0" w:space="0" w:color="auto"/>
        <w:left w:val="none" w:sz="0" w:space="0" w:color="auto"/>
        <w:bottom w:val="none" w:sz="0" w:space="0" w:color="auto"/>
        <w:right w:val="none" w:sz="0" w:space="0" w:color="auto"/>
      </w:divBdr>
    </w:div>
    <w:div w:id="1397119663">
      <w:bodyDiv w:val="1"/>
      <w:marLeft w:val="0"/>
      <w:marRight w:val="0"/>
      <w:marTop w:val="0"/>
      <w:marBottom w:val="0"/>
      <w:divBdr>
        <w:top w:val="none" w:sz="0" w:space="0" w:color="auto"/>
        <w:left w:val="none" w:sz="0" w:space="0" w:color="auto"/>
        <w:bottom w:val="none" w:sz="0" w:space="0" w:color="auto"/>
        <w:right w:val="none" w:sz="0" w:space="0" w:color="auto"/>
      </w:divBdr>
      <w:divsChild>
        <w:div w:id="4275757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532112380">
      <w:bodyDiv w:val="1"/>
      <w:marLeft w:val="0"/>
      <w:marRight w:val="0"/>
      <w:marTop w:val="960"/>
      <w:marBottom w:val="0"/>
      <w:divBdr>
        <w:top w:val="none" w:sz="0" w:space="0" w:color="auto"/>
        <w:left w:val="none" w:sz="0" w:space="0" w:color="auto"/>
        <w:bottom w:val="none" w:sz="0" w:space="0" w:color="auto"/>
        <w:right w:val="none" w:sz="0" w:space="0" w:color="auto"/>
      </w:divBdr>
      <w:divsChild>
        <w:div w:id="68618440">
          <w:marLeft w:val="0"/>
          <w:marRight w:val="0"/>
          <w:marTop w:val="0"/>
          <w:marBottom w:val="0"/>
          <w:divBdr>
            <w:top w:val="none" w:sz="0" w:space="0" w:color="auto"/>
            <w:left w:val="none" w:sz="0" w:space="0" w:color="auto"/>
            <w:bottom w:val="none" w:sz="0" w:space="0" w:color="auto"/>
            <w:right w:val="none" w:sz="0" w:space="0" w:color="auto"/>
          </w:divBdr>
          <w:divsChild>
            <w:div w:id="918556810">
              <w:marLeft w:val="0"/>
              <w:marRight w:val="0"/>
              <w:marTop w:val="0"/>
              <w:marBottom w:val="0"/>
              <w:divBdr>
                <w:top w:val="none" w:sz="0" w:space="0" w:color="auto"/>
                <w:left w:val="none" w:sz="0" w:space="0" w:color="auto"/>
                <w:bottom w:val="none" w:sz="0" w:space="0" w:color="auto"/>
                <w:right w:val="none" w:sz="0" w:space="0" w:color="auto"/>
              </w:divBdr>
              <w:divsChild>
                <w:div w:id="1491405346">
                  <w:marLeft w:val="0"/>
                  <w:marRight w:val="0"/>
                  <w:marTop w:val="0"/>
                  <w:marBottom w:val="0"/>
                  <w:divBdr>
                    <w:top w:val="none" w:sz="0" w:space="0" w:color="auto"/>
                    <w:left w:val="none" w:sz="0" w:space="0" w:color="auto"/>
                    <w:bottom w:val="none" w:sz="0" w:space="0" w:color="auto"/>
                    <w:right w:val="none" w:sz="0" w:space="0" w:color="auto"/>
                  </w:divBdr>
                  <w:divsChild>
                    <w:div w:id="1245261843">
                      <w:marLeft w:val="0"/>
                      <w:marRight w:val="0"/>
                      <w:marTop w:val="0"/>
                      <w:marBottom w:val="0"/>
                      <w:divBdr>
                        <w:top w:val="none" w:sz="0" w:space="0" w:color="auto"/>
                        <w:left w:val="none" w:sz="0" w:space="0" w:color="auto"/>
                        <w:bottom w:val="none" w:sz="0" w:space="0" w:color="auto"/>
                        <w:right w:val="none" w:sz="0" w:space="0" w:color="auto"/>
                      </w:divBdr>
                      <w:divsChild>
                        <w:div w:id="1039472246">
                          <w:marLeft w:val="0"/>
                          <w:marRight w:val="0"/>
                          <w:marTop w:val="0"/>
                          <w:marBottom w:val="0"/>
                          <w:divBdr>
                            <w:top w:val="none" w:sz="0" w:space="0" w:color="auto"/>
                            <w:left w:val="none" w:sz="0" w:space="0" w:color="auto"/>
                            <w:bottom w:val="none" w:sz="0" w:space="0" w:color="auto"/>
                            <w:right w:val="none" w:sz="0" w:space="0" w:color="auto"/>
                          </w:divBdr>
                          <w:divsChild>
                            <w:div w:id="1931811550">
                              <w:marLeft w:val="0"/>
                              <w:marRight w:val="0"/>
                              <w:marTop w:val="0"/>
                              <w:marBottom w:val="0"/>
                              <w:divBdr>
                                <w:top w:val="none" w:sz="0" w:space="0" w:color="auto"/>
                                <w:left w:val="none" w:sz="0" w:space="0" w:color="auto"/>
                                <w:bottom w:val="none" w:sz="0" w:space="0" w:color="auto"/>
                                <w:right w:val="none" w:sz="0" w:space="0" w:color="auto"/>
                              </w:divBdr>
                              <w:divsChild>
                                <w:div w:id="228855435">
                                  <w:marLeft w:val="0"/>
                                  <w:marRight w:val="0"/>
                                  <w:marTop w:val="0"/>
                                  <w:marBottom w:val="0"/>
                                  <w:divBdr>
                                    <w:top w:val="none" w:sz="0" w:space="0" w:color="auto"/>
                                    <w:left w:val="none" w:sz="0" w:space="0" w:color="auto"/>
                                    <w:bottom w:val="none" w:sz="0" w:space="0" w:color="auto"/>
                                    <w:right w:val="none" w:sz="0" w:space="0" w:color="auto"/>
                                  </w:divBdr>
                                  <w:divsChild>
                                    <w:div w:id="135463112">
                                      <w:marLeft w:val="0"/>
                                      <w:marRight w:val="0"/>
                                      <w:marTop w:val="0"/>
                                      <w:marBottom w:val="0"/>
                                      <w:divBdr>
                                        <w:top w:val="none" w:sz="0" w:space="0" w:color="auto"/>
                                        <w:left w:val="none" w:sz="0" w:space="0" w:color="auto"/>
                                        <w:bottom w:val="none" w:sz="0" w:space="0" w:color="auto"/>
                                        <w:right w:val="none" w:sz="0" w:space="0" w:color="auto"/>
                                      </w:divBdr>
                                      <w:divsChild>
                                        <w:div w:id="20590992">
                                          <w:marLeft w:val="0"/>
                                          <w:marRight w:val="0"/>
                                          <w:marTop w:val="0"/>
                                          <w:marBottom w:val="0"/>
                                          <w:divBdr>
                                            <w:top w:val="none" w:sz="0" w:space="0" w:color="auto"/>
                                            <w:left w:val="none" w:sz="0" w:space="0" w:color="auto"/>
                                            <w:bottom w:val="none" w:sz="0" w:space="0" w:color="auto"/>
                                            <w:right w:val="none" w:sz="0" w:space="0" w:color="auto"/>
                                          </w:divBdr>
                                          <w:divsChild>
                                            <w:div w:id="103522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236053">
      <w:bodyDiv w:val="1"/>
      <w:marLeft w:val="0"/>
      <w:marRight w:val="0"/>
      <w:marTop w:val="0"/>
      <w:marBottom w:val="0"/>
      <w:divBdr>
        <w:top w:val="none" w:sz="0" w:space="0" w:color="auto"/>
        <w:left w:val="none" w:sz="0" w:space="0" w:color="auto"/>
        <w:bottom w:val="none" w:sz="0" w:space="0" w:color="auto"/>
        <w:right w:val="none" w:sz="0" w:space="0" w:color="auto"/>
      </w:divBdr>
      <w:divsChild>
        <w:div w:id="350955465">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559247450">
      <w:bodyDiv w:val="1"/>
      <w:marLeft w:val="390"/>
      <w:marRight w:val="390"/>
      <w:marTop w:val="0"/>
      <w:marBottom w:val="0"/>
      <w:divBdr>
        <w:top w:val="none" w:sz="0" w:space="0" w:color="auto"/>
        <w:left w:val="none" w:sz="0" w:space="0" w:color="auto"/>
        <w:bottom w:val="none" w:sz="0" w:space="0" w:color="auto"/>
        <w:right w:val="none" w:sz="0" w:space="0" w:color="auto"/>
      </w:divBdr>
      <w:divsChild>
        <w:div w:id="1253782921">
          <w:marLeft w:val="0"/>
          <w:marRight w:val="0"/>
          <w:marTop w:val="0"/>
          <w:marBottom w:val="0"/>
          <w:divBdr>
            <w:top w:val="none" w:sz="0" w:space="0" w:color="auto"/>
            <w:left w:val="none" w:sz="0" w:space="0" w:color="auto"/>
            <w:bottom w:val="none" w:sz="0" w:space="0" w:color="auto"/>
            <w:right w:val="none" w:sz="0" w:space="0" w:color="auto"/>
          </w:divBdr>
          <w:divsChild>
            <w:div w:id="73402170">
              <w:marLeft w:val="0"/>
              <w:marRight w:val="0"/>
              <w:marTop w:val="0"/>
              <w:marBottom w:val="0"/>
              <w:divBdr>
                <w:top w:val="none" w:sz="0" w:space="0" w:color="auto"/>
                <w:left w:val="none" w:sz="0" w:space="0" w:color="auto"/>
                <w:bottom w:val="none" w:sz="0" w:space="0" w:color="auto"/>
                <w:right w:val="none" w:sz="0" w:space="0" w:color="auto"/>
              </w:divBdr>
              <w:divsChild>
                <w:div w:id="87191753">
                  <w:marLeft w:val="-150"/>
                  <w:marRight w:val="-150"/>
                  <w:marTop w:val="0"/>
                  <w:marBottom w:val="0"/>
                  <w:divBdr>
                    <w:top w:val="none" w:sz="0" w:space="0" w:color="auto"/>
                    <w:left w:val="none" w:sz="0" w:space="0" w:color="auto"/>
                    <w:bottom w:val="none" w:sz="0" w:space="0" w:color="auto"/>
                    <w:right w:val="none" w:sz="0" w:space="0" w:color="auto"/>
                  </w:divBdr>
                  <w:divsChild>
                    <w:div w:id="102632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091013">
      <w:bodyDiv w:val="1"/>
      <w:marLeft w:val="390"/>
      <w:marRight w:val="390"/>
      <w:marTop w:val="0"/>
      <w:marBottom w:val="0"/>
      <w:divBdr>
        <w:top w:val="none" w:sz="0" w:space="0" w:color="auto"/>
        <w:left w:val="none" w:sz="0" w:space="0" w:color="auto"/>
        <w:bottom w:val="none" w:sz="0" w:space="0" w:color="auto"/>
        <w:right w:val="none" w:sz="0" w:space="0" w:color="auto"/>
      </w:divBdr>
      <w:divsChild>
        <w:div w:id="1955595073">
          <w:marLeft w:val="0"/>
          <w:marRight w:val="0"/>
          <w:marTop w:val="0"/>
          <w:marBottom w:val="0"/>
          <w:divBdr>
            <w:top w:val="none" w:sz="0" w:space="0" w:color="auto"/>
            <w:left w:val="none" w:sz="0" w:space="0" w:color="auto"/>
            <w:bottom w:val="none" w:sz="0" w:space="0" w:color="auto"/>
            <w:right w:val="none" w:sz="0" w:space="0" w:color="auto"/>
          </w:divBdr>
          <w:divsChild>
            <w:div w:id="151874677">
              <w:marLeft w:val="0"/>
              <w:marRight w:val="0"/>
              <w:marTop w:val="0"/>
              <w:marBottom w:val="0"/>
              <w:divBdr>
                <w:top w:val="none" w:sz="0" w:space="0" w:color="auto"/>
                <w:left w:val="none" w:sz="0" w:space="0" w:color="auto"/>
                <w:bottom w:val="none" w:sz="0" w:space="0" w:color="auto"/>
                <w:right w:val="none" w:sz="0" w:space="0" w:color="auto"/>
              </w:divBdr>
              <w:divsChild>
                <w:div w:id="1741177537">
                  <w:marLeft w:val="-150"/>
                  <w:marRight w:val="-150"/>
                  <w:marTop w:val="0"/>
                  <w:marBottom w:val="0"/>
                  <w:divBdr>
                    <w:top w:val="none" w:sz="0" w:space="0" w:color="auto"/>
                    <w:left w:val="none" w:sz="0" w:space="0" w:color="auto"/>
                    <w:bottom w:val="none" w:sz="0" w:space="0" w:color="auto"/>
                    <w:right w:val="none" w:sz="0" w:space="0" w:color="auto"/>
                  </w:divBdr>
                  <w:divsChild>
                    <w:div w:id="143833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985385">
      <w:bodyDiv w:val="1"/>
      <w:marLeft w:val="0"/>
      <w:marRight w:val="0"/>
      <w:marTop w:val="0"/>
      <w:marBottom w:val="0"/>
      <w:divBdr>
        <w:top w:val="none" w:sz="0" w:space="0" w:color="auto"/>
        <w:left w:val="none" w:sz="0" w:space="0" w:color="auto"/>
        <w:bottom w:val="none" w:sz="0" w:space="0" w:color="auto"/>
        <w:right w:val="none" w:sz="0" w:space="0" w:color="auto"/>
      </w:divBdr>
    </w:div>
    <w:div w:id="1881739716">
      <w:bodyDiv w:val="1"/>
      <w:marLeft w:val="0"/>
      <w:marRight w:val="0"/>
      <w:marTop w:val="0"/>
      <w:marBottom w:val="0"/>
      <w:divBdr>
        <w:top w:val="none" w:sz="0" w:space="0" w:color="auto"/>
        <w:left w:val="none" w:sz="0" w:space="0" w:color="auto"/>
        <w:bottom w:val="none" w:sz="0" w:space="0" w:color="auto"/>
        <w:right w:val="none" w:sz="0" w:space="0" w:color="auto"/>
      </w:divBdr>
    </w:div>
    <w:div w:id="1985112232">
      <w:bodyDiv w:val="1"/>
      <w:marLeft w:val="390"/>
      <w:marRight w:val="390"/>
      <w:marTop w:val="0"/>
      <w:marBottom w:val="0"/>
      <w:divBdr>
        <w:top w:val="none" w:sz="0" w:space="0" w:color="auto"/>
        <w:left w:val="none" w:sz="0" w:space="0" w:color="auto"/>
        <w:bottom w:val="none" w:sz="0" w:space="0" w:color="auto"/>
        <w:right w:val="none" w:sz="0" w:space="0" w:color="auto"/>
      </w:divBdr>
      <w:divsChild>
        <w:div w:id="696466593">
          <w:marLeft w:val="0"/>
          <w:marRight w:val="0"/>
          <w:marTop w:val="0"/>
          <w:marBottom w:val="0"/>
          <w:divBdr>
            <w:top w:val="none" w:sz="0" w:space="0" w:color="auto"/>
            <w:left w:val="none" w:sz="0" w:space="0" w:color="auto"/>
            <w:bottom w:val="none" w:sz="0" w:space="0" w:color="auto"/>
            <w:right w:val="none" w:sz="0" w:space="0" w:color="auto"/>
          </w:divBdr>
          <w:divsChild>
            <w:div w:id="1074163267">
              <w:marLeft w:val="0"/>
              <w:marRight w:val="0"/>
              <w:marTop w:val="0"/>
              <w:marBottom w:val="0"/>
              <w:divBdr>
                <w:top w:val="none" w:sz="0" w:space="0" w:color="auto"/>
                <w:left w:val="none" w:sz="0" w:space="0" w:color="auto"/>
                <w:bottom w:val="none" w:sz="0" w:space="0" w:color="auto"/>
                <w:right w:val="none" w:sz="0" w:space="0" w:color="auto"/>
              </w:divBdr>
              <w:divsChild>
                <w:div w:id="172112875">
                  <w:marLeft w:val="-150"/>
                  <w:marRight w:val="-150"/>
                  <w:marTop w:val="0"/>
                  <w:marBottom w:val="0"/>
                  <w:divBdr>
                    <w:top w:val="none" w:sz="0" w:space="0" w:color="auto"/>
                    <w:left w:val="none" w:sz="0" w:space="0" w:color="auto"/>
                    <w:bottom w:val="none" w:sz="0" w:space="0" w:color="auto"/>
                    <w:right w:val="none" w:sz="0" w:space="0" w:color="auto"/>
                  </w:divBdr>
                  <w:divsChild>
                    <w:div w:id="31969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928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dka%20Bezd&#283;kovsk&#225;\data\pr&#225;ce\helpdesk\textov&#225;%20&#269;&#225;st\vzory\predkladaci_zpra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4CEC8-AADF-4290-8E70-0376DAE5E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predkladaci_zprava</Template>
  <TotalTime>0</TotalTime>
  <Pages>2</Pages>
  <Words>714</Words>
  <Characters>4233</Characters>
  <Application>Microsoft Office Word</Application>
  <DocSecurity>0</DocSecurity>
  <Lines>35</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"[Klepněte sem a vložte římské číslo dle čísla na obálce</vt:lpstr>
      <vt:lpstr>"[Klepněte sem a vložte římské číslo dle čísla na obálce</vt:lpstr>
    </vt:vector>
  </TitlesOfParts>
  <Company>uvcr</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"[Klepněte sem a vložte římské číslo dle čísla na obálce</dc:title>
  <dc:creator>Chudomelová Zuzana</dc:creator>
  <cp:lastModifiedBy>Chudomelová Zuzana</cp:lastModifiedBy>
  <cp:revision>3</cp:revision>
  <cp:lastPrinted>2020-11-16T11:53:00Z</cp:lastPrinted>
  <dcterms:created xsi:type="dcterms:W3CDTF">2020-11-16T08:35:00Z</dcterms:created>
  <dcterms:modified xsi:type="dcterms:W3CDTF">2020-11-16T11:53:00Z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7841/2019-NBÚ/80</vt:lpwstr>
  </property>
  <property fmtid="{D5CDD505-2E9C-101B-9397-08002B2CF9AE}" pid="5" name="CJ_PostaDoruc_PisemnostOdpovedNa_Pisemnost">
    <vt:lpwstr>XXX-XXX-XXX</vt:lpwstr>
  </property>
  <property fmtid="{D5CDD505-2E9C-101B-9397-08002B2CF9AE}" pid="6" name="CJ_Spis_Pisemnost">
    <vt:lpwstr>CJ/SPIS/ROK</vt:lpwstr>
  </property>
  <property fmtid="{D5CDD505-2E9C-101B-9397-08002B2CF9AE}" pid="7" name="Contact_PostaOdes_All">
    <vt:lpwstr>ROZDĚLOVNÍK...</vt:lpwstr>
  </property>
  <property fmtid="{D5CDD505-2E9C-101B-9397-08002B2CF9AE}" pid="8" name="DatumNaroz">
    <vt:lpwstr/>
  </property>
  <property fmtid="{D5CDD505-2E9C-101B-9397-08002B2CF9AE}" pid="9" name="DatumPlatnosti_PisemnostTypZpristupneniInformaciZOSZ_Pisemnost">
    <vt:lpwstr>ZOSZ_DatumPlatnosti</vt:lpwstr>
  </property>
  <property fmtid="{D5CDD505-2E9C-101B-9397-08002B2CF9AE}" pid="10" name="DatumPoriz_Pisemnost">
    <vt:lpwstr>4.10.2019</vt:lpwstr>
  </property>
  <property fmtid="{D5CDD505-2E9C-101B-9397-08002B2CF9AE}" pid="11" name="DisplayName_CJCol">
    <vt:lpwstr>7841/2019-NBÚ/80</vt:lpwstr>
  </property>
  <property fmtid="{D5CDD505-2E9C-101B-9397-08002B2CF9AE}" pid="12" name="DisplayName_SlozkaStupenUtajeniCollection_Slozka_Pisemnost">
    <vt:lpwstr/>
  </property>
  <property fmtid="{D5CDD505-2E9C-101B-9397-08002B2CF9AE}" pid="13" name="DisplayName_SpisovyUzel_PoziceZodpo_Pisemnost">
    <vt:lpwstr>OPL - Odbor právní a legislativní</vt:lpwstr>
  </property>
  <property fmtid="{D5CDD505-2E9C-101B-9397-08002B2CF9AE}" pid="14" name="DisplayName_UserPoriz_Pisemnost">
    <vt:lpwstr>Jana Sloviková</vt:lpwstr>
  </property>
  <property fmtid="{D5CDD505-2E9C-101B-9397-08002B2CF9AE}" pid="15" name="DuvodZmeny_SlozkaStupenUtajeniCollection_Slozka_Pisemnost">
    <vt:lpwstr/>
  </property>
  <property fmtid="{D5CDD505-2E9C-101B-9397-08002B2CF9AE}" pid="16" name="EC_Pisemnost">
    <vt:lpwstr>130927/19</vt:lpwstr>
  </property>
  <property fmtid="{D5CDD505-2E9C-101B-9397-08002B2CF9AE}" pid="17" name="Key_BarCode_Pisemnost">
    <vt:lpwstr>*B003219582*</vt:lpwstr>
  </property>
  <property fmtid="{D5CDD505-2E9C-101B-9397-08002B2CF9AE}" pid="18" name="KRukam">
    <vt:lpwstr>{KRukam}</vt:lpwstr>
  </property>
  <property fmtid="{D5CDD505-2E9C-101B-9397-08002B2CF9AE}" pid="19" name="NameAddress_Contact_SpisovyUzel_PoziceZodpo_Pisemnost">
    <vt:lpwstr>ADRESÁT SU...</vt:lpwstr>
  </property>
  <property fmtid="{D5CDD505-2E9C-101B-9397-08002B2CF9AE}" pid="20" name="NamePostalAddress_Contact_PostaOdes">
    <vt:lpwstr>{NameAddress_Contact_PostaOdes}_x000d_
{PostalAddress_Contact_PostaOdes}</vt:lpwstr>
  </property>
  <property fmtid="{D5CDD505-2E9C-101B-9397-08002B2CF9AE}" pid="21" name="Odkaz">
    <vt:lpwstr>ODKAZ</vt:lpwstr>
  </property>
  <property fmtid="{D5CDD505-2E9C-101B-9397-08002B2CF9AE}" pid="22" name="Password_PisemnostTypZpristupneniInformaciZOSZ_Pisemnost">
    <vt:lpwstr>ZOSZ_Password</vt:lpwstr>
  </property>
  <property fmtid="{D5CDD505-2E9C-101B-9397-08002B2CF9AE}" pid="23" name="PocetListuDokumentu_Pisemnost">
    <vt:lpwstr>0</vt:lpwstr>
  </property>
  <property fmtid="{D5CDD505-2E9C-101B-9397-08002B2CF9AE}" pid="24" name="PocetListu_Pisemnost">
    <vt:lpwstr>0+18el.s.</vt:lpwstr>
  </property>
  <property fmtid="{D5CDD505-2E9C-101B-9397-08002B2CF9AE}" pid="25" name="PocetPriloh_Pisemnost">
    <vt:lpwstr>18</vt:lpwstr>
  </property>
  <property fmtid="{D5CDD505-2E9C-101B-9397-08002B2CF9AE}" pid="26" name="Podpis">
    <vt:lpwstr/>
  </property>
  <property fmtid="{D5CDD505-2E9C-101B-9397-08002B2CF9AE}" pid="27" name="PostalAddress_Contact_SpisovyUzel_PoziceZodpo_Pisemnost">
    <vt:lpwstr>ADRESA SU...</vt:lpwstr>
  </property>
  <property fmtid="{D5CDD505-2E9C-101B-9397-08002B2CF9AE}" pid="28" name="RC">
    <vt:lpwstr/>
  </property>
  <property fmtid="{D5CDD505-2E9C-101B-9397-08002B2CF9AE}" pid="29" name="SkartacniZnakLhuta_PisemnostZnak">
    <vt:lpwstr>?/?</vt:lpwstr>
  </property>
  <property fmtid="{D5CDD505-2E9C-101B-9397-08002B2CF9AE}" pid="30" name="SmlouvaCislo">
    <vt:lpwstr>ČÍSLO SMLOUVY</vt:lpwstr>
  </property>
  <property fmtid="{D5CDD505-2E9C-101B-9397-08002B2CF9AE}" pid="31" name="SZ_Spis_Pisemnost">
    <vt:lpwstr>ZZZ-ZZZ-ZZZ</vt:lpwstr>
  </property>
  <property fmtid="{D5CDD505-2E9C-101B-9397-08002B2CF9AE}" pid="32" name="TEST">
    <vt:lpwstr>testovací pole</vt:lpwstr>
  </property>
  <property fmtid="{D5CDD505-2E9C-101B-9397-08002B2CF9AE}" pid="33" name="TypPrilohy_Pisemnost">
    <vt:lpwstr>18el.s.</vt:lpwstr>
  </property>
  <property fmtid="{D5CDD505-2E9C-101B-9397-08002B2CF9AE}" pid="34" name="UserName_PisemnostTypZpristupneniInformaciZOSZ_Pisemnost">
    <vt:lpwstr>ZOSZ_UserName</vt:lpwstr>
  </property>
  <property fmtid="{D5CDD505-2E9C-101B-9397-08002B2CF9AE}" pid="35" name="Vec_Pisemnost">
    <vt:lpwstr>Návrh zákona, kterým se mění zákon č. 325/1999 Sb., o azylu, ve znění pozdějších předpisů, zákon č. 326/1999 Sb., o pobytu cizinců na území ČR a o změně některých zákonů ve znění pozdějších předpisů a další související zákony </vt:lpwstr>
  </property>
  <property fmtid="{D5CDD505-2E9C-101B-9397-08002B2CF9AE}" pid="36" name="Zkratka_SpisovyUzel_PoziceZodpo_Pisemnost">
    <vt:lpwstr>80</vt:lpwstr>
  </property>
</Properties>
</file>