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18" w14:textId="387904FB" w:rsidR="008C49C0" w:rsidRDefault="00891FCD" w:rsidP="00C93499">
      <w:pPr>
        <w:ind w:firstLine="0"/>
        <w:jc w:val="center"/>
        <w:rPr>
          <w:b/>
          <w:smallCaps/>
        </w:rPr>
      </w:pPr>
      <w:r>
        <w:t>Návrh</w:t>
      </w:r>
    </w:p>
    <w:p w14:paraId="00000019" w14:textId="77777777" w:rsidR="008C49C0" w:rsidRDefault="008C49C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firstLine="0"/>
        <w:jc w:val="center"/>
        <w:rPr>
          <w:b/>
          <w:smallCaps/>
        </w:rPr>
      </w:pPr>
    </w:p>
    <w:p w14:paraId="0000001A" w14:textId="77777777" w:rsidR="008C49C0" w:rsidRDefault="00891FCD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firstLine="0"/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t>ZÁKON</w:t>
      </w:r>
    </w:p>
    <w:p w14:paraId="0000001B" w14:textId="77777777" w:rsidR="008C49C0" w:rsidRDefault="00891FCD">
      <w:pPr>
        <w:pBdr>
          <w:top w:val="nil"/>
          <w:left w:val="nil"/>
          <w:bottom w:val="nil"/>
          <w:right w:val="nil"/>
          <w:between w:val="nil"/>
        </w:pBdr>
        <w:spacing w:after="0"/>
        <w:ind w:firstLine="0"/>
        <w:jc w:val="center"/>
        <w:rPr>
          <w:b/>
          <w:color w:val="000000"/>
        </w:rPr>
      </w:pPr>
      <w:r>
        <w:rPr>
          <w:b/>
          <w:color w:val="000000"/>
        </w:rPr>
        <w:t>ze dne .......... 2</w:t>
      </w:r>
      <w:r>
        <w:rPr>
          <w:b/>
        </w:rPr>
        <w:t>020</w:t>
      </w:r>
      <w:r>
        <w:rPr>
          <w:b/>
          <w:color w:val="000000"/>
        </w:rPr>
        <w:t>,</w:t>
      </w:r>
    </w:p>
    <w:p w14:paraId="0000001C" w14:textId="77777777" w:rsidR="008C49C0" w:rsidRDefault="00891FCD">
      <w:pPr>
        <w:pBdr>
          <w:top w:val="nil"/>
          <w:left w:val="nil"/>
          <w:bottom w:val="nil"/>
          <w:right w:val="nil"/>
          <w:between w:val="nil"/>
        </w:pBdr>
        <w:spacing w:after="0"/>
        <w:ind w:firstLine="0"/>
        <w:jc w:val="center"/>
        <w:rPr>
          <w:b/>
          <w:color w:val="000000"/>
        </w:rPr>
      </w:pPr>
      <w:r>
        <w:rPr>
          <w:b/>
          <w:color w:val="000000"/>
        </w:rPr>
        <w:t xml:space="preserve">kterým se mění zákon č. </w:t>
      </w:r>
      <w:r>
        <w:rPr>
          <w:b/>
        </w:rPr>
        <w:t>2</w:t>
      </w:r>
      <w:r>
        <w:rPr>
          <w:b/>
          <w:color w:val="000000"/>
        </w:rPr>
        <w:t>/</w:t>
      </w:r>
      <w:r>
        <w:rPr>
          <w:b/>
        </w:rPr>
        <w:t>1969</w:t>
      </w:r>
      <w:r>
        <w:rPr>
          <w:b/>
          <w:color w:val="000000"/>
        </w:rPr>
        <w:t xml:space="preserve"> Sb., o</w:t>
      </w:r>
      <w:r>
        <w:rPr>
          <w:b/>
        </w:rPr>
        <w:t xml:space="preserve"> zřízení ministerstev a jiných ústředních orgánů státní správy České republiky</w:t>
      </w:r>
      <w:r>
        <w:rPr>
          <w:b/>
          <w:color w:val="000000"/>
        </w:rPr>
        <w:t>, ve znění pozdějších předpisů</w:t>
      </w:r>
    </w:p>
    <w:p w14:paraId="0000001D" w14:textId="77777777" w:rsidR="008C49C0" w:rsidRDefault="008C49C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firstLine="708"/>
        <w:rPr>
          <w:color w:val="000000"/>
        </w:rPr>
      </w:pPr>
    </w:p>
    <w:p w14:paraId="0000001E" w14:textId="77777777" w:rsidR="008C49C0" w:rsidRDefault="008C49C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firstLine="708"/>
        <w:rPr>
          <w:color w:val="000000"/>
        </w:rPr>
      </w:pPr>
    </w:p>
    <w:p w14:paraId="0000001F" w14:textId="77777777" w:rsidR="008C49C0" w:rsidRDefault="00891FCD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firstLine="708"/>
        <w:rPr>
          <w:color w:val="000000"/>
        </w:rPr>
      </w:pPr>
      <w:r>
        <w:rPr>
          <w:color w:val="000000"/>
        </w:rPr>
        <w:t>Parlament se usnesl na tomto zákoně České republiky:</w:t>
      </w:r>
    </w:p>
    <w:p w14:paraId="00000020" w14:textId="77777777" w:rsidR="008C49C0" w:rsidRDefault="008C49C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firstLine="0"/>
        <w:rPr>
          <w:color w:val="000000"/>
        </w:rPr>
      </w:pPr>
    </w:p>
    <w:p w14:paraId="00000021" w14:textId="77777777" w:rsidR="008C49C0" w:rsidRDefault="00891FCD">
      <w:pPr>
        <w:pBdr>
          <w:top w:val="nil"/>
          <w:left w:val="nil"/>
          <w:bottom w:val="nil"/>
          <w:right w:val="nil"/>
          <w:between w:val="nil"/>
        </w:pBdr>
        <w:spacing w:before="240" w:after="0"/>
        <w:ind w:firstLine="0"/>
        <w:jc w:val="center"/>
      </w:pPr>
      <w:r>
        <w:rPr>
          <w:color w:val="000000"/>
        </w:rPr>
        <w:t xml:space="preserve">Čl. I </w:t>
      </w:r>
    </w:p>
    <w:p w14:paraId="00000022" w14:textId="77777777" w:rsidR="008C49C0" w:rsidRDefault="00891FCD">
      <w:pPr>
        <w:pBdr>
          <w:top w:val="nil"/>
          <w:left w:val="nil"/>
          <w:bottom w:val="nil"/>
          <w:right w:val="nil"/>
          <w:between w:val="nil"/>
        </w:pBdr>
        <w:spacing w:before="240" w:after="0"/>
        <w:ind w:firstLine="0"/>
      </w:pPr>
      <w:r>
        <w:t>V zákoně č. 2/1969 Sb., o zřízení ministerstev a jiných ústředních orgánů státní správy České republiky, ve znění zákona č. 34/1970 Sb., zákona č. 147/1970 Sb., zákona č. 125/1973 Sb., zákona č. 25/1976 Sb., zákona č. 118/1983 Sb., zákona č. 60/1988 Sb., z</w:t>
      </w:r>
      <w:r>
        <w:t>ákona č. 37/1989 Sb., zákona č. 173/1989 Sb., zákonného opatření č. 9/1990 Sb., zákona č. 93/1990 Sb., zákona č. 126/1990 Sb., zákona č. 203/1990 Sb., zákona č. 288/1990 Sb., zákonného opatření č. 305/1990 Sb., zákona č. 575/1990 Sb., zákona č. 173/1991 Sb</w:t>
      </w:r>
      <w:r>
        <w:t>., zákona č. 283/1991 Sb., zákona č. 19/1992 Sb., zákona č. 23/1992 Sb., zákona č. 103/1992 Sb., zákona č. 167/1992 Sb., zákona č. 239/1992 Sb., zákonného opatření č. 350/1992 Sb., zákona č. 358/1992 Sb., zákona č. 359/1992 Sb., zákona č. 474/1992 Sb., zák</w:t>
      </w:r>
      <w:r>
        <w:t>ona č. 548/1992 Sb., zákona č. 21/1993 Sb., zákona č. 166/1993 Sb., zákona č. 285/1993 Sb., zákona č. 47/1994 Sb., zákona č. 89/1995 Sb., zákona č. 289/1995 Sb., zákona č. 135/1996 Sb., zákona č. 272/1996 Sb., zákona č. 152/1997 Sb., zákona č. 15/1998 Sb.,</w:t>
      </w:r>
      <w:r>
        <w:t xml:space="preserve"> zákona č. 148/1998 Sb., zákona č. 63/2000 Sb., zákona č. 130/2000 Sb., zákona č. 154/2000 Sb., zákona č. 204/2000 Sb., zákona č. 239/2000 Sb., zákona č. 257/2000 Sb., zákona č. 258/2000 Sb., zákona č. 365/2000 Sb., zákona č. 458/2000 Sb., zákona č. 256/20</w:t>
      </w:r>
      <w:r>
        <w:t>01 Sb., zákona č. 13/2002 Sb., zákona č. 47/2002 Sb., zákona č. 219/2002 Sb., zákona č. 517/2002 Sb., zákona č. 62/2003 Sb., zákona č. 162/2003 Sb., zákona č. 18/2004 Sb., zákona č. 362/2004 Sb., zákona č. 421/2004 Sb., zákona č. 499/2004 Sb., zákona č. 50</w:t>
      </w:r>
      <w:r>
        <w:t>1/2004 Sb., zákona č. 587/2004 Sb., zákona č. 95/2005 Sb., zákona č. 127/2005 Sb., zákona č. 290/2005 Sb., zákona č. 57/2006 Sb., zákona č. 70/2006 Sb., zákona č. 71/2006 Sb., zákona č. 179/2006 Sb., zákona č. 186/2006 Sb., zákona č. 189/2006 Sb., zákona č</w:t>
      </w:r>
      <w:r>
        <w:t xml:space="preserve">. 225/2006 Sb., zákona č. 267/2006 Sb., zákona č. 110/2007 Sb., zákona č. 274/2008 Sb., zákona č. 297/2008 Sb., zákona č. 304/2008 Sb., zákona č. 295/2009 Sb., zákona č. 375/2011 Sb., zákona č. 458/2011 Sb., zákona č. 275/2012 Sb., zákona č. 399/2012 Sb., </w:t>
      </w:r>
      <w:r>
        <w:t>zákona č. 64/2014 Sb., zákona č. 250/2014 Sb., zákona č. 205/2015 Sb., zákona č. 377/2015 Sb., zákona č. 188/2016 Sb., zákona č. 298/2016 Sb., zákona č. 302/2016 Sb., zákona č. 319/2016 Sb., zákona č. 14/2017 Sb., zákona č. 24/2017 Sb., zákona č. 59/2017 S</w:t>
      </w:r>
      <w:r>
        <w:t>b., zákona č. 205/2017 Sb., zákona č. 246/2017 Sb. a zákona č. 178/2019 Sb. se za § 28a vkládá § 28b, který včetně nadpisu zní:</w:t>
      </w:r>
    </w:p>
    <w:p w14:paraId="00000023" w14:textId="77777777" w:rsidR="008C49C0" w:rsidRDefault="008C49C0">
      <w:pPr>
        <w:pBdr>
          <w:top w:val="nil"/>
          <w:left w:val="nil"/>
          <w:bottom w:val="nil"/>
          <w:right w:val="nil"/>
          <w:between w:val="nil"/>
        </w:pBdr>
        <w:spacing w:before="240" w:after="0"/>
      </w:pPr>
    </w:p>
    <w:p w14:paraId="00000024" w14:textId="77777777" w:rsidR="008C49C0" w:rsidRDefault="00891FCD">
      <w:pPr>
        <w:pBdr>
          <w:top w:val="nil"/>
          <w:left w:val="nil"/>
          <w:bottom w:val="nil"/>
          <w:right w:val="nil"/>
          <w:between w:val="nil"/>
        </w:pBdr>
        <w:spacing w:before="240" w:after="0"/>
        <w:ind w:firstLine="0"/>
        <w:jc w:val="center"/>
      </w:pPr>
      <w:r>
        <w:rPr>
          <w:color w:val="000000"/>
        </w:rPr>
        <w:t xml:space="preserve">„§ </w:t>
      </w:r>
      <w:r>
        <w:t>28b</w:t>
      </w:r>
    </w:p>
    <w:p w14:paraId="00000025" w14:textId="77777777" w:rsidR="008C49C0" w:rsidRDefault="00891FCD">
      <w:pPr>
        <w:pBdr>
          <w:top w:val="nil"/>
          <w:left w:val="nil"/>
          <w:bottom w:val="nil"/>
          <w:right w:val="nil"/>
          <w:between w:val="nil"/>
        </w:pBdr>
        <w:spacing w:before="240" w:after="0"/>
        <w:ind w:firstLine="0"/>
        <w:jc w:val="center"/>
      </w:pPr>
      <w:r>
        <w:t xml:space="preserve">Zápis </w:t>
      </w:r>
      <w:r>
        <w:t>z jednání vlády</w:t>
      </w:r>
    </w:p>
    <w:p w14:paraId="00000026" w14:textId="77777777" w:rsidR="008C49C0" w:rsidRDefault="00891FC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 Z jednání schůze vlády je pořizován zápis. V zápisu se uvede zejména program schůze vlády, počet </w:t>
      </w:r>
      <w:r>
        <w:t xml:space="preserve">přítomných členů vlády, název projednaného bodu, označení předkladatele, stručné shrnutí průběhu rozpravy, závěry jednání, výsledek hlasování, případně závěr, že vláda </w:t>
      </w:r>
      <w:r>
        <w:lastRenderedPageBreak/>
        <w:t>k danému bodu nepřijme usnesení.</w:t>
      </w:r>
    </w:p>
    <w:p w14:paraId="00000027" w14:textId="77777777" w:rsidR="008C49C0" w:rsidRDefault="00891FC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 Součástí zápisu o výsledku hlasování je údaj o tom, kteří členové vlády hlasovali pro návrh, kteří proti návrhu a kteří se zdrželi hlasování.</w:t>
      </w:r>
    </w:p>
    <w:p w14:paraId="00000028" w14:textId="77777777" w:rsidR="008C49C0" w:rsidRDefault="00891FC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 Zápis </w:t>
      </w:r>
      <w:r>
        <w:t xml:space="preserve">podepisuje předsedající spolu s </w:t>
      </w:r>
      <w:r>
        <w:t xml:space="preserve">určeným </w:t>
      </w:r>
      <w:r>
        <w:t xml:space="preserve">členem vlády. O námitkách člena vlády proti zápisu rozhodne vláda </w:t>
      </w:r>
      <w:r>
        <w:t>na nejbližší schůz</w:t>
      </w:r>
      <w:r>
        <w:t>i</w:t>
      </w:r>
      <w:r>
        <w:t xml:space="preserve">. </w:t>
      </w:r>
    </w:p>
    <w:p w14:paraId="00000029" w14:textId="77777777" w:rsidR="008C49C0" w:rsidRDefault="00891FC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 Zápis ze schůze vlády </w:t>
      </w:r>
      <w:r>
        <w:t>je</w:t>
      </w:r>
      <w:r>
        <w:t xml:space="preserve"> uložen u Úřadu vlády</w:t>
      </w:r>
      <w:r>
        <w:t xml:space="preserve"> k nahlédnutí</w:t>
      </w:r>
      <w:r>
        <w:t xml:space="preserve">. Úřad vlády </w:t>
      </w:r>
      <w:r>
        <w:t>z</w:t>
      </w:r>
      <w:r>
        <w:t xml:space="preserve">ápis zveřejní způsobem umožňujícím dálkový přístup do </w:t>
      </w:r>
      <w:r>
        <w:t xml:space="preserve">7 </w:t>
      </w:r>
      <w:r>
        <w:t>dnů ode dne konání příslušné schůze vlády.</w:t>
      </w:r>
      <w:r>
        <w:t xml:space="preserve"> Informace, jejichž zveřejnění zakazuje zákon, jsou z nahlížení</w:t>
      </w:r>
      <w:r>
        <w:t xml:space="preserve"> vyloučeny a nezveřejňují se.”.</w:t>
      </w:r>
    </w:p>
    <w:p w14:paraId="0000002A" w14:textId="77777777" w:rsidR="008C49C0" w:rsidRDefault="00891FCD">
      <w:pPr>
        <w:pBdr>
          <w:top w:val="nil"/>
          <w:left w:val="nil"/>
          <w:bottom w:val="nil"/>
          <w:right w:val="nil"/>
          <w:between w:val="nil"/>
        </w:pBdr>
        <w:spacing w:before="240" w:after="0"/>
        <w:ind w:firstLine="0"/>
        <w:jc w:val="center"/>
        <w:rPr>
          <w:color w:val="000000"/>
        </w:rPr>
      </w:pPr>
      <w:r>
        <w:rPr>
          <w:color w:val="000000"/>
        </w:rPr>
        <w:t>Čl. II</w:t>
      </w:r>
    </w:p>
    <w:p w14:paraId="0000002B" w14:textId="77777777" w:rsidR="008C49C0" w:rsidRDefault="00891FCD">
      <w:pPr>
        <w:pBdr>
          <w:top w:val="nil"/>
          <w:left w:val="nil"/>
          <w:bottom w:val="nil"/>
          <w:right w:val="nil"/>
          <w:between w:val="nil"/>
        </w:pBdr>
        <w:spacing w:before="240" w:after="0"/>
        <w:ind w:firstLine="0"/>
        <w:jc w:val="center"/>
        <w:rPr>
          <w:b/>
        </w:rPr>
      </w:pPr>
      <w:r>
        <w:rPr>
          <w:b/>
        </w:rPr>
        <w:t>Účinnost</w:t>
      </w:r>
    </w:p>
    <w:p w14:paraId="0000002C" w14:textId="77777777" w:rsidR="008C49C0" w:rsidRDefault="00891FCD">
      <w:pPr>
        <w:pBdr>
          <w:top w:val="nil"/>
          <w:left w:val="nil"/>
          <w:bottom w:val="nil"/>
          <w:right w:val="nil"/>
          <w:between w:val="nil"/>
        </w:pBdr>
        <w:spacing w:before="240" w:after="0"/>
        <w:ind w:firstLine="0"/>
        <w:rPr>
          <w:color w:val="000000"/>
        </w:rPr>
      </w:pPr>
      <w:r>
        <w:rPr>
          <w:color w:val="000000"/>
        </w:rPr>
        <w:t xml:space="preserve">Tento zákon nabývá účinnosti dnem </w:t>
      </w:r>
      <w:r>
        <w:t>1. července 2021</w:t>
      </w:r>
      <w:r>
        <w:rPr>
          <w:color w:val="000000"/>
        </w:rPr>
        <w:t>.</w:t>
      </w:r>
    </w:p>
    <w:p w14:paraId="0000002D" w14:textId="77777777" w:rsidR="008C49C0" w:rsidRDefault="00891FCD">
      <w:pPr>
        <w:spacing w:before="240" w:after="0"/>
        <w:ind w:firstLine="0"/>
        <w:jc w:val="center"/>
      </w:pPr>
      <w:r>
        <w:t>Čl. III</w:t>
      </w:r>
    </w:p>
    <w:p w14:paraId="0000002E" w14:textId="77777777" w:rsidR="008C49C0" w:rsidRDefault="00891FCD">
      <w:pPr>
        <w:pBdr>
          <w:top w:val="nil"/>
          <w:left w:val="nil"/>
          <w:bottom w:val="nil"/>
          <w:right w:val="nil"/>
          <w:between w:val="nil"/>
        </w:pBdr>
        <w:spacing w:before="240" w:after="0"/>
        <w:ind w:firstLine="0"/>
        <w:jc w:val="center"/>
        <w:rPr>
          <w:b/>
        </w:rPr>
      </w:pPr>
      <w:r>
        <w:rPr>
          <w:b/>
        </w:rPr>
        <w:t>Přechodné ustanovení</w:t>
      </w:r>
    </w:p>
    <w:p w14:paraId="0000002F" w14:textId="77777777" w:rsidR="008C49C0" w:rsidRDefault="00891FCD">
      <w:pPr>
        <w:pBdr>
          <w:top w:val="nil"/>
          <w:left w:val="nil"/>
          <w:bottom w:val="nil"/>
          <w:right w:val="nil"/>
          <w:between w:val="nil"/>
        </w:pBdr>
        <w:spacing w:before="240" w:after="0"/>
        <w:ind w:firstLine="0"/>
        <w:jc w:val="left"/>
      </w:pPr>
      <w:r>
        <w:t>Ustanovení § 28b odst. 4 se použije na zápisy ze schůzí vlády konaných po dni nabytí účinnosti tohoto zákona.</w:t>
      </w:r>
    </w:p>
    <w:p w14:paraId="00000030" w14:textId="77777777" w:rsidR="008C49C0" w:rsidRDefault="00891FCD">
      <w:pPr>
        <w:pBdr>
          <w:top w:val="nil"/>
          <w:left w:val="nil"/>
          <w:bottom w:val="nil"/>
          <w:right w:val="nil"/>
          <w:between w:val="nil"/>
        </w:pBdr>
        <w:spacing w:before="240" w:after="0"/>
        <w:ind w:firstLine="0"/>
        <w:jc w:val="center"/>
        <w:rPr>
          <w:b/>
          <w:sz w:val="28"/>
          <w:szCs w:val="28"/>
        </w:rPr>
      </w:pPr>
      <w:r>
        <w:br w:type="page"/>
      </w:r>
    </w:p>
    <w:p w14:paraId="00000031" w14:textId="640304DF" w:rsidR="008C49C0" w:rsidRDefault="00891FCD" w:rsidP="00C93499">
      <w:pPr>
        <w:spacing w:before="240" w:after="0"/>
        <w:ind w:firstLine="0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Důvodová zpráva</w:t>
      </w:r>
    </w:p>
    <w:p w14:paraId="00000032" w14:textId="77777777" w:rsidR="008C49C0" w:rsidRDefault="008C49C0" w:rsidP="00C93499">
      <w:pPr>
        <w:widowControl w:val="0"/>
        <w:spacing w:before="0" w:after="0"/>
        <w:ind w:firstLine="0"/>
        <w:jc w:val="left"/>
        <w:rPr>
          <w:b/>
        </w:rPr>
      </w:pPr>
    </w:p>
    <w:p w14:paraId="00000033" w14:textId="77777777" w:rsidR="008C49C0" w:rsidRDefault="00891FCD" w:rsidP="00C93499">
      <w:pPr>
        <w:widowControl w:val="0"/>
        <w:spacing w:before="0" w:after="0"/>
        <w:ind w:firstLine="0"/>
        <w:jc w:val="left"/>
        <w:rPr>
          <w:b/>
        </w:rPr>
      </w:pPr>
      <w:r>
        <w:rPr>
          <w:b/>
        </w:rPr>
        <w:t>Obecná část</w:t>
      </w:r>
    </w:p>
    <w:p w14:paraId="00000034" w14:textId="77777777" w:rsidR="008C49C0" w:rsidRDefault="008C49C0">
      <w:pPr>
        <w:widowControl w:val="0"/>
        <w:spacing w:before="0" w:after="0"/>
        <w:ind w:firstLine="0"/>
      </w:pPr>
    </w:p>
    <w:p w14:paraId="00000035" w14:textId="77777777" w:rsidR="008C49C0" w:rsidRDefault="008C49C0">
      <w:pPr>
        <w:widowControl w:val="0"/>
        <w:spacing w:before="0" w:after="0"/>
        <w:ind w:firstLine="0"/>
      </w:pPr>
    </w:p>
    <w:p w14:paraId="00000036" w14:textId="77777777" w:rsidR="008C49C0" w:rsidRDefault="00891FCD">
      <w:pPr>
        <w:widowControl w:val="0"/>
        <w:numPr>
          <w:ilvl w:val="0"/>
          <w:numId w:val="4"/>
        </w:numPr>
        <w:spacing w:before="0" w:after="0"/>
        <w:rPr>
          <w:b/>
        </w:rPr>
      </w:pPr>
      <w:r>
        <w:rPr>
          <w:b/>
        </w:rPr>
        <w:t>Zhodnocení platného právního stavu</w:t>
      </w:r>
    </w:p>
    <w:p w14:paraId="00000037" w14:textId="77777777" w:rsidR="008C49C0" w:rsidRDefault="008C49C0">
      <w:pPr>
        <w:widowControl w:val="0"/>
        <w:spacing w:before="0" w:after="0"/>
        <w:ind w:firstLine="0"/>
        <w:rPr>
          <w:b/>
        </w:rPr>
      </w:pPr>
    </w:p>
    <w:p w14:paraId="00000038" w14:textId="77777777" w:rsidR="008C49C0" w:rsidRDefault="00891FCD">
      <w:pPr>
        <w:ind w:firstLine="0"/>
      </w:pPr>
      <w:r>
        <w:t>Činnost vlády upravují zejména čl. 67 a násl. Ústavy České republiky, § 28 a násl. zákona č. 2/1969 Sb., o zřízení ústředních orgánů státní správy (kompetenční zákon) a některé zvláštní zákony. Žádný zákon však nestanoví vládě povinnost zveřejňovat zápis z</w:t>
      </w:r>
      <w:r>
        <w:t>e svého jednání, ačkoliv čl. 17 odst. 5 Listiny základních práv a svobod stanoví, že státní orgány jsou povinny přiměřeným způsobem poskytovat informace o své činnosti a podmínky a provedení stanoví zákon. Ústava tedy vychází z toho, že základní povinnosti</w:t>
      </w:r>
      <w:r>
        <w:t xml:space="preserve"> zveřejňování informací, mezi které spadá i úprava zápisu o jednání vlády a zveřejňování tohoto zápisu, mají být stanoveny zákonem.</w:t>
      </w:r>
    </w:p>
    <w:p w14:paraId="00000039" w14:textId="77777777" w:rsidR="008C49C0" w:rsidRDefault="00891FCD">
      <w:pPr>
        <w:ind w:firstLine="0"/>
      </w:pPr>
      <w:r>
        <w:t>Platná pravidla pro zápis z jednání vlády však nejsou stanovena zákonem ani jiným právním předpisem, nýbrž pouze usnesením vlády, které má v tomto případě povahu interního řídícího aktu. Zápis je upraven v čl. X odst. 3 jednacího řádu vlády, schváleného us</w:t>
      </w:r>
      <w:r>
        <w:t xml:space="preserve">nesením vlády ze dne 16. září 1998 č. 610, ve znění pozdějších usnesení, a to pod názvem písemný záznam: </w:t>
      </w:r>
    </w:p>
    <w:p w14:paraId="0000003A" w14:textId="77777777" w:rsidR="008C49C0" w:rsidRDefault="00891FCD">
      <w:pPr>
        <w:ind w:firstLine="0"/>
        <w:rPr>
          <w:i/>
        </w:rPr>
      </w:pPr>
      <w:r>
        <w:rPr>
          <w:i/>
        </w:rPr>
        <w:t>„Z jednání schůze vlády je pořizován písemný záznam. V tomto záznamu se uvede zejména název projednaného bodu programu schůze vlády, stručný průběh ro</w:t>
      </w:r>
      <w:r>
        <w:rPr>
          <w:i/>
        </w:rPr>
        <w:t>zpravy, závěry jednání, včetně výsledku hlasování, a pokud vláda dospěje k závěru, že k předloženému materiálu nepřijme usnesení, uvede se tato skutečnost spolu se závěry do písemného záznamu. Součástí výsledku hlasování o návrhu usnesení k materiálu uvede</w:t>
      </w:r>
      <w:r>
        <w:rPr>
          <w:i/>
        </w:rPr>
        <w:t xml:space="preserve">nému v čl. V odst. 5 písm. c) větě poslední je i údaj o tom, kteří členové vlády hlasovali pro návrh, kteří proti návrhu a kteří se zdrželi hlasování, a to uvedením jejich funkcí; to neplatí v případě, že předmětem hlasování je návrh na rozhodnutí o věci, </w:t>
      </w:r>
      <w:r>
        <w:rPr>
          <w:i/>
        </w:rPr>
        <w:t>jejíž hodnota je nižší než 1 000 000 Kč. (...)“.</w:t>
      </w:r>
    </w:p>
    <w:p w14:paraId="0000003B" w14:textId="77777777" w:rsidR="008C49C0" w:rsidRDefault="00891FCD">
      <w:pPr>
        <w:ind w:firstLine="0"/>
      </w:pPr>
      <w:r>
        <w:t xml:space="preserve">Z této citace je dále patrné, že vláda rozhoduje jmenovitým hlasováním o záležitostech uvedených v čl. V odst. 5 písm. c) jednacího řádu, kterými jsou materiály nelegislativní povahy, jejichž předmětem jsou </w:t>
      </w:r>
    </w:p>
    <w:p w14:paraId="0000003C" w14:textId="77777777" w:rsidR="008C49C0" w:rsidRDefault="00891FCD">
      <w:pPr>
        <w:numPr>
          <w:ilvl w:val="0"/>
          <w:numId w:val="1"/>
        </w:numPr>
        <w:spacing w:after="0"/>
      </w:pPr>
      <w:r>
        <w:t xml:space="preserve">návrhy na rozhodnutí o věci týkající se nakládání s konkrétním majetkem státu, </w:t>
      </w:r>
    </w:p>
    <w:p w14:paraId="0000003D" w14:textId="77777777" w:rsidR="008C49C0" w:rsidRDefault="00891FCD">
      <w:pPr>
        <w:numPr>
          <w:ilvl w:val="0"/>
          <w:numId w:val="1"/>
        </w:numPr>
        <w:spacing w:before="0" w:after="0"/>
      </w:pPr>
      <w:r>
        <w:t xml:space="preserve">veřejné zakázky, </w:t>
      </w:r>
    </w:p>
    <w:p w14:paraId="0000003E" w14:textId="77777777" w:rsidR="008C49C0" w:rsidRDefault="00891FCD">
      <w:pPr>
        <w:numPr>
          <w:ilvl w:val="0"/>
          <w:numId w:val="1"/>
        </w:numPr>
        <w:spacing w:before="0" w:after="0"/>
      </w:pPr>
      <w:r>
        <w:t xml:space="preserve">koncesní smlouvy, </w:t>
      </w:r>
    </w:p>
    <w:p w14:paraId="0000003F" w14:textId="77777777" w:rsidR="008C49C0" w:rsidRDefault="00891FCD">
      <w:pPr>
        <w:numPr>
          <w:ilvl w:val="0"/>
          <w:numId w:val="1"/>
        </w:numPr>
        <w:spacing w:before="0" w:after="0"/>
      </w:pPr>
      <w:r>
        <w:t>dotace nebo výdaje organizační složky státu anebo stanovení výše účasti státního rozpočtu na financování programu, o níž rozhodnout náleží</w:t>
      </w:r>
      <w:r>
        <w:t xml:space="preserve"> do působnosti vlády, nebo </w:t>
      </w:r>
    </w:p>
    <w:p w14:paraId="00000040" w14:textId="77777777" w:rsidR="008C49C0" w:rsidRDefault="00891FCD">
      <w:pPr>
        <w:numPr>
          <w:ilvl w:val="0"/>
          <w:numId w:val="1"/>
        </w:numPr>
        <w:spacing w:before="0" w:after="0"/>
      </w:pPr>
      <w:r>
        <w:t xml:space="preserve">materiály, kde o stanovisko vládu požádal člen vlády, do jehož působnosti jinak tato věc náleží, anebo </w:t>
      </w:r>
    </w:p>
    <w:p w14:paraId="00000041" w14:textId="77777777" w:rsidR="008C49C0" w:rsidRDefault="00891FCD">
      <w:pPr>
        <w:numPr>
          <w:ilvl w:val="0"/>
          <w:numId w:val="1"/>
        </w:numPr>
        <w:spacing w:before="0"/>
      </w:pPr>
      <w:r>
        <w:t>záležitosti, u nichž si vláda projednání věci vyhradila.</w:t>
      </w:r>
    </w:p>
    <w:p w14:paraId="00000042" w14:textId="77777777" w:rsidR="008C49C0" w:rsidRDefault="00891FCD">
      <w:r>
        <w:t>Podle platného právního řádu je čl. 17 odst. 5 Listiny naplněn, pok</w:t>
      </w:r>
      <w:r>
        <w:t>ud jde o zápisy ze schůze Rady hlavního města Prahy, rady kraje, resp. rady obce (souhrnně z jednání exekutivních orgánů samosprávných celků). Jde o ustanovení § 70 odst. 3 zákona č. 131/2000 Sb., o hlavním městě Praze, ve znění pozdějších předpisů, § 80 o</w:t>
      </w:r>
      <w:r>
        <w:t>dst. 3 písm. c) zákona č. 129/2000 Sb., o krajích, ve znění pozdějších předpisů, resp. § 101 odst. 3 zákona č. 128/2000 Sb., o obcích.</w:t>
      </w:r>
    </w:p>
    <w:p w14:paraId="00000043" w14:textId="77777777" w:rsidR="008C49C0" w:rsidRDefault="00891FCD">
      <w:pPr>
        <w:ind w:firstLine="0"/>
      </w:pPr>
      <w:r>
        <w:t>Podle zákona o obcích:</w:t>
      </w:r>
    </w:p>
    <w:p w14:paraId="00000044" w14:textId="77777777" w:rsidR="008C49C0" w:rsidRDefault="00891FCD">
      <w:pPr>
        <w:ind w:firstLine="0"/>
        <w:rPr>
          <w:i/>
        </w:rPr>
      </w:pPr>
      <w:r>
        <w:rPr>
          <w:i/>
        </w:rPr>
        <w:t>„Rada obce pořizuje ze své schůze zápis, který podepisuje starosta spolu s místostarostou nebo jin</w:t>
      </w:r>
      <w:r>
        <w:rPr>
          <w:i/>
        </w:rPr>
        <w:t xml:space="preserve">ým radním. V zápise se vždy uvede počet přítomných členů rady obce, schválený pořad </w:t>
      </w:r>
      <w:r>
        <w:rPr>
          <w:i/>
        </w:rPr>
        <w:lastRenderedPageBreak/>
        <w:t>schůze rady obce, průběh a výsledek hlasování a přijatá usnesení. Zápis ze schůze rady obce musí být pořízen do 7 dnů od jejího konání. O námitkách člena rady obce proti zá</w:t>
      </w:r>
      <w:r>
        <w:rPr>
          <w:i/>
        </w:rPr>
        <w:t>pisu rozhodne nejbližší schůze rady obce. Zápis ze schůze rady obce musí být uložen u obecního úřadu k nahlédnutí členům zastupitelstva obce.“</w:t>
      </w:r>
    </w:p>
    <w:p w14:paraId="00000045" w14:textId="77777777" w:rsidR="008C49C0" w:rsidRDefault="00891FCD">
      <w:pPr>
        <w:ind w:firstLine="0"/>
      </w:pPr>
      <w:r>
        <w:t>Odpovídající úpravu nalezneme i v zákoně o krajích a o hl. m. Praze.</w:t>
      </w:r>
    </w:p>
    <w:p w14:paraId="00000046" w14:textId="77777777" w:rsidR="008C49C0" w:rsidRDefault="00891FCD">
      <w:pPr>
        <w:ind w:firstLine="0"/>
        <w:rPr>
          <w:b/>
        </w:rPr>
      </w:pPr>
      <w:r>
        <w:t>Je tedy zřejmé, že zatímco vrcholné exekutiv</w:t>
      </w:r>
      <w:r>
        <w:t>ní orgány územních samosprávných celků mají povinnost pořizovat zápis, včetně jeho podstatných náležitostí, stanoveny zákonem, u vlády, jako vrcholného orgánu exekutivy státu, toto neplatí.</w:t>
      </w:r>
    </w:p>
    <w:p w14:paraId="00000047" w14:textId="77777777" w:rsidR="008C49C0" w:rsidRDefault="00891FCD">
      <w:pPr>
        <w:spacing w:before="240" w:after="0" w:line="276" w:lineRule="auto"/>
        <w:ind w:firstLine="0"/>
        <w:rPr>
          <w:b/>
        </w:rPr>
      </w:pPr>
      <w:r>
        <w:rPr>
          <w:b/>
        </w:rPr>
        <w:t>2. Odůvodnění hlavních principů navrhované právní úpravy a vysvětl</w:t>
      </w:r>
      <w:r>
        <w:rPr>
          <w:b/>
        </w:rPr>
        <w:t>ení nezbytnosti navrhované právní úpravy</w:t>
      </w:r>
    </w:p>
    <w:p w14:paraId="00000048" w14:textId="77777777" w:rsidR="008C49C0" w:rsidRDefault="00891FCD">
      <w:pPr>
        <w:ind w:firstLine="0"/>
      </w:pPr>
      <w:r>
        <w:t xml:space="preserve">Ze zhodnocení platného právního stavu je patrné, že podrobnosti informování veřejnosti o činnosti vlády nejsou v případě jejích usnesení stanoveny zákonem, jak předvídá Listina základních práv a svobod, nýbrž pouze </w:t>
      </w:r>
      <w:r>
        <w:t>usnesením vlády. To má zásadní nevýhodu v tom, že nová vláda může kdykoliv pravidla změnit, a to i s účinností pro vlády předchozí.</w:t>
      </w:r>
    </w:p>
    <w:p w14:paraId="00000049" w14:textId="77777777" w:rsidR="008C49C0" w:rsidRDefault="00891FCD">
      <w:pPr>
        <w:ind w:firstLine="0"/>
      </w:pPr>
      <w:r>
        <w:t xml:space="preserve">Je žádoucí a ve veřejném zájmu, aby rozhodování vlády bylo transparentní a byla dohledatelná odpovědnost jednotlivých členů </w:t>
      </w:r>
      <w:r>
        <w:t>vlády. Jmenné hlasování patří k fungující a osvědčené praxi.</w:t>
      </w:r>
    </w:p>
    <w:p w14:paraId="0000004A" w14:textId="77777777" w:rsidR="008C49C0" w:rsidRDefault="008C49C0"/>
    <w:p w14:paraId="0000004B" w14:textId="77777777" w:rsidR="008C49C0" w:rsidRDefault="00891FCD">
      <w:pPr>
        <w:widowControl w:val="0"/>
        <w:spacing w:before="0" w:after="0"/>
        <w:ind w:firstLine="0"/>
        <w:rPr>
          <w:b/>
        </w:rPr>
      </w:pPr>
      <w:r>
        <w:rPr>
          <w:b/>
        </w:rPr>
        <w:t>3. Předpokládaný hospodářský a finanční dosah navrhované úpravy, zejména nároky na státní rozpočet, rozpočty krajů a obcí</w:t>
      </w:r>
    </w:p>
    <w:p w14:paraId="0000004C" w14:textId="77777777" w:rsidR="008C49C0" w:rsidRDefault="00891FCD">
      <w:pPr>
        <w:ind w:firstLine="0"/>
        <w:rPr>
          <w:b/>
        </w:rPr>
      </w:pPr>
      <w:r>
        <w:t xml:space="preserve">V praxi vyžaduje jmenovité hlasování pouze to, aby si zapisovatel vlády </w:t>
      </w:r>
      <w:r>
        <w:t>zapsal hlasování jmenovitě na předpřipraveném listě nebo aby byla použita elektronická hlasovací zařízení, která má vláda k dispozici. Návrh lze tedy realizovat se stávajícími prostředky vlády a nemá žádné dopady na státní rozpočet. Dopad na rozpočty obcí,</w:t>
      </w:r>
      <w:r>
        <w:t xml:space="preserve"> krajů i další veřejné rozpočty je taktéž nulový.</w:t>
      </w:r>
    </w:p>
    <w:p w14:paraId="0000004D" w14:textId="77777777" w:rsidR="008C49C0" w:rsidRDefault="008C49C0">
      <w:pPr>
        <w:widowControl w:val="0"/>
        <w:spacing w:before="0" w:after="0"/>
        <w:ind w:firstLine="0"/>
        <w:rPr>
          <w:b/>
        </w:rPr>
      </w:pPr>
    </w:p>
    <w:p w14:paraId="0000004E" w14:textId="77777777" w:rsidR="008C49C0" w:rsidRDefault="00891FCD">
      <w:pPr>
        <w:widowControl w:val="0"/>
        <w:spacing w:before="0" w:after="0"/>
        <w:ind w:firstLine="0"/>
        <w:rPr>
          <w:b/>
        </w:rPr>
      </w:pPr>
      <w:r>
        <w:rPr>
          <w:b/>
        </w:rPr>
        <w:t>4. Zhodnocení souladu návrhu zákona s mezinárodními smlouvami podle čl. 10 Ústavy a s ústavním pořádkem České republiky</w:t>
      </w:r>
    </w:p>
    <w:p w14:paraId="0000004F" w14:textId="77777777" w:rsidR="008C49C0" w:rsidRDefault="00891FCD">
      <w:pPr>
        <w:ind w:firstLine="0"/>
      </w:pPr>
      <w:r>
        <w:t>Návrh nijak nezasahuje do úpravy mezinárodních smluv podle čl. 10 Ústavy a je v soula</w:t>
      </w:r>
      <w:r>
        <w:t>du s ústavním pořádkem České republiky. Čl. 17 odst. 5 Listiny základních práv a svobod stanoví, že státní orgány jsou povinny přiměřeným způsobem poskytovat informace o své činnosti a podmínky a provedení stanoví zákon. Jak již bylo řečeno, ústavní pořáde</w:t>
      </w:r>
      <w:r>
        <w:t>k zřetelně vychází z toho, že základní povinnosti zveřejňování informací, mezi které spadá i úprava zápisu o jednání vlády a zveřejňování tohoto zápisu, mají být stanoveny zákonem, např. tak, jak tomu je u zápisu z jednání rady obcí a krajů. Návrh tedy uvá</w:t>
      </w:r>
      <w:r>
        <w:t>dí platnou úpravu, kdy je zápis upraven pouze jednacím řádem vlády, do jednoznačného souladu s ústavním pořádkem.</w:t>
      </w:r>
    </w:p>
    <w:p w14:paraId="00000050" w14:textId="77777777" w:rsidR="008C49C0" w:rsidRDefault="008C49C0">
      <w:pPr>
        <w:ind w:firstLine="0"/>
      </w:pPr>
    </w:p>
    <w:p w14:paraId="00000051" w14:textId="77777777" w:rsidR="008C49C0" w:rsidRDefault="00891FCD">
      <w:pPr>
        <w:ind w:firstLine="0"/>
        <w:rPr>
          <w:b/>
        </w:rPr>
      </w:pPr>
      <w:r>
        <w:rPr>
          <w:b/>
        </w:rPr>
        <w:t>5. Zhodnocení slučitelnosti navrhované právní úpravy s předpisy Evropské unie, judikaturou soudních orgánů Evropské unie nebo obecnými právními zásadami práva Evropské unie a zhodnocení souladu navrhované právní úpravy s mezinárodními smlouvami, jimiž je Č</w:t>
      </w:r>
      <w:r>
        <w:rPr>
          <w:b/>
        </w:rPr>
        <w:t>eská republika vázána</w:t>
      </w:r>
    </w:p>
    <w:p w14:paraId="00000052" w14:textId="77777777" w:rsidR="008C49C0" w:rsidRDefault="00891FCD">
      <w:pPr>
        <w:ind w:firstLine="0"/>
      </w:pPr>
      <w:r>
        <w:t>Navrhovaná právní úprava je s výše uvedeným plně v souladu.</w:t>
      </w:r>
    </w:p>
    <w:p w14:paraId="00000053" w14:textId="77777777" w:rsidR="008C49C0" w:rsidRDefault="008C49C0"/>
    <w:p w14:paraId="00000054" w14:textId="77777777" w:rsidR="008C49C0" w:rsidRDefault="00891FCD">
      <w:pPr>
        <w:ind w:firstLine="0"/>
        <w:rPr>
          <w:b/>
        </w:rPr>
      </w:pPr>
      <w:r>
        <w:rPr>
          <w:b/>
        </w:rPr>
        <w:lastRenderedPageBreak/>
        <w:t>6. Zhodnocení dopadů navrhovaného řešení ve vztahu k ochraně soukromí a osobních údajů, zhodnocení dopadů navrhovaného řešení ve vztahu k rovnosti mužů a žen, zhodnocení kor</w:t>
      </w:r>
      <w:r>
        <w:rPr>
          <w:b/>
        </w:rPr>
        <w:t>upčních rizik a zhodnocení dopadů na bezpečnost nebo obranu státu</w:t>
      </w:r>
    </w:p>
    <w:p w14:paraId="00000055" w14:textId="77777777" w:rsidR="008C49C0" w:rsidRDefault="00891FCD">
      <w:pPr>
        <w:ind w:firstLine="0"/>
      </w:pPr>
      <w:r>
        <w:t>Návrh nemá dopad na ochranu soukromí a osobních údajů, rovnost mužů a žen ani na bezpečnost nebo obranu státu. Návrh není významný z hlediska korupčních rizik a nemá dopad na bezpečnost nebo</w:t>
      </w:r>
      <w:r>
        <w:t xml:space="preserve"> obranu státu.</w:t>
      </w:r>
    </w:p>
    <w:p w14:paraId="00000056" w14:textId="77777777" w:rsidR="008C49C0" w:rsidRDefault="008C49C0">
      <w:pPr>
        <w:ind w:firstLine="0"/>
      </w:pPr>
    </w:p>
    <w:p w14:paraId="00000057" w14:textId="77777777" w:rsidR="008C49C0" w:rsidRDefault="00891FCD">
      <w:pPr>
        <w:ind w:firstLine="0"/>
        <w:rPr>
          <w:b/>
        </w:rPr>
      </w:pPr>
      <w:r>
        <w:rPr>
          <w:b/>
        </w:rPr>
        <w:t>7. Odůvodnění návrhu, aby Sněmovna vyslovila s návrhem souhlas již v prvním čtení.</w:t>
      </w:r>
    </w:p>
    <w:p w14:paraId="00000058" w14:textId="77777777" w:rsidR="008C49C0" w:rsidRDefault="00891FCD">
      <w:pPr>
        <w:spacing w:before="240" w:after="0" w:line="276" w:lineRule="auto"/>
        <w:ind w:firstLine="0"/>
      </w:pPr>
      <w:r>
        <w:t>Navrhovaná úprava je jednoduchou změnou zákona, která nepředpokládá potřebu podrobnější debaty. Navrhuje se tedy, aby byl návrh zákona schválen v režimu podl</w:t>
      </w:r>
      <w:r>
        <w:t>e § 90 odst. 2 zákona o jednacím řádu Poslanecké sněmovny.</w:t>
      </w:r>
    </w:p>
    <w:p w14:paraId="00000059" w14:textId="77777777" w:rsidR="008C49C0" w:rsidRDefault="008C49C0">
      <w:pPr>
        <w:widowControl w:val="0"/>
        <w:spacing w:before="0" w:after="0"/>
        <w:ind w:firstLine="0"/>
        <w:rPr>
          <w:b/>
        </w:rPr>
      </w:pPr>
    </w:p>
    <w:p w14:paraId="0000005A" w14:textId="77777777" w:rsidR="008C49C0" w:rsidRDefault="00891FCD" w:rsidP="00C93499">
      <w:pPr>
        <w:widowControl w:val="0"/>
        <w:spacing w:before="0" w:after="0"/>
        <w:ind w:firstLine="0"/>
        <w:jc w:val="left"/>
        <w:rPr>
          <w:b/>
        </w:rPr>
      </w:pPr>
      <w:r>
        <w:rPr>
          <w:b/>
        </w:rPr>
        <w:t>Zvláštní část</w:t>
      </w:r>
    </w:p>
    <w:p w14:paraId="0000005B" w14:textId="77777777" w:rsidR="008C49C0" w:rsidRDefault="008C49C0">
      <w:pPr>
        <w:widowControl w:val="0"/>
        <w:spacing w:before="0" w:after="0"/>
        <w:ind w:firstLine="0"/>
      </w:pPr>
    </w:p>
    <w:p w14:paraId="0000005C" w14:textId="77777777" w:rsidR="008C49C0" w:rsidRDefault="00891FCD">
      <w:pPr>
        <w:widowControl w:val="0"/>
        <w:spacing w:before="0" w:after="0"/>
        <w:ind w:firstLine="0"/>
      </w:pPr>
      <w:r>
        <w:rPr>
          <w:b/>
        </w:rPr>
        <w:t>K navrhovanému § 28b</w:t>
      </w:r>
    </w:p>
    <w:p w14:paraId="0000005D" w14:textId="77777777" w:rsidR="008C49C0" w:rsidRDefault="00891FCD" w:rsidP="00C93499">
      <w:pPr>
        <w:ind w:firstLine="0"/>
      </w:pPr>
      <w:r>
        <w:t>Navrhované znění přebírá jako základ jednak stávající dikci jednacího řádu vlády (čímž je zajištěna kontinuita a minimalizují se administrativní náklady pro Úřa</w:t>
      </w:r>
      <w:r>
        <w:t xml:space="preserve">d vlády), jednak znění zákonů o obcích, o krajích a o hl. m. Praze, která upravuje obsah a podmínky zveřejnění zápisu z jednání orgánů obcí, zejména rady obce/kraje/hl. m. Prahy. </w:t>
      </w:r>
    </w:p>
    <w:p w14:paraId="0000005E" w14:textId="77777777" w:rsidR="008C49C0" w:rsidRDefault="00891FCD" w:rsidP="00C93499">
      <w:pPr>
        <w:ind w:firstLine="0"/>
      </w:pPr>
      <w:r>
        <w:t xml:space="preserve">Odstavec 2 dále doplňuje požadavek jmenovitého hlasování, který je již dnes </w:t>
      </w:r>
      <w:r>
        <w:t>obsažen v podzákonné právní úpravě, a to čl. X odst. 3 jednacího řádu vlády, schváleného usnesením vlády ze dne 16. září 1998 č. 610, ve znění pozdějších usnesení, a to ve vztahu k určitým významným usnesením vlády (viz obecná část důvodové zprávy). Zatímc</w:t>
      </w:r>
      <w:r>
        <w:t xml:space="preserve">o jednací řád vlády počítá se jmenovitým hlasováním u vybraných usnesení, navržená právní úprava s ním počítá </w:t>
      </w:r>
      <w:proofErr w:type="gramStart"/>
      <w:r>
        <w:t>vždy - vzhledem</w:t>
      </w:r>
      <w:proofErr w:type="gramEnd"/>
      <w:r>
        <w:t xml:space="preserve"> k možnosti používat elektronické hlasovací zařízení a celý proces automatizovat totiž omezení výčtu pozbývá smyslu (a bylo by patr</w:t>
      </w:r>
      <w:r>
        <w:t>ně organizačně náročnější, jelikož by bylo před každou věcí třeba posoudit, do kterého režimu spadá). Jmenovité hlasování by se tedy vztahovalo na všechna hlasování.</w:t>
      </w:r>
    </w:p>
    <w:p w14:paraId="2A162F72" w14:textId="77777777" w:rsidR="00C93499" w:rsidRDefault="00891FCD" w:rsidP="00C93499">
      <w:pPr>
        <w:ind w:firstLine="0"/>
      </w:pPr>
      <w:r>
        <w:t>Odstavec 4 stanoví povinnost zpřístupnění zápisu jednak na Úřadu vlády, jednak způsobem umožňujícím dálkový přístup, jak je dnes běžné v praxi i právní úpravě obcí a krajů. Oba tyto druhy zpřístupnění informace však nepřipadají v úvahu, pokud zákon informa</w:t>
      </w:r>
      <w:r>
        <w:t>ci vylučuje ze zpřístupnění (např. obchodní tajemství, osobní údaje, ochrana utajovaných informací, další důvody uvedené v § 7 až 12 zákona č. 106/1999 Sb., o svobodném přístupu k informacím, § 27 krizového zákona atd.).</w:t>
      </w:r>
    </w:p>
    <w:p w14:paraId="62BC72B9" w14:textId="77777777" w:rsidR="00C93499" w:rsidRDefault="00C93499" w:rsidP="00C93499">
      <w:pPr>
        <w:spacing w:before="0" w:after="0"/>
      </w:pPr>
    </w:p>
    <w:p w14:paraId="420FBFC6" w14:textId="2E76D6B5" w:rsidR="00C93499" w:rsidRDefault="00C93499" w:rsidP="00C93499">
      <w:pPr>
        <w:spacing w:before="0" w:after="0"/>
        <w:ind w:firstLine="0"/>
      </w:pPr>
      <w:r>
        <w:t>V Praze dne 16. 11. 2020</w:t>
      </w:r>
    </w:p>
    <w:p w14:paraId="2017B56C" w14:textId="4897B7A4" w:rsidR="00C93499" w:rsidRDefault="00C93499" w:rsidP="00C93499">
      <w:pPr>
        <w:spacing w:before="0" w:after="0"/>
        <w:ind w:firstLine="0"/>
      </w:pPr>
    </w:p>
    <w:p w14:paraId="3228C9ED" w14:textId="23DA8282" w:rsidR="00C93499" w:rsidRDefault="00C93499" w:rsidP="00C93499">
      <w:pPr>
        <w:spacing w:before="0" w:after="0"/>
        <w:ind w:firstLine="0"/>
      </w:pPr>
      <w:r>
        <w:t>Jakub Michálek v. r.</w:t>
      </w:r>
    </w:p>
    <w:p w14:paraId="10CD7418" w14:textId="02C042BE" w:rsidR="00C93499" w:rsidRDefault="00C93499" w:rsidP="00C93499">
      <w:pPr>
        <w:spacing w:before="0" w:after="0"/>
        <w:ind w:firstLine="0"/>
      </w:pPr>
      <w:r>
        <w:t xml:space="preserve">Ivan Bartoš </w:t>
      </w:r>
      <w:r w:rsidRPr="00C93499">
        <w:t>v. r.</w:t>
      </w:r>
    </w:p>
    <w:p w14:paraId="24CD20BB" w14:textId="11C3F639" w:rsidR="00C93499" w:rsidRDefault="00C93499" w:rsidP="00C93499">
      <w:pPr>
        <w:spacing w:before="0" w:after="0"/>
        <w:ind w:firstLine="0"/>
      </w:pPr>
      <w:r>
        <w:t xml:space="preserve">František Navrkal </w:t>
      </w:r>
      <w:r w:rsidRPr="00C93499">
        <w:t>v. r.</w:t>
      </w:r>
    </w:p>
    <w:p w14:paraId="25C9A241" w14:textId="419ECB5B" w:rsidR="00C93499" w:rsidRDefault="00C93499" w:rsidP="00C93499">
      <w:pPr>
        <w:spacing w:before="0" w:after="0"/>
        <w:ind w:firstLine="0"/>
      </w:pPr>
      <w:r>
        <w:t xml:space="preserve">Mikuláš </w:t>
      </w:r>
      <w:proofErr w:type="spellStart"/>
      <w:r>
        <w:t>Ferjenčík</w:t>
      </w:r>
      <w:proofErr w:type="spellEnd"/>
      <w:r>
        <w:t xml:space="preserve"> </w:t>
      </w:r>
      <w:r w:rsidRPr="00C93499">
        <w:t>v. r.</w:t>
      </w:r>
    </w:p>
    <w:p w14:paraId="03EC3FCC" w14:textId="62DEBF25" w:rsidR="00C93499" w:rsidRDefault="00C93499" w:rsidP="00C93499">
      <w:pPr>
        <w:spacing w:before="0" w:after="0"/>
        <w:ind w:firstLine="0"/>
      </w:pPr>
      <w:r>
        <w:t xml:space="preserve">Jan </w:t>
      </w:r>
      <w:proofErr w:type="spellStart"/>
      <w:r>
        <w:t>Lipavský</w:t>
      </w:r>
      <w:proofErr w:type="spellEnd"/>
      <w:r>
        <w:t xml:space="preserve"> </w:t>
      </w:r>
      <w:r w:rsidRPr="00C93499">
        <w:t>v. r.</w:t>
      </w:r>
    </w:p>
    <w:p w14:paraId="1657CA02" w14:textId="0BC7F73F" w:rsidR="00C93499" w:rsidRDefault="00C93499" w:rsidP="00C93499">
      <w:pPr>
        <w:spacing w:before="0" w:after="0"/>
        <w:ind w:firstLine="0"/>
      </w:pPr>
      <w:r>
        <w:t xml:space="preserve">Lenka Kozlova </w:t>
      </w:r>
      <w:r w:rsidRPr="00C93499">
        <w:t>v. r.</w:t>
      </w:r>
    </w:p>
    <w:p w14:paraId="1164E1C3" w14:textId="4F565B23" w:rsidR="00C93499" w:rsidRDefault="00C93499" w:rsidP="00C93499">
      <w:pPr>
        <w:spacing w:before="0" w:after="0"/>
        <w:ind w:firstLine="0"/>
      </w:pPr>
      <w:r>
        <w:t xml:space="preserve">Petr Třešňák </w:t>
      </w:r>
      <w:r w:rsidRPr="00C93499">
        <w:t>v. r.</w:t>
      </w:r>
    </w:p>
    <w:p w14:paraId="3EF32874" w14:textId="2582B208" w:rsidR="00C93499" w:rsidRDefault="00C93499" w:rsidP="00C93499">
      <w:pPr>
        <w:spacing w:before="0" w:after="0"/>
        <w:ind w:firstLine="0"/>
      </w:pPr>
      <w:r>
        <w:t xml:space="preserve">Lukáš Černohorský </w:t>
      </w:r>
      <w:r w:rsidRPr="00C93499">
        <w:t>v. r.</w:t>
      </w:r>
    </w:p>
    <w:p w14:paraId="21F49B2C" w14:textId="65902E94" w:rsidR="00C93499" w:rsidRDefault="00C93499" w:rsidP="00C93499">
      <w:pPr>
        <w:spacing w:before="0" w:after="0"/>
        <w:ind w:firstLine="0"/>
      </w:pPr>
      <w:r>
        <w:t xml:space="preserve">Martin Jiránek </w:t>
      </w:r>
      <w:r w:rsidRPr="00C93499">
        <w:t>v. r.</w:t>
      </w:r>
    </w:p>
    <w:p w14:paraId="6757DBB9" w14:textId="0D1B8E40" w:rsidR="00C93499" w:rsidRDefault="00C93499" w:rsidP="00C93499">
      <w:pPr>
        <w:spacing w:before="0" w:after="0"/>
        <w:ind w:firstLine="0"/>
      </w:pPr>
      <w:r>
        <w:lastRenderedPageBreak/>
        <w:t xml:space="preserve">Lukáš Bartoň </w:t>
      </w:r>
      <w:r w:rsidRPr="00C93499">
        <w:t>v. r.</w:t>
      </w:r>
    </w:p>
    <w:p w14:paraId="752CDFC0" w14:textId="78455113" w:rsidR="00C93499" w:rsidRDefault="00C93499" w:rsidP="00C93499">
      <w:pPr>
        <w:spacing w:before="0" w:after="0"/>
        <w:ind w:firstLine="0"/>
      </w:pPr>
      <w:r>
        <w:t xml:space="preserve">Dana Balcarová </w:t>
      </w:r>
      <w:r w:rsidRPr="00C93499">
        <w:t>v. r.</w:t>
      </w:r>
    </w:p>
    <w:p w14:paraId="16444CB4" w14:textId="49378E49" w:rsidR="00C93499" w:rsidRDefault="00C93499" w:rsidP="00C93499">
      <w:pPr>
        <w:spacing w:before="0" w:after="0"/>
        <w:ind w:firstLine="0"/>
      </w:pPr>
      <w:r>
        <w:t xml:space="preserve">František </w:t>
      </w:r>
      <w:proofErr w:type="spellStart"/>
      <w:r>
        <w:t>Elfmark</w:t>
      </w:r>
      <w:proofErr w:type="spellEnd"/>
      <w:r>
        <w:t xml:space="preserve"> </w:t>
      </w:r>
      <w:r w:rsidRPr="00C93499">
        <w:t>v. r.</w:t>
      </w:r>
    </w:p>
    <w:p w14:paraId="0C0AE906" w14:textId="4D7E7766" w:rsidR="00C93499" w:rsidRDefault="00C93499" w:rsidP="00C93499">
      <w:pPr>
        <w:spacing w:before="0" w:after="0"/>
        <w:ind w:firstLine="0"/>
      </w:pPr>
      <w:r>
        <w:t xml:space="preserve">Radek </w:t>
      </w:r>
      <w:proofErr w:type="spellStart"/>
      <w:r>
        <w:t>Holomčík</w:t>
      </w:r>
      <w:proofErr w:type="spellEnd"/>
      <w:r>
        <w:t xml:space="preserve"> </w:t>
      </w:r>
      <w:r w:rsidRPr="00C93499">
        <w:t>v. r.</w:t>
      </w:r>
    </w:p>
    <w:p w14:paraId="07B754FB" w14:textId="7D3427CA" w:rsidR="00C93499" w:rsidRDefault="00C93499" w:rsidP="00C93499">
      <w:pPr>
        <w:spacing w:before="0" w:after="0"/>
        <w:ind w:firstLine="0"/>
      </w:pPr>
      <w:r>
        <w:t xml:space="preserve">Jan </w:t>
      </w:r>
      <w:proofErr w:type="spellStart"/>
      <w:r>
        <w:t>Pošvář</w:t>
      </w:r>
      <w:proofErr w:type="spellEnd"/>
      <w:r>
        <w:t xml:space="preserve"> </w:t>
      </w:r>
      <w:r w:rsidRPr="00C93499">
        <w:t>v. r.</w:t>
      </w:r>
    </w:p>
    <w:p w14:paraId="54E774C8" w14:textId="27E4263D" w:rsidR="00C93499" w:rsidRDefault="00C93499" w:rsidP="00C93499">
      <w:pPr>
        <w:spacing w:before="0" w:after="0"/>
        <w:ind w:firstLine="0"/>
      </w:pPr>
      <w:r>
        <w:t xml:space="preserve">Tomáš Martínek </w:t>
      </w:r>
      <w:r w:rsidRPr="00C93499">
        <w:t>v. r.</w:t>
      </w:r>
    </w:p>
    <w:p w14:paraId="769BCA0C" w14:textId="7AC155A3" w:rsidR="00C93499" w:rsidRDefault="00C93499" w:rsidP="00C93499">
      <w:pPr>
        <w:spacing w:before="0" w:after="0"/>
        <w:ind w:firstLine="0"/>
      </w:pPr>
      <w:r>
        <w:t xml:space="preserve">Lukáš </w:t>
      </w:r>
      <w:proofErr w:type="spellStart"/>
      <w:r>
        <w:t>Kolářík</w:t>
      </w:r>
      <w:proofErr w:type="spellEnd"/>
      <w:r>
        <w:t xml:space="preserve"> </w:t>
      </w:r>
      <w:r w:rsidRPr="00C93499">
        <w:t>v. r.</w:t>
      </w:r>
    </w:p>
    <w:p w14:paraId="65FF3A56" w14:textId="2971B48E" w:rsidR="00C93499" w:rsidRDefault="00C93499" w:rsidP="00C93499">
      <w:pPr>
        <w:spacing w:before="0" w:after="0"/>
        <w:ind w:firstLine="0"/>
      </w:pPr>
      <w:r>
        <w:t xml:space="preserve">Jan Farský </w:t>
      </w:r>
      <w:r w:rsidRPr="00C93499">
        <w:t>v. r.</w:t>
      </w:r>
    </w:p>
    <w:p w14:paraId="0A28825B" w14:textId="77858E41" w:rsidR="00C93499" w:rsidRDefault="00C93499" w:rsidP="00C93499">
      <w:pPr>
        <w:spacing w:before="0" w:after="0"/>
        <w:ind w:firstLine="0"/>
      </w:pPr>
      <w:r>
        <w:t xml:space="preserve">Vít Rakušan </w:t>
      </w:r>
      <w:r w:rsidRPr="00C93499">
        <w:t>v. r.</w:t>
      </w:r>
    </w:p>
    <w:p w14:paraId="00000075" w14:textId="0CF2A72D" w:rsidR="008C49C0" w:rsidRPr="00C93499" w:rsidRDefault="008C49C0" w:rsidP="00C93499">
      <w:pPr>
        <w:spacing w:before="0" w:after="0"/>
        <w:ind w:firstLine="0"/>
      </w:pPr>
    </w:p>
    <w:sectPr w:rsidR="008C49C0" w:rsidRPr="00C93499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B89407" w14:textId="77777777" w:rsidR="00891FCD" w:rsidRDefault="00891FCD">
      <w:pPr>
        <w:spacing w:before="0" w:after="0"/>
      </w:pPr>
      <w:r>
        <w:separator/>
      </w:r>
    </w:p>
  </w:endnote>
  <w:endnote w:type="continuationSeparator" w:id="0">
    <w:p w14:paraId="5BB64337" w14:textId="77777777" w:rsidR="00891FCD" w:rsidRDefault="00891FC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7A" w14:textId="708E5C74" w:rsidR="008C49C0" w:rsidRDefault="00891FCD">
    <w:pPr>
      <w:jc w:val="center"/>
    </w:pPr>
    <w:r>
      <w:fldChar w:fldCharType="begin"/>
    </w:r>
    <w:r>
      <w:instrText>PAGE</w:instrText>
    </w:r>
    <w:r w:rsidR="00C93499">
      <w:fldChar w:fldCharType="separate"/>
    </w:r>
    <w:r w:rsidR="00C93499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79" w14:textId="68D20516" w:rsidR="008C49C0" w:rsidRDefault="00891FCD">
    <w:pPr>
      <w:jc w:val="center"/>
    </w:pPr>
    <w:r>
      <w:fldChar w:fldCharType="begin"/>
    </w:r>
    <w:r>
      <w:instrText>PAGE</w:instrText>
    </w:r>
    <w:r w:rsidR="00C93499">
      <w:fldChar w:fldCharType="separate"/>
    </w:r>
    <w:r w:rsidR="00C9349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D723F" w14:textId="77777777" w:rsidR="00891FCD" w:rsidRDefault="00891FCD">
      <w:pPr>
        <w:spacing w:before="0" w:after="0"/>
      </w:pPr>
      <w:r>
        <w:separator/>
      </w:r>
    </w:p>
  </w:footnote>
  <w:footnote w:type="continuationSeparator" w:id="0">
    <w:p w14:paraId="508E7EF1" w14:textId="77777777" w:rsidR="00891FCD" w:rsidRDefault="00891FC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77" w14:textId="77777777" w:rsidR="008C49C0" w:rsidRDefault="00891FC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078" w14:textId="77777777" w:rsidR="008C49C0" w:rsidRDefault="008C49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ind w:firstLine="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76" w14:textId="77777777" w:rsidR="008C49C0" w:rsidRDefault="008C49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ind w:firstLine="0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7B" w14:textId="77777777" w:rsidR="008C49C0" w:rsidRDefault="008C49C0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AC51D2"/>
    <w:multiLevelType w:val="multilevel"/>
    <w:tmpl w:val="4EA20794"/>
    <w:lvl w:ilvl="0">
      <w:start w:val="1"/>
      <w:numFmt w:val="bullet"/>
      <w:lvlText w:val="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1A0220"/>
    <w:multiLevelType w:val="multilevel"/>
    <w:tmpl w:val="5AFCD3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B1869CE"/>
    <w:multiLevelType w:val="multilevel"/>
    <w:tmpl w:val="7ED6365A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7A381B8A"/>
    <w:multiLevelType w:val="multilevel"/>
    <w:tmpl w:val="69A8C658"/>
    <w:lvl w:ilvl="0">
      <w:start w:val="1"/>
      <w:numFmt w:val="decimal"/>
      <w:lvlText w:val="(%1)"/>
      <w:lvlJc w:val="left"/>
      <w:pPr>
        <w:ind w:left="0" w:firstLine="425"/>
      </w:pPr>
      <w:rPr>
        <w:rFonts w:ascii="Times New Roman" w:eastAsia="Times New Roman" w:hAnsi="Times New Roman" w:cs="Times New Roman"/>
        <w:b w:val="0"/>
        <w:bCs/>
        <w:i w:val="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9C0"/>
    <w:rsid w:val="00891FCD"/>
    <w:rsid w:val="008C49C0"/>
    <w:rsid w:val="00C9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0BB64"/>
  <w15:docId w15:val="{D21FD6B6-E36D-4D66-AF8C-71A04C77C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tabs>
          <w:tab w:val="left" w:pos="851"/>
        </w:tabs>
        <w:spacing w:before="120" w:after="120"/>
        <w:ind w:firstLine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1816</Words>
  <Characters>10721</Characters>
  <Application>Microsoft Office Word</Application>
  <DocSecurity>0</DocSecurity>
  <Lines>89</Lines>
  <Paragraphs>25</Paragraphs>
  <ScaleCrop>false</ScaleCrop>
  <Company/>
  <LinksUpToDate>false</LinksUpToDate>
  <CharactersWithSpaces>12512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2</cp:revision>
  <dcterms:created xsi:type="dcterms:W3CDTF">2020-11-16T12:13:00Z</dcterms:created>
  <dcterms:modified xsi:type="dcterms:W3CDTF">2020-11-16T12:13:00Z</dcterms:modified>
</cp:coreProperties>
</file>