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7147B9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B02928" w:rsidP="000E730C">
      <w:pPr>
        <w:pStyle w:val="PS-slousnesen"/>
      </w:pPr>
      <w:r>
        <w:t>100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r>
        <w:t xml:space="preserve">z </w:t>
      </w:r>
      <w:r w:rsidR="00F20CC9">
        <w:t>33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F20CC9">
        <w:t>28. dubna 2016</w:t>
      </w:r>
    </w:p>
    <w:p w:rsidR="00DC29E4" w:rsidRPr="00F20CC9" w:rsidRDefault="00F20CC9" w:rsidP="00F20CC9">
      <w:pPr>
        <w:pStyle w:val="western"/>
        <w:pBdr>
          <w:bottom w:val="single" w:sz="6" w:space="1" w:color="auto"/>
        </w:pBdr>
        <w:spacing w:after="0"/>
        <w:jc w:val="center"/>
        <w:rPr>
          <w:bCs/>
        </w:rPr>
      </w:pPr>
      <w:r w:rsidRPr="00F20CC9">
        <w:rPr>
          <w:bCs/>
        </w:rPr>
        <w:t>Vládní návrh zákona, kterým se mění zákon č. 201/2012 Sb., o ochraně ovzduší, ve znění pozdějších předpisů, a zákon č. 634/2004 Sb., o správních poplatcích, ve znění pozdějších předpisů (tisk 678)</w:t>
      </w:r>
    </w:p>
    <w:p w:rsidR="00F20CC9" w:rsidRPr="00D76FB3" w:rsidRDefault="00F20CC9" w:rsidP="00F20CC9">
      <w:pPr>
        <w:pStyle w:val="western"/>
        <w:spacing w:after="0"/>
      </w:pPr>
    </w:p>
    <w:p w:rsidR="00423236" w:rsidRDefault="00423236" w:rsidP="00423236">
      <w:pPr>
        <w:pStyle w:val="PS-uvodnodstavec"/>
        <w:spacing w:after="0"/>
      </w:pPr>
    </w:p>
    <w:p w:rsidR="00423236" w:rsidRDefault="00423236" w:rsidP="00423236">
      <w:pPr>
        <w:pStyle w:val="PS-uvodnodstavec"/>
        <w:spacing w:after="0"/>
      </w:pPr>
      <w:r>
        <w:t xml:space="preserve">Po odůvodnění </w:t>
      </w:r>
      <w:r w:rsidR="00F20CC9">
        <w:t>náměstkyně ministra životního prostředí Ing. Bereniky Peštové, Ph.D.</w:t>
      </w:r>
      <w:r>
        <w:t xml:space="preserve">, zpravodajské zprávě posl. </w:t>
      </w:r>
      <w:r w:rsidR="00F20CC9">
        <w:t>Ing. Václava Zemka</w:t>
      </w:r>
      <w:r>
        <w:t xml:space="preserve"> a po rozpravě</w:t>
      </w:r>
    </w:p>
    <w:p w:rsidR="00423236" w:rsidRDefault="00423236" w:rsidP="00423236">
      <w:pPr>
        <w:pStyle w:val="PS-uvodnodstavec"/>
        <w:spacing w:after="0"/>
        <w:ind w:firstLine="0"/>
      </w:pPr>
    </w:p>
    <w:p w:rsidR="00423236" w:rsidRDefault="00423236" w:rsidP="00423236">
      <w:pPr>
        <w:pStyle w:val="PS-uvodnodstavec"/>
        <w:spacing w:after="0"/>
        <w:ind w:firstLine="0"/>
      </w:pPr>
      <w:r>
        <w:t>výbor pro životní prostředí</w:t>
      </w:r>
    </w:p>
    <w:p w:rsidR="00423236" w:rsidRDefault="00423236" w:rsidP="00423236"/>
    <w:p w:rsidR="00423236" w:rsidRDefault="00423236" w:rsidP="00423236">
      <w:pPr>
        <w:pStyle w:val="PS-slovanseznam"/>
      </w:pPr>
      <w:proofErr w:type="gramStart"/>
      <w:r w:rsidRPr="00423236">
        <w:rPr>
          <w:rStyle w:val="proloenChar"/>
          <w:b/>
        </w:rPr>
        <w:t>doporučuje</w:t>
      </w:r>
      <w:r>
        <w:t xml:space="preserve">   Poslanecké</w:t>
      </w:r>
      <w:proofErr w:type="gramEnd"/>
      <w:r>
        <w:t xml:space="preserve"> sněmovně Parlamentu ČR, aby návrh schválila ve znění přijatých pozměňovacích návrhů:</w:t>
      </w:r>
    </w:p>
    <w:p w:rsidR="00711816" w:rsidRPr="003651AF" w:rsidRDefault="009D0CAC" w:rsidP="00711816">
      <w:pPr>
        <w:numPr>
          <w:ilvl w:val="0"/>
          <w:numId w:val="16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části první č</w:t>
      </w:r>
      <w:r w:rsidR="00711816" w:rsidRPr="003651AF">
        <w:rPr>
          <w:rFonts w:ascii="Times New Roman" w:hAnsi="Times New Roman"/>
          <w:sz w:val="24"/>
          <w:szCs w:val="24"/>
        </w:rPr>
        <w:t>l. I se vkládá nový bod 1, který zní:</w:t>
      </w:r>
    </w:p>
    <w:p w:rsidR="00711816" w:rsidRPr="003651AF" w:rsidRDefault="00711816" w:rsidP="00711816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>„1. V poznámce pod čarou č. 1 se na samostatný řádek doplňuje věta „</w:t>
      </w:r>
      <w:r w:rsidRPr="003651AF">
        <w:rPr>
          <w:rFonts w:ascii="Times New Roman" w:hAnsi="Times New Roman"/>
          <w:color w:val="000000"/>
          <w:sz w:val="24"/>
          <w:szCs w:val="24"/>
        </w:rPr>
        <w:t>Směrnice Evropského Parlamentu a Rady 2015/2193/EU ze dne 25. listopadu 2015 o omezení emisí některých znečišťujících látek do ovzduší ze středních spalovacích zařízení.“</w:t>
      </w:r>
      <w:r w:rsidRPr="003651AF">
        <w:rPr>
          <w:rFonts w:ascii="Times New Roman" w:hAnsi="Times New Roman"/>
          <w:sz w:val="24"/>
          <w:szCs w:val="24"/>
        </w:rPr>
        <w:t>.“.</w:t>
      </w:r>
    </w:p>
    <w:p w:rsidR="00711816" w:rsidRDefault="00711816" w:rsidP="00711816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3651AF">
        <w:rPr>
          <w:rFonts w:ascii="Times New Roman" w:hAnsi="Times New Roman"/>
          <w:color w:val="000000"/>
          <w:sz w:val="24"/>
          <w:szCs w:val="24"/>
        </w:rPr>
        <w:t>Následující body se přečíslují.</w:t>
      </w:r>
    </w:p>
    <w:p w:rsidR="00711816" w:rsidRDefault="00711816" w:rsidP="00711816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11816" w:rsidRDefault="00711816" w:rsidP="00711816">
      <w:pPr>
        <w:pStyle w:val="Odstavecseseznamem"/>
        <w:numPr>
          <w:ilvl w:val="0"/>
          <w:numId w:val="16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V části první </w:t>
      </w:r>
      <w:r w:rsidR="009D0CAC">
        <w:rPr>
          <w:rFonts w:ascii="Times New Roman" w:hAnsi="Times New Roman"/>
          <w:color w:val="000000"/>
          <w:sz w:val="24"/>
          <w:szCs w:val="24"/>
        </w:rPr>
        <w:t>č</w:t>
      </w:r>
      <w:r w:rsidR="004B7CDA">
        <w:rPr>
          <w:rFonts w:ascii="Times New Roman" w:hAnsi="Times New Roman"/>
          <w:color w:val="000000"/>
          <w:sz w:val="24"/>
          <w:szCs w:val="24"/>
        </w:rPr>
        <w:t xml:space="preserve">l. I </w:t>
      </w:r>
      <w:r>
        <w:rPr>
          <w:rFonts w:ascii="Times New Roman" w:hAnsi="Times New Roman"/>
          <w:color w:val="000000"/>
          <w:sz w:val="24"/>
          <w:szCs w:val="24"/>
        </w:rPr>
        <w:t>se za dosavadní bod 1 vkládá nový bod, který zní:</w:t>
      </w:r>
    </w:p>
    <w:p w:rsidR="00711816" w:rsidRDefault="00711816" w:rsidP="00711816">
      <w:pPr>
        <w:pStyle w:val="Odstavecseseznamem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„X. V § 4 odst. 9 </w:t>
      </w:r>
      <w:r w:rsidRPr="00711816">
        <w:rPr>
          <w:rFonts w:ascii="Times New Roman" w:hAnsi="Times New Roman"/>
          <w:sz w:val="24"/>
          <w:szCs w:val="24"/>
        </w:rPr>
        <w:t>se za slova „emisní limity,“ vkládají slova „způsob stanovení specifických emisních limitů v povolení podle § 11 odst. 2 písm. d) pro látky obtěžující zápachem</w:t>
      </w:r>
      <w:r w:rsidR="0071127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“.“.</w:t>
      </w:r>
    </w:p>
    <w:p w:rsidR="00711816" w:rsidRDefault="00711816" w:rsidP="00711816">
      <w:pPr>
        <w:pStyle w:val="Odstavecseseznamem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Následující body se přečíslují.</w:t>
      </w:r>
    </w:p>
    <w:p w:rsidR="00711816" w:rsidRPr="00711816" w:rsidRDefault="00711816" w:rsidP="00711816">
      <w:pPr>
        <w:pStyle w:val="Odstavecseseznamem"/>
        <w:spacing w:after="0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11816" w:rsidRPr="003651AF" w:rsidRDefault="009D0CAC" w:rsidP="00711816">
      <w:pPr>
        <w:numPr>
          <w:ilvl w:val="0"/>
          <w:numId w:val="16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části první č</w:t>
      </w:r>
      <w:r w:rsidR="00711816" w:rsidRPr="003651AF">
        <w:rPr>
          <w:rFonts w:ascii="Times New Roman" w:hAnsi="Times New Roman"/>
          <w:sz w:val="24"/>
          <w:szCs w:val="24"/>
        </w:rPr>
        <w:t>l. I se za dosavadní bod 2 vkládá nový bod, který zní:</w:t>
      </w:r>
    </w:p>
    <w:p w:rsidR="00711816" w:rsidRPr="003651AF" w:rsidRDefault="00711816" w:rsidP="0071181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  <w:r w:rsidRPr="003651AF">
        <w:rPr>
          <w:rFonts w:ascii="Times New Roman" w:hAnsi="Times New Roman"/>
          <w:sz w:val="24"/>
          <w:szCs w:val="24"/>
        </w:rPr>
        <w:t xml:space="preserve">„X. </w:t>
      </w:r>
      <w:r w:rsidRPr="003651AF">
        <w:rPr>
          <w:rFonts w:ascii="Times New Roman" w:hAnsi="Times New Roman"/>
          <w:color w:val="000000"/>
          <w:sz w:val="24"/>
          <w:szCs w:val="24"/>
        </w:rPr>
        <w:t xml:space="preserve">V § 6 odst. 8 větě první </w:t>
      </w:r>
      <w:r w:rsidRPr="003651AF">
        <w:rPr>
          <w:rFonts w:ascii="Times New Roman" w:hAnsi="Times New Roman"/>
          <w:bCs/>
          <w:sz w:val="24"/>
          <w:szCs w:val="24"/>
        </w:rPr>
        <w:t>se slova „v daném kalendářním roce nepřekročí 300 hodin“ nahrazují slovy „nepřekročí 500 hodin ročně, vyjádřeno jako klouzavý průměr za období tří kalendářních let</w:t>
      </w:r>
      <w:r w:rsidRPr="003651AF">
        <w:rPr>
          <w:rFonts w:ascii="Times New Roman" w:hAnsi="Times New Roman"/>
          <w:color w:val="000000"/>
          <w:sz w:val="24"/>
          <w:szCs w:val="24"/>
        </w:rPr>
        <w:t>“.“.</w:t>
      </w:r>
    </w:p>
    <w:p w:rsidR="00711816" w:rsidRDefault="00711816" w:rsidP="0071181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>Následující body se přečíslují.</w:t>
      </w:r>
    </w:p>
    <w:p w:rsidR="003E1187" w:rsidRDefault="003E11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11816" w:rsidRPr="003651AF" w:rsidRDefault="00711816" w:rsidP="0071181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711816" w:rsidRPr="003651AF" w:rsidRDefault="009D0CAC" w:rsidP="00711816">
      <w:pPr>
        <w:numPr>
          <w:ilvl w:val="0"/>
          <w:numId w:val="16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části první č</w:t>
      </w:r>
      <w:r w:rsidR="00711816" w:rsidRPr="003651AF">
        <w:rPr>
          <w:rFonts w:ascii="Times New Roman" w:hAnsi="Times New Roman"/>
          <w:sz w:val="24"/>
          <w:szCs w:val="24"/>
        </w:rPr>
        <w:t>l. I se za dosavadní bod 3 vkládá nový bod, který zní:</w:t>
      </w:r>
    </w:p>
    <w:p w:rsidR="00711816" w:rsidRPr="003651AF" w:rsidRDefault="00711816" w:rsidP="0071181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651AF">
        <w:rPr>
          <w:rFonts w:ascii="Times New Roman" w:hAnsi="Times New Roman"/>
          <w:color w:val="000000"/>
          <w:sz w:val="24"/>
          <w:szCs w:val="24"/>
        </w:rPr>
        <w:t xml:space="preserve">„X. V § 10 odst. 2 se věta druhá nahrazuje větou: „Současně neprodleně informuje inspekci, dotčené krajské úřady, dotčené obecní úřady, které mají vydaný regulační řád, dále obce, které mají stanovenu </w:t>
      </w:r>
      <w:proofErr w:type="spellStart"/>
      <w:r w:rsidRPr="003651AF">
        <w:rPr>
          <w:rFonts w:ascii="Times New Roman" w:hAnsi="Times New Roman"/>
          <w:color w:val="000000"/>
          <w:sz w:val="24"/>
          <w:szCs w:val="24"/>
        </w:rPr>
        <w:t>nízkoemisní</w:t>
      </w:r>
      <w:proofErr w:type="spellEnd"/>
      <w:r w:rsidRPr="003651AF">
        <w:rPr>
          <w:rFonts w:ascii="Times New Roman" w:hAnsi="Times New Roman"/>
          <w:color w:val="000000"/>
          <w:sz w:val="24"/>
          <w:szCs w:val="24"/>
        </w:rPr>
        <w:t xml:space="preserve"> zónu a dotčené provozovatele stacionárních zdrojů, kterým byly uloženy zvláštní podmínky provozu podle odstavce 3.“.“.</w:t>
      </w:r>
    </w:p>
    <w:p w:rsidR="00711816" w:rsidRDefault="00711816" w:rsidP="00361FD0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3651AF">
        <w:rPr>
          <w:rFonts w:ascii="Times New Roman" w:hAnsi="Times New Roman"/>
          <w:color w:val="000000"/>
          <w:sz w:val="24"/>
          <w:szCs w:val="24"/>
        </w:rPr>
        <w:t>Následující body se přečíslují.</w:t>
      </w:r>
    </w:p>
    <w:p w:rsidR="00711816" w:rsidRDefault="00711816" w:rsidP="007118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11816" w:rsidRDefault="009D0CAC" w:rsidP="0071181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V části první č</w:t>
      </w:r>
      <w:r w:rsidR="00711816">
        <w:rPr>
          <w:rFonts w:ascii="Times New Roman" w:hAnsi="Times New Roman"/>
          <w:color w:val="000000"/>
          <w:sz w:val="24"/>
          <w:szCs w:val="24"/>
        </w:rPr>
        <w:t>l. I se za dosavadní bod 9 vkládá nový bod, který zní:</w:t>
      </w:r>
    </w:p>
    <w:p w:rsidR="00711816" w:rsidRDefault="00711816" w:rsidP="00711816">
      <w:pPr>
        <w:pStyle w:val="Odstavecseseznamem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„</w:t>
      </w:r>
      <w:r w:rsidR="00361FD0">
        <w:rPr>
          <w:rFonts w:ascii="Times New Roman" w:hAnsi="Times New Roman"/>
          <w:color w:val="000000"/>
          <w:sz w:val="24"/>
          <w:szCs w:val="24"/>
        </w:rPr>
        <w:t xml:space="preserve">X. </w:t>
      </w:r>
      <w:r w:rsidRPr="00711816">
        <w:rPr>
          <w:rFonts w:ascii="Times New Roman" w:hAnsi="Times New Roman"/>
          <w:color w:val="000000"/>
          <w:sz w:val="24"/>
          <w:szCs w:val="24"/>
        </w:rPr>
        <w:t xml:space="preserve">V § 12 odst. 2 </w:t>
      </w:r>
      <w:r w:rsidR="001A7632">
        <w:rPr>
          <w:rFonts w:ascii="Times New Roman" w:hAnsi="Times New Roman"/>
          <w:sz w:val="24"/>
          <w:szCs w:val="24"/>
        </w:rPr>
        <w:t>se za slova „vyjádření k“ vkláda</w:t>
      </w:r>
      <w:r w:rsidRPr="00711816">
        <w:rPr>
          <w:rFonts w:ascii="Times New Roman" w:hAnsi="Times New Roman"/>
          <w:sz w:val="24"/>
          <w:szCs w:val="24"/>
        </w:rPr>
        <w:t>jí slova „vydání závazného stanoviska podle § 11 odst. 2 písm. c) a k</w:t>
      </w:r>
      <w:r w:rsidR="006A0913">
        <w:rPr>
          <w:rFonts w:ascii="Times New Roman" w:hAnsi="Times New Roman"/>
          <w:sz w:val="24"/>
          <w:szCs w:val="24"/>
        </w:rPr>
        <w:t>)</w:t>
      </w:r>
      <w:r w:rsidRPr="00711816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.“</w:t>
      </w:r>
    </w:p>
    <w:p w:rsidR="00361FD0" w:rsidRPr="00711816" w:rsidRDefault="00361FD0" w:rsidP="00361FD0">
      <w:pPr>
        <w:pStyle w:val="Odstavecseseznamem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Následující body se přečíslují.</w:t>
      </w:r>
    </w:p>
    <w:p w:rsidR="00711816" w:rsidRPr="003651AF" w:rsidRDefault="00711816" w:rsidP="0071181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11816" w:rsidRDefault="009D0CAC" w:rsidP="00711816">
      <w:pPr>
        <w:numPr>
          <w:ilvl w:val="0"/>
          <w:numId w:val="16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části první č</w:t>
      </w:r>
      <w:r w:rsidR="00711816" w:rsidRPr="003651AF">
        <w:rPr>
          <w:rFonts w:ascii="Times New Roman" w:hAnsi="Times New Roman"/>
          <w:sz w:val="24"/>
          <w:szCs w:val="24"/>
        </w:rPr>
        <w:t>l. I se v dosavadním bodě 14 v § 14 odst. 3 větě první za slova „</w:t>
      </w:r>
      <w:r w:rsidR="00711816" w:rsidRPr="003651AF">
        <w:rPr>
          <w:rFonts w:ascii="Times New Roman" w:hAnsi="Times New Roman"/>
          <w:bCs/>
          <w:sz w:val="24"/>
          <w:szCs w:val="24"/>
        </w:rPr>
        <w:t xml:space="preserve">podle odstavce 2“ </w:t>
      </w:r>
      <w:r w:rsidR="00711816" w:rsidRPr="003651AF">
        <w:rPr>
          <w:rFonts w:ascii="Times New Roman" w:hAnsi="Times New Roman"/>
          <w:sz w:val="24"/>
          <w:szCs w:val="24"/>
        </w:rPr>
        <w:t>doplňují slova „nebo 5“.</w:t>
      </w:r>
    </w:p>
    <w:p w:rsidR="004B7CDA" w:rsidRDefault="004B7CDA" w:rsidP="004B7CDA">
      <w:p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4B7CDA" w:rsidRDefault="004B7CDA" w:rsidP="00361FD0">
      <w:pPr>
        <w:numPr>
          <w:ilvl w:val="0"/>
          <w:numId w:val="16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části první </w:t>
      </w:r>
      <w:r w:rsidR="009D0CAC">
        <w:rPr>
          <w:rFonts w:ascii="Times New Roman" w:hAnsi="Times New Roman"/>
          <w:sz w:val="24"/>
          <w:szCs w:val="24"/>
        </w:rPr>
        <w:t>č</w:t>
      </w:r>
      <w:r w:rsidR="00361FD0">
        <w:rPr>
          <w:rFonts w:ascii="Times New Roman" w:hAnsi="Times New Roman"/>
          <w:sz w:val="24"/>
          <w:szCs w:val="24"/>
        </w:rPr>
        <w:t>l.</w:t>
      </w:r>
      <w:r w:rsidR="00711270">
        <w:rPr>
          <w:rFonts w:ascii="Times New Roman" w:hAnsi="Times New Roman"/>
          <w:sz w:val="24"/>
          <w:szCs w:val="24"/>
        </w:rPr>
        <w:t xml:space="preserve"> I se za dosavadní bod 16 vkládají</w:t>
      </w:r>
      <w:r w:rsidR="00361FD0">
        <w:rPr>
          <w:rFonts w:ascii="Times New Roman" w:hAnsi="Times New Roman"/>
          <w:sz w:val="24"/>
          <w:szCs w:val="24"/>
        </w:rPr>
        <w:t xml:space="preserve"> </w:t>
      </w:r>
      <w:r w:rsidR="00711270">
        <w:rPr>
          <w:rFonts w:ascii="Times New Roman" w:hAnsi="Times New Roman"/>
          <w:sz w:val="24"/>
          <w:szCs w:val="24"/>
        </w:rPr>
        <w:t>dva nové</w:t>
      </w:r>
      <w:r w:rsidR="00361FD0">
        <w:rPr>
          <w:rFonts w:ascii="Times New Roman" w:hAnsi="Times New Roman"/>
          <w:sz w:val="24"/>
          <w:szCs w:val="24"/>
        </w:rPr>
        <w:t xml:space="preserve"> bod</w:t>
      </w:r>
      <w:r w:rsidR="00711270">
        <w:rPr>
          <w:rFonts w:ascii="Times New Roman" w:hAnsi="Times New Roman"/>
          <w:sz w:val="24"/>
          <w:szCs w:val="24"/>
        </w:rPr>
        <w:t>y</w:t>
      </w:r>
      <w:r w:rsidR="00361FD0">
        <w:rPr>
          <w:rFonts w:ascii="Times New Roman" w:hAnsi="Times New Roman"/>
          <w:sz w:val="24"/>
          <w:szCs w:val="24"/>
        </w:rPr>
        <w:t>, kter</w:t>
      </w:r>
      <w:r w:rsidR="00711270">
        <w:rPr>
          <w:rFonts w:ascii="Times New Roman" w:hAnsi="Times New Roman"/>
          <w:sz w:val="24"/>
          <w:szCs w:val="24"/>
        </w:rPr>
        <w:t>é</w:t>
      </w:r>
      <w:r w:rsidR="00361FD0">
        <w:rPr>
          <w:rFonts w:ascii="Times New Roman" w:hAnsi="Times New Roman"/>
          <w:sz w:val="24"/>
          <w:szCs w:val="24"/>
        </w:rPr>
        <w:t xml:space="preserve"> zn</w:t>
      </w:r>
      <w:r w:rsidR="00711270">
        <w:rPr>
          <w:rFonts w:ascii="Times New Roman" w:hAnsi="Times New Roman"/>
          <w:sz w:val="24"/>
          <w:szCs w:val="24"/>
        </w:rPr>
        <w:t>ěj</w:t>
      </w:r>
      <w:r w:rsidR="00361FD0">
        <w:rPr>
          <w:rFonts w:ascii="Times New Roman" w:hAnsi="Times New Roman"/>
          <w:sz w:val="24"/>
          <w:szCs w:val="24"/>
        </w:rPr>
        <w:t>í:</w:t>
      </w:r>
    </w:p>
    <w:p w:rsidR="00361FD0" w:rsidRDefault="00361FD0" w:rsidP="00711270">
      <w:pPr>
        <w:pStyle w:val="Odstavecseseznamem"/>
        <w:spacing w:after="120"/>
        <w:ind w:left="360"/>
        <w:jc w:val="both"/>
      </w:pPr>
      <w:r>
        <w:rPr>
          <w:rFonts w:ascii="Times New Roman" w:hAnsi="Times New Roman"/>
          <w:sz w:val="24"/>
          <w:szCs w:val="24"/>
        </w:rPr>
        <w:t>„X</w:t>
      </w:r>
      <w:r w:rsidRPr="00361FD0">
        <w:rPr>
          <w:rFonts w:ascii="Times New Roman" w:hAnsi="Times New Roman"/>
          <w:sz w:val="24"/>
          <w:szCs w:val="24"/>
        </w:rPr>
        <w:t>. V § 16 odst. 7 se slova „pro ni“ a „a ekonomicky přijatelné“ zrušují a doplňuje se věta, která včetně poznámky pod čarou č. 33 zní: „To neplatí, pokud energetický posudek</w:t>
      </w:r>
      <w:r w:rsidRPr="00361FD0">
        <w:rPr>
          <w:rFonts w:ascii="Times New Roman" w:hAnsi="Times New Roman"/>
          <w:sz w:val="24"/>
          <w:szCs w:val="24"/>
          <w:vertAlign w:val="superscript"/>
        </w:rPr>
        <w:t>33</w:t>
      </w:r>
      <w:r w:rsidRPr="00711270">
        <w:rPr>
          <w:rFonts w:ascii="Times New Roman" w:hAnsi="Times New Roman"/>
          <w:sz w:val="24"/>
          <w:szCs w:val="24"/>
          <w:vertAlign w:val="superscript"/>
        </w:rPr>
        <w:t>)</w:t>
      </w:r>
      <w:r w:rsidRPr="00361FD0">
        <w:rPr>
          <w:rFonts w:ascii="Times New Roman" w:hAnsi="Times New Roman"/>
          <w:sz w:val="24"/>
          <w:szCs w:val="24"/>
        </w:rPr>
        <w:t xml:space="preserve"> prokáže, že využití tepla ze soustavy zásobování tepelnou energií nebo zdroje energie, který není stacionárním zdrojem, není pro povinnou osobu ekonomicky přijatelné.</w:t>
      </w:r>
    </w:p>
    <w:p w:rsidR="00361FD0" w:rsidRPr="00711270" w:rsidRDefault="00361FD0" w:rsidP="00711270">
      <w:pPr>
        <w:pStyle w:val="Odstavecseseznamem"/>
        <w:spacing w:after="120"/>
        <w:ind w:left="360"/>
        <w:jc w:val="both"/>
        <w:rPr>
          <w:rFonts w:ascii="Times New Roman" w:hAnsi="Times New Roman"/>
        </w:rPr>
      </w:pPr>
      <w:r w:rsidRPr="00711270">
        <w:rPr>
          <w:rFonts w:ascii="Times New Roman" w:hAnsi="Times New Roman"/>
        </w:rPr>
        <w:t>_________________________</w:t>
      </w:r>
    </w:p>
    <w:p w:rsidR="00361FD0" w:rsidRPr="00711270" w:rsidRDefault="00361FD0" w:rsidP="00711270">
      <w:pPr>
        <w:pStyle w:val="Odstavecseseznamem"/>
        <w:ind w:left="360"/>
        <w:jc w:val="both"/>
        <w:rPr>
          <w:rFonts w:ascii="Times New Roman" w:hAnsi="Times New Roman"/>
        </w:rPr>
      </w:pPr>
      <w:r w:rsidRPr="00711270">
        <w:rPr>
          <w:rFonts w:ascii="Times New Roman" w:hAnsi="Times New Roman"/>
        </w:rPr>
        <w:t>33) Zákon č. 406/2000 Sb., o hospodaření energií</w:t>
      </w:r>
      <w:r w:rsidR="00711270">
        <w:rPr>
          <w:rFonts w:ascii="Times New Roman" w:hAnsi="Times New Roman"/>
        </w:rPr>
        <w:t>, ve znění pozdějších předpisů.</w:t>
      </w:r>
    </w:p>
    <w:p w:rsidR="00361FD0" w:rsidRDefault="00711270" w:rsidP="00361FD0">
      <w:p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61FD0">
        <w:rPr>
          <w:rFonts w:ascii="Times New Roman" w:hAnsi="Times New Roman"/>
          <w:sz w:val="24"/>
          <w:szCs w:val="24"/>
        </w:rPr>
        <w:t>X</w:t>
      </w:r>
      <w:r w:rsidR="00361FD0" w:rsidRPr="00361FD0">
        <w:rPr>
          <w:rFonts w:ascii="Times New Roman" w:hAnsi="Times New Roman"/>
          <w:sz w:val="24"/>
          <w:szCs w:val="24"/>
        </w:rPr>
        <w:t>. V § 16 odst. 8 se spojka „a“ mezi slovy „paliv“ a „požadavky“ nahrazuj</w:t>
      </w:r>
      <w:r>
        <w:rPr>
          <w:rFonts w:ascii="Times New Roman" w:hAnsi="Times New Roman"/>
          <w:sz w:val="24"/>
          <w:szCs w:val="24"/>
        </w:rPr>
        <w:t>e</w:t>
      </w:r>
      <w:r w:rsidR="00361FD0" w:rsidRPr="00361FD0">
        <w:rPr>
          <w:rFonts w:ascii="Times New Roman" w:hAnsi="Times New Roman"/>
          <w:sz w:val="24"/>
          <w:szCs w:val="24"/>
        </w:rPr>
        <w:t xml:space="preserve"> čárkou</w:t>
      </w:r>
      <w:r>
        <w:rPr>
          <w:rFonts w:ascii="Times New Roman" w:hAnsi="Times New Roman"/>
          <w:sz w:val="24"/>
          <w:szCs w:val="24"/>
        </w:rPr>
        <w:t xml:space="preserve"> </w:t>
      </w:r>
      <w:r w:rsidR="00361FD0" w:rsidRPr="00361FD0">
        <w:rPr>
          <w:rFonts w:ascii="Times New Roman" w:hAnsi="Times New Roman"/>
          <w:sz w:val="24"/>
          <w:szCs w:val="24"/>
        </w:rPr>
        <w:t>a čárka mezi slovy „plnění“ a „obsahové náležitosti“ se nahrazuje spojkou „a“ a slova „a pravidla pro stanovení ekonomické přijatelnosti využití tepla ze soustavy zásobování tepelnou energií nebo zdroje energie, který není stacionárním zdrojem“ se zrušují.“.</w:t>
      </w:r>
      <w:r w:rsidR="00361FD0">
        <w:rPr>
          <w:rFonts w:ascii="Times New Roman" w:hAnsi="Times New Roman"/>
          <w:sz w:val="24"/>
          <w:szCs w:val="24"/>
        </w:rPr>
        <w:t>“.</w:t>
      </w:r>
    </w:p>
    <w:p w:rsidR="00A40E99" w:rsidRDefault="00A40E99" w:rsidP="00361FD0">
      <w:p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Následující body se přečíslují.</w:t>
      </w:r>
    </w:p>
    <w:p w:rsidR="00711816" w:rsidRPr="003651AF" w:rsidRDefault="00711816" w:rsidP="00711816">
      <w:p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711816" w:rsidRPr="003651AF" w:rsidRDefault="00711816" w:rsidP="00711816">
      <w:pPr>
        <w:numPr>
          <w:ilvl w:val="0"/>
          <w:numId w:val="16"/>
        </w:numPr>
        <w:spacing w:after="0" w:line="276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3651AF">
        <w:rPr>
          <w:rFonts w:ascii="Times New Roman" w:hAnsi="Times New Roman"/>
          <w:b/>
          <w:sz w:val="24"/>
          <w:szCs w:val="24"/>
          <w:u w:val="single"/>
        </w:rPr>
        <w:t xml:space="preserve">Var. I tohoto bodu: </w:t>
      </w:r>
    </w:p>
    <w:p w:rsidR="00711816" w:rsidRDefault="00711816" w:rsidP="00711816">
      <w:pPr>
        <w:spacing w:after="0"/>
        <w:rPr>
          <w:rFonts w:ascii="Times New Roman" w:hAnsi="Times New Roman"/>
          <w:sz w:val="24"/>
          <w:szCs w:val="24"/>
        </w:rPr>
      </w:pPr>
    </w:p>
    <w:p w:rsidR="00711816" w:rsidRPr="003651AF" w:rsidRDefault="00711816" w:rsidP="00711816">
      <w:pPr>
        <w:spacing w:after="0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>1</w:t>
      </w:r>
      <w:r w:rsidRPr="003651AF">
        <w:rPr>
          <w:rFonts w:ascii="Times New Roman" w:hAnsi="Times New Roman"/>
          <w:b/>
          <w:sz w:val="24"/>
          <w:szCs w:val="24"/>
        </w:rPr>
        <w:t>.</w:t>
      </w:r>
      <w:r w:rsidR="009D0CAC">
        <w:rPr>
          <w:rFonts w:ascii="Times New Roman" w:hAnsi="Times New Roman"/>
          <w:sz w:val="24"/>
          <w:szCs w:val="24"/>
        </w:rPr>
        <w:t xml:space="preserve"> V části první č</w:t>
      </w:r>
      <w:r w:rsidRPr="003651AF">
        <w:rPr>
          <w:rFonts w:ascii="Times New Roman" w:hAnsi="Times New Roman"/>
          <w:sz w:val="24"/>
          <w:szCs w:val="24"/>
        </w:rPr>
        <w:t>l. I bod 32 zní:</w:t>
      </w:r>
    </w:p>
    <w:p w:rsidR="00711816" w:rsidRPr="003651AF" w:rsidRDefault="00711816" w:rsidP="00711816">
      <w:pPr>
        <w:pStyle w:val="Novelizanbod"/>
        <w:keepLines w:val="0"/>
        <w:tabs>
          <w:tab w:val="left" w:pos="567"/>
        </w:tabs>
        <w:spacing w:before="0" w:after="0"/>
        <w:rPr>
          <w:szCs w:val="24"/>
        </w:rPr>
      </w:pPr>
      <w:r w:rsidRPr="003651AF">
        <w:rPr>
          <w:szCs w:val="24"/>
        </w:rPr>
        <w:t xml:space="preserve">„32. V § 19 </w:t>
      </w:r>
      <w:r w:rsidR="002D5066">
        <w:rPr>
          <w:szCs w:val="24"/>
        </w:rPr>
        <w:t xml:space="preserve">odstavec </w:t>
      </w:r>
      <w:r w:rsidRPr="003651AF">
        <w:rPr>
          <w:szCs w:val="24"/>
        </w:rPr>
        <w:t>5 zní:</w:t>
      </w:r>
    </w:p>
    <w:p w:rsidR="00711816" w:rsidRPr="003651AF" w:rsidRDefault="00711816" w:rsidP="00711816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3651AF">
        <w:rPr>
          <w:rFonts w:ascii="Times New Roman" w:hAnsi="Times New Roman"/>
          <w:sz w:val="24"/>
          <w:szCs w:val="24"/>
        </w:rPr>
        <w:t>„(5) Pro</w:t>
      </w:r>
      <w:proofErr w:type="gramEnd"/>
      <w:r w:rsidRPr="003651AF">
        <w:rPr>
          <w:rFonts w:ascii="Times New Roman" w:hAnsi="Times New Roman"/>
          <w:sz w:val="24"/>
          <w:szCs w:val="24"/>
        </w:rPr>
        <w:t xml:space="preserve"> účely splnění povinnosti uvedené v odstavci 1 jsou zohledňována pouze biopaliva, </w:t>
      </w:r>
      <w:proofErr w:type="gramStart"/>
      <w:r w:rsidRPr="003651AF">
        <w:rPr>
          <w:rFonts w:ascii="Times New Roman" w:hAnsi="Times New Roman"/>
          <w:sz w:val="24"/>
          <w:szCs w:val="24"/>
        </w:rPr>
        <w:t>která</w:t>
      </w:r>
      <w:proofErr w:type="gramEnd"/>
      <w:r w:rsidRPr="003651AF">
        <w:rPr>
          <w:rFonts w:ascii="Times New Roman" w:hAnsi="Times New Roman"/>
          <w:sz w:val="24"/>
          <w:szCs w:val="24"/>
        </w:rPr>
        <w:t xml:space="preserve"> </w:t>
      </w:r>
    </w:p>
    <w:p w:rsidR="00711816" w:rsidRPr="003651AF" w:rsidRDefault="00711816" w:rsidP="00711816">
      <w:pPr>
        <w:numPr>
          <w:ilvl w:val="0"/>
          <w:numId w:val="18"/>
        </w:numPr>
        <w:suppressAutoHyphens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 xml:space="preserve">byla na daňovém území České republiky v režimu podmíněného osvobození od daně vyrobena nebo na daňové území České republiky v režimu podmíněného osvobození od daně dopravena, </w:t>
      </w:r>
    </w:p>
    <w:p w:rsidR="00711816" w:rsidRPr="003651AF" w:rsidRDefault="00711816" w:rsidP="00711816">
      <w:pPr>
        <w:numPr>
          <w:ilvl w:val="0"/>
          <w:numId w:val="18"/>
        </w:numPr>
        <w:suppressAutoHyphens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 xml:space="preserve">splňují kritéria udržitelnosti stanovená prováděcím právním předpisem, </w:t>
      </w:r>
    </w:p>
    <w:p w:rsidR="00711816" w:rsidRPr="003651AF" w:rsidRDefault="00711816" w:rsidP="00711816">
      <w:pPr>
        <w:numPr>
          <w:ilvl w:val="0"/>
          <w:numId w:val="18"/>
        </w:numPr>
        <w:suppressAutoHyphens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 xml:space="preserve">byla na daňovém území České republiky spotřebována, </w:t>
      </w:r>
    </w:p>
    <w:p w:rsidR="00711816" w:rsidRPr="003651AF" w:rsidRDefault="00711816" w:rsidP="00711816">
      <w:pPr>
        <w:numPr>
          <w:ilvl w:val="0"/>
          <w:numId w:val="18"/>
        </w:numPr>
        <w:suppressAutoHyphens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 xml:space="preserve">nebyla opakovaně uvedena do volného daňového oběhu a </w:t>
      </w:r>
    </w:p>
    <w:p w:rsidR="00711816" w:rsidRPr="003651AF" w:rsidRDefault="00711816" w:rsidP="00711816">
      <w:pPr>
        <w:numPr>
          <w:ilvl w:val="0"/>
          <w:numId w:val="18"/>
        </w:numPr>
        <w:suppressAutoHyphens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 xml:space="preserve">nebyla dosud zohledněna pro účely splnění povinnosti uvedené v odstavci 1 ani ke splnění obdobné povinnosti na území jiného členského státu Evropské unie. </w:t>
      </w:r>
    </w:p>
    <w:p w:rsidR="00711816" w:rsidRPr="003651AF" w:rsidRDefault="00711816" w:rsidP="007118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 xml:space="preserve">Splnění kritérií udržitelnosti prokazuje dodavatel pohonných hmot předložením příslušných dokladů vydaných podle § 21; za nesprávnost údaje obsaženého v jemu předloženém dokladu nenese odpovědnost, pokud prokáže, že nebylo možno ji zjistit ani s vynaložením veškerého </w:t>
      </w:r>
      <w:r w:rsidRPr="003651AF">
        <w:rPr>
          <w:rFonts w:ascii="Times New Roman" w:hAnsi="Times New Roman"/>
          <w:sz w:val="24"/>
          <w:szCs w:val="24"/>
        </w:rPr>
        <w:lastRenderedPageBreak/>
        <w:t>úsilí, které lze požadovat. K prokázání skutečnosti, že biopalivo nebylo dosud zohledněno podle písm. e), předkládá dodavatel pohonných hmot čestné prohlášení vydané osobou, která je oprávněna vydat doklad o splnění kritérií udržitelnosti podle § 21 odst. 1, 11 nebo 12.“.“</w:t>
      </w:r>
    </w:p>
    <w:p w:rsidR="00711816" w:rsidRDefault="00711816" w:rsidP="00711816">
      <w:pPr>
        <w:spacing w:after="0"/>
        <w:rPr>
          <w:rFonts w:ascii="Times New Roman" w:hAnsi="Times New Roman"/>
          <w:sz w:val="24"/>
          <w:szCs w:val="24"/>
        </w:rPr>
      </w:pPr>
    </w:p>
    <w:p w:rsidR="00711816" w:rsidRPr="003651AF" w:rsidRDefault="00711816" w:rsidP="00711816">
      <w:pPr>
        <w:spacing w:after="0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>2</w:t>
      </w:r>
      <w:r w:rsidRPr="003651AF">
        <w:rPr>
          <w:rFonts w:ascii="Times New Roman" w:hAnsi="Times New Roman"/>
          <w:b/>
          <w:sz w:val="24"/>
          <w:szCs w:val="24"/>
        </w:rPr>
        <w:t>.</w:t>
      </w:r>
      <w:r w:rsidR="009D0CAC">
        <w:rPr>
          <w:rFonts w:ascii="Times New Roman" w:hAnsi="Times New Roman"/>
          <w:sz w:val="24"/>
          <w:szCs w:val="24"/>
        </w:rPr>
        <w:t xml:space="preserve"> V části první č</w:t>
      </w:r>
      <w:r w:rsidRPr="003651AF">
        <w:rPr>
          <w:rFonts w:ascii="Times New Roman" w:hAnsi="Times New Roman"/>
          <w:sz w:val="24"/>
          <w:szCs w:val="24"/>
        </w:rPr>
        <w:t>l. I bod 33 zní:</w:t>
      </w:r>
    </w:p>
    <w:p w:rsidR="00711816" w:rsidRPr="003651AF" w:rsidRDefault="002D5066" w:rsidP="00711816">
      <w:pPr>
        <w:pStyle w:val="Novelizanbod"/>
        <w:keepLines w:val="0"/>
        <w:tabs>
          <w:tab w:val="left" w:pos="567"/>
        </w:tabs>
        <w:spacing w:before="0" w:after="0"/>
        <w:rPr>
          <w:szCs w:val="24"/>
        </w:rPr>
      </w:pPr>
      <w:r>
        <w:rPr>
          <w:szCs w:val="24"/>
        </w:rPr>
        <w:t>„33. V § 19a odstavec</w:t>
      </w:r>
      <w:r w:rsidR="00711816" w:rsidRPr="003651AF">
        <w:rPr>
          <w:szCs w:val="24"/>
        </w:rPr>
        <w:t xml:space="preserve"> 3 zní:</w:t>
      </w:r>
    </w:p>
    <w:p w:rsidR="00711816" w:rsidRPr="003651AF" w:rsidRDefault="00711816" w:rsidP="00711816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3651AF">
        <w:rPr>
          <w:rFonts w:ascii="Times New Roman" w:hAnsi="Times New Roman"/>
          <w:sz w:val="24"/>
          <w:szCs w:val="24"/>
        </w:rPr>
        <w:t>„(3) Pro</w:t>
      </w:r>
      <w:proofErr w:type="gramEnd"/>
      <w:r w:rsidRPr="003651AF">
        <w:rPr>
          <w:rFonts w:ascii="Times New Roman" w:hAnsi="Times New Roman"/>
          <w:sz w:val="24"/>
          <w:szCs w:val="24"/>
        </w:rPr>
        <w:t xml:space="preserve"> účely splnění povinnosti uvedené v odstavci 1 jsou zohledňována pouze biopaliva, </w:t>
      </w:r>
      <w:proofErr w:type="gramStart"/>
      <w:r w:rsidRPr="003651AF">
        <w:rPr>
          <w:rFonts w:ascii="Times New Roman" w:hAnsi="Times New Roman"/>
          <w:sz w:val="24"/>
          <w:szCs w:val="24"/>
        </w:rPr>
        <w:t>která</w:t>
      </w:r>
      <w:proofErr w:type="gramEnd"/>
      <w:r w:rsidRPr="003651AF">
        <w:rPr>
          <w:rFonts w:ascii="Times New Roman" w:hAnsi="Times New Roman"/>
          <w:sz w:val="24"/>
          <w:szCs w:val="24"/>
        </w:rPr>
        <w:t xml:space="preserve"> </w:t>
      </w:r>
    </w:p>
    <w:p w:rsidR="00711816" w:rsidRPr="003651AF" w:rsidRDefault="00711816" w:rsidP="00711816">
      <w:pPr>
        <w:numPr>
          <w:ilvl w:val="0"/>
          <w:numId w:val="20"/>
        </w:numPr>
        <w:suppressAutoHyphens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 xml:space="preserve">byla na daňovém území České republiky v režimu podmíněného osvobození od daně vyrobena nebo na daňové území České republiky v režimu podmíněného osvobození od daně dopravena, </w:t>
      </w:r>
    </w:p>
    <w:p w:rsidR="00711816" w:rsidRPr="003651AF" w:rsidRDefault="00711816" w:rsidP="00711816">
      <w:pPr>
        <w:numPr>
          <w:ilvl w:val="0"/>
          <w:numId w:val="20"/>
        </w:numPr>
        <w:suppressAutoHyphens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 xml:space="preserve">splňují kritéria udržitelnosti stanovená prováděcím právním předpisem, </w:t>
      </w:r>
    </w:p>
    <w:p w:rsidR="00711816" w:rsidRPr="003651AF" w:rsidRDefault="00711816" w:rsidP="00711816">
      <w:pPr>
        <w:numPr>
          <w:ilvl w:val="0"/>
          <w:numId w:val="20"/>
        </w:numPr>
        <w:suppressAutoHyphens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 xml:space="preserve">byla na daňovém území České republiky spotřebována, </w:t>
      </w:r>
    </w:p>
    <w:p w:rsidR="00711816" w:rsidRPr="003651AF" w:rsidRDefault="00711816" w:rsidP="00711816">
      <w:pPr>
        <w:numPr>
          <w:ilvl w:val="0"/>
          <w:numId w:val="20"/>
        </w:numPr>
        <w:suppressAutoHyphens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 xml:space="preserve">nebyla opakovaně uvedena do volného daňového oběhu a </w:t>
      </w:r>
    </w:p>
    <w:p w:rsidR="00711816" w:rsidRPr="003651AF" w:rsidRDefault="00711816" w:rsidP="00711816">
      <w:pPr>
        <w:numPr>
          <w:ilvl w:val="0"/>
          <w:numId w:val="20"/>
        </w:numPr>
        <w:suppressAutoHyphens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 xml:space="preserve">nebyla dosud zohledněna pro účely splnění povinnosti uvedené v odstavci 1 ani ke splnění obdobné povinnosti na území jiného členského státu Evropské unie. </w:t>
      </w:r>
    </w:p>
    <w:p w:rsidR="00711816" w:rsidRPr="003651AF" w:rsidRDefault="00711816" w:rsidP="007118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>Splnění kritérií udržitelnosti prokazuje dodavatel pohonných hmot předložením příslušných dokladů vydaných podle § 21; za nesprávnost údaje obsaženého v jemu předloženém dokladu nenese odpovědnost, pokud prokáže, že nebylo možno ji zjistit ani s vynaložením veškerého úsilí, které lze požadovat. K prokázání skutečnosti, že biopalivo nebylo dosud zohledněno podle písm. e), předkládá dodavatel pohonných hmot čestné prohlášení vydané osobou, která je oprávněna vydat doklad o splnění kritérií udržitelnosti podle § 21 odst. 1, 11 nebo 12.“.“</w:t>
      </w:r>
    </w:p>
    <w:p w:rsidR="00711816" w:rsidRDefault="00711816" w:rsidP="00711816">
      <w:pPr>
        <w:keepNext/>
        <w:spacing w:after="0"/>
        <w:contextualSpacing/>
        <w:rPr>
          <w:rFonts w:ascii="Times New Roman" w:hAnsi="Times New Roman"/>
          <w:sz w:val="24"/>
          <w:szCs w:val="24"/>
        </w:rPr>
      </w:pPr>
    </w:p>
    <w:p w:rsidR="00711816" w:rsidRPr="003651AF" w:rsidRDefault="00711816" w:rsidP="00711816">
      <w:pPr>
        <w:keepNext/>
        <w:spacing w:after="0"/>
        <w:contextualSpacing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>3</w:t>
      </w:r>
      <w:r w:rsidRPr="003651AF">
        <w:rPr>
          <w:rFonts w:ascii="Times New Roman" w:hAnsi="Times New Roman"/>
          <w:b/>
          <w:sz w:val="24"/>
          <w:szCs w:val="24"/>
        </w:rPr>
        <w:t>.</w:t>
      </w:r>
      <w:r w:rsidR="009D0CAC">
        <w:rPr>
          <w:rFonts w:ascii="Times New Roman" w:hAnsi="Times New Roman"/>
          <w:sz w:val="24"/>
          <w:szCs w:val="24"/>
        </w:rPr>
        <w:t xml:space="preserve"> V části první č</w:t>
      </w:r>
      <w:r w:rsidRPr="003651AF">
        <w:rPr>
          <w:rFonts w:ascii="Times New Roman" w:hAnsi="Times New Roman"/>
          <w:sz w:val="24"/>
          <w:szCs w:val="24"/>
        </w:rPr>
        <w:t>l. I bod 34 zní:</w:t>
      </w:r>
    </w:p>
    <w:p w:rsidR="00711816" w:rsidRPr="003651AF" w:rsidRDefault="00711816" w:rsidP="00711816">
      <w:pPr>
        <w:pStyle w:val="Novelizanbod"/>
        <w:keepLines w:val="0"/>
        <w:tabs>
          <w:tab w:val="left" w:pos="567"/>
        </w:tabs>
        <w:spacing w:before="0" w:after="0"/>
        <w:rPr>
          <w:szCs w:val="24"/>
        </w:rPr>
      </w:pPr>
      <w:r w:rsidRPr="003651AF">
        <w:rPr>
          <w:szCs w:val="24"/>
        </w:rPr>
        <w:t>„34. V § 20 odst. 1 se slova „o 4 %“ nahrazují slovy „o 3,5 %“.“</w:t>
      </w:r>
    </w:p>
    <w:p w:rsidR="00711816" w:rsidRDefault="00711816" w:rsidP="00711816">
      <w:pPr>
        <w:spacing w:after="0"/>
        <w:rPr>
          <w:rFonts w:ascii="Times New Roman" w:hAnsi="Times New Roman"/>
          <w:sz w:val="24"/>
          <w:szCs w:val="24"/>
        </w:rPr>
      </w:pPr>
    </w:p>
    <w:p w:rsidR="00711816" w:rsidRPr="003651AF" w:rsidRDefault="009D0CAC" w:rsidP="0071181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V části první č</w:t>
      </w:r>
      <w:r w:rsidR="00711816" w:rsidRPr="003651AF">
        <w:rPr>
          <w:rFonts w:ascii="Times New Roman" w:hAnsi="Times New Roman"/>
          <w:sz w:val="24"/>
          <w:szCs w:val="24"/>
        </w:rPr>
        <w:t>l. I bod 35 zní:</w:t>
      </w:r>
    </w:p>
    <w:p w:rsidR="00711816" w:rsidRPr="003651AF" w:rsidRDefault="00711816" w:rsidP="00711816">
      <w:pPr>
        <w:pStyle w:val="Novelizanbod"/>
        <w:keepLines w:val="0"/>
        <w:tabs>
          <w:tab w:val="left" w:pos="567"/>
        </w:tabs>
        <w:spacing w:before="0" w:after="0"/>
        <w:rPr>
          <w:szCs w:val="24"/>
        </w:rPr>
      </w:pPr>
      <w:r w:rsidRPr="003651AF">
        <w:rPr>
          <w:szCs w:val="24"/>
        </w:rPr>
        <w:t>„35. V § 20 odst. 2 se slova „nebo dodáním čistého biopaliva nebo směsného paliva, které bylo uvedeno do volného daňového oběhu v jiném členském státě Evropské unie, na daňové území České republiky pro dopravní účely“ zrušují.“.“</w:t>
      </w:r>
    </w:p>
    <w:p w:rsidR="00711816" w:rsidRDefault="00711816" w:rsidP="00711816">
      <w:pPr>
        <w:keepNext/>
        <w:spacing w:after="0"/>
        <w:rPr>
          <w:rFonts w:ascii="Times New Roman" w:hAnsi="Times New Roman"/>
          <w:sz w:val="24"/>
          <w:szCs w:val="24"/>
        </w:rPr>
      </w:pPr>
    </w:p>
    <w:p w:rsidR="00711816" w:rsidRPr="003651AF" w:rsidRDefault="00711816" w:rsidP="00711816">
      <w:pPr>
        <w:keepNext/>
        <w:spacing w:after="0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>5.</w:t>
      </w:r>
      <w:r w:rsidRPr="003651AF">
        <w:rPr>
          <w:rFonts w:ascii="Times New Roman" w:hAnsi="Times New Roman"/>
          <w:b/>
          <w:sz w:val="24"/>
          <w:szCs w:val="24"/>
        </w:rPr>
        <w:t xml:space="preserve"> </w:t>
      </w:r>
      <w:r w:rsidR="009D0CAC">
        <w:rPr>
          <w:rFonts w:ascii="Times New Roman" w:hAnsi="Times New Roman"/>
          <w:sz w:val="24"/>
          <w:szCs w:val="24"/>
        </w:rPr>
        <w:t>V části první č</w:t>
      </w:r>
      <w:r w:rsidRPr="003651AF">
        <w:rPr>
          <w:rFonts w:ascii="Times New Roman" w:hAnsi="Times New Roman"/>
          <w:sz w:val="24"/>
          <w:szCs w:val="24"/>
        </w:rPr>
        <w:t>l. I se za dosavadní bod 35 vkládá nový bod, který zní:</w:t>
      </w:r>
    </w:p>
    <w:p w:rsidR="00711816" w:rsidRPr="003651AF" w:rsidRDefault="00711816" w:rsidP="00711816">
      <w:pPr>
        <w:pStyle w:val="Novelizanbod"/>
        <w:keepLines w:val="0"/>
        <w:tabs>
          <w:tab w:val="left" w:pos="567"/>
        </w:tabs>
        <w:spacing w:before="0" w:after="0"/>
        <w:rPr>
          <w:szCs w:val="24"/>
        </w:rPr>
      </w:pPr>
      <w:r w:rsidRPr="003651AF" w:rsidDel="00AB4902">
        <w:rPr>
          <w:szCs w:val="24"/>
        </w:rPr>
        <w:t xml:space="preserve"> </w:t>
      </w:r>
      <w:r w:rsidRPr="003651AF">
        <w:rPr>
          <w:szCs w:val="24"/>
        </w:rPr>
        <w:t>„</w:t>
      </w:r>
      <w:r w:rsidR="002D5066">
        <w:rPr>
          <w:szCs w:val="24"/>
        </w:rPr>
        <w:t>X. V § 20 odstavec</w:t>
      </w:r>
      <w:r w:rsidRPr="003651AF">
        <w:rPr>
          <w:szCs w:val="24"/>
        </w:rPr>
        <w:t xml:space="preserve"> 7 zní:</w:t>
      </w:r>
    </w:p>
    <w:p w:rsidR="00711816" w:rsidRPr="003651AF" w:rsidRDefault="00711816" w:rsidP="00711816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 xml:space="preserve">„(7) Energie obsažená v biopalivech se pro účely splnění povinností uvedených v odstavci 1 zohlední pouze za předpokladu, že tato biopaliva </w:t>
      </w:r>
    </w:p>
    <w:p w:rsidR="00711816" w:rsidRPr="003651AF" w:rsidRDefault="00711816" w:rsidP="00711816">
      <w:pPr>
        <w:numPr>
          <w:ilvl w:val="0"/>
          <w:numId w:val="19"/>
        </w:numPr>
        <w:suppressAutoHyphens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 xml:space="preserve">byla na daňovém území České republiky v režimu podmíněného osvobození od daně vyrobena nebo na daňové území České republiky v režimu podmíněného osvobození od daně dopravena, </w:t>
      </w:r>
    </w:p>
    <w:p w:rsidR="00711816" w:rsidRPr="003651AF" w:rsidRDefault="00711816" w:rsidP="00711816">
      <w:pPr>
        <w:numPr>
          <w:ilvl w:val="0"/>
          <w:numId w:val="19"/>
        </w:numPr>
        <w:suppressAutoHyphens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 xml:space="preserve">splňují kritéria udržitelnosti stanovená prováděcím právním předpisem, </w:t>
      </w:r>
    </w:p>
    <w:p w:rsidR="00711816" w:rsidRPr="003651AF" w:rsidRDefault="00711816" w:rsidP="00711816">
      <w:pPr>
        <w:numPr>
          <w:ilvl w:val="0"/>
          <w:numId w:val="19"/>
        </w:numPr>
        <w:suppressAutoHyphens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 xml:space="preserve">byla na daňovém území České republiky spotřebována, </w:t>
      </w:r>
    </w:p>
    <w:p w:rsidR="00711816" w:rsidRPr="003651AF" w:rsidRDefault="00711816" w:rsidP="00711816">
      <w:pPr>
        <w:numPr>
          <w:ilvl w:val="0"/>
          <w:numId w:val="19"/>
        </w:numPr>
        <w:suppressAutoHyphens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 xml:space="preserve">nebyla opakovaně uvedena do volného daňového oběhu a </w:t>
      </w:r>
    </w:p>
    <w:p w:rsidR="00711816" w:rsidRPr="003651AF" w:rsidRDefault="00711816" w:rsidP="00711816">
      <w:pPr>
        <w:numPr>
          <w:ilvl w:val="0"/>
          <w:numId w:val="19"/>
        </w:numPr>
        <w:suppressAutoHyphens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 xml:space="preserve">nebyla dosud zohledněna pro účely splnění povinnosti uvedené v odstavci 1 ani ke splnění obdobné povinnosti na území jiného členského státu Evropské unie. </w:t>
      </w:r>
    </w:p>
    <w:p w:rsidR="003E1187" w:rsidRDefault="003E11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11816" w:rsidRPr="003651AF" w:rsidRDefault="00711816" w:rsidP="007118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lastRenderedPageBreak/>
        <w:t>Splnění kritérií udržitelnosti se prokazuje způsobem uvedeným v § 21. K prokázání skutečnosti, že biopaliva nebyla dosud zohledněna podle písm. e), předkládá dodavatel pohonných hmot celnímu úřadu čestné prohlášení vydané osobou, která je oprávněna vydat doklad o splnění kritérií udržitelnosti podle § 21 odst. 1, 11 nebo 12“.“</w:t>
      </w:r>
    </w:p>
    <w:p w:rsidR="00711816" w:rsidRPr="003651AF" w:rsidRDefault="00711816" w:rsidP="007118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>Následující body se přečíslují.</w:t>
      </w:r>
    </w:p>
    <w:p w:rsidR="00711816" w:rsidRDefault="00711816" w:rsidP="0071181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11816" w:rsidRPr="003651AF" w:rsidRDefault="009D0CAC" w:rsidP="0071181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V části první č</w:t>
      </w:r>
      <w:r w:rsidR="00711816" w:rsidRPr="003651AF">
        <w:rPr>
          <w:rFonts w:ascii="Times New Roman" w:hAnsi="Times New Roman"/>
          <w:sz w:val="24"/>
          <w:szCs w:val="24"/>
        </w:rPr>
        <w:t xml:space="preserve">l. I se dosavadní body 50 až 52 zrušují. </w:t>
      </w:r>
    </w:p>
    <w:p w:rsidR="00711816" w:rsidRPr="003651AF" w:rsidRDefault="00711816" w:rsidP="00711816">
      <w:pPr>
        <w:pStyle w:val="Novelizanbod"/>
        <w:keepLines w:val="0"/>
        <w:tabs>
          <w:tab w:val="left" w:pos="567"/>
        </w:tabs>
        <w:spacing w:before="0" w:after="0"/>
        <w:rPr>
          <w:szCs w:val="24"/>
        </w:rPr>
      </w:pPr>
      <w:r w:rsidRPr="003651AF">
        <w:rPr>
          <w:szCs w:val="24"/>
        </w:rPr>
        <w:t>Následující body se přečíslují.</w:t>
      </w:r>
    </w:p>
    <w:p w:rsidR="00711816" w:rsidRPr="003651AF" w:rsidRDefault="00711816" w:rsidP="00711816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711816" w:rsidRPr="003651AF" w:rsidRDefault="00711816" w:rsidP="00711816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651AF">
        <w:rPr>
          <w:rFonts w:ascii="Times New Roman" w:hAnsi="Times New Roman"/>
          <w:b/>
          <w:sz w:val="24"/>
          <w:szCs w:val="24"/>
          <w:u w:val="single"/>
        </w:rPr>
        <w:t xml:space="preserve">Var. II tohoto bodu: </w:t>
      </w:r>
    </w:p>
    <w:p w:rsidR="00711816" w:rsidRPr="003651AF" w:rsidRDefault="00711816" w:rsidP="00711816">
      <w:pPr>
        <w:spacing w:after="0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>V části první čl. I se dosavadní body 32 až 35 a 50 až 52 zrušují.</w:t>
      </w:r>
    </w:p>
    <w:p w:rsidR="00711816" w:rsidRDefault="00711816" w:rsidP="00711816">
      <w:pPr>
        <w:pStyle w:val="Novelizanbod"/>
        <w:keepLines w:val="0"/>
        <w:tabs>
          <w:tab w:val="left" w:pos="567"/>
        </w:tabs>
        <w:spacing w:before="0" w:after="0"/>
        <w:rPr>
          <w:szCs w:val="24"/>
        </w:rPr>
      </w:pPr>
      <w:r w:rsidRPr="003651AF">
        <w:rPr>
          <w:szCs w:val="24"/>
        </w:rPr>
        <w:t>Následující body se přečíslují.</w:t>
      </w:r>
    </w:p>
    <w:p w:rsidR="00711816" w:rsidRPr="003651AF" w:rsidRDefault="00711816" w:rsidP="00711816">
      <w:pPr>
        <w:pStyle w:val="Novelizanbod"/>
        <w:keepLines w:val="0"/>
        <w:tabs>
          <w:tab w:val="left" w:pos="567"/>
        </w:tabs>
        <w:spacing w:before="0" w:after="0"/>
        <w:rPr>
          <w:szCs w:val="24"/>
        </w:rPr>
      </w:pPr>
    </w:p>
    <w:p w:rsidR="00711816" w:rsidRPr="003651AF" w:rsidRDefault="009D0CAC" w:rsidP="00711816">
      <w:pPr>
        <w:numPr>
          <w:ilvl w:val="0"/>
          <w:numId w:val="16"/>
        </w:numPr>
        <w:spacing w:after="0" w:line="276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V části první č</w:t>
      </w:r>
      <w:r w:rsidR="00711816" w:rsidRPr="003651AF">
        <w:rPr>
          <w:rFonts w:ascii="Times New Roman" w:hAnsi="Times New Roman"/>
          <w:color w:val="000000"/>
          <w:sz w:val="24"/>
          <w:szCs w:val="24"/>
        </w:rPr>
        <w:t>l. I dosavadní bod 85 zní:</w:t>
      </w:r>
    </w:p>
    <w:p w:rsidR="00711816" w:rsidRPr="003651AF" w:rsidRDefault="00711816" w:rsidP="00711816">
      <w:pPr>
        <w:pStyle w:val="Odstavecseseznamem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color w:val="000000"/>
          <w:sz w:val="24"/>
          <w:szCs w:val="24"/>
        </w:rPr>
        <w:t xml:space="preserve">„85. </w:t>
      </w:r>
      <w:r w:rsidRPr="003651AF">
        <w:rPr>
          <w:rFonts w:ascii="Times New Roman" w:hAnsi="Times New Roman"/>
          <w:sz w:val="24"/>
          <w:szCs w:val="24"/>
        </w:rPr>
        <w:t>V příloze č. 10 části I a II znějí:</w:t>
      </w:r>
    </w:p>
    <w:p w:rsidR="00711816" w:rsidRPr="003651AF" w:rsidRDefault="00711816" w:rsidP="00711816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</w:rPr>
        <w:t xml:space="preserve"> „</w:t>
      </w:r>
      <w:r w:rsidRPr="003651AF">
        <w:rPr>
          <w:rFonts w:ascii="Times New Roman" w:hAnsi="Times New Roman"/>
          <w:b/>
          <w:sz w:val="24"/>
          <w:szCs w:val="24"/>
        </w:rPr>
        <w:t>Část I.</w:t>
      </w:r>
    </w:p>
    <w:p w:rsidR="00711816" w:rsidRPr="003651AF" w:rsidRDefault="00711816" w:rsidP="00711816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11816" w:rsidRPr="003651AF" w:rsidRDefault="00711816" w:rsidP="00711816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651AF">
        <w:rPr>
          <w:rFonts w:ascii="Times New Roman" w:hAnsi="Times New Roman"/>
          <w:b/>
          <w:sz w:val="24"/>
          <w:szCs w:val="24"/>
        </w:rPr>
        <w:t>1. Požadavky na spalovací stacionární zdroj na pevná paliva, který slouží jako zdroj tepla pro teplovodní soustavu ústředního vytápění, které se použijí do 31. prosince 2017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7"/>
        <w:gridCol w:w="1404"/>
        <w:gridCol w:w="1737"/>
        <w:gridCol w:w="1496"/>
        <w:gridCol w:w="1277"/>
        <w:gridCol w:w="1651"/>
      </w:tblGrid>
      <w:tr w:rsidR="00711816" w:rsidRPr="003651AF" w:rsidTr="00646495">
        <w:trPr>
          <w:cantSplit/>
          <w:trHeight w:val="255"/>
        </w:trPr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1816" w:rsidRPr="003651AF" w:rsidRDefault="00AE6DD5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Dodávka p</w:t>
            </w:r>
            <w:r w:rsidR="00711816" w:rsidRPr="003651AF">
              <w:rPr>
                <w:rFonts w:ascii="Times New Roman" w:hAnsi="Times New Roman"/>
                <w:sz w:val="24"/>
                <w:szCs w:val="24"/>
              </w:rPr>
              <w:t>aliva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Palivo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Jmenovitý tepelný příkon (kW)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Mezní hodnoty emisí</w:t>
            </w:r>
            <w:r w:rsidRPr="003651AF">
              <w:rPr>
                <w:rFonts w:ascii="Times New Roman" w:hAnsi="Times New Roman"/>
                <w:sz w:val="24"/>
                <w:szCs w:val="24"/>
                <w:vertAlign w:val="superscript"/>
              </w:rPr>
              <w:t>1)</w:t>
            </w:r>
          </w:p>
        </w:tc>
      </w:tr>
      <w:tr w:rsidR="00711816" w:rsidRPr="003651AF" w:rsidTr="00646495">
        <w:trPr>
          <w:cantSplit/>
          <w:trHeight w:val="255"/>
        </w:trPr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CO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1AF">
              <w:rPr>
                <w:rFonts w:ascii="Times New Roman" w:hAnsi="Times New Roman"/>
                <w:sz w:val="24"/>
                <w:szCs w:val="24"/>
              </w:rPr>
              <w:t>TOC</w:t>
            </w:r>
            <w:r w:rsidRPr="003651AF">
              <w:rPr>
                <w:rFonts w:ascii="Times New Roman" w:hAnsi="Times New Roman"/>
                <w:sz w:val="24"/>
                <w:szCs w:val="24"/>
                <w:vertAlign w:val="superscript"/>
              </w:rPr>
              <w:t>2),3)</w:t>
            </w:r>
            <w:proofErr w:type="gramEnd"/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TZL</w:t>
            </w:r>
          </w:p>
        </w:tc>
      </w:tr>
      <w:tr w:rsidR="00711816" w:rsidRPr="003651AF" w:rsidTr="00646495">
        <w:trPr>
          <w:cantSplit/>
          <w:trHeight w:val="270"/>
        </w:trPr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mg.m</w:t>
            </w:r>
            <w:r w:rsidRPr="003651AF">
              <w:rPr>
                <w:rFonts w:ascii="Times New Roman" w:hAnsi="Times New Roman"/>
                <w:sz w:val="24"/>
                <w:szCs w:val="24"/>
                <w:vertAlign w:val="superscript"/>
              </w:rPr>
              <w:t>-3</w:t>
            </w:r>
          </w:p>
        </w:tc>
      </w:tr>
      <w:tr w:rsidR="00711816" w:rsidRPr="003651AF" w:rsidTr="00646495">
        <w:trPr>
          <w:cantSplit/>
          <w:trHeight w:val="255"/>
        </w:trPr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Ruční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Biologické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≤65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5 000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711816" w:rsidRPr="003651AF" w:rsidTr="00646495">
        <w:trPr>
          <w:cantSplit/>
          <w:trHeight w:val="255"/>
        </w:trPr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&gt;65 až 187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2 500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711816" w:rsidRPr="003651AF" w:rsidTr="00646495">
        <w:trPr>
          <w:cantSplit/>
          <w:trHeight w:val="255"/>
        </w:trPr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&gt;187 až 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1 200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711816" w:rsidRPr="003651AF" w:rsidTr="00646495">
        <w:trPr>
          <w:cantSplit/>
          <w:trHeight w:val="255"/>
        </w:trPr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Fosilní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≤65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5 000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711816" w:rsidRPr="003651AF" w:rsidTr="00646495">
        <w:trPr>
          <w:cantSplit/>
          <w:trHeight w:val="255"/>
        </w:trPr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&gt;65 až 187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2 500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711816" w:rsidRPr="003651AF" w:rsidTr="00646495">
        <w:trPr>
          <w:cantSplit/>
          <w:trHeight w:val="255"/>
        </w:trPr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&gt;187 až 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1 200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711816" w:rsidRPr="003651AF" w:rsidTr="00646495">
        <w:trPr>
          <w:cantSplit/>
          <w:trHeight w:val="255"/>
        </w:trPr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Samočinná</w:t>
            </w:r>
          </w:p>
        </w:tc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Biologické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≤65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3 000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711816" w:rsidRPr="003651AF" w:rsidTr="00646495">
        <w:trPr>
          <w:cantSplit/>
          <w:trHeight w:val="255"/>
        </w:trPr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&gt;65 až 187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2 500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711816" w:rsidRPr="003651AF" w:rsidTr="00646495">
        <w:trPr>
          <w:cantSplit/>
          <w:trHeight w:val="255"/>
        </w:trPr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&gt;187 až 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1 200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711816" w:rsidRPr="003651AF" w:rsidTr="00646495">
        <w:trPr>
          <w:cantSplit/>
          <w:trHeight w:val="255"/>
        </w:trPr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Fosilní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≤65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3 000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711816" w:rsidRPr="003651AF" w:rsidTr="00646495">
        <w:trPr>
          <w:cantSplit/>
          <w:trHeight w:val="255"/>
        </w:trPr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&gt;65 až 187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2 500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711816" w:rsidRPr="003651AF" w:rsidTr="00646495">
        <w:trPr>
          <w:cantSplit/>
          <w:trHeight w:val="255"/>
        </w:trPr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&gt;187 až 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1 200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</w:tbl>
    <w:p w:rsidR="00711816" w:rsidRPr="003651AF" w:rsidRDefault="00711816" w:rsidP="007118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  <w:vertAlign w:val="superscript"/>
        </w:rPr>
        <w:t>1)</w:t>
      </w:r>
      <w:r w:rsidRPr="003651AF">
        <w:rPr>
          <w:rFonts w:ascii="Times New Roman" w:hAnsi="Times New Roman"/>
          <w:sz w:val="24"/>
          <w:szCs w:val="24"/>
        </w:rPr>
        <w:t xml:space="preserve"> Vztahuje se k suchým spalinám, teplotě 273,15 K, tlaku 101,325 </w:t>
      </w:r>
      <w:proofErr w:type="spellStart"/>
      <w:r w:rsidRPr="003651AF">
        <w:rPr>
          <w:rFonts w:ascii="Times New Roman" w:hAnsi="Times New Roman"/>
          <w:sz w:val="24"/>
          <w:szCs w:val="24"/>
        </w:rPr>
        <w:t>kPa</w:t>
      </w:r>
      <w:proofErr w:type="spellEnd"/>
      <w:r w:rsidRPr="003651AF">
        <w:rPr>
          <w:rFonts w:ascii="Times New Roman" w:hAnsi="Times New Roman"/>
          <w:sz w:val="24"/>
          <w:szCs w:val="24"/>
        </w:rPr>
        <w:t xml:space="preserve"> a k referenčnímu obsahu kyslíku 10 %; pro sálavé spalovací stacionární zdroje, určené pro připojení na teplovodní soustavu ústředního vytápění a k instalaci v obytné místnosti, se hodnoty vztahují k referenčnímu obsahu kyslíku 13 %.</w:t>
      </w:r>
    </w:p>
    <w:p w:rsidR="00711816" w:rsidRPr="003651AF" w:rsidRDefault="00711816" w:rsidP="007118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  <w:vertAlign w:val="superscript"/>
        </w:rPr>
        <w:t>2)</w:t>
      </w:r>
      <w:r w:rsidRPr="003651AF">
        <w:rPr>
          <w:rFonts w:ascii="Times New Roman" w:hAnsi="Times New Roman"/>
          <w:sz w:val="24"/>
          <w:szCs w:val="24"/>
        </w:rPr>
        <w:t xml:space="preserve"> TOC = celkový organický uhlík, kterým se rozumí úhrnná koncentrace všech organických látek s výjimkou </w:t>
      </w:r>
      <w:proofErr w:type="spellStart"/>
      <w:r w:rsidRPr="003651AF">
        <w:rPr>
          <w:rFonts w:ascii="Times New Roman" w:hAnsi="Times New Roman"/>
          <w:sz w:val="24"/>
          <w:szCs w:val="24"/>
        </w:rPr>
        <w:t>methanu</w:t>
      </w:r>
      <w:proofErr w:type="spellEnd"/>
      <w:r w:rsidRPr="003651AF">
        <w:rPr>
          <w:rFonts w:ascii="Times New Roman" w:hAnsi="Times New Roman"/>
          <w:sz w:val="24"/>
          <w:szCs w:val="24"/>
        </w:rPr>
        <w:t xml:space="preserve"> vyjádřená jako celkový uhlík.</w:t>
      </w:r>
    </w:p>
    <w:p w:rsidR="00711816" w:rsidRPr="003651AF" w:rsidRDefault="00711816" w:rsidP="007118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  <w:vertAlign w:val="superscript"/>
        </w:rPr>
        <w:t>3)</w:t>
      </w:r>
      <w:r w:rsidRPr="003651AF">
        <w:rPr>
          <w:rFonts w:ascii="Times New Roman" w:hAnsi="Times New Roman"/>
          <w:sz w:val="24"/>
          <w:szCs w:val="24"/>
        </w:rPr>
        <w:t xml:space="preserve"> Nevztahuje se na sálavé spalovací stacionární zdroje, určené pro připojení na teplovodní soustavu ústředního vytápění a k instalaci v obytné místnosti.</w:t>
      </w:r>
    </w:p>
    <w:p w:rsidR="00711816" w:rsidRPr="003651AF" w:rsidRDefault="00711816" w:rsidP="00711816">
      <w:pPr>
        <w:spacing w:after="0"/>
        <w:rPr>
          <w:rFonts w:ascii="Times New Roman" w:hAnsi="Times New Roman"/>
          <w:sz w:val="24"/>
          <w:szCs w:val="24"/>
        </w:rPr>
      </w:pPr>
    </w:p>
    <w:p w:rsidR="00711816" w:rsidRPr="003651AF" w:rsidRDefault="00711816" w:rsidP="00711816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651AF">
        <w:rPr>
          <w:rFonts w:ascii="Times New Roman" w:hAnsi="Times New Roman"/>
          <w:b/>
          <w:sz w:val="24"/>
          <w:szCs w:val="24"/>
        </w:rPr>
        <w:lastRenderedPageBreak/>
        <w:t>2. Požadavky na spalovací stacionární zdroj na kapalná nebo plynná paliva o jmenovitém tepelném příkonu 300 kW a nižším, který slouží jako zdroj tepla pro teplovodní soustavu ústředního vytápění, které se použijí do 31. prosince 2017</w:t>
      </w:r>
    </w:p>
    <w:p w:rsidR="00711816" w:rsidRPr="003651AF" w:rsidRDefault="00711816" w:rsidP="00711816">
      <w:pPr>
        <w:keepNext/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6"/>
        <w:gridCol w:w="2740"/>
        <w:gridCol w:w="2218"/>
        <w:gridCol w:w="2206"/>
      </w:tblGrid>
      <w:tr w:rsidR="00711816" w:rsidRPr="003651AF" w:rsidTr="00646495">
        <w:trPr>
          <w:cantSplit/>
          <w:jc w:val="right"/>
        </w:trPr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51AF">
              <w:rPr>
                <w:rFonts w:ascii="Times New Roman" w:hAnsi="Times New Roman"/>
                <w:bCs/>
                <w:sz w:val="24"/>
                <w:szCs w:val="24"/>
              </w:rPr>
              <w:t>Palivo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51AF">
              <w:rPr>
                <w:rFonts w:ascii="Times New Roman" w:hAnsi="Times New Roman"/>
                <w:bCs/>
                <w:sz w:val="24"/>
                <w:szCs w:val="24"/>
              </w:rPr>
              <w:t>Druh spalovacího zdroje</w:t>
            </w:r>
          </w:p>
        </w:tc>
        <w:tc>
          <w:tcPr>
            <w:tcW w:w="5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51AF">
              <w:rPr>
                <w:rFonts w:ascii="Times New Roman" w:hAnsi="Times New Roman"/>
                <w:bCs/>
                <w:sz w:val="24"/>
                <w:szCs w:val="24"/>
              </w:rPr>
              <w:t>Mezní hodnoty emisí</w:t>
            </w:r>
            <w:r w:rsidRPr="003651AF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711816" w:rsidRPr="003651AF" w:rsidTr="00646495">
        <w:trPr>
          <w:cantSplit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3651AF">
              <w:rPr>
                <w:rFonts w:ascii="Times New Roman" w:hAnsi="Times New Roman"/>
                <w:bCs/>
                <w:sz w:val="24"/>
                <w:szCs w:val="24"/>
              </w:rPr>
              <w:t>NO</w:t>
            </w:r>
            <w:r w:rsidRPr="003651AF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x</w:t>
            </w:r>
            <w:proofErr w:type="spellEnd"/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CO</w:t>
            </w:r>
          </w:p>
        </w:tc>
      </w:tr>
      <w:tr w:rsidR="00711816" w:rsidRPr="003651AF" w:rsidTr="00646495">
        <w:trPr>
          <w:cantSplit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keepNext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keepNext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51AF">
              <w:rPr>
                <w:rFonts w:ascii="Times New Roman" w:hAnsi="Times New Roman"/>
                <w:bCs/>
                <w:sz w:val="24"/>
                <w:szCs w:val="24"/>
              </w:rPr>
              <w:t>mg.m</w:t>
            </w:r>
            <w:r w:rsidRPr="003651AF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-3</w:t>
            </w:r>
          </w:p>
        </w:tc>
      </w:tr>
      <w:tr w:rsidR="00711816" w:rsidRPr="003651AF" w:rsidTr="00646495">
        <w:trPr>
          <w:jc w:val="right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Kapalné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kotle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11816" w:rsidRPr="003651AF" w:rsidTr="00646495">
        <w:trPr>
          <w:cantSplit/>
          <w:jc w:val="right"/>
        </w:trPr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Plynné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kotle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11816" w:rsidRPr="003651AF" w:rsidTr="00646495">
        <w:trPr>
          <w:cantSplit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pístové spalovací motory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</w:tr>
      <w:tr w:rsidR="00711816" w:rsidRPr="003651AF" w:rsidTr="00646495">
        <w:trPr>
          <w:cantSplit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plynové turbíny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711816" w:rsidRPr="003651AF" w:rsidRDefault="00711816" w:rsidP="00711816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  <w:vertAlign w:val="superscript"/>
        </w:rPr>
        <w:t>1)</w:t>
      </w:r>
      <w:r w:rsidRPr="003651AF">
        <w:rPr>
          <w:rFonts w:ascii="Times New Roman" w:hAnsi="Times New Roman"/>
          <w:sz w:val="24"/>
          <w:szCs w:val="24"/>
        </w:rPr>
        <w:t xml:space="preserve"> Vztahuje se k suchým spalinám, teplotě 273,1 K, tlaku 101,325 </w:t>
      </w:r>
      <w:proofErr w:type="spellStart"/>
      <w:r w:rsidRPr="003651AF">
        <w:rPr>
          <w:rFonts w:ascii="Times New Roman" w:hAnsi="Times New Roman"/>
          <w:sz w:val="24"/>
          <w:szCs w:val="24"/>
        </w:rPr>
        <w:t>kPa</w:t>
      </w:r>
      <w:proofErr w:type="spellEnd"/>
      <w:r w:rsidRPr="003651AF">
        <w:rPr>
          <w:rFonts w:ascii="Times New Roman" w:hAnsi="Times New Roman"/>
          <w:sz w:val="24"/>
          <w:szCs w:val="24"/>
        </w:rPr>
        <w:t xml:space="preserve"> a k referenčnímu obsahu kyslíku 3 % v případě kotlů, 5 % v případě pístových spalovacích motorů a 15 % v případě plynových turbín.     </w:t>
      </w:r>
    </w:p>
    <w:p w:rsidR="00711816" w:rsidRPr="003651AF" w:rsidRDefault="00711816" w:rsidP="0071181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11816" w:rsidRPr="003651AF" w:rsidRDefault="00711816" w:rsidP="00711816">
      <w:pPr>
        <w:spacing w:after="0"/>
        <w:rPr>
          <w:rFonts w:ascii="Times New Roman" w:hAnsi="Times New Roman"/>
          <w:sz w:val="24"/>
          <w:szCs w:val="24"/>
        </w:rPr>
      </w:pPr>
    </w:p>
    <w:p w:rsidR="00711816" w:rsidRPr="003651AF" w:rsidRDefault="00711816" w:rsidP="0071181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651AF">
        <w:rPr>
          <w:rFonts w:ascii="Times New Roman" w:hAnsi="Times New Roman"/>
          <w:b/>
          <w:sz w:val="24"/>
          <w:szCs w:val="24"/>
        </w:rPr>
        <w:t>Část II.</w:t>
      </w:r>
    </w:p>
    <w:p w:rsidR="00711816" w:rsidRPr="003651AF" w:rsidRDefault="00711816" w:rsidP="0071181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11270" w:rsidRDefault="00711816" w:rsidP="00711816">
      <w:pPr>
        <w:pStyle w:val="Odstavecseseznamem"/>
        <w:numPr>
          <w:ilvl w:val="0"/>
          <w:numId w:val="17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651AF">
        <w:rPr>
          <w:rFonts w:ascii="Times New Roman" w:hAnsi="Times New Roman"/>
          <w:b/>
          <w:sz w:val="24"/>
          <w:szCs w:val="24"/>
        </w:rPr>
        <w:t xml:space="preserve">Požadavky na spalovací stacionární zdroj na pevná paliva, který slouží jako zdroj tepla pro teplovodní soustavu ústředního vytápění, které se použijí </w:t>
      </w:r>
    </w:p>
    <w:p w:rsidR="00711816" w:rsidRPr="003651AF" w:rsidRDefault="00711816" w:rsidP="00711270">
      <w:pPr>
        <w:pStyle w:val="Odstavecseseznamem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651AF">
        <w:rPr>
          <w:rFonts w:ascii="Times New Roman" w:hAnsi="Times New Roman"/>
          <w:b/>
          <w:sz w:val="24"/>
          <w:szCs w:val="24"/>
        </w:rPr>
        <w:t>od 1. ledna 2018 do 31. prosince 2019</w:t>
      </w:r>
    </w:p>
    <w:p w:rsidR="00711816" w:rsidRPr="003651AF" w:rsidRDefault="00711816" w:rsidP="00711816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5"/>
        <w:gridCol w:w="1586"/>
        <w:gridCol w:w="2718"/>
        <w:gridCol w:w="1116"/>
        <w:gridCol w:w="1116"/>
        <w:gridCol w:w="1111"/>
      </w:tblGrid>
      <w:tr w:rsidR="00711816" w:rsidRPr="003651AF" w:rsidTr="00646495">
        <w:trPr>
          <w:cantSplit/>
          <w:trHeight w:val="632"/>
        </w:trPr>
        <w:tc>
          <w:tcPr>
            <w:tcW w:w="1565" w:type="dxa"/>
            <w:vMerge w:val="restart"/>
            <w:shd w:val="clear" w:color="FFFF00" w:fill="auto"/>
            <w:vAlign w:val="center"/>
          </w:tcPr>
          <w:p w:rsidR="00711816" w:rsidRPr="003651AF" w:rsidRDefault="00AE6DD5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Dodávka p</w:t>
            </w:r>
            <w:r w:rsidR="00711816" w:rsidRPr="003651AF">
              <w:rPr>
                <w:rFonts w:ascii="Times New Roman" w:hAnsi="Times New Roman"/>
                <w:color w:val="000000"/>
                <w:sz w:val="24"/>
                <w:szCs w:val="24"/>
              </w:rPr>
              <w:t>aliva</w:t>
            </w:r>
          </w:p>
        </w:tc>
        <w:tc>
          <w:tcPr>
            <w:tcW w:w="1586" w:type="dxa"/>
            <w:vMerge w:val="restart"/>
            <w:shd w:val="clear" w:color="FFFF00" w:fill="auto"/>
            <w:vAlign w:val="center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color w:val="000000"/>
                <w:sz w:val="24"/>
                <w:szCs w:val="24"/>
              </w:rPr>
              <w:t>Palivo</w:t>
            </w:r>
          </w:p>
        </w:tc>
        <w:tc>
          <w:tcPr>
            <w:tcW w:w="2718" w:type="dxa"/>
            <w:vMerge w:val="restart"/>
            <w:shd w:val="clear" w:color="FFFF00" w:fill="auto"/>
            <w:vAlign w:val="center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color w:val="000000"/>
                <w:sz w:val="24"/>
                <w:szCs w:val="24"/>
              </w:rPr>
              <w:t>Jmenovitý tepelný příkon (kW)</w:t>
            </w:r>
          </w:p>
        </w:tc>
        <w:tc>
          <w:tcPr>
            <w:tcW w:w="3343" w:type="dxa"/>
            <w:gridSpan w:val="3"/>
            <w:shd w:val="clear" w:color="FFFF00" w:fill="auto"/>
            <w:vAlign w:val="center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color w:val="000000"/>
                <w:sz w:val="24"/>
                <w:szCs w:val="24"/>
              </w:rPr>
              <w:t>Mezní hodnoty emisí</w:t>
            </w:r>
            <w:r w:rsidRPr="003651A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1)</w:t>
            </w:r>
          </w:p>
        </w:tc>
      </w:tr>
      <w:tr w:rsidR="00711816" w:rsidRPr="003651AF" w:rsidTr="00646495">
        <w:trPr>
          <w:cantSplit/>
          <w:trHeight w:val="334"/>
        </w:trPr>
        <w:tc>
          <w:tcPr>
            <w:tcW w:w="1565" w:type="dxa"/>
            <w:vMerge/>
            <w:shd w:val="clear" w:color="FFFF00" w:fill="auto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vMerge/>
            <w:shd w:val="clear" w:color="FFFF00" w:fill="auto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  <w:vMerge/>
            <w:shd w:val="clear" w:color="FFFF00" w:fill="auto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shd w:val="clear" w:color="FFFF00" w:fill="auto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color w:val="000000"/>
                <w:sz w:val="24"/>
                <w:szCs w:val="24"/>
              </w:rPr>
              <w:t>CO</w:t>
            </w:r>
          </w:p>
        </w:tc>
        <w:tc>
          <w:tcPr>
            <w:tcW w:w="1116" w:type="dxa"/>
            <w:shd w:val="clear" w:color="FFFF00" w:fill="auto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proofErr w:type="gramStart"/>
            <w:r w:rsidRPr="003651AF">
              <w:rPr>
                <w:rFonts w:ascii="Times New Roman" w:hAnsi="Times New Roman"/>
                <w:color w:val="000000"/>
                <w:sz w:val="24"/>
                <w:szCs w:val="24"/>
              </w:rPr>
              <w:t>TOC</w:t>
            </w:r>
            <w:r w:rsidRPr="003651A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2),3)</w:t>
            </w:r>
            <w:proofErr w:type="gramEnd"/>
          </w:p>
        </w:tc>
        <w:tc>
          <w:tcPr>
            <w:tcW w:w="1111" w:type="dxa"/>
            <w:shd w:val="clear" w:color="FFFF00" w:fill="auto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color w:val="000000"/>
                <w:sz w:val="24"/>
                <w:szCs w:val="24"/>
              </w:rPr>
              <w:t>TZL</w:t>
            </w:r>
          </w:p>
        </w:tc>
      </w:tr>
      <w:tr w:rsidR="00711816" w:rsidRPr="003651AF" w:rsidTr="00646495">
        <w:trPr>
          <w:cantSplit/>
          <w:trHeight w:val="334"/>
        </w:trPr>
        <w:tc>
          <w:tcPr>
            <w:tcW w:w="1565" w:type="dxa"/>
            <w:vMerge/>
            <w:shd w:val="clear" w:color="FFFF00" w:fill="auto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vMerge/>
            <w:shd w:val="clear" w:color="FFFF00" w:fill="auto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  <w:vMerge/>
            <w:shd w:val="clear" w:color="FFFF00" w:fill="auto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3" w:type="dxa"/>
            <w:gridSpan w:val="3"/>
            <w:shd w:val="clear" w:color="FFFF00" w:fill="auto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3651AF">
              <w:rPr>
                <w:rFonts w:ascii="Times New Roman" w:hAnsi="Times New Roman"/>
                <w:color w:val="000000"/>
                <w:sz w:val="24"/>
                <w:szCs w:val="24"/>
              </w:rPr>
              <w:t>mg.m</w:t>
            </w:r>
            <w:r w:rsidRPr="003651A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-3</w:t>
            </w:r>
          </w:p>
        </w:tc>
      </w:tr>
      <w:tr w:rsidR="00711816" w:rsidRPr="003651AF" w:rsidTr="00646495">
        <w:trPr>
          <w:trHeight w:val="319"/>
        </w:trPr>
        <w:tc>
          <w:tcPr>
            <w:tcW w:w="1565" w:type="dxa"/>
            <w:shd w:val="solid" w:color="FFFFFF" w:fill="auto"/>
            <w:vAlign w:val="center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color w:val="000000"/>
                <w:sz w:val="24"/>
                <w:szCs w:val="24"/>
              </w:rPr>
              <w:t>Ruční</w:t>
            </w:r>
          </w:p>
        </w:tc>
        <w:tc>
          <w:tcPr>
            <w:tcW w:w="1586" w:type="dxa"/>
            <w:shd w:val="solid" w:color="FFFFFF" w:fill="auto"/>
            <w:vAlign w:val="center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color w:val="000000"/>
                <w:sz w:val="24"/>
                <w:szCs w:val="24"/>
              </w:rPr>
              <w:t>Biologické/</w:t>
            </w:r>
            <w:r w:rsidRPr="003651A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fosilní</w:t>
            </w:r>
          </w:p>
        </w:tc>
        <w:tc>
          <w:tcPr>
            <w:tcW w:w="2718" w:type="dxa"/>
            <w:shd w:val="solid" w:color="FFFFFF" w:fill="auto"/>
            <w:vAlign w:val="center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≤ 300</w:t>
            </w:r>
          </w:p>
        </w:tc>
        <w:tc>
          <w:tcPr>
            <w:tcW w:w="1116" w:type="dxa"/>
            <w:shd w:val="solid" w:color="FFFFFF" w:fill="auto"/>
            <w:vAlign w:val="center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color w:val="000000"/>
                <w:sz w:val="24"/>
                <w:szCs w:val="24"/>
              </w:rPr>
              <w:t>1 200</w:t>
            </w:r>
          </w:p>
        </w:tc>
        <w:tc>
          <w:tcPr>
            <w:tcW w:w="1116" w:type="dxa"/>
            <w:shd w:val="solid" w:color="FFFFFF" w:fill="auto"/>
            <w:vAlign w:val="center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11" w:type="dxa"/>
            <w:shd w:val="solid" w:color="FFFFFF" w:fill="auto"/>
            <w:vAlign w:val="center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</w:tr>
      <w:tr w:rsidR="00711816" w:rsidRPr="003651AF" w:rsidTr="00646495">
        <w:trPr>
          <w:trHeight w:val="247"/>
        </w:trPr>
        <w:tc>
          <w:tcPr>
            <w:tcW w:w="1565" w:type="dxa"/>
            <w:shd w:val="solid" w:color="FFFFFF" w:fill="auto"/>
            <w:vAlign w:val="center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color w:val="000000"/>
                <w:sz w:val="24"/>
                <w:szCs w:val="24"/>
              </w:rPr>
              <w:t>Samočinná</w:t>
            </w:r>
          </w:p>
        </w:tc>
        <w:tc>
          <w:tcPr>
            <w:tcW w:w="1586" w:type="dxa"/>
            <w:shd w:val="solid" w:color="FFFFFF" w:fill="auto"/>
            <w:vAlign w:val="center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color w:val="000000"/>
                <w:sz w:val="24"/>
                <w:szCs w:val="24"/>
              </w:rPr>
              <w:t>Biologické/</w:t>
            </w:r>
            <w:r w:rsidRPr="003651A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fosilní</w:t>
            </w:r>
          </w:p>
        </w:tc>
        <w:tc>
          <w:tcPr>
            <w:tcW w:w="2718" w:type="dxa"/>
            <w:shd w:val="solid" w:color="FFFFFF" w:fill="auto"/>
            <w:vAlign w:val="center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≤ 300</w:t>
            </w:r>
          </w:p>
        </w:tc>
        <w:tc>
          <w:tcPr>
            <w:tcW w:w="1116" w:type="dxa"/>
            <w:shd w:val="solid" w:color="FFFFFF" w:fill="auto"/>
            <w:vAlign w:val="center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1116" w:type="dxa"/>
            <w:shd w:val="solid" w:color="FFFFFF" w:fill="auto"/>
            <w:vAlign w:val="center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11" w:type="dxa"/>
            <w:shd w:val="solid" w:color="FFFFFF" w:fill="auto"/>
            <w:vAlign w:val="center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</w:tr>
    </w:tbl>
    <w:p w:rsidR="00711816" w:rsidRPr="003651AF" w:rsidRDefault="00711816" w:rsidP="00711816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:rsidR="00711816" w:rsidRPr="003651AF" w:rsidRDefault="00711816" w:rsidP="00711816">
      <w:pPr>
        <w:spacing w:after="0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  <w:vertAlign w:val="superscript"/>
        </w:rPr>
        <w:t>1)</w:t>
      </w:r>
      <w:r w:rsidRPr="003651AF">
        <w:rPr>
          <w:rFonts w:ascii="Times New Roman" w:hAnsi="Times New Roman"/>
          <w:sz w:val="24"/>
          <w:szCs w:val="24"/>
        </w:rPr>
        <w:t xml:space="preserve"> Vztahuje se k suchým spalinám, teplotě 273,15 K, tlaku 101,325 </w:t>
      </w:r>
      <w:proofErr w:type="spellStart"/>
      <w:r w:rsidRPr="003651AF">
        <w:rPr>
          <w:rFonts w:ascii="Times New Roman" w:hAnsi="Times New Roman"/>
          <w:sz w:val="24"/>
          <w:szCs w:val="24"/>
        </w:rPr>
        <w:t>kPa</w:t>
      </w:r>
      <w:proofErr w:type="spellEnd"/>
      <w:r w:rsidRPr="003651AF">
        <w:rPr>
          <w:rFonts w:ascii="Times New Roman" w:hAnsi="Times New Roman"/>
          <w:sz w:val="24"/>
          <w:szCs w:val="24"/>
        </w:rPr>
        <w:t xml:space="preserve"> a k referenčnímu obsahu kyslíku 10 %; pro sálavé spalovací stacionární zdroje, určené pro připojení na teplovodní soustavu ústředního vytápění a k instalaci v obytné místnosti, se hodnoty vztahují k referenčnímu obsahu kyslíku 13 %.</w:t>
      </w:r>
    </w:p>
    <w:p w:rsidR="00711816" w:rsidRPr="003651AF" w:rsidRDefault="00711816" w:rsidP="00711816">
      <w:pPr>
        <w:spacing w:after="0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  <w:vertAlign w:val="superscript"/>
        </w:rPr>
        <w:t>2)</w:t>
      </w:r>
      <w:r w:rsidRPr="003651AF">
        <w:rPr>
          <w:rFonts w:ascii="Times New Roman" w:hAnsi="Times New Roman"/>
          <w:sz w:val="24"/>
          <w:szCs w:val="24"/>
        </w:rPr>
        <w:t xml:space="preserve"> TOC = celkový organický uhlík, kterým se rozumí úhrnná koncentrace všech organických látek s výjimkou </w:t>
      </w:r>
      <w:proofErr w:type="spellStart"/>
      <w:r w:rsidRPr="003651AF">
        <w:rPr>
          <w:rFonts w:ascii="Times New Roman" w:hAnsi="Times New Roman"/>
          <w:sz w:val="24"/>
          <w:szCs w:val="24"/>
        </w:rPr>
        <w:t>methanu</w:t>
      </w:r>
      <w:proofErr w:type="spellEnd"/>
      <w:r w:rsidRPr="003651AF">
        <w:rPr>
          <w:rFonts w:ascii="Times New Roman" w:hAnsi="Times New Roman"/>
          <w:sz w:val="24"/>
          <w:szCs w:val="24"/>
        </w:rPr>
        <w:t xml:space="preserve"> vyjádřená jako celkový uhlík.</w:t>
      </w:r>
    </w:p>
    <w:p w:rsidR="00711816" w:rsidRPr="003651AF" w:rsidRDefault="00711816" w:rsidP="00711816">
      <w:pPr>
        <w:spacing w:after="0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  <w:vertAlign w:val="superscript"/>
        </w:rPr>
        <w:t>3)</w:t>
      </w:r>
      <w:r w:rsidRPr="003651AF">
        <w:rPr>
          <w:rFonts w:ascii="Times New Roman" w:hAnsi="Times New Roman"/>
          <w:sz w:val="24"/>
          <w:szCs w:val="24"/>
        </w:rPr>
        <w:t xml:space="preserve"> Nevztahuje se na sálavé spalovací stacionární zdroje</w:t>
      </w:r>
      <w:r w:rsidRPr="006D1713">
        <w:rPr>
          <w:rFonts w:ascii="Times New Roman" w:hAnsi="Times New Roman"/>
          <w:sz w:val="24"/>
          <w:szCs w:val="24"/>
        </w:rPr>
        <w:t>,</w:t>
      </w:r>
      <w:r w:rsidRPr="003651AF">
        <w:rPr>
          <w:rFonts w:ascii="Times New Roman" w:hAnsi="Times New Roman"/>
          <w:sz w:val="24"/>
          <w:szCs w:val="24"/>
        </w:rPr>
        <w:t xml:space="preserve"> určené pro připojení na teplovodní soustavu ústředního vytápění a k instalaci v obytné místnosti a na zdroje, u nichž ztráty do okolí tohoto zdroje činí více než 6 % celkového tepelného výkonu.</w:t>
      </w:r>
    </w:p>
    <w:p w:rsidR="003E1187" w:rsidRDefault="003E11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11816" w:rsidRPr="003651AF" w:rsidRDefault="00711816" w:rsidP="0071181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11270" w:rsidRDefault="00711816" w:rsidP="0071181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11270">
        <w:rPr>
          <w:rFonts w:ascii="Times New Roman" w:hAnsi="Times New Roman"/>
          <w:b/>
          <w:sz w:val="24"/>
          <w:szCs w:val="24"/>
        </w:rPr>
        <w:t>2.</w:t>
      </w:r>
      <w:r w:rsidR="00711270" w:rsidRPr="00711270">
        <w:rPr>
          <w:rFonts w:ascii="Times New Roman" w:hAnsi="Times New Roman"/>
          <w:b/>
          <w:sz w:val="24"/>
          <w:szCs w:val="24"/>
        </w:rPr>
        <w:t xml:space="preserve"> </w:t>
      </w:r>
      <w:r w:rsidRPr="00711270">
        <w:rPr>
          <w:rFonts w:ascii="Times New Roman" w:hAnsi="Times New Roman"/>
          <w:b/>
          <w:sz w:val="24"/>
          <w:szCs w:val="24"/>
        </w:rPr>
        <w:t xml:space="preserve">Požadavky na spalovací stacionární zdroj na kapalná nebo plynná paliva </w:t>
      </w:r>
    </w:p>
    <w:p w:rsidR="00711270" w:rsidRDefault="00711816" w:rsidP="0071181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11270">
        <w:rPr>
          <w:rFonts w:ascii="Times New Roman" w:hAnsi="Times New Roman"/>
          <w:b/>
          <w:sz w:val="24"/>
          <w:szCs w:val="24"/>
        </w:rPr>
        <w:t xml:space="preserve">o jmenovitém tepelném příkonu 300 kW a nižším, který slouží jako zdroj tepla </w:t>
      </w:r>
    </w:p>
    <w:p w:rsidR="00711816" w:rsidRPr="00711270" w:rsidRDefault="00711816" w:rsidP="0071181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11270">
        <w:rPr>
          <w:rFonts w:ascii="Times New Roman" w:hAnsi="Times New Roman"/>
          <w:b/>
          <w:sz w:val="24"/>
          <w:szCs w:val="24"/>
        </w:rPr>
        <w:t>pro teplovodní soustavu ústředního vytápění, které se použijí od 1. ledna 2018</w:t>
      </w:r>
    </w:p>
    <w:p w:rsidR="00711816" w:rsidRPr="003651AF" w:rsidRDefault="00711816" w:rsidP="0071181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4"/>
        <w:gridCol w:w="3264"/>
        <w:gridCol w:w="1980"/>
        <w:gridCol w:w="1980"/>
      </w:tblGrid>
      <w:tr w:rsidR="00711816" w:rsidRPr="003651AF" w:rsidTr="00646495">
        <w:trPr>
          <w:cantSplit/>
          <w:trHeight w:hRule="exact" w:val="340"/>
        </w:trPr>
        <w:tc>
          <w:tcPr>
            <w:tcW w:w="2064" w:type="dxa"/>
            <w:vMerge w:val="restart"/>
            <w:vAlign w:val="center"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Palivo</w:t>
            </w:r>
          </w:p>
        </w:tc>
        <w:tc>
          <w:tcPr>
            <w:tcW w:w="3264" w:type="dxa"/>
            <w:vMerge w:val="restart"/>
            <w:vAlign w:val="center"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color w:val="000000"/>
                <w:sz w:val="24"/>
                <w:szCs w:val="24"/>
              </w:rPr>
              <w:t>Druh spalovacího zdroje</w:t>
            </w:r>
          </w:p>
        </w:tc>
        <w:tc>
          <w:tcPr>
            <w:tcW w:w="3960" w:type="dxa"/>
            <w:gridSpan w:val="2"/>
            <w:vAlign w:val="center"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color w:val="000000"/>
                <w:sz w:val="24"/>
                <w:szCs w:val="24"/>
              </w:rPr>
              <w:t>Mezní hodnoty emisí</w:t>
            </w:r>
            <w:r w:rsidRPr="003651A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1), 2)</w:t>
            </w:r>
          </w:p>
        </w:tc>
      </w:tr>
      <w:tr w:rsidR="00711816" w:rsidRPr="003651AF" w:rsidTr="00646495">
        <w:trPr>
          <w:cantSplit/>
          <w:trHeight w:hRule="exact" w:val="340"/>
        </w:trPr>
        <w:tc>
          <w:tcPr>
            <w:tcW w:w="2064" w:type="dxa"/>
            <w:vMerge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  <w:vAlign w:val="center"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51AF">
              <w:rPr>
                <w:rFonts w:ascii="Times New Roman" w:hAnsi="Times New Roman"/>
                <w:sz w:val="24"/>
                <w:szCs w:val="24"/>
              </w:rPr>
              <w:t>NO</w:t>
            </w:r>
            <w:r w:rsidRPr="003651AF">
              <w:rPr>
                <w:rFonts w:ascii="Times New Roman" w:hAnsi="Times New Roman"/>
                <w:sz w:val="24"/>
                <w:szCs w:val="24"/>
                <w:vertAlign w:val="subscript"/>
              </w:rPr>
              <w:t>x</w:t>
            </w:r>
            <w:proofErr w:type="spellEnd"/>
          </w:p>
        </w:tc>
        <w:tc>
          <w:tcPr>
            <w:tcW w:w="1980" w:type="dxa"/>
            <w:vAlign w:val="center"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CO</w:t>
            </w:r>
          </w:p>
        </w:tc>
      </w:tr>
      <w:tr w:rsidR="00711816" w:rsidRPr="003651AF" w:rsidTr="00646495">
        <w:trPr>
          <w:cantSplit/>
          <w:trHeight w:hRule="exact" w:val="340"/>
        </w:trPr>
        <w:tc>
          <w:tcPr>
            <w:tcW w:w="2064" w:type="dxa"/>
            <w:vMerge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  <w:vAlign w:val="center"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color w:val="000000"/>
                <w:sz w:val="24"/>
                <w:szCs w:val="24"/>
              </w:rPr>
              <w:t>mg.m</w:t>
            </w:r>
            <w:r w:rsidRPr="003651A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-3</w:t>
            </w:r>
          </w:p>
        </w:tc>
      </w:tr>
      <w:tr w:rsidR="00711816" w:rsidRPr="003651AF" w:rsidTr="00646495">
        <w:trPr>
          <w:cantSplit/>
          <w:trHeight w:hRule="exact" w:val="340"/>
        </w:trPr>
        <w:tc>
          <w:tcPr>
            <w:tcW w:w="2064" w:type="dxa"/>
            <w:vAlign w:val="center"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Kapalné</w:t>
            </w:r>
          </w:p>
        </w:tc>
        <w:tc>
          <w:tcPr>
            <w:tcW w:w="3264" w:type="dxa"/>
            <w:vAlign w:val="center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kotle</w:t>
            </w:r>
          </w:p>
        </w:tc>
        <w:tc>
          <w:tcPr>
            <w:tcW w:w="1980" w:type="dxa"/>
            <w:vAlign w:val="center"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980" w:type="dxa"/>
            <w:vAlign w:val="center"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11816" w:rsidRPr="003651AF" w:rsidTr="00646495">
        <w:trPr>
          <w:cantSplit/>
          <w:trHeight w:hRule="exact" w:val="340"/>
        </w:trPr>
        <w:tc>
          <w:tcPr>
            <w:tcW w:w="2064" w:type="dxa"/>
            <w:vMerge w:val="restart"/>
            <w:vAlign w:val="center"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Plynné</w:t>
            </w:r>
          </w:p>
        </w:tc>
        <w:tc>
          <w:tcPr>
            <w:tcW w:w="3264" w:type="dxa"/>
            <w:vAlign w:val="center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kotle</w:t>
            </w:r>
          </w:p>
        </w:tc>
        <w:tc>
          <w:tcPr>
            <w:tcW w:w="1980" w:type="dxa"/>
            <w:vAlign w:val="center"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980" w:type="dxa"/>
            <w:vAlign w:val="center"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11816" w:rsidRPr="003651AF" w:rsidTr="00646495">
        <w:trPr>
          <w:cantSplit/>
          <w:trHeight w:hRule="exact" w:val="340"/>
        </w:trPr>
        <w:tc>
          <w:tcPr>
            <w:tcW w:w="2064" w:type="dxa"/>
            <w:vMerge/>
            <w:vAlign w:val="center"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vAlign w:val="center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pístové spalovací motory</w:t>
            </w:r>
          </w:p>
        </w:tc>
        <w:tc>
          <w:tcPr>
            <w:tcW w:w="1980" w:type="dxa"/>
            <w:vAlign w:val="center"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980" w:type="dxa"/>
            <w:vAlign w:val="center"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</w:tr>
      <w:tr w:rsidR="00711816" w:rsidRPr="003651AF" w:rsidTr="00646495">
        <w:trPr>
          <w:cantSplit/>
          <w:trHeight w:hRule="exact" w:val="340"/>
        </w:trPr>
        <w:tc>
          <w:tcPr>
            <w:tcW w:w="2064" w:type="dxa"/>
            <w:vMerge/>
            <w:vAlign w:val="center"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vAlign w:val="center"/>
          </w:tcPr>
          <w:p w:rsidR="00711816" w:rsidRPr="003651AF" w:rsidRDefault="00711816" w:rsidP="007118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plynové turbíny</w:t>
            </w:r>
          </w:p>
        </w:tc>
        <w:tc>
          <w:tcPr>
            <w:tcW w:w="1980" w:type="dxa"/>
            <w:vAlign w:val="center"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980" w:type="dxa"/>
            <w:vAlign w:val="center"/>
          </w:tcPr>
          <w:p w:rsidR="00711816" w:rsidRPr="003651AF" w:rsidRDefault="00711816" w:rsidP="007118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1A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711816" w:rsidRPr="003651AF" w:rsidRDefault="00711816" w:rsidP="00711816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:rsidR="00711816" w:rsidRPr="003651AF" w:rsidRDefault="00711816" w:rsidP="00711816">
      <w:pPr>
        <w:spacing w:after="0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  <w:vertAlign w:val="superscript"/>
        </w:rPr>
        <w:t>1)</w:t>
      </w:r>
      <w:r w:rsidRPr="003651AF">
        <w:rPr>
          <w:rFonts w:ascii="Times New Roman" w:hAnsi="Times New Roman"/>
          <w:sz w:val="24"/>
          <w:szCs w:val="24"/>
        </w:rPr>
        <w:t xml:space="preserve"> Vztahuje se k suchým spalinám, teplotě 273,15 K, tlaku 101,325 </w:t>
      </w:r>
      <w:proofErr w:type="spellStart"/>
      <w:r w:rsidRPr="003651AF">
        <w:rPr>
          <w:rFonts w:ascii="Times New Roman" w:hAnsi="Times New Roman"/>
          <w:sz w:val="24"/>
          <w:szCs w:val="24"/>
        </w:rPr>
        <w:t>kPa</w:t>
      </w:r>
      <w:proofErr w:type="spellEnd"/>
      <w:r w:rsidRPr="003651AF">
        <w:rPr>
          <w:rFonts w:ascii="Times New Roman" w:hAnsi="Times New Roman"/>
          <w:sz w:val="24"/>
          <w:szCs w:val="24"/>
        </w:rPr>
        <w:t xml:space="preserve"> a k referenčnímu obsahu kyslíku 3 %.</w:t>
      </w:r>
    </w:p>
    <w:p w:rsidR="00711816" w:rsidRPr="003651AF" w:rsidRDefault="00711816" w:rsidP="007118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51AF">
        <w:rPr>
          <w:rFonts w:ascii="Times New Roman" w:hAnsi="Times New Roman"/>
          <w:sz w:val="24"/>
          <w:szCs w:val="24"/>
          <w:vertAlign w:val="superscript"/>
        </w:rPr>
        <w:t>2)</w:t>
      </w:r>
      <w:r w:rsidRPr="003651AF">
        <w:rPr>
          <w:rFonts w:ascii="Times New Roman" w:hAnsi="Times New Roman"/>
          <w:sz w:val="24"/>
          <w:szCs w:val="24"/>
        </w:rPr>
        <w:t xml:space="preserve"> Od 1. ledna 2018 s výjimkou zařízení spadajících do působnosti nařízení komise (EU) 2015/1188, kterým se provádí směrnice Evropského parlamentu a Rady 2009/125/ES, pokud jde o požadavky na </w:t>
      </w:r>
      <w:proofErr w:type="spellStart"/>
      <w:r w:rsidRPr="003651AF">
        <w:rPr>
          <w:rFonts w:ascii="Times New Roman" w:hAnsi="Times New Roman"/>
          <w:sz w:val="24"/>
          <w:szCs w:val="24"/>
        </w:rPr>
        <w:t>ekodesign</w:t>
      </w:r>
      <w:proofErr w:type="spellEnd"/>
      <w:r w:rsidRPr="003651AF">
        <w:rPr>
          <w:rFonts w:ascii="Times New Roman" w:hAnsi="Times New Roman"/>
          <w:sz w:val="24"/>
          <w:szCs w:val="24"/>
        </w:rPr>
        <w:t xml:space="preserve"> lokálních topidel, a od 26. září 2018 s výjimkou zařízení spadajících do působnosti nařízení komise (EU) č. 813/2013, kterým se provádí směrnice Evropského parlamentu a Rady 2009/125/ES, pokud jde o požadavky na </w:t>
      </w:r>
      <w:proofErr w:type="spellStart"/>
      <w:r w:rsidRPr="003651AF">
        <w:rPr>
          <w:rFonts w:ascii="Times New Roman" w:hAnsi="Times New Roman"/>
          <w:sz w:val="24"/>
          <w:szCs w:val="24"/>
        </w:rPr>
        <w:t>ekodesign</w:t>
      </w:r>
      <w:proofErr w:type="spellEnd"/>
      <w:r w:rsidRPr="003651AF">
        <w:rPr>
          <w:rFonts w:ascii="Times New Roman" w:hAnsi="Times New Roman"/>
          <w:sz w:val="24"/>
          <w:szCs w:val="24"/>
        </w:rPr>
        <w:t xml:space="preserve"> ohřívačů pro vytápění vnitřních prostorů a kombinovaných ohřívačů.“.“</w:t>
      </w:r>
    </w:p>
    <w:p w:rsidR="00711816" w:rsidRPr="003651AF" w:rsidRDefault="00711816" w:rsidP="00711816">
      <w:pPr>
        <w:spacing w:after="0" w:line="240" w:lineRule="auto"/>
        <w:ind w:left="-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711816" w:rsidRPr="003651AF" w:rsidRDefault="00711816" w:rsidP="00711816">
      <w:pPr>
        <w:spacing w:after="0" w:line="240" w:lineRule="auto"/>
        <w:ind w:left="-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711816" w:rsidRPr="003651AF" w:rsidRDefault="009D0CAC" w:rsidP="00711816">
      <w:pPr>
        <w:numPr>
          <w:ilvl w:val="0"/>
          <w:numId w:val="16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části třetí č</w:t>
      </w:r>
      <w:r w:rsidR="00711816" w:rsidRPr="003651AF">
        <w:rPr>
          <w:rFonts w:ascii="Times New Roman" w:hAnsi="Times New Roman"/>
          <w:sz w:val="24"/>
          <w:szCs w:val="24"/>
        </w:rPr>
        <w:t>l. IV zní:</w:t>
      </w:r>
    </w:p>
    <w:p w:rsidR="00423236" w:rsidRDefault="00711816" w:rsidP="00711816">
      <w:pPr>
        <w:pStyle w:val="PS-slovanseznam"/>
        <w:numPr>
          <w:ilvl w:val="0"/>
          <w:numId w:val="0"/>
        </w:numPr>
        <w:spacing w:after="0"/>
        <w:ind w:left="357" w:hanging="357"/>
      </w:pPr>
      <w:r>
        <w:rPr>
          <w:szCs w:val="24"/>
        </w:rPr>
        <w:tab/>
      </w:r>
      <w:r w:rsidRPr="003651AF">
        <w:rPr>
          <w:szCs w:val="24"/>
        </w:rPr>
        <w:t>„Tento zákon nabývá účinnosti dnem 1. ledna 2017, s výjimkou čl. I bodu 75 a 86, které nabývají účinnosti dnem 1. ledna 2020.“</w:t>
      </w:r>
    </w:p>
    <w:p w:rsidR="00423236" w:rsidRDefault="00423236" w:rsidP="00361FD0">
      <w:pPr>
        <w:pStyle w:val="PS-slovanseznam"/>
        <w:numPr>
          <w:ilvl w:val="0"/>
          <w:numId w:val="0"/>
        </w:numPr>
        <w:ind w:left="717"/>
      </w:pPr>
      <w:r>
        <w:t xml:space="preserve"> </w:t>
      </w:r>
    </w:p>
    <w:p w:rsidR="00423236" w:rsidRDefault="00423236" w:rsidP="00423236">
      <w:pPr>
        <w:pStyle w:val="PS-slovanseznam"/>
      </w:pPr>
      <w:proofErr w:type="gramStart"/>
      <w:r w:rsidRPr="00423236">
        <w:rPr>
          <w:rStyle w:val="proloenChar"/>
          <w:b/>
        </w:rPr>
        <w:t>pověřuje</w:t>
      </w:r>
      <w:r>
        <w:t xml:space="preserve">   předsedu</w:t>
      </w:r>
      <w:proofErr w:type="gramEnd"/>
      <w:r>
        <w:t xml:space="preserve"> výboru, aby toto usnesení předložil předsedovi Poslanecké sněmovny,</w:t>
      </w:r>
    </w:p>
    <w:p w:rsidR="00423236" w:rsidRDefault="00423236" w:rsidP="00423236">
      <w:pPr>
        <w:pStyle w:val="PS-slovanseznam"/>
      </w:pPr>
      <w:proofErr w:type="gramStart"/>
      <w:r w:rsidRPr="00423236">
        <w:rPr>
          <w:rStyle w:val="proloenChar"/>
          <w:b/>
        </w:rPr>
        <w:t>zmocňuje</w:t>
      </w:r>
      <w:r w:rsidR="007E7200">
        <w:t xml:space="preserve">   </w:t>
      </w:r>
      <w:r>
        <w:t>zpravodaje</w:t>
      </w:r>
      <w:proofErr w:type="gramEnd"/>
      <w:r>
        <w:t xml:space="preserve"> výboru, aby na schůzi Poslanecké sněmovny podal zprávu o výsledcích projednávání tohoto návrhu zákona ve schůzi výboru pro životní prostředí,</w:t>
      </w:r>
    </w:p>
    <w:p w:rsidR="00423236" w:rsidRDefault="00423236" w:rsidP="00423236">
      <w:pPr>
        <w:pStyle w:val="PS-slovanseznam"/>
      </w:pPr>
      <w:proofErr w:type="gramStart"/>
      <w:r w:rsidRPr="00423236">
        <w:rPr>
          <w:rStyle w:val="proloenChar"/>
          <w:b/>
        </w:rPr>
        <w:t>zmocňuje</w:t>
      </w:r>
      <w:r>
        <w:t xml:space="preserve">   zpravodaje</w:t>
      </w:r>
      <w:proofErr w:type="gramEnd"/>
      <w:r>
        <w:t xml:space="preserve"> výboru, aby ve spolupráci s legislativním odborem Kanceláře Poslanecké sněmovny provedl příslušné legislativně technické úpravy.</w:t>
      </w:r>
    </w:p>
    <w:p w:rsidR="002D55AF" w:rsidRDefault="002D55AF" w:rsidP="002D55AF">
      <w:pPr>
        <w:pStyle w:val="PS-slovanseznam"/>
        <w:numPr>
          <w:ilvl w:val="0"/>
          <w:numId w:val="0"/>
        </w:numPr>
        <w:ind w:left="357"/>
        <w:rPr>
          <w:rStyle w:val="proloenChar"/>
          <w:b/>
        </w:rPr>
      </w:pPr>
      <w:bookmarkStart w:id="0" w:name="_GoBack"/>
      <w:bookmarkEnd w:id="0"/>
    </w:p>
    <w:p w:rsidR="002D55AF" w:rsidRPr="00106842" w:rsidRDefault="002D55AF" w:rsidP="002D55AF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RSDr. Josef NEKL</w:t>
      </w:r>
      <w:r>
        <w:rPr>
          <w:rFonts w:ascii="Times New Roman" w:hAnsi="Times New Roman"/>
          <w:caps/>
          <w:sz w:val="24"/>
        </w:rPr>
        <w:t xml:space="preserve"> </w:t>
      </w:r>
      <w:r w:rsidRPr="00254049">
        <w:rPr>
          <w:rFonts w:ascii="Times New Roman" w:hAnsi="Times New Roman"/>
          <w:sz w:val="24"/>
        </w:rPr>
        <w:t>v.r.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Ing. Václav ZEMEK</w:t>
      </w:r>
      <w:r>
        <w:rPr>
          <w:rFonts w:ascii="Times New Roman" w:hAnsi="Times New Roman"/>
          <w:caps/>
          <w:sz w:val="24"/>
        </w:rPr>
        <w:t xml:space="preserve"> </w:t>
      </w:r>
      <w:proofErr w:type="gramStart"/>
      <w:r w:rsidRPr="00254049">
        <w:rPr>
          <w:rFonts w:ascii="Times New Roman" w:hAnsi="Times New Roman"/>
          <w:sz w:val="24"/>
        </w:rPr>
        <w:t>v.r</w:t>
      </w:r>
      <w:r>
        <w:rPr>
          <w:rFonts w:ascii="Times New Roman" w:hAnsi="Times New Roman"/>
          <w:caps/>
          <w:sz w:val="24"/>
        </w:rPr>
        <w:t>.</w:t>
      </w:r>
      <w:proofErr w:type="gramEnd"/>
    </w:p>
    <w:p w:rsidR="002D55AF" w:rsidRPr="00106842" w:rsidRDefault="002D55AF" w:rsidP="002D55AF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  <w:t>zpravodaj</w:t>
      </w:r>
    </w:p>
    <w:p w:rsidR="002D55AF" w:rsidRPr="00254049" w:rsidRDefault="002D55AF" w:rsidP="002D55AF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PhDr. Robin BÖHNISCH</w:t>
      </w:r>
      <w:r>
        <w:rPr>
          <w:rFonts w:ascii="Times New Roman" w:hAnsi="Times New Roman"/>
          <w:caps/>
          <w:sz w:val="24"/>
        </w:rPr>
        <w:t xml:space="preserve"> </w:t>
      </w:r>
      <w:proofErr w:type="gramStart"/>
      <w:r w:rsidRPr="00254049">
        <w:rPr>
          <w:rFonts w:ascii="Times New Roman" w:hAnsi="Times New Roman"/>
          <w:sz w:val="24"/>
        </w:rPr>
        <w:t>v.r.</w:t>
      </w:r>
      <w:proofErr w:type="gramEnd"/>
    </w:p>
    <w:p w:rsidR="002D55AF" w:rsidRDefault="002D55AF" w:rsidP="002D55AF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p</w:t>
      </w:r>
      <w:r w:rsidRPr="00106842">
        <w:rPr>
          <w:rFonts w:ascii="Times New Roman" w:hAnsi="Times New Roman"/>
          <w:sz w:val="24"/>
        </w:rPr>
        <w:t>ředseda</w:t>
      </w:r>
    </w:p>
    <w:p w:rsidR="002D55AF" w:rsidRDefault="002D55AF" w:rsidP="002D55AF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2D55AF" w:rsidRDefault="002D55AF" w:rsidP="002D55AF">
      <w:pPr>
        <w:pStyle w:val="PS-slovanseznam"/>
        <w:numPr>
          <w:ilvl w:val="0"/>
          <w:numId w:val="0"/>
        </w:numPr>
        <w:ind w:left="357"/>
      </w:pPr>
    </w:p>
    <w:sectPr w:rsidR="002D55AF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524" w:rsidRDefault="00C82524" w:rsidP="00CC1E10">
      <w:pPr>
        <w:spacing w:after="0" w:line="240" w:lineRule="auto"/>
      </w:pPr>
      <w:r>
        <w:separator/>
      </w:r>
    </w:p>
  </w:endnote>
  <w:endnote w:type="continuationSeparator" w:id="0">
    <w:p w:rsidR="00C82524" w:rsidRDefault="00C82524" w:rsidP="00CC1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3353827"/>
      <w:docPartObj>
        <w:docPartGallery w:val="Page Numbers (Bottom of Page)"/>
        <w:docPartUnique/>
      </w:docPartObj>
    </w:sdtPr>
    <w:sdtEndPr/>
    <w:sdtContent>
      <w:p w:rsidR="00CC1E10" w:rsidRDefault="00CC1E10">
        <w:pPr>
          <w:pStyle w:val="Zpat"/>
          <w:jc w:val="right"/>
        </w:pPr>
        <w:r w:rsidRPr="006D1713">
          <w:rPr>
            <w:rFonts w:ascii="Times New Roman" w:hAnsi="Times New Roman"/>
          </w:rPr>
          <w:fldChar w:fldCharType="begin"/>
        </w:r>
        <w:r w:rsidRPr="006D1713">
          <w:rPr>
            <w:rFonts w:ascii="Times New Roman" w:hAnsi="Times New Roman"/>
          </w:rPr>
          <w:instrText>PAGE   \* MERGEFORMAT</w:instrText>
        </w:r>
        <w:r w:rsidRPr="006D1713">
          <w:rPr>
            <w:rFonts w:ascii="Times New Roman" w:hAnsi="Times New Roman"/>
          </w:rPr>
          <w:fldChar w:fldCharType="separate"/>
        </w:r>
        <w:r w:rsidR="002D55AF">
          <w:rPr>
            <w:rFonts w:ascii="Times New Roman" w:hAnsi="Times New Roman"/>
            <w:noProof/>
          </w:rPr>
          <w:t>5</w:t>
        </w:r>
        <w:r w:rsidRPr="006D1713">
          <w:rPr>
            <w:rFonts w:ascii="Times New Roman" w:hAnsi="Times New Roman"/>
          </w:rPr>
          <w:fldChar w:fldCharType="end"/>
        </w:r>
      </w:p>
    </w:sdtContent>
  </w:sdt>
  <w:p w:rsidR="00CC1E10" w:rsidRDefault="00CC1E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524" w:rsidRDefault="00C82524" w:rsidP="00CC1E10">
      <w:pPr>
        <w:spacing w:after="0" w:line="240" w:lineRule="auto"/>
      </w:pPr>
      <w:r>
        <w:separator/>
      </w:r>
    </w:p>
  </w:footnote>
  <w:footnote w:type="continuationSeparator" w:id="0">
    <w:p w:rsidR="00C82524" w:rsidRDefault="00C82524" w:rsidP="00CC1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2C137F"/>
    <w:multiLevelType w:val="multilevel"/>
    <w:tmpl w:val="9A924C8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1BAF315F"/>
    <w:multiLevelType w:val="multilevel"/>
    <w:tmpl w:val="9A924C8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2D3F0F8A"/>
    <w:multiLevelType w:val="hybridMultilevel"/>
    <w:tmpl w:val="B352F0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A3F6F"/>
    <w:multiLevelType w:val="hybridMultilevel"/>
    <w:tmpl w:val="27E4BDA0"/>
    <w:lvl w:ilvl="0" w:tplc="132278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>
    <w:nsid w:val="3D8849F3"/>
    <w:multiLevelType w:val="multilevel"/>
    <w:tmpl w:val="4DC4B1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2D1475"/>
    <w:multiLevelType w:val="hybridMultilevel"/>
    <w:tmpl w:val="E6226A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5"/>
  </w:num>
  <w:num w:numId="16">
    <w:abstractNumId w:val="16"/>
  </w:num>
  <w:num w:numId="17">
    <w:abstractNumId w:val="19"/>
  </w:num>
  <w:num w:numId="18">
    <w:abstractNumId w:val="13"/>
  </w:num>
  <w:num w:numId="19">
    <w:abstractNumId w:val="18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1CF"/>
    <w:rsid w:val="000476E4"/>
    <w:rsid w:val="000C5278"/>
    <w:rsid w:val="000E730C"/>
    <w:rsid w:val="00103C04"/>
    <w:rsid w:val="00106842"/>
    <w:rsid w:val="001A7632"/>
    <w:rsid w:val="001B45F3"/>
    <w:rsid w:val="0021776E"/>
    <w:rsid w:val="00226A14"/>
    <w:rsid w:val="00230024"/>
    <w:rsid w:val="00254049"/>
    <w:rsid w:val="00272E1B"/>
    <w:rsid w:val="002758B3"/>
    <w:rsid w:val="002A2F32"/>
    <w:rsid w:val="002B0FB6"/>
    <w:rsid w:val="002B60B3"/>
    <w:rsid w:val="002C6BED"/>
    <w:rsid w:val="002D5066"/>
    <w:rsid w:val="002D55AF"/>
    <w:rsid w:val="00356011"/>
    <w:rsid w:val="00361FD0"/>
    <w:rsid w:val="00377253"/>
    <w:rsid w:val="003A71CF"/>
    <w:rsid w:val="003D2033"/>
    <w:rsid w:val="003E1187"/>
    <w:rsid w:val="00423236"/>
    <w:rsid w:val="004B7CDA"/>
    <w:rsid w:val="004C0F79"/>
    <w:rsid w:val="004F1401"/>
    <w:rsid w:val="005227BF"/>
    <w:rsid w:val="00566A4C"/>
    <w:rsid w:val="005807F2"/>
    <w:rsid w:val="005C30D7"/>
    <w:rsid w:val="005E094C"/>
    <w:rsid w:val="005F6CAE"/>
    <w:rsid w:val="00620764"/>
    <w:rsid w:val="00686493"/>
    <w:rsid w:val="006A0913"/>
    <w:rsid w:val="006D1713"/>
    <w:rsid w:val="00711270"/>
    <w:rsid w:val="00711816"/>
    <w:rsid w:val="007147B9"/>
    <w:rsid w:val="007C62DA"/>
    <w:rsid w:val="007D5EE1"/>
    <w:rsid w:val="007E1D0B"/>
    <w:rsid w:val="007E7200"/>
    <w:rsid w:val="008045F2"/>
    <w:rsid w:val="00812496"/>
    <w:rsid w:val="00830BFE"/>
    <w:rsid w:val="00893C29"/>
    <w:rsid w:val="00903269"/>
    <w:rsid w:val="009D0CAC"/>
    <w:rsid w:val="009E3BD9"/>
    <w:rsid w:val="00A40E99"/>
    <w:rsid w:val="00A46CDA"/>
    <w:rsid w:val="00AA0D27"/>
    <w:rsid w:val="00AE6DD5"/>
    <w:rsid w:val="00B02928"/>
    <w:rsid w:val="00B13892"/>
    <w:rsid w:val="00B53E8D"/>
    <w:rsid w:val="00B715B6"/>
    <w:rsid w:val="00C56014"/>
    <w:rsid w:val="00C82524"/>
    <w:rsid w:val="00CC1E10"/>
    <w:rsid w:val="00D76FB3"/>
    <w:rsid w:val="00DB1648"/>
    <w:rsid w:val="00DC29E4"/>
    <w:rsid w:val="00E620ED"/>
    <w:rsid w:val="00ED15A8"/>
    <w:rsid w:val="00EF3B15"/>
    <w:rsid w:val="00EF679B"/>
    <w:rsid w:val="00F2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1B424D-1569-4B47-AFE1-5DC64AA1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F20CC9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aliases w:val="Dot pt,No Spacing1,List Paragraph Char Char Char,Indicator Text,Numbered Para 1,List Paragraph à moi,LISTA,List Paragraph1,Listaszerű bekezdés2,Listaszerű bekezdés1,Listaszerű bekezdés3"/>
    <w:basedOn w:val="Normln"/>
    <w:link w:val="OdstavecseseznamemChar"/>
    <w:uiPriority w:val="34"/>
    <w:qFormat/>
    <w:rsid w:val="00711816"/>
    <w:pPr>
      <w:spacing w:after="200" w:line="276" w:lineRule="auto"/>
      <w:ind w:left="720"/>
      <w:contextualSpacing/>
    </w:pPr>
    <w:rPr>
      <w:rFonts w:eastAsia="Times New Roman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181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1816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1816"/>
    <w:pPr>
      <w:spacing w:after="200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1816"/>
    <w:rPr>
      <w:rFonts w:eastAsia="Times New Roman"/>
      <w:b/>
      <w:bCs/>
      <w:lang w:eastAsia="en-US"/>
    </w:rPr>
  </w:style>
  <w:style w:type="character" w:customStyle="1" w:styleId="OdstavecseseznamemChar">
    <w:name w:val="Odstavec se seznamem Char"/>
    <w:aliases w:val="Dot pt Char,No Spacing1 Char,List Paragraph Char Char Char Char,Indicator Text Char,Numbered Para 1 Char,List Paragraph à moi Char,LISTA Char,List Paragraph1 Char,Listaszerű bekezdés2 Char,Listaszerű bekezdés1 Char"/>
    <w:link w:val="Odstavecseseznamem"/>
    <w:uiPriority w:val="34"/>
    <w:qFormat/>
    <w:locked/>
    <w:rsid w:val="00711816"/>
    <w:rPr>
      <w:rFonts w:eastAsia="Times New Roman"/>
      <w:sz w:val="22"/>
      <w:szCs w:val="22"/>
    </w:rPr>
  </w:style>
  <w:style w:type="paragraph" w:customStyle="1" w:styleId="Novelizanbod">
    <w:name w:val="Novelizační bod"/>
    <w:basedOn w:val="Normln"/>
    <w:rsid w:val="00711816"/>
    <w:pPr>
      <w:keepNext/>
      <w:keepLines/>
      <w:tabs>
        <w:tab w:val="left" w:pos="851"/>
      </w:tabs>
      <w:suppressAutoHyphens/>
      <w:spacing w:before="480" w:after="120" w:line="100" w:lineRule="atLeast"/>
      <w:jc w:val="both"/>
    </w:pPr>
    <w:rPr>
      <w:rFonts w:ascii="Times New Roman" w:eastAsia="Times New Roman" w:hAnsi="Times New Roman"/>
      <w:color w:val="00000A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C1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1E10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C1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1E10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7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B498F-7605-4887-98D0-B4B8A4ED5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4</TotalTime>
  <Pages>6</Pages>
  <Words>1758</Words>
  <Characters>10377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Urikova Irena</cp:lastModifiedBy>
  <cp:revision>6</cp:revision>
  <cp:lastPrinted>2016-05-03T08:50:00Z</cp:lastPrinted>
  <dcterms:created xsi:type="dcterms:W3CDTF">2016-05-03T08:44:00Z</dcterms:created>
  <dcterms:modified xsi:type="dcterms:W3CDTF">2016-05-03T08:50:00Z</dcterms:modified>
</cp:coreProperties>
</file>