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99450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proofErr w:type="gramStart"/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z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e</w:t>
            </w:r>
            <w:proofErr w:type="gramEnd"/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33.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ve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čtvrtek 28. dubna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9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.00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Josef Hájek, Jaroslav Holík, Jiří Junek, Josef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Ladislav Okleštěk, Marie Pěnčíková, Václav Zemek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Miloš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Babiš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,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Zuzana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Kailová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Michal Kučera, Martin Sedlář, Ladislav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Šincl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, Karel Tureček, Jan Zahradník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580234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Ing. Vladislav Smrž, náměstek minist</w:t>
      </w:r>
      <w:r w:rsidR="00994500">
        <w:rPr>
          <w:rFonts w:eastAsia="Times New Roman" w:cs="Times New Roman"/>
          <w:color w:val="000000"/>
          <w:szCs w:val="24"/>
          <w:lang w:eastAsia="cs-CZ"/>
        </w:rPr>
        <w:t>r</w:t>
      </w:r>
      <w:r w:rsidRPr="000E7210">
        <w:rPr>
          <w:rFonts w:eastAsia="Times New Roman" w:cs="Times New Roman"/>
          <w:color w:val="000000"/>
          <w:szCs w:val="24"/>
          <w:lang w:eastAsia="cs-CZ"/>
        </w:rPr>
        <w:t>a životního prostředí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RNDr. Jitka Seitlová, senátorka 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Jan Landa, státní tajemník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Berenika Peštová, Ph.D., náměstkyně ministra životního prostředí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Josef Bečvář, ředitel odboru rozpočtu MŽP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JUDr. Libor Dvořák, Ph.D., ředitel legislativního odboru MŽP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Bc. Kurt Dědič, ředitel odboru ochrany ovzduší MŽP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Mgr. Barbora Landová, odbor ochrany ovzduší MŽP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Ing. Martin Štemberka, předseda ČBÚ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JUDr. Pavel Dvořák, ředitel sekce báňské správy ČBÚ</w:t>
      </w:r>
    </w:p>
    <w:p w:rsidR="000E7210" w:rsidRPr="000E7210" w:rsidRDefault="000E7210" w:rsidP="00580234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a další hosté dle prezenční listiny</w:t>
      </w:r>
    </w:p>
    <w:p w:rsidR="000E7210" w:rsidRPr="000E7210" w:rsidRDefault="000E7210" w:rsidP="000E7210">
      <w:pPr>
        <w:spacing w:after="0" w:line="240" w:lineRule="auto"/>
        <w:ind w:left="709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Návrh programu:</w:t>
      </w:r>
    </w:p>
    <w:p w:rsidR="00580234" w:rsidRPr="000E7210" w:rsidRDefault="00580234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1.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Vládní návrh zákona, kterým se mění zákon č. 25/2008 Sb., o integrovaném registru znečišťování životního prostředí a integrovaném systému plnění ohlašovacích povinností v oblasti životního prostředí a o změně některých zákonů, ve znění pozdějších předpisů (tisk 574) </w:t>
      </w:r>
      <w:r w:rsidR="001235D5">
        <w:rPr>
          <w:rFonts w:eastAsia="Times New Roman" w:cs="Times New Roman"/>
          <w:color w:val="000000"/>
          <w:szCs w:val="24"/>
          <w:lang w:eastAsia="cs-CZ"/>
        </w:rPr>
        <w:t xml:space="preserve">-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projednávání po 2. čtení v Poslanecké sněmovně podle § 94a zákona o jednacím řádu Poslanecké sněmovny </w:t>
      </w:r>
    </w:p>
    <w:p w:rsidR="00937D91" w:rsidRPr="000E7210" w:rsidRDefault="00937D91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2.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Vládní návrh, kterým se předkládají Parlamentu České republiky k vyslovení souhlasu s ratifikací Úmluva o ochraně stěhovavých druhů volně žijících živočichů, sjednaná v Bonnu </w:t>
      </w:r>
      <w:proofErr w:type="gramStart"/>
      <w:r w:rsidRPr="000E7210">
        <w:rPr>
          <w:rFonts w:eastAsia="Times New Roman" w:cs="Times New Roman"/>
          <w:color w:val="000000"/>
          <w:szCs w:val="24"/>
          <w:lang w:eastAsia="cs-CZ"/>
        </w:rPr>
        <w:t>dne</w:t>
      </w:r>
      <w:r w:rsidR="001235D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23</w:t>
      </w:r>
      <w:proofErr w:type="gramEnd"/>
      <w:r w:rsidRPr="000E7210">
        <w:rPr>
          <w:rFonts w:eastAsia="Times New Roman" w:cs="Times New Roman"/>
          <w:color w:val="000000"/>
          <w:szCs w:val="24"/>
          <w:lang w:eastAsia="cs-CZ"/>
        </w:rPr>
        <w:t>. června 1979, a změny příloh I</w:t>
      </w:r>
      <w:r w:rsidR="001235D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05B8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a II </w:t>
      </w:r>
      <w:r w:rsidR="001235D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této Úmluvy, </w:t>
      </w:r>
      <w:r w:rsidR="00C05B8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přijaté v </w:t>
      </w:r>
      <w:r w:rsidR="00C05B8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Quitu dne 9. listopadu 2014 (tisk 733)</w:t>
      </w:r>
    </w:p>
    <w:p w:rsidR="000E7210" w:rsidRDefault="000E7210" w:rsidP="00937D91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lastRenderedPageBreak/>
        <w:t xml:space="preserve">3.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Vládní návrh,</w:t>
      </w:r>
      <w:r w:rsidR="00C05B8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kterým se předkládají Parlamentu České republiky k vyslovení souhlasu s ratifikací změny Protokolu o perzistentních organických polutantech, Protokolu o omezení acidifikace, eutrofizace a přízemního ozonu a Protokolu o těžkých kovech k Úmluvě o dálkovém znečišťování ovzduší přecházejícím hranice stát</w:t>
      </w:r>
      <w:r w:rsidR="001235D5">
        <w:rPr>
          <w:rFonts w:eastAsia="Times New Roman" w:cs="Times New Roman"/>
          <w:color w:val="000000"/>
          <w:szCs w:val="24"/>
          <w:lang w:eastAsia="cs-CZ"/>
        </w:rPr>
        <w:t>ů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1235D5">
        <w:rPr>
          <w:rFonts w:eastAsia="Times New Roman" w:cs="Times New Roman"/>
          <w:color w:val="000000"/>
          <w:szCs w:val="24"/>
          <w:lang w:eastAsia="cs-CZ"/>
        </w:rPr>
        <w:t>(</w:t>
      </w:r>
      <w:bookmarkStart w:id="0" w:name="_GoBack"/>
      <w:bookmarkEnd w:id="0"/>
      <w:r w:rsidRPr="000E7210">
        <w:rPr>
          <w:rFonts w:eastAsia="Times New Roman" w:cs="Times New Roman"/>
          <w:color w:val="000000"/>
          <w:szCs w:val="24"/>
          <w:lang w:eastAsia="cs-CZ"/>
        </w:rPr>
        <w:t>tisk 734)</w:t>
      </w:r>
    </w:p>
    <w:p w:rsidR="00937D91" w:rsidRPr="000E7210" w:rsidRDefault="00937D91" w:rsidP="00937D91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4.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Návrh státního závěrečného účtu kapitoly č. 348 – Český báňský úřad za rok 2015</w:t>
      </w:r>
    </w:p>
    <w:p w:rsidR="00937D91" w:rsidRPr="000E7210" w:rsidRDefault="00937D9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5.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Návrh státního závěrečného účtu kapitoly č. 315 – Ministerstvo životního prostředí za rok 2015</w:t>
      </w:r>
    </w:p>
    <w:p w:rsidR="00937D91" w:rsidRPr="000E7210" w:rsidRDefault="00937D91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6.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Vládní návrh zákona, kterým se mění zákon č. 201/2012 Sb., o ochraně ovzduší, ve znění pozdějších předpisů, a zákon č. 634/2004 Sb., o správních poplatcích, ve znění pozdějších předpisů (tisk 678)</w:t>
      </w:r>
    </w:p>
    <w:p w:rsidR="001A16FE" w:rsidRPr="000E7210" w:rsidRDefault="001A16FE" w:rsidP="001A16FE">
      <w:pPr>
        <w:spacing w:after="0" w:line="240" w:lineRule="auto"/>
        <w:ind w:left="708" w:hanging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7. Různé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8. Výjezdní zasedání Brdy – odjezd od budovy Sněmovní 4</w:t>
      </w:r>
    </w:p>
    <w:p w:rsidR="000E7210" w:rsidRPr="000E7210" w:rsidRDefault="000E7210" w:rsidP="000E7210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13,00 – 15,00 hod. - terénní exkurze s průvodcem AOPK ČR</w:t>
      </w:r>
    </w:p>
    <w:p w:rsidR="000E7210" w:rsidRPr="000E7210" w:rsidRDefault="000E7210" w:rsidP="000E7210">
      <w:pPr>
        <w:numPr>
          <w:ilvl w:val="0"/>
          <w:numId w:val="1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15,00 – 16,00 hod. - jednání starostů v obci Těně 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Jednání výboru pro životní prostředí zahájil předseda výboru PhDr. Robin Böhnisch.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Schválení programu: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Hlasování: Pro 6 Proti 0 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pověřen RSDr. Josef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Předseda R. Böhnisch znovu upozornil na §94a, odst. 4, kde ve druhém čtení může být v podrobné rozpravě podán návrh, aby se garanční výbor návrhem zákon</w:t>
      </w:r>
      <w:r w:rsidR="008D44FC">
        <w:rPr>
          <w:rFonts w:eastAsia="Times New Roman" w:cs="Times New Roman"/>
          <w:color w:val="000000"/>
          <w:szCs w:val="24"/>
          <w:lang w:eastAsia="cs-CZ"/>
        </w:rPr>
        <w:t>a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nezabýval. Pokud je načten pouze legislativně technický nebo žádný pozměňovací návrh, nevrací jej sněmovna znovu do výboru. V</w:t>
      </w:r>
      <w:r w:rsidR="009E0C7A">
        <w:rPr>
          <w:rFonts w:eastAsia="Times New Roman" w:cs="Times New Roman"/>
          <w:color w:val="000000"/>
          <w:szCs w:val="24"/>
          <w:lang w:eastAsia="cs-CZ"/>
        </w:rPr>
        <w:t xml:space="preserve"> prvním bodě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jde jen o technický pozměňovací návrh.</w:t>
      </w:r>
    </w:p>
    <w:p w:rsidR="00616C3E" w:rsidRDefault="00616C3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616C3E" w:rsidRPr="000E7210" w:rsidRDefault="00616C3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Bod 1.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Náměstek Ing. Vladislav Smrž návrh – </w:t>
      </w:r>
      <w:r w:rsidR="00616C3E">
        <w:rPr>
          <w:rFonts w:eastAsia="Times New Roman" w:cs="Times New Roman"/>
          <w:color w:val="000000"/>
          <w:szCs w:val="24"/>
          <w:lang w:eastAsia="cs-CZ"/>
        </w:rPr>
        <w:t xml:space="preserve">v tomto případě se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jedná o úpravu účinnosti zákona.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Návrh - „</w:t>
      </w:r>
      <w:r w:rsidR="00602F51">
        <w:rPr>
          <w:rFonts w:eastAsia="Times New Roman" w:cs="Times New Roman"/>
          <w:color w:val="000000"/>
          <w:szCs w:val="24"/>
          <w:lang w:eastAsia="cs-CZ"/>
        </w:rPr>
        <w:t>T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ento zákon nabývá účinnosti prvním dnem kalendářního měsíce následujícího po dni jeho vyhlášení.“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6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Proti 0</w:t>
      </w:r>
      <w:r w:rsidR="001A16F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Usnesení výboru č. 95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Bod 2. a 3.</w:t>
      </w:r>
    </w:p>
    <w:p w:rsidR="00937D91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Po úvodním slově předsedy PhDr. Robina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Böhnische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náměstek Ing. Vladislav Smrž představil oba návrhy smluv podle bodu programu. V prvním návrhu jde o změnu příloh I a II Bonnské úmluvy. Nově se tam zařazuje 31 nových druhů živočichů, v našich podmínkách se jedná o úhoře říčního a mandelíka hajní</w:t>
      </w:r>
      <w:r w:rsidR="00210685">
        <w:rPr>
          <w:rFonts w:eastAsia="Times New Roman" w:cs="Times New Roman"/>
          <w:color w:val="000000"/>
          <w:szCs w:val="24"/>
          <w:lang w:eastAsia="cs-CZ"/>
        </w:rPr>
        <w:t>ho.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Způsob ochrany obou těchto živočichů je již pokryt v rámci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lastRenderedPageBreak/>
        <w:t xml:space="preserve">stávající </w:t>
      </w:r>
      <w:r w:rsidR="00210685">
        <w:rPr>
          <w:rFonts w:eastAsia="Times New Roman" w:cs="Times New Roman"/>
          <w:color w:val="000000"/>
          <w:szCs w:val="24"/>
          <w:lang w:eastAsia="cs-CZ"/>
        </w:rPr>
        <w:t xml:space="preserve">národní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legislativy. Ve druhé smlouvě předkládá k souhlasu ratifikaci změn tří protokolů. U všech tří protokolů dochází ke zjednodušení postupu pro přijímání příloh. Zavádí časově omezené zmírnění požadavků na uplatňování nových emisních limitů.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Předseda Robin Böhnisch navrhl přijmout k oběma bodům usnesení.</w:t>
      </w: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Bod 2.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Hlasování: Pro 6</w:t>
      </w:r>
      <w:r w:rsidR="001A16F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Usnesení výboru č. 96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Bod 3.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Pěnčíková, Junek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Usnesení výboru č. 97</w:t>
      </w: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1A16FE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Bod 4.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Ing. Martin Štemberka, předseda ČBÚ informoval výbor o tom, že dosažený stav rozhodujících ukazatelů odpovídal schváleným rozpočtům, rozpočtům po změnách a konečným rozpočtům kapitoly. Největší výdajovou položkou ČBÚ byly na platy zaměstnanců a povinné odvody z toho plynoucí. Čerpání výdajových části rozpočtu bylo v rámci možností plynulé. V oblasti kapitálových výdajů bylo dosaženo nižšího procenta čerpání, a to zejména důsledkem časové prodlevy skutečného zahájení stavebních prací na rekonstrukci budovy OBÚ se sídlem v Mostě. Je přesvědčen, že ČBÚ finanční prostředky státního rozpočtu vynaložil v roce 2015 hospodárně, efektivně, účelně a v souladu s příslušnou legislativou splnil všechny závazné ukazatele.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Zpravodaj Josef Hájek požádal o rozšíření kontrolní činnosti OKD. Ing. </w:t>
      </w:r>
      <w:proofErr w:type="gram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Štemberka  reagoval</w:t>
      </w:r>
      <w:proofErr w:type="gram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616C3E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s </w:t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tím, že dozorová činnost je zostřená a zvýšená, soustřeďuje se hlavně na zásadní problémy, které by mohly způsobit následky;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protivýbuchová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a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protiotřesová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prevence. </w:t>
      </w:r>
    </w:p>
    <w:p w:rsidR="000E7210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Poslanec </w:t>
      </w:r>
      <w:r w:rsidR="000E7210"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Josef Hájek - návrh usnesení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7 </w:t>
      </w:r>
      <w:r w:rsidR="001A16FE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Pěnčíková, Junek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Usnesení výboru č. 98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Bod 5.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Státní závěrečný účet za rok 2015 kapitola 315 MŽP uvedl státní tajemník Ing. Jan Landa. Materiál podává zprávu o finančním hospodaření a plnění celkových vztahů ke státnímu rozpočtu ČR MŽP. Schválené příjmy vlastního ministerstva a organizačních složek státu byly stanoveny ve výši 7 326 191,16 tis. Kč a výdaje ve výši 9 411 906,55 tis. Kč. V průběhu roku 2015 došlo k úpravám schválených ukazatelů příjmů a výdajů z rozpočtu MŽP rozpočtovými opatřeními, jejichž přehled je uveden v dalších částech předložené zprávy. V předložené kapitole se uvádí stručná charakteristika působnosti resortních organizací a organizace, které v roce 2015 patřily do působnosti kapitoly MŽP ČR. Na závěr uvedl, že je to velmi obsáhlý dokument s dalšími podrobnějšími informacemi a číselnými údaji.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Zpravodaj Jiří Junek uvedl, že do kapitoly patří rozpočty organizačních složek státu jako např. AOPK, ČIŽP a Národní park České Švýcarsko a dále rozpočty 7 příspěvkových organizací. Na nové Zelené úsporám bylo vyplaceno 1,4 mld. Kč. ČR přispěla do Zeleného klimatického fondu částkou 50 mil. Kč. Na vzniklé dotazy reagovali zástupci ministerstva životního prostředí.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lastRenderedPageBreak/>
        <w:t>Návrh usnesení: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Hlasování: Pro 8</w:t>
      </w:r>
      <w:r w:rsidR="001A16FE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Proti 0 </w:t>
      </w:r>
      <w:r w:rsidR="001A16FE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Zdržel 0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Pěnčíková, Junek, Zemek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Usnesení výboru č. 99</w:t>
      </w:r>
    </w:p>
    <w:p w:rsidR="00663F9B" w:rsidRPr="000E7210" w:rsidRDefault="00663F9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Bod 6.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Náměstkyně ministra životního prostředí Ing. Berenika Peštová, Ph.D., hovořila o tom, že v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současné době upravuje ochranu ovzduší před znečišťujícími látkami v ČR zákon č. 201/2012 Sb., o ochraně ovzduší, ve znění pozdějších předpisů, který transponoval i příslušné právní předpisy EU vydané k regulaci oblasti ochrany ovzduší. Základními cíli přijetí novely zákona je naplnit závazky přijaté v rámci mezinárodní spolupráce v oblasti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nízkoemisních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zón, zvýšit a zabezpečit ochranu ovzduší tak, aby nadále nebyla snižována kvalita ovzduší v důsledku působení emisí ze zdrojů znečišťování ovzduší, a to posílením kontrolních pravomocí orgánů ochrany ovzduší za účelem efektivního vymáhání zákonem stanovených povinností a zlepšení procesních podmínek pro rozhodování orgánů ochrany ovzduší.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Nejzásadnější body a cíle novely: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1) Zakotvení pravidel pro uznávání zahraničních plaket pro vjezd do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nízkoemisních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zón, a to v návaznosti na bilaterální jednání se SRN a na přípravu česko-německého memoranda o vzájemném uznávání emisních plaket.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2) Přijetí úpravy umožňující přímou kontrolu provozu spalovacích stacionárních zdrojů v domácnostech za účelem ověření plnění povinností vyplývajících ze zákona o ochraně ovzduší a naplnění usnesení vlády České republiky č. 547 ze dne 24. července 2013.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3) Zakotvení imisního limitu pro částice PM2,5 od roku 2020 a naplnění usnesení vlády č. 1077 z 15. 12. 2014, které ukládá ministru životního prostředí, v návaznosti na řízení EU Pilot, předložit vládě návrh novely zákona o ochraně ovzduší, která stanoví imisní limit ve výši 20 μg·m-3 nejpozději do 31. prosince 2017. Zpřesnění podmínek aplikace imisních limitů pro troposférický ozon.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4) Úprava pravidel pro vyhlašování a ukončování smogových situací a regulací podle přílohy č. 6 zákona o ochraně ovzduší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5) Blok legislativně technických úprav zákona prováděný v návaznosti na více než dvouletou účinnost zákona o ochraně ovzduší a zkušenosti s jeho uplatňováním v praxi správních úřadů a provozovatelů zdrojů.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Pozitivní dopady: na státní rozpočet a ostatní veřejné rozpočty, na podnikatelské subjekty, na územní samosprávné celky (obce, kraje), sociální dopady, na životní prostředí.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Zpravodaj Václav Zemek diskutoval o předloženém pozměňovacím návrhu</w:t>
      </w:r>
      <w:r w:rsidR="008D44FC">
        <w:rPr>
          <w:rFonts w:eastAsia="Times New Roman" w:cs="Times New Roman"/>
          <w:color w:val="000000"/>
          <w:szCs w:val="24"/>
          <w:lang w:eastAsia="cs-CZ"/>
        </w:rPr>
        <w:t>.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 obecné rozpravě vystoupila náměstkyně Peštová s poznámkou týkající se spotřební daně, poslanec Okleštěk, zástupce Celní správy.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Senátorka RNDr. Jitka Seitlová - pachové látky. Navrhuje upravit vymahatelnost ochrany před zápachem. V dubnu 2016 proběhl v senátu seminář. Výsledkem bylo konstatování, že právní úprava účinné</w:t>
      </w:r>
      <w:r w:rsidR="00616C3E">
        <w:rPr>
          <w:rFonts w:eastAsia="Times New Roman" w:cs="Times New Roman"/>
          <w:color w:val="000000"/>
          <w:szCs w:val="24"/>
          <w:lang w:eastAsia="cs-CZ"/>
        </w:rPr>
        <w:t>ho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efektivní</w:t>
      </w:r>
      <w:r w:rsidR="00616C3E">
        <w:rPr>
          <w:rFonts w:eastAsia="Times New Roman" w:cs="Times New Roman"/>
          <w:color w:val="000000"/>
          <w:szCs w:val="24"/>
          <w:lang w:eastAsia="cs-CZ"/>
        </w:rPr>
        <w:t>ho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vymáhání ochrany před silným koncentrovaným zápachem není účinná.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lastRenderedPageBreak/>
        <w:t xml:space="preserve">Náměstkyně Berenika Peštová – evropská legislativa nemá emisní a imisní hodnoty, co se týče pachových látek. MŽP má zákony a prostředky, které jsou v nich dostačující.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 diskusi vystoupili poslanci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, Hájek, Okleštěk,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Poslankyně Pěnčíková - navrhuje zrušit zmocnění pro MŽP na vydání prováděcí vyhlášky, která má stanovit pravidla pro stanovení ekonomické přijatelnosti.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br/>
        <w:t xml:space="preserve">Podrobná </w:t>
      </w:r>
      <w:proofErr w:type="gramStart"/>
      <w:r w:rsidRPr="000E7210">
        <w:rPr>
          <w:rFonts w:eastAsia="Times New Roman" w:cs="Times New Roman"/>
          <w:color w:val="000000"/>
          <w:szCs w:val="24"/>
          <w:lang w:eastAsia="cs-CZ"/>
        </w:rPr>
        <w:t>rozprava :</w:t>
      </w:r>
      <w:proofErr w:type="gramEnd"/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Zpravodaj Václav Zemek představil tři pozměňující návrhy.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Pozměňovací návrh č. 1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Pozměňovací návrh poslankyně Pěnčíkové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8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Pozměňovací návrh předsedy R.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Böhnische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(senátorky Seitlové)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Hlasování: Pro 5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3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Hlasování o usnesení jako celku: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Pro 8</w:t>
      </w:r>
      <w:r w:rsidR="001A16F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Proti 0</w:t>
      </w:r>
      <w:r w:rsidR="001A16F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Zdržel 0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, Holík, </w:t>
      </w:r>
      <w:proofErr w:type="spellStart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Nekl</w:t>
      </w:r>
      <w:proofErr w:type="spellEnd"/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, Hájek, Okleštěk, Pěnčíková, Junek, Zemek</w:t>
      </w:r>
    </w:p>
    <w:p w:rsidR="00663F9B" w:rsidRDefault="00663F9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8D44FC" w:rsidRPr="000E7210" w:rsidRDefault="008D44FC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Usnesení výboru č. 100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7. Různé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numPr>
          <w:ilvl w:val="0"/>
          <w:numId w:val="2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Informace předsedy výboru o peticích z petičního výboru: Hnutí Duha „Za dobrý zákon o Národním parku Šumava“. Domluva se zástupci petičního výboru</w:t>
      </w:r>
      <w:r w:rsidR="00616C3E">
        <w:rPr>
          <w:rFonts w:eastAsia="Times New Roman" w:cs="Times New Roman"/>
          <w:color w:val="000000"/>
          <w:szCs w:val="24"/>
          <w:lang w:eastAsia="cs-CZ"/>
        </w:rPr>
        <w:t xml:space="preserve"> -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petici výbor </w:t>
      </w:r>
      <w:r w:rsidR="00616C3E">
        <w:rPr>
          <w:rFonts w:eastAsia="Times New Roman" w:cs="Times New Roman"/>
          <w:color w:val="000000"/>
          <w:szCs w:val="24"/>
          <w:lang w:eastAsia="cs-CZ"/>
        </w:rPr>
        <w:t xml:space="preserve">pro životní prostředí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vezme na vědomí.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numPr>
          <w:ilvl w:val="0"/>
          <w:numId w:val="3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Petice za změnu zákona o ochraně přírody a krajiny, kterou zaslal Ing. Jan Bechyně. N</w:t>
      </w:r>
      <w:r w:rsidR="0027604F">
        <w:rPr>
          <w:rFonts w:eastAsia="Times New Roman" w:cs="Times New Roman"/>
          <w:color w:val="000000"/>
          <w:szCs w:val="24"/>
          <w:lang w:eastAsia="cs-CZ"/>
        </w:rPr>
        <w:t>a</w:t>
      </w:r>
      <w:r w:rsidRPr="000E7210">
        <w:rPr>
          <w:rFonts w:eastAsia="Times New Roman" w:cs="Times New Roman"/>
          <w:color w:val="000000"/>
          <w:szCs w:val="24"/>
          <w:lang w:eastAsia="cs-CZ"/>
        </w:rPr>
        <w:t>vrhl vzít ji na vědomí.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Proti 0 </w:t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="001A16FE">
        <w:rPr>
          <w:rFonts w:eastAsia="Times New Roman" w:cs="Times New Roman"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>Zdržel 0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Ve středu 27. dubna 2016 proběhl seminář k ukládání oxidu uhličitého do horninových struktur; záštitu převzal poslanec Jan Zahradník a organizovala ji Masarykova univerzita v Brně za přispění </w:t>
      </w:r>
      <w:r w:rsidR="00210685">
        <w:rPr>
          <w:rFonts w:eastAsia="Times New Roman" w:cs="Times New Roman"/>
          <w:color w:val="000000"/>
          <w:szCs w:val="24"/>
          <w:lang w:eastAsia="cs-CZ"/>
        </w:rPr>
        <w:t>„N</w:t>
      </w:r>
      <w:r w:rsidRPr="000E7210">
        <w:rPr>
          <w:rFonts w:eastAsia="Times New Roman" w:cs="Times New Roman"/>
          <w:color w:val="000000"/>
          <w:szCs w:val="24"/>
          <w:lang w:eastAsia="cs-CZ"/>
        </w:rPr>
        <w:t>orských fondů</w:t>
      </w:r>
      <w:r w:rsidR="00210685">
        <w:rPr>
          <w:rFonts w:eastAsia="Times New Roman" w:cs="Times New Roman"/>
          <w:color w:val="000000"/>
          <w:szCs w:val="24"/>
          <w:lang w:eastAsia="cs-CZ"/>
        </w:rPr>
        <w:t>“</w:t>
      </w:r>
    </w:p>
    <w:p w:rsidR="00476EF1" w:rsidRPr="000E7210" w:rsidRDefault="00476EF1" w:rsidP="00476EF1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 úterý 26. dubna 2016 proběhl kulatý stůl k návrhu zákona o odpadech a obalech </w:t>
      </w:r>
    </w:p>
    <w:p w:rsidR="00476EF1" w:rsidRPr="000E7210" w:rsidRDefault="00476EF1" w:rsidP="00476EF1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V úterý 26. dubna 2016 proběhl podvýbor pro technickou ochranu přírody za účasti náměstka ministra zemědělství Ing. Jiřího Šíra, který podal informaci o celém postupu ochrany nejenom půdy, ale i ovzduší a vod. Jednání podvýboru se účastnil jako host náměstek ministra životního prostředí Ing. Vladimíra Mana. Podvýbor se snažil podpořit a prohloubit spolupráci mezi ministerstvy. </w:t>
      </w:r>
      <w:r w:rsidR="00210685">
        <w:rPr>
          <w:rFonts w:eastAsia="Times New Roman" w:cs="Times New Roman"/>
          <w:color w:val="000000"/>
          <w:szCs w:val="24"/>
          <w:lang w:eastAsia="cs-CZ"/>
        </w:rPr>
        <w:t>Zmíněn zde byl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i nový zákon o myslivosti.</w:t>
      </w:r>
    </w:p>
    <w:p w:rsidR="00476EF1" w:rsidRDefault="00476EF1" w:rsidP="00476EF1">
      <w:pPr>
        <w:pStyle w:val="Odstavecseseznamem"/>
        <w:rPr>
          <w:rFonts w:eastAsia="Times New Roman" w:cs="Times New Roman"/>
          <w:color w:val="000000"/>
          <w:szCs w:val="24"/>
          <w:lang w:eastAsia="cs-CZ"/>
        </w:rPr>
      </w:pPr>
    </w:p>
    <w:p w:rsidR="00476EF1" w:rsidRPr="000E7210" w:rsidRDefault="00476EF1" w:rsidP="00476EF1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lastRenderedPageBreak/>
        <w:t xml:space="preserve">Výjezdní zasedání - Holešovsko, termín 11. a 12. května 2016; </w:t>
      </w:r>
      <w:r w:rsidR="00616C3E">
        <w:rPr>
          <w:rFonts w:eastAsia="Times New Roman" w:cs="Times New Roman"/>
          <w:color w:val="000000"/>
          <w:szCs w:val="24"/>
          <w:lang w:eastAsia="cs-CZ"/>
        </w:rPr>
        <w:t>možnost projednání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závěrečn</w:t>
      </w:r>
      <w:r w:rsidR="00616C3E">
        <w:rPr>
          <w:rFonts w:eastAsia="Times New Roman" w:cs="Times New Roman"/>
          <w:color w:val="000000"/>
          <w:szCs w:val="24"/>
          <w:lang w:eastAsia="cs-CZ"/>
        </w:rPr>
        <w:t>ého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účt</w:t>
      </w:r>
      <w:r w:rsidR="00616C3E">
        <w:rPr>
          <w:rFonts w:eastAsia="Times New Roman" w:cs="Times New Roman"/>
          <w:color w:val="000000"/>
          <w:szCs w:val="24"/>
          <w:lang w:eastAsia="cs-CZ"/>
        </w:rPr>
        <w:t>u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SFŽP</w:t>
      </w:r>
    </w:p>
    <w:p w:rsidR="00476EF1" w:rsidRPr="000E7210" w:rsidRDefault="00476EF1" w:rsidP="00476EF1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Upozornění pro zpravodaje na § 94a, odst. 4 jednacího řádu Poslanecké sněmovny, který se týká projednávání zákonů po druhém čtení – možnost nevracet zákon zpět do výboru</w:t>
      </w:r>
    </w:p>
    <w:p w:rsidR="00476EF1" w:rsidRPr="000E7210" w:rsidRDefault="00476EF1" w:rsidP="00476EF1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Poslanec Holík – připomíná žádost skupiny lidí, kteří bojují o rozšíření průmyslové zóny u Ostrovačic</w:t>
      </w:r>
    </w:p>
    <w:p w:rsidR="00476EF1" w:rsidRPr="000E7210" w:rsidRDefault="00476EF1" w:rsidP="00476EF1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numPr>
          <w:ilvl w:val="0"/>
          <w:numId w:val="4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Poslanec Holík - informace o návštěvě firmy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Enviropol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u Jihlavy; jedná se o technologicky nejmodernější závod na zpracování elektroodpadu v</w:t>
      </w:r>
      <w:r w:rsidR="00A4710A">
        <w:rPr>
          <w:rFonts w:eastAsia="Times New Roman" w:cs="Times New Roman"/>
          <w:color w:val="000000"/>
          <w:szCs w:val="24"/>
          <w:lang w:eastAsia="cs-CZ"/>
        </w:rPr>
        <w:t> </w:t>
      </w:r>
      <w:r w:rsidRPr="000E7210">
        <w:rPr>
          <w:rFonts w:eastAsia="Times New Roman" w:cs="Times New Roman"/>
          <w:color w:val="000000"/>
          <w:szCs w:val="24"/>
          <w:lang w:eastAsia="cs-CZ"/>
        </w:rPr>
        <w:t>Evropě</w:t>
      </w:r>
    </w:p>
    <w:p w:rsidR="00A4710A" w:rsidRPr="000E7210" w:rsidRDefault="00A4710A" w:rsidP="00565647">
      <w:pPr>
        <w:spacing w:after="0" w:line="240" w:lineRule="auto"/>
        <w:ind w:left="720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602F51">
      <w:pPr>
        <w:spacing w:after="0" w:line="240" w:lineRule="auto"/>
        <w:ind w:firstLine="360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Po skončení dopoledního jednání výboru </w:t>
      </w:r>
      <w:r w:rsidR="00210685">
        <w:rPr>
          <w:rFonts w:eastAsia="Times New Roman" w:cs="Times New Roman"/>
          <w:color w:val="000000"/>
          <w:szCs w:val="24"/>
          <w:lang w:eastAsia="cs-CZ"/>
        </w:rPr>
        <w:t>pokračoval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program výboru pro životní prostředí výjezdním zasedáním do CHKO Brdy. Poslance výboru přivítal Bohumil Fišer, vedoucí Správy CHKO Brdy. V jeho doprovodu poslanci navštívili Padrťské rybníky, prohlédli si hnízdícího orla mořského a pak se přesunuli na dopadovou plochu Jordán. Poté starosta obce Těně Václav Pour informoval poslance o tom, že obec žádala o navrácení cca 18.6 ha lesů, které musela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předat v roce 1950 státu. Žádost byla zamítnuta z důvodu, že v lesích hospodaří Ministerstvo obrany – Vojenské lesy</w:t>
      </w:r>
      <w:r w:rsidR="00210685">
        <w:rPr>
          <w:rFonts w:eastAsia="Times New Roman" w:cs="Times New Roman"/>
          <w:color w:val="000000"/>
          <w:szCs w:val="24"/>
          <w:lang w:eastAsia="cs-CZ"/>
        </w:rPr>
        <w:t xml:space="preserve"> a statky.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Před vznikem CHKO bylo přislíbeno, že obci bude majetek v plném rozsahu navrácen. Mezitím obec požádala 2x o navrácení majetku, ale ten byl stále v majetku Ministerstva obrany a proto nebyl zapsán v katastru. Od roku 1950 obec nedostala jakoukoliv kompenzaci za těžbu jejího dřeva. Předseda výboru Robin </w:t>
      </w:r>
      <w:proofErr w:type="spellStart"/>
      <w:r w:rsidRPr="000E7210"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přislíbil </w:t>
      </w:r>
      <w:r w:rsidR="00210685">
        <w:rPr>
          <w:rFonts w:eastAsia="Times New Roman" w:cs="Times New Roman"/>
          <w:color w:val="000000"/>
          <w:szCs w:val="24"/>
          <w:lang w:eastAsia="cs-CZ"/>
        </w:rPr>
        <w:t xml:space="preserve">věc prověřit s tím, že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bude starostu průběžně informovat. 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Návrat do Prahy z výjezdního zasedání do CHKO Brdy byl cca v 17.30 hodin.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 xml:space="preserve">RSDr. Josef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Nekl</w:t>
      </w:r>
      <w:proofErr w:type="spellEnd"/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PhDr. Robin </w:t>
      </w:r>
      <w:proofErr w:type="spellStart"/>
      <w:r>
        <w:rPr>
          <w:rFonts w:eastAsia="Times New Roman" w:cs="Times New Roman"/>
          <w:color w:val="000000"/>
          <w:szCs w:val="24"/>
          <w:lang w:eastAsia="cs-CZ"/>
        </w:rPr>
        <w:t>Böhnisch</w:t>
      </w:r>
      <w:proofErr w:type="spellEnd"/>
    </w:p>
    <w:p w:rsidR="00A66230" w:rsidRDefault="00A66230" w:rsidP="00A66230">
      <w:r>
        <w:tab/>
        <w:t xml:space="preserve">     ověřovatel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předseda výboru</w:t>
      </w:r>
    </w:p>
    <w:p w:rsidR="00A6623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170C06"/>
    <w:multiLevelType w:val="multilevel"/>
    <w:tmpl w:val="F0047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D6900"/>
    <w:rsid w:val="000E7210"/>
    <w:rsid w:val="001235D5"/>
    <w:rsid w:val="00167701"/>
    <w:rsid w:val="001A16FE"/>
    <w:rsid w:val="00210685"/>
    <w:rsid w:val="0027604F"/>
    <w:rsid w:val="00333C92"/>
    <w:rsid w:val="00476EF1"/>
    <w:rsid w:val="004B2B6B"/>
    <w:rsid w:val="00565647"/>
    <w:rsid w:val="00580234"/>
    <w:rsid w:val="00602F51"/>
    <w:rsid w:val="00616C3E"/>
    <w:rsid w:val="00663F9B"/>
    <w:rsid w:val="008D44FC"/>
    <w:rsid w:val="00937D91"/>
    <w:rsid w:val="00994500"/>
    <w:rsid w:val="009E0C7A"/>
    <w:rsid w:val="00A4710A"/>
    <w:rsid w:val="00A66230"/>
    <w:rsid w:val="00C05B87"/>
    <w:rsid w:val="00E92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1920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20</cp:revision>
  <cp:lastPrinted>2016-05-03T13:31:00Z</cp:lastPrinted>
  <dcterms:created xsi:type="dcterms:W3CDTF">2016-05-03T09:42:00Z</dcterms:created>
  <dcterms:modified xsi:type="dcterms:W3CDTF">2016-05-03T15:29:00Z</dcterms:modified>
</cp:coreProperties>
</file>