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476FA" w14:textId="37251E89" w:rsidR="00393E49" w:rsidRPr="00393E49" w:rsidRDefault="00393E49" w:rsidP="00AB22B4">
      <w:pPr>
        <w:pStyle w:val="Standard"/>
        <w:spacing w:before="120"/>
        <w:jc w:val="center"/>
        <w:rPr>
          <w:szCs w:val="24"/>
        </w:rPr>
      </w:pPr>
      <w:r w:rsidRPr="00393E49">
        <w:rPr>
          <w:szCs w:val="24"/>
        </w:rPr>
        <w:t>N</w:t>
      </w:r>
      <w:r>
        <w:rPr>
          <w:szCs w:val="24"/>
        </w:rPr>
        <w:t xml:space="preserve"> </w:t>
      </w:r>
      <w:r w:rsidRPr="00393E49">
        <w:rPr>
          <w:szCs w:val="24"/>
        </w:rPr>
        <w:t>á</w:t>
      </w:r>
      <w:r>
        <w:rPr>
          <w:szCs w:val="24"/>
        </w:rPr>
        <w:t xml:space="preserve"> </w:t>
      </w:r>
      <w:r w:rsidRPr="00393E49">
        <w:rPr>
          <w:szCs w:val="24"/>
        </w:rPr>
        <w:t>v</w:t>
      </w:r>
      <w:r>
        <w:rPr>
          <w:szCs w:val="24"/>
        </w:rPr>
        <w:t xml:space="preserve"> </w:t>
      </w:r>
      <w:r w:rsidRPr="00393E49">
        <w:rPr>
          <w:szCs w:val="24"/>
        </w:rPr>
        <w:t>r</w:t>
      </w:r>
      <w:r>
        <w:rPr>
          <w:szCs w:val="24"/>
        </w:rPr>
        <w:t xml:space="preserve"> </w:t>
      </w:r>
      <w:r w:rsidRPr="00393E49">
        <w:rPr>
          <w:szCs w:val="24"/>
        </w:rPr>
        <w:t xml:space="preserve">h </w:t>
      </w:r>
    </w:p>
    <w:p w14:paraId="12CDF207" w14:textId="77777777" w:rsidR="003A65C9" w:rsidRDefault="003A65C9" w:rsidP="00AB22B4">
      <w:pPr>
        <w:pStyle w:val="Standard"/>
        <w:spacing w:before="120"/>
        <w:jc w:val="center"/>
        <w:rPr>
          <w:b/>
          <w:szCs w:val="24"/>
        </w:rPr>
      </w:pPr>
    </w:p>
    <w:p w14:paraId="50669EC6" w14:textId="194BD716" w:rsidR="00CA3177" w:rsidRDefault="00CA3177" w:rsidP="00AB22B4">
      <w:pPr>
        <w:pStyle w:val="Standard"/>
        <w:spacing w:before="120"/>
        <w:jc w:val="center"/>
        <w:rPr>
          <w:b/>
          <w:szCs w:val="24"/>
        </w:rPr>
      </w:pPr>
      <w:r>
        <w:rPr>
          <w:b/>
          <w:szCs w:val="24"/>
        </w:rPr>
        <w:t>Z</w:t>
      </w:r>
      <w:r w:rsidR="003A65C9">
        <w:rPr>
          <w:b/>
          <w:szCs w:val="24"/>
        </w:rPr>
        <w:t xml:space="preserve"> </w:t>
      </w:r>
      <w:r>
        <w:rPr>
          <w:b/>
          <w:szCs w:val="24"/>
        </w:rPr>
        <w:t>Á</w:t>
      </w:r>
      <w:r w:rsidR="003A65C9">
        <w:rPr>
          <w:b/>
          <w:szCs w:val="24"/>
        </w:rPr>
        <w:t xml:space="preserve"> </w:t>
      </w:r>
      <w:r>
        <w:rPr>
          <w:b/>
          <w:szCs w:val="24"/>
        </w:rPr>
        <w:t>K</w:t>
      </w:r>
      <w:r w:rsidR="003A65C9">
        <w:rPr>
          <w:b/>
          <w:szCs w:val="24"/>
        </w:rPr>
        <w:t xml:space="preserve"> </w:t>
      </w:r>
      <w:r>
        <w:rPr>
          <w:b/>
          <w:szCs w:val="24"/>
        </w:rPr>
        <w:t>O</w:t>
      </w:r>
      <w:r w:rsidR="003A65C9">
        <w:rPr>
          <w:b/>
          <w:szCs w:val="24"/>
        </w:rPr>
        <w:t xml:space="preserve"> </w:t>
      </w:r>
      <w:r>
        <w:rPr>
          <w:b/>
          <w:szCs w:val="24"/>
        </w:rPr>
        <w:t>N</w:t>
      </w:r>
    </w:p>
    <w:p w14:paraId="0D8723B0" w14:textId="77777777" w:rsidR="003A65C9" w:rsidRDefault="003A65C9" w:rsidP="00AB22B4">
      <w:pPr>
        <w:pStyle w:val="Standard"/>
        <w:spacing w:before="120"/>
        <w:jc w:val="center"/>
        <w:rPr>
          <w:b/>
          <w:szCs w:val="24"/>
        </w:rPr>
      </w:pPr>
    </w:p>
    <w:p w14:paraId="0EB254D2" w14:textId="72B26734" w:rsidR="00CA3177" w:rsidRDefault="00CA3177" w:rsidP="00AB22B4">
      <w:pPr>
        <w:pStyle w:val="Standard"/>
        <w:spacing w:before="120"/>
        <w:jc w:val="center"/>
        <w:rPr>
          <w:szCs w:val="24"/>
        </w:rPr>
      </w:pPr>
      <w:r>
        <w:rPr>
          <w:szCs w:val="24"/>
        </w:rPr>
        <w:t xml:space="preserve">ze dne … </w:t>
      </w:r>
      <w:r w:rsidR="00AB22B4">
        <w:rPr>
          <w:szCs w:val="24"/>
        </w:rPr>
        <w:t>2020</w:t>
      </w:r>
      <w:r>
        <w:rPr>
          <w:szCs w:val="24"/>
        </w:rPr>
        <w:t>,</w:t>
      </w:r>
    </w:p>
    <w:p w14:paraId="412E254F" w14:textId="77777777" w:rsidR="003A65C9" w:rsidRDefault="003A65C9" w:rsidP="00AB22B4">
      <w:pPr>
        <w:pStyle w:val="Standard"/>
        <w:spacing w:before="120"/>
        <w:jc w:val="center"/>
        <w:rPr>
          <w:szCs w:val="24"/>
        </w:rPr>
      </w:pPr>
    </w:p>
    <w:p w14:paraId="658330AD" w14:textId="77777777" w:rsidR="00CA3177" w:rsidRDefault="00CA3177" w:rsidP="00AB22B4">
      <w:pPr>
        <w:pStyle w:val="Standard"/>
        <w:spacing w:before="120"/>
        <w:jc w:val="center"/>
        <w:rPr>
          <w:b/>
          <w:szCs w:val="24"/>
        </w:rPr>
      </w:pPr>
      <w:r>
        <w:rPr>
          <w:b/>
          <w:szCs w:val="24"/>
        </w:rPr>
        <w:t xml:space="preserve">kterým se mění zákon </w:t>
      </w:r>
      <w:r>
        <w:rPr>
          <w:rStyle w:val="s10"/>
          <w:b/>
          <w:bCs/>
          <w:szCs w:val="24"/>
        </w:rPr>
        <w:t>č. 89/2012 Sb., o</w:t>
      </w:r>
      <w:r>
        <w:rPr>
          <w:rStyle w:val="s14"/>
          <w:b/>
          <w:bCs/>
          <w:szCs w:val="24"/>
        </w:rPr>
        <w:t xml:space="preserve">bčanský zákoník, </w:t>
      </w:r>
      <w:r>
        <w:rPr>
          <w:rStyle w:val="s15"/>
          <w:b/>
          <w:szCs w:val="24"/>
        </w:rPr>
        <w:t>ve znění pozdějších předpisů</w:t>
      </w:r>
    </w:p>
    <w:p w14:paraId="731132BB" w14:textId="77777777" w:rsidR="00F20B1C" w:rsidRDefault="00F20B1C" w:rsidP="000172BB">
      <w:pPr>
        <w:autoSpaceDE w:val="0"/>
        <w:adjustRightInd w:val="0"/>
        <w:spacing w:before="120" w:after="0" w:line="240" w:lineRule="auto"/>
        <w:rPr>
          <w:rFonts w:ascii="Times New Roman" w:hAnsi="Times New Roman"/>
          <w:sz w:val="24"/>
          <w:szCs w:val="24"/>
        </w:rPr>
      </w:pPr>
    </w:p>
    <w:p w14:paraId="1BA6C65B" w14:textId="0466B3ED" w:rsidR="00CA3177" w:rsidRDefault="00CA3177" w:rsidP="00393E49">
      <w:pPr>
        <w:autoSpaceDE w:val="0"/>
        <w:adjustRightInd w:val="0"/>
        <w:spacing w:before="120" w:after="0" w:line="240" w:lineRule="auto"/>
        <w:rPr>
          <w:rFonts w:ascii="Times New Roman" w:hAnsi="Times New Roman"/>
          <w:sz w:val="24"/>
          <w:szCs w:val="24"/>
        </w:rPr>
      </w:pPr>
      <w:r>
        <w:rPr>
          <w:rFonts w:ascii="Times New Roman" w:hAnsi="Times New Roman"/>
          <w:sz w:val="24"/>
          <w:szCs w:val="24"/>
        </w:rPr>
        <w:t>Parlament se usnesl na tomto zákoně České republiky:</w:t>
      </w:r>
    </w:p>
    <w:p w14:paraId="3A151EC6" w14:textId="77777777" w:rsidR="00F20B1C" w:rsidRDefault="00F20B1C" w:rsidP="000172BB">
      <w:pPr>
        <w:autoSpaceDE w:val="0"/>
        <w:adjustRightInd w:val="0"/>
        <w:spacing w:before="120" w:after="0" w:line="240" w:lineRule="auto"/>
        <w:rPr>
          <w:rFonts w:ascii="Times New Roman" w:hAnsi="Times New Roman"/>
          <w:sz w:val="24"/>
          <w:szCs w:val="24"/>
        </w:rPr>
      </w:pPr>
    </w:p>
    <w:p w14:paraId="70BD9D97" w14:textId="77777777" w:rsidR="00CA3177" w:rsidRDefault="00CA3177" w:rsidP="00AB22B4">
      <w:pPr>
        <w:autoSpaceDE w:val="0"/>
        <w:adjustRightInd w:val="0"/>
        <w:spacing w:before="120" w:after="0" w:line="240" w:lineRule="auto"/>
        <w:jc w:val="center"/>
        <w:rPr>
          <w:rFonts w:ascii="Times New Roman" w:hAnsi="Times New Roman"/>
          <w:sz w:val="24"/>
          <w:szCs w:val="24"/>
        </w:rPr>
      </w:pPr>
      <w:r>
        <w:rPr>
          <w:rFonts w:ascii="Times New Roman" w:hAnsi="Times New Roman"/>
          <w:sz w:val="24"/>
          <w:szCs w:val="24"/>
        </w:rPr>
        <w:t>Čl. I</w:t>
      </w:r>
    </w:p>
    <w:p w14:paraId="2112C176" w14:textId="6D3DF625" w:rsidR="000172FC" w:rsidRDefault="00CA3177" w:rsidP="000172FC">
      <w:pPr>
        <w:spacing w:before="120" w:after="0" w:line="240" w:lineRule="auto"/>
        <w:jc w:val="both"/>
        <w:rPr>
          <w:rFonts w:ascii="Times New Roman" w:eastAsia="Times New Roman" w:hAnsi="Times New Roman"/>
          <w:sz w:val="24"/>
          <w:szCs w:val="24"/>
          <w:lang w:eastAsia="cs-CZ"/>
        </w:rPr>
      </w:pPr>
      <w:r w:rsidRPr="000172FC">
        <w:rPr>
          <w:rStyle w:val="s10"/>
          <w:rFonts w:ascii="Times New Roman" w:hAnsi="Times New Roman"/>
          <w:bCs/>
          <w:sz w:val="24"/>
          <w:szCs w:val="24"/>
        </w:rPr>
        <w:t>Zákon č. 89/2012 Sb., o</w:t>
      </w:r>
      <w:r w:rsidRPr="000172FC">
        <w:rPr>
          <w:rStyle w:val="s14"/>
          <w:rFonts w:ascii="Times New Roman" w:hAnsi="Times New Roman"/>
          <w:bCs/>
          <w:sz w:val="24"/>
          <w:szCs w:val="24"/>
        </w:rPr>
        <w:t>bčanský zákoník,</w:t>
      </w:r>
      <w:r w:rsidRPr="000172FC">
        <w:rPr>
          <w:rStyle w:val="s14"/>
          <w:rFonts w:ascii="Times New Roman" w:hAnsi="Times New Roman"/>
          <w:b/>
          <w:bCs/>
          <w:sz w:val="24"/>
          <w:szCs w:val="24"/>
        </w:rPr>
        <w:t xml:space="preserve"> </w:t>
      </w:r>
      <w:r w:rsidRPr="000172FC">
        <w:rPr>
          <w:rStyle w:val="s15"/>
          <w:rFonts w:ascii="Times New Roman" w:hAnsi="Times New Roman"/>
          <w:sz w:val="24"/>
          <w:szCs w:val="24"/>
        </w:rPr>
        <w:t>ve znění zákona č. 460/2016 Sb., zákona č. 303/2017 Sb., zákona č. 111/2018 Sb.</w:t>
      </w:r>
      <w:r w:rsidR="00B14B19" w:rsidRPr="000172FC">
        <w:rPr>
          <w:rStyle w:val="s15"/>
          <w:rFonts w:ascii="Times New Roman" w:hAnsi="Times New Roman"/>
          <w:sz w:val="24"/>
          <w:szCs w:val="24"/>
        </w:rPr>
        <w:t xml:space="preserve">, </w:t>
      </w:r>
      <w:r w:rsidRPr="000172FC">
        <w:rPr>
          <w:rStyle w:val="s15"/>
          <w:rFonts w:ascii="Times New Roman" w:hAnsi="Times New Roman"/>
          <w:sz w:val="24"/>
          <w:szCs w:val="24"/>
        </w:rPr>
        <w:t>zákona č. 171/2018 Sb.,</w:t>
      </w:r>
      <w:r w:rsidR="00B14B19" w:rsidRPr="000172FC">
        <w:rPr>
          <w:rStyle w:val="s15"/>
          <w:rFonts w:ascii="Times New Roman" w:hAnsi="Times New Roman"/>
          <w:sz w:val="24"/>
          <w:szCs w:val="24"/>
        </w:rPr>
        <w:t xml:space="preserve"> zákona č. 163/2020 Sb. a zákona </w:t>
      </w:r>
      <w:r w:rsidR="00FF5AFB">
        <w:rPr>
          <w:rStyle w:val="s15"/>
          <w:rFonts w:ascii="Times New Roman" w:hAnsi="Times New Roman"/>
          <w:sz w:val="24"/>
          <w:szCs w:val="24"/>
        </w:rPr>
        <w:br/>
      </w:r>
      <w:r w:rsidR="00B14B19" w:rsidRPr="000172FC">
        <w:rPr>
          <w:rStyle w:val="s15"/>
          <w:rFonts w:ascii="Times New Roman" w:hAnsi="Times New Roman"/>
          <w:sz w:val="24"/>
          <w:szCs w:val="24"/>
        </w:rPr>
        <w:t>č. 33/2020 Sb.,</w:t>
      </w:r>
      <w:r w:rsidRPr="000172FC">
        <w:rPr>
          <w:rStyle w:val="s15"/>
          <w:rFonts w:ascii="Times New Roman" w:hAnsi="Times New Roman"/>
          <w:sz w:val="24"/>
          <w:szCs w:val="24"/>
        </w:rPr>
        <w:t xml:space="preserve"> </w:t>
      </w:r>
      <w:r w:rsidRPr="000172FC">
        <w:rPr>
          <w:rFonts w:ascii="Times New Roman" w:eastAsia="Times New Roman" w:hAnsi="Times New Roman"/>
          <w:sz w:val="24"/>
          <w:szCs w:val="24"/>
          <w:lang w:eastAsia="cs-CZ"/>
        </w:rPr>
        <w:t>se mění takto:</w:t>
      </w:r>
    </w:p>
    <w:p w14:paraId="3BCD6E62" w14:textId="77777777" w:rsidR="000172FC" w:rsidRDefault="000172FC" w:rsidP="000172FC">
      <w:pPr>
        <w:spacing w:before="120" w:after="0" w:line="240" w:lineRule="auto"/>
        <w:jc w:val="both"/>
        <w:rPr>
          <w:rFonts w:ascii="Times New Roman" w:eastAsia="Times New Roman" w:hAnsi="Times New Roman"/>
          <w:sz w:val="24"/>
          <w:szCs w:val="24"/>
          <w:lang w:eastAsia="cs-CZ"/>
        </w:rPr>
      </w:pPr>
    </w:p>
    <w:p w14:paraId="7088274E" w14:textId="7A1308BD" w:rsidR="00F20B1C" w:rsidRPr="000172FC" w:rsidRDefault="00F20B1C" w:rsidP="000172FC">
      <w:pPr>
        <w:pStyle w:val="Odstavecseseznamem"/>
        <w:numPr>
          <w:ilvl w:val="0"/>
          <w:numId w:val="2"/>
        </w:numPr>
        <w:spacing w:before="120" w:after="0" w:line="240" w:lineRule="auto"/>
        <w:jc w:val="both"/>
        <w:rPr>
          <w:rStyle w:val="s10"/>
          <w:rFonts w:ascii="Times New Roman" w:eastAsia="Times New Roman" w:hAnsi="Times New Roman"/>
          <w:sz w:val="24"/>
          <w:szCs w:val="24"/>
          <w:lang w:eastAsia="cs-CZ"/>
        </w:rPr>
      </w:pPr>
      <w:r w:rsidRPr="000172FC">
        <w:rPr>
          <w:rStyle w:val="s10"/>
          <w:rFonts w:ascii="Times New Roman" w:hAnsi="Times New Roman"/>
          <w:bCs/>
          <w:sz w:val="24"/>
          <w:szCs w:val="24"/>
        </w:rPr>
        <w:t xml:space="preserve">§ 1932 zní: </w:t>
      </w:r>
    </w:p>
    <w:p w14:paraId="6C742937" w14:textId="77777777" w:rsidR="00F20B1C" w:rsidRPr="000172FC" w:rsidRDefault="00F20B1C" w:rsidP="000172FC">
      <w:pPr>
        <w:pStyle w:val="Odstavecseseznamem"/>
        <w:spacing w:before="120" w:after="0" w:line="240" w:lineRule="auto"/>
        <w:jc w:val="both"/>
        <w:rPr>
          <w:rFonts w:ascii="Times New Roman" w:eastAsia="Times New Roman" w:hAnsi="Times New Roman"/>
          <w:sz w:val="24"/>
          <w:szCs w:val="24"/>
          <w:lang w:eastAsia="cs-CZ"/>
        </w:rPr>
      </w:pPr>
    </w:p>
    <w:p w14:paraId="3A7CA018" w14:textId="0A2A4DE2" w:rsidR="003A65C9" w:rsidRDefault="00F20B1C" w:rsidP="003A65C9">
      <w:pPr>
        <w:pStyle w:val="Odstavecseseznamem"/>
        <w:spacing w:before="120" w:after="0"/>
        <w:jc w:val="center"/>
        <w:rPr>
          <w:rFonts w:ascii="Times New Roman" w:eastAsia="Times New Roman" w:hAnsi="Times New Roman"/>
          <w:sz w:val="24"/>
          <w:szCs w:val="24"/>
          <w:lang w:eastAsia="cs-CZ"/>
        </w:rPr>
      </w:pPr>
      <w:r w:rsidRPr="000172FC">
        <w:rPr>
          <w:rFonts w:ascii="Times New Roman" w:eastAsia="Times New Roman" w:hAnsi="Times New Roman"/>
          <w:sz w:val="24"/>
          <w:szCs w:val="24"/>
          <w:lang w:eastAsia="cs-CZ"/>
        </w:rPr>
        <w:t>„</w:t>
      </w:r>
      <w:r w:rsidR="003A65C9">
        <w:rPr>
          <w:rFonts w:ascii="Times New Roman" w:eastAsia="Times New Roman" w:hAnsi="Times New Roman"/>
          <w:sz w:val="24"/>
          <w:szCs w:val="24"/>
          <w:lang w:eastAsia="cs-CZ"/>
        </w:rPr>
        <w:t>§ 1932</w:t>
      </w:r>
    </w:p>
    <w:p w14:paraId="3BB5164E" w14:textId="77777777" w:rsidR="003A65C9" w:rsidRDefault="003A65C9" w:rsidP="003A65C9">
      <w:pPr>
        <w:pStyle w:val="Odstavecseseznamem"/>
        <w:spacing w:before="120" w:after="0"/>
        <w:jc w:val="both"/>
        <w:rPr>
          <w:rFonts w:ascii="Times New Roman" w:eastAsia="Times New Roman" w:hAnsi="Times New Roman"/>
          <w:sz w:val="24"/>
          <w:szCs w:val="24"/>
          <w:lang w:eastAsia="cs-CZ"/>
        </w:rPr>
      </w:pPr>
    </w:p>
    <w:p w14:paraId="7BF412FA" w14:textId="08262DBB" w:rsidR="00CA3177" w:rsidRPr="000172FC" w:rsidRDefault="00F20B1C" w:rsidP="003A65C9">
      <w:pPr>
        <w:pStyle w:val="Odstavecseseznamem"/>
        <w:spacing w:before="120" w:after="0"/>
        <w:jc w:val="both"/>
        <w:rPr>
          <w:rFonts w:ascii="Times New Roman" w:eastAsia="Times New Roman" w:hAnsi="Times New Roman"/>
          <w:sz w:val="24"/>
          <w:szCs w:val="24"/>
          <w:lang w:eastAsia="cs-CZ"/>
        </w:rPr>
      </w:pPr>
      <w:r w:rsidRPr="000172FC">
        <w:rPr>
          <w:rFonts w:ascii="Times New Roman" w:eastAsia="Times New Roman" w:hAnsi="Times New Roman"/>
          <w:sz w:val="24"/>
          <w:szCs w:val="24"/>
          <w:lang w:eastAsia="cs-CZ"/>
        </w:rPr>
        <w:t xml:space="preserve">(1) </w:t>
      </w:r>
      <w:r w:rsidRPr="000172FC">
        <w:rPr>
          <w:rFonts w:ascii="Times New Roman" w:hAnsi="Times New Roman"/>
          <w:color w:val="000000"/>
          <w:sz w:val="24"/>
          <w:szCs w:val="24"/>
        </w:rPr>
        <w:t xml:space="preserve">Má-li dlužník plnit na jistinu, úroky a náklady spojené s uplatněním pohledávky, započte se plnění nejprve na jistinu, pak na náklady již určené, poté na úroky z prodlení </w:t>
      </w:r>
      <w:r w:rsidRPr="00C2697F">
        <w:rPr>
          <w:rFonts w:ascii="Times New Roman" w:hAnsi="Times New Roman"/>
          <w:sz w:val="24"/>
          <w:szCs w:val="24"/>
        </w:rPr>
        <w:t>a nakonec na</w:t>
      </w:r>
      <w:r w:rsidR="00C2697F" w:rsidRPr="00C2697F">
        <w:rPr>
          <w:rFonts w:ascii="Times New Roman" w:hAnsi="Times New Roman"/>
          <w:sz w:val="24"/>
          <w:szCs w:val="24"/>
        </w:rPr>
        <w:t xml:space="preserve"> úroky</w:t>
      </w:r>
      <w:r w:rsidR="00A279A3">
        <w:rPr>
          <w:rFonts w:ascii="Times New Roman" w:hAnsi="Times New Roman"/>
          <w:sz w:val="24"/>
          <w:szCs w:val="24"/>
        </w:rPr>
        <w:t xml:space="preserve">, </w:t>
      </w:r>
      <w:r w:rsidR="00C2697F" w:rsidRPr="00A279A3">
        <w:rPr>
          <w:rFonts w:ascii="Times New Roman" w:hAnsi="Times New Roman"/>
          <w:sz w:val="24"/>
          <w:szCs w:val="24"/>
        </w:rPr>
        <w:t>ledaže dlužník projeví při plnění jinou vůli</w:t>
      </w:r>
      <w:r w:rsidR="003A65C9">
        <w:rPr>
          <w:rFonts w:ascii="Times New Roman" w:hAnsi="Times New Roman"/>
          <w:sz w:val="24"/>
          <w:szCs w:val="24"/>
        </w:rPr>
        <w:t>.</w:t>
      </w:r>
    </w:p>
    <w:p w14:paraId="5D88EF8E" w14:textId="3090889B" w:rsidR="00CA3177" w:rsidRDefault="000172FC" w:rsidP="000172FC">
      <w:pPr>
        <w:spacing w:before="120" w:after="0" w:line="240" w:lineRule="auto"/>
        <w:ind w:left="284"/>
        <w:jc w:val="both"/>
        <w:rPr>
          <w:rFonts w:ascii="Times New Roman" w:hAnsi="Times New Roman"/>
          <w:sz w:val="24"/>
          <w:szCs w:val="24"/>
        </w:rPr>
      </w:pPr>
      <w:r>
        <w:rPr>
          <w:rFonts w:ascii="Times New Roman" w:eastAsia="Times New Roman" w:hAnsi="Times New Roman"/>
          <w:sz w:val="24"/>
          <w:szCs w:val="24"/>
          <w:lang w:eastAsia="cs-CZ"/>
        </w:rPr>
        <w:t xml:space="preserve">       </w:t>
      </w:r>
      <w:r w:rsidR="00CA3177" w:rsidRPr="000172FC">
        <w:rPr>
          <w:rFonts w:ascii="Times New Roman" w:eastAsia="Times New Roman" w:hAnsi="Times New Roman"/>
          <w:sz w:val="24"/>
          <w:szCs w:val="24"/>
          <w:lang w:eastAsia="cs-CZ"/>
        </w:rPr>
        <w:t>(2) Jistina a náklady již určené se úročí. Úroky a úroky z prodlení se neúročí.</w:t>
      </w:r>
      <w:r w:rsidR="00CA3177" w:rsidRPr="000172FC">
        <w:rPr>
          <w:rFonts w:ascii="Times New Roman" w:hAnsi="Times New Roman"/>
          <w:sz w:val="24"/>
          <w:szCs w:val="24"/>
        </w:rPr>
        <w:t>“.</w:t>
      </w:r>
    </w:p>
    <w:p w14:paraId="1902926D" w14:textId="77777777" w:rsidR="000172FC" w:rsidRPr="000172FC" w:rsidRDefault="000172FC" w:rsidP="000172FC">
      <w:pPr>
        <w:spacing w:before="120" w:after="0" w:line="240" w:lineRule="auto"/>
        <w:ind w:left="284"/>
        <w:jc w:val="both"/>
        <w:rPr>
          <w:rFonts w:ascii="Times New Roman" w:hAnsi="Times New Roman"/>
          <w:sz w:val="24"/>
          <w:szCs w:val="24"/>
        </w:rPr>
      </w:pPr>
    </w:p>
    <w:p w14:paraId="61C7469D" w14:textId="77777777" w:rsidR="00CA3177" w:rsidRDefault="00CA3177" w:rsidP="00AB22B4">
      <w:pPr>
        <w:autoSpaceDE w:val="0"/>
        <w:adjustRightInd w:val="0"/>
        <w:spacing w:before="120" w:after="0" w:line="240" w:lineRule="auto"/>
        <w:jc w:val="center"/>
        <w:rPr>
          <w:rFonts w:ascii="Times New Roman" w:hAnsi="Times New Roman"/>
          <w:sz w:val="24"/>
          <w:szCs w:val="24"/>
        </w:rPr>
      </w:pPr>
      <w:r>
        <w:rPr>
          <w:rFonts w:ascii="Times New Roman" w:hAnsi="Times New Roman"/>
          <w:sz w:val="24"/>
          <w:szCs w:val="24"/>
        </w:rPr>
        <w:t>Čl. II</w:t>
      </w:r>
    </w:p>
    <w:p w14:paraId="03DC5C53" w14:textId="5BB1BDDC" w:rsidR="00CA3177" w:rsidRDefault="00CA3177" w:rsidP="00AB22B4">
      <w:pPr>
        <w:autoSpaceDE w:val="0"/>
        <w:adjustRightInd w:val="0"/>
        <w:spacing w:before="120" w:after="0" w:line="240" w:lineRule="auto"/>
        <w:jc w:val="center"/>
        <w:rPr>
          <w:rFonts w:ascii="Times New Roman" w:hAnsi="Times New Roman"/>
          <w:b/>
          <w:sz w:val="24"/>
          <w:szCs w:val="24"/>
        </w:rPr>
      </w:pPr>
      <w:r>
        <w:rPr>
          <w:rFonts w:ascii="Times New Roman" w:hAnsi="Times New Roman"/>
          <w:b/>
          <w:sz w:val="24"/>
          <w:szCs w:val="24"/>
        </w:rPr>
        <w:t>Účinnost</w:t>
      </w:r>
    </w:p>
    <w:p w14:paraId="4CCD8B78" w14:textId="77777777" w:rsidR="00451554" w:rsidRDefault="00451554" w:rsidP="00AB22B4">
      <w:pPr>
        <w:autoSpaceDE w:val="0"/>
        <w:adjustRightInd w:val="0"/>
        <w:spacing w:before="120" w:after="0" w:line="240" w:lineRule="auto"/>
        <w:jc w:val="center"/>
        <w:rPr>
          <w:rFonts w:ascii="Times New Roman" w:hAnsi="Times New Roman"/>
          <w:b/>
          <w:sz w:val="24"/>
          <w:szCs w:val="24"/>
        </w:rPr>
      </w:pPr>
    </w:p>
    <w:p w14:paraId="586FFFB6" w14:textId="65D52D8B" w:rsidR="00451554" w:rsidRPr="00451554" w:rsidRDefault="00451554" w:rsidP="00451554">
      <w:pPr>
        <w:pStyle w:val="lnek"/>
        <w:spacing w:before="0" w:after="0" w:line="276" w:lineRule="auto"/>
        <w:jc w:val="left"/>
        <w:rPr>
          <w:bCs/>
          <w:noProof/>
          <w:sz w:val="24"/>
          <w:szCs w:val="24"/>
        </w:rPr>
      </w:pPr>
      <w:r w:rsidRPr="00451554">
        <w:rPr>
          <w:bCs/>
          <w:noProof/>
          <w:sz w:val="24"/>
          <w:szCs w:val="24"/>
        </w:rPr>
        <w:t xml:space="preserve">Tento zákon nabývá účinnosti </w:t>
      </w:r>
      <w:r>
        <w:rPr>
          <w:bCs/>
          <w:noProof/>
          <w:sz w:val="24"/>
          <w:szCs w:val="24"/>
        </w:rPr>
        <w:t xml:space="preserve">dnem 1. </w:t>
      </w:r>
      <w:r w:rsidR="00C2697F">
        <w:rPr>
          <w:bCs/>
          <w:noProof/>
          <w:sz w:val="24"/>
          <w:szCs w:val="24"/>
        </w:rPr>
        <w:t>července</w:t>
      </w:r>
      <w:r w:rsidRPr="00451554">
        <w:rPr>
          <w:bCs/>
          <w:noProof/>
          <w:sz w:val="24"/>
          <w:szCs w:val="24"/>
        </w:rPr>
        <w:t xml:space="preserve"> 2021</w:t>
      </w:r>
      <w:r w:rsidR="00C2697F">
        <w:rPr>
          <w:bCs/>
          <w:noProof/>
          <w:sz w:val="24"/>
          <w:szCs w:val="24"/>
        </w:rPr>
        <w:t>.</w:t>
      </w:r>
    </w:p>
    <w:p w14:paraId="7C8E05AF" w14:textId="2E345C9B" w:rsidR="004A6A27" w:rsidRDefault="004A6A27">
      <w:pPr>
        <w:spacing w:after="160" w:line="259" w:lineRule="auto"/>
        <w:rPr>
          <w:rFonts w:ascii="Times New Roman" w:hAnsi="Times New Roman"/>
          <w:b/>
          <w:bCs/>
          <w:sz w:val="24"/>
          <w:szCs w:val="24"/>
          <w:u w:val="single"/>
        </w:rPr>
      </w:pPr>
      <w:r>
        <w:rPr>
          <w:rFonts w:ascii="Times New Roman" w:hAnsi="Times New Roman"/>
          <w:b/>
          <w:bCs/>
          <w:sz w:val="24"/>
          <w:szCs w:val="24"/>
          <w:u w:val="single"/>
        </w:rPr>
        <w:br w:type="page"/>
      </w:r>
    </w:p>
    <w:p w14:paraId="29D1834C" w14:textId="77777777" w:rsidR="000039F7" w:rsidRDefault="000039F7" w:rsidP="00AB22B4">
      <w:pPr>
        <w:spacing w:before="120" w:after="0" w:line="240" w:lineRule="auto"/>
        <w:rPr>
          <w:rFonts w:ascii="Times New Roman" w:hAnsi="Times New Roman"/>
          <w:b/>
          <w:bCs/>
          <w:sz w:val="24"/>
          <w:szCs w:val="24"/>
          <w:u w:val="single"/>
        </w:rPr>
      </w:pPr>
    </w:p>
    <w:p w14:paraId="59677606" w14:textId="261E8982" w:rsidR="000039F7" w:rsidRDefault="000039F7" w:rsidP="00AB22B4">
      <w:pPr>
        <w:keepNext/>
        <w:spacing w:before="120" w:after="0" w:line="240" w:lineRule="auto"/>
        <w:jc w:val="center"/>
        <w:rPr>
          <w:rFonts w:ascii="Times New Roman" w:hAnsi="Times New Roman"/>
          <w:b/>
          <w:bCs/>
          <w:sz w:val="24"/>
          <w:szCs w:val="24"/>
          <w:u w:val="single"/>
        </w:rPr>
      </w:pPr>
      <w:r>
        <w:rPr>
          <w:rFonts w:ascii="Times New Roman" w:hAnsi="Times New Roman"/>
          <w:b/>
          <w:bCs/>
          <w:sz w:val="24"/>
          <w:szCs w:val="24"/>
          <w:u w:val="single"/>
        </w:rPr>
        <w:t>DŮVODOVÁ ZPRÁVA</w:t>
      </w:r>
    </w:p>
    <w:p w14:paraId="7127B146" w14:textId="77777777" w:rsidR="000039F7" w:rsidRDefault="000039F7" w:rsidP="00AB22B4">
      <w:pPr>
        <w:keepNext/>
        <w:spacing w:before="120" w:after="0" w:line="240" w:lineRule="auto"/>
        <w:rPr>
          <w:rFonts w:ascii="Times New Roman" w:hAnsi="Times New Roman"/>
          <w:b/>
          <w:bCs/>
          <w:sz w:val="24"/>
          <w:szCs w:val="24"/>
          <w:u w:val="single"/>
        </w:rPr>
      </w:pPr>
      <w:r>
        <w:rPr>
          <w:rFonts w:ascii="Times New Roman" w:hAnsi="Times New Roman"/>
          <w:b/>
          <w:bCs/>
          <w:sz w:val="24"/>
          <w:szCs w:val="24"/>
          <w:u w:val="single"/>
        </w:rPr>
        <w:t>I. Obecná část</w:t>
      </w:r>
    </w:p>
    <w:p w14:paraId="1AC8B641" w14:textId="77777777" w:rsidR="000039F7" w:rsidRDefault="000039F7" w:rsidP="00AB22B4">
      <w:pPr>
        <w:keepNext/>
        <w:autoSpaceDE w:val="0"/>
        <w:adjustRightInd w:val="0"/>
        <w:spacing w:before="120" w:after="0" w:line="240" w:lineRule="auto"/>
        <w:rPr>
          <w:rFonts w:ascii="Times New Roman" w:hAnsi="Times New Roman"/>
          <w:b/>
          <w:sz w:val="24"/>
          <w:szCs w:val="24"/>
        </w:rPr>
      </w:pPr>
      <w:r>
        <w:rPr>
          <w:rFonts w:ascii="Times New Roman" w:hAnsi="Times New Roman"/>
          <w:b/>
          <w:sz w:val="24"/>
          <w:szCs w:val="24"/>
        </w:rPr>
        <w:t>a) Zhodnocení platného právního stavu</w:t>
      </w:r>
    </w:p>
    <w:p w14:paraId="03BC6893" w14:textId="6812E5DD" w:rsidR="00DD6787" w:rsidRDefault="000039F7" w:rsidP="00AB22B4">
      <w:pPr>
        <w:spacing w:before="120" w:after="0" w:line="240" w:lineRule="auto"/>
        <w:jc w:val="both"/>
        <w:outlineLvl w:val="2"/>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Ustanovení § 193</w:t>
      </w:r>
      <w:r w:rsidR="00091088">
        <w:rPr>
          <w:rFonts w:ascii="Times New Roman" w:eastAsia="Times New Roman" w:hAnsi="Times New Roman"/>
          <w:color w:val="000000"/>
          <w:sz w:val="24"/>
          <w:szCs w:val="24"/>
          <w:lang w:eastAsia="cs-CZ"/>
        </w:rPr>
        <w:t>2 st</w:t>
      </w:r>
      <w:r>
        <w:rPr>
          <w:rFonts w:ascii="Times New Roman" w:eastAsia="Times New Roman" w:hAnsi="Times New Roman"/>
          <w:color w:val="000000"/>
          <w:sz w:val="24"/>
          <w:szCs w:val="24"/>
          <w:lang w:eastAsia="cs-CZ"/>
        </w:rPr>
        <w:t>anoví, že v případě plnění peněžitého dluhu</w:t>
      </w:r>
      <w:r w:rsidR="00DD6787">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 xml:space="preserve">se plnění započte nejdříve na jeho příslušenství a teprve poté na jistinu. Dovětek prvního odstavce </w:t>
      </w:r>
      <w:r w:rsidR="00756D69">
        <w:rPr>
          <w:rFonts w:ascii="Times New Roman" w:eastAsia="Times New Roman" w:hAnsi="Times New Roman"/>
          <w:color w:val="000000"/>
          <w:sz w:val="24"/>
          <w:szCs w:val="24"/>
          <w:lang w:eastAsia="cs-CZ"/>
        </w:rPr>
        <w:t>sice s</w:t>
      </w:r>
      <w:r>
        <w:rPr>
          <w:rFonts w:ascii="Times New Roman" w:eastAsia="Times New Roman" w:hAnsi="Times New Roman"/>
          <w:color w:val="000000"/>
          <w:sz w:val="24"/>
          <w:szCs w:val="24"/>
          <w:lang w:eastAsia="cs-CZ"/>
        </w:rPr>
        <w:t>tanoví, že dlužník může při plnění projevit jinou vůli</w:t>
      </w:r>
      <w:r w:rsidR="00756D69">
        <w:rPr>
          <w:rFonts w:ascii="Times New Roman" w:eastAsia="Times New Roman" w:hAnsi="Times New Roman"/>
          <w:color w:val="000000"/>
          <w:sz w:val="24"/>
          <w:szCs w:val="24"/>
          <w:lang w:eastAsia="cs-CZ"/>
        </w:rPr>
        <w:t xml:space="preserve">, nicméně odlišné pořadí plnění musí být výslovně vyjádřeno (např. dlužník může prohlásit, že nejdřív plní </w:t>
      </w:r>
      <w:r>
        <w:rPr>
          <w:rFonts w:ascii="Times New Roman" w:eastAsia="Times New Roman" w:hAnsi="Times New Roman"/>
          <w:color w:val="000000"/>
          <w:sz w:val="24"/>
          <w:szCs w:val="24"/>
          <w:lang w:eastAsia="cs-CZ"/>
        </w:rPr>
        <w:t>na jistinu</w:t>
      </w:r>
      <w:r w:rsidR="00756D69">
        <w:rPr>
          <w:rFonts w:ascii="Times New Roman" w:eastAsia="Times New Roman" w:hAnsi="Times New Roman"/>
          <w:color w:val="000000"/>
          <w:sz w:val="24"/>
          <w:szCs w:val="24"/>
          <w:lang w:eastAsia="cs-CZ"/>
        </w:rPr>
        <w:t>)</w:t>
      </w:r>
      <w:r>
        <w:rPr>
          <w:rFonts w:ascii="Times New Roman" w:eastAsia="Times New Roman" w:hAnsi="Times New Roman"/>
          <w:color w:val="000000"/>
          <w:sz w:val="24"/>
          <w:szCs w:val="24"/>
          <w:lang w:eastAsia="cs-CZ"/>
        </w:rPr>
        <w:t xml:space="preserve">. </w:t>
      </w:r>
    </w:p>
    <w:p w14:paraId="049BBAFB" w14:textId="7B0CAA4E" w:rsidR="00DD6787" w:rsidRDefault="000039F7" w:rsidP="00DD6787">
      <w:pPr>
        <w:spacing w:before="120" w:after="0" w:line="240" w:lineRule="auto"/>
        <w:jc w:val="both"/>
        <w:outlineLvl w:val="2"/>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Odstavec 2 stanoví, že </w:t>
      </w:r>
      <w:r w:rsidR="00756D69">
        <w:rPr>
          <w:rFonts w:ascii="Times New Roman" w:eastAsia="Times New Roman" w:hAnsi="Times New Roman"/>
          <w:color w:val="000000"/>
          <w:sz w:val="24"/>
          <w:szCs w:val="24"/>
          <w:lang w:eastAsia="cs-CZ"/>
        </w:rPr>
        <w:t xml:space="preserve">pokud dlužník nejdřív plní na jistinu, úročí se nejen náklady dluhu, ale také úroky (tzv. úroky z úroků). </w:t>
      </w:r>
      <w:r>
        <w:rPr>
          <w:rFonts w:ascii="Times New Roman" w:eastAsia="Times New Roman" w:hAnsi="Times New Roman"/>
          <w:color w:val="000000"/>
          <w:sz w:val="24"/>
          <w:szCs w:val="24"/>
          <w:lang w:eastAsia="cs-CZ"/>
        </w:rPr>
        <w:t>Zákon tak v podstatě postihuje dlužníka za volbu, kterou v prvním odstavci umožňuje. Dlužník se tak přednostním plněním na jistinu nevyhne úročení té části dluhu, která připadá na příslušenství.</w:t>
      </w:r>
      <w:r w:rsidR="00DD6787" w:rsidRPr="00DD6787">
        <w:rPr>
          <w:rFonts w:ascii="Times New Roman" w:eastAsia="Times New Roman" w:hAnsi="Times New Roman"/>
          <w:color w:val="000000"/>
          <w:sz w:val="24"/>
          <w:szCs w:val="24"/>
          <w:lang w:eastAsia="cs-CZ"/>
        </w:rPr>
        <w:t xml:space="preserve"> </w:t>
      </w:r>
    </w:p>
    <w:p w14:paraId="644CD01A" w14:textId="428744B3" w:rsidR="00DD6787" w:rsidRDefault="00756D69" w:rsidP="00DD6787">
      <w:pPr>
        <w:spacing w:before="120" w:after="0" w:line="240" w:lineRule="auto"/>
        <w:jc w:val="both"/>
        <w:outlineLvl w:val="2"/>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V tuzemské právní úpravě ale existuje také odlišný postup, než stanoví</w:t>
      </w:r>
      <w:r w:rsidR="00DD6787">
        <w:rPr>
          <w:rFonts w:ascii="Times New Roman" w:eastAsia="Times New Roman" w:hAnsi="Times New Roman"/>
          <w:color w:val="000000"/>
          <w:sz w:val="24"/>
          <w:szCs w:val="24"/>
          <w:lang w:eastAsia="cs-CZ"/>
        </w:rPr>
        <w:t xml:space="preserve"> citované</w:t>
      </w:r>
      <w:r>
        <w:rPr>
          <w:rFonts w:ascii="Times New Roman" w:eastAsia="Times New Roman" w:hAnsi="Times New Roman"/>
          <w:color w:val="000000"/>
          <w:sz w:val="24"/>
          <w:szCs w:val="24"/>
          <w:lang w:eastAsia="cs-CZ"/>
        </w:rPr>
        <w:t xml:space="preserve"> </w:t>
      </w:r>
      <w:r w:rsidR="00DD6787">
        <w:rPr>
          <w:rFonts w:ascii="Times New Roman" w:eastAsia="Times New Roman" w:hAnsi="Times New Roman"/>
          <w:color w:val="000000"/>
          <w:sz w:val="24"/>
          <w:szCs w:val="24"/>
          <w:lang w:eastAsia="cs-CZ"/>
        </w:rPr>
        <w:t xml:space="preserve">ustanovení </w:t>
      </w:r>
      <w:r>
        <w:rPr>
          <w:rFonts w:ascii="Times New Roman" w:eastAsia="Times New Roman" w:hAnsi="Times New Roman"/>
          <w:color w:val="000000"/>
          <w:sz w:val="24"/>
          <w:szCs w:val="24"/>
          <w:lang w:eastAsia="cs-CZ"/>
        </w:rPr>
        <w:t>o</w:t>
      </w:r>
      <w:r w:rsidR="00DD6787">
        <w:rPr>
          <w:rFonts w:ascii="Times New Roman" w:eastAsia="Times New Roman" w:hAnsi="Times New Roman"/>
          <w:color w:val="000000"/>
          <w:sz w:val="24"/>
          <w:szCs w:val="24"/>
          <w:lang w:eastAsia="cs-CZ"/>
        </w:rPr>
        <w:t>bčanského zákoníku</w:t>
      </w:r>
      <w:r>
        <w:rPr>
          <w:rFonts w:ascii="Times New Roman" w:eastAsia="Times New Roman" w:hAnsi="Times New Roman"/>
          <w:color w:val="000000"/>
          <w:sz w:val="24"/>
          <w:szCs w:val="24"/>
          <w:lang w:eastAsia="cs-CZ"/>
        </w:rPr>
        <w:t xml:space="preserve">, kdy </w:t>
      </w:r>
      <w:r w:rsidR="00DD6787">
        <w:rPr>
          <w:rFonts w:ascii="Times New Roman" w:eastAsia="Times New Roman" w:hAnsi="Times New Roman"/>
          <w:color w:val="000000"/>
          <w:sz w:val="24"/>
          <w:szCs w:val="24"/>
          <w:lang w:eastAsia="cs-CZ"/>
        </w:rPr>
        <w:t xml:space="preserve">insolvenční zákon </w:t>
      </w:r>
      <w:r>
        <w:rPr>
          <w:rFonts w:ascii="Times New Roman" w:eastAsia="Times New Roman" w:hAnsi="Times New Roman"/>
          <w:color w:val="000000"/>
          <w:sz w:val="24"/>
          <w:szCs w:val="24"/>
          <w:lang w:eastAsia="cs-CZ"/>
        </w:rPr>
        <w:t>stanoví, že poskytované plnění se nejdřív započítává na jistinu dluhu a</w:t>
      </w:r>
      <w:r w:rsidR="00DD6787">
        <w:rPr>
          <w:rFonts w:ascii="Times New Roman" w:eastAsia="Times New Roman" w:hAnsi="Times New Roman"/>
          <w:color w:val="000000"/>
          <w:sz w:val="24"/>
          <w:szCs w:val="24"/>
          <w:lang w:eastAsia="cs-CZ"/>
        </w:rPr>
        <w:t xml:space="preserve"> teprve poté </w:t>
      </w:r>
      <w:r>
        <w:rPr>
          <w:rFonts w:ascii="Times New Roman" w:eastAsia="Times New Roman" w:hAnsi="Times New Roman"/>
          <w:color w:val="000000"/>
          <w:sz w:val="24"/>
          <w:szCs w:val="24"/>
          <w:lang w:eastAsia="cs-CZ"/>
        </w:rPr>
        <w:t xml:space="preserve">až </w:t>
      </w:r>
      <w:r w:rsidR="00DD6787">
        <w:rPr>
          <w:rFonts w:ascii="Times New Roman" w:eastAsia="Times New Roman" w:hAnsi="Times New Roman"/>
          <w:color w:val="000000"/>
          <w:sz w:val="24"/>
          <w:szCs w:val="24"/>
          <w:lang w:eastAsia="cs-CZ"/>
        </w:rPr>
        <w:t>na úroky a náklady dluhu.</w:t>
      </w:r>
      <w:r>
        <w:rPr>
          <w:rFonts w:ascii="Times New Roman" w:eastAsia="Times New Roman" w:hAnsi="Times New Roman"/>
          <w:color w:val="000000"/>
          <w:sz w:val="24"/>
          <w:szCs w:val="24"/>
          <w:lang w:eastAsia="cs-CZ"/>
        </w:rPr>
        <w:t xml:space="preserve"> Z uvedené filozofie vychází také předložený návrh.</w:t>
      </w:r>
    </w:p>
    <w:p w14:paraId="4E968AF6" w14:textId="77777777" w:rsidR="000039F7" w:rsidRDefault="000039F7" w:rsidP="00AB22B4">
      <w:pPr>
        <w:autoSpaceDE w:val="0"/>
        <w:adjustRightInd w:val="0"/>
        <w:spacing w:before="120" w:after="0" w:line="240" w:lineRule="auto"/>
        <w:jc w:val="both"/>
        <w:rPr>
          <w:rFonts w:ascii="Times New Roman" w:hAnsi="Times New Roman"/>
          <w:b/>
          <w:sz w:val="24"/>
          <w:szCs w:val="24"/>
        </w:rPr>
      </w:pPr>
      <w:r>
        <w:rPr>
          <w:rFonts w:ascii="Times New Roman" w:hAnsi="Times New Roman"/>
          <w:b/>
          <w:sz w:val="24"/>
          <w:szCs w:val="24"/>
        </w:rPr>
        <w:t>b) Vysvětlení nezbytnosti navrhované právní úpravy a odůvodnění hlavního principu navrhované právní úpravy</w:t>
      </w:r>
    </w:p>
    <w:p w14:paraId="68CAE11C" w14:textId="2884E425" w:rsidR="00F414F3" w:rsidRPr="000172BB" w:rsidRDefault="00B875A7" w:rsidP="00AB22B4">
      <w:pPr>
        <w:autoSpaceDE w:val="0"/>
        <w:adjustRightInd w:val="0"/>
        <w:spacing w:before="120" w:after="0" w:line="240" w:lineRule="auto"/>
        <w:jc w:val="both"/>
        <w:rPr>
          <w:rFonts w:ascii="Times New Roman" w:hAnsi="Times New Roman"/>
          <w:sz w:val="24"/>
          <w:szCs w:val="24"/>
        </w:rPr>
      </w:pPr>
      <w:r>
        <w:rPr>
          <w:rFonts w:ascii="Times New Roman" w:hAnsi="Times New Roman"/>
          <w:sz w:val="24"/>
          <w:szCs w:val="24"/>
        </w:rPr>
        <w:t>Účelem</w:t>
      </w:r>
      <w:r w:rsidR="000039F7">
        <w:rPr>
          <w:rFonts w:ascii="Times New Roman" w:hAnsi="Times New Roman"/>
          <w:sz w:val="24"/>
          <w:szCs w:val="24"/>
        </w:rPr>
        <w:t xml:space="preserve"> navrhované </w:t>
      </w:r>
      <w:r w:rsidR="000039F7" w:rsidRPr="000172BB">
        <w:rPr>
          <w:rFonts w:ascii="Times New Roman" w:hAnsi="Times New Roman"/>
          <w:sz w:val="24"/>
          <w:szCs w:val="24"/>
        </w:rPr>
        <w:t>úpravy je</w:t>
      </w:r>
      <w:r w:rsidR="00F414F3" w:rsidRPr="000172BB">
        <w:rPr>
          <w:rFonts w:ascii="Times New Roman" w:hAnsi="Times New Roman"/>
          <w:sz w:val="24"/>
          <w:szCs w:val="24"/>
        </w:rPr>
        <w:t xml:space="preserve"> změnit pořadí, v jakém se bude hradit dluh na: </w:t>
      </w:r>
      <w:r w:rsidR="00756D69">
        <w:rPr>
          <w:rFonts w:ascii="Times New Roman" w:hAnsi="Times New Roman"/>
          <w:sz w:val="24"/>
          <w:szCs w:val="24"/>
        </w:rPr>
        <w:t>„</w:t>
      </w:r>
      <w:r w:rsidR="00F414F3" w:rsidRPr="000172BB">
        <w:rPr>
          <w:rFonts w:ascii="Times New Roman" w:hAnsi="Times New Roman"/>
          <w:color w:val="000000"/>
          <w:sz w:val="24"/>
          <w:szCs w:val="24"/>
          <w:shd w:val="clear" w:color="auto" w:fill="FFFFFF"/>
        </w:rPr>
        <w:t>jistina – již určené náklady – úroky z prodlení – úroky</w:t>
      </w:r>
      <w:r w:rsidR="00756D69">
        <w:rPr>
          <w:rFonts w:ascii="Times New Roman" w:hAnsi="Times New Roman"/>
          <w:color w:val="000000"/>
          <w:sz w:val="24"/>
          <w:szCs w:val="24"/>
          <w:shd w:val="clear" w:color="auto" w:fill="FFFFFF"/>
        </w:rPr>
        <w:t>“</w:t>
      </w:r>
      <w:r w:rsidR="00F414F3" w:rsidRPr="000172BB">
        <w:rPr>
          <w:rFonts w:ascii="Times New Roman" w:hAnsi="Times New Roman"/>
          <w:color w:val="000000"/>
          <w:sz w:val="24"/>
          <w:szCs w:val="24"/>
          <w:shd w:val="clear" w:color="auto" w:fill="FFFFFF"/>
        </w:rPr>
        <w:t xml:space="preserve"> oproti stávajícímu</w:t>
      </w:r>
      <w:r w:rsidR="00756D69">
        <w:rPr>
          <w:rFonts w:ascii="Times New Roman" w:hAnsi="Times New Roman"/>
          <w:color w:val="000000"/>
          <w:sz w:val="24"/>
          <w:szCs w:val="24"/>
          <w:shd w:val="clear" w:color="auto" w:fill="FFFFFF"/>
        </w:rPr>
        <w:t xml:space="preserve">, pro dlužníka </w:t>
      </w:r>
      <w:r w:rsidR="00F414F3" w:rsidRPr="000172BB">
        <w:rPr>
          <w:rFonts w:ascii="Times New Roman" w:hAnsi="Times New Roman"/>
          <w:color w:val="000000"/>
          <w:sz w:val="24"/>
          <w:szCs w:val="24"/>
          <w:shd w:val="clear" w:color="auto" w:fill="FFFFFF"/>
        </w:rPr>
        <w:t>nevýhodnému</w:t>
      </w:r>
      <w:r w:rsidR="00756D69">
        <w:rPr>
          <w:rFonts w:ascii="Times New Roman" w:hAnsi="Times New Roman"/>
          <w:color w:val="000000"/>
          <w:sz w:val="24"/>
          <w:szCs w:val="24"/>
          <w:shd w:val="clear" w:color="auto" w:fill="FFFFFF"/>
        </w:rPr>
        <w:t>,</w:t>
      </w:r>
      <w:r w:rsidR="00F414F3" w:rsidRPr="000172BB">
        <w:rPr>
          <w:rFonts w:ascii="Times New Roman" w:hAnsi="Times New Roman"/>
          <w:color w:val="000000"/>
          <w:sz w:val="24"/>
          <w:szCs w:val="24"/>
          <w:shd w:val="clear" w:color="auto" w:fill="FFFFFF"/>
        </w:rPr>
        <w:t xml:space="preserve"> pořadí: </w:t>
      </w:r>
      <w:r w:rsidR="00756D69">
        <w:rPr>
          <w:rFonts w:ascii="Times New Roman" w:hAnsi="Times New Roman"/>
          <w:color w:val="000000"/>
          <w:sz w:val="24"/>
          <w:szCs w:val="24"/>
          <w:shd w:val="clear" w:color="auto" w:fill="FFFFFF"/>
        </w:rPr>
        <w:t>„</w:t>
      </w:r>
      <w:r w:rsidR="00F414F3" w:rsidRPr="000172BB">
        <w:rPr>
          <w:rFonts w:ascii="Times New Roman" w:hAnsi="Times New Roman"/>
          <w:color w:val="000000"/>
          <w:sz w:val="24"/>
          <w:szCs w:val="24"/>
          <w:shd w:val="clear" w:color="auto" w:fill="FFFFFF"/>
        </w:rPr>
        <w:t>již určené náklady – úroky z prodlení – úroky – jistina</w:t>
      </w:r>
      <w:r w:rsidR="00756D69">
        <w:rPr>
          <w:rFonts w:ascii="Times New Roman" w:hAnsi="Times New Roman"/>
          <w:color w:val="000000"/>
          <w:sz w:val="24"/>
          <w:szCs w:val="24"/>
          <w:shd w:val="clear" w:color="auto" w:fill="FFFFFF"/>
        </w:rPr>
        <w:t>“</w:t>
      </w:r>
      <w:r w:rsidR="00F414F3" w:rsidRPr="000172BB">
        <w:rPr>
          <w:rFonts w:ascii="Times New Roman" w:hAnsi="Times New Roman"/>
          <w:color w:val="000000"/>
          <w:sz w:val="24"/>
          <w:szCs w:val="24"/>
          <w:shd w:val="clear" w:color="auto" w:fill="FFFFFF"/>
        </w:rPr>
        <w:t xml:space="preserve">. </w:t>
      </w:r>
      <w:r w:rsidR="00336E9B">
        <w:rPr>
          <w:rFonts w:ascii="Times New Roman" w:hAnsi="Times New Roman"/>
          <w:color w:val="000000"/>
          <w:sz w:val="24"/>
          <w:szCs w:val="24"/>
          <w:shd w:val="clear" w:color="auto" w:fill="FFFFFF"/>
        </w:rPr>
        <w:t>Principem návrhu je, že nebude nutné, aby d</w:t>
      </w:r>
      <w:r w:rsidR="00F414F3" w:rsidRPr="000172BB">
        <w:rPr>
          <w:rFonts w:ascii="Times New Roman" w:hAnsi="Times New Roman"/>
          <w:color w:val="000000"/>
          <w:sz w:val="24"/>
          <w:szCs w:val="24"/>
          <w:shd w:val="clear" w:color="auto" w:fill="FFFFFF"/>
        </w:rPr>
        <w:t xml:space="preserve">lužník </w:t>
      </w:r>
      <w:r w:rsidR="00336E9B">
        <w:rPr>
          <w:rFonts w:ascii="Times New Roman" w:hAnsi="Times New Roman"/>
          <w:color w:val="000000"/>
          <w:sz w:val="24"/>
          <w:szCs w:val="24"/>
          <w:shd w:val="clear" w:color="auto" w:fill="FFFFFF"/>
        </w:rPr>
        <w:t>činil</w:t>
      </w:r>
      <w:r w:rsidR="00F414F3" w:rsidRPr="000172BB">
        <w:rPr>
          <w:rFonts w:ascii="Times New Roman" w:hAnsi="Times New Roman"/>
          <w:color w:val="000000"/>
          <w:sz w:val="24"/>
          <w:szCs w:val="24"/>
          <w:shd w:val="clear" w:color="auto" w:fill="FFFFFF"/>
        </w:rPr>
        <w:t xml:space="preserve"> jakékoliv prohlášení, jakou část dluhu plní, a přednostně se bude plnit na jistinu (bude se splácet samotný dluh), čímž se mu bude snižovat tato úročená část dluhu, zatímco ve vztahu k příslušenství by se mu úročily pouze již určené náklady</w:t>
      </w:r>
      <w:r w:rsidR="00336E9B">
        <w:rPr>
          <w:rFonts w:ascii="Times New Roman" w:hAnsi="Times New Roman"/>
          <w:color w:val="000000"/>
          <w:sz w:val="24"/>
          <w:szCs w:val="24"/>
          <w:shd w:val="clear" w:color="auto" w:fill="FFFFFF"/>
        </w:rPr>
        <w:t>. Ú</w:t>
      </w:r>
      <w:r w:rsidR="00F414F3" w:rsidRPr="000172BB">
        <w:rPr>
          <w:rFonts w:ascii="Times New Roman" w:hAnsi="Times New Roman"/>
          <w:color w:val="000000"/>
          <w:sz w:val="24"/>
          <w:szCs w:val="24"/>
          <w:shd w:val="clear" w:color="auto" w:fill="FFFFFF"/>
        </w:rPr>
        <w:t>roky, ani úroky z prodlení by se nově neúročily.</w:t>
      </w:r>
    </w:p>
    <w:p w14:paraId="005DCFC5" w14:textId="35F16BA1" w:rsidR="000039F7" w:rsidRDefault="00F414F3" w:rsidP="00AB22B4">
      <w:pPr>
        <w:autoSpaceDE w:val="0"/>
        <w:adjustRightInd w:val="0"/>
        <w:spacing w:before="120" w:after="0" w:line="240" w:lineRule="auto"/>
        <w:jc w:val="both"/>
        <w:rPr>
          <w:rFonts w:ascii="Times New Roman" w:hAnsi="Times New Roman"/>
          <w:sz w:val="24"/>
          <w:szCs w:val="24"/>
        </w:rPr>
      </w:pPr>
      <w:r w:rsidRPr="000172BB">
        <w:rPr>
          <w:rFonts w:ascii="Times New Roman" w:hAnsi="Times New Roman"/>
          <w:sz w:val="24"/>
          <w:szCs w:val="24"/>
        </w:rPr>
        <w:t xml:space="preserve">Návrh posiluje </w:t>
      </w:r>
      <w:r w:rsidR="000039F7" w:rsidRPr="000172BB">
        <w:rPr>
          <w:rFonts w:ascii="Times New Roman" w:hAnsi="Times New Roman"/>
          <w:sz w:val="24"/>
          <w:szCs w:val="24"/>
        </w:rPr>
        <w:t xml:space="preserve">postavení dlužníka v rámci závazkového vztahu tak, aby i bez </w:t>
      </w:r>
      <w:r w:rsidR="00336E9B">
        <w:rPr>
          <w:rFonts w:ascii="Times New Roman" w:hAnsi="Times New Roman"/>
          <w:sz w:val="24"/>
          <w:szCs w:val="24"/>
        </w:rPr>
        <w:t>projevu vůle</w:t>
      </w:r>
      <w:r w:rsidR="000039F7" w:rsidRPr="000172BB">
        <w:rPr>
          <w:rFonts w:ascii="Times New Roman" w:hAnsi="Times New Roman"/>
          <w:sz w:val="24"/>
          <w:szCs w:val="24"/>
        </w:rPr>
        <w:t xml:space="preserve"> mohl plnit přednostně </w:t>
      </w:r>
      <w:r w:rsidR="00336E9B">
        <w:rPr>
          <w:rFonts w:ascii="Times New Roman" w:hAnsi="Times New Roman"/>
          <w:sz w:val="24"/>
          <w:szCs w:val="24"/>
        </w:rPr>
        <w:t xml:space="preserve">základ </w:t>
      </w:r>
      <w:r w:rsidR="00336E9B" w:rsidRPr="000172BB">
        <w:rPr>
          <w:rFonts w:ascii="Times New Roman" w:hAnsi="Times New Roman"/>
          <w:sz w:val="24"/>
          <w:szCs w:val="24"/>
        </w:rPr>
        <w:t>dluhu</w:t>
      </w:r>
      <w:r w:rsidR="00336E9B">
        <w:rPr>
          <w:rFonts w:ascii="Times New Roman" w:hAnsi="Times New Roman"/>
          <w:sz w:val="24"/>
          <w:szCs w:val="24"/>
        </w:rPr>
        <w:t xml:space="preserve"> – jistinu</w:t>
      </w:r>
      <w:r w:rsidR="000039F7" w:rsidRPr="000172BB">
        <w:rPr>
          <w:rFonts w:ascii="Times New Roman" w:hAnsi="Times New Roman"/>
          <w:sz w:val="24"/>
          <w:szCs w:val="24"/>
        </w:rPr>
        <w:t xml:space="preserve">. </w:t>
      </w:r>
      <w:r w:rsidR="008B5683" w:rsidRPr="000172BB">
        <w:rPr>
          <w:rFonts w:ascii="Times New Roman" w:hAnsi="Times New Roman"/>
          <w:sz w:val="24"/>
          <w:szCs w:val="24"/>
        </w:rPr>
        <w:t>Návrh akcentuje myšlenku</w:t>
      </w:r>
      <w:r w:rsidR="00336E9B">
        <w:rPr>
          <w:rFonts w:ascii="Times New Roman" w:hAnsi="Times New Roman"/>
          <w:sz w:val="24"/>
          <w:szCs w:val="24"/>
        </w:rPr>
        <w:t xml:space="preserve"> posílení</w:t>
      </w:r>
      <w:r w:rsidR="008B5683" w:rsidRPr="000172BB">
        <w:rPr>
          <w:rFonts w:ascii="Times New Roman" w:hAnsi="Times New Roman"/>
          <w:sz w:val="24"/>
          <w:szCs w:val="24"/>
        </w:rPr>
        <w:t xml:space="preserve"> postavení dlužníka, kdy se nemusí jednat jenom o spotřebitele</w:t>
      </w:r>
      <w:r w:rsidR="000039F7">
        <w:rPr>
          <w:rFonts w:ascii="Times New Roman" w:hAnsi="Times New Roman"/>
          <w:sz w:val="24"/>
          <w:szCs w:val="24"/>
        </w:rPr>
        <w:t>.</w:t>
      </w:r>
      <w:r w:rsidR="00166DE6">
        <w:rPr>
          <w:rFonts w:ascii="Times New Roman" w:hAnsi="Times New Roman"/>
          <w:sz w:val="24"/>
          <w:szCs w:val="24"/>
        </w:rPr>
        <w:t xml:space="preserve"> Princip, že se nejdřív zapo</w:t>
      </w:r>
      <w:r>
        <w:rPr>
          <w:rFonts w:ascii="Times New Roman" w:hAnsi="Times New Roman"/>
          <w:sz w:val="24"/>
          <w:szCs w:val="24"/>
        </w:rPr>
        <w:t>č</w:t>
      </w:r>
      <w:r w:rsidR="00166DE6">
        <w:rPr>
          <w:rFonts w:ascii="Times New Roman" w:hAnsi="Times New Roman"/>
          <w:sz w:val="24"/>
          <w:szCs w:val="24"/>
        </w:rPr>
        <w:t xml:space="preserve">ítá dluh na jistinu, posílí postavení </w:t>
      </w:r>
      <w:r w:rsidR="00336E9B">
        <w:rPr>
          <w:rFonts w:ascii="Times New Roman" w:hAnsi="Times New Roman"/>
          <w:sz w:val="24"/>
          <w:szCs w:val="24"/>
        </w:rPr>
        <w:t xml:space="preserve">všech </w:t>
      </w:r>
      <w:r w:rsidR="00166DE6">
        <w:rPr>
          <w:rFonts w:ascii="Times New Roman" w:hAnsi="Times New Roman"/>
          <w:sz w:val="24"/>
          <w:szCs w:val="24"/>
        </w:rPr>
        <w:t xml:space="preserve">dlužníků v oblasti nestandardního dluhového financování, které je založeno na netržním </w:t>
      </w:r>
      <w:r w:rsidR="00665F70">
        <w:rPr>
          <w:rFonts w:ascii="Times New Roman" w:hAnsi="Times New Roman"/>
          <w:sz w:val="24"/>
          <w:szCs w:val="24"/>
        </w:rPr>
        <w:t xml:space="preserve">(někdy i lichvářském) </w:t>
      </w:r>
      <w:r w:rsidR="00166DE6">
        <w:rPr>
          <w:rFonts w:ascii="Times New Roman" w:hAnsi="Times New Roman"/>
          <w:sz w:val="24"/>
          <w:szCs w:val="24"/>
        </w:rPr>
        <w:t xml:space="preserve">stanovení úroků. </w:t>
      </w:r>
      <w:r w:rsidR="008B5683">
        <w:rPr>
          <w:rFonts w:ascii="Times New Roman" w:hAnsi="Times New Roman"/>
          <w:sz w:val="24"/>
          <w:szCs w:val="24"/>
        </w:rPr>
        <w:t>Dlužníci se tím dostávají do dluhové spirály, ze které je těžké se vymanit. V konečném důsledku doplácí na sanování dluh</w:t>
      </w:r>
      <w:r w:rsidR="00B80FD0">
        <w:rPr>
          <w:rFonts w:ascii="Times New Roman" w:hAnsi="Times New Roman"/>
          <w:sz w:val="24"/>
          <w:szCs w:val="24"/>
        </w:rPr>
        <w:t>u stát</w:t>
      </w:r>
      <w:r w:rsidR="008B5683">
        <w:rPr>
          <w:rFonts w:ascii="Times New Roman" w:hAnsi="Times New Roman"/>
          <w:sz w:val="24"/>
          <w:szCs w:val="24"/>
        </w:rPr>
        <w:t>, který nese náklady na upadnutí do dluhové pasti a vymanění se z ní (</w:t>
      </w:r>
      <w:r w:rsidR="00D271F8">
        <w:rPr>
          <w:rFonts w:ascii="Times New Roman" w:hAnsi="Times New Roman"/>
          <w:sz w:val="24"/>
          <w:szCs w:val="24"/>
        </w:rPr>
        <w:t xml:space="preserve">náklady </w:t>
      </w:r>
      <w:r w:rsidR="008B5683">
        <w:rPr>
          <w:rFonts w:ascii="Times New Roman" w:hAnsi="Times New Roman"/>
          <w:sz w:val="24"/>
          <w:szCs w:val="24"/>
        </w:rPr>
        <w:t xml:space="preserve">soudního a insolvenční řízení, systému státní podpory ve formě příspěvků, přídavků či získání nového zaměstnání osoby, která se dostane do finančních problémů). Nová úprava by pomohla zmírnit dopady </w:t>
      </w:r>
      <w:r w:rsidR="00D44E7F">
        <w:rPr>
          <w:rFonts w:ascii="Times New Roman" w:hAnsi="Times New Roman"/>
          <w:sz w:val="24"/>
          <w:szCs w:val="24"/>
        </w:rPr>
        <w:t xml:space="preserve">nestandardního chování </w:t>
      </w:r>
      <w:r w:rsidR="00D271F8">
        <w:rPr>
          <w:rFonts w:ascii="Times New Roman" w:hAnsi="Times New Roman"/>
          <w:sz w:val="24"/>
          <w:szCs w:val="24"/>
        </w:rPr>
        <w:t xml:space="preserve">a smluvních podmínek </w:t>
      </w:r>
      <w:r w:rsidR="00EA6915">
        <w:rPr>
          <w:rFonts w:ascii="Times New Roman" w:hAnsi="Times New Roman"/>
          <w:sz w:val="24"/>
          <w:szCs w:val="24"/>
        </w:rPr>
        <w:t xml:space="preserve">jednostranně výhodných pouze pro </w:t>
      </w:r>
      <w:r w:rsidR="00D44E7F">
        <w:rPr>
          <w:rFonts w:ascii="Times New Roman" w:hAnsi="Times New Roman"/>
          <w:sz w:val="24"/>
          <w:szCs w:val="24"/>
        </w:rPr>
        <w:t>věřitele.</w:t>
      </w:r>
    </w:p>
    <w:p w14:paraId="5EA434A6" w14:textId="37708A9A" w:rsidR="00D44E7F" w:rsidRDefault="00D44E7F" w:rsidP="00AB22B4">
      <w:pPr>
        <w:autoSpaceDE w:val="0"/>
        <w:adjustRightInd w:val="0"/>
        <w:spacing w:before="120" w:after="0" w:line="240" w:lineRule="auto"/>
        <w:jc w:val="both"/>
        <w:rPr>
          <w:rFonts w:ascii="Times New Roman" w:hAnsi="Times New Roman"/>
          <w:sz w:val="24"/>
          <w:szCs w:val="24"/>
        </w:rPr>
      </w:pPr>
      <w:r>
        <w:rPr>
          <w:rFonts w:ascii="Times New Roman" w:hAnsi="Times New Roman"/>
          <w:sz w:val="24"/>
          <w:szCs w:val="24"/>
        </w:rPr>
        <w:t xml:space="preserve">Je nutné zdůraznit, že návrh nemůže způsobit problémy v běžném hospodářském životě a nebude mít </w:t>
      </w:r>
      <w:r w:rsidR="00157264">
        <w:rPr>
          <w:rFonts w:ascii="Times New Roman" w:hAnsi="Times New Roman"/>
          <w:sz w:val="24"/>
          <w:szCs w:val="24"/>
        </w:rPr>
        <w:t xml:space="preserve">negativní </w:t>
      </w:r>
      <w:r>
        <w:rPr>
          <w:rFonts w:ascii="Times New Roman" w:hAnsi="Times New Roman"/>
          <w:sz w:val="24"/>
          <w:szCs w:val="24"/>
        </w:rPr>
        <w:t xml:space="preserve">dopad na různé smluvní typy (např. překlenovací úvěry ve stavebním spoření, reverzní hypotéky či jiné, většinou bankovní, produkty). Důvodem je skutečnost, že předmětné ustanovení </w:t>
      </w:r>
      <w:r w:rsidR="00D271F8">
        <w:rPr>
          <w:rFonts w:ascii="Times New Roman" w:hAnsi="Times New Roman"/>
          <w:sz w:val="24"/>
          <w:szCs w:val="24"/>
        </w:rPr>
        <w:t>o</w:t>
      </w:r>
      <w:r>
        <w:rPr>
          <w:rFonts w:ascii="Times New Roman" w:hAnsi="Times New Roman"/>
          <w:sz w:val="24"/>
          <w:szCs w:val="24"/>
        </w:rPr>
        <w:t>bčanského zákoníku ponechává volnost stran, aby jeho aplikaci vyloučili</w:t>
      </w:r>
      <w:r w:rsidR="00687F20">
        <w:rPr>
          <w:rFonts w:ascii="Times New Roman" w:hAnsi="Times New Roman"/>
          <w:sz w:val="24"/>
          <w:szCs w:val="24"/>
        </w:rPr>
        <w:t xml:space="preserve">. </w:t>
      </w:r>
      <w:r w:rsidR="00665F70">
        <w:rPr>
          <w:rFonts w:ascii="Times New Roman" w:hAnsi="Times New Roman"/>
          <w:sz w:val="24"/>
          <w:szCs w:val="24"/>
        </w:rPr>
        <w:t xml:space="preserve">Navíc u citovaných smluv si pořadí započtení stanoví </w:t>
      </w:r>
      <w:r w:rsidR="00EA6915">
        <w:rPr>
          <w:rFonts w:ascii="Times New Roman" w:hAnsi="Times New Roman"/>
          <w:sz w:val="24"/>
          <w:szCs w:val="24"/>
        </w:rPr>
        <w:t xml:space="preserve">v naprosté většině případě, ne-li vždy, samy </w:t>
      </w:r>
      <w:r w:rsidR="00665F70">
        <w:rPr>
          <w:rFonts w:ascii="Times New Roman" w:hAnsi="Times New Roman"/>
          <w:sz w:val="24"/>
          <w:szCs w:val="24"/>
        </w:rPr>
        <w:t>finanční instituce (bank</w:t>
      </w:r>
      <w:r w:rsidR="00EA6915">
        <w:rPr>
          <w:rFonts w:ascii="Times New Roman" w:hAnsi="Times New Roman"/>
          <w:sz w:val="24"/>
          <w:szCs w:val="24"/>
        </w:rPr>
        <w:t>y</w:t>
      </w:r>
      <w:r w:rsidR="00D271F8">
        <w:rPr>
          <w:rFonts w:ascii="Times New Roman" w:hAnsi="Times New Roman"/>
          <w:sz w:val="24"/>
          <w:szCs w:val="24"/>
        </w:rPr>
        <w:t xml:space="preserve"> a</w:t>
      </w:r>
      <w:r w:rsidR="00665F70">
        <w:rPr>
          <w:rFonts w:ascii="Times New Roman" w:hAnsi="Times New Roman"/>
          <w:sz w:val="24"/>
          <w:szCs w:val="24"/>
        </w:rPr>
        <w:t xml:space="preserve"> stavební spořiteln</w:t>
      </w:r>
      <w:r w:rsidR="00EA6915">
        <w:rPr>
          <w:rFonts w:ascii="Times New Roman" w:hAnsi="Times New Roman"/>
          <w:sz w:val="24"/>
          <w:szCs w:val="24"/>
        </w:rPr>
        <w:t>y</w:t>
      </w:r>
      <w:r w:rsidR="00665F70">
        <w:rPr>
          <w:rFonts w:ascii="Times New Roman" w:hAnsi="Times New Roman"/>
          <w:sz w:val="24"/>
          <w:szCs w:val="24"/>
        </w:rPr>
        <w:t>)</w:t>
      </w:r>
      <w:r w:rsidR="00D271F8">
        <w:rPr>
          <w:rFonts w:ascii="Times New Roman" w:hAnsi="Times New Roman"/>
          <w:sz w:val="24"/>
          <w:szCs w:val="24"/>
        </w:rPr>
        <w:t xml:space="preserve">, a to </w:t>
      </w:r>
      <w:r w:rsidR="00665F70">
        <w:rPr>
          <w:rFonts w:ascii="Times New Roman" w:hAnsi="Times New Roman"/>
          <w:sz w:val="24"/>
          <w:szCs w:val="24"/>
        </w:rPr>
        <w:t xml:space="preserve">v obchodních podmínkách, které </w:t>
      </w:r>
      <w:r w:rsidR="00EA6915">
        <w:rPr>
          <w:rFonts w:ascii="Times New Roman" w:hAnsi="Times New Roman"/>
          <w:sz w:val="24"/>
          <w:szCs w:val="24"/>
        </w:rPr>
        <w:t>často mohou</w:t>
      </w:r>
      <w:r w:rsidR="00665F70">
        <w:rPr>
          <w:rFonts w:ascii="Times New Roman" w:hAnsi="Times New Roman"/>
          <w:sz w:val="24"/>
          <w:szCs w:val="24"/>
        </w:rPr>
        <w:t xml:space="preserve"> </w:t>
      </w:r>
      <w:r w:rsidR="00EA6915">
        <w:rPr>
          <w:rFonts w:ascii="Times New Roman" w:hAnsi="Times New Roman"/>
          <w:sz w:val="24"/>
          <w:szCs w:val="24"/>
        </w:rPr>
        <w:t xml:space="preserve">jednostranně samy </w:t>
      </w:r>
      <w:r w:rsidR="00665F70">
        <w:rPr>
          <w:rFonts w:ascii="Times New Roman" w:hAnsi="Times New Roman"/>
          <w:sz w:val="24"/>
          <w:szCs w:val="24"/>
        </w:rPr>
        <w:t>změnit. Riziko negativního dopadu do hospodářské či ekonomické oblasti je proto minimální a zanedbatelné, protože je stanovena dostatečně dlouhá lhůta pro nabytí účinnosti, kdy může dojít ke změně dokumentace.</w:t>
      </w:r>
    </w:p>
    <w:p w14:paraId="26A0216A" w14:textId="08FA5BEA" w:rsidR="00223A00" w:rsidRDefault="00223A00" w:rsidP="00AB22B4">
      <w:pPr>
        <w:autoSpaceDE w:val="0"/>
        <w:adjustRightInd w:val="0"/>
        <w:spacing w:before="120" w:after="0" w:line="240" w:lineRule="auto"/>
        <w:jc w:val="both"/>
        <w:rPr>
          <w:rFonts w:ascii="Times New Roman" w:hAnsi="Times New Roman"/>
          <w:sz w:val="24"/>
          <w:szCs w:val="24"/>
        </w:rPr>
      </w:pPr>
      <w:r>
        <w:rPr>
          <w:rFonts w:ascii="Times New Roman" w:hAnsi="Times New Roman"/>
          <w:sz w:val="24"/>
          <w:szCs w:val="24"/>
        </w:rPr>
        <w:lastRenderedPageBreak/>
        <w:t>Znemožnění dalšího úročení úroků (tzv. úrok z úroků)</w:t>
      </w:r>
      <w:r w:rsidR="002E0DC8">
        <w:rPr>
          <w:rFonts w:ascii="Times New Roman" w:hAnsi="Times New Roman"/>
          <w:sz w:val="24"/>
          <w:szCs w:val="24"/>
        </w:rPr>
        <w:t xml:space="preserve"> v případě, že dlužník uhradil jistinu,</w:t>
      </w:r>
      <w:r>
        <w:rPr>
          <w:rFonts w:ascii="Times New Roman" w:hAnsi="Times New Roman"/>
          <w:sz w:val="24"/>
          <w:szCs w:val="24"/>
        </w:rPr>
        <w:t xml:space="preserve"> je institut, který účinně zabraňuje lichvářským praktikám. Ekonomickou podstatou úvěrování je poskytovat finanční prostředky osobám, které je potřebují na stanovenou dobu tak, aby </w:t>
      </w:r>
      <w:r w:rsidR="000823B4">
        <w:rPr>
          <w:rFonts w:ascii="Times New Roman" w:hAnsi="Times New Roman"/>
          <w:sz w:val="24"/>
          <w:szCs w:val="24"/>
        </w:rPr>
        <w:t xml:space="preserve">je </w:t>
      </w:r>
      <w:r>
        <w:rPr>
          <w:rFonts w:ascii="Times New Roman" w:hAnsi="Times New Roman"/>
          <w:sz w:val="24"/>
          <w:szCs w:val="24"/>
        </w:rPr>
        <w:t>po skončení jejich potřeby vrátil</w:t>
      </w:r>
      <w:r w:rsidR="000823B4">
        <w:rPr>
          <w:rFonts w:ascii="Times New Roman" w:hAnsi="Times New Roman"/>
          <w:sz w:val="24"/>
          <w:szCs w:val="24"/>
        </w:rPr>
        <w:t>y</w:t>
      </w:r>
      <w:r>
        <w:rPr>
          <w:rFonts w:ascii="Times New Roman" w:hAnsi="Times New Roman"/>
          <w:sz w:val="24"/>
          <w:szCs w:val="24"/>
        </w:rPr>
        <w:t xml:space="preserve"> zpět věřiteli. </w:t>
      </w:r>
      <w:r w:rsidR="00082EE0">
        <w:rPr>
          <w:rFonts w:ascii="Times New Roman" w:hAnsi="Times New Roman"/>
          <w:sz w:val="24"/>
          <w:szCs w:val="24"/>
        </w:rPr>
        <w:t xml:space="preserve">Principem je, aby </w:t>
      </w:r>
      <w:r w:rsidR="00E2249B">
        <w:rPr>
          <w:rFonts w:ascii="Times New Roman" w:hAnsi="Times New Roman"/>
          <w:sz w:val="24"/>
          <w:szCs w:val="24"/>
        </w:rPr>
        <w:t xml:space="preserve">se </w:t>
      </w:r>
      <w:r w:rsidR="00082EE0">
        <w:rPr>
          <w:rFonts w:ascii="Times New Roman" w:hAnsi="Times New Roman"/>
          <w:sz w:val="24"/>
          <w:szCs w:val="24"/>
        </w:rPr>
        <w:t>věřitel</w:t>
      </w:r>
      <w:r w:rsidR="00E2249B">
        <w:rPr>
          <w:rFonts w:ascii="Times New Roman" w:hAnsi="Times New Roman"/>
          <w:sz w:val="24"/>
          <w:szCs w:val="24"/>
        </w:rPr>
        <w:t>i</w:t>
      </w:r>
      <w:r w:rsidR="00082EE0">
        <w:rPr>
          <w:rFonts w:ascii="Times New Roman" w:hAnsi="Times New Roman"/>
          <w:sz w:val="24"/>
          <w:szCs w:val="24"/>
        </w:rPr>
        <w:t xml:space="preserve"> vrátila částka, kterou poskytl dlužníkovi, a by</w:t>
      </w:r>
      <w:r w:rsidR="00E2249B">
        <w:rPr>
          <w:rFonts w:ascii="Times New Roman" w:hAnsi="Times New Roman"/>
          <w:sz w:val="24"/>
          <w:szCs w:val="24"/>
        </w:rPr>
        <w:t xml:space="preserve">la mu kompenzována </w:t>
      </w:r>
      <w:r w:rsidR="00082EE0">
        <w:rPr>
          <w:rFonts w:ascii="Times New Roman" w:hAnsi="Times New Roman"/>
          <w:sz w:val="24"/>
          <w:szCs w:val="24"/>
        </w:rPr>
        <w:t>ztráta</w:t>
      </w:r>
      <w:r w:rsidR="00E2249B">
        <w:rPr>
          <w:rFonts w:ascii="Times New Roman" w:hAnsi="Times New Roman"/>
          <w:sz w:val="24"/>
          <w:szCs w:val="24"/>
        </w:rPr>
        <w:t xml:space="preserve"> tím, že </w:t>
      </w:r>
      <w:r w:rsidR="00082EE0">
        <w:rPr>
          <w:rFonts w:ascii="Times New Roman" w:hAnsi="Times New Roman"/>
          <w:sz w:val="24"/>
          <w:szCs w:val="24"/>
        </w:rPr>
        <w:t>nemohl peněžními prostředky disponovat, k čemuž slouží úroky.</w:t>
      </w:r>
      <w:r>
        <w:rPr>
          <w:rFonts w:ascii="Times New Roman" w:hAnsi="Times New Roman"/>
          <w:sz w:val="24"/>
          <w:szCs w:val="24"/>
        </w:rPr>
        <w:t xml:space="preserve"> </w:t>
      </w:r>
      <w:r w:rsidR="00082EE0">
        <w:rPr>
          <w:rFonts w:ascii="Times New Roman" w:hAnsi="Times New Roman"/>
          <w:sz w:val="24"/>
          <w:szCs w:val="24"/>
        </w:rPr>
        <w:t>Navyšování zadlužení formou úročení úroků je synonymem lichvářských praktik, kterým má stát účinněji bránit.</w:t>
      </w:r>
    </w:p>
    <w:p w14:paraId="2AD768F4" w14:textId="4D89194C" w:rsidR="00082EE0" w:rsidRDefault="00226548" w:rsidP="00226548">
      <w:pPr>
        <w:spacing w:before="120" w:after="0" w:line="240" w:lineRule="auto"/>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Do návrhu se nevkládá přechodné ustanovení</w:t>
      </w:r>
      <w:r w:rsidR="00157264">
        <w:rPr>
          <w:rFonts w:ascii="Times New Roman" w:eastAsia="Times New Roman" w:hAnsi="Times New Roman"/>
          <w:sz w:val="24"/>
          <w:szCs w:val="24"/>
          <w:lang w:eastAsia="cs-CZ"/>
        </w:rPr>
        <w:t>, odkdy se odlišné pořadí započtení aplikuje</w:t>
      </w:r>
      <w:r>
        <w:rPr>
          <w:rFonts w:ascii="Times New Roman" w:eastAsia="Times New Roman" w:hAnsi="Times New Roman"/>
          <w:sz w:val="24"/>
          <w:szCs w:val="24"/>
          <w:lang w:eastAsia="cs-CZ"/>
        </w:rPr>
        <w:t xml:space="preserve">, protože v souladu s legislativními pravidly se nový postup bude vztahovat na veškeré způsoby plnění, na které vznikne dlužníkovi právo po dni nabytí účinnosti </w:t>
      </w:r>
      <w:r w:rsidR="007F20CA">
        <w:rPr>
          <w:rFonts w:ascii="Times New Roman" w:eastAsia="Times New Roman" w:hAnsi="Times New Roman"/>
          <w:sz w:val="24"/>
          <w:szCs w:val="24"/>
          <w:lang w:eastAsia="cs-CZ"/>
        </w:rPr>
        <w:t>této novely</w:t>
      </w:r>
      <w:r>
        <w:rPr>
          <w:rFonts w:ascii="Times New Roman" w:eastAsia="Times New Roman" w:hAnsi="Times New Roman"/>
          <w:sz w:val="24"/>
          <w:szCs w:val="24"/>
          <w:lang w:eastAsia="cs-CZ"/>
        </w:rPr>
        <w:t xml:space="preserve">. Lhůta šesti měsíců pro </w:t>
      </w:r>
      <w:r w:rsidR="007F20CA">
        <w:rPr>
          <w:rFonts w:ascii="Times New Roman" w:eastAsia="Times New Roman" w:hAnsi="Times New Roman"/>
          <w:sz w:val="24"/>
          <w:szCs w:val="24"/>
          <w:lang w:eastAsia="cs-CZ"/>
        </w:rPr>
        <w:t xml:space="preserve">její </w:t>
      </w:r>
      <w:r>
        <w:rPr>
          <w:rFonts w:ascii="Times New Roman" w:eastAsia="Times New Roman" w:hAnsi="Times New Roman"/>
          <w:sz w:val="24"/>
          <w:szCs w:val="24"/>
          <w:lang w:eastAsia="cs-CZ"/>
        </w:rPr>
        <w:t>účinnost je dostatečná, aby subjekty přizpůsobily své interní mechanismy či smluvní dokumentac</w:t>
      </w:r>
      <w:r w:rsidR="007F20CA">
        <w:rPr>
          <w:rFonts w:ascii="Times New Roman" w:eastAsia="Times New Roman" w:hAnsi="Times New Roman"/>
          <w:sz w:val="24"/>
          <w:szCs w:val="24"/>
          <w:lang w:eastAsia="cs-CZ"/>
        </w:rPr>
        <w:t>i</w:t>
      </w:r>
      <w:r>
        <w:rPr>
          <w:rFonts w:ascii="Times New Roman" w:eastAsia="Times New Roman" w:hAnsi="Times New Roman"/>
          <w:sz w:val="24"/>
          <w:szCs w:val="24"/>
          <w:lang w:eastAsia="cs-CZ"/>
        </w:rPr>
        <w:t xml:space="preserve"> nové možnosti započtení. </w:t>
      </w:r>
      <w:r w:rsidR="007F20CA">
        <w:rPr>
          <w:rFonts w:ascii="Times New Roman" w:eastAsia="Times New Roman" w:hAnsi="Times New Roman"/>
          <w:sz w:val="24"/>
          <w:szCs w:val="24"/>
          <w:lang w:eastAsia="cs-CZ"/>
        </w:rPr>
        <w:t>Bez ohledu na novou úpravu zů</w:t>
      </w:r>
      <w:r>
        <w:rPr>
          <w:rFonts w:ascii="Times New Roman" w:eastAsia="Times New Roman" w:hAnsi="Times New Roman"/>
          <w:sz w:val="24"/>
          <w:szCs w:val="24"/>
          <w:lang w:eastAsia="cs-CZ"/>
        </w:rPr>
        <w:t>stává v platnosti princip, že smluvní strany (věřitel a dlužník) si mohou ve smlouvě dohodnout pořadí odlišně, než stanoví novela.</w:t>
      </w:r>
      <w:r w:rsidR="00F27B23">
        <w:rPr>
          <w:rFonts w:ascii="Times New Roman" w:eastAsia="Times New Roman" w:hAnsi="Times New Roman"/>
          <w:sz w:val="24"/>
          <w:szCs w:val="24"/>
          <w:lang w:eastAsia="cs-CZ"/>
        </w:rPr>
        <w:t xml:space="preserve"> Z uvedeného důvodu proto ani nemůže dojít k narušení smluvní volnosti stran a také ani l</w:t>
      </w:r>
      <w:r w:rsidR="00082EE0">
        <w:rPr>
          <w:rFonts w:ascii="Times New Roman" w:eastAsia="Times New Roman" w:hAnsi="Times New Roman"/>
          <w:sz w:val="24"/>
          <w:szCs w:val="24"/>
          <w:lang w:eastAsia="cs-CZ"/>
        </w:rPr>
        <w:t>egislativně technicky není ro</w:t>
      </w:r>
      <w:r w:rsidR="00F27B23">
        <w:rPr>
          <w:rFonts w:ascii="Times New Roman" w:eastAsia="Times New Roman" w:hAnsi="Times New Roman"/>
          <w:sz w:val="24"/>
          <w:szCs w:val="24"/>
          <w:lang w:eastAsia="cs-CZ"/>
        </w:rPr>
        <w:t>z</w:t>
      </w:r>
      <w:r w:rsidR="00082EE0">
        <w:rPr>
          <w:rFonts w:ascii="Times New Roman" w:eastAsia="Times New Roman" w:hAnsi="Times New Roman"/>
          <w:sz w:val="24"/>
          <w:szCs w:val="24"/>
          <w:lang w:eastAsia="cs-CZ"/>
        </w:rPr>
        <w:t>por mezi nově navrhovaným ustanovením § 1932 odst. 2 a stávajícím § 1806, které umožňuje si úroky z úroků sjednat</w:t>
      </w:r>
      <w:r w:rsidR="009E6B7F">
        <w:rPr>
          <w:rFonts w:ascii="Times New Roman" w:eastAsia="Times New Roman" w:hAnsi="Times New Roman"/>
          <w:sz w:val="24"/>
          <w:szCs w:val="24"/>
          <w:lang w:eastAsia="cs-CZ"/>
        </w:rPr>
        <w:t>, protože i nové ustanovení umožňuje, aby si ho strany sjednaly odlišně, tj. budou se úročit úroky</w:t>
      </w:r>
      <w:r w:rsidR="00B57DFA">
        <w:rPr>
          <w:rFonts w:ascii="Times New Roman" w:eastAsia="Times New Roman" w:hAnsi="Times New Roman"/>
          <w:sz w:val="24"/>
          <w:szCs w:val="24"/>
          <w:lang w:eastAsia="cs-CZ"/>
        </w:rPr>
        <w:t xml:space="preserve"> v případě splacení jistiny</w:t>
      </w:r>
      <w:r w:rsidR="009E6B7F">
        <w:rPr>
          <w:rFonts w:ascii="Times New Roman" w:eastAsia="Times New Roman" w:hAnsi="Times New Roman"/>
          <w:sz w:val="24"/>
          <w:szCs w:val="24"/>
          <w:lang w:eastAsia="cs-CZ"/>
        </w:rPr>
        <w:t>, nicméně musí se jednat o výslovnou dohodu obou smluvních stran, jinak se uplatní zákaz úroků z úroků.</w:t>
      </w:r>
    </w:p>
    <w:p w14:paraId="494173DE" w14:textId="77777777" w:rsidR="000039F7" w:rsidRDefault="000039F7" w:rsidP="00AB22B4">
      <w:pPr>
        <w:keepNext/>
        <w:autoSpaceDE w:val="0"/>
        <w:adjustRightInd w:val="0"/>
        <w:spacing w:before="120" w:after="0" w:line="240" w:lineRule="auto"/>
        <w:jc w:val="both"/>
        <w:rPr>
          <w:rFonts w:ascii="Times New Roman" w:hAnsi="Times New Roman"/>
          <w:b/>
          <w:sz w:val="24"/>
          <w:szCs w:val="24"/>
        </w:rPr>
      </w:pPr>
      <w:r>
        <w:rPr>
          <w:rFonts w:ascii="Times New Roman" w:hAnsi="Times New Roman"/>
          <w:b/>
          <w:sz w:val="24"/>
          <w:szCs w:val="24"/>
        </w:rPr>
        <w:t>c) Zhodnocení souladu navrhované právní úpravy s ústavním pořádkem České republiky a s mezinárodními smlouvami, jimiž je Česká republika vázána</w:t>
      </w:r>
    </w:p>
    <w:p w14:paraId="6F06E1E3" w14:textId="3AF0D2C3" w:rsidR="000039F7" w:rsidRDefault="000039F7" w:rsidP="00AB22B4">
      <w:pPr>
        <w:autoSpaceDE w:val="0"/>
        <w:adjustRightInd w:val="0"/>
        <w:spacing w:before="120" w:after="0" w:line="240" w:lineRule="auto"/>
        <w:jc w:val="both"/>
        <w:rPr>
          <w:rFonts w:ascii="Times New Roman" w:hAnsi="Times New Roman"/>
          <w:sz w:val="24"/>
          <w:szCs w:val="24"/>
        </w:rPr>
      </w:pPr>
      <w:r>
        <w:rPr>
          <w:rFonts w:ascii="Times New Roman" w:hAnsi="Times New Roman"/>
          <w:sz w:val="24"/>
          <w:szCs w:val="24"/>
        </w:rPr>
        <w:t>Navrhovaná úprava je v souladu s ústavním pořádkem České republiky stejně jako s mezinárodními smlouvami, jimiž je Česká republika vázána. Z ústavního pořádku České republiky nevyplývají specifické právní normy</w:t>
      </w:r>
      <w:r w:rsidR="00F27B23">
        <w:rPr>
          <w:rFonts w:ascii="Times New Roman" w:hAnsi="Times New Roman"/>
          <w:sz w:val="24"/>
          <w:szCs w:val="24"/>
        </w:rPr>
        <w:t xml:space="preserve">, které by upravovaly </w:t>
      </w:r>
      <w:r>
        <w:rPr>
          <w:rFonts w:ascii="Times New Roman" w:hAnsi="Times New Roman"/>
          <w:sz w:val="24"/>
          <w:szCs w:val="24"/>
        </w:rPr>
        <w:t>pořadí umořování pohledávky. Ústavní soud se ve své rozhodovací praxi oblastí pořadí umořování dluhu dosud nezabýval.</w:t>
      </w:r>
    </w:p>
    <w:p w14:paraId="7614C449" w14:textId="77777777" w:rsidR="000039F7" w:rsidRDefault="000039F7" w:rsidP="00AB22B4">
      <w:pPr>
        <w:pStyle w:val="text"/>
        <w:ind w:firstLine="0"/>
        <w:rPr>
          <w:noProof w:val="0"/>
        </w:rPr>
      </w:pPr>
      <w:r>
        <w:rPr>
          <w:noProof w:val="0"/>
        </w:rPr>
        <w:t>Návrh zákona se dotýká především ústavně zaručeného práva vlastnit majetek (čl. 11 LPS). Při zásazích do tohoto základního práva předkládaný návrh zákona plně respektuje zásadu, že při stanovení mezí základních práv musí být šetřeno jejich podstaty a smyslu (čl. 4 odst. 4 LPS). Posílení postavení dlužníka v závazkovém vztahu nepovažujeme za zásah do takovéhoto práva, kdy nároky na pohledávku samotnou a její příslušenství nejsou dotčeny a dochází pouze k potencionálnímu omezení části příslušenství z příslušenství.</w:t>
      </w:r>
    </w:p>
    <w:p w14:paraId="15BB2A6B" w14:textId="77777777" w:rsidR="000039F7" w:rsidRDefault="000039F7" w:rsidP="00AB22B4">
      <w:pPr>
        <w:pStyle w:val="text"/>
        <w:ind w:firstLine="0"/>
        <w:rPr>
          <w:noProof w:val="0"/>
        </w:rPr>
      </w:pPr>
      <w:r>
        <w:rPr>
          <w:noProof w:val="0"/>
        </w:rPr>
        <w:t>Návrh zákona respektuje obecné zásady ústavního pořádku České republiky, např. zásady vyplývající z pojmu demokratického právního státu (čl. 1 Ústavy).</w:t>
      </w:r>
    </w:p>
    <w:p w14:paraId="4FD246B0" w14:textId="51976C92" w:rsidR="000039F7" w:rsidRDefault="00AB22B4" w:rsidP="00AB22B4">
      <w:pPr>
        <w:spacing w:before="120" w:after="0" w:line="240" w:lineRule="auto"/>
        <w:jc w:val="both"/>
        <w:rPr>
          <w:rFonts w:ascii="Times New Roman" w:hAnsi="Times New Roman"/>
          <w:sz w:val="24"/>
          <w:szCs w:val="24"/>
        </w:rPr>
      </w:pPr>
      <w:r>
        <w:rPr>
          <w:rFonts w:ascii="Times New Roman" w:hAnsi="Times New Roman"/>
          <w:sz w:val="24"/>
          <w:szCs w:val="24"/>
        </w:rPr>
        <w:t>N</w:t>
      </w:r>
      <w:r w:rsidR="000039F7">
        <w:rPr>
          <w:rFonts w:ascii="Times New Roman" w:hAnsi="Times New Roman"/>
          <w:sz w:val="24"/>
          <w:szCs w:val="24"/>
        </w:rPr>
        <w:t xml:space="preserve">avrhovaná právní úprava není v rozporu ani s Evropskou úmluvou o ochraně lidských práv a základních svobod. </w:t>
      </w:r>
    </w:p>
    <w:p w14:paraId="708FF8FA" w14:textId="77777777" w:rsidR="000039F7" w:rsidRDefault="000039F7" w:rsidP="00AB22B4">
      <w:pPr>
        <w:autoSpaceDE w:val="0"/>
        <w:adjustRightInd w:val="0"/>
        <w:spacing w:before="120" w:after="0" w:line="240" w:lineRule="auto"/>
        <w:jc w:val="both"/>
        <w:rPr>
          <w:rFonts w:ascii="Times New Roman" w:hAnsi="Times New Roman"/>
          <w:b/>
          <w:sz w:val="24"/>
          <w:szCs w:val="24"/>
        </w:rPr>
      </w:pPr>
      <w:r>
        <w:rPr>
          <w:rFonts w:ascii="Times New Roman" w:hAnsi="Times New Roman"/>
          <w:b/>
          <w:sz w:val="24"/>
          <w:szCs w:val="24"/>
        </w:rPr>
        <w:t>d) Zhodnocení souladu navrhované právní úpravy s předpisy Evropské unie, judikaturou soudních orgánů Evropské unie a s obecnými právními zásadami práva Evropské unie</w:t>
      </w:r>
    </w:p>
    <w:p w14:paraId="5E4F8488" w14:textId="29E8AF7A" w:rsidR="000039F7" w:rsidRDefault="000039F7" w:rsidP="00AB22B4">
      <w:pPr>
        <w:autoSpaceDE w:val="0"/>
        <w:adjustRightInd w:val="0"/>
        <w:spacing w:before="120" w:after="0" w:line="240" w:lineRule="auto"/>
        <w:jc w:val="both"/>
        <w:rPr>
          <w:rFonts w:ascii="Times New Roman" w:hAnsi="Times New Roman"/>
          <w:sz w:val="24"/>
          <w:szCs w:val="24"/>
        </w:rPr>
      </w:pPr>
      <w:r>
        <w:rPr>
          <w:rFonts w:ascii="Times New Roman" w:hAnsi="Times New Roman"/>
          <w:sz w:val="24"/>
          <w:szCs w:val="24"/>
        </w:rPr>
        <w:t>Navrhovaná právní úprava je v souladu s předpisy Evropské unie, judikaturou soudních orgánů Evropské unie a s obecnými právními zásadami práva Evropské unie.</w:t>
      </w:r>
      <w:r w:rsidR="00BE3127">
        <w:rPr>
          <w:rFonts w:ascii="Times New Roman" w:hAnsi="Times New Roman"/>
          <w:sz w:val="24"/>
          <w:szCs w:val="24"/>
        </w:rPr>
        <w:t xml:space="preserve"> Podle stanoviska Parlamentního institutu </w:t>
      </w:r>
      <w:r w:rsidR="001062A3">
        <w:rPr>
          <w:rFonts w:ascii="Times New Roman" w:hAnsi="Times New Roman"/>
          <w:sz w:val="24"/>
          <w:szCs w:val="24"/>
        </w:rPr>
        <w:t>se</w:t>
      </w:r>
      <w:r w:rsidR="00BE3127">
        <w:rPr>
          <w:rFonts w:ascii="Times New Roman" w:hAnsi="Times New Roman"/>
          <w:sz w:val="24"/>
          <w:szCs w:val="24"/>
        </w:rPr>
        <w:t xml:space="preserve"> na předložený návrh </w:t>
      </w:r>
      <w:r w:rsidR="001062A3">
        <w:rPr>
          <w:rFonts w:ascii="Times New Roman" w:hAnsi="Times New Roman"/>
          <w:sz w:val="24"/>
          <w:szCs w:val="24"/>
        </w:rPr>
        <w:t xml:space="preserve">mohou případně vztahovat </w:t>
      </w:r>
      <w:r w:rsidR="00BE3127">
        <w:rPr>
          <w:rFonts w:ascii="Times New Roman" w:hAnsi="Times New Roman"/>
          <w:sz w:val="24"/>
          <w:szCs w:val="24"/>
        </w:rPr>
        <w:t xml:space="preserve">pouze </w:t>
      </w:r>
      <w:r w:rsidR="001062A3">
        <w:rPr>
          <w:rFonts w:ascii="Times New Roman" w:hAnsi="Times New Roman"/>
          <w:sz w:val="24"/>
          <w:szCs w:val="24"/>
        </w:rPr>
        <w:t xml:space="preserve">principy </w:t>
      </w:r>
      <w:r w:rsidR="00BE3127">
        <w:rPr>
          <w:rFonts w:ascii="Times New Roman" w:hAnsi="Times New Roman"/>
          <w:sz w:val="24"/>
          <w:szCs w:val="24"/>
        </w:rPr>
        <w:t xml:space="preserve">tzv. </w:t>
      </w:r>
      <w:r w:rsidR="00BE3127" w:rsidRPr="00F27B23">
        <w:rPr>
          <w:rFonts w:ascii="Times New Roman" w:hAnsi="Times New Roman"/>
          <w:i/>
          <w:iCs/>
          <w:sz w:val="24"/>
          <w:szCs w:val="24"/>
        </w:rPr>
        <w:t xml:space="preserve">soft </w:t>
      </w:r>
      <w:proofErr w:type="spellStart"/>
      <w:r w:rsidR="00BE3127" w:rsidRPr="00F27B23">
        <w:rPr>
          <w:rFonts w:ascii="Times New Roman" w:hAnsi="Times New Roman"/>
          <w:i/>
          <w:iCs/>
          <w:sz w:val="24"/>
          <w:szCs w:val="24"/>
        </w:rPr>
        <w:t>law</w:t>
      </w:r>
      <w:proofErr w:type="spellEnd"/>
      <w:r w:rsidR="00BE3127">
        <w:rPr>
          <w:rFonts w:ascii="Times New Roman" w:hAnsi="Times New Roman"/>
          <w:sz w:val="24"/>
          <w:szCs w:val="24"/>
        </w:rPr>
        <w:t xml:space="preserve"> (Principy evropského soukromého práva a Návrh společného referenčního rámce), které jsou </w:t>
      </w:r>
      <w:r w:rsidR="001062A3">
        <w:rPr>
          <w:rFonts w:ascii="Times New Roman" w:hAnsi="Times New Roman"/>
          <w:sz w:val="24"/>
          <w:szCs w:val="24"/>
        </w:rPr>
        <w:t xml:space="preserve">ale </w:t>
      </w:r>
      <w:r w:rsidR="00BE3127">
        <w:rPr>
          <w:rFonts w:ascii="Times New Roman" w:hAnsi="Times New Roman"/>
          <w:sz w:val="24"/>
          <w:szCs w:val="24"/>
        </w:rPr>
        <w:t>právně nezávazné, jak Parlamentní institut výslovně potvrzuje a slouží pouze k inspiraci, jakým směrem se mohou ubírat kodexy soukromého práva v jednotlivých členských státech. Žádné restrikce či rozpor předloženého návrhu s předpisy Evropské unie tedy neexistuje, jak potvrdil Parlamentní institut</w:t>
      </w:r>
      <w:r w:rsidR="001062A3">
        <w:rPr>
          <w:rFonts w:ascii="Times New Roman" w:hAnsi="Times New Roman"/>
          <w:sz w:val="24"/>
          <w:szCs w:val="24"/>
        </w:rPr>
        <w:t xml:space="preserve">, a citované principy tzv. soft </w:t>
      </w:r>
      <w:proofErr w:type="spellStart"/>
      <w:r w:rsidR="001062A3">
        <w:rPr>
          <w:rFonts w:ascii="Times New Roman" w:hAnsi="Times New Roman"/>
          <w:sz w:val="24"/>
          <w:szCs w:val="24"/>
        </w:rPr>
        <w:t>law</w:t>
      </w:r>
      <w:proofErr w:type="spellEnd"/>
      <w:r w:rsidR="001062A3">
        <w:rPr>
          <w:rFonts w:ascii="Times New Roman" w:hAnsi="Times New Roman"/>
          <w:sz w:val="24"/>
          <w:szCs w:val="24"/>
        </w:rPr>
        <w:t xml:space="preserve"> navíc umožňují</w:t>
      </w:r>
      <w:r w:rsidR="002C2914">
        <w:rPr>
          <w:rFonts w:ascii="Times New Roman" w:hAnsi="Times New Roman"/>
          <w:sz w:val="24"/>
          <w:szCs w:val="24"/>
        </w:rPr>
        <w:t>, protože to nevylučují</w:t>
      </w:r>
      <w:r w:rsidR="001062A3">
        <w:rPr>
          <w:rFonts w:ascii="Times New Roman" w:hAnsi="Times New Roman"/>
          <w:sz w:val="24"/>
          <w:szCs w:val="24"/>
        </w:rPr>
        <w:t xml:space="preserve">, aby pořadí započtení bylo odlišné. </w:t>
      </w:r>
    </w:p>
    <w:p w14:paraId="196F8D11" w14:textId="05CDB3C4" w:rsidR="00665F70" w:rsidRDefault="00665F70" w:rsidP="00AB22B4">
      <w:pPr>
        <w:pStyle w:val="text"/>
        <w:ind w:firstLine="0"/>
        <w:rPr>
          <w:noProof w:val="0"/>
        </w:rPr>
      </w:pPr>
      <w:r>
        <w:rPr>
          <w:noProof w:val="0"/>
        </w:rPr>
        <w:lastRenderedPageBreak/>
        <w:t xml:space="preserve">Není relevantní, že převažující evropská právní úprava stanoví pořadí započtení dle stávajícího znění </w:t>
      </w:r>
      <w:r w:rsidR="002C2914">
        <w:rPr>
          <w:noProof w:val="0"/>
        </w:rPr>
        <w:t>o</w:t>
      </w:r>
      <w:r>
        <w:rPr>
          <w:noProof w:val="0"/>
        </w:rPr>
        <w:t>bčanského zákoníku, protože je připuštěno stanovit pořadí odlišně tak, jak předkládá tento návrh. Nové znění ani nemůže být v</w:t>
      </w:r>
      <w:r w:rsidR="002C2914">
        <w:rPr>
          <w:noProof w:val="0"/>
        </w:rPr>
        <w:t> </w:t>
      </w:r>
      <w:r>
        <w:rPr>
          <w:noProof w:val="0"/>
        </w:rPr>
        <w:t>rozporu</w:t>
      </w:r>
      <w:r w:rsidR="002C2914">
        <w:rPr>
          <w:noProof w:val="0"/>
        </w:rPr>
        <w:t xml:space="preserve"> s obecnými zásadami evropského práva</w:t>
      </w:r>
      <w:r>
        <w:rPr>
          <w:noProof w:val="0"/>
        </w:rPr>
        <w:t xml:space="preserve">, protože i podle současného znění si už dlužník může zvolit, že provede úhradu nejdřív na jistinu. </w:t>
      </w:r>
    </w:p>
    <w:p w14:paraId="2B9C3D09" w14:textId="5E9BC8B4" w:rsidR="000039F7" w:rsidRDefault="000039F7" w:rsidP="00AB22B4">
      <w:pPr>
        <w:pStyle w:val="text"/>
        <w:ind w:firstLine="0"/>
        <w:rPr>
          <w:noProof w:val="0"/>
        </w:rPr>
      </w:pPr>
      <w:r>
        <w:rPr>
          <w:noProof w:val="0"/>
        </w:rPr>
        <w:t xml:space="preserve">Z mezinárodních smluv, jimiž je Česká republika vázána, nevyplývají specifické právní normy dopadající na oblast pořadí umořování dluhu a eventuální úročení příslušenství. </w:t>
      </w:r>
    </w:p>
    <w:p w14:paraId="23DE3DC4" w14:textId="77777777" w:rsidR="000039F7" w:rsidRDefault="000039F7" w:rsidP="00AB22B4">
      <w:pPr>
        <w:pStyle w:val="text"/>
        <w:ind w:firstLine="0"/>
        <w:rPr>
          <w:noProof w:val="0"/>
        </w:rPr>
      </w:pPr>
      <w:r>
        <w:rPr>
          <w:noProof w:val="0"/>
        </w:rPr>
        <w:t xml:space="preserve">Pokud jde o práva zaručená Evropskou úmluvou o lidských právech, dotýká se návrh zákona zejména ochrany vlastnictví (čl. 1 Protokolu č. 1 k Úmluvě). </w:t>
      </w:r>
    </w:p>
    <w:p w14:paraId="360D2D45" w14:textId="77777777" w:rsidR="00AB22B4" w:rsidRDefault="000039F7" w:rsidP="00AB22B4">
      <w:pPr>
        <w:keepNext/>
        <w:autoSpaceDE w:val="0"/>
        <w:adjustRightInd w:val="0"/>
        <w:spacing w:before="120" w:after="0" w:line="240" w:lineRule="auto"/>
        <w:jc w:val="both"/>
        <w:rPr>
          <w:rFonts w:ascii="Times New Roman" w:hAnsi="Times New Roman"/>
          <w:b/>
          <w:sz w:val="24"/>
          <w:szCs w:val="24"/>
        </w:rPr>
      </w:pPr>
      <w:r>
        <w:rPr>
          <w:rFonts w:ascii="Times New Roman" w:hAnsi="Times New Roman"/>
          <w:b/>
          <w:sz w:val="24"/>
          <w:szCs w:val="24"/>
        </w:rPr>
        <w:t>e) Předpokládaný hospodářský a finanční vliv navrhované právní úpravy na státní rozpočet, ostatní veřejné rozpočty a na podnikatelské prostředí České republiky</w:t>
      </w:r>
    </w:p>
    <w:p w14:paraId="5E53766D" w14:textId="77777777" w:rsidR="002C2914" w:rsidRDefault="000039F7" w:rsidP="00AB22B4">
      <w:pPr>
        <w:keepNext/>
        <w:autoSpaceDE w:val="0"/>
        <w:adjustRightInd w:val="0"/>
        <w:spacing w:before="120" w:after="0" w:line="240" w:lineRule="auto"/>
        <w:jc w:val="both"/>
        <w:rPr>
          <w:rFonts w:ascii="Times New Roman" w:hAnsi="Times New Roman"/>
          <w:sz w:val="24"/>
          <w:szCs w:val="24"/>
        </w:rPr>
      </w:pPr>
      <w:r>
        <w:rPr>
          <w:rFonts w:ascii="Times New Roman" w:hAnsi="Times New Roman"/>
          <w:sz w:val="24"/>
          <w:szCs w:val="24"/>
        </w:rPr>
        <w:t xml:space="preserve">Navrhovaná právní úprava nebude mít </w:t>
      </w:r>
      <w:r w:rsidR="002C2914">
        <w:rPr>
          <w:rFonts w:ascii="Times New Roman" w:hAnsi="Times New Roman"/>
          <w:sz w:val="24"/>
          <w:szCs w:val="24"/>
        </w:rPr>
        <w:t>negativní</w:t>
      </w:r>
      <w:r>
        <w:rPr>
          <w:rFonts w:ascii="Times New Roman" w:hAnsi="Times New Roman"/>
          <w:sz w:val="24"/>
          <w:szCs w:val="24"/>
        </w:rPr>
        <w:t xml:space="preserve"> dopad na státní rozpočet</w:t>
      </w:r>
      <w:r w:rsidR="002C2914">
        <w:rPr>
          <w:rFonts w:ascii="Times New Roman" w:hAnsi="Times New Roman"/>
          <w:sz w:val="24"/>
          <w:szCs w:val="24"/>
        </w:rPr>
        <w:t xml:space="preserve">, </w:t>
      </w:r>
      <w:r>
        <w:rPr>
          <w:rFonts w:ascii="Times New Roman" w:hAnsi="Times New Roman"/>
          <w:sz w:val="24"/>
          <w:szCs w:val="24"/>
        </w:rPr>
        <w:t xml:space="preserve">ani na ostatní veřejné rozpočty. </w:t>
      </w:r>
      <w:r w:rsidR="002C2914">
        <w:rPr>
          <w:rFonts w:ascii="Times New Roman" w:hAnsi="Times New Roman"/>
          <w:sz w:val="24"/>
          <w:szCs w:val="24"/>
        </w:rPr>
        <w:t xml:space="preserve">Předpokládá se spíše pozitivní dopad na státní rozpočet, protože by mělo ubýt lichvářských praktik, kdy věřitelé požadují enormní úroky z úroků, provádí zápočty netransparentně, takže se jejich dlužníci dostávají do dluhové spirály, na jejímž konci vznikají náklady pro stát (soudní a insolvenční řízení, systémy státních podpor pro osoby v bankrotu a další), které se přijetím úpravy eliminují. </w:t>
      </w:r>
    </w:p>
    <w:p w14:paraId="14F80D31" w14:textId="15C15A12" w:rsidR="000039F7" w:rsidRDefault="000039F7" w:rsidP="002C2914">
      <w:pPr>
        <w:keepNext/>
        <w:autoSpaceDE w:val="0"/>
        <w:adjustRightInd w:val="0"/>
        <w:spacing w:before="120" w:after="0" w:line="240" w:lineRule="auto"/>
        <w:jc w:val="both"/>
        <w:rPr>
          <w:rFonts w:ascii="Times New Roman" w:hAnsi="Times New Roman"/>
          <w:sz w:val="24"/>
          <w:szCs w:val="24"/>
        </w:rPr>
      </w:pPr>
      <w:r>
        <w:rPr>
          <w:rFonts w:ascii="Times New Roman" w:hAnsi="Times New Roman"/>
          <w:sz w:val="24"/>
          <w:szCs w:val="24"/>
        </w:rPr>
        <w:t>Na podnikatelské prostředí České republiky bude mít navrhovaná právní úprava vliv v tom směru, že posiluje postavení dlužníků v závazkovém vztahu.</w:t>
      </w:r>
      <w:r w:rsidR="002C2914">
        <w:rPr>
          <w:rFonts w:ascii="Times New Roman" w:hAnsi="Times New Roman"/>
          <w:sz w:val="24"/>
          <w:szCs w:val="24"/>
        </w:rPr>
        <w:t xml:space="preserve"> </w:t>
      </w:r>
    </w:p>
    <w:p w14:paraId="385F3251" w14:textId="28B4768A" w:rsidR="000039F7" w:rsidRDefault="000039F7" w:rsidP="00AB22B4">
      <w:pPr>
        <w:autoSpaceDE w:val="0"/>
        <w:adjustRightInd w:val="0"/>
        <w:spacing w:before="120" w:after="0" w:line="240" w:lineRule="auto"/>
        <w:jc w:val="both"/>
        <w:rPr>
          <w:rFonts w:ascii="Times New Roman" w:hAnsi="Times New Roman"/>
          <w:b/>
          <w:sz w:val="24"/>
          <w:szCs w:val="24"/>
        </w:rPr>
      </w:pPr>
      <w:r>
        <w:rPr>
          <w:rFonts w:ascii="Times New Roman" w:hAnsi="Times New Roman"/>
          <w:b/>
          <w:sz w:val="24"/>
          <w:szCs w:val="24"/>
        </w:rPr>
        <w:t>f) Předpokládané sociální dopady, včetně dopadů na rodiny a dopadů na specifické skupiny obyvatel</w:t>
      </w:r>
      <w:r w:rsidR="004A6A27">
        <w:rPr>
          <w:rFonts w:ascii="Times New Roman" w:hAnsi="Times New Roman"/>
          <w:b/>
          <w:sz w:val="24"/>
          <w:szCs w:val="24"/>
        </w:rPr>
        <w:t xml:space="preserve">, </w:t>
      </w:r>
      <w:r w:rsidR="004A6A27" w:rsidRPr="004A6A27">
        <w:rPr>
          <w:rFonts w:ascii="Times New Roman" w:hAnsi="Times New Roman"/>
          <w:b/>
          <w:sz w:val="24"/>
          <w:szCs w:val="24"/>
        </w:rPr>
        <w:t>zejména osoby sociálně slabé, osoby se zdravotním postižením a národnostní menšiny,</w:t>
      </w:r>
      <w:r>
        <w:rPr>
          <w:rFonts w:ascii="Times New Roman" w:hAnsi="Times New Roman"/>
          <w:b/>
          <w:sz w:val="24"/>
          <w:szCs w:val="24"/>
        </w:rPr>
        <w:t xml:space="preserve"> a dopady na životní prostředí</w:t>
      </w:r>
    </w:p>
    <w:p w14:paraId="371A1E0D" w14:textId="69141682" w:rsidR="000039F7" w:rsidRDefault="000039F7" w:rsidP="00AB22B4">
      <w:pPr>
        <w:autoSpaceDE w:val="0"/>
        <w:adjustRightInd w:val="0"/>
        <w:spacing w:before="120" w:after="0" w:line="240" w:lineRule="auto"/>
        <w:jc w:val="both"/>
        <w:rPr>
          <w:rFonts w:ascii="Times New Roman" w:hAnsi="Times New Roman"/>
          <w:sz w:val="24"/>
          <w:szCs w:val="24"/>
        </w:rPr>
      </w:pPr>
      <w:r>
        <w:rPr>
          <w:rFonts w:ascii="Times New Roman" w:hAnsi="Times New Roman"/>
          <w:sz w:val="24"/>
          <w:szCs w:val="24"/>
        </w:rPr>
        <w:t xml:space="preserve">Navrhovaná právní úprava </w:t>
      </w:r>
      <w:r w:rsidR="002C2914">
        <w:rPr>
          <w:rFonts w:ascii="Times New Roman" w:hAnsi="Times New Roman"/>
          <w:sz w:val="24"/>
          <w:szCs w:val="24"/>
        </w:rPr>
        <w:t>bude</w:t>
      </w:r>
      <w:r>
        <w:rPr>
          <w:rFonts w:ascii="Times New Roman" w:hAnsi="Times New Roman"/>
          <w:sz w:val="24"/>
          <w:szCs w:val="24"/>
        </w:rPr>
        <w:t xml:space="preserve"> mít pozitivní sociální dopady</w:t>
      </w:r>
      <w:r w:rsidR="002C2914">
        <w:rPr>
          <w:rFonts w:ascii="Times New Roman" w:hAnsi="Times New Roman"/>
          <w:sz w:val="24"/>
          <w:szCs w:val="24"/>
        </w:rPr>
        <w:t xml:space="preserve"> (očekává se méně osobních bankrotů)</w:t>
      </w:r>
      <w:r>
        <w:rPr>
          <w:rFonts w:ascii="Times New Roman" w:hAnsi="Times New Roman"/>
          <w:sz w:val="24"/>
          <w:szCs w:val="24"/>
        </w:rPr>
        <w:t xml:space="preserve"> a nemá vliv na životní prostředí.</w:t>
      </w:r>
    </w:p>
    <w:p w14:paraId="0C41B4B7" w14:textId="77777777" w:rsidR="000039F7" w:rsidRDefault="000039F7" w:rsidP="00AB22B4">
      <w:pPr>
        <w:tabs>
          <w:tab w:val="left" w:pos="720"/>
        </w:tabs>
        <w:spacing w:before="120" w:after="0" w:line="240" w:lineRule="auto"/>
        <w:jc w:val="both"/>
        <w:rPr>
          <w:rFonts w:ascii="Times New Roman" w:hAnsi="Times New Roman"/>
          <w:sz w:val="24"/>
          <w:szCs w:val="24"/>
        </w:rPr>
      </w:pPr>
      <w:r>
        <w:rPr>
          <w:rFonts w:ascii="Times New Roman" w:hAnsi="Times New Roman"/>
          <w:b/>
          <w:sz w:val="24"/>
          <w:szCs w:val="24"/>
        </w:rPr>
        <w:t>g) Zhodnocení platného právního stavu a dopadů navrhovaného řešení ve vztahu k zákazu diskriminace a dopadů navrhovaného řešení ve vztahu k rovnosti mužů a žen</w:t>
      </w:r>
    </w:p>
    <w:p w14:paraId="4FBE9723" w14:textId="328E7753" w:rsidR="000039F7" w:rsidRDefault="000039F7" w:rsidP="00AB22B4">
      <w:pPr>
        <w:tabs>
          <w:tab w:val="left" w:pos="720"/>
        </w:tabs>
        <w:spacing w:before="120" w:after="0" w:line="240" w:lineRule="auto"/>
        <w:jc w:val="both"/>
        <w:rPr>
          <w:rFonts w:ascii="Times New Roman" w:hAnsi="Times New Roman"/>
          <w:sz w:val="24"/>
          <w:szCs w:val="24"/>
        </w:rPr>
      </w:pPr>
      <w:r>
        <w:rPr>
          <w:rFonts w:ascii="Times New Roman" w:hAnsi="Times New Roman"/>
          <w:sz w:val="24"/>
          <w:szCs w:val="24"/>
        </w:rPr>
        <w:t>Navrhovaná právní úprava neobsahuje ustanovení, které by bylo diskriminační.</w:t>
      </w:r>
    </w:p>
    <w:p w14:paraId="1D0AED40" w14:textId="77777777" w:rsidR="000039F7" w:rsidRDefault="000039F7" w:rsidP="00AB22B4">
      <w:pPr>
        <w:tabs>
          <w:tab w:val="left" w:pos="720"/>
        </w:tabs>
        <w:spacing w:before="120" w:after="0" w:line="240" w:lineRule="auto"/>
        <w:jc w:val="both"/>
        <w:rPr>
          <w:rFonts w:ascii="Times New Roman" w:hAnsi="Times New Roman"/>
          <w:b/>
          <w:sz w:val="24"/>
          <w:szCs w:val="24"/>
        </w:rPr>
      </w:pPr>
      <w:r>
        <w:rPr>
          <w:rFonts w:ascii="Times New Roman" w:hAnsi="Times New Roman"/>
          <w:b/>
          <w:sz w:val="24"/>
          <w:szCs w:val="24"/>
        </w:rPr>
        <w:t>h) Zhodnocení platného právního stavu a dopadů navrhovaného řešení ve vztahu k ochraně soukromí a osobních údajů</w:t>
      </w:r>
    </w:p>
    <w:p w14:paraId="473C6B4B" w14:textId="42B070BD" w:rsidR="000039F7" w:rsidRDefault="000039F7" w:rsidP="00AB22B4">
      <w:pPr>
        <w:tabs>
          <w:tab w:val="left" w:pos="720"/>
        </w:tabs>
        <w:spacing w:before="120" w:after="0" w:line="240" w:lineRule="auto"/>
        <w:jc w:val="both"/>
        <w:rPr>
          <w:rFonts w:ascii="Times New Roman" w:hAnsi="Times New Roman"/>
          <w:sz w:val="24"/>
          <w:szCs w:val="24"/>
        </w:rPr>
      </w:pPr>
      <w:r>
        <w:rPr>
          <w:rFonts w:ascii="Times New Roman" w:hAnsi="Times New Roman"/>
          <w:sz w:val="24"/>
          <w:szCs w:val="24"/>
        </w:rPr>
        <w:t>Stávající právní úprava</w:t>
      </w:r>
      <w:r w:rsidR="002C2914">
        <w:rPr>
          <w:rFonts w:ascii="Times New Roman" w:hAnsi="Times New Roman"/>
          <w:sz w:val="24"/>
          <w:szCs w:val="24"/>
        </w:rPr>
        <w:t>,</w:t>
      </w:r>
      <w:r>
        <w:rPr>
          <w:rFonts w:ascii="Times New Roman" w:hAnsi="Times New Roman"/>
          <w:sz w:val="24"/>
          <w:szCs w:val="24"/>
        </w:rPr>
        <w:t xml:space="preserve"> ani navrhovaná právní úprava se nedotýká soukromí a osobních údajů.</w:t>
      </w:r>
    </w:p>
    <w:p w14:paraId="656CF2DE" w14:textId="77777777" w:rsidR="000039F7" w:rsidRDefault="000039F7" w:rsidP="00AB22B4">
      <w:pPr>
        <w:tabs>
          <w:tab w:val="left" w:pos="720"/>
        </w:tabs>
        <w:spacing w:before="120" w:after="0" w:line="240" w:lineRule="auto"/>
        <w:rPr>
          <w:rFonts w:ascii="Times New Roman" w:hAnsi="Times New Roman"/>
          <w:b/>
          <w:sz w:val="24"/>
          <w:szCs w:val="24"/>
        </w:rPr>
      </w:pPr>
      <w:r>
        <w:rPr>
          <w:rFonts w:ascii="Times New Roman" w:hAnsi="Times New Roman"/>
          <w:b/>
          <w:sz w:val="24"/>
          <w:szCs w:val="24"/>
        </w:rPr>
        <w:t>i) Zhodnocení korupčních rizik</w:t>
      </w:r>
    </w:p>
    <w:p w14:paraId="1FAE22DD" w14:textId="5B708725" w:rsidR="000039F7" w:rsidRDefault="000039F7" w:rsidP="00AB22B4">
      <w:pPr>
        <w:tabs>
          <w:tab w:val="left" w:pos="720"/>
        </w:tabs>
        <w:spacing w:before="120" w:after="0" w:line="240" w:lineRule="auto"/>
        <w:rPr>
          <w:rFonts w:ascii="Times New Roman" w:hAnsi="Times New Roman"/>
          <w:sz w:val="24"/>
          <w:szCs w:val="24"/>
        </w:rPr>
      </w:pPr>
      <w:r>
        <w:rPr>
          <w:rFonts w:ascii="Times New Roman" w:hAnsi="Times New Roman"/>
          <w:sz w:val="24"/>
          <w:szCs w:val="24"/>
        </w:rPr>
        <w:t>Navrhovaná úprava nepřináší žádná korupční rizika.</w:t>
      </w:r>
    </w:p>
    <w:p w14:paraId="18D21989" w14:textId="77777777" w:rsidR="000039F7" w:rsidRDefault="000039F7" w:rsidP="00AB22B4">
      <w:pPr>
        <w:tabs>
          <w:tab w:val="left" w:pos="720"/>
        </w:tabs>
        <w:spacing w:before="120" w:after="0" w:line="240" w:lineRule="auto"/>
        <w:rPr>
          <w:rFonts w:ascii="Times New Roman" w:hAnsi="Times New Roman"/>
          <w:sz w:val="24"/>
          <w:szCs w:val="24"/>
        </w:rPr>
      </w:pPr>
      <w:r>
        <w:rPr>
          <w:rFonts w:ascii="Times New Roman" w:hAnsi="Times New Roman"/>
          <w:b/>
          <w:sz w:val="24"/>
          <w:szCs w:val="24"/>
        </w:rPr>
        <w:t>j) Zhodnocení dopadů na bezpečnost nebo obranu státu</w:t>
      </w:r>
    </w:p>
    <w:p w14:paraId="4F2A557D" w14:textId="06FD7AD9" w:rsidR="000039F7" w:rsidRDefault="000039F7" w:rsidP="00AB22B4">
      <w:pPr>
        <w:tabs>
          <w:tab w:val="left" w:pos="720"/>
        </w:tabs>
        <w:spacing w:before="120" w:after="0" w:line="240" w:lineRule="auto"/>
        <w:jc w:val="both"/>
      </w:pPr>
      <w:r>
        <w:rPr>
          <w:rFonts w:ascii="Times New Roman" w:hAnsi="Times New Roman"/>
          <w:sz w:val="24"/>
          <w:szCs w:val="24"/>
        </w:rPr>
        <w:t>Navrhovaná právní úprava nemá vliv na obranu státu, ale má pozitivní vliv na bezpečnost, a to ve směru zvýšení bezpečnosti, neboť zlepšuje postavení dlužníků a tím může eventuálně zlepšit jejich finanční situaci a zabránit tak páchání trestné činnosti.</w:t>
      </w:r>
    </w:p>
    <w:p w14:paraId="61AA93D8" w14:textId="77777777" w:rsidR="000039F7" w:rsidRPr="00AD25CB" w:rsidRDefault="000039F7" w:rsidP="00AB22B4">
      <w:pPr>
        <w:spacing w:before="120" w:after="0" w:line="240" w:lineRule="auto"/>
        <w:jc w:val="both"/>
        <w:rPr>
          <w:rFonts w:ascii="Times New Roman" w:hAnsi="Times New Roman"/>
          <w:sz w:val="24"/>
          <w:szCs w:val="24"/>
        </w:rPr>
      </w:pPr>
    </w:p>
    <w:p w14:paraId="6304F846" w14:textId="77777777" w:rsidR="00561307" w:rsidRDefault="00561307" w:rsidP="00AB22B4">
      <w:pPr>
        <w:spacing w:before="120" w:after="0" w:line="240" w:lineRule="auto"/>
        <w:rPr>
          <w:rFonts w:ascii="Times New Roman" w:hAnsi="Times New Roman"/>
          <w:b/>
          <w:bCs/>
          <w:sz w:val="24"/>
          <w:szCs w:val="24"/>
          <w:u w:val="single"/>
        </w:rPr>
      </w:pPr>
      <w:r>
        <w:rPr>
          <w:rFonts w:ascii="Times New Roman" w:hAnsi="Times New Roman"/>
          <w:b/>
          <w:sz w:val="24"/>
          <w:szCs w:val="24"/>
          <w:u w:val="single"/>
        </w:rPr>
        <w:t xml:space="preserve">II. </w:t>
      </w:r>
      <w:r>
        <w:rPr>
          <w:rFonts w:ascii="Times New Roman" w:hAnsi="Times New Roman"/>
          <w:b/>
          <w:bCs/>
          <w:sz w:val="24"/>
          <w:szCs w:val="24"/>
          <w:u w:val="single"/>
        </w:rPr>
        <w:t>Zvláštní část</w:t>
      </w:r>
    </w:p>
    <w:p w14:paraId="50B588AB" w14:textId="1FCC096E" w:rsidR="00561307" w:rsidRDefault="00561307" w:rsidP="00AB22B4">
      <w:pPr>
        <w:autoSpaceDE w:val="0"/>
        <w:adjustRightInd w:val="0"/>
        <w:spacing w:before="120" w:after="0" w:line="240" w:lineRule="auto"/>
        <w:rPr>
          <w:rFonts w:ascii="Times New Roman" w:hAnsi="Times New Roman"/>
          <w:b/>
          <w:sz w:val="24"/>
          <w:szCs w:val="24"/>
        </w:rPr>
      </w:pPr>
      <w:r>
        <w:rPr>
          <w:rFonts w:ascii="Times New Roman" w:hAnsi="Times New Roman"/>
          <w:b/>
          <w:sz w:val="24"/>
          <w:szCs w:val="24"/>
        </w:rPr>
        <w:t xml:space="preserve">K </w:t>
      </w:r>
      <w:r w:rsidR="00924720">
        <w:rPr>
          <w:rFonts w:ascii="Times New Roman" w:hAnsi="Times New Roman"/>
          <w:b/>
          <w:sz w:val="24"/>
          <w:szCs w:val="24"/>
        </w:rPr>
        <w:t>č</w:t>
      </w:r>
      <w:r>
        <w:rPr>
          <w:rFonts w:ascii="Times New Roman" w:hAnsi="Times New Roman"/>
          <w:b/>
          <w:sz w:val="24"/>
          <w:szCs w:val="24"/>
        </w:rPr>
        <w:t xml:space="preserve">l. I </w:t>
      </w:r>
    </w:p>
    <w:p w14:paraId="5D54F0B0" w14:textId="77777777" w:rsidR="000858B1" w:rsidRDefault="000858B1" w:rsidP="00AB22B4">
      <w:pPr>
        <w:autoSpaceDE w:val="0"/>
        <w:adjustRightInd w:val="0"/>
        <w:spacing w:before="120" w:after="0" w:line="240" w:lineRule="auto"/>
        <w:jc w:val="both"/>
        <w:rPr>
          <w:rFonts w:ascii="Times New Roman" w:hAnsi="Times New Roman"/>
          <w:sz w:val="24"/>
          <w:szCs w:val="24"/>
        </w:rPr>
      </w:pPr>
      <w:r>
        <w:rPr>
          <w:rFonts w:ascii="Times New Roman" w:hAnsi="Times New Roman"/>
          <w:sz w:val="24"/>
          <w:szCs w:val="24"/>
        </w:rPr>
        <w:t xml:space="preserve">K § 1932 odst. 1: </w:t>
      </w:r>
    </w:p>
    <w:p w14:paraId="0C2813FD" w14:textId="03793E3A" w:rsidR="00561307" w:rsidRDefault="00561307" w:rsidP="00AB22B4">
      <w:pPr>
        <w:autoSpaceDE w:val="0"/>
        <w:adjustRightInd w:val="0"/>
        <w:spacing w:before="120" w:after="0" w:line="240" w:lineRule="auto"/>
        <w:jc w:val="both"/>
        <w:rPr>
          <w:rFonts w:ascii="Times New Roman" w:hAnsi="Times New Roman"/>
          <w:sz w:val="24"/>
          <w:szCs w:val="24"/>
        </w:rPr>
      </w:pPr>
      <w:r>
        <w:rPr>
          <w:rFonts w:ascii="Times New Roman" w:hAnsi="Times New Roman"/>
          <w:sz w:val="24"/>
          <w:szCs w:val="24"/>
        </w:rPr>
        <w:t xml:space="preserve">Upravuje se pořadí, v němž dochází k umořování jistiny dluhu a jeho příslušenství. Pořadí </w:t>
      </w:r>
      <w:r w:rsidR="00924720">
        <w:rPr>
          <w:rFonts w:ascii="Times New Roman" w:hAnsi="Times New Roman"/>
          <w:sz w:val="24"/>
          <w:szCs w:val="24"/>
        </w:rPr>
        <w:t>„</w:t>
      </w:r>
      <w:r>
        <w:rPr>
          <w:rFonts w:ascii="Times New Roman" w:hAnsi="Times New Roman"/>
          <w:sz w:val="24"/>
          <w:szCs w:val="24"/>
        </w:rPr>
        <w:t>již určené náklady – úroky z prodlení – úroky – jistina</w:t>
      </w:r>
      <w:r w:rsidR="00924720">
        <w:rPr>
          <w:rFonts w:ascii="Times New Roman" w:hAnsi="Times New Roman"/>
          <w:sz w:val="24"/>
          <w:szCs w:val="24"/>
        </w:rPr>
        <w:t>“</w:t>
      </w:r>
      <w:r>
        <w:rPr>
          <w:rFonts w:ascii="Times New Roman" w:hAnsi="Times New Roman"/>
          <w:sz w:val="24"/>
          <w:szCs w:val="24"/>
        </w:rPr>
        <w:t xml:space="preserve"> se mění na pořadí </w:t>
      </w:r>
      <w:r w:rsidR="00924720">
        <w:rPr>
          <w:rFonts w:ascii="Times New Roman" w:hAnsi="Times New Roman"/>
          <w:sz w:val="24"/>
          <w:szCs w:val="24"/>
        </w:rPr>
        <w:t>„</w:t>
      </w:r>
      <w:r>
        <w:rPr>
          <w:rFonts w:ascii="Times New Roman" w:hAnsi="Times New Roman"/>
          <w:sz w:val="24"/>
          <w:szCs w:val="24"/>
        </w:rPr>
        <w:t xml:space="preserve">jistina – již určené </w:t>
      </w:r>
      <w:r>
        <w:rPr>
          <w:rFonts w:ascii="Times New Roman" w:hAnsi="Times New Roman"/>
          <w:sz w:val="24"/>
          <w:szCs w:val="24"/>
        </w:rPr>
        <w:lastRenderedPageBreak/>
        <w:t>náklady – úroky z prodlení – úroky</w:t>
      </w:r>
      <w:r w:rsidR="00924720">
        <w:rPr>
          <w:rFonts w:ascii="Times New Roman" w:hAnsi="Times New Roman"/>
          <w:sz w:val="24"/>
          <w:szCs w:val="24"/>
        </w:rPr>
        <w:t>“</w:t>
      </w:r>
      <w:r>
        <w:rPr>
          <w:rFonts w:ascii="Times New Roman" w:hAnsi="Times New Roman"/>
          <w:sz w:val="24"/>
          <w:szCs w:val="24"/>
        </w:rPr>
        <w:t xml:space="preserve">. S ohledem na dovětek, že dlužník může určit jiné pořadí se tak realizuje tato změna pouze pro případ, že dlužník jiné pořadí neurčí a platí takto stanovené pořadí. </w:t>
      </w:r>
    </w:p>
    <w:p w14:paraId="789384AF" w14:textId="2C98116B" w:rsidR="00561307" w:rsidRDefault="000858B1" w:rsidP="00AB22B4">
      <w:pPr>
        <w:spacing w:before="120" w:after="0" w:line="240" w:lineRule="auto"/>
        <w:jc w:val="both"/>
        <w:rPr>
          <w:rStyle w:val="s10"/>
          <w:bCs/>
        </w:rPr>
      </w:pPr>
      <w:r>
        <w:rPr>
          <w:rFonts w:ascii="Times New Roman" w:hAnsi="Times New Roman"/>
          <w:sz w:val="24"/>
          <w:szCs w:val="24"/>
        </w:rPr>
        <w:t>K § 1932 odst. 2</w:t>
      </w:r>
      <w:r w:rsidR="00561307">
        <w:rPr>
          <w:rStyle w:val="s10"/>
          <w:rFonts w:ascii="Times New Roman" w:hAnsi="Times New Roman"/>
          <w:bCs/>
          <w:sz w:val="24"/>
          <w:szCs w:val="24"/>
        </w:rPr>
        <w:t>:</w:t>
      </w:r>
      <w:r w:rsidR="00924720">
        <w:rPr>
          <w:rStyle w:val="s10"/>
          <w:rFonts w:ascii="Times New Roman" w:hAnsi="Times New Roman"/>
          <w:bCs/>
          <w:sz w:val="24"/>
          <w:szCs w:val="24"/>
        </w:rPr>
        <w:t xml:space="preserve"> </w:t>
      </w:r>
    </w:p>
    <w:p w14:paraId="4E561B1E" w14:textId="293A1333" w:rsidR="00561307" w:rsidRDefault="00561307" w:rsidP="00AB22B4">
      <w:pPr>
        <w:spacing w:before="120" w:after="0" w:line="240" w:lineRule="auto"/>
        <w:jc w:val="both"/>
        <w:rPr>
          <w:rStyle w:val="s10"/>
          <w:rFonts w:ascii="Times New Roman" w:hAnsi="Times New Roman"/>
          <w:bCs/>
          <w:sz w:val="24"/>
          <w:szCs w:val="24"/>
        </w:rPr>
      </w:pPr>
      <w:r>
        <w:rPr>
          <w:rStyle w:val="s10"/>
          <w:rFonts w:ascii="Times New Roman" w:hAnsi="Times New Roman"/>
          <w:bCs/>
          <w:sz w:val="24"/>
          <w:szCs w:val="24"/>
        </w:rPr>
        <w:t xml:space="preserve">Ustanovení </w:t>
      </w:r>
      <w:r w:rsidR="00B57DFA">
        <w:rPr>
          <w:rStyle w:val="s10"/>
          <w:rFonts w:ascii="Times New Roman" w:hAnsi="Times New Roman"/>
          <w:bCs/>
          <w:sz w:val="24"/>
          <w:szCs w:val="24"/>
        </w:rPr>
        <w:t>blíže specifikuje úročené části dluhu v případě způsobu plnění (splacení jistiny), který je stanoven v předchozím odstavci 1</w:t>
      </w:r>
      <w:r>
        <w:rPr>
          <w:rStyle w:val="s10"/>
          <w:rFonts w:ascii="Times New Roman" w:hAnsi="Times New Roman"/>
          <w:bCs/>
          <w:sz w:val="24"/>
          <w:szCs w:val="24"/>
        </w:rPr>
        <w:t xml:space="preserve">. </w:t>
      </w:r>
    </w:p>
    <w:p w14:paraId="585B3D51" w14:textId="02B2EE03" w:rsidR="00561307" w:rsidRDefault="00561307" w:rsidP="00AB22B4">
      <w:pPr>
        <w:spacing w:before="120" w:after="0" w:line="240" w:lineRule="auto"/>
        <w:jc w:val="both"/>
        <w:rPr>
          <w:rStyle w:val="s10"/>
          <w:rFonts w:ascii="Times New Roman" w:hAnsi="Times New Roman"/>
          <w:bCs/>
          <w:sz w:val="24"/>
          <w:szCs w:val="24"/>
        </w:rPr>
      </w:pPr>
      <w:r>
        <w:rPr>
          <w:rStyle w:val="s10"/>
          <w:rFonts w:ascii="Times New Roman" w:hAnsi="Times New Roman"/>
          <w:bCs/>
          <w:sz w:val="24"/>
          <w:szCs w:val="24"/>
        </w:rPr>
        <w:t>Obě změny ustanovení ve svém důsledku zvýhodní</w:t>
      </w:r>
      <w:r w:rsidR="00924720">
        <w:rPr>
          <w:rStyle w:val="s10"/>
          <w:rFonts w:ascii="Times New Roman" w:hAnsi="Times New Roman"/>
          <w:bCs/>
          <w:sz w:val="24"/>
          <w:szCs w:val="24"/>
        </w:rPr>
        <w:t xml:space="preserve"> </w:t>
      </w:r>
      <w:r>
        <w:rPr>
          <w:rStyle w:val="s10"/>
          <w:rFonts w:ascii="Times New Roman" w:hAnsi="Times New Roman"/>
          <w:bCs/>
          <w:sz w:val="24"/>
          <w:szCs w:val="24"/>
        </w:rPr>
        <w:t xml:space="preserve">dlužníka v tom směru, že dlužník, aniž by učinil prohlášení, jakou část dluhu plní, plní přednostně jistinu, přičemž se mu tak snižuje tato úročená část dluhu, zatímco ve vztahu k příslušenství se mu úročí jen již určené náklady. Úroky ani úroky z prodlení se </w:t>
      </w:r>
      <w:r w:rsidR="00B57DFA">
        <w:rPr>
          <w:rStyle w:val="s10"/>
          <w:rFonts w:ascii="Times New Roman" w:hAnsi="Times New Roman"/>
          <w:bCs/>
          <w:sz w:val="24"/>
          <w:szCs w:val="24"/>
        </w:rPr>
        <w:t xml:space="preserve">v takovém případě </w:t>
      </w:r>
      <w:r w:rsidR="00924720">
        <w:rPr>
          <w:rStyle w:val="s10"/>
          <w:rFonts w:ascii="Times New Roman" w:hAnsi="Times New Roman"/>
          <w:bCs/>
          <w:sz w:val="24"/>
          <w:szCs w:val="24"/>
        </w:rPr>
        <w:t>neúročí</w:t>
      </w:r>
      <w:r>
        <w:rPr>
          <w:rStyle w:val="s10"/>
          <w:rFonts w:ascii="Times New Roman" w:hAnsi="Times New Roman"/>
          <w:bCs/>
          <w:sz w:val="24"/>
          <w:szCs w:val="24"/>
        </w:rPr>
        <w:t>.</w:t>
      </w:r>
    </w:p>
    <w:p w14:paraId="67F769C7" w14:textId="1DFEFFB0" w:rsidR="00561307" w:rsidRDefault="00561307" w:rsidP="00AB22B4">
      <w:pPr>
        <w:keepNext/>
        <w:autoSpaceDE w:val="0"/>
        <w:adjustRightInd w:val="0"/>
        <w:spacing w:before="120" w:after="0" w:line="240" w:lineRule="auto"/>
        <w:rPr>
          <w:rFonts w:ascii="Times New Roman" w:hAnsi="Times New Roman"/>
          <w:b/>
          <w:sz w:val="24"/>
          <w:szCs w:val="24"/>
        </w:rPr>
      </w:pPr>
      <w:r>
        <w:rPr>
          <w:rFonts w:ascii="Times New Roman" w:hAnsi="Times New Roman"/>
          <w:b/>
          <w:sz w:val="24"/>
          <w:szCs w:val="24"/>
        </w:rPr>
        <w:t>K </w:t>
      </w:r>
      <w:r w:rsidR="00924720">
        <w:rPr>
          <w:rFonts w:ascii="Times New Roman" w:hAnsi="Times New Roman"/>
          <w:b/>
          <w:sz w:val="24"/>
          <w:szCs w:val="24"/>
        </w:rPr>
        <w:t>č</w:t>
      </w:r>
      <w:r>
        <w:rPr>
          <w:rFonts w:ascii="Times New Roman" w:hAnsi="Times New Roman"/>
          <w:b/>
          <w:sz w:val="24"/>
          <w:szCs w:val="24"/>
        </w:rPr>
        <w:t>l. II</w:t>
      </w:r>
    </w:p>
    <w:p w14:paraId="5A66BE7B" w14:textId="5533EFE0" w:rsidR="00451554" w:rsidRPr="00451554" w:rsidRDefault="00561307" w:rsidP="004A6A27">
      <w:pPr>
        <w:pStyle w:val="lnek"/>
        <w:spacing w:before="0" w:after="0"/>
        <w:jc w:val="both"/>
        <w:rPr>
          <w:bCs/>
          <w:noProof/>
          <w:sz w:val="24"/>
          <w:szCs w:val="24"/>
        </w:rPr>
      </w:pPr>
      <w:r>
        <w:rPr>
          <w:sz w:val="24"/>
          <w:szCs w:val="24"/>
        </w:rPr>
        <w:t xml:space="preserve">S ohledem na skutečnost, že </w:t>
      </w:r>
      <w:r w:rsidR="00226548">
        <w:rPr>
          <w:sz w:val="24"/>
          <w:szCs w:val="24"/>
        </w:rPr>
        <w:t xml:space="preserve">návrh může vyvolat nutnost vyhodnocení si, zda je nutné změnit interní systémy či smluvní dokumentaci </w:t>
      </w:r>
      <w:r>
        <w:rPr>
          <w:sz w:val="24"/>
          <w:szCs w:val="24"/>
        </w:rPr>
        <w:t>u subjektů poskytujících úvěry</w:t>
      </w:r>
      <w:r w:rsidR="00B57DFA">
        <w:rPr>
          <w:sz w:val="24"/>
          <w:szCs w:val="24"/>
        </w:rPr>
        <w:t>,</w:t>
      </w:r>
      <w:r w:rsidR="00451554">
        <w:rPr>
          <w:sz w:val="24"/>
          <w:szCs w:val="24"/>
        </w:rPr>
        <w:t xml:space="preserve"> navrhuje se, </w:t>
      </w:r>
      <w:r w:rsidR="00451554">
        <w:rPr>
          <w:sz w:val="24"/>
          <w:szCs w:val="24"/>
        </w:rPr>
        <w:br/>
        <w:t xml:space="preserve">aby </w:t>
      </w:r>
      <w:r w:rsidR="00451554">
        <w:rPr>
          <w:bCs/>
          <w:noProof/>
          <w:sz w:val="24"/>
          <w:szCs w:val="24"/>
        </w:rPr>
        <w:t>nabyl</w:t>
      </w:r>
      <w:r w:rsidR="00451554" w:rsidRPr="00451554">
        <w:rPr>
          <w:bCs/>
          <w:noProof/>
          <w:sz w:val="24"/>
          <w:szCs w:val="24"/>
        </w:rPr>
        <w:t xml:space="preserve"> účinnosti </w:t>
      </w:r>
      <w:r w:rsidR="00451554">
        <w:rPr>
          <w:bCs/>
          <w:noProof/>
          <w:sz w:val="24"/>
          <w:szCs w:val="24"/>
        </w:rPr>
        <w:t xml:space="preserve">dnem 1. </w:t>
      </w:r>
      <w:r w:rsidR="00A279A3">
        <w:rPr>
          <w:bCs/>
          <w:noProof/>
          <w:sz w:val="24"/>
          <w:szCs w:val="24"/>
        </w:rPr>
        <w:t>července</w:t>
      </w:r>
      <w:r w:rsidR="00451554" w:rsidRPr="00451554">
        <w:rPr>
          <w:bCs/>
          <w:noProof/>
          <w:sz w:val="24"/>
          <w:szCs w:val="24"/>
        </w:rPr>
        <w:t xml:space="preserve"> 2021</w:t>
      </w:r>
      <w:r w:rsidR="00451554">
        <w:rPr>
          <w:bCs/>
          <w:noProof/>
          <w:sz w:val="24"/>
          <w:szCs w:val="24"/>
        </w:rPr>
        <w:t>.</w:t>
      </w:r>
    </w:p>
    <w:p w14:paraId="158CA657" w14:textId="2F6F42E9" w:rsidR="00561307" w:rsidRDefault="00561307" w:rsidP="00AB22B4">
      <w:pPr>
        <w:spacing w:before="120" w:after="0" w:line="240" w:lineRule="auto"/>
        <w:jc w:val="both"/>
        <w:rPr>
          <w:rFonts w:ascii="Times New Roman" w:hAnsi="Times New Roman"/>
          <w:sz w:val="24"/>
          <w:szCs w:val="24"/>
        </w:rPr>
      </w:pPr>
    </w:p>
    <w:p w14:paraId="3522A53B" w14:textId="6DB4A177" w:rsidR="00D1552D" w:rsidRDefault="00D1552D" w:rsidP="00AB22B4">
      <w:pPr>
        <w:spacing w:before="120" w:after="0" w:line="240" w:lineRule="auto"/>
        <w:rPr>
          <w:rFonts w:ascii="Times New Roman" w:hAnsi="Times New Roman"/>
          <w:sz w:val="24"/>
          <w:szCs w:val="24"/>
        </w:rPr>
      </w:pPr>
    </w:p>
    <w:p w14:paraId="7C87B5E9" w14:textId="17DFF1A4" w:rsidR="00175B6A" w:rsidRPr="00976BEF" w:rsidRDefault="00175B6A" w:rsidP="004A6A27">
      <w:pPr>
        <w:spacing w:before="120" w:after="0" w:line="240" w:lineRule="auto"/>
        <w:jc w:val="center"/>
        <w:rPr>
          <w:rFonts w:ascii="Times New Roman" w:hAnsi="Times New Roman"/>
          <w:sz w:val="24"/>
          <w:szCs w:val="24"/>
        </w:rPr>
      </w:pPr>
      <w:r w:rsidRPr="00976BEF">
        <w:rPr>
          <w:rFonts w:ascii="Times New Roman" w:hAnsi="Times New Roman"/>
          <w:sz w:val="24"/>
          <w:szCs w:val="24"/>
        </w:rPr>
        <w:t xml:space="preserve">V Praze dne </w:t>
      </w:r>
      <w:r w:rsidR="0076144F" w:rsidRPr="00976BEF">
        <w:rPr>
          <w:rFonts w:ascii="Times New Roman" w:hAnsi="Times New Roman"/>
          <w:sz w:val="24"/>
          <w:szCs w:val="24"/>
        </w:rPr>
        <w:t>2</w:t>
      </w:r>
      <w:r w:rsidR="00A279A3" w:rsidRPr="00976BEF">
        <w:rPr>
          <w:rFonts w:ascii="Times New Roman" w:hAnsi="Times New Roman"/>
          <w:sz w:val="24"/>
          <w:szCs w:val="24"/>
        </w:rPr>
        <w:t>1</w:t>
      </w:r>
      <w:r w:rsidR="00226548" w:rsidRPr="00976BEF">
        <w:rPr>
          <w:rFonts w:ascii="Times New Roman" w:hAnsi="Times New Roman"/>
          <w:sz w:val="24"/>
          <w:szCs w:val="24"/>
        </w:rPr>
        <w:t>. října 2020</w:t>
      </w:r>
    </w:p>
    <w:p w14:paraId="6FC79E3A" w14:textId="77777777" w:rsidR="00AB22B4" w:rsidRPr="00976BEF" w:rsidRDefault="00AB22B4" w:rsidP="004A6A27">
      <w:pPr>
        <w:spacing w:after="0" w:line="240" w:lineRule="auto"/>
        <w:jc w:val="center"/>
        <w:rPr>
          <w:rFonts w:ascii="Times New Roman" w:hAnsi="Times New Roman"/>
          <w:b/>
          <w:sz w:val="24"/>
          <w:szCs w:val="24"/>
          <w:u w:val="single"/>
        </w:rPr>
      </w:pPr>
    </w:p>
    <w:p w14:paraId="7D5AA733" w14:textId="0CCB56A5" w:rsidR="00175B6A" w:rsidRPr="00976BEF" w:rsidRDefault="00175B6A" w:rsidP="004A6A27">
      <w:pPr>
        <w:spacing w:after="0" w:line="240" w:lineRule="auto"/>
        <w:jc w:val="center"/>
        <w:rPr>
          <w:rFonts w:ascii="Times New Roman" w:hAnsi="Times New Roman"/>
          <w:sz w:val="24"/>
          <w:szCs w:val="24"/>
        </w:rPr>
      </w:pPr>
      <w:r w:rsidRPr="00976BEF">
        <w:rPr>
          <w:rFonts w:ascii="Times New Roman" w:hAnsi="Times New Roman"/>
          <w:b/>
          <w:sz w:val="24"/>
          <w:szCs w:val="24"/>
          <w:u w:val="single"/>
        </w:rPr>
        <w:t>Předkladatelé:</w:t>
      </w:r>
      <w:r w:rsidRPr="00976BEF">
        <w:rPr>
          <w:rFonts w:ascii="Times New Roman" w:hAnsi="Times New Roman"/>
          <w:sz w:val="24"/>
          <w:szCs w:val="24"/>
        </w:rPr>
        <w:br/>
      </w:r>
      <w:proofErr w:type="spellStart"/>
      <w:r w:rsidRPr="00976BEF">
        <w:rPr>
          <w:rFonts w:ascii="Times New Roman" w:hAnsi="Times New Roman"/>
          <w:sz w:val="24"/>
          <w:szCs w:val="24"/>
        </w:rPr>
        <w:t>Tomio</w:t>
      </w:r>
      <w:proofErr w:type="spellEnd"/>
      <w:r w:rsidRPr="00976BEF">
        <w:rPr>
          <w:rFonts w:ascii="Times New Roman" w:hAnsi="Times New Roman"/>
          <w:sz w:val="24"/>
          <w:szCs w:val="24"/>
        </w:rPr>
        <w:t xml:space="preserve"> </w:t>
      </w:r>
      <w:proofErr w:type="spellStart"/>
      <w:r w:rsidRPr="00976BEF">
        <w:rPr>
          <w:rFonts w:ascii="Times New Roman" w:hAnsi="Times New Roman"/>
          <w:sz w:val="24"/>
          <w:szCs w:val="24"/>
        </w:rPr>
        <w:t>Okamura</w:t>
      </w:r>
      <w:proofErr w:type="spellEnd"/>
      <w:r w:rsidRPr="00976BEF">
        <w:rPr>
          <w:rFonts w:ascii="Times New Roman" w:hAnsi="Times New Roman"/>
          <w:sz w:val="24"/>
          <w:szCs w:val="24"/>
        </w:rPr>
        <w:t>, v. r.</w:t>
      </w:r>
    </w:p>
    <w:p w14:paraId="19CD3D9A" w14:textId="77777777" w:rsidR="00175B6A" w:rsidRPr="00976BEF" w:rsidRDefault="00175B6A" w:rsidP="004A6A27">
      <w:pPr>
        <w:spacing w:after="0" w:line="240" w:lineRule="auto"/>
        <w:jc w:val="center"/>
        <w:rPr>
          <w:rFonts w:ascii="Times New Roman" w:hAnsi="Times New Roman"/>
          <w:sz w:val="24"/>
          <w:szCs w:val="24"/>
        </w:rPr>
      </w:pPr>
      <w:r w:rsidRPr="00976BEF">
        <w:rPr>
          <w:rFonts w:ascii="Times New Roman" w:hAnsi="Times New Roman"/>
          <w:sz w:val="24"/>
          <w:szCs w:val="24"/>
        </w:rPr>
        <w:t>Radim Fiala, v. r.</w:t>
      </w:r>
    </w:p>
    <w:p w14:paraId="5C8461DD" w14:textId="0D7ACEC8" w:rsidR="0076144F" w:rsidRPr="00976BEF" w:rsidRDefault="0076144F" w:rsidP="004A6A27">
      <w:pPr>
        <w:spacing w:after="0" w:line="240" w:lineRule="auto"/>
        <w:jc w:val="center"/>
        <w:rPr>
          <w:rFonts w:ascii="Times New Roman" w:hAnsi="Times New Roman"/>
          <w:sz w:val="24"/>
          <w:szCs w:val="24"/>
        </w:rPr>
      </w:pPr>
      <w:r w:rsidRPr="00976BEF">
        <w:rPr>
          <w:rFonts w:ascii="Times New Roman" w:hAnsi="Times New Roman"/>
          <w:sz w:val="24"/>
          <w:szCs w:val="24"/>
        </w:rPr>
        <w:t>Jan Hrnčíř, v. r.</w:t>
      </w:r>
    </w:p>
    <w:p w14:paraId="141F7647" w14:textId="7F734860" w:rsidR="00A279A3" w:rsidRPr="00976BEF" w:rsidRDefault="00976BEF" w:rsidP="004A6A27">
      <w:pPr>
        <w:spacing w:after="0" w:line="240" w:lineRule="auto"/>
        <w:jc w:val="center"/>
        <w:rPr>
          <w:rFonts w:ascii="Times New Roman" w:hAnsi="Times New Roman"/>
          <w:sz w:val="24"/>
          <w:szCs w:val="24"/>
        </w:rPr>
      </w:pPr>
      <w:r>
        <w:rPr>
          <w:rFonts w:ascii="Times New Roman" w:hAnsi="Times New Roman"/>
          <w:sz w:val="24"/>
          <w:szCs w:val="24"/>
        </w:rPr>
        <w:t xml:space="preserve">Radek </w:t>
      </w:r>
      <w:proofErr w:type="spellStart"/>
      <w:r>
        <w:rPr>
          <w:rFonts w:ascii="Times New Roman" w:hAnsi="Times New Roman"/>
          <w:sz w:val="24"/>
          <w:szCs w:val="24"/>
        </w:rPr>
        <w:t>Rozvoral</w:t>
      </w:r>
      <w:proofErr w:type="spellEnd"/>
      <w:r>
        <w:rPr>
          <w:rFonts w:ascii="Times New Roman" w:hAnsi="Times New Roman"/>
          <w:sz w:val="24"/>
          <w:szCs w:val="24"/>
        </w:rPr>
        <w:t>, v. r.</w:t>
      </w:r>
    </w:p>
    <w:p w14:paraId="490BB123" w14:textId="2B3C7EAF" w:rsidR="00175B6A" w:rsidRDefault="00175B6A" w:rsidP="004A6A27">
      <w:pPr>
        <w:spacing w:after="0" w:line="240" w:lineRule="auto"/>
        <w:jc w:val="center"/>
        <w:rPr>
          <w:rFonts w:ascii="Times New Roman" w:hAnsi="Times New Roman"/>
          <w:sz w:val="24"/>
          <w:szCs w:val="24"/>
        </w:rPr>
      </w:pPr>
      <w:r w:rsidRPr="00976BEF">
        <w:rPr>
          <w:rFonts w:ascii="Times New Roman" w:hAnsi="Times New Roman"/>
          <w:sz w:val="24"/>
          <w:szCs w:val="24"/>
        </w:rPr>
        <w:t>Monika Jarošová, v. r.</w:t>
      </w:r>
    </w:p>
    <w:p w14:paraId="4AD4D238" w14:textId="0BB9459E" w:rsidR="00976BEF" w:rsidRPr="00976BEF" w:rsidRDefault="00976BEF" w:rsidP="004A6A27">
      <w:pPr>
        <w:spacing w:after="0" w:line="240" w:lineRule="auto"/>
        <w:jc w:val="center"/>
        <w:rPr>
          <w:rFonts w:ascii="Times New Roman" w:hAnsi="Times New Roman"/>
          <w:sz w:val="24"/>
          <w:szCs w:val="24"/>
        </w:rPr>
      </w:pPr>
      <w:r>
        <w:rPr>
          <w:rFonts w:ascii="Times New Roman" w:hAnsi="Times New Roman"/>
          <w:sz w:val="24"/>
          <w:szCs w:val="24"/>
        </w:rPr>
        <w:t>Jiří Kohoutek, v. r.</w:t>
      </w:r>
    </w:p>
    <w:p w14:paraId="64825EAA" w14:textId="0B5D2524" w:rsidR="00D42894" w:rsidRPr="00976BEF" w:rsidRDefault="00C3293C" w:rsidP="004A6A27">
      <w:pPr>
        <w:spacing w:after="0" w:line="240" w:lineRule="auto"/>
        <w:jc w:val="center"/>
        <w:rPr>
          <w:rFonts w:ascii="Times New Roman" w:hAnsi="Times New Roman"/>
          <w:sz w:val="24"/>
          <w:szCs w:val="24"/>
        </w:rPr>
      </w:pPr>
      <w:r>
        <w:rPr>
          <w:rFonts w:ascii="Times New Roman" w:hAnsi="Times New Roman"/>
          <w:sz w:val="24"/>
          <w:szCs w:val="24"/>
        </w:rPr>
        <w:t>Karla Maříková</w:t>
      </w:r>
      <w:r w:rsidR="00D42894" w:rsidRPr="00976BEF">
        <w:rPr>
          <w:rFonts w:ascii="Times New Roman" w:hAnsi="Times New Roman"/>
          <w:sz w:val="24"/>
          <w:szCs w:val="24"/>
        </w:rPr>
        <w:t xml:space="preserve">, </w:t>
      </w:r>
      <w:proofErr w:type="gramStart"/>
      <w:r w:rsidR="00D42894" w:rsidRPr="00976BEF">
        <w:rPr>
          <w:rFonts w:ascii="Times New Roman" w:hAnsi="Times New Roman"/>
          <w:sz w:val="24"/>
          <w:szCs w:val="24"/>
        </w:rPr>
        <w:t>v.r.</w:t>
      </w:r>
      <w:proofErr w:type="gramEnd"/>
    </w:p>
    <w:p w14:paraId="60975F09" w14:textId="22A8485F" w:rsidR="00175B6A" w:rsidRPr="00976BEF" w:rsidRDefault="00C3293C" w:rsidP="004A6A27">
      <w:pPr>
        <w:spacing w:after="0" w:line="240" w:lineRule="auto"/>
        <w:jc w:val="center"/>
        <w:rPr>
          <w:rFonts w:ascii="Times New Roman" w:hAnsi="Times New Roman"/>
          <w:sz w:val="24"/>
          <w:szCs w:val="24"/>
        </w:rPr>
      </w:pPr>
      <w:r>
        <w:rPr>
          <w:rFonts w:ascii="Times New Roman" w:hAnsi="Times New Roman"/>
          <w:sz w:val="24"/>
          <w:szCs w:val="24"/>
        </w:rPr>
        <w:t>Lucie Šafránková</w:t>
      </w:r>
      <w:r w:rsidR="00175B6A" w:rsidRPr="00976BEF">
        <w:rPr>
          <w:rFonts w:ascii="Times New Roman" w:hAnsi="Times New Roman"/>
          <w:sz w:val="24"/>
          <w:szCs w:val="24"/>
        </w:rPr>
        <w:t>, v. r.</w:t>
      </w:r>
    </w:p>
    <w:p w14:paraId="3D93E5BC" w14:textId="77777777" w:rsidR="00175B6A" w:rsidRPr="00976BEF" w:rsidRDefault="00175B6A" w:rsidP="004A6A27">
      <w:pPr>
        <w:spacing w:after="0" w:line="240" w:lineRule="auto"/>
        <w:jc w:val="center"/>
        <w:rPr>
          <w:rFonts w:ascii="Times New Roman" w:hAnsi="Times New Roman"/>
          <w:sz w:val="24"/>
          <w:szCs w:val="24"/>
        </w:rPr>
      </w:pPr>
      <w:r w:rsidRPr="00976BEF">
        <w:rPr>
          <w:rFonts w:ascii="Times New Roman" w:hAnsi="Times New Roman"/>
          <w:sz w:val="24"/>
          <w:szCs w:val="24"/>
        </w:rPr>
        <w:t>Radek Koten, v. r.</w:t>
      </w:r>
    </w:p>
    <w:p w14:paraId="01616FB2" w14:textId="77777777" w:rsidR="00175B6A" w:rsidRPr="00976BEF" w:rsidRDefault="00175B6A" w:rsidP="004A6A27">
      <w:pPr>
        <w:spacing w:after="0" w:line="240" w:lineRule="auto"/>
        <w:jc w:val="center"/>
        <w:rPr>
          <w:rFonts w:ascii="Times New Roman" w:hAnsi="Times New Roman"/>
          <w:sz w:val="24"/>
          <w:szCs w:val="24"/>
        </w:rPr>
      </w:pPr>
      <w:r w:rsidRPr="00976BEF">
        <w:rPr>
          <w:rFonts w:ascii="Times New Roman" w:hAnsi="Times New Roman"/>
          <w:sz w:val="24"/>
          <w:szCs w:val="24"/>
        </w:rPr>
        <w:t>Zdeněk Podal, v. r.</w:t>
      </w:r>
      <w:bookmarkStart w:id="0" w:name="_GoBack"/>
      <w:bookmarkEnd w:id="0"/>
    </w:p>
    <w:sectPr w:rsidR="00175B6A" w:rsidRPr="00976BE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378C63" w14:textId="77777777" w:rsidR="004A6A27" w:rsidRDefault="004A6A27" w:rsidP="004A6A27">
      <w:pPr>
        <w:spacing w:after="0" w:line="240" w:lineRule="auto"/>
      </w:pPr>
      <w:r>
        <w:separator/>
      </w:r>
    </w:p>
  </w:endnote>
  <w:endnote w:type="continuationSeparator" w:id="0">
    <w:p w14:paraId="0A46B1D1" w14:textId="77777777" w:rsidR="004A6A27" w:rsidRDefault="004A6A27" w:rsidP="004A6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6441134"/>
      <w:docPartObj>
        <w:docPartGallery w:val="Page Numbers (Bottom of Page)"/>
        <w:docPartUnique/>
      </w:docPartObj>
    </w:sdtPr>
    <w:sdtEndPr/>
    <w:sdtContent>
      <w:p w14:paraId="47EB9D5E" w14:textId="3DA4DCA6" w:rsidR="004A6A27" w:rsidRDefault="004A6A27">
        <w:pPr>
          <w:pStyle w:val="Zpat"/>
          <w:jc w:val="center"/>
        </w:pPr>
        <w:r>
          <w:fldChar w:fldCharType="begin"/>
        </w:r>
        <w:r>
          <w:instrText>PAGE   \* MERGEFORMAT</w:instrText>
        </w:r>
        <w:r>
          <w:fldChar w:fldCharType="separate"/>
        </w:r>
        <w:r w:rsidR="00C3293C">
          <w:rPr>
            <w:noProof/>
          </w:rPr>
          <w:t>4</w:t>
        </w:r>
        <w:r>
          <w:fldChar w:fldCharType="end"/>
        </w:r>
      </w:p>
    </w:sdtContent>
  </w:sdt>
  <w:p w14:paraId="4056219F" w14:textId="77777777" w:rsidR="004A6A27" w:rsidRDefault="004A6A2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2DD612" w14:textId="77777777" w:rsidR="004A6A27" w:rsidRDefault="004A6A27" w:rsidP="004A6A27">
      <w:pPr>
        <w:spacing w:after="0" w:line="240" w:lineRule="auto"/>
      </w:pPr>
      <w:r>
        <w:separator/>
      </w:r>
    </w:p>
  </w:footnote>
  <w:footnote w:type="continuationSeparator" w:id="0">
    <w:p w14:paraId="78FB8238" w14:textId="77777777" w:rsidR="004A6A27" w:rsidRDefault="004A6A27" w:rsidP="004A6A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D1804"/>
    <w:multiLevelType w:val="hybridMultilevel"/>
    <w:tmpl w:val="65E2FD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52D077F"/>
    <w:multiLevelType w:val="hybridMultilevel"/>
    <w:tmpl w:val="B1CEB9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33"/>
    <w:rsid w:val="000039F7"/>
    <w:rsid w:val="000172BB"/>
    <w:rsid w:val="000172FC"/>
    <w:rsid w:val="000354C2"/>
    <w:rsid w:val="000823B4"/>
    <w:rsid w:val="00082EE0"/>
    <w:rsid w:val="000858B1"/>
    <w:rsid w:val="00091088"/>
    <w:rsid w:val="001062A3"/>
    <w:rsid w:val="00157264"/>
    <w:rsid w:val="00166DE6"/>
    <w:rsid w:val="00175B6A"/>
    <w:rsid w:val="00204FAE"/>
    <w:rsid w:val="00223A00"/>
    <w:rsid w:val="00226548"/>
    <w:rsid w:val="002C2914"/>
    <w:rsid w:val="002E0DC8"/>
    <w:rsid w:val="00336E9B"/>
    <w:rsid w:val="003831BF"/>
    <w:rsid w:val="00393E49"/>
    <w:rsid w:val="00396E74"/>
    <w:rsid w:val="003A65C9"/>
    <w:rsid w:val="00451554"/>
    <w:rsid w:val="004A6A27"/>
    <w:rsid w:val="004C2838"/>
    <w:rsid w:val="00561307"/>
    <w:rsid w:val="00665F70"/>
    <w:rsid w:val="00687F20"/>
    <w:rsid w:val="007148CC"/>
    <w:rsid w:val="00756D69"/>
    <w:rsid w:val="0076144F"/>
    <w:rsid w:val="007F20CA"/>
    <w:rsid w:val="008B5683"/>
    <w:rsid w:val="00924720"/>
    <w:rsid w:val="009745A7"/>
    <w:rsid w:val="00976BEF"/>
    <w:rsid w:val="00981E11"/>
    <w:rsid w:val="00983384"/>
    <w:rsid w:val="009E6B7F"/>
    <w:rsid w:val="00A279A3"/>
    <w:rsid w:val="00A354BA"/>
    <w:rsid w:val="00AB22B4"/>
    <w:rsid w:val="00AD17AF"/>
    <w:rsid w:val="00AD5333"/>
    <w:rsid w:val="00B14B19"/>
    <w:rsid w:val="00B5536E"/>
    <w:rsid w:val="00B57DFA"/>
    <w:rsid w:val="00B80FD0"/>
    <w:rsid w:val="00B875A7"/>
    <w:rsid w:val="00BE3127"/>
    <w:rsid w:val="00BE331F"/>
    <w:rsid w:val="00C2697F"/>
    <w:rsid w:val="00C3293C"/>
    <w:rsid w:val="00CA3177"/>
    <w:rsid w:val="00D04731"/>
    <w:rsid w:val="00D1552D"/>
    <w:rsid w:val="00D271F8"/>
    <w:rsid w:val="00D42894"/>
    <w:rsid w:val="00D44E7F"/>
    <w:rsid w:val="00D52DEF"/>
    <w:rsid w:val="00DD3F28"/>
    <w:rsid w:val="00DD6787"/>
    <w:rsid w:val="00E2249B"/>
    <w:rsid w:val="00E31011"/>
    <w:rsid w:val="00E5511E"/>
    <w:rsid w:val="00E61A2E"/>
    <w:rsid w:val="00EA6915"/>
    <w:rsid w:val="00F20B1C"/>
    <w:rsid w:val="00F27B23"/>
    <w:rsid w:val="00F414F3"/>
    <w:rsid w:val="00F73B1E"/>
    <w:rsid w:val="00FF5A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38C75"/>
  <w15:chartTrackingRefBased/>
  <w15:docId w15:val="{AD83DE27-7E5D-42CE-8758-B80A6F205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04731"/>
    <w:pPr>
      <w:spacing w:after="200" w:line="276" w:lineRule="auto"/>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rsid w:val="00D04731"/>
    <w:pPr>
      <w:suppressAutoHyphens/>
      <w:autoSpaceDN w:val="0"/>
      <w:spacing w:after="0" w:line="240" w:lineRule="auto"/>
      <w:jc w:val="both"/>
    </w:pPr>
    <w:rPr>
      <w:rFonts w:ascii="Times New Roman" w:eastAsia="Times New Roman" w:hAnsi="Times New Roman" w:cs="Times New Roman"/>
      <w:kern w:val="3"/>
      <w:sz w:val="24"/>
      <w:szCs w:val="20"/>
      <w:lang w:eastAsia="zh-CN"/>
    </w:rPr>
  </w:style>
  <w:style w:type="paragraph" w:customStyle="1" w:styleId="Textbodyindent">
    <w:name w:val="Text body indent"/>
    <w:basedOn w:val="Standard"/>
    <w:rsid w:val="00D04731"/>
    <w:pPr>
      <w:autoSpaceDE w:val="0"/>
      <w:ind w:firstLine="708"/>
      <w:jc w:val="left"/>
    </w:pPr>
  </w:style>
  <w:style w:type="character" w:customStyle="1" w:styleId="s10">
    <w:name w:val="s10"/>
    <w:basedOn w:val="Standardnpsmoodstavce"/>
    <w:rsid w:val="00CA3177"/>
  </w:style>
  <w:style w:type="character" w:customStyle="1" w:styleId="s14">
    <w:name w:val="s14"/>
    <w:basedOn w:val="Standardnpsmoodstavce"/>
    <w:rsid w:val="00CA3177"/>
  </w:style>
  <w:style w:type="character" w:customStyle="1" w:styleId="s15">
    <w:name w:val="s15"/>
    <w:basedOn w:val="Standardnpsmoodstavce"/>
    <w:rsid w:val="00CA3177"/>
  </w:style>
  <w:style w:type="paragraph" w:customStyle="1" w:styleId="text">
    <w:name w:val="text"/>
    <w:basedOn w:val="Normln"/>
    <w:rsid w:val="000039F7"/>
    <w:pPr>
      <w:spacing w:before="120" w:after="0" w:line="240" w:lineRule="auto"/>
      <w:ind w:firstLine="357"/>
      <w:jc w:val="both"/>
    </w:pPr>
    <w:rPr>
      <w:rFonts w:ascii="Times New Roman" w:eastAsia="Times New Roman" w:hAnsi="Times New Roman"/>
      <w:noProof/>
      <w:sz w:val="24"/>
      <w:szCs w:val="24"/>
      <w:lang w:eastAsia="cs-CZ"/>
    </w:rPr>
  </w:style>
  <w:style w:type="paragraph" w:styleId="Odstavecseseznamem">
    <w:name w:val="List Paragraph"/>
    <w:basedOn w:val="Normln"/>
    <w:uiPriority w:val="34"/>
    <w:qFormat/>
    <w:rsid w:val="00F20B1C"/>
    <w:pPr>
      <w:ind w:left="720"/>
      <w:contextualSpacing/>
    </w:pPr>
  </w:style>
  <w:style w:type="paragraph" w:customStyle="1" w:styleId="lnek">
    <w:name w:val="Článek"/>
    <w:basedOn w:val="Normln"/>
    <w:rsid w:val="00451554"/>
    <w:pPr>
      <w:keepNext/>
      <w:keepLines/>
      <w:suppressAutoHyphens/>
      <w:spacing w:before="240" w:line="240" w:lineRule="auto"/>
      <w:jc w:val="center"/>
    </w:pPr>
    <w:rPr>
      <w:rFonts w:ascii="Times New Roman" w:eastAsia="Times New Roman" w:hAnsi="Times New Roman"/>
      <w:color w:val="00000A"/>
      <w:kern w:val="1"/>
      <w:sz w:val="20"/>
      <w:szCs w:val="20"/>
      <w:lang w:eastAsia="cs-CZ"/>
    </w:rPr>
  </w:style>
  <w:style w:type="paragraph" w:styleId="Zhlav">
    <w:name w:val="header"/>
    <w:basedOn w:val="Normln"/>
    <w:link w:val="ZhlavChar"/>
    <w:uiPriority w:val="99"/>
    <w:unhideWhenUsed/>
    <w:rsid w:val="004A6A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A6A27"/>
    <w:rPr>
      <w:rFonts w:ascii="Calibri" w:eastAsia="Calibri" w:hAnsi="Calibri" w:cs="Times New Roman"/>
    </w:rPr>
  </w:style>
  <w:style w:type="paragraph" w:styleId="Zpat">
    <w:name w:val="footer"/>
    <w:basedOn w:val="Normln"/>
    <w:link w:val="ZpatChar"/>
    <w:uiPriority w:val="99"/>
    <w:unhideWhenUsed/>
    <w:rsid w:val="004A6A27"/>
    <w:pPr>
      <w:tabs>
        <w:tab w:val="center" w:pos="4536"/>
        <w:tab w:val="right" w:pos="9072"/>
      </w:tabs>
      <w:spacing w:after="0" w:line="240" w:lineRule="auto"/>
    </w:pPr>
  </w:style>
  <w:style w:type="character" w:customStyle="1" w:styleId="ZpatChar">
    <w:name w:val="Zápatí Char"/>
    <w:basedOn w:val="Standardnpsmoodstavce"/>
    <w:link w:val="Zpat"/>
    <w:uiPriority w:val="99"/>
    <w:rsid w:val="004A6A27"/>
    <w:rPr>
      <w:rFonts w:ascii="Calibri" w:eastAsia="Calibri" w:hAnsi="Calibri" w:cs="Times New Roman"/>
    </w:rPr>
  </w:style>
  <w:style w:type="paragraph" w:styleId="Textbubliny">
    <w:name w:val="Balloon Text"/>
    <w:basedOn w:val="Normln"/>
    <w:link w:val="TextbublinyChar"/>
    <w:uiPriority w:val="99"/>
    <w:semiHidden/>
    <w:unhideWhenUsed/>
    <w:rsid w:val="00DD3F2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D3F28"/>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5180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5</Pages>
  <Words>1769</Words>
  <Characters>10438</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Kobza Jiří</dc:creator>
  <cp:keywords/>
  <dc:description/>
  <cp:lastModifiedBy>Hrnčíř Jan</cp:lastModifiedBy>
  <cp:revision>8</cp:revision>
  <cp:lastPrinted>2020-10-21T12:32:00Z</cp:lastPrinted>
  <dcterms:created xsi:type="dcterms:W3CDTF">2020-10-21T10:21:00Z</dcterms:created>
  <dcterms:modified xsi:type="dcterms:W3CDTF">2020-10-21T12:36:00Z</dcterms:modified>
</cp:coreProperties>
</file>