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621ED4" w:rsidRDefault="000C6893" w:rsidP="00621ED4">
      <w:pPr>
        <w:pStyle w:val="Nadpis"/>
        <w:spacing w:before="120"/>
        <w:jc w:val="center"/>
        <w:rPr>
          <w:b/>
          <w:bCs/>
          <w:sz w:val="24"/>
          <w:szCs w:val="24"/>
        </w:rPr>
      </w:pPr>
      <w:r w:rsidRPr="00621ED4">
        <w:rPr>
          <w:b/>
          <w:bCs/>
          <w:sz w:val="24"/>
          <w:szCs w:val="24"/>
        </w:rPr>
        <w:t xml:space="preserve">k </w:t>
      </w:r>
      <w:r w:rsidR="00621ED4">
        <w:rPr>
          <w:b/>
          <w:bCs/>
          <w:sz w:val="24"/>
          <w:szCs w:val="24"/>
        </w:rPr>
        <w:t>n</w:t>
      </w:r>
      <w:r w:rsidR="00621ED4" w:rsidRPr="00621ED4">
        <w:rPr>
          <w:b/>
          <w:sz w:val="24"/>
          <w:szCs w:val="24"/>
        </w:rPr>
        <w:t>ávrh</w:t>
      </w:r>
      <w:r w:rsidR="00621ED4">
        <w:rPr>
          <w:b/>
          <w:sz w:val="24"/>
          <w:szCs w:val="24"/>
        </w:rPr>
        <w:t>u</w:t>
      </w:r>
      <w:r w:rsidR="00621ED4" w:rsidRPr="00621ED4">
        <w:rPr>
          <w:b/>
          <w:sz w:val="24"/>
          <w:szCs w:val="24"/>
        </w:rPr>
        <w:t xml:space="preserve"> poslanců Marka Bendy, Heleny Válkové, Marka Výborného, Jana Chvojky, Dominika </w:t>
      </w:r>
      <w:proofErr w:type="spellStart"/>
      <w:r w:rsidR="00621ED4" w:rsidRPr="00621ED4">
        <w:rPr>
          <w:b/>
          <w:sz w:val="24"/>
          <w:szCs w:val="24"/>
        </w:rPr>
        <w:t>Feriho</w:t>
      </w:r>
      <w:proofErr w:type="spellEnd"/>
      <w:r w:rsidR="00621ED4" w:rsidRPr="00621ED4">
        <w:rPr>
          <w:b/>
          <w:sz w:val="24"/>
          <w:szCs w:val="24"/>
        </w:rPr>
        <w:t>, Jana Farského a dalších na vydání zákona, kterým se mění zákon č.</w:t>
      </w:r>
      <w:r w:rsidR="00621ED4">
        <w:rPr>
          <w:b/>
          <w:sz w:val="24"/>
          <w:szCs w:val="24"/>
        </w:rPr>
        <w:t> </w:t>
      </w:r>
      <w:r w:rsidR="00621ED4" w:rsidRPr="00621ED4">
        <w:rPr>
          <w:b/>
          <w:sz w:val="24"/>
          <w:szCs w:val="24"/>
        </w:rPr>
        <w:t>150/2002 Sb., soudní řád správní,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21ED4">
        <w:rPr>
          <w:b/>
          <w:bCs/>
          <w:sz w:val="24"/>
        </w:rPr>
        <w:t>237)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621ED4">
        <w:t xml:space="preserve"> ústavně právního</w:t>
      </w:r>
      <w:r>
        <w:t xml:space="preserve"> výboru č. </w:t>
      </w:r>
      <w:r w:rsidR="00621ED4">
        <w:t>197</w:t>
      </w:r>
      <w:r>
        <w:t xml:space="preserve"> z</w:t>
      </w:r>
      <w:r w:rsidR="00621ED4">
        <w:t> 60</w:t>
      </w:r>
      <w:r>
        <w:t>.</w:t>
      </w:r>
      <w:r w:rsidR="00D11D0D">
        <w:t> </w:t>
      </w:r>
      <w:r>
        <w:t xml:space="preserve">schůze konané dne  </w:t>
      </w:r>
      <w:r w:rsidR="00AC3DB4">
        <w:t>29. dubna 2020</w:t>
      </w:r>
      <w:r>
        <w:t xml:space="preserve"> (tisk </w:t>
      </w:r>
      <w:r w:rsidR="00AC3DB4">
        <w:t>237</w:t>
      </w:r>
      <w:r>
        <w:t>/</w:t>
      </w:r>
      <w:r w:rsidR="00AC3DB4">
        <w:t>2</w:t>
      </w:r>
      <w:r>
        <w:t>)</w:t>
      </w:r>
    </w:p>
    <w:p w:rsidR="000C6893" w:rsidRDefault="000C6893"/>
    <w:p w:rsidR="00AC3DB4" w:rsidRDefault="004E0FAA" w:rsidP="004E0FA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u w:val="single"/>
        </w:rPr>
      </w:pPr>
      <w:r w:rsidRPr="004E0FAA">
        <w:rPr>
          <w:b/>
        </w:rPr>
        <w:t>A1.</w:t>
      </w:r>
      <w:r w:rsidR="00AC3DB4">
        <w:t xml:space="preserve"> </w:t>
      </w:r>
      <w:r w:rsidR="00AC3DB4">
        <w:tab/>
      </w:r>
      <w:r w:rsidR="00AC3DB4">
        <w:rPr>
          <w:u w:val="single"/>
        </w:rPr>
        <w:t>v čl. I, bod 1 zní:</w:t>
      </w:r>
    </w:p>
    <w:p w:rsidR="00AC3DB4" w:rsidRDefault="00AC3DB4" w:rsidP="00AC3DB4">
      <w:pPr>
        <w:ind w:left="708"/>
        <w:jc w:val="both"/>
      </w:pPr>
      <w:r>
        <w:t xml:space="preserve">„1. </w:t>
      </w:r>
      <w:r w:rsidRPr="00085D6F">
        <w:t>V § 104</w:t>
      </w:r>
      <w:r>
        <w:t>a odst. 1 se slova „ve věcech mezinárodní ochrany“ nahrazují slovy „ve věcech, v nichž před krajským soudem rozhodoval specializovaný samosoudce,“.</w:t>
      </w:r>
    </w:p>
    <w:p w:rsidR="00AC3DB4" w:rsidRDefault="00AC3DB4" w:rsidP="00AC3DB4">
      <w:pPr>
        <w:jc w:val="both"/>
      </w:pPr>
    </w:p>
    <w:p w:rsidR="00AC3DB4" w:rsidRDefault="004E0FAA" w:rsidP="004E0FAA">
      <w:pPr>
        <w:jc w:val="both"/>
        <w:rPr>
          <w:u w:val="single"/>
        </w:rPr>
      </w:pPr>
      <w:r w:rsidRPr="004E0FAA">
        <w:rPr>
          <w:b/>
        </w:rPr>
        <w:t>A2</w:t>
      </w:r>
      <w:r w:rsidR="00AC3DB4" w:rsidRPr="004E0FAA">
        <w:rPr>
          <w:b/>
        </w:rPr>
        <w:t>.</w:t>
      </w:r>
      <w:r w:rsidR="00AC3DB4">
        <w:t xml:space="preserve"> </w:t>
      </w:r>
      <w:r w:rsidR="00AC3DB4">
        <w:tab/>
      </w:r>
      <w:r w:rsidR="00AC3DB4">
        <w:rPr>
          <w:u w:val="single"/>
        </w:rPr>
        <w:t>čl. III zní:</w:t>
      </w:r>
    </w:p>
    <w:p w:rsidR="00AC3DB4" w:rsidRDefault="00AC3DB4" w:rsidP="00AC3DB4">
      <w:pPr>
        <w:jc w:val="center"/>
      </w:pPr>
    </w:p>
    <w:p w:rsidR="00AC3DB4" w:rsidRDefault="00AC3DB4" w:rsidP="00AC3DB4">
      <w:pPr>
        <w:jc w:val="center"/>
      </w:pPr>
      <w:r>
        <w:t>„Čl. III</w:t>
      </w:r>
    </w:p>
    <w:p w:rsidR="00AC3DB4" w:rsidRPr="00AE6F1A" w:rsidRDefault="00AC3DB4" w:rsidP="00AC3DB4">
      <w:pPr>
        <w:jc w:val="center"/>
        <w:rPr>
          <w:b/>
        </w:rPr>
      </w:pPr>
      <w:r w:rsidRPr="00AE6F1A">
        <w:rPr>
          <w:b/>
        </w:rPr>
        <w:t>Účinnost</w:t>
      </w:r>
    </w:p>
    <w:p w:rsidR="00AC3DB4" w:rsidRPr="00085D6F" w:rsidRDefault="00AC3DB4" w:rsidP="00AC3DB4">
      <w:pPr>
        <w:ind w:left="708" w:firstLine="708"/>
        <w:jc w:val="both"/>
      </w:pPr>
      <w:r>
        <w:t xml:space="preserve">Tento zákon nabývá účinnosti </w:t>
      </w:r>
      <w:r w:rsidRPr="005F38DB">
        <w:t xml:space="preserve">prvním dnem druhého </w:t>
      </w:r>
      <w:r>
        <w:t xml:space="preserve">kalendářního </w:t>
      </w:r>
      <w:r w:rsidRPr="005F38DB">
        <w:t xml:space="preserve">měsíce následujícího po </w:t>
      </w:r>
      <w:r>
        <w:t>dni jeho vyhlášení.“,</w:t>
      </w:r>
    </w:p>
    <w:p w:rsidR="00AC3DB4" w:rsidRPr="00792680" w:rsidRDefault="00AC3DB4" w:rsidP="00AC3DB4">
      <w:pPr>
        <w:ind w:left="284"/>
        <w:jc w:val="both"/>
      </w:pP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AC3DB4">
        <w:rPr>
          <w:b/>
        </w:rPr>
        <w:t>10. listopadu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9B7510">
        <w:t xml:space="preserve"> Vojtěch </w:t>
      </w:r>
      <w:proofErr w:type="spellStart"/>
      <w:r w:rsidR="009B7510">
        <w:t>Pikal</w:t>
      </w:r>
      <w:proofErr w:type="spellEnd"/>
    </w:p>
    <w:p w:rsidR="000C6893" w:rsidRPr="009B7510" w:rsidRDefault="009B7510">
      <w:pPr>
        <w:rPr>
          <w:i/>
        </w:rPr>
      </w:pPr>
      <w:r w:rsidRPr="009B7510">
        <w:rPr>
          <w:i/>
        </w:rPr>
        <w:t>SD 4887</w:t>
      </w:r>
    </w:p>
    <w:p w:rsidR="009B7510" w:rsidRPr="009B7510" w:rsidRDefault="004E0FAA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b/>
          <w:color w:val="000000"/>
        </w:rPr>
      </w:pPr>
      <w:r>
        <w:rPr>
          <w:rFonts w:eastAsia="Cambria" w:cs="Times New Roman"/>
          <w:b/>
          <w:color w:val="000000"/>
        </w:rPr>
        <w:t xml:space="preserve">B1. </w:t>
      </w:r>
      <w:r w:rsidR="009B7510" w:rsidRPr="004E0FAA">
        <w:rPr>
          <w:rFonts w:eastAsia="Cambria" w:cs="Times New Roman"/>
          <w:color w:val="000000"/>
        </w:rPr>
        <w:t xml:space="preserve">V Čl. I se </w:t>
      </w:r>
      <w:r w:rsidR="009B7510" w:rsidRPr="004E0FAA">
        <w:rPr>
          <w:rFonts w:eastAsia="Cambria" w:cs="Times New Roman"/>
        </w:rPr>
        <w:t>vkládá</w:t>
      </w:r>
      <w:r w:rsidR="009B7510" w:rsidRPr="004E0FAA">
        <w:rPr>
          <w:rFonts w:eastAsia="Cambria" w:cs="Times New Roman"/>
          <w:color w:val="000000"/>
        </w:rPr>
        <w:t xml:space="preserve"> nový bod 1, který zní: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>„1. V § 101a se za odstavec 1 vkládá nový odstavec 2, který zní: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>
        <w:rPr>
          <w:rFonts w:eastAsia="Cambria" w:cs="Times New Roman"/>
          <w:color w:val="000000"/>
        </w:rPr>
        <w:tab/>
      </w:r>
      <w:r w:rsidRPr="009B7510">
        <w:rPr>
          <w:rFonts w:eastAsia="Cambria" w:cs="Times New Roman"/>
          <w:color w:val="000000"/>
        </w:rPr>
        <w:t>„(2) Návrh na zrušení opatření obecné povahy nebo jeho část</w:t>
      </w:r>
      <w:r w:rsidRPr="009B7510">
        <w:rPr>
          <w:rFonts w:eastAsia="Cambria" w:cs="Times New Roman"/>
        </w:rPr>
        <w:t>í</w:t>
      </w:r>
      <w:r w:rsidRPr="009B7510">
        <w:rPr>
          <w:rFonts w:eastAsia="Cambria" w:cs="Times New Roman"/>
          <w:color w:val="000000"/>
        </w:rPr>
        <w:t xml:space="preserve"> </w:t>
      </w:r>
      <w:r w:rsidRPr="009B7510">
        <w:rPr>
          <w:rFonts w:eastAsia="Cambria" w:cs="Times New Roman"/>
        </w:rPr>
        <w:t>je oprávněn</w:t>
      </w:r>
      <w:r w:rsidRPr="009B7510">
        <w:rPr>
          <w:rFonts w:eastAsia="Cambria" w:cs="Times New Roman"/>
          <w:color w:val="000000"/>
        </w:rPr>
        <w:t xml:space="preserve"> podat též nejvyšší státní zástupce, jestliže k jeho podání shledá závažný veřejný zájem. Ustanovení § 66 odst. 5 a 6 </w:t>
      </w:r>
      <w:r w:rsidRPr="009B7510">
        <w:rPr>
          <w:rFonts w:eastAsia="Cambria" w:cs="Times New Roman"/>
        </w:rPr>
        <w:t>se použijí obdobn</w:t>
      </w:r>
      <w:r w:rsidRPr="009B7510">
        <w:rPr>
          <w:rFonts w:eastAsia="Cambria" w:cs="Times New Roman"/>
          <w:color w:val="000000"/>
        </w:rPr>
        <w:t>ě.“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>Dosavadní odstav</w:t>
      </w:r>
      <w:r w:rsidRPr="009B7510">
        <w:rPr>
          <w:rFonts w:eastAsia="Cambria" w:cs="Times New Roman"/>
        </w:rPr>
        <w:t>ce</w:t>
      </w:r>
      <w:r w:rsidRPr="009B7510">
        <w:rPr>
          <w:rFonts w:eastAsia="Cambria" w:cs="Times New Roman"/>
          <w:color w:val="000000"/>
        </w:rPr>
        <w:t xml:space="preserve"> 2 a 3 se označuj</w:t>
      </w:r>
      <w:r w:rsidRPr="009B7510">
        <w:rPr>
          <w:rFonts w:eastAsia="Cambria" w:cs="Times New Roman"/>
        </w:rPr>
        <w:t>í</w:t>
      </w:r>
      <w:r w:rsidRPr="009B7510">
        <w:rPr>
          <w:rFonts w:eastAsia="Cambria" w:cs="Times New Roman"/>
          <w:color w:val="000000"/>
        </w:rPr>
        <w:t xml:space="preserve"> jako odstavce 3 a 4.“.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>Dosavadní body 1 a 2 se označují jako body 2 a 3.</w:t>
      </w:r>
    </w:p>
    <w:p w:rsidR="009B7510" w:rsidRDefault="009B7510"/>
    <w:p w:rsidR="009B7510" w:rsidRDefault="009B7510">
      <w:pPr>
        <w:widowControl/>
        <w:suppressAutoHyphens w:val="0"/>
        <w:rPr>
          <w:i/>
        </w:rPr>
      </w:pPr>
      <w:r>
        <w:rPr>
          <w:i/>
        </w:rPr>
        <w:br w:type="page"/>
      </w:r>
    </w:p>
    <w:p w:rsidR="009B7510" w:rsidRPr="009B7510" w:rsidRDefault="009B7510">
      <w:pPr>
        <w:rPr>
          <w:i/>
        </w:rPr>
      </w:pPr>
    </w:p>
    <w:p w:rsidR="009B7510" w:rsidRPr="009B7510" w:rsidRDefault="009B7510">
      <w:pPr>
        <w:rPr>
          <w:i/>
        </w:rPr>
      </w:pPr>
      <w:r w:rsidRPr="009B7510">
        <w:rPr>
          <w:i/>
        </w:rPr>
        <w:t>SD 4888</w:t>
      </w:r>
    </w:p>
    <w:p w:rsidR="009B7510" w:rsidRPr="009B7510" w:rsidRDefault="004E0FAA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b/>
          <w:color w:val="000000"/>
        </w:rPr>
      </w:pPr>
      <w:r>
        <w:rPr>
          <w:rFonts w:eastAsia="Cambria" w:cs="Times New Roman"/>
          <w:b/>
          <w:color w:val="000000"/>
        </w:rPr>
        <w:t xml:space="preserve">B2. </w:t>
      </w:r>
      <w:r w:rsidR="009B7510" w:rsidRPr="004E0FAA">
        <w:rPr>
          <w:rFonts w:eastAsia="Cambria" w:cs="Times New Roman"/>
          <w:color w:val="000000"/>
        </w:rPr>
        <w:t xml:space="preserve">V Čl. I se </w:t>
      </w:r>
      <w:r w:rsidR="009B7510" w:rsidRPr="004E0FAA">
        <w:rPr>
          <w:rFonts w:eastAsia="Cambria" w:cs="Times New Roman"/>
        </w:rPr>
        <w:t xml:space="preserve">vkládá </w:t>
      </w:r>
      <w:r w:rsidR="009B7510" w:rsidRPr="004E0FAA">
        <w:rPr>
          <w:rFonts w:eastAsia="Cambria" w:cs="Times New Roman"/>
          <w:color w:val="000000"/>
        </w:rPr>
        <w:t>nový bod 1, který zní: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 xml:space="preserve">„1. V § 101a se za odstavec 1 vkládají nové odstavce 2 a 3, které znějí: 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>
        <w:rPr>
          <w:rFonts w:eastAsia="Cambria" w:cs="Times New Roman"/>
          <w:color w:val="000000"/>
        </w:rPr>
        <w:tab/>
      </w:r>
      <w:r w:rsidRPr="009B7510">
        <w:rPr>
          <w:rFonts w:eastAsia="Cambria" w:cs="Times New Roman"/>
          <w:color w:val="000000"/>
        </w:rPr>
        <w:t>„(2) Návrh na zrušení opatření obecné povahy nebo jeho část</w:t>
      </w:r>
      <w:r w:rsidRPr="009B7510">
        <w:rPr>
          <w:rFonts w:eastAsia="Cambria" w:cs="Times New Roman"/>
        </w:rPr>
        <w:t>í</w:t>
      </w:r>
      <w:r w:rsidRPr="009B7510">
        <w:rPr>
          <w:rFonts w:eastAsia="Cambria" w:cs="Times New Roman"/>
          <w:color w:val="000000"/>
        </w:rPr>
        <w:t xml:space="preserve"> je oprávněn podat též nejvyšší státní zástupce, jestliže k jeho podání shledá závažný veřejný zájem. Ustanovení § 66 odst. 5 a 6 </w:t>
      </w:r>
      <w:r w:rsidRPr="009B7510">
        <w:rPr>
          <w:rFonts w:eastAsia="Cambria" w:cs="Times New Roman"/>
        </w:rPr>
        <w:t>se použijí obdobně</w:t>
      </w:r>
      <w:r w:rsidRPr="009B7510">
        <w:rPr>
          <w:rFonts w:eastAsia="Cambria" w:cs="Times New Roman"/>
          <w:color w:val="000000"/>
        </w:rPr>
        <w:t xml:space="preserve">. 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>
        <w:rPr>
          <w:rFonts w:eastAsia="Cambria" w:cs="Times New Roman"/>
          <w:color w:val="000000"/>
        </w:rPr>
        <w:tab/>
      </w:r>
      <w:r w:rsidRPr="009B7510">
        <w:rPr>
          <w:rFonts w:eastAsia="Cambria" w:cs="Times New Roman"/>
          <w:color w:val="000000"/>
        </w:rPr>
        <w:t xml:space="preserve">(3) Návrh na zrušení opatření obecné povahy nebo jeho částí je oprávněn podat též veřejný ochránce práv, jestliže k jeho podání prokáže závažný veřejný zájem. Ustanovení § 66 odst. 5 a 6 </w:t>
      </w:r>
      <w:r w:rsidRPr="009B7510">
        <w:rPr>
          <w:rFonts w:eastAsia="Cambria" w:cs="Times New Roman"/>
        </w:rPr>
        <w:t>se použijí obdobně</w:t>
      </w:r>
      <w:r w:rsidRPr="009B7510">
        <w:rPr>
          <w:rFonts w:eastAsia="Cambria" w:cs="Times New Roman"/>
          <w:color w:val="000000"/>
        </w:rPr>
        <w:t>.“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>Dosavadní odstav</w:t>
      </w:r>
      <w:r w:rsidRPr="009B7510">
        <w:rPr>
          <w:rFonts w:eastAsia="Cambria" w:cs="Times New Roman"/>
        </w:rPr>
        <w:t>ce</w:t>
      </w:r>
      <w:r w:rsidRPr="009B7510">
        <w:rPr>
          <w:rFonts w:eastAsia="Cambria" w:cs="Times New Roman"/>
          <w:color w:val="000000"/>
        </w:rPr>
        <w:t xml:space="preserve"> 2 a 3 se označuj</w:t>
      </w:r>
      <w:r w:rsidRPr="009B7510">
        <w:rPr>
          <w:rFonts w:eastAsia="Cambria" w:cs="Times New Roman"/>
        </w:rPr>
        <w:t>í</w:t>
      </w:r>
      <w:r w:rsidRPr="009B7510">
        <w:rPr>
          <w:rFonts w:eastAsia="Cambria" w:cs="Times New Roman"/>
          <w:color w:val="000000"/>
        </w:rPr>
        <w:t xml:space="preserve"> jako odstavce </w:t>
      </w:r>
      <w:r w:rsidRPr="009B7510">
        <w:rPr>
          <w:rFonts w:eastAsia="Cambria" w:cs="Times New Roman"/>
        </w:rPr>
        <w:t>4</w:t>
      </w:r>
      <w:r w:rsidRPr="009B7510">
        <w:rPr>
          <w:rFonts w:eastAsia="Cambria" w:cs="Times New Roman"/>
          <w:color w:val="000000"/>
        </w:rPr>
        <w:t xml:space="preserve"> a </w:t>
      </w:r>
      <w:r w:rsidRPr="009B7510">
        <w:rPr>
          <w:rFonts w:eastAsia="Cambria" w:cs="Times New Roman"/>
        </w:rPr>
        <w:t>5</w:t>
      </w:r>
      <w:r w:rsidRPr="009B7510">
        <w:rPr>
          <w:rFonts w:eastAsia="Cambria" w:cs="Times New Roman"/>
          <w:color w:val="000000"/>
        </w:rPr>
        <w:t>.“.</w:t>
      </w:r>
    </w:p>
    <w:p w:rsidR="009B7510" w:rsidRPr="009B7510" w:rsidRDefault="009B7510" w:rsidP="009B7510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9B7510">
        <w:rPr>
          <w:rFonts w:eastAsia="Cambria" w:cs="Times New Roman"/>
          <w:color w:val="000000"/>
        </w:rPr>
        <w:t>Dosavadní body 1 a 2 se označují jako body 2 a 3.</w:t>
      </w:r>
    </w:p>
    <w:p w:rsidR="009B7510" w:rsidRDefault="009B7510"/>
    <w:p w:rsidR="009B7510" w:rsidRPr="009B7510" w:rsidRDefault="009B7510">
      <w:pPr>
        <w:rPr>
          <w:i/>
        </w:rPr>
      </w:pPr>
      <w:r w:rsidRPr="009B7510">
        <w:rPr>
          <w:i/>
        </w:rPr>
        <w:t>SD 4889</w:t>
      </w:r>
    </w:p>
    <w:p w:rsidR="005E7B53" w:rsidRPr="005E7B53" w:rsidRDefault="004E0FAA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b/>
          <w:color w:val="000000"/>
        </w:rPr>
      </w:pPr>
      <w:r>
        <w:rPr>
          <w:rFonts w:eastAsia="Cambria" w:cs="Times New Roman"/>
          <w:b/>
          <w:color w:val="000000"/>
        </w:rPr>
        <w:t xml:space="preserve">B3. </w:t>
      </w:r>
      <w:r w:rsidR="005E7B53" w:rsidRPr="004E0FAA">
        <w:rPr>
          <w:rFonts w:eastAsia="Cambria" w:cs="Times New Roman"/>
          <w:color w:val="000000"/>
        </w:rPr>
        <w:t xml:space="preserve">V Čl. I se </w:t>
      </w:r>
      <w:r w:rsidR="005E7B53" w:rsidRPr="004E0FAA">
        <w:rPr>
          <w:rFonts w:eastAsia="Cambria" w:cs="Times New Roman"/>
        </w:rPr>
        <w:t xml:space="preserve">vkládají </w:t>
      </w:r>
      <w:r w:rsidR="005E7B53" w:rsidRPr="004E0FAA">
        <w:rPr>
          <w:rFonts w:eastAsia="Cambria" w:cs="Times New Roman"/>
          <w:color w:val="000000"/>
        </w:rPr>
        <w:t>nov</w:t>
      </w:r>
      <w:r w:rsidR="005E7B53" w:rsidRPr="004E0FAA">
        <w:rPr>
          <w:rFonts w:eastAsia="Cambria" w:cs="Times New Roman"/>
        </w:rPr>
        <w:t>é</w:t>
      </w:r>
      <w:r w:rsidR="005E7B53" w:rsidRPr="004E0FAA">
        <w:rPr>
          <w:rFonts w:eastAsia="Cambria" w:cs="Times New Roman"/>
          <w:color w:val="000000"/>
        </w:rPr>
        <w:t xml:space="preserve"> body 1 až 5, kter</w:t>
      </w:r>
      <w:r w:rsidR="005E7B53" w:rsidRPr="004E0FAA">
        <w:rPr>
          <w:rFonts w:eastAsia="Cambria" w:cs="Times New Roman"/>
        </w:rPr>
        <w:t>é</w:t>
      </w:r>
      <w:r w:rsidR="005E7B53" w:rsidRPr="004E0FAA">
        <w:rPr>
          <w:rFonts w:eastAsia="Cambria" w:cs="Times New Roman"/>
          <w:color w:val="000000"/>
        </w:rPr>
        <w:t xml:space="preserve"> znějí:</w:t>
      </w: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  <w:b/>
        </w:rPr>
      </w:pPr>
      <w:r w:rsidRPr="005E7B53">
        <w:rPr>
          <w:rFonts w:eastAsia="Cambria" w:cs="Times New Roman"/>
        </w:rPr>
        <w:t xml:space="preserve">„1. V § 66 odst. 2 se za slova „nejvyšší státní zástupce“ vkládají slova „nebo veřejný ochránce práv“. </w:t>
      </w: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</w:rPr>
      </w:pP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</w:rPr>
      </w:pPr>
      <w:r w:rsidRPr="005E7B53">
        <w:rPr>
          <w:rFonts w:eastAsia="Cambria" w:cs="Times New Roman"/>
        </w:rPr>
        <w:t>2. V § 66 se odstavec 3 zrušuje.</w:t>
      </w: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  <w:b/>
        </w:rPr>
      </w:pPr>
      <w:r w:rsidRPr="005E7B53">
        <w:rPr>
          <w:rFonts w:eastAsia="Cambria" w:cs="Times New Roman"/>
        </w:rPr>
        <w:t>Dosavadní odstavce 4, 5 a 6 se označují jako odstavce 3, 4 a 5.</w:t>
      </w: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</w:rPr>
      </w:pP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</w:rPr>
      </w:pPr>
      <w:r w:rsidRPr="005E7B53">
        <w:rPr>
          <w:rFonts w:eastAsia="Cambria" w:cs="Times New Roman"/>
        </w:rPr>
        <w:t>3. V § 66 odst. 4 a 5 se číslo „4“ nahrazuje číslem „3“.</w:t>
      </w: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b/>
        </w:rPr>
      </w:pPr>
    </w:p>
    <w:p w:rsidR="005E7B53" w:rsidRPr="005E7B53" w:rsidRDefault="005E7B53" w:rsidP="005E7B53">
      <w:pPr>
        <w:keepNext/>
        <w:keepLines/>
        <w:tabs>
          <w:tab w:val="left" w:pos="851"/>
        </w:tabs>
        <w:spacing w:after="120"/>
        <w:jc w:val="both"/>
        <w:rPr>
          <w:rFonts w:eastAsia="Cambria" w:cs="Times New Roman"/>
          <w:b/>
        </w:rPr>
      </w:pPr>
      <w:r w:rsidRPr="005E7B53">
        <w:rPr>
          <w:rFonts w:eastAsia="Cambria" w:cs="Times New Roman"/>
        </w:rPr>
        <w:t>4. V § 72 odst. 2 se slova „až 3“ nahrazují slovy „a 2“ a číslo „4“ se nahrazuje číslem „3“.</w:t>
      </w: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</w:rPr>
      </w:pP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5E7B53">
        <w:rPr>
          <w:rFonts w:eastAsia="Cambria" w:cs="Times New Roman"/>
        </w:rPr>
        <w:t>5</w:t>
      </w:r>
      <w:r w:rsidRPr="005E7B53">
        <w:rPr>
          <w:rFonts w:eastAsia="Cambria" w:cs="Times New Roman"/>
          <w:color w:val="000000"/>
        </w:rPr>
        <w:t>. V § 101a se za odstavec 1 vklád</w:t>
      </w:r>
      <w:r w:rsidRPr="005E7B53">
        <w:rPr>
          <w:rFonts w:eastAsia="Cambria" w:cs="Times New Roman"/>
        </w:rPr>
        <w:t xml:space="preserve">á </w:t>
      </w:r>
      <w:r w:rsidRPr="005E7B53">
        <w:rPr>
          <w:rFonts w:eastAsia="Cambria" w:cs="Times New Roman"/>
          <w:color w:val="000000"/>
        </w:rPr>
        <w:t>nov</w:t>
      </w:r>
      <w:r w:rsidRPr="005E7B53">
        <w:rPr>
          <w:rFonts w:eastAsia="Cambria" w:cs="Times New Roman"/>
        </w:rPr>
        <w:t>ý</w:t>
      </w:r>
      <w:r w:rsidRPr="005E7B53">
        <w:rPr>
          <w:rFonts w:eastAsia="Cambria" w:cs="Times New Roman"/>
          <w:color w:val="000000"/>
        </w:rPr>
        <w:t xml:space="preserve"> odstav</w:t>
      </w:r>
      <w:r w:rsidRPr="005E7B53">
        <w:rPr>
          <w:rFonts w:eastAsia="Cambria" w:cs="Times New Roman"/>
        </w:rPr>
        <w:t>ec</w:t>
      </w:r>
      <w:r w:rsidRPr="005E7B53">
        <w:rPr>
          <w:rFonts w:eastAsia="Cambria" w:cs="Times New Roman"/>
          <w:color w:val="000000"/>
        </w:rPr>
        <w:t xml:space="preserve"> 2, kter</w:t>
      </w:r>
      <w:r w:rsidRPr="005E7B53">
        <w:rPr>
          <w:rFonts w:eastAsia="Cambria" w:cs="Times New Roman"/>
        </w:rPr>
        <w:t>ý</w:t>
      </w:r>
      <w:r w:rsidRPr="005E7B53">
        <w:rPr>
          <w:rFonts w:eastAsia="Cambria" w:cs="Times New Roman"/>
          <w:color w:val="000000"/>
        </w:rPr>
        <w:t xml:space="preserve"> zn</w:t>
      </w:r>
      <w:r w:rsidRPr="005E7B53">
        <w:rPr>
          <w:rFonts w:eastAsia="Cambria" w:cs="Times New Roman"/>
        </w:rPr>
        <w:t>í</w:t>
      </w:r>
      <w:r w:rsidRPr="005E7B53">
        <w:rPr>
          <w:rFonts w:eastAsia="Cambria" w:cs="Times New Roman"/>
          <w:color w:val="000000"/>
        </w:rPr>
        <w:t xml:space="preserve">: </w:t>
      </w: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5E7B53">
        <w:rPr>
          <w:rFonts w:eastAsia="Cambria" w:cs="Times New Roman"/>
        </w:rPr>
        <w:tab/>
      </w:r>
      <w:r w:rsidRPr="005E7B53">
        <w:rPr>
          <w:rFonts w:eastAsia="Cambria" w:cs="Times New Roman"/>
          <w:color w:val="000000"/>
        </w:rPr>
        <w:t>„(2) Návrh na zrušení opatření obecné povahy nebo jeho část</w:t>
      </w:r>
      <w:r w:rsidRPr="005E7B53">
        <w:rPr>
          <w:rFonts w:eastAsia="Cambria" w:cs="Times New Roman"/>
        </w:rPr>
        <w:t>í</w:t>
      </w:r>
      <w:r w:rsidRPr="005E7B53">
        <w:rPr>
          <w:rFonts w:eastAsia="Cambria" w:cs="Times New Roman"/>
          <w:color w:val="000000"/>
        </w:rPr>
        <w:t xml:space="preserve"> je oprávněn podat též nejvyšší státní zástupce nebo veřejný ochránce práv, jestliže k jeho podání shledá závažný veřejný zájem. Ustanovení § 66 odst. </w:t>
      </w:r>
      <w:r w:rsidRPr="005E7B53">
        <w:rPr>
          <w:rFonts w:eastAsia="Cambria" w:cs="Times New Roman"/>
        </w:rPr>
        <w:t>4</w:t>
      </w:r>
      <w:r w:rsidRPr="005E7B53">
        <w:rPr>
          <w:rFonts w:eastAsia="Cambria" w:cs="Times New Roman"/>
          <w:color w:val="000000"/>
        </w:rPr>
        <w:t xml:space="preserve"> a </w:t>
      </w:r>
      <w:r w:rsidRPr="005E7B53">
        <w:rPr>
          <w:rFonts w:eastAsia="Cambria" w:cs="Times New Roman"/>
        </w:rPr>
        <w:t>5</w:t>
      </w:r>
      <w:r w:rsidRPr="005E7B53">
        <w:rPr>
          <w:rFonts w:eastAsia="Cambria" w:cs="Times New Roman"/>
          <w:color w:val="000000"/>
        </w:rPr>
        <w:t xml:space="preserve"> </w:t>
      </w:r>
      <w:r w:rsidRPr="005E7B53">
        <w:rPr>
          <w:rFonts w:eastAsia="Cambria" w:cs="Times New Roman"/>
        </w:rPr>
        <w:t>se použijí obdobně</w:t>
      </w:r>
      <w:r w:rsidRPr="005E7B53">
        <w:rPr>
          <w:rFonts w:eastAsia="Cambria" w:cs="Times New Roman"/>
          <w:color w:val="000000"/>
        </w:rPr>
        <w:t>.“</w:t>
      </w:r>
      <w:r>
        <w:rPr>
          <w:rFonts w:eastAsia="Cambria" w:cs="Times New Roman"/>
          <w:color w:val="000000"/>
        </w:rPr>
        <w:t>.</w:t>
      </w: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5E7B53">
        <w:rPr>
          <w:rFonts w:eastAsia="Cambria" w:cs="Times New Roman"/>
          <w:color w:val="000000"/>
        </w:rPr>
        <w:t>Dosavadní odstav</w:t>
      </w:r>
      <w:r w:rsidRPr="005E7B53">
        <w:rPr>
          <w:rFonts w:eastAsia="Cambria" w:cs="Times New Roman"/>
        </w:rPr>
        <w:t>ce</w:t>
      </w:r>
      <w:r w:rsidRPr="005E7B53">
        <w:rPr>
          <w:rFonts w:eastAsia="Cambria" w:cs="Times New Roman"/>
          <w:color w:val="000000"/>
        </w:rPr>
        <w:t xml:space="preserve"> 2 a 3 se označuj</w:t>
      </w:r>
      <w:r w:rsidRPr="005E7B53">
        <w:rPr>
          <w:rFonts w:eastAsia="Cambria" w:cs="Times New Roman"/>
        </w:rPr>
        <w:t>í</w:t>
      </w:r>
      <w:r w:rsidRPr="005E7B53">
        <w:rPr>
          <w:rFonts w:eastAsia="Cambria" w:cs="Times New Roman"/>
          <w:color w:val="000000"/>
        </w:rPr>
        <w:t xml:space="preserve"> jako odstavce </w:t>
      </w:r>
      <w:r w:rsidRPr="005E7B53">
        <w:rPr>
          <w:rFonts w:eastAsia="Cambria" w:cs="Times New Roman"/>
        </w:rPr>
        <w:t>3</w:t>
      </w:r>
      <w:r w:rsidRPr="005E7B53">
        <w:rPr>
          <w:rFonts w:eastAsia="Cambria" w:cs="Times New Roman"/>
          <w:color w:val="000000"/>
        </w:rPr>
        <w:t xml:space="preserve"> a </w:t>
      </w:r>
      <w:r w:rsidRPr="005E7B53">
        <w:rPr>
          <w:rFonts w:eastAsia="Cambria" w:cs="Times New Roman"/>
        </w:rPr>
        <w:t>4</w:t>
      </w:r>
      <w:r w:rsidRPr="005E7B53">
        <w:rPr>
          <w:rFonts w:eastAsia="Cambria" w:cs="Times New Roman"/>
          <w:color w:val="000000"/>
        </w:rPr>
        <w:t>.“.</w:t>
      </w:r>
    </w:p>
    <w:p w:rsidR="005E7B53" w:rsidRPr="005E7B53" w:rsidRDefault="005E7B53" w:rsidP="005E7B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120"/>
        <w:jc w:val="both"/>
        <w:rPr>
          <w:rFonts w:eastAsia="Cambria" w:cs="Times New Roman"/>
          <w:color w:val="000000"/>
        </w:rPr>
      </w:pPr>
      <w:r w:rsidRPr="005E7B53">
        <w:rPr>
          <w:rFonts w:eastAsia="Cambria" w:cs="Times New Roman"/>
          <w:color w:val="000000"/>
        </w:rPr>
        <w:t xml:space="preserve">Dosavadní body 1 a 2 se označují jako body </w:t>
      </w:r>
      <w:r w:rsidR="0064022F">
        <w:rPr>
          <w:rFonts w:eastAsia="Cambria" w:cs="Times New Roman"/>
          <w:color w:val="000000"/>
        </w:rPr>
        <w:t>6</w:t>
      </w:r>
      <w:r w:rsidRPr="005E7B53">
        <w:rPr>
          <w:rFonts w:eastAsia="Cambria" w:cs="Times New Roman"/>
          <w:color w:val="000000"/>
        </w:rPr>
        <w:t xml:space="preserve"> a </w:t>
      </w:r>
      <w:r w:rsidR="0064022F">
        <w:rPr>
          <w:rFonts w:eastAsia="Cambria" w:cs="Times New Roman"/>
          <w:color w:val="000000"/>
        </w:rPr>
        <w:t>7</w:t>
      </w:r>
      <w:r w:rsidRPr="005E7B53">
        <w:rPr>
          <w:rFonts w:eastAsia="Cambria" w:cs="Times New Roman"/>
          <w:color w:val="000000"/>
        </w:rPr>
        <w:t>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64022F">
        <w:t>11</w:t>
      </w:r>
      <w:r w:rsidR="004E0FAA">
        <w:t>. listopadu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AC3DB4" w:rsidRDefault="00AC3DB4" w:rsidP="00AC3DB4">
      <w:pPr>
        <w:tabs>
          <w:tab w:val="center" w:pos="1843"/>
        </w:tabs>
      </w:pPr>
    </w:p>
    <w:p w:rsidR="000C6893" w:rsidRDefault="00AC3DB4" w:rsidP="00AC3DB4">
      <w:pPr>
        <w:jc w:val="center"/>
      </w:pPr>
      <w:r>
        <w:t>Mgr. et Mgr. Jakub MICHÁLEK</w:t>
      </w:r>
      <w:r w:rsidR="002571A3">
        <w:t>, v.r.</w:t>
      </w:r>
      <w:bookmarkStart w:id="0" w:name="_GoBack"/>
      <w:bookmarkEnd w:id="0"/>
    </w:p>
    <w:p w:rsidR="000C6893" w:rsidRDefault="000C6893">
      <w:pPr>
        <w:jc w:val="center"/>
      </w:pPr>
      <w:r>
        <w:t xml:space="preserve">zpravodaj garančního </w:t>
      </w:r>
      <w:r w:rsidR="00AC3DB4">
        <w:t xml:space="preserve">ústavně právního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ED4" w:rsidRDefault="00621ED4" w:rsidP="00087102">
      <w:r>
        <w:separator/>
      </w:r>
    </w:p>
  </w:endnote>
  <w:endnote w:type="continuationSeparator" w:id="0">
    <w:p w:rsidR="00621ED4" w:rsidRDefault="00621ED4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ED4" w:rsidRDefault="00621ED4" w:rsidP="00087102">
      <w:r>
        <w:separator/>
      </w:r>
    </w:p>
  </w:footnote>
  <w:footnote w:type="continuationSeparator" w:id="0">
    <w:p w:rsidR="00621ED4" w:rsidRDefault="00621ED4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571A3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D4"/>
    <w:rsid w:val="00087102"/>
    <w:rsid w:val="000C6893"/>
    <w:rsid w:val="002571A3"/>
    <w:rsid w:val="004E0FAA"/>
    <w:rsid w:val="00511F8C"/>
    <w:rsid w:val="005E7B53"/>
    <w:rsid w:val="00621ED4"/>
    <w:rsid w:val="0064022F"/>
    <w:rsid w:val="006706ED"/>
    <w:rsid w:val="009B7510"/>
    <w:rsid w:val="00AC3DB4"/>
    <w:rsid w:val="00D11D0D"/>
    <w:rsid w:val="00E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8AD057"/>
  <w15:chartTrackingRefBased/>
  <w15:docId w15:val="{0C5E3A09-EA3F-48A9-B74C-FCF11E48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AC3DB4"/>
    <w:pPr>
      <w:widowControl/>
      <w:numPr>
        <w:numId w:val="3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AC3DB4"/>
    <w:rPr>
      <w:rFonts w:eastAsia="Calibri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1D0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D0D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39</TotalTime>
  <Pages>2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2020-11-11T08:43:00Z</cp:lastPrinted>
  <dcterms:created xsi:type="dcterms:W3CDTF">2020-11-11T08:05:00Z</dcterms:created>
  <dcterms:modified xsi:type="dcterms:W3CDTF">2020-11-11T09:25:00Z</dcterms:modified>
</cp:coreProperties>
</file>