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A94" w:rsidRDefault="001A5A94" w:rsidP="001A5A94">
      <w:pPr>
        <w:pStyle w:val="ZKON"/>
      </w:pPr>
      <w:bookmarkStart w:id="0" w:name="_GoBack"/>
      <w:bookmarkEnd w:id="0"/>
      <w:r>
        <w:t>ZÁKON</w:t>
      </w:r>
    </w:p>
    <w:p w:rsidR="00DE45F4" w:rsidRPr="008F0BB1" w:rsidRDefault="001A5A94" w:rsidP="001A5A94">
      <w:pPr>
        <w:pStyle w:val="nadpiszkona"/>
        <w:rPr>
          <w:b w:val="0"/>
          <w:szCs w:val="24"/>
        </w:rPr>
      </w:pPr>
      <w:r w:rsidRPr="008F0BB1">
        <w:rPr>
          <w:b w:val="0"/>
        </w:rPr>
        <w:t xml:space="preserve">ze dne </w:t>
      </w:r>
      <w:r w:rsidR="005E1914">
        <w:rPr>
          <w:b w:val="0"/>
        </w:rPr>
        <w:t xml:space="preserve">                 2</w:t>
      </w:r>
      <w:r w:rsidR="00DE45F4" w:rsidRPr="008F0BB1">
        <w:rPr>
          <w:b w:val="0"/>
          <w:szCs w:val="24"/>
        </w:rPr>
        <w:t>020,</w:t>
      </w:r>
    </w:p>
    <w:p w:rsidR="00DE45F4" w:rsidRDefault="00DE45F4" w:rsidP="001A5A94">
      <w:pPr>
        <w:pStyle w:val="nadpiszkona"/>
      </w:pPr>
      <w:r w:rsidRPr="006642AF">
        <w:t>kterým se mění zákon č. 22/1997 Sb., o</w:t>
      </w:r>
      <w:r>
        <w:t> </w:t>
      </w:r>
      <w:r w:rsidRPr="006642AF">
        <w:t>technických požadavcích na výrobky a</w:t>
      </w:r>
      <w:r>
        <w:t> </w:t>
      </w:r>
      <w:r w:rsidRPr="006642AF">
        <w:t>o změně a</w:t>
      </w:r>
      <w:r>
        <w:t> </w:t>
      </w:r>
      <w:r w:rsidRPr="006642AF">
        <w:t>doplnění některých zákonů, ve znění pozdějších předpisů, a</w:t>
      </w:r>
      <w:r>
        <w:t> </w:t>
      </w:r>
      <w:r w:rsidRPr="006642AF">
        <w:t>zákon č. 90/2016 Sb., o</w:t>
      </w:r>
      <w:r>
        <w:t> </w:t>
      </w:r>
      <w:r w:rsidRPr="006642AF">
        <w:t>posuzování shody stanovených výrobků při jejich dodávání na trh,</w:t>
      </w:r>
      <w:r w:rsidR="002575B8">
        <w:br/>
      </w:r>
      <w:r w:rsidRPr="006642AF">
        <w:t>ve znění pozdějších předpisů</w:t>
      </w:r>
    </w:p>
    <w:p w:rsidR="001A5A94" w:rsidRDefault="001A5A94" w:rsidP="001A5A94">
      <w:pPr>
        <w:pStyle w:val="Parlament"/>
      </w:pPr>
      <w:r>
        <w:t>Parlament se usnesl na tomto zákoně České republiky:</w:t>
      </w:r>
    </w:p>
    <w:p w:rsidR="00DE45F4" w:rsidRPr="006642AF" w:rsidRDefault="001A5A94" w:rsidP="001A5A94">
      <w:pPr>
        <w:pStyle w:val="ST"/>
      </w:pPr>
      <w:r>
        <w:t xml:space="preserve">ČÁST </w:t>
      </w:r>
      <w:r w:rsidR="00DE45F4" w:rsidRPr="006642AF">
        <w:t>PRVNÍ</w:t>
      </w:r>
    </w:p>
    <w:p w:rsidR="00DE45F4" w:rsidRPr="006642AF" w:rsidRDefault="00DE45F4" w:rsidP="001A5A94">
      <w:pPr>
        <w:pStyle w:val="NADPISSTI"/>
      </w:pPr>
      <w:r w:rsidRPr="006642AF">
        <w:t>Změna zákona o</w:t>
      </w:r>
      <w:r>
        <w:t> </w:t>
      </w:r>
      <w:r w:rsidRPr="006642AF">
        <w:t>technických požadavcích na výrobky</w:t>
      </w:r>
    </w:p>
    <w:p w:rsidR="00DE45F4" w:rsidRPr="006642AF" w:rsidRDefault="001A5A94" w:rsidP="001A5A94">
      <w:pPr>
        <w:pStyle w:val="lnek"/>
      </w:pPr>
      <w:r>
        <w:t xml:space="preserve">Čl. </w:t>
      </w:r>
      <w:r w:rsidR="00DE45F4" w:rsidRPr="006642AF">
        <w:t>I</w:t>
      </w:r>
    </w:p>
    <w:p w:rsidR="00DE45F4" w:rsidRPr="006642AF" w:rsidRDefault="00DE45F4" w:rsidP="001A5A94">
      <w:pPr>
        <w:pStyle w:val="Textlnku"/>
      </w:pPr>
      <w:r w:rsidRPr="006642AF">
        <w:t>Zákon č. 22/1997 Sb., o</w:t>
      </w:r>
      <w:r>
        <w:t> </w:t>
      </w:r>
      <w:r w:rsidRPr="006642AF">
        <w:t>technických požadavcích na výrobky a</w:t>
      </w:r>
      <w:r>
        <w:t> </w:t>
      </w:r>
      <w:r w:rsidRPr="006642AF">
        <w:t>o změně a</w:t>
      </w:r>
      <w:r>
        <w:t> </w:t>
      </w:r>
      <w:r w:rsidRPr="006642AF">
        <w:t>doplnění některých zákonů, ve znění zákona č. 71/2000 Sb., zákona č. 102/2001 Sb., zá</w:t>
      </w:r>
      <w:r>
        <w:t>kona č. 205/2002 Sb., zákona č. </w:t>
      </w:r>
      <w:r w:rsidRPr="006642AF">
        <w:t>226/2003 Sb., zákona č. 277/2003 Sb., zákona č. 186/2006 Sb., zákona č.</w:t>
      </w:r>
      <w:r w:rsidR="00AF085F">
        <w:t> </w:t>
      </w:r>
      <w:r w:rsidRPr="006642AF">
        <w:t>2</w:t>
      </w:r>
      <w:r>
        <w:t>29/2006 Sb., zákona č. </w:t>
      </w:r>
      <w:r w:rsidRPr="006642AF">
        <w:t>481/2008 Sb., zákona č. 281/2009 Sb., zákona č. 490/2009 Sb., zá</w:t>
      </w:r>
      <w:r>
        <w:t>kona č. 155/2010 Sb., zákona č. </w:t>
      </w:r>
      <w:r w:rsidRPr="006642AF">
        <w:t>34/2011 Sb., zákona č. 100/2013 Sb., zákona č. 64/2014 Sb., z</w:t>
      </w:r>
      <w:r>
        <w:t>ákona č. 91/2016 Sb., zákona č. </w:t>
      </w:r>
      <w:r w:rsidRPr="006642AF">
        <w:t>183/2017 Sb., zákona č. 265/2017 Sb. a</w:t>
      </w:r>
      <w:r>
        <w:t> </w:t>
      </w:r>
      <w:r w:rsidRPr="006642AF">
        <w:t xml:space="preserve">zákona č. </w:t>
      </w:r>
      <w:r w:rsidR="006375ED">
        <w:t>277</w:t>
      </w:r>
      <w:r w:rsidRPr="006642AF">
        <w:t>/2019 Sb., se mění takto:</w:t>
      </w:r>
    </w:p>
    <w:p w:rsidR="00DE45F4" w:rsidRPr="006642AF" w:rsidRDefault="00DE45F4" w:rsidP="008F0BB1">
      <w:pPr>
        <w:pStyle w:val="Novelizanbod"/>
        <w:keepNext w:val="0"/>
      </w:pPr>
      <w:r w:rsidRPr="006642AF">
        <w:t>V § 5 odst. 2 se na konci textu věty poslední doplňují slova „a vede databázi českých technických norem a</w:t>
      </w:r>
      <w:r>
        <w:t> </w:t>
      </w:r>
      <w:r w:rsidRPr="006642AF">
        <w:t>jiných technických dokumentů (dále jen „databáze“)“.</w:t>
      </w:r>
    </w:p>
    <w:p w:rsidR="00DE45F4" w:rsidRPr="006642AF" w:rsidRDefault="00DE45F4" w:rsidP="008F0BB1">
      <w:pPr>
        <w:pStyle w:val="Novelizanbod"/>
        <w:keepNext w:val="0"/>
      </w:pPr>
      <w:r w:rsidRPr="006642AF">
        <w:t>V § 5 se na konci odstavce 3 doplňují věty „Agentura je dále správcem poplatku za poskytnutí českých technických norem</w:t>
      </w:r>
      <w:r w:rsidRPr="006642AF">
        <w:rPr>
          <w:b/>
          <w:bCs/>
        </w:rPr>
        <w:t xml:space="preserve"> </w:t>
      </w:r>
      <w:r w:rsidRPr="006642AF">
        <w:rPr>
          <w:bCs/>
        </w:rPr>
        <w:t>a</w:t>
      </w:r>
      <w:r>
        <w:rPr>
          <w:bCs/>
        </w:rPr>
        <w:t> </w:t>
      </w:r>
      <w:r w:rsidRPr="006642AF">
        <w:rPr>
          <w:bCs/>
        </w:rPr>
        <w:t>jiných technických dokumentů</w:t>
      </w:r>
      <w:r w:rsidRPr="006642AF">
        <w:t>, poplatku za přístup do databáze a</w:t>
      </w:r>
      <w:r>
        <w:t> </w:t>
      </w:r>
      <w:r w:rsidRPr="006642AF">
        <w:t>poplatku za sponzorovaný přístup k</w:t>
      </w:r>
      <w:r>
        <w:t> </w:t>
      </w:r>
      <w:r w:rsidRPr="006642AF">
        <w:t>českým technickým normám</w:t>
      </w:r>
      <w:r w:rsidRPr="006642AF">
        <w:rPr>
          <w:b/>
          <w:bCs/>
        </w:rPr>
        <w:t xml:space="preserve"> </w:t>
      </w:r>
      <w:r w:rsidRPr="006642AF">
        <w:rPr>
          <w:bCs/>
        </w:rPr>
        <w:t>a</w:t>
      </w:r>
      <w:r>
        <w:rPr>
          <w:bCs/>
        </w:rPr>
        <w:t> </w:t>
      </w:r>
      <w:r w:rsidRPr="006642AF">
        <w:rPr>
          <w:bCs/>
        </w:rPr>
        <w:t>jiným technickým dokumentům</w:t>
      </w:r>
      <w:r w:rsidRPr="006642AF">
        <w:t>. Rozpočet Agentury je pro účely správy těchto poplatků veřejným rozpočtem.“.</w:t>
      </w:r>
    </w:p>
    <w:p w:rsidR="00DE45F4" w:rsidRPr="006642AF" w:rsidRDefault="00DE45F4" w:rsidP="008F0BB1">
      <w:pPr>
        <w:pStyle w:val="Novelizanbod"/>
        <w:keepNext w:val="0"/>
      </w:pPr>
      <w:r w:rsidRPr="006642AF">
        <w:t>V § 5 odst. 6 se na konci textu věty první doplňují slova „</w:t>
      </w:r>
      <w:r w:rsidR="001A5A94">
        <w:t xml:space="preserve"> </w:t>
      </w:r>
      <w:r w:rsidRPr="006642AF">
        <w:t>, s</w:t>
      </w:r>
      <w:r>
        <w:t> </w:t>
      </w:r>
      <w:r w:rsidRPr="006642AF">
        <w:t>výjimkou umožnění sponzorovaného přístupu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dokumentům“ a</w:t>
      </w:r>
      <w:r>
        <w:t> </w:t>
      </w:r>
      <w:r w:rsidRPr="006642AF">
        <w:t>věta druhá se zrušuje.</w:t>
      </w:r>
    </w:p>
    <w:p w:rsidR="00DE45F4" w:rsidRPr="006642AF" w:rsidRDefault="00DE45F4" w:rsidP="008F0BB1">
      <w:pPr>
        <w:pStyle w:val="Novelizanbod"/>
        <w:keepNext w:val="0"/>
      </w:pPr>
      <w:r w:rsidRPr="006642AF">
        <w:t>V § 5 odst. 8 se za slovo „normy“ vkládají slova „a jiné technické dokumenty“ a</w:t>
      </w:r>
      <w:r>
        <w:t> </w:t>
      </w:r>
      <w:r w:rsidRPr="006642AF">
        <w:t>slovo „Úřadu“ se nahrazuje slovem „Agentury“.</w:t>
      </w:r>
    </w:p>
    <w:p w:rsidR="006375ED" w:rsidRDefault="006375ED">
      <w:pPr>
        <w:jc w:val="left"/>
      </w:pPr>
      <w:r>
        <w:br w:type="page"/>
      </w:r>
    </w:p>
    <w:p w:rsidR="00DE45F4" w:rsidRPr="006642AF" w:rsidRDefault="00DE45F4" w:rsidP="008F0BB1">
      <w:pPr>
        <w:pStyle w:val="Novelizanbod"/>
        <w:keepNext w:val="0"/>
      </w:pPr>
      <w:r w:rsidRPr="006642AF">
        <w:lastRenderedPageBreak/>
        <w:t xml:space="preserve">V § 5 se doplňuje odstavec 9, který zní: </w:t>
      </w:r>
    </w:p>
    <w:p w:rsidR="00DE45F4" w:rsidRPr="006642AF" w:rsidRDefault="00DE45F4" w:rsidP="008F0BB1">
      <w:pPr>
        <w:pStyle w:val="Textlnku"/>
      </w:pPr>
      <w:r w:rsidRPr="006642AF">
        <w:t>„(9)</w:t>
      </w:r>
      <w:r w:rsidR="008F0BB1">
        <w:t xml:space="preserve"> </w:t>
      </w:r>
      <w:r w:rsidRPr="006642AF">
        <w:t>Za účelem vydání vyhlášky k</w:t>
      </w:r>
      <w:r>
        <w:t> </w:t>
      </w:r>
      <w:r w:rsidRPr="006642AF">
        <w:t>provedení § 6a odst. 4, § 6b odst. 4 a</w:t>
      </w:r>
      <w:r>
        <w:t> </w:t>
      </w:r>
      <w:r w:rsidRPr="006642AF">
        <w:t>§ 6d odst. 3 Úřad předkládá Ministerstvu průmyslu a</w:t>
      </w:r>
      <w:r>
        <w:t> </w:t>
      </w:r>
      <w:r w:rsidRPr="006642AF">
        <w:t>obchodu (dále jen „Ministerstvo“) návrh</w:t>
      </w:r>
      <w:r>
        <w:t xml:space="preserve"> sazby poplatku podle § </w:t>
      </w:r>
      <w:r w:rsidRPr="006642AF">
        <w:t>6a a</w:t>
      </w:r>
      <w:r>
        <w:t> </w:t>
      </w:r>
      <w:r w:rsidRPr="006642AF">
        <w:t>návrh výše poplatku podle § 6b a</w:t>
      </w:r>
      <w:r>
        <w:t> </w:t>
      </w:r>
      <w:r w:rsidRPr="006642AF">
        <w:t>6d.“.</w:t>
      </w:r>
    </w:p>
    <w:p w:rsidR="00DE45F4" w:rsidRPr="006642AF" w:rsidRDefault="00DE45F4" w:rsidP="001A5A94">
      <w:pPr>
        <w:pStyle w:val="Novelizanbod"/>
      </w:pPr>
      <w:r w:rsidRPr="006642AF">
        <w:t>Za § 6 se vkládají nové § 6a až 6d, které včetně nadpisů znějí:</w:t>
      </w:r>
    </w:p>
    <w:p w:rsidR="00DE45F4" w:rsidRPr="006642AF" w:rsidRDefault="00DE45F4" w:rsidP="001A5A94">
      <w:pPr>
        <w:pStyle w:val="Paragraf"/>
        <w:rPr>
          <w:szCs w:val="24"/>
        </w:rPr>
      </w:pPr>
      <w:r w:rsidRPr="006642AF">
        <w:rPr>
          <w:szCs w:val="24"/>
        </w:rPr>
        <w:t>„</w:t>
      </w:r>
      <w:r w:rsidR="001A5A94">
        <w:t>§</w:t>
      </w:r>
      <w:r w:rsidRPr="006642AF">
        <w:rPr>
          <w:szCs w:val="24"/>
        </w:rPr>
        <w:t> 6a</w:t>
      </w:r>
    </w:p>
    <w:p w:rsidR="00DE45F4" w:rsidRPr="006642AF" w:rsidRDefault="00DE45F4" w:rsidP="001A5A94">
      <w:pPr>
        <w:pStyle w:val="Nadpisparagrafu"/>
      </w:pPr>
      <w:r w:rsidRPr="006642AF">
        <w:t>Poplatek za poskytnutí českých technických norem a</w:t>
      </w:r>
      <w:r>
        <w:t> </w:t>
      </w:r>
      <w:r w:rsidRPr="006642AF">
        <w:t>jiných technických dokumentů</w:t>
      </w:r>
    </w:p>
    <w:p w:rsidR="00DE45F4" w:rsidRPr="006642AF" w:rsidRDefault="00DE45F4" w:rsidP="001A5A94">
      <w:pPr>
        <w:pStyle w:val="Textodstavce"/>
      </w:pPr>
      <w:r w:rsidRPr="006642AF">
        <w:t>Poplatníkem poplatku za poskytnutí českých technických norem a</w:t>
      </w:r>
      <w:r>
        <w:t> </w:t>
      </w:r>
      <w:r w:rsidRPr="006642AF">
        <w:t>jiných technických dokumentů je žadatel o</w:t>
      </w:r>
      <w:r>
        <w:t> </w:t>
      </w:r>
      <w:r w:rsidRPr="006642AF">
        <w:t>poskytnutí české technické normy nebo jiného technického dokumentu zařazených do databáze.</w:t>
      </w:r>
    </w:p>
    <w:p w:rsidR="00DE45F4" w:rsidRPr="006642AF" w:rsidRDefault="00DE45F4" w:rsidP="001A5A94">
      <w:pPr>
        <w:pStyle w:val="Textodstavce"/>
      </w:pPr>
      <w:r w:rsidRPr="006642AF">
        <w:t>Předmětem poplatku za poskytnutí českých technických norem a</w:t>
      </w:r>
      <w:r>
        <w:t> </w:t>
      </w:r>
      <w:r w:rsidRPr="006642AF">
        <w:t>jiných technických dokumentů je poskytnutí české technické normy nebo jiného technického dokumentu zařazených do databáze.</w:t>
      </w:r>
    </w:p>
    <w:p w:rsidR="00DE45F4" w:rsidRPr="006642AF" w:rsidRDefault="00DE45F4" w:rsidP="001A5A94">
      <w:pPr>
        <w:pStyle w:val="Textodstavce"/>
      </w:pPr>
      <w:r w:rsidRPr="006642AF">
        <w:t>Základem poplatku za poskytnutí českých technických norem a</w:t>
      </w:r>
      <w:r>
        <w:t> </w:t>
      </w:r>
      <w:r w:rsidRPr="006642AF">
        <w:t>jiných technických dokumentů je počet stran poskytnuté české technické normy nebo jiného technického dokumentu zařazených do databáze.</w:t>
      </w:r>
    </w:p>
    <w:p w:rsidR="00DE45F4" w:rsidRPr="006642AF" w:rsidRDefault="00DE45F4" w:rsidP="001A5A94">
      <w:pPr>
        <w:pStyle w:val="Textodstavce"/>
      </w:pPr>
      <w:r w:rsidRPr="006642AF">
        <w:t>Sazba poplatku za poskytnutí českých technických norem a</w:t>
      </w:r>
      <w:r>
        <w:t> </w:t>
      </w:r>
      <w:r w:rsidRPr="006642AF">
        <w:t>jiných technických dokumentů činí nejvýše 20 Kč za stranu. Sazbu poplatku stanoví prováděcí právní předpis.</w:t>
      </w:r>
    </w:p>
    <w:p w:rsidR="00DE45F4" w:rsidRPr="006642AF" w:rsidRDefault="00DE45F4" w:rsidP="001A5A94">
      <w:pPr>
        <w:pStyle w:val="Textodstavce"/>
      </w:pPr>
      <w:r w:rsidRPr="006642AF">
        <w:t>Poplatek za poskytnutí českých technických norem a</w:t>
      </w:r>
      <w:r>
        <w:t> </w:t>
      </w:r>
      <w:r w:rsidRPr="006642AF">
        <w:t>jiných technických dokumentů je splatný ve lhůtě 14 dnů ode dne podání žádosti o</w:t>
      </w:r>
      <w:r>
        <w:t> </w:t>
      </w:r>
      <w:r w:rsidRPr="006642AF">
        <w:t>poskytnutí české technické normy nebo jiného technického dokumentu zařazených do databáze. Nezaplatí-li poplatník poplatek včas a</w:t>
      </w:r>
      <w:r>
        <w:t> </w:t>
      </w:r>
      <w:r w:rsidRPr="006642AF">
        <w:t>ve správné výši, správce poplatku českou technickou normu nebo jiný technický dokument neposkytne a</w:t>
      </w:r>
      <w:r>
        <w:t> </w:t>
      </w:r>
      <w:r w:rsidRPr="006642AF">
        <w:t>poplatková povinnost zanikne.</w:t>
      </w:r>
    </w:p>
    <w:p w:rsidR="00DE45F4" w:rsidRPr="006642AF" w:rsidRDefault="00DE45F4" w:rsidP="001A5A94">
      <w:pPr>
        <w:pStyle w:val="Textodstavce"/>
      </w:pPr>
      <w:r w:rsidRPr="006642AF">
        <w:t>Příjem z</w:t>
      </w:r>
      <w:r>
        <w:t> </w:t>
      </w:r>
      <w:r w:rsidRPr="006642AF">
        <w:t>poplatku za poskytnutí českých technických norem a</w:t>
      </w:r>
      <w:r>
        <w:t> </w:t>
      </w:r>
      <w:r w:rsidRPr="006642AF">
        <w:t>jiných technických dokumentů je příjmem rozpočtu Agentury. Je-li správcem poplatku Úřad, je poplatek příjmem státního rozpočtu.</w:t>
      </w:r>
    </w:p>
    <w:p w:rsidR="00DE45F4" w:rsidRPr="006642AF" w:rsidRDefault="001A5A94" w:rsidP="001A5A94">
      <w:pPr>
        <w:pStyle w:val="Paragraf"/>
        <w:rPr>
          <w:szCs w:val="24"/>
        </w:rPr>
      </w:pPr>
      <w:r>
        <w:t xml:space="preserve">§ </w:t>
      </w:r>
      <w:r w:rsidR="00DE45F4" w:rsidRPr="006642AF">
        <w:rPr>
          <w:szCs w:val="24"/>
        </w:rPr>
        <w:t>6b</w:t>
      </w:r>
    </w:p>
    <w:p w:rsidR="00DE45F4" w:rsidRPr="006642AF" w:rsidRDefault="00DE45F4" w:rsidP="001A5A94">
      <w:pPr>
        <w:pStyle w:val="Nadpisparagrafu"/>
      </w:pPr>
      <w:r w:rsidRPr="006642AF">
        <w:t xml:space="preserve">Poplatek za přístup do databáze </w:t>
      </w:r>
    </w:p>
    <w:p w:rsidR="00DE45F4" w:rsidRPr="006642AF" w:rsidRDefault="00DE45F4" w:rsidP="001A5A94">
      <w:pPr>
        <w:pStyle w:val="Textodstavce"/>
        <w:numPr>
          <w:ilvl w:val="6"/>
          <w:numId w:val="25"/>
        </w:numPr>
      </w:pPr>
      <w:r w:rsidRPr="006642AF">
        <w:t>Poplatníkem poplatku za přístup do databáze je žadatel o</w:t>
      </w:r>
      <w:r>
        <w:t> </w:t>
      </w:r>
      <w:r w:rsidRPr="006642AF">
        <w:t>poskytnutí přístupových práv do databáze nebo žadatel o</w:t>
      </w:r>
      <w:r>
        <w:t> </w:t>
      </w:r>
      <w:r w:rsidRPr="006642AF">
        <w:t>doplňkovou možnost tisku.</w:t>
      </w:r>
    </w:p>
    <w:p w:rsidR="00DE45F4" w:rsidRPr="006642AF" w:rsidRDefault="00DE45F4" w:rsidP="001A5A94">
      <w:pPr>
        <w:pStyle w:val="Textodstavce"/>
        <w:numPr>
          <w:ilvl w:val="6"/>
          <w:numId w:val="25"/>
        </w:numPr>
      </w:pPr>
      <w:r w:rsidRPr="006642AF">
        <w:t xml:space="preserve">Předmětem poplatku za přístup do databáze je </w:t>
      </w:r>
    </w:p>
    <w:p w:rsidR="00DE45F4" w:rsidRPr="006642AF" w:rsidRDefault="00DE45F4" w:rsidP="001A5A94">
      <w:pPr>
        <w:pStyle w:val="Textpsmene"/>
      </w:pPr>
      <w:r w:rsidRPr="006642AF">
        <w:t>poskytnutí přístupových práv do databáze bez možnosti tisku na nejvýše 12 po sobě jdoucích kalendářních měsíců,</w:t>
      </w:r>
    </w:p>
    <w:p w:rsidR="00DE45F4" w:rsidRPr="006642AF" w:rsidRDefault="00DE45F4" w:rsidP="001A5A94">
      <w:pPr>
        <w:pStyle w:val="Textpsmene"/>
      </w:pPr>
      <w:r w:rsidRPr="006642AF">
        <w:t>poskytnutí přístupových práv do databáze s</w:t>
      </w:r>
      <w:r>
        <w:t> </w:t>
      </w:r>
      <w:r w:rsidRPr="006642AF">
        <w:t>možností tisku na nejvýše 12 po sobě jdoucích kalendářních měsíců,</w:t>
      </w:r>
    </w:p>
    <w:p w:rsidR="00DE45F4" w:rsidRPr="006642AF" w:rsidRDefault="00DE45F4" w:rsidP="001A5A94">
      <w:pPr>
        <w:pStyle w:val="Textpsmene"/>
      </w:pPr>
      <w:r w:rsidRPr="006642AF">
        <w:lastRenderedPageBreak/>
        <w:t>doplňková možnost tisku českých technických norem a</w:t>
      </w:r>
      <w:r>
        <w:t> </w:t>
      </w:r>
      <w:r w:rsidRPr="006642AF">
        <w:t>jiných technických dokumentů z</w:t>
      </w:r>
      <w:r>
        <w:t> </w:t>
      </w:r>
      <w:r w:rsidRPr="006642AF">
        <w:t>databáze.</w:t>
      </w:r>
    </w:p>
    <w:p w:rsidR="00DE45F4" w:rsidRPr="006642AF" w:rsidRDefault="00DE45F4" w:rsidP="001A5A94">
      <w:pPr>
        <w:pStyle w:val="Textodstavce"/>
      </w:pPr>
      <w:r w:rsidRPr="006642AF">
        <w:t>Výše poplatku za přístup do databáze činí nejvýše</w:t>
      </w:r>
    </w:p>
    <w:p w:rsidR="00DE45F4" w:rsidRPr="006642AF" w:rsidRDefault="00DE45F4" w:rsidP="001A5A94">
      <w:pPr>
        <w:pStyle w:val="Textpsmene"/>
      </w:pPr>
      <w:r w:rsidRPr="006642AF">
        <w:t>10 000 Kč v</w:t>
      </w:r>
      <w:r>
        <w:t> </w:t>
      </w:r>
      <w:r w:rsidRPr="006642AF">
        <w:t>případě poplatku podle odstavce 2 písm. a),</w:t>
      </w:r>
    </w:p>
    <w:p w:rsidR="00DE45F4" w:rsidRPr="006642AF" w:rsidRDefault="00DE45F4" w:rsidP="001A5A94">
      <w:pPr>
        <w:pStyle w:val="Textpsmene"/>
      </w:pPr>
      <w:r w:rsidRPr="006642AF">
        <w:t>součet částky 10 000 Kč a</w:t>
      </w:r>
      <w:r>
        <w:t> </w:t>
      </w:r>
      <w:r w:rsidRPr="006642AF">
        <w:t>částky 20 Kč za stranu v</w:t>
      </w:r>
      <w:r>
        <w:t> </w:t>
      </w:r>
      <w:r w:rsidRPr="006642AF">
        <w:t>případě poplatku podle odstavce 2 písm. b),</w:t>
      </w:r>
    </w:p>
    <w:p w:rsidR="00DE45F4" w:rsidRPr="006642AF" w:rsidRDefault="00DE45F4" w:rsidP="001A5A94">
      <w:pPr>
        <w:pStyle w:val="Textpsmene"/>
      </w:pPr>
      <w:r w:rsidRPr="006642AF">
        <w:t>20 Kč za stranu v</w:t>
      </w:r>
      <w:r>
        <w:t> </w:t>
      </w:r>
      <w:r w:rsidRPr="006642AF">
        <w:t>případě poplatku podle odstavce 2 písm. c).</w:t>
      </w:r>
    </w:p>
    <w:p w:rsidR="00DE45F4" w:rsidRPr="006642AF" w:rsidRDefault="00DE45F4" w:rsidP="001A5A94">
      <w:pPr>
        <w:pStyle w:val="Textodstavce"/>
      </w:pPr>
      <w:r w:rsidRPr="006642AF">
        <w:t>Výši poplatku za přístup do databáze stanoví prováděcí právní předpis.</w:t>
      </w:r>
    </w:p>
    <w:p w:rsidR="00DE45F4" w:rsidRPr="006642AF" w:rsidRDefault="00DE45F4" w:rsidP="001A5A94">
      <w:pPr>
        <w:pStyle w:val="Textodstavce"/>
      </w:pPr>
      <w:r w:rsidRPr="006642AF">
        <w:t>Poplatek za přístup do databáze je splatný ve lhůtě 14 dnů ode dne podání žádosti. Nezaplatí-li poplatník poplatek včas a</w:t>
      </w:r>
      <w:r>
        <w:t> </w:t>
      </w:r>
      <w:r w:rsidRPr="006642AF">
        <w:t>ve správné výši, správce poplatku přístupová práva do databáze nebo doplňkovou možnost tisku neposkytne a</w:t>
      </w:r>
      <w:r>
        <w:t> </w:t>
      </w:r>
      <w:r w:rsidRPr="006642AF">
        <w:t>poplatková povinnost zanikne.</w:t>
      </w:r>
    </w:p>
    <w:p w:rsidR="00DE45F4" w:rsidRPr="006642AF" w:rsidRDefault="00DE45F4" w:rsidP="001A5A94">
      <w:pPr>
        <w:pStyle w:val="Textodstavce"/>
      </w:pPr>
      <w:r w:rsidRPr="006642AF">
        <w:t>Příjem z</w:t>
      </w:r>
      <w:r>
        <w:t> </w:t>
      </w:r>
      <w:r w:rsidRPr="006642AF">
        <w:t>poplatku za přístup do databáze je příjmem rozpočtu Agentury. Je-li správcem poplatku Úřad, je poplatek příjmem státního rozpočtu.</w:t>
      </w:r>
    </w:p>
    <w:p w:rsidR="00DE45F4" w:rsidRPr="006642AF" w:rsidRDefault="001A5A94" w:rsidP="001A5A94">
      <w:pPr>
        <w:pStyle w:val="Paragraf"/>
        <w:rPr>
          <w:szCs w:val="24"/>
        </w:rPr>
      </w:pPr>
      <w:r>
        <w:t xml:space="preserve">§ </w:t>
      </w:r>
      <w:r w:rsidR="00DE45F4" w:rsidRPr="006642AF">
        <w:rPr>
          <w:szCs w:val="24"/>
        </w:rPr>
        <w:t>6c</w:t>
      </w:r>
    </w:p>
    <w:p w:rsidR="00DE45F4" w:rsidRPr="006642AF" w:rsidRDefault="00DE45F4" w:rsidP="001A5A94">
      <w:pPr>
        <w:pStyle w:val="Nadpisparagrafu"/>
      </w:pPr>
      <w:r w:rsidRPr="006642AF">
        <w:t>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</w:t>
      </w:r>
    </w:p>
    <w:p w:rsidR="00DE45F4" w:rsidRPr="006642AF" w:rsidRDefault="00DE45F4" w:rsidP="001A5A94">
      <w:pPr>
        <w:pStyle w:val="Textodstavce"/>
        <w:numPr>
          <w:ilvl w:val="6"/>
          <w:numId w:val="26"/>
        </w:numPr>
      </w:pPr>
      <w:r w:rsidRPr="006642AF">
        <w:t>Sponzorovaným přístupem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se rozumí bezplatné poskytování přístupu k</w:t>
      </w:r>
      <w:r>
        <w:t> </w:t>
      </w:r>
      <w:r w:rsidRPr="006642AF">
        <w:t xml:space="preserve">české technické normě nebo jinému technickému dokumentu, které jsou pro účely uvedené ve zvláštním právním předpisu závazné, koncovým uživatelům na základě registrace způsobem umožňujícím dálkový přístup. </w:t>
      </w:r>
    </w:p>
    <w:p w:rsidR="00DE45F4" w:rsidRPr="006642AF" w:rsidRDefault="00DE45F4" w:rsidP="001A5A94">
      <w:pPr>
        <w:pStyle w:val="Textodstavce"/>
      </w:pPr>
      <w:r w:rsidRPr="006642AF">
        <w:t>Jsou-li česká technická norma nebo jiný technický dokument pro účely uvedené</w:t>
      </w:r>
      <w:r w:rsidR="00F35610">
        <w:t xml:space="preserve"> </w:t>
      </w:r>
      <w:r w:rsidRPr="006642AF">
        <w:t>ve</w:t>
      </w:r>
      <w:r w:rsidR="00F35610">
        <w:t> </w:t>
      </w:r>
      <w:r w:rsidRPr="006642AF">
        <w:t>zvláštním právním předpisu závazné, zajistí ministerstvo nebo jiný ústřední správní úřad, do</w:t>
      </w:r>
      <w:r w:rsidR="00F35610">
        <w:t> </w:t>
      </w:r>
      <w:r w:rsidRPr="006642AF">
        <w:t>jejichž působnosti tento zvláštní právní předpis spadá, u</w:t>
      </w:r>
      <w:r>
        <w:t> </w:t>
      </w:r>
      <w:r w:rsidRPr="006642AF">
        <w:t>Agentury sponzorovaný přístup k</w:t>
      </w:r>
      <w:r>
        <w:t> </w:t>
      </w:r>
      <w:r w:rsidRPr="006642AF">
        <w:t>této české technické normě nebo jinému technickému dokumentu.</w:t>
      </w:r>
    </w:p>
    <w:p w:rsidR="00DE45F4" w:rsidRPr="006642AF" w:rsidRDefault="00DE45F4" w:rsidP="001A5A94">
      <w:pPr>
        <w:pStyle w:val="Textodstavce"/>
      </w:pPr>
      <w:r w:rsidRPr="006642AF">
        <w:t>Umožnění sponzorovaného přístupu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sjedná Agentura s</w:t>
      </w:r>
      <w:r>
        <w:t> </w:t>
      </w:r>
      <w:r w:rsidRPr="006642AF">
        <w:t>ministerstvem nebo jiným ústředním správním úřadem, do jejichž působnosti zvláštní právní předpis podle odstavce 1 spadá, v</w:t>
      </w:r>
      <w:r>
        <w:t> </w:t>
      </w:r>
      <w:r w:rsidRPr="006642AF">
        <w:t>dohodě o</w:t>
      </w:r>
      <w:r>
        <w:t> </w:t>
      </w:r>
      <w:r w:rsidRPr="006642AF">
        <w:t>sponzorovaném přístupu k</w:t>
      </w:r>
      <w:r>
        <w:t> </w:t>
      </w:r>
      <w:r w:rsidRPr="006642AF">
        <w:t>českým technickým normám a</w:t>
      </w:r>
      <w:r>
        <w:t> </w:t>
      </w:r>
      <w:r w:rsidRPr="006642AF">
        <w:t xml:space="preserve">jiným technickým dokumentům. </w:t>
      </w:r>
    </w:p>
    <w:p w:rsidR="00DE45F4" w:rsidRPr="006642AF" w:rsidRDefault="001A5A94" w:rsidP="001A5A94">
      <w:pPr>
        <w:pStyle w:val="Paragraf"/>
        <w:rPr>
          <w:szCs w:val="24"/>
        </w:rPr>
      </w:pPr>
      <w:r>
        <w:t xml:space="preserve">§ </w:t>
      </w:r>
      <w:r w:rsidR="00DE45F4" w:rsidRPr="006642AF">
        <w:rPr>
          <w:szCs w:val="24"/>
        </w:rPr>
        <w:t>6d</w:t>
      </w:r>
    </w:p>
    <w:p w:rsidR="00DE45F4" w:rsidRPr="006642AF" w:rsidRDefault="00DE45F4" w:rsidP="001A5A94">
      <w:pPr>
        <w:pStyle w:val="Nadpisparagrafu"/>
      </w:pPr>
      <w:r w:rsidRPr="006642AF">
        <w:t>Poplatek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</w:t>
      </w:r>
    </w:p>
    <w:p w:rsidR="00DE45F4" w:rsidRPr="006642AF" w:rsidRDefault="00DE45F4" w:rsidP="001A5A94">
      <w:pPr>
        <w:pStyle w:val="Textodstavce"/>
        <w:numPr>
          <w:ilvl w:val="6"/>
          <w:numId w:val="27"/>
        </w:numPr>
      </w:pPr>
      <w:r w:rsidRPr="006642AF">
        <w:t>Poplatníkem poplatku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je ministerstvo nebo jiný ústřední správní úřad, které zajišťují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 xml:space="preserve">jiným technickým dokumentům. </w:t>
      </w:r>
    </w:p>
    <w:p w:rsidR="00DE45F4" w:rsidRPr="006642AF" w:rsidRDefault="00DE45F4" w:rsidP="001A5A94">
      <w:pPr>
        <w:pStyle w:val="Textodstavce"/>
        <w:numPr>
          <w:ilvl w:val="6"/>
          <w:numId w:val="27"/>
        </w:numPr>
      </w:pPr>
      <w:r w:rsidRPr="006642AF">
        <w:t>Předmětem poplatku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je umožnění sponzorovaného přístupu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dokumentům.</w:t>
      </w:r>
    </w:p>
    <w:p w:rsidR="00DE45F4" w:rsidRPr="006642AF" w:rsidRDefault="00DE45F4" w:rsidP="001A5A94">
      <w:pPr>
        <w:pStyle w:val="Textodstavce"/>
        <w:numPr>
          <w:ilvl w:val="6"/>
          <w:numId w:val="27"/>
        </w:numPr>
      </w:pPr>
      <w:r w:rsidRPr="006642AF">
        <w:t>Výše poplatku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činí nejvýše 23 000 000 Kč za 12 po sobě jdoucích kalendářních měsíců, a</w:t>
      </w:r>
      <w:r>
        <w:t> </w:t>
      </w:r>
      <w:r w:rsidRPr="006642AF">
        <w:t>to na základě počtu zpřístupněných stran české technické normy nebo jiného technického dokumentu a</w:t>
      </w:r>
      <w:r>
        <w:t> </w:t>
      </w:r>
      <w:r w:rsidRPr="006642AF">
        <w:t>předpokládaného počtu koncových uživatelů. Výši poplatku stanoví prováděcí právní předpis.</w:t>
      </w:r>
    </w:p>
    <w:p w:rsidR="00DE45F4" w:rsidRPr="006642AF" w:rsidRDefault="00DE45F4" w:rsidP="001A5A94">
      <w:pPr>
        <w:pStyle w:val="Textodstavce"/>
        <w:numPr>
          <w:ilvl w:val="6"/>
          <w:numId w:val="27"/>
        </w:numPr>
      </w:pPr>
      <w:r w:rsidRPr="006642AF">
        <w:t>Poplatek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je splatný do 30 dnů ode dne účinnosti dohody o</w:t>
      </w:r>
      <w:r>
        <w:t> </w:t>
      </w:r>
      <w:r w:rsidRPr="006642AF">
        <w:t>sponzorovaném přístupu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mezi poplatníkem a</w:t>
      </w:r>
      <w:r>
        <w:t> </w:t>
      </w:r>
      <w:r w:rsidRPr="006642AF">
        <w:t>správcem poplatku. Nezaplatí-li poplatník poplatek včas a</w:t>
      </w:r>
      <w:r>
        <w:t> </w:t>
      </w:r>
      <w:r w:rsidRPr="006642AF">
        <w:t>ve správné výši, správce poplatku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neumožní a</w:t>
      </w:r>
      <w:r>
        <w:t> </w:t>
      </w:r>
      <w:r w:rsidRPr="006642AF">
        <w:t>poplatková povinnost zanikne.</w:t>
      </w:r>
    </w:p>
    <w:p w:rsidR="00DE45F4" w:rsidRPr="006642AF" w:rsidRDefault="00DE45F4" w:rsidP="001A5A94">
      <w:pPr>
        <w:pStyle w:val="Textodstavce"/>
        <w:numPr>
          <w:ilvl w:val="6"/>
          <w:numId w:val="27"/>
        </w:numPr>
      </w:pPr>
      <w:r w:rsidRPr="006642AF">
        <w:t>Příjem z</w:t>
      </w:r>
      <w:r>
        <w:t> </w:t>
      </w:r>
      <w:r w:rsidRPr="006642AF">
        <w:t>poplatku za sponzorovaný přístup k</w:t>
      </w:r>
      <w:r>
        <w:t> </w:t>
      </w:r>
      <w:r w:rsidRPr="006642AF">
        <w:t>českým technickým normám a</w:t>
      </w:r>
      <w:r>
        <w:t> </w:t>
      </w:r>
      <w:r w:rsidRPr="006642AF">
        <w:t>jiným technickým dokumentům je příjmem rozpočtu Agentury.“.</w:t>
      </w:r>
    </w:p>
    <w:p w:rsidR="00DE45F4" w:rsidRPr="006642AF" w:rsidRDefault="00DE45F4" w:rsidP="008F0BB1">
      <w:pPr>
        <w:pStyle w:val="Novelizanbod"/>
      </w:pPr>
      <w:r w:rsidRPr="006642AF">
        <w:t>V § 7 odst. 8 větě druhé se slovo „ministerstvo“ nahrazuje slovem „Ministerstvo“.</w:t>
      </w:r>
    </w:p>
    <w:p w:rsidR="00DE45F4" w:rsidRPr="006642AF" w:rsidRDefault="00DE45F4" w:rsidP="008F0BB1">
      <w:pPr>
        <w:pStyle w:val="Novelizanbod"/>
      </w:pPr>
      <w:r w:rsidRPr="006642AF">
        <w:t>V § 7 odst. 9 se slovo „ministerstvu“ nahrazuje slovem „Ministerstvu“.</w:t>
      </w:r>
    </w:p>
    <w:p w:rsidR="00DE45F4" w:rsidRPr="006642AF" w:rsidRDefault="00DE45F4" w:rsidP="008F0BB1">
      <w:pPr>
        <w:pStyle w:val="Novelizanbod"/>
      </w:pPr>
      <w:r w:rsidRPr="006642AF">
        <w:t>V § 15 se doplňuje odstavec 5, který zní:</w:t>
      </w:r>
    </w:p>
    <w:p w:rsidR="00DE45F4" w:rsidRPr="006642AF" w:rsidRDefault="00DE45F4" w:rsidP="001A5A94">
      <w:pPr>
        <w:pStyle w:val="Textlnku"/>
        <w:spacing w:before="0" w:after="120"/>
      </w:pPr>
      <w:r w:rsidRPr="006642AF">
        <w:t xml:space="preserve"> „(5)</w:t>
      </w:r>
      <w:r w:rsidR="001A5A94">
        <w:t xml:space="preserve"> </w:t>
      </w:r>
      <w:r w:rsidRPr="006642AF">
        <w:t>Nadřízeným správním orgánem akreditačního orgánu je Ministerstvo.“.</w:t>
      </w:r>
    </w:p>
    <w:p w:rsidR="00DE45F4" w:rsidRPr="006642AF" w:rsidRDefault="00DE45F4" w:rsidP="008F0BB1">
      <w:pPr>
        <w:pStyle w:val="Novelizanbod"/>
      </w:pPr>
      <w:r w:rsidRPr="006642AF">
        <w:t>V § 16 odstavec 8 zní:</w:t>
      </w:r>
    </w:p>
    <w:p w:rsidR="00DE45F4" w:rsidRPr="006642AF" w:rsidRDefault="00DE45F4" w:rsidP="001A5A94">
      <w:pPr>
        <w:pStyle w:val="Textlnku"/>
        <w:spacing w:before="0" w:after="120"/>
      </w:pPr>
      <w:r w:rsidRPr="006642AF">
        <w:t>„(8)</w:t>
      </w:r>
      <w:r w:rsidR="001A5A94">
        <w:t xml:space="preserve"> </w:t>
      </w:r>
      <w:r w:rsidRPr="006642AF">
        <w:t>O odvolání proti rozhodnutí akreditačního orgánu rozhoduje jeho statutární orgán. Odvolání nemá odkladný účinek. Návrh na rozhodnutí o</w:t>
      </w:r>
      <w:r>
        <w:t> </w:t>
      </w:r>
      <w:r w:rsidRPr="006642AF">
        <w:t>odvolání předkládá statutárnímu orgánu komise k</w:t>
      </w:r>
      <w:r>
        <w:t> </w:t>
      </w:r>
      <w:r w:rsidRPr="006642AF">
        <w:t>tomu zřízená. Tato komise má nejméně 5 členů. Předsedu a</w:t>
      </w:r>
      <w:r>
        <w:t> </w:t>
      </w:r>
      <w:r w:rsidRPr="006642AF">
        <w:t>ostatní členy komise jmenuje statutární orgán. Členy komise jsou odborníci, kteří se jinak nepodílí na výkonu působnosti akreditačního orgánu.“.</w:t>
      </w:r>
    </w:p>
    <w:p w:rsidR="00DE45F4" w:rsidRPr="006642AF" w:rsidRDefault="00DE45F4" w:rsidP="001A5A94">
      <w:pPr>
        <w:pStyle w:val="Novelizanbod"/>
      </w:pPr>
      <w:r w:rsidRPr="006642AF">
        <w:t>Za § 19b se vkládá nový § 19c, který včetně nadpisu zní:</w:t>
      </w:r>
    </w:p>
    <w:p w:rsidR="00DE45F4" w:rsidRPr="006642AF" w:rsidRDefault="00DE45F4" w:rsidP="001A5A94">
      <w:pPr>
        <w:pStyle w:val="Paragraf"/>
        <w:rPr>
          <w:szCs w:val="24"/>
        </w:rPr>
      </w:pPr>
      <w:r w:rsidRPr="006642AF">
        <w:rPr>
          <w:szCs w:val="24"/>
        </w:rPr>
        <w:t>„</w:t>
      </w:r>
      <w:r w:rsidR="001A5A94">
        <w:t>§</w:t>
      </w:r>
      <w:r w:rsidRPr="006642AF">
        <w:rPr>
          <w:szCs w:val="24"/>
        </w:rPr>
        <w:t xml:space="preserve"> 19c</w:t>
      </w:r>
    </w:p>
    <w:p w:rsidR="00DE45F4" w:rsidRPr="006642AF" w:rsidRDefault="00DE45F4" w:rsidP="001A5A94">
      <w:pPr>
        <w:pStyle w:val="Nadpisparagrafu"/>
      </w:pPr>
      <w:r w:rsidRPr="006642AF">
        <w:t>Věstník Úřadu</w:t>
      </w:r>
    </w:p>
    <w:p w:rsidR="00DE45F4" w:rsidRPr="006642AF" w:rsidRDefault="00DE45F4" w:rsidP="001A5A94">
      <w:pPr>
        <w:pStyle w:val="Textlnku"/>
      </w:pPr>
      <w:r w:rsidRPr="006642AF">
        <w:t>Úřad vydává Věstník Úřadu, který je publikační sbírkou v</w:t>
      </w:r>
      <w:r>
        <w:t> </w:t>
      </w:r>
      <w:r w:rsidRPr="006642AF">
        <w:t>oblasti technické normalizace, metrologie a</w:t>
      </w:r>
      <w:r>
        <w:t> </w:t>
      </w:r>
      <w:r w:rsidRPr="006642AF">
        <w:t>státního zkušebnictví. Ve Věstníku Úřadu se zveřejňují zejména významná oznámení ohledně tvorby a</w:t>
      </w:r>
      <w:r>
        <w:t> </w:t>
      </w:r>
      <w:r w:rsidRPr="006642AF">
        <w:t>vydávání českých technických norem a</w:t>
      </w:r>
      <w:r>
        <w:t> </w:t>
      </w:r>
      <w:r w:rsidRPr="006642AF">
        <w:t>jiných technických dokumentů, oznámení ohledně notifikovaných osob v</w:t>
      </w:r>
      <w:r>
        <w:t> </w:t>
      </w:r>
      <w:r w:rsidRPr="006642AF">
        <w:t>oblasti státního zkušebnictví, oznámení ohledně autorizovaných osob v</w:t>
      </w:r>
      <w:r>
        <w:t> </w:t>
      </w:r>
      <w:r w:rsidRPr="006642AF">
        <w:t>oblasti metrologie a</w:t>
      </w:r>
      <w:r>
        <w:t> </w:t>
      </w:r>
      <w:r w:rsidRPr="006642AF">
        <w:t>ceník Agentury. Úřad zveřejňuje Věstník Úřadu způsobem umožňujícím dálkový přístup.“.</w:t>
      </w:r>
    </w:p>
    <w:p w:rsidR="00DE45F4" w:rsidRPr="006642AF" w:rsidRDefault="00DE45F4" w:rsidP="001A5A94">
      <w:pPr>
        <w:pStyle w:val="Novelizanbod"/>
      </w:pPr>
      <w:r w:rsidRPr="006642AF">
        <w:t>V § 22 se dosavadní text označuje jako odstavec 1 a</w:t>
      </w:r>
      <w:r>
        <w:t> </w:t>
      </w:r>
      <w:r w:rsidRPr="006642AF">
        <w:t>doplňuje se odstavec 2, který zní:</w:t>
      </w:r>
    </w:p>
    <w:p w:rsidR="00DE45F4" w:rsidRPr="006642AF" w:rsidRDefault="00DE45F4" w:rsidP="001A5A94">
      <w:pPr>
        <w:pStyle w:val="Textlnku"/>
      </w:pPr>
      <w:r w:rsidRPr="006642AF">
        <w:t>„(2)</w:t>
      </w:r>
      <w:r w:rsidR="008F0BB1">
        <w:t xml:space="preserve"> </w:t>
      </w:r>
      <w:r w:rsidRPr="006642AF">
        <w:t>Ministerstvo vydá vyhlášku k</w:t>
      </w:r>
      <w:r>
        <w:t> </w:t>
      </w:r>
      <w:r w:rsidRPr="006642AF">
        <w:t>provedení § 6a odst. 4, § 6b odst. 4 a</w:t>
      </w:r>
      <w:r>
        <w:t> </w:t>
      </w:r>
      <w:r w:rsidRPr="006642AF">
        <w:t>§ 6d odst. 3.“.</w:t>
      </w:r>
    </w:p>
    <w:p w:rsidR="00DE45F4" w:rsidRPr="006642AF" w:rsidRDefault="001A5A94" w:rsidP="001A5A94">
      <w:pPr>
        <w:pStyle w:val="lnek"/>
      </w:pPr>
      <w:r>
        <w:t xml:space="preserve">Čl. </w:t>
      </w:r>
      <w:r w:rsidR="00DE45F4" w:rsidRPr="006642AF">
        <w:t>II</w:t>
      </w:r>
    </w:p>
    <w:p w:rsidR="00DE45F4" w:rsidRPr="006642AF" w:rsidRDefault="00DE45F4" w:rsidP="001A5A94">
      <w:pPr>
        <w:pStyle w:val="Nadpislnku"/>
      </w:pPr>
      <w:r w:rsidRPr="006642AF">
        <w:t>Přechodné ustanovení</w:t>
      </w:r>
    </w:p>
    <w:p w:rsidR="00DE45F4" w:rsidRPr="006642AF" w:rsidRDefault="00DE45F4" w:rsidP="001A5A94">
      <w:pPr>
        <w:pStyle w:val="Textlnku"/>
      </w:pPr>
      <w:r w:rsidRPr="006642AF">
        <w:t>Řízení, která nebyla pravomocně skončena přede dnem nabytí účinnosti tohoto zákona, se dokončí podle zákona č. 22/1997 Sb., ve znění účinném přede dnem nabytí účinnosti tohoto zákona.</w:t>
      </w:r>
    </w:p>
    <w:p w:rsidR="00DE45F4" w:rsidRPr="006642AF" w:rsidRDefault="001A5A94" w:rsidP="001A5A94">
      <w:pPr>
        <w:pStyle w:val="ST"/>
      </w:pPr>
      <w:r>
        <w:t xml:space="preserve">ČÁST </w:t>
      </w:r>
      <w:r w:rsidR="00DE45F4" w:rsidRPr="006642AF">
        <w:t>DRUHÁ</w:t>
      </w:r>
    </w:p>
    <w:p w:rsidR="00DE45F4" w:rsidRPr="006642AF" w:rsidRDefault="00DE45F4" w:rsidP="001A5A94">
      <w:pPr>
        <w:pStyle w:val="NADPISSTI"/>
      </w:pPr>
      <w:r w:rsidRPr="006642AF">
        <w:t>Změna zákona o</w:t>
      </w:r>
      <w:r>
        <w:t> </w:t>
      </w:r>
      <w:r w:rsidRPr="006642AF">
        <w:t>posuzování shody stanovených výrobků při jejich dodávání na trh</w:t>
      </w:r>
    </w:p>
    <w:p w:rsidR="00DE45F4" w:rsidRPr="006642AF" w:rsidRDefault="001A5A94" w:rsidP="001A5A94">
      <w:pPr>
        <w:pStyle w:val="lnek"/>
      </w:pPr>
      <w:r>
        <w:t xml:space="preserve">Čl. </w:t>
      </w:r>
      <w:r w:rsidR="00DE45F4" w:rsidRPr="006642AF">
        <w:t>III</w:t>
      </w:r>
    </w:p>
    <w:p w:rsidR="00DE45F4" w:rsidRPr="006642AF" w:rsidRDefault="00DE45F4" w:rsidP="001A5A94">
      <w:pPr>
        <w:pStyle w:val="Textlnku"/>
      </w:pPr>
      <w:r w:rsidRPr="006642AF">
        <w:t>Zákon č. 90/2016 Sb., o</w:t>
      </w:r>
      <w:r>
        <w:t> </w:t>
      </w:r>
      <w:r w:rsidRPr="006642AF">
        <w:t>posuzování shody stanovených výrobků při jejich dodávání na trh, ve znění zákona č. 183/2017 Sb. a</w:t>
      </w:r>
      <w:r>
        <w:t> </w:t>
      </w:r>
      <w:r w:rsidRPr="006642AF">
        <w:t>zákona č. 265/2017 Sb., se mění takto:</w:t>
      </w:r>
    </w:p>
    <w:p w:rsidR="00DE45F4" w:rsidRPr="006642AF" w:rsidRDefault="00DE45F4" w:rsidP="001A5A94">
      <w:pPr>
        <w:pStyle w:val="Novelizanbod"/>
        <w:numPr>
          <w:ilvl w:val="0"/>
          <w:numId w:val="28"/>
        </w:numPr>
      </w:pPr>
      <w:r w:rsidRPr="006642AF">
        <w:t>V § 2 odst. 1 a</w:t>
      </w:r>
      <w:r>
        <w:t> </w:t>
      </w:r>
      <w:r w:rsidRPr="006642AF">
        <w:t>2 se číslo „23“ nahrazuje číslem „17“.</w:t>
      </w:r>
    </w:p>
    <w:p w:rsidR="00DE45F4" w:rsidRPr="006642AF" w:rsidRDefault="00DE45F4" w:rsidP="001A5A94">
      <w:pPr>
        <w:pStyle w:val="Novelizanbod"/>
      </w:pPr>
      <w:r w:rsidRPr="006642AF">
        <w:t>V části druhé hlavě I</w:t>
      </w:r>
      <w:r>
        <w:t> </w:t>
      </w:r>
      <w:r w:rsidRPr="006642AF">
        <w:t>se za oddíl 3 vkládají nové oddíly 4 a</w:t>
      </w:r>
      <w:r>
        <w:t> </w:t>
      </w:r>
      <w:r w:rsidRPr="006642AF">
        <w:t>5, které včetně nadpisů a</w:t>
      </w:r>
      <w:r>
        <w:t> </w:t>
      </w:r>
      <w:r w:rsidRPr="006642AF">
        <w:t>poznámek pod čarou č. 14 až 17 znějí:</w:t>
      </w:r>
    </w:p>
    <w:p w:rsidR="00DE45F4" w:rsidRPr="006642AF" w:rsidRDefault="00DE45F4" w:rsidP="001A5A94">
      <w:pPr>
        <w:pStyle w:val="Oddl"/>
      </w:pPr>
      <w:r w:rsidRPr="006642AF">
        <w:t>„</w:t>
      </w:r>
      <w:r w:rsidR="001A5A94">
        <w:t xml:space="preserve">Oddíl </w:t>
      </w:r>
      <w:r w:rsidRPr="006642AF">
        <w:t>4</w:t>
      </w:r>
    </w:p>
    <w:p w:rsidR="00DE45F4" w:rsidRPr="006642AF" w:rsidRDefault="00DE45F4" w:rsidP="001A5A94">
      <w:pPr>
        <w:pStyle w:val="Nadpisoddlu"/>
      </w:pPr>
      <w:r w:rsidRPr="006642AF">
        <w:t>Zdravotnické prostředky</w:t>
      </w:r>
    </w:p>
    <w:p w:rsidR="00DE45F4" w:rsidRPr="006642AF" w:rsidRDefault="001A5A94" w:rsidP="001A5A94">
      <w:pPr>
        <w:pStyle w:val="Paragraf"/>
        <w:rPr>
          <w:szCs w:val="24"/>
        </w:rPr>
      </w:pPr>
      <w:r>
        <w:t xml:space="preserve">§ </w:t>
      </w:r>
      <w:r w:rsidR="00DE45F4" w:rsidRPr="006642AF">
        <w:rPr>
          <w:szCs w:val="24"/>
        </w:rPr>
        <w:t>27c</w:t>
      </w:r>
    </w:p>
    <w:p w:rsidR="00DE45F4" w:rsidRPr="006642AF" w:rsidRDefault="00DE45F4" w:rsidP="001A5A94">
      <w:pPr>
        <w:pStyle w:val="Textodstavce"/>
        <w:numPr>
          <w:ilvl w:val="6"/>
          <w:numId w:val="29"/>
        </w:numPr>
      </w:pPr>
      <w:r w:rsidRPr="006642AF">
        <w:t>Úřad je v</w:t>
      </w:r>
      <w:r>
        <w:t> </w:t>
      </w:r>
      <w:r w:rsidRPr="006642AF">
        <w:t>České republice orgánem odpovědným za oznámené subjekty podle přímo použitelného předpisu Evropské unie v</w:t>
      </w:r>
      <w:r>
        <w:t> </w:t>
      </w:r>
      <w:r w:rsidRPr="006642AF">
        <w:t>oblasti zdravotnických prostředků</w:t>
      </w:r>
      <w:r w:rsidRPr="001A5A94">
        <w:rPr>
          <w:vertAlign w:val="superscript"/>
        </w:rPr>
        <w:t>14)</w:t>
      </w:r>
      <w:r w:rsidRPr="006642AF">
        <w:t>.</w:t>
      </w:r>
    </w:p>
    <w:p w:rsidR="00DE45F4" w:rsidRPr="006642AF" w:rsidRDefault="00DE45F4" w:rsidP="001A5A94">
      <w:pPr>
        <w:pStyle w:val="Textodstavce"/>
        <w:numPr>
          <w:ilvl w:val="6"/>
          <w:numId w:val="29"/>
        </w:numPr>
      </w:pPr>
      <w:r w:rsidRPr="006642AF">
        <w:t>Odkazuje-li přímo použitelný předpis Evropské unie v</w:t>
      </w:r>
      <w:r>
        <w:t> </w:t>
      </w:r>
      <w:r w:rsidRPr="006642AF">
        <w:t>oblasti zdravotnických prostředků na jazyk určený nebo požadovaný členským státem u</w:t>
      </w:r>
      <w:r>
        <w:t> </w:t>
      </w:r>
      <w:r w:rsidRPr="006642AF">
        <w:t>dokumentů předkládaných orgánu podle odstavce 1 za účelem jmenování subjektů posuzování shody, je tímto jazykem v</w:t>
      </w:r>
      <w:r>
        <w:t> </w:t>
      </w:r>
      <w:r w:rsidRPr="006642AF">
        <w:t>České republice český jazyk.</w:t>
      </w:r>
    </w:p>
    <w:p w:rsidR="00DE45F4" w:rsidRPr="006642AF" w:rsidRDefault="00DE45F4" w:rsidP="001A5A94">
      <w:pPr>
        <w:pStyle w:val="Textodstavce"/>
        <w:numPr>
          <w:ilvl w:val="6"/>
          <w:numId w:val="29"/>
        </w:numPr>
      </w:pPr>
      <w:r w:rsidRPr="006642AF">
        <w:t>V řízení o</w:t>
      </w:r>
      <w:r>
        <w:t> </w:t>
      </w:r>
      <w:r w:rsidRPr="006642AF">
        <w:t>oznámení se lhůta podle § 19 odst. 2 prodlužuje o</w:t>
      </w:r>
      <w:r>
        <w:t> </w:t>
      </w:r>
      <w:r w:rsidRPr="006642AF">
        <w:t>lhůty stanovené v</w:t>
      </w:r>
      <w:r>
        <w:t> </w:t>
      </w:r>
      <w:r w:rsidRPr="006642AF">
        <w:t>přímo použitelném předpisu Evropské unie v</w:t>
      </w:r>
      <w:r>
        <w:t> </w:t>
      </w:r>
      <w:r w:rsidRPr="006642AF">
        <w:t>oblasti zdravotnických prostředků</w:t>
      </w:r>
      <w:r w:rsidRPr="001A5A94">
        <w:rPr>
          <w:vertAlign w:val="superscript"/>
        </w:rPr>
        <w:t>15)</w:t>
      </w:r>
      <w:r w:rsidRPr="006642AF">
        <w:t xml:space="preserve">.  </w:t>
      </w:r>
    </w:p>
    <w:p w:rsidR="00DE45F4" w:rsidRPr="006642AF" w:rsidRDefault="001A5A94" w:rsidP="001A5A94">
      <w:pPr>
        <w:pStyle w:val="Oddl"/>
      </w:pPr>
      <w:r>
        <w:t xml:space="preserve">Oddíl </w:t>
      </w:r>
      <w:r w:rsidR="00DE45F4" w:rsidRPr="006642AF">
        <w:t>5</w:t>
      </w:r>
    </w:p>
    <w:p w:rsidR="00DE45F4" w:rsidRPr="006642AF" w:rsidRDefault="00DE45F4" w:rsidP="001A5A94">
      <w:pPr>
        <w:pStyle w:val="Nadpisoddlu"/>
      </w:pPr>
      <w:r w:rsidRPr="006642AF">
        <w:t>Diagnostické zdravotnické prostředky in vitro</w:t>
      </w:r>
    </w:p>
    <w:p w:rsidR="00DE45F4" w:rsidRPr="006642AF" w:rsidRDefault="001A5A94" w:rsidP="001A5A94">
      <w:pPr>
        <w:pStyle w:val="Paragraf"/>
        <w:rPr>
          <w:szCs w:val="24"/>
        </w:rPr>
      </w:pPr>
      <w:r>
        <w:t xml:space="preserve">§ </w:t>
      </w:r>
      <w:r w:rsidR="00DE45F4" w:rsidRPr="006642AF">
        <w:rPr>
          <w:szCs w:val="24"/>
        </w:rPr>
        <w:t>27d</w:t>
      </w:r>
    </w:p>
    <w:p w:rsidR="00DE45F4" w:rsidRPr="006642AF" w:rsidRDefault="00DE45F4" w:rsidP="001A5A94">
      <w:pPr>
        <w:pStyle w:val="Textodstavce"/>
        <w:numPr>
          <w:ilvl w:val="6"/>
          <w:numId w:val="30"/>
        </w:numPr>
      </w:pPr>
      <w:r w:rsidRPr="006642AF">
        <w:t>Úřad je v</w:t>
      </w:r>
      <w:r>
        <w:t> </w:t>
      </w:r>
      <w:r w:rsidRPr="006642AF">
        <w:t>České republice orgánem odpovědným za oznámené subjekty podle přímo použitelného předpisu Evropské unie v</w:t>
      </w:r>
      <w:r>
        <w:t> </w:t>
      </w:r>
      <w:r w:rsidRPr="006642AF">
        <w:t>oblasti diagnostických zdravotnických prostředků in vitro</w:t>
      </w:r>
      <w:r w:rsidRPr="001A5A94">
        <w:rPr>
          <w:vertAlign w:val="superscript"/>
        </w:rPr>
        <w:t>16)</w:t>
      </w:r>
      <w:r w:rsidRPr="006642AF">
        <w:t>.</w:t>
      </w:r>
    </w:p>
    <w:p w:rsidR="00DE45F4" w:rsidRPr="006642AF" w:rsidRDefault="00DE45F4" w:rsidP="001A5A94">
      <w:pPr>
        <w:pStyle w:val="Textodstavce"/>
        <w:numPr>
          <w:ilvl w:val="6"/>
          <w:numId w:val="30"/>
        </w:numPr>
      </w:pPr>
      <w:r w:rsidRPr="006642AF">
        <w:t>Odkazuje-li přímo použitelný předpis Evropské unie v</w:t>
      </w:r>
      <w:r>
        <w:t> </w:t>
      </w:r>
      <w:r w:rsidRPr="006642AF">
        <w:t>oblasti diagnostických zdravotnických prostředků in vitro na jazyk určený nebo požadovaný členským státem u</w:t>
      </w:r>
      <w:r>
        <w:t> </w:t>
      </w:r>
      <w:r w:rsidRPr="006642AF">
        <w:t>dokumentů předkládaných orgánu podle odstavce 1 za účelem jmenování subjektů posuzování shody, je tímto jazykem v</w:t>
      </w:r>
      <w:r>
        <w:t> </w:t>
      </w:r>
      <w:r w:rsidRPr="006642AF">
        <w:t>České republice český jazyk.</w:t>
      </w:r>
    </w:p>
    <w:p w:rsidR="00DE45F4" w:rsidRPr="006642AF" w:rsidRDefault="00DE45F4" w:rsidP="001A5A94">
      <w:pPr>
        <w:pStyle w:val="Textodstavce"/>
        <w:numPr>
          <w:ilvl w:val="6"/>
          <w:numId w:val="30"/>
        </w:numPr>
      </w:pPr>
      <w:r w:rsidRPr="006642AF">
        <w:t>V</w:t>
      </w:r>
      <w:r>
        <w:t> </w:t>
      </w:r>
      <w:r w:rsidRPr="006642AF">
        <w:t>řízení o</w:t>
      </w:r>
      <w:r>
        <w:t> </w:t>
      </w:r>
      <w:r w:rsidRPr="006642AF">
        <w:t>oznámení se lhůta podle § 19 odst. 2 prodlužuje o</w:t>
      </w:r>
      <w:r>
        <w:t> </w:t>
      </w:r>
      <w:r w:rsidRPr="006642AF">
        <w:t>lhůty stanovené v</w:t>
      </w:r>
      <w:r>
        <w:t> </w:t>
      </w:r>
      <w:r w:rsidRPr="006642AF">
        <w:t>přímo použitelném předpisu Evropské unie v</w:t>
      </w:r>
      <w:r>
        <w:t> </w:t>
      </w:r>
      <w:r w:rsidRPr="006642AF">
        <w:t>oblasti diagnostických zdravotnických prostředků in vitro</w:t>
      </w:r>
      <w:r w:rsidRPr="001A5A94">
        <w:rPr>
          <w:vertAlign w:val="superscript"/>
        </w:rPr>
        <w:t>17)</w:t>
      </w:r>
      <w:r w:rsidRPr="006642AF">
        <w:t xml:space="preserve">.  </w:t>
      </w:r>
    </w:p>
    <w:p w:rsidR="00DE45F4" w:rsidRPr="006642AF" w:rsidRDefault="00DE45F4" w:rsidP="001A5A9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6642AF">
        <w:rPr>
          <w:rFonts w:ascii="Times New Roman" w:hAnsi="Times New Roman"/>
          <w:sz w:val="24"/>
          <w:szCs w:val="24"/>
        </w:rPr>
        <w:t>_____</w:t>
      </w:r>
      <w:r w:rsidR="00AF085F">
        <w:rPr>
          <w:rFonts w:ascii="Times New Roman" w:hAnsi="Times New Roman"/>
          <w:sz w:val="24"/>
          <w:szCs w:val="24"/>
        </w:rPr>
        <w:t>________</w:t>
      </w:r>
    </w:p>
    <w:p w:rsidR="00DE45F4" w:rsidRPr="006642AF" w:rsidRDefault="00DE45F4" w:rsidP="00AF085F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42AF">
        <w:rPr>
          <w:rFonts w:ascii="Times New Roman" w:hAnsi="Times New Roman"/>
          <w:sz w:val="24"/>
          <w:szCs w:val="24"/>
          <w:vertAlign w:val="superscript"/>
        </w:rPr>
        <w:t>14)</w:t>
      </w:r>
      <w:r w:rsidR="00AF085F">
        <w:rPr>
          <w:rFonts w:ascii="Times New Roman" w:hAnsi="Times New Roman"/>
          <w:sz w:val="24"/>
          <w:szCs w:val="24"/>
          <w:vertAlign w:val="superscript"/>
        </w:rPr>
        <w:tab/>
      </w:r>
      <w:r w:rsidRPr="006642AF">
        <w:rPr>
          <w:rFonts w:ascii="Times New Roman" w:hAnsi="Times New Roman"/>
          <w:sz w:val="24"/>
          <w:szCs w:val="24"/>
        </w:rPr>
        <w:t>Nařízení Evropského parlamentu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Rady (EU) 2017/745 ze dne 5. dubna 2017 o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zdravotnických prostředcích, změně směrnice 2001/83/ES, nařízení (ES) č. 178/2002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nařízení (ES) č. 1223/2009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o zrušení směrnic Rady 90/385/EHS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93/42/EHS.</w:t>
      </w:r>
    </w:p>
    <w:p w:rsidR="00DE45F4" w:rsidRPr="006642AF" w:rsidRDefault="00DE45F4" w:rsidP="00AF085F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642AF">
        <w:rPr>
          <w:rFonts w:ascii="Times New Roman" w:hAnsi="Times New Roman"/>
          <w:sz w:val="24"/>
          <w:szCs w:val="24"/>
          <w:vertAlign w:val="superscript"/>
        </w:rPr>
        <w:t>15)</w:t>
      </w:r>
      <w:r w:rsidR="00AF085F">
        <w:rPr>
          <w:rFonts w:ascii="Times New Roman" w:hAnsi="Times New Roman"/>
          <w:sz w:val="24"/>
          <w:szCs w:val="24"/>
          <w:vertAlign w:val="superscript"/>
        </w:rPr>
        <w:tab/>
      </w:r>
      <w:r w:rsidRPr="006642AF">
        <w:rPr>
          <w:rFonts w:ascii="Times New Roman" w:hAnsi="Times New Roman"/>
          <w:sz w:val="24"/>
          <w:szCs w:val="24"/>
        </w:rPr>
        <w:t>Čl. 39</w:t>
      </w:r>
      <w:r w:rsidRPr="006642A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642AF">
        <w:rPr>
          <w:rFonts w:ascii="Times New Roman" w:hAnsi="Times New Roman"/>
          <w:sz w:val="24"/>
          <w:szCs w:val="24"/>
        </w:rPr>
        <w:t>nařízení Evropského parlamentu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Rady (EU) 2017/745.</w:t>
      </w:r>
    </w:p>
    <w:p w:rsidR="00DE45F4" w:rsidRPr="006642AF" w:rsidRDefault="00DE45F4" w:rsidP="00AF085F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42AF">
        <w:rPr>
          <w:rFonts w:ascii="Times New Roman" w:hAnsi="Times New Roman"/>
          <w:sz w:val="24"/>
          <w:szCs w:val="24"/>
          <w:vertAlign w:val="superscript"/>
        </w:rPr>
        <w:t>16)</w:t>
      </w:r>
      <w:r w:rsidR="00AF085F">
        <w:rPr>
          <w:rFonts w:ascii="Times New Roman" w:hAnsi="Times New Roman"/>
          <w:sz w:val="24"/>
          <w:szCs w:val="24"/>
          <w:vertAlign w:val="superscript"/>
        </w:rPr>
        <w:tab/>
      </w:r>
      <w:r w:rsidRPr="006642AF">
        <w:rPr>
          <w:rFonts w:ascii="Times New Roman" w:hAnsi="Times New Roman"/>
          <w:sz w:val="24"/>
          <w:szCs w:val="24"/>
        </w:rPr>
        <w:t>Nařízení Evropského parlamentu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Rady (EU) 2017/746 ze dne 5. dubna 2017 o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diagnostických zdravotnických prostředcích in vitro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o zrušení směrnice 98/79/ES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rozhodnutí Komise 2010/227/EU.</w:t>
      </w:r>
    </w:p>
    <w:p w:rsidR="001A5A94" w:rsidRDefault="00DE45F4" w:rsidP="00AF085F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642AF">
        <w:rPr>
          <w:rFonts w:ascii="Times New Roman" w:hAnsi="Times New Roman"/>
          <w:sz w:val="24"/>
          <w:szCs w:val="24"/>
          <w:vertAlign w:val="superscript"/>
        </w:rPr>
        <w:t>17)</w:t>
      </w:r>
      <w:r w:rsidR="00AF085F">
        <w:rPr>
          <w:rFonts w:ascii="Times New Roman" w:hAnsi="Times New Roman"/>
          <w:sz w:val="24"/>
          <w:szCs w:val="24"/>
          <w:vertAlign w:val="superscript"/>
        </w:rPr>
        <w:tab/>
      </w:r>
      <w:r w:rsidRPr="006642AF">
        <w:rPr>
          <w:rFonts w:ascii="Times New Roman" w:hAnsi="Times New Roman"/>
          <w:sz w:val="24"/>
          <w:szCs w:val="24"/>
        </w:rPr>
        <w:t>Čl. 35</w:t>
      </w:r>
      <w:r w:rsidRPr="006642A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6642AF">
        <w:rPr>
          <w:rFonts w:ascii="Times New Roman" w:hAnsi="Times New Roman"/>
          <w:sz w:val="24"/>
          <w:szCs w:val="24"/>
        </w:rPr>
        <w:t>nařízení Evropského parlamentu a</w:t>
      </w:r>
      <w:r>
        <w:rPr>
          <w:rFonts w:ascii="Times New Roman" w:hAnsi="Times New Roman"/>
          <w:sz w:val="24"/>
          <w:szCs w:val="24"/>
        </w:rPr>
        <w:t> </w:t>
      </w:r>
      <w:r w:rsidRPr="006642AF">
        <w:rPr>
          <w:rFonts w:ascii="Times New Roman" w:hAnsi="Times New Roman"/>
          <w:sz w:val="24"/>
          <w:szCs w:val="24"/>
        </w:rPr>
        <w:t>Rady (EU) 2017/746.“.</w:t>
      </w:r>
    </w:p>
    <w:p w:rsidR="00DE45F4" w:rsidRPr="006642AF" w:rsidRDefault="00DE45F4" w:rsidP="001A5A94">
      <w:pPr>
        <w:pStyle w:val="Novelizanbod"/>
      </w:pPr>
      <w:r w:rsidRPr="006642AF">
        <w:t>V § 54 odst. 2 písm. a) se slovo „nebo“ zrušuje.</w:t>
      </w:r>
    </w:p>
    <w:p w:rsidR="00DE45F4" w:rsidRPr="006642AF" w:rsidRDefault="00DE45F4" w:rsidP="001A5A94">
      <w:pPr>
        <w:pStyle w:val="Novelizanbod"/>
      </w:pPr>
      <w:r w:rsidRPr="006642AF">
        <w:t>V § 54 se na konci odstavce 2 tečka nahrazuje slovem</w:t>
      </w:r>
      <w:r>
        <w:t xml:space="preserve"> „</w:t>
      </w:r>
      <w:r w:rsidR="008F0BB1">
        <w:t xml:space="preserve"> </w:t>
      </w:r>
      <w:r>
        <w:t xml:space="preserve">, </w:t>
      </w:r>
      <w:r w:rsidRPr="006642AF">
        <w:t>nebo“ a</w:t>
      </w:r>
      <w:r>
        <w:t> </w:t>
      </w:r>
      <w:r w:rsidRPr="006642AF">
        <w:t>doplňuje se písmeno c), které zní:</w:t>
      </w:r>
    </w:p>
    <w:p w:rsidR="00DE45F4" w:rsidRPr="006642AF" w:rsidRDefault="00DE45F4" w:rsidP="001A5A94">
      <w:pPr>
        <w:pStyle w:val="Psmeno"/>
      </w:pPr>
      <w:r w:rsidRPr="006642AF">
        <w:t>„c)</w:t>
      </w:r>
      <w:r>
        <w:tab/>
      </w:r>
      <w:r w:rsidRPr="006642AF">
        <w:t>nesplní některou z</w:t>
      </w:r>
      <w:r>
        <w:t> </w:t>
      </w:r>
      <w:r w:rsidRPr="006642AF">
        <w:t>povinností oznámeného subjektu podle přímo použitelného předpisu Evropské unie uvedeného v</w:t>
      </w:r>
      <w:r>
        <w:t> </w:t>
      </w:r>
      <w:r w:rsidRPr="006642AF">
        <w:t>§ 27 až 27d.“.</w:t>
      </w:r>
    </w:p>
    <w:p w:rsidR="00DE45F4" w:rsidRPr="006642AF" w:rsidRDefault="00DE45F4" w:rsidP="001A5A94">
      <w:pPr>
        <w:pStyle w:val="Novelizanbod"/>
      </w:pPr>
      <w:r w:rsidRPr="006642AF">
        <w:t>V § 54 odst. 5 se na konci textu písmene c) doplňují slova „nebo c)“.</w:t>
      </w:r>
    </w:p>
    <w:p w:rsidR="00DE45F4" w:rsidRPr="006642AF" w:rsidRDefault="008F0BB1" w:rsidP="008F0BB1">
      <w:pPr>
        <w:pStyle w:val="ST"/>
      </w:pPr>
      <w:r>
        <w:t xml:space="preserve">ČÁST </w:t>
      </w:r>
      <w:r w:rsidR="00DE45F4" w:rsidRPr="006642AF">
        <w:t>TŘETÍ</w:t>
      </w:r>
    </w:p>
    <w:p w:rsidR="00DE45F4" w:rsidRPr="006642AF" w:rsidRDefault="00DE45F4" w:rsidP="008F0BB1">
      <w:pPr>
        <w:pStyle w:val="NADPISSTI"/>
      </w:pPr>
      <w:r w:rsidRPr="006642AF">
        <w:t xml:space="preserve">ÚČINNOST </w:t>
      </w:r>
    </w:p>
    <w:p w:rsidR="00DE45F4" w:rsidRPr="006642AF" w:rsidRDefault="008F0BB1" w:rsidP="008F0BB1">
      <w:pPr>
        <w:pStyle w:val="lnek"/>
      </w:pPr>
      <w:r>
        <w:t xml:space="preserve">Čl. </w:t>
      </w:r>
      <w:r w:rsidR="00DE45F4" w:rsidRPr="006642AF">
        <w:t>IV</w:t>
      </w:r>
    </w:p>
    <w:p w:rsidR="00DE45F4" w:rsidRDefault="00DE45F4" w:rsidP="008F0BB1">
      <w:pPr>
        <w:pStyle w:val="Textlnku"/>
      </w:pPr>
      <w:r w:rsidRPr="006642AF">
        <w:t xml:space="preserve">Tento zákon nabývá účinnosti </w:t>
      </w:r>
      <w:r w:rsidR="006C2937">
        <w:t>patnáctým</w:t>
      </w:r>
      <w:r w:rsidRPr="006642AF">
        <w:t xml:space="preserve"> dnem po </w:t>
      </w:r>
      <w:r w:rsidR="002575B8">
        <w:t xml:space="preserve">dni </w:t>
      </w:r>
      <w:r w:rsidRPr="006642AF">
        <w:t>jeho vyhlášení.</w:t>
      </w:r>
    </w:p>
    <w:sectPr w:rsidR="00DE45F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F4" w:rsidRDefault="00DE45F4">
      <w:r>
        <w:separator/>
      </w:r>
    </w:p>
  </w:endnote>
  <w:endnote w:type="continuationSeparator" w:id="0">
    <w:p w:rsidR="00DE45F4" w:rsidRDefault="00DE4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F4" w:rsidRDefault="00DE45F4">
      <w:r>
        <w:separator/>
      </w:r>
    </w:p>
  </w:footnote>
  <w:footnote w:type="continuationSeparator" w:id="0">
    <w:p w:rsidR="00DE45F4" w:rsidRDefault="00DE4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DD" w:rsidRDefault="00DE45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735DD" w:rsidRDefault="00C735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5DD" w:rsidRDefault="00DE45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462C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C735DD" w:rsidRDefault="00C735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EB90559"/>
    <w:multiLevelType w:val="hybridMultilevel"/>
    <w:tmpl w:val="F816056A"/>
    <w:lvl w:ilvl="0" w:tplc="131EED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8EC5608"/>
    <w:multiLevelType w:val="hybridMultilevel"/>
    <w:tmpl w:val="904638A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A0B82498">
      <w:start w:val="1"/>
      <w:numFmt w:val="decimal"/>
      <w:lvlText w:val="%7."/>
      <w:lvlJc w:val="left"/>
      <w:pPr>
        <w:ind w:left="5760" w:hanging="360"/>
      </w:pPr>
      <w:rPr>
        <w:rFonts w:cs="Times New Roman"/>
        <w:b w:val="0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19"/>
  </w:num>
  <w:num w:numId="6">
    <w:abstractNumId w:val="4"/>
  </w:num>
  <w:num w:numId="7">
    <w:abstractNumId w:val="13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21"/>
  </w:num>
  <w:num w:numId="13">
    <w:abstractNumId w:val="11"/>
  </w:num>
  <w:num w:numId="14">
    <w:abstractNumId w:val="18"/>
  </w:num>
  <w:num w:numId="15">
    <w:abstractNumId w:val="10"/>
  </w:num>
  <w:num w:numId="16">
    <w:abstractNumId w:val="17"/>
  </w:num>
  <w:num w:numId="17">
    <w:abstractNumId w:val="5"/>
  </w:num>
  <w:num w:numId="18">
    <w:abstractNumId w:val="14"/>
  </w:num>
  <w:num w:numId="19">
    <w:abstractNumId w:val="20"/>
  </w:num>
  <w:num w:numId="20">
    <w:abstractNumId w:val="15"/>
  </w:num>
  <w:num w:numId="21">
    <w:abstractNumId w:val="12"/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E45F4"/>
    <w:rsid w:val="001A5A94"/>
    <w:rsid w:val="002575B8"/>
    <w:rsid w:val="005E1914"/>
    <w:rsid w:val="006375ED"/>
    <w:rsid w:val="006C2937"/>
    <w:rsid w:val="008F0BB1"/>
    <w:rsid w:val="00AF085F"/>
    <w:rsid w:val="00B41688"/>
    <w:rsid w:val="00C735DD"/>
    <w:rsid w:val="00D9462C"/>
    <w:rsid w:val="00DE45F4"/>
    <w:rsid w:val="00F3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A64BB-A784-482E-BD6F-1CCC47121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462C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9462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9462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9462C"/>
  </w:style>
  <w:style w:type="paragraph" w:styleId="Zhlav">
    <w:name w:val="header"/>
    <w:basedOn w:val="Normln"/>
    <w:semiHidden/>
    <w:rsid w:val="00D9462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9462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9462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9462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9462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9462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9462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9462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9462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9462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9462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9462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9462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9462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9462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9462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9462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9462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9462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9462C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9462C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9462C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9462C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9462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9462C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D9462C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D9462C"/>
    <w:rPr>
      <w:vertAlign w:val="superscript"/>
    </w:rPr>
  </w:style>
  <w:style w:type="paragraph" w:styleId="Odstavecseseznamem">
    <w:name w:val="List Paragraph"/>
    <w:basedOn w:val="Normln"/>
    <w:uiPriority w:val="34"/>
    <w:unhideWhenUsed/>
    <w:qFormat/>
    <w:rsid w:val="00DE45F4"/>
    <w:pPr>
      <w:ind w:left="720"/>
      <w:contextualSpacing/>
    </w:pPr>
  </w:style>
  <w:style w:type="paragraph" w:customStyle="1" w:styleId="Textodstavce">
    <w:name w:val="Text odstavce"/>
    <w:basedOn w:val="Normln"/>
    <w:rsid w:val="00D9462C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9462C"/>
    <w:pPr>
      <w:ind w:left="567" w:hanging="567"/>
    </w:pPr>
  </w:style>
  <w:style w:type="character" w:styleId="slostrnky">
    <w:name w:val="page number"/>
    <w:basedOn w:val="Standardnpsmoodstavce"/>
    <w:semiHidden/>
    <w:rsid w:val="00D9462C"/>
  </w:style>
  <w:style w:type="paragraph" w:styleId="Zpat">
    <w:name w:val="footer"/>
    <w:basedOn w:val="Normln"/>
    <w:semiHidden/>
    <w:rsid w:val="00D9462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9462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D9462C"/>
    <w:rPr>
      <w:vertAlign w:val="superscript"/>
    </w:rPr>
  </w:style>
  <w:style w:type="paragraph" w:styleId="Titulek">
    <w:name w:val="caption"/>
    <w:basedOn w:val="Normln"/>
    <w:next w:val="Normln"/>
    <w:qFormat/>
    <w:rsid w:val="00D9462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9462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9462C"/>
    <w:pPr>
      <w:keepNext/>
      <w:keepLines/>
      <w:spacing w:before="720"/>
      <w:jc w:val="center"/>
    </w:pPr>
  </w:style>
  <w:style w:type="paragraph" w:styleId="Bezmezer">
    <w:name w:val="No Spacing"/>
    <w:uiPriority w:val="1"/>
    <w:qFormat/>
    <w:rsid w:val="00DE45F4"/>
    <w:rPr>
      <w:rFonts w:ascii="Calibri" w:hAnsi="Calibri"/>
      <w:sz w:val="22"/>
      <w:szCs w:val="22"/>
      <w:lang w:eastAsia="en-US"/>
    </w:rPr>
  </w:style>
  <w:style w:type="paragraph" w:customStyle="1" w:styleId="VARIANTA">
    <w:name w:val="VARIANTA"/>
    <w:basedOn w:val="Normln"/>
    <w:next w:val="Normln"/>
    <w:rsid w:val="00D9462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9462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9462C"/>
    <w:rPr>
      <w:b/>
    </w:rPr>
  </w:style>
  <w:style w:type="paragraph" w:customStyle="1" w:styleId="Nadpislnku">
    <w:name w:val="Nadpis článku"/>
    <w:basedOn w:val="lnek"/>
    <w:next w:val="Textodstavce"/>
    <w:rsid w:val="00D9462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08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0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19</TotalTime>
  <Pages>6</Pages>
  <Words>1819</Words>
  <Characters>9979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6</cp:revision>
  <cp:lastPrinted>2020-09-18T08:47:00Z</cp:lastPrinted>
  <dcterms:created xsi:type="dcterms:W3CDTF">2020-09-18T08:07:00Z</dcterms:created>
  <dcterms:modified xsi:type="dcterms:W3CDTF">2020-09-23T09:05:00Z</dcterms:modified>
  <cp:category/>
</cp:coreProperties>
</file>