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45920916"/>
    <w:bookmarkStart w:id="1" w:name="_Hlk145920787"/>
    <w:p w14:paraId="623B5CD1" w14:textId="77777777" w:rsidR="00C152FE" w:rsidRDefault="004D7BE9" w:rsidP="007A333A">
      <w:pPr>
        <w:widowControl w:val="0"/>
        <w:suppressAutoHyphens/>
        <w:spacing w:after="0" w:line="360" w:lineRule="auto"/>
        <w:jc w:val="center"/>
        <w:rPr>
          <w:rFonts w:ascii="Times New Roman" w:eastAsia="Arial Unicode MS" w:hAnsi="Times New Roman" w:cs="Times New Roman"/>
          <w:b/>
          <w:bCs/>
          <w:sz w:val="36"/>
          <w:szCs w:val="36"/>
          <w:lang w:eastAsia="zh-CN" w:bidi="hi-IN"/>
          <w14:ligatures w14:val="none"/>
        </w:rPr>
      </w:pPr>
      <w:r w:rsidRPr="004D7BE9">
        <w:rPr>
          <w:rFonts w:ascii="Times New Roman" w:eastAsia="Arial Unicode MS" w:hAnsi="Times New Roman" w:cs="Times New Roman"/>
          <w:noProof/>
          <w:sz w:val="24"/>
          <w:szCs w:val="24"/>
          <w:lang w:eastAsia="zh-CN"/>
        </w:rPr>
        <w:object w:dxaOrig="1515" w:dyaOrig="1935" w14:anchorId="0A989F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7pt;height:96.35pt;mso-width-percent:0;mso-height-percent:0;mso-width-percent:0;mso-height-percent:0" o:ole="">
            <v:imagedata r:id="rId7" o:title=""/>
          </v:shape>
          <o:OLEObject Type="Embed" ProgID="Visio.Drawing.15" ShapeID="_x0000_i1025" DrawAspect="Content" ObjectID="_1789296279" r:id="rId8"/>
        </w:object>
      </w:r>
      <w:bookmarkEnd w:id="0"/>
    </w:p>
    <w:p w14:paraId="1A64A99A" w14:textId="77777777" w:rsidR="00C152FE" w:rsidRDefault="00C152FE" w:rsidP="00C152FE">
      <w:pPr>
        <w:widowControl w:val="0"/>
        <w:suppressAutoHyphens/>
        <w:spacing w:after="120" w:line="360" w:lineRule="auto"/>
        <w:rPr>
          <w:rFonts w:ascii="Times New Roman" w:eastAsia="Arial Unicode MS" w:hAnsi="Times New Roman" w:cs="Times New Roman"/>
          <w:sz w:val="28"/>
          <w:szCs w:val="24"/>
          <w:lang w:eastAsia="zh-CN" w:bidi="hi-IN"/>
          <w14:ligatures w14:val="none"/>
        </w:rPr>
      </w:pPr>
    </w:p>
    <w:p w14:paraId="22CB2D19" w14:textId="77777777" w:rsidR="00C152FE" w:rsidRDefault="00C152FE" w:rsidP="00C152FE">
      <w:pPr>
        <w:widowControl w:val="0"/>
        <w:suppressAutoHyphens/>
        <w:spacing w:after="0" w:line="360" w:lineRule="auto"/>
        <w:jc w:val="center"/>
        <w:rPr>
          <w:rFonts w:ascii="Times New Roman" w:eastAsia="Arial Unicode MS" w:hAnsi="Times New Roman" w:cs="Times New Roman"/>
          <w:b/>
          <w:bCs/>
          <w:sz w:val="36"/>
          <w:szCs w:val="36"/>
          <w:lang w:eastAsia="zh-CN" w:bidi="hi-IN"/>
          <w14:ligatures w14:val="none"/>
        </w:rPr>
      </w:pPr>
      <w:r>
        <w:rPr>
          <w:rFonts w:ascii="Times New Roman" w:eastAsia="Arial Unicode MS" w:hAnsi="Times New Roman" w:cs="Times New Roman"/>
          <w:b/>
          <w:bCs/>
          <w:sz w:val="36"/>
          <w:szCs w:val="36"/>
          <w:lang w:eastAsia="zh-CN" w:bidi="hi-IN"/>
          <w14:ligatures w14:val="none"/>
        </w:rPr>
        <w:t>PARLAMENT ČESKÉ REPUBLIKY</w:t>
      </w:r>
    </w:p>
    <w:p w14:paraId="678DDBBD" w14:textId="77777777" w:rsidR="00C152FE" w:rsidRDefault="00C152FE" w:rsidP="00C152FE">
      <w:pPr>
        <w:widowControl w:val="0"/>
        <w:tabs>
          <w:tab w:val="center" w:pos="4536"/>
          <w:tab w:val="right" w:pos="9072"/>
        </w:tabs>
        <w:suppressAutoHyphens/>
        <w:spacing w:after="0" w:line="360" w:lineRule="auto"/>
        <w:rPr>
          <w:rFonts w:ascii="Times New Roman" w:eastAsia="Arial Unicode MS" w:hAnsi="Times New Roman" w:cs="Times New Roman"/>
          <w:sz w:val="36"/>
          <w:szCs w:val="24"/>
          <w:lang w:eastAsia="zh-CN"/>
          <w14:ligatures w14:val="none"/>
        </w:rPr>
      </w:pPr>
      <w:r>
        <w:rPr>
          <w:rFonts w:ascii="Times New Roman" w:eastAsia="Arial Unicode MS" w:hAnsi="Times New Roman" w:cs="Times New Roman"/>
          <w:sz w:val="36"/>
          <w:szCs w:val="24"/>
          <w:lang w:eastAsia="zh-CN"/>
          <w14:ligatures w14:val="none"/>
        </w:rPr>
        <w:tab/>
        <w:t>Poslanecká sněmovna</w:t>
      </w:r>
      <w:r>
        <w:rPr>
          <w:rFonts w:ascii="Times New Roman" w:eastAsia="Arial Unicode MS" w:hAnsi="Times New Roman" w:cs="Times New Roman"/>
          <w:sz w:val="36"/>
          <w:szCs w:val="24"/>
          <w:lang w:eastAsia="zh-CN"/>
          <w14:ligatures w14:val="none"/>
        </w:rPr>
        <w:tab/>
      </w:r>
    </w:p>
    <w:p w14:paraId="4833E2B0" w14:textId="77777777" w:rsidR="00C152FE" w:rsidRDefault="00C152FE" w:rsidP="00C152FE">
      <w:pPr>
        <w:widowControl w:val="0"/>
        <w:suppressAutoHyphens/>
        <w:spacing w:after="0" w:line="360" w:lineRule="auto"/>
        <w:jc w:val="center"/>
        <w:rPr>
          <w:rFonts w:ascii="Times New Roman" w:eastAsia="Arial Unicode MS" w:hAnsi="Times New Roman" w:cs="Times New Roman"/>
          <w:sz w:val="36"/>
          <w:szCs w:val="24"/>
          <w:lang w:eastAsia="zh-CN"/>
          <w14:ligatures w14:val="none"/>
        </w:rPr>
      </w:pPr>
      <w:r>
        <w:rPr>
          <w:rFonts w:ascii="Times New Roman" w:eastAsia="Arial Unicode MS" w:hAnsi="Times New Roman" w:cs="Times New Roman"/>
          <w:sz w:val="36"/>
          <w:szCs w:val="24"/>
          <w:lang w:eastAsia="zh-CN"/>
          <w14:ligatures w14:val="none"/>
        </w:rPr>
        <w:t>2024</w:t>
      </w:r>
    </w:p>
    <w:p w14:paraId="098C4B8A" w14:textId="77777777" w:rsidR="00C152FE" w:rsidRDefault="00C152FE" w:rsidP="00C152FE">
      <w:pPr>
        <w:widowControl w:val="0"/>
        <w:suppressAutoHyphens/>
        <w:spacing w:after="0" w:line="360" w:lineRule="auto"/>
        <w:jc w:val="center"/>
        <w:rPr>
          <w:rFonts w:ascii="Times New Roman" w:eastAsia="Arial Unicode MS" w:hAnsi="Times New Roman" w:cs="Times New Roman"/>
          <w:sz w:val="36"/>
          <w:szCs w:val="24"/>
          <w:lang w:eastAsia="zh-CN"/>
          <w14:ligatures w14:val="none"/>
        </w:rPr>
      </w:pPr>
    </w:p>
    <w:p w14:paraId="663A9930" w14:textId="77777777" w:rsidR="00C152FE" w:rsidRDefault="00C152FE" w:rsidP="00C152FE">
      <w:pPr>
        <w:widowControl w:val="0"/>
        <w:suppressAutoHyphens/>
        <w:spacing w:after="0" w:line="360" w:lineRule="auto"/>
        <w:jc w:val="center"/>
        <w:rPr>
          <w:rFonts w:ascii="Times New Roman" w:eastAsia="Arial Unicode MS" w:hAnsi="Times New Roman" w:cs="Times New Roman"/>
          <w:sz w:val="28"/>
          <w:szCs w:val="24"/>
          <w:lang w:eastAsia="zh-CN"/>
          <w14:ligatures w14:val="none"/>
        </w:rPr>
      </w:pPr>
      <w:r>
        <w:rPr>
          <w:rFonts w:ascii="Times New Roman" w:eastAsia="Arial Unicode MS" w:hAnsi="Times New Roman" w:cs="Times New Roman"/>
          <w:sz w:val="36"/>
          <w:szCs w:val="24"/>
          <w:lang w:eastAsia="zh-CN"/>
          <w14:ligatures w14:val="none"/>
        </w:rPr>
        <w:t>IX. volební období</w:t>
      </w:r>
    </w:p>
    <w:p w14:paraId="7113BF25" w14:textId="77777777" w:rsidR="00C152FE" w:rsidRDefault="00C152FE" w:rsidP="00C152FE">
      <w:pPr>
        <w:widowControl w:val="0"/>
        <w:suppressAutoHyphens/>
        <w:spacing w:before="200" w:after="200" w:line="360" w:lineRule="auto"/>
        <w:jc w:val="center"/>
        <w:rPr>
          <w:rFonts w:ascii="Times New Roman" w:eastAsia="Arial Unicode MS" w:hAnsi="Times New Roman" w:cs="Times New Roman"/>
          <w:sz w:val="28"/>
          <w:szCs w:val="28"/>
          <w:lang w:eastAsia="zh-CN"/>
          <w14:ligatures w14:val="none"/>
        </w:rPr>
      </w:pPr>
      <w:r>
        <w:rPr>
          <w:rFonts w:ascii="Times New Roman" w:eastAsia="Arial Unicode MS" w:hAnsi="Times New Roman" w:cs="Times New Roman"/>
          <w:sz w:val="28"/>
          <w:szCs w:val="28"/>
          <w:lang w:eastAsia="zh-CN"/>
          <w14:ligatures w14:val="none"/>
        </w:rPr>
        <w:t>___________________________________________________________</w:t>
      </w:r>
    </w:p>
    <w:p w14:paraId="1D98E02F" w14:textId="77777777" w:rsidR="00C152FE" w:rsidRDefault="00C152FE" w:rsidP="00C152FE">
      <w:pPr>
        <w:widowControl w:val="0"/>
        <w:suppressAutoHyphens/>
        <w:spacing w:after="120" w:line="360" w:lineRule="auto"/>
        <w:rPr>
          <w:rFonts w:ascii="Times New Roman" w:eastAsia="Arial" w:hAnsi="Times New Roman" w:cs="Times New Roman"/>
          <w:b/>
          <w:bCs/>
          <w:sz w:val="32"/>
          <w:szCs w:val="32"/>
          <w:lang w:eastAsia="zh-CN" w:bidi="hi-IN"/>
          <w14:ligatures w14:val="none"/>
        </w:rPr>
      </w:pPr>
    </w:p>
    <w:p w14:paraId="0CDD3ABA" w14:textId="77777777" w:rsidR="00C152FE" w:rsidRDefault="00C152FE" w:rsidP="00C152FE">
      <w:pPr>
        <w:widowControl w:val="0"/>
        <w:suppressAutoHyphens/>
        <w:spacing w:after="120" w:line="360" w:lineRule="auto"/>
        <w:jc w:val="center"/>
        <w:rPr>
          <w:rFonts w:ascii="Times New Roman" w:eastAsia="Arial" w:hAnsi="Times New Roman" w:cs="Times New Roman"/>
          <w:b/>
          <w:bCs/>
          <w:sz w:val="32"/>
          <w:szCs w:val="32"/>
          <w:lang w:eastAsia="zh-CN" w:bidi="hi-IN"/>
          <w14:ligatures w14:val="none"/>
        </w:rPr>
      </w:pPr>
      <w:r>
        <w:rPr>
          <w:rFonts w:ascii="Times New Roman" w:eastAsia="Arial" w:hAnsi="Times New Roman" w:cs="Times New Roman"/>
          <w:b/>
          <w:bCs/>
          <w:sz w:val="32"/>
          <w:szCs w:val="32"/>
          <w:lang w:eastAsia="zh-CN" w:bidi="hi-IN"/>
          <w14:ligatures w14:val="none"/>
        </w:rPr>
        <w:t>Pozměňovací návrh</w:t>
      </w:r>
    </w:p>
    <w:p w14:paraId="1E22A845" w14:textId="77777777" w:rsidR="00C152FE" w:rsidRDefault="00C152FE" w:rsidP="00C152FE">
      <w:pPr>
        <w:spacing w:after="0" w:line="360" w:lineRule="auto"/>
        <w:jc w:val="both"/>
        <w:rPr>
          <w:rFonts w:ascii="Times New Roman" w:eastAsia="Times New Roman" w:hAnsi="Times New Roman" w:cs="Times New Roman"/>
          <w:b/>
          <w:bCs/>
          <w:kern w:val="0"/>
          <w:sz w:val="28"/>
          <w:szCs w:val="24"/>
          <w:lang w:eastAsia="cs-CZ"/>
          <w14:ligatures w14:val="none"/>
        </w:rPr>
      </w:pPr>
    </w:p>
    <w:p w14:paraId="28DED3AC" w14:textId="77777777" w:rsidR="005A419B" w:rsidRDefault="005A419B" w:rsidP="005A419B">
      <w:pPr>
        <w:spacing w:line="240" w:lineRule="auto"/>
        <w:jc w:val="center"/>
        <w:rPr>
          <w:rFonts w:ascii="Times New Roman" w:hAnsi="Times New Roman"/>
          <w:b/>
          <w:sz w:val="28"/>
          <w:szCs w:val="28"/>
        </w:rPr>
      </w:pPr>
      <w:r>
        <w:rPr>
          <w:rFonts w:ascii="Times New Roman" w:hAnsi="Times New Roman"/>
          <w:b/>
          <w:sz w:val="28"/>
          <w:szCs w:val="28"/>
        </w:rPr>
        <w:t xml:space="preserve">poslanců </w:t>
      </w:r>
    </w:p>
    <w:p w14:paraId="78A9C897" w14:textId="076B4754" w:rsidR="00C152FE" w:rsidRDefault="005A419B" w:rsidP="005A419B">
      <w:pPr>
        <w:spacing w:after="360" w:line="360" w:lineRule="auto"/>
        <w:jc w:val="center"/>
        <w:rPr>
          <w:rFonts w:ascii="Times New Roman" w:eastAsia="Times New Roman" w:hAnsi="Times New Roman" w:cs="Times New Roman"/>
          <w:b/>
          <w:kern w:val="0"/>
          <w:sz w:val="28"/>
          <w:szCs w:val="28"/>
          <w:lang w:eastAsia="cs-CZ"/>
          <w14:ligatures w14:val="none"/>
        </w:rPr>
      </w:pPr>
      <w:r>
        <w:rPr>
          <w:rFonts w:ascii="Times New Roman" w:hAnsi="Times New Roman"/>
          <w:b/>
          <w:sz w:val="28"/>
          <w:szCs w:val="28"/>
        </w:rPr>
        <w:t xml:space="preserve">Aleše Juchelky, Andrey </w:t>
      </w:r>
      <w:proofErr w:type="spellStart"/>
      <w:r>
        <w:rPr>
          <w:rFonts w:ascii="Times New Roman" w:hAnsi="Times New Roman"/>
          <w:b/>
          <w:sz w:val="28"/>
          <w:szCs w:val="28"/>
        </w:rPr>
        <w:t>Babišové</w:t>
      </w:r>
      <w:proofErr w:type="spellEnd"/>
      <w:r>
        <w:rPr>
          <w:rFonts w:ascii="Times New Roman" w:hAnsi="Times New Roman"/>
          <w:b/>
          <w:sz w:val="28"/>
          <w:szCs w:val="28"/>
        </w:rPr>
        <w:t xml:space="preserve">, Lenky Dražilové, Jany Hanzlíkové, Igora Hendrycha, Renaty Oulehlové, Jany Pastuchové, Miroslava </w:t>
      </w:r>
      <w:proofErr w:type="spellStart"/>
      <w:r>
        <w:rPr>
          <w:rFonts w:ascii="Times New Roman" w:hAnsi="Times New Roman"/>
          <w:b/>
          <w:sz w:val="28"/>
          <w:szCs w:val="28"/>
        </w:rPr>
        <w:t>Samaše</w:t>
      </w:r>
      <w:proofErr w:type="spellEnd"/>
      <w:r>
        <w:rPr>
          <w:rFonts w:ascii="Times New Roman" w:hAnsi="Times New Roman"/>
          <w:b/>
          <w:sz w:val="28"/>
          <w:szCs w:val="28"/>
        </w:rPr>
        <w:t xml:space="preserve">, Aleny Schillerové a Andreje </w:t>
      </w:r>
      <w:proofErr w:type="spellStart"/>
      <w:r>
        <w:rPr>
          <w:rFonts w:ascii="Times New Roman" w:hAnsi="Times New Roman"/>
          <w:b/>
          <w:sz w:val="28"/>
          <w:szCs w:val="28"/>
        </w:rPr>
        <w:t>Babiše</w:t>
      </w:r>
      <w:proofErr w:type="spellEnd"/>
    </w:p>
    <w:p w14:paraId="24814D8E" w14:textId="77777777" w:rsidR="00C152FE" w:rsidRDefault="00C152FE" w:rsidP="00C152FE">
      <w:pPr>
        <w:spacing w:after="0" w:line="360" w:lineRule="auto"/>
        <w:jc w:val="center"/>
        <w:rPr>
          <w:rFonts w:ascii="Times New Roman" w:eastAsia="Times New Roman" w:hAnsi="Times New Roman" w:cs="Times New Roman"/>
          <w:b/>
          <w:kern w:val="0"/>
          <w:sz w:val="28"/>
          <w:szCs w:val="28"/>
          <w:lang w:eastAsia="cs-CZ"/>
          <w14:ligatures w14:val="none"/>
        </w:rPr>
      </w:pPr>
      <w:r>
        <w:rPr>
          <w:rFonts w:ascii="Times New Roman" w:eastAsia="Times New Roman" w:hAnsi="Times New Roman" w:cs="Times New Roman"/>
          <w:b/>
          <w:kern w:val="0"/>
          <w:sz w:val="28"/>
          <w:szCs w:val="28"/>
          <w:lang w:eastAsia="cs-CZ"/>
          <w14:ligatures w14:val="none"/>
        </w:rPr>
        <w:t xml:space="preserve">k vládnímu návrhu zákona, kterým se mění zákon č. 155/1995 Sb., o důchodovém pojištění, ve znění pozdějších předpisů, a další související zákony </w:t>
      </w:r>
    </w:p>
    <w:p w14:paraId="0F890E71" w14:textId="77777777" w:rsidR="00C152FE" w:rsidRDefault="00C152FE" w:rsidP="00C152FE">
      <w:pPr>
        <w:spacing w:after="0" w:line="360" w:lineRule="auto"/>
        <w:jc w:val="center"/>
        <w:rPr>
          <w:rFonts w:ascii="Times New Roman" w:eastAsia="Times New Roman" w:hAnsi="Times New Roman" w:cs="Times New Roman"/>
          <w:kern w:val="0"/>
          <w:sz w:val="28"/>
          <w:szCs w:val="28"/>
          <w:lang w:eastAsia="cs-CZ"/>
          <w14:ligatures w14:val="none"/>
        </w:rPr>
      </w:pPr>
    </w:p>
    <w:p w14:paraId="17FBADF7" w14:textId="77777777" w:rsidR="00C152FE" w:rsidRDefault="00C152FE" w:rsidP="00C152FE">
      <w:pPr>
        <w:spacing w:after="0" w:line="360" w:lineRule="auto"/>
        <w:jc w:val="center"/>
        <w:rPr>
          <w:rFonts w:ascii="Times New Roman" w:eastAsia="Times New Roman" w:hAnsi="Times New Roman" w:cs="Times New Roman"/>
          <w:kern w:val="0"/>
          <w:sz w:val="28"/>
          <w:szCs w:val="28"/>
          <w:lang w:eastAsia="cs-CZ"/>
          <w14:ligatures w14:val="none"/>
        </w:rPr>
      </w:pPr>
    </w:p>
    <w:p w14:paraId="2D4D96F4" w14:textId="77777777" w:rsidR="00C152FE" w:rsidRDefault="00C152FE" w:rsidP="00C152FE">
      <w:pPr>
        <w:spacing w:after="0" w:line="360" w:lineRule="auto"/>
        <w:jc w:val="center"/>
        <w:rPr>
          <w:rFonts w:ascii="Times New Roman" w:eastAsia="Times New Roman" w:hAnsi="Times New Roman" w:cs="Times New Roman"/>
          <w:kern w:val="0"/>
          <w:sz w:val="28"/>
          <w:szCs w:val="28"/>
          <w:lang w:eastAsia="cs-CZ"/>
          <w14:ligatures w14:val="none"/>
        </w:rPr>
      </w:pPr>
      <w:r>
        <w:rPr>
          <w:rFonts w:ascii="Times New Roman" w:eastAsia="Times New Roman" w:hAnsi="Times New Roman" w:cs="Times New Roman"/>
          <w:kern w:val="0"/>
          <w:sz w:val="28"/>
          <w:szCs w:val="28"/>
          <w:lang w:eastAsia="cs-CZ"/>
          <w14:ligatures w14:val="none"/>
        </w:rPr>
        <w:t>(Sněmovní tisk č. 696)</w:t>
      </w:r>
      <w:bookmarkEnd w:id="1"/>
    </w:p>
    <w:p w14:paraId="7ED3769E" w14:textId="77777777" w:rsidR="00B137B6" w:rsidRDefault="00B137B6" w:rsidP="005A419B">
      <w:pPr>
        <w:jc w:val="both"/>
        <w:rPr>
          <w:rFonts w:ascii="Times New Roman" w:hAnsi="Times New Roman" w:cs="Times New Roman"/>
          <w:b/>
          <w:bCs/>
          <w:sz w:val="24"/>
          <w:szCs w:val="24"/>
        </w:rPr>
      </w:pPr>
    </w:p>
    <w:p w14:paraId="6088CE4D" w14:textId="117A78B9" w:rsidR="00E43637" w:rsidRPr="00DE65EC" w:rsidRDefault="00E43637" w:rsidP="005A419B">
      <w:pPr>
        <w:jc w:val="both"/>
        <w:rPr>
          <w:rFonts w:ascii="Times New Roman" w:hAnsi="Times New Roman" w:cs="Times New Roman"/>
          <w:b/>
          <w:bCs/>
          <w:sz w:val="24"/>
          <w:szCs w:val="24"/>
        </w:rPr>
      </w:pPr>
      <w:r w:rsidRPr="00DE65EC">
        <w:rPr>
          <w:rFonts w:ascii="Times New Roman" w:hAnsi="Times New Roman" w:cs="Times New Roman"/>
          <w:b/>
          <w:bCs/>
          <w:sz w:val="24"/>
          <w:szCs w:val="24"/>
        </w:rPr>
        <w:lastRenderedPageBreak/>
        <w:t xml:space="preserve">Pozměňovací návrh </w:t>
      </w:r>
      <w:r w:rsidR="005A419B" w:rsidRPr="005A419B">
        <w:rPr>
          <w:rFonts w:ascii="Times New Roman" w:hAnsi="Times New Roman" w:cs="Times New Roman"/>
          <w:b/>
          <w:bCs/>
          <w:sz w:val="24"/>
          <w:szCs w:val="24"/>
        </w:rPr>
        <w:t xml:space="preserve">poslanců </w:t>
      </w:r>
      <w:bookmarkStart w:id="2" w:name="_GoBack"/>
      <w:bookmarkEnd w:id="2"/>
      <w:r w:rsidR="005A419B" w:rsidRPr="005A419B">
        <w:rPr>
          <w:rFonts w:ascii="Times New Roman" w:hAnsi="Times New Roman" w:cs="Times New Roman"/>
          <w:b/>
          <w:bCs/>
          <w:sz w:val="24"/>
          <w:szCs w:val="24"/>
        </w:rPr>
        <w:t xml:space="preserve">Aleše Juchelky, Andrey </w:t>
      </w:r>
      <w:proofErr w:type="spellStart"/>
      <w:r w:rsidR="005A419B" w:rsidRPr="005A419B">
        <w:rPr>
          <w:rFonts w:ascii="Times New Roman" w:hAnsi="Times New Roman" w:cs="Times New Roman"/>
          <w:b/>
          <w:bCs/>
          <w:sz w:val="24"/>
          <w:szCs w:val="24"/>
        </w:rPr>
        <w:t>Babišové</w:t>
      </w:r>
      <w:proofErr w:type="spellEnd"/>
      <w:r w:rsidR="005A419B" w:rsidRPr="005A419B">
        <w:rPr>
          <w:rFonts w:ascii="Times New Roman" w:hAnsi="Times New Roman" w:cs="Times New Roman"/>
          <w:b/>
          <w:bCs/>
          <w:sz w:val="24"/>
          <w:szCs w:val="24"/>
        </w:rPr>
        <w:t xml:space="preserve">, Lenky Dražilové, Jany Hanzlíkové, Igora Hendrycha, Renaty Oulehlové, Jany Pastuchové, Miroslava </w:t>
      </w:r>
      <w:proofErr w:type="spellStart"/>
      <w:r w:rsidR="005A419B" w:rsidRPr="005A419B">
        <w:rPr>
          <w:rFonts w:ascii="Times New Roman" w:hAnsi="Times New Roman" w:cs="Times New Roman"/>
          <w:b/>
          <w:bCs/>
          <w:sz w:val="24"/>
          <w:szCs w:val="24"/>
        </w:rPr>
        <w:t>Samaše</w:t>
      </w:r>
      <w:proofErr w:type="spellEnd"/>
      <w:r w:rsidR="005A419B" w:rsidRPr="005A419B">
        <w:rPr>
          <w:rFonts w:ascii="Times New Roman" w:hAnsi="Times New Roman" w:cs="Times New Roman"/>
          <w:b/>
          <w:bCs/>
          <w:sz w:val="24"/>
          <w:szCs w:val="24"/>
        </w:rPr>
        <w:t xml:space="preserve">, Aleny Schillerové a Andreje </w:t>
      </w:r>
      <w:proofErr w:type="spellStart"/>
      <w:r w:rsidR="005A419B" w:rsidRPr="005A419B">
        <w:rPr>
          <w:rFonts w:ascii="Times New Roman" w:hAnsi="Times New Roman" w:cs="Times New Roman"/>
          <w:b/>
          <w:bCs/>
          <w:sz w:val="24"/>
          <w:szCs w:val="24"/>
        </w:rPr>
        <w:t>Babiše</w:t>
      </w:r>
      <w:proofErr w:type="spellEnd"/>
      <w:r w:rsidR="005A419B">
        <w:rPr>
          <w:rFonts w:ascii="Times New Roman" w:hAnsi="Times New Roman" w:cs="Times New Roman"/>
          <w:b/>
          <w:bCs/>
          <w:sz w:val="24"/>
          <w:szCs w:val="24"/>
        </w:rPr>
        <w:t xml:space="preserve"> </w:t>
      </w:r>
      <w:r w:rsidRPr="00DE65EC">
        <w:rPr>
          <w:rFonts w:ascii="Times New Roman" w:hAnsi="Times New Roman" w:cs="Times New Roman"/>
          <w:b/>
          <w:bCs/>
          <w:sz w:val="24"/>
          <w:szCs w:val="24"/>
        </w:rPr>
        <w:t>k vládnímu návrhu zákona, kterým se mění zákon č. 155/1995 Sb., o důchodovém pojištění, ve znění pozdějších předpisů, a další související zákony (sněmovní tisk č. 696/0)</w:t>
      </w:r>
    </w:p>
    <w:p w14:paraId="1997684B" w14:textId="77777777" w:rsidR="00E43637" w:rsidRDefault="00E43637" w:rsidP="00EB0524">
      <w:pPr>
        <w:ind w:left="720" w:hanging="360"/>
      </w:pPr>
    </w:p>
    <w:p w14:paraId="0A9399E8" w14:textId="1FF7711D" w:rsidR="00EB0524" w:rsidRDefault="00C32114" w:rsidP="00EB0524">
      <w:pPr>
        <w:pStyle w:val="Odstavecseseznamem"/>
        <w:numPr>
          <w:ilvl w:val="0"/>
          <w:numId w:val="1"/>
        </w:numPr>
        <w:rPr>
          <w:rFonts w:ascii="Times New Roman" w:hAnsi="Times New Roman" w:cs="Times New Roman"/>
          <w:sz w:val="24"/>
          <w:szCs w:val="24"/>
        </w:rPr>
      </w:pPr>
      <w:r>
        <w:rPr>
          <w:rFonts w:ascii="Times New Roman" w:hAnsi="Times New Roman" w:cs="Times New Roman"/>
          <w:sz w:val="24"/>
          <w:szCs w:val="24"/>
        </w:rPr>
        <w:t xml:space="preserve">V čl. </w:t>
      </w:r>
      <w:r w:rsidR="002125D3">
        <w:rPr>
          <w:rFonts w:ascii="Times New Roman" w:hAnsi="Times New Roman" w:cs="Times New Roman"/>
          <w:sz w:val="24"/>
          <w:szCs w:val="24"/>
        </w:rPr>
        <w:t>I</w:t>
      </w:r>
      <w:r>
        <w:rPr>
          <w:rFonts w:ascii="Times New Roman" w:hAnsi="Times New Roman" w:cs="Times New Roman"/>
          <w:sz w:val="24"/>
          <w:szCs w:val="24"/>
        </w:rPr>
        <w:t xml:space="preserve"> se bod </w:t>
      </w:r>
      <w:r w:rsidR="002125D3">
        <w:rPr>
          <w:rFonts w:ascii="Times New Roman" w:hAnsi="Times New Roman" w:cs="Times New Roman"/>
          <w:sz w:val="24"/>
          <w:szCs w:val="24"/>
        </w:rPr>
        <w:t>23 zrušuje.</w:t>
      </w:r>
    </w:p>
    <w:p w14:paraId="23615BA6" w14:textId="7F33FC24" w:rsidR="00C32114" w:rsidRDefault="00C32114" w:rsidP="00C32114">
      <w:pPr>
        <w:rPr>
          <w:rFonts w:ascii="Times New Roman" w:hAnsi="Times New Roman" w:cs="Times New Roman"/>
          <w:sz w:val="24"/>
          <w:szCs w:val="24"/>
        </w:rPr>
      </w:pPr>
      <w:r>
        <w:rPr>
          <w:rFonts w:ascii="Times New Roman" w:hAnsi="Times New Roman" w:cs="Times New Roman"/>
          <w:sz w:val="24"/>
          <w:szCs w:val="24"/>
        </w:rPr>
        <w:t>Ostatní body se přečíslují.</w:t>
      </w:r>
    </w:p>
    <w:p w14:paraId="45DCD198" w14:textId="77777777" w:rsidR="00711705" w:rsidRDefault="00711705" w:rsidP="00C32114">
      <w:pPr>
        <w:rPr>
          <w:rFonts w:ascii="Times New Roman" w:hAnsi="Times New Roman" w:cs="Times New Roman"/>
          <w:sz w:val="24"/>
          <w:szCs w:val="24"/>
        </w:rPr>
      </w:pPr>
    </w:p>
    <w:p w14:paraId="088E2374" w14:textId="7F7F16DF" w:rsidR="000E7FF4" w:rsidRDefault="000E7FF4" w:rsidP="000E7FF4">
      <w:pPr>
        <w:jc w:val="center"/>
        <w:rPr>
          <w:rFonts w:ascii="Times New Roman" w:hAnsi="Times New Roman" w:cs="Times New Roman"/>
          <w:b/>
          <w:bCs/>
          <w:sz w:val="24"/>
          <w:szCs w:val="24"/>
        </w:rPr>
      </w:pPr>
      <w:r w:rsidRPr="000E7FF4">
        <w:rPr>
          <w:rFonts w:ascii="Times New Roman" w:hAnsi="Times New Roman" w:cs="Times New Roman"/>
          <w:b/>
          <w:bCs/>
          <w:sz w:val="24"/>
          <w:szCs w:val="24"/>
        </w:rPr>
        <w:t>Odůvodnění</w:t>
      </w:r>
    </w:p>
    <w:p w14:paraId="248F8179" w14:textId="77777777" w:rsidR="007A333A" w:rsidRDefault="000E7FF4" w:rsidP="000E7FF4">
      <w:pPr>
        <w:jc w:val="both"/>
        <w:rPr>
          <w:rFonts w:ascii="Times New Roman" w:hAnsi="Times New Roman" w:cs="Times New Roman"/>
          <w:sz w:val="24"/>
          <w:szCs w:val="24"/>
        </w:rPr>
      </w:pPr>
      <w:r>
        <w:rPr>
          <w:rFonts w:ascii="Times New Roman" w:hAnsi="Times New Roman" w:cs="Times New Roman"/>
          <w:sz w:val="24"/>
          <w:szCs w:val="24"/>
        </w:rPr>
        <w:t xml:space="preserve">Vládní návrh přichází s novým vzorcem výpočtu výše procentní výměry starobního důchodu, na který vznikl nárok podle § 29 odst. 1 až 3. Počínaje rokem 2026 má být stanovený podíl výpočtového základu měsíčně postupně snižován z původního podílu 1,5 % až na výsledný podíl 1,450 %, pokud rok přiznání do důchodu spadá do období po roce 2034. Takové dramatické snižování procentní výměry starobního důchodu je však neobhajitelné, počítaje v to i současný fiskální stav českého státního rozpočtu, a to především s ohledem na nadále neutěšenou finanční situaci osob pobírajících důchod vzhledem k sice ustupující, ale stále přítomné všeobecné inflaci promítající se negativně do řady komodit, na nichž jsou tyto osoby závislé, počínaje energiemi a obecně náklady na bydlení, přes pohonné hmoty až po léky a zdravotní pomůcky. </w:t>
      </w:r>
    </w:p>
    <w:p w14:paraId="33C0D86C" w14:textId="2578C0F7" w:rsidR="000E7FF4" w:rsidRPr="007A333A" w:rsidRDefault="000E7FF4" w:rsidP="000E7FF4">
      <w:pPr>
        <w:jc w:val="both"/>
        <w:rPr>
          <w:rFonts w:ascii="Times New Roman" w:hAnsi="Times New Roman" w:cs="Times New Roman"/>
          <w:b/>
          <w:bCs/>
          <w:sz w:val="24"/>
          <w:szCs w:val="24"/>
        </w:rPr>
      </w:pPr>
      <w:r w:rsidRPr="007A333A">
        <w:rPr>
          <w:rFonts w:ascii="Times New Roman" w:hAnsi="Times New Roman" w:cs="Times New Roman"/>
          <w:b/>
          <w:bCs/>
          <w:sz w:val="24"/>
          <w:szCs w:val="24"/>
        </w:rPr>
        <w:t xml:space="preserve">Pozměňovací návrh proto cílí na zachování stávajícího vzorce výpočtu procentní výměry starobního důchodu dle § 34 odst. 1 zákona o důchodovém pojištění.  </w:t>
      </w:r>
    </w:p>
    <w:p w14:paraId="32A8E3AA" w14:textId="77777777" w:rsidR="000E7FF4" w:rsidRDefault="000E7FF4" w:rsidP="00C32114">
      <w:pPr>
        <w:rPr>
          <w:rFonts w:ascii="Times New Roman" w:hAnsi="Times New Roman" w:cs="Times New Roman"/>
          <w:sz w:val="24"/>
          <w:szCs w:val="24"/>
        </w:rPr>
      </w:pPr>
    </w:p>
    <w:p w14:paraId="7D2890AB" w14:textId="77777777" w:rsidR="00711705" w:rsidRDefault="00711705" w:rsidP="00711705">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Zákon o důchodovém pojištění ve znění vládního návrhu s vyznačením změn navrhovaných pozměňovacím návrhem </w:t>
      </w:r>
      <w:r w:rsidRPr="00E52F1B">
        <w:rPr>
          <w:rFonts w:ascii="Times New Roman" w:hAnsi="Times New Roman" w:cs="Times New Roman"/>
          <w:b/>
          <w:bCs/>
          <w:color w:val="FF0000"/>
          <w:sz w:val="24"/>
          <w:szCs w:val="24"/>
          <w:u w:val="single"/>
        </w:rPr>
        <w:t>(červeně)</w:t>
      </w:r>
    </w:p>
    <w:p w14:paraId="0CEB6C94" w14:textId="77777777" w:rsidR="00711705" w:rsidRDefault="00711705" w:rsidP="00711705">
      <w:pPr>
        <w:pStyle w:val="Bezmezer"/>
        <w:jc w:val="center"/>
      </w:pPr>
    </w:p>
    <w:p w14:paraId="0A378D85" w14:textId="7E408997" w:rsidR="00711705" w:rsidRDefault="00711705" w:rsidP="00711705">
      <w:pPr>
        <w:pStyle w:val="Bezmezer"/>
        <w:jc w:val="center"/>
      </w:pPr>
      <w:r>
        <w:t>§ 34</w:t>
      </w:r>
    </w:p>
    <w:p w14:paraId="103CE0B7" w14:textId="77777777" w:rsidR="00711705" w:rsidRDefault="00711705" w:rsidP="00711705">
      <w:pPr>
        <w:pStyle w:val="Bezmezer"/>
        <w:jc w:val="both"/>
      </w:pPr>
    </w:p>
    <w:p w14:paraId="0A858534" w14:textId="77777777" w:rsidR="00711705" w:rsidRPr="00FD5F46" w:rsidRDefault="00711705" w:rsidP="00711705">
      <w:pPr>
        <w:pStyle w:val="Bezmezer"/>
        <w:jc w:val="both"/>
      </w:pPr>
      <w:r>
        <w:tab/>
      </w:r>
      <w:r w:rsidRPr="00FD5F46">
        <w:rPr>
          <w:color w:val="FF0000"/>
        </w:rPr>
        <w:t>(1) Výše procentní výměry starobního důchodu, na který vznikl nárok podle § 29 odst. 1 až 3, činí za každý celý rok doby pojištění získané do vzniku nároku na tento důchod 1,5 % výpočtového základu měsíčně. Do doby pojištění se pro účely předchozí věty započítávají náhradní doby pojištění pouze v rozsahu 80 %, s výjimkou náhradních dob pojištění za dobu účasti na pojištění osob uvedených v § 5 odst. 2 písm. c), d) a h) a v § 102 odst. 5 a 6 a obdobných dob podle předpisů platných před 1. lednem 1996; počet dnů náhradních dob pojištění stanovený podle části věty před středníkem se přitom zaokrouhluje na celé dny směrem nahoru.</w:t>
      </w:r>
    </w:p>
    <w:p w14:paraId="3F53E2A0" w14:textId="77777777" w:rsidR="00711705" w:rsidRDefault="00711705" w:rsidP="00711705">
      <w:pPr>
        <w:pStyle w:val="Bezmezer"/>
        <w:jc w:val="both"/>
        <w:rPr>
          <w:strike/>
        </w:rPr>
      </w:pPr>
    </w:p>
    <w:p w14:paraId="308D1195" w14:textId="77777777" w:rsidR="00711705" w:rsidRPr="00711705" w:rsidRDefault="00711705" w:rsidP="00711705">
      <w:pPr>
        <w:pStyle w:val="Bezmezer"/>
        <w:jc w:val="both"/>
        <w:rPr>
          <w:rFonts w:eastAsia="Arial"/>
          <w:b/>
          <w:bCs/>
          <w:strike/>
          <w:color w:val="FF0000"/>
        </w:rPr>
      </w:pPr>
      <w:bookmarkStart w:id="3" w:name="_Hlk141645556"/>
      <w:r w:rsidRPr="00C80EC7">
        <w:rPr>
          <w:rFonts w:eastAsia="Arial"/>
          <w:b/>
          <w:bCs/>
        </w:rPr>
        <w:t xml:space="preserve">        </w:t>
      </w:r>
      <w:r w:rsidRPr="00711705">
        <w:rPr>
          <w:rFonts w:eastAsia="Arial"/>
          <w:b/>
          <w:bCs/>
          <w:strike/>
          <w:color w:val="FF0000"/>
        </w:rPr>
        <w:t xml:space="preserve">(1) Výše procentní výměry starobního důchodu, na který vznikl nárok podle § 29 odst. 1 až 3, činí za každý celý rok doby pojištění získané do vzniku nároku na tento důchod, </w:t>
      </w:r>
    </w:p>
    <w:p w14:paraId="2EE83C8C" w14:textId="77777777" w:rsidR="00711705" w:rsidRPr="00711705" w:rsidRDefault="00711705" w:rsidP="00711705">
      <w:pPr>
        <w:pStyle w:val="Bezmezer"/>
        <w:rPr>
          <w:rFonts w:eastAsia="Arial"/>
          <w:b/>
          <w:bCs/>
          <w:strike/>
          <w:color w:val="FF0000"/>
        </w:rPr>
      </w:pPr>
    </w:p>
    <w:p w14:paraId="1E67A246"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lastRenderedPageBreak/>
        <w:t xml:space="preserve">spadá-li rok přiznání důchodu do období před rokem 2026, 1,5 % výpočtového základu měsíčně, </w:t>
      </w:r>
    </w:p>
    <w:p w14:paraId="08C921FD"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t>je-li rokem přiznání důchodu rok 2026, 1,495 % výpočtového základu měsíčně,</w:t>
      </w:r>
    </w:p>
    <w:p w14:paraId="2729901F"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t>je-li rokem přiznání důchodu rok 2027, 1,490 % výpočtového základu měsíčně,</w:t>
      </w:r>
    </w:p>
    <w:p w14:paraId="008ACB5C"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t>je-li rokem přiznání důchodu rok 2028, 1,485 % výpočtového základu měsíčně,</w:t>
      </w:r>
    </w:p>
    <w:p w14:paraId="67A83095"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t>je-li rokem přiznání důchodu rok 2029, 1,480 % výpočtového základu měsíčně,</w:t>
      </w:r>
    </w:p>
    <w:p w14:paraId="3A5CABC2"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t>je-li rokem přiznání důchodu rok 2030, 1,475 % výpočtového základu měsíčně,</w:t>
      </w:r>
    </w:p>
    <w:p w14:paraId="1035F870"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t>je-li rokem přiznání důchodu rok 2031, 1,470 % výpočtového základu měsíčně,</w:t>
      </w:r>
    </w:p>
    <w:p w14:paraId="018894B1"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t>je-li rokem přiznání důchodu rok 2032, 1,465 % výpočtového základu měsíčně,</w:t>
      </w:r>
    </w:p>
    <w:p w14:paraId="6FBD0006"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t>je-li rokem přiznání důchodu rok 2033, 1,460 % výpočtového základu měsíčně,</w:t>
      </w:r>
    </w:p>
    <w:p w14:paraId="40B6C916" w14:textId="77777777" w:rsidR="00711705" w:rsidRPr="00711705" w:rsidRDefault="00711705" w:rsidP="00711705">
      <w:pPr>
        <w:pStyle w:val="Bezmezer"/>
        <w:numPr>
          <w:ilvl w:val="0"/>
          <w:numId w:val="2"/>
        </w:numPr>
        <w:ind w:left="284" w:hanging="284"/>
        <w:jc w:val="both"/>
        <w:rPr>
          <w:rFonts w:eastAsia="Arial"/>
          <w:b/>
          <w:bCs/>
          <w:strike/>
          <w:color w:val="FF0000"/>
        </w:rPr>
      </w:pPr>
      <w:r w:rsidRPr="00711705">
        <w:rPr>
          <w:rFonts w:eastAsia="Arial"/>
          <w:b/>
          <w:bCs/>
          <w:strike/>
          <w:color w:val="FF0000"/>
        </w:rPr>
        <w:t>je-li rokem přiznání důchodu rok 2034, 1,455 % výpočtového základu měsíčně,</w:t>
      </w:r>
    </w:p>
    <w:p w14:paraId="3F4D2D61" w14:textId="77777777" w:rsidR="00711705" w:rsidRPr="00711705" w:rsidRDefault="00711705" w:rsidP="00711705">
      <w:pPr>
        <w:pStyle w:val="Bezmezer"/>
        <w:numPr>
          <w:ilvl w:val="0"/>
          <w:numId w:val="2"/>
        </w:numPr>
        <w:ind w:left="284" w:hanging="284"/>
        <w:jc w:val="both"/>
        <w:rPr>
          <w:rFonts w:eastAsia="Arial"/>
          <w:b/>
          <w:bCs/>
          <w:color w:val="FF0000"/>
        </w:rPr>
      </w:pPr>
      <w:r w:rsidRPr="00711705">
        <w:rPr>
          <w:rFonts w:eastAsia="Arial"/>
          <w:b/>
          <w:bCs/>
          <w:strike/>
          <w:color w:val="FF0000"/>
        </w:rPr>
        <w:t>spadá-li rok přiznání důchodu do období po roce 2034, 1,450 % výpočtového základu měsíčně.</w:t>
      </w:r>
    </w:p>
    <w:p w14:paraId="0ED2BAA8" w14:textId="77777777" w:rsidR="00711705" w:rsidRPr="00C80EC7" w:rsidRDefault="00711705" w:rsidP="00711705">
      <w:pPr>
        <w:pStyle w:val="Bezmezer"/>
        <w:ind w:left="284"/>
        <w:rPr>
          <w:rFonts w:eastAsia="Arial"/>
          <w:b/>
          <w:bCs/>
        </w:rPr>
      </w:pPr>
    </w:p>
    <w:bookmarkEnd w:id="3"/>
    <w:p w14:paraId="454F7F65" w14:textId="77777777" w:rsidR="00711705" w:rsidRPr="00C80EC7" w:rsidRDefault="00711705" w:rsidP="00711705">
      <w:pPr>
        <w:pStyle w:val="Bezmezer"/>
        <w:jc w:val="both"/>
        <w:rPr>
          <w:rFonts w:eastAsia="Arial"/>
          <w:b/>
          <w:bCs/>
        </w:rPr>
      </w:pPr>
      <w:r>
        <w:rPr>
          <w:rFonts w:eastAsia="Arial"/>
          <w:b/>
          <w:bCs/>
        </w:rPr>
        <w:t xml:space="preserve">          (2)</w:t>
      </w:r>
      <w:r w:rsidRPr="00C80EC7">
        <w:rPr>
          <w:rFonts w:eastAsia="Arial"/>
          <w:b/>
          <w:bCs/>
        </w:rPr>
        <w:t xml:space="preserve"> Do doby pojištění se pro účely </w:t>
      </w:r>
      <w:r>
        <w:rPr>
          <w:rFonts w:eastAsia="Arial"/>
          <w:b/>
          <w:bCs/>
        </w:rPr>
        <w:t>odstavce 1</w:t>
      </w:r>
      <w:r w:rsidRPr="00C80EC7">
        <w:rPr>
          <w:rFonts w:eastAsia="Arial"/>
          <w:b/>
          <w:bCs/>
        </w:rPr>
        <w:t xml:space="preserve"> započítávají náhradní doby pojištění pouze v rozsahu 80 %, s výjimkou náhradních dob pojištění za dobu účasti na pojištění osob uvedených v § 5 odst. 2 písm. c), d) a h) a § 102 odst. 5 a 6 a obdobných dob podle předpisů platných před 1. lednem 1996; počet dnů náhradních dob pojištění stanovený podle části věty před středníkem se přitom zaokrouhluje na celé dny směrem nahoru.</w:t>
      </w:r>
    </w:p>
    <w:p w14:paraId="15D720A8" w14:textId="77777777" w:rsidR="00711705" w:rsidRDefault="00711705" w:rsidP="00711705">
      <w:pPr>
        <w:pStyle w:val="Bezmezer"/>
        <w:jc w:val="both"/>
        <w:rPr>
          <w:strike/>
        </w:rPr>
      </w:pPr>
    </w:p>
    <w:p w14:paraId="790C9423" w14:textId="77777777" w:rsidR="00711705" w:rsidRDefault="00711705" w:rsidP="00711705">
      <w:pPr>
        <w:pStyle w:val="Bezmezer"/>
        <w:jc w:val="both"/>
      </w:pPr>
      <w:r>
        <w:tab/>
      </w:r>
      <w:r w:rsidRPr="009B4787">
        <w:rPr>
          <w:strike/>
        </w:rPr>
        <w:t>(2)</w:t>
      </w:r>
      <w:r>
        <w:t xml:space="preserve"> </w:t>
      </w:r>
      <w:r w:rsidRPr="009B4787">
        <w:rPr>
          <w:b/>
          <w:bCs/>
        </w:rPr>
        <w:t>(3)</w:t>
      </w:r>
      <w:r>
        <w:t xml:space="preserve"> Výše procentní výměry starobního důchodu stanovená podle odstavce 1 se zvyšuje pojištěnci, který splnil podmínky nároku na starobní důchod podle § 29 odst. 1 nebo § 29 odst. 3 písm. a) a po vzniku nároku na tento důchod vykonával výdělečnou činnost a nepobíral přitom starobní důchod ani invalidní důchod pro invaliditu třetího stupně, za každých 90 kalendářních dnů této výdělečné činnosti o 1,5 % výpočtového základu. Doba kratší než 90 kalendářních dnů, která nebyla zhodnocena podle předchozí věty jako doba pojištění, se přičte k době pojištění získané do vzniku nároku na starobní důchod, pokud se tak získá celý rok doby pojištění, a to v rozsahu potřebném pro toto přičtení, na žádost pojištěnce se procentní výměra starobního důchodu nezvýší podle věty první a doba výdělečné činnosti uvedená ve větě první se přičte k době pojištění získané do vzniku nároku na tento důchod, a to v rozsahu uvedeném v žádosti pojištěnce. Za výkon výdělečné činnosti se pro účely zvýšení procentní výměry starobního důchodu nepovažují doby pracovního volna bez náhrady příjmu a neomluvené nepřítomnosti v práci a doby uvedené v § 16 odst. 4 větě druhé písm. a).</w:t>
      </w:r>
    </w:p>
    <w:p w14:paraId="729BEB03" w14:textId="77777777" w:rsidR="00711705" w:rsidRDefault="00711705" w:rsidP="00711705">
      <w:pPr>
        <w:pStyle w:val="Bezmezer"/>
        <w:jc w:val="both"/>
      </w:pPr>
    </w:p>
    <w:p w14:paraId="6293CC4C" w14:textId="77777777" w:rsidR="00711705" w:rsidRDefault="00711705" w:rsidP="00711705">
      <w:pPr>
        <w:pStyle w:val="Bezmezer"/>
        <w:jc w:val="both"/>
      </w:pPr>
      <w:r>
        <w:tab/>
      </w:r>
      <w:r w:rsidRPr="009B4787">
        <w:rPr>
          <w:strike/>
        </w:rPr>
        <w:t>(3)</w:t>
      </w:r>
      <w:r>
        <w:t xml:space="preserve"> </w:t>
      </w:r>
      <w:r w:rsidRPr="009B4787">
        <w:rPr>
          <w:b/>
          <w:bCs/>
        </w:rPr>
        <w:t>(4)</w:t>
      </w:r>
      <w:r>
        <w:t xml:space="preserve"> Výše procentní výměry starobního důchodu stanovená podle odstavce 1 se zvyšuje pojištěnci, který splnil podmínky nároku na starobní důchod podle § 29 odst. 1 nebo    § 29 odst. 3 písm. a) a po vzniku nároku na tento důchod vykonával výdělečnou činnost a pobíral přitom starobní důchod ve výši poloviny podle § 37 odst. 1, za každých 180 kalendářních dnů této výdělečné činnosti o 1,5 % výpočtového základu. Ustanovení </w:t>
      </w:r>
      <w:r w:rsidRPr="00F97202">
        <w:rPr>
          <w:strike/>
        </w:rPr>
        <w:t>odstavce 2</w:t>
      </w:r>
      <w:r>
        <w:t xml:space="preserve"> </w:t>
      </w:r>
      <w:r w:rsidRPr="00F97202">
        <w:rPr>
          <w:b/>
          <w:bCs/>
        </w:rPr>
        <w:t>odstavce 3</w:t>
      </w:r>
      <w:r>
        <w:t xml:space="preserve"> věty třetí platí zde obdobně.</w:t>
      </w:r>
    </w:p>
    <w:p w14:paraId="5B116356" w14:textId="77777777" w:rsidR="00711705" w:rsidRDefault="00711705" w:rsidP="00711705">
      <w:pPr>
        <w:pStyle w:val="Bezmezer"/>
        <w:jc w:val="both"/>
      </w:pPr>
    </w:p>
    <w:p w14:paraId="451CD161" w14:textId="77777777" w:rsidR="00711705" w:rsidRPr="00B33C30" w:rsidRDefault="00711705" w:rsidP="00711705">
      <w:pPr>
        <w:pStyle w:val="Bezmezer"/>
        <w:jc w:val="both"/>
        <w:rPr>
          <w:strike/>
        </w:rPr>
      </w:pPr>
      <w:r>
        <w:tab/>
      </w:r>
      <w:r w:rsidRPr="00B33C30">
        <w:rPr>
          <w:strike/>
        </w:rPr>
        <w:t>(</w:t>
      </w:r>
      <w:r>
        <w:rPr>
          <w:strike/>
        </w:rPr>
        <w:t>4</w:t>
      </w:r>
      <w:r w:rsidRPr="00B33C30">
        <w:rPr>
          <w:strike/>
        </w:rPr>
        <w:t xml:space="preserve">) </w:t>
      </w:r>
      <w:r w:rsidRPr="009B4787">
        <w:rPr>
          <w:b/>
          <w:bCs/>
          <w:strike/>
        </w:rPr>
        <w:t>(5)</w:t>
      </w:r>
      <w:r>
        <w:rPr>
          <w:strike/>
        </w:rPr>
        <w:t xml:space="preserve"> </w:t>
      </w:r>
      <w:r w:rsidRPr="00B33C30">
        <w:rPr>
          <w:strike/>
        </w:rPr>
        <w:t>Výše procentní výměry starobního důchodu stanovená podle odstavce 1 se na žádost zvyšuje pojištěnci, který splnil podmínky nároku na starobní důchod podle § 29 odst. 1 nebo § 29 odst. 3 písm. a) a po vzniku nároku na tento důchod vykonával výdělečnou činnost a pobíral přitom starobní důchod v plné výši, za každých 360 kalendářních dnů této výdělečné činnosti o 0,4 % výpočtového základu. Ustanovení odstavce 2 věty třetí platí zde obdobně.</w:t>
      </w:r>
    </w:p>
    <w:p w14:paraId="7D9948BB" w14:textId="77777777" w:rsidR="00711705" w:rsidRDefault="00711705" w:rsidP="00711705">
      <w:pPr>
        <w:pStyle w:val="Bezmezer"/>
        <w:jc w:val="both"/>
      </w:pPr>
    </w:p>
    <w:p w14:paraId="7C882D9C" w14:textId="77777777" w:rsidR="00711705" w:rsidRDefault="00711705" w:rsidP="00711705">
      <w:pPr>
        <w:pStyle w:val="Bezmezer"/>
        <w:jc w:val="both"/>
      </w:pPr>
      <w:r>
        <w:tab/>
      </w:r>
      <w:r w:rsidRPr="00B33C30">
        <w:rPr>
          <w:strike/>
        </w:rPr>
        <w:t>(5)</w:t>
      </w:r>
      <w:r>
        <w:t xml:space="preserve"> </w:t>
      </w:r>
      <w:r w:rsidRPr="009B4787">
        <w:rPr>
          <w:b/>
          <w:bCs/>
          <w:strike/>
        </w:rPr>
        <w:t>(6)</w:t>
      </w:r>
      <w:r>
        <w:t xml:space="preserve"> </w:t>
      </w:r>
      <w:r w:rsidRPr="009B4787">
        <w:rPr>
          <w:b/>
          <w:bCs/>
        </w:rPr>
        <w:t>(5)</w:t>
      </w:r>
      <w:r>
        <w:t xml:space="preserve"> Výše procentní výměry starobního důchodu stanovená podle odstavce 1 se zvyšuje pojištěnci, který splnil podmínky nároku na starobní důchod podle § 29 odst. 2 nebo § 29 odst. 3 písm. b) a po vzniku nároku na tento důchod vykonával výdělečnou činnost a </w:t>
      </w:r>
      <w:r>
        <w:lastRenderedPageBreak/>
        <w:t xml:space="preserve">nepobíral přitom starobní důchod ani invalidní důchod pro invaliditu třetího stupně, za každý celý rok doby pojištění získané do dosažení doby pojištění potřebné pro vznik nároku na starobní důchod podle § 29 odst. 1 nebo § 29 odst. 3 písm. a) o 1,5 % výpočtového základu; po dosažení doby pojištění potřebné pro vznik nároku na starobní důchod podle § 29 odst. 1 nebo § 29 odst. 3 písm. a) se výše procentní výměry starobního důchodu zvyšuje podle </w:t>
      </w:r>
      <w:r w:rsidRPr="00F97202">
        <w:rPr>
          <w:strike/>
        </w:rPr>
        <w:t>odstavce 2</w:t>
      </w:r>
      <w:r>
        <w:t xml:space="preserve"> </w:t>
      </w:r>
      <w:r w:rsidRPr="00F97202">
        <w:rPr>
          <w:b/>
          <w:bCs/>
        </w:rPr>
        <w:t>odstavce 3</w:t>
      </w:r>
      <w:r>
        <w:t>.</w:t>
      </w:r>
    </w:p>
    <w:p w14:paraId="0F4AA74C" w14:textId="77777777" w:rsidR="00711705" w:rsidRDefault="00711705" w:rsidP="00711705">
      <w:pPr>
        <w:pStyle w:val="Bezmezer"/>
        <w:jc w:val="both"/>
      </w:pPr>
    </w:p>
    <w:p w14:paraId="3E00B832" w14:textId="77777777" w:rsidR="00711705" w:rsidRDefault="00711705" w:rsidP="00711705">
      <w:pPr>
        <w:pStyle w:val="Bezmezer"/>
        <w:jc w:val="both"/>
      </w:pPr>
      <w:r>
        <w:tab/>
      </w:r>
      <w:r w:rsidRPr="00170D82">
        <w:rPr>
          <w:strike/>
        </w:rPr>
        <w:t>(6)</w:t>
      </w:r>
      <w:r>
        <w:t xml:space="preserve"> </w:t>
      </w:r>
      <w:r w:rsidRPr="009B4787">
        <w:rPr>
          <w:b/>
          <w:bCs/>
          <w:strike/>
        </w:rPr>
        <w:t>(7)</w:t>
      </w:r>
      <w:r>
        <w:t xml:space="preserve"> </w:t>
      </w:r>
      <w:r w:rsidRPr="009B4787">
        <w:rPr>
          <w:b/>
          <w:bCs/>
        </w:rPr>
        <w:t>(6)</w:t>
      </w:r>
      <w:r>
        <w:t xml:space="preserve"> Pokud pojištěnec, který splnil podmínky nároku na starobní důchod podle      § 29 odst. 1 nebo § 29 odst. 3 písm. a), po vzniku nároku na tento důchod vykonával výdělečnou činnost a pobíral přitom invalidní důchod pro invaliditu třetího stupně nebo plný invalidní důchod, přičte se doba této výdělečné činnosti k době pojištění získané do vzniku nároku na starobní důchod. Nezhodnocený zbytek doby výdělečné činnosti vykonávané po roce 2009 po vzniku nároku na starobní důchod bez pobírání starobního důchodu ani invalidního důchodu, který nebyl přičten podle </w:t>
      </w:r>
      <w:r w:rsidRPr="00F97202">
        <w:rPr>
          <w:strike/>
        </w:rPr>
        <w:t>odstavce 2</w:t>
      </w:r>
      <w:r>
        <w:t xml:space="preserve"> </w:t>
      </w:r>
      <w:r w:rsidRPr="00F97202">
        <w:rPr>
          <w:b/>
          <w:bCs/>
        </w:rPr>
        <w:t>odstavce 3</w:t>
      </w:r>
      <w:r>
        <w:t xml:space="preserve"> věty druhé, se přičte v potřebném rozsahu           k době výdělečné činnosti uvedené v odstavci 3 </w:t>
      </w:r>
      <w:r w:rsidRPr="00170D82">
        <w:rPr>
          <w:strike/>
        </w:rPr>
        <w:t>nebo 4,</w:t>
      </w:r>
      <w:r>
        <w:t xml:space="preserve"> pokud se tak získá ucelený úsek výdělečné činnosti potřebný podle odstavce 3 </w:t>
      </w:r>
      <w:r w:rsidRPr="00170D82">
        <w:rPr>
          <w:strike/>
        </w:rPr>
        <w:t>nebo 4</w:t>
      </w:r>
      <w:r>
        <w:t xml:space="preserve"> pro zvýšení procentní výměry starobního důchodu</w:t>
      </w:r>
      <w:r w:rsidRPr="00170D82">
        <w:rPr>
          <w:strike/>
        </w:rPr>
        <w:t>; přitom se nejdříve provádí přičtení k době výdělečné činnosti uvedené v odstavci 3</w:t>
      </w:r>
      <w:r>
        <w:t xml:space="preserve">. </w:t>
      </w:r>
      <w:r w:rsidRPr="00170D82">
        <w:rPr>
          <w:strike/>
        </w:rPr>
        <w:t>Nezhodnocený zbytek výdělečné činnosti vykonávané po roce 2009 po vzniku nároku na starobní důchod při pobírání starobního důchodu ve výši poloviny se přičte v potřebném rozsahu k době výdělečné činnosti uvedené v odstavci 4, pokud se tak získá ucelený úsek výdělečné činnosti potřebný podle odstavce 4 pro zvýšení procentní výměry starobního důchodu.</w:t>
      </w:r>
    </w:p>
    <w:p w14:paraId="3CA728BC" w14:textId="77777777" w:rsidR="00711705" w:rsidRDefault="00711705" w:rsidP="00711705">
      <w:pPr>
        <w:pStyle w:val="Bezmezer"/>
        <w:jc w:val="both"/>
      </w:pPr>
    </w:p>
    <w:p w14:paraId="73D29494" w14:textId="77777777" w:rsidR="00711705" w:rsidRDefault="00711705" w:rsidP="00711705">
      <w:pPr>
        <w:pStyle w:val="Bezmezer"/>
        <w:jc w:val="both"/>
      </w:pPr>
      <w:r>
        <w:tab/>
      </w:r>
      <w:r w:rsidRPr="00170D82">
        <w:rPr>
          <w:strike/>
        </w:rPr>
        <w:t>(7)</w:t>
      </w:r>
      <w:r>
        <w:t xml:space="preserve"> </w:t>
      </w:r>
      <w:r w:rsidRPr="009B4787">
        <w:rPr>
          <w:b/>
          <w:bCs/>
          <w:strike/>
        </w:rPr>
        <w:t>(8)</w:t>
      </w:r>
      <w:r>
        <w:t xml:space="preserve"> </w:t>
      </w:r>
      <w:r w:rsidRPr="009B4787">
        <w:rPr>
          <w:b/>
          <w:bCs/>
        </w:rPr>
        <w:t>(7)</w:t>
      </w:r>
      <w:r>
        <w:t xml:space="preserve"> Pokud pojištěnec, jehož důchodový věk se stanoví podle § 37e, splnil podmínky nároku na starobní důchod podle § 29 odst. 1 nebo § 29 odst. 3 písm. a) a v období od vzniku nároku na starobní důchod do dosažení důchodového věku stanoveného podle § 32 vykonával výdělečnou činnost a nepobíral přitom starobní důchod, procentní výměra starobního důchodu se za dobu této výdělečné činnosti podle </w:t>
      </w:r>
      <w:r w:rsidRPr="00F97202">
        <w:rPr>
          <w:strike/>
        </w:rPr>
        <w:t>odstavce 2</w:t>
      </w:r>
      <w:r>
        <w:t xml:space="preserve"> </w:t>
      </w:r>
      <w:r w:rsidRPr="00F97202">
        <w:rPr>
          <w:b/>
          <w:bCs/>
        </w:rPr>
        <w:t>odstavce 3</w:t>
      </w:r>
      <w:r>
        <w:t xml:space="preserve"> nezvyšuje a doba této výdělečné činnosti se přičte k době pojištění získané do vzniku nároku na starobní důchod. Vykonával-li pojištěnec uvedený ve větě první v období uvedeném ve větě první výdělečnou činnost a pobíral přitom starobní důchod </w:t>
      </w:r>
      <w:r w:rsidRPr="0031043D">
        <w:rPr>
          <w:strike/>
        </w:rPr>
        <w:t>v plné výši nebo</w:t>
      </w:r>
      <w:r>
        <w:t xml:space="preserve"> ve výši poloviny, zvýšení procentní výměry podle odstavce 3 </w:t>
      </w:r>
      <w:r w:rsidRPr="0031043D">
        <w:rPr>
          <w:strike/>
        </w:rPr>
        <w:t>nebo 4</w:t>
      </w:r>
      <w:r>
        <w:t xml:space="preserve"> nenáleží. Pro zvýšení procentní výměry za dobu výdělečné činnosti vykonávané po dosažení důchodového věku stanoveného podle § 32 platí ustanovení </w:t>
      </w:r>
      <w:r w:rsidRPr="0031043D">
        <w:rPr>
          <w:strike/>
        </w:rPr>
        <w:t>odstavců 2 až 4 a 6</w:t>
      </w:r>
      <w:r>
        <w:t xml:space="preserve"> </w:t>
      </w:r>
      <w:r w:rsidRPr="0031043D">
        <w:rPr>
          <w:b/>
          <w:bCs/>
        </w:rPr>
        <w:t>odstavců 3</w:t>
      </w:r>
      <w:r>
        <w:rPr>
          <w:b/>
          <w:bCs/>
        </w:rPr>
        <w:t>, 4</w:t>
      </w:r>
      <w:r w:rsidRPr="0031043D">
        <w:rPr>
          <w:b/>
          <w:bCs/>
        </w:rPr>
        <w:t xml:space="preserve"> a </w:t>
      </w:r>
      <w:r>
        <w:rPr>
          <w:b/>
          <w:bCs/>
        </w:rPr>
        <w:t>6</w:t>
      </w:r>
      <w:r>
        <w:t xml:space="preserve"> obdobně.</w:t>
      </w:r>
    </w:p>
    <w:p w14:paraId="709ADB43" w14:textId="77777777" w:rsidR="00711705" w:rsidRDefault="00711705" w:rsidP="00711705">
      <w:pPr>
        <w:pStyle w:val="Bezmezer"/>
        <w:jc w:val="both"/>
      </w:pPr>
    </w:p>
    <w:p w14:paraId="7FDA8FF3" w14:textId="77777777" w:rsidR="00711705" w:rsidRDefault="00711705" w:rsidP="00711705">
      <w:pPr>
        <w:pStyle w:val="Bezmezer"/>
        <w:jc w:val="both"/>
      </w:pPr>
      <w:r>
        <w:tab/>
      </w:r>
      <w:r w:rsidRPr="00170D82">
        <w:rPr>
          <w:strike/>
        </w:rPr>
        <w:t>(8)</w:t>
      </w:r>
      <w:r>
        <w:t xml:space="preserve"> </w:t>
      </w:r>
      <w:r w:rsidRPr="009B4787">
        <w:rPr>
          <w:b/>
          <w:bCs/>
          <w:strike/>
        </w:rPr>
        <w:t>(9)</w:t>
      </w:r>
      <w:r>
        <w:t xml:space="preserve"> </w:t>
      </w:r>
      <w:r w:rsidRPr="009B4787">
        <w:rPr>
          <w:b/>
          <w:bCs/>
        </w:rPr>
        <w:t>(8)</w:t>
      </w:r>
      <w:r>
        <w:t xml:space="preserve"> Celým rokem doby pojištění se pro účely tohoto zákona rozumí 365 kalendářních dnů.</w:t>
      </w:r>
    </w:p>
    <w:p w14:paraId="7ED14BCB" w14:textId="77777777" w:rsidR="00711705" w:rsidRPr="00C80EC7" w:rsidRDefault="00711705" w:rsidP="00711705">
      <w:pPr>
        <w:pStyle w:val="Bezmezer"/>
        <w:jc w:val="both"/>
      </w:pPr>
    </w:p>
    <w:p w14:paraId="3E55A7F4" w14:textId="77777777" w:rsidR="00711705" w:rsidRPr="00711705" w:rsidRDefault="00711705" w:rsidP="00711705">
      <w:pPr>
        <w:pStyle w:val="Bezmezer"/>
        <w:ind w:firstLine="708"/>
        <w:jc w:val="both"/>
        <w:rPr>
          <w:rFonts w:eastAsia="Arial"/>
          <w:b/>
          <w:bCs/>
        </w:rPr>
      </w:pPr>
      <w:r w:rsidRPr="00711705">
        <w:rPr>
          <w:rFonts w:eastAsia="Arial"/>
          <w:b/>
          <w:bCs/>
        </w:rPr>
        <w:t xml:space="preserve"> (9) Pokud pojištěnec vykonával po vzniku nároku na starobní důchod výdělečnou činnost a procentní výměra starobního důchodu se zvyšuje podle odstavců 3 až 6, zvyšuje se podle odstavců 3 až 6 procentní výměra před úpravou podle § 33 odst. 2 věty třetí.</w:t>
      </w:r>
    </w:p>
    <w:p w14:paraId="15D43D12" w14:textId="77777777" w:rsidR="00711705" w:rsidRPr="00C32114" w:rsidRDefault="00711705" w:rsidP="00C32114">
      <w:pPr>
        <w:rPr>
          <w:rFonts w:ascii="Times New Roman" w:hAnsi="Times New Roman" w:cs="Times New Roman"/>
          <w:sz w:val="24"/>
          <w:szCs w:val="24"/>
        </w:rPr>
      </w:pPr>
    </w:p>
    <w:sectPr w:rsidR="00711705" w:rsidRPr="00C321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32D870" w14:textId="77777777" w:rsidR="00FF3F31" w:rsidRDefault="00FF3F31" w:rsidP="00D95A89">
      <w:pPr>
        <w:spacing w:after="0" w:line="240" w:lineRule="auto"/>
      </w:pPr>
      <w:r>
        <w:separator/>
      </w:r>
    </w:p>
  </w:endnote>
  <w:endnote w:type="continuationSeparator" w:id="0">
    <w:p w14:paraId="1AF90563" w14:textId="77777777" w:rsidR="00FF3F31" w:rsidRDefault="00FF3F31" w:rsidP="00D95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68B3A" w14:textId="77777777" w:rsidR="00FF3F31" w:rsidRDefault="00FF3F31" w:rsidP="00D95A89">
      <w:pPr>
        <w:spacing w:after="0" w:line="240" w:lineRule="auto"/>
      </w:pPr>
      <w:r>
        <w:separator/>
      </w:r>
    </w:p>
  </w:footnote>
  <w:footnote w:type="continuationSeparator" w:id="0">
    <w:p w14:paraId="22DAE48E" w14:textId="77777777" w:rsidR="00FF3F31" w:rsidRDefault="00FF3F31" w:rsidP="00D95A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7F70E9"/>
    <w:multiLevelType w:val="hybridMultilevel"/>
    <w:tmpl w:val="38543F4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FAF78D0"/>
    <w:multiLevelType w:val="hybridMultilevel"/>
    <w:tmpl w:val="6DB675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9F8"/>
    <w:rsid w:val="000E7FF4"/>
    <w:rsid w:val="002125D3"/>
    <w:rsid w:val="004D7BE9"/>
    <w:rsid w:val="005A419B"/>
    <w:rsid w:val="006460D8"/>
    <w:rsid w:val="00711705"/>
    <w:rsid w:val="007A333A"/>
    <w:rsid w:val="00B137B6"/>
    <w:rsid w:val="00C152FE"/>
    <w:rsid w:val="00C32114"/>
    <w:rsid w:val="00D239F8"/>
    <w:rsid w:val="00D95A89"/>
    <w:rsid w:val="00E43637"/>
    <w:rsid w:val="00EB0524"/>
    <w:rsid w:val="00F10029"/>
    <w:rsid w:val="00FD5F46"/>
    <w:rsid w:val="00FF3F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AAB0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D239F8"/>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Odstavecseseznamem">
    <w:name w:val="List Paragraph"/>
    <w:basedOn w:val="Normln"/>
    <w:uiPriority w:val="34"/>
    <w:qFormat/>
    <w:rsid w:val="00EB0524"/>
    <w:pPr>
      <w:ind w:left="720"/>
      <w:contextualSpacing/>
    </w:pPr>
  </w:style>
  <w:style w:type="paragraph" w:styleId="Bezmezer">
    <w:name w:val="No Spacing"/>
    <w:link w:val="BezmezerChar"/>
    <w:uiPriority w:val="1"/>
    <w:qFormat/>
    <w:rsid w:val="00711705"/>
    <w:pPr>
      <w:spacing w:after="0" w:line="240" w:lineRule="auto"/>
    </w:pPr>
    <w:rPr>
      <w:rFonts w:ascii="Times New Roman" w:eastAsia="Times New Roman" w:hAnsi="Times New Roman" w:cs="Times New Roman"/>
      <w:kern w:val="0"/>
      <w:sz w:val="24"/>
      <w:szCs w:val="24"/>
      <w:lang w:eastAsia="cs-CZ"/>
      <w14:ligatures w14:val="none"/>
    </w:rPr>
  </w:style>
  <w:style w:type="character" w:customStyle="1" w:styleId="BezmezerChar">
    <w:name w:val="Bez mezer Char"/>
    <w:link w:val="Bezmezer"/>
    <w:uiPriority w:val="1"/>
    <w:locked/>
    <w:rsid w:val="00711705"/>
    <w:rPr>
      <w:rFonts w:ascii="Times New Roman" w:eastAsia="Times New Roman" w:hAnsi="Times New Roman" w:cs="Times New Roman"/>
      <w:kern w:val="0"/>
      <w:sz w:val="24"/>
      <w:szCs w:val="24"/>
      <w:lang w:eastAsia="cs-CZ"/>
      <w14:ligatures w14:val="none"/>
    </w:rPr>
  </w:style>
  <w:style w:type="paragraph" w:styleId="Zhlav">
    <w:name w:val="header"/>
    <w:basedOn w:val="Normln"/>
    <w:link w:val="ZhlavChar"/>
    <w:uiPriority w:val="99"/>
    <w:unhideWhenUsed/>
    <w:rsid w:val="00D95A8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95A89"/>
  </w:style>
  <w:style w:type="paragraph" w:styleId="Zpat">
    <w:name w:val="footer"/>
    <w:basedOn w:val="Normln"/>
    <w:link w:val="ZpatChar"/>
    <w:uiPriority w:val="99"/>
    <w:unhideWhenUsed/>
    <w:rsid w:val="00D95A89"/>
    <w:pPr>
      <w:tabs>
        <w:tab w:val="center" w:pos="4536"/>
        <w:tab w:val="right" w:pos="9072"/>
      </w:tabs>
      <w:spacing w:after="0" w:line="240" w:lineRule="auto"/>
    </w:pPr>
  </w:style>
  <w:style w:type="character" w:customStyle="1" w:styleId="ZpatChar">
    <w:name w:val="Zápatí Char"/>
    <w:basedOn w:val="Standardnpsmoodstavce"/>
    <w:link w:val="Zpat"/>
    <w:uiPriority w:val="99"/>
    <w:rsid w:val="00D95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444947">
      <w:bodyDiv w:val="1"/>
      <w:marLeft w:val="0"/>
      <w:marRight w:val="0"/>
      <w:marTop w:val="0"/>
      <w:marBottom w:val="0"/>
      <w:divBdr>
        <w:top w:val="none" w:sz="0" w:space="0" w:color="auto"/>
        <w:left w:val="none" w:sz="0" w:space="0" w:color="auto"/>
        <w:bottom w:val="none" w:sz="0" w:space="0" w:color="auto"/>
        <w:right w:val="none" w:sz="0" w:space="0" w:color="auto"/>
      </w:divBdr>
    </w:div>
    <w:div w:id="1411082079">
      <w:bodyDiv w:val="1"/>
      <w:marLeft w:val="0"/>
      <w:marRight w:val="0"/>
      <w:marTop w:val="0"/>
      <w:marBottom w:val="0"/>
      <w:divBdr>
        <w:top w:val="none" w:sz="0" w:space="0" w:color="auto"/>
        <w:left w:val="none" w:sz="0" w:space="0" w:color="auto"/>
        <w:bottom w:val="none" w:sz="0" w:space="0" w:color="auto"/>
        <w:right w:val="none" w:sz="0" w:space="0" w:color="auto"/>
      </w:divBdr>
    </w:div>
    <w:div w:id="1683896790">
      <w:bodyDiv w:val="1"/>
      <w:marLeft w:val="0"/>
      <w:marRight w:val="0"/>
      <w:marTop w:val="0"/>
      <w:marBottom w:val="0"/>
      <w:divBdr>
        <w:top w:val="none" w:sz="0" w:space="0" w:color="auto"/>
        <w:left w:val="none" w:sz="0" w:space="0" w:color="auto"/>
        <w:bottom w:val="none" w:sz="0" w:space="0" w:color="auto"/>
        <w:right w:val="none" w:sz="0" w:space="0" w:color="auto"/>
      </w:divBdr>
    </w:div>
    <w:div w:id="1713505508">
      <w:bodyDiv w:val="1"/>
      <w:marLeft w:val="0"/>
      <w:marRight w:val="0"/>
      <w:marTop w:val="0"/>
      <w:marBottom w:val="0"/>
      <w:divBdr>
        <w:top w:val="none" w:sz="0" w:space="0" w:color="auto"/>
        <w:left w:val="none" w:sz="0" w:space="0" w:color="auto"/>
        <w:bottom w:val="none" w:sz="0" w:space="0" w:color="auto"/>
        <w:right w:val="none" w:sz="0" w:space="0" w:color="auto"/>
      </w:divBdr>
    </w:div>
    <w:div w:id="2019964028">
      <w:bodyDiv w:val="1"/>
      <w:marLeft w:val="0"/>
      <w:marRight w:val="0"/>
      <w:marTop w:val="0"/>
      <w:marBottom w:val="0"/>
      <w:divBdr>
        <w:top w:val="none" w:sz="0" w:space="0" w:color="auto"/>
        <w:left w:val="none" w:sz="0" w:space="0" w:color="auto"/>
        <w:bottom w:val="none" w:sz="0" w:space="0" w:color="auto"/>
        <w:right w:val="none" w:sz="0" w:space="0" w:color="auto"/>
      </w:divBdr>
    </w:div>
    <w:div w:id="206032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V_kres_Microsoft_Visia.vsdx"/><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1391</Words>
  <Characters>8210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9582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2024-07-09T06:51:00Z</dcterms:created>
  <dcterms:modified xsi:type="dcterms:W3CDTF">2024-10-01T11:58:00Z</dcterms:modified>
  <cp:category/>
</cp:coreProperties>
</file>