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C787C3" w14:textId="77777777" w:rsidR="0017559A" w:rsidRPr="0017559A" w:rsidRDefault="0017559A" w:rsidP="0098286A">
      <w:pPr>
        <w:pStyle w:val="Bezmezer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14:paraId="039BF3FC" w14:textId="77777777" w:rsidR="0098286A" w:rsidRPr="0098286A" w:rsidRDefault="0098286A" w:rsidP="0098286A">
      <w:pPr>
        <w:pStyle w:val="Bezmezer"/>
        <w:jc w:val="right"/>
        <w:rPr>
          <w:rFonts w:ascii="Times New Roman" w:hAnsi="Times New Roman" w:cs="Times New Roman"/>
          <w:sz w:val="24"/>
          <w:szCs w:val="24"/>
        </w:rPr>
      </w:pPr>
    </w:p>
    <w:p w14:paraId="2B46D98B" w14:textId="77777777" w:rsidR="00150AA1" w:rsidRDefault="002C7F34" w:rsidP="0001075F">
      <w:pPr>
        <w:pStyle w:val="Bezmez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86A">
        <w:rPr>
          <w:rFonts w:ascii="Times New Roman" w:hAnsi="Times New Roman" w:cs="Times New Roman"/>
          <w:b/>
          <w:bCs/>
          <w:sz w:val="28"/>
          <w:szCs w:val="28"/>
        </w:rPr>
        <w:t>Pozměňovací návrh</w:t>
      </w:r>
    </w:p>
    <w:p w14:paraId="74E7A926" w14:textId="58540B6A" w:rsidR="00290D5C" w:rsidRPr="0098286A" w:rsidRDefault="00834B21" w:rsidP="0001075F">
      <w:pPr>
        <w:pStyle w:val="Bezmez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4B21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14:paraId="5F8DF4A1" w14:textId="611E08E5" w:rsidR="002C7F34" w:rsidRDefault="00E1169A" w:rsidP="0001075F">
      <w:pPr>
        <w:pStyle w:val="Bezmez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1169A">
        <w:rPr>
          <w:rFonts w:ascii="Times New Roman" w:hAnsi="Times New Roman" w:cs="Times New Roman"/>
          <w:b/>
          <w:bCs/>
          <w:sz w:val="28"/>
          <w:szCs w:val="28"/>
        </w:rPr>
        <w:t xml:space="preserve">poslanců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MUDr. Víta Kaňkovského, </w:t>
      </w:r>
      <w:r w:rsidRPr="00E1169A">
        <w:rPr>
          <w:rFonts w:ascii="Times New Roman" w:hAnsi="Times New Roman" w:cs="Times New Roman"/>
          <w:b/>
          <w:bCs/>
          <w:sz w:val="28"/>
          <w:szCs w:val="28"/>
        </w:rPr>
        <w:t>prof. Ing. Mgr. Martina Dlouhého, Dr., MSc., Ing. Jany Bačíkové, MBA, Mgr. Ing. Pavly Pivoňky Vaňkové, Ing. Viktora Vojtka, Ph.D.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a Bc. Jiřího Navrátila, MBA</w:t>
      </w:r>
    </w:p>
    <w:p w14:paraId="64D1B4BE" w14:textId="77777777" w:rsidR="00E1169A" w:rsidRPr="0098286A" w:rsidRDefault="00E1169A" w:rsidP="0001075F">
      <w:pPr>
        <w:pStyle w:val="Bezmez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E551D6" w14:textId="4669AED5" w:rsidR="00DF7BF4" w:rsidRPr="0098286A" w:rsidRDefault="00DF7BF4" w:rsidP="00DF7BF4">
      <w:pPr>
        <w:pStyle w:val="Bezmez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86A">
        <w:rPr>
          <w:rFonts w:ascii="Times New Roman" w:hAnsi="Times New Roman" w:cs="Times New Roman"/>
          <w:b/>
          <w:bCs/>
          <w:sz w:val="28"/>
          <w:szCs w:val="28"/>
        </w:rPr>
        <w:t>k vládnímu návrhu zákona, kterým se mění zákon č. 155/1995 Sb.,</w:t>
      </w:r>
    </w:p>
    <w:p w14:paraId="009E9A0F" w14:textId="2825BEC6" w:rsidR="002C7F34" w:rsidRPr="0098286A" w:rsidRDefault="00DF7BF4" w:rsidP="0098286A">
      <w:pPr>
        <w:pStyle w:val="Bezmezer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86A">
        <w:rPr>
          <w:rFonts w:ascii="Times New Roman" w:hAnsi="Times New Roman" w:cs="Times New Roman"/>
          <w:b/>
          <w:bCs/>
          <w:sz w:val="28"/>
          <w:szCs w:val="28"/>
        </w:rPr>
        <w:t xml:space="preserve">o důchodovém pojištění, ve znění pozdějších předpisů, a další související </w:t>
      </w:r>
      <w:proofErr w:type="gramStart"/>
      <w:r w:rsidRPr="0098286A">
        <w:rPr>
          <w:rFonts w:ascii="Times New Roman" w:hAnsi="Times New Roman" w:cs="Times New Roman"/>
          <w:b/>
          <w:bCs/>
          <w:sz w:val="28"/>
          <w:szCs w:val="28"/>
        </w:rPr>
        <w:t>zákony</w:t>
      </w:r>
      <w:r w:rsidR="0098286A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9828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s</w:t>
      </w:r>
      <w:r w:rsidR="002C7F34" w:rsidRPr="009828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němovní</w:t>
      </w:r>
      <w:proofErr w:type="gramEnd"/>
      <w:r w:rsidR="002C7F34" w:rsidRPr="0098286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tisk č. </w:t>
      </w:r>
      <w:r w:rsidRPr="0098286A">
        <w:rPr>
          <w:rFonts w:ascii="Times New Roman" w:hAnsi="Times New Roman" w:cs="Times New Roman"/>
          <w:b/>
          <w:bCs/>
          <w:i/>
          <w:iCs/>
          <w:sz w:val="28"/>
          <w:szCs w:val="28"/>
        </w:rPr>
        <w:t>696</w:t>
      </w:r>
    </w:p>
    <w:p w14:paraId="7497EF46" w14:textId="77777777" w:rsidR="00762879" w:rsidRPr="0001075F" w:rsidRDefault="00762879" w:rsidP="0001075F">
      <w:pPr>
        <w:pStyle w:val="Bezmezer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53ED9193" w14:textId="77777777" w:rsidR="002C7F34" w:rsidRPr="0001075F" w:rsidRDefault="002C7F34" w:rsidP="0001075F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752B892A" w14:textId="77777777" w:rsidR="002C7F34" w:rsidRPr="0001075F" w:rsidRDefault="002C7F34" w:rsidP="0001075F">
      <w:pPr>
        <w:pStyle w:val="Bezmezer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77442186" w14:textId="4378731E" w:rsidR="00733B96" w:rsidRPr="00CB2B2C" w:rsidRDefault="00C531DD" w:rsidP="0001075F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B2B2C">
        <w:rPr>
          <w:rFonts w:ascii="Times New Roman" w:hAnsi="Times New Roman" w:cs="Times New Roman"/>
          <w:b/>
          <w:bCs/>
          <w:sz w:val="24"/>
          <w:szCs w:val="24"/>
          <w:u w:val="single"/>
        </w:rPr>
        <w:t>V</w:t>
      </w:r>
      <w:r w:rsidR="002C7F34" w:rsidRPr="00CB2B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 části </w:t>
      </w:r>
      <w:r w:rsidR="00DF7BF4" w:rsidRPr="00CB2B2C">
        <w:rPr>
          <w:rFonts w:ascii="Times New Roman" w:hAnsi="Times New Roman" w:cs="Times New Roman"/>
          <w:b/>
          <w:bCs/>
          <w:sz w:val="24"/>
          <w:szCs w:val="24"/>
          <w:u w:val="single"/>
        </w:rPr>
        <w:t>první</w:t>
      </w:r>
      <w:r w:rsidRPr="00CB2B2C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31C4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 čl. I </w:t>
      </w:r>
      <w:r w:rsidRPr="00CB2B2C">
        <w:rPr>
          <w:rFonts w:ascii="Times New Roman" w:hAnsi="Times New Roman" w:cs="Times New Roman"/>
          <w:b/>
          <w:bCs/>
          <w:sz w:val="24"/>
          <w:szCs w:val="24"/>
          <w:u w:val="single"/>
        </w:rPr>
        <w:t>se provedou tyto úpravy:</w:t>
      </w:r>
    </w:p>
    <w:p w14:paraId="32A5FE1E" w14:textId="77777777" w:rsidR="007D1B0F" w:rsidRPr="0001075F" w:rsidRDefault="007D1B0F" w:rsidP="0001075F">
      <w:pPr>
        <w:pStyle w:val="Bezmezer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4155612F" w14:textId="1D6081DF" w:rsidR="008B1C62" w:rsidRPr="00E31C46" w:rsidRDefault="00E31C46" w:rsidP="00E31C46">
      <w:pPr>
        <w:pStyle w:val="Odstavecseseznamem"/>
        <w:numPr>
          <w:ilvl w:val="0"/>
          <w:numId w:val="11"/>
        </w:numPr>
        <w:rPr>
          <w:bCs/>
        </w:rPr>
      </w:pPr>
      <w:r w:rsidRPr="00E31C46">
        <w:rPr>
          <w:bCs/>
        </w:rPr>
        <w:t xml:space="preserve">Bod 14 </w:t>
      </w:r>
      <w:r>
        <w:rPr>
          <w:bCs/>
        </w:rPr>
        <w:t>se nahrazuje tímto novým zněním</w:t>
      </w:r>
      <w:r w:rsidRPr="00E31C46">
        <w:rPr>
          <w:bCs/>
        </w:rPr>
        <w:t>:</w:t>
      </w:r>
    </w:p>
    <w:p w14:paraId="2F888B3B" w14:textId="77777777" w:rsidR="00E31C46" w:rsidRPr="00E31C46" w:rsidRDefault="00E31C46" w:rsidP="00E31C46">
      <w:pPr>
        <w:rPr>
          <w:rFonts w:ascii="Times New Roman" w:hAnsi="Times New Roman" w:cs="Times New Roman"/>
          <w:bCs/>
          <w:sz w:val="24"/>
          <w:szCs w:val="24"/>
        </w:rPr>
      </w:pPr>
    </w:p>
    <w:p w14:paraId="400AC409" w14:textId="0FA3DD3F" w:rsidR="00E31C46" w:rsidRPr="00E31C46" w:rsidRDefault="00E31C46" w:rsidP="00E31C46">
      <w:pPr>
        <w:rPr>
          <w:rFonts w:ascii="Times New Roman" w:hAnsi="Times New Roman" w:cs="Times New Roman"/>
          <w:bCs/>
          <w:sz w:val="24"/>
          <w:szCs w:val="24"/>
        </w:rPr>
      </w:pPr>
      <w:r w:rsidRPr="00E31C46">
        <w:rPr>
          <w:rFonts w:ascii="Times New Roman" w:hAnsi="Times New Roman" w:cs="Times New Roman"/>
          <w:bCs/>
          <w:sz w:val="24"/>
          <w:szCs w:val="24"/>
        </w:rPr>
        <w:t xml:space="preserve">  „14. § 19a zní:</w:t>
      </w:r>
    </w:p>
    <w:p w14:paraId="1AF8C7E3" w14:textId="3FBF0B0B" w:rsidR="008B1C62" w:rsidRPr="00E31C46" w:rsidRDefault="00B1795D" w:rsidP="00B1795D">
      <w:pPr>
        <w:ind w:left="426" w:hanging="426"/>
        <w:rPr>
          <w:rFonts w:ascii="Times New Roman" w:hAnsi="Times New Roman" w:cs="Times New Roman"/>
          <w:bCs/>
          <w:sz w:val="24"/>
          <w:szCs w:val="24"/>
        </w:rPr>
      </w:pPr>
      <w:r>
        <w:rPr>
          <w:bCs/>
        </w:rPr>
        <w:t xml:space="preserve">                                                                                 </w:t>
      </w:r>
      <w:r w:rsidR="008B1C62">
        <w:rPr>
          <w:bCs/>
        </w:rPr>
        <w:t>„</w:t>
      </w:r>
      <w:r w:rsidR="008B1C62" w:rsidRPr="00E31C46">
        <w:rPr>
          <w:rFonts w:ascii="Times New Roman" w:hAnsi="Times New Roman" w:cs="Times New Roman"/>
          <w:bCs/>
          <w:sz w:val="24"/>
          <w:szCs w:val="24"/>
        </w:rPr>
        <w:t>§ 19a</w:t>
      </w:r>
    </w:p>
    <w:p w14:paraId="3CDA5A7B" w14:textId="28F93D8B" w:rsidR="008B1C62" w:rsidRPr="00E31C46" w:rsidRDefault="008B1C62" w:rsidP="00E31C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76098591"/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  (1) Starobní a invalidní důchod pojištěnce, který v rozhodném období získal náhradní doby pojištění za dobu účasti na pojištění osob uvedených v § 5 odst. 2 písm. c) a d), § 102a odst. 1 nebo § 104 odst. 1, nesmí být vyměřen z nižšího výpočtového základu, než kolik činí výpočtový základ stanovený podle § 15 z osobního vyměřovacího základu vypočteného podle odstavců 2 a 3 a podle § 16. Pro účely věty první se doba účasti na pojištění osob uvedených v § 5 odst. 2 písm. c) a v § 104 odst. 1 zohledňuje jen v rozsahu do dosažení 3 let věku dítěte, a to nejvýše u prvních 2 těchto dětí, o které pojištěnec osobně pečoval v rozhodném období; pořadí dětí se určuje ode dne počátku této doby účasti na pojištění, přičemž spadá-li tato doba do rozhodného období jen zčásti, považuje se za den počátku této doby první den této doby, který spadá do rozhodného období.</w:t>
      </w:r>
    </w:p>
    <w:p w14:paraId="3A95496C" w14:textId="7CBAB64A" w:rsidR="008B1C62" w:rsidRPr="008B1C62" w:rsidRDefault="008B1C62" w:rsidP="00E31C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  (2) U pojištěnce uvedeného v odstavci 1 se náhradní doba pojištění uvedená v odstavci 1 pro účely stanovení osobního vyměřovacího základu považuje</w:t>
      </w:r>
    </w:p>
    <w:p w14:paraId="72047573" w14:textId="21F028F3" w:rsidR="008B1C62" w:rsidRPr="008B1C62" w:rsidRDefault="008B1C62" w:rsidP="00E31C46">
      <w:pPr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a) za vyloučenou dobu, a to i když se kryje s dobou účasti na pojištění osob uvedených v § 5 odst. 1 písm. e), s dobou pojištění, v níž měl pojištěnec příjmy, které se zahrnují do vyměřovacího základu, nebo s dobou, za kterou náležely náhrady uvedené v § 16 odst. 3 větě čtvrté, nebo</w:t>
      </w:r>
    </w:p>
    <w:p w14:paraId="301AB364" w14:textId="6EF4F45A" w:rsidR="008B1C62" w:rsidRPr="008B1C62" w:rsidRDefault="008B1C62" w:rsidP="008B1C62">
      <w:pPr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b) za dobu pojištění, v níž měl pojištěnec příjmy, které se zohledňují pro účely ročního vyměřovacího základu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DC2E309" w14:textId="3A70A5E6" w:rsidR="00D10508" w:rsidRDefault="00D10508" w:rsidP="00D10508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10508">
        <w:rPr>
          <w:rFonts w:ascii="Times New Roman" w:hAnsi="Times New Roman" w:cs="Times New Roman"/>
          <w:bCs/>
          <w:sz w:val="24"/>
          <w:szCs w:val="24"/>
        </w:rPr>
        <w:t xml:space="preserve">             (3) </w:t>
      </w:r>
      <w:r>
        <w:rPr>
          <w:rFonts w:ascii="Times New Roman" w:hAnsi="Times New Roman" w:cs="Times New Roman"/>
          <w:bCs/>
          <w:sz w:val="24"/>
          <w:szCs w:val="24"/>
        </w:rPr>
        <w:t xml:space="preserve">Náhradní doba uvedená v odstavci 1 se </w:t>
      </w:r>
      <w:r w:rsidR="00E13C05" w:rsidRPr="008B1C62">
        <w:rPr>
          <w:rFonts w:ascii="Times New Roman" w:hAnsi="Times New Roman" w:cs="Times New Roman"/>
          <w:bCs/>
          <w:sz w:val="24"/>
          <w:szCs w:val="24"/>
        </w:rPr>
        <w:t>pro účely stanovení osobního vyměřovacího základu</w:t>
      </w:r>
      <w:r w:rsidR="00E13C0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považuje za vyloučenou dobu podle odstavce 2 písm. a) nebo za dobu pojištění podle odstavce 2 písm. b) při výpočtu</w:t>
      </w:r>
    </w:p>
    <w:p w14:paraId="215E63BC" w14:textId="2F17B715" w:rsidR="00D10508" w:rsidRDefault="00D10508" w:rsidP="00D10508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a)</w:t>
      </w:r>
      <w:r w:rsidRPr="00D1050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starobního důchodu podle toho, co je pro pojištěnce výhodnější se zřetelem na § 34a,</w:t>
      </w:r>
    </w:p>
    <w:p w14:paraId="79565470" w14:textId="5C0E3F11" w:rsidR="008B1C62" w:rsidRPr="00D10508" w:rsidRDefault="00D10508" w:rsidP="00D10508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b) invalidního důchodu podle toho, co je pro pojištěnce výhodnější. </w:t>
      </w:r>
    </w:p>
    <w:p w14:paraId="09FEA0B9" w14:textId="175FD9F3" w:rsidR="008B1C62" w:rsidRPr="008B1C62" w:rsidRDefault="008B1C62" w:rsidP="00E31C46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 (</w:t>
      </w:r>
      <w:r w:rsidR="00D10508">
        <w:rPr>
          <w:rFonts w:ascii="Times New Roman" w:hAnsi="Times New Roman" w:cs="Times New Roman"/>
          <w:bCs/>
          <w:sz w:val="24"/>
          <w:szCs w:val="24"/>
        </w:rPr>
        <w:t>4</w:t>
      </w:r>
      <w:r w:rsidRPr="008B1C62">
        <w:rPr>
          <w:rFonts w:ascii="Times New Roman" w:hAnsi="Times New Roman" w:cs="Times New Roman"/>
          <w:bCs/>
          <w:sz w:val="24"/>
          <w:szCs w:val="24"/>
        </w:rPr>
        <w:t>) Za příjem pojištěnce uvedeného v odstavci 1 se pro účely odstavce 2 písm. b) považuje též ocenění za péči. Ocenění za péči v kalendářním roce se přičítá k úhrnu vyměřovacích základů pojištěnce za tento kalendářní rok uvedenému v § 16 odst. 2 větě první.</w:t>
      </w:r>
    </w:p>
    <w:p w14:paraId="30344CDD" w14:textId="155FB3B1" w:rsidR="008B1C62" w:rsidRPr="008B1C62" w:rsidRDefault="008B1C62" w:rsidP="00E31C46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(</w:t>
      </w:r>
      <w:r w:rsidR="00D10508">
        <w:rPr>
          <w:rFonts w:ascii="Times New Roman" w:hAnsi="Times New Roman" w:cs="Times New Roman"/>
          <w:bCs/>
          <w:sz w:val="24"/>
          <w:szCs w:val="24"/>
        </w:rPr>
        <w:t>5</w:t>
      </w:r>
      <w:r w:rsidRPr="008B1C62">
        <w:rPr>
          <w:rFonts w:ascii="Times New Roman" w:hAnsi="Times New Roman" w:cs="Times New Roman"/>
          <w:bCs/>
          <w:sz w:val="24"/>
          <w:szCs w:val="24"/>
        </w:rPr>
        <w:t>) Ocenění za péči se stanoví jako částka ve výši 12násobku všeobecného vyměřovacího základu stanoveného za kalendářní rok, v němž byly získány náhradní doby pojištění uvedené v odstavci 1, pokud tyto náhradní doby pojištění trvaly celý kalendářní rok. V posledním kalendářním roce rozhodného období se ocenění za péči stanoví ve výši součinu všeobecného vyměřovacího základu za předposlední kalendářní rok rozhodného období a přepočítacího koeficientu pro úpravu tohoto všeobecného vyměřovacího základu. Pokud tyto náhradní doby pojištění netrvaly celý kalendářní rok, vydělí se částka stanovená podle věty první a druhé počtem kalendářních dnů tohoto kalendářního roku a poté vynásobí počtem kalendářních dnů, po které v tomto kalendářním roce tyto náhradní doby trvaly.</w:t>
      </w:r>
    </w:p>
    <w:p w14:paraId="772D9C61" w14:textId="03F6CA08" w:rsidR="008B1C62" w:rsidRPr="008B1C62" w:rsidRDefault="008B1C62" w:rsidP="00E31C46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(</w:t>
      </w:r>
      <w:r w:rsidR="00D10508">
        <w:rPr>
          <w:rFonts w:ascii="Times New Roman" w:hAnsi="Times New Roman" w:cs="Times New Roman"/>
          <w:bCs/>
          <w:sz w:val="24"/>
          <w:szCs w:val="24"/>
        </w:rPr>
        <w:t>6</w:t>
      </w:r>
      <w:r w:rsidRPr="008B1C62">
        <w:rPr>
          <w:rFonts w:ascii="Times New Roman" w:hAnsi="Times New Roman" w:cs="Times New Roman"/>
          <w:bCs/>
          <w:sz w:val="24"/>
          <w:szCs w:val="24"/>
        </w:rPr>
        <w:t xml:space="preserve">) Ocenění za péči stanovené podle odstavce </w:t>
      </w:r>
      <w:r w:rsidR="00D10508">
        <w:rPr>
          <w:rFonts w:ascii="Times New Roman" w:hAnsi="Times New Roman" w:cs="Times New Roman"/>
          <w:bCs/>
          <w:sz w:val="24"/>
          <w:szCs w:val="24"/>
        </w:rPr>
        <w:t>5</w:t>
      </w: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se vynásobí koeficientem 0,5, pokud se jedná o náhradní doby pojištění za dobu účasti na pojištění osob uvedených v § 5 odst. 2 písm.</w:t>
      </w:r>
      <w:r w:rsidR="007B5099">
        <w:rPr>
          <w:rFonts w:ascii="Times New Roman" w:hAnsi="Times New Roman" w:cs="Times New Roman"/>
          <w:bCs/>
          <w:sz w:val="24"/>
          <w:szCs w:val="24"/>
        </w:rPr>
        <w:t> </w:t>
      </w:r>
      <w:r w:rsidRPr="008B1C62">
        <w:rPr>
          <w:rFonts w:ascii="Times New Roman" w:hAnsi="Times New Roman" w:cs="Times New Roman"/>
          <w:bCs/>
          <w:sz w:val="24"/>
          <w:szCs w:val="24"/>
        </w:rPr>
        <w:t>d), jde-li o péči o osobu mladší 10 let, která je závislá na pomoci jiné osoby ve stupni I (lehká závislost), nebo o osobu, která je závislá na pomoci jiné osoby ve stupni II (středně těžká závislost), nebo osob uvedených v § 102 odst. 1, jde-li o péči o částečně bezmocnou osobu starší 80 let.</w:t>
      </w:r>
    </w:p>
    <w:p w14:paraId="2CE60802" w14:textId="1097C2E7" w:rsidR="008B1C62" w:rsidRPr="008B1C62" w:rsidRDefault="008B1C62" w:rsidP="00E31C46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(</w:t>
      </w:r>
      <w:r w:rsidR="00D10508">
        <w:rPr>
          <w:rFonts w:ascii="Times New Roman" w:hAnsi="Times New Roman" w:cs="Times New Roman"/>
          <w:bCs/>
          <w:sz w:val="24"/>
          <w:szCs w:val="24"/>
        </w:rPr>
        <w:t>7</w:t>
      </w:r>
      <w:r w:rsidR="00E31C4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8B1C62">
        <w:rPr>
          <w:rFonts w:ascii="Times New Roman" w:hAnsi="Times New Roman" w:cs="Times New Roman"/>
          <w:bCs/>
          <w:sz w:val="24"/>
          <w:szCs w:val="24"/>
        </w:rPr>
        <w:t>Ocenění za péči se zaokrouhluje na celé koruny nahoru.</w:t>
      </w:r>
    </w:p>
    <w:p w14:paraId="0FCDF4B8" w14:textId="37A8628E" w:rsidR="008B1C62" w:rsidRPr="008B1C62" w:rsidRDefault="008B1C62" w:rsidP="008B1C62">
      <w:pPr>
        <w:ind w:left="142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(</w:t>
      </w:r>
      <w:r w:rsidR="00D10508">
        <w:rPr>
          <w:rFonts w:ascii="Times New Roman" w:hAnsi="Times New Roman" w:cs="Times New Roman"/>
          <w:bCs/>
          <w:sz w:val="24"/>
          <w:szCs w:val="24"/>
        </w:rPr>
        <w:t>8</w:t>
      </w:r>
      <w:r w:rsidRPr="008B1C62">
        <w:rPr>
          <w:rFonts w:ascii="Times New Roman" w:hAnsi="Times New Roman" w:cs="Times New Roman"/>
          <w:bCs/>
          <w:sz w:val="24"/>
          <w:szCs w:val="24"/>
        </w:rPr>
        <w:t>) Kryje-li se v kalendářním roce více náhradních dob pojištění uvedených v odstavci 1, přihlíží se k ocenění za péči pouze za tu z překrývajících se náhradních dob pojištění, za kterou se stanoví ocenění za péči v nejvyšší částce.</w:t>
      </w:r>
      <w:bookmarkEnd w:id="1"/>
      <w:r w:rsidRPr="008B1C62">
        <w:rPr>
          <w:rFonts w:ascii="Times New Roman" w:hAnsi="Times New Roman" w:cs="Times New Roman"/>
          <w:bCs/>
          <w:sz w:val="24"/>
          <w:szCs w:val="24"/>
        </w:rPr>
        <w:t>“.</w:t>
      </w:r>
      <w:r w:rsidR="00E31C46">
        <w:rPr>
          <w:rFonts w:ascii="Times New Roman" w:hAnsi="Times New Roman" w:cs="Times New Roman"/>
          <w:bCs/>
          <w:sz w:val="24"/>
          <w:szCs w:val="24"/>
        </w:rPr>
        <w:t>“.</w:t>
      </w:r>
    </w:p>
    <w:p w14:paraId="35F00FD3" w14:textId="77777777" w:rsidR="002C7F34" w:rsidRPr="00595E80" w:rsidRDefault="002C7F34" w:rsidP="00595E80">
      <w:pPr>
        <w:pStyle w:val="Bezmezer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66E21C9F" w14:textId="3DCBF544" w:rsidR="003127C3" w:rsidRDefault="00E31C46" w:rsidP="00E31C46">
      <w:pPr>
        <w:pStyle w:val="Odstavecseseznamem"/>
        <w:numPr>
          <w:ilvl w:val="0"/>
          <w:numId w:val="11"/>
        </w:numPr>
        <w:jc w:val="both"/>
        <w:rPr>
          <w:bCs/>
        </w:rPr>
      </w:pPr>
      <w:bookmarkStart w:id="2" w:name="_Hlk168297194"/>
      <w:r>
        <w:rPr>
          <w:bCs/>
        </w:rPr>
        <w:t xml:space="preserve">Bod 32 </w:t>
      </w:r>
      <w:r w:rsidR="00B1795D">
        <w:rPr>
          <w:bCs/>
        </w:rPr>
        <w:t>se nahrazuje tímto novým zněním</w:t>
      </w:r>
      <w:r>
        <w:rPr>
          <w:bCs/>
        </w:rPr>
        <w:t>:</w:t>
      </w:r>
    </w:p>
    <w:p w14:paraId="14B158F7" w14:textId="77777777" w:rsidR="00E31C46" w:rsidRDefault="00E31C46" w:rsidP="00E31C46">
      <w:pPr>
        <w:pStyle w:val="Odstavecseseznamem"/>
        <w:ind w:left="502"/>
        <w:jc w:val="both"/>
        <w:rPr>
          <w:bCs/>
        </w:rPr>
      </w:pPr>
    </w:p>
    <w:p w14:paraId="05342757" w14:textId="3C975F1F" w:rsidR="003127C3" w:rsidRDefault="00E31C46" w:rsidP="00E31C4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1C46">
        <w:rPr>
          <w:rFonts w:ascii="Times New Roman" w:hAnsi="Times New Roman" w:cs="Times New Roman"/>
          <w:bCs/>
          <w:sz w:val="24"/>
          <w:szCs w:val="24"/>
        </w:rPr>
        <w:t xml:space="preserve">   „32. </w:t>
      </w:r>
      <w:r>
        <w:rPr>
          <w:rFonts w:ascii="Times New Roman" w:hAnsi="Times New Roman" w:cs="Times New Roman"/>
          <w:bCs/>
          <w:sz w:val="24"/>
          <w:szCs w:val="24"/>
        </w:rPr>
        <w:t>§ 34a zní:</w:t>
      </w:r>
    </w:p>
    <w:p w14:paraId="64286721" w14:textId="4395F2EF" w:rsidR="00E31C46" w:rsidRDefault="003127C3" w:rsidP="007057D4">
      <w:pPr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</w:t>
      </w:r>
      <w:r w:rsidR="00B1795D"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 xml:space="preserve"> „§ 34a</w:t>
      </w:r>
      <w:r w:rsidR="00FF2887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 </w:t>
      </w:r>
      <w:r w:rsidR="009C3081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</w:t>
      </w:r>
    </w:p>
    <w:p w14:paraId="3A3D3904" w14:textId="40B41355" w:rsidR="005B0E9E" w:rsidRDefault="00FF2887" w:rsidP="007057D4">
      <w:pPr>
        <w:ind w:left="142" w:hanging="142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bookmarkStart w:id="3" w:name="_Hlk176098829"/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</w:t>
      </w:r>
      <w:r w:rsidR="00E31C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        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(1) Výše procentní výměry starobního důchodu, na který vznikl nárok podle § 29 </w:t>
      </w:r>
      <w:r w:rsidR="00E31C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odst. 1 až 4 nebo podle § 31, se </w:t>
      </w:r>
      <w:r w:rsidR="00F82D85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pojištěnci na jeho žádost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zvyšuje ode dne, od něhož se tento důchod přiznává, </w:t>
      </w:r>
    </w:p>
    <w:p w14:paraId="731CF34F" w14:textId="7C8C6372" w:rsidR="00F82D85" w:rsidRDefault="005B0E9E" w:rsidP="00D51277">
      <w:pPr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a) 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za </w:t>
      </w:r>
      <w:r w:rsidR="005E0846" w:rsidRPr="00D51277">
        <w:rPr>
          <w:rFonts w:ascii="Times New Roman" w:hAnsi="Times New Roman" w:cs="Times New Roman"/>
          <w:bCs/>
          <w:sz w:val="24"/>
          <w:szCs w:val="24"/>
        </w:rPr>
        <w:t>každé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dítě, které </w:t>
      </w:r>
      <w:r w:rsidR="00FF2887">
        <w:rPr>
          <w:rFonts w:ascii="Times New Roman" w:eastAsia="Calibri" w:hAnsi="Times New Roman" w:cs="Times New Roman"/>
          <w:sz w:val="24"/>
          <w:szCs w:val="24"/>
          <w:lang w:eastAsia="cs-CZ"/>
        </w:rPr>
        <w:t>pojištěn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>ec vychoval, pokud výše procentní výměry tohoto důchodu</w:t>
      </w:r>
      <w:r w:rsidR="00C969C4">
        <w:rPr>
          <w:rFonts w:ascii="Times New Roman" w:eastAsia="Calibri" w:hAnsi="Times New Roman" w:cs="Times New Roman"/>
          <w:sz w:val="24"/>
          <w:szCs w:val="24"/>
          <w:lang w:eastAsia="cs-CZ"/>
        </w:rPr>
        <w:t>, která byla stanovena  z výpočtového základu, při jehož stanovení se vycházelo z osobního vyměřovacího základu stanoveného při použití postupu podle § 19a odst. 2 písm. a)</w:t>
      </w:r>
      <w:r w:rsidR="0001077E">
        <w:rPr>
          <w:rFonts w:ascii="Times New Roman" w:eastAsia="Calibri" w:hAnsi="Times New Roman" w:cs="Times New Roman"/>
          <w:sz w:val="24"/>
          <w:szCs w:val="24"/>
          <w:lang w:eastAsia="cs-CZ"/>
        </w:rPr>
        <w:t>,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s přičtením tohoto zvýšení </w:t>
      </w:r>
      <w:r w:rsidR="00C969C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je 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vyšší než výše procentní výměry tohoto důchodu, která byla stanovena z výpočtového základu, při jehož </w:t>
      </w:r>
      <w:r w:rsidR="00C969C4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stanovení 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se vycházelo z osobního vyměřovacího základu stanoveného při použití postupu podle § 19a odst. 2 písm. </w:t>
      </w:r>
      <w:r w:rsidR="00C969C4">
        <w:rPr>
          <w:rFonts w:ascii="Times New Roman" w:eastAsia="Calibri" w:hAnsi="Times New Roman" w:cs="Times New Roman"/>
          <w:sz w:val="24"/>
          <w:szCs w:val="24"/>
          <w:lang w:eastAsia="cs-CZ"/>
        </w:rPr>
        <w:t>b</w:t>
      </w:r>
      <w:r w:rsidR="005E0846">
        <w:rPr>
          <w:rFonts w:ascii="Times New Roman" w:eastAsia="Calibri" w:hAnsi="Times New Roman" w:cs="Times New Roman"/>
          <w:sz w:val="24"/>
          <w:szCs w:val="24"/>
          <w:lang w:eastAsia="cs-CZ"/>
        </w:rPr>
        <w:t>)</w:t>
      </w:r>
      <w:r w:rsidR="00E13C05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, </w:t>
      </w:r>
      <w:r w:rsidR="0001077E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s přičtením zvýšení </w:t>
      </w:r>
      <w:r w:rsidR="00E13C05"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podle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písm</w:t>
      </w:r>
      <w:r w:rsidR="001D5CAE">
        <w:rPr>
          <w:rFonts w:ascii="Times New Roman" w:eastAsia="Calibri" w:hAnsi="Times New Roman" w:cs="Times New Roman"/>
          <w:sz w:val="24"/>
          <w:szCs w:val="24"/>
          <w:lang w:eastAsia="cs-CZ"/>
        </w:rPr>
        <w:t>ene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b)</w:t>
      </w:r>
      <w:r w:rsidR="00F82D85">
        <w:rPr>
          <w:rFonts w:ascii="Times New Roman" w:eastAsia="Calibri" w:hAnsi="Times New Roman" w:cs="Times New Roman"/>
          <w:sz w:val="24"/>
          <w:szCs w:val="24"/>
          <w:lang w:eastAsia="cs-CZ"/>
        </w:rPr>
        <w:t>, nebo</w:t>
      </w:r>
    </w:p>
    <w:p w14:paraId="3589C566" w14:textId="76BCAC34" w:rsidR="009C3081" w:rsidRDefault="00F82D85" w:rsidP="00D51277">
      <w:pPr>
        <w:ind w:left="426" w:hanging="426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b) za třetí a </w:t>
      </w:r>
      <w:r w:rsidRPr="00D51277">
        <w:rPr>
          <w:rFonts w:ascii="Times New Roman" w:hAnsi="Times New Roman" w:cs="Times New Roman"/>
          <w:bCs/>
          <w:sz w:val="24"/>
          <w:szCs w:val="24"/>
        </w:rPr>
        <w:t>každé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 další dítě, které pojištěnec vychoval</w:t>
      </w:r>
      <w:r w:rsidR="00BD3085"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</w:p>
    <w:p w14:paraId="2DDE211F" w14:textId="5A9B1162" w:rsidR="003127C3" w:rsidRPr="00E31C46" w:rsidRDefault="00C969C4" w:rsidP="00E31C46">
      <w:pPr>
        <w:ind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1C46">
        <w:rPr>
          <w:bCs/>
        </w:rPr>
        <w:t xml:space="preserve">              </w:t>
      </w:r>
      <w:r w:rsidR="00E31C46">
        <w:rPr>
          <w:bCs/>
        </w:rPr>
        <w:t xml:space="preserve">     </w:t>
      </w:r>
      <w:r w:rsidR="005E0846" w:rsidRPr="00E31C46">
        <w:rPr>
          <w:bCs/>
        </w:rPr>
        <w:t xml:space="preserve"> (</w:t>
      </w:r>
      <w:r w:rsidR="00F82D85">
        <w:rPr>
          <w:rFonts w:ascii="Times New Roman" w:hAnsi="Times New Roman" w:cs="Times New Roman"/>
          <w:bCs/>
          <w:sz w:val="24"/>
          <w:szCs w:val="24"/>
        </w:rPr>
        <w:t>2</w:t>
      </w:r>
      <w:r w:rsidR="005E0846" w:rsidRPr="00E31C46"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="003127C3" w:rsidRPr="00E31C46">
        <w:rPr>
          <w:rFonts w:ascii="Times New Roman" w:hAnsi="Times New Roman" w:cs="Times New Roman"/>
          <w:bCs/>
          <w:sz w:val="24"/>
          <w:szCs w:val="24"/>
        </w:rPr>
        <w:t>Zvýšení za 1 vychované dítě, které se zohledňuje podle</w:t>
      </w:r>
      <w:r w:rsidR="005E0846" w:rsidRPr="00E31C46">
        <w:rPr>
          <w:rFonts w:ascii="Times New Roman" w:hAnsi="Times New Roman" w:cs="Times New Roman"/>
          <w:bCs/>
          <w:sz w:val="24"/>
          <w:szCs w:val="24"/>
        </w:rPr>
        <w:t xml:space="preserve"> odstavc</w:t>
      </w:r>
      <w:r w:rsidR="00F82D85">
        <w:rPr>
          <w:rFonts w:ascii="Times New Roman" w:hAnsi="Times New Roman" w:cs="Times New Roman"/>
          <w:bCs/>
          <w:sz w:val="24"/>
          <w:szCs w:val="24"/>
        </w:rPr>
        <w:t>e</w:t>
      </w:r>
      <w:r w:rsidR="005E0846" w:rsidRPr="00E31C46">
        <w:rPr>
          <w:rFonts w:ascii="Times New Roman" w:hAnsi="Times New Roman" w:cs="Times New Roman"/>
          <w:bCs/>
          <w:sz w:val="24"/>
          <w:szCs w:val="24"/>
        </w:rPr>
        <w:t xml:space="preserve"> 1</w:t>
      </w:r>
      <w:r w:rsidR="009E1C9D" w:rsidRPr="00E31C4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127C3" w:rsidRPr="00E31C46">
        <w:rPr>
          <w:rFonts w:ascii="Times New Roman" w:hAnsi="Times New Roman" w:cs="Times New Roman"/>
          <w:bCs/>
          <w:sz w:val="24"/>
          <w:szCs w:val="24"/>
        </w:rPr>
        <w:t>činí 500 Kč měsíčně.</w:t>
      </w:r>
      <w:r w:rsidR="009C3081" w:rsidRPr="00E31C4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DA97A3A" w14:textId="3FA4EE76" w:rsidR="003127C3" w:rsidRPr="00E31C46" w:rsidRDefault="00E31C46" w:rsidP="00E31C46">
      <w:pPr>
        <w:pStyle w:val="Bezmezer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5E0846" w:rsidRPr="009E1C9D">
        <w:rPr>
          <w:rFonts w:ascii="Times New Roman" w:hAnsi="Times New Roman" w:cs="Times New Roman"/>
          <w:sz w:val="24"/>
          <w:szCs w:val="24"/>
        </w:rPr>
        <w:t>(</w:t>
      </w:r>
      <w:r w:rsidR="00F82D85">
        <w:rPr>
          <w:rFonts w:ascii="Times New Roman" w:hAnsi="Times New Roman" w:cs="Times New Roman"/>
          <w:sz w:val="24"/>
          <w:szCs w:val="24"/>
        </w:rPr>
        <w:t>3</w:t>
      </w:r>
      <w:r w:rsidR="005E0846" w:rsidRPr="009E1C9D">
        <w:rPr>
          <w:rFonts w:ascii="Times New Roman" w:hAnsi="Times New Roman" w:cs="Times New Roman"/>
          <w:sz w:val="24"/>
          <w:szCs w:val="24"/>
        </w:rPr>
        <w:t xml:space="preserve">) </w:t>
      </w:r>
      <w:r w:rsidR="003127C3" w:rsidRPr="009E1C9D">
        <w:rPr>
          <w:rFonts w:ascii="Times New Roman" w:hAnsi="Times New Roman" w:cs="Times New Roman"/>
          <w:sz w:val="24"/>
          <w:szCs w:val="24"/>
        </w:rPr>
        <w:t xml:space="preserve">Dítě se pro účely zvýšení procentní výměry starobního důchodu podle </w:t>
      </w:r>
      <w:r w:rsidR="005E0846" w:rsidRPr="009E1C9D">
        <w:rPr>
          <w:rFonts w:ascii="Times New Roman" w:hAnsi="Times New Roman" w:cs="Times New Roman"/>
          <w:sz w:val="24"/>
          <w:szCs w:val="24"/>
        </w:rPr>
        <w:t>odstavc</w:t>
      </w:r>
      <w:r w:rsidR="00F82D85">
        <w:rPr>
          <w:rFonts w:ascii="Times New Roman" w:hAnsi="Times New Roman" w:cs="Times New Roman"/>
          <w:sz w:val="24"/>
          <w:szCs w:val="24"/>
        </w:rPr>
        <w:t>e</w:t>
      </w:r>
      <w:r w:rsidR="005E0846" w:rsidRPr="009E1C9D">
        <w:rPr>
          <w:rFonts w:ascii="Times New Roman" w:hAnsi="Times New Roman" w:cs="Times New Roman"/>
          <w:sz w:val="24"/>
          <w:szCs w:val="24"/>
        </w:rPr>
        <w:t xml:space="preserve"> 1 </w:t>
      </w:r>
      <w:r w:rsidR="003127C3" w:rsidRPr="009E1C9D">
        <w:rPr>
          <w:rFonts w:ascii="Times New Roman" w:hAnsi="Times New Roman" w:cs="Times New Roman"/>
          <w:sz w:val="24"/>
          <w:szCs w:val="24"/>
        </w:rPr>
        <w:t xml:space="preserve">(dále jen „zvýšení za vychované dítě“) považuje za vychované, jsou-li splněny podmínky výchovy dítěte podle § 32 odst. 4; tyto podmínky platí i v případě, že o dítě osobně pečuje nebo pečoval muž. Výchovu téhož dítěte nelze pro účely zvýšení za vychované dítě současně započítat více osobám; vychovávalo-li dítě více osob, přihlíží se k výchově dítěte jen u té osoby, která o dítě osobně pečovala v největším rozsahu. Při zvýšení za vychované dítě se přihlíží jen k výchově toho dítěte, které jako vychované pojištěnec uvedl v žádosti o přiznání starobního důchodu; není-li tato podmínka splněna, zvýšení za vychované dítě nenáleží. </w:t>
      </w:r>
      <w:r w:rsidR="003127C3" w:rsidRPr="00E31C46">
        <w:rPr>
          <w:rFonts w:ascii="Times New Roman" w:hAnsi="Times New Roman" w:cs="Times New Roman"/>
          <w:bCs/>
          <w:sz w:val="24"/>
          <w:szCs w:val="24"/>
        </w:rPr>
        <w:t xml:space="preserve">Za dítě, které pojištěnec vychoval, se pro účely zvýšení podle </w:t>
      </w:r>
      <w:r w:rsidR="005E0846" w:rsidRPr="00E31C46">
        <w:rPr>
          <w:rFonts w:ascii="Times New Roman" w:hAnsi="Times New Roman" w:cs="Times New Roman"/>
          <w:bCs/>
          <w:sz w:val="24"/>
          <w:szCs w:val="24"/>
        </w:rPr>
        <w:t>odstavc</w:t>
      </w:r>
      <w:r w:rsidR="00F82D85">
        <w:rPr>
          <w:rFonts w:ascii="Times New Roman" w:hAnsi="Times New Roman" w:cs="Times New Roman"/>
          <w:bCs/>
          <w:sz w:val="24"/>
          <w:szCs w:val="24"/>
        </w:rPr>
        <w:t>e</w:t>
      </w:r>
      <w:r w:rsidR="005E0846" w:rsidRPr="00E31C46">
        <w:rPr>
          <w:rFonts w:ascii="Times New Roman" w:hAnsi="Times New Roman" w:cs="Times New Roman"/>
          <w:bCs/>
          <w:sz w:val="24"/>
          <w:szCs w:val="24"/>
        </w:rPr>
        <w:t xml:space="preserve"> 1 </w:t>
      </w:r>
      <w:r w:rsidR="003127C3" w:rsidRPr="00E31C46">
        <w:rPr>
          <w:rFonts w:ascii="Times New Roman" w:hAnsi="Times New Roman" w:cs="Times New Roman"/>
          <w:bCs/>
          <w:sz w:val="24"/>
          <w:szCs w:val="24"/>
        </w:rPr>
        <w:t xml:space="preserve">nepovažuje dítě, které vychoval jiný pojištěnec a k němuž se u tohoto jiného pojištěnce nepřihlíží pro účely stanovení výše zvýšení podle </w:t>
      </w:r>
      <w:r w:rsidR="00F82D85" w:rsidRPr="00E31C46">
        <w:rPr>
          <w:rFonts w:ascii="Times New Roman" w:hAnsi="Times New Roman" w:cs="Times New Roman"/>
          <w:bCs/>
          <w:sz w:val="24"/>
          <w:szCs w:val="24"/>
        </w:rPr>
        <w:t>odstavc</w:t>
      </w:r>
      <w:r w:rsidR="00F82D85">
        <w:rPr>
          <w:rFonts w:ascii="Times New Roman" w:hAnsi="Times New Roman" w:cs="Times New Roman"/>
          <w:bCs/>
          <w:sz w:val="24"/>
          <w:szCs w:val="24"/>
        </w:rPr>
        <w:t>e</w:t>
      </w:r>
      <w:r w:rsidR="00F82D85" w:rsidRPr="00E31C4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969C4" w:rsidRPr="00E31C46">
        <w:rPr>
          <w:rFonts w:ascii="Times New Roman" w:hAnsi="Times New Roman" w:cs="Times New Roman"/>
          <w:bCs/>
          <w:sz w:val="24"/>
          <w:szCs w:val="24"/>
        </w:rPr>
        <w:t>1</w:t>
      </w:r>
      <w:r w:rsidR="003127C3" w:rsidRPr="00E31C46">
        <w:rPr>
          <w:rFonts w:ascii="Times New Roman" w:hAnsi="Times New Roman" w:cs="Times New Roman"/>
          <w:bCs/>
          <w:sz w:val="24"/>
          <w:szCs w:val="24"/>
        </w:rPr>
        <w:t xml:space="preserve"> jen proto, že se jedná o první nebo druhé vychované dítě. Při stanovení zvýšení procentní výměry starobního důchodu za vychované děti se přihlíží k celkovému počtu dětí vychovaných pojištěncem; pořadí vychovaných dětí není přitom rozhodné. Pojištěnec je v žádosti o přiznání starobního důchodu povinen uvést všechny děti, které se považují za vychované.</w:t>
      </w:r>
    </w:p>
    <w:p w14:paraId="29C2E65A" w14:textId="77777777" w:rsidR="003127C3" w:rsidRPr="00E31C46" w:rsidRDefault="003127C3" w:rsidP="003127C3">
      <w:pPr>
        <w:pStyle w:val="Bezmezer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50BD806" w14:textId="3E6599E4" w:rsidR="003127C3" w:rsidRDefault="003127C3" w:rsidP="003127C3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1C46">
        <w:rPr>
          <w:rFonts w:ascii="Times New Roman" w:hAnsi="Times New Roman" w:cs="Times New Roman"/>
          <w:bCs/>
          <w:sz w:val="24"/>
          <w:szCs w:val="24"/>
        </w:rPr>
        <w:t>(</w:t>
      </w:r>
      <w:r w:rsidR="00D51277">
        <w:rPr>
          <w:rFonts w:ascii="Times New Roman" w:hAnsi="Times New Roman" w:cs="Times New Roman"/>
          <w:bCs/>
          <w:sz w:val="24"/>
          <w:szCs w:val="24"/>
        </w:rPr>
        <w:t>4</w:t>
      </w:r>
      <w:r w:rsidRPr="00E31C46">
        <w:rPr>
          <w:rFonts w:ascii="Times New Roman" w:hAnsi="Times New Roman" w:cs="Times New Roman"/>
          <w:bCs/>
          <w:sz w:val="24"/>
          <w:szCs w:val="24"/>
        </w:rPr>
        <w:t>) Pro účely stanovení počtu vychovaných dětí podle odstavc</w:t>
      </w:r>
      <w:r w:rsidR="000B370E">
        <w:rPr>
          <w:rFonts w:ascii="Times New Roman" w:hAnsi="Times New Roman" w:cs="Times New Roman"/>
          <w:bCs/>
          <w:sz w:val="24"/>
          <w:szCs w:val="24"/>
        </w:rPr>
        <w:t>e</w:t>
      </w:r>
      <w:r w:rsidRPr="00E31C46">
        <w:rPr>
          <w:rFonts w:ascii="Times New Roman" w:hAnsi="Times New Roman" w:cs="Times New Roman"/>
          <w:bCs/>
          <w:sz w:val="24"/>
          <w:szCs w:val="24"/>
        </w:rPr>
        <w:t xml:space="preserve"> 1 se nepřihlíží k tomu vychovanému dítěti, vůči němuž se pojištěnec </w:t>
      </w:r>
      <w:r w:rsidRPr="009E1C9D">
        <w:rPr>
          <w:rFonts w:ascii="Times New Roman" w:hAnsi="Times New Roman" w:cs="Times New Roman"/>
          <w:sz w:val="24"/>
          <w:szCs w:val="24"/>
        </w:rPr>
        <w:t>dopustil jako pachatel, spolupachatel nebo účastník úmyslného trestného činu proti životu a zdraví, proti svobodě a právům na ochranu osobnosti, proti lidské důstojnosti v sexuální oblasti nebo proti rodině a dětem podle trestního zákoníku nebo obdobných úmyslných trestných činů podle dříve platných právních předpisů.</w:t>
      </w:r>
      <w:bookmarkEnd w:id="3"/>
      <w:r w:rsidR="00E31C46">
        <w:rPr>
          <w:rFonts w:ascii="Times New Roman" w:hAnsi="Times New Roman" w:cs="Times New Roman"/>
          <w:sz w:val="24"/>
          <w:szCs w:val="24"/>
        </w:rPr>
        <w:t>“.“.</w:t>
      </w:r>
    </w:p>
    <w:p w14:paraId="6E8001F7" w14:textId="77777777" w:rsidR="00B1795D" w:rsidRDefault="00B1795D" w:rsidP="003127C3">
      <w:pPr>
        <w:pStyle w:val="Bezmezer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D1D992" w14:textId="484C8068" w:rsidR="00B1795D" w:rsidRPr="00B1795D" w:rsidRDefault="00B1795D" w:rsidP="00B1795D">
      <w:pPr>
        <w:pStyle w:val="Bezmezer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Dosavadní body 33 a 34 se zrušují.</w:t>
      </w:r>
    </w:p>
    <w:p w14:paraId="6B77F8F3" w14:textId="4BD077FE" w:rsidR="00B1795D" w:rsidRDefault="00B1795D" w:rsidP="00B1795D">
      <w:pPr>
        <w:pStyle w:val="Bezmezer"/>
        <w:ind w:left="5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Následující body se přeznačí. </w:t>
      </w:r>
    </w:p>
    <w:p w14:paraId="7A817823" w14:textId="77777777" w:rsidR="009842F6" w:rsidRDefault="009842F6" w:rsidP="00B1795D">
      <w:pPr>
        <w:pStyle w:val="Bezmezer"/>
        <w:ind w:left="502"/>
        <w:jc w:val="both"/>
        <w:rPr>
          <w:rFonts w:ascii="Times New Roman" w:hAnsi="Times New Roman" w:cs="Times New Roman"/>
          <w:sz w:val="24"/>
          <w:szCs w:val="24"/>
        </w:rPr>
      </w:pPr>
    </w:p>
    <w:p w14:paraId="6FAED04C" w14:textId="674D4227" w:rsidR="009842F6" w:rsidRPr="009842F6" w:rsidRDefault="009842F6" w:rsidP="009842F6">
      <w:pPr>
        <w:pStyle w:val="Bezmezer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dosavadní bod 52 se vloží nový bod </w:t>
      </w:r>
      <w:proofErr w:type="gramStart"/>
      <w:r>
        <w:rPr>
          <w:rFonts w:ascii="Times New Roman" w:hAnsi="Times New Roman" w:cs="Times New Roman"/>
          <w:sz w:val="24"/>
          <w:szCs w:val="24"/>
        </w:rPr>
        <w:t>52a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tohoto znění:</w:t>
      </w:r>
    </w:p>
    <w:p w14:paraId="1B570C32" w14:textId="77777777" w:rsidR="009842F6" w:rsidRDefault="009842F6" w:rsidP="009842F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238D74DE" w14:textId="219D1024" w:rsidR="009842F6" w:rsidRDefault="009842F6" w:rsidP="009842F6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gramStart"/>
      <w:r>
        <w:rPr>
          <w:rFonts w:ascii="Times New Roman" w:hAnsi="Times New Roman" w:cs="Times New Roman"/>
          <w:sz w:val="24"/>
          <w:szCs w:val="24"/>
        </w:rPr>
        <w:t>52a</w:t>
      </w:r>
      <w:proofErr w:type="gramEnd"/>
      <w:r>
        <w:rPr>
          <w:rFonts w:ascii="Times New Roman" w:hAnsi="Times New Roman" w:cs="Times New Roman"/>
          <w:sz w:val="24"/>
          <w:szCs w:val="24"/>
        </w:rPr>
        <w:t>. V § 57 se věta poslední zrušuje.“.</w:t>
      </w:r>
    </w:p>
    <w:p w14:paraId="6DC1AF14" w14:textId="354EB247" w:rsidR="009842F6" w:rsidRPr="00B1795D" w:rsidRDefault="009842F6" w:rsidP="009842F6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Následující body se přeznačí.</w:t>
      </w:r>
    </w:p>
    <w:p w14:paraId="78FDD981" w14:textId="77777777" w:rsidR="0098286A" w:rsidRDefault="0098286A" w:rsidP="00686B1C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360AFBBB" w14:textId="13CD527A" w:rsidR="0098286A" w:rsidRDefault="00B1795D" w:rsidP="00686B1C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B1795D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 xml:space="preserve">Účinnost 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 xml:space="preserve">těchto navrhovaných změn je </w:t>
      </w:r>
      <w:r w:rsidRPr="00B1795D">
        <w:rPr>
          <w:rFonts w:ascii="Times New Roman" w:eastAsia="Calibri" w:hAnsi="Times New Roman" w:cs="Times New Roman"/>
          <w:b/>
          <w:bCs/>
          <w:sz w:val="24"/>
          <w:szCs w:val="24"/>
          <w:lang w:eastAsia="cs-CZ"/>
        </w:rPr>
        <w:t>od 1. ledna 2027</w:t>
      </w:r>
      <w:r>
        <w:rPr>
          <w:rFonts w:ascii="Times New Roman" w:eastAsia="Calibri" w:hAnsi="Times New Roman" w:cs="Times New Roman"/>
          <w:sz w:val="24"/>
          <w:szCs w:val="24"/>
          <w:lang w:eastAsia="cs-CZ"/>
        </w:rPr>
        <w:t>.</w:t>
      </w:r>
    </w:p>
    <w:p w14:paraId="514363A4" w14:textId="77777777" w:rsidR="0098286A" w:rsidRDefault="0098286A" w:rsidP="00686B1C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2A7B6957" w14:textId="77777777" w:rsidR="0098286A" w:rsidRDefault="0098286A" w:rsidP="00686B1C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42932C1D" w14:textId="77777777" w:rsidR="0098286A" w:rsidRDefault="0098286A" w:rsidP="00686B1C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14:paraId="7B5AFD5F" w14:textId="77777777" w:rsidR="0098286A" w:rsidRPr="0098286A" w:rsidRDefault="0098286A" w:rsidP="00686B1C">
      <w:pPr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bookmarkEnd w:id="2"/>
    <w:p w14:paraId="24990391" w14:textId="77777777" w:rsidR="00803E2C" w:rsidRPr="0098286A" w:rsidRDefault="00803E2C" w:rsidP="0001075F">
      <w:pPr>
        <w:pStyle w:val="Bezmezer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8186" w14:textId="77777777" w:rsidR="00B1795D" w:rsidRDefault="00B1795D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EA07C8" w14:textId="77777777" w:rsidR="00B1795D" w:rsidRDefault="00B1795D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473CF69" w14:textId="77777777" w:rsidR="00B1795D" w:rsidRDefault="00B1795D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1BB457F" w14:textId="77777777" w:rsidR="00B1795D" w:rsidRDefault="00B1795D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5DFB8C" w14:textId="77777777" w:rsidR="00B1795D" w:rsidRDefault="00B1795D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5A36B26" w14:textId="77777777" w:rsidR="00CB2C08" w:rsidRDefault="00CB2C08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372B9E" w14:textId="77777777" w:rsidR="00CB2C08" w:rsidRDefault="00CB2C08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089C7" w14:textId="77777777" w:rsidR="00CB2C08" w:rsidRDefault="00CB2C08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73398A" w14:textId="77777777" w:rsidR="00CB2C08" w:rsidRDefault="00CB2C08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9DE54B" w14:textId="32E294CD" w:rsidR="00AB37DD" w:rsidRPr="0098286A" w:rsidRDefault="00AB37DD" w:rsidP="0098286A">
      <w:pPr>
        <w:pStyle w:val="Bezmezer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8286A">
        <w:rPr>
          <w:rFonts w:ascii="Times New Roman" w:hAnsi="Times New Roman" w:cs="Times New Roman"/>
          <w:b/>
          <w:bCs/>
          <w:sz w:val="24"/>
          <w:szCs w:val="24"/>
        </w:rPr>
        <w:lastRenderedPageBreak/>
        <w:t>Odůvodnění</w:t>
      </w:r>
      <w:r w:rsidR="0098286A">
        <w:rPr>
          <w:rFonts w:ascii="Times New Roman" w:hAnsi="Times New Roman" w:cs="Times New Roman"/>
          <w:b/>
          <w:bCs/>
          <w:sz w:val="24"/>
          <w:szCs w:val="24"/>
        </w:rPr>
        <w:t xml:space="preserve"> pozměňovacího návrhu</w:t>
      </w:r>
    </w:p>
    <w:p w14:paraId="2F76AE51" w14:textId="77777777" w:rsidR="0098286A" w:rsidRPr="004D0896" w:rsidRDefault="0098286A" w:rsidP="0001075F">
      <w:pPr>
        <w:pStyle w:val="Bezmezer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6542DDD2" w14:textId="6DD52699" w:rsidR="00DC7645" w:rsidRPr="00506D86" w:rsidRDefault="0098286A" w:rsidP="0098286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4B8E3B12" w14:textId="36143925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>Nově zaváděný institut ocenění za péči</w:t>
      </w:r>
      <w:r>
        <w:rPr>
          <w:rFonts w:ascii="Times New Roman" w:hAnsi="Times New Roman" w:cs="Times New Roman"/>
          <w:sz w:val="24"/>
          <w:szCs w:val="24"/>
        </w:rPr>
        <w:t xml:space="preserve"> v § 19a zákona o důchodovém pojištění</w:t>
      </w:r>
      <w:r w:rsidRPr="00506D86">
        <w:rPr>
          <w:rFonts w:ascii="Times New Roman" w:hAnsi="Times New Roman" w:cs="Times New Roman"/>
          <w:sz w:val="24"/>
          <w:szCs w:val="24"/>
        </w:rPr>
        <w:t xml:space="preserve">, který u prvního a druhého vychovaného dítěte nahrazuje </w:t>
      </w:r>
      <w:r>
        <w:rPr>
          <w:rFonts w:ascii="Times New Roman" w:hAnsi="Times New Roman" w:cs="Times New Roman"/>
          <w:sz w:val="24"/>
          <w:szCs w:val="24"/>
        </w:rPr>
        <w:t>zvýšení procentní výměry starobního důchodu za vychované dítě (tzv. výchovné)</w:t>
      </w:r>
      <w:r w:rsidRPr="00506D86">
        <w:rPr>
          <w:rFonts w:ascii="Times New Roman" w:hAnsi="Times New Roman" w:cs="Times New Roman"/>
          <w:sz w:val="24"/>
          <w:szCs w:val="24"/>
        </w:rPr>
        <w:t xml:space="preserve">, má u jednotlivých pojištěnců, ve srovnání s jednotnou částkou </w:t>
      </w:r>
      <w:r>
        <w:rPr>
          <w:rFonts w:ascii="Times New Roman" w:hAnsi="Times New Roman" w:cs="Times New Roman"/>
          <w:sz w:val="24"/>
          <w:szCs w:val="24"/>
        </w:rPr>
        <w:t xml:space="preserve">výchovného </w:t>
      </w:r>
      <w:r w:rsidRPr="00506D86">
        <w:rPr>
          <w:rFonts w:ascii="Times New Roman" w:hAnsi="Times New Roman" w:cs="Times New Roman"/>
          <w:sz w:val="24"/>
          <w:szCs w:val="24"/>
        </w:rPr>
        <w:t>500 Kč</w:t>
      </w:r>
      <w:r>
        <w:rPr>
          <w:rFonts w:ascii="Times New Roman" w:hAnsi="Times New Roman" w:cs="Times New Roman"/>
          <w:sz w:val="24"/>
          <w:szCs w:val="24"/>
        </w:rPr>
        <w:t xml:space="preserve"> za vychované dítě</w:t>
      </w:r>
      <w:r w:rsidRPr="00506D86">
        <w:rPr>
          <w:rFonts w:ascii="Times New Roman" w:hAnsi="Times New Roman" w:cs="Times New Roman"/>
          <w:sz w:val="24"/>
          <w:szCs w:val="24"/>
        </w:rPr>
        <w:t>, rozdílný a více individualizovaný dopad. K zamezení negativního dopadu přechodu od výchovného k ocenění za péči u konkrétních pojištěnců se navrhuje stanovit výši jejich důchodu alespoň v takové výši, která by odpovídala zachování částky výchovného ve výši 500 Kč již od prvního dítěte.</w:t>
      </w:r>
    </w:p>
    <w:p w14:paraId="2A7D014D" w14:textId="74894F6D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ově n</w:t>
      </w:r>
      <w:r w:rsidRPr="00506D86">
        <w:rPr>
          <w:rFonts w:ascii="Times New Roman" w:hAnsi="Times New Roman" w:cs="Times New Roman"/>
          <w:sz w:val="24"/>
          <w:szCs w:val="24"/>
        </w:rPr>
        <w:t xml:space="preserve">avržený srovnávací výpočet </w:t>
      </w:r>
      <w:r>
        <w:rPr>
          <w:rFonts w:ascii="Times New Roman" w:hAnsi="Times New Roman" w:cs="Times New Roman"/>
          <w:sz w:val="24"/>
          <w:szCs w:val="24"/>
        </w:rPr>
        <w:t xml:space="preserve">podle pozměňovacího návrhu </w:t>
      </w:r>
      <w:r w:rsidRPr="00506D86">
        <w:rPr>
          <w:rFonts w:ascii="Times New Roman" w:hAnsi="Times New Roman" w:cs="Times New Roman"/>
          <w:sz w:val="24"/>
          <w:szCs w:val="24"/>
        </w:rPr>
        <w:t xml:space="preserve">zajistí, že výchova prvního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6D86">
        <w:rPr>
          <w:rFonts w:ascii="Times New Roman" w:hAnsi="Times New Roman" w:cs="Times New Roman"/>
          <w:sz w:val="24"/>
          <w:szCs w:val="24"/>
        </w:rPr>
        <w:t xml:space="preserve">a druhého dítěte bude oceněna vždy minimálně částkou 500 Kč za každé z těchto dětí. Za této situace je nadbytečné zachovávat ještě přechodné období 2027 až 2029, během něhož mělo na základě původního znění ST 696 docházet u prvních dvou dětí ke kombinaci obou forem ocenění, tedy jak </w:t>
      </w:r>
      <w:r>
        <w:rPr>
          <w:rFonts w:ascii="Times New Roman" w:hAnsi="Times New Roman" w:cs="Times New Roman"/>
          <w:sz w:val="24"/>
          <w:szCs w:val="24"/>
        </w:rPr>
        <w:t>ocenění za péči</w:t>
      </w:r>
      <w:r w:rsidRPr="00506D86">
        <w:rPr>
          <w:rFonts w:ascii="Times New Roman" w:hAnsi="Times New Roman" w:cs="Times New Roman"/>
          <w:sz w:val="24"/>
          <w:szCs w:val="24"/>
        </w:rPr>
        <w:t>, tak výchovného (byť postupně ve snížené výši 300 Kč, 200 Kč, 100 Kč). Smyslem tohoto přechodného období bylo zajistit, aby nová úspornější forma ocenění péče nevedla k efektu skokového meziročního snížení důchodů z důvodu nižšího ocenění výchovy prvních dvou dětí. Tento efekt při zavedení srovnávacího výpočtu již nastat nemůže.</w:t>
      </w:r>
    </w:p>
    <w:p w14:paraId="18A79FB2" w14:textId="543F10FF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>Navrhuje se proto zcela vypustit z § 34a odstavec 1</w:t>
      </w:r>
      <w:r w:rsidR="00321C13">
        <w:rPr>
          <w:rFonts w:ascii="Times New Roman" w:hAnsi="Times New Roman" w:cs="Times New Roman"/>
          <w:sz w:val="24"/>
          <w:szCs w:val="24"/>
        </w:rPr>
        <w:t xml:space="preserve"> zákona o důchodovém pojištění</w:t>
      </w:r>
      <w:r w:rsidRPr="00506D86">
        <w:rPr>
          <w:rFonts w:ascii="Times New Roman" w:hAnsi="Times New Roman" w:cs="Times New Roman"/>
          <w:sz w:val="24"/>
          <w:szCs w:val="24"/>
        </w:rPr>
        <w:t xml:space="preserve">, který zavádí přechodné období. Zůstane tedy jen obecné pravidlo, které zavádí nárok na výchovné ve výši 500 Kč od třetího vychovaného dítěte, přičemž účinnost tohoto ustanovení bude posunuta z roku 2030 na rok 2027. Toto obecné pravidlo bude nově doplněno o </w:t>
      </w:r>
      <w:r>
        <w:rPr>
          <w:rFonts w:ascii="Times New Roman" w:hAnsi="Times New Roman" w:cs="Times New Roman"/>
          <w:sz w:val="24"/>
          <w:szCs w:val="24"/>
        </w:rPr>
        <w:t xml:space="preserve">navrhovaný postup srovnávacího výpočtu. </w:t>
      </w:r>
      <w:r w:rsidRPr="00506D86">
        <w:rPr>
          <w:rFonts w:ascii="Times New Roman" w:hAnsi="Times New Roman" w:cs="Times New Roman"/>
          <w:sz w:val="24"/>
          <w:szCs w:val="24"/>
        </w:rPr>
        <w:t xml:space="preserve">Plátci důchodu budou tedy již od roku 2027 porovnávat, zda procentní výměra vypočtená se zohledněním </w:t>
      </w:r>
      <w:r>
        <w:rPr>
          <w:rFonts w:ascii="Times New Roman" w:hAnsi="Times New Roman" w:cs="Times New Roman"/>
          <w:sz w:val="24"/>
          <w:szCs w:val="24"/>
        </w:rPr>
        <w:t>ocenění za péči</w:t>
      </w:r>
      <w:r w:rsidRPr="00506D86">
        <w:rPr>
          <w:rFonts w:ascii="Times New Roman" w:hAnsi="Times New Roman" w:cs="Times New Roman"/>
          <w:sz w:val="24"/>
          <w:szCs w:val="24"/>
        </w:rPr>
        <w:t xml:space="preserve"> za péči o první dvě děti ve věku do tří let (a přičtením výchovného ve výši 500 Kč za každé z případných dalších dětí) vychází výhodněji, než kdyby tato péče byla při výpočtu </w:t>
      </w:r>
      <w:r>
        <w:rPr>
          <w:rFonts w:ascii="Times New Roman" w:hAnsi="Times New Roman" w:cs="Times New Roman"/>
          <w:sz w:val="24"/>
          <w:szCs w:val="24"/>
        </w:rPr>
        <w:t>osobního vyměřovacího základu</w:t>
      </w:r>
      <w:r w:rsidRPr="00506D86">
        <w:rPr>
          <w:rFonts w:ascii="Times New Roman" w:hAnsi="Times New Roman" w:cs="Times New Roman"/>
          <w:sz w:val="24"/>
          <w:szCs w:val="24"/>
        </w:rPr>
        <w:t xml:space="preserve"> zohledněna jako vyloučená doba a následně bylo přiznáno výchovné ve výši 500 Kč za každé vychované dítě včetně prvních dvou dětí.</w:t>
      </w:r>
    </w:p>
    <w:p w14:paraId="71A63665" w14:textId="159151CB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 xml:space="preserve">Předpokladem provedení srovnávacího výpočtu je, že pojištěnec má nárok na </w:t>
      </w:r>
      <w:r>
        <w:rPr>
          <w:rFonts w:ascii="Times New Roman" w:hAnsi="Times New Roman" w:cs="Times New Roman"/>
          <w:sz w:val="24"/>
          <w:szCs w:val="24"/>
        </w:rPr>
        <w:t>ocenění za péči</w:t>
      </w:r>
      <w:r w:rsidRPr="00506D86">
        <w:rPr>
          <w:rFonts w:ascii="Times New Roman" w:hAnsi="Times New Roman" w:cs="Times New Roman"/>
          <w:sz w:val="24"/>
          <w:szCs w:val="24"/>
        </w:rPr>
        <w:t xml:space="preserve"> za dobu péče o dítě ve věku do tří let. Pokud pojištěnec sice splnil podmínku výchovy dítěte/dětí, ale u tohoto dítěte (resp. u žádného z vychovaných dětí) nezajišťoval péči v době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06D86">
        <w:rPr>
          <w:rFonts w:ascii="Times New Roman" w:hAnsi="Times New Roman" w:cs="Times New Roman"/>
          <w:sz w:val="24"/>
          <w:szCs w:val="24"/>
        </w:rPr>
        <w:t xml:space="preserve">do tří let jeho věku, nárok na srovnávací výpočet </w:t>
      </w:r>
      <w:r>
        <w:rPr>
          <w:rFonts w:ascii="Times New Roman" w:hAnsi="Times New Roman" w:cs="Times New Roman"/>
          <w:sz w:val="24"/>
          <w:szCs w:val="24"/>
        </w:rPr>
        <w:t>nevzniká</w:t>
      </w:r>
      <w:r w:rsidRPr="00506D86">
        <w:rPr>
          <w:rFonts w:ascii="Times New Roman" w:hAnsi="Times New Roman" w:cs="Times New Roman"/>
          <w:sz w:val="24"/>
          <w:szCs w:val="24"/>
        </w:rPr>
        <w:t>, tedy garance paušálního ocenění ve výši 500 Kč za každé vychované dítě se na něj nevztahuje.</w:t>
      </w:r>
    </w:p>
    <w:p w14:paraId="1081AC84" w14:textId="0F4DCCD3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 xml:space="preserve">Pro účely srovnávacího výpočtu se zohlednění vyloučené doby aplikuje na veškerou péči uvedenou v § 19a </w:t>
      </w:r>
      <w:r>
        <w:rPr>
          <w:rFonts w:ascii="Times New Roman" w:hAnsi="Times New Roman" w:cs="Times New Roman"/>
          <w:sz w:val="24"/>
          <w:szCs w:val="24"/>
        </w:rPr>
        <w:t>zákona o důchodovém pojištění</w:t>
      </w:r>
      <w:r w:rsidRPr="00506D86">
        <w:rPr>
          <w:rFonts w:ascii="Times New Roman" w:hAnsi="Times New Roman" w:cs="Times New Roman"/>
          <w:sz w:val="24"/>
          <w:szCs w:val="24"/>
        </w:rPr>
        <w:t xml:space="preserve">, tedy nejen na péči o dítě/děti ve věku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06D86">
        <w:rPr>
          <w:rFonts w:ascii="Times New Roman" w:hAnsi="Times New Roman" w:cs="Times New Roman"/>
          <w:sz w:val="24"/>
          <w:szCs w:val="24"/>
        </w:rPr>
        <w:t>do 3 let, ale také na péči o osobu závislou</w:t>
      </w:r>
      <w:r>
        <w:rPr>
          <w:rFonts w:ascii="Times New Roman" w:hAnsi="Times New Roman" w:cs="Times New Roman"/>
          <w:sz w:val="24"/>
          <w:szCs w:val="24"/>
        </w:rPr>
        <w:t xml:space="preserve"> na péči jiné osoby</w:t>
      </w:r>
      <w:r w:rsidRPr="00506D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to </w:t>
      </w:r>
      <w:r w:rsidRPr="00506D86">
        <w:rPr>
          <w:rFonts w:ascii="Times New Roman" w:hAnsi="Times New Roman" w:cs="Times New Roman"/>
          <w:sz w:val="24"/>
          <w:szCs w:val="24"/>
        </w:rPr>
        <w:t xml:space="preserve">bez ohledu na délku této doby. </w:t>
      </w:r>
    </w:p>
    <w:p w14:paraId="502B6F49" w14:textId="1103879E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 xml:space="preserve">Plátce důchodu bude tedy provádět tyto dva výpočty procentní výměry starobního důchodu </w:t>
      </w:r>
      <w:r w:rsidR="00FB5C5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06D86">
        <w:rPr>
          <w:rFonts w:ascii="Times New Roman" w:hAnsi="Times New Roman" w:cs="Times New Roman"/>
          <w:sz w:val="24"/>
          <w:szCs w:val="24"/>
        </w:rPr>
        <w:t>a pojištěnci přizná výhodnější výsledek:</w:t>
      </w:r>
    </w:p>
    <w:p w14:paraId="2D591AD0" w14:textId="16C7EC18" w:rsidR="00506D86" w:rsidRPr="00506D86" w:rsidRDefault="00506D86" w:rsidP="00506D86">
      <w:pPr>
        <w:pStyle w:val="Odstavecseseznamem"/>
        <w:numPr>
          <w:ilvl w:val="0"/>
          <w:numId w:val="12"/>
        </w:numPr>
        <w:jc w:val="both"/>
      </w:pPr>
      <w:r w:rsidRPr="00506D86">
        <w:t xml:space="preserve">stanovení </w:t>
      </w:r>
      <w:r w:rsidR="00FB5C53">
        <w:t xml:space="preserve">osobního vyměřovacího základu, </w:t>
      </w:r>
      <w:r w:rsidRPr="00506D86">
        <w:t xml:space="preserve">resp. </w:t>
      </w:r>
      <w:r w:rsidR="00FB5C53">
        <w:t xml:space="preserve">výpočtového základu </w:t>
      </w:r>
      <w:r w:rsidRPr="00506D86">
        <w:t>se zohledněním vyloučené doby u veškeré péče, následně výpočet procentní výměry procentem z</w:t>
      </w:r>
      <w:r w:rsidR="00FB5C53">
        <w:t xml:space="preserve"> výpočtového základu </w:t>
      </w:r>
      <w:r w:rsidRPr="00506D86">
        <w:t xml:space="preserve">za dobou pojištění s přičtením výchovného ve výši 500 Kč </w:t>
      </w:r>
      <w:r w:rsidR="00FB5C53">
        <w:t xml:space="preserve">         </w:t>
      </w:r>
      <w:r w:rsidRPr="00506D86">
        <w:t>za každé vychované dítě</w:t>
      </w:r>
    </w:p>
    <w:p w14:paraId="4E66687E" w14:textId="77777777" w:rsidR="00506D86" w:rsidRPr="00506D86" w:rsidRDefault="00506D86" w:rsidP="00506D86">
      <w:pPr>
        <w:pStyle w:val="Odstavecseseznamem"/>
        <w:jc w:val="both"/>
      </w:pPr>
    </w:p>
    <w:p w14:paraId="49C375D3" w14:textId="7EE10757" w:rsidR="00506D86" w:rsidRPr="00506D86" w:rsidRDefault="00506D86" w:rsidP="00506D86">
      <w:pPr>
        <w:pStyle w:val="Odstavecseseznamem"/>
        <w:numPr>
          <w:ilvl w:val="0"/>
          <w:numId w:val="12"/>
        </w:numPr>
        <w:jc w:val="both"/>
      </w:pPr>
      <w:r w:rsidRPr="00506D86">
        <w:lastRenderedPageBreak/>
        <w:t xml:space="preserve">stanovení </w:t>
      </w:r>
      <w:r w:rsidR="00FB5C53">
        <w:t xml:space="preserve">osobního vyměřovacího základu, </w:t>
      </w:r>
      <w:r w:rsidR="00FB5C53" w:rsidRPr="00506D86">
        <w:t xml:space="preserve">resp. </w:t>
      </w:r>
      <w:r w:rsidR="00FB5C53">
        <w:t xml:space="preserve">výpočtového základu </w:t>
      </w:r>
      <w:r w:rsidRPr="00506D86">
        <w:t xml:space="preserve">se zohledněním </w:t>
      </w:r>
      <w:r w:rsidR="00FB5C53">
        <w:t>ocenění za péči</w:t>
      </w:r>
      <w:r w:rsidRPr="00506D86">
        <w:t xml:space="preserve"> u veškeré péče, následně výpočet procentní výměry procentem z</w:t>
      </w:r>
      <w:r w:rsidR="00FB5C53">
        <w:t xml:space="preserve"> výpočtového základu </w:t>
      </w:r>
      <w:r w:rsidRPr="00506D86">
        <w:t>za dobou pojištění, přičemž u pojištěnců</w:t>
      </w:r>
    </w:p>
    <w:p w14:paraId="6A8C0780" w14:textId="7F227E45" w:rsidR="00506D86" w:rsidRPr="00506D86" w:rsidRDefault="00506D86" w:rsidP="00506D86">
      <w:pPr>
        <w:pStyle w:val="Odstavecseseznamem"/>
        <w:numPr>
          <w:ilvl w:val="1"/>
          <w:numId w:val="12"/>
        </w:numPr>
        <w:jc w:val="both"/>
      </w:pPr>
      <w:r w:rsidRPr="00506D86">
        <w:t>s </w:t>
      </w:r>
      <w:proofErr w:type="gramStart"/>
      <w:r w:rsidRPr="00506D86">
        <w:t>méně</w:t>
      </w:r>
      <w:proofErr w:type="gramEnd"/>
      <w:r w:rsidRPr="00506D86">
        <w:t xml:space="preserve"> než třemi vychovanými dětmi </w:t>
      </w:r>
      <w:r w:rsidR="00FB5C53">
        <w:t xml:space="preserve">se </w:t>
      </w:r>
      <w:r w:rsidRPr="00506D86">
        <w:t>výchovné nepřičítá,</w:t>
      </w:r>
    </w:p>
    <w:p w14:paraId="1908B044" w14:textId="4FCF55F4" w:rsidR="00506D86" w:rsidRPr="00506D86" w:rsidRDefault="00506D86" w:rsidP="00506D86">
      <w:pPr>
        <w:pStyle w:val="Odstavecseseznamem"/>
        <w:numPr>
          <w:ilvl w:val="1"/>
          <w:numId w:val="12"/>
        </w:numPr>
        <w:jc w:val="both"/>
      </w:pPr>
      <w:r w:rsidRPr="00506D86">
        <w:t xml:space="preserve">s třemi a více dětmi (X) </w:t>
      </w:r>
      <w:r w:rsidR="00FB5C53">
        <w:t xml:space="preserve">se </w:t>
      </w:r>
      <w:r w:rsidRPr="00506D86">
        <w:t>přičte výchovné ve výši (</w:t>
      </w:r>
      <w:proofErr w:type="gramStart"/>
      <w:r w:rsidRPr="00506D86">
        <w:t>X – 2</w:t>
      </w:r>
      <w:proofErr w:type="gramEnd"/>
      <w:r w:rsidRPr="00506D86">
        <w:t>) x 500 Kč.</w:t>
      </w:r>
    </w:p>
    <w:p w14:paraId="7D5ED05B" w14:textId="77777777" w:rsidR="00506D86" w:rsidRPr="00FB5C53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3A02A5" w14:textId="583C64B8" w:rsidR="00506D86" w:rsidRPr="00FB5C53" w:rsidRDefault="00FB5C53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FB5C53">
        <w:rPr>
          <w:rFonts w:ascii="Times New Roman" w:hAnsi="Times New Roman" w:cs="Times New Roman"/>
          <w:sz w:val="24"/>
          <w:szCs w:val="24"/>
        </w:rPr>
        <w:t>Podstata pozměňovacího návrhu vyplývá z tohoto příkladu:</w:t>
      </w:r>
    </w:p>
    <w:p w14:paraId="2B198C53" w14:textId="5392AE38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 xml:space="preserve">Žena s podprůměrnými příjmy, která získala 44 let pojištění a vychovala 4 děti, žádá o starobní důchod v roce 2027. Žena splnila podmínky nároku na zohlednění všech dětí pro účely výchovného a u každého z nich má hodnocenu </w:t>
      </w:r>
      <w:r w:rsidR="00FB5C53">
        <w:rPr>
          <w:rFonts w:ascii="Times New Roman" w:hAnsi="Times New Roman" w:cs="Times New Roman"/>
          <w:sz w:val="24"/>
          <w:szCs w:val="24"/>
        </w:rPr>
        <w:t>náhradní dobu</w:t>
      </w:r>
      <w:r w:rsidRPr="00506D86">
        <w:rPr>
          <w:rFonts w:ascii="Times New Roman" w:hAnsi="Times New Roman" w:cs="Times New Roman"/>
          <w:sz w:val="24"/>
          <w:szCs w:val="24"/>
        </w:rPr>
        <w:t xml:space="preserve"> péče, proto má nárok na </w:t>
      </w:r>
      <w:r w:rsidR="00FB5C53">
        <w:rPr>
          <w:rFonts w:ascii="Times New Roman" w:hAnsi="Times New Roman" w:cs="Times New Roman"/>
          <w:sz w:val="24"/>
          <w:szCs w:val="24"/>
        </w:rPr>
        <w:t>ocenění za péči</w:t>
      </w:r>
      <w:r w:rsidRPr="00506D86">
        <w:rPr>
          <w:rFonts w:ascii="Times New Roman" w:hAnsi="Times New Roman" w:cs="Times New Roman"/>
          <w:sz w:val="24"/>
          <w:szCs w:val="24"/>
        </w:rPr>
        <w:t xml:space="preserve"> v období do 3 let věku dítěte.</w:t>
      </w:r>
      <w:r w:rsidR="00FB5C53">
        <w:rPr>
          <w:rFonts w:ascii="Times New Roman" w:hAnsi="Times New Roman" w:cs="Times New Roman"/>
          <w:sz w:val="24"/>
          <w:szCs w:val="24"/>
        </w:rPr>
        <w:t xml:space="preserve"> Plátce důchodu</w:t>
      </w:r>
      <w:r w:rsidRPr="00506D86">
        <w:rPr>
          <w:rFonts w:ascii="Times New Roman" w:hAnsi="Times New Roman" w:cs="Times New Roman"/>
          <w:sz w:val="24"/>
          <w:szCs w:val="24"/>
        </w:rPr>
        <w:t xml:space="preserve"> provede dva výpočty procentní výměry: </w:t>
      </w:r>
    </w:p>
    <w:p w14:paraId="0E292791" w14:textId="41F3EE39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 xml:space="preserve">Při výpočtu se zohledněním vyloučené doby vychází </w:t>
      </w:r>
      <w:r w:rsidR="00FB5C53">
        <w:rPr>
          <w:rFonts w:ascii="Times New Roman" w:hAnsi="Times New Roman" w:cs="Times New Roman"/>
          <w:sz w:val="24"/>
          <w:szCs w:val="24"/>
        </w:rPr>
        <w:t xml:space="preserve">osobní vyměřovací základ </w:t>
      </w:r>
      <w:r w:rsidRPr="00506D86">
        <w:rPr>
          <w:rFonts w:ascii="Times New Roman" w:hAnsi="Times New Roman" w:cs="Times New Roman"/>
          <w:sz w:val="24"/>
          <w:szCs w:val="24"/>
        </w:rPr>
        <w:t xml:space="preserve">30 000 Kč </w:t>
      </w:r>
      <w:r w:rsidR="00FB5C53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06D86">
        <w:rPr>
          <w:rFonts w:ascii="Times New Roman" w:hAnsi="Times New Roman" w:cs="Times New Roman"/>
          <w:sz w:val="24"/>
          <w:szCs w:val="24"/>
        </w:rPr>
        <w:t xml:space="preserve">a </w:t>
      </w:r>
      <w:r w:rsidR="00FB5C53">
        <w:rPr>
          <w:rFonts w:ascii="Times New Roman" w:hAnsi="Times New Roman" w:cs="Times New Roman"/>
          <w:sz w:val="24"/>
          <w:szCs w:val="24"/>
        </w:rPr>
        <w:t>výpočtový základ</w:t>
      </w:r>
      <w:r w:rsidRPr="00506D86">
        <w:rPr>
          <w:rFonts w:ascii="Times New Roman" w:hAnsi="Times New Roman" w:cs="Times New Roman"/>
          <w:sz w:val="24"/>
          <w:szCs w:val="24"/>
        </w:rPr>
        <w:t xml:space="preserve"> 22 116 Kč (použity parametry roku 2024). P</w:t>
      </w:r>
      <w:r w:rsidR="00FB5C53">
        <w:rPr>
          <w:rFonts w:ascii="Times New Roman" w:hAnsi="Times New Roman" w:cs="Times New Roman"/>
          <w:sz w:val="24"/>
          <w:szCs w:val="24"/>
        </w:rPr>
        <w:t>rocentní výměra</w:t>
      </w:r>
      <w:r w:rsidRPr="00506D86">
        <w:rPr>
          <w:rFonts w:ascii="Times New Roman" w:hAnsi="Times New Roman" w:cs="Times New Roman"/>
          <w:sz w:val="24"/>
          <w:szCs w:val="24"/>
        </w:rPr>
        <w:t xml:space="preserve"> </w:t>
      </w:r>
      <w:r w:rsidR="00FB5C53">
        <w:rPr>
          <w:rFonts w:ascii="Times New Roman" w:hAnsi="Times New Roman" w:cs="Times New Roman"/>
          <w:sz w:val="24"/>
          <w:szCs w:val="24"/>
        </w:rPr>
        <w:t xml:space="preserve">stanovená </w:t>
      </w:r>
      <w:r w:rsidRPr="00506D86">
        <w:rPr>
          <w:rFonts w:ascii="Times New Roman" w:hAnsi="Times New Roman" w:cs="Times New Roman"/>
          <w:sz w:val="24"/>
          <w:szCs w:val="24"/>
        </w:rPr>
        <w:t>procentem z</w:t>
      </w:r>
      <w:r w:rsidR="00FB5C53">
        <w:rPr>
          <w:rFonts w:ascii="Times New Roman" w:hAnsi="Times New Roman" w:cs="Times New Roman"/>
          <w:sz w:val="24"/>
          <w:szCs w:val="24"/>
        </w:rPr>
        <w:t xml:space="preserve"> výpočtového základu </w:t>
      </w:r>
      <w:r w:rsidRPr="00506D86">
        <w:rPr>
          <w:rFonts w:ascii="Times New Roman" w:hAnsi="Times New Roman" w:cs="Times New Roman"/>
          <w:sz w:val="24"/>
          <w:szCs w:val="24"/>
        </w:rPr>
        <w:t>činí 14 597 Kč</w:t>
      </w:r>
      <w:r w:rsidR="00FB5C53">
        <w:rPr>
          <w:rFonts w:ascii="Times New Roman" w:hAnsi="Times New Roman" w:cs="Times New Roman"/>
          <w:sz w:val="24"/>
          <w:szCs w:val="24"/>
        </w:rPr>
        <w:t xml:space="preserve"> (tj. 44 x 0,015 x 22 116)</w:t>
      </w:r>
      <w:r w:rsidRPr="00506D86">
        <w:rPr>
          <w:rFonts w:ascii="Times New Roman" w:hAnsi="Times New Roman" w:cs="Times New Roman"/>
          <w:sz w:val="24"/>
          <w:szCs w:val="24"/>
        </w:rPr>
        <w:t>. Tato částka se zvýší o 2</w:t>
      </w:r>
      <w:r w:rsidR="00FB5C53">
        <w:rPr>
          <w:rFonts w:ascii="Times New Roman" w:hAnsi="Times New Roman" w:cs="Times New Roman"/>
          <w:sz w:val="24"/>
          <w:szCs w:val="24"/>
        </w:rPr>
        <w:t xml:space="preserve"> </w:t>
      </w:r>
      <w:r w:rsidRPr="00506D86">
        <w:rPr>
          <w:rFonts w:ascii="Times New Roman" w:hAnsi="Times New Roman" w:cs="Times New Roman"/>
          <w:sz w:val="24"/>
          <w:szCs w:val="24"/>
        </w:rPr>
        <w:t>000 Kč za 4 vychované děti, celkem vychází 16 597 Kč.</w:t>
      </w:r>
    </w:p>
    <w:p w14:paraId="5BDFB03A" w14:textId="52FEE3CB" w:rsidR="00506D86" w:rsidRPr="00506D86" w:rsidRDefault="00506D86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 w:rsidRPr="00506D86">
        <w:rPr>
          <w:rFonts w:ascii="Times New Roman" w:hAnsi="Times New Roman" w:cs="Times New Roman"/>
          <w:sz w:val="24"/>
          <w:szCs w:val="24"/>
        </w:rPr>
        <w:t xml:space="preserve">Při výpočtu se zohledněním </w:t>
      </w:r>
      <w:r w:rsidR="00FB5C53">
        <w:rPr>
          <w:rFonts w:ascii="Times New Roman" w:hAnsi="Times New Roman" w:cs="Times New Roman"/>
          <w:sz w:val="24"/>
          <w:szCs w:val="24"/>
        </w:rPr>
        <w:t xml:space="preserve">ocenění za péči </w:t>
      </w:r>
      <w:r w:rsidRPr="00506D86">
        <w:rPr>
          <w:rFonts w:ascii="Times New Roman" w:hAnsi="Times New Roman" w:cs="Times New Roman"/>
          <w:sz w:val="24"/>
          <w:szCs w:val="24"/>
        </w:rPr>
        <w:t xml:space="preserve">vychází </w:t>
      </w:r>
      <w:r w:rsidR="00FB5C53">
        <w:rPr>
          <w:rFonts w:ascii="Times New Roman" w:hAnsi="Times New Roman" w:cs="Times New Roman"/>
          <w:sz w:val="24"/>
          <w:szCs w:val="24"/>
        </w:rPr>
        <w:t>osobní vyměřovací základ</w:t>
      </w:r>
      <w:r w:rsidRPr="00506D86">
        <w:rPr>
          <w:rFonts w:ascii="Times New Roman" w:hAnsi="Times New Roman" w:cs="Times New Roman"/>
          <w:sz w:val="24"/>
          <w:szCs w:val="24"/>
        </w:rPr>
        <w:t xml:space="preserve"> 32 000 Kč </w:t>
      </w:r>
      <w:r w:rsidR="00FB5C53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06D86">
        <w:rPr>
          <w:rFonts w:ascii="Times New Roman" w:hAnsi="Times New Roman" w:cs="Times New Roman"/>
          <w:sz w:val="24"/>
          <w:szCs w:val="24"/>
        </w:rPr>
        <w:t xml:space="preserve">a </w:t>
      </w:r>
      <w:r w:rsidR="00FB5C53">
        <w:rPr>
          <w:rFonts w:ascii="Times New Roman" w:hAnsi="Times New Roman" w:cs="Times New Roman"/>
          <w:sz w:val="24"/>
          <w:szCs w:val="24"/>
        </w:rPr>
        <w:t xml:space="preserve">výpočtový základ </w:t>
      </w:r>
      <w:r w:rsidRPr="00506D86">
        <w:rPr>
          <w:rFonts w:ascii="Times New Roman" w:hAnsi="Times New Roman" w:cs="Times New Roman"/>
          <w:sz w:val="24"/>
          <w:szCs w:val="24"/>
        </w:rPr>
        <w:t>22 636 Kč (použity parametry roku 2024). P</w:t>
      </w:r>
      <w:r w:rsidR="00FB5C53">
        <w:rPr>
          <w:rFonts w:ascii="Times New Roman" w:hAnsi="Times New Roman" w:cs="Times New Roman"/>
          <w:sz w:val="24"/>
          <w:szCs w:val="24"/>
        </w:rPr>
        <w:t>rocentní výměra</w:t>
      </w:r>
      <w:r w:rsidRPr="00506D86">
        <w:rPr>
          <w:rFonts w:ascii="Times New Roman" w:hAnsi="Times New Roman" w:cs="Times New Roman"/>
          <w:sz w:val="24"/>
          <w:szCs w:val="24"/>
        </w:rPr>
        <w:t xml:space="preserve"> </w:t>
      </w:r>
      <w:r w:rsidR="00FB5C53">
        <w:rPr>
          <w:rFonts w:ascii="Times New Roman" w:hAnsi="Times New Roman" w:cs="Times New Roman"/>
          <w:sz w:val="24"/>
          <w:szCs w:val="24"/>
        </w:rPr>
        <w:t>stanovená p</w:t>
      </w:r>
      <w:r w:rsidRPr="00506D86">
        <w:rPr>
          <w:rFonts w:ascii="Times New Roman" w:hAnsi="Times New Roman" w:cs="Times New Roman"/>
          <w:sz w:val="24"/>
          <w:szCs w:val="24"/>
        </w:rPr>
        <w:t>rocentem z</w:t>
      </w:r>
      <w:r w:rsidR="00FB5C53">
        <w:rPr>
          <w:rFonts w:ascii="Times New Roman" w:hAnsi="Times New Roman" w:cs="Times New Roman"/>
          <w:sz w:val="24"/>
          <w:szCs w:val="24"/>
        </w:rPr>
        <w:t> výpočtového základu</w:t>
      </w:r>
      <w:r w:rsidRPr="00506D86">
        <w:rPr>
          <w:rFonts w:ascii="Times New Roman" w:hAnsi="Times New Roman" w:cs="Times New Roman"/>
          <w:sz w:val="24"/>
          <w:szCs w:val="24"/>
        </w:rPr>
        <w:t xml:space="preserve"> činí 14 940 Kč</w:t>
      </w:r>
      <w:r w:rsidR="00FB5C53">
        <w:rPr>
          <w:rFonts w:ascii="Times New Roman" w:hAnsi="Times New Roman" w:cs="Times New Roman"/>
          <w:sz w:val="24"/>
          <w:szCs w:val="24"/>
        </w:rPr>
        <w:t xml:space="preserve"> (tj. 44 x 0,015 x 22 636). </w:t>
      </w:r>
      <w:r w:rsidRPr="00506D86">
        <w:rPr>
          <w:rFonts w:ascii="Times New Roman" w:hAnsi="Times New Roman" w:cs="Times New Roman"/>
          <w:sz w:val="24"/>
          <w:szCs w:val="24"/>
        </w:rPr>
        <w:t>Tato částka se zvýší o 1</w:t>
      </w:r>
      <w:r w:rsidR="00FB5C53">
        <w:rPr>
          <w:rFonts w:ascii="Times New Roman" w:hAnsi="Times New Roman" w:cs="Times New Roman"/>
          <w:sz w:val="24"/>
          <w:szCs w:val="24"/>
        </w:rPr>
        <w:t xml:space="preserve"> </w:t>
      </w:r>
      <w:r w:rsidRPr="00506D86">
        <w:rPr>
          <w:rFonts w:ascii="Times New Roman" w:hAnsi="Times New Roman" w:cs="Times New Roman"/>
          <w:sz w:val="24"/>
          <w:szCs w:val="24"/>
        </w:rPr>
        <w:t>000 Kč za 4 minus 2 vychované děti, celkem vychází 15 940 Kč.</w:t>
      </w:r>
    </w:p>
    <w:p w14:paraId="2F789702" w14:textId="1F6637D6" w:rsidR="00506D86" w:rsidRDefault="00FB5C53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Plátce důchodu</w:t>
      </w:r>
      <w:r w:rsidR="00506D86" w:rsidRPr="00506D86">
        <w:rPr>
          <w:rFonts w:ascii="Times New Roman" w:hAnsi="Times New Roman" w:cs="Times New Roman"/>
          <w:sz w:val="24"/>
          <w:szCs w:val="24"/>
        </w:rPr>
        <w:t xml:space="preserve"> přizná </w:t>
      </w:r>
      <w:r>
        <w:rPr>
          <w:rFonts w:ascii="Times New Roman" w:hAnsi="Times New Roman" w:cs="Times New Roman"/>
          <w:sz w:val="24"/>
          <w:szCs w:val="24"/>
        </w:rPr>
        <w:t>starobní důchod</w:t>
      </w:r>
      <w:r w:rsidR="00506D86" w:rsidRPr="00506D86">
        <w:rPr>
          <w:rFonts w:ascii="Times New Roman" w:hAnsi="Times New Roman" w:cs="Times New Roman"/>
          <w:sz w:val="24"/>
          <w:szCs w:val="24"/>
        </w:rPr>
        <w:t>, jehož procentní výměra bude činit 16 597 Kč</w:t>
      </w:r>
      <w:r w:rsidR="005B4A2C">
        <w:rPr>
          <w:rFonts w:ascii="Times New Roman" w:hAnsi="Times New Roman" w:cs="Times New Roman"/>
          <w:sz w:val="24"/>
          <w:szCs w:val="24"/>
        </w:rPr>
        <w:t>; výhodnější je v tomto případě tedy první výpočet</w:t>
      </w:r>
      <w:r w:rsidR="00506D86" w:rsidRPr="00506D86">
        <w:rPr>
          <w:rFonts w:ascii="Times New Roman" w:hAnsi="Times New Roman" w:cs="Times New Roman"/>
          <w:sz w:val="24"/>
          <w:szCs w:val="24"/>
        </w:rPr>
        <w:t>.</w:t>
      </w:r>
    </w:p>
    <w:p w14:paraId="2B5B21B5" w14:textId="37B97EC2" w:rsidR="00321C13" w:rsidRDefault="00250AA3" w:rsidP="00506D8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321C13">
        <w:rPr>
          <w:rFonts w:ascii="Times New Roman" w:hAnsi="Times New Roman" w:cs="Times New Roman"/>
          <w:sz w:val="24"/>
          <w:szCs w:val="24"/>
        </w:rPr>
        <w:t xml:space="preserve"> dané souvislosti </w:t>
      </w:r>
      <w:r>
        <w:rPr>
          <w:rFonts w:ascii="Times New Roman" w:hAnsi="Times New Roman" w:cs="Times New Roman"/>
          <w:sz w:val="24"/>
          <w:szCs w:val="24"/>
        </w:rPr>
        <w:t xml:space="preserve">se </w:t>
      </w:r>
      <w:r w:rsidR="00321C13">
        <w:rPr>
          <w:rFonts w:ascii="Times New Roman" w:hAnsi="Times New Roman" w:cs="Times New Roman"/>
          <w:sz w:val="24"/>
          <w:szCs w:val="24"/>
        </w:rPr>
        <w:t xml:space="preserve">navrhuje </w:t>
      </w:r>
      <w:r>
        <w:rPr>
          <w:rFonts w:ascii="Times New Roman" w:hAnsi="Times New Roman" w:cs="Times New Roman"/>
          <w:sz w:val="24"/>
          <w:szCs w:val="24"/>
        </w:rPr>
        <w:t xml:space="preserve">ještě </w:t>
      </w:r>
      <w:r w:rsidR="00321C13">
        <w:rPr>
          <w:rFonts w:ascii="Times New Roman" w:hAnsi="Times New Roman" w:cs="Times New Roman"/>
          <w:sz w:val="24"/>
          <w:szCs w:val="24"/>
        </w:rPr>
        <w:t xml:space="preserve">zrušení druhé věty v § 57 zákona o důchodovém pojištění, jejíž text se v kontextu </w:t>
      </w:r>
      <w:r>
        <w:rPr>
          <w:rFonts w:ascii="Times New Roman" w:hAnsi="Times New Roman" w:cs="Times New Roman"/>
          <w:sz w:val="24"/>
          <w:szCs w:val="24"/>
        </w:rPr>
        <w:t xml:space="preserve">všech navrhovaných </w:t>
      </w:r>
      <w:r w:rsidR="00321C13">
        <w:rPr>
          <w:rFonts w:ascii="Times New Roman" w:hAnsi="Times New Roman" w:cs="Times New Roman"/>
          <w:sz w:val="24"/>
          <w:szCs w:val="24"/>
        </w:rPr>
        <w:t>změn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21C13">
        <w:rPr>
          <w:rFonts w:ascii="Times New Roman" w:hAnsi="Times New Roman" w:cs="Times New Roman"/>
          <w:sz w:val="24"/>
          <w:szCs w:val="24"/>
        </w:rPr>
        <w:t>jeví již jako překonaný.</w:t>
      </w:r>
    </w:p>
    <w:p w14:paraId="4045FDD2" w14:textId="77777777" w:rsidR="00506D86" w:rsidRDefault="00506D86" w:rsidP="00506D86">
      <w:pPr>
        <w:pStyle w:val="Odstavecseseznamem"/>
        <w:jc w:val="both"/>
        <w:rPr>
          <w:rFonts w:cs="Arial"/>
        </w:rPr>
      </w:pPr>
    </w:p>
    <w:p w14:paraId="5310DDBD" w14:textId="77777777" w:rsidR="00DC7645" w:rsidRDefault="00DC7645" w:rsidP="0098286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2719FD9C" w14:textId="77777777" w:rsidR="00DC7645" w:rsidRDefault="00DC7645" w:rsidP="0098286A">
      <w:pPr>
        <w:pStyle w:val="Bezmezer"/>
        <w:jc w:val="both"/>
        <w:rPr>
          <w:rFonts w:ascii="Times New Roman" w:hAnsi="Times New Roman" w:cs="Times New Roman"/>
          <w:sz w:val="24"/>
          <w:szCs w:val="24"/>
        </w:rPr>
      </w:pPr>
    </w:p>
    <w:p w14:paraId="55D937DD" w14:textId="77777777" w:rsidR="0039728E" w:rsidRDefault="0039728E" w:rsidP="00DC7645">
      <w:pPr>
        <w:rPr>
          <w:rFonts w:ascii="Times New Roman" w:hAnsi="Times New Roman" w:cs="Times New Roman"/>
          <w:sz w:val="24"/>
          <w:szCs w:val="24"/>
        </w:rPr>
      </w:pPr>
    </w:p>
    <w:p w14:paraId="0A73E668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66B5761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F04B559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1DF9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A213D2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3F9172F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F043165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0AC21C" w14:textId="77777777" w:rsidR="007B5099" w:rsidRDefault="007B5099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92066A3" w14:textId="77777777" w:rsidR="00CB2C08" w:rsidRDefault="00CB2C08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626CEA1" w14:textId="77777777" w:rsidR="00CB2C08" w:rsidRDefault="00CB2C08" w:rsidP="00506D8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779527F" w14:textId="5E0650C1" w:rsidR="00DC7645" w:rsidRDefault="00725C95" w:rsidP="00DC764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7645">
        <w:rPr>
          <w:rFonts w:ascii="Times New Roman" w:hAnsi="Times New Roman" w:cs="Times New Roman"/>
          <w:b/>
          <w:bCs/>
          <w:sz w:val="24"/>
          <w:szCs w:val="24"/>
        </w:rPr>
        <w:lastRenderedPageBreak/>
        <w:t>Platné znění</w:t>
      </w:r>
      <w:r w:rsidR="00DC764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5099">
        <w:rPr>
          <w:rFonts w:ascii="Times New Roman" w:hAnsi="Times New Roman" w:cs="Times New Roman"/>
          <w:b/>
          <w:bCs/>
          <w:sz w:val="24"/>
          <w:szCs w:val="24"/>
        </w:rPr>
        <w:t xml:space="preserve">částí </w:t>
      </w:r>
      <w:r w:rsidR="00DC7645">
        <w:rPr>
          <w:rFonts w:ascii="Times New Roman" w:hAnsi="Times New Roman" w:cs="Times New Roman"/>
          <w:b/>
          <w:bCs/>
          <w:sz w:val="24"/>
          <w:szCs w:val="24"/>
        </w:rPr>
        <w:t>zákona č. 155/1995 Sb., o důchodovém pojištění,</w:t>
      </w:r>
      <w:r w:rsidR="004216B5">
        <w:rPr>
          <w:rFonts w:ascii="Times New Roman" w:hAnsi="Times New Roman" w:cs="Times New Roman"/>
          <w:b/>
          <w:bCs/>
          <w:sz w:val="24"/>
          <w:szCs w:val="24"/>
        </w:rPr>
        <w:t xml:space="preserve"> s vyznačením navrhovaných změn</w:t>
      </w:r>
      <w:r w:rsidR="00CB2C08">
        <w:rPr>
          <w:rFonts w:ascii="Times New Roman" w:hAnsi="Times New Roman" w:cs="Times New Roman"/>
          <w:b/>
          <w:bCs/>
          <w:sz w:val="24"/>
          <w:szCs w:val="24"/>
        </w:rPr>
        <w:t xml:space="preserve"> (ve znění ST 696)</w:t>
      </w:r>
    </w:p>
    <w:p w14:paraId="76C8F0E7" w14:textId="6DFA6776" w:rsidR="00CB2C08" w:rsidRPr="00CB2C08" w:rsidRDefault="00CB2C08" w:rsidP="00DC7645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color w:val="FF0000"/>
          <w:sz w:val="24"/>
          <w:szCs w:val="24"/>
        </w:rPr>
        <w:t>změny podle pozměňovacího návrhu jsou vyznačeny červeně</w:t>
      </w:r>
    </w:p>
    <w:p w14:paraId="2F0D3FE7" w14:textId="2910F66E" w:rsidR="00DC7645" w:rsidRPr="007B5099" w:rsidRDefault="007B5099" w:rsidP="00DC7645">
      <w:pPr>
        <w:jc w:val="center"/>
        <w:rPr>
          <w:rFonts w:ascii="Times New Roman" w:hAnsi="Times New Roman" w:cs="Times New Roman"/>
          <w:sz w:val="24"/>
          <w:szCs w:val="24"/>
        </w:rPr>
      </w:pPr>
      <w:r w:rsidRPr="007B5099">
        <w:rPr>
          <w:rFonts w:ascii="Times New Roman" w:hAnsi="Times New Roman" w:cs="Times New Roman"/>
          <w:sz w:val="24"/>
          <w:szCs w:val="24"/>
        </w:rPr>
        <w:t>* * *</w:t>
      </w:r>
    </w:p>
    <w:p w14:paraId="714124B6" w14:textId="77777777" w:rsidR="00AD0A90" w:rsidRPr="00CB2C08" w:rsidRDefault="00AD0A90" w:rsidP="00AD0A90">
      <w:pPr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>§ 19a</w:t>
      </w:r>
    </w:p>
    <w:p w14:paraId="6B2A5C44" w14:textId="77777777" w:rsidR="00AD0A90" w:rsidRPr="00CB2C08" w:rsidRDefault="00AD0A90" w:rsidP="00AD0A90">
      <w:pPr>
        <w:ind w:left="426" w:hanging="426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14:paraId="6F1BA25B" w14:textId="56BBFBB3" w:rsidR="00AD0A90" w:rsidRPr="00CB2C08" w:rsidRDefault="00AD0A90" w:rsidP="00CB2C08">
      <w:pPr>
        <w:ind w:left="284" w:hanging="284"/>
        <w:jc w:val="both"/>
        <w:rPr>
          <w:rFonts w:ascii="Times New Roman" w:hAnsi="Times New Roman" w:cs="Times New Roman"/>
          <w:b/>
          <w:i/>
          <w:iCs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(1) Starobní a invalidní důchod pojištěnce, který v rozhodném období získal náhradní doby pojištění za dobu účasti na pojištění osob uvedených v § 5 odst. 2 písm. c) a d), § 102a odst. 1 nebo § 104 odst. 1, nesmí být vyměřen z nižšího výpočtového základu, než kolik činí výpočtový základ stanovený podle § 15 z osobního vyměřovacího základu vypočteného podle odstavců 2 a 3 a podle § 16. Pro účely věty první se doba účasti na pojištění osob uvedených v § 5 odst. 2 písm. c) a v § 104 odst. 1 zohledňuje jen v rozsahu do dosažení 3 let věku dítěte, a to nejvýše u prvních 2 těchto dětí, o které pojištěnec osobně pečoval v rozhodném období; pořadí dětí se určuje ode dne počátku této doby účasti na pojištění, přičemž spadá-li tato doba do rozhodného období jen zčásti, považuje se za den počátku této doby první den této doby, který spadá do rozhodného období.</w:t>
      </w:r>
    </w:p>
    <w:p w14:paraId="6967A354" w14:textId="04B3E131" w:rsidR="00AD0A90" w:rsidRPr="00CB2C08" w:rsidRDefault="00AD0A90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(2) U pojištěnce uvedeného v odstavci 1 se náhradní doba pojištění uvedená v odstavci 1 pro účely stanovení osobního vyměřovacího základu považuje</w:t>
      </w:r>
    </w:p>
    <w:p w14:paraId="2015188C" w14:textId="2F78CFA8" w:rsidR="00AD0A90" w:rsidRPr="00CB2C08" w:rsidRDefault="00AD0A90" w:rsidP="005B4A2C">
      <w:pPr>
        <w:ind w:left="567" w:hanging="567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 xml:space="preserve"> a) za vyloučenou dobu, a to i když se kryje s dobou účasti na pojištění osob uvedených v § 5 odst. 1 písm. e), s dobou pojištění, v níž měl pojištěnec příjmy, které se zahrnují do vyměřovacího základu, nebo s dobou, za kterou náležely náhrady uvedené v § 16 odst. 3 větě čtvrté, nebo</w:t>
      </w:r>
    </w:p>
    <w:p w14:paraId="23F885D1" w14:textId="03D2BC24" w:rsidR="00AD0A90" w:rsidRPr="00CB2C08" w:rsidRDefault="00AD0A90" w:rsidP="00CB2C08">
      <w:pPr>
        <w:ind w:left="567" w:hanging="567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b) za dobu pojištění, v níž měl pojištěnec příjmy, které se zohledňují pro účely ročního vyměřovacího základu,</w:t>
      </w:r>
    </w:p>
    <w:p w14:paraId="7ADDE8E6" w14:textId="4688726A" w:rsidR="00AD0A90" w:rsidRPr="00CB2C08" w:rsidRDefault="00AD0A90" w:rsidP="00CB2C08">
      <w:pPr>
        <w:ind w:left="426" w:hanging="284"/>
        <w:jc w:val="both"/>
        <w:rPr>
          <w:rFonts w:ascii="Times New Roman" w:hAnsi="Times New Roman" w:cs="Times New Roman"/>
          <w:b/>
          <w:i/>
          <w:iCs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 xml:space="preserve">a to podle toho, co je pro tohoto pojištěnce výhodnější; postup podle písmene a) se přitom týká pouze celého časového úseku, po který se uvedené doby vzájemně kryjí. </w:t>
      </w:r>
    </w:p>
    <w:p w14:paraId="6B75A892" w14:textId="7B9A3554" w:rsidR="00AD0A90" w:rsidRPr="00CB2C08" w:rsidRDefault="00AD0A90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 xml:space="preserve"> (3) Za příjem pojištěnce uvedeného v odstavci 1 se pro účely odstavce 2 písm. b) považuje též ocenění za péči. Ocenění za péči v kalendářním roce se přičítá k úhrnu vyměřovacích základů pojištěnce za tento kalendářní rok uvedenému v § 16 odst. 2 větě první.</w:t>
      </w:r>
    </w:p>
    <w:p w14:paraId="33CB184F" w14:textId="65FCDC23" w:rsidR="00AD0A90" w:rsidRPr="00CB2C08" w:rsidRDefault="00AD0A90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(4) Ocenění za péči se stanoví jako částka ve výši 12násobku všeobecného vyměřovacího základu stanoveného za kalendářní rok, v němž byly získány náhradní doby pojištění uvedené v odstavci 1, pokud tyto náhradní doby pojištění trvaly celý kalendářní rok. V posledním kalendářním roce rozhodného období se ocenění za péči stanoví ve výši součinu všeobecného vyměřovacího základu za předposlední kalendářní rok rozhodného období a přepočítacího koeficientu pro úpravu tohoto všeobecného vyměřovacího základu. Pokud tyto náhradní doby pojištění netrvaly celý kalendářní rok, vydělí se částka stanovená podle věty první a druhé počtem kalendářních dnů tohoto kalendářního roku a poté vynásobí počtem kalendářních dnů, po které v tomto kalendářním roce tyto náhradní doby trvaly.</w:t>
      </w:r>
    </w:p>
    <w:p w14:paraId="206FE76B" w14:textId="30961809" w:rsidR="00AD0A90" w:rsidRPr="00CB2C08" w:rsidRDefault="00AD0A90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 xml:space="preserve"> (5) Ocenění za péči stanovené podle odstavce 4 se vynásobí koeficientem 0,5, pokud se jedná o náhradní doby pojištění za dobu účasti na pojištění osob uvedených v § 5 odst. 2 písm. d), jde-li o péči o osobu mladší 10 let, která je závislá na pomoci jiné osoby ve stupni I (lehká závislost), nebo o osobu, která je závislá na pomoci jiné osoby ve stupni II (středně těžká závislost), nebo osob uvedených v § 102 odst. 1, jde-li o péči o částečně bezmocnou osobu starší 80 let.  </w:t>
      </w:r>
    </w:p>
    <w:p w14:paraId="2AAE06E8" w14:textId="0924EBA3" w:rsidR="00AD0A90" w:rsidRPr="00CB2C08" w:rsidRDefault="00AD0A90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(6) Ocenění za péči se zaokrouhluje na celé koruny nahoru.</w:t>
      </w:r>
    </w:p>
    <w:p w14:paraId="714BB378" w14:textId="77777777" w:rsidR="00AD0A90" w:rsidRDefault="00AD0A90" w:rsidP="00AD0A90">
      <w:pPr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(7) Kryje-li se v kalendářním roce více náhradních dob pojištění uvedených v odstavci 1, přihlíží se k ocenění za péči pouze za tu z překrývajících se náhradních dob pojištění, za kterou se stanoví ocenění za péči v nejvyšší částce.</w:t>
      </w:r>
    </w:p>
    <w:p w14:paraId="5B59BA1B" w14:textId="77777777" w:rsidR="00CB2C08" w:rsidRDefault="00CB2C08" w:rsidP="00AD0A90">
      <w:pPr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14:paraId="651D1955" w14:textId="77777777" w:rsidR="00CB2C08" w:rsidRPr="00CB2C08" w:rsidRDefault="00CB2C08" w:rsidP="00CB2C0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8B1C62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>(1) Starobní a invalidní důchod pojištěnce, který v rozhodném období získal náhradní doby pojištění za dobu účasti na pojištění osob uvedených v § 5 odst. 2 písm. c) a d), § 102a odst. 1 nebo § 104 odst. 1, nesmí být vyměřen z nižšího výpočtového základu, než kolik činí výpočtový základ stanovený podle § 15 z osobního vyměřovacího základu vypočteného podle odstavců 2 a 3 a podle § 16. Pro účely věty první se doba účasti na pojištění osob uvedených v § 5 odst. 2 písm. c) a v § 104 odst. 1 zohledňuje jen v rozsahu do dosažení 3 let věku dítěte, a to nejvýše u prvních 2 těchto dětí, o které pojištěnec osobně pečoval v rozhodném období; pořadí dětí se určuje ode dne počátku této doby účasti na pojištění, přičemž spadá-li tato doba do rozhodného období jen zčásti, považuje se za den počátku této doby první den této doby, který spadá do rozhodného období.</w:t>
      </w:r>
    </w:p>
    <w:p w14:paraId="2861CA97" w14:textId="77777777" w:rsidR="00CB2C08" w:rsidRPr="00CB2C08" w:rsidRDefault="00CB2C08" w:rsidP="00CB2C08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(2) U pojištěnce uvedeného v odstavci 1 se náhradní doba pojištění uvedená v odstavci 1 pro účely stanovení osobního vyměřovacího základu považuje</w:t>
      </w:r>
    </w:p>
    <w:p w14:paraId="4AA5CE3C" w14:textId="77777777" w:rsidR="00CB2C08" w:rsidRPr="00CB2C08" w:rsidRDefault="00CB2C08" w:rsidP="00CB2C08">
      <w:pPr>
        <w:ind w:left="284" w:hanging="28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a) za vyloučenou dobu, a to i když se kryje s dobou účasti na pojištění osob uvedených v § 5 odst. 1 písm. e), s dobou pojištění, v níž měl pojištěnec příjmy, které se zahrnují do vyměřovacího základu, nebo s dobou, za kterou náležely náhrady uvedené v § 16 odst. 3 větě čtvrté, nebo</w:t>
      </w:r>
    </w:p>
    <w:p w14:paraId="55E5A34B" w14:textId="77777777" w:rsidR="00CB2C08" w:rsidRPr="00CB2C08" w:rsidRDefault="00CB2C08" w:rsidP="00CB2C08">
      <w:pPr>
        <w:ind w:left="426" w:hanging="426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b) za dobu pojištění, v níž měl pojištěnec příjmy, které se zohledňují pro účely ročního vyměřovacího základu.</w:t>
      </w:r>
    </w:p>
    <w:p w14:paraId="65B669BB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(3) Náhradní doba uvedená v odstavci 1 se pro účely stanovení osobního vyměřovacího základu považuje za vyloučenou dobu podle odstavce 2 písm. a) nebo za dobu pojištění podle odstavce 2 písm. b) při výpočtu</w:t>
      </w:r>
    </w:p>
    <w:p w14:paraId="220323F2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a) starobního důchodu podle toho, co je pro pojištěnce výhodnější se zřetelem na § 34a,</w:t>
      </w:r>
    </w:p>
    <w:p w14:paraId="6D86BBCD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b) invalidního důchodu podle toho, co je pro pojištěnce výhodnější. </w:t>
      </w:r>
    </w:p>
    <w:p w14:paraId="64DF8CD9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(4) Za příjem pojištěnce uvedeného v odstavci 1 se pro účely odstavce 2 písm. b) považuje též ocenění za péči. Ocenění za péči v kalendářním roce se přičítá k úhrnu vyměřovacích základů pojištěnce za tento kalendářní rok uvedenému v § 16 odst. 2 větě první.</w:t>
      </w:r>
    </w:p>
    <w:p w14:paraId="6F2B57E4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(5) Ocenění za péči se stanoví jako částka ve výši 12násobku všeobecného vyměřovacího základu stanoveného za kalendářní rok, v němž byly získány náhradní </w:t>
      </w: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lastRenderedPageBreak/>
        <w:t>doby pojištění uvedené v odstavci 1, pokud tyto náhradní doby pojištění trvaly celý kalendářní rok. V posledním kalendářním roce rozhodného období se ocenění za péči stanoví ve výši součinu všeobecného vyměřovacího základu za předposlední kalendářní rok rozhodného období a přepočítacího koeficientu pro úpravu tohoto všeobecného vyměřovacího základu. Pokud tyto náhradní doby pojištění netrvaly celý kalendářní rok, vydělí se částka stanovená podle věty první a druhé počtem kalendářních dnů tohoto kalendářního roku a poté vynásobí počtem kalendářních dnů, po které v tomto kalendářním roce tyto náhradní doby trvaly.</w:t>
      </w:r>
    </w:p>
    <w:p w14:paraId="6CD7B7B7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(6) Ocenění za péči stanovené podle odstavce 5 se vynásobí koeficientem 0,5, pokud se jedná o náhradní doby pojištění za dobu účasti na pojištění osob uvedených v § 5 odst. 2 písm. d), jde-li o péči o osobu mladší 10 let, která je závislá na pomoci jiné osoby ve stupni I (lehká závislost), nebo o osobu, která je závislá na pomoci jiné osoby ve stupni II (středně těžká závislost), nebo osob uvedených v § 102 odst. 1, jde-li o péči o částečně bezmocnou osobu starší 80 let.</w:t>
      </w:r>
    </w:p>
    <w:p w14:paraId="2AAFEB48" w14:textId="77777777" w:rsidR="00CB2C08" w:rsidRPr="00CB2C08" w:rsidRDefault="00CB2C08" w:rsidP="00CB2C08">
      <w:pPr>
        <w:ind w:left="142" w:hanging="142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(7) Ocenění za péči se zaokrouhluje na celé koruny nahoru.</w:t>
      </w:r>
    </w:p>
    <w:p w14:paraId="72DEBEE6" w14:textId="39E1F01D" w:rsidR="00CB2C08" w:rsidRPr="00CB2C08" w:rsidRDefault="00CB2C08" w:rsidP="00CB2C08">
      <w:pPr>
        <w:jc w:val="both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(8) Kryje-li se v kalendářním roce více náhradních dob pojištění uvedených v odstavci 1, přihlíží se k ocenění za péči pouze za tu z překrývajících se náhradních dob pojištění, za kterou se stanoví ocenění za péči v nejvyšší částce.</w:t>
      </w:r>
    </w:p>
    <w:p w14:paraId="6B5277C5" w14:textId="77777777" w:rsidR="00CB2C08" w:rsidRPr="00CB2C08" w:rsidRDefault="00CB2C08" w:rsidP="00AD0A90">
      <w:pPr>
        <w:jc w:val="both"/>
        <w:rPr>
          <w:rFonts w:ascii="Times New Roman" w:hAnsi="Times New Roman" w:cs="Times New Roman"/>
          <w:b/>
          <w:strike/>
          <w:color w:val="FF0000"/>
          <w:sz w:val="24"/>
          <w:szCs w:val="24"/>
        </w:rPr>
      </w:pPr>
    </w:p>
    <w:p w14:paraId="3192DB64" w14:textId="13FF38D4" w:rsidR="00CB2C08" w:rsidRDefault="007B5099" w:rsidP="00CB2C08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7B5099">
        <w:rPr>
          <w:rFonts w:ascii="Times New Roman" w:hAnsi="Times New Roman" w:cs="Times New Roman"/>
          <w:sz w:val="24"/>
          <w:szCs w:val="24"/>
        </w:rPr>
        <w:t>* * *</w:t>
      </w:r>
    </w:p>
    <w:p w14:paraId="5849D6F1" w14:textId="1C4581D7" w:rsidR="00CB2C08" w:rsidRPr="00CB2C08" w:rsidRDefault="00CB2C08" w:rsidP="00CB2C08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  <w:r w:rsidRPr="00CB2C08">
        <w:rPr>
          <w:rFonts w:ascii="Times New Roman" w:hAnsi="Times New Roman" w:cs="Times New Roman"/>
          <w:sz w:val="24"/>
          <w:szCs w:val="24"/>
        </w:rPr>
        <w:t>§ 34a</w:t>
      </w:r>
    </w:p>
    <w:p w14:paraId="23C7B6BE" w14:textId="77777777" w:rsidR="00CB2C08" w:rsidRPr="00CB2C08" w:rsidRDefault="00CB2C08" w:rsidP="00CB2C08">
      <w:pPr>
        <w:pStyle w:val="Bezmezer"/>
        <w:jc w:val="center"/>
        <w:rPr>
          <w:rFonts w:ascii="Times New Roman" w:hAnsi="Times New Roman" w:cs="Times New Roman"/>
          <w:sz w:val="24"/>
          <w:szCs w:val="24"/>
        </w:rPr>
      </w:pPr>
    </w:p>
    <w:p w14:paraId="6629C5FA" w14:textId="77777777" w:rsidR="00CB2C08" w:rsidRPr="00CB2C08" w:rsidRDefault="00CB2C08" w:rsidP="00CB2C08">
      <w:pPr>
        <w:pStyle w:val="Bezmezer"/>
        <w:ind w:firstLine="708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14:paraId="022161AB" w14:textId="687081F0" w:rsidR="00CB2C08" w:rsidRPr="00CB2C08" w:rsidRDefault="00CB2C08" w:rsidP="00CB2C08">
      <w:pPr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 xml:space="preserve">(1) Výše procentní výměry starobního důchodu, na který vznikl nárok podle § 29 odst. 1 až 4 nebo § 31 a který se přiznává ode dne, který spadá do období před rokem 2030, se na žádost zvyšuje ode dne, od něhož se důchod přiznává, </w:t>
      </w:r>
    </w:p>
    <w:p w14:paraId="5548B0E1" w14:textId="69F74D56" w:rsidR="00CB2C08" w:rsidRPr="00CB2C08" w:rsidRDefault="00CB2C08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trike/>
          <w:sz w:val="24"/>
          <w:szCs w:val="24"/>
        </w:rPr>
        <w:t>a) za každé dítě, které pojištěnec vychoval, o 500 Kč měsíčně, byl-li důchod přiznán ode dne, který spadá do období před rokem 2027,</w:t>
      </w:r>
    </w:p>
    <w:p w14:paraId="578F9A2A" w14:textId="4F5EDD6B" w:rsidR="00CB2C08" w:rsidRPr="00CB2C08" w:rsidRDefault="00CB2C08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trike/>
          <w:sz w:val="24"/>
          <w:szCs w:val="24"/>
        </w:rPr>
        <w:t>b) za dítě, které pojištěnec vychoval, o 300 Kč měsíčně, jde-li o první a o druhé vychované dítě, a za třetí a každé další dítě, které pojištěnec vychoval, o 500 Kč měsíčně, byl-li důchod přiznán ode dne, který spadá do roku 2027,</w:t>
      </w:r>
    </w:p>
    <w:p w14:paraId="75F46939" w14:textId="0ABDE492" w:rsidR="00CB2C08" w:rsidRPr="00CB2C08" w:rsidRDefault="00CB2C08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trike/>
          <w:sz w:val="24"/>
          <w:szCs w:val="24"/>
        </w:rPr>
        <w:t>c) za dítě, které pojištěnec vychoval, o 200 Kč měsíčně, jde-li o první a o druhé vychované dítě, a za třetí a další dítě, které pojištěnec vychoval, o 500 Kč měsíčně, byl-li důchod přiznán ode dne, který spadá do roku 2028,</w:t>
      </w:r>
    </w:p>
    <w:p w14:paraId="05EDDD3B" w14:textId="31F66824" w:rsidR="00CB2C08" w:rsidRPr="00CB2C08" w:rsidRDefault="00CB2C08" w:rsidP="00CB2C08">
      <w:pPr>
        <w:ind w:left="284"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trike/>
          <w:sz w:val="24"/>
          <w:szCs w:val="24"/>
        </w:rPr>
        <w:t>d)  za dítě, které pojištěnec vychoval, o 100 Kč měsíčně, jde-li o první a o druhé vychované dítě, a za třetí a každé další dítě, které pojištěnec vychoval, o 500 Kč měsíčně, byl-li důchod přiznán ode dne, který spadá do roku 2029.</w:t>
      </w:r>
    </w:p>
    <w:p w14:paraId="4C1F7B2B" w14:textId="55060245" w:rsidR="00CB2C08" w:rsidRPr="00CB2C08" w:rsidRDefault="00CB2C08" w:rsidP="00CB2C08">
      <w:pPr>
        <w:ind w:hanging="284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(2) Výše procentní výměry starobního důchodu, na který vznikl nárok podle § 29 odst. 1 až 4 nebo podle § 31 a který se přiznává ode dne, který spadá do období po roce 2029, se pojištěnci, který vychoval aspoň 3 děti, na jeho žádost zvyšuje ode dne, od něhož se důchod přiznává, za třetí a každé další dítě, které pojištěnec vychoval. Zvýšení za 1 vychované dítě, které se zohledňuje podle věty první, činí 500 Kč měsíčně.</w:t>
      </w:r>
    </w:p>
    <w:p w14:paraId="170E23EE" w14:textId="36F458AD" w:rsidR="00CB2C08" w:rsidRPr="00CB2C08" w:rsidRDefault="00CB2C08" w:rsidP="00CB2C08">
      <w:pPr>
        <w:pStyle w:val="Bezmezer"/>
        <w:ind w:firstLine="708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 w:rsidRPr="00CB2C08">
        <w:rPr>
          <w:rFonts w:ascii="Times New Roman" w:hAnsi="Times New Roman" w:cs="Times New Roman"/>
          <w:strike/>
          <w:sz w:val="24"/>
          <w:szCs w:val="24"/>
        </w:rPr>
        <w:lastRenderedPageBreak/>
        <w:t xml:space="preserve">(3) Dítě se pro účely zvýšení procentní výměry starobního důchodu podle odstavce 1 (dále jen „zvýšení za vychované dítě“) považuje za vychované, jsou-li splněny podmínky výchovy dítěte podle § 32 odst. 4; tyto podmínky platí i v případě, že o dítě osobně pečuje nebo pečoval muž. Výchovu téhož dítěte nelze pro účely zvýšení za vychované dítě současně započítat více osobám; vychovávalo-li dítě více osob, přihlíží se k výchově dítěte jen u té osoby, která o dítě osobně pečovala v největším rozsahu. Při zvýšení za vychované dítě se přihlíží jen k výchově toho dítěte, které jako vychované pojištěnec uvedl v žádosti o přiznání starobního důchodu; není-li tato podmínka splněna, zvýšení za vychované dítě nenáleží.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Za dítě, které pojištěnec vychoval, se pro účely zvýšení podle odstavce 2 nepovažuje dítě, které vychoval jiný pojištěnec a k němuž se u tohoto jiného pojištěnce nepřihlíží pro účely stanovení výše zvýšení podle odstavce 2 jen proto, že se jedná o první nebo druhé vychované dítě. Při stanovení zvýšení procentní výměry starobního důchodu za vychované děti se přihlíží k celkovému počtu dětí vychovaných pojištěncem; pořadí vychovaných dětí není přitom rozhodné.</w:t>
      </w:r>
      <w:r w:rsidRPr="00CB2C08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Pr="00CB2C08">
        <w:rPr>
          <w:rFonts w:ascii="Times New Roman" w:hAnsi="Times New Roman" w:cs="Times New Roman"/>
          <w:bCs/>
          <w:strike/>
          <w:sz w:val="24"/>
          <w:szCs w:val="24"/>
        </w:rPr>
        <w:t xml:space="preserve"> </w:t>
      </w:r>
      <w:r w:rsidRPr="00CB2C08">
        <w:rPr>
          <w:rFonts w:ascii="Times New Roman" w:hAnsi="Times New Roman" w:cs="Times New Roman"/>
          <w:b/>
          <w:strike/>
          <w:sz w:val="24"/>
          <w:szCs w:val="24"/>
        </w:rPr>
        <w:t>Pojištěnec je v žádosti o přiznání starobního důchodu povinen uvést všechny děti, které se považují za vychované.</w:t>
      </w:r>
    </w:p>
    <w:p w14:paraId="6C191B9E" w14:textId="77777777" w:rsidR="00CB2C08" w:rsidRPr="00CB2C08" w:rsidRDefault="00CB2C08" w:rsidP="00CB2C08">
      <w:pPr>
        <w:pStyle w:val="Bezmezer"/>
        <w:ind w:firstLine="708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</w:p>
    <w:p w14:paraId="14850F3F" w14:textId="1FE8899F" w:rsidR="00CB2C08" w:rsidRDefault="00CB2C08" w:rsidP="00CB2C08">
      <w:pPr>
        <w:pStyle w:val="Bezmezer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CB2C08">
        <w:rPr>
          <w:rFonts w:ascii="Times New Roman" w:hAnsi="Times New Roman" w:cs="Times New Roman"/>
          <w:strike/>
          <w:sz w:val="24"/>
          <w:szCs w:val="24"/>
        </w:rPr>
        <w:t xml:space="preserve">(4) </w:t>
      </w:r>
      <w:r w:rsidRPr="00CB2C08">
        <w:rPr>
          <w:rFonts w:ascii="Times New Roman" w:hAnsi="Times New Roman" w:cs="Times New Roman"/>
          <w:b/>
          <w:bCs/>
          <w:strike/>
          <w:sz w:val="24"/>
          <w:szCs w:val="24"/>
        </w:rPr>
        <w:t>Pro účely stanovení počtu vychovaných dětí podle odstavců 1 a 2 se nepřihlíží k tomu vychovanému dítěti, vůči němuž se pojištěnec</w:t>
      </w:r>
      <w:r w:rsidRPr="00CB2C08">
        <w:rPr>
          <w:rFonts w:ascii="Times New Roman" w:hAnsi="Times New Roman" w:cs="Times New Roman"/>
          <w:strike/>
          <w:sz w:val="24"/>
          <w:szCs w:val="24"/>
        </w:rPr>
        <w:t xml:space="preserve"> dopustil jako pachatel, spolupachatel nebo účastník úmyslného trestného činu proti životu a zdraví, proti svobodě a právům na ochranu osobnosti, proti lidské důstojnosti v sexuální oblasti nebo proti rodině a dětem podle trestního zákoníku nebo obdobných úmyslných trestných činů podle dříve platných právních předpisů.</w:t>
      </w:r>
    </w:p>
    <w:p w14:paraId="175371A7" w14:textId="77777777" w:rsidR="00CB2C08" w:rsidRPr="00CB2C08" w:rsidRDefault="00CB2C08" w:rsidP="00CB2C08">
      <w:pPr>
        <w:pStyle w:val="Bezmezer"/>
        <w:ind w:firstLine="708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7ADC458D" w14:textId="77777777" w:rsidR="00CB2C08" w:rsidRPr="00CB2C08" w:rsidRDefault="00CB2C08" w:rsidP="00CB2C08">
      <w:pPr>
        <w:ind w:left="142" w:hanging="142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</w:pPr>
      <w:r w:rsidRPr="00CB2C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  <w:t xml:space="preserve">             (1) Výše procentní výměry starobního důchodu, na který vznikl nárok podle § 29       odst. 1 až 4 nebo podle § 31, se pojištěnci na jeho žádost zvyšuje ode dne, od něhož se tento důchod přiznává, </w:t>
      </w:r>
    </w:p>
    <w:p w14:paraId="6F6520E4" w14:textId="77777777" w:rsidR="00CB2C08" w:rsidRPr="00CB2C08" w:rsidRDefault="00CB2C08" w:rsidP="00CB2C08">
      <w:pPr>
        <w:ind w:left="284" w:hanging="284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</w:pPr>
      <w:r w:rsidRPr="00CB2C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  <w:t xml:space="preserve">a) za </w:t>
      </w:r>
      <w:r w:rsidRPr="00CB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každé</w:t>
      </w:r>
      <w:r w:rsidRPr="00CB2C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  <w:t xml:space="preserve"> dítě, které pojištěnec vychoval, pokud výše procentní výměry tohoto důchodu, která byla stanovena  z výpočtového základu, při jehož stanovení se vycházelo z osobního vyměřovacího základu stanoveného při použití postupu podle § 19a odst. 2 písm. a), s přičtením tohoto zvýšení je vyšší než výše procentní výměry tohoto důchodu, která byla stanovena z výpočtového základu, při jehož stanovení se vycházelo z osobního vyměřovacího základu stanoveného při použití postupu podle § 19a odst. 2 písm. b), s přičtením zvýšení podle písmene b), nebo</w:t>
      </w:r>
    </w:p>
    <w:p w14:paraId="15ABAF9C" w14:textId="77777777" w:rsidR="00CB2C08" w:rsidRPr="00CB2C08" w:rsidRDefault="00CB2C08" w:rsidP="00CB2C08">
      <w:pPr>
        <w:ind w:left="426" w:hanging="426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</w:pPr>
      <w:r w:rsidRPr="00CB2C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  <w:t xml:space="preserve">b) za třetí a </w:t>
      </w:r>
      <w:r w:rsidRPr="00CB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>každé</w:t>
      </w:r>
      <w:r w:rsidRPr="00CB2C08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eastAsia="cs-CZ"/>
        </w:rPr>
        <w:t xml:space="preserve"> další dítě, které pojištěnec vychoval.</w:t>
      </w:r>
    </w:p>
    <w:p w14:paraId="767CB2FC" w14:textId="77777777" w:rsidR="00CB2C08" w:rsidRPr="00CB2C08" w:rsidRDefault="00CB2C08" w:rsidP="00CB2C08">
      <w:pPr>
        <w:ind w:hanging="284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B2C08">
        <w:rPr>
          <w:b/>
          <w:bCs/>
          <w:color w:val="FF0000"/>
        </w:rPr>
        <w:t xml:space="preserve">                    (</w:t>
      </w:r>
      <w:r w:rsidRPr="00CB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2) Zvýšení za 1 vychované dítě, které se zohledňuje podle odstavce 1, činí 500 Kč měsíčně. </w:t>
      </w:r>
    </w:p>
    <w:p w14:paraId="28EB5A0B" w14:textId="77777777" w:rsidR="00CB2C08" w:rsidRPr="00CB2C08" w:rsidRDefault="00CB2C08" w:rsidP="00CB2C08">
      <w:pPr>
        <w:pStyle w:val="Bezmezer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(3) Dítě se pro účely zvýšení procentní výměry starobního důchodu podle odstavce 1 (dále jen „zvýšení za vychované dítě“) považuje za vychované, jsou-li splněny podmínky výchovy dítěte podle § 32 odst. 4; tyto podmínky platí i v případě, že o dítě osobně pečuje nebo pečoval muž. Výchovu téhož dítěte nelze pro účely zvýšení za vychované dítě současně započítat více osobám; vychovávalo-li dítě více osob, přihlíží se k výchově dítěte jen u té osoby, která o dítě osobně pečovala v největším rozsahu. Při zvýšení za vychované dítě se přihlíží jen k výchově toho dítěte, které jako vychované pojištěnec uvedl v žádosti o přiznání starobního důchodu; není-li tato podmínka splněna, zvýšení za vychované dítě nenáleží. Za dítě, které pojištěnec vychoval, se pro účely zvýšení podle odstavce 1 nepovažuje dítě, které vychoval jiný pojištěnec a k němuž se u tohoto jiného pojištěnce nepřihlíží pro účely stanovení výše zvýšení podle odstavce 1 jen proto, že se jedná o první </w:t>
      </w:r>
      <w:r w:rsidRPr="00CB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lastRenderedPageBreak/>
        <w:t>nebo druhé vychované dítě. Při stanovení zvýšení procentní výměry starobního důchodu za vychované děti se přihlíží k celkovému počtu dětí vychovaných pojištěncem; pořadí vychovaných dětí není přitom rozhodné. Pojištěnec je v žádosti o přiznání starobního důchodu povinen uvést všechny děti, které se považují za vychované.</w:t>
      </w:r>
    </w:p>
    <w:p w14:paraId="67EA326F" w14:textId="77777777" w:rsidR="00CB2C08" w:rsidRPr="00CB2C08" w:rsidRDefault="00CB2C08" w:rsidP="00CB2C08">
      <w:pPr>
        <w:pStyle w:val="Bezmezer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457BB380" w14:textId="69654453" w:rsidR="00697C16" w:rsidRDefault="00CB2C08" w:rsidP="00CB2C08">
      <w:pPr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CB2C0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           (4) Pro účely stanovení počtu vychovaných dětí podle odstavce 1 se nepřihlíží k tomu vychovanému dítěti, vůči němuž se pojištěnec dopustil jako pachatel, spolupachatel nebo účastník úmyslného trestného činu proti životu a zdraví, proti svobodě a právům na ochranu osobnosti, proti lidské důstojnosti v sexuální oblasti nebo proti rodině a dětem podle trestního zákoníku nebo obdobných úmyslných trestných činů podle dříve platných právních předpisů.</w:t>
      </w:r>
    </w:p>
    <w:p w14:paraId="74C6613E" w14:textId="01B7928E" w:rsidR="00CB2C08" w:rsidRPr="007B5099" w:rsidRDefault="007B5099" w:rsidP="007B5099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5099">
        <w:rPr>
          <w:rFonts w:ascii="Times New Roman" w:hAnsi="Times New Roman" w:cs="Times New Roman"/>
          <w:color w:val="000000" w:themeColor="text1"/>
          <w:sz w:val="24"/>
          <w:szCs w:val="24"/>
        </w:rPr>
        <w:t>* * *</w:t>
      </w:r>
    </w:p>
    <w:p w14:paraId="453B00B7" w14:textId="032E673E" w:rsidR="00CB2C08" w:rsidRDefault="00CB2C08" w:rsidP="00CB2C08">
      <w:pPr>
        <w:jc w:val="both"/>
        <w:rPr>
          <w:rFonts w:ascii="Times New Roman" w:hAnsi="Times New Roman" w:cs="Times New Roman"/>
          <w:sz w:val="24"/>
          <w:szCs w:val="24"/>
        </w:rPr>
      </w:pPr>
      <w:r w:rsidRPr="00CB2C0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</w:t>
      </w:r>
      <w:r w:rsidRPr="00CB2C08">
        <w:rPr>
          <w:rFonts w:ascii="Times New Roman" w:hAnsi="Times New Roman" w:cs="Times New Roman"/>
          <w:sz w:val="24"/>
          <w:szCs w:val="24"/>
        </w:rPr>
        <w:t>§ 57</w:t>
      </w:r>
    </w:p>
    <w:p w14:paraId="6B68DED5" w14:textId="48E57A09" w:rsidR="00816423" w:rsidRPr="00816423" w:rsidRDefault="00816423" w:rsidP="00CB2C08">
      <w:pPr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Zjistí-li se, že procentní výměra starobního důchodu byla zvýšena za vychované dítě neprávem, neboť o dítě pečovala ve větším rozsahu jiná osoba, nebo o dítě pojištěnec nepečoval v rozsahu potřebném pro splnění podmínky výchovy dítěte, starobní důchod se sníží, a to ode dne následujícího po dni, jímž uplynulo období, za které již byl vyplacen. </w:t>
      </w:r>
      <w:r w:rsidRPr="00816423">
        <w:rPr>
          <w:rFonts w:ascii="Times New Roman" w:hAnsi="Times New Roman" w:cs="Times New Roman"/>
          <w:strike/>
          <w:color w:val="FF0000"/>
          <w:sz w:val="24"/>
          <w:szCs w:val="24"/>
        </w:rPr>
        <w:t>Procentní výměra starobního důchodu se podle věty první sníží o částku zvýšení za vychované dítě platnou ke dni, od něhož se toto snížení provádí.</w:t>
      </w:r>
    </w:p>
    <w:sectPr w:rsidR="00816423" w:rsidRPr="008164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7F7A74" w14:textId="77777777" w:rsidR="0002092D" w:rsidRDefault="0002092D" w:rsidP="00593F40">
      <w:pPr>
        <w:spacing w:after="0" w:line="240" w:lineRule="auto"/>
      </w:pPr>
      <w:r>
        <w:separator/>
      </w:r>
    </w:p>
  </w:endnote>
  <w:endnote w:type="continuationSeparator" w:id="0">
    <w:p w14:paraId="13252C67" w14:textId="77777777" w:rsidR="0002092D" w:rsidRDefault="0002092D" w:rsidP="00593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4065172"/>
      <w:docPartObj>
        <w:docPartGallery w:val="Page Numbers (Bottom of Page)"/>
        <w:docPartUnique/>
      </w:docPartObj>
    </w:sdtPr>
    <w:sdtEndPr/>
    <w:sdtContent>
      <w:p w14:paraId="6D4A7E70" w14:textId="1DE0BC11" w:rsidR="00057AF1" w:rsidRDefault="00057AF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282">
          <w:rPr>
            <w:noProof/>
          </w:rPr>
          <w:t>1</w:t>
        </w:r>
        <w:r>
          <w:fldChar w:fldCharType="end"/>
        </w:r>
      </w:p>
    </w:sdtContent>
  </w:sdt>
  <w:p w14:paraId="4AAE887D" w14:textId="77777777" w:rsidR="00057AF1" w:rsidRDefault="00057A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2FB4BB" w14:textId="77777777" w:rsidR="0002092D" w:rsidRDefault="0002092D" w:rsidP="00593F40">
      <w:pPr>
        <w:spacing w:after="0" w:line="240" w:lineRule="auto"/>
      </w:pPr>
      <w:r>
        <w:separator/>
      </w:r>
    </w:p>
  </w:footnote>
  <w:footnote w:type="continuationSeparator" w:id="0">
    <w:p w14:paraId="510282C1" w14:textId="77777777" w:rsidR="0002092D" w:rsidRDefault="0002092D" w:rsidP="00593F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5260D96"/>
    <w:multiLevelType w:val="hybridMultilevel"/>
    <w:tmpl w:val="B4CCBD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325821"/>
    <w:multiLevelType w:val="hybridMultilevel"/>
    <w:tmpl w:val="682A6A66"/>
    <w:lvl w:ilvl="0" w:tplc="09845C60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41283F"/>
    <w:multiLevelType w:val="hybridMultilevel"/>
    <w:tmpl w:val="FEBAA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DB5574"/>
    <w:multiLevelType w:val="hybridMultilevel"/>
    <w:tmpl w:val="4FBC50B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019CD"/>
    <w:multiLevelType w:val="hybridMultilevel"/>
    <w:tmpl w:val="614073A4"/>
    <w:lvl w:ilvl="0" w:tplc="C24ED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41CC69B5"/>
    <w:multiLevelType w:val="hybridMultilevel"/>
    <w:tmpl w:val="0ECE42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310596"/>
    <w:multiLevelType w:val="hybridMultilevel"/>
    <w:tmpl w:val="D73F39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52304A09"/>
    <w:multiLevelType w:val="hybridMultilevel"/>
    <w:tmpl w:val="2B36148A"/>
    <w:lvl w:ilvl="0" w:tplc="3FEA5E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4C08BEF"/>
    <w:multiLevelType w:val="hybridMultilevel"/>
    <w:tmpl w:val="BE1CA3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78731B7B"/>
    <w:multiLevelType w:val="hybridMultilevel"/>
    <w:tmpl w:val="914C9D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1F7809"/>
    <w:multiLevelType w:val="hybridMultilevel"/>
    <w:tmpl w:val="5A1C5BE6"/>
    <w:lvl w:ilvl="0" w:tplc="DB2268CE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7B9564EC"/>
    <w:multiLevelType w:val="hybridMultilevel"/>
    <w:tmpl w:val="B7A6F1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4"/>
  </w:num>
  <w:num w:numId="7">
    <w:abstractNumId w:val="5"/>
  </w:num>
  <w:num w:numId="8">
    <w:abstractNumId w:val="7"/>
  </w:num>
  <w:num w:numId="9">
    <w:abstractNumId w:val="11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5C"/>
    <w:rsid w:val="0000692E"/>
    <w:rsid w:val="00006A19"/>
    <w:rsid w:val="0001075F"/>
    <w:rsid w:val="0001077E"/>
    <w:rsid w:val="00016BCB"/>
    <w:rsid w:val="0002092D"/>
    <w:rsid w:val="0002097A"/>
    <w:rsid w:val="000220E8"/>
    <w:rsid w:val="0003505D"/>
    <w:rsid w:val="000461B4"/>
    <w:rsid w:val="000565B7"/>
    <w:rsid w:val="00057AF1"/>
    <w:rsid w:val="00060547"/>
    <w:rsid w:val="00071385"/>
    <w:rsid w:val="000740E2"/>
    <w:rsid w:val="00084F90"/>
    <w:rsid w:val="0009144F"/>
    <w:rsid w:val="000934F5"/>
    <w:rsid w:val="000B370E"/>
    <w:rsid w:val="000B54E8"/>
    <w:rsid w:val="000C2F3A"/>
    <w:rsid w:val="000C5B41"/>
    <w:rsid w:val="000D2497"/>
    <w:rsid w:val="000D3194"/>
    <w:rsid w:val="000D5E6A"/>
    <w:rsid w:val="000D6251"/>
    <w:rsid w:val="000F0AC6"/>
    <w:rsid w:val="000F4A04"/>
    <w:rsid w:val="0011227D"/>
    <w:rsid w:val="00117029"/>
    <w:rsid w:val="0013147F"/>
    <w:rsid w:val="00150AA1"/>
    <w:rsid w:val="00153519"/>
    <w:rsid w:val="0017559A"/>
    <w:rsid w:val="00181537"/>
    <w:rsid w:val="00182508"/>
    <w:rsid w:val="00185FA9"/>
    <w:rsid w:val="001915A3"/>
    <w:rsid w:val="00193CDB"/>
    <w:rsid w:val="001A269C"/>
    <w:rsid w:val="001A2E58"/>
    <w:rsid w:val="001B2C40"/>
    <w:rsid w:val="001B49C8"/>
    <w:rsid w:val="001D22C0"/>
    <w:rsid w:val="001D2931"/>
    <w:rsid w:val="001D5CAE"/>
    <w:rsid w:val="001D6411"/>
    <w:rsid w:val="001D7B43"/>
    <w:rsid w:val="001E7B57"/>
    <w:rsid w:val="00206FA2"/>
    <w:rsid w:val="00217CAD"/>
    <w:rsid w:val="00226AD3"/>
    <w:rsid w:val="0023588D"/>
    <w:rsid w:val="002369D3"/>
    <w:rsid w:val="00250AA3"/>
    <w:rsid w:val="00253196"/>
    <w:rsid w:val="002566E0"/>
    <w:rsid w:val="00274585"/>
    <w:rsid w:val="00276D0C"/>
    <w:rsid w:val="00290D5C"/>
    <w:rsid w:val="002B74C7"/>
    <w:rsid w:val="002C401F"/>
    <w:rsid w:val="002C7C63"/>
    <w:rsid w:val="002C7F34"/>
    <w:rsid w:val="002D031E"/>
    <w:rsid w:val="002D4FE0"/>
    <w:rsid w:val="002E121F"/>
    <w:rsid w:val="002E2A56"/>
    <w:rsid w:val="002E72B9"/>
    <w:rsid w:val="002E7884"/>
    <w:rsid w:val="002F56A3"/>
    <w:rsid w:val="002F6E4E"/>
    <w:rsid w:val="00300905"/>
    <w:rsid w:val="00300CB9"/>
    <w:rsid w:val="00310E93"/>
    <w:rsid w:val="003127C3"/>
    <w:rsid w:val="00316B8E"/>
    <w:rsid w:val="00321C13"/>
    <w:rsid w:val="00325055"/>
    <w:rsid w:val="003333B8"/>
    <w:rsid w:val="00335CD1"/>
    <w:rsid w:val="00337AB4"/>
    <w:rsid w:val="00340746"/>
    <w:rsid w:val="00356FAF"/>
    <w:rsid w:val="00366140"/>
    <w:rsid w:val="00373DA3"/>
    <w:rsid w:val="003742E7"/>
    <w:rsid w:val="0037537C"/>
    <w:rsid w:val="003877FC"/>
    <w:rsid w:val="003965E3"/>
    <w:rsid w:val="0039728E"/>
    <w:rsid w:val="003B7173"/>
    <w:rsid w:val="003B7B24"/>
    <w:rsid w:val="003D1A81"/>
    <w:rsid w:val="003D3276"/>
    <w:rsid w:val="003D5E72"/>
    <w:rsid w:val="003E0F85"/>
    <w:rsid w:val="003F1411"/>
    <w:rsid w:val="0041236D"/>
    <w:rsid w:val="00417504"/>
    <w:rsid w:val="004216B5"/>
    <w:rsid w:val="004218B8"/>
    <w:rsid w:val="00425086"/>
    <w:rsid w:val="00425DB7"/>
    <w:rsid w:val="00427FAB"/>
    <w:rsid w:val="00451E22"/>
    <w:rsid w:val="0046638F"/>
    <w:rsid w:val="00481410"/>
    <w:rsid w:val="00482E63"/>
    <w:rsid w:val="004979A4"/>
    <w:rsid w:val="004A584F"/>
    <w:rsid w:val="004C1206"/>
    <w:rsid w:val="004D0896"/>
    <w:rsid w:val="004D17AD"/>
    <w:rsid w:val="004F1919"/>
    <w:rsid w:val="00506D86"/>
    <w:rsid w:val="00513E1C"/>
    <w:rsid w:val="0051668E"/>
    <w:rsid w:val="005249B6"/>
    <w:rsid w:val="00530D11"/>
    <w:rsid w:val="0053192E"/>
    <w:rsid w:val="005333E5"/>
    <w:rsid w:val="0053567D"/>
    <w:rsid w:val="00544A0D"/>
    <w:rsid w:val="005459B4"/>
    <w:rsid w:val="005579D3"/>
    <w:rsid w:val="00562D5E"/>
    <w:rsid w:val="00573767"/>
    <w:rsid w:val="005814EB"/>
    <w:rsid w:val="00591309"/>
    <w:rsid w:val="00593F40"/>
    <w:rsid w:val="00595E80"/>
    <w:rsid w:val="005975E7"/>
    <w:rsid w:val="005B0E9E"/>
    <w:rsid w:val="005B4A2C"/>
    <w:rsid w:val="005B6E6A"/>
    <w:rsid w:val="005C5EFB"/>
    <w:rsid w:val="005E0846"/>
    <w:rsid w:val="005E7B8B"/>
    <w:rsid w:val="005F0F87"/>
    <w:rsid w:val="00601BE4"/>
    <w:rsid w:val="006058B3"/>
    <w:rsid w:val="00614454"/>
    <w:rsid w:val="00614B99"/>
    <w:rsid w:val="00633D66"/>
    <w:rsid w:val="00634EE1"/>
    <w:rsid w:val="00637DA7"/>
    <w:rsid w:val="00644871"/>
    <w:rsid w:val="00646E14"/>
    <w:rsid w:val="00646E36"/>
    <w:rsid w:val="0064721E"/>
    <w:rsid w:val="00647DBC"/>
    <w:rsid w:val="00654D95"/>
    <w:rsid w:val="00662F32"/>
    <w:rsid w:val="00677771"/>
    <w:rsid w:val="00686B1C"/>
    <w:rsid w:val="00697C16"/>
    <w:rsid w:val="006A269A"/>
    <w:rsid w:val="006A7785"/>
    <w:rsid w:val="006B5B37"/>
    <w:rsid w:val="006C28C1"/>
    <w:rsid w:val="006C4FD7"/>
    <w:rsid w:val="006C5AAF"/>
    <w:rsid w:val="006F18BB"/>
    <w:rsid w:val="007057D4"/>
    <w:rsid w:val="00725C95"/>
    <w:rsid w:val="007325D9"/>
    <w:rsid w:val="00733B96"/>
    <w:rsid w:val="007430D9"/>
    <w:rsid w:val="007440F5"/>
    <w:rsid w:val="00746975"/>
    <w:rsid w:val="00750C7A"/>
    <w:rsid w:val="00757796"/>
    <w:rsid w:val="00757816"/>
    <w:rsid w:val="007614BE"/>
    <w:rsid w:val="00762879"/>
    <w:rsid w:val="00764EBA"/>
    <w:rsid w:val="00772629"/>
    <w:rsid w:val="007867AA"/>
    <w:rsid w:val="007A6EA1"/>
    <w:rsid w:val="007B5099"/>
    <w:rsid w:val="007B7578"/>
    <w:rsid w:val="007C64F2"/>
    <w:rsid w:val="007D1B0F"/>
    <w:rsid w:val="007E1121"/>
    <w:rsid w:val="007E228E"/>
    <w:rsid w:val="007E3EC7"/>
    <w:rsid w:val="007F13E8"/>
    <w:rsid w:val="008013FB"/>
    <w:rsid w:val="00803E2C"/>
    <w:rsid w:val="008149AB"/>
    <w:rsid w:val="00816423"/>
    <w:rsid w:val="00821758"/>
    <w:rsid w:val="00822A6D"/>
    <w:rsid w:val="00834B21"/>
    <w:rsid w:val="00835D76"/>
    <w:rsid w:val="0084053F"/>
    <w:rsid w:val="00842CDB"/>
    <w:rsid w:val="008444EE"/>
    <w:rsid w:val="008620A2"/>
    <w:rsid w:val="0088143C"/>
    <w:rsid w:val="008822C2"/>
    <w:rsid w:val="00894D4E"/>
    <w:rsid w:val="008A28D0"/>
    <w:rsid w:val="008A2958"/>
    <w:rsid w:val="008B1AAF"/>
    <w:rsid w:val="008B1C62"/>
    <w:rsid w:val="008B4526"/>
    <w:rsid w:val="008B74BA"/>
    <w:rsid w:val="008D06E6"/>
    <w:rsid w:val="008D3669"/>
    <w:rsid w:val="008D788A"/>
    <w:rsid w:val="008D7A33"/>
    <w:rsid w:val="008E03AB"/>
    <w:rsid w:val="008F54F2"/>
    <w:rsid w:val="009017FC"/>
    <w:rsid w:val="00911745"/>
    <w:rsid w:val="0091773E"/>
    <w:rsid w:val="00931B39"/>
    <w:rsid w:val="00960487"/>
    <w:rsid w:val="009644A1"/>
    <w:rsid w:val="0097016D"/>
    <w:rsid w:val="009752DA"/>
    <w:rsid w:val="0098286A"/>
    <w:rsid w:val="009842F6"/>
    <w:rsid w:val="009902BE"/>
    <w:rsid w:val="00991234"/>
    <w:rsid w:val="009A2420"/>
    <w:rsid w:val="009C3081"/>
    <w:rsid w:val="009D5032"/>
    <w:rsid w:val="009D7D83"/>
    <w:rsid w:val="009E1C9D"/>
    <w:rsid w:val="009E29CB"/>
    <w:rsid w:val="009E77C1"/>
    <w:rsid w:val="009F1294"/>
    <w:rsid w:val="00A00CFA"/>
    <w:rsid w:val="00A03866"/>
    <w:rsid w:val="00A14BD5"/>
    <w:rsid w:val="00A315EE"/>
    <w:rsid w:val="00A37B96"/>
    <w:rsid w:val="00A54D61"/>
    <w:rsid w:val="00A6043F"/>
    <w:rsid w:val="00A642A2"/>
    <w:rsid w:val="00A67EBC"/>
    <w:rsid w:val="00A77F69"/>
    <w:rsid w:val="00AA37D8"/>
    <w:rsid w:val="00AA3E42"/>
    <w:rsid w:val="00AA488B"/>
    <w:rsid w:val="00AA608A"/>
    <w:rsid w:val="00AB37DD"/>
    <w:rsid w:val="00AD0853"/>
    <w:rsid w:val="00AD0A90"/>
    <w:rsid w:val="00AD73D4"/>
    <w:rsid w:val="00AF0B70"/>
    <w:rsid w:val="00AF6120"/>
    <w:rsid w:val="00B13A79"/>
    <w:rsid w:val="00B1795D"/>
    <w:rsid w:val="00B37364"/>
    <w:rsid w:val="00B45BB1"/>
    <w:rsid w:val="00B52A4F"/>
    <w:rsid w:val="00B559D1"/>
    <w:rsid w:val="00B8758A"/>
    <w:rsid w:val="00B9263F"/>
    <w:rsid w:val="00BA094B"/>
    <w:rsid w:val="00BA7D4E"/>
    <w:rsid w:val="00BB1E31"/>
    <w:rsid w:val="00BC203A"/>
    <w:rsid w:val="00BD042E"/>
    <w:rsid w:val="00BD3085"/>
    <w:rsid w:val="00BE36F2"/>
    <w:rsid w:val="00BF1E77"/>
    <w:rsid w:val="00BF75EF"/>
    <w:rsid w:val="00BF7E3F"/>
    <w:rsid w:val="00C07B90"/>
    <w:rsid w:val="00C2606E"/>
    <w:rsid w:val="00C325C9"/>
    <w:rsid w:val="00C3339C"/>
    <w:rsid w:val="00C33849"/>
    <w:rsid w:val="00C37368"/>
    <w:rsid w:val="00C37FED"/>
    <w:rsid w:val="00C42F0C"/>
    <w:rsid w:val="00C47619"/>
    <w:rsid w:val="00C531DD"/>
    <w:rsid w:val="00C6270A"/>
    <w:rsid w:val="00C705E2"/>
    <w:rsid w:val="00C969C4"/>
    <w:rsid w:val="00CA0B28"/>
    <w:rsid w:val="00CB2B2C"/>
    <w:rsid w:val="00CB2C08"/>
    <w:rsid w:val="00CC15B6"/>
    <w:rsid w:val="00CC7360"/>
    <w:rsid w:val="00CE7638"/>
    <w:rsid w:val="00CF0421"/>
    <w:rsid w:val="00CF4B29"/>
    <w:rsid w:val="00D01FA6"/>
    <w:rsid w:val="00D04BBE"/>
    <w:rsid w:val="00D10056"/>
    <w:rsid w:val="00D10508"/>
    <w:rsid w:val="00D14645"/>
    <w:rsid w:val="00D15DA1"/>
    <w:rsid w:val="00D238B7"/>
    <w:rsid w:val="00D24685"/>
    <w:rsid w:val="00D35363"/>
    <w:rsid w:val="00D3735E"/>
    <w:rsid w:val="00D412CC"/>
    <w:rsid w:val="00D431BE"/>
    <w:rsid w:val="00D439DF"/>
    <w:rsid w:val="00D51277"/>
    <w:rsid w:val="00D5363D"/>
    <w:rsid w:val="00D5403B"/>
    <w:rsid w:val="00D73C9C"/>
    <w:rsid w:val="00D77525"/>
    <w:rsid w:val="00D7795B"/>
    <w:rsid w:val="00D867E2"/>
    <w:rsid w:val="00D97ED9"/>
    <w:rsid w:val="00DC7645"/>
    <w:rsid w:val="00DD2C96"/>
    <w:rsid w:val="00DD6A20"/>
    <w:rsid w:val="00DE5AE3"/>
    <w:rsid w:val="00DE5DBE"/>
    <w:rsid w:val="00DE5FDF"/>
    <w:rsid w:val="00DF7BF4"/>
    <w:rsid w:val="00E0030D"/>
    <w:rsid w:val="00E1169A"/>
    <w:rsid w:val="00E13C05"/>
    <w:rsid w:val="00E15032"/>
    <w:rsid w:val="00E230B4"/>
    <w:rsid w:val="00E2490C"/>
    <w:rsid w:val="00E31C46"/>
    <w:rsid w:val="00E3511D"/>
    <w:rsid w:val="00E45DB6"/>
    <w:rsid w:val="00E47F3C"/>
    <w:rsid w:val="00E51282"/>
    <w:rsid w:val="00E55DB5"/>
    <w:rsid w:val="00E56E59"/>
    <w:rsid w:val="00E640B0"/>
    <w:rsid w:val="00E65BCE"/>
    <w:rsid w:val="00E73AFF"/>
    <w:rsid w:val="00E81BB5"/>
    <w:rsid w:val="00E83775"/>
    <w:rsid w:val="00EA5EF4"/>
    <w:rsid w:val="00EB3A9A"/>
    <w:rsid w:val="00EC28D4"/>
    <w:rsid w:val="00EC7275"/>
    <w:rsid w:val="00ED4A64"/>
    <w:rsid w:val="00EE145B"/>
    <w:rsid w:val="00EF083A"/>
    <w:rsid w:val="00EF2D7A"/>
    <w:rsid w:val="00F00C4D"/>
    <w:rsid w:val="00F0248D"/>
    <w:rsid w:val="00F033DE"/>
    <w:rsid w:val="00F12924"/>
    <w:rsid w:val="00F17940"/>
    <w:rsid w:val="00F34247"/>
    <w:rsid w:val="00F4503B"/>
    <w:rsid w:val="00F50750"/>
    <w:rsid w:val="00F51D50"/>
    <w:rsid w:val="00F6072F"/>
    <w:rsid w:val="00F63E0F"/>
    <w:rsid w:val="00F71F9C"/>
    <w:rsid w:val="00F82D85"/>
    <w:rsid w:val="00F902E7"/>
    <w:rsid w:val="00FB5C53"/>
    <w:rsid w:val="00FC584C"/>
    <w:rsid w:val="00FC72B1"/>
    <w:rsid w:val="00FD0F21"/>
    <w:rsid w:val="00FD1AB2"/>
    <w:rsid w:val="00FD4A79"/>
    <w:rsid w:val="00FE13D2"/>
    <w:rsid w:val="00FE2E3A"/>
    <w:rsid w:val="00FE6ABB"/>
    <w:rsid w:val="00FF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6127"/>
  <w15:chartTrackingRefBased/>
  <w15:docId w15:val="{E30451DA-1FA6-4939-ADEE-DA988758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90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E29C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E29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29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29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29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29CB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593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93F40"/>
  </w:style>
  <w:style w:type="paragraph" w:styleId="Zpat">
    <w:name w:val="footer"/>
    <w:basedOn w:val="Normln"/>
    <w:link w:val="ZpatChar"/>
    <w:uiPriority w:val="99"/>
    <w:unhideWhenUsed/>
    <w:rsid w:val="00593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93F40"/>
  </w:style>
  <w:style w:type="paragraph" w:styleId="Bezmezer">
    <w:name w:val="No Spacing"/>
    <w:link w:val="BezmezerChar"/>
    <w:uiPriority w:val="1"/>
    <w:qFormat/>
    <w:rsid w:val="0001075F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2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28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51282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f01">
    <w:name w:val="cf01"/>
    <w:basedOn w:val="Standardnpsmoodstavce"/>
    <w:rsid w:val="00253196"/>
    <w:rPr>
      <w:rFonts w:ascii="Segoe UI" w:hAnsi="Segoe UI" w:cs="Segoe UI" w:hint="default"/>
      <w:sz w:val="18"/>
      <w:szCs w:val="18"/>
    </w:rPr>
  </w:style>
  <w:style w:type="character" w:customStyle="1" w:styleId="BezmezerChar">
    <w:name w:val="Bez mezer Char"/>
    <w:link w:val="Bezmezer"/>
    <w:uiPriority w:val="1"/>
    <w:locked/>
    <w:rsid w:val="003127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00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31F798-E95B-43D7-94E4-20D67EC1E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3815</Words>
  <Characters>22515</Characters>
  <Application>Microsoft Office Word</Application>
  <DocSecurity>0</DocSecurity>
  <Lines>187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Maroušková Mirka, Mgr.</dc:creator>
  <cp:keywords/>
  <dc:description/>
  <cp:lastModifiedBy>MUDr. Vít Kaňkovský</cp:lastModifiedBy>
  <cp:revision>2</cp:revision>
  <cp:lastPrinted>2024-06-24T12:35:00Z</cp:lastPrinted>
  <dcterms:created xsi:type="dcterms:W3CDTF">2024-10-02T14:16:00Z</dcterms:created>
  <dcterms:modified xsi:type="dcterms:W3CDTF">2024-10-02T14:16:00Z</dcterms:modified>
</cp:coreProperties>
</file>