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64F62" w14:textId="1705A847" w:rsidR="00437171" w:rsidRPr="004C0676" w:rsidRDefault="00437171" w:rsidP="00437171">
      <w:pPr>
        <w:pStyle w:val="Nzev"/>
        <w:spacing w:line="276" w:lineRule="auto"/>
        <w:rPr>
          <w:b w:val="0"/>
        </w:rPr>
      </w:pPr>
      <w:r w:rsidRPr="004C0676">
        <w:rPr>
          <w:b w:val="0"/>
          <w:noProof/>
        </w:rPr>
        <w:drawing>
          <wp:inline distT="0" distB="0" distL="0" distR="0" wp14:anchorId="4F156244" wp14:editId="0267A692">
            <wp:extent cx="704850" cy="10001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01BC6" w14:textId="51F49D51" w:rsidR="00437171" w:rsidRPr="004C0676" w:rsidRDefault="00437171" w:rsidP="00437171">
      <w:pPr>
        <w:pStyle w:val="Nzev"/>
        <w:spacing w:line="276" w:lineRule="auto"/>
        <w:rPr>
          <w:b w:val="0"/>
        </w:rPr>
      </w:pPr>
    </w:p>
    <w:p w14:paraId="6946451B" w14:textId="77777777" w:rsidR="00437171" w:rsidRPr="004C0676" w:rsidRDefault="00437171" w:rsidP="00437171">
      <w:pPr>
        <w:pStyle w:val="Nzev"/>
        <w:spacing w:line="276" w:lineRule="auto"/>
        <w:rPr>
          <w:b w:val="0"/>
        </w:rPr>
      </w:pPr>
      <w:r w:rsidRPr="004C0676">
        <w:rPr>
          <w:b w:val="0"/>
        </w:rPr>
        <w:t>P A R L A M E N T    Č E S K É    R E P U B L I K Y</w:t>
      </w:r>
    </w:p>
    <w:p w14:paraId="47D61644" w14:textId="77777777" w:rsidR="00437171" w:rsidRPr="004C0676" w:rsidRDefault="00437171" w:rsidP="0043717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FD85112" w14:textId="085542AD" w:rsidR="00437171" w:rsidRPr="004C0676" w:rsidRDefault="00437171" w:rsidP="00437171">
      <w:pPr>
        <w:pStyle w:val="Podnadpis"/>
        <w:pBdr>
          <w:bottom w:val="none" w:sz="0" w:space="0" w:color="auto"/>
        </w:pBdr>
        <w:spacing w:line="276" w:lineRule="auto"/>
        <w:rPr>
          <w:b/>
          <w:sz w:val="28"/>
          <w:szCs w:val="28"/>
        </w:rPr>
      </w:pPr>
      <w:r w:rsidRPr="004C0676">
        <w:rPr>
          <w:b/>
          <w:sz w:val="28"/>
          <w:szCs w:val="28"/>
        </w:rPr>
        <w:t>POSLANECKÁ SNĚMOVNA</w:t>
      </w:r>
    </w:p>
    <w:p w14:paraId="01255BD0" w14:textId="5AB68A53" w:rsidR="00437171" w:rsidRPr="004C0676" w:rsidRDefault="00437171" w:rsidP="00437171">
      <w:pPr>
        <w:jc w:val="center"/>
        <w:rPr>
          <w:rFonts w:ascii="Times New Roman" w:hAnsi="Times New Roman"/>
          <w:b/>
          <w:sz w:val="28"/>
          <w:szCs w:val="28"/>
        </w:rPr>
      </w:pPr>
      <w:r w:rsidRPr="004C0676">
        <w:rPr>
          <w:rFonts w:ascii="Times New Roman" w:hAnsi="Times New Roman"/>
          <w:b/>
          <w:sz w:val="28"/>
          <w:szCs w:val="28"/>
        </w:rPr>
        <w:t>202</w:t>
      </w:r>
      <w:r w:rsidR="0089756C" w:rsidRPr="004C0676">
        <w:rPr>
          <w:rFonts w:ascii="Times New Roman" w:hAnsi="Times New Roman"/>
          <w:b/>
          <w:sz w:val="28"/>
          <w:szCs w:val="28"/>
        </w:rPr>
        <w:t>4</w:t>
      </w:r>
    </w:p>
    <w:p w14:paraId="0E4E12D0" w14:textId="49EBA689" w:rsidR="00437171" w:rsidRPr="004C0676" w:rsidRDefault="00437171" w:rsidP="00437171">
      <w:pPr>
        <w:jc w:val="center"/>
        <w:rPr>
          <w:rFonts w:ascii="Times New Roman" w:hAnsi="Times New Roman"/>
          <w:b/>
          <w:sz w:val="28"/>
          <w:szCs w:val="28"/>
        </w:rPr>
      </w:pPr>
      <w:r w:rsidRPr="004C0676">
        <w:rPr>
          <w:rFonts w:ascii="Times New Roman" w:hAnsi="Times New Roman"/>
          <w:b/>
          <w:sz w:val="28"/>
          <w:szCs w:val="28"/>
        </w:rPr>
        <w:t>IX. volební období</w:t>
      </w:r>
    </w:p>
    <w:p w14:paraId="64347852" w14:textId="5CCFB64B" w:rsidR="00437171" w:rsidRPr="004C0676" w:rsidRDefault="00437171" w:rsidP="00437171">
      <w:pPr>
        <w:rPr>
          <w:rFonts w:ascii="Times New Roman" w:hAnsi="Times New Roman"/>
          <w:sz w:val="28"/>
          <w:szCs w:val="28"/>
        </w:rPr>
      </w:pPr>
      <w:r w:rsidRPr="004C0676">
        <w:rPr>
          <w:rFonts w:ascii="Times New Roman" w:hAnsi="Times New Roman"/>
          <w:sz w:val="28"/>
          <w:szCs w:val="28"/>
        </w:rPr>
        <w:t>-------------------------------------------------------------------------------------------------</w:t>
      </w:r>
    </w:p>
    <w:p w14:paraId="69510228" w14:textId="77777777" w:rsidR="00437171" w:rsidRPr="004C0676" w:rsidRDefault="00437171" w:rsidP="00437171">
      <w:pPr>
        <w:rPr>
          <w:rFonts w:ascii="Times New Roman" w:hAnsi="Times New Roman"/>
          <w:sz w:val="28"/>
          <w:szCs w:val="28"/>
        </w:rPr>
      </w:pPr>
    </w:p>
    <w:p w14:paraId="63CCB523" w14:textId="77777777" w:rsidR="00437171" w:rsidRPr="004C0676" w:rsidRDefault="00437171" w:rsidP="00437171">
      <w:pPr>
        <w:pStyle w:val="nadpiszkona"/>
        <w:spacing w:before="0" w:after="120" w:line="276" w:lineRule="auto"/>
        <w:rPr>
          <w:b/>
          <w:bCs/>
          <w:color w:val="000000"/>
          <w:sz w:val="28"/>
          <w:szCs w:val="28"/>
        </w:rPr>
      </w:pPr>
      <w:r w:rsidRPr="004C0676">
        <w:rPr>
          <w:b/>
          <w:bCs/>
          <w:color w:val="000000"/>
          <w:sz w:val="28"/>
          <w:szCs w:val="28"/>
        </w:rPr>
        <w:t>Pozměňovací návrh</w:t>
      </w:r>
    </w:p>
    <w:p w14:paraId="148818CB" w14:textId="609F99C6" w:rsidR="00AF2211" w:rsidRPr="004C0676" w:rsidRDefault="00AF2211" w:rsidP="00AF221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676">
        <w:rPr>
          <w:rFonts w:ascii="Times New Roman" w:hAnsi="Times New Roman"/>
          <w:b/>
          <w:sz w:val="28"/>
          <w:szCs w:val="28"/>
        </w:rPr>
        <w:t>poslanc</w:t>
      </w:r>
      <w:r w:rsidR="00035686" w:rsidRPr="004C0676">
        <w:rPr>
          <w:rFonts w:ascii="Times New Roman" w:hAnsi="Times New Roman"/>
          <w:b/>
          <w:sz w:val="28"/>
          <w:szCs w:val="28"/>
        </w:rPr>
        <w:t>e</w:t>
      </w:r>
    </w:p>
    <w:p w14:paraId="3F4DDC2D" w14:textId="0E7C9635" w:rsidR="00437171" w:rsidRPr="004C0676" w:rsidRDefault="00EE5FA9" w:rsidP="00AF221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4C0676">
        <w:rPr>
          <w:rFonts w:ascii="Times New Roman" w:hAnsi="Times New Roman"/>
          <w:b/>
          <w:sz w:val="28"/>
          <w:szCs w:val="28"/>
        </w:rPr>
        <w:t>Igora Hendrych</w:t>
      </w:r>
      <w:r w:rsidR="00035686" w:rsidRPr="004C0676">
        <w:rPr>
          <w:rFonts w:ascii="Times New Roman" w:hAnsi="Times New Roman"/>
          <w:b/>
          <w:sz w:val="28"/>
          <w:szCs w:val="28"/>
        </w:rPr>
        <w:t>a</w:t>
      </w:r>
      <w:r w:rsidR="00F70040">
        <w:rPr>
          <w:rFonts w:ascii="Times New Roman" w:hAnsi="Times New Roman"/>
          <w:b/>
          <w:sz w:val="28"/>
          <w:szCs w:val="28"/>
        </w:rPr>
        <w:t xml:space="preserve">, Aleše Juchelky, Jany Pastuchové, Lenky Dražilové, Jany Hanzlíkové, Renaty Oulehlové, Miroslava </w:t>
      </w:r>
      <w:proofErr w:type="spellStart"/>
      <w:r w:rsidR="00F70040">
        <w:rPr>
          <w:rFonts w:ascii="Times New Roman" w:hAnsi="Times New Roman"/>
          <w:b/>
          <w:sz w:val="28"/>
          <w:szCs w:val="28"/>
        </w:rPr>
        <w:t>Samaše</w:t>
      </w:r>
      <w:proofErr w:type="spellEnd"/>
      <w:r w:rsidR="00F70040">
        <w:rPr>
          <w:rFonts w:ascii="Times New Roman" w:hAnsi="Times New Roman"/>
          <w:b/>
          <w:sz w:val="28"/>
          <w:szCs w:val="28"/>
        </w:rPr>
        <w:t xml:space="preserve"> a Andrey Babišové</w:t>
      </w:r>
    </w:p>
    <w:p w14:paraId="52287F8B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CCEC85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A1D1A8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3687B4B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1A7FC4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ACAA20D" w14:textId="3FFD6D57" w:rsidR="00BB3FFF" w:rsidRPr="004C0676" w:rsidRDefault="004F4F7B" w:rsidP="00BB3FFF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k </w:t>
      </w:r>
      <w:r w:rsidR="00846795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vládnímu návrhu zákona, </w:t>
      </w:r>
      <w:r w:rsidR="00BB3FFF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kterým se mění zákon č. 155/1995 Sb., o důchodovém pojištění, ve znění pozdějších předpisů, a další související zákony</w:t>
      </w:r>
    </w:p>
    <w:p w14:paraId="6E411503" w14:textId="77777777" w:rsidR="00437171" w:rsidRPr="004C0676" w:rsidRDefault="00437171" w:rsidP="00437171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1D000A9" w14:textId="5D1D88ED" w:rsidR="00437171" w:rsidRPr="004C0676" w:rsidRDefault="00437171" w:rsidP="0043717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4C0676">
        <w:rPr>
          <w:rFonts w:ascii="Times New Roman" w:hAnsi="Times New Roman"/>
          <w:bCs/>
          <w:sz w:val="28"/>
          <w:szCs w:val="28"/>
        </w:rPr>
        <w:t>(</w:t>
      </w:r>
      <w:r w:rsidR="008847C7" w:rsidRPr="004C0676">
        <w:rPr>
          <w:rFonts w:ascii="Times New Roman" w:hAnsi="Times New Roman"/>
          <w:bCs/>
          <w:sz w:val="28"/>
          <w:szCs w:val="28"/>
        </w:rPr>
        <w:t>S</w:t>
      </w:r>
      <w:r w:rsidRPr="004C0676">
        <w:rPr>
          <w:rFonts w:ascii="Times New Roman" w:hAnsi="Times New Roman"/>
          <w:bCs/>
          <w:sz w:val="28"/>
          <w:szCs w:val="28"/>
        </w:rPr>
        <w:t xml:space="preserve">němovní tisk č. </w:t>
      </w:r>
      <w:r w:rsidR="00BB3FFF" w:rsidRPr="004C0676">
        <w:rPr>
          <w:rFonts w:ascii="Times New Roman" w:hAnsi="Times New Roman"/>
          <w:bCs/>
          <w:sz w:val="28"/>
          <w:szCs w:val="28"/>
        </w:rPr>
        <w:t>696</w:t>
      </w:r>
      <w:r w:rsidRPr="004C0676">
        <w:rPr>
          <w:rFonts w:ascii="Times New Roman" w:hAnsi="Times New Roman"/>
          <w:bCs/>
          <w:sz w:val="28"/>
          <w:szCs w:val="28"/>
        </w:rPr>
        <w:t>/</w:t>
      </w:r>
      <w:r w:rsidR="00846795" w:rsidRPr="004C0676">
        <w:rPr>
          <w:rFonts w:ascii="Times New Roman" w:hAnsi="Times New Roman"/>
          <w:bCs/>
          <w:sz w:val="28"/>
          <w:szCs w:val="28"/>
        </w:rPr>
        <w:t>0</w:t>
      </w:r>
      <w:r w:rsidRPr="004C0676">
        <w:rPr>
          <w:rFonts w:ascii="Times New Roman" w:hAnsi="Times New Roman"/>
          <w:bCs/>
          <w:sz w:val="28"/>
          <w:szCs w:val="28"/>
        </w:rPr>
        <w:t>)</w:t>
      </w:r>
    </w:p>
    <w:p w14:paraId="60071CAF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758AC4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295C22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A19928" w14:textId="77777777" w:rsidR="00437171" w:rsidRPr="004C0676" w:rsidRDefault="00437171" w:rsidP="007267F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0175B46" w14:textId="7060BEBE" w:rsidR="00437171" w:rsidRPr="004C0676" w:rsidRDefault="00437171" w:rsidP="00437171">
      <w:pPr>
        <w:pStyle w:val="Zkladntext"/>
        <w:spacing w:before="120" w:after="0"/>
        <w:rPr>
          <w:b/>
          <w:szCs w:val="24"/>
        </w:rPr>
      </w:pPr>
    </w:p>
    <w:p w14:paraId="4A826B38" w14:textId="6DBA2D85" w:rsidR="00437171" w:rsidRPr="004C0676" w:rsidRDefault="00437171" w:rsidP="00437171">
      <w:pPr>
        <w:pStyle w:val="Zkladntext"/>
        <w:spacing w:before="120" w:after="0"/>
        <w:rPr>
          <w:b/>
          <w:szCs w:val="24"/>
        </w:rPr>
      </w:pPr>
    </w:p>
    <w:p w14:paraId="1A714BA4" w14:textId="076FA407" w:rsidR="00820C7E" w:rsidRPr="004C0676" w:rsidRDefault="00820C7E" w:rsidP="00437171">
      <w:pPr>
        <w:pStyle w:val="Zkladntext"/>
        <w:spacing w:before="120" w:after="0"/>
        <w:rPr>
          <w:b/>
          <w:szCs w:val="24"/>
        </w:rPr>
      </w:pPr>
    </w:p>
    <w:p w14:paraId="60F46507" w14:textId="1AD49822" w:rsidR="00820C7E" w:rsidRPr="004C0676" w:rsidRDefault="00820C7E" w:rsidP="00437171">
      <w:pPr>
        <w:pStyle w:val="Zkladntext"/>
        <w:spacing w:before="120" w:after="0"/>
        <w:rPr>
          <w:b/>
          <w:szCs w:val="24"/>
        </w:rPr>
      </w:pPr>
    </w:p>
    <w:p w14:paraId="68DD1AFA" w14:textId="0560E5BB" w:rsidR="00820C7E" w:rsidRPr="004C0676" w:rsidRDefault="00820C7E" w:rsidP="00437171">
      <w:pPr>
        <w:pStyle w:val="Zkladntext"/>
        <w:spacing w:before="120" w:after="0"/>
        <w:rPr>
          <w:b/>
          <w:szCs w:val="24"/>
        </w:rPr>
      </w:pPr>
    </w:p>
    <w:p w14:paraId="0C44ED0F" w14:textId="77777777" w:rsidR="00BB3FFF" w:rsidRPr="004C0676" w:rsidRDefault="00BB3FFF" w:rsidP="00437171">
      <w:pPr>
        <w:pStyle w:val="Zkladntext"/>
        <w:spacing w:before="120" w:after="0"/>
        <w:rPr>
          <w:b/>
          <w:szCs w:val="24"/>
        </w:rPr>
      </w:pPr>
    </w:p>
    <w:p w14:paraId="17AAAABB" w14:textId="6E14B769" w:rsidR="0089756C" w:rsidRPr="004C0676" w:rsidRDefault="0089756C" w:rsidP="00BB3FFF">
      <w:pPr>
        <w:spacing w:after="0" w:line="240" w:lineRule="auto"/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Pozměňovací návrh </w:t>
      </w:r>
      <w:r w:rsidR="00637825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poslanc</w:t>
      </w:r>
      <w:r w:rsidR="00BB3FFF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e</w:t>
      </w:r>
      <w:r w:rsidR="00637825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EE5FA9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Igora Hendrycha</w:t>
      </w:r>
      <w:r w:rsidR="00B523DA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 a dalších</w:t>
      </w:r>
      <w:r w:rsidR="00EE5FA9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 </w:t>
      </w:r>
      <w:r w:rsidR="00BB3FFF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k vládnímu návrhu zákona, kterým se mění zákon č. 155/1995 Sb., o důchodovém pojištění, ve znění pozdějších předpisů, a další související zákony </w:t>
      </w: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 xml:space="preserve">(sněmovní tisk </w:t>
      </w:r>
      <w:r w:rsidR="00BB3FFF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696</w:t>
      </w: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/</w:t>
      </w:r>
      <w:r w:rsidR="00846795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0</w:t>
      </w: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)</w:t>
      </w:r>
    </w:p>
    <w:p w14:paraId="09649138" w14:textId="77777777" w:rsidR="0089756C" w:rsidRPr="004C0676" w:rsidRDefault="0089756C" w:rsidP="0089756C">
      <w:pPr>
        <w:spacing w:after="160" w:line="259" w:lineRule="auto"/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</w:pPr>
    </w:p>
    <w:p w14:paraId="66656D6F" w14:textId="509F8DD4" w:rsidR="00846795" w:rsidRPr="004C0676" w:rsidRDefault="00F96F09" w:rsidP="00005830">
      <w:pPr>
        <w:pStyle w:val="Odstavecseseznamem"/>
        <w:numPr>
          <w:ilvl w:val="0"/>
          <w:numId w:val="9"/>
        </w:numPr>
        <w:shd w:val="clear" w:color="auto" w:fill="FFFFFF"/>
        <w:spacing w:after="160" w:line="240" w:lineRule="auto"/>
        <w:ind w:left="426"/>
        <w:jc w:val="both"/>
        <w:rPr>
          <w:rFonts w:ascii="Times New Roman" w:hAnsi="Times New Roman"/>
          <w:bCs/>
          <w:color w:val="000000"/>
          <w:kern w:val="2"/>
          <w:sz w:val="24"/>
          <w:szCs w:val="24"/>
          <w14:ligatures w14:val="standardContextual"/>
        </w:rPr>
      </w:pPr>
      <w:bookmarkStart w:id="0" w:name="_Hlk175312682"/>
      <w:r w:rsidRPr="004C0676">
        <w:rPr>
          <w:rFonts w:ascii="Times New Roman" w:eastAsia="Calibri" w:hAnsi="Times New Roman"/>
          <w:kern w:val="2"/>
          <w:sz w:val="24"/>
          <w14:ligatures w14:val="standardContextual"/>
        </w:rPr>
        <w:t xml:space="preserve">V části první čl. I bodě 14 se v § 19a odst. </w:t>
      </w:r>
      <w:bookmarkEnd w:id="0"/>
      <w:r w:rsidRPr="004C0676">
        <w:rPr>
          <w:rFonts w:ascii="Times New Roman" w:eastAsia="Calibri" w:hAnsi="Times New Roman"/>
          <w:kern w:val="2"/>
          <w:sz w:val="24"/>
          <w14:ligatures w14:val="standardContextual"/>
        </w:rPr>
        <w:t>2 za písm</w:t>
      </w:r>
      <w:r w:rsidR="00DC01D2" w:rsidRPr="004C0676">
        <w:rPr>
          <w:rFonts w:ascii="Times New Roman" w:eastAsia="Calibri" w:hAnsi="Times New Roman"/>
          <w:kern w:val="2"/>
          <w:sz w:val="24"/>
          <w14:ligatures w14:val="standardContextual"/>
        </w:rPr>
        <w:t>.</w:t>
      </w:r>
      <w:r w:rsidRPr="004C0676">
        <w:rPr>
          <w:rFonts w:ascii="Times New Roman" w:eastAsia="Calibri" w:hAnsi="Times New Roman"/>
          <w:kern w:val="2"/>
          <w:sz w:val="24"/>
          <w14:ligatures w14:val="standardContextual"/>
        </w:rPr>
        <w:t xml:space="preserve"> b) </w:t>
      </w:r>
      <w:r w:rsidR="00005830" w:rsidRPr="004C0676">
        <w:rPr>
          <w:rFonts w:ascii="Times New Roman" w:eastAsia="Calibri" w:hAnsi="Times New Roman"/>
          <w:kern w:val="2"/>
          <w:sz w:val="24"/>
          <w14:ligatures w14:val="standardContextual"/>
        </w:rPr>
        <w:t>doplňuje</w:t>
      </w:r>
      <w:r w:rsidRPr="004C0676">
        <w:rPr>
          <w:rFonts w:ascii="Times New Roman" w:eastAsia="Calibri" w:hAnsi="Times New Roman"/>
          <w:kern w:val="2"/>
          <w:sz w:val="24"/>
          <w14:ligatures w14:val="standardContextual"/>
        </w:rPr>
        <w:t xml:space="preserve"> nové písm</w:t>
      </w:r>
      <w:r w:rsidR="00DC01D2" w:rsidRPr="004C0676">
        <w:rPr>
          <w:rFonts w:ascii="Times New Roman" w:eastAsia="Calibri" w:hAnsi="Times New Roman"/>
          <w:kern w:val="2"/>
          <w:sz w:val="24"/>
          <w14:ligatures w14:val="standardContextual"/>
        </w:rPr>
        <w:t>.</w:t>
      </w:r>
      <w:r w:rsidRPr="004C0676">
        <w:rPr>
          <w:rFonts w:ascii="Times New Roman" w:eastAsia="Calibri" w:hAnsi="Times New Roman"/>
          <w:kern w:val="2"/>
          <w:sz w:val="24"/>
          <w14:ligatures w14:val="standardContextual"/>
        </w:rPr>
        <w:t xml:space="preserve"> c), které zní:</w:t>
      </w:r>
    </w:p>
    <w:p w14:paraId="1DD1B523" w14:textId="4C346BD3" w:rsidR="00D85C5E" w:rsidRPr="004C0676" w:rsidRDefault="00846795" w:rsidP="00F96F0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31" w:color="auto"/>
        </w:pBdr>
        <w:spacing w:before="30" w:after="75" w:line="240" w:lineRule="auto"/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</w:pPr>
      <w:r w:rsidRPr="004C0676">
        <w:rPr>
          <w:rFonts w:ascii="Times New Roman" w:hAnsi="Times New Roman"/>
          <w:bCs/>
          <w:color w:val="000000"/>
          <w:kern w:val="2"/>
          <w:sz w:val="24"/>
          <w:szCs w:val="24"/>
          <w14:ligatures w14:val="standardContextual"/>
        </w:rPr>
        <w:t>„</w:t>
      </w:r>
      <w:r w:rsidR="00F96F09" w:rsidRPr="004C0676">
        <w:rPr>
          <w:rFonts w:ascii="Times New Roman" w:eastAsia="Calibri" w:hAnsi="Times New Roman"/>
          <w:bCs/>
          <w:kern w:val="2"/>
          <w:sz w:val="24"/>
          <w:szCs w:val="24"/>
          <w:lang w:eastAsia="en-US"/>
          <w14:ligatures w14:val="standardContextual"/>
        </w:rPr>
        <w:t>c) za dobu mezi 65 lety a skutečným odchodem do důchodu,“</w:t>
      </w:r>
    </w:p>
    <w:p w14:paraId="6ABA1A18" w14:textId="111EC22E" w:rsidR="005B4438" w:rsidRPr="004C0676" w:rsidRDefault="005B4438" w:rsidP="00EE5FA9">
      <w:pPr>
        <w:shd w:val="clear" w:color="auto" w:fill="FFFFFF"/>
        <w:spacing w:after="160" w:line="240" w:lineRule="auto"/>
        <w:jc w:val="both"/>
        <w:rPr>
          <w:rFonts w:ascii="Times New Roman" w:hAnsi="Times New Roman"/>
          <w:bCs/>
          <w:color w:val="000000"/>
          <w:kern w:val="2"/>
          <w:sz w:val="24"/>
          <w:szCs w:val="24"/>
          <w14:ligatures w14:val="standardContextual"/>
        </w:rPr>
      </w:pPr>
    </w:p>
    <w:p w14:paraId="55ACCD0F" w14:textId="77777777" w:rsidR="0089756C" w:rsidRPr="004C0676" w:rsidRDefault="0089756C" w:rsidP="0089756C">
      <w:pPr>
        <w:shd w:val="clear" w:color="auto" w:fill="FFFFFF"/>
        <w:spacing w:after="160" w:line="240" w:lineRule="auto"/>
        <w:ind w:firstLine="284"/>
        <w:contextualSpacing/>
        <w:jc w:val="both"/>
        <w:rPr>
          <w:rFonts w:ascii="Times New Roman" w:hAnsi="Times New Roman"/>
          <w:bCs/>
          <w:color w:val="000000"/>
          <w:kern w:val="2"/>
          <w:sz w:val="24"/>
          <w:szCs w:val="24"/>
          <w14:ligatures w14:val="standardContextual"/>
        </w:rPr>
      </w:pPr>
    </w:p>
    <w:p w14:paraId="66380238" w14:textId="322E0CE4" w:rsidR="00F502F6" w:rsidRPr="004C0676" w:rsidRDefault="0089756C" w:rsidP="00521571">
      <w:pPr>
        <w:spacing w:after="160" w:line="259" w:lineRule="auto"/>
        <w:jc w:val="center"/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lang w:eastAsia="en-US"/>
          <w14:ligatures w14:val="standardContextual"/>
        </w:rPr>
        <w:t>Odůvodnění</w:t>
      </w:r>
    </w:p>
    <w:p w14:paraId="7140772E" w14:textId="1DADC5F9" w:rsidR="007B569F" w:rsidRPr="007B569F" w:rsidRDefault="007B569F" w:rsidP="007B569F">
      <w:pPr>
        <w:spacing w:after="160" w:line="259" w:lineRule="auto"/>
        <w:jc w:val="both"/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</w:pPr>
      <w:r w:rsidRPr="007B569F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>Toto nové ustanovení by mělo zajišťovat pojistku pro lidi, kteří dosáhli 65 let, tzn. podle současné úpravy jim od ročníku 1965 vzniká nárok na starobní důchod, že v případě, pokud nebudou splňovat zdravotní či jiná kritéria v rozsahu požadovaném zaměstnavateli</w:t>
      </w:r>
      <w:r w:rsidR="00F70040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>,</w:t>
      </w:r>
      <w:r w:rsidRPr="007B569F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 xml:space="preserve"> nedojde </w:t>
      </w:r>
      <w:r w:rsidRPr="004C0676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>s</w:t>
      </w:r>
      <w:r w:rsidRPr="007B569F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 xml:space="preserve"> přechodem na jinou</w:t>
      </w:r>
      <w:r w:rsidR="00F70040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>,</w:t>
      </w:r>
      <w:r w:rsidRPr="007B569F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 xml:space="preserve"> méně placenou</w:t>
      </w:r>
      <w:r w:rsidR="00F70040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>,</w:t>
      </w:r>
      <w:r w:rsidRPr="007B569F"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  <w:t xml:space="preserve"> pracovní pozici ke krácení starobního důchodu. </w:t>
      </w:r>
    </w:p>
    <w:p w14:paraId="7B244784" w14:textId="77777777" w:rsidR="00BB3FFF" w:rsidRPr="004C0676" w:rsidRDefault="00BB3FFF" w:rsidP="00521571">
      <w:pPr>
        <w:spacing w:after="160" w:line="259" w:lineRule="auto"/>
        <w:jc w:val="both"/>
        <w:rPr>
          <w:rFonts w:ascii="Times New Roman" w:eastAsiaTheme="minorHAnsi" w:hAnsi="Times New Roman"/>
          <w:kern w:val="2"/>
          <w:sz w:val="24"/>
          <w:szCs w:val="24"/>
          <w:lang w:eastAsia="en-US"/>
          <w14:ligatures w14:val="standardContextual"/>
        </w:rPr>
      </w:pPr>
    </w:p>
    <w:p w14:paraId="2109A5B5" w14:textId="438A47CE" w:rsidR="00846795" w:rsidRPr="004C0676" w:rsidRDefault="00D41F18" w:rsidP="007B569F">
      <w:pPr>
        <w:spacing w:after="160" w:line="259" w:lineRule="auto"/>
        <w:jc w:val="both"/>
        <w:rPr>
          <w:rFonts w:ascii="Times New Roman" w:eastAsiaTheme="minorHAns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</w:pP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Z</w:t>
      </w:r>
      <w:r w:rsidR="00846795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ákon o sociálních službách ve znění </w:t>
      </w: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vládního návrhu </w:t>
      </w:r>
      <w:r w:rsidR="00846795"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>s vyznačením změn navrhovaných pozměňovacím návrhem</w:t>
      </w:r>
      <w:r w:rsidRPr="004C0676">
        <w:rPr>
          <w:rFonts w:ascii="Times New Roman" w:eastAsiaTheme="minorHAnsi" w:hAnsi="Times New Roman"/>
          <w:b/>
          <w:bCs/>
          <w:kern w:val="2"/>
          <w:sz w:val="24"/>
          <w:szCs w:val="24"/>
          <w:u w:val="single"/>
          <w:lang w:eastAsia="en-US"/>
          <w14:ligatures w14:val="standardContextual"/>
        </w:rPr>
        <w:t xml:space="preserve"> </w:t>
      </w:r>
      <w:r w:rsidRPr="004C0676">
        <w:rPr>
          <w:rFonts w:ascii="Times New Roman" w:eastAsiaTheme="minorHAnsi" w:hAnsi="Times New Roman"/>
          <w:b/>
          <w:bCs/>
          <w:color w:val="FF0000"/>
          <w:kern w:val="2"/>
          <w:sz w:val="24"/>
          <w:szCs w:val="24"/>
          <w:u w:val="single"/>
          <w:lang w:eastAsia="en-US"/>
          <w14:ligatures w14:val="standardContextual"/>
        </w:rPr>
        <w:t>(červeně)</w:t>
      </w:r>
    </w:p>
    <w:p w14:paraId="397269FA" w14:textId="77777777" w:rsidR="00DC01D2" w:rsidRPr="004C0676" w:rsidRDefault="00DC01D2" w:rsidP="00DC01D2">
      <w:pPr>
        <w:ind w:left="426" w:hanging="426"/>
        <w:jc w:val="center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>§ 19a</w:t>
      </w:r>
    </w:p>
    <w:p w14:paraId="755871C3" w14:textId="77777777" w:rsidR="00DC01D2" w:rsidRPr="004C0676" w:rsidRDefault="00DC01D2" w:rsidP="00DC01D2">
      <w:pPr>
        <w:ind w:left="426" w:hanging="426"/>
        <w:jc w:val="both"/>
        <w:rPr>
          <w:rFonts w:ascii="Times New Roman" w:hAnsi="Times New Roman"/>
          <w:b/>
          <w:color w:val="000000" w:themeColor="text1"/>
        </w:rPr>
      </w:pPr>
    </w:p>
    <w:p w14:paraId="5D112CCA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i/>
          <w:iCs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       (1) Starobní a invalidní důchod pojištěnce, který v rozhodném období získal náhradní doby pojištění za dobu účasti na pojištění osob uvedených v § 5 odst. 2 písm. c) a d), § 102a odst. 1 nebo § 104 odst. 1, nesmí být vyměřen z nižšího výpočtového základu, než kolik činí výpočtový základ stanovený podle § 15 z osobního vyměřovacího základu vypočteného podle odstavců 2 a 3 a podle § 16. Pro účely věty první se doba účasti na pojištění osob uvedených v § 5 odst. 2 písm. c) a v § 104 odst. 1 zohledňuje jen v rozsahu do dosažení 3 let věku dítěte, a to nejvýše u prvních 2 těchto dětí, o které pojištěnec osobně pečoval v rozhodném období; pořadí dětí se určuje ode dne počátku této doby účasti na pojištění, přičemž spadá-li tato doba do rozhodného období jen zčásti, považuje se za den počátku této doby první den této doby, který spadá do rozhodného období.</w:t>
      </w:r>
    </w:p>
    <w:p w14:paraId="76F0313F" w14:textId="77777777" w:rsidR="00DC01D2" w:rsidRPr="004C0676" w:rsidRDefault="00DC01D2" w:rsidP="00DC01D2">
      <w:pPr>
        <w:ind w:left="426" w:hanging="426"/>
        <w:jc w:val="both"/>
        <w:rPr>
          <w:rFonts w:ascii="Times New Roman" w:hAnsi="Times New Roman"/>
          <w:b/>
          <w:i/>
          <w:iCs/>
          <w:color w:val="000000" w:themeColor="text1"/>
        </w:rPr>
      </w:pPr>
    </w:p>
    <w:p w14:paraId="779E455B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       (2) U pojištěnce uvedeného v odstavci 1 se náhradní doba pojištění uvedená v odstavci 1 pro účely stanovení osobního vyměřovacího základu považuje</w:t>
      </w:r>
    </w:p>
    <w:p w14:paraId="0DD79D7C" w14:textId="77777777" w:rsidR="00DC01D2" w:rsidRPr="004C0676" w:rsidRDefault="00DC01D2" w:rsidP="00DC01D2">
      <w:pPr>
        <w:ind w:left="426" w:hanging="426"/>
        <w:jc w:val="both"/>
        <w:rPr>
          <w:rFonts w:ascii="Times New Roman" w:hAnsi="Times New Roman"/>
          <w:b/>
          <w:color w:val="000000" w:themeColor="text1"/>
        </w:rPr>
      </w:pPr>
    </w:p>
    <w:p w14:paraId="23C16767" w14:textId="77777777" w:rsidR="00DC01D2" w:rsidRPr="004C0676" w:rsidRDefault="00DC01D2" w:rsidP="00DC01D2">
      <w:pPr>
        <w:ind w:left="567" w:hanging="567"/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a) za vyloučenou dobu, a to i když se kryje s dobou účasti na pojištění osob uvedených v § 5 odst. 1 písm. e), s dobou pojištění, v níž měl pojištěnec příjmy, které se zahrnují do vyměřovacího základu, nebo s dobou, za kterou náležely náhrady uvedené v § 16 odst. 3 větě čtvrté, nebo</w:t>
      </w:r>
    </w:p>
    <w:p w14:paraId="4DA8AD96" w14:textId="77777777" w:rsidR="00DC01D2" w:rsidRPr="004C0676" w:rsidRDefault="00DC01D2" w:rsidP="00DC01D2">
      <w:pPr>
        <w:ind w:left="567" w:hanging="567"/>
        <w:jc w:val="both"/>
        <w:rPr>
          <w:rFonts w:ascii="Times New Roman" w:hAnsi="Times New Roman"/>
          <w:b/>
          <w:color w:val="000000" w:themeColor="text1"/>
        </w:rPr>
      </w:pPr>
    </w:p>
    <w:p w14:paraId="5B184528" w14:textId="038D4280" w:rsidR="00DC01D2" w:rsidRPr="004C0676" w:rsidRDefault="00DC01D2" w:rsidP="00DC01D2">
      <w:pPr>
        <w:ind w:left="567" w:hanging="567"/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lastRenderedPageBreak/>
        <w:t xml:space="preserve">     </w:t>
      </w:r>
      <w:r w:rsidR="00B523DA">
        <w:rPr>
          <w:rFonts w:ascii="Times New Roman" w:hAnsi="Times New Roman"/>
          <w:b/>
          <w:color w:val="000000" w:themeColor="text1"/>
        </w:rPr>
        <w:t xml:space="preserve"> </w:t>
      </w:r>
      <w:r w:rsidRPr="004C0676">
        <w:rPr>
          <w:rFonts w:ascii="Times New Roman" w:hAnsi="Times New Roman"/>
          <w:b/>
          <w:color w:val="000000" w:themeColor="text1"/>
        </w:rPr>
        <w:t>b) za dobu pojištění, v níž měl pojištěnec příjmy, které se zohledňují pro účely ročního vyměřovacího základu,</w:t>
      </w:r>
    </w:p>
    <w:p w14:paraId="23B1EB44" w14:textId="1BC5257A" w:rsidR="00DC01D2" w:rsidRPr="004C0676" w:rsidRDefault="00B523DA" w:rsidP="00B523DA">
      <w:pPr>
        <w:ind w:left="709" w:hanging="567"/>
        <w:jc w:val="both"/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  <w:b/>
          <w:color w:val="FF0000"/>
        </w:rPr>
        <w:t xml:space="preserve">   </w:t>
      </w:r>
      <w:r w:rsidR="00DC01D2" w:rsidRPr="004C0676">
        <w:rPr>
          <w:rFonts w:ascii="Times New Roman" w:hAnsi="Times New Roman"/>
          <w:b/>
          <w:color w:val="FF0000"/>
        </w:rPr>
        <w:t xml:space="preserve">c) </w:t>
      </w:r>
      <w:r w:rsidR="00DC01D2" w:rsidRPr="004C0676">
        <w:rPr>
          <w:rFonts w:ascii="Times New Roman" w:eastAsia="Calibri" w:hAnsi="Times New Roman"/>
          <w:b/>
          <w:color w:val="FF0000"/>
          <w:kern w:val="2"/>
          <w:lang w:eastAsia="en-US"/>
          <w14:ligatures w14:val="standardContextual"/>
        </w:rPr>
        <w:t>za dobu mezi 65 lety a skutečným odchodem do důchodu,</w:t>
      </w:r>
    </w:p>
    <w:p w14:paraId="2C2A6ED8" w14:textId="77777777" w:rsidR="00DC01D2" w:rsidRPr="004C0676" w:rsidRDefault="00DC01D2" w:rsidP="00DC01D2">
      <w:pPr>
        <w:ind w:left="426" w:hanging="284"/>
        <w:jc w:val="both"/>
        <w:rPr>
          <w:rFonts w:ascii="Times New Roman" w:hAnsi="Times New Roman"/>
          <w:b/>
          <w:i/>
          <w:iCs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a to podle toho, co je pro tohoto pojištěnce výhodnější; postup podle písmene a) se přitom týká pouze celého časového úseku, po který se uvedené doby vzájemně kryjí. </w:t>
      </w:r>
    </w:p>
    <w:p w14:paraId="72EB26BD" w14:textId="77777777" w:rsidR="00DC01D2" w:rsidRPr="004C0676" w:rsidRDefault="00DC01D2" w:rsidP="00DC01D2">
      <w:pPr>
        <w:ind w:left="426" w:hanging="284"/>
        <w:jc w:val="both"/>
        <w:rPr>
          <w:rFonts w:ascii="Times New Roman" w:hAnsi="Times New Roman"/>
          <w:b/>
          <w:i/>
          <w:iCs/>
          <w:color w:val="000000" w:themeColor="text1"/>
        </w:rPr>
      </w:pPr>
    </w:p>
    <w:p w14:paraId="423A0B6F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      (3) Za příjem pojištěnce uvedeného v odstavci 1 se pro účely odstavce 2 písm. b) považuje též ocenění za péči. Ocenění za péči v kalendářním roce se přičítá k úhrnu vyměřovacích základů pojištěnce za tento kalendářní rok uvedenému v § 16 odst. 2 větě první.</w:t>
      </w:r>
    </w:p>
    <w:p w14:paraId="47D57505" w14:textId="77777777" w:rsidR="00DC01D2" w:rsidRPr="004C0676" w:rsidRDefault="00DC01D2" w:rsidP="00DC01D2">
      <w:pPr>
        <w:ind w:left="426" w:hanging="426"/>
        <w:jc w:val="both"/>
        <w:rPr>
          <w:rFonts w:ascii="Times New Roman" w:hAnsi="Times New Roman"/>
          <w:b/>
          <w:color w:val="000000" w:themeColor="text1"/>
        </w:rPr>
      </w:pPr>
    </w:p>
    <w:p w14:paraId="62F71688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      (4) Ocenění za péči se stanoví jako částka ve výši 12násobku všeobecného vyměřovacího základu stanoveného za kalendářní rok, v němž byly získány náhradní doby pojištění uvedené v odstavci 1, pokud tyto náhradní doby pojištění trvaly celý kalendářní rok. V posledním kalendářním roce rozhodného období se ocenění za péči stanoví ve výši součinu všeobecného vyměřovacího základu za předposlední kalendářní rok rozhodného období a přepočítacího koeficientu pro úpravu tohoto všeobecného vyměřovacího základu. Pokud tyto náhradní doby pojištění netrvaly celý kalendářní rok, vydělí se částka stanovená podle věty první a druhé počtem kalendářních dnů tohoto kalendářního roku a poté vynásobí počtem kalendářních dnů, po které v tomto kalendářním roce tyto náhradní doby trvaly.</w:t>
      </w:r>
    </w:p>
    <w:p w14:paraId="3C2857D1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</w:p>
    <w:p w14:paraId="72BDC2CA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        (5) Ocenění za péči stanovené podle odstavce 4 se vynásobí koeficientem 0,5, pokud se jedná o náhradní doby pojištění za dobu účasti na pojištění osob uvedených v § 5 odst. 2 písm. d), jde-li o péči o osobu mladší 10 let, která je závislá na pomoci jiné osoby ve stupni I (lehká závislost), nebo o osobu, která je závislá na pomoci jiné osoby ve stupni II (středně těžká závislost), nebo osob uvedených v § 102 odst. 1, jde-li o péči o částečně bezmocnou osobu starší 80 let.  </w:t>
      </w:r>
    </w:p>
    <w:p w14:paraId="74E6C5BA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</w:p>
    <w:p w14:paraId="543C64A2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       (6) Ocenění za péči se zaokrouhluje na celé koruny nahoru.</w:t>
      </w:r>
    </w:p>
    <w:p w14:paraId="2BED82A1" w14:textId="77777777" w:rsidR="00DC01D2" w:rsidRPr="004C0676" w:rsidRDefault="00DC01D2" w:rsidP="00DC01D2">
      <w:pPr>
        <w:ind w:left="284" w:hanging="284"/>
        <w:jc w:val="both"/>
        <w:rPr>
          <w:rFonts w:ascii="Times New Roman" w:hAnsi="Times New Roman"/>
          <w:b/>
          <w:color w:val="000000" w:themeColor="text1"/>
        </w:rPr>
      </w:pPr>
    </w:p>
    <w:p w14:paraId="51B923EB" w14:textId="77777777" w:rsidR="00DC01D2" w:rsidRPr="004C0676" w:rsidRDefault="00DC01D2" w:rsidP="00DC01D2">
      <w:pPr>
        <w:jc w:val="both"/>
        <w:rPr>
          <w:rFonts w:ascii="Times New Roman" w:hAnsi="Times New Roman"/>
          <w:b/>
          <w:color w:val="000000" w:themeColor="text1"/>
        </w:rPr>
      </w:pPr>
      <w:r w:rsidRPr="004C0676">
        <w:rPr>
          <w:rFonts w:ascii="Times New Roman" w:hAnsi="Times New Roman"/>
          <w:b/>
          <w:color w:val="000000" w:themeColor="text1"/>
        </w:rPr>
        <w:t xml:space="preserve">             (7) Kryje-li se v kalendářním roce více náhradních dob pojištění uvedených v odstavci 1, přihlíží se k ocenění za péči pouze za tu z překrývajících se náhradních dob pojištění, za kterou se stanoví ocenění za péči v nejvyšší částce.</w:t>
      </w:r>
    </w:p>
    <w:p w14:paraId="0D70AF88" w14:textId="14519CAF" w:rsidR="00846795" w:rsidRPr="004C0676" w:rsidRDefault="00846795" w:rsidP="00C461B4">
      <w:pPr>
        <w:shd w:val="clear" w:color="auto" w:fill="FFFFFF"/>
        <w:spacing w:after="160" w:line="240" w:lineRule="auto"/>
        <w:rPr>
          <w:rFonts w:ascii="Times New Roman" w:eastAsia="Calibri" w:hAnsi="Times New Roman"/>
          <w:bCs/>
          <w:color w:val="000000" w:themeColor="text1"/>
          <w:kern w:val="2"/>
          <w:sz w:val="24"/>
          <w:szCs w:val="24"/>
          <w:lang w:eastAsia="en-US"/>
          <w14:ligatures w14:val="standardContextual"/>
        </w:rPr>
      </w:pPr>
    </w:p>
    <w:sectPr w:rsidR="00846795" w:rsidRPr="004C06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55CFC" w14:textId="77777777" w:rsidR="00213D9E" w:rsidRDefault="00213D9E" w:rsidP="00CD165C">
      <w:pPr>
        <w:spacing w:after="0" w:line="240" w:lineRule="auto"/>
      </w:pPr>
      <w:r>
        <w:separator/>
      </w:r>
    </w:p>
  </w:endnote>
  <w:endnote w:type="continuationSeparator" w:id="0">
    <w:p w14:paraId="0B575FA7" w14:textId="77777777" w:rsidR="00213D9E" w:rsidRDefault="00213D9E" w:rsidP="00CD1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-179661214"/>
      <w:docPartObj>
        <w:docPartGallery w:val="Page Numbers (Bottom of Page)"/>
        <w:docPartUnique/>
      </w:docPartObj>
    </w:sdtPr>
    <w:sdtContent>
      <w:p w14:paraId="1D8C561D" w14:textId="75B34D35" w:rsidR="008353B6" w:rsidRDefault="008353B6" w:rsidP="00AC380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end"/>
        </w:r>
      </w:p>
    </w:sdtContent>
  </w:sdt>
  <w:p w14:paraId="38B72345" w14:textId="77777777" w:rsidR="00B21D5C" w:rsidRDefault="00B21D5C" w:rsidP="008353B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slostrnky"/>
      </w:rPr>
      <w:id w:val="1708221765"/>
      <w:docPartObj>
        <w:docPartGallery w:val="Page Numbers (Bottom of Page)"/>
        <w:docPartUnique/>
      </w:docPartObj>
    </w:sdtPr>
    <w:sdtContent>
      <w:p w14:paraId="429E4F6D" w14:textId="4170F6F4" w:rsidR="008353B6" w:rsidRDefault="008353B6" w:rsidP="00AC380C">
        <w:pPr>
          <w:pStyle w:val="Zpat"/>
          <w:framePr w:wrap="none" w:vAnchor="text" w:hAnchor="margin" w:xAlign="right" w:y="1"/>
          <w:rPr>
            <w:rStyle w:val="slostrnky"/>
          </w:rPr>
        </w:pPr>
        <w:r>
          <w:rPr>
            <w:rStyle w:val="slostrnky"/>
          </w:rPr>
          <w:fldChar w:fldCharType="begin"/>
        </w:r>
        <w:r>
          <w:rPr>
            <w:rStyle w:val="slostrnky"/>
          </w:rPr>
          <w:instrText xml:space="preserve"> PAGE </w:instrText>
        </w:r>
        <w:r>
          <w:rPr>
            <w:rStyle w:val="slostrnky"/>
          </w:rPr>
          <w:fldChar w:fldCharType="separate"/>
        </w:r>
        <w:r>
          <w:rPr>
            <w:rStyle w:val="slostrnky"/>
            <w:noProof/>
          </w:rPr>
          <w:t>3</w:t>
        </w:r>
        <w:r>
          <w:rPr>
            <w:rStyle w:val="slostrnky"/>
          </w:rPr>
          <w:fldChar w:fldCharType="end"/>
        </w:r>
      </w:p>
    </w:sdtContent>
  </w:sdt>
  <w:p w14:paraId="3EBC312D" w14:textId="77777777" w:rsidR="00B21D5C" w:rsidRDefault="00B21D5C" w:rsidP="008353B6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CE960" w14:textId="77777777" w:rsidR="00B21D5C" w:rsidRDefault="00B21D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71400" w14:textId="77777777" w:rsidR="00213D9E" w:rsidRDefault="00213D9E" w:rsidP="00CD165C">
      <w:pPr>
        <w:spacing w:after="0" w:line="240" w:lineRule="auto"/>
      </w:pPr>
      <w:r>
        <w:separator/>
      </w:r>
    </w:p>
  </w:footnote>
  <w:footnote w:type="continuationSeparator" w:id="0">
    <w:p w14:paraId="1DF098EE" w14:textId="77777777" w:rsidR="00213D9E" w:rsidRDefault="00213D9E" w:rsidP="00CD1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E5F21" w14:textId="77777777" w:rsidR="00B21D5C" w:rsidRDefault="00B21D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B842AC" w14:textId="77777777" w:rsidR="00B21D5C" w:rsidRDefault="00B21D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53BDF" w14:textId="77777777" w:rsidR="00B21D5C" w:rsidRDefault="00B21D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43699"/>
    <w:multiLevelType w:val="hybridMultilevel"/>
    <w:tmpl w:val="53D68B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8AE"/>
    <w:multiLevelType w:val="hybridMultilevel"/>
    <w:tmpl w:val="170ED7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F1F61"/>
    <w:multiLevelType w:val="hybridMultilevel"/>
    <w:tmpl w:val="A900EDA8"/>
    <w:lvl w:ilvl="0" w:tplc="7F52D6C4">
      <w:start w:val="2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3F7A91"/>
    <w:multiLevelType w:val="hybridMultilevel"/>
    <w:tmpl w:val="1E3A14E4"/>
    <w:lvl w:ilvl="0" w:tplc="F052FEE4">
      <w:start w:val="1"/>
      <w:numFmt w:val="decimal"/>
      <w:lvlText w:val="(%1)"/>
      <w:lvlJc w:val="left"/>
      <w:pPr>
        <w:ind w:left="1070" w:hanging="360"/>
      </w:pPr>
      <w:rPr>
        <w:rFonts w:ascii="Times New Roman" w:eastAsia="Calibri" w:hAnsi="Times New Roman" w:cs="Times New Roman"/>
        <w:strike w:val="0"/>
      </w:rPr>
    </w:lvl>
    <w:lvl w:ilvl="1" w:tplc="04050019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2F092C52"/>
    <w:multiLevelType w:val="hybridMultilevel"/>
    <w:tmpl w:val="87A2EDB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386EC8"/>
    <w:multiLevelType w:val="hybridMultilevel"/>
    <w:tmpl w:val="0958C094"/>
    <w:lvl w:ilvl="0" w:tplc="AE88143E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3980BF0"/>
    <w:multiLevelType w:val="hybridMultilevel"/>
    <w:tmpl w:val="74C2BBEA"/>
    <w:lvl w:ilvl="0" w:tplc="B6F68FF6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C2566A"/>
    <w:multiLevelType w:val="hybridMultilevel"/>
    <w:tmpl w:val="7AEABF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74E7A"/>
    <w:multiLevelType w:val="hybridMultilevel"/>
    <w:tmpl w:val="88324952"/>
    <w:lvl w:ilvl="0" w:tplc="242C0162">
      <w:start w:val="1"/>
      <w:numFmt w:val="decimal"/>
      <w:suff w:val="space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7059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4963582">
    <w:abstractNumId w:val="6"/>
  </w:num>
  <w:num w:numId="3" w16cid:durableId="1024864111">
    <w:abstractNumId w:val="7"/>
  </w:num>
  <w:num w:numId="4" w16cid:durableId="578949041">
    <w:abstractNumId w:val="0"/>
  </w:num>
  <w:num w:numId="5" w16cid:durableId="1717047518">
    <w:abstractNumId w:val="2"/>
  </w:num>
  <w:num w:numId="6" w16cid:durableId="595482106">
    <w:abstractNumId w:val="1"/>
  </w:num>
  <w:num w:numId="7" w16cid:durableId="1549874048">
    <w:abstractNumId w:val="3"/>
  </w:num>
  <w:num w:numId="8" w16cid:durableId="255557510">
    <w:abstractNumId w:val="4"/>
  </w:num>
  <w:num w:numId="9" w16cid:durableId="3176119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F6"/>
    <w:rsid w:val="00005830"/>
    <w:rsid w:val="00010799"/>
    <w:rsid w:val="00024D15"/>
    <w:rsid w:val="00035686"/>
    <w:rsid w:val="0004192B"/>
    <w:rsid w:val="000923DF"/>
    <w:rsid w:val="000C4110"/>
    <w:rsid w:val="00100215"/>
    <w:rsid w:val="0010629E"/>
    <w:rsid w:val="001229A7"/>
    <w:rsid w:val="001235E4"/>
    <w:rsid w:val="00151E97"/>
    <w:rsid w:val="00154CCB"/>
    <w:rsid w:val="00172010"/>
    <w:rsid w:val="0019155C"/>
    <w:rsid w:val="002033A6"/>
    <w:rsid w:val="00213D9E"/>
    <w:rsid w:val="00257445"/>
    <w:rsid w:val="00281108"/>
    <w:rsid w:val="00295D7E"/>
    <w:rsid w:val="002B190F"/>
    <w:rsid w:val="002C0E80"/>
    <w:rsid w:val="00311543"/>
    <w:rsid w:val="00334FF0"/>
    <w:rsid w:val="00392627"/>
    <w:rsid w:val="003E1F36"/>
    <w:rsid w:val="003E35B3"/>
    <w:rsid w:val="00437171"/>
    <w:rsid w:val="00493556"/>
    <w:rsid w:val="004961E2"/>
    <w:rsid w:val="004A72C5"/>
    <w:rsid w:val="004C0676"/>
    <w:rsid w:val="004D495D"/>
    <w:rsid w:val="004D49B0"/>
    <w:rsid w:val="004E1722"/>
    <w:rsid w:val="004F4F7B"/>
    <w:rsid w:val="00506051"/>
    <w:rsid w:val="00521571"/>
    <w:rsid w:val="00525884"/>
    <w:rsid w:val="0058631A"/>
    <w:rsid w:val="005B4438"/>
    <w:rsid w:val="006155BB"/>
    <w:rsid w:val="00637825"/>
    <w:rsid w:val="00697C47"/>
    <w:rsid w:val="006A5DD8"/>
    <w:rsid w:val="006B1C5E"/>
    <w:rsid w:val="006B5B6C"/>
    <w:rsid w:val="006D4AFB"/>
    <w:rsid w:val="006F2628"/>
    <w:rsid w:val="007267F6"/>
    <w:rsid w:val="00726DF2"/>
    <w:rsid w:val="00735969"/>
    <w:rsid w:val="00765975"/>
    <w:rsid w:val="00783A28"/>
    <w:rsid w:val="007B569F"/>
    <w:rsid w:val="007B7221"/>
    <w:rsid w:val="007E1196"/>
    <w:rsid w:val="00803B42"/>
    <w:rsid w:val="00820C7E"/>
    <w:rsid w:val="008353B6"/>
    <w:rsid w:val="008400A8"/>
    <w:rsid w:val="00846795"/>
    <w:rsid w:val="00882AF8"/>
    <w:rsid w:val="008847C7"/>
    <w:rsid w:val="0089756C"/>
    <w:rsid w:val="008A5A7E"/>
    <w:rsid w:val="008A7AB7"/>
    <w:rsid w:val="008B4FA0"/>
    <w:rsid w:val="008C6466"/>
    <w:rsid w:val="008D4477"/>
    <w:rsid w:val="00907480"/>
    <w:rsid w:val="00912678"/>
    <w:rsid w:val="00945850"/>
    <w:rsid w:val="009465A0"/>
    <w:rsid w:val="0098513A"/>
    <w:rsid w:val="009A2FCA"/>
    <w:rsid w:val="009D7472"/>
    <w:rsid w:val="00A0479E"/>
    <w:rsid w:val="00A32E1F"/>
    <w:rsid w:val="00AA0348"/>
    <w:rsid w:val="00AC1CFC"/>
    <w:rsid w:val="00AC5725"/>
    <w:rsid w:val="00AD2FA3"/>
    <w:rsid w:val="00AF2211"/>
    <w:rsid w:val="00B00111"/>
    <w:rsid w:val="00B04FBD"/>
    <w:rsid w:val="00B21D5C"/>
    <w:rsid w:val="00B2353B"/>
    <w:rsid w:val="00B523DA"/>
    <w:rsid w:val="00B87659"/>
    <w:rsid w:val="00BB3F6B"/>
    <w:rsid w:val="00BB3FFF"/>
    <w:rsid w:val="00BF6D85"/>
    <w:rsid w:val="00C04357"/>
    <w:rsid w:val="00C26D4C"/>
    <w:rsid w:val="00C461B4"/>
    <w:rsid w:val="00CD165C"/>
    <w:rsid w:val="00D17146"/>
    <w:rsid w:val="00D2672A"/>
    <w:rsid w:val="00D41F18"/>
    <w:rsid w:val="00D85C5E"/>
    <w:rsid w:val="00DC01D2"/>
    <w:rsid w:val="00DD3260"/>
    <w:rsid w:val="00E31970"/>
    <w:rsid w:val="00E45B6F"/>
    <w:rsid w:val="00E71EF4"/>
    <w:rsid w:val="00E803A9"/>
    <w:rsid w:val="00EB024E"/>
    <w:rsid w:val="00ED3C06"/>
    <w:rsid w:val="00EE5FA9"/>
    <w:rsid w:val="00F03D47"/>
    <w:rsid w:val="00F1258A"/>
    <w:rsid w:val="00F1508C"/>
    <w:rsid w:val="00F502F6"/>
    <w:rsid w:val="00F54300"/>
    <w:rsid w:val="00F70040"/>
    <w:rsid w:val="00F8139E"/>
    <w:rsid w:val="00F82BE7"/>
    <w:rsid w:val="00F96F09"/>
    <w:rsid w:val="00F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2089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67F6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uiPriority w:val="99"/>
    <w:rsid w:val="007267F6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Zkladntext">
    <w:name w:val="Body Text"/>
    <w:basedOn w:val="Normln"/>
    <w:link w:val="ZkladntextChar"/>
    <w:uiPriority w:val="99"/>
    <w:semiHidden/>
    <w:rsid w:val="007267F6"/>
    <w:pPr>
      <w:suppressAutoHyphens/>
      <w:spacing w:after="120" w:line="240" w:lineRule="auto"/>
    </w:pPr>
    <w:rPr>
      <w:rFonts w:ascii="Times New Roman" w:hAnsi="Times New Roman"/>
      <w:sz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267F6"/>
    <w:rPr>
      <w:rFonts w:ascii="Times New Roman" w:eastAsia="Times New Roman" w:hAnsi="Times New Roman" w:cs="Times New Roman"/>
      <w:szCs w:val="22"/>
      <w:lang w:eastAsia="zh-CN"/>
    </w:rPr>
  </w:style>
  <w:style w:type="paragraph" w:styleId="Nzev">
    <w:name w:val="Title"/>
    <w:basedOn w:val="Normln"/>
    <w:link w:val="NzevChar"/>
    <w:uiPriority w:val="99"/>
    <w:qFormat/>
    <w:rsid w:val="00437171"/>
    <w:pPr>
      <w:widowControl w:val="0"/>
      <w:autoSpaceDE w:val="0"/>
      <w:autoSpaceDN w:val="0"/>
      <w:spacing w:before="80" w:after="0" w:line="240" w:lineRule="auto"/>
      <w:ind w:right="353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99"/>
    <w:rsid w:val="0043717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Podnadpis">
    <w:name w:val="Subtitle"/>
    <w:basedOn w:val="Normln"/>
    <w:link w:val="PodnadpisChar"/>
    <w:qFormat/>
    <w:rsid w:val="00437171"/>
    <w:pPr>
      <w:pBdr>
        <w:bottom w:val="single" w:sz="4" w:space="1" w:color="auto"/>
      </w:pBd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character" w:customStyle="1" w:styleId="PodnadpisChar">
    <w:name w:val="Podnadpis Char"/>
    <w:basedOn w:val="Standardnpsmoodstavce"/>
    <w:link w:val="Podnadpis"/>
    <w:rsid w:val="00437171"/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nadpiszkona">
    <w:name w:val="nadpis zákona"/>
    <w:basedOn w:val="Normln"/>
    <w:qFormat/>
    <w:rsid w:val="00437171"/>
    <w:pPr>
      <w:keepNext/>
      <w:keepLines/>
      <w:suppressAutoHyphens/>
      <w:spacing w:before="120" w:after="60" w:line="288" w:lineRule="auto"/>
      <w:jc w:val="center"/>
    </w:pPr>
    <w:rPr>
      <w:rFonts w:ascii="Times New Roman" w:hAnsi="Times New Roman"/>
      <w:color w:val="00000A"/>
      <w:sz w:val="20"/>
      <w:szCs w:val="20"/>
      <w:lang w:eastAsia="zh-CN"/>
    </w:rPr>
  </w:style>
  <w:style w:type="paragraph" w:styleId="Odstavecseseznamem">
    <w:name w:val="List Paragraph"/>
    <w:aliases w:val="1 odstavecH,List Paragraph (Czech Tourism),Odstavec_muj,Nad,List Paragraph,Odstavec se seznamem1,Conclusion de partie,References,Odstavec se seznamem2,Odstavec cíl se seznamem"/>
    <w:basedOn w:val="Normln"/>
    <w:link w:val="OdstavecseseznamemChar"/>
    <w:uiPriority w:val="34"/>
    <w:qFormat/>
    <w:rsid w:val="00437171"/>
    <w:pPr>
      <w:ind w:left="720"/>
      <w:contextualSpacing/>
    </w:pPr>
  </w:style>
  <w:style w:type="character" w:customStyle="1" w:styleId="OdstavecseseznamemChar">
    <w:name w:val="Odstavec se seznamem Char"/>
    <w:aliases w:val="1 odstavecH Char,List Paragraph (Czech Tourism) Char,Odstavec_muj Char,Nad Char,List Paragraph Char,Odstavec se seznamem1 Char,Conclusion de partie Char,References Char,Odstavec se seznamem2 Char,Odstavec cíl se seznamem Char"/>
    <w:link w:val="Odstavecseseznamem"/>
    <w:uiPriority w:val="34"/>
    <w:qFormat/>
    <w:rsid w:val="00820C7E"/>
    <w:rPr>
      <w:rFonts w:ascii="Calibri" w:eastAsia="Times New Roman" w:hAnsi="Calibri" w:cs="Times New Roman"/>
      <w:sz w:val="22"/>
      <w:szCs w:val="22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CD165C"/>
    <w:pPr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D165C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D165C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B21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21D5C"/>
    <w:rPr>
      <w:rFonts w:ascii="Calibri" w:eastAsia="Times New Roman" w:hAnsi="Calibri" w:cs="Times New Roman"/>
      <w:sz w:val="22"/>
      <w:szCs w:val="2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21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1D5C"/>
    <w:rPr>
      <w:rFonts w:ascii="Calibri" w:eastAsia="Times New Roman" w:hAnsi="Calibri" w:cs="Times New Roman"/>
      <w:sz w:val="22"/>
      <w:szCs w:val="22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574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4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445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574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7445"/>
    <w:rPr>
      <w:rFonts w:ascii="Segoe UI" w:eastAsia="Times New Roman" w:hAnsi="Segoe UI" w:cs="Segoe UI"/>
      <w:sz w:val="18"/>
      <w:szCs w:val="18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735969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735969"/>
    <w:rPr>
      <w:rFonts w:cs="Times New Roman"/>
      <w:color w:val="0000FF"/>
      <w:u w:val="single"/>
    </w:rPr>
  </w:style>
  <w:style w:type="paragraph" w:customStyle="1" w:styleId="l7">
    <w:name w:val="l7"/>
    <w:basedOn w:val="Normln"/>
    <w:rsid w:val="007359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461B4"/>
  </w:style>
  <w:style w:type="character" w:styleId="slostrnky">
    <w:name w:val="page number"/>
    <w:basedOn w:val="Standardnpsmoodstavce"/>
    <w:uiPriority w:val="99"/>
    <w:semiHidden/>
    <w:unhideWhenUsed/>
    <w:rsid w:val="008353B6"/>
  </w:style>
  <w:style w:type="character" w:styleId="Nevyeenzmnka">
    <w:name w:val="Unresolved Mention"/>
    <w:basedOn w:val="Standardnpsmoodstavce"/>
    <w:uiPriority w:val="99"/>
    <w:semiHidden/>
    <w:unhideWhenUsed/>
    <w:rsid w:val="00BB3F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7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4020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4903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2024-08-30T08:56:00Z</dcterms:created>
  <dcterms:modified xsi:type="dcterms:W3CDTF">2024-09-30T08:36:00Z</dcterms:modified>
  <cp:category/>
</cp:coreProperties>
</file>