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212BD" w14:textId="77777777" w:rsidR="00DC29E4" w:rsidRPr="003C5232" w:rsidRDefault="00DC29E4" w:rsidP="00377253">
      <w:pPr>
        <w:pStyle w:val="PS-hlavika1"/>
      </w:pPr>
      <w:r w:rsidRPr="003C5232">
        <w:t>Parlament České republiky</w:t>
      </w:r>
    </w:p>
    <w:p w14:paraId="10B59589" w14:textId="77777777" w:rsidR="00DC29E4" w:rsidRPr="003C5232" w:rsidRDefault="00DC29E4" w:rsidP="000E730C">
      <w:pPr>
        <w:pStyle w:val="PS-hlavika2"/>
      </w:pPr>
      <w:r w:rsidRPr="003C5232">
        <w:t>POSLANECKÁ SNĚMOVNA</w:t>
      </w:r>
    </w:p>
    <w:p w14:paraId="21365714" w14:textId="77777777" w:rsidR="00DC29E4" w:rsidRPr="003C5232" w:rsidRDefault="00DC29E4" w:rsidP="000E730C">
      <w:pPr>
        <w:pStyle w:val="PS-hlavika2"/>
      </w:pPr>
      <w:r w:rsidRPr="003C5232">
        <w:t>20</w:t>
      </w:r>
      <w:r w:rsidR="007A0422" w:rsidRPr="003C5232">
        <w:t>2</w:t>
      </w:r>
      <w:r w:rsidR="00FF5011" w:rsidRPr="003C5232">
        <w:t>4</w:t>
      </w:r>
    </w:p>
    <w:p w14:paraId="3CB7577C" w14:textId="77777777" w:rsidR="00DC29E4" w:rsidRPr="003C5232" w:rsidRDefault="007A0422" w:rsidP="00377253">
      <w:pPr>
        <w:pStyle w:val="PS-hlavika1"/>
      </w:pPr>
      <w:r w:rsidRPr="003C5232">
        <w:t>9</w:t>
      </w:r>
      <w:r w:rsidR="00DC29E4" w:rsidRPr="003C5232">
        <w:t>. volební období</w:t>
      </w:r>
    </w:p>
    <w:p w14:paraId="60A3F2E2" w14:textId="66BB999C" w:rsidR="00DC29E4" w:rsidRPr="003C5232" w:rsidRDefault="00FF5011" w:rsidP="000E730C">
      <w:pPr>
        <w:pStyle w:val="PS-slousnesen"/>
      </w:pPr>
      <w:r w:rsidRPr="003C5232">
        <w:t>1</w:t>
      </w:r>
      <w:r w:rsidR="00FF58B8" w:rsidRPr="003C5232">
        <w:t>7</w:t>
      </w:r>
      <w:r w:rsidR="00FB4675" w:rsidRPr="003C5232">
        <w:t>8</w:t>
      </w:r>
    </w:p>
    <w:p w14:paraId="0CA9A2D8" w14:textId="77777777" w:rsidR="00DC29E4" w:rsidRPr="003C5232" w:rsidRDefault="00DC29E4" w:rsidP="00903269">
      <w:pPr>
        <w:pStyle w:val="PS-hlavika3"/>
      </w:pPr>
      <w:r w:rsidRPr="003C5232">
        <w:t>USNESENÍ</w:t>
      </w:r>
    </w:p>
    <w:p w14:paraId="62D8EAAB" w14:textId="77777777" w:rsidR="00DC29E4" w:rsidRPr="003C5232" w:rsidRDefault="00FF5011" w:rsidP="00377253">
      <w:pPr>
        <w:pStyle w:val="PS-hlavika1"/>
      </w:pPr>
      <w:r w:rsidRPr="003C5232">
        <w:t>výboru pro bezpečnost</w:t>
      </w:r>
    </w:p>
    <w:p w14:paraId="36AF96C9" w14:textId="7A8D9363" w:rsidR="00DC29E4" w:rsidRPr="003C5232" w:rsidRDefault="00DC29E4" w:rsidP="00377253">
      <w:pPr>
        <w:pStyle w:val="PS-hlavika1"/>
      </w:pPr>
      <w:r w:rsidRPr="003C5232">
        <w:t>z</w:t>
      </w:r>
      <w:r w:rsidR="001C465C" w:rsidRPr="003C5232">
        <w:t>e</w:t>
      </w:r>
      <w:r w:rsidRPr="003C5232">
        <w:t xml:space="preserve"> </w:t>
      </w:r>
      <w:r w:rsidR="004A3D29" w:rsidRPr="003C5232">
        <w:t>4</w:t>
      </w:r>
      <w:r w:rsidR="004921DA" w:rsidRPr="003C5232">
        <w:t>7</w:t>
      </w:r>
      <w:r w:rsidRPr="003C5232">
        <w:t>. schůze</w:t>
      </w:r>
    </w:p>
    <w:p w14:paraId="09386FBE" w14:textId="5E320D50" w:rsidR="00DC29E4" w:rsidRPr="003C5232" w:rsidRDefault="00DC29E4" w:rsidP="00377253">
      <w:pPr>
        <w:pStyle w:val="PS-hlavika1"/>
      </w:pPr>
      <w:r w:rsidRPr="003C5232">
        <w:t>ze dne</w:t>
      </w:r>
      <w:r w:rsidR="00FF5011" w:rsidRPr="003C5232">
        <w:t xml:space="preserve"> </w:t>
      </w:r>
      <w:r w:rsidR="004921DA" w:rsidRPr="003C5232">
        <w:t>26</w:t>
      </w:r>
      <w:r w:rsidR="00FF5011" w:rsidRPr="003C5232">
        <w:t xml:space="preserve">. </w:t>
      </w:r>
      <w:r w:rsidR="00C84AFE" w:rsidRPr="003C5232">
        <w:t>září</w:t>
      </w:r>
      <w:r w:rsidR="004A3D29" w:rsidRPr="003C5232">
        <w:t xml:space="preserve"> </w:t>
      </w:r>
      <w:r w:rsidR="00FF5011" w:rsidRPr="003C5232">
        <w:t>2024</w:t>
      </w:r>
    </w:p>
    <w:p w14:paraId="552393E1" w14:textId="77777777" w:rsidR="00ED5C2B" w:rsidRPr="003C5232" w:rsidRDefault="00ED5C2B" w:rsidP="00ED5C2B">
      <w:pPr>
        <w:pStyle w:val="Bezmezer"/>
      </w:pPr>
    </w:p>
    <w:p w14:paraId="50ECFFFF" w14:textId="77777777" w:rsidR="00ED5C2B" w:rsidRPr="003C5232" w:rsidRDefault="00FF5011" w:rsidP="00ED5C2B">
      <w:pPr>
        <w:pStyle w:val="slovanseznam"/>
        <w:numPr>
          <w:ilvl w:val="0"/>
          <w:numId w:val="0"/>
        </w:numPr>
        <w:spacing w:line="240" w:lineRule="auto"/>
        <w:contextualSpacing/>
        <w:jc w:val="center"/>
        <w:rPr>
          <w:lang w:eastAsia="cs-CZ"/>
        </w:rPr>
      </w:pPr>
      <w:r w:rsidRPr="003C5232">
        <w:t>k</w:t>
      </w:r>
      <w:r w:rsidR="00ED5C2B" w:rsidRPr="003C5232">
        <w:t> </w:t>
      </w:r>
      <w:r w:rsidR="00ED5C2B" w:rsidRPr="003C5232">
        <w:rPr>
          <w:lang w:eastAsia="cs-CZ"/>
        </w:rPr>
        <w:t>Vládnímu návrhu zákona, kterým se mění některé zákony v souvislosti s přijetím zákona o zbraních a střelivu a zákona o munici</w:t>
      </w:r>
    </w:p>
    <w:p w14:paraId="2F25AAA3" w14:textId="77777777" w:rsidR="00DC29E4" w:rsidRPr="003C5232" w:rsidRDefault="00ED5C2B" w:rsidP="00ED5C2B">
      <w:pPr>
        <w:pStyle w:val="slovanseznam"/>
        <w:numPr>
          <w:ilvl w:val="0"/>
          <w:numId w:val="0"/>
        </w:numPr>
        <w:pBdr>
          <w:bottom w:val="single" w:sz="4" w:space="1" w:color="auto"/>
        </w:pBdr>
        <w:spacing w:line="240" w:lineRule="auto"/>
        <w:contextualSpacing/>
        <w:jc w:val="center"/>
      </w:pPr>
      <w:r w:rsidRPr="003C5232">
        <w:rPr>
          <w:lang w:eastAsia="cs-CZ"/>
        </w:rPr>
        <w:t xml:space="preserve"> </w:t>
      </w:r>
      <w:r w:rsidR="00110466" w:rsidRPr="003C5232">
        <w:rPr>
          <w:lang w:eastAsia="cs-CZ"/>
        </w:rPr>
        <w:t>/</w:t>
      </w:r>
      <w:r w:rsidR="00110466" w:rsidRPr="003C5232">
        <w:rPr>
          <w:b/>
        </w:rPr>
        <w:t>s</w:t>
      </w:r>
      <w:r w:rsidRPr="003C5232">
        <w:rPr>
          <w:b/>
        </w:rPr>
        <w:t>němovní tisk 695</w:t>
      </w:r>
      <w:r w:rsidR="00110466" w:rsidRPr="003C5232">
        <w:t>/</w:t>
      </w:r>
    </w:p>
    <w:p w14:paraId="530FF040" w14:textId="77777777" w:rsidR="00ED5C2B" w:rsidRPr="003C5232" w:rsidRDefault="00ED5C2B" w:rsidP="00ED5C2B">
      <w:pPr>
        <w:pStyle w:val="slovanseznam"/>
        <w:numPr>
          <w:ilvl w:val="0"/>
          <w:numId w:val="0"/>
        </w:numPr>
        <w:pBdr>
          <w:bottom w:val="single" w:sz="4" w:space="1" w:color="auto"/>
        </w:pBdr>
        <w:spacing w:line="240" w:lineRule="auto"/>
        <w:contextualSpacing/>
        <w:jc w:val="center"/>
      </w:pPr>
    </w:p>
    <w:p w14:paraId="2580BA91" w14:textId="0E5BBBB3" w:rsidR="00110466" w:rsidRPr="003C5232" w:rsidRDefault="00110466" w:rsidP="00307CCB">
      <w:pPr>
        <w:ind w:firstLine="708"/>
        <w:jc w:val="both"/>
      </w:pPr>
      <w:r w:rsidRPr="003C5232">
        <w:t xml:space="preserve">Výbor pro bezpečnost po úvodním </w:t>
      </w:r>
      <w:r w:rsidR="00B137C3" w:rsidRPr="003C5232">
        <w:t>vystoupení vrchního ředitele sekce vnitřní bezpečnosti a policejního vzdělávání</w:t>
      </w:r>
      <w:r w:rsidR="001B426F" w:rsidRPr="003C5232">
        <w:t xml:space="preserve"> </w:t>
      </w:r>
      <w:r w:rsidR="001F2D67" w:rsidRPr="003C5232">
        <w:t xml:space="preserve">Ministerstva vnitra ČR </w:t>
      </w:r>
      <w:r w:rsidR="00B137C3" w:rsidRPr="003C5232">
        <w:t xml:space="preserve">PhDr. Jana </w:t>
      </w:r>
      <w:proofErr w:type="spellStart"/>
      <w:r w:rsidR="00B137C3" w:rsidRPr="003C5232">
        <w:t>Paďourka</w:t>
      </w:r>
      <w:proofErr w:type="spellEnd"/>
      <w:r w:rsidR="00B137C3" w:rsidRPr="003C5232">
        <w:t xml:space="preserve">, </w:t>
      </w:r>
      <w:r w:rsidR="00307CCB" w:rsidRPr="003C5232">
        <w:t xml:space="preserve">vedoucí oddělení obecní policie, zbraní, dopravního inženýrství a soukromých bezpečnostních služeb Ministerstva vnitra ČR Mgr. Mileny Bačkovské, </w:t>
      </w:r>
      <w:r w:rsidR="001B426F" w:rsidRPr="003C5232">
        <w:t xml:space="preserve">ředitele Ředitelství služby pro zbraně a bezpečnostní materiál Policejního prezidia ČR plk. Mgr. Milana Prchala, </w:t>
      </w:r>
      <w:r w:rsidRPr="003C5232">
        <w:t xml:space="preserve">po zpravodajské zprávě poslance Petra </w:t>
      </w:r>
      <w:proofErr w:type="spellStart"/>
      <w:r w:rsidRPr="003C5232">
        <w:t>Letochy</w:t>
      </w:r>
      <w:proofErr w:type="spellEnd"/>
      <w:r w:rsidRPr="003C5232">
        <w:t xml:space="preserve"> a po obecné </w:t>
      </w:r>
      <w:r w:rsidR="00EB6530" w:rsidRPr="003C5232">
        <w:t>a podrobné r</w:t>
      </w:r>
      <w:r w:rsidR="00192D70" w:rsidRPr="003C5232">
        <w:t>ozpravě</w:t>
      </w:r>
      <w:r w:rsidRPr="003C5232">
        <w:t xml:space="preserve">  </w:t>
      </w:r>
    </w:p>
    <w:p w14:paraId="2B832BB3" w14:textId="599BB1E2" w:rsidR="00BB2BD7" w:rsidRPr="003C5232" w:rsidRDefault="00BB2BD7" w:rsidP="00BB2BD7">
      <w:pPr>
        <w:pStyle w:val="PS-uvodnodstavec"/>
      </w:pPr>
      <w:r w:rsidRPr="003C5232">
        <w:t>I.</w:t>
      </w:r>
      <w:r w:rsidRPr="003C5232">
        <w:tab/>
      </w:r>
      <w:r w:rsidRPr="003C5232">
        <w:rPr>
          <w:rFonts w:eastAsia="Times New Roman"/>
          <w:szCs w:val="24"/>
          <w:lang w:eastAsia="cs-CZ"/>
        </w:rPr>
        <w:t xml:space="preserve">d o p o r u č u j e   Poslanecké sněmovně Parlamentu ČR, aby s vládním návrhem </w:t>
      </w:r>
      <w:r w:rsidRPr="003C5232">
        <w:rPr>
          <w:lang w:eastAsia="cs-CZ"/>
        </w:rPr>
        <w:t>návrhu zákona, kterým se mění některé zákony v souvislosti s přijetím zákona o zbraních a střelivu a zákona o munici</w:t>
      </w:r>
      <w:r w:rsidRPr="003C5232">
        <w:t xml:space="preserve"> (sněmovní tisk 695)</w:t>
      </w:r>
    </w:p>
    <w:p w14:paraId="62304AD1" w14:textId="31A81AAB" w:rsidR="00BB2BD7" w:rsidRPr="003C5232" w:rsidRDefault="00BB2BD7" w:rsidP="00BB2BD7">
      <w:pPr>
        <w:spacing w:after="0" w:line="240" w:lineRule="auto"/>
        <w:ind w:left="709" w:hanging="709"/>
        <w:jc w:val="center"/>
        <w:rPr>
          <w:rFonts w:eastAsia="Times New Roman"/>
          <w:spacing w:val="60"/>
          <w:szCs w:val="24"/>
          <w:lang w:eastAsia="cs-CZ"/>
        </w:rPr>
      </w:pPr>
      <w:r w:rsidRPr="003C5232">
        <w:rPr>
          <w:rFonts w:eastAsia="Times New Roman"/>
          <w:spacing w:val="60"/>
          <w:szCs w:val="24"/>
          <w:lang w:eastAsia="cs-CZ"/>
        </w:rPr>
        <w:t>vyslovila souhlas ve znění těchto pozměňovacích návrhů:</w:t>
      </w:r>
    </w:p>
    <w:p w14:paraId="1913CF31" w14:textId="28003FB4" w:rsidR="00BB2BD7" w:rsidRPr="003C5232" w:rsidRDefault="00BB2BD7" w:rsidP="00BB2BD7">
      <w:pPr>
        <w:spacing w:after="0" w:line="240" w:lineRule="auto"/>
        <w:ind w:left="709" w:hanging="709"/>
        <w:jc w:val="center"/>
        <w:rPr>
          <w:rFonts w:eastAsia="Times New Roman"/>
          <w:spacing w:val="60"/>
          <w:szCs w:val="24"/>
          <w:lang w:eastAsia="cs-CZ"/>
        </w:rPr>
      </w:pPr>
    </w:p>
    <w:p w14:paraId="2C989902" w14:textId="7532B98A" w:rsidR="00BB2BD7" w:rsidRPr="003C5232" w:rsidRDefault="00BB2BD7" w:rsidP="00BB2BD7">
      <w:pPr>
        <w:spacing w:after="0" w:line="240" w:lineRule="auto"/>
        <w:ind w:left="709" w:hanging="709"/>
        <w:jc w:val="center"/>
        <w:rPr>
          <w:rFonts w:eastAsia="Times New Roman"/>
          <w:spacing w:val="60"/>
          <w:szCs w:val="24"/>
          <w:lang w:eastAsia="cs-CZ"/>
        </w:rPr>
      </w:pPr>
    </w:p>
    <w:p w14:paraId="3604DED7" w14:textId="696982D6" w:rsidR="00BB2BD7" w:rsidRPr="003C5232" w:rsidRDefault="00BB2BD7" w:rsidP="00BB2BD7">
      <w:pPr>
        <w:rPr>
          <w:b/>
          <w:u w:val="single"/>
          <w:lang w:eastAsia="cs-CZ"/>
        </w:rPr>
      </w:pPr>
      <w:r w:rsidRPr="003C5232">
        <w:rPr>
          <w:b/>
          <w:u w:val="single"/>
          <w:lang w:eastAsia="cs-CZ"/>
        </w:rPr>
        <w:t>1. Evidence střeliva</w:t>
      </w:r>
    </w:p>
    <w:p w14:paraId="0FCD3F49" w14:textId="50018A71" w:rsidR="00BB2BD7" w:rsidRPr="003C5232" w:rsidRDefault="00BB2BD7" w:rsidP="00BB2BD7">
      <w:pPr>
        <w:rPr>
          <w:b/>
          <w:u w:val="single"/>
          <w:lang w:eastAsia="cs-CZ"/>
        </w:rPr>
      </w:pPr>
    </w:p>
    <w:p w14:paraId="672919BF" w14:textId="77777777" w:rsidR="00BB2BD7" w:rsidRPr="003C5232" w:rsidRDefault="00BB2BD7" w:rsidP="00BB2BD7">
      <w:pPr>
        <w:spacing w:after="0" w:line="240" w:lineRule="auto"/>
        <w:jc w:val="both"/>
      </w:pPr>
      <w:r w:rsidRPr="003C5232">
        <w:t>1. Za ČÁST DVACÁTOU OSMOU se vkládá nová ČÁST DVACÁTÁ DEVÁTÁ, která včetně nadpisu zní:</w:t>
      </w:r>
    </w:p>
    <w:p w14:paraId="2ECDB20B" w14:textId="77777777" w:rsidR="00BB2BD7" w:rsidRPr="003C5232" w:rsidRDefault="00BB2BD7" w:rsidP="00BB2BD7">
      <w:pPr>
        <w:spacing w:after="0" w:line="240" w:lineRule="auto"/>
        <w:jc w:val="both"/>
      </w:pPr>
    </w:p>
    <w:p w14:paraId="24341AED" w14:textId="77777777" w:rsidR="00BB2BD7" w:rsidRPr="003C5232" w:rsidRDefault="00BB2BD7" w:rsidP="00BB2BD7">
      <w:pPr>
        <w:spacing w:after="0" w:line="240" w:lineRule="auto"/>
        <w:jc w:val="center"/>
      </w:pPr>
      <w:r w:rsidRPr="003C5232">
        <w:t>„ČÁST DVACÁTÁ DEVÁTÁ</w:t>
      </w:r>
    </w:p>
    <w:p w14:paraId="7DF9C225" w14:textId="77777777" w:rsidR="00BB2BD7" w:rsidRPr="003C5232" w:rsidRDefault="00BB2BD7" w:rsidP="00BB2BD7">
      <w:pPr>
        <w:spacing w:after="0" w:line="240" w:lineRule="auto"/>
        <w:jc w:val="center"/>
        <w:rPr>
          <w:b/>
          <w:bCs/>
        </w:rPr>
      </w:pPr>
      <w:r w:rsidRPr="003C5232">
        <w:rPr>
          <w:b/>
          <w:bCs/>
        </w:rPr>
        <w:t>Změna zákona o zbraních a střelivu</w:t>
      </w:r>
    </w:p>
    <w:p w14:paraId="719A13A7" w14:textId="77777777" w:rsidR="00BB2BD7" w:rsidRPr="003C5232" w:rsidRDefault="00BB2BD7" w:rsidP="00BB2BD7">
      <w:pPr>
        <w:spacing w:after="0" w:line="240" w:lineRule="auto"/>
        <w:jc w:val="both"/>
      </w:pPr>
    </w:p>
    <w:p w14:paraId="3EF0E494" w14:textId="77777777" w:rsidR="00BB2BD7" w:rsidRPr="003C5232" w:rsidRDefault="00BB2BD7" w:rsidP="00BB2BD7">
      <w:pPr>
        <w:spacing w:after="0" w:line="240" w:lineRule="auto"/>
        <w:jc w:val="center"/>
      </w:pPr>
      <w:r w:rsidRPr="003C5232">
        <w:t>Čl. XXXII</w:t>
      </w:r>
    </w:p>
    <w:p w14:paraId="3A7DE5CC" w14:textId="77777777" w:rsidR="00BB2BD7" w:rsidRPr="003C5232" w:rsidRDefault="00BB2BD7" w:rsidP="00BB2BD7">
      <w:pPr>
        <w:spacing w:after="0" w:line="240" w:lineRule="auto"/>
        <w:jc w:val="both"/>
      </w:pPr>
    </w:p>
    <w:p w14:paraId="0AE58965" w14:textId="77777777" w:rsidR="00BB2BD7" w:rsidRPr="003C5232" w:rsidRDefault="00BB2BD7" w:rsidP="00BB2BD7">
      <w:pPr>
        <w:spacing w:after="0" w:line="240" w:lineRule="auto"/>
        <w:ind w:firstLine="709"/>
        <w:jc w:val="both"/>
      </w:pPr>
      <w:r w:rsidRPr="003C5232">
        <w:t>Zákon č. 90/2024 Sb., o zbraních a střelivu, se mění takto:</w:t>
      </w:r>
    </w:p>
    <w:p w14:paraId="22D4A9B5" w14:textId="77777777" w:rsidR="00BB2BD7" w:rsidRPr="003C5232" w:rsidRDefault="00BB2BD7" w:rsidP="00BB2BD7">
      <w:pPr>
        <w:spacing w:after="0" w:line="240" w:lineRule="auto"/>
        <w:jc w:val="both"/>
      </w:pPr>
    </w:p>
    <w:p w14:paraId="537F3934" w14:textId="77777777" w:rsidR="00BB2BD7" w:rsidRPr="003C5232" w:rsidRDefault="00BB2BD7" w:rsidP="00BB2BD7">
      <w:pPr>
        <w:spacing w:after="0" w:line="240" w:lineRule="auto"/>
        <w:jc w:val="both"/>
      </w:pPr>
      <w:r w:rsidRPr="003C5232">
        <w:t xml:space="preserve">1. V § 41 odst. 1 písm. d) se slova „soupisu zbraní a střeliva“ nahrazují slovy „evidenčního soupisu“. </w:t>
      </w:r>
    </w:p>
    <w:p w14:paraId="52C25F6C" w14:textId="77777777" w:rsidR="00BB2BD7" w:rsidRPr="003C5232" w:rsidRDefault="00BB2BD7" w:rsidP="00BB2BD7">
      <w:pPr>
        <w:spacing w:after="0" w:line="240" w:lineRule="auto"/>
        <w:jc w:val="both"/>
      </w:pPr>
    </w:p>
    <w:p w14:paraId="05D3A2C8" w14:textId="77777777" w:rsidR="00BB2BD7" w:rsidRPr="003C5232" w:rsidRDefault="00BB2BD7" w:rsidP="00BB2BD7">
      <w:pPr>
        <w:spacing w:after="0" w:line="240" w:lineRule="auto"/>
        <w:jc w:val="both"/>
      </w:pPr>
      <w:r w:rsidRPr="003C5232">
        <w:t xml:space="preserve">2. Nadpis § 75 zní: </w:t>
      </w:r>
    </w:p>
    <w:p w14:paraId="23187F64" w14:textId="77777777" w:rsidR="00BB2BD7" w:rsidRPr="003C5232" w:rsidRDefault="00BB2BD7" w:rsidP="00BB2BD7">
      <w:pPr>
        <w:spacing w:after="0" w:line="240" w:lineRule="auto"/>
        <w:jc w:val="center"/>
      </w:pPr>
      <w:r w:rsidRPr="003C5232">
        <w:lastRenderedPageBreak/>
        <w:t>„</w:t>
      </w:r>
      <w:r w:rsidRPr="003C5232">
        <w:rPr>
          <w:b/>
          <w:bCs/>
        </w:rPr>
        <w:t>Evidenční soupis</w:t>
      </w:r>
      <w:r w:rsidRPr="003C5232">
        <w:t>“.</w:t>
      </w:r>
    </w:p>
    <w:p w14:paraId="7DDBE3A9" w14:textId="77777777" w:rsidR="00BB2BD7" w:rsidRPr="003C5232" w:rsidRDefault="00BB2BD7" w:rsidP="00BB2BD7">
      <w:pPr>
        <w:spacing w:after="0" w:line="240" w:lineRule="auto"/>
        <w:jc w:val="both"/>
      </w:pPr>
    </w:p>
    <w:p w14:paraId="77B9BD68" w14:textId="77777777" w:rsidR="00BB2BD7" w:rsidRPr="003C5232" w:rsidRDefault="00BB2BD7" w:rsidP="00BB2BD7">
      <w:pPr>
        <w:spacing w:after="0" w:line="240" w:lineRule="auto"/>
        <w:jc w:val="both"/>
      </w:pPr>
      <w:r w:rsidRPr="003C5232">
        <w:t>3. V § 75 odstavec 1 zní:</w:t>
      </w:r>
    </w:p>
    <w:p w14:paraId="2BA43817" w14:textId="77777777" w:rsidR="00BB2BD7" w:rsidRPr="003C5232" w:rsidRDefault="00BB2BD7" w:rsidP="00BB2BD7">
      <w:pPr>
        <w:spacing w:after="0" w:line="240" w:lineRule="auto"/>
        <w:jc w:val="both"/>
      </w:pPr>
    </w:p>
    <w:p w14:paraId="5608A731" w14:textId="77777777" w:rsidR="00BB2BD7" w:rsidRPr="003C5232" w:rsidRDefault="00BB2BD7" w:rsidP="00BB2BD7">
      <w:pPr>
        <w:spacing w:after="0" w:line="240" w:lineRule="auto"/>
        <w:ind w:firstLine="709"/>
        <w:jc w:val="both"/>
      </w:pPr>
      <w:r w:rsidRPr="003C5232">
        <w:t>„(1) Držitel zbrojní licence vede evidenční soupis palných zbraní kategorie NO, součástí zbraně umožňujících samočinnou střelbu a polotovarů hlavních částí zbraní podléhajících registraci, se kterými nakládá.“.</w:t>
      </w:r>
    </w:p>
    <w:p w14:paraId="2502DEAA" w14:textId="77777777" w:rsidR="00BB2BD7" w:rsidRPr="003C5232" w:rsidRDefault="00BB2BD7" w:rsidP="00BB2BD7">
      <w:pPr>
        <w:spacing w:after="0" w:line="240" w:lineRule="auto"/>
        <w:jc w:val="both"/>
      </w:pPr>
    </w:p>
    <w:p w14:paraId="7A24EDC1" w14:textId="77777777" w:rsidR="00BB2BD7" w:rsidRPr="003C5232" w:rsidRDefault="00BB2BD7" w:rsidP="00BB2BD7">
      <w:pPr>
        <w:spacing w:after="0" w:line="240" w:lineRule="auto"/>
        <w:ind w:left="284" w:hanging="284"/>
        <w:jc w:val="both"/>
      </w:pPr>
      <w:r w:rsidRPr="003C5232">
        <w:t>4. V § 75 odst. 2 a v § 75 odst. 3 úvodní části ustanovení se slova „soupis zbraní a střeliva“ nahrazují slovy „evidenční soupis“.</w:t>
      </w:r>
    </w:p>
    <w:p w14:paraId="75C208AF" w14:textId="77777777" w:rsidR="00BB2BD7" w:rsidRPr="003C5232" w:rsidRDefault="00BB2BD7" w:rsidP="00BB2BD7">
      <w:pPr>
        <w:spacing w:after="0" w:line="240" w:lineRule="auto"/>
        <w:ind w:left="284" w:hanging="284"/>
        <w:jc w:val="both"/>
      </w:pPr>
    </w:p>
    <w:p w14:paraId="2FD42047" w14:textId="77777777" w:rsidR="00BB2BD7" w:rsidRPr="003C5232" w:rsidRDefault="00BB2BD7" w:rsidP="00BB2BD7">
      <w:pPr>
        <w:spacing w:after="0" w:line="240" w:lineRule="auto"/>
        <w:ind w:left="284" w:hanging="284"/>
        <w:jc w:val="both"/>
      </w:pPr>
      <w:r w:rsidRPr="003C5232">
        <w:t>5. V § 75 odst. 2 se slova „soupis může“ nahrazují slovy „evidenční soupis může“.</w:t>
      </w:r>
    </w:p>
    <w:p w14:paraId="77E723A0" w14:textId="77777777" w:rsidR="00BB2BD7" w:rsidRPr="003C5232" w:rsidRDefault="00BB2BD7" w:rsidP="00BB2BD7">
      <w:pPr>
        <w:spacing w:after="0" w:line="240" w:lineRule="auto"/>
        <w:ind w:left="284" w:hanging="284"/>
        <w:jc w:val="both"/>
      </w:pPr>
    </w:p>
    <w:p w14:paraId="794E972D" w14:textId="77777777" w:rsidR="00BB2BD7" w:rsidRPr="003C5232" w:rsidRDefault="00BB2BD7" w:rsidP="00BB2BD7">
      <w:pPr>
        <w:spacing w:after="0" w:line="240" w:lineRule="auto"/>
        <w:ind w:left="284" w:hanging="284"/>
        <w:jc w:val="both"/>
      </w:pPr>
      <w:r w:rsidRPr="003C5232">
        <w:t>6. V § 75 odst. 3 se na konci písmene b) čárka nahrazuje slovem „a“.</w:t>
      </w:r>
    </w:p>
    <w:p w14:paraId="570A8279" w14:textId="77777777" w:rsidR="00BB2BD7" w:rsidRPr="003C5232" w:rsidRDefault="00BB2BD7" w:rsidP="00BB2BD7">
      <w:pPr>
        <w:spacing w:after="0" w:line="240" w:lineRule="auto"/>
        <w:ind w:left="284" w:hanging="284"/>
        <w:jc w:val="both"/>
      </w:pPr>
    </w:p>
    <w:p w14:paraId="493C2FCD" w14:textId="77777777" w:rsidR="00BB2BD7" w:rsidRPr="003C5232" w:rsidRDefault="00BB2BD7" w:rsidP="00BB2BD7">
      <w:pPr>
        <w:spacing w:after="0" w:line="240" w:lineRule="auto"/>
        <w:ind w:left="284" w:hanging="284"/>
        <w:jc w:val="both"/>
      </w:pPr>
      <w:r w:rsidRPr="003C5232">
        <w:t>7. V § 75 odst. 3 se písmeno c) zrušuje.</w:t>
      </w:r>
    </w:p>
    <w:p w14:paraId="2502AF21" w14:textId="77777777" w:rsidR="00BB2BD7" w:rsidRPr="003C5232" w:rsidRDefault="00BB2BD7" w:rsidP="00BB2BD7">
      <w:pPr>
        <w:spacing w:after="0" w:line="240" w:lineRule="auto"/>
        <w:ind w:left="284" w:hanging="284"/>
        <w:jc w:val="both"/>
      </w:pPr>
    </w:p>
    <w:p w14:paraId="73054ECA" w14:textId="77777777" w:rsidR="00BB2BD7" w:rsidRPr="003C5232" w:rsidRDefault="00BB2BD7" w:rsidP="00BB2BD7">
      <w:pPr>
        <w:spacing w:after="0" w:line="240" w:lineRule="auto"/>
        <w:ind w:left="284"/>
        <w:jc w:val="both"/>
      </w:pPr>
      <w:r w:rsidRPr="003C5232">
        <w:t>Dosavadní písmeno d) se označuje jako písmeno c).</w:t>
      </w:r>
    </w:p>
    <w:p w14:paraId="2DAC985D" w14:textId="77777777" w:rsidR="00BB2BD7" w:rsidRPr="003C5232" w:rsidRDefault="00BB2BD7" w:rsidP="00BB2BD7">
      <w:pPr>
        <w:spacing w:after="0" w:line="240" w:lineRule="auto"/>
        <w:ind w:left="284" w:hanging="284"/>
        <w:jc w:val="both"/>
      </w:pPr>
    </w:p>
    <w:p w14:paraId="515E00B9" w14:textId="77777777" w:rsidR="00BB2BD7" w:rsidRPr="003C5232" w:rsidRDefault="00BB2BD7" w:rsidP="00BB2BD7">
      <w:pPr>
        <w:spacing w:after="0" w:line="240" w:lineRule="auto"/>
        <w:ind w:left="284" w:hanging="284"/>
        <w:jc w:val="both"/>
      </w:pPr>
      <w:r w:rsidRPr="003C5232">
        <w:t>8. V § 75 odst. 3 písm. c) se slova „, střelivo a“ nahrazují slovem „nebo“.</w:t>
      </w:r>
    </w:p>
    <w:p w14:paraId="1E4EAA5A" w14:textId="77777777" w:rsidR="00BB2BD7" w:rsidRPr="003C5232" w:rsidRDefault="00BB2BD7" w:rsidP="00BB2BD7">
      <w:pPr>
        <w:spacing w:after="0" w:line="240" w:lineRule="auto"/>
        <w:ind w:left="284" w:hanging="284"/>
        <w:jc w:val="both"/>
      </w:pPr>
    </w:p>
    <w:p w14:paraId="4AE9FCCF" w14:textId="77777777" w:rsidR="00BB2BD7" w:rsidRPr="003C5232" w:rsidRDefault="00BB2BD7" w:rsidP="00BB2BD7">
      <w:pPr>
        <w:spacing w:after="0" w:line="240" w:lineRule="auto"/>
        <w:ind w:left="284" w:hanging="284"/>
        <w:jc w:val="both"/>
      </w:pPr>
      <w:r w:rsidRPr="003C5232">
        <w:t>9. V 75 odst. 4 se slova „ze soupisu“ nahrazují slovy „z evidenčního soupisu“.</w:t>
      </w:r>
    </w:p>
    <w:p w14:paraId="0D94814C" w14:textId="77777777" w:rsidR="00BB2BD7" w:rsidRPr="003C5232" w:rsidRDefault="00BB2BD7" w:rsidP="00BB2BD7">
      <w:pPr>
        <w:spacing w:after="0" w:line="240" w:lineRule="auto"/>
        <w:ind w:left="284" w:hanging="284"/>
        <w:jc w:val="both"/>
      </w:pPr>
    </w:p>
    <w:p w14:paraId="1530E9E6" w14:textId="77777777" w:rsidR="00BB2BD7" w:rsidRPr="003C5232" w:rsidRDefault="00BB2BD7" w:rsidP="00BB2BD7">
      <w:pPr>
        <w:spacing w:after="0" w:line="240" w:lineRule="auto"/>
        <w:ind w:left="284" w:hanging="284"/>
        <w:jc w:val="both"/>
      </w:pPr>
      <w:r w:rsidRPr="003C5232">
        <w:t>10. V § 75 odst. 5 větě první se slova „soupisu zbraní a střeliva“ nahrazují slovy „evidenčním soupisu“ a slova „do soupisu“ se nahrazují slovy „do evidenčního soupisu“.</w:t>
      </w:r>
    </w:p>
    <w:p w14:paraId="1089D341" w14:textId="77777777" w:rsidR="00BB2BD7" w:rsidRPr="003C5232" w:rsidRDefault="00BB2BD7" w:rsidP="00BB2BD7">
      <w:pPr>
        <w:spacing w:after="0" w:line="240" w:lineRule="auto"/>
        <w:ind w:left="284" w:hanging="284"/>
        <w:jc w:val="both"/>
      </w:pPr>
    </w:p>
    <w:p w14:paraId="127A2F05" w14:textId="77777777" w:rsidR="00BB2BD7" w:rsidRPr="003C5232" w:rsidRDefault="00BB2BD7" w:rsidP="00BB2BD7">
      <w:pPr>
        <w:spacing w:after="0" w:line="240" w:lineRule="auto"/>
        <w:ind w:left="284" w:hanging="284"/>
        <w:jc w:val="both"/>
      </w:pPr>
      <w:r w:rsidRPr="003C5232">
        <w:t xml:space="preserve">11. V § 75 odst. 5 větě druhé a v § 75 odst. 6 se slova „v soupisu“ nahrazují slovy „v evidenčním soupisu“. </w:t>
      </w:r>
    </w:p>
    <w:p w14:paraId="746A9473" w14:textId="77777777" w:rsidR="00BB2BD7" w:rsidRPr="003C5232" w:rsidRDefault="00BB2BD7" w:rsidP="00BB2BD7">
      <w:pPr>
        <w:spacing w:after="0" w:line="240" w:lineRule="auto"/>
        <w:jc w:val="both"/>
      </w:pPr>
    </w:p>
    <w:p w14:paraId="37CE047A" w14:textId="77777777" w:rsidR="00BB2BD7" w:rsidRPr="003C5232" w:rsidRDefault="00BB2BD7" w:rsidP="00BB2BD7">
      <w:pPr>
        <w:spacing w:after="0" w:line="240" w:lineRule="auto"/>
        <w:jc w:val="both"/>
      </w:pPr>
      <w:r w:rsidRPr="003C5232">
        <w:t>12. V § 76 odst. 1 a v § 77 odst. 1 se slova „kategorie S1“ zrušují.</w:t>
      </w:r>
    </w:p>
    <w:p w14:paraId="758E8A2B" w14:textId="77777777" w:rsidR="00BB2BD7" w:rsidRPr="003C5232" w:rsidRDefault="00BB2BD7" w:rsidP="00BB2BD7">
      <w:pPr>
        <w:spacing w:after="0" w:line="240" w:lineRule="auto"/>
        <w:jc w:val="both"/>
      </w:pPr>
    </w:p>
    <w:p w14:paraId="78578941" w14:textId="77777777" w:rsidR="00BB2BD7" w:rsidRPr="003C5232" w:rsidRDefault="00BB2BD7" w:rsidP="00BB2BD7">
      <w:pPr>
        <w:spacing w:after="0" w:line="240" w:lineRule="auto"/>
        <w:jc w:val="both"/>
      </w:pPr>
      <w:r w:rsidRPr="003C5232">
        <w:t>13. V § 76 odst. 2 písm. b) se slova „a údaje o ráži a počtu kusů střeliva kategorie S1“ zrušují.</w:t>
      </w:r>
    </w:p>
    <w:p w14:paraId="513989B5" w14:textId="77777777" w:rsidR="00BB2BD7" w:rsidRPr="003C5232" w:rsidRDefault="00BB2BD7" w:rsidP="00BB2BD7">
      <w:pPr>
        <w:spacing w:after="0" w:line="240" w:lineRule="auto"/>
        <w:jc w:val="both"/>
      </w:pPr>
    </w:p>
    <w:p w14:paraId="2764D1C7" w14:textId="77777777" w:rsidR="00BB2BD7" w:rsidRPr="003C5232" w:rsidRDefault="00BB2BD7" w:rsidP="00BB2BD7">
      <w:pPr>
        <w:spacing w:after="0" w:line="240" w:lineRule="auto"/>
        <w:jc w:val="both"/>
      </w:pPr>
      <w:r w:rsidRPr="003C5232">
        <w:t>14. V § 76 odst. 2 se za písmeno b) vkládá nové písmeno c), které zní:</w:t>
      </w:r>
    </w:p>
    <w:p w14:paraId="61D07DC8" w14:textId="77777777" w:rsidR="00BB2BD7" w:rsidRPr="003C5232" w:rsidRDefault="00BB2BD7" w:rsidP="00BB2BD7">
      <w:pPr>
        <w:spacing w:after="0" w:line="240" w:lineRule="auto"/>
        <w:jc w:val="both"/>
      </w:pPr>
    </w:p>
    <w:p w14:paraId="16764E3B" w14:textId="77777777" w:rsidR="00BB2BD7" w:rsidRPr="003C5232" w:rsidRDefault="00BB2BD7" w:rsidP="00BB2BD7">
      <w:pPr>
        <w:spacing w:after="0" w:line="240" w:lineRule="auto"/>
        <w:jc w:val="both"/>
      </w:pPr>
      <w:r w:rsidRPr="003C5232">
        <w:t>„c) údaje o ráži a počtu kusů nábojů a nábojek a o druhu a množství aktivních komponentů střeliva,“.</w:t>
      </w:r>
    </w:p>
    <w:p w14:paraId="53A3E87A" w14:textId="77777777" w:rsidR="00BB2BD7" w:rsidRPr="003C5232" w:rsidRDefault="00BB2BD7" w:rsidP="00BB2BD7">
      <w:pPr>
        <w:spacing w:after="0" w:line="240" w:lineRule="auto"/>
        <w:jc w:val="both"/>
      </w:pPr>
    </w:p>
    <w:p w14:paraId="521A6F41" w14:textId="77777777" w:rsidR="00BB2BD7" w:rsidRPr="003C5232" w:rsidRDefault="00BB2BD7" w:rsidP="00BB2BD7">
      <w:pPr>
        <w:spacing w:after="0" w:line="240" w:lineRule="auto"/>
        <w:jc w:val="both"/>
      </w:pPr>
      <w:r w:rsidRPr="003C5232">
        <w:t>Dosavadní písmena c) až g) se označují jako písmena d) až h).</w:t>
      </w:r>
    </w:p>
    <w:p w14:paraId="5B2AEFC5" w14:textId="77777777" w:rsidR="00BB2BD7" w:rsidRPr="003C5232" w:rsidRDefault="00BB2BD7" w:rsidP="00BB2BD7">
      <w:pPr>
        <w:spacing w:after="0" w:line="240" w:lineRule="auto"/>
        <w:jc w:val="both"/>
      </w:pPr>
    </w:p>
    <w:p w14:paraId="193D4CA2" w14:textId="77777777" w:rsidR="00BB2BD7" w:rsidRPr="003C5232" w:rsidRDefault="00BB2BD7" w:rsidP="00BB2BD7">
      <w:pPr>
        <w:spacing w:after="0" w:line="240" w:lineRule="auto"/>
        <w:jc w:val="both"/>
      </w:pPr>
      <w:r w:rsidRPr="003C5232">
        <w:t>15. V § 76 odst. 2 písmeno c) zní:</w:t>
      </w:r>
    </w:p>
    <w:p w14:paraId="5FB1A430" w14:textId="77777777" w:rsidR="00BB2BD7" w:rsidRPr="003C5232" w:rsidRDefault="00BB2BD7" w:rsidP="00BB2BD7">
      <w:pPr>
        <w:spacing w:after="0" w:line="240" w:lineRule="auto"/>
        <w:jc w:val="both"/>
      </w:pPr>
    </w:p>
    <w:p w14:paraId="3CF4AE43" w14:textId="77777777" w:rsidR="00BB2BD7" w:rsidRPr="003C5232" w:rsidRDefault="00BB2BD7" w:rsidP="00BB2BD7">
      <w:pPr>
        <w:spacing w:after="0" w:line="240" w:lineRule="auto"/>
        <w:jc w:val="both"/>
      </w:pPr>
      <w:r w:rsidRPr="003C5232">
        <w:t>„c) údaje o identifikátoru střeliva a dalších údajů evidovaných k identifikátoru střeliva v číselníku identifikátorů střeliva podle § 133a a údaje o množství balení střeliva identifikovaných identifikátorem střeliva,“.</w:t>
      </w:r>
    </w:p>
    <w:p w14:paraId="11CE1E9A" w14:textId="77777777" w:rsidR="00BB2BD7" w:rsidRPr="003C5232" w:rsidRDefault="00BB2BD7" w:rsidP="00BB2BD7">
      <w:pPr>
        <w:spacing w:after="0" w:line="240" w:lineRule="auto"/>
        <w:jc w:val="both"/>
      </w:pPr>
    </w:p>
    <w:p w14:paraId="2B78C0C1" w14:textId="77777777" w:rsidR="00BB2BD7" w:rsidRPr="003C5232" w:rsidRDefault="00BB2BD7" w:rsidP="00BB2BD7">
      <w:pPr>
        <w:spacing w:after="0" w:line="240" w:lineRule="auto"/>
        <w:jc w:val="both"/>
      </w:pPr>
      <w:r w:rsidRPr="003C5232">
        <w:t>16. V nadpisu § 77 se slova „kategorie S1“ zrušují.</w:t>
      </w:r>
    </w:p>
    <w:p w14:paraId="5287788A" w14:textId="77777777" w:rsidR="00BB2BD7" w:rsidRPr="003C5232" w:rsidRDefault="00BB2BD7" w:rsidP="00BB2BD7">
      <w:pPr>
        <w:spacing w:after="0" w:line="240" w:lineRule="auto"/>
        <w:jc w:val="both"/>
      </w:pPr>
    </w:p>
    <w:p w14:paraId="32282A77" w14:textId="77777777" w:rsidR="00BB2BD7" w:rsidRPr="003C5232" w:rsidRDefault="00BB2BD7" w:rsidP="00BB2BD7">
      <w:pPr>
        <w:spacing w:after="0" w:line="240" w:lineRule="auto"/>
        <w:ind w:left="284" w:hanging="284"/>
        <w:jc w:val="both"/>
      </w:pPr>
      <w:r w:rsidRPr="003C5232">
        <w:t>17. V § 89 se dosavadní text označuje jako odstavec 1 a doplňuje se odstavec 2, který zní:</w:t>
      </w:r>
    </w:p>
    <w:p w14:paraId="49F1D306" w14:textId="77777777" w:rsidR="00BB2BD7" w:rsidRPr="003C5232" w:rsidRDefault="00BB2BD7" w:rsidP="00BB2BD7">
      <w:pPr>
        <w:spacing w:after="0" w:line="240" w:lineRule="auto"/>
        <w:jc w:val="both"/>
      </w:pPr>
    </w:p>
    <w:p w14:paraId="5D396512" w14:textId="77777777" w:rsidR="00BB2BD7" w:rsidRPr="003C5232" w:rsidRDefault="00BB2BD7" w:rsidP="00BB2BD7">
      <w:pPr>
        <w:spacing w:after="0" w:line="240" w:lineRule="auto"/>
        <w:ind w:firstLine="709"/>
        <w:jc w:val="both"/>
      </w:pPr>
      <w:r w:rsidRPr="003C5232">
        <w:lastRenderedPageBreak/>
        <w:t>„(2) Každé jednotlivé balení střeliva musí být označeno identifikátorem střeliva, kterému odpovídá položka číselníku identifikátorů střeliva v centrálním registru zbraní. Identifikátor střeliva se na balení střeliva uvádí v podobě jednorozměrného nebo dvourozměrného datového nosiče pro automatickou identifikaci a sběr dat; identifikátor střeliva musí být zároveň u datového nosiče uveden v okem čitelné podobě.“.</w:t>
      </w:r>
    </w:p>
    <w:p w14:paraId="7DE73FD9" w14:textId="77777777" w:rsidR="00BB2BD7" w:rsidRPr="003C5232" w:rsidRDefault="00BB2BD7" w:rsidP="00BB2BD7">
      <w:pPr>
        <w:spacing w:after="0" w:line="240" w:lineRule="auto"/>
        <w:jc w:val="both"/>
      </w:pPr>
    </w:p>
    <w:p w14:paraId="2B895FA5" w14:textId="77777777" w:rsidR="00BB2BD7" w:rsidRPr="003C5232" w:rsidRDefault="00BB2BD7" w:rsidP="00BB2BD7">
      <w:pPr>
        <w:spacing w:after="0" w:line="240" w:lineRule="auto"/>
        <w:jc w:val="both"/>
      </w:pPr>
      <w:r w:rsidRPr="003C5232">
        <w:t>18. V § 133 odstavec 1 zní:</w:t>
      </w:r>
    </w:p>
    <w:p w14:paraId="50270180" w14:textId="77777777" w:rsidR="00BB2BD7" w:rsidRPr="003C5232" w:rsidRDefault="00BB2BD7" w:rsidP="00BB2BD7">
      <w:pPr>
        <w:spacing w:after="0" w:line="240" w:lineRule="auto"/>
        <w:jc w:val="both"/>
      </w:pPr>
    </w:p>
    <w:p w14:paraId="03716D10" w14:textId="77777777" w:rsidR="00BB2BD7" w:rsidRPr="003C5232" w:rsidRDefault="00BB2BD7" w:rsidP="00BB2BD7">
      <w:pPr>
        <w:spacing w:after="0" w:line="240" w:lineRule="auto"/>
        <w:ind w:firstLine="708"/>
        <w:jc w:val="both"/>
      </w:pPr>
      <w:r w:rsidRPr="003C5232">
        <w:t>„(1) Číselník zbraní je součástí centrálního registru zbraní a skládá se z položek číselníku zbraní, kterým je přiřazována kategorie zbraně podle tohoto zákona. Položkou číselníku zbraní je soubor údajů o druhu, výrobci, modelu a ráži zbraně podléhající registraci nebo zbraně kategorie PO.“.</w:t>
      </w:r>
    </w:p>
    <w:p w14:paraId="31719EF5" w14:textId="77777777" w:rsidR="00BB2BD7" w:rsidRPr="003C5232" w:rsidRDefault="00BB2BD7" w:rsidP="00BB2BD7">
      <w:pPr>
        <w:spacing w:after="0" w:line="240" w:lineRule="auto"/>
        <w:jc w:val="both"/>
      </w:pPr>
    </w:p>
    <w:p w14:paraId="6EEBF3EB" w14:textId="77777777" w:rsidR="00BB2BD7" w:rsidRPr="003C5232" w:rsidRDefault="00BB2BD7" w:rsidP="00BB2BD7">
      <w:pPr>
        <w:spacing w:after="0" w:line="240" w:lineRule="auto"/>
        <w:jc w:val="both"/>
      </w:pPr>
      <w:r w:rsidRPr="003C5232">
        <w:t>19. V § 133 odst. 2 se slova „nebo střeliva“ zrušují.</w:t>
      </w:r>
    </w:p>
    <w:p w14:paraId="6CF9732F" w14:textId="77777777" w:rsidR="00BB2BD7" w:rsidRPr="003C5232" w:rsidRDefault="00BB2BD7" w:rsidP="00BB2BD7">
      <w:pPr>
        <w:spacing w:after="0" w:line="240" w:lineRule="auto"/>
        <w:jc w:val="both"/>
      </w:pPr>
    </w:p>
    <w:p w14:paraId="38C4B2CF" w14:textId="77777777" w:rsidR="00BB2BD7" w:rsidRPr="003C5232" w:rsidRDefault="00BB2BD7" w:rsidP="00BB2BD7">
      <w:pPr>
        <w:spacing w:after="0" w:line="240" w:lineRule="auto"/>
        <w:jc w:val="both"/>
      </w:pPr>
      <w:r w:rsidRPr="003C5232">
        <w:t>20. V § 133 odst. 3 se slova „, zbraně kategorie PO nebo střeliva kategorie S1“ nahrazují slovy „nebo zbraně kategorie PO“ a slova „, zbraň kategorie PO nebo střelivo kategorie S1“ se nahrazují slovy „nebo zbraň kategorie PO“.</w:t>
      </w:r>
    </w:p>
    <w:p w14:paraId="6D0C75DB" w14:textId="77777777" w:rsidR="00BB2BD7" w:rsidRPr="003C5232" w:rsidRDefault="00BB2BD7" w:rsidP="00BB2BD7">
      <w:pPr>
        <w:spacing w:after="0" w:line="240" w:lineRule="auto"/>
        <w:jc w:val="both"/>
      </w:pPr>
    </w:p>
    <w:p w14:paraId="1212376A" w14:textId="77777777" w:rsidR="00BB2BD7" w:rsidRPr="003C5232" w:rsidRDefault="00BB2BD7" w:rsidP="00BB2BD7">
      <w:pPr>
        <w:spacing w:after="0" w:line="240" w:lineRule="auto"/>
        <w:jc w:val="both"/>
      </w:pPr>
      <w:r w:rsidRPr="003C5232">
        <w:t>21. Za § 133 se vkládá § 133a, který zní:</w:t>
      </w:r>
    </w:p>
    <w:p w14:paraId="5FE4A3DD" w14:textId="77777777" w:rsidR="00BB2BD7" w:rsidRPr="003C5232" w:rsidRDefault="00BB2BD7" w:rsidP="00BB2BD7">
      <w:pPr>
        <w:spacing w:after="0" w:line="240" w:lineRule="auto"/>
        <w:jc w:val="both"/>
      </w:pPr>
    </w:p>
    <w:p w14:paraId="616F44A0" w14:textId="77777777" w:rsidR="00BB2BD7" w:rsidRPr="003C5232" w:rsidRDefault="00BB2BD7" w:rsidP="00BB2BD7">
      <w:pPr>
        <w:spacing w:after="0" w:line="240" w:lineRule="auto"/>
        <w:jc w:val="center"/>
      </w:pPr>
      <w:r w:rsidRPr="003C5232">
        <w:t>„§ 133a</w:t>
      </w:r>
    </w:p>
    <w:p w14:paraId="04A8AB2F" w14:textId="77777777" w:rsidR="00BB2BD7" w:rsidRPr="003C5232" w:rsidRDefault="00BB2BD7" w:rsidP="00BB2BD7">
      <w:pPr>
        <w:spacing w:after="0" w:line="240" w:lineRule="auto"/>
        <w:jc w:val="center"/>
      </w:pPr>
      <w:r w:rsidRPr="003C5232">
        <w:t>Číselník identifikátorů střeliva</w:t>
      </w:r>
    </w:p>
    <w:p w14:paraId="55BBE39E" w14:textId="77777777" w:rsidR="00BB2BD7" w:rsidRPr="003C5232" w:rsidRDefault="00BB2BD7" w:rsidP="00BB2BD7">
      <w:pPr>
        <w:spacing w:after="0" w:line="240" w:lineRule="auto"/>
        <w:jc w:val="both"/>
      </w:pPr>
    </w:p>
    <w:p w14:paraId="2418116C" w14:textId="77777777" w:rsidR="00BB2BD7" w:rsidRPr="003C5232" w:rsidRDefault="00BB2BD7" w:rsidP="00BB2BD7">
      <w:pPr>
        <w:spacing w:after="0" w:line="240" w:lineRule="auto"/>
        <w:ind w:firstLine="708"/>
        <w:jc w:val="both"/>
      </w:pPr>
      <w:r w:rsidRPr="003C5232">
        <w:t xml:space="preserve">(1) Číselník identifikátorů střeliva je součástí centrálního registru zbraní a skládá se z položek číselníku identifikátorů střeliva, kterým je přiřazována kategorie střeliva podle tohoto zákona. Položkou číselníku identifikátorů střeliva je soubor údajů o </w:t>
      </w:r>
    </w:p>
    <w:p w14:paraId="4A611AB9" w14:textId="77777777" w:rsidR="00BB2BD7" w:rsidRPr="003C5232" w:rsidRDefault="00BB2BD7" w:rsidP="00BB2BD7">
      <w:pPr>
        <w:spacing w:after="0" w:line="240" w:lineRule="auto"/>
        <w:jc w:val="both"/>
      </w:pPr>
      <w:r w:rsidRPr="003C5232">
        <w:t>a) identifikátoru střeliva, kterým je globálně unikátní kód výrobku podle mezinárodně akceptovaného standardu identifikace výrobků,</w:t>
      </w:r>
    </w:p>
    <w:p w14:paraId="0A4B17C8" w14:textId="77777777" w:rsidR="00BB2BD7" w:rsidRPr="003C5232" w:rsidRDefault="00BB2BD7" w:rsidP="00BB2BD7">
      <w:pPr>
        <w:spacing w:after="0" w:line="240" w:lineRule="auto"/>
        <w:jc w:val="both"/>
      </w:pPr>
      <w:r w:rsidRPr="003C5232">
        <w:t>b) výrobci a typu střeliva a v případě nábojů a nábojek také údaj o jejich ráži,</w:t>
      </w:r>
    </w:p>
    <w:p w14:paraId="7DDC0EB2" w14:textId="77777777" w:rsidR="00BB2BD7" w:rsidRPr="003C5232" w:rsidRDefault="00BB2BD7" w:rsidP="00BB2BD7">
      <w:pPr>
        <w:spacing w:after="0" w:line="240" w:lineRule="auto"/>
        <w:jc w:val="both"/>
      </w:pPr>
      <w:r w:rsidRPr="003C5232">
        <w:t>c) množství střeliva v balení střeliva, na kterém je identifikátor střeliva vyznačen, a</w:t>
      </w:r>
    </w:p>
    <w:p w14:paraId="7E2CC7F5" w14:textId="77777777" w:rsidR="00BB2BD7" w:rsidRPr="003C5232" w:rsidRDefault="00BB2BD7" w:rsidP="00BB2BD7">
      <w:pPr>
        <w:spacing w:after="0" w:line="240" w:lineRule="auto"/>
        <w:jc w:val="both"/>
      </w:pPr>
      <w:r w:rsidRPr="003C5232">
        <w:t>d) identifikátorech střeliva uvedených na souvisejících baleních střeliva v hierarchii balení, pokud je střelivo uváděno na trh v různě velkých baleních, kdy větší balení obsahuje menší balení.</w:t>
      </w:r>
    </w:p>
    <w:p w14:paraId="1700079B" w14:textId="77777777" w:rsidR="00BB2BD7" w:rsidRPr="003C5232" w:rsidRDefault="00BB2BD7" w:rsidP="00BB2BD7">
      <w:pPr>
        <w:spacing w:after="0" w:line="240" w:lineRule="auto"/>
        <w:ind w:firstLine="708"/>
        <w:jc w:val="both"/>
      </w:pPr>
      <w:r w:rsidRPr="003C5232">
        <w:t>(2) Držitel zbrojní licence skupiny ZL1, který vyrobil nebo přeshraničně přemístil na území České republiky balení střeliva, vkládá novou položku číselníku identifikátorů střeliva a provádí úpravy položky číselníku identifikátorů střeliva, kterou do centrálního registru zbraní vložil. Z důvodu ochrany vnitřního pořádku nebo bezpečnosti nebo z důvodu jiného podstatného veřejného zájmu může vložení nebo úpravu položky číselníku identifikátorů střeliva provést též Policejní prezidium.</w:t>
      </w:r>
    </w:p>
    <w:p w14:paraId="773073B0" w14:textId="77777777" w:rsidR="00BB2BD7" w:rsidRPr="003C5232" w:rsidRDefault="00BB2BD7" w:rsidP="00BB2BD7">
      <w:pPr>
        <w:spacing w:after="0" w:line="240" w:lineRule="auto"/>
        <w:jc w:val="both"/>
      </w:pPr>
      <w:r w:rsidRPr="003C5232">
        <w:tab/>
        <w:t>(3) K identifikátoru střeliva smí být evidována nejvýše jedna stejná kombinace údajů položky číselníku identifikátorů střeliva.</w:t>
      </w:r>
    </w:p>
    <w:p w14:paraId="18D3117D" w14:textId="77777777" w:rsidR="00BB2BD7" w:rsidRPr="003C5232" w:rsidRDefault="00BB2BD7" w:rsidP="00BB2BD7">
      <w:pPr>
        <w:spacing w:after="0" w:line="240" w:lineRule="auto"/>
        <w:ind w:firstLine="708"/>
        <w:jc w:val="both"/>
      </w:pPr>
      <w:r w:rsidRPr="003C5232">
        <w:t>(4) Do již existující položky číselníku identifikátorů střeliva se zařazují balení střeliva, která jsou označena odpovídajícím shodným identifikátorem střeliva.“.</w:t>
      </w:r>
    </w:p>
    <w:p w14:paraId="7452A746" w14:textId="77777777" w:rsidR="00BB2BD7" w:rsidRPr="003C5232" w:rsidRDefault="00BB2BD7" w:rsidP="00BB2BD7">
      <w:pPr>
        <w:spacing w:after="0" w:line="240" w:lineRule="auto"/>
        <w:jc w:val="both"/>
      </w:pPr>
    </w:p>
    <w:p w14:paraId="21E8117B" w14:textId="77777777" w:rsidR="00BB2BD7" w:rsidRPr="003C5232" w:rsidRDefault="00BB2BD7" w:rsidP="00BB2BD7">
      <w:pPr>
        <w:spacing w:after="0" w:line="240" w:lineRule="auto"/>
        <w:jc w:val="both"/>
      </w:pPr>
      <w:r w:rsidRPr="003C5232">
        <w:t>22. V § 134 odst. 1 se za slova „podle § 133 odst. 2“ vkládají slova „nebo § 133a odst. 2“.</w:t>
      </w:r>
    </w:p>
    <w:p w14:paraId="5EF368A2" w14:textId="77777777" w:rsidR="00BB2BD7" w:rsidRPr="003C5232" w:rsidRDefault="00BB2BD7" w:rsidP="00BB2BD7">
      <w:pPr>
        <w:spacing w:after="0" w:line="240" w:lineRule="auto"/>
        <w:jc w:val="both"/>
      </w:pPr>
    </w:p>
    <w:p w14:paraId="3B01FD99" w14:textId="77777777" w:rsidR="00BB2BD7" w:rsidRPr="003C5232" w:rsidRDefault="00BB2BD7" w:rsidP="00BB2BD7">
      <w:pPr>
        <w:spacing w:after="0" w:line="240" w:lineRule="auto"/>
        <w:jc w:val="both"/>
      </w:pPr>
      <w:r w:rsidRPr="003C5232">
        <w:t>23. V § 142 odst. 3 písm. c) se slova „nevede o větším počtu kusů zbraní nebo střeliva“ nahrazují slovy „úmyslně, opakovaně nebo ve větším rozsahu nevede“.</w:t>
      </w:r>
    </w:p>
    <w:p w14:paraId="566A9BE4" w14:textId="77777777" w:rsidR="00BB2BD7" w:rsidRPr="003C5232" w:rsidRDefault="00BB2BD7" w:rsidP="00BB2BD7">
      <w:pPr>
        <w:spacing w:after="0" w:line="240" w:lineRule="auto"/>
        <w:jc w:val="both"/>
      </w:pPr>
    </w:p>
    <w:p w14:paraId="52EB5457" w14:textId="77777777" w:rsidR="00BB2BD7" w:rsidRPr="003C5232" w:rsidRDefault="00BB2BD7" w:rsidP="00BB2BD7">
      <w:pPr>
        <w:spacing w:after="0" w:line="240" w:lineRule="auto"/>
        <w:jc w:val="both"/>
      </w:pPr>
      <w:r w:rsidRPr="003C5232">
        <w:t>24. V § 147 odst. 1 se na konci písmene b) slovo „a“ zrušuje a vkládá se písmeno c), které zní:</w:t>
      </w:r>
    </w:p>
    <w:p w14:paraId="290F77A1" w14:textId="77777777" w:rsidR="00BB2BD7" w:rsidRPr="003C5232" w:rsidRDefault="00BB2BD7" w:rsidP="00BB2BD7">
      <w:pPr>
        <w:spacing w:after="0" w:line="240" w:lineRule="auto"/>
        <w:jc w:val="both"/>
      </w:pPr>
    </w:p>
    <w:p w14:paraId="516D3627" w14:textId="77777777" w:rsidR="00BB2BD7" w:rsidRPr="003C5232" w:rsidRDefault="00BB2BD7" w:rsidP="00BB2BD7">
      <w:pPr>
        <w:spacing w:after="0" w:line="240" w:lineRule="auto"/>
        <w:jc w:val="both"/>
      </w:pPr>
      <w:r w:rsidRPr="003C5232">
        <w:t>„c) přehled převodů střeliva od držitele zbrojní licence skupiny ZL1 za dobu 12 měsíců předcházejících dni vydání zbrojního listu a“.</w:t>
      </w:r>
    </w:p>
    <w:p w14:paraId="65C347C3" w14:textId="77777777" w:rsidR="00BB2BD7" w:rsidRPr="003C5232" w:rsidRDefault="00BB2BD7" w:rsidP="00BB2BD7">
      <w:pPr>
        <w:spacing w:after="0" w:line="240" w:lineRule="auto"/>
        <w:jc w:val="both"/>
      </w:pPr>
    </w:p>
    <w:p w14:paraId="0FA4FCA1" w14:textId="77777777" w:rsidR="00BB2BD7" w:rsidRPr="003C5232" w:rsidRDefault="00BB2BD7" w:rsidP="00BB2BD7">
      <w:pPr>
        <w:spacing w:after="0" w:line="240" w:lineRule="auto"/>
        <w:jc w:val="both"/>
      </w:pPr>
      <w:r w:rsidRPr="003C5232">
        <w:t>Dosavadní písmeno c) se označuje jako písmeno d).</w:t>
      </w:r>
    </w:p>
    <w:p w14:paraId="477C5879" w14:textId="77777777" w:rsidR="00BB2BD7" w:rsidRPr="003C5232" w:rsidRDefault="00BB2BD7" w:rsidP="00BB2BD7">
      <w:pPr>
        <w:spacing w:after="0" w:line="240" w:lineRule="auto"/>
        <w:jc w:val="both"/>
      </w:pPr>
    </w:p>
    <w:p w14:paraId="085AE557" w14:textId="77777777" w:rsidR="00BB2BD7" w:rsidRPr="003C5232" w:rsidRDefault="00BB2BD7" w:rsidP="00BB2BD7">
      <w:pPr>
        <w:spacing w:after="0" w:line="240" w:lineRule="auto"/>
        <w:jc w:val="both"/>
      </w:pPr>
      <w:r w:rsidRPr="003C5232">
        <w:t>25. V § 147 odst. 1 písm. d) se slova „, nebo o“ zrušují a na konci ustanovení se doplňují slova „a o dni převodu střeliva podle písmene c)“.</w:t>
      </w:r>
    </w:p>
    <w:p w14:paraId="221CE3BE" w14:textId="77777777" w:rsidR="00BB2BD7" w:rsidRPr="003C5232" w:rsidRDefault="00BB2BD7" w:rsidP="00BB2BD7">
      <w:pPr>
        <w:spacing w:after="0" w:line="240" w:lineRule="auto"/>
        <w:jc w:val="both"/>
      </w:pPr>
    </w:p>
    <w:p w14:paraId="4959BF26" w14:textId="77777777" w:rsidR="00BB2BD7" w:rsidRPr="003C5232" w:rsidRDefault="00BB2BD7" w:rsidP="00BB2BD7">
      <w:pPr>
        <w:spacing w:after="0" w:line="240" w:lineRule="auto"/>
        <w:jc w:val="both"/>
      </w:pPr>
      <w:r w:rsidRPr="003C5232">
        <w:t>26. V § 150 odst. 15 písmeno b) zní:</w:t>
      </w:r>
    </w:p>
    <w:p w14:paraId="1306E774" w14:textId="77777777" w:rsidR="00BB2BD7" w:rsidRPr="003C5232" w:rsidRDefault="00BB2BD7" w:rsidP="00BB2BD7">
      <w:pPr>
        <w:spacing w:after="0" w:line="240" w:lineRule="auto"/>
        <w:jc w:val="both"/>
      </w:pPr>
    </w:p>
    <w:p w14:paraId="0AEA0E08" w14:textId="77777777" w:rsidR="00BB2BD7" w:rsidRPr="003C5232" w:rsidRDefault="00BB2BD7" w:rsidP="00BB2BD7">
      <w:pPr>
        <w:spacing w:after="0" w:line="240" w:lineRule="auto"/>
        <w:ind w:left="142" w:hanging="142"/>
        <w:jc w:val="both"/>
      </w:pPr>
      <w:r w:rsidRPr="003C5232">
        <w:t>„b) pořídit evidenční soupis podle § 75, pokud jde o palné zbraně kategorie NO, součásti zbraně umožňující samočinnou střelbu a polotovary hlavních částí zbraní podléhajících registraci, se kterými nakládá a které nabyl přede dnem nabytí účinnosti tohoto zákona.“.</w:t>
      </w:r>
    </w:p>
    <w:p w14:paraId="502907EC" w14:textId="77777777" w:rsidR="00BB2BD7" w:rsidRPr="003C5232" w:rsidRDefault="00BB2BD7" w:rsidP="00BB2BD7">
      <w:pPr>
        <w:spacing w:after="0" w:line="240" w:lineRule="auto"/>
        <w:jc w:val="both"/>
      </w:pPr>
    </w:p>
    <w:p w14:paraId="5121B95B" w14:textId="77777777" w:rsidR="00BB2BD7" w:rsidRPr="003C5232" w:rsidRDefault="00BB2BD7" w:rsidP="00BB2BD7">
      <w:pPr>
        <w:spacing w:after="0" w:line="240" w:lineRule="auto"/>
        <w:jc w:val="center"/>
      </w:pPr>
      <w:r w:rsidRPr="003C5232">
        <w:t>Čl. XXXIII</w:t>
      </w:r>
    </w:p>
    <w:p w14:paraId="15D0C2FC" w14:textId="77777777" w:rsidR="00BB2BD7" w:rsidRPr="003C5232" w:rsidRDefault="00BB2BD7" w:rsidP="00BB2BD7">
      <w:pPr>
        <w:spacing w:after="0" w:line="240" w:lineRule="auto"/>
        <w:jc w:val="center"/>
      </w:pPr>
      <w:r w:rsidRPr="003C5232">
        <w:t>Přechodné ustanovení</w:t>
      </w:r>
    </w:p>
    <w:p w14:paraId="04D4F8BF" w14:textId="77777777" w:rsidR="00BB2BD7" w:rsidRPr="003C5232" w:rsidRDefault="00BB2BD7" w:rsidP="00BB2BD7">
      <w:pPr>
        <w:spacing w:after="0" w:line="240" w:lineRule="auto"/>
        <w:jc w:val="both"/>
      </w:pPr>
    </w:p>
    <w:p w14:paraId="79575787" w14:textId="77777777" w:rsidR="00BB2BD7" w:rsidRPr="003C5232" w:rsidRDefault="00BB2BD7" w:rsidP="00BB2BD7">
      <w:pPr>
        <w:spacing w:after="0" w:line="240" w:lineRule="auto"/>
        <w:ind w:firstLine="708"/>
        <w:jc w:val="both"/>
      </w:pPr>
      <w:r w:rsidRPr="003C5232">
        <w:t xml:space="preserve">Balení střeliva evidovaného podle zákona č. 90/2024 Sb., ve znění účinném přede dnem 1. ledna 2028, se kterým držitel zbrojní licence skupiny ZL1 nakládá, musí být nejpozději ke dni 31. prosince 2029 označeno podle zákona č. 90/2024 Sb., ve znění účinném ode dne 1. ledna 2028 a zařazeno do příslušné položky číselníku identifikátorů střeliva v centrálním registru zbraní.“. </w:t>
      </w:r>
    </w:p>
    <w:p w14:paraId="26C5D353" w14:textId="77777777" w:rsidR="00BB2BD7" w:rsidRPr="003C5232" w:rsidRDefault="00BB2BD7" w:rsidP="00BB2BD7">
      <w:pPr>
        <w:spacing w:after="0" w:line="240" w:lineRule="auto"/>
        <w:ind w:firstLine="708"/>
        <w:jc w:val="both"/>
      </w:pPr>
    </w:p>
    <w:p w14:paraId="0E48E59B" w14:textId="77777777" w:rsidR="00BB2BD7" w:rsidRPr="003C5232" w:rsidRDefault="00BB2BD7" w:rsidP="00BB2BD7">
      <w:pPr>
        <w:spacing w:after="0" w:line="240" w:lineRule="auto"/>
        <w:jc w:val="both"/>
      </w:pPr>
      <w:r w:rsidRPr="003C5232">
        <w:t>Následující části a články se přečíslují.</w:t>
      </w:r>
    </w:p>
    <w:p w14:paraId="1D9D259B" w14:textId="77777777" w:rsidR="00BB2BD7" w:rsidRPr="003C5232" w:rsidRDefault="00BB2BD7" w:rsidP="00BB2BD7">
      <w:pPr>
        <w:spacing w:after="0" w:line="240" w:lineRule="auto"/>
        <w:jc w:val="both"/>
      </w:pPr>
    </w:p>
    <w:p w14:paraId="30B86AED" w14:textId="67AAECB3" w:rsidR="00BB2BD7" w:rsidRPr="003C5232" w:rsidRDefault="00BB2BD7" w:rsidP="00BB2BD7">
      <w:pPr>
        <w:spacing w:after="0" w:line="240" w:lineRule="auto"/>
        <w:jc w:val="both"/>
      </w:pPr>
      <w:r w:rsidRPr="003C5232">
        <w:t>2. V ČÁSTI TŘICÁTÉ PRVNÍ, Čl. XXXV (dosavadní ČÁSTI TŘICÁTÉ, čl. XXXIII) se v písmeni a) slova „a čl. VI“ nahrazují slovy „, čl. VI, čl. XXXII bodů 15, 17, 21, 22, 24 a 25 a čl. XXXIII“.</w:t>
      </w:r>
    </w:p>
    <w:p w14:paraId="23476A97" w14:textId="05D0FB5A" w:rsidR="0048581D" w:rsidRPr="003C5232" w:rsidRDefault="0048581D" w:rsidP="00BB2BD7">
      <w:pPr>
        <w:spacing w:after="0" w:line="240" w:lineRule="auto"/>
        <w:jc w:val="both"/>
      </w:pPr>
    </w:p>
    <w:p w14:paraId="3D474CAA" w14:textId="7354EC99" w:rsidR="0048581D" w:rsidRPr="003C5232" w:rsidRDefault="0048581D" w:rsidP="00BB2BD7">
      <w:pPr>
        <w:spacing w:after="0" w:line="240" w:lineRule="auto"/>
        <w:jc w:val="both"/>
      </w:pPr>
    </w:p>
    <w:p w14:paraId="1D8F1587" w14:textId="557EC5A9" w:rsidR="0048581D" w:rsidRPr="003C5232" w:rsidRDefault="0048581D" w:rsidP="0048581D">
      <w:pPr>
        <w:rPr>
          <w:b/>
          <w:u w:val="single"/>
          <w:lang w:eastAsia="cs-CZ"/>
        </w:rPr>
      </w:pPr>
      <w:r w:rsidRPr="003C5232">
        <w:rPr>
          <w:b/>
          <w:u w:val="single"/>
          <w:lang w:eastAsia="cs-CZ"/>
        </w:rPr>
        <w:t>2. Povinnost lékaře</w:t>
      </w:r>
    </w:p>
    <w:p w14:paraId="1C05976E" w14:textId="7B71C2E0" w:rsidR="0048581D" w:rsidRPr="003C5232" w:rsidRDefault="0048581D" w:rsidP="00BB2BD7">
      <w:pPr>
        <w:spacing w:after="0" w:line="240" w:lineRule="auto"/>
        <w:jc w:val="both"/>
      </w:pPr>
    </w:p>
    <w:p w14:paraId="037BD0A7" w14:textId="77777777" w:rsidR="0048581D" w:rsidRPr="003C5232" w:rsidRDefault="0048581D" w:rsidP="0048581D">
      <w:pPr>
        <w:spacing w:after="0" w:line="240" w:lineRule="auto"/>
        <w:jc w:val="both"/>
      </w:pPr>
      <w:r w:rsidRPr="003C5232">
        <w:t>Za ČÁST DVACÁTOU OSMOU se vkládají nové ČÁSTI DVACÁTÁ DEVÁTÁ a TŘICÁTÁ, které včetně nadpisů znějí:</w:t>
      </w:r>
    </w:p>
    <w:p w14:paraId="400044E6" w14:textId="77777777" w:rsidR="0048581D" w:rsidRPr="003C5232" w:rsidRDefault="0048581D" w:rsidP="0048581D">
      <w:pPr>
        <w:spacing w:after="0" w:line="240" w:lineRule="auto"/>
        <w:jc w:val="both"/>
      </w:pPr>
    </w:p>
    <w:p w14:paraId="6560082A" w14:textId="77777777" w:rsidR="0048581D" w:rsidRPr="003C5232" w:rsidRDefault="0048581D" w:rsidP="0048581D">
      <w:pPr>
        <w:spacing w:after="0" w:line="240" w:lineRule="auto"/>
        <w:jc w:val="center"/>
      </w:pPr>
      <w:r w:rsidRPr="003C5232">
        <w:t>„ČÁST DVACÁTÁ DEVÁTÁ</w:t>
      </w:r>
    </w:p>
    <w:p w14:paraId="30262094" w14:textId="77777777" w:rsidR="0048581D" w:rsidRPr="003C5232" w:rsidRDefault="0048581D" w:rsidP="0048581D">
      <w:pPr>
        <w:spacing w:after="0" w:line="240" w:lineRule="auto"/>
        <w:jc w:val="center"/>
        <w:rPr>
          <w:b/>
          <w:bCs/>
        </w:rPr>
      </w:pPr>
      <w:r w:rsidRPr="003C5232">
        <w:rPr>
          <w:b/>
          <w:bCs/>
        </w:rPr>
        <w:t>Změna zákona o zbraních a střelivu</w:t>
      </w:r>
    </w:p>
    <w:p w14:paraId="41BCA821" w14:textId="77777777" w:rsidR="0048581D" w:rsidRPr="003C5232" w:rsidRDefault="0048581D" w:rsidP="0048581D">
      <w:pPr>
        <w:spacing w:after="0" w:line="240" w:lineRule="auto"/>
        <w:jc w:val="both"/>
      </w:pPr>
    </w:p>
    <w:p w14:paraId="7D8AD612" w14:textId="77777777" w:rsidR="0048581D" w:rsidRPr="003C5232" w:rsidRDefault="0048581D" w:rsidP="0048581D">
      <w:pPr>
        <w:spacing w:after="0" w:line="240" w:lineRule="auto"/>
        <w:jc w:val="center"/>
      </w:pPr>
      <w:r w:rsidRPr="003C5232">
        <w:t>Čl. XXXII</w:t>
      </w:r>
    </w:p>
    <w:p w14:paraId="524379CF" w14:textId="77777777" w:rsidR="0048581D" w:rsidRPr="003C5232" w:rsidRDefault="0048581D" w:rsidP="0048581D">
      <w:pPr>
        <w:spacing w:after="0" w:line="240" w:lineRule="auto"/>
        <w:jc w:val="both"/>
      </w:pPr>
    </w:p>
    <w:p w14:paraId="01A4CB0D" w14:textId="77777777" w:rsidR="0048581D" w:rsidRPr="003C5232" w:rsidRDefault="0048581D" w:rsidP="0048581D">
      <w:pPr>
        <w:spacing w:after="0" w:line="240" w:lineRule="auto"/>
        <w:jc w:val="both"/>
      </w:pPr>
      <w:r w:rsidRPr="003C5232">
        <w:t>Zákon č. 90/2024 Sb., o zbraních a střelivu, se mění takto:</w:t>
      </w:r>
    </w:p>
    <w:p w14:paraId="2A0E64D3" w14:textId="77777777" w:rsidR="0048581D" w:rsidRPr="003C5232" w:rsidRDefault="0048581D" w:rsidP="0048581D">
      <w:pPr>
        <w:spacing w:after="0" w:line="240" w:lineRule="auto"/>
        <w:jc w:val="both"/>
      </w:pPr>
    </w:p>
    <w:p w14:paraId="053EC7DA" w14:textId="77777777" w:rsidR="0048581D" w:rsidRPr="003C5232" w:rsidRDefault="0048581D" w:rsidP="0048581D">
      <w:pPr>
        <w:spacing w:after="0" w:line="240" w:lineRule="auto"/>
        <w:jc w:val="both"/>
      </w:pPr>
      <w:r w:rsidRPr="003C5232">
        <w:t>1. V § 17 odst. 1 se slova „je-li mu známo, že pacient je“ nahrazují slovy „pokud je tento pacient“.</w:t>
      </w:r>
    </w:p>
    <w:p w14:paraId="5485A2F7" w14:textId="34B1F2C6" w:rsidR="00FD0FEB" w:rsidRDefault="00FD0FEB">
      <w:pPr>
        <w:spacing w:after="0" w:line="240" w:lineRule="auto"/>
      </w:pPr>
      <w:r>
        <w:br w:type="page"/>
      </w:r>
    </w:p>
    <w:p w14:paraId="29BB576B" w14:textId="77777777" w:rsidR="0048581D" w:rsidRPr="003C5232" w:rsidRDefault="0048581D" w:rsidP="0048581D">
      <w:pPr>
        <w:spacing w:after="0" w:line="240" w:lineRule="auto"/>
        <w:jc w:val="both"/>
      </w:pPr>
    </w:p>
    <w:p w14:paraId="25C9B8BC" w14:textId="77777777" w:rsidR="0048581D" w:rsidRPr="003C5232" w:rsidRDefault="0048581D" w:rsidP="0048581D">
      <w:pPr>
        <w:spacing w:after="0" w:line="240" w:lineRule="auto"/>
        <w:jc w:val="both"/>
      </w:pPr>
      <w:r w:rsidRPr="003C5232">
        <w:t>2. V § 17 odstavec 2 včetně poznámky pod čarou č. x) zní:</w:t>
      </w:r>
    </w:p>
    <w:p w14:paraId="46C0BBBE" w14:textId="77777777" w:rsidR="0048581D" w:rsidRPr="003C5232" w:rsidRDefault="0048581D" w:rsidP="0048581D">
      <w:pPr>
        <w:spacing w:after="0" w:line="240" w:lineRule="auto"/>
        <w:jc w:val="both"/>
      </w:pPr>
    </w:p>
    <w:p w14:paraId="6AEF51BF" w14:textId="77777777" w:rsidR="0048581D" w:rsidRPr="003C5232" w:rsidRDefault="0048581D" w:rsidP="0048581D">
      <w:pPr>
        <w:spacing w:after="0" w:line="240" w:lineRule="auto"/>
        <w:jc w:val="both"/>
      </w:pPr>
      <w:r w:rsidRPr="003C5232">
        <w:t xml:space="preserve">„(2) Lékař uvedený v odstavci 1 je povinen ověřit, zda je daná osoba držitelem oprávnění k nakládání se zbraněmi a střelivem, a to prostřednictvím informačního systému veřejné správy vedeného podle jiného právního </w:t>
      </w:r>
      <w:proofErr w:type="spellStart"/>
      <w:r w:rsidRPr="003C5232">
        <w:t>předpisu</w:t>
      </w:r>
      <w:r w:rsidRPr="003C5232">
        <w:rPr>
          <w:vertAlign w:val="superscript"/>
        </w:rPr>
        <w:t>x</w:t>
      </w:r>
      <w:proofErr w:type="spellEnd"/>
      <w:r w:rsidRPr="003C5232">
        <w:rPr>
          <w:vertAlign w:val="superscript"/>
        </w:rPr>
        <w:t>)</w:t>
      </w:r>
      <w:r w:rsidRPr="003C5232">
        <w:t xml:space="preserve"> nebo centrálního registru zbraní anebo dotazem u krajského ředitelství policie; tato skutečnost musí být lékaři sdělena bez zbytečného odkladu.</w:t>
      </w:r>
    </w:p>
    <w:p w14:paraId="7A1FF189" w14:textId="77777777" w:rsidR="0048581D" w:rsidRPr="003C5232" w:rsidRDefault="0048581D" w:rsidP="0048581D">
      <w:pPr>
        <w:spacing w:after="0" w:line="240" w:lineRule="auto"/>
        <w:jc w:val="both"/>
      </w:pPr>
      <w:r w:rsidRPr="003C5232">
        <w:t>__________</w:t>
      </w:r>
    </w:p>
    <w:p w14:paraId="36821D5D" w14:textId="77777777" w:rsidR="0048581D" w:rsidRPr="003C5232" w:rsidRDefault="0048581D" w:rsidP="0048581D">
      <w:pPr>
        <w:spacing w:after="0" w:line="240" w:lineRule="auto"/>
        <w:jc w:val="both"/>
      </w:pPr>
      <w:r w:rsidRPr="003C5232">
        <w:rPr>
          <w:vertAlign w:val="superscript"/>
        </w:rPr>
        <w:t>x)</w:t>
      </w:r>
      <w:r w:rsidRPr="003C5232">
        <w:t xml:space="preserve"> Zákon č. 325/2021 Sb., o elektronizaci zdravotnictví, ve znění pozdějších předpisů.“.</w:t>
      </w:r>
    </w:p>
    <w:p w14:paraId="38AD57B8" w14:textId="77777777" w:rsidR="0048581D" w:rsidRPr="003C5232" w:rsidRDefault="0048581D" w:rsidP="0048581D">
      <w:pPr>
        <w:spacing w:after="0" w:line="240" w:lineRule="auto"/>
        <w:jc w:val="both"/>
      </w:pPr>
    </w:p>
    <w:p w14:paraId="6D0B0D00" w14:textId="77777777" w:rsidR="0048581D" w:rsidRPr="003C5232" w:rsidRDefault="0048581D" w:rsidP="0048581D">
      <w:pPr>
        <w:spacing w:after="0" w:line="240" w:lineRule="auto"/>
        <w:jc w:val="both"/>
      </w:pPr>
      <w:r w:rsidRPr="003C5232">
        <w:t>3. V § 142 odst. 2 se text „odst. 1“ zrušuje.</w:t>
      </w:r>
    </w:p>
    <w:p w14:paraId="5BFEAD10" w14:textId="77777777" w:rsidR="0048581D" w:rsidRPr="003C5232" w:rsidRDefault="0048581D" w:rsidP="0048581D">
      <w:pPr>
        <w:spacing w:after="0" w:line="240" w:lineRule="auto"/>
        <w:jc w:val="both"/>
      </w:pPr>
    </w:p>
    <w:p w14:paraId="54422696" w14:textId="77777777" w:rsidR="0048581D" w:rsidRPr="003C5232" w:rsidRDefault="0048581D" w:rsidP="0048581D">
      <w:pPr>
        <w:spacing w:after="0" w:line="240" w:lineRule="auto"/>
        <w:jc w:val="both"/>
      </w:pPr>
    </w:p>
    <w:p w14:paraId="08CF384A" w14:textId="77777777" w:rsidR="0048581D" w:rsidRPr="003C5232" w:rsidRDefault="0048581D" w:rsidP="0048581D">
      <w:pPr>
        <w:spacing w:after="0" w:line="240" w:lineRule="auto"/>
        <w:jc w:val="center"/>
      </w:pPr>
      <w:r w:rsidRPr="003C5232">
        <w:t>ČÁST TŘICÁTÁ</w:t>
      </w:r>
    </w:p>
    <w:p w14:paraId="10AF22A9" w14:textId="77777777" w:rsidR="0048581D" w:rsidRPr="003C5232" w:rsidRDefault="0048581D" w:rsidP="0048581D">
      <w:pPr>
        <w:spacing w:after="0" w:line="240" w:lineRule="auto"/>
        <w:jc w:val="center"/>
        <w:rPr>
          <w:b/>
          <w:bCs/>
        </w:rPr>
      </w:pPr>
      <w:r w:rsidRPr="003C5232">
        <w:rPr>
          <w:b/>
          <w:bCs/>
        </w:rPr>
        <w:t>Změna zákona o munici</w:t>
      </w:r>
    </w:p>
    <w:p w14:paraId="29D17494" w14:textId="77777777" w:rsidR="0048581D" w:rsidRPr="003C5232" w:rsidRDefault="0048581D" w:rsidP="0048581D">
      <w:pPr>
        <w:spacing w:after="0" w:line="240" w:lineRule="auto"/>
        <w:jc w:val="both"/>
      </w:pPr>
    </w:p>
    <w:p w14:paraId="63721AAB" w14:textId="77777777" w:rsidR="0048581D" w:rsidRPr="003C5232" w:rsidRDefault="0048581D" w:rsidP="0048581D">
      <w:pPr>
        <w:spacing w:after="0" w:line="240" w:lineRule="auto"/>
        <w:jc w:val="center"/>
      </w:pPr>
      <w:r w:rsidRPr="003C5232">
        <w:t>Čl. XXXIII</w:t>
      </w:r>
    </w:p>
    <w:p w14:paraId="2B760836" w14:textId="77777777" w:rsidR="0048581D" w:rsidRPr="003C5232" w:rsidRDefault="0048581D" w:rsidP="0048581D">
      <w:pPr>
        <w:spacing w:after="0" w:line="240" w:lineRule="auto"/>
        <w:jc w:val="both"/>
      </w:pPr>
    </w:p>
    <w:p w14:paraId="6A25BD48" w14:textId="77777777" w:rsidR="0048581D" w:rsidRPr="003C5232" w:rsidRDefault="0048581D" w:rsidP="0048581D">
      <w:pPr>
        <w:spacing w:after="0" w:line="240" w:lineRule="auto"/>
        <w:jc w:val="both"/>
      </w:pPr>
      <w:r w:rsidRPr="003C5232">
        <w:t>Zákon č. 91/2024 Sb., o munici, se mění takto:</w:t>
      </w:r>
    </w:p>
    <w:p w14:paraId="44DB5FCD" w14:textId="77777777" w:rsidR="0048581D" w:rsidRPr="003C5232" w:rsidRDefault="0048581D" w:rsidP="0048581D">
      <w:pPr>
        <w:spacing w:after="0" w:line="240" w:lineRule="auto"/>
        <w:jc w:val="both"/>
      </w:pPr>
    </w:p>
    <w:p w14:paraId="2EF723D9" w14:textId="77777777" w:rsidR="0048581D" w:rsidRPr="003C5232" w:rsidRDefault="0048581D" w:rsidP="0048581D">
      <w:pPr>
        <w:spacing w:after="0" w:line="240" w:lineRule="auto"/>
        <w:jc w:val="both"/>
      </w:pPr>
      <w:r w:rsidRPr="003C5232">
        <w:t>1. V § 15 odst. 1 se slova „je-li mu známo, že pacient je“ nahrazují slovy „pokud je tento pacient“.</w:t>
      </w:r>
    </w:p>
    <w:p w14:paraId="5A2716A5" w14:textId="77777777" w:rsidR="0048581D" w:rsidRPr="003C5232" w:rsidRDefault="0048581D" w:rsidP="0048581D">
      <w:pPr>
        <w:spacing w:after="0" w:line="240" w:lineRule="auto"/>
        <w:jc w:val="both"/>
      </w:pPr>
    </w:p>
    <w:p w14:paraId="289C977A" w14:textId="77777777" w:rsidR="0048581D" w:rsidRPr="003C5232" w:rsidRDefault="0048581D" w:rsidP="0048581D">
      <w:pPr>
        <w:spacing w:after="0" w:line="240" w:lineRule="auto"/>
        <w:jc w:val="both"/>
      </w:pPr>
      <w:r w:rsidRPr="003C5232">
        <w:t>2. V § 15 odstavec 2 včetně poznámky pod čarou č. x) zní:</w:t>
      </w:r>
    </w:p>
    <w:p w14:paraId="1A6BED80" w14:textId="77777777" w:rsidR="0048581D" w:rsidRPr="003C5232" w:rsidRDefault="0048581D" w:rsidP="0048581D">
      <w:pPr>
        <w:spacing w:after="0" w:line="240" w:lineRule="auto"/>
        <w:jc w:val="both"/>
      </w:pPr>
    </w:p>
    <w:p w14:paraId="39831A99" w14:textId="77777777" w:rsidR="0048581D" w:rsidRPr="003C5232" w:rsidRDefault="0048581D" w:rsidP="0048581D">
      <w:pPr>
        <w:spacing w:after="0" w:line="240" w:lineRule="auto"/>
        <w:jc w:val="both"/>
      </w:pPr>
      <w:r w:rsidRPr="003C5232">
        <w:t xml:space="preserve">„(2) Lékař uvedený v odstavci 1 je povinen ověřit, zda je daná osoba držitelem muničního oprávnění, a to prostřednictvím informačního systému veřejné správy vedeného podle jiného právního </w:t>
      </w:r>
      <w:proofErr w:type="spellStart"/>
      <w:r w:rsidRPr="003C5232">
        <w:t>předpisu</w:t>
      </w:r>
      <w:r w:rsidRPr="003C5232">
        <w:rPr>
          <w:vertAlign w:val="superscript"/>
        </w:rPr>
        <w:t>x</w:t>
      </w:r>
      <w:proofErr w:type="spellEnd"/>
      <w:r w:rsidRPr="003C5232">
        <w:rPr>
          <w:vertAlign w:val="superscript"/>
        </w:rPr>
        <w:t>)</w:t>
      </w:r>
      <w:r w:rsidRPr="003C5232">
        <w:t xml:space="preserve"> nebo centrálního registru zbraní anebo dotazem u krajského ředitelství policie; tato skutečnost musí být lékaři sdělena bez zbytečného odkladu.</w:t>
      </w:r>
    </w:p>
    <w:p w14:paraId="75A023EA" w14:textId="77777777" w:rsidR="0048581D" w:rsidRPr="003C5232" w:rsidRDefault="0048581D" w:rsidP="0048581D">
      <w:pPr>
        <w:spacing w:after="0" w:line="240" w:lineRule="auto"/>
        <w:jc w:val="both"/>
      </w:pPr>
      <w:r w:rsidRPr="003C5232">
        <w:t>__________</w:t>
      </w:r>
    </w:p>
    <w:p w14:paraId="1B8EBB06" w14:textId="77777777" w:rsidR="0048581D" w:rsidRPr="003C5232" w:rsidRDefault="0048581D" w:rsidP="0048581D">
      <w:pPr>
        <w:spacing w:after="0" w:line="240" w:lineRule="auto"/>
        <w:jc w:val="both"/>
      </w:pPr>
      <w:r w:rsidRPr="003C5232">
        <w:rPr>
          <w:vertAlign w:val="superscript"/>
        </w:rPr>
        <w:t>x)</w:t>
      </w:r>
      <w:r w:rsidRPr="003C5232">
        <w:t xml:space="preserve"> Zákon č. 325/2021 Sb., o elektronizaci zdravotnictví, ve znění pozdějších předpisů.“.</w:t>
      </w:r>
    </w:p>
    <w:p w14:paraId="4DA9A820" w14:textId="77777777" w:rsidR="0048581D" w:rsidRPr="003C5232" w:rsidRDefault="0048581D" w:rsidP="0048581D">
      <w:pPr>
        <w:spacing w:after="0" w:line="240" w:lineRule="auto"/>
        <w:jc w:val="both"/>
      </w:pPr>
    </w:p>
    <w:p w14:paraId="00A3B064" w14:textId="77777777" w:rsidR="0048581D" w:rsidRPr="003C5232" w:rsidRDefault="0048581D" w:rsidP="0048581D">
      <w:pPr>
        <w:spacing w:after="0" w:line="240" w:lineRule="auto"/>
        <w:jc w:val="both"/>
      </w:pPr>
      <w:r w:rsidRPr="003C5232">
        <w:t>3. V § 70 odst. 12 se se text „odst. 1“ zrušuje.“.</w:t>
      </w:r>
    </w:p>
    <w:p w14:paraId="22B29ADC" w14:textId="77777777" w:rsidR="0048581D" w:rsidRPr="003C5232" w:rsidRDefault="0048581D" w:rsidP="0048581D">
      <w:pPr>
        <w:spacing w:after="0" w:line="240" w:lineRule="auto"/>
        <w:jc w:val="both"/>
      </w:pPr>
    </w:p>
    <w:p w14:paraId="38EBBC0C" w14:textId="77777777" w:rsidR="0048581D" w:rsidRPr="003C5232" w:rsidRDefault="0048581D" w:rsidP="0048581D">
      <w:pPr>
        <w:spacing w:after="0" w:line="240" w:lineRule="auto"/>
        <w:jc w:val="both"/>
      </w:pPr>
      <w:r w:rsidRPr="003C5232">
        <w:t>Následující části a články se přečíslují.</w:t>
      </w:r>
    </w:p>
    <w:p w14:paraId="4699DA55" w14:textId="77777777" w:rsidR="0048581D" w:rsidRPr="003C5232" w:rsidRDefault="0048581D" w:rsidP="0048581D">
      <w:pPr>
        <w:spacing w:after="0" w:line="240" w:lineRule="auto"/>
        <w:jc w:val="both"/>
      </w:pPr>
    </w:p>
    <w:p w14:paraId="04D2F5B1" w14:textId="1EF25190" w:rsidR="00FD0FEB" w:rsidRDefault="00FD0FEB">
      <w:pPr>
        <w:spacing w:after="0" w:line="240" w:lineRule="auto"/>
        <w:rPr>
          <w:rFonts w:eastAsia="Times New Roman"/>
          <w:spacing w:val="60"/>
          <w:szCs w:val="24"/>
          <w:lang w:eastAsia="cs-CZ"/>
        </w:rPr>
      </w:pPr>
      <w:r>
        <w:rPr>
          <w:rFonts w:eastAsia="Times New Roman"/>
          <w:spacing w:val="60"/>
          <w:szCs w:val="24"/>
          <w:lang w:eastAsia="cs-CZ"/>
        </w:rPr>
        <w:br w:type="page"/>
      </w:r>
    </w:p>
    <w:p w14:paraId="512FBEFA" w14:textId="77777777" w:rsidR="00BB2BD7" w:rsidRPr="003C5232" w:rsidRDefault="00BB2BD7" w:rsidP="00BB2BD7">
      <w:pPr>
        <w:spacing w:after="0" w:line="240" w:lineRule="auto"/>
        <w:ind w:left="709" w:hanging="709"/>
        <w:jc w:val="center"/>
        <w:rPr>
          <w:rFonts w:eastAsia="Times New Roman"/>
          <w:spacing w:val="60"/>
          <w:szCs w:val="24"/>
          <w:lang w:eastAsia="cs-CZ"/>
        </w:rPr>
      </w:pPr>
    </w:p>
    <w:p w14:paraId="1FEAA461" w14:textId="77777777" w:rsidR="00BB2BD7" w:rsidRPr="003C5232" w:rsidRDefault="00BB2BD7" w:rsidP="00BB2BD7">
      <w:pPr>
        <w:spacing w:after="0" w:line="240" w:lineRule="auto"/>
        <w:ind w:left="709" w:hanging="709"/>
        <w:jc w:val="center"/>
        <w:rPr>
          <w:rFonts w:eastAsia="Times New Roman"/>
          <w:spacing w:val="60"/>
          <w:szCs w:val="24"/>
          <w:lang w:eastAsia="cs-CZ"/>
        </w:rPr>
      </w:pPr>
    </w:p>
    <w:p w14:paraId="72148766" w14:textId="77777777" w:rsidR="004921DA" w:rsidRPr="003C5232" w:rsidRDefault="004921DA" w:rsidP="004921DA">
      <w:pPr>
        <w:pStyle w:val="Odstavecseseznamem"/>
        <w:rPr>
          <w:szCs w:val="24"/>
        </w:rPr>
      </w:pPr>
      <w:r w:rsidRPr="003C5232">
        <w:rPr>
          <w:b/>
          <w:szCs w:val="24"/>
        </w:rPr>
        <w:t xml:space="preserve">II. </w:t>
      </w:r>
      <w:r w:rsidRPr="003C5232">
        <w:rPr>
          <w:b/>
          <w:szCs w:val="24"/>
        </w:rPr>
        <w:tab/>
        <w:t>z m o c ň u j e</w:t>
      </w:r>
      <w:r w:rsidRPr="003C5232">
        <w:rPr>
          <w:szCs w:val="24"/>
        </w:rPr>
        <w:t xml:space="preserve">   zpravodaje výboru, aby</w:t>
      </w:r>
    </w:p>
    <w:p w14:paraId="189B4FD7" w14:textId="77777777" w:rsidR="004921DA" w:rsidRPr="003C5232" w:rsidRDefault="004921DA" w:rsidP="004921DA">
      <w:pPr>
        <w:pStyle w:val="Odstavecseseznamem"/>
        <w:rPr>
          <w:szCs w:val="24"/>
        </w:rPr>
      </w:pPr>
      <w:r w:rsidRPr="003C5232">
        <w:rPr>
          <w:szCs w:val="24"/>
        </w:rPr>
        <w:t xml:space="preserve"> </w:t>
      </w:r>
    </w:p>
    <w:p w14:paraId="1952A148" w14:textId="77777777" w:rsidR="004921DA" w:rsidRPr="003C5232" w:rsidRDefault="004921DA" w:rsidP="004921DA">
      <w:pPr>
        <w:pStyle w:val="Odstavecseseznamem"/>
        <w:numPr>
          <w:ilvl w:val="0"/>
          <w:numId w:val="15"/>
        </w:numPr>
        <w:spacing w:after="0" w:line="240" w:lineRule="auto"/>
        <w:jc w:val="both"/>
        <w:rPr>
          <w:szCs w:val="24"/>
        </w:rPr>
      </w:pPr>
      <w:r w:rsidRPr="003C5232">
        <w:rPr>
          <w:szCs w:val="24"/>
        </w:rPr>
        <w:t>se stanoviskem výboru seznámil schůzi Poslanecké sněmovny Parlamentu ČR;</w:t>
      </w:r>
    </w:p>
    <w:p w14:paraId="12020726" w14:textId="77777777" w:rsidR="004921DA" w:rsidRPr="003C5232" w:rsidRDefault="004921DA" w:rsidP="004921DA">
      <w:pPr>
        <w:pStyle w:val="Odstavecseseznamem"/>
        <w:numPr>
          <w:ilvl w:val="0"/>
          <w:numId w:val="15"/>
        </w:numPr>
        <w:tabs>
          <w:tab w:val="center" w:pos="1701"/>
          <w:tab w:val="center" w:pos="4536"/>
          <w:tab w:val="center" w:pos="7371"/>
        </w:tabs>
        <w:spacing w:before="1000" w:after="0" w:line="240" w:lineRule="auto"/>
        <w:jc w:val="both"/>
      </w:pPr>
      <w:r w:rsidRPr="003C5232">
        <w:rPr>
          <w:szCs w:val="24"/>
        </w:rPr>
        <w:t>ve spolupráci s navrhovatelem a legislativním odborem Kanceláře Poslanecké sněmovny Parlamentu ČR provedl příslušné legislativně technické úpravy.</w:t>
      </w:r>
    </w:p>
    <w:p w14:paraId="72D8F4EC" w14:textId="77777777" w:rsidR="004921DA" w:rsidRPr="003C5232" w:rsidRDefault="004921DA" w:rsidP="004921DA">
      <w:pPr>
        <w:pStyle w:val="Zkladnodstavec"/>
        <w:tabs>
          <w:tab w:val="left" w:pos="300"/>
        </w:tabs>
        <w:contextualSpacing/>
        <w:rPr>
          <w:rFonts w:ascii="Arial" w:hAnsi="Arial" w:cs="Arial"/>
          <w:b/>
          <w:bCs/>
          <w:color w:val="auto"/>
          <w:spacing w:val="4"/>
        </w:rPr>
      </w:pPr>
    </w:p>
    <w:p w14:paraId="083903D0" w14:textId="77777777" w:rsidR="004921DA" w:rsidRPr="003C5232" w:rsidRDefault="004921DA" w:rsidP="004921DA">
      <w:pPr>
        <w:pStyle w:val="PS-uvodnodstavec"/>
        <w:widowControl w:val="0"/>
        <w:spacing w:after="0" w:line="240" w:lineRule="auto"/>
        <w:ind w:firstLine="0"/>
      </w:pPr>
      <w:r w:rsidRPr="003C5232">
        <w:rPr>
          <w:szCs w:val="24"/>
        </w:rPr>
        <w:tab/>
      </w:r>
      <w:r w:rsidRPr="003C5232">
        <w:rPr>
          <w:b/>
          <w:szCs w:val="24"/>
        </w:rPr>
        <w:t xml:space="preserve">III. </w:t>
      </w:r>
      <w:r w:rsidRPr="003C5232">
        <w:rPr>
          <w:b/>
          <w:szCs w:val="24"/>
        </w:rPr>
        <w:tab/>
      </w:r>
      <w:r w:rsidRPr="003C5232">
        <w:rPr>
          <w:b/>
        </w:rPr>
        <w:t>p o v ě ř u j e</w:t>
      </w:r>
      <w:r w:rsidRPr="003C5232">
        <w:t xml:space="preserve">   předsedu výboru, aby předložil toto usnesení předsedkyni Poslanecké sněmovny Parlamentu ČR.</w:t>
      </w:r>
    </w:p>
    <w:p w14:paraId="4AD9DDFD" w14:textId="77777777" w:rsidR="000B5A14" w:rsidRPr="003C5232" w:rsidRDefault="000B5A14" w:rsidP="000B5A14">
      <w:pPr>
        <w:pStyle w:val="PS-uvodnodstavec"/>
        <w:widowControl w:val="0"/>
        <w:spacing w:after="0" w:line="240" w:lineRule="auto"/>
        <w:ind w:firstLine="0"/>
      </w:pPr>
    </w:p>
    <w:p w14:paraId="23261CF0" w14:textId="2E7C2783" w:rsidR="006C1E09" w:rsidRDefault="006C1E09" w:rsidP="00FF5011">
      <w:pPr>
        <w:pStyle w:val="Zkladnodstavec"/>
        <w:tabs>
          <w:tab w:val="left" w:pos="300"/>
        </w:tabs>
        <w:contextualSpacing/>
        <w:rPr>
          <w:rFonts w:ascii="Arial" w:hAnsi="Arial" w:cs="Arial"/>
          <w:b/>
          <w:bCs/>
          <w:color w:val="auto"/>
          <w:spacing w:val="4"/>
        </w:rPr>
      </w:pPr>
    </w:p>
    <w:p w14:paraId="6C04933F" w14:textId="7BCD6000" w:rsidR="00FD0FEB" w:rsidRDefault="00FD0FEB" w:rsidP="00FF5011">
      <w:pPr>
        <w:pStyle w:val="Zkladnodstavec"/>
        <w:tabs>
          <w:tab w:val="left" w:pos="300"/>
        </w:tabs>
        <w:contextualSpacing/>
        <w:rPr>
          <w:rFonts w:ascii="Arial" w:hAnsi="Arial" w:cs="Arial"/>
          <w:b/>
          <w:bCs/>
          <w:color w:val="auto"/>
          <w:spacing w:val="4"/>
        </w:rPr>
      </w:pPr>
    </w:p>
    <w:p w14:paraId="10E8D38B" w14:textId="710AF5F9" w:rsidR="00FD0FEB" w:rsidRDefault="00FD0FEB" w:rsidP="00FF5011">
      <w:pPr>
        <w:pStyle w:val="Zkladnodstavec"/>
        <w:tabs>
          <w:tab w:val="left" w:pos="300"/>
        </w:tabs>
        <w:contextualSpacing/>
        <w:rPr>
          <w:rFonts w:ascii="Arial" w:hAnsi="Arial" w:cs="Arial"/>
          <w:b/>
          <w:bCs/>
          <w:color w:val="auto"/>
          <w:spacing w:val="4"/>
        </w:rPr>
      </w:pPr>
    </w:p>
    <w:p w14:paraId="4C8B4B24" w14:textId="02BD42F7" w:rsidR="00FD0FEB" w:rsidRDefault="00FD0FEB" w:rsidP="00FF5011">
      <w:pPr>
        <w:pStyle w:val="Zkladnodstavec"/>
        <w:tabs>
          <w:tab w:val="left" w:pos="300"/>
        </w:tabs>
        <w:contextualSpacing/>
        <w:rPr>
          <w:rFonts w:ascii="Arial" w:hAnsi="Arial" w:cs="Arial"/>
          <w:b/>
          <w:bCs/>
          <w:color w:val="auto"/>
          <w:spacing w:val="4"/>
        </w:rPr>
      </w:pPr>
    </w:p>
    <w:p w14:paraId="31BE9F4D" w14:textId="27B104FC" w:rsidR="00FD0FEB" w:rsidRDefault="00FD0FEB" w:rsidP="00FF5011">
      <w:pPr>
        <w:pStyle w:val="Zkladnodstavec"/>
        <w:tabs>
          <w:tab w:val="left" w:pos="300"/>
        </w:tabs>
        <w:contextualSpacing/>
        <w:rPr>
          <w:rFonts w:ascii="Arial" w:hAnsi="Arial" w:cs="Arial"/>
          <w:b/>
          <w:bCs/>
          <w:color w:val="auto"/>
          <w:spacing w:val="4"/>
        </w:rPr>
      </w:pPr>
    </w:p>
    <w:p w14:paraId="4D18EEC5" w14:textId="6DD87EF1" w:rsidR="00FD0FEB" w:rsidRDefault="00FD0FEB" w:rsidP="00FF5011">
      <w:pPr>
        <w:pStyle w:val="Zkladnodstavec"/>
        <w:tabs>
          <w:tab w:val="left" w:pos="300"/>
        </w:tabs>
        <w:contextualSpacing/>
        <w:rPr>
          <w:rFonts w:ascii="Arial" w:hAnsi="Arial" w:cs="Arial"/>
          <w:b/>
          <w:bCs/>
          <w:color w:val="auto"/>
          <w:spacing w:val="4"/>
        </w:rPr>
      </w:pPr>
    </w:p>
    <w:p w14:paraId="258AD54B" w14:textId="73758D63" w:rsidR="00FD0FEB" w:rsidRDefault="00FD0FEB" w:rsidP="00FF5011">
      <w:pPr>
        <w:pStyle w:val="Zkladnodstavec"/>
        <w:tabs>
          <w:tab w:val="left" w:pos="300"/>
        </w:tabs>
        <w:contextualSpacing/>
        <w:rPr>
          <w:rFonts w:ascii="Arial" w:hAnsi="Arial" w:cs="Arial"/>
          <w:b/>
          <w:bCs/>
          <w:color w:val="auto"/>
          <w:spacing w:val="4"/>
        </w:rPr>
      </w:pPr>
    </w:p>
    <w:p w14:paraId="7FBDF3AA" w14:textId="20A30D10" w:rsidR="00FD0FEB" w:rsidRDefault="00FD0FEB" w:rsidP="00FF5011">
      <w:pPr>
        <w:pStyle w:val="Zkladnodstavec"/>
        <w:tabs>
          <w:tab w:val="left" w:pos="300"/>
        </w:tabs>
        <w:contextualSpacing/>
        <w:rPr>
          <w:rFonts w:ascii="Arial" w:hAnsi="Arial" w:cs="Arial"/>
          <w:b/>
          <w:bCs/>
          <w:color w:val="auto"/>
          <w:spacing w:val="4"/>
        </w:rPr>
      </w:pPr>
    </w:p>
    <w:p w14:paraId="2A38E6D2" w14:textId="2F455868" w:rsidR="00FD0FEB" w:rsidRDefault="00FD0FEB" w:rsidP="00FF5011">
      <w:pPr>
        <w:pStyle w:val="Zkladnodstavec"/>
        <w:tabs>
          <w:tab w:val="left" w:pos="300"/>
        </w:tabs>
        <w:contextualSpacing/>
        <w:rPr>
          <w:rFonts w:ascii="Arial" w:hAnsi="Arial" w:cs="Arial"/>
          <w:b/>
          <w:bCs/>
          <w:color w:val="auto"/>
          <w:spacing w:val="4"/>
        </w:rPr>
      </w:pPr>
    </w:p>
    <w:p w14:paraId="125D69B9" w14:textId="2ACAA84C" w:rsidR="00FD0FEB" w:rsidRDefault="00FD0FEB" w:rsidP="00FF5011">
      <w:pPr>
        <w:pStyle w:val="Zkladnodstavec"/>
        <w:tabs>
          <w:tab w:val="left" w:pos="300"/>
        </w:tabs>
        <w:contextualSpacing/>
        <w:rPr>
          <w:rFonts w:ascii="Arial" w:hAnsi="Arial" w:cs="Arial"/>
          <w:b/>
          <w:bCs/>
          <w:color w:val="auto"/>
          <w:spacing w:val="4"/>
        </w:rPr>
      </w:pPr>
    </w:p>
    <w:p w14:paraId="3BA739C3" w14:textId="4409FCD6" w:rsidR="00FD0FEB" w:rsidRDefault="00FD0FEB" w:rsidP="00FF5011">
      <w:pPr>
        <w:pStyle w:val="Zkladnodstavec"/>
        <w:tabs>
          <w:tab w:val="left" w:pos="300"/>
        </w:tabs>
        <w:contextualSpacing/>
        <w:rPr>
          <w:rFonts w:ascii="Arial" w:hAnsi="Arial" w:cs="Arial"/>
          <w:b/>
          <w:bCs/>
          <w:color w:val="auto"/>
          <w:spacing w:val="4"/>
        </w:rPr>
      </w:pPr>
    </w:p>
    <w:p w14:paraId="4E357149" w14:textId="51361175" w:rsidR="00FD0FEB" w:rsidRDefault="00FD0FEB" w:rsidP="00FF5011">
      <w:pPr>
        <w:pStyle w:val="Zkladnodstavec"/>
        <w:tabs>
          <w:tab w:val="left" w:pos="300"/>
        </w:tabs>
        <w:contextualSpacing/>
        <w:rPr>
          <w:rFonts w:ascii="Arial" w:hAnsi="Arial" w:cs="Arial"/>
          <w:b/>
          <w:bCs/>
          <w:color w:val="auto"/>
          <w:spacing w:val="4"/>
        </w:rPr>
      </w:pPr>
    </w:p>
    <w:p w14:paraId="22488D06" w14:textId="77777777" w:rsidR="00FD0FEB" w:rsidRPr="003C5232" w:rsidRDefault="00FD0FEB" w:rsidP="00FF5011">
      <w:pPr>
        <w:pStyle w:val="Zkladnodstavec"/>
        <w:tabs>
          <w:tab w:val="left" w:pos="300"/>
        </w:tabs>
        <w:contextualSpacing/>
        <w:rPr>
          <w:rFonts w:ascii="Arial" w:hAnsi="Arial" w:cs="Arial"/>
          <w:b/>
          <w:bCs/>
          <w:color w:val="auto"/>
          <w:spacing w:val="4"/>
        </w:rPr>
      </w:pPr>
    </w:p>
    <w:p w14:paraId="4AAEBEC9" w14:textId="77777777" w:rsidR="0069210E" w:rsidRPr="003C5232" w:rsidRDefault="0069210E" w:rsidP="00FF5011">
      <w:pPr>
        <w:pStyle w:val="Zkladnodstavec"/>
        <w:tabs>
          <w:tab w:val="left" w:pos="300"/>
        </w:tabs>
        <w:contextualSpacing/>
        <w:rPr>
          <w:rFonts w:ascii="Arial" w:hAnsi="Arial" w:cs="Arial"/>
          <w:b/>
          <w:bCs/>
          <w:color w:val="auto"/>
          <w:spacing w:val="4"/>
        </w:rPr>
      </w:pPr>
    </w:p>
    <w:tbl>
      <w:tblPr>
        <w:tblW w:w="9212" w:type="dxa"/>
        <w:tblLayout w:type="fixed"/>
        <w:tblCellMar>
          <w:left w:w="70" w:type="dxa"/>
          <w:right w:w="70" w:type="dxa"/>
        </w:tblCellMar>
        <w:tblLook w:val="04A0" w:firstRow="1" w:lastRow="0" w:firstColumn="1" w:lastColumn="0" w:noHBand="0" w:noVBand="1"/>
      </w:tblPr>
      <w:tblGrid>
        <w:gridCol w:w="4606"/>
        <w:gridCol w:w="4606"/>
      </w:tblGrid>
      <w:tr w:rsidR="003C5232" w:rsidRPr="003C5232" w14:paraId="418224A0" w14:textId="77777777" w:rsidTr="000B5A14">
        <w:tc>
          <w:tcPr>
            <w:tcW w:w="4606" w:type="dxa"/>
            <w:hideMark/>
          </w:tcPr>
          <w:p w14:paraId="2CD9F186" w14:textId="6E0854A9" w:rsidR="00110466" w:rsidRPr="003C5232" w:rsidRDefault="00230A66" w:rsidP="00BF64E0">
            <w:pPr>
              <w:spacing w:after="0" w:line="240" w:lineRule="auto"/>
              <w:jc w:val="center"/>
              <w:rPr>
                <w:rFonts w:eastAsia="Times New Roman"/>
              </w:rPr>
            </w:pPr>
            <w:r w:rsidRPr="003C5232">
              <w:rPr>
                <w:rFonts w:eastAsia="Times New Roman"/>
              </w:rPr>
              <w:t>Martin EXNER</w:t>
            </w:r>
            <w:r w:rsidR="00325B7F">
              <w:rPr>
                <w:rFonts w:eastAsia="Times New Roman"/>
              </w:rPr>
              <w:t xml:space="preserve"> v. r.</w:t>
            </w:r>
          </w:p>
          <w:p w14:paraId="4013669D" w14:textId="7BCD4F2B" w:rsidR="00110466" w:rsidRPr="003C5232" w:rsidRDefault="00230A66" w:rsidP="00BF64E0">
            <w:pPr>
              <w:spacing w:after="0" w:line="240" w:lineRule="auto"/>
              <w:jc w:val="center"/>
              <w:rPr>
                <w:rFonts w:eastAsia="Times New Roman"/>
              </w:rPr>
            </w:pPr>
            <w:r w:rsidRPr="003C5232">
              <w:t xml:space="preserve">místopředseda a </w:t>
            </w:r>
            <w:r w:rsidR="00110466" w:rsidRPr="003C5232">
              <w:t>ověřovatel výboru</w:t>
            </w:r>
          </w:p>
        </w:tc>
        <w:tc>
          <w:tcPr>
            <w:tcW w:w="4606" w:type="dxa"/>
            <w:hideMark/>
          </w:tcPr>
          <w:p w14:paraId="43547312" w14:textId="4F54C0DC" w:rsidR="00110466" w:rsidRPr="003C5232" w:rsidRDefault="00110466" w:rsidP="00BF64E0">
            <w:pPr>
              <w:spacing w:after="0" w:line="240" w:lineRule="auto"/>
              <w:jc w:val="center"/>
            </w:pPr>
            <w:r w:rsidRPr="003C5232">
              <w:t>Petr LETOCH</w:t>
            </w:r>
            <w:r w:rsidR="004921DA" w:rsidRPr="003C5232">
              <w:t>A</w:t>
            </w:r>
            <w:r w:rsidR="00325B7F">
              <w:t xml:space="preserve"> v. r.</w:t>
            </w:r>
          </w:p>
          <w:p w14:paraId="19CF51CF" w14:textId="77777777" w:rsidR="00110466" w:rsidRPr="003C5232" w:rsidRDefault="00110466" w:rsidP="00BF64E0">
            <w:pPr>
              <w:spacing w:after="0" w:line="240" w:lineRule="auto"/>
              <w:jc w:val="center"/>
            </w:pPr>
            <w:r w:rsidRPr="003C5232">
              <w:t>zpravodaj výboru</w:t>
            </w:r>
          </w:p>
        </w:tc>
      </w:tr>
      <w:tr w:rsidR="003C5232" w:rsidRPr="003C5232" w14:paraId="4691BD24" w14:textId="77777777" w:rsidTr="000B5A14">
        <w:tc>
          <w:tcPr>
            <w:tcW w:w="4606" w:type="dxa"/>
          </w:tcPr>
          <w:p w14:paraId="38C3F155" w14:textId="77777777" w:rsidR="00110466" w:rsidRPr="003C5232" w:rsidRDefault="00110466" w:rsidP="00BF64E0">
            <w:pPr>
              <w:spacing w:after="0" w:line="240" w:lineRule="auto"/>
              <w:jc w:val="center"/>
              <w:rPr>
                <w:rFonts w:eastAsia="Times New Roman"/>
              </w:rPr>
            </w:pPr>
          </w:p>
        </w:tc>
        <w:tc>
          <w:tcPr>
            <w:tcW w:w="4606" w:type="dxa"/>
          </w:tcPr>
          <w:p w14:paraId="500E103C" w14:textId="77777777" w:rsidR="00110466" w:rsidRPr="003C5232" w:rsidRDefault="00110466" w:rsidP="00BF64E0">
            <w:pPr>
              <w:spacing w:after="0" w:line="240" w:lineRule="auto"/>
              <w:jc w:val="center"/>
            </w:pPr>
          </w:p>
        </w:tc>
      </w:tr>
      <w:tr w:rsidR="003C5232" w:rsidRPr="003C5232" w14:paraId="03E3C3FB" w14:textId="77777777" w:rsidTr="000B5A14">
        <w:tc>
          <w:tcPr>
            <w:tcW w:w="4606" w:type="dxa"/>
          </w:tcPr>
          <w:p w14:paraId="6011E4C5" w14:textId="77777777" w:rsidR="00110466" w:rsidRPr="003C5232" w:rsidRDefault="00110466" w:rsidP="00BF64E0">
            <w:pPr>
              <w:spacing w:after="0" w:line="240" w:lineRule="auto"/>
              <w:jc w:val="center"/>
              <w:rPr>
                <w:rFonts w:eastAsia="Times New Roman"/>
              </w:rPr>
            </w:pPr>
          </w:p>
        </w:tc>
        <w:tc>
          <w:tcPr>
            <w:tcW w:w="4606" w:type="dxa"/>
          </w:tcPr>
          <w:p w14:paraId="2982397A" w14:textId="77777777" w:rsidR="00110466" w:rsidRPr="003C5232" w:rsidRDefault="00110466" w:rsidP="00BF64E0">
            <w:pPr>
              <w:spacing w:after="0" w:line="240" w:lineRule="auto"/>
              <w:jc w:val="center"/>
            </w:pPr>
          </w:p>
        </w:tc>
      </w:tr>
      <w:tr w:rsidR="003C5232" w:rsidRPr="003C5232" w14:paraId="6033437E" w14:textId="77777777" w:rsidTr="000B5A14">
        <w:tc>
          <w:tcPr>
            <w:tcW w:w="4606" w:type="dxa"/>
          </w:tcPr>
          <w:p w14:paraId="53E232AC" w14:textId="77777777" w:rsidR="00110466" w:rsidRPr="003C5232" w:rsidRDefault="00110466" w:rsidP="00BF64E0">
            <w:pPr>
              <w:spacing w:after="0" w:line="240" w:lineRule="auto"/>
              <w:jc w:val="center"/>
              <w:rPr>
                <w:rFonts w:eastAsia="Times New Roman"/>
              </w:rPr>
            </w:pPr>
          </w:p>
        </w:tc>
        <w:tc>
          <w:tcPr>
            <w:tcW w:w="4606" w:type="dxa"/>
          </w:tcPr>
          <w:p w14:paraId="27BEDD0F" w14:textId="77777777" w:rsidR="00110466" w:rsidRPr="003C5232" w:rsidRDefault="00110466" w:rsidP="00BF64E0">
            <w:pPr>
              <w:spacing w:after="0" w:line="240" w:lineRule="auto"/>
              <w:jc w:val="center"/>
            </w:pPr>
          </w:p>
        </w:tc>
      </w:tr>
      <w:tr w:rsidR="003C5232" w:rsidRPr="003C5232" w14:paraId="0B7133B6" w14:textId="77777777" w:rsidTr="000B5A14">
        <w:tc>
          <w:tcPr>
            <w:tcW w:w="4606" w:type="dxa"/>
          </w:tcPr>
          <w:p w14:paraId="29B117B6" w14:textId="77777777" w:rsidR="00110466" w:rsidRPr="003C5232" w:rsidRDefault="00110466" w:rsidP="00BF64E0">
            <w:pPr>
              <w:spacing w:after="0" w:line="240" w:lineRule="auto"/>
              <w:jc w:val="center"/>
              <w:rPr>
                <w:rFonts w:eastAsia="Times New Roman"/>
              </w:rPr>
            </w:pPr>
          </w:p>
        </w:tc>
        <w:tc>
          <w:tcPr>
            <w:tcW w:w="4606" w:type="dxa"/>
          </w:tcPr>
          <w:p w14:paraId="09E759EB" w14:textId="77777777" w:rsidR="00110466" w:rsidRPr="003C5232" w:rsidRDefault="00110466" w:rsidP="00BF64E0">
            <w:pPr>
              <w:spacing w:after="0" w:line="240" w:lineRule="auto"/>
              <w:jc w:val="center"/>
            </w:pPr>
          </w:p>
        </w:tc>
      </w:tr>
      <w:tr w:rsidR="00110466" w:rsidRPr="003C5232" w14:paraId="3ED541FE" w14:textId="77777777" w:rsidTr="000B5A14">
        <w:tc>
          <w:tcPr>
            <w:tcW w:w="9212" w:type="dxa"/>
            <w:gridSpan w:val="2"/>
          </w:tcPr>
          <w:p w14:paraId="10D98E75" w14:textId="02701D96" w:rsidR="00110466" w:rsidRPr="003C5232" w:rsidRDefault="00110466" w:rsidP="00BF64E0">
            <w:pPr>
              <w:spacing w:after="0" w:line="240" w:lineRule="auto"/>
              <w:jc w:val="center"/>
            </w:pPr>
            <w:r w:rsidRPr="003C5232">
              <w:t>PhDr. Pavel ŽÁČEK, Ph.D.</w:t>
            </w:r>
            <w:r w:rsidR="00325B7F">
              <w:t xml:space="preserve"> v. r.</w:t>
            </w:r>
          </w:p>
          <w:p w14:paraId="053AE0F8" w14:textId="77777777" w:rsidR="00110466" w:rsidRPr="003C5232" w:rsidRDefault="00110466" w:rsidP="00BF64E0">
            <w:pPr>
              <w:spacing w:after="0" w:line="240" w:lineRule="auto"/>
              <w:jc w:val="center"/>
            </w:pPr>
            <w:r w:rsidRPr="003C5232">
              <w:t>předseda výboru</w:t>
            </w:r>
          </w:p>
        </w:tc>
      </w:tr>
    </w:tbl>
    <w:p w14:paraId="16517415" w14:textId="77777777" w:rsidR="00B715B6" w:rsidRPr="003C5232" w:rsidRDefault="00B715B6" w:rsidP="00110466">
      <w:pPr>
        <w:pStyle w:val="Zkladnodstavec"/>
        <w:tabs>
          <w:tab w:val="left" w:pos="300"/>
        </w:tabs>
        <w:contextualSpacing/>
        <w:rPr>
          <w:color w:val="auto"/>
        </w:rPr>
      </w:pPr>
      <w:bookmarkStart w:id="0" w:name="_GoBack"/>
      <w:bookmarkEnd w:id="0"/>
    </w:p>
    <w:sectPr w:rsidR="00B715B6" w:rsidRPr="003C5232" w:rsidSect="00DA6156">
      <w:headerReference w:type="default" r:id="rId8"/>
      <w:footerReference w:type="default" r:id="rId9"/>
      <w:pgSz w:w="11906" w:h="16838"/>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D9B24" w14:textId="77777777" w:rsidR="006C4A23" w:rsidRDefault="006C4A23" w:rsidP="006C4A23">
      <w:pPr>
        <w:spacing w:after="0" w:line="240" w:lineRule="auto"/>
      </w:pPr>
      <w:r>
        <w:separator/>
      </w:r>
    </w:p>
  </w:endnote>
  <w:endnote w:type="continuationSeparator" w:id="0">
    <w:p w14:paraId="05BE6344" w14:textId="77777777" w:rsidR="006C4A23" w:rsidRDefault="006C4A23" w:rsidP="006C4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Pro-Regular">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3776786"/>
      <w:docPartObj>
        <w:docPartGallery w:val="Page Numbers (Bottom of Page)"/>
        <w:docPartUnique/>
      </w:docPartObj>
    </w:sdtPr>
    <w:sdtEndPr/>
    <w:sdtContent>
      <w:p w14:paraId="15096390" w14:textId="4E8A3C03" w:rsidR="00DA6156" w:rsidRDefault="00DA6156">
        <w:pPr>
          <w:pStyle w:val="Zpat"/>
          <w:jc w:val="center"/>
        </w:pPr>
        <w:r>
          <w:fldChar w:fldCharType="begin"/>
        </w:r>
        <w:r>
          <w:instrText>PAGE   \* MERGEFORMAT</w:instrText>
        </w:r>
        <w:r>
          <w:fldChar w:fldCharType="separate"/>
        </w:r>
        <w:r w:rsidR="00EB2AC1">
          <w:rPr>
            <w:noProof/>
          </w:rPr>
          <w:t>5</w:t>
        </w:r>
        <w:r>
          <w:fldChar w:fldCharType="end"/>
        </w:r>
      </w:p>
    </w:sdtContent>
  </w:sdt>
  <w:p w14:paraId="561FC216" w14:textId="77777777" w:rsidR="00DA6156" w:rsidRDefault="00DA61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DFB6B" w14:textId="77777777" w:rsidR="006C4A23" w:rsidRDefault="006C4A23" w:rsidP="006C4A23">
      <w:pPr>
        <w:spacing w:after="0" w:line="240" w:lineRule="auto"/>
      </w:pPr>
      <w:r>
        <w:separator/>
      </w:r>
    </w:p>
  </w:footnote>
  <w:footnote w:type="continuationSeparator" w:id="0">
    <w:p w14:paraId="3CCA98A7" w14:textId="77777777" w:rsidR="006C4A23" w:rsidRDefault="006C4A23" w:rsidP="006C4A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C2973" w14:textId="77777777" w:rsidR="006C4A23" w:rsidRPr="006C4A23" w:rsidRDefault="006C4A23" w:rsidP="006C4A23">
    <w:pPr>
      <w:pStyle w:val="Zhlav"/>
      <w:jc w:val="center"/>
      <w:rPr>
        <w:color w:val="FF0000"/>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15:restartNumberingAfterBreak="0">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3" w15:restartNumberingAfterBreak="0">
    <w:nsid w:val="3C0848E7"/>
    <w:multiLevelType w:val="hybridMultilevel"/>
    <w:tmpl w:val="813411F0"/>
    <w:lvl w:ilvl="0" w:tplc="A5CACE28">
      <w:start w:val="1"/>
      <w:numFmt w:val="upperRoman"/>
      <w:lvlText w:val="%1."/>
      <w:lvlJc w:val="left"/>
      <w:pPr>
        <w:ind w:left="1429" w:hanging="720"/>
      </w:pPr>
      <w:rPr>
        <w:rFonts w:eastAsia="Calibri"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423E74A7"/>
    <w:multiLevelType w:val="hybridMultilevel"/>
    <w:tmpl w:val="D9E02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4260A3"/>
    <w:multiLevelType w:val="hybridMultilevel"/>
    <w:tmpl w:val="FFD8AE4A"/>
    <w:lvl w:ilvl="0" w:tplc="5CEEB1B6">
      <w:start w:val="1"/>
      <w:numFmt w:val="upperRoman"/>
      <w:lvlText w:val="%1."/>
      <w:lvlJc w:val="left"/>
      <w:pPr>
        <w:ind w:left="1428" w:hanging="72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num w:numId="1">
    <w:abstractNumId w:val="8"/>
  </w:num>
  <w:num w:numId="2">
    <w:abstractNumId w:val="3"/>
  </w:num>
  <w:num w:numId="3">
    <w:abstractNumId w:val="2"/>
  </w:num>
  <w:num w:numId="4">
    <w:abstractNumId w:val="1"/>
  </w:num>
  <w:num w:numId="5">
    <w:abstractNumId w:val="0"/>
  </w:num>
  <w:num w:numId="6">
    <w:abstractNumId w:val="12"/>
  </w:num>
  <w:num w:numId="7">
    <w:abstractNumId w:val="11"/>
  </w:num>
  <w:num w:numId="8">
    <w:abstractNumId w:val="10"/>
  </w:num>
  <w:num w:numId="9">
    <w:abstractNumId w:val="4"/>
  </w:num>
  <w:num w:numId="10">
    <w:abstractNumId w:val="5"/>
  </w:num>
  <w:num w:numId="11">
    <w:abstractNumId w:val="6"/>
  </w:num>
  <w:num w:numId="12">
    <w:abstractNumId w:val="7"/>
  </w:num>
  <w:num w:numId="13">
    <w:abstractNumId w:val="9"/>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C1F"/>
    <w:rsid w:val="00023ACE"/>
    <w:rsid w:val="0002486C"/>
    <w:rsid w:val="0002531B"/>
    <w:rsid w:val="000476E4"/>
    <w:rsid w:val="00072853"/>
    <w:rsid w:val="000A6B61"/>
    <w:rsid w:val="000B5A14"/>
    <w:rsid w:val="000B61B2"/>
    <w:rsid w:val="000C5278"/>
    <w:rsid w:val="000E730C"/>
    <w:rsid w:val="000F5133"/>
    <w:rsid w:val="00103C04"/>
    <w:rsid w:val="00106842"/>
    <w:rsid w:val="00110466"/>
    <w:rsid w:val="00176CD3"/>
    <w:rsid w:val="00192D70"/>
    <w:rsid w:val="00195571"/>
    <w:rsid w:val="001A7823"/>
    <w:rsid w:val="001B426F"/>
    <w:rsid w:val="001B45F3"/>
    <w:rsid w:val="001B6CDC"/>
    <w:rsid w:val="001C465C"/>
    <w:rsid w:val="001E4C1F"/>
    <w:rsid w:val="001F2D67"/>
    <w:rsid w:val="0020365E"/>
    <w:rsid w:val="00230024"/>
    <w:rsid w:val="00230A66"/>
    <w:rsid w:val="00254049"/>
    <w:rsid w:val="00272E1B"/>
    <w:rsid w:val="002A2F32"/>
    <w:rsid w:val="002B0FB6"/>
    <w:rsid w:val="002B60B3"/>
    <w:rsid w:val="002C6BED"/>
    <w:rsid w:val="002E7645"/>
    <w:rsid w:val="00307CCB"/>
    <w:rsid w:val="0031461B"/>
    <w:rsid w:val="00325B7F"/>
    <w:rsid w:val="00346401"/>
    <w:rsid w:val="00356011"/>
    <w:rsid w:val="00377253"/>
    <w:rsid w:val="00384A4F"/>
    <w:rsid w:val="003A47F6"/>
    <w:rsid w:val="003B0613"/>
    <w:rsid w:val="003C5232"/>
    <w:rsid w:val="003D2033"/>
    <w:rsid w:val="00471049"/>
    <w:rsid w:val="0048581D"/>
    <w:rsid w:val="004921DA"/>
    <w:rsid w:val="004A3D29"/>
    <w:rsid w:val="004B041A"/>
    <w:rsid w:val="004B53D9"/>
    <w:rsid w:val="005227BF"/>
    <w:rsid w:val="00566573"/>
    <w:rsid w:val="00566A4C"/>
    <w:rsid w:val="00594EEA"/>
    <w:rsid w:val="005C30D7"/>
    <w:rsid w:val="005E094C"/>
    <w:rsid w:val="005E0F35"/>
    <w:rsid w:val="005E50F2"/>
    <w:rsid w:val="005F6CAE"/>
    <w:rsid w:val="00620764"/>
    <w:rsid w:val="006551FA"/>
    <w:rsid w:val="0069092A"/>
    <w:rsid w:val="0069210E"/>
    <w:rsid w:val="006B0643"/>
    <w:rsid w:val="006C1E09"/>
    <w:rsid w:val="006C4A23"/>
    <w:rsid w:val="0074500A"/>
    <w:rsid w:val="00751A28"/>
    <w:rsid w:val="00776E21"/>
    <w:rsid w:val="00794024"/>
    <w:rsid w:val="007A0422"/>
    <w:rsid w:val="007C62DA"/>
    <w:rsid w:val="007D5EE1"/>
    <w:rsid w:val="007E1D0B"/>
    <w:rsid w:val="00812496"/>
    <w:rsid w:val="00830BFE"/>
    <w:rsid w:val="00893C29"/>
    <w:rsid w:val="008B7DB0"/>
    <w:rsid w:val="008D1951"/>
    <w:rsid w:val="00903269"/>
    <w:rsid w:val="009156DC"/>
    <w:rsid w:val="00920D8B"/>
    <w:rsid w:val="00952426"/>
    <w:rsid w:val="009563BE"/>
    <w:rsid w:val="00A46CDA"/>
    <w:rsid w:val="00A8197B"/>
    <w:rsid w:val="00AA0D27"/>
    <w:rsid w:val="00AD01EC"/>
    <w:rsid w:val="00AD6F2B"/>
    <w:rsid w:val="00AE67CF"/>
    <w:rsid w:val="00B137C3"/>
    <w:rsid w:val="00B13892"/>
    <w:rsid w:val="00B53E8D"/>
    <w:rsid w:val="00B548FA"/>
    <w:rsid w:val="00B715B6"/>
    <w:rsid w:val="00B76F00"/>
    <w:rsid w:val="00BB2BD7"/>
    <w:rsid w:val="00BB5263"/>
    <w:rsid w:val="00BC09E3"/>
    <w:rsid w:val="00C02241"/>
    <w:rsid w:val="00C12B29"/>
    <w:rsid w:val="00C56014"/>
    <w:rsid w:val="00C6657F"/>
    <w:rsid w:val="00C84AFE"/>
    <w:rsid w:val="00CD3589"/>
    <w:rsid w:val="00CE1F79"/>
    <w:rsid w:val="00CE2397"/>
    <w:rsid w:val="00D32B05"/>
    <w:rsid w:val="00D537DD"/>
    <w:rsid w:val="00D76FB3"/>
    <w:rsid w:val="00DA6156"/>
    <w:rsid w:val="00DC29E4"/>
    <w:rsid w:val="00DF7B5F"/>
    <w:rsid w:val="00E0086A"/>
    <w:rsid w:val="00EB2AC1"/>
    <w:rsid w:val="00EB6530"/>
    <w:rsid w:val="00ED15A8"/>
    <w:rsid w:val="00ED5C2B"/>
    <w:rsid w:val="00EF3B15"/>
    <w:rsid w:val="00EF679B"/>
    <w:rsid w:val="00F37B11"/>
    <w:rsid w:val="00FB4675"/>
    <w:rsid w:val="00FD0FEB"/>
    <w:rsid w:val="00FD3E23"/>
    <w:rsid w:val="00FF5011"/>
    <w:rsid w:val="00FF58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BBADD"/>
  <w15:chartTrackingRefBased/>
  <w15:docId w15:val="{2CB1D9DE-21A3-4705-987C-D477BE165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C09E3"/>
    <w:pPr>
      <w:spacing w:after="160" w:line="259" w:lineRule="auto"/>
    </w:pPr>
    <w:rPr>
      <w:rFonts w:ascii="Times New Roman" w:hAnsi="Times New Roman"/>
      <w:sz w:val="24"/>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basedOn w:val="Normln"/>
    <w:uiPriority w:val="99"/>
    <w:semiHidden/>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customStyle="1" w:styleId="Zkladnodstavec">
    <w:name w:val="[Základní odstavec]"/>
    <w:basedOn w:val="Normln"/>
    <w:uiPriority w:val="99"/>
    <w:rsid w:val="00FF5011"/>
    <w:pPr>
      <w:autoSpaceDE w:val="0"/>
      <w:autoSpaceDN w:val="0"/>
      <w:adjustRightInd w:val="0"/>
      <w:spacing w:after="0" w:line="288" w:lineRule="auto"/>
      <w:textAlignment w:val="center"/>
    </w:pPr>
    <w:rPr>
      <w:rFonts w:ascii="MinionPro-Regular" w:eastAsiaTheme="minorHAnsi" w:hAnsi="MinionPro-Regular" w:cs="MinionPro-Regular"/>
      <w:color w:val="000000"/>
      <w:szCs w:val="24"/>
      <w14:ligatures w14:val="standardContextual"/>
    </w:rPr>
  </w:style>
  <w:style w:type="paragraph" w:styleId="Odstavecseseznamem">
    <w:name w:val="List Paragraph"/>
    <w:basedOn w:val="Normln"/>
    <w:uiPriority w:val="34"/>
    <w:qFormat/>
    <w:rsid w:val="00FF5011"/>
    <w:pPr>
      <w:ind w:left="720"/>
      <w:contextualSpacing/>
    </w:pPr>
  </w:style>
  <w:style w:type="table" w:styleId="Mkatabulky">
    <w:name w:val="Table Grid"/>
    <w:basedOn w:val="Normlntabulka"/>
    <w:uiPriority w:val="39"/>
    <w:rsid w:val="00FF50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D32B0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32B05"/>
    <w:rPr>
      <w:rFonts w:ascii="Segoe UI" w:hAnsi="Segoe UI" w:cs="Segoe UI"/>
      <w:sz w:val="18"/>
      <w:szCs w:val="18"/>
      <w:lang w:eastAsia="en-US"/>
    </w:rPr>
  </w:style>
  <w:style w:type="paragraph" w:styleId="Zhlav">
    <w:name w:val="header"/>
    <w:basedOn w:val="Normln"/>
    <w:link w:val="ZhlavChar"/>
    <w:uiPriority w:val="99"/>
    <w:unhideWhenUsed/>
    <w:rsid w:val="006C4A2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4A23"/>
    <w:rPr>
      <w:rFonts w:ascii="Times New Roman" w:hAnsi="Times New Roman"/>
      <w:sz w:val="24"/>
      <w:szCs w:val="22"/>
      <w:lang w:eastAsia="en-US"/>
    </w:rPr>
  </w:style>
  <w:style w:type="paragraph" w:styleId="Zpat">
    <w:name w:val="footer"/>
    <w:basedOn w:val="Normln"/>
    <w:link w:val="ZpatChar"/>
    <w:uiPriority w:val="99"/>
    <w:unhideWhenUsed/>
    <w:rsid w:val="006C4A23"/>
    <w:pPr>
      <w:tabs>
        <w:tab w:val="center" w:pos="4536"/>
        <w:tab w:val="right" w:pos="9072"/>
      </w:tabs>
      <w:spacing w:after="0" w:line="240" w:lineRule="auto"/>
    </w:pPr>
  </w:style>
  <w:style w:type="character" w:customStyle="1" w:styleId="ZpatChar">
    <w:name w:val="Zápatí Char"/>
    <w:basedOn w:val="Standardnpsmoodstavce"/>
    <w:link w:val="Zpat"/>
    <w:uiPriority w:val="99"/>
    <w:rsid w:val="006C4A23"/>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618177861">
      <w:bodyDiv w:val="1"/>
      <w:marLeft w:val="0"/>
      <w:marRight w:val="0"/>
      <w:marTop w:val="0"/>
      <w:marBottom w:val="0"/>
      <w:divBdr>
        <w:top w:val="none" w:sz="0" w:space="0" w:color="auto"/>
        <w:left w:val="none" w:sz="0" w:space="0" w:color="auto"/>
        <w:bottom w:val="none" w:sz="0" w:space="0" w:color="auto"/>
        <w:right w:val="none" w:sz="0" w:space="0" w:color="auto"/>
      </w:divBdr>
    </w:div>
    <w:div w:id="1730298253">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liznova\Downloads\2021_10_12_sablona_Usneseni_9VO.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0F17C-F349-4B3B-93ED-6AD757054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2021_10_12_sablona_Usneseni_9VO.dotx</Template>
  <TotalTime>43</TotalTime>
  <Pages>6</Pages>
  <Words>1428</Words>
  <Characters>8428</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Celiznová</dc:creator>
  <cp:keywords/>
  <dc:description/>
  <cp:lastModifiedBy>Hana Celiznová</cp:lastModifiedBy>
  <cp:revision>9</cp:revision>
  <cp:lastPrinted>2024-09-26T12:13:00Z</cp:lastPrinted>
  <dcterms:created xsi:type="dcterms:W3CDTF">2024-09-25T08:14:00Z</dcterms:created>
  <dcterms:modified xsi:type="dcterms:W3CDTF">2024-09-26T14:14:00Z</dcterms:modified>
</cp:coreProperties>
</file>