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3251" w:rsidP="000E730C">
      <w:pPr>
        <w:pStyle w:val="PS-hlavika2"/>
      </w:pPr>
      <w:r>
        <w:t>202</w:t>
      </w:r>
      <w:r w:rsidR="00C63E0F">
        <w:t>4</w:t>
      </w:r>
    </w:p>
    <w:p w:rsidR="00DC29E4" w:rsidRDefault="00D03251" w:rsidP="00377253">
      <w:pPr>
        <w:pStyle w:val="PS-hlavika1"/>
      </w:pPr>
      <w:r>
        <w:t>9</w:t>
      </w:r>
      <w:r w:rsidR="00DC29E4">
        <w:t>. volební období</w:t>
      </w:r>
    </w:p>
    <w:p w:rsidR="00DC29E4" w:rsidRDefault="007649CF" w:rsidP="000E730C">
      <w:pPr>
        <w:pStyle w:val="PS-slousnesen"/>
      </w:pPr>
      <w:r>
        <w:t>333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AE40EE">
        <w:t>e</w:t>
      </w:r>
      <w:r>
        <w:t xml:space="preserve"> </w:t>
      </w:r>
      <w:r w:rsidR="00C94047">
        <w:t>4</w:t>
      </w:r>
      <w:r w:rsidR="00AE40EE">
        <w:t>9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AE40EE">
        <w:t>4</w:t>
      </w:r>
      <w:r>
        <w:t xml:space="preserve">. </w:t>
      </w:r>
      <w:r w:rsidR="00AE40EE">
        <w:t>září</w:t>
      </w:r>
      <w:r w:rsidR="00D03251">
        <w:t xml:space="preserve"> 202</w:t>
      </w:r>
      <w:r w:rsidR="00C63E0F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Pr="00136646" w:rsidRDefault="00136646" w:rsidP="00136646">
      <w:pPr>
        <w:pStyle w:val="Bezmezer"/>
      </w:pPr>
    </w:p>
    <w:p w:rsidR="00BA00F3" w:rsidRDefault="00BA00F3" w:rsidP="00A46CDA">
      <w:pPr>
        <w:pStyle w:val="PS-uvodnodstavec"/>
      </w:pPr>
    </w:p>
    <w:p w:rsidR="00A34FC3" w:rsidRPr="00A34FC3" w:rsidRDefault="00A5537F" w:rsidP="00A34FC3">
      <w:pPr>
        <w:pStyle w:val="DefaultText"/>
        <w:pBdr>
          <w:bottom w:val="single" w:sz="4" w:space="1" w:color="auto"/>
        </w:pBdr>
        <w:suppressAutoHyphens w:val="0"/>
        <w:jc w:val="center"/>
      </w:pPr>
      <w:r>
        <w:t>k</w:t>
      </w:r>
      <w:r w:rsidR="00A34FC3">
        <w:t>e</w:t>
      </w:r>
      <w:r>
        <w:t xml:space="preserve"> </w:t>
      </w:r>
      <w:bookmarkStart w:id="0" w:name="_Hlk176341496"/>
      <w:r w:rsidR="00A34FC3">
        <w:t>s</w:t>
      </w:r>
      <w:r w:rsidR="00A34FC3" w:rsidRPr="00A34FC3">
        <w:t xml:space="preserve">dělení Komise Evropskému parlamentu, Radě, Evropskému hospodářskému a sociálnímu výboru a Výboru regionů – Tvorba budoucnosti s pomocí přírody: posílení biotechnologií a biovýroby v EU /kód Rady 9163/24, </w:t>
      </w:r>
      <w:proofErr w:type="gramStart"/>
      <w:r w:rsidR="00A34FC3" w:rsidRPr="00A34FC3">
        <w:t>KOM(</w:t>
      </w:r>
      <w:proofErr w:type="gramEnd"/>
      <w:r w:rsidR="00A34FC3" w:rsidRPr="00A34FC3">
        <w:t>2024) 137 v konečném znění/</w:t>
      </w:r>
    </w:p>
    <w:bookmarkEnd w:id="0"/>
    <w:p w:rsidR="00B23BB8" w:rsidRDefault="00B23BB8" w:rsidP="00FC22B3">
      <w:pPr>
        <w:pStyle w:val="DefaultText"/>
        <w:pBdr>
          <w:bottom w:val="single" w:sz="4" w:space="1" w:color="auto"/>
        </w:pBdr>
        <w:suppressAutoHyphens w:val="0"/>
        <w:jc w:val="center"/>
      </w:pPr>
    </w:p>
    <w:p w:rsidR="00D46ACA" w:rsidRDefault="00D46ACA" w:rsidP="00A46CDA">
      <w:pPr>
        <w:pStyle w:val="PS-uvodnodstavec"/>
      </w:pPr>
    </w:p>
    <w:p w:rsidR="00DC29E4" w:rsidRDefault="00136646" w:rsidP="00397790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 vyslechnutí</w:t>
      </w:r>
      <w:r w:rsidR="00A93982">
        <w:t xml:space="preserve"> informace</w:t>
      </w:r>
      <w:r w:rsidR="00F02D93">
        <w:t xml:space="preserve"> </w:t>
      </w:r>
      <w:r w:rsidR="00F02D93" w:rsidRPr="00F02D93">
        <w:t>vrchní</w:t>
      </w:r>
      <w:r w:rsidR="00F02D93">
        <w:t>ho</w:t>
      </w:r>
      <w:r w:rsidR="00F02D93" w:rsidRPr="00F02D93">
        <w:t xml:space="preserve"> ředitel Sekce hospodářství Ministerstva průmyslu a obchodu Eduard</w:t>
      </w:r>
      <w:r w:rsidR="00F02D93">
        <w:t>a</w:t>
      </w:r>
      <w:r w:rsidR="00F02D93" w:rsidRPr="00F02D93">
        <w:t xml:space="preserve"> </w:t>
      </w:r>
      <w:proofErr w:type="spellStart"/>
      <w:r w:rsidR="00F02D93" w:rsidRPr="00F02D93">
        <w:t>Muřick</w:t>
      </w:r>
      <w:r w:rsidR="00F02D93">
        <w:t>ého</w:t>
      </w:r>
      <w:proofErr w:type="spellEnd"/>
      <w:r w:rsidR="00A34FC3">
        <w:t>,</w:t>
      </w:r>
      <w:r w:rsidR="00BE02A0">
        <w:t xml:space="preserve"> </w:t>
      </w:r>
      <w:r w:rsidR="00BE02A0" w:rsidRPr="00BE02A0">
        <w:t>vrchní ředitelk</w:t>
      </w:r>
      <w:r w:rsidR="00BE02A0">
        <w:t>y</w:t>
      </w:r>
      <w:r w:rsidR="00BE02A0" w:rsidRPr="00BE02A0">
        <w:t xml:space="preserve"> sekce vysokého školství, vědy a výzkumu MŠMT Radk</w:t>
      </w:r>
      <w:r w:rsidR="00BE02A0">
        <w:t>y</w:t>
      </w:r>
      <w:r w:rsidR="00BE02A0" w:rsidRPr="00BE02A0">
        <w:t xml:space="preserve"> Wildov</w:t>
      </w:r>
      <w:r w:rsidR="00BE02A0">
        <w:t>é,</w:t>
      </w:r>
      <w:r w:rsidR="00A34FC3">
        <w:t xml:space="preserve"> </w:t>
      </w:r>
      <w:r w:rsidR="00D032A6" w:rsidRPr="00D032A6">
        <w:t xml:space="preserve">ředitele SÚKL Tomáše </w:t>
      </w:r>
      <w:proofErr w:type="spellStart"/>
      <w:r w:rsidR="00D032A6" w:rsidRPr="00D032A6">
        <w:t>Boráně</w:t>
      </w:r>
      <w:proofErr w:type="spellEnd"/>
      <w:r w:rsidR="00A34FC3">
        <w:t>,</w:t>
      </w:r>
      <w:r w:rsidR="00397790">
        <w:t xml:space="preserve"> </w:t>
      </w:r>
      <w:r w:rsidR="00397790" w:rsidRPr="00397790">
        <w:t>vedoucí</w:t>
      </w:r>
      <w:r w:rsidR="00397790">
        <w:t>ho</w:t>
      </w:r>
      <w:r w:rsidR="00397790" w:rsidRPr="00397790">
        <w:t xml:space="preserve"> Oddělení výzkumu Ministerstva zemědělství Jan</w:t>
      </w:r>
      <w:r w:rsidR="00397790">
        <w:t>a</w:t>
      </w:r>
      <w:r w:rsidR="00397790" w:rsidRPr="00397790">
        <w:t xml:space="preserve"> Adamc</w:t>
      </w:r>
      <w:r w:rsidR="00397790">
        <w:t>e</w:t>
      </w:r>
      <w:r w:rsidR="00F65B55">
        <w:t>,</w:t>
      </w:r>
      <w:r>
        <w:t xml:space="preserve"> po vyslechnutí zpravodajské zprávy</w:t>
      </w:r>
      <w:r w:rsidR="00A93982">
        <w:t xml:space="preserve"> posl</w:t>
      </w:r>
      <w:r w:rsidR="00117F06">
        <w:t>ance</w:t>
      </w:r>
      <w:r w:rsidR="00A34FC3">
        <w:t xml:space="preserve"> Vladimíra Zlínského </w:t>
      </w:r>
      <w:r w:rsidR="00DC29E4">
        <w:t>a po rozpravě</w:t>
      </w:r>
    </w:p>
    <w:p w:rsidR="00055D8F" w:rsidRPr="007649CF" w:rsidRDefault="00055D8F" w:rsidP="007649CF">
      <w:pPr>
        <w:pStyle w:val="Zkladntext21"/>
        <w:spacing w:after="360"/>
        <w:rPr>
          <w:sz w:val="28"/>
          <w:szCs w:val="28"/>
        </w:rPr>
      </w:pPr>
      <w:r w:rsidRPr="00055D8F">
        <w:rPr>
          <w:b/>
          <w:spacing w:val="60"/>
          <w:szCs w:val="24"/>
        </w:rPr>
        <w:t>bere na vědomí</w:t>
      </w:r>
      <w:r>
        <w:rPr>
          <w:b/>
          <w:szCs w:val="24"/>
        </w:rPr>
        <w:t xml:space="preserve"> </w:t>
      </w:r>
      <w:r w:rsidR="007649CF" w:rsidRPr="007649CF">
        <w:rPr>
          <w:szCs w:val="24"/>
        </w:rPr>
        <w:t xml:space="preserve">sdělení Komise Evropskému parlamentu, Radě, Evropskému hospodářskému a sociálnímu výboru a Výboru regionů – Tvorba budoucnosti s pomocí přírody: posílení biotechnologií a biovýroby v EU /kód Rady 9163/24, </w:t>
      </w:r>
      <w:proofErr w:type="gramStart"/>
      <w:r w:rsidR="007649CF" w:rsidRPr="007649CF">
        <w:rPr>
          <w:szCs w:val="24"/>
        </w:rPr>
        <w:t>KOM(</w:t>
      </w:r>
      <w:proofErr w:type="gramEnd"/>
      <w:r w:rsidR="007649CF" w:rsidRPr="007649CF">
        <w:rPr>
          <w:szCs w:val="24"/>
        </w:rPr>
        <w:t>2024) 137 v konečném znění/</w:t>
      </w:r>
      <w:r w:rsidR="007649CF">
        <w:rPr>
          <w:szCs w:val="24"/>
        </w:rPr>
        <w:t>.</w:t>
      </w:r>
    </w:p>
    <w:p w:rsidR="00F14096" w:rsidRDefault="00F14096" w:rsidP="00A93982">
      <w:pPr>
        <w:pStyle w:val="PS-slovanseznam"/>
        <w:numPr>
          <w:ilvl w:val="0"/>
          <w:numId w:val="0"/>
        </w:numPr>
      </w:pP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7649CF">
        <w:rPr>
          <w:rFonts w:ascii="Times New Roman" w:hAnsi="Times New Roman"/>
          <w:sz w:val="24"/>
        </w:rPr>
        <w:t>Martin Exner</w:t>
      </w:r>
      <w:r w:rsidR="00821F8A">
        <w:rPr>
          <w:rFonts w:ascii="Times New Roman" w:hAnsi="Times New Roman"/>
          <w:sz w:val="24"/>
        </w:rPr>
        <w:t xml:space="preserve"> v. r.</w:t>
      </w:r>
      <w:r w:rsidR="00536D79">
        <w:rPr>
          <w:rFonts w:ascii="Times New Roman" w:hAnsi="Times New Roman"/>
          <w:sz w:val="24"/>
        </w:rPr>
        <w:tab/>
      </w:r>
      <w:r w:rsidR="00536D79">
        <w:rPr>
          <w:rFonts w:ascii="Times New Roman" w:hAnsi="Times New Roman"/>
          <w:sz w:val="24"/>
        </w:rPr>
        <w:tab/>
      </w:r>
      <w:r w:rsidR="00A34FC3">
        <w:rPr>
          <w:rFonts w:ascii="Times New Roman" w:hAnsi="Times New Roman"/>
          <w:sz w:val="24"/>
        </w:rPr>
        <w:t>Vladimír Zlínský</w:t>
      </w:r>
      <w:r w:rsidR="00821F8A">
        <w:rPr>
          <w:rFonts w:ascii="Times New Roman" w:hAnsi="Times New Roman"/>
          <w:sz w:val="24"/>
        </w:rPr>
        <w:t xml:space="preserve"> v. r.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F14096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7649CF">
        <w:rPr>
          <w:rFonts w:ascii="Times New Roman" w:hAnsi="Times New Roman"/>
          <w:sz w:val="24"/>
        </w:rPr>
        <w:t xml:space="preserve">Petr </w:t>
      </w:r>
      <w:proofErr w:type="spellStart"/>
      <w:r w:rsidR="007649CF">
        <w:rPr>
          <w:rFonts w:ascii="Times New Roman" w:hAnsi="Times New Roman"/>
          <w:sz w:val="24"/>
        </w:rPr>
        <w:t>Fifka</w:t>
      </w:r>
      <w:proofErr w:type="spellEnd"/>
      <w:r w:rsidR="00821F8A">
        <w:rPr>
          <w:rFonts w:ascii="Times New Roman" w:hAnsi="Times New Roman"/>
          <w:sz w:val="24"/>
        </w:rPr>
        <w:t xml:space="preserve"> v. r.</w:t>
      </w:r>
      <w:bookmarkStart w:id="1" w:name="_GoBack"/>
      <w:bookmarkEnd w:id="1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  <w:r w:rsidR="007649CF">
        <w:rPr>
          <w:rFonts w:ascii="Times New Roman" w:hAnsi="Times New Roman"/>
          <w:sz w:val="24"/>
        </w:rPr>
        <w:t>místo</w:t>
      </w:r>
      <w:r w:rsidR="00B715B6">
        <w:rPr>
          <w:rFonts w:ascii="Times New Roman" w:hAnsi="Times New Roman"/>
          <w:sz w:val="24"/>
        </w:rPr>
        <w:t>p</w:t>
      </w:r>
      <w:r w:rsidRPr="00106842">
        <w:rPr>
          <w:rFonts w:ascii="Times New Roman" w:hAnsi="Times New Roman"/>
          <w:sz w:val="24"/>
        </w:rPr>
        <w:t>ředseda</w:t>
      </w:r>
    </w:p>
    <w:p w:rsidR="00D066DF" w:rsidRDefault="00D066DF" w:rsidP="00D066DF">
      <w:pPr>
        <w:spacing w:after="0" w:line="240" w:lineRule="auto"/>
        <w:rPr>
          <w:rFonts w:ascii="Times New Roman" w:hAnsi="Times New Roman"/>
          <w:sz w:val="24"/>
        </w:rPr>
        <w:sectPr w:rsidR="00D066DF" w:rsidSect="000C5278">
          <w:footerReference w:type="default" r:id="rId8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</w:p>
    <w:p w:rsidR="003A1DF9" w:rsidRDefault="003A1DF9" w:rsidP="00D066DF">
      <w:pPr>
        <w:spacing w:after="0" w:line="240" w:lineRule="auto"/>
        <w:rPr>
          <w:rFonts w:asciiTheme="minorHAnsi" w:hAnsiTheme="minorHAnsi"/>
        </w:rPr>
      </w:pPr>
      <w:r w:rsidRPr="00D43E93">
        <w:rPr>
          <w:rFonts w:asciiTheme="minorHAnsi" w:hAnsiTheme="minorHAnsi"/>
        </w:rPr>
        <w:lastRenderedPageBreak/>
        <w:t xml:space="preserve"> </w:t>
      </w:r>
      <w:r w:rsidR="00D066DF" w:rsidRPr="00D43E93">
        <w:rPr>
          <w:rFonts w:asciiTheme="minorHAnsi" w:hAnsiTheme="minorHAnsi"/>
        </w:rPr>
        <w:t xml:space="preserve">Příloha k usnesení č. </w:t>
      </w:r>
      <w:r w:rsidR="007649CF">
        <w:rPr>
          <w:rFonts w:asciiTheme="minorHAnsi" w:hAnsiTheme="minorHAnsi"/>
        </w:rPr>
        <w:t>333</w:t>
      </w:r>
    </w:p>
    <w:p w:rsidR="00B23BB8" w:rsidRDefault="00B23BB8" w:rsidP="00D066DF">
      <w:pPr>
        <w:spacing w:after="0" w:line="240" w:lineRule="auto"/>
        <w:rPr>
          <w:rFonts w:asciiTheme="minorHAnsi" w:hAnsiTheme="minorHAnsi"/>
        </w:rPr>
      </w:pPr>
    </w:p>
    <w:p w:rsidR="00BB4A33" w:rsidRDefault="00BB4A33" w:rsidP="00BB4A33">
      <w:pPr>
        <w:rPr>
          <w:rFonts w:ascii="Calibri Light" w:hAnsi="Calibri Light" w:cs="Arial"/>
          <w:color w:val="0070C0"/>
          <w:sz w:val="24"/>
          <w:szCs w:val="20"/>
          <w:lang w:eastAsia="cs-CZ"/>
        </w:rPr>
      </w:pPr>
      <w:r>
        <w:rPr>
          <w:noProof/>
          <w:sz w:val="24"/>
        </w:rPr>
        <mc:AlternateContent>
          <mc:Choice Requires="wps">
            <w:drawing>
              <wp:anchor distT="182880" distB="182880" distL="182880" distR="182880" simplePos="0" relativeHeight="251658240" behindDoc="0" locked="0" layoutInCell="1" allowOverlap="1">
                <wp:simplePos x="0" y="0"/>
                <wp:positionH relativeFrom="page">
                  <wp:posOffset>4800600</wp:posOffset>
                </wp:positionH>
                <wp:positionV relativeFrom="margin">
                  <wp:posOffset>108585</wp:posOffset>
                </wp:positionV>
                <wp:extent cx="2240280" cy="1085850"/>
                <wp:effectExtent l="0" t="0" r="7620" b="0"/>
                <wp:wrapNone/>
                <wp:docPr id="6" name="Volný tvar: obraze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pStyle w:val="titulnstranaobsah"/>
                            </w:pPr>
                            <w:r>
                              <w:t>Obsah:</w:t>
                            </w:r>
                          </w:p>
                          <w:p w:rsidR="00BB4A33" w:rsidRDefault="00BB4A33" w:rsidP="00BB4A33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BB4A33" w:rsidRDefault="00BB4A33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r:id="rId9" w:anchor="_Toc448302188" w:history="1">
                              <w:r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308D0C9EA79F9BACE118C8200AA004BA90B02000000080000000E0000005F0054006F0063003400340038003300300032003100380038000000 </w:t>
                              </w:r>
                              <w:r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821F8A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r:id="rId10" w:anchor="_Toc448302189" w:history="1">
                              <w:r w:rsidR="00BB4A33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 w:rsidR="00BB4A33"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308D0C9EA79F9BACE118C8200AA004BA90B02000000080000000E0000005F0054006F0063003400340038003300300032003100380039000000 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821F8A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r:id="rId11" w:anchor="_Toc448302190" w:history="1">
                              <w:r w:rsidR="00BB4A33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 w:rsidR="00BB4A33"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308D0C9EA79F9BACE118C8200AA004BA90B02000000080000000E0000005F0054006F0063003400340038003300300032003100390030000000 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821F8A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r:id="rId12" w:anchor="_Toc448302191" w:history="1">
                              <w:r w:rsidR="00BB4A33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 w:rsidR="00BB4A33"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308D0C9EA79F9BACE118C8200AA004BA90B02000000080000000E0000005F0054006F0063003400340038003300300032003100390031000000 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821F8A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r:id="rId13" w:anchor="_Toc448302192" w:history="1">
                              <w:r w:rsidR="00BB4A33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 w:rsidR="00BB4A33"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308D0C9EA79F9BACE118C8200AA004BA90B02000000080000000E0000005F0054006F0063003400340038003300300032003100390032000000 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821F8A" w:rsidP="00BB4A33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r:id="rId14" w:anchor="_Toc448302193" w:history="1">
                              <w:r w:rsidR="00BB4A33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·</w:t>
                              </w:r>
                              <w:r w:rsidR="00BB4A33">
                                <w:rPr>
                                  <w:rStyle w:val="Hypertextovodkaz"/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 xml:space="preserve">408D0C9EA79F9BACE118C8200AA004BA90B02000000080000000E0000005F0054006F0063003400340038003300300032003100390033000000 </w:t>
                              </w:r>
                              <w:r w:rsidR="00BB4A33">
                                <w:rPr>
                                  <w:rStyle w:val="Hypertextovodkaz"/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BB4A33" w:rsidRDefault="00BB4A33" w:rsidP="00BB4A33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>
                              <w:instrText xml:space="preserve"> TOC \o "1-3" \h \z \u </w:instrText>
                            </w:r>
                            <w:r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BB4A33" w:rsidRDefault="00BB4A33" w:rsidP="00BB4A33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eastAsia="Times New Roman" w:cs="Arial"/>
                                <w:color w:val="C00000"/>
                                <w:sz w:val="24"/>
                                <w:szCs w:val="2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Volný tvar: obrazec 6" o:spid="_x0000_s1026" style="position:absolute;margin-left:378pt;margin-top:8.55pt;width:176.4pt;height:85.5pt;z-index:251658240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rPr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pStyle w:val="titulnstranaobsah"/>
                      </w:pPr>
                      <w:r>
                        <w:t>Obsah:</w:t>
                      </w:r>
                    </w:p>
                    <w:p w:rsidR="00BB4A33" w:rsidRDefault="00BB4A33" w:rsidP="00BB4A33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BB4A33" w:rsidRDefault="00BB4A33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r:id="rId15" w:anchor="_Toc448302188" w:history="1">
                        <w:r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308D0C9EA79F9BACE118C8200AA004BA90B02000000080000000E0000005F0054006F0063003400340038003300300032003100380038000000 </w:t>
                        </w:r>
                        <w:r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821F8A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r:id="rId16" w:anchor="_Toc448302189" w:history="1">
                        <w:r w:rsidR="00BB4A33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 w:rsidR="00BB4A33"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308D0C9EA79F9BACE118C8200AA004BA90B02000000080000000E0000005F0054006F0063003400340038003300300032003100380039000000 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821F8A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r:id="rId17" w:anchor="_Toc448302190" w:history="1">
                        <w:r w:rsidR="00BB4A33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 w:rsidR="00BB4A33"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308D0C9EA79F9BACE118C8200AA004BA90B02000000080000000E0000005F0054006F0063003400340038003300300032003100390030000000 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821F8A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r:id="rId18" w:anchor="_Toc448302191" w:history="1">
                        <w:r w:rsidR="00BB4A33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 w:rsidR="00BB4A33"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308D0C9EA79F9BACE118C8200AA004BA90B02000000080000000E0000005F0054006F0063003400340038003300300032003100390031000000 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821F8A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r:id="rId19" w:anchor="_Toc448302192" w:history="1">
                        <w:r w:rsidR="00BB4A33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 w:rsidR="00BB4A33"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308D0C9EA79F9BACE118C8200AA004BA90B02000000080000000E0000005F0054006F0063003400340038003300300032003100390032000000 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821F8A" w:rsidP="00BB4A33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r:id="rId20" w:anchor="_Toc448302193" w:history="1">
                        <w:r w:rsidR="00BB4A33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·</w:t>
                        </w:r>
                        <w:r w:rsidR="00BB4A33">
                          <w:rPr>
                            <w:rStyle w:val="Hypertextovodkaz"/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 xml:space="preserve">408D0C9EA79F9BACE118C8200AA004BA90B02000000080000000E0000005F0054006F0063003400340038003300300032003100390033000000 </w:t>
                        </w:r>
                        <w:r w:rsidR="00BB4A33">
                          <w:rPr>
                            <w:rStyle w:val="Hypertextovodkaz"/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BB4A33" w:rsidRDefault="00BB4A33" w:rsidP="00BB4A33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>
                        <w:rPr>
                          <w:caps/>
                          <w:noProof/>
                        </w:rPr>
                        <w:fldChar w:fldCharType="begin"/>
                      </w:r>
                      <w:r>
                        <w:instrText xml:space="preserve"> TOC \o "1-3" \h \z \u </w:instrText>
                      </w:r>
                      <w:r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BB4A33" w:rsidRDefault="00BB4A33" w:rsidP="00BB4A33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eastAsia="Times New Roman" w:cs="Arial"/>
                          <w:color w:val="C00000"/>
                          <w:sz w:val="24"/>
                          <w:szCs w:val="20"/>
                        </w:rPr>
                      </w:pPr>
                      <w:r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>
        <w:rPr>
          <w:rFonts w:ascii="Calibri Light" w:hAnsi="Calibri Light" w:cs="Arial"/>
          <w:noProof/>
          <w:color w:val="0070C0"/>
        </w:rPr>
        <w:drawing>
          <wp:inline distT="0" distB="0" distL="0" distR="0">
            <wp:extent cx="6210300" cy="10858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Arial"/>
          <w:noProof/>
          <w:color w:val="0070C0"/>
        </w:rPr>
        <w:drawing>
          <wp:inline distT="0" distB="0" distL="0" distR="0">
            <wp:extent cx="6210300" cy="666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300" cy="66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Arial"/>
          <w:color w:val="0070C0"/>
        </w:rPr>
        <w:tab/>
      </w:r>
      <w:r>
        <w:rPr>
          <w:rFonts w:ascii="Calibri Light" w:hAnsi="Calibri Light" w:cs="Arial"/>
          <w:color w:val="0070C0"/>
        </w:rPr>
        <w:tab/>
      </w:r>
      <w:r>
        <w:rPr>
          <w:rFonts w:ascii="Calibri Light" w:hAnsi="Calibri Light" w:cs="Arial"/>
          <w:color w:val="0070C0"/>
        </w:rPr>
        <w:tab/>
      </w: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9525"/>
      </w:tblGrid>
      <w:tr w:rsidR="00BB4A33" w:rsidTr="00BB4A33">
        <w:trPr>
          <w:trHeight w:val="1301"/>
        </w:trPr>
        <w:tc>
          <w:tcPr>
            <w:tcW w:w="9522" w:type="dxa"/>
            <w:hideMark/>
          </w:tcPr>
          <w:p w:rsidR="00BB4A33" w:rsidRDefault="00BB4A33">
            <w:pPr>
              <w:pStyle w:val="NZEVPRCE"/>
            </w:pPr>
            <w:r>
              <w:t>Posílení biotechnologií a biovýroby v EU</w:t>
            </w:r>
          </w:p>
        </w:tc>
      </w:tr>
      <w:tr w:rsidR="00BB4A33" w:rsidTr="00BB4A33">
        <w:trPr>
          <w:trHeight w:val="2115"/>
        </w:trPr>
        <w:tc>
          <w:tcPr>
            <w:tcW w:w="9522" w:type="dxa"/>
          </w:tcPr>
          <w:p w:rsidR="00BB4A33" w:rsidRDefault="00BB4A33">
            <w:pPr>
              <w:pStyle w:val="PODNZEVPRCE"/>
            </w:pPr>
            <w:r>
              <w:t>Informační podklad ke sdělení Tvorba budoucnosti s pomocí přírody: posílení biotechnologií a biovýroby v EU</w:t>
            </w:r>
          </w:p>
          <w:p w:rsidR="00BB4A33" w:rsidRDefault="00BB4A33">
            <w:pPr>
              <w:pStyle w:val="PODNZEVPRCE"/>
            </w:pPr>
          </w:p>
          <w:p w:rsidR="00BB4A33" w:rsidRDefault="00BB4A33">
            <w:pPr>
              <w:rPr>
                <w:rFonts w:ascii="Calibri Light" w:hAnsi="Calibri Light"/>
              </w:rPr>
            </w:pPr>
          </w:p>
        </w:tc>
      </w:tr>
    </w:tbl>
    <w:p w:rsidR="00BB4A33" w:rsidRDefault="00BB4A33" w:rsidP="00BB4A33">
      <w:pPr>
        <w:pStyle w:val="ZHLAVTITULKY"/>
        <w:jc w:val="center"/>
      </w:pPr>
      <w:bookmarkStart w:id="2" w:name="_Toc442363945"/>
      <w:bookmarkStart w:id="3" w:name="_Toc104024348"/>
      <w:bookmarkStart w:id="4" w:name="_Toc102963703"/>
      <w:bookmarkStart w:id="5" w:name="_Toc102962509"/>
      <w:bookmarkStart w:id="6" w:name="_Toc102890434"/>
      <w:bookmarkStart w:id="7" w:name="_Toc102889783"/>
      <w:r>
        <w:t>SDĚLENÍ</w:t>
      </w:r>
    </w:p>
    <w:p w:rsidR="00BB4A33" w:rsidRDefault="00BB4A33" w:rsidP="00BB4A33">
      <w:pPr>
        <w:pStyle w:val="PODNZEVPRCE"/>
        <w:jc w:val="center"/>
      </w:pPr>
      <w:r>
        <w:t xml:space="preserve">Sdělení Komise Evropskému parlamentu, Radě, Evropskému hospodářskému a sociálnímu výboru a Výboru </w:t>
      </w:r>
      <w:proofErr w:type="gramStart"/>
      <w:r>
        <w:t>regionů - Tvorba</w:t>
      </w:r>
      <w:proofErr w:type="gramEnd"/>
      <w:r>
        <w:t xml:space="preserve"> budoucnosti s pomocí přírody: posílení biotechnologií a biovýroby v EU</w:t>
      </w:r>
    </w:p>
    <w:p w:rsidR="00BB4A33" w:rsidRDefault="00BB4A33" w:rsidP="00BB4A33">
      <w:pPr>
        <w:pStyle w:val="PODNZEVPRCE"/>
        <w:jc w:val="center"/>
      </w:pPr>
      <w:proofErr w:type="gramStart"/>
      <w:r>
        <w:t>COM(</w:t>
      </w:r>
      <w:proofErr w:type="gramEnd"/>
      <w:r>
        <w:t xml:space="preserve">2024) 137 </w:t>
      </w:r>
      <w:proofErr w:type="spellStart"/>
      <w:r>
        <w:t>final</w:t>
      </w:r>
      <w:proofErr w:type="spellEnd"/>
      <w:r>
        <w:t>, kód Rady 9163/24</w:t>
      </w:r>
    </w:p>
    <w:p w:rsidR="00BB4A33" w:rsidRDefault="00BB4A33" w:rsidP="00BB4A33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BB4A33" w:rsidRDefault="00BB4A33" w:rsidP="00BB4A33">
      <w:pPr>
        <w:jc w:val="both"/>
        <w:rPr>
          <w:rStyle w:val="Siln"/>
          <w:rFonts w:asciiTheme="majorHAnsi" w:hAnsiTheme="majorHAnsi"/>
          <w:sz w:val="24"/>
        </w:rPr>
      </w:pPr>
    </w:p>
    <w:p w:rsidR="00BB4A33" w:rsidRDefault="00BB4A33" w:rsidP="00BB4A33">
      <w:pPr>
        <w:pStyle w:val="Odstavecseseznamem"/>
        <w:keepNext/>
        <w:keepLines/>
        <w:numPr>
          <w:ilvl w:val="0"/>
          <w:numId w:val="36"/>
        </w:numPr>
        <w:suppressAutoHyphens/>
        <w:autoSpaceDN w:val="0"/>
        <w:spacing w:after="0" w:line="252" w:lineRule="auto"/>
        <w:ind w:left="0"/>
        <w:contextualSpacing w:val="0"/>
        <w:jc w:val="both"/>
      </w:pPr>
      <w:bookmarkStart w:id="8" w:name="_Toc445380604"/>
      <w:r>
        <w:rPr>
          <w:b/>
        </w:rPr>
        <w:t>Právní základ:</w:t>
      </w:r>
      <w:bookmarkEnd w:id="8"/>
    </w:p>
    <w:p w:rsidR="00BB4A33" w:rsidRDefault="00BB4A33" w:rsidP="00BB4A33">
      <w:pPr>
        <w:jc w:val="both"/>
      </w:pPr>
      <w:r>
        <w:t>Dokument informační povahy.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6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b/>
        </w:rPr>
      </w:pPr>
      <w:bookmarkStart w:id="9" w:name="_Toc445380605"/>
      <w:r>
        <w:rPr>
          <w:b/>
        </w:rPr>
        <w:t>Datum zaslání Poslanecké sněmovně prostřednictvím VEZ:</w:t>
      </w:r>
      <w:bookmarkEnd w:id="9"/>
    </w:p>
    <w:p w:rsidR="00BB4A33" w:rsidRDefault="00BB4A33" w:rsidP="00BB4A33">
      <w:pPr>
        <w:jc w:val="both"/>
      </w:pPr>
      <w:r>
        <w:t>22. 4. 2024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6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b/>
        </w:rPr>
      </w:pPr>
      <w:bookmarkStart w:id="10" w:name="_Toc445380606"/>
      <w:r>
        <w:rPr>
          <w:b/>
        </w:rPr>
        <w:t>Datum projednání ve VEZ:</w:t>
      </w:r>
      <w:bookmarkEnd w:id="10"/>
    </w:p>
    <w:p w:rsidR="00BB4A33" w:rsidRDefault="00BB4A33" w:rsidP="00BB4A33">
      <w:pPr>
        <w:jc w:val="both"/>
      </w:pPr>
      <w:r>
        <w:t>5. 6. 2024 (1. kolo)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6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b/>
        </w:rPr>
      </w:pPr>
      <w:bookmarkStart w:id="11" w:name="_Toc445380607"/>
      <w:r>
        <w:rPr>
          <w:b/>
        </w:rPr>
        <w:t>Procedura:</w:t>
      </w:r>
      <w:bookmarkEnd w:id="11"/>
    </w:p>
    <w:p w:rsidR="00BB4A33" w:rsidRDefault="00BB4A33" w:rsidP="00BB4A33">
      <w:pPr>
        <w:jc w:val="both"/>
      </w:pPr>
      <w:r>
        <w:t xml:space="preserve">Není projednáváno legislativním postupem, jedná se o dokument nelegislativní povahy, který nepodléhá schválení v Radě a Evropském parlamentu. Procedura je ukončena jeho přijetím a předložením těmto institucím. 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6"/>
        </w:numPr>
        <w:suppressAutoHyphens/>
        <w:autoSpaceDN w:val="0"/>
        <w:spacing w:after="0" w:line="252" w:lineRule="auto"/>
        <w:ind w:left="0"/>
        <w:contextualSpacing w:val="0"/>
        <w:jc w:val="both"/>
        <w:rPr>
          <w:b/>
        </w:rPr>
      </w:pPr>
      <w:bookmarkStart w:id="12" w:name="_Toc445380608"/>
      <w:r>
        <w:rPr>
          <w:b/>
        </w:rPr>
        <w:t xml:space="preserve">Předběžné stanovisko vlády (dle § </w:t>
      </w:r>
      <w:proofErr w:type="gramStart"/>
      <w:r>
        <w:rPr>
          <w:b/>
        </w:rPr>
        <w:t>109a</w:t>
      </w:r>
      <w:proofErr w:type="gramEnd"/>
      <w:r>
        <w:rPr>
          <w:b/>
        </w:rPr>
        <w:t xml:space="preserve"> odst. 1 jednacího řádu PS):</w:t>
      </w:r>
      <w:bookmarkEnd w:id="12"/>
    </w:p>
    <w:p w:rsidR="00BB4A33" w:rsidRDefault="00BB4A33" w:rsidP="00BB4A33">
      <w:pPr>
        <w:jc w:val="both"/>
      </w:pPr>
      <w:r>
        <w:t>Datované dnem 4. července 2024, doručené do výboru pro evropské záležitosti dne 11. července 2024 prostřednictvím systému ISAP.</w:t>
      </w:r>
    </w:p>
    <w:p w:rsidR="00BB4A33" w:rsidRDefault="00BB4A33" w:rsidP="00BB4A33">
      <w:pPr>
        <w:pStyle w:val="Nadpis1"/>
        <w:numPr>
          <w:ilvl w:val="0"/>
          <w:numId w:val="34"/>
        </w:numPr>
        <w:ind w:left="0"/>
      </w:pPr>
      <w:bookmarkStart w:id="13" w:name="_Toc448302188"/>
      <w:bookmarkStart w:id="14" w:name="_Toc445380609"/>
      <w:r>
        <w:t>Hodnocení z hlediska principu</w:t>
      </w:r>
      <w:r>
        <w:rPr>
          <w:rStyle w:val="Nadpis1Char"/>
        </w:rPr>
        <w:t xml:space="preserve"> </w:t>
      </w:r>
      <w:r>
        <w:t>subsidiarity:</w:t>
      </w:r>
      <w:bookmarkEnd w:id="13"/>
      <w:bookmarkEnd w:id="14"/>
    </w:p>
    <w:p w:rsidR="00BB4A33" w:rsidRDefault="00BB4A33" w:rsidP="00BB4A33">
      <w:pPr>
        <w:jc w:val="both"/>
      </w:pPr>
      <w:r>
        <w:t>Hodnocení z hlediska principu subsidiarity se neuplatní, jedná se o dokument informační povahy.</w:t>
      </w:r>
    </w:p>
    <w:p w:rsidR="00BB4A33" w:rsidRDefault="00BB4A33" w:rsidP="00BB4A33">
      <w:pPr>
        <w:pStyle w:val="Nadpis1"/>
        <w:numPr>
          <w:ilvl w:val="0"/>
          <w:numId w:val="34"/>
        </w:numPr>
        <w:ind w:left="0"/>
      </w:pPr>
      <w:bookmarkStart w:id="15" w:name="_Toc448302189"/>
      <w:bookmarkStart w:id="16" w:name="_Toc445380610"/>
      <w:r>
        <w:lastRenderedPageBreak/>
        <w:t>Odůvodnění a předmět:</w:t>
      </w:r>
      <w:bookmarkEnd w:id="15"/>
      <w:bookmarkEnd w:id="16"/>
    </w:p>
    <w:p w:rsidR="00BB4A33" w:rsidRDefault="00BB4A33" w:rsidP="00BB4A33"/>
    <w:p w:rsidR="00BB4A33" w:rsidRDefault="00BB4A33" w:rsidP="00BB4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120"/>
        <w:jc w:val="both"/>
      </w:pPr>
      <w:r>
        <w:t xml:space="preserve">Ze </w:t>
      </w:r>
      <w:hyperlink r:id="rId23" w:history="1">
        <w:r>
          <w:rPr>
            <w:rStyle w:val="Hypertextovodkaz"/>
          </w:rPr>
          <w:t>sdělení</w:t>
        </w:r>
      </w:hyperlink>
      <w:r>
        <w:t xml:space="preserve"> vyplývá, že </w:t>
      </w:r>
      <w:r>
        <w:rPr>
          <w:b/>
        </w:rPr>
        <w:t>biotechnologie a biovýroba</w:t>
      </w:r>
      <w:r>
        <w:t xml:space="preserve"> mohou přispět k </w:t>
      </w:r>
      <w:r>
        <w:rPr>
          <w:b/>
        </w:rPr>
        <w:t>řešení</w:t>
      </w:r>
      <w:r>
        <w:t xml:space="preserve"> mnoha </w:t>
      </w:r>
      <w:r>
        <w:rPr>
          <w:b/>
        </w:rPr>
        <w:t>společenských a environmentálních problémů</w:t>
      </w:r>
      <w:r>
        <w:t xml:space="preserve">, mají klíčový význam pro </w:t>
      </w:r>
      <w:r>
        <w:rPr>
          <w:b/>
        </w:rPr>
        <w:t>konkurenceschopnost</w:t>
      </w:r>
      <w:r>
        <w:t xml:space="preserve"> a mohou také posílit </w:t>
      </w:r>
      <w:r>
        <w:rPr>
          <w:b/>
        </w:rPr>
        <w:t>otevřenou strategickou autonomii a odolnost EU</w:t>
      </w:r>
      <w:r>
        <w:t xml:space="preserve">. Biotechnologie byly ve sdělení označeny i za technologie s kritickým významem pro </w:t>
      </w:r>
      <w:r>
        <w:rPr>
          <w:b/>
        </w:rPr>
        <w:t>hospodářskou bezpečnost</w:t>
      </w:r>
      <w:r>
        <w:t>.</w:t>
      </w:r>
    </w:p>
    <w:p w:rsidR="00BB4A33" w:rsidRDefault="00BB4A33" w:rsidP="00BB4A33">
      <w:pPr>
        <w:spacing w:after="120"/>
        <w:jc w:val="both"/>
      </w:pPr>
      <w:r>
        <w:t xml:space="preserve">Sdělení doplňuje </w:t>
      </w:r>
      <w:hyperlink r:id="rId24" w:history="1">
        <w:r>
          <w:rPr>
            <w:rStyle w:val="Hypertextovodkaz"/>
          </w:rPr>
          <w:t>sdělení o pokročilých materiálech pro vedoucí postavení v průmyslu</w:t>
        </w:r>
      </w:hyperlink>
      <w:r>
        <w:t xml:space="preserve"> ve vztahu k výrobě pokročilých materiálů z obnovitelných zdrojů a reaguje mimo jiné i na potřebu usnadnit nahrazování kritických surovin alternativními pokročilými materiály. Sdělení o pokročilých materiálech VEZ projednal a vzal na vědomí v červnu 2024 </w:t>
      </w:r>
      <w:hyperlink r:id="rId25" w:history="1">
        <w:r>
          <w:rPr>
            <w:rStyle w:val="Hypertextovodkaz"/>
          </w:rPr>
          <w:t>(usnesení č. 318</w:t>
        </w:r>
      </w:hyperlink>
      <w:r>
        <w:t>).</w:t>
      </w:r>
    </w:p>
    <w:p w:rsidR="00BB4A33" w:rsidRDefault="00BB4A33" w:rsidP="00BB4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120"/>
        <w:jc w:val="both"/>
        <w:rPr>
          <w:u w:val="single"/>
        </w:rPr>
      </w:pPr>
      <w:r>
        <w:rPr>
          <w:b/>
          <w:u w:val="single"/>
        </w:rPr>
        <w:t>Poznámka PI:</w:t>
      </w:r>
    </w:p>
    <w:p w:rsidR="00BB4A33" w:rsidRDefault="00BB4A33" w:rsidP="00BB4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spacing w:after="120"/>
        <w:jc w:val="both"/>
      </w:pPr>
      <w:r>
        <w:t xml:space="preserve">V ČR byl v roce 2023 založen Biotechnologický klastr </w:t>
      </w:r>
      <w:hyperlink r:id="rId26" w:history="1">
        <w:proofErr w:type="spellStart"/>
        <w:r>
          <w:rPr>
            <w:rStyle w:val="Hypertextovodkaz"/>
          </w:rPr>
          <w:t>Prague.bio</w:t>
        </w:r>
        <w:proofErr w:type="spellEnd"/>
      </w:hyperlink>
      <w:r>
        <w:t>, který kombinuje výzkumné, vývojové a inovační aktivity v oblasti medicíny a přírodních věd a sdružuje klíčové hráče ve výzkumu, průmyslu, investicích a státní správě.</w:t>
      </w:r>
    </w:p>
    <w:p w:rsidR="00BB4A33" w:rsidRDefault="00BB4A33" w:rsidP="00BB4A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DD6EE" w:themeFill="accent1" w:themeFillTint="66"/>
        <w:jc w:val="both"/>
      </w:pPr>
      <w:r>
        <w:t>Cílem uvedeného klastru je propojit vědu a obchod s cílem urychlit vývoj nových léčiv, diagnostiky a jiných úspěšných projektů, které napomohou při financování české vědy.</w:t>
      </w:r>
    </w:p>
    <w:p w:rsidR="00BB4A33" w:rsidRDefault="00BB4A33" w:rsidP="00BB4A33">
      <w:pPr>
        <w:pStyle w:val="Nadpis1"/>
        <w:numPr>
          <w:ilvl w:val="0"/>
          <w:numId w:val="34"/>
        </w:numPr>
        <w:spacing w:before="240" w:after="240"/>
        <w:ind w:left="0"/>
      </w:pPr>
      <w:bookmarkStart w:id="17" w:name="_Toc448302190"/>
      <w:bookmarkStart w:id="18" w:name="_Toc445380611"/>
      <w:r>
        <w:t>Obsah a dopad:</w:t>
      </w:r>
      <w:bookmarkEnd w:id="17"/>
      <w:bookmarkEnd w:id="18"/>
    </w:p>
    <w:p w:rsidR="00BB4A33" w:rsidRDefault="00BB4A33" w:rsidP="00BB4A33">
      <w:pPr>
        <w:spacing w:after="120"/>
        <w:jc w:val="both"/>
        <w:rPr>
          <w:b/>
          <w:u w:val="single"/>
        </w:rPr>
      </w:pPr>
      <w:r>
        <w:rPr>
          <w:b/>
          <w:u w:val="single"/>
        </w:rPr>
        <w:t>Celkový pohled na odvětví</w:t>
      </w:r>
    </w:p>
    <w:p w:rsidR="00BB4A33" w:rsidRDefault="00BB4A33" w:rsidP="00BB4A33">
      <w:pPr>
        <w:spacing w:after="120"/>
        <w:jc w:val="both"/>
      </w:pPr>
      <w:r>
        <w:t xml:space="preserve">Celková </w:t>
      </w:r>
      <w:r>
        <w:rPr>
          <w:b/>
        </w:rPr>
        <w:t>velikost globálního trhu s biotechnologiemi</w:t>
      </w:r>
      <w:r>
        <w:t xml:space="preserve"> činila </w:t>
      </w:r>
      <w:r>
        <w:rPr>
          <w:b/>
        </w:rPr>
        <w:t>v roce 2021 720 miliard EUR</w:t>
      </w:r>
      <w:r>
        <w:t xml:space="preserve"> s ročním nárůstem o více než 18 %. Největší podíl na celosvětovém trhu měly Spojené státy (60 %), poté EU (12 %) a Čína (11 %).</w:t>
      </w:r>
    </w:p>
    <w:p w:rsidR="00BB4A33" w:rsidRDefault="00BB4A33" w:rsidP="00BB4A33">
      <w:pPr>
        <w:spacing w:after="120"/>
        <w:jc w:val="both"/>
      </w:pPr>
      <w:r>
        <w:t>V roce 2018 se biotechnologie v EU přímo podílely na jejím celkovém HDP částkou 31 miliard EUR, vytvořily 210.700 přímých pracovních míst ve zdravotnictví, průmyslu a zemědělství a podpořily 625.700 pracovních míst (nepřímých a indukovaných) v celkovém hospodářství. V letech 2008 až 2018 rostl biotechnologický průmysl více než dvakrát rychleji než celková ekonomika.</w:t>
      </w:r>
    </w:p>
    <w:p w:rsidR="00BB4A33" w:rsidRDefault="00BB4A33" w:rsidP="00BB4A33">
      <w:pPr>
        <w:spacing w:after="120"/>
        <w:jc w:val="both"/>
        <w:rPr>
          <w:i/>
          <w:u w:val="single"/>
        </w:rPr>
      </w:pPr>
      <w:r>
        <w:rPr>
          <w:i/>
          <w:u w:val="single"/>
        </w:rPr>
        <w:t>Biotechnologie ve zdravotnictví</w:t>
      </w:r>
    </w:p>
    <w:p w:rsidR="00BB4A33" w:rsidRDefault="00BB4A33" w:rsidP="00BB4A33">
      <w:pPr>
        <w:spacing w:after="120"/>
        <w:jc w:val="both"/>
      </w:pPr>
      <w:r>
        <w:rPr>
          <w:b/>
        </w:rPr>
        <w:t>Biotechnologický ekosystém EU</w:t>
      </w:r>
      <w:r>
        <w:t xml:space="preserve"> má význam pro </w:t>
      </w:r>
      <w:r>
        <w:rPr>
          <w:b/>
        </w:rPr>
        <w:t>účinnost zdravotní péče a odolnost zdravotnických systémů</w:t>
      </w:r>
      <w:r>
        <w:t xml:space="preserve"> při zátěžových nebo mimořádných situacích. Může napomoci řešení problému stárnutí populace prostřednictvím prevence nemocí, personalizované medicíny, regenerativního lékařství, léčby chronických onemocnění. Může také přispět k řešení nedostatku léčivých přípravků.</w:t>
      </w:r>
    </w:p>
    <w:p w:rsidR="00BB4A33" w:rsidRDefault="00BB4A33" w:rsidP="00BB4A33">
      <w:pPr>
        <w:spacing w:after="120"/>
        <w:jc w:val="both"/>
        <w:rPr>
          <w:i/>
          <w:u w:val="single"/>
        </w:rPr>
      </w:pPr>
      <w:r>
        <w:rPr>
          <w:i/>
          <w:u w:val="single"/>
        </w:rPr>
        <w:t>Využití biotechnologií v oblasti potravin a krmiv – biotechnologie pro potravinové zabezpečení</w:t>
      </w:r>
    </w:p>
    <w:p w:rsidR="00BB4A33" w:rsidRDefault="00BB4A33" w:rsidP="00BB4A33">
      <w:pPr>
        <w:spacing w:after="120"/>
        <w:jc w:val="both"/>
        <w:rPr>
          <w:rFonts w:eastAsia="Times New Roman"/>
          <w:szCs w:val="20"/>
          <w:lang w:eastAsia="cs-CZ"/>
        </w:rPr>
      </w:pPr>
      <w:r>
        <w:rPr>
          <w:b/>
        </w:rPr>
        <w:t>Biotechnologie</w:t>
      </w:r>
      <w:r>
        <w:t xml:space="preserve"> mohou pomoci </w:t>
      </w:r>
      <w:r>
        <w:rPr>
          <w:b/>
        </w:rPr>
        <w:t>snížit vnější závislost EU v oblasti potravin a zemědělství</w:t>
      </w:r>
      <w:r>
        <w:t xml:space="preserve"> a mohou přispět k lepší ochraně zdraví a životního prostředí.</w:t>
      </w:r>
    </w:p>
    <w:p w:rsidR="00BB4A33" w:rsidRDefault="00BB4A33" w:rsidP="00BB4A33">
      <w:pPr>
        <w:spacing w:after="120"/>
        <w:jc w:val="both"/>
        <w:rPr>
          <w:i/>
          <w:u w:val="single"/>
        </w:rPr>
      </w:pPr>
      <w:r>
        <w:rPr>
          <w:i/>
          <w:u w:val="single"/>
        </w:rPr>
        <w:t>Biotechnologie a biovýroba pro vyšší přidanou hodnotu s využitím menšího množství zdrojů v udržitelném odvětví využívajícím dřevo</w:t>
      </w:r>
    </w:p>
    <w:p w:rsidR="00BB4A33" w:rsidRDefault="00BB4A33" w:rsidP="00BB4A33">
      <w:pPr>
        <w:spacing w:after="120"/>
        <w:jc w:val="both"/>
      </w:pPr>
      <w:r>
        <w:rPr>
          <w:b/>
        </w:rPr>
        <w:t>Biotechnologie</w:t>
      </w:r>
      <w:r>
        <w:t xml:space="preserve"> mohou posílit </w:t>
      </w:r>
      <w:r>
        <w:rPr>
          <w:b/>
        </w:rPr>
        <w:t>odolnost lesů proti změnám klimatu</w:t>
      </w:r>
      <w:r>
        <w:t>. Suroviny z odvětví lesnictví lze využít u inovativních produktů, jako jsou baterie nebo zdravotnické a farmaceutické přípravky.</w:t>
      </w:r>
    </w:p>
    <w:p w:rsidR="00BB4A33" w:rsidRDefault="00BB4A33" w:rsidP="00BB4A33">
      <w:pPr>
        <w:spacing w:after="120"/>
        <w:jc w:val="both"/>
        <w:rPr>
          <w:i/>
          <w:u w:val="single"/>
        </w:rPr>
      </w:pPr>
      <w:r>
        <w:rPr>
          <w:i/>
          <w:u w:val="single"/>
        </w:rPr>
        <w:t>Použití mořské biotechnologie k řešení globálních problémů</w:t>
      </w:r>
    </w:p>
    <w:p w:rsidR="00BB4A33" w:rsidRDefault="00BB4A33" w:rsidP="00BB4A33">
      <w:pPr>
        <w:spacing w:after="120"/>
        <w:jc w:val="both"/>
      </w:pPr>
      <w:r>
        <w:rPr>
          <w:b/>
        </w:rPr>
        <w:lastRenderedPageBreak/>
        <w:t>Mořskou biotechnologii</w:t>
      </w:r>
      <w:r>
        <w:t xml:space="preserve"> lze </w:t>
      </w:r>
      <w:r>
        <w:rPr>
          <w:b/>
        </w:rPr>
        <w:t>využít např. při výrobě léčivých přípravků</w:t>
      </w:r>
      <w:r>
        <w:t xml:space="preserve"> na léčbu rakoviny, kardiovaskulárních onemocnění, bolesti a virových infekcí nebo k sanaci škod na životním prostředí. Dále ji lze využít v kosmetice, enzymech, chemických výrobcích a biologických hnojivech.</w:t>
      </w:r>
    </w:p>
    <w:p w:rsidR="00BB4A33" w:rsidRDefault="00BB4A33" w:rsidP="00BB4A33">
      <w:pPr>
        <w:spacing w:after="120"/>
        <w:jc w:val="both"/>
        <w:rPr>
          <w:b/>
          <w:u w:val="single"/>
        </w:rPr>
      </w:pPr>
      <w:r>
        <w:rPr>
          <w:b/>
          <w:u w:val="single"/>
        </w:rPr>
        <w:t>Výzvy</w:t>
      </w:r>
    </w:p>
    <w:p w:rsidR="00BB4A33" w:rsidRDefault="00BB4A33" w:rsidP="00BB4A33">
      <w:pPr>
        <w:spacing w:after="120"/>
        <w:jc w:val="both"/>
      </w:pPr>
      <w:r>
        <w:t>Odvětví biotechnologií čelí některým výzvám, z nichž sdělení zmiňuje např. následující: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i/>
          <w:u w:val="single"/>
        </w:rPr>
      </w:pPr>
      <w:r>
        <w:rPr>
          <w:i/>
          <w:u w:val="single"/>
        </w:rPr>
        <w:t>Přenos výzkumu a technologií na trh</w:t>
      </w:r>
    </w:p>
    <w:p w:rsidR="00BB4A33" w:rsidRDefault="00BB4A33" w:rsidP="00BB4A33">
      <w:pPr>
        <w:spacing w:after="120"/>
        <w:jc w:val="both"/>
      </w:pPr>
      <w:r>
        <w:t xml:space="preserve">V EU představuje problém, že </w:t>
      </w:r>
      <w:r>
        <w:rPr>
          <w:b/>
        </w:rPr>
        <w:t>výsledky výzkumu nejsou</w:t>
      </w:r>
      <w:r>
        <w:t xml:space="preserve"> dále </w:t>
      </w:r>
      <w:r>
        <w:rPr>
          <w:b/>
        </w:rPr>
        <w:t>rozvíjeny pro účely trhu</w:t>
      </w:r>
      <w:r>
        <w:t>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i/>
          <w:u w:val="single"/>
        </w:rPr>
      </w:pPr>
      <w:r>
        <w:rPr>
          <w:i/>
          <w:u w:val="single"/>
        </w:rPr>
        <w:t>Složitost právních předpisů</w:t>
      </w:r>
    </w:p>
    <w:p w:rsidR="00BB4A33" w:rsidRDefault="00BB4A33" w:rsidP="00BB4A33">
      <w:pPr>
        <w:spacing w:after="120"/>
        <w:jc w:val="both"/>
      </w:pPr>
      <w:r>
        <w:t xml:space="preserve">Inovativní </w:t>
      </w:r>
      <w:r>
        <w:rPr>
          <w:b/>
        </w:rPr>
        <w:t>biotechnologie a výrobky</w:t>
      </w:r>
      <w:r>
        <w:t xml:space="preserve"> čelí </w:t>
      </w:r>
      <w:r>
        <w:rPr>
          <w:b/>
        </w:rPr>
        <w:t>regulačním překážkám na úrovni členských států i EU</w:t>
      </w:r>
      <w:r>
        <w:t>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i/>
          <w:u w:val="single"/>
        </w:rPr>
      </w:pPr>
      <w:r>
        <w:rPr>
          <w:i/>
          <w:u w:val="single"/>
        </w:rPr>
        <w:t>Přístup k financování</w:t>
      </w:r>
    </w:p>
    <w:p w:rsidR="00BB4A33" w:rsidRDefault="00BB4A33" w:rsidP="00BB4A33">
      <w:pPr>
        <w:spacing w:after="120"/>
        <w:jc w:val="both"/>
      </w:pPr>
      <w:r>
        <w:rPr>
          <w:b/>
        </w:rPr>
        <w:t>Investice</w:t>
      </w:r>
      <w:r>
        <w:t xml:space="preserve"> do biotechnologických firem jsou </w:t>
      </w:r>
      <w:r>
        <w:rPr>
          <w:b/>
        </w:rPr>
        <w:t>spojeny s vysokým rizikem a dlouhým investičním horizontem</w:t>
      </w:r>
      <w:r>
        <w:t>. Vhodné financování pro ně lze proto nalézt především na kapitálových trzích. Je pro ně tedy klíčový další pokrok v oblasti unie kapitálových trhů.</w:t>
      </w:r>
    </w:p>
    <w:p w:rsidR="00BB4A33" w:rsidRDefault="00BB4A33" w:rsidP="00BB4A33">
      <w:pPr>
        <w:spacing w:after="120"/>
        <w:jc w:val="both"/>
      </w:pPr>
      <w:r>
        <w:t>Za účelem umožnění rozvoje biotechnologických firem je v EU nezbytné zajistit rozsáhlejší a rozvinutější celoevropské fondy, jež by mohly zajistit vyšší objem soukromých investic.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i/>
          <w:u w:val="single"/>
        </w:rPr>
      </w:pPr>
      <w:r>
        <w:rPr>
          <w:i/>
          <w:u w:val="single"/>
        </w:rPr>
        <w:t>Kvalifikace</w:t>
      </w:r>
    </w:p>
    <w:p w:rsidR="00BB4A33" w:rsidRDefault="00BB4A33" w:rsidP="00BB4A33">
      <w:pPr>
        <w:spacing w:after="120"/>
        <w:jc w:val="both"/>
      </w:pPr>
      <w:r>
        <w:t xml:space="preserve">V odvětví biotechnologií často </w:t>
      </w:r>
      <w:r>
        <w:rPr>
          <w:b/>
        </w:rPr>
        <w:t>chybí kvalifikovaní pracovníci</w:t>
      </w:r>
      <w:r>
        <w:t>, neboť vývoj a výroba biotechnologických produktů vyžaduje vysoce kvalifikovanou pracovní sílu, která je často nedostačující a hrozí také její odliv do zemí s příznivějšími podmínkami.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bCs/>
          <w:i/>
          <w:u w:val="single"/>
        </w:rPr>
      </w:pPr>
      <w:r>
        <w:rPr>
          <w:bCs/>
          <w:i/>
          <w:u w:val="single"/>
        </w:rPr>
        <w:t>Překážky v hodnotovém řetězci</w:t>
      </w:r>
    </w:p>
    <w:p w:rsidR="00BB4A33" w:rsidRDefault="00BB4A33" w:rsidP="00BB4A33">
      <w:pPr>
        <w:spacing w:after="120"/>
        <w:jc w:val="both"/>
      </w:pPr>
      <w:r>
        <w:t xml:space="preserve">Průmyslové systémy EU založené na biotechnologiích jsou do značné míry </w:t>
      </w:r>
      <w:r>
        <w:rPr>
          <w:b/>
        </w:rPr>
        <w:t>závislé na materiálech z dovozu</w:t>
      </w:r>
      <w:r>
        <w:t>, přičemž v EU není v dostatečné míře využit potenciál některých dostupných alternativ, např. organického odpadu a vedlejších produktů. Evropská komise proto ve sdělení navrhuje využívat další obnovitelné zdroje, jako je recyklovaný odpad nebo zachycený uhlík.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bCs/>
          <w:i/>
          <w:u w:val="single"/>
        </w:rPr>
      </w:pPr>
      <w:r>
        <w:rPr>
          <w:bCs/>
          <w:i/>
          <w:u w:val="single"/>
        </w:rPr>
        <w:t>D</w:t>
      </w:r>
      <w:r>
        <w:rPr>
          <w:i/>
          <w:u w:val="single"/>
        </w:rPr>
        <w:t>uševní vlastnictví</w:t>
      </w:r>
    </w:p>
    <w:p w:rsidR="00BB4A33" w:rsidRDefault="00BB4A33" w:rsidP="00BB4A33">
      <w:pPr>
        <w:spacing w:after="120"/>
        <w:jc w:val="both"/>
      </w:pPr>
      <w:r>
        <w:t xml:space="preserve">Evropská komise zmiňuje také </w:t>
      </w:r>
      <w:r>
        <w:rPr>
          <w:b/>
        </w:rPr>
        <w:t>duševní vlastnictví</w:t>
      </w:r>
      <w:r>
        <w:t xml:space="preserve"> jakožto prostředek k </w:t>
      </w:r>
      <w:r>
        <w:rPr>
          <w:b/>
        </w:rPr>
        <w:t>získávání zpět vynaložených investic</w:t>
      </w:r>
      <w:r>
        <w:t xml:space="preserve"> a jakožto </w:t>
      </w:r>
      <w:r>
        <w:rPr>
          <w:b/>
        </w:rPr>
        <w:t>aktivum</w:t>
      </w:r>
      <w:r>
        <w:t xml:space="preserve"> užívané/využitelné k </w:t>
      </w:r>
      <w:r>
        <w:rPr>
          <w:b/>
        </w:rPr>
        <w:t>zajištění financování</w:t>
      </w:r>
      <w:r>
        <w:t>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i/>
          <w:u w:val="single"/>
        </w:rPr>
      </w:pPr>
      <w:r>
        <w:rPr>
          <w:bCs/>
          <w:i/>
          <w:u w:val="single"/>
        </w:rPr>
        <w:t>Přijetí u veřejnosti</w:t>
      </w:r>
    </w:p>
    <w:p w:rsidR="00BB4A33" w:rsidRDefault="00BB4A33" w:rsidP="00BB4A33">
      <w:pPr>
        <w:spacing w:after="120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Navzdory mnoha přínosům je třeba věnovat hlubší pozornost </w:t>
      </w:r>
      <w:r>
        <w:rPr>
          <w:b/>
          <w:sz w:val="23"/>
          <w:szCs w:val="23"/>
        </w:rPr>
        <w:t>povědomí veřejnosti o biotechnologiích a produktech vyrobených z biologického materiálu v EU</w:t>
      </w:r>
      <w:r>
        <w:rPr>
          <w:sz w:val="23"/>
          <w:szCs w:val="23"/>
        </w:rPr>
        <w:t xml:space="preserve"> a jejich přijetí.</w:t>
      </w:r>
    </w:p>
    <w:p w:rsidR="00BB4A33" w:rsidRDefault="00BB4A33" w:rsidP="00BB4A33">
      <w:pPr>
        <w:pStyle w:val="Odstavecseseznamem"/>
        <w:keepNext/>
        <w:keepLines/>
        <w:numPr>
          <w:ilvl w:val="0"/>
          <w:numId w:val="37"/>
        </w:numPr>
        <w:suppressAutoHyphens/>
        <w:autoSpaceDN w:val="0"/>
        <w:spacing w:after="120" w:line="252" w:lineRule="auto"/>
        <w:contextualSpacing w:val="0"/>
        <w:jc w:val="both"/>
        <w:rPr>
          <w:sz w:val="24"/>
        </w:rPr>
      </w:pPr>
      <w:r>
        <w:rPr>
          <w:i/>
          <w:u w:val="single"/>
        </w:rPr>
        <w:t>Hospodářská bezpečnost</w:t>
      </w:r>
    </w:p>
    <w:p w:rsidR="00BB4A33" w:rsidRDefault="00BB4A33" w:rsidP="00BB4A33">
      <w:pPr>
        <w:spacing w:after="120"/>
        <w:jc w:val="both"/>
      </w:pPr>
      <w:r>
        <w:t xml:space="preserve">Komise a členské státy určí konkrétní a přiměřená opatření ke </w:t>
      </w:r>
      <w:r>
        <w:rPr>
          <w:b/>
        </w:rPr>
        <w:t>zmírnění rizik</w:t>
      </w:r>
      <w:r>
        <w:t xml:space="preserve">, aby zajistily, že </w:t>
      </w:r>
      <w:r>
        <w:rPr>
          <w:b/>
        </w:rPr>
        <w:t>EU zůstane v čele technologických inovací v oblasti biotechnologií</w:t>
      </w:r>
      <w:r>
        <w:t xml:space="preserve">, zaručí/zajistí svou </w:t>
      </w:r>
      <w:r>
        <w:rPr>
          <w:b/>
        </w:rPr>
        <w:t>hospodářskou bezpečnost</w:t>
      </w:r>
      <w:r>
        <w:t xml:space="preserve"> a udrží úzkou </w:t>
      </w:r>
      <w:r>
        <w:rPr>
          <w:b/>
        </w:rPr>
        <w:t>spolupráci</w:t>
      </w:r>
      <w:r>
        <w:t xml:space="preserve"> s co nejširším </w:t>
      </w:r>
      <w:r>
        <w:rPr>
          <w:b/>
        </w:rPr>
        <w:t>okruhem podobně smýšlejících partnerů</w:t>
      </w:r>
      <w:r>
        <w:t>.</w:t>
      </w:r>
    </w:p>
    <w:p w:rsidR="00BB4A33" w:rsidRDefault="00BB4A33" w:rsidP="00BB4A33">
      <w:pPr>
        <w:spacing w:after="120"/>
        <w:jc w:val="both"/>
        <w:rPr>
          <w:b/>
          <w:u w:val="single"/>
        </w:rPr>
      </w:pPr>
      <w:r>
        <w:rPr>
          <w:b/>
          <w:u w:val="single"/>
        </w:rPr>
        <w:t>Osm opatření k rozvoji a podpoře biotechnologií a biologické výroby v EU</w:t>
      </w:r>
    </w:p>
    <w:p w:rsidR="00BB4A33" w:rsidRDefault="00BB4A33" w:rsidP="00BB4A33">
      <w:pPr>
        <w:spacing w:after="120"/>
        <w:jc w:val="both"/>
        <w:rPr>
          <w:b/>
          <w:u w:val="single"/>
        </w:rPr>
      </w:pPr>
    </w:p>
    <w:tbl>
      <w:tblPr>
        <w:tblStyle w:val="Mkatabulky"/>
        <w:tblW w:w="0" w:type="auto"/>
        <w:tblInd w:w="0" w:type="dxa"/>
        <w:tblLook w:val="04A0" w:firstRow="1" w:lastRow="0" w:firstColumn="1" w:lastColumn="0" w:noHBand="0" w:noVBand="1"/>
      </w:tblPr>
      <w:tblGrid>
        <w:gridCol w:w="9286"/>
      </w:tblGrid>
      <w:tr w:rsidR="00BB4A33" w:rsidTr="00BB4A33">
        <w:tc>
          <w:tcPr>
            <w:tcW w:w="9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BB4A33" w:rsidRDefault="00BB4A33">
            <w:pPr>
              <w:spacing w:after="120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Evropská komise navrhuje osm opatření, jejichž prostřednictvím zamýšlí rozvíjet odvětví biotechnologií v EU: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posílení výzkumu a podpora inovací včetně podpory využívání umělé inteligence, dat a </w:t>
            </w:r>
            <w:r>
              <w:rPr>
                <w:b/>
                <w:szCs w:val="24"/>
              </w:rPr>
              <w:lastRenderedPageBreak/>
              <w:t>generativní umělé inteligence;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>stimulace poptávky na trhu včetně zajištění rovnocenného zacházení u výrobků z fosilních zdrojů a výrobků z biologického materiálu;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zjednodušení regulačních postupů včetně povolovacích a schvalovacích řízení </w:t>
            </w:r>
            <w:r>
              <w:rPr>
                <w:szCs w:val="24"/>
              </w:rPr>
              <w:t>– Komise posoudí možnost zefektivnění právních předpisů, regulační překážky a zkrácení doby potřebné pro uvedení biotechnologií na trh a vytvoří centrum EU pro biotechnologie;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podpora veřejných a soukromých investic - </w:t>
            </w:r>
            <w:r>
              <w:rPr>
                <w:szCs w:val="24"/>
              </w:rPr>
              <w:t xml:space="preserve">např. prostřednictvím zahrnutí specifických výzev v oblasti biotechnologií a biovýroby do programu nástroje </w:t>
            </w:r>
            <w:proofErr w:type="spellStart"/>
            <w:r>
              <w:rPr>
                <w:szCs w:val="24"/>
              </w:rPr>
              <w:t>Accelerator</w:t>
            </w:r>
            <w:proofErr w:type="spellEnd"/>
            <w:r>
              <w:rPr>
                <w:szCs w:val="24"/>
              </w:rPr>
              <w:t xml:space="preserve"> Evropské rady pro inovace na rok 2025, podpory skupiny EIB při rozšiřování iniciativy </w:t>
            </w:r>
            <w:proofErr w:type="spellStart"/>
            <w:r>
              <w:rPr>
                <w:szCs w:val="24"/>
              </w:rPr>
              <w:t>European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Tech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Champions</w:t>
            </w:r>
            <w:proofErr w:type="spellEnd"/>
            <w:r>
              <w:rPr>
                <w:szCs w:val="24"/>
              </w:rPr>
              <w:t xml:space="preserve"> a identifikace překážek a způsobů podpory konsolidace investičních fondů, burz cenných papírů a </w:t>
            </w:r>
            <w:proofErr w:type="spellStart"/>
            <w:r>
              <w:rPr>
                <w:szCs w:val="24"/>
              </w:rPr>
              <w:t>poobchodní</w:t>
            </w:r>
            <w:proofErr w:type="spellEnd"/>
            <w:r>
              <w:rPr>
                <w:szCs w:val="24"/>
              </w:rPr>
              <w:t xml:space="preserve"> infrastruktury;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posilování dovedností souvisejících s biotechnologiemi </w:t>
            </w:r>
            <w:r>
              <w:rPr>
                <w:szCs w:val="24"/>
              </w:rPr>
              <w:t>– prostřednictvím rozsáhlých a regionálních partnerství v oblasti dovedností, dynamických aliancí Evropských univerzit a partnerství a aliancí pro inovace v rámci programu Erasmus+, platformy STEP jakožto rozpočtového nástroje a přilákání a udržení talentovaných lidí ze zahraničí;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vývoj norem – </w:t>
            </w:r>
            <w:r>
              <w:rPr>
                <w:szCs w:val="24"/>
              </w:rPr>
              <w:t>prostřednictvím podpory vypracovávání a aktualizace evropských norem pro biotechnologie a biovýrobu;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12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spolupráce a součinnost – </w:t>
            </w:r>
            <w:r>
              <w:rPr>
                <w:szCs w:val="24"/>
              </w:rPr>
              <w:t>mimo jiné formou zavádění technologií souvisejících s biotechnologickými postupy a biovýrobou ve všech oblastech EU prostřednictvím regionálních inovačních údolí, která by se mohla stát odvětvovými centry excelence v oblasti biotechnologií v EU pro specifické otázky;</w:t>
            </w:r>
          </w:p>
          <w:p w:rsidR="00BB4A33" w:rsidRDefault="00BB4A33" w:rsidP="00BB4A33">
            <w:pPr>
              <w:pStyle w:val="Odstavecseseznamem"/>
              <w:numPr>
                <w:ilvl w:val="0"/>
                <w:numId w:val="38"/>
              </w:numPr>
              <w:suppressAutoHyphens/>
              <w:autoSpaceDN w:val="0"/>
              <w:spacing w:after="0" w:line="252" w:lineRule="auto"/>
              <w:ind w:left="714" w:hanging="357"/>
              <w:contextualSpacing w:val="0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podpora angažovanosti a mezinárodní spolupráce </w:t>
            </w:r>
            <w:r>
              <w:rPr>
                <w:szCs w:val="24"/>
              </w:rPr>
              <w:t>– prostřednictvím prozkoumání možnosti navázání mezinárodních partnerství v oblasti biotechnologií a biovýroby s klíčovými mezinárodními partnery, jako jsou USA, Indie, Japonsko a Jižní Korea.</w:t>
            </w:r>
          </w:p>
        </w:tc>
      </w:tr>
    </w:tbl>
    <w:p w:rsidR="00BB4A33" w:rsidRDefault="00BB4A33" w:rsidP="00BB4A33">
      <w:pPr>
        <w:jc w:val="both"/>
        <w:rPr>
          <w:rFonts w:asciiTheme="majorHAnsi" w:hAnsiTheme="majorHAnsi"/>
          <w:b/>
          <w:szCs w:val="24"/>
        </w:rPr>
      </w:pPr>
    </w:p>
    <w:p w:rsidR="00BB4A33" w:rsidRDefault="00BB4A33" w:rsidP="00BB4A33">
      <w:pPr>
        <w:pStyle w:val="Nadpis1"/>
        <w:numPr>
          <w:ilvl w:val="0"/>
          <w:numId w:val="34"/>
        </w:numPr>
        <w:ind w:left="0"/>
      </w:pPr>
      <w:bookmarkStart w:id="19" w:name="_Toc448302191"/>
      <w:bookmarkStart w:id="20" w:name="_Toc445380612"/>
      <w:r>
        <w:t>Stanovisko vlády ČR:</w:t>
      </w:r>
      <w:bookmarkEnd w:id="19"/>
      <w:bookmarkEnd w:id="20"/>
    </w:p>
    <w:p w:rsidR="00BB4A33" w:rsidRDefault="00BB4A33" w:rsidP="00BB4A33">
      <w:pPr>
        <w:jc w:val="both"/>
      </w:pPr>
      <w:r>
        <w:t xml:space="preserve">Vláda ČR ve svém stanovisku uvádí, že biotechnologie a biovýroba budou přispívat k ochraně, zachování a obnově přírody a biologické rozmanitosti, a to především v souladu se </w:t>
      </w:r>
      <w:hyperlink r:id="rId27" w:history="1">
        <w:r>
          <w:rPr>
            <w:rStyle w:val="Hypertextovodkaz"/>
          </w:rPr>
          <w:t>Strategií EU v oblasti biologické rozmanitosti do roku 2030</w:t>
        </w:r>
      </w:hyperlink>
      <w:r>
        <w:t xml:space="preserve">. V tomto kontextu může rozvoj biotechnologií přinášet nová a inovativní řešení, měl by však vždy důrazně dbát na předcházení případným negativním dopadům na přírodu, přírodní zdroje a ekosystémové služby. </w:t>
      </w:r>
    </w:p>
    <w:p w:rsidR="00BB4A33" w:rsidRDefault="00BB4A33" w:rsidP="00BB4A33">
      <w:pPr>
        <w:pStyle w:val="Nadpis1"/>
        <w:numPr>
          <w:ilvl w:val="0"/>
          <w:numId w:val="34"/>
        </w:numPr>
        <w:ind w:left="0"/>
      </w:pPr>
      <w:bookmarkStart w:id="21" w:name="_Toc448302192"/>
      <w:bookmarkStart w:id="22" w:name="_Toc445380613"/>
      <w:r>
        <w:t>Předpokládaný harmonogram projednávání v orgánech EU:</w:t>
      </w:r>
      <w:bookmarkEnd w:id="21"/>
      <w:bookmarkEnd w:id="22"/>
    </w:p>
    <w:p w:rsidR="00BB4A33" w:rsidRDefault="00BB4A33" w:rsidP="00BB4A33">
      <w:pPr>
        <w:spacing w:after="120"/>
        <w:jc w:val="both"/>
      </w:pPr>
      <w:r>
        <w:t>V Radě EU se sdělením bude zabývat formace COMPET (AGRIFISH, ENVI).</w:t>
      </w:r>
    </w:p>
    <w:p w:rsidR="00BB4A33" w:rsidRDefault="00BB4A33" w:rsidP="00BB4A33">
      <w:pPr>
        <w:spacing w:after="120"/>
        <w:jc w:val="both"/>
      </w:pPr>
      <w:r>
        <w:t>V Evropském parlamentu je projednávání sdělení v přípravné fázi, bylo přiděleno výboru pro průmysl, výzkum a energetiku (ITRE) jako příslušnému výboru.</w:t>
      </w:r>
    </w:p>
    <w:p w:rsidR="00BB4A33" w:rsidRDefault="00BB4A33" w:rsidP="00BB4A33">
      <w:pPr>
        <w:spacing w:after="120"/>
        <w:jc w:val="both"/>
      </w:pPr>
    </w:p>
    <w:p w:rsidR="00BB4A33" w:rsidRDefault="00BB4A33" w:rsidP="00BB4A33">
      <w:pPr>
        <w:spacing w:after="120"/>
        <w:jc w:val="both"/>
      </w:pPr>
    </w:p>
    <w:p w:rsidR="00BB4A33" w:rsidRDefault="00BB4A33" w:rsidP="00BB4A33">
      <w:pPr>
        <w:spacing w:after="120"/>
        <w:jc w:val="both"/>
      </w:pPr>
    </w:p>
    <w:p w:rsidR="00BB4A33" w:rsidRDefault="00BB4A33" w:rsidP="00BB4A33">
      <w:pPr>
        <w:spacing w:after="120"/>
        <w:jc w:val="both"/>
      </w:pPr>
    </w:p>
    <w:p w:rsidR="00BB4A33" w:rsidRDefault="00BB4A33" w:rsidP="00BB4A33">
      <w:pPr>
        <w:jc w:val="both"/>
        <w:rPr>
          <w:rFonts w:eastAsia="Times New Roman"/>
          <w:szCs w:val="20"/>
          <w:lang w:eastAsia="cs-CZ"/>
        </w:rPr>
      </w:pPr>
      <w:r>
        <w:t>Ve spolupráci se zpravodajem výboru pro evropské záležitosti Vladimírem Zlínským zpracovala Mgr. Darina Nezkusilová, odborná konzultantka Parlamentního institutu Kanceláře PS PČR.</w:t>
      </w:r>
      <w:bookmarkEnd w:id="2"/>
      <w:bookmarkEnd w:id="3"/>
      <w:bookmarkEnd w:id="4"/>
      <w:bookmarkEnd w:id="5"/>
      <w:bookmarkEnd w:id="6"/>
      <w:bookmarkEnd w:id="7"/>
    </w:p>
    <w:p w:rsidR="00BB4A33" w:rsidRDefault="00BB4A33" w:rsidP="00D066DF">
      <w:pPr>
        <w:spacing w:after="0" w:line="240" w:lineRule="auto"/>
        <w:rPr>
          <w:rFonts w:asciiTheme="minorHAnsi" w:hAnsiTheme="minorHAnsi"/>
        </w:rPr>
      </w:pPr>
    </w:p>
    <w:sectPr w:rsidR="00BB4A33" w:rsidSect="00563B5A"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AB3589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2A3191"/>
    <w:multiLevelType w:val="hybridMultilevel"/>
    <w:tmpl w:val="0B565A5A"/>
    <w:lvl w:ilvl="0" w:tplc="9AA65296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796" w:hanging="360"/>
      </w:pPr>
    </w:lvl>
    <w:lvl w:ilvl="2" w:tplc="0405001B" w:tentative="1">
      <w:start w:val="1"/>
      <w:numFmt w:val="lowerRoman"/>
      <w:lvlText w:val="%3."/>
      <w:lvlJc w:val="right"/>
      <w:pPr>
        <w:ind w:left="1516" w:hanging="180"/>
      </w:pPr>
    </w:lvl>
    <w:lvl w:ilvl="3" w:tplc="0405000F" w:tentative="1">
      <w:start w:val="1"/>
      <w:numFmt w:val="decimal"/>
      <w:lvlText w:val="%4."/>
      <w:lvlJc w:val="left"/>
      <w:pPr>
        <w:ind w:left="2236" w:hanging="360"/>
      </w:pPr>
    </w:lvl>
    <w:lvl w:ilvl="4" w:tplc="04050019" w:tentative="1">
      <w:start w:val="1"/>
      <w:numFmt w:val="lowerLetter"/>
      <w:lvlText w:val="%5."/>
      <w:lvlJc w:val="left"/>
      <w:pPr>
        <w:ind w:left="2956" w:hanging="360"/>
      </w:pPr>
    </w:lvl>
    <w:lvl w:ilvl="5" w:tplc="0405001B" w:tentative="1">
      <w:start w:val="1"/>
      <w:numFmt w:val="lowerRoman"/>
      <w:lvlText w:val="%6."/>
      <w:lvlJc w:val="right"/>
      <w:pPr>
        <w:ind w:left="3676" w:hanging="180"/>
      </w:pPr>
    </w:lvl>
    <w:lvl w:ilvl="6" w:tplc="0405000F" w:tentative="1">
      <w:start w:val="1"/>
      <w:numFmt w:val="decimal"/>
      <w:lvlText w:val="%7."/>
      <w:lvlJc w:val="left"/>
      <w:pPr>
        <w:ind w:left="4396" w:hanging="360"/>
      </w:pPr>
    </w:lvl>
    <w:lvl w:ilvl="7" w:tplc="04050019" w:tentative="1">
      <w:start w:val="1"/>
      <w:numFmt w:val="lowerLetter"/>
      <w:lvlText w:val="%8."/>
      <w:lvlJc w:val="left"/>
      <w:pPr>
        <w:ind w:left="5116" w:hanging="360"/>
      </w:pPr>
    </w:lvl>
    <w:lvl w:ilvl="8" w:tplc="040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2" w15:restartNumberingAfterBreak="0">
    <w:nsid w:val="17F958E4"/>
    <w:multiLevelType w:val="multilevel"/>
    <w:tmpl w:val="F6AA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1A91A09"/>
    <w:multiLevelType w:val="hybridMultilevel"/>
    <w:tmpl w:val="E7CE6B68"/>
    <w:lvl w:ilvl="0" w:tplc="D34ED3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255449A8"/>
    <w:multiLevelType w:val="hybridMultilevel"/>
    <w:tmpl w:val="AD900BE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0C65447"/>
    <w:multiLevelType w:val="hybridMultilevel"/>
    <w:tmpl w:val="76D412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E6C7550"/>
    <w:multiLevelType w:val="hybridMultilevel"/>
    <w:tmpl w:val="17F2F8E0"/>
    <w:lvl w:ilvl="0" w:tplc="607256BE">
      <w:start w:val="1"/>
      <w:numFmt w:val="decimal"/>
      <w:lvlText w:val="%1)"/>
      <w:lvlJc w:val="left"/>
      <w:pPr>
        <w:ind w:left="720" w:hanging="360"/>
      </w:pPr>
      <w:rPr>
        <w:rFonts w:eastAsia="Times New Roman" w:cstheme="majorHAnsi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AB431D6"/>
    <w:multiLevelType w:val="hybridMultilevel"/>
    <w:tmpl w:val="7C4009AE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015CC">
      <w:numFmt w:val="bullet"/>
      <w:lvlText w:val="-"/>
      <w:lvlJc w:val="left"/>
      <w:pPr>
        <w:ind w:left="1440" w:hanging="360"/>
      </w:pPr>
      <w:rPr>
        <w:rFonts w:ascii="Calibri Light" w:eastAsia="Calibri" w:hAnsi="Calibri Light" w:cs="Calibri Light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C329F2"/>
    <w:multiLevelType w:val="hybridMultilevel"/>
    <w:tmpl w:val="21C60C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171A57"/>
    <w:multiLevelType w:val="hybridMultilevel"/>
    <w:tmpl w:val="424CB034"/>
    <w:lvl w:ilvl="0" w:tplc="778E2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433C29"/>
    <w:multiLevelType w:val="hybridMultilevel"/>
    <w:tmpl w:val="5712D262"/>
    <w:lvl w:ilvl="0" w:tplc="39DAC0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CB34E87"/>
    <w:multiLevelType w:val="hybridMultilevel"/>
    <w:tmpl w:val="EDA8CA3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00376BA"/>
    <w:multiLevelType w:val="hybridMultilevel"/>
    <w:tmpl w:val="D0468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0402E6"/>
    <w:multiLevelType w:val="hybridMultilevel"/>
    <w:tmpl w:val="209205C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8"/>
  </w:num>
  <w:num w:numId="7">
    <w:abstractNumId w:val="14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0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21"/>
  </w:num>
  <w:num w:numId="20">
    <w:abstractNumId w:val="29"/>
  </w:num>
  <w:num w:numId="21">
    <w:abstractNumId w:val="27"/>
  </w:num>
  <w:num w:numId="22">
    <w:abstractNumId w:val="24"/>
  </w:num>
  <w:num w:numId="23">
    <w:abstractNumId w:val="21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29"/>
  </w:num>
  <w:num w:numId="27">
    <w:abstractNumId w:val="27"/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2"/>
  </w:num>
  <w:num w:numId="31">
    <w:abstractNumId w:val="25"/>
  </w:num>
  <w:num w:numId="32">
    <w:abstractNumId w:val="26"/>
  </w:num>
  <w:num w:numId="33">
    <w:abstractNumId w:val="11"/>
  </w:num>
  <w:num w:numId="34">
    <w:abstractNumId w:val="21"/>
  </w:num>
  <w:num w:numId="35">
    <w:abstractNumId w:val="29"/>
  </w:num>
  <w:num w:numId="36">
    <w:abstractNumId w:val="27"/>
  </w:num>
  <w:num w:numId="3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E20"/>
    <w:rsid w:val="000476E4"/>
    <w:rsid w:val="00055D8F"/>
    <w:rsid w:val="00067407"/>
    <w:rsid w:val="000C5278"/>
    <w:rsid w:val="000E730C"/>
    <w:rsid w:val="00103C04"/>
    <w:rsid w:val="00106842"/>
    <w:rsid w:val="00117F06"/>
    <w:rsid w:val="00136646"/>
    <w:rsid w:val="00196873"/>
    <w:rsid w:val="001A2728"/>
    <w:rsid w:val="001B45F3"/>
    <w:rsid w:val="001E6E20"/>
    <w:rsid w:val="002254B7"/>
    <w:rsid w:val="00230024"/>
    <w:rsid w:val="00253585"/>
    <w:rsid w:val="00254049"/>
    <w:rsid w:val="00272E1B"/>
    <w:rsid w:val="002A2F32"/>
    <w:rsid w:val="002B0FB6"/>
    <w:rsid w:val="002B60B3"/>
    <w:rsid w:val="002C6BED"/>
    <w:rsid w:val="002F5F4A"/>
    <w:rsid w:val="00356011"/>
    <w:rsid w:val="00377253"/>
    <w:rsid w:val="00397790"/>
    <w:rsid w:val="003A1DF9"/>
    <w:rsid w:val="003D2033"/>
    <w:rsid w:val="003D4E18"/>
    <w:rsid w:val="004E49F4"/>
    <w:rsid w:val="005049BB"/>
    <w:rsid w:val="005227BF"/>
    <w:rsid w:val="00536D79"/>
    <w:rsid w:val="00563B5A"/>
    <w:rsid w:val="00566A4C"/>
    <w:rsid w:val="00597608"/>
    <w:rsid w:val="005C30D7"/>
    <w:rsid w:val="005E094C"/>
    <w:rsid w:val="005F4FD2"/>
    <w:rsid w:val="005F6CAE"/>
    <w:rsid w:val="00601031"/>
    <w:rsid w:val="0061035F"/>
    <w:rsid w:val="00620764"/>
    <w:rsid w:val="00630AC0"/>
    <w:rsid w:val="0065217E"/>
    <w:rsid w:val="00656C37"/>
    <w:rsid w:val="006626E6"/>
    <w:rsid w:val="0066347F"/>
    <w:rsid w:val="006B3D3C"/>
    <w:rsid w:val="006C7E53"/>
    <w:rsid w:val="006D769E"/>
    <w:rsid w:val="007175B4"/>
    <w:rsid w:val="007649CF"/>
    <w:rsid w:val="007C62DA"/>
    <w:rsid w:val="007D5EE1"/>
    <w:rsid w:val="007E1D0B"/>
    <w:rsid w:val="007F23FD"/>
    <w:rsid w:val="00812496"/>
    <w:rsid w:val="00821F8A"/>
    <w:rsid w:val="00830BFE"/>
    <w:rsid w:val="008471B9"/>
    <w:rsid w:val="0086505D"/>
    <w:rsid w:val="00893C29"/>
    <w:rsid w:val="00903269"/>
    <w:rsid w:val="00905C45"/>
    <w:rsid w:val="009819ED"/>
    <w:rsid w:val="00A34FC3"/>
    <w:rsid w:val="00A46CDA"/>
    <w:rsid w:val="00A5537F"/>
    <w:rsid w:val="00A64D82"/>
    <w:rsid w:val="00A77C39"/>
    <w:rsid w:val="00A93982"/>
    <w:rsid w:val="00AA0D27"/>
    <w:rsid w:val="00AB3589"/>
    <w:rsid w:val="00AB7BA1"/>
    <w:rsid w:val="00AE40EE"/>
    <w:rsid w:val="00B13892"/>
    <w:rsid w:val="00B23BB8"/>
    <w:rsid w:val="00B4108A"/>
    <w:rsid w:val="00B53E8D"/>
    <w:rsid w:val="00B715B6"/>
    <w:rsid w:val="00BA00F3"/>
    <w:rsid w:val="00BA0357"/>
    <w:rsid w:val="00BB4A33"/>
    <w:rsid w:val="00BE02A0"/>
    <w:rsid w:val="00C56014"/>
    <w:rsid w:val="00C5731A"/>
    <w:rsid w:val="00C63E0F"/>
    <w:rsid w:val="00C94047"/>
    <w:rsid w:val="00CA53B2"/>
    <w:rsid w:val="00D03251"/>
    <w:rsid w:val="00D032A6"/>
    <w:rsid w:val="00D066DF"/>
    <w:rsid w:val="00D200A8"/>
    <w:rsid w:val="00D22B48"/>
    <w:rsid w:val="00D43E93"/>
    <w:rsid w:val="00D46ACA"/>
    <w:rsid w:val="00D76FB3"/>
    <w:rsid w:val="00DC29E4"/>
    <w:rsid w:val="00E46EFB"/>
    <w:rsid w:val="00ED15A8"/>
    <w:rsid w:val="00EF0C30"/>
    <w:rsid w:val="00EF3B15"/>
    <w:rsid w:val="00EF679B"/>
    <w:rsid w:val="00F02D93"/>
    <w:rsid w:val="00F14096"/>
    <w:rsid w:val="00F65B55"/>
    <w:rsid w:val="00FB7B18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B0D4D"/>
  <w15:docId w15:val="{5A5FC67C-6312-4D8D-B947-AE23D0B6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3D4E18"/>
    <w:pPr>
      <w:numPr>
        <w:numId w:val="19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4E49F4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3D4E18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semiHidden/>
    <w:unhideWhenUsed/>
    <w:rsid w:val="003D4E18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3D4E18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sz w:val="20"/>
      <w:szCs w:val="20"/>
      <w:lang w:eastAsia="cs-CZ"/>
    </w:rPr>
  </w:style>
  <w:style w:type="paragraph" w:customStyle="1" w:styleId="NZEVPRCE">
    <w:name w:val="NÁZEV PRÁCE"/>
    <w:basedOn w:val="Normln"/>
    <w:qFormat/>
    <w:rsid w:val="003D4E18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3D4E18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3D4E18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Siln">
    <w:name w:val="Strong"/>
    <w:basedOn w:val="Standardnpsmoodstavce"/>
    <w:uiPriority w:val="22"/>
    <w:qFormat/>
    <w:rsid w:val="003D4E18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B3D3C"/>
    <w:rPr>
      <w:color w:val="954F72" w:themeColor="followedHyperlink"/>
      <w:u w:val="single"/>
    </w:rPr>
  </w:style>
  <w:style w:type="paragraph" w:customStyle="1" w:styleId="Text1">
    <w:name w:val="Text 1"/>
    <w:basedOn w:val="Normln"/>
    <w:rsid w:val="00905C45"/>
    <w:pPr>
      <w:spacing w:before="120" w:after="120" w:line="240" w:lineRule="auto"/>
      <w:ind w:left="850"/>
      <w:jc w:val="both"/>
    </w:pPr>
    <w:rPr>
      <w:rFonts w:ascii="Times New Roman" w:eastAsiaTheme="minorHAnsi" w:hAnsi="Times New Roman"/>
      <w:sz w:val="24"/>
    </w:rPr>
  </w:style>
  <w:style w:type="paragraph" w:customStyle="1" w:styleId="Zkladntext21">
    <w:name w:val="Základní text 21"/>
    <w:basedOn w:val="Normln"/>
    <w:rsid w:val="00055D8F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itulnstranaobsah">
    <w:name w:val="titulní strana obsah"/>
    <w:basedOn w:val="Normln"/>
    <w:qFormat/>
    <w:rsid w:val="00BB4A33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BB4A3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9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file:///N:\V&#253;bor\VEZ\SEKRETARIAT\SCH&#366;ZE%20VEZ\SchVEZ%20049\09163-24_Biotechnologie-biov&#253;roba%20EU\E9163-24-Nezkusilova.docx" TargetMode="External"/><Relationship Id="rId18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6" Type="http://schemas.openxmlformats.org/officeDocument/2006/relationships/hyperlink" Target="https://www.uochb.cz/cs/novinky/538/klastr-prague-bio-propoji-vedu-a-byznys-v-oblasti-biotechnologii" TargetMode="External"/><Relationship Id="rId3" Type="http://schemas.openxmlformats.org/officeDocument/2006/relationships/styles" Target="styles.xml"/><Relationship Id="rId21" Type="http://schemas.openxmlformats.org/officeDocument/2006/relationships/image" Target="media/image1.jpeg"/><Relationship Id="rId7" Type="http://schemas.openxmlformats.org/officeDocument/2006/relationships/endnotes" Target="endnotes.xml"/><Relationship Id="rId12" Type="http://schemas.openxmlformats.org/officeDocument/2006/relationships/hyperlink" Target="file:///N:\V&#253;bor\VEZ\SEKRETARIAT\SCH&#366;ZE%20VEZ\SchVEZ%20049\09163-24_Biotechnologie-biov&#253;roba%20EU\E9163-24-Nezkusilova.docx" TargetMode="External"/><Relationship Id="rId17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5" Type="http://schemas.openxmlformats.org/officeDocument/2006/relationships/hyperlink" Target="https://www.psp.cz/sqw/text/orig2.sqw?idd=243204&amp;pdf=1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0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4" Type="http://schemas.openxmlformats.org/officeDocument/2006/relationships/hyperlink" Target="https://eur-lex.europa.eu/legal-content/CS/TXT/?uri=CELEX%3A52024DC0098&amp;qid=171895656377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3" Type="http://schemas.openxmlformats.org/officeDocument/2006/relationships/hyperlink" Target="https://eur-lex.europa.eu/legal-content/CS/TXT/?uri=CELEX%3A52024DC0137R%2801%29&amp;qid=1718956387217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N:\V&#253;bor\VEZ\SEKRETARIAT\SCH&#366;ZE%20VEZ\SchVEZ%20049\09163-24_Biotechnologie-biov&#253;roba%20EU\E9163-24-Nezkusilova.docx" TargetMode="External"/><Relationship Id="rId19" Type="http://schemas.openxmlformats.org/officeDocument/2006/relationships/hyperlink" Target="file:///N:\V&#253;bor\VEZ\SEKRETARIAT\SCH&#366;ZE%20VEZ\SchVEZ%20049\09163-24_Biotechnologie-biov&#253;roba%20EU\E9163-24-Nezkusilova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N:\V&#253;bor\VEZ\SEKRETARIAT\SCH&#366;ZE%20VEZ\SchVEZ%20049\09163-24_Biotechnologie-biov&#253;roba%20EU\E9163-24-Nezkusilova.docx" TargetMode="External"/><Relationship Id="rId14" Type="http://schemas.openxmlformats.org/officeDocument/2006/relationships/hyperlink" Target="file:///N:\V&#253;bor\VEZ\SEKRETARIAT\SCH&#366;ZE%20VEZ\SchVEZ%20049\09163-24_Biotechnologie-biov&#253;roba%20EU\E9163-24-Nezkusilova.docx" TargetMode="External"/><Relationship Id="rId22" Type="http://schemas.openxmlformats.org/officeDocument/2006/relationships/image" Target="media/image2.jpeg"/><Relationship Id="rId27" Type="http://schemas.openxmlformats.org/officeDocument/2006/relationships/hyperlink" Target="https://eur-lex.europa.eu/legal-content/CS/TXT/?uri=CELEX%3A52020DC0380&amp;qid=1723841603678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BCA85-90B1-468D-B24F-2C33CB46A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5</Pages>
  <Words>1595</Words>
  <Characters>9417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67</cp:revision>
  <dcterms:created xsi:type="dcterms:W3CDTF">2015-09-22T08:40:00Z</dcterms:created>
  <dcterms:modified xsi:type="dcterms:W3CDTF">2024-09-04T11:08:00Z</dcterms:modified>
</cp:coreProperties>
</file>