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239E9" w14:textId="77777777" w:rsidR="005528F7" w:rsidRDefault="005528F7" w:rsidP="005528F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E2532">
        <w:rPr>
          <w:noProof/>
        </w:rPr>
        <w:drawing>
          <wp:anchor distT="0" distB="0" distL="114300" distR="114300" simplePos="0" relativeHeight="251659264" behindDoc="0" locked="0" layoutInCell="0" allowOverlap="1" wp14:anchorId="4F01B561" wp14:editId="0F982F2C">
            <wp:simplePos x="0" y="0"/>
            <wp:positionH relativeFrom="margin">
              <wp:align>center</wp:align>
            </wp:positionH>
            <wp:positionV relativeFrom="paragraph">
              <wp:posOffset>190500</wp:posOffset>
            </wp:positionV>
            <wp:extent cx="1143000" cy="857250"/>
            <wp:effectExtent l="0" t="0" r="0" b="0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047797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b/>
          <w:bCs/>
          <w:sz w:val="28"/>
          <w:szCs w:val="28"/>
        </w:rPr>
        <w:t>PARLAMENT ČESKÉ REPUBLIKY</w:t>
      </w:r>
    </w:p>
    <w:p w14:paraId="6A6CC700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sz w:val="28"/>
          <w:szCs w:val="28"/>
        </w:rPr>
        <w:t>Poslanecká sněmovna</w:t>
      </w:r>
    </w:p>
    <w:p w14:paraId="6A1B419C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sz w:val="28"/>
          <w:szCs w:val="28"/>
        </w:rPr>
        <w:t>2023</w:t>
      </w:r>
    </w:p>
    <w:p w14:paraId="32B0EC1E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sz w:val="28"/>
          <w:szCs w:val="28"/>
        </w:rPr>
        <w:t>IX. volební období</w:t>
      </w:r>
    </w:p>
    <w:p w14:paraId="485F0AB2" w14:textId="77777777" w:rsidR="005528F7" w:rsidRDefault="005528F7" w:rsidP="005528F7">
      <w:pPr>
        <w:spacing w:line="276" w:lineRule="auto"/>
      </w:pPr>
      <w:r w:rsidRPr="70824F6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14:paraId="012A39AA" w14:textId="77777777" w:rsidR="005528F7" w:rsidRDefault="005528F7" w:rsidP="005528F7">
      <w:pPr>
        <w:spacing w:line="276" w:lineRule="auto"/>
      </w:pPr>
      <w:r w:rsidRPr="70824F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BF2F0EB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b/>
          <w:bCs/>
          <w:sz w:val="32"/>
          <w:szCs w:val="32"/>
        </w:rPr>
        <w:t>Pozměňovací návrh</w:t>
      </w:r>
    </w:p>
    <w:p w14:paraId="4211501F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</w:p>
    <w:p w14:paraId="2D3B9805" w14:textId="6B7258AE" w:rsidR="005528F7" w:rsidRDefault="005528F7" w:rsidP="005528F7">
      <w:pPr>
        <w:spacing w:line="276" w:lineRule="auto"/>
        <w:jc w:val="center"/>
      </w:pPr>
      <w:proofErr w:type="spellStart"/>
      <w:r w:rsidRPr="00FF731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poslanc</w:t>
      </w:r>
      <w:r w:rsidR="00B40F62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e</w:t>
      </w:r>
      <w:proofErr w:type="spellEnd"/>
      <w:r w:rsidRPr="00FF731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 xml:space="preserve"> Davida </w:t>
      </w:r>
      <w:proofErr w:type="spellStart"/>
      <w:r w:rsidRPr="00FF731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Šimka</w:t>
      </w:r>
      <w:proofErr w:type="spellEnd"/>
    </w:p>
    <w:p w14:paraId="6243BABA" w14:textId="77777777" w:rsidR="005528F7" w:rsidRDefault="005528F7" w:rsidP="005528F7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B5F5347" w14:textId="0AA67154" w:rsidR="005528F7" w:rsidRDefault="005528F7" w:rsidP="00B40F62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F731A">
        <w:rPr>
          <w:rFonts w:ascii="Times New Roman" w:eastAsia="Times New Roman" w:hAnsi="Times New Roman" w:cs="Times New Roman"/>
          <w:sz w:val="28"/>
          <w:szCs w:val="28"/>
        </w:rPr>
        <w:t xml:space="preserve">k </w:t>
      </w:r>
      <w:r w:rsidR="00B40F62">
        <w:rPr>
          <w:rFonts w:ascii="Times New Roman" w:eastAsia="Times New Roman" w:hAnsi="Times New Roman" w:cs="Times New Roman"/>
          <w:sz w:val="28"/>
          <w:szCs w:val="28"/>
        </w:rPr>
        <w:t>v</w:t>
      </w:r>
      <w:r w:rsidR="00B40F62" w:rsidRPr="00B40F62">
        <w:rPr>
          <w:rFonts w:ascii="Times New Roman" w:eastAsia="Times New Roman" w:hAnsi="Times New Roman" w:cs="Times New Roman"/>
          <w:sz w:val="28"/>
          <w:szCs w:val="28"/>
        </w:rPr>
        <w:t>ládní</w:t>
      </w:r>
      <w:r w:rsidR="00B40F62">
        <w:rPr>
          <w:rFonts w:ascii="Times New Roman" w:eastAsia="Times New Roman" w:hAnsi="Times New Roman" w:cs="Times New Roman"/>
          <w:sz w:val="28"/>
          <w:szCs w:val="28"/>
        </w:rPr>
        <w:t>mu</w:t>
      </w:r>
      <w:r w:rsidR="00B40F62" w:rsidRPr="00B40F62">
        <w:rPr>
          <w:rFonts w:ascii="Times New Roman" w:eastAsia="Times New Roman" w:hAnsi="Times New Roman" w:cs="Times New Roman"/>
          <w:sz w:val="28"/>
          <w:szCs w:val="28"/>
        </w:rPr>
        <w:t xml:space="preserve"> návrh</w:t>
      </w:r>
      <w:r w:rsidR="00B40F62">
        <w:rPr>
          <w:rFonts w:ascii="Times New Roman" w:eastAsia="Times New Roman" w:hAnsi="Times New Roman" w:cs="Times New Roman"/>
          <w:sz w:val="28"/>
          <w:szCs w:val="28"/>
        </w:rPr>
        <w:t>u</w:t>
      </w:r>
      <w:r w:rsidR="00B40F62" w:rsidRPr="00B40F62">
        <w:rPr>
          <w:rFonts w:ascii="Times New Roman" w:eastAsia="Times New Roman" w:hAnsi="Times New Roman" w:cs="Times New Roman"/>
          <w:sz w:val="28"/>
          <w:szCs w:val="28"/>
        </w:rPr>
        <w:t xml:space="preserve"> zákona, </w:t>
      </w:r>
      <w:r w:rsidR="00AB30C7" w:rsidRPr="00AB30C7">
        <w:rPr>
          <w:rFonts w:ascii="Times New Roman" w:eastAsia="Times New Roman" w:hAnsi="Times New Roman" w:cs="Times New Roman"/>
          <w:sz w:val="28"/>
          <w:szCs w:val="28"/>
        </w:rPr>
        <w:t>kterým se mění zákon č. 458/2000 Sb., o</w:t>
      </w:r>
      <w:r w:rsidR="00AB30C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B30C7" w:rsidRPr="00AB30C7">
        <w:rPr>
          <w:rFonts w:ascii="Times New Roman" w:eastAsia="Times New Roman" w:hAnsi="Times New Roman" w:cs="Times New Roman"/>
          <w:sz w:val="28"/>
          <w:szCs w:val="28"/>
        </w:rPr>
        <w:t>podmínkách podnikání a o výkonu státní správy v energetických odvětvích a</w:t>
      </w:r>
      <w:r w:rsidR="00AB30C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B30C7" w:rsidRPr="00AB30C7">
        <w:rPr>
          <w:rFonts w:ascii="Times New Roman" w:eastAsia="Times New Roman" w:hAnsi="Times New Roman" w:cs="Times New Roman"/>
          <w:sz w:val="28"/>
          <w:szCs w:val="28"/>
        </w:rPr>
        <w:t>o</w:t>
      </w:r>
      <w:r w:rsidR="00AB30C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B30C7" w:rsidRPr="00AB30C7">
        <w:rPr>
          <w:rFonts w:ascii="Times New Roman" w:eastAsia="Times New Roman" w:hAnsi="Times New Roman" w:cs="Times New Roman"/>
          <w:sz w:val="28"/>
          <w:szCs w:val="28"/>
        </w:rPr>
        <w:t>změně některých zákonů (energetický zákon), ve znění pozdějších předpisů, a další související zákony</w:t>
      </w:r>
    </w:p>
    <w:p w14:paraId="730A9F3C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98BB5D5" w14:textId="46C56BF3" w:rsidR="005528F7" w:rsidRDefault="005528F7" w:rsidP="005528F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70824F6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(sněmovní tisk č.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4</w:t>
      </w:r>
      <w:r w:rsidR="00AB30C7">
        <w:rPr>
          <w:rFonts w:ascii="Times New Roman" w:eastAsia="Times New Roman" w:hAnsi="Times New Roman" w:cs="Times New Roman"/>
          <w:b/>
          <w:bCs/>
          <w:sz w:val="32"/>
          <w:szCs w:val="32"/>
        </w:rPr>
        <w:t>87</w:t>
      </w:r>
      <w:r w:rsidRPr="70824F6D">
        <w:rPr>
          <w:rFonts w:ascii="Times New Roman" w:eastAsia="Times New Roman" w:hAnsi="Times New Roman" w:cs="Times New Roman"/>
          <w:b/>
          <w:bCs/>
          <w:sz w:val="32"/>
          <w:szCs w:val="32"/>
        </w:rPr>
        <w:t>)</w:t>
      </w:r>
    </w:p>
    <w:p w14:paraId="77A564B7" w14:textId="77777777" w:rsidR="00B40F62" w:rsidRDefault="00B40F62" w:rsidP="005528F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1F31FB0C" w14:textId="77777777" w:rsidR="00B40F62" w:rsidRDefault="00B40F62" w:rsidP="005528F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41DAA244" w14:textId="77777777" w:rsidR="00B40F62" w:rsidRDefault="00B40F62" w:rsidP="005528F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58DDEA13" w14:textId="77777777" w:rsidR="00B40F62" w:rsidRDefault="00B40F62" w:rsidP="005528F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7FCBA216" w14:textId="77777777" w:rsidR="005528F7" w:rsidRDefault="005528F7" w:rsidP="005528F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421633FB" w14:textId="6F2215AB" w:rsidR="005528F7" w:rsidRPr="00535027" w:rsidRDefault="005528F7" w:rsidP="005528F7">
      <w:pPr>
        <w:spacing w:line="276" w:lineRule="auto"/>
        <w:jc w:val="center"/>
        <w:rPr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FB746B">
        <w:rPr>
          <w:rFonts w:ascii="Times New Roman" w:hAnsi="Times New Roman" w:cs="Times New Roman"/>
          <w:b/>
          <w:bCs/>
          <w:sz w:val="32"/>
          <w:szCs w:val="32"/>
        </w:rPr>
        <w:t>Hlasovací práva členů energetických společenství</w:t>
      </w:r>
      <w:r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p w14:paraId="68D5061D" w14:textId="77777777" w:rsidR="005528F7" w:rsidRDefault="005528F7" w:rsidP="005528F7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140E730D" w14:textId="426F3E89" w:rsidR="009B7139" w:rsidRPr="00E953A3" w:rsidRDefault="00E953A3" w:rsidP="00FB746B">
      <w:pPr>
        <w:spacing w:line="276" w:lineRule="auto"/>
        <w:rPr>
          <w:rFonts w:ascii="Times New Roman" w:hAnsi="Times New Roman" w:cs="Times New Roman"/>
          <w:b/>
          <w:sz w:val="24"/>
        </w:rPr>
      </w:pPr>
      <w:r w:rsidRPr="00E953A3">
        <w:rPr>
          <w:rFonts w:ascii="Times New Roman" w:hAnsi="Times New Roman" w:cs="Times New Roman"/>
          <w:b/>
          <w:sz w:val="24"/>
        </w:rPr>
        <w:lastRenderedPageBreak/>
        <w:t xml:space="preserve">Vládní návrh zákona, </w:t>
      </w:r>
      <w:r w:rsidR="00AB30C7" w:rsidRPr="00AB30C7">
        <w:rPr>
          <w:rFonts w:ascii="Times New Roman" w:hAnsi="Times New Roman" w:cs="Times New Roman"/>
          <w:b/>
          <w:sz w:val="24"/>
        </w:rPr>
        <w:t>kterým se mění zákon č. 458/2000 Sb., o podmínkách podnikání a o výkonu státní správy v energetických odvětvích a o změně některých zákonů (energetický zákon), ve znění pozdějších předpisů, a další související zákony</w:t>
      </w:r>
      <w:r w:rsidRPr="00E953A3">
        <w:rPr>
          <w:rFonts w:ascii="Times New Roman" w:hAnsi="Times New Roman" w:cs="Times New Roman"/>
          <w:b/>
          <w:sz w:val="24"/>
        </w:rPr>
        <w:t>, se mění takto:</w:t>
      </w:r>
    </w:p>
    <w:p w14:paraId="77D0409B" w14:textId="77777777" w:rsidR="00E953A3" w:rsidRDefault="00E953A3" w:rsidP="00FB746B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</w:p>
    <w:p w14:paraId="15FDE684" w14:textId="2A4FCC71" w:rsidR="00AB30C7" w:rsidRPr="00FB746B" w:rsidRDefault="00FB746B" w:rsidP="00FB746B">
      <w:pPr>
        <w:pStyle w:val="Odstavecseseznamem"/>
        <w:numPr>
          <w:ilvl w:val="0"/>
          <w:numId w:val="10"/>
        </w:numPr>
        <w:spacing w:line="276" w:lineRule="auto"/>
        <w:rPr>
          <w:rFonts w:ascii="Times New Roman" w:hAnsi="Times New Roman" w:cs="Times New Roman"/>
          <w:sz w:val="24"/>
        </w:rPr>
      </w:pPr>
      <w:r w:rsidRPr="00FB746B">
        <w:rPr>
          <w:rFonts w:ascii="Times New Roman" w:hAnsi="Times New Roman" w:cs="Times New Roman"/>
          <w:sz w:val="24"/>
        </w:rPr>
        <w:t>V části první čl. I v novelizačním bodě 43, § 20c odst. 7 se za první větu doplňuje věta: „Omezení podle věty první neplatí pro územní samosprávné celky, dobrovolné svazky obcí a příspěvkové organizace územních samosprávných celků.“</w:t>
      </w:r>
    </w:p>
    <w:p w14:paraId="213E2D1D" w14:textId="77777777" w:rsidR="00FF0C3F" w:rsidRDefault="00FF0C3F" w:rsidP="00AB30C7">
      <w:pPr>
        <w:ind w:left="360"/>
        <w:rPr>
          <w:rFonts w:ascii="Times New Roman" w:hAnsi="Times New Roman" w:cs="Times New Roman"/>
          <w:sz w:val="24"/>
        </w:rPr>
      </w:pPr>
    </w:p>
    <w:p w14:paraId="53B81C93" w14:textId="77777777" w:rsidR="00E953A3" w:rsidRPr="00E953A3" w:rsidRDefault="00E953A3" w:rsidP="00E953A3">
      <w:pPr>
        <w:rPr>
          <w:rFonts w:ascii="Times New Roman" w:hAnsi="Times New Roman" w:cs="Times New Roman"/>
          <w:b/>
          <w:sz w:val="24"/>
          <w:u w:val="single"/>
        </w:rPr>
      </w:pPr>
      <w:r w:rsidRPr="00E953A3">
        <w:rPr>
          <w:rFonts w:ascii="Times New Roman" w:hAnsi="Times New Roman" w:cs="Times New Roman"/>
          <w:b/>
          <w:sz w:val="24"/>
          <w:u w:val="single"/>
        </w:rPr>
        <w:t>Odůvodnění pozměňovacího návrhu</w:t>
      </w:r>
    </w:p>
    <w:p w14:paraId="2A0ADF5A" w14:textId="77777777" w:rsidR="00FB746B" w:rsidRDefault="00FB746B" w:rsidP="00FB746B">
      <w:pPr>
        <w:spacing w:line="276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Navrhovaný § 20c odst. 7 omezuje výkon hlasovacích práv každého člena společenství na členské schůzi maximálně na 10 %. Důvodová zpráva uvádí, že cílem navrhovaného ustanovení má být </w:t>
      </w:r>
      <w:r>
        <w:rPr>
          <w:rFonts w:ascii="Times New Roman" w:hAnsi="Times New Roman" w:cs="Times New Roman"/>
          <w:i/>
          <w:iCs/>
          <w:sz w:val="24"/>
          <w:szCs w:val="24"/>
        </w:rPr>
        <w:t>„</w:t>
      </w:r>
      <w:r>
        <w:rPr>
          <w:rFonts w:ascii="Times New Roman" w:eastAsia="Calibri" w:hAnsi="Times New Roman"/>
          <w:i/>
          <w:iCs/>
          <w:sz w:val="24"/>
          <w:szCs w:val="24"/>
        </w:rPr>
        <w:t xml:space="preserve">zamezit tomu, aby jeden nebo několik málo členů s hlasovacími právy mohli ovládnout celé společenství.“ </w:t>
      </w:r>
      <w:r>
        <w:rPr>
          <w:rFonts w:ascii="Times New Roman" w:eastAsia="Calibri" w:hAnsi="Times New Roman"/>
          <w:sz w:val="24"/>
          <w:szCs w:val="24"/>
        </w:rPr>
        <w:t>Odůvodnění však opomíjí, že koncentrace většího množství hlasovacích práv v rukou vybraného člena může být v určitých případech žádoucí – především vede k lepší akceschopnosti společenství a zároveň umožňuje přiznat větší vliv členům, kteří se na realizaci projektu podstatně více podíleli, například finančním vkladem nebo iniciací celého projektu.</w:t>
      </w:r>
    </w:p>
    <w:p w14:paraId="7E2750C4" w14:textId="77777777" w:rsidR="00FB746B" w:rsidRDefault="00FB746B" w:rsidP="00FB746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kontextu České republiky budou hlavními iniciátory energetických společenství právnické osoby veřejného práva, tedy obce, kraje, jejich příspěvkové organizace, a případně také dobrovolné svazky obcí. Jedná se o právnické osoby, jejichž hlavním účelem není tvorba zisku, ale zajišťování veřejného zájmu (vč. uspokojování energetických potřeb svých obyvatel). Ve srovnání s právnickými osobami soukromého práva zde tudíž existuje podstatně nižší míra rizika zneužití energetického společenství z důvodu koncentrace hlasovacích práv v rukou pouze jediného subjektu. </w:t>
      </w:r>
    </w:p>
    <w:p w14:paraId="45525D93" w14:textId="77777777" w:rsidR="00FB746B" w:rsidRDefault="00FB746B" w:rsidP="00FB746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Udělení navrhované výjimky je v souladu s evropským právem i s českým ústavním pořádkem. Přinese větší stabilitu a akceschopnost vznikajícím energetickým společenstvím z řad obcí i krajů a díky tomu umožní zapojení širší skupiny obyvatelstva do komunitně energetických projektů.  </w:t>
      </w:r>
    </w:p>
    <w:p w14:paraId="64F408C3" w14:textId="77777777" w:rsidR="00FF0C3F" w:rsidRDefault="00FF0C3F" w:rsidP="00FF0C3F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238D0EB9" w14:textId="61F6A2CD" w:rsidR="00FF0C3F" w:rsidRDefault="00FF0C3F" w:rsidP="00FF0C3F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FF0C3F">
        <w:rPr>
          <w:rFonts w:ascii="Times New Roman" w:hAnsi="Times New Roman" w:cs="Times New Roman"/>
          <w:b/>
          <w:sz w:val="24"/>
          <w:u w:val="single"/>
        </w:rPr>
        <w:t>Platné znění s vyznačením navrhovaných změn</w:t>
      </w:r>
    </w:p>
    <w:p w14:paraId="61FE75F9" w14:textId="77777777" w:rsidR="00FB746B" w:rsidRDefault="00FB746B" w:rsidP="00FB746B">
      <w:pPr>
        <w:pStyle w:val="Nadpis2"/>
        <w:spacing w:before="0" w:after="0" w:line="276" w:lineRule="auto"/>
        <w:rPr>
          <w:rFonts w:eastAsiaTheme="minorHAnsi"/>
        </w:rPr>
      </w:pPr>
      <w:r>
        <w:rPr>
          <w:rFonts w:eastAsiaTheme="minorHAnsi"/>
        </w:rPr>
        <w:t>§ 20c</w:t>
      </w:r>
    </w:p>
    <w:p w14:paraId="7A00B003" w14:textId="77777777" w:rsidR="00FB746B" w:rsidRDefault="00FB746B" w:rsidP="00FB746B">
      <w:pPr>
        <w:spacing w:line="276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Některé požadavky na členství a opatření na ochranu členů společenství</w:t>
      </w:r>
    </w:p>
    <w:p w14:paraId="076D6C23" w14:textId="77777777" w:rsidR="00FB746B" w:rsidRDefault="00FB746B" w:rsidP="00FB746B">
      <w:p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</w:t>
      </w:r>
    </w:p>
    <w:p w14:paraId="0BDA36BC" w14:textId="77777777" w:rsidR="00FB746B" w:rsidRDefault="00FB746B" w:rsidP="00FB746B">
      <w:pPr>
        <w:spacing w:before="120" w:line="276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(7) Člen společenství s hlasovacími právy nemůže na nejvyšším orgánu vykonávat hlasovací právo s hlasy převyšujícími 10 % všech hlasů ve společenství. </w:t>
      </w:r>
      <w:r>
        <w:rPr>
          <w:rFonts w:ascii="Times New Roman" w:hAnsi="Times New Roman" w:cs="Times New Roman"/>
          <w:b/>
          <w:bCs/>
          <w:sz w:val="24"/>
          <w:szCs w:val="24"/>
        </w:rPr>
        <w:t>Omezení podle věty první neplatí pro územní samosprávné celky, dobrovolné svazky obcí a příspěvkové organizace územních samosprávných celků.</w:t>
      </w:r>
      <w:r>
        <w:rPr>
          <w:rFonts w:ascii="Times New Roman" w:hAnsi="Times New Roman"/>
          <w:bCs/>
          <w:sz w:val="24"/>
          <w:szCs w:val="24"/>
        </w:rPr>
        <w:t xml:space="preserve"> Při posuzování schopnosti nejvyššího orgánu společenství </w:t>
      </w:r>
      <w:r>
        <w:rPr>
          <w:rFonts w:ascii="Times New Roman" w:hAnsi="Times New Roman"/>
          <w:bCs/>
          <w:sz w:val="24"/>
          <w:szCs w:val="24"/>
        </w:rPr>
        <w:lastRenderedPageBreak/>
        <w:t>se usnášet a při přijímání usnesení se nepřihlíží k hlasům, s nimiž člen společenství nemůže vykonávat hlasovací právo.</w:t>
      </w:r>
    </w:p>
    <w:p w14:paraId="48E23D70" w14:textId="77777777" w:rsidR="00FF0C3F" w:rsidRPr="00FF0C3F" w:rsidRDefault="00FF0C3F" w:rsidP="00FF0C3F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4DEBBFC3" w14:textId="77777777" w:rsidR="009B7139" w:rsidRDefault="009B7139" w:rsidP="009B7139">
      <w:pPr>
        <w:jc w:val="both"/>
        <w:rPr>
          <w:rFonts w:ascii="Times New Roman" w:hAnsi="Times New Roman" w:cs="Times New Roman"/>
          <w:sz w:val="24"/>
        </w:rPr>
      </w:pPr>
    </w:p>
    <w:p w14:paraId="0C251F71" w14:textId="77777777" w:rsidR="009B7139" w:rsidRDefault="009B7139" w:rsidP="009B7139">
      <w:pPr>
        <w:rPr>
          <w:rFonts w:ascii="Times New Roman" w:hAnsi="Times New Roman" w:cs="Times New Roman"/>
          <w:b/>
          <w:sz w:val="24"/>
        </w:rPr>
      </w:pPr>
    </w:p>
    <w:p w14:paraId="69E377FD" w14:textId="77777777" w:rsidR="005528F7" w:rsidRDefault="005528F7" w:rsidP="005528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7F0784" w14:textId="77777777" w:rsidR="005528F7" w:rsidRDefault="005528F7" w:rsidP="005528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502E4A" w14:textId="77777777" w:rsidR="005528F7" w:rsidRDefault="005528F7" w:rsidP="005528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172C0C" w14:textId="3A70B6D8" w:rsidR="005528F7" w:rsidRPr="00E953A3" w:rsidRDefault="005528F7" w:rsidP="00E953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V Praze dne </w:t>
      </w:r>
      <w:r w:rsidR="00AB30C7">
        <w:rPr>
          <w:rFonts w:ascii="Times New Roman" w:eastAsia="Calibri" w:hAnsi="Times New Roman" w:cs="Times New Roman"/>
          <w:sz w:val="24"/>
          <w:szCs w:val="24"/>
        </w:rPr>
        <w:t>23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953A3">
        <w:rPr>
          <w:rFonts w:ascii="Times New Roman" w:eastAsia="Calibri" w:hAnsi="Times New Roman" w:cs="Times New Roman"/>
          <w:sz w:val="24"/>
          <w:szCs w:val="24"/>
        </w:rPr>
        <w:t>října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2023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35027">
        <w:rPr>
          <w:rFonts w:ascii="Times New Roman" w:eastAsia="Calibri" w:hAnsi="Times New Roman" w:cs="Times New Roman"/>
          <w:sz w:val="24"/>
          <w:szCs w:val="24"/>
        </w:rPr>
        <w:t>Mgr. Bc. David Šim</w:t>
      </w:r>
      <w:r>
        <w:rPr>
          <w:rFonts w:ascii="Times New Roman" w:eastAsia="Calibri" w:hAnsi="Times New Roman" w:cs="Times New Roman"/>
          <w:sz w:val="24"/>
          <w:szCs w:val="24"/>
        </w:rPr>
        <w:t>ek</w:t>
      </w:r>
      <w:r w:rsidRPr="00535027">
        <w:rPr>
          <w:rFonts w:ascii="Times New Roman" w:eastAsia="Calibri" w:hAnsi="Times New Roman" w:cs="Times New Roman"/>
          <w:sz w:val="24"/>
          <w:szCs w:val="24"/>
        </w:rPr>
        <w:t>, MBA</w:t>
      </w:r>
    </w:p>
    <w:p w14:paraId="5173BB7B" w14:textId="10F00A3C" w:rsidR="005528F7" w:rsidRDefault="005528F7">
      <w:r>
        <w:tab/>
      </w:r>
      <w:r>
        <w:tab/>
      </w:r>
    </w:p>
    <w:sectPr w:rsidR="005528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45D59"/>
    <w:multiLevelType w:val="hybridMultilevel"/>
    <w:tmpl w:val="20E8BCA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66C46"/>
    <w:multiLevelType w:val="hybridMultilevel"/>
    <w:tmpl w:val="2E0CE4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540EE0"/>
    <w:multiLevelType w:val="hybridMultilevel"/>
    <w:tmpl w:val="87C4D46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AF142C"/>
    <w:multiLevelType w:val="hybridMultilevel"/>
    <w:tmpl w:val="146E1924"/>
    <w:lvl w:ilvl="0" w:tplc="E9C2531E">
      <w:start w:val="1"/>
      <w:numFmt w:val="upperRoman"/>
      <w:lvlText w:val="%1."/>
      <w:lvlJc w:val="left"/>
      <w:pPr>
        <w:ind w:left="720" w:hanging="72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D47890"/>
    <w:multiLevelType w:val="hybridMultilevel"/>
    <w:tmpl w:val="A22ACAC8"/>
    <w:lvl w:ilvl="0" w:tplc="EEF244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538AA"/>
    <w:multiLevelType w:val="hybridMultilevel"/>
    <w:tmpl w:val="7C148EF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6F4C77"/>
    <w:multiLevelType w:val="hybridMultilevel"/>
    <w:tmpl w:val="A178224A"/>
    <w:lvl w:ilvl="0" w:tplc="8F44C4CC">
      <w:start w:val="1"/>
      <w:numFmt w:val="decimal"/>
      <w:pStyle w:val="Pipomnkovlist-slovan"/>
      <w:lvlText w:val="%1."/>
      <w:lvlJc w:val="left"/>
      <w:pPr>
        <w:ind w:left="360" w:hanging="360"/>
      </w:pPr>
    </w:lvl>
    <w:lvl w:ilvl="1" w:tplc="80B2C2C8">
      <w:start w:val="1"/>
      <w:numFmt w:val="lowerLetter"/>
      <w:lvlText w:val="%2."/>
      <w:lvlJc w:val="left"/>
      <w:pPr>
        <w:ind w:left="1080" w:hanging="360"/>
      </w:pPr>
    </w:lvl>
    <w:lvl w:ilvl="2" w:tplc="0A84DDE6" w:tentative="1">
      <w:start w:val="1"/>
      <w:numFmt w:val="lowerRoman"/>
      <w:lvlText w:val="%3."/>
      <w:lvlJc w:val="right"/>
      <w:pPr>
        <w:ind w:left="1800" w:hanging="180"/>
      </w:pPr>
    </w:lvl>
    <w:lvl w:ilvl="3" w:tplc="83FA96C2" w:tentative="1">
      <w:start w:val="1"/>
      <w:numFmt w:val="decimal"/>
      <w:lvlText w:val="%4."/>
      <w:lvlJc w:val="left"/>
      <w:pPr>
        <w:ind w:left="2520" w:hanging="360"/>
      </w:pPr>
    </w:lvl>
    <w:lvl w:ilvl="4" w:tplc="11066C8E" w:tentative="1">
      <w:start w:val="1"/>
      <w:numFmt w:val="lowerLetter"/>
      <w:lvlText w:val="%5."/>
      <w:lvlJc w:val="left"/>
      <w:pPr>
        <w:ind w:left="3240" w:hanging="360"/>
      </w:pPr>
    </w:lvl>
    <w:lvl w:ilvl="5" w:tplc="EE3AD500" w:tentative="1">
      <w:start w:val="1"/>
      <w:numFmt w:val="lowerRoman"/>
      <w:lvlText w:val="%6."/>
      <w:lvlJc w:val="right"/>
      <w:pPr>
        <w:ind w:left="3960" w:hanging="180"/>
      </w:pPr>
    </w:lvl>
    <w:lvl w:ilvl="6" w:tplc="F4F898AA" w:tentative="1">
      <w:start w:val="1"/>
      <w:numFmt w:val="decimal"/>
      <w:lvlText w:val="%7."/>
      <w:lvlJc w:val="left"/>
      <w:pPr>
        <w:ind w:left="4680" w:hanging="360"/>
      </w:pPr>
    </w:lvl>
    <w:lvl w:ilvl="7" w:tplc="1CBCB37A" w:tentative="1">
      <w:start w:val="1"/>
      <w:numFmt w:val="lowerLetter"/>
      <w:lvlText w:val="%8."/>
      <w:lvlJc w:val="left"/>
      <w:pPr>
        <w:ind w:left="5400" w:hanging="360"/>
      </w:pPr>
    </w:lvl>
    <w:lvl w:ilvl="8" w:tplc="E4BA5E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872DF5"/>
    <w:multiLevelType w:val="hybridMultilevel"/>
    <w:tmpl w:val="D362D9DC"/>
    <w:lvl w:ilvl="0" w:tplc="4DF2C922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9D4B7C"/>
    <w:multiLevelType w:val="hybridMultilevel"/>
    <w:tmpl w:val="BFBE953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F7A91"/>
    <w:multiLevelType w:val="hybridMultilevel"/>
    <w:tmpl w:val="0AD6144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8F7"/>
    <w:rsid w:val="00170060"/>
    <w:rsid w:val="00246BB6"/>
    <w:rsid w:val="0044331C"/>
    <w:rsid w:val="004A4918"/>
    <w:rsid w:val="005528F7"/>
    <w:rsid w:val="00553B1B"/>
    <w:rsid w:val="007D74E8"/>
    <w:rsid w:val="009B7139"/>
    <w:rsid w:val="00AA4B99"/>
    <w:rsid w:val="00AB30C7"/>
    <w:rsid w:val="00B40F62"/>
    <w:rsid w:val="00E77341"/>
    <w:rsid w:val="00E953A3"/>
    <w:rsid w:val="00FB746B"/>
    <w:rsid w:val="00FF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3F2F2"/>
  <w15:chartTrackingRefBased/>
  <w15:docId w15:val="{B6E9F26E-9B60-444A-B11F-FBC95CAF6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528F7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B74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adpis1"/>
    <w:next w:val="Normln"/>
    <w:link w:val="Nadpis2Char"/>
    <w:uiPriority w:val="9"/>
    <w:semiHidden/>
    <w:unhideWhenUsed/>
    <w:qFormat/>
    <w:rsid w:val="00FB746B"/>
    <w:pPr>
      <w:keepLines w:val="0"/>
      <w:autoSpaceDE w:val="0"/>
      <w:autoSpaceDN w:val="0"/>
      <w:adjustRightInd w:val="0"/>
      <w:spacing w:before="360" w:after="12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528F7"/>
    <w:pPr>
      <w:spacing w:after="0" w:line="240" w:lineRule="auto"/>
    </w:pPr>
    <w:rPr>
      <w:kern w:val="0"/>
      <w14:ligatures w14:val="none"/>
    </w:rPr>
  </w:style>
  <w:style w:type="paragraph" w:styleId="Normlnweb">
    <w:name w:val="Normal (Web)"/>
    <w:basedOn w:val="Normln"/>
    <w:uiPriority w:val="99"/>
    <w:semiHidden/>
    <w:unhideWhenUsed/>
    <w:rsid w:val="009B7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B7139"/>
    <w:pPr>
      <w:spacing w:line="256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AB30C7"/>
    <w:rPr>
      <w:color w:val="0000FF"/>
      <w:u w:val="single"/>
    </w:rPr>
  </w:style>
  <w:style w:type="character" w:customStyle="1" w:styleId="liberistextffff">
    <w:name w:val="liberis_text_ffff"/>
    <w:rsid w:val="00AB30C7"/>
  </w:style>
  <w:style w:type="paragraph" w:customStyle="1" w:styleId="Pipomnkovlist-slovan">
    <w:name w:val="Připomínkový list - číslované"/>
    <w:basedOn w:val="Normln"/>
    <w:link w:val="Pipomnkovlist-slovanChar"/>
    <w:qFormat/>
    <w:rsid w:val="00AB30C7"/>
    <w:pPr>
      <w:numPr>
        <w:numId w:val="8"/>
      </w:numPr>
      <w:spacing w:after="0" w:line="240" w:lineRule="auto"/>
      <w:jc w:val="both"/>
    </w:pPr>
    <w:rPr>
      <w:rFonts w:ascii="Arial" w:hAnsi="Arial" w:cs="Arial"/>
    </w:rPr>
  </w:style>
  <w:style w:type="character" w:customStyle="1" w:styleId="Pipomnkovlist-slovanChar">
    <w:name w:val="Připomínkový list - číslované Char"/>
    <w:basedOn w:val="Standardnpsmoodstavce"/>
    <w:link w:val="Pipomnkovlist-slovan"/>
    <w:rsid w:val="00AB30C7"/>
    <w:rPr>
      <w:rFonts w:ascii="Arial" w:hAnsi="Arial" w:cs="Arial"/>
      <w:kern w:val="0"/>
      <w14:ligatures w14:val="none"/>
    </w:rPr>
  </w:style>
  <w:style w:type="character" w:customStyle="1" w:styleId="citation-text">
    <w:name w:val="citation-text"/>
    <w:basedOn w:val="Standardnpsmoodstavce"/>
    <w:rsid w:val="00AB30C7"/>
  </w:style>
  <w:style w:type="character" w:customStyle="1" w:styleId="Nadpis2Char">
    <w:name w:val="Nadpis 2 Char"/>
    <w:basedOn w:val="Standardnpsmoodstavce"/>
    <w:link w:val="Nadpis2"/>
    <w:uiPriority w:val="9"/>
    <w:semiHidden/>
    <w:rsid w:val="00FB746B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"/>
    <w:rsid w:val="00FB746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Tománek</dc:creator>
  <cp:keywords/>
  <dc:description/>
  <cp:lastModifiedBy>Eva Vondráčková</cp:lastModifiedBy>
  <cp:revision>2</cp:revision>
  <dcterms:created xsi:type="dcterms:W3CDTF">2023-10-23T13:56:00Z</dcterms:created>
  <dcterms:modified xsi:type="dcterms:W3CDTF">2023-10-23T13:56:00Z</dcterms:modified>
</cp:coreProperties>
</file>