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BCF" w:rsidRDefault="003D4BCF" w:rsidP="003D4BCF">
      <w:pPr>
        <w:pStyle w:val="PS-hlavika1"/>
      </w:pPr>
      <w:r>
        <w:t>Parlament České republiky</w:t>
      </w:r>
    </w:p>
    <w:p w:rsidR="003D4BCF" w:rsidRDefault="003D4BCF" w:rsidP="003D4BCF">
      <w:pPr>
        <w:pStyle w:val="PS-hlavika2"/>
      </w:pPr>
      <w:r>
        <w:t>POSLANECKÁ SNĚMOVNA</w:t>
      </w:r>
    </w:p>
    <w:p w:rsidR="003D4BCF" w:rsidRDefault="003D4BCF" w:rsidP="003D4BCF">
      <w:pPr>
        <w:pStyle w:val="PS-hlavika2"/>
      </w:pPr>
      <w:r>
        <w:t>2023</w:t>
      </w:r>
    </w:p>
    <w:p w:rsidR="003D4BCF" w:rsidRDefault="003D4BCF" w:rsidP="003D4BCF">
      <w:pPr>
        <w:pStyle w:val="PS-hlavika1"/>
      </w:pPr>
      <w:r>
        <w:t>9. volební období</w:t>
      </w:r>
    </w:p>
    <w:p w:rsidR="003D4BCF" w:rsidRDefault="003D4BCF" w:rsidP="003D4BCF">
      <w:pPr>
        <w:pStyle w:val="PS-slousnesen"/>
      </w:pPr>
      <w:r>
        <w:t>268</w:t>
      </w:r>
    </w:p>
    <w:p w:rsidR="003D4BCF" w:rsidRDefault="003D4BCF" w:rsidP="003D4BCF">
      <w:pPr>
        <w:pStyle w:val="PS-hlavika3"/>
      </w:pPr>
      <w:r>
        <w:t>USNESENÍ</w:t>
      </w:r>
    </w:p>
    <w:p w:rsidR="003D4BCF" w:rsidRDefault="003D4BCF" w:rsidP="003D4BCF">
      <w:pPr>
        <w:pStyle w:val="PS-hlavika1"/>
      </w:pPr>
      <w:r>
        <w:t>rozpočtového výboru</w:t>
      </w:r>
    </w:p>
    <w:p w:rsidR="003D4BCF" w:rsidRDefault="003D4BCF" w:rsidP="003D4BCF">
      <w:pPr>
        <w:pStyle w:val="PS-hlavika1"/>
      </w:pPr>
      <w:r>
        <w:t>z 34. schůze</w:t>
      </w:r>
    </w:p>
    <w:p w:rsidR="003D4BCF" w:rsidRDefault="003D4BCF" w:rsidP="003D4BCF">
      <w:pPr>
        <w:pStyle w:val="PS-hlavika1"/>
      </w:pPr>
      <w:r>
        <w:t>ze dne 20. září 2023</w:t>
      </w:r>
    </w:p>
    <w:p w:rsidR="003D4BCF" w:rsidRDefault="003D4BCF" w:rsidP="003D4BCF">
      <w:pPr>
        <w:pStyle w:val="PS-pedmtusnesen"/>
      </w:pPr>
      <w:bookmarkStart w:id="0" w:name="_Hlk129768111"/>
      <w:r>
        <w:t xml:space="preserve">k </w:t>
      </w:r>
      <w:r w:rsidRPr="0032631C">
        <w:t xml:space="preserve">vládnímu </w:t>
      </w:r>
      <w:bookmarkEnd w:id="0"/>
      <w:r w:rsidRPr="004477E2">
        <w:rPr>
          <w:color w:val="000000"/>
        </w:rPr>
        <w:t>návrh</w:t>
      </w:r>
      <w:r>
        <w:rPr>
          <w:color w:val="000000"/>
        </w:rPr>
        <w:t>u</w:t>
      </w:r>
      <w:r w:rsidRPr="004477E2">
        <w:rPr>
          <w:color w:val="000000"/>
        </w:rPr>
        <w:t xml:space="preserve"> </w:t>
      </w:r>
      <w:bookmarkStart w:id="1" w:name="_Hlk131663317"/>
      <w:r w:rsidRPr="004477E2">
        <w:rPr>
          <w:color w:val="000000"/>
        </w:rPr>
        <w:t>zákona</w:t>
      </w:r>
      <w:bookmarkStart w:id="2" w:name="_Hlk144365427"/>
      <w:bookmarkEnd w:id="1"/>
      <w:r w:rsidRPr="003B5551">
        <w:rPr>
          <w:color w:val="000000"/>
        </w:rPr>
        <w:t>, kterým se mění některé zákony v souvislosti s rozvojem finančního trhu a s podporou zajištění na stáří</w:t>
      </w:r>
      <w:bookmarkEnd w:id="2"/>
      <w:r w:rsidRPr="003B5551">
        <w:rPr>
          <w:color w:val="000000"/>
        </w:rPr>
        <w:t xml:space="preserve"> </w:t>
      </w:r>
      <w:r>
        <w:rPr>
          <w:color w:val="000000"/>
        </w:rPr>
        <w:t>(sněmovní tisk 474</w:t>
      </w:r>
      <w:r w:rsidRPr="0032631C">
        <w:t xml:space="preserve"> –</w:t>
      </w:r>
      <w:r>
        <w:t xml:space="preserve"> </w:t>
      </w:r>
      <w:r w:rsidRPr="0032631C">
        <w:t>2. čtení)</w:t>
      </w:r>
      <w:r>
        <w:t xml:space="preserve"> </w:t>
      </w:r>
    </w:p>
    <w:p w:rsidR="003D4BCF" w:rsidRDefault="003D4BCF" w:rsidP="003D4BCF">
      <w:pPr>
        <w:spacing w:after="360"/>
        <w:ind w:firstLine="709"/>
        <w:jc w:val="both"/>
      </w:pPr>
      <w:r w:rsidRPr="00A04B3B">
        <w:t xml:space="preserve">Po úvodním </w:t>
      </w:r>
      <w:r w:rsidRPr="00885022">
        <w:t xml:space="preserve">slově </w:t>
      </w:r>
      <w:r>
        <w:t>náměstka ministra financí M. Mory</w:t>
      </w:r>
      <w:r w:rsidRPr="00885022">
        <w:t>,</w:t>
      </w:r>
      <w:r w:rsidRPr="00A04B3B">
        <w:t xml:space="preserve"> zpravodajské zprávě posl.</w:t>
      </w:r>
      <w:r>
        <w:t> M. Kohajdy</w:t>
      </w:r>
      <w:r w:rsidRPr="00026D51">
        <w:t xml:space="preserve"> </w:t>
      </w:r>
      <w:r w:rsidRPr="00A04B3B">
        <w:t>a</w:t>
      </w:r>
      <w:r>
        <w:t> </w:t>
      </w:r>
      <w:r w:rsidRPr="00A04B3B">
        <w:t xml:space="preserve">po rozpravě rozpočtový výbor Poslanecké sněmovny </w:t>
      </w:r>
    </w:p>
    <w:p w:rsidR="003D4BCF" w:rsidRDefault="003D4BCF" w:rsidP="003D4BCF">
      <w:pPr>
        <w:pStyle w:val="Odstavecseseznamem"/>
        <w:numPr>
          <w:ilvl w:val="0"/>
          <w:numId w:val="7"/>
        </w:numPr>
        <w:tabs>
          <w:tab w:val="left" w:pos="567"/>
        </w:tabs>
        <w:spacing w:after="400" w:line="259" w:lineRule="auto"/>
        <w:ind w:left="567" w:hanging="567"/>
        <w:contextualSpacing w:val="0"/>
        <w:jc w:val="both"/>
      </w:pPr>
      <w:r w:rsidRPr="00A2226E">
        <w:rPr>
          <w:spacing w:val="60"/>
        </w:rPr>
        <w:t xml:space="preserve">doporučuje </w:t>
      </w:r>
      <w:r w:rsidRPr="00A2226E">
        <w:t xml:space="preserve">Poslanecké sněmovně, aby </w:t>
      </w:r>
      <w:r>
        <w:t xml:space="preserve">s </w:t>
      </w:r>
      <w:r w:rsidRPr="00A2226E">
        <w:t>vládní</w:t>
      </w:r>
      <w:r>
        <w:t>m</w:t>
      </w:r>
      <w:r w:rsidRPr="00A2226E">
        <w:t xml:space="preserve"> </w:t>
      </w:r>
      <w:r w:rsidRPr="003E722E">
        <w:t>návrh</w:t>
      </w:r>
      <w:r>
        <w:t>em zákona</w:t>
      </w:r>
      <w:r w:rsidRPr="003B5551">
        <w:t>, kterým se mění některé zákony v souvislosti s rozvojem finančního trhu a s podporou zajištění na stáří</w:t>
      </w:r>
      <w:r w:rsidRPr="003E722E">
        <w:t xml:space="preserve"> (sněmovní tisk </w:t>
      </w:r>
      <w:r>
        <w:t>474</w:t>
      </w:r>
      <w:r w:rsidRPr="003E722E">
        <w:t xml:space="preserve">) </w:t>
      </w:r>
    </w:p>
    <w:p w:rsidR="003D4BCF" w:rsidRDefault="003D4BCF" w:rsidP="003D4BCF">
      <w:pPr>
        <w:pStyle w:val="Odsazentlatextu"/>
        <w:tabs>
          <w:tab w:val="clear" w:pos="709"/>
          <w:tab w:val="left" w:pos="567"/>
        </w:tabs>
        <w:spacing w:after="360"/>
        <w:ind w:left="567" w:firstLine="0"/>
        <w:rPr>
          <w:spacing w:val="-3"/>
        </w:rPr>
      </w:pPr>
      <w:r w:rsidRPr="006D3900">
        <w:t>vyslovila</w:t>
      </w:r>
      <w:r w:rsidRPr="006D3900">
        <w:rPr>
          <w:spacing w:val="60"/>
        </w:rPr>
        <w:t xml:space="preserve"> souhlas</w:t>
      </w:r>
      <w:r>
        <w:rPr>
          <w:spacing w:val="-3"/>
        </w:rPr>
        <w:t xml:space="preserve"> </w:t>
      </w:r>
      <w:r w:rsidRPr="006D3900">
        <w:t>ve znění těchto pozměňovacích návrhů</w:t>
      </w:r>
      <w:r>
        <w:rPr>
          <w:spacing w:val="-3"/>
        </w:rPr>
        <w:t>:</w:t>
      </w:r>
    </w:p>
    <w:p w:rsidR="00F6300E" w:rsidRPr="005933E0" w:rsidRDefault="00F6300E" w:rsidP="00F6300E">
      <w:pPr>
        <w:pStyle w:val="Novelizanbod"/>
        <w:numPr>
          <w:ilvl w:val="0"/>
          <w:numId w:val="5"/>
        </w:numPr>
        <w:ind w:left="426" w:hanging="426"/>
      </w:pPr>
      <w:r w:rsidRPr="005933E0">
        <w:t>V dosavadní části první, čl. I dosavadní bod 1 zní:</w:t>
      </w:r>
    </w:p>
    <w:p w:rsidR="00F6300E" w:rsidRPr="005933E0" w:rsidRDefault="00F6300E" w:rsidP="00F6300E">
      <w:pPr>
        <w:widowControl w:val="0"/>
        <w:spacing w:before="120" w:after="120"/>
      </w:pPr>
      <w:r w:rsidRPr="005933E0">
        <w:t>„1. V § 4 odst. 1 písmeno k) zní:</w:t>
      </w:r>
    </w:p>
    <w:p w:rsidR="00F6300E" w:rsidRPr="005933E0" w:rsidRDefault="00F6300E" w:rsidP="00F6300E">
      <w:pPr>
        <w:widowControl w:val="0"/>
        <w:spacing w:before="120" w:after="120"/>
        <w:ind w:left="284" w:hanging="284"/>
      </w:pPr>
      <w:r w:rsidRPr="005933E0">
        <w:t>„k) příjem v podobě</w:t>
      </w:r>
    </w:p>
    <w:p w:rsidR="00F6300E" w:rsidRPr="005933E0" w:rsidRDefault="00F6300E" w:rsidP="00F6300E">
      <w:pPr>
        <w:widowControl w:val="0"/>
        <w:spacing w:before="120" w:after="120"/>
        <w:ind w:left="568" w:hanging="284"/>
      </w:pPr>
      <w:r w:rsidRPr="005933E0">
        <w:t>1.</w:t>
      </w:r>
      <w:r w:rsidRPr="005933E0">
        <w:tab/>
        <w:t>pozůstalostní penze, u které je vymezeno období pobírání nejméně 10 let nebo která je vyplácena doživotně, nebo jiné penze jako dávek vyplácených z penzijního připojištění se státním příspěvkem podle zákona upravujícího penzijní připojištění se státním příspěvkem,</w:t>
      </w:r>
    </w:p>
    <w:p w:rsidR="00F6300E" w:rsidRPr="005933E0" w:rsidRDefault="00F6300E" w:rsidP="00F6300E">
      <w:pPr>
        <w:widowControl w:val="0"/>
        <w:spacing w:before="120" w:after="120"/>
        <w:ind w:left="568" w:hanging="284"/>
      </w:pPr>
      <w:r w:rsidRPr="005933E0">
        <w:t>2.</w:t>
      </w:r>
      <w:r w:rsidRPr="005933E0">
        <w:tab/>
        <w:t>starobní penze, u které je vymezeno období pobírání nejméně 10 let nebo která je vyplácena doživotně, invalidní penze nebo jednorázového pojistného pro penzi jako dávek vyplácených z doplňkového penzijního spoření podle zákona upravujícího doplňkové penzijní spoření,</w:t>
      </w:r>
    </w:p>
    <w:p w:rsidR="00F6300E" w:rsidRPr="005933E0" w:rsidRDefault="00F6300E" w:rsidP="00F6300E">
      <w:pPr>
        <w:widowControl w:val="0"/>
        <w:spacing w:before="120" w:after="120"/>
        <w:ind w:left="568" w:hanging="284"/>
      </w:pPr>
      <w:r w:rsidRPr="005933E0">
        <w:t>3.</w:t>
      </w:r>
      <w:r w:rsidRPr="005933E0">
        <w:tab/>
        <w:t>plnění z penzijního pojištění s výjimkou jednorázového plnění, odbytného, odkupného nebo penze, u které je vymezeno období pobírání kratší než 10 let a která není invalidní penzí,</w:t>
      </w:r>
    </w:p>
    <w:p w:rsidR="00F6300E" w:rsidRPr="005933E0" w:rsidRDefault="00F6300E" w:rsidP="005933E0">
      <w:pPr>
        <w:widowControl w:val="0"/>
        <w:spacing w:before="120" w:after="120"/>
        <w:ind w:left="568" w:hanging="284"/>
      </w:pPr>
      <w:r w:rsidRPr="005933E0">
        <w:t>4.</w:t>
      </w:r>
      <w:r w:rsidRPr="005933E0">
        <w:tab/>
        <w:t>pojistného plnění z pojištění osob s výjimkou jednorázového plnění a důchodu, u kterého je vymezeno období pobírání kratší než 10 let, vyplácených z pojištění pro případ dožití, z pojištění pro případ dožití se stanoveného věku nebo dřívější smrti nebo z pojištění důchodu,“.“.</w:t>
      </w:r>
    </w:p>
    <w:p w:rsidR="00F6300E" w:rsidRPr="005933E0" w:rsidRDefault="00F6300E" w:rsidP="005933E0">
      <w:pPr>
        <w:pStyle w:val="Novelizanbod"/>
        <w:numPr>
          <w:ilvl w:val="0"/>
          <w:numId w:val="5"/>
        </w:numPr>
        <w:spacing w:before="240"/>
        <w:ind w:left="425" w:hanging="425"/>
      </w:pPr>
      <w:r w:rsidRPr="005933E0">
        <w:lastRenderedPageBreak/>
        <w:t>V dosavadní části první, čl. I dosavadní bod 2 zní:</w:t>
      </w:r>
    </w:p>
    <w:p w:rsidR="00F6300E" w:rsidRPr="005933E0" w:rsidRDefault="00F6300E" w:rsidP="00F6300E">
      <w:r w:rsidRPr="005933E0">
        <w:t>„2. V § 4 odst. 1 se za písmeno zh) vkládá nové písmeno zi), které zní:</w:t>
      </w:r>
    </w:p>
    <w:p w:rsidR="00F6300E" w:rsidRPr="005933E0" w:rsidRDefault="00F6300E" w:rsidP="00F6300E">
      <w:pPr>
        <w:pStyle w:val="Novelizanbod"/>
        <w:keepNext w:val="0"/>
        <w:keepLines w:val="0"/>
        <w:widowControl w:val="0"/>
        <w:spacing w:before="120"/>
        <w:ind w:left="284" w:hanging="284"/>
        <w:rPr>
          <w:szCs w:val="24"/>
        </w:rPr>
      </w:pPr>
      <w:r w:rsidRPr="005933E0">
        <w:rPr>
          <w:szCs w:val="24"/>
        </w:rPr>
        <w:t>„</w:t>
      </w:r>
      <w:proofErr w:type="spellStart"/>
      <w:r w:rsidRPr="005933E0">
        <w:rPr>
          <w:szCs w:val="24"/>
        </w:rPr>
        <w:t>zi</w:t>
      </w:r>
      <w:proofErr w:type="spellEnd"/>
      <w:r w:rsidRPr="005933E0">
        <w:rPr>
          <w:szCs w:val="24"/>
        </w:rPr>
        <w:t>) příjem z úplatného odepsání majetku z dlouhodobého investičního produktu poskytnutý ve prospěch tohoto produktu, ledaže se jedná o</w:t>
      </w:r>
      <w:r w:rsidRPr="005933E0">
        <w:t xml:space="preserve"> </w:t>
      </w:r>
      <w:r w:rsidRPr="005933E0">
        <w:rPr>
          <w:szCs w:val="24"/>
        </w:rPr>
        <w:t>odepsání za protiplnění, jehož obvyklá cena je podstatně nižší než obvyklá cena odepisovaného majetku,“.</w:t>
      </w:r>
    </w:p>
    <w:p w:rsidR="00F6300E" w:rsidRPr="005933E0" w:rsidRDefault="00F6300E" w:rsidP="00F6300E">
      <w:r w:rsidRPr="005933E0">
        <w:t>Dosavadní písmeno zi) se označuje jako písmeno zj).“.</w:t>
      </w:r>
    </w:p>
    <w:p w:rsidR="00F6300E" w:rsidRPr="006B2A8D" w:rsidRDefault="00F6300E" w:rsidP="00F6300E">
      <w:pPr>
        <w:pStyle w:val="Novelizanbod"/>
        <w:numPr>
          <w:ilvl w:val="0"/>
          <w:numId w:val="5"/>
        </w:numPr>
        <w:ind w:left="426" w:hanging="426"/>
      </w:pPr>
      <w:r w:rsidRPr="006B2A8D">
        <w:t>V dosavadní části první, čl. I dosavadní bod 3 zní:</w:t>
      </w:r>
    </w:p>
    <w:p w:rsidR="00F6300E" w:rsidRPr="006B2A8D" w:rsidRDefault="00F6300E" w:rsidP="00F6300E">
      <w:r w:rsidRPr="006B2A8D">
        <w:t>„3. V § 6 odst. 9 písmeno m) zní:</w:t>
      </w:r>
    </w:p>
    <w:p w:rsidR="00F6300E" w:rsidRPr="006B2A8D" w:rsidRDefault="00F6300E" w:rsidP="005933E0">
      <w:pPr>
        <w:pStyle w:val="Novelizanbod"/>
        <w:keepNext w:val="0"/>
        <w:keepLines w:val="0"/>
        <w:widowControl w:val="0"/>
        <w:spacing w:before="120" w:after="240"/>
        <w:ind w:left="284" w:hanging="284"/>
        <w:rPr>
          <w:szCs w:val="24"/>
        </w:rPr>
      </w:pPr>
      <w:r w:rsidRPr="006B2A8D">
        <w:rPr>
          <w:szCs w:val="24"/>
        </w:rPr>
        <w:t>„m) příjem v podobě příspěvku uhrazeného zaměstnavatelem na daňově podporované produkty spoření na stáří jeho zaměstnance do úhrnné výše 50 000 Kč ročně,“.“.</w:t>
      </w:r>
    </w:p>
    <w:p w:rsidR="00F6300E" w:rsidRPr="006B2A8D" w:rsidRDefault="00F6300E" w:rsidP="005933E0">
      <w:pPr>
        <w:pStyle w:val="Odstavecseseznamem"/>
        <w:widowControl w:val="0"/>
        <w:numPr>
          <w:ilvl w:val="0"/>
          <w:numId w:val="5"/>
        </w:numPr>
        <w:spacing w:before="240" w:after="120"/>
        <w:ind w:left="567" w:hanging="567"/>
        <w:contextualSpacing w:val="0"/>
        <w:jc w:val="both"/>
        <w:rPr>
          <w:rFonts w:eastAsia="Calibri"/>
          <w:bCs/>
        </w:rPr>
      </w:pPr>
      <w:r w:rsidRPr="006B2A8D">
        <w:t>V dosavadní části první, čl. I bodě 3 se v upravovaném písmenu m) za slovo „zaměstnance“ vkládají slova „nebo na daňově podporované pojištění dlouhodobé péče, jehož pojistníkem je jeho zaměstnanec,“.</w:t>
      </w:r>
    </w:p>
    <w:p w:rsidR="00F6300E" w:rsidRPr="005933E0" w:rsidRDefault="00F6300E" w:rsidP="00F6300E">
      <w:pPr>
        <w:pStyle w:val="Odstavecseseznamem"/>
        <w:widowControl w:val="0"/>
        <w:numPr>
          <w:ilvl w:val="0"/>
          <w:numId w:val="5"/>
        </w:numPr>
        <w:spacing w:before="240" w:after="120"/>
        <w:ind w:left="567" w:hanging="567"/>
        <w:contextualSpacing w:val="0"/>
        <w:jc w:val="both"/>
        <w:rPr>
          <w:rFonts w:eastAsia="Calibri"/>
          <w:bCs/>
        </w:rPr>
      </w:pPr>
      <w:r w:rsidRPr="005933E0">
        <w:t>V dosavadní části první, čl. I bodě 9 se v upravovaném odstavci 5 na konci textu věty první doplňují slova „a daňově podporované pojištění dlouhodobé péče, jehož je pojistníkem“.</w:t>
      </w:r>
    </w:p>
    <w:p w:rsidR="00F6300E" w:rsidRPr="005933E0" w:rsidRDefault="00F6300E" w:rsidP="00F6300E">
      <w:pPr>
        <w:pStyle w:val="Odstavecseseznamem"/>
        <w:widowControl w:val="0"/>
        <w:numPr>
          <w:ilvl w:val="0"/>
          <w:numId w:val="5"/>
        </w:numPr>
        <w:spacing w:before="240" w:after="120"/>
        <w:ind w:left="567" w:hanging="567"/>
        <w:contextualSpacing w:val="0"/>
        <w:jc w:val="both"/>
        <w:rPr>
          <w:rFonts w:eastAsia="Calibri"/>
          <w:bCs/>
        </w:rPr>
      </w:pPr>
      <w:r w:rsidRPr="005933E0">
        <w:t>V dosavadní části první, čl. I bodě 9 se na konci upravovaného odstavce 5 doplňuje věta „Příspěvkem na pojištění dlouhodobé péče se rozumí pojistné na toto pojištění.“.</w:t>
      </w:r>
    </w:p>
    <w:p w:rsidR="00F6300E" w:rsidRPr="005933E0" w:rsidRDefault="00F6300E" w:rsidP="00F6300E">
      <w:pPr>
        <w:pStyle w:val="Odstavecseseznamem"/>
        <w:widowControl w:val="0"/>
        <w:numPr>
          <w:ilvl w:val="0"/>
          <w:numId w:val="5"/>
        </w:numPr>
        <w:spacing w:before="240" w:after="120"/>
        <w:ind w:left="567" w:hanging="567"/>
        <w:contextualSpacing w:val="0"/>
        <w:jc w:val="both"/>
        <w:rPr>
          <w:rFonts w:eastAsia="Calibri"/>
          <w:bCs/>
        </w:rPr>
      </w:pPr>
      <w:r w:rsidRPr="005933E0">
        <w:t>V dosavadní části první, čl. I bodě 10 se v úvodní části slova „a 15b“ nahrazují slovy „až 15c“.</w:t>
      </w:r>
    </w:p>
    <w:p w:rsidR="00F6300E" w:rsidRPr="005933E0" w:rsidRDefault="00F6300E" w:rsidP="00F6300E">
      <w:pPr>
        <w:pStyle w:val="Odstavecseseznamem"/>
        <w:widowControl w:val="0"/>
        <w:numPr>
          <w:ilvl w:val="0"/>
          <w:numId w:val="5"/>
        </w:numPr>
        <w:spacing w:before="240" w:after="120"/>
        <w:ind w:left="567" w:hanging="567"/>
        <w:contextualSpacing w:val="0"/>
        <w:jc w:val="both"/>
        <w:rPr>
          <w:rFonts w:eastAsia="Calibri"/>
          <w:bCs/>
        </w:rPr>
      </w:pPr>
      <w:r w:rsidRPr="005933E0">
        <w:t>V dosavadní části první, čl. I bodě 10 se za vkládaný § 15b vkládá § 15c, který včetně nadpisu zní:</w:t>
      </w:r>
    </w:p>
    <w:p w:rsidR="00F6300E" w:rsidRPr="005933E0" w:rsidRDefault="00F6300E" w:rsidP="00F6300E">
      <w:pPr>
        <w:widowControl w:val="0"/>
        <w:spacing w:before="240" w:after="240"/>
        <w:jc w:val="center"/>
      </w:pPr>
      <w:r w:rsidRPr="005933E0">
        <w:t>„§ 15c</w:t>
      </w:r>
    </w:p>
    <w:p w:rsidR="00F6300E" w:rsidRPr="005933E0" w:rsidRDefault="00F6300E" w:rsidP="00F6300E">
      <w:pPr>
        <w:widowControl w:val="0"/>
        <w:spacing w:before="240" w:after="240"/>
        <w:jc w:val="center"/>
        <w:rPr>
          <w:b/>
        </w:rPr>
      </w:pPr>
      <w:r w:rsidRPr="005933E0">
        <w:rPr>
          <w:b/>
        </w:rPr>
        <w:t>Pojištění dlouhodobé péče</w:t>
      </w:r>
    </w:p>
    <w:p w:rsidR="00F6300E" w:rsidRPr="005933E0" w:rsidRDefault="00F6300E" w:rsidP="00F6300E">
      <w:pPr>
        <w:widowControl w:val="0"/>
        <w:spacing w:before="120" w:after="120"/>
        <w:ind w:firstLine="426"/>
      </w:pPr>
      <w:r w:rsidRPr="005933E0">
        <w:t xml:space="preserve">(1) Pojištěním dlouhodobé péče se pro účely daní z příjmů rozumí pojištění, jehož pojistnou událostí je závislost pojistníka nebo jeho osoby blízké na pomoci jiné fyzické osoby při zvládání základních životních potřeb </w:t>
      </w:r>
      <w:r w:rsidRPr="005933E0">
        <w:rPr>
          <w:color w:val="000000"/>
        </w:rPr>
        <w:t>z důvodu jejich dlouhodobě nepříznivého zdravotního stavu</w:t>
      </w:r>
      <w:r w:rsidRPr="005933E0">
        <w:t>, sjednané s pojišťovnou, která je oprávněna k provozování pojišťovací činnosti na území členského státu Evropské unie nebo státu tvořícího Evropský hospodářský prostor.</w:t>
      </w:r>
    </w:p>
    <w:p w:rsidR="00F6300E" w:rsidRPr="005933E0" w:rsidRDefault="00F6300E" w:rsidP="00F6300E">
      <w:pPr>
        <w:widowControl w:val="0"/>
        <w:spacing w:before="120" w:after="120"/>
        <w:ind w:firstLine="426"/>
      </w:pPr>
      <w:r w:rsidRPr="005933E0">
        <w:t xml:space="preserve">(2) Pojištění dlouhodobé péče je daňově podporované v rozsahu, ve kterém </w:t>
      </w:r>
    </w:p>
    <w:p w:rsidR="00F6300E" w:rsidRPr="005933E0" w:rsidRDefault="00F6300E" w:rsidP="00F6300E">
      <w:pPr>
        <w:widowControl w:val="0"/>
        <w:spacing w:before="120"/>
        <w:ind w:left="284" w:hanging="284"/>
      </w:pPr>
      <w:r w:rsidRPr="005933E0">
        <w:t>a)</w:t>
      </w:r>
      <w:r w:rsidRPr="005933E0">
        <w:tab/>
        <w:t xml:space="preserve">právo na pojistné plnění v důsledku pojistné události vzniká pojištěnému, </w:t>
      </w:r>
    </w:p>
    <w:p w:rsidR="00F6300E" w:rsidRPr="005933E0" w:rsidRDefault="00F6300E" w:rsidP="00F6300E">
      <w:pPr>
        <w:widowControl w:val="0"/>
        <w:spacing w:before="120"/>
        <w:ind w:left="284" w:hanging="284"/>
      </w:pPr>
      <w:r w:rsidRPr="005933E0">
        <w:t>b)</w:t>
      </w:r>
      <w:r w:rsidRPr="005933E0">
        <w:tab/>
        <w:t>se vztahuje na závislost odpovídající stupni závislosti III nebo IV podle zákona upravujícího sociální služby a</w:t>
      </w:r>
    </w:p>
    <w:p w:rsidR="00F6300E" w:rsidRPr="005933E0" w:rsidRDefault="00F6300E" w:rsidP="00F6300E">
      <w:pPr>
        <w:widowControl w:val="0"/>
        <w:ind w:left="284" w:hanging="284"/>
      </w:pPr>
      <w:r w:rsidRPr="005933E0">
        <w:t>c)</w:t>
      </w:r>
      <w:r w:rsidRPr="005933E0">
        <w:tab/>
        <w:t xml:space="preserve">jde o </w:t>
      </w:r>
    </w:p>
    <w:p w:rsidR="00F6300E" w:rsidRPr="005933E0" w:rsidRDefault="00F6300E" w:rsidP="00F6300E">
      <w:pPr>
        <w:pStyle w:val="Textbodu"/>
        <w:numPr>
          <w:ilvl w:val="4"/>
          <w:numId w:val="3"/>
        </w:numPr>
      </w:pPr>
      <w:r w:rsidRPr="005933E0">
        <w:t>obnosové pojištění se sjednaným opakovaným měsíčním pojistným plněním poskytovaným po celou dobu závislosti pojištěného odpovídající stupni závislosti III nebo IV podle zákona upravujícího sociální služby nebo</w:t>
      </w:r>
    </w:p>
    <w:p w:rsidR="00F6300E" w:rsidRPr="005933E0" w:rsidRDefault="00F6300E" w:rsidP="00F6300E">
      <w:pPr>
        <w:pStyle w:val="Textbodu"/>
        <w:numPr>
          <w:ilvl w:val="4"/>
          <w:numId w:val="3"/>
        </w:numPr>
      </w:pPr>
      <w:r w:rsidRPr="005933E0">
        <w:lastRenderedPageBreak/>
        <w:t>škodové pojištění se sjednaným pojistným plněním ve formě poskytnutí péče o pojištěného po celou dobu závislosti pojištěného odpovídající stupni závislosti III nebo IV podle zákona upravujícího sociální služby nebo náhrady nákladů na takovou péči.</w:t>
      </w:r>
    </w:p>
    <w:p w:rsidR="00F6300E" w:rsidRPr="005933E0" w:rsidRDefault="00F6300E" w:rsidP="00F6300E">
      <w:pPr>
        <w:keepNext/>
        <w:widowControl w:val="0"/>
        <w:spacing w:before="120" w:after="120"/>
        <w:ind w:firstLine="426"/>
      </w:pPr>
      <w:r w:rsidRPr="005933E0">
        <w:t>(3) Pojištění dlouhodobé péče není daňově podporované, pokud pojistitel</w:t>
      </w:r>
    </w:p>
    <w:p w:rsidR="00F6300E" w:rsidRPr="005933E0" w:rsidRDefault="00F6300E" w:rsidP="00F6300E">
      <w:pPr>
        <w:widowControl w:val="0"/>
        <w:ind w:left="284" w:hanging="284"/>
      </w:pPr>
      <w:r w:rsidRPr="005933E0">
        <w:t>a) může pojistnou smlouvu vypovědět později než 2 měsíce ode dne jejího uzavření nebo ji může vypovědět na základě oznámení vzniku pojistné události nebo</w:t>
      </w:r>
    </w:p>
    <w:p w:rsidR="00F6300E" w:rsidRDefault="00F6300E" w:rsidP="00F6300E">
      <w:pPr>
        <w:widowControl w:val="0"/>
        <w:ind w:left="284" w:hanging="284"/>
      </w:pPr>
      <w:r w:rsidRPr="005933E0">
        <w:t>b)</w:t>
      </w:r>
      <w:r w:rsidRPr="005933E0">
        <w:tab/>
        <w:t>má právo měnit výši pojistného v závislosti na věku nebo zdravotním stavu pojištěného.“.</w:t>
      </w:r>
    </w:p>
    <w:p w:rsidR="005933E0" w:rsidRPr="005933E0" w:rsidRDefault="005933E0" w:rsidP="005933E0">
      <w:pPr>
        <w:pStyle w:val="Novelizanbod"/>
        <w:keepNext w:val="0"/>
        <w:keepLines w:val="0"/>
        <w:numPr>
          <w:ilvl w:val="0"/>
          <w:numId w:val="5"/>
        </w:numPr>
        <w:spacing w:before="240"/>
        <w:ind w:left="567" w:hanging="567"/>
      </w:pPr>
      <w:r w:rsidRPr="005933E0">
        <w:t>V dosavadní části první, čl. I se dosavadní bod 11 zrušuje.</w:t>
      </w:r>
    </w:p>
    <w:p w:rsidR="005933E0" w:rsidRPr="005933E0" w:rsidRDefault="005933E0" w:rsidP="005933E0">
      <w:r w:rsidRPr="005933E0">
        <w:t>Dosavadní body 12 až 19 se označují jako body 11 až 18.</w:t>
      </w:r>
    </w:p>
    <w:p w:rsidR="00F6300E" w:rsidRPr="005933E0" w:rsidRDefault="00F6300E" w:rsidP="00F6300E">
      <w:pPr>
        <w:pStyle w:val="Odstavecseseznamem"/>
        <w:widowControl w:val="0"/>
        <w:numPr>
          <w:ilvl w:val="0"/>
          <w:numId w:val="5"/>
        </w:numPr>
        <w:spacing w:before="240" w:after="120"/>
        <w:ind w:left="567" w:hanging="567"/>
        <w:contextualSpacing w:val="0"/>
        <w:jc w:val="both"/>
        <w:rPr>
          <w:rFonts w:eastAsia="Calibri"/>
          <w:bCs/>
        </w:rPr>
      </w:pPr>
      <w:r w:rsidRPr="005933E0">
        <w:t>V dosavadní části první, čl. I bodě 14 se na konci textu upravovaného písmena f) doplňují slova „a na daňově podporované pojištění dlouhodobé péče, jehož je pojistníkem“.</w:t>
      </w:r>
    </w:p>
    <w:p w:rsidR="00F6300E" w:rsidRPr="005933E0" w:rsidRDefault="00F6300E" w:rsidP="005933E0">
      <w:pPr>
        <w:pStyle w:val="Novelizanbod"/>
        <w:keepNext w:val="0"/>
        <w:keepLines w:val="0"/>
        <w:numPr>
          <w:ilvl w:val="0"/>
          <w:numId w:val="5"/>
        </w:numPr>
        <w:spacing w:before="240"/>
        <w:ind w:left="567" w:hanging="567"/>
      </w:pPr>
      <w:r w:rsidRPr="005933E0">
        <w:t>V dosavadní části první, čl. I dosavadní bod 16 zní:</w:t>
      </w:r>
    </w:p>
    <w:p w:rsidR="00F6300E" w:rsidRPr="005933E0" w:rsidRDefault="00F6300E" w:rsidP="00F6300E">
      <w:r w:rsidRPr="005933E0">
        <w:t>„16. V § 38k odst. 5 se písmeno g) zrušuje.</w:t>
      </w:r>
    </w:p>
    <w:p w:rsidR="00F6300E" w:rsidRPr="005933E0" w:rsidRDefault="00F6300E" w:rsidP="00F6300E">
      <w:r w:rsidRPr="005933E0">
        <w:t>Dosavadní písmeno h) se označuje jako písmeno g).“.</w:t>
      </w:r>
    </w:p>
    <w:p w:rsidR="00F6300E" w:rsidRPr="005933E0" w:rsidRDefault="00F6300E" w:rsidP="005933E0">
      <w:pPr>
        <w:pStyle w:val="Odstavecseseznamem"/>
        <w:widowControl w:val="0"/>
        <w:numPr>
          <w:ilvl w:val="0"/>
          <w:numId w:val="5"/>
        </w:numPr>
        <w:spacing w:before="240" w:after="120"/>
        <w:ind w:left="567" w:hanging="567"/>
        <w:contextualSpacing w:val="0"/>
        <w:jc w:val="both"/>
        <w:rPr>
          <w:rFonts w:eastAsia="Calibri"/>
          <w:bCs/>
        </w:rPr>
      </w:pPr>
      <w:r w:rsidRPr="005933E0">
        <w:t>V dosavadní části první, čl. I bod 16 zní:</w:t>
      </w:r>
    </w:p>
    <w:p w:rsidR="00F6300E" w:rsidRPr="00140281" w:rsidRDefault="00F6300E" w:rsidP="00F6300E">
      <w:r w:rsidRPr="00140281">
        <w:t>„17.</w:t>
      </w:r>
      <w:r w:rsidRPr="00140281">
        <w:tab/>
        <w:t>V § 38l odst. 1 se na konci odstavce 1 tečka nahrazuje čárkou a doplňují se písmena j) a k), která znějí:</w:t>
      </w:r>
    </w:p>
    <w:p w:rsidR="00F6300E" w:rsidRPr="00140281" w:rsidRDefault="00F6300E" w:rsidP="00F6300E">
      <w:pPr>
        <w:pStyle w:val="Novelizanbod"/>
        <w:keepNext w:val="0"/>
        <w:keepLines w:val="0"/>
        <w:widowControl w:val="0"/>
        <w:tabs>
          <w:tab w:val="clear" w:pos="851"/>
        </w:tabs>
        <w:spacing w:before="120" w:after="0"/>
        <w:ind w:left="284" w:hanging="284"/>
        <w:rPr>
          <w:szCs w:val="24"/>
        </w:rPr>
      </w:pPr>
      <w:r w:rsidRPr="00140281">
        <w:rPr>
          <w:szCs w:val="24"/>
        </w:rPr>
        <w:t xml:space="preserve"> „j) smlouvou o dlouhodobém investičním produktu a každoročně potvrzením osoby, která tento produkt poskytuje, o majetku připsaném poplatníkem ve prospěch tohoto produktu v uplynulém zdaňovacím období,</w:t>
      </w:r>
    </w:p>
    <w:p w:rsidR="00F6300E" w:rsidRPr="00B7158A" w:rsidRDefault="00F6300E" w:rsidP="00F6300E">
      <w:pPr>
        <w:pStyle w:val="Novelizanbod"/>
        <w:keepNext w:val="0"/>
        <w:keepLines w:val="0"/>
        <w:widowControl w:val="0"/>
        <w:tabs>
          <w:tab w:val="clear" w:pos="851"/>
        </w:tabs>
        <w:spacing w:before="0" w:after="0"/>
        <w:ind w:left="284" w:hanging="284"/>
        <w:rPr>
          <w:szCs w:val="24"/>
        </w:rPr>
      </w:pPr>
      <w:r w:rsidRPr="00B7158A">
        <w:rPr>
          <w:szCs w:val="24"/>
        </w:rPr>
        <w:t xml:space="preserve">k) </w:t>
      </w:r>
      <w:r w:rsidRPr="00B7158A">
        <w:rPr>
          <w:szCs w:val="24"/>
        </w:rPr>
        <w:tab/>
        <w:t>smlouvou o pojištění dlouhodobé péče nebo pojistkou a každoročně potvrzením pojistitele o pojistném zaplaceném poplatníkem na pojištění dlouhodobé péče, jehož je pojistníkem, v uplynulém zdaňovacím období nebo o zaplacené poměrné části jednorázového pojistného připadajícího na uplynulé zdaňovací období.”.“.</w:t>
      </w:r>
    </w:p>
    <w:p w:rsidR="00F6300E" w:rsidRPr="005933E0" w:rsidRDefault="00F6300E" w:rsidP="005933E0">
      <w:pPr>
        <w:pStyle w:val="Novelizanbod"/>
        <w:numPr>
          <w:ilvl w:val="0"/>
          <w:numId w:val="5"/>
        </w:numPr>
        <w:spacing w:before="240"/>
        <w:ind w:left="425" w:hanging="425"/>
      </w:pPr>
      <w:r w:rsidRPr="005933E0">
        <w:t>V dosavadní části první, čl. I se dosavadní bod 18 zrušuje.</w:t>
      </w:r>
    </w:p>
    <w:p w:rsidR="00F6300E" w:rsidRPr="005933E0" w:rsidRDefault="00F6300E" w:rsidP="00F6300E">
      <w:r w:rsidRPr="005933E0">
        <w:t>Dosavadní bod 19 se označuje jako bod 17.</w:t>
      </w:r>
    </w:p>
    <w:p w:rsidR="00F6300E" w:rsidRPr="005933E0" w:rsidRDefault="00F6300E" w:rsidP="005933E0">
      <w:pPr>
        <w:pStyle w:val="Novelizanbod"/>
        <w:numPr>
          <w:ilvl w:val="0"/>
          <w:numId w:val="5"/>
        </w:numPr>
        <w:spacing w:before="240"/>
        <w:ind w:left="425" w:hanging="425"/>
      </w:pPr>
      <w:r w:rsidRPr="005933E0">
        <w:t>V dosavadní části první, čl. II dosavadní body 2 a 3 zní:</w:t>
      </w:r>
    </w:p>
    <w:p w:rsidR="00F6300E" w:rsidRPr="005933E0" w:rsidRDefault="00F6300E" w:rsidP="00F6300E">
      <w:pPr>
        <w:pStyle w:val="Novelizanbod"/>
        <w:keepNext w:val="0"/>
        <w:keepLines w:val="0"/>
        <w:widowControl w:val="0"/>
        <w:tabs>
          <w:tab w:val="clear" w:pos="851"/>
          <w:tab w:val="num" w:pos="709"/>
        </w:tabs>
        <w:spacing w:before="120"/>
        <w:ind w:left="567" w:hanging="567"/>
        <w:rPr>
          <w:szCs w:val="24"/>
        </w:rPr>
      </w:pPr>
      <w:r w:rsidRPr="005933E0">
        <w:t>„2.</w:t>
      </w:r>
      <w:r w:rsidRPr="005933E0">
        <w:tab/>
      </w:r>
      <w:r w:rsidRPr="005933E0">
        <w:rPr>
          <w:szCs w:val="24"/>
        </w:rPr>
        <w:t>Na vyplacení prostředků účastníka důchodového spoření při ukončení důchodového spoření podle zákona č. 376/2015 Sb., o ukončení důchodového spoření, ve znění zákona č. 183/2017 Sb., se použije § 4 odst. 1 zákona č. 586/1992 Sb., ve znění účinném přede dnem nabytí účinnosti tohoto zákona.</w:t>
      </w:r>
    </w:p>
    <w:p w:rsidR="00F6300E" w:rsidRPr="005933E0" w:rsidRDefault="00F6300E" w:rsidP="00F6300E">
      <w:pPr>
        <w:pStyle w:val="Novelizanbod"/>
        <w:keepNext w:val="0"/>
        <w:keepLines w:val="0"/>
        <w:widowControl w:val="0"/>
        <w:tabs>
          <w:tab w:val="clear" w:pos="851"/>
          <w:tab w:val="num" w:pos="709"/>
        </w:tabs>
        <w:spacing w:before="120"/>
        <w:ind w:left="567" w:hanging="567"/>
        <w:rPr>
          <w:szCs w:val="24"/>
        </w:rPr>
      </w:pPr>
      <w:r w:rsidRPr="005933E0">
        <w:rPr>
          <w:szCs w:val="24"/>
        </w:rPr>
        <w:t xml:space="preserve">3. </w:t>
      </w:r>
      <w:r w:rsidRPr="005933E0">
        <w:rPr>
          <w:szCs w:val="24"/>
        </w:rPr>
        <w:tab/>
        <w:t>Na penzijní připojištění se státním příspěvkem podle zákona č. 42/1994 Sb., o penzijním připojištění se státním příspěvkem</w:t>
      </w:r>
      <w:r w:rsidRPr="005933E0">
        <w:t xml:space="preserve"> </w:t>
      </w:r>
      <w:r w:rsidRPr="005933E0">
        <w:rPr>
          <w:szCs w:val="24"/>
        </w:rPr>
        <w:t>a o změnách některých zákonů souvisejících s jeho zavedením, ve znění pozdějších předpisů, doplňkové penzijní spoření podle zákona č. 427/2011 Sb., o doplňkovém penzijním spoření, ve znění pozdějších předpisů, penzijní pojištění a soukromé životní pojištění vzniklá přede dnem nabytí účinnosti tohoto zákona se</w:t>
      </w:r>
    </w:p>
    <w:p w:rsidR="00F6300E" w:rsidRPr="005933E0" w:rsidRDefault="00F6300E" w:rsidP="00F6300E">
      <w:pPr>
        <w:pStyle w:val="Novelizanbod"/>
        <w:keepNext w:val="0"/>
        <w:keepLines w:val="0"/>
        <w:widowControl w:val="0"/>
        <w:spacing w:before="120"/>
        <w:ind w:left="851" w:hanging="284"/>
        <w:rPr>
          <w:szCs w:val="24"/>
        </w:rPr>
      </w:pPr>
      <w:r w:rsidRPr="005933E0">
        <w:rPr>
          <w:szCs w:val="24"/>
        </w:rPr>
        <w:t>a)</w:t>
      </w:r>
      <w:r w:rsidRPr="005933E0">
        <w:rPr>
          <w:szCs w:val="24"/>
        </w:rPr>
        <w:tab/>
        <w:t>použijí § 6 odst. 9, § 6 odst. 14, § 8 odst. 1 písm. e) a f), § 8 odst. 6, 7 a 9, § 15 odst. 5 a 6 s výjimkou maximálních částek, které lze odečíst od základu daně, § 36 odst. 2 písm. k) a o) a § 38k odst. 5 písm. f) a g) zákona č. 586/1992 Sb., ve znění účinném přede dnem nabytí účinnosti tohoto zákona, a</w:t>
      </w:r>
    </w:p>
    <w:p w:rsidR="00F6300E" w:rsidRPr="005933E0" w:rsidRDefault="00F6300E" w:rsidP="00F6300E">
      <w:pPr>
        <w:pStyle w:val="Novelizanbod"/>
        <w:keepNext w:val="0"/>
        <w:keepLines w:val="0"/>
        <w:widowControl w:val="0"/>
        <w:spacing w:before="120"/>
        <w:ind w:left="851" w:hanging="284"/>
        <w:rPr>
          <w:szCs w:val="24"/>
        </w:rPr>
      </w:pPr>
      <w:r w:rsidRPr="005933E0">
        <w:rPr>
          <w:szCs w:val="24"/>
        </w:rPr>
        <w:lastRenderedPageBreak/>
        <w:t>b)</w:t>
      </w:r>
      <w:r w:rsidRPr="005933E0">
        <w:rPr>
          <w:szCs w:val="24"/>
        </w:rPr>
        <w:tab/>
        <w:t>nepoužijí § 8 odst. 8, § 15a a 15b zákona č. 586/1992 Sb., ve znění účinném ode dne nabytí účinnosti tohoto zákona.“.</w:t>
      </w:r>
    </w:p>
    <w:p w:rsidR="00F6300E" w:rsidRPr="005933E0" w:rsidRDefault="00F6300E" w:rsidP="005933E0">
      <w:pPr>
        <w:pStyle w:val="Novelizanbod"/>
        <w:numPr>
          <w:ilvl w:val="0"/>
          <w:numId w:val="5"/>
        </w:numPr>
        <w:spacing w:before="240"/>
        <w:ind w:left="425" w:hanging="425"/>
      </w:pPr>
      <w:r w:rsidRPr="005933E0">
        <w:t>V dosavadní části první, čl. II dosavadní bod 5 zní:</w:t>
      </w:r>
    </w:p>
    <w:p w:rsidR="00F6300E" w:rsidRPr="005933E0" w:rsidRDefault="00F6300E" w:rsidP="00F6300E">
      <w:pPr>
        <w:pStyle w:val="Novelizanbod"/>
        <w:keepNext w:val="0"/>
        <w:keepLines w:val="0"/>
        <w:widowControl w:val="0"/>
        <w:tabs>
          <w:tab w:val="clear" w:pos="851"/>
          <w:tab w:val="num" w:pos="709"/>
        </w:tabs>
        <w:spacing w:before="120"/>
        <w:ind w:left="567" w:hanging="567"/>
      </w:pPr>
      <w:r w:rsidRPr="005933E0">
        <w:t>„5.</w:t>
      </w:r>
      <w:r w:rsidRPr="005933E0">
        <w:tab/>
      </w:r>
      <w:r w:rsidRPr="005933E0">
        <w:rPr>
          <w:szCs w:val="24"/>
        </w:rPr>
        <w:t>Nejvyšší částka, kterou lze osvobodit od daně podle § 6 odst. 9 zákona č. 586/1992 Sb., ve znění účinném ode dne nabytí účinnosti tohoto zákona, se snižuje o úhrn částek, které jsou za dané zdaňovací období osvobozeny od daně podle § 6 odst. 9 zákona č. 586/1992 Sb., ve znění účinném přede dnem nabytí účinnosti tohoto zákona.“.</w:t>
      </w:r>
    </w:p>
    <w:p w:rsidR="00F6300E" w:rsidRPr="005933E0" w:rsidRDefault="00F6300E" w:rsidP="005933E0">
      <w:pPr>
        <w:pStyle w:val="Odstavecseseznamem"/>
        <w:numPr>
          <w:ilvl w:val="0"/>
          <w:numId w:val="5"/>
        </w:numPr>
        <w:spacing w:before="240" w:line="360" w:lineRule="auto"/>
        <w:ind w:left="567" w:hanging="567"/>
        <w:contextualSpacing w:val="0"/>
        <w:jc w:val="both"/>
      </w:pPr>
      <w:r w:rsidRPr="005933E0">
        <w:t>V Části deváté, Čl. XII (Změna zákona o doplňkovém penzijním spoření) se za bod 19. vkládá nový bod 20., který zní:</w:t>
      </w:r>
    </w:p>
    <w:p w:rsidR="00F6300E" w:rsidRPr="005933E0" w:rsidRDefault="00F6300E" w:rsidP="00F6300E">
      <w:pPr>
        <w:keepNext/>
        <w:widowControl w:val="0"/>
        <w:ind w:left="1134" w:hanging="1134"/>
        <w:rPr>
          <w:rFonts w:eastAsiaTheme="minorHAnsi"/>
        </w:rPr>
      </w:pPr>
      <w:r w:rsidRPr="005933E0">
        <w:t>„</w:t>
      </w:r>
      <w:r w:rsidRPr="005933E0">
        <w:rPr>
          <w:b/>
          <w:bCs/>
        </w:rPr>
        <w:t>20.</w:t>
      </w:r>
      <w:r w:rsidRPr="005933E0">
        <w:t xml:space="preserve"> </w:t>
      </w:r>
      <w:r w:rsidRPr="005933E0">
        <w:rPr>
          <w:rFonts w:eastAsiaTheme="minorHAnsi"/>
        </w:rPr>
        <w:t xml:space="preserve">V § 125 odst. 8 se slova „výpis na“ nahrazují slovy „výpis v elektronické podobě na elektronickou“. </w:t>
      </w:r>
    </w:p>
    <w:p w:rsidR="00F6300E" w:rsidRPr="005933E0" w:rsidRDefault="00F6300E" w:rsidP="00F6300E">
      <w:pPr>
        <w:pStyle w:val="Odstavecseseznamem"/>
        <w:spacing w:line="360" w:lineRule="auto"/>
        <w:ind w:left="1127" w:hanging="1134"/>
      </w:pPr>
    </w:p>
    <w:p w:rsidR="00F6300E" w:rsidRPr="005933E0" w:rsidRDefault="00F6300E" w:rsidP="00F6300E">
      <w:pPr>
        <w:pStyle w:val="Odstavecseseznamem"/>
        <w:spacing w:after="240" w:line="360" w:lineRule="auto"/>
        <w:ind w:left="1128" w:hanging="1134"/>
        <w:contextualSpacing w:val="0"/>
      </w:pPr>
      <w:r w:rsidRPr="005933E0">
        <w:t>Dosavadní body 20. až 28. se označují jako body 21. až 29.</w:t>
      </w:r>
    </w:p>
    <w:p w:rsidR="00F6300E" w:rsidRPr="005933E0" w:rsidRDefault="00F6300E" w:rsidP="005933E0">
      <w:pPr>
        <w:pStyle w:val="Odstavecseseznamem"/>
        <w:numPr>
          <w:ilvl w:val="0"/>
          <w:numId w:val="5"/>
        </w:numPr>
        <w:spacing w:before="240" w:after="240" w:line="20" w:lineRule="atLeast"/>
        <w:ind w:left="567" w:hanging="567"/>
        <w:contextualSpacing w:val="0"/>
        <w:jc w:val="both"/>
        <w:rPr>
          <w:rFonts w:eastAsia="Calibri"/>
          <w:noProof w:val="0"/>
          <w:lang w:eastAsia="en-US"/>
        </w:rPr>
      </w:pPr>
      <w:r w:rsidRPr="005933E0">
        <w:rPr>
          <w:rFonts w:eastAsia="Calibri"/>
          <w:noProof w:val="0"/>
          <w:lang w:eastAsia="en-US"/>
        </w:rPr>
        <w:t>V části desáté čl. XIV se za bod 2 vkládají nové body 3 až 5, které zní:</w:t>
      </w:r>
    </w:p>
    <w:p w:rsidR="00F6300E" w:rsidRPr="005933E0" w:rsidRDefault="00F6300E" w:rsidP="00F6300E">
      <w:pPr>
        <w:spacing w:after="240" w:line="20" w:lineRule="atLeast"/>
        <w:ind w:left="567" w:hanging="567"/>
        <w:jc w:val="both"/>
        <w:rPr>
          <w:rFonts w:cstheme="minorHAnsi"/>
        </w:rPr>
      </w:pPr>
      <w:r w:rsidRPr="005933E0">
        <w:rPr>
          <w:rFonts w:cstheme="minorHAnsi"/>
        </w:rPr>
        <w:t>„3.</w:t>
      </w:r>
      <w:r w:rsidRPr="005933E0">
        <w:rPr>
          <w:rFonts w:cstheme="minorHAnsi"/>
        </w:rPr>
        <w:tab/>
        <w:t>V § 84 odst. 2 se ve větě třetí za slova „přiměřeným dané situaci,“ vkládají slova „včetně možnosti využití automatizovaných modelů, a“.</w:t>
      </w:r>
    </w:p>
    <w:p w:rsidR="00F6300E" w:rsidRPr="005933E0" w:rsidRDefault="00F6300E" w:rsidP="00F6300E">
      <w:pPr>
        <w:spacing w:after="240" w:line="20" w:lineRule="atLeast"/>
        <w:ind w:left="567" w:hanging="567"/>
        <w:jc w:val="both"/>
        <w:rPr>
          <w:rFonts w:cstheme="minorHAnsi"/>
        </w:rPr>
      </w:pPr>
      <w:r w:rsidRPr="005933E0">
        <w:rPr>
          <w:rFonts w:cstheme="minorHAnsi"/>
        </w:rPr>
        <w:t>4.</w:t>
      </w:r>
      <w:r w:rsidRPr="005933E0">
        <w:rPr>
          <w:rFonts w:cstheme="minorHAnsi"/>
        </w:rPr>
        <w:tab/>
        <w:t>V § 86 odst. 1 se věta první nahrazuje větou „Poskytovatel před uzavřením smlouvy o spotřebitelském úvěru nebo změnou závazku z takové smlouvy spočívající ve významném navýšení celkové výše spotřebitelského úvěru důkladně posoudí úvěruschopnost spotřebitele na základě informací nezbytných, spolehlivých, dostatečných a přiměřených k povaze, délce, výši a rizikovosti úvěru pro spotřebitele, získaných z relevantních vnitřních nebo vnějších zdrojů, včetně spotřebitele, a pokud je to nezbytné, z databáze umožňující posouzení úvěruschopnosti spotřebitele.“.</w:t>
      </w:r>
    </w:p>
    <w:p w:rsidR="00F6300E" w:rsidRPr="005933E0" w:rsidRDefault="00F6300E" w:rsidP="00F6300E">
      <w:pPr>
        <w:spacing w:after="240" w:line="20" w:lineRule="atLeast"/>
        <w:ind w:left="567" w:hanging="567"/>
        <w:jc w:val="both"/>
        <w:rPr>
          <w:rFonts w:cstheme="minorHAnsi"/>
        </w:rPr>
      </w:pPr>
      <w:r w:rsidRPr="005933E0">
        <w:rPr>
          <w:rFonts w:cstheme="minorHAnsi"/>
        </w:rPr>
        <w:t>5.</w:t>
      </w:r>
      <w:r w:rsidRPr="005933E0">
        <w:rPr>
          <w:rFonts w:cstheme="minorHAnsi"/>
        </w:rPr>
        <w:tab/>
        <w:t>V § 86 odst. 2 se věta první nahrazuje větou „Poskytovatel při posouzení úvěruschopnosti spotřebitele posuzuje schopnost spotřebitele plnit povinnosti sjednané ve smlouvě, zejména splácet sjednané splátky spotřebitelského úvěru, a to na základě porovnání příjmů a výdajů a dalších údajů o finanční a ekonomické situaci spotřebitele, jako jsou údaje o jeho majetku a závazcích a o způsobu plnění dosavadních dluhů.“.“</w:t>
      </w:r>
    </w:p>
    <w:p w:rsidR="00F6300E" w:rsidRPr="005933E0" w:rsidRDefault="00F6300E" w:rsidP="00F6300E">
      <w:pPr>
        <w:spacing w:after="240" w:line="20" w:lineRule="atLeast"/>
        <w:jc w:val="both"/>
        <w:rPr>
          <w:rFonts w:eastAsia="Calibri"/>
          <w:noProof w:val="0"/>
          <w:lang w:eastAsia="en-US"/>
        </w:rPr>
      </w:pPr>
      <w:r w:rsidRPr="005933E0">
        <w:rPr>
          <w:rFonts w:eastAsia="Calibri"/>
          <w:noProof w:val="0"/>
          <w:lang w:eastAsia="en-US"/>
        </w:rPr>
        <w:t>Dosavadní body 3 až 14 se označují jako body 6 až 17.</w:t>
      </w:r>
    </w:p>
    <w:p w:rsidR="00F6300E" w:rsidRPr="005933E0" w:rsidRDefault="00F6300E" w:rsidP="005933E0">
      <w:pPr>
        <w:pStyle w:val="Odstavecseseznamem"/>
        <w:numPr>
          <w:ilvl w:val="0"/>
          <w:numId w:val="5"/>
        </w:numPr>
        <w:spacing w:before="240" w:after="240" w:line="20" w:lineRule="atLeast"/>
        <w:ind w:left="567" w:hanging="567"/>
        <w:contextualSpacing w:val="0"/>
        <w:jc w:val="both"/>
        <w:rPr>
          <w:rFonts w:eastAsia="Calibri"/>
          <w:noProof w:val="0"/>
          <w:lang w:eastAsia="en-US"/>
        </w:rPr>
      </w:pPr>
      <w:r w:rsidRPr="005933E0">
        <w:rPr>
          <w:rFonts w:eastAsia="Calibri"/>
          <w:noProof w:val="0"/>
          <w:lang w:eastAsia="en-US"/>
        </w:rPr>
        <w:t>V části desáté čl. XV bodě 1 se slova „10 a 13“ nahrazují slovy „13 a 16“.</w:t>
      </w:r>
    </w:p>
    <w:p w:rsidR="00F6300E" w:rsidRPr="00B7158A" w:rsidRDefault="00F6300E" w:rsidP="005933E0">
      <w:pPr>
        <w:pStyle w:val="Odstavecseseznamem"/>
        <w:numPr>
          <w:ilvl w:val="0"/>
          <w:numId w:val="5"/>
        </w:numPr>
        <w:spacing w:before="240" w:after="240" w:line="20" w:lineRule="atLeast"/>
        <w:ind w:left="567" w:hanging="567"/>
        <w:contextualSpacing w:val="0"/>
        <w:jc w:val="both"/>
        <w:rPr>
          <w:rFonts w:eastAsia="Calibri"/>
          <w:noProof w:val="0"/>
          <w:lang w:eastAsia="en-US"/>
        </w:rPr>
      </w:pPr>
      <w:r w:rsidRPr="00B7158A">
        <w:rPr>
          <w:rFonts w:eastAsia="Calibri"/>
          <w:noProof w:val="0"/>
          <w:lang w:eastAsia="en-US"/>
        </w:rPr>
        <w:t>V části desáté čl. XV bod 2 zní:</w:t>
      </w:r>
    </w:p>
    <w:p w:rsidR="00F6300E" w:rsidRPr="00B7158A" w:rsidRDefault="00F6300E" w:rsidP="00F6300E">
      <w:pPr>
        <w:widowControl w:val="0"/>
        <w:spacing w:before="120" w:after="120"/>
        <w:ind w:left="567" w:hanging="567"/>
        <w:jc w:val="both"/>
        <w:rPr>
          <w:noProof w:val="0"/>
          <w:szCs w:val="20"/>
        </w:rPr>
      </w:pPr>
      <w:r w:rsidRPr="00B7158A">
        <w:rPr>
          <w:rFonts w:eastAsia="Calibri"/>
          <w:noProof w:val="0"/>
          <w:lang w:eastAsia="en-US"/>
        </w:rPr>
        <w:t>„2.</w:t>
      </w:r>
      <w:r w:rsidRPr="00B7158A">
        <w:rPr>
          <w:noProof w:val="0"/>
          <w:szCs w:val="20"/>
        </w:rPr>
        <w:tab/>
        <w:t>Ustanovení zákona č. 257/2016 Sb., ve znění účinném ode dne nabytí účinnosti čl. XIV bodů 1 až 9, 11, 12 a 14, upravující předčasné splacení spotřebitelského úvěru na bydlení se použijí i na spotřebitelský úvěr na bydlení s pevnou zápůjční úrokovou sazbou sjednaný přede dnem nabytí účinnosti čl. XIV bodů 1 až 9, 11, 12 a 14,</w:t>
      </w:r>
      <w:r w:rsidRPr="00B7158A">
        <w:rPr>
          <w:rFonts w:eastAsia="Calibri"/>
          <w:noProof w:val="0"/>
          <w:lang w:eastAsia="en-US"/>
        </w:rPr>
        <w:t xml:space="preserve"> a to ode dne, kdy po dni nabytí účinnosti čl. XIV bodů 1 až 9, 11, 12 a 14 započne běžet nové období, pro které je stanovena pevná zápůjční úroková sazba</w:t>
      </w:r>
      <w:r w:rsidRPr="00B7158A">
        <w:rPr>
          <w:noProof w:val="0"/>
          <w:szCs w:val="20"/>
        </w:rPr>
        <w:t>.“.</w:t>
      </w:r>
    </w:p>
    <w:p w:rsidR="00F6300E" w:rsidRPr="00B7158A" w:rsidRDefault="00F6300E" w:rsidP="005933E0">
      <w:pPr>
        <w:pStyle w:val="Odstavecseseznamem"/>
        <w:numPr>
          <w:ilvl w:val="0"/>
          <w:numId w:val="5"/>
        </w:numPr>
        <w:spacing w:before="240" w:after="240" w:line="20" w:lineRule="atLeast"/>
        <w:ind w:left="567" w:hanging="567"/>
        <w:contextualSpacing w:val="0"/>
        <w:jc w:val="both"/>
        <w:rPr>
          <w:rFonts w:eastAsia="Calibri"/>
          <w:noProof w:val="0"/>
          <w:lang w:eastAsia="en-US"/>
        </w:rPr>
      </w:pPr>
      <w:r w:rsidRPr="00B7158A">
        <w:rPr>
          <w:rFonts w:eastAsia="Calibri"/>
          <w:noProof w:val="0"/>
          <w:lang w:eastAsia="en-US"/>
        </w:rPr>
        <w:lastRenderedPageBreak/>
        <w:t xml:space="preserve">V části desáté čl. XV </w:t>
      </w:r>
      <w:r w:rsidR="00B7158A" w:rsidRPr="00B7158A">
        <w:rPr>
          <w:rFonts w:eastAsia="Calibri"/>
          <w:noProof w:val="0"/>
          <w:lang w:eastAsia="en-US"/>
        </w:rPr>
        <w:t xml:space="preserve">v upraveném </w:t>
      </w:r>
      <w:r w:rsidRPr="00B7158A">
        <w:rPr>
          <w:rFonts w:eastAsia="Calibri"/>
          <w:noProof w:val="0"/>
          <w:lang w:eastAsia="en-US"/>
        </w:rPr>
        <w:t>bodě 2 se slova „1 až 9, 11, 12 a 14“ ve všech výskytech nahrazují slovy „1, 2, 6 až 12, 14, 15 a 17“.</w:t>
      </w:r>
    </w:p>
    <w:p w:rsidR="00F6300E" w:rsidRPr="005933E0" w:rsidRDefault="00F6300E" w:rsidP="005933E0">
      <w:pPr>
        <w:pStyle w:val="Odstavecseseznamem"/>
        <w:numPr>
          <w:ilvl w:val="0"/>
          <w:numId w:val="5"/>
        </w:numPr>
        <w:spacing w:before="240" w:after="240" w:line="20" w:lineRule="atLeast"/>
        <w:ind w:left="567" w:hanging="567"/>
        <w:contextualSpacing w:val="0"/>
        <w:jc w:val="both"/>
        <w:rPr>
          <w:rFonts w:eastAsia="Calibri"/>
          <w:noProof w:val="0"/>
          <w:lang w:eastAsia="en-US"/>
        </w:rPr>
      </w:pPr>
      <w:r w:rsidRPr="005933E0">
        <w:rPr>
          <w:rFonts w:eastAsia="Calibri"/>
          <w:noProof w:val="0"/>
          <w:lang w:eastAsia="en-US"/>
        </w:rPr>
        <w:t>V části jedenácté čl. XVI písmeni a) se slova „10 a 13“ nahrazují slovy „13 a 16“.</w:t>
      </w:r>
    </w:p>
    <w:p w:rsidR="00F6300E" w:rsidRPr="005933E0" w:rsidRDefault="00F6300E" w:rsidP="003D4BCF">
      <w:pPr>
        <w:pStyle w:val="Odstavecseseznamem"/>
        <w:numPr>
          <w:ilvl w:val="0"/>
          <w:numId w:val="5"/>
        </w:numPr>
        <w:spacing w:before="240" w:after="400" w:line="20" w:lineRule="atLeast"/>
        <w:ind w:left="567" w:hanging="567"/>
        <w:contextualSpacing w:val="0"/>
        <w:jc w:val="both"/>
        <w:rPr>
          <w:rFonts w:eastAsia="Calibri"/>
          <w:noProof w:val="0"/>
          <w:lang w:eastAsia="en-US"/>
        </w:rPr>
      </w:pPr>
      <w:r w:rsidRPr="005933E0">
        <w:rPr>
          <w:rFonts w:eastAsia="Calibri"/>
          <w:noProof w:val="0"/>
          <w:lang w:eastAsia="en-US"/>
        </w:rPr>
        <w:t>V části jedenácté čl. XVI písmeni b) se slova „1 až 9, 11, 12 a 14“ nahrazují slovy „1, 2, 6 až 12, 14, 15 a 17“</w:t>
      </w:r>
      <w:r w:rsidR="003D4BCF">
        <w:rPr>
          <w:rFonts w:eastAsia="Calibri"/>
          <w:noProof w:val="0"/>
          <w:lang w:eastAsia="en-US"/>
        </w:rPr>
        <w:t>;</w:t>
      </w:r>
    </w:p>
    <w:p w:rsidR="003D4BCF" w:rsidRDefault="003D4BCF" w:rsidP="003D4BCF">
      <w:pPr>
        <w:pStyle w:val="Odstavecseseznamem"/>
        <w:numPr>
          <w:ilvl w:val="0"/>
          <w:numId w:val="7"/>
        </w:numPr>
        <w:tabs>
          <w:tab w:val="left" w:pos="567"/>
        </w:tabs>
        <w:ind w:left="567" w:hanging="425"/>
        <w:contextualSpacing w:val="0"/>
        <w:jc w:val="both"/>
      </w:pPr>
      <w:r w:rsidRPr="0049141D">
        <w:rPr>
          <w:spacing w:val="70"/>
        </w:rPr>
        <w:t>zmocňuje</w:t>
      </w:r>
      <w:r w:rsidRPr="0049141D">
        <w:t xml:space="preserve"> zpravodaj</w:t>
      </w:r>
      <w:r>
        <w:t>e</w:t>
      </w:r>
      <w:r w:rsidRPr="0049141D">
        <w:t xml:space="preserve"> výboru, aby</w:t>
      </w:r>
      <w:r>
        <w:t xml:space="preserve"> </w:t>
      </w:r>
      <w:r w:rsidRPr="0049141D">
        <w:t>s tímto usnesením seznámil schůzi Poslanecké sněmovny</w:t>
      </w:r>
      <w:r>
        <w:t>.</w:t>
      </w:r>
    </w:p>
    <w:p w:rsidR="003D4BCF" w:rsidRPr="003D4BCF" w:rsidRDefault="003D4BCF" w:rsidP="003D4BCF">
      <w:pPr>
        <w:keepNext/>
        <w:tabs>
          <w:tab w:val="center" w:pos="1701"/>
          <w:tab w:val="center" w:pos="4536"/>
          <w:tab w:val="center" w:pos="7371"/>
        </w:tabs>
        <w:spacing w:before="1200"/>
        <w:ind w:left="567"/>
        <w:rPr>
          <w:rFonts w:eastAsia="Calibri"/>
          <w:color w:val="000000" w:themeColor="text1"/>
        </w:rPr>
      </w:pPr>
      <w:r w:rsidRPr="003D4BCF">
        <w:rPr>
          <w:rFonts w:eastAsia="Calibri"/>
          <w:color w:val="000000" w:themeColor="text1"/>
        </w:rPr>
        <w:t>Lenka  KNECHTOVÁ  v. r.</w:t>
      </w:r>
      <w:r w:rsidRPr="003D4BCF">
        <w:rPr>
          <w:rFonts w:eastAsia="Calibri"/>
          <w:color w:val="000000" w:themeColor="text1"/>
        </w:rPr>
        <w:tab/>
      </w:r>
      <w:r w:rsidRPr="003D4BCF">
        <w:rPr>
          <w:rFonts w:eastAsia="Calibri"/>
          <w:color w:val="000000" w:themeColor="text1"/>
        </w:rPr>
        <w:tab/>
        <w:t xml:space="preserve">Michael  KOHAJDA  </w:t>
      </w:r>
      <w:bookmarkStart w:id="3" w:name="_Hlk133403209"/>
      <w:r w:rsidRPr="003D4BCF">
        <w:rPr>
          <w:rFonts w:eastAsia="Calibri"/>
          <w:color w:val="000000" w:themeColor="text1"/>
        </w:rPr>
        <w:t>v. r.</w:t>
      </w:r>
      <w:bookmarkEnd w:id="3"/>
    </w:p>
    <w:p w:rsidR="003D4BCF" w:rsidRPr="003D4BCF" w:rsidRDefault="003D4BCF" w:rsidP="003D4BCF">
      <w:pPr>
        <w:keepNext/>
        <w:tabs>
          <w:tab w:val="center" w:pos="1418"/>
          <w:tab w:val="center" w:pos="4536"/>
        </w:tabs>
        <w:rPr>
          <w:rFonts w:eastAsia="Calibri"/>
          <w:color w:val="000000" w:themeColor="text1"/>
        </w:rPr>
      </w:pPr>
      <w:r w:rsidRPr="003D4BCF">
        <w:rPr>
          <w:rFonts w:eastAsia="Calibri"/>
          <w:color w:val="000000" w:themeColor="text1"/>
        </w:rPr>
        <w:tab/>
        <w:t xml:space="preserve">      </w:t>
      </w:r>
      <w:r>
        <w:rPr>
          <w:rFonts w:eastAsia="Calibri"/>
          <w:color w:val="000000" w:themeColor="text1"/>
        </w:rPr>
        <w:t xml:space="preserve">     </w:t>
      </w:r>
      <w:r w:rsidRPr="003D4BCF">
        <w:rPr>
          <w:rFonts w:eastAsia="Calibri"/>
          <w:color w:val="000000" w:themeColor="text1"/>
        </w:rPr>
        <w:t xml:space="preserve">  ověřovatelka</w:t>
      </w:r>
      <w:r w:rsidRPr="003D4BCF">
        <w:rPr>
          <w:rFonts w:eastAsia="Calibri"/>
          <w:color w:val="000000" w:themeColor="text1"/>
        </w:rPr>
        <w:tab/>
      </w:r>
      <w:r w:rsidRPr="003D4BCF">
        <w:rPr>
          <w:rFonts w:eastAsia="Calibri"/>
          <w:color w:val="000000" w:themeColor="text1"/>
        </w:rPr>
        <w:tab/>
      </w:r>
      <w:r w:rsidRPr="003D4BCF">
        <w:rPr>
          <w:rFonts w:eastAsia="Calibri"/>
          <w:color w:val="000000" w:themeColor="text1"/>
        </w:rPr>
        <w:tab/>
      </w:r>
      <w:r w:rsidRPr="003D4BCF">
        <w:rPr>
          <w:rFonts w:eastAsia="Calibri"/>
          <w:color w:val="000000" w:themeColor="text1"/>
        </w:rPr>
        <w:tab/>
      </w:r>
      <w:r w:rsidRPr="003D4BCF">
        <w:rPr>
          <w:rFonts w:eastAsia="Calibri"/>
          <w:color w:val="000000" w:themeColor="text1"/>
        </w:rPr>
        <w:t xml:space="preserve"> </w:t>
      </w:r>
      <w:r w:rsidRPr="003D4BCF">
        <w:rPr>
          <w:rFonts w:eastAsia="Calibri"/>
          <w:color w:val="000000" w:themeColor="text1"/>
        </w:rPr>
        <w:t xml:space="preserve">   </w:t>
      </w:r>
      <w:r>
        <w:rPr>
          <w:rFonts w:eastAsia="Calibri"/>
          <w:color w:val="000000" w:themeColor="text1"/>
        </w:rPr>
        <w:t xml:space="preserve">   </w:t>
      </w:r>
      <w:r w:rsidRPr="003D4BCF">
        <w:rPr>
          <w:rFonts w:eastAsia="Calibri"/>
          <w:color w:val="000000" w:themeColor="text1"/>
        </w:rPr>
        <w:t xml:space="preserve"> zpravodaj</w:t>
      </w:r>
    </w:p>
    <w:p w:rsidR="003D4BCF" w:rsidRPr="003D4BCF" w:rsidRDefault="003D4BCF" w:rsidP="003D4BCF">
      <w:pPr>
        <w:tabs>
          <w:tab w:val="center" w:pos="1701"/>
          <w:tab w:val="center" w:pos="4536"/>
          <w:tab w:val="center" w:pos="7371"/>
        </w:tabs>
        <w:spacing w:before="1000"/>
        <w:jc w:val="center"/>
        <w:rPr>
          <w:rFonts w:eastAsia="Calibri"/>
          <w:color w:val="000000" w:themeColor="text1"/>
        </w:rPr>
      </w:pPr>
      <w:r w:rsidRPr="003D4BCF">
        <w:rPr>
          <w:rFonts w:eastAsia="Calibri"/>
          <w:color w:val="000000" w:themeColor="text1"/>
        </w:rPr>
        <w:t xml:space="preserve"> Josef  </w:t>
      </w:r>
      <w:r w:rsidRPr="003D4BCF">
        <w:rPr>
          <w:rFonts w:eastAsia="Calibri"/>
          <w:caps/>
          <w:color w:val="000000" w:themeColor="text1"/>
        </w:rPr>
        <w:t xml:space="preserve">BERNARD  </w:t>
      </w:r>
      <w:r w:rsidRPr="003D4BCF">
        <w:rPr>
          <w:rFonts w:eastAsia="Calibri"/>
          <w:color w:val="000000" w:themeColor="text1"/>
        </w:rPr>
        <w:t xml:space="preserve">v. r.  </w:t>
      </w:r>
    </w:p>
    <w:p w:rsidR="003D4BCF" w:rsidRPr="003D4BCF" w:rsidRDefault="003D4BCF" w:rsidP="003D4BCF">
      <w:pPr>
        <w:tabs>
          <w:tab w:val="center" w:pos="1701"/>
          <w:tab w:val="center" w:pos="4253"/>
          <w:tab w:val="center" w:pos="7371"/>
        </w:tabs>
        <w:rPr>
          <w:rFonts w:eastAsia="Calibri"/>
          <w:color w:val="000000" w:themeColor="text1"/>
        </w:rPr>
      </w:pPr>
      <w:r w:rsidRPr="003D4BCF">
        <w:rPr>
          <w:rFonts w:eastAsia="Calibri"/>
          <w:color w:val="000000" w:themeColor="text1"/>
        </w:rPr>
        <w:tab/>
      </w:r>
      <w:r w:rsidRPr="003D4BCF"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    </w:t>
      </w:r>
      <w:bookmarkStart w:id="4" w:name="_GoBack"/>
      <w:bookmarkEnd w:id="4"/>
      <w:r w:rsidRPr="003D4BCF">
        <w:rPr>
          <w:rFonts w:eastAsia="Calibri"/>
          <w:color w:val="000000" w:themeColor="text1"/>
        </w:rPr>
        <w:t xml:space="preserve">   předseda</w:t>
      </w:r>
    </w:p>
    <w:p w:rsidR="003D4BCF" w:rsidRPr="0073293B" w:rsidRDefault="003D4BCF" w:rsidP="003D4BCF">
      <w:pPr>
        <w:tabs>
          <w:tab w:val="left" w:pos="0"/>
        </w:tabs>
        <w:suppressAutoHyphens/>
        <w:jc w:val="both"/>
        <w:rPr>
          <w:rFonts w:ascii="CG Omega;Arial" w:hAnsi="CG Omega;Arial" w:cs="CG Omega;Arial"/>
          <w:color w:val="000000" w:themeColor="text1"/>
          <w:sz w:val="16"/>
          <w:lang w:eastAsia="zh-CN" w:bidi="hi-IN"/>
        </w:rPr>
      </w:pPr>
    </w:p>
    <w:p w:rsidR="00A21AB6" w:rsidRDefault="00A21AB6"/>
    <w:sectPr w:rsidR="00A21A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72898"/>
    <w:multiLevelType w:val="hybridMultilevel"/>
    <w:tmpl w:val="4A620E8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85E83"/>
    <w:multiLevelType w:val="multilevel"/>
    <w:tmpl w:val="EBDA8F54"/>
    <w:lvl w:ilvl="0">
      <w:start w:val="1"/>
      <w:numFmt w:val="none"/>
      <w:isLgl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(%3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decimal"/>
      <w:isLgl/>
      <w:lvlText w:val="%5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none"/>
      <w:suff w:val="nothing"/>
      <w:lvlText w:val="%6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D6C14BA"/>
    <w:multiLevelType w:val="hybridMultilevel"/>
    <w:tmpl w:val="420E5DAA"/>
    <w:lvl w:ilvl="0" w:tplc="C99612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31105"/>
    <w:multiLevelType w:val="hybridMultilevel"/>
    <w:tmpl w:val="AF501BDA"/>
    <w:lvl w:ilvl="0" w:tplc="0405000F">
      <w:start w:val="1"/>
      <w:numFmt w:val="decimal"/>
      <w:lvlText w:val="%1."/>
      <w:lvlJc w:val="left"/>
      <w:pPr>
        <w:ind w:left="3478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9D658C"/>
    <w:multiLevelType w:val="hybridMultilevel"/>
    <w:tmpl w:val="EA486D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771C3F"/>
    <w:multiLevelType w:val="hybridMultilevel"/>
    <w:tmpl w:val="315A9316"/>
    <w:lvl w:ilvl="0" w:tplc="A4667EF6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44B2656"/>
    <w:multiLevelType w:val="hybridMultilevel"/>
    <w:tmpl w:val="EA486D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00E"/>
    <w:rsid w:val="00140281"/>
    <w:rsid w:val="003D4BCF"/>
    <w:rsid w:val="005933E0"/>
    <w:rsid w:val="006B2A8D"/>
    <w:rsid w:val="00967543"/>
    <w:rsid w:val="00A21AB6"/>
    <w:rsid w:val="00AA5303"/>
    <w:rsid w:val="00B7158A"/>
    <w:rsid w:val="00BB53C9"/>
    <w:rsid w:val="00F63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7C8CD"/>
  <w15:chartTrackingRefBased/>
  <w15:docId w15:val="{45D46274-3658-47CD-AD4C-904B55927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ální"/>
    <w:qFormat/>
    <w:rsid w:val="00F630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List Paragraph (Czech Tourism),Nad,List Paragraph,Odstavec se seznamem1,A-Odrážky1,_Odstavec se seznamem,Odstavec_muj1,Odstavec_muj2,Odstavec_muj3,Nad1,List Paragraph1,Odstavec_muj4,Nad2,List Paragraph2,Odstavec_muj5"/>
    <w:basedOn w:val="Normln"/>
    <w:link w:val="OdstavecseseznamemChar"/>
    <w:uiPriority w:val="34"/>
    <w:qFormat/>
    <w:rsid w:val="00F6300E"/>
    <w:pPr>
      <w:ind w:left="720"/>
      <w:contextualSpacing/>
    </w:pPr>
  </w:style>
  <w:style w:type="paragraph" w:customStyle="1" w:styleId="Novelizanbod">
    <w:name w:val="Novelizační bod"/>
    <w:basedOn w:val="Normln"/>
    <w:next w:val="Normln"/>
    <w:link w:val="NovelizanbodChar"/>
    <w:qFormat/>
    <w:rsid w:val="00F6300E"/>
    <w:pPr>
      <w:keepNext/>
      <w:keepLines/>
      <w:tabs>
        <w:tab w:val="left" w:pos="851"/>
      </w:tabs>
      <w:spacing w:before="480" w:after="120"/>
      <w:jc w:val="both"/>
    </w:pPr>
    <w:rPr>
      <w:noProof w:val="0"/>
      <w:szCs w:val="20"/>
    </w:rPr>
  </w:style>
  <w:style w:type="character" w:customStyle="1" w:styleId="NovelizanbodChar">
    <w:name w:val="Novelizační bod Char"/>
    <w:link w:val="Novelizanbod"/>
    <w:locked/>
    <w:rsid w:val="00F6300E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OdstavecseseznamemChar">
    <w:name w:val="Odstavec se seznamem Char"/>
    <w:aliases w:val="Odstavec_muj Char,List Paragraph (Czech Tourism) Char,Nad Char,List Paragraph Char,Odstavec se seznamem1 Char,A-Odrážky1 Char,_Odstavec se seznamem Char,Odstavec_muj1 Char,Odstavec_muj2 Char,Odstavec_muj3 Char,Nad1 Char"/>
    <w:basedOn w:val="Standardnpsmoodstavce"/>
    <w:link w:val="Odstavecseseznamem"/>
    <w:uiPriority w:val="34"/>
    <w:qFormat/>
    <w:locked/>
    <w:rsid w:val="00F6300E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customStyle="1" w:styleId="Textbodu">
    <w:name w:val="Text bodu"/>
    <w:basedOn w:val="Normln"/>
    <w:rsid w:val="00F6300E"/>
    <w:pPr>
      <w:jc w:val="both"/>
      <w:outlineLvl w:val="8"/>
    </w:pPr>
    <w:rPr>
      <w:noProof w:val="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028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0281"/>
    <w:rPr>
      <w:rFonts w:ascii="Segoe UI" w:eastAsia="Times New Roman" w:hAnsi="Segoe UI" w:cs="Segoe UI"/>
      <w:noProof/>
      <w:sz w:val="18"/>
      <w:szCs w:val="18"/>
      <w:lang w:eastAsia="cs-CZ"/>
    </w:rPr>
  </w:style>
  <w:style w:type="paragraph" w:customStyle="1" w:styleId="PS-hlavika1">
    <w:name w:val="PS-hlavička 1"/>
    <w:basedOn w:val="Normln"/>
    <w:next w:val="Bezmezer"/>
    <w:qFormat/>
    <w:rsid w:val="003D4BCF"/>
    <w:pPr>
      <w:jc w:val="center"/>
    </w:pPr>
    <w:rPr>
      <w:rFonts w:eastAsia="Calibri"/>
      <w:b/>
      <w:i/>
      <w:noProof w:val="0"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3D4BCF"/>
    <w:pPr>
      <w:jc w:val="center"/>
    </w:pPr>
    <w:rPr>
      <w:rFonts w:eastAsia="Calibri"/>
      <w:b/>
      <w:i/>
      <w:caps/>
      <w:noProof w:val="0"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3D4BCF"/>
    <w:pPr>
      <w:spacing w:before="360" w:after="360"/>
      <w:jc w:val="center"/>
    </w:pPr>
    <w:rPr>
      <w:rFonts w:eastAsia="Calibri"/>
      <w:b/>
      <w:i/>
      <w:noProof w:val="0"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3D4BCF"/>
    <w:pPr>
      <w:jc w:val="center"/>
    </w:pPr>
    <w:rPr>
      <w:rFonts w:eastAsia="Calibri"/>
      <w:b/>
      <w:i/>
      <w:caps/>
      <w:noProof w:val="0"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3D4BCF"/>
    <w:pPr>
      <w:pBdr>
        <w:bottom w:val="single" w:sz="4" w:space="12" w:color="auto"/>
      </w:pBdr>
      <w:spacing w:before="240" w:after="400"/>
      <w:jc w:val="center"/>
    </w:pPr>
    <w:rPr>
      <w:rFonts w:eastAsia="Calibri"/>
      <w:noProof w:val="0"/>
      <w:szCs w:val="22"/>
      <w:lang w:eastAsia="en-US"/>
    </w:rPr>
  </w:style>
  <w:style w:type="paragraph" w:customStyle="1" w:styleId="Odsazentlatextu">
    <w:name w:val="Odsazení těla textu"/>
    <w:basedOn w:val="Normln"/>
    <w:rsid w:val="003D4BCF"/>
    <w:pPr>
      <w:tabs>
        <w:tab w:val="left" w:pos="-720"/>
        <w:tab w:val="left" w:pos="709"/>
      </w:tabs>
      <w:suppressAutoHyphens/>
      <w:ind w:left="709" w:hanging="709"/>
    </w:pPr>
    <w:rPr>
      <w:noProof w:val="0"/>
      <w:szCs w:val="20"/>
      <w:lang w:eastAsia="zh-CN" w:bidi="hi-IN"/>
    </w:rPr>
  </w:style>
  <w:style w:type="paragraph" w:styleId="Bezmezer">
    <w:name w:val="No Spacing"/>
    <w:uiPriority w:val="1"/>
    <w:qFormat/>
    <w:rsid w:val="003D4BCF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1483</Words>
  <Characters>8750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10213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Ing. Monika Kantnerová</cp:lastModifiedBy>
  <cp:revision>2</cp:revision>
  <cp:lastPrinted>2023-09-21T10:49:00Z</cp:lastPrinted>
  <dcterms:created xsi:type="dcterms:W3CDTF">2023-09-21T10:51:00Z</dcterms:created>
  <dcterms:modified xsi:type="dcterms:W3CDTF">2023-09-21T10:51:00Z</dcterms:modified>
</cp:coreProperties>
</file>