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E2F" w:rsidRPr="00286F12" w:rsidRDefault="00086E2F" w:rsidP="00086E2F">
      <w:pPr>
        <w:spacing w:before="60"/>
        <w:jc w:val="center"/>
        <w:rPr>
          <w:b/>
        </w:rPr>
      </w:pPr>
    </w:p>
    <w:p w:rsidR="000B6630" w:rsidRPr="008B19A4" w:rsidRDefault="000B6630" w:rsidP="000B6630">
      <w:pPr>
        <w:jc w:val="center"/>
        <w:rPr>
          <w:b/>
          <w:smallCaps/>
          <w:spacing w:val="60"/>
          <w:sz w:val="32"/>
          <w:szCs w:val="32"/>
        </w:rPr>
      </w:pPr>
      <w:r w:rsidRPr="008B19A4">
        <w:rPr>
          <w:b/>
          <w:smallCaps/>
          <w:spacing w:val="60"/>
          <w:sz w:val="32"/>
          <w:szCs w:val="32"/>
        </w:rPr>
        <w:t>Stanovisko Ministerstva dopravy</w:t>
      </w:r>
    </w:p>
    <w:p w:rsidR="000B6630" w:rsidRPr="006E2D73" w:rsidRDefault="000B6630" w:rsidP="000B6630">
      <w:pPr>
        <w:spacing w:before="120"/>
        <w:jc w:val="center"/>
        <w:rPr>
          <w:b/>
          <w:spacing w:val="-3"/>
        </w:rPr>
      </w:pPr>
      <w:r w:rsidRPr="006E2D73">
        <w:rPr>
          <w:b/>
          <w:spacing w:val="-3"/>
        </w:rPr>
        <w:t>k pozměňovacím návrh</w:t>
      </w:r>
      <w:r>
        <w:rPr>
          <w:b/>
          <w:spacing w:val="-3"/>
        </w:rPr>
        <w:t>ům uplatněným</w:t>
      </w:r>
      <w:r w:rsidRPr="006E2D73">
        <w:rPr>
          <w:b/>
          <w:spacing w:val="-3"/>
        </w:rPr>
        <w:t xml:space="preserve"> </w:t>
      </w:r>
    </w:p>
    <w:p w:rsidR="000B6630" w:rsidRPr="00F373A1" w:rsidRDefault="000B6630" w:rsidP="000B6630">
      <w:pPr>
        <w:jc w:val="center"/>
        <w:rPr>
          <w:b/>
          <w:szCs w:val="20"/>
          <w:lang w:eastAsia="ar-SA"/>
        </w:rPr>
      </w:pPr>
      <w:r w:rsidRPr="006E2D73">
        <w:rPr>
          <w:b/>
          <w:spacing w:val="-3"/>
        </w:rPr>
        <w:t>k</w:t>
      </w:r>
      <w:r>
        <w:rPr>
          <w:b/>
          <w:spacing w:val="-3"/>
        </w:rPr>
        <w:t xml:space="preserve"> vládnímu návrhu zákona, </w:t>
      </w:r>
      <w:r w:rsidRPr="00F373A1">
        <w:rPr>
          <w:b/>
          <w:szCs w:val="20"/>
          <w:lang w:eastAsia="ar-SA"/>
        </w:rPr>
        <w:t>kterým se mění zákon č. 114/1995 Sb., o vnitrozemské plavbě, ve znění pozdějších předpisů, a další související zákony</w:t>
      </w:r>
    </w:p>
    <w:p w:rsidR="000B6630" w:rsidRPr="00FC36A7" w:rsidRDefault="000B6630" w:rsidP="000B6630">
      <w:pPr>
        <w:jc w:val="center"/>
        <w:rPr>
          <w:b/>
          <w:lang w:eastAsia="ar-SA"/>
        </w:rPr>
      </w:pPr>
    </w:p>
    <w:p w:rsidR="000B6630" w:rsidRPr="006E2D73" w:rsidRDefault="000B6630" w:rsidP="000B6630">
      <w:pPr>
        <w:spacing w:before="60"/>
        <w:jc w:val="center"/>
      </w:pPr>
      <w:r w:rsidRPr="006E2D73">
        <w:t xml:space="preserve"> (sněmovní tisk č. </w:t>
      </w:r>
      <w:r>
        <w:rPr>
          <w:spacing w:val="-3"/>
        </w:rPr>
        <w:t>206</w:t>
      </w:r>
      <w:r w:rsidRPr="006E2D73">
        <w:t>)</w:t>
      </w:r>
    </w:p>
    <w:p w:rsidR="000B6630" w:rsidRPr="006E2D73" w:rsidRDefault="000B6630" w:rsidP="000B6630">
      <w:pPr>
        <w:spacing w:before="60"/>
        <w:jc w:val="center"/>
        <w:rPr>
          <w:b/>
        </w:rPr>
      </w:pPr>
    </w:p>
    <w:p w:rsidR="000B6630" w:rsidRPr="006E2D73" w:rsidRDefault="000B6630" w:rsidP="000B6630">
      <w:pPr>
        <w:jc w:val="center"/>
        <w:rPr>
          <w:bCs/>
        </w:rPr>
      </w:pPr>
      <w:r>
        <w:rPr>
          <w:b/>
          <w:bCs/>
          <w:i/>
        </w:rPr>
        <w:t>k</w:t>
      </w:r>
      <w:r w:rsidRPr="006E2D73">
        <w:rPr>
          <w:b/>
          <w:bCs/>
          <w:i/>
        </w:rPr>
        <w:t xml:space="preserve"> projednání v hospodářském výboru P</w:t>
      </w:r>
      <w:r>
        <w:rPr>
          <w:b/>
          <w:bCs/>
          <w:i/>
        </w:rPr>
        <w:t>oslanecké sněmovny Parlamentu České republiky</w:t>
      </w:r>
      <w:r w:rsidRPr="006E2D73">
        <w:rPr>
          <w:b/>
          <w:bCs/>
          <w:i/>
        </w:rPr>
        <w:t xml:space="preserve"> dne </w:t>
      </w:r>
      <w:r>
        <w:rPr>
          <w:b/>
          <w:bCs/>
          <w:i/>
        </w:rPr>
        <w:t>1. září 2022</w:t>
      </w:r>
    </w:p>
    <w:p w:rsidR="00617E1C" w:rsidRDefault="00086E2F" w:rsidP="00086E2F">
      <w:pPr>
        <w:jc w:val="center"/>
        <w:rPr>
          <w:b/>
          <w:bCs/>
          <w:i/>
        </w:rPr>
      </w:pPr>
      <w:r>
        <w:rPr>
          <w:b/>
          <w:bCs/>
          <w:i/>
        </w:rPr>
        <w:t> </w:t>
      </w:r>
    </w:p>
    <w:p w:rsidR="00086E2F" w:rsidRDefault="00617E1C" w:rsidP="00086E2F">
      <w:pPr>
        <w:jc w:val="center"/>
      </w:pPr>
      <w:r>
        <w:t xml:space="preserve"> </w:t>
      </w:r>
    </w:p>
    <w:tbl>
      <w:tblPr>
        <w:tblW w:w="140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8"/>
        <w:gridCol w:w="6946"/>
      </w:tblGrid>
      <w:tr w:rsidR="00086E2F" w:rsidTr="004E664C">
        <w:trPr>
          <w:tblHeader/>
        </w:trPr>
        <w:tc>
          <w:tcPr>
            <w:tcW w:w="7088" w:type="dxa"/>
            <w:shd w:val="clear" w:color="auto" w:fill="99CCFF"/>
          </w:tcPr>
          <w:p w:rsidR="00086E2F" w:rsidRPr="007465F6" w:rsidRDefault="00086E2F" w:rsidP="00C37428">
            <w:pPr>
              <w:spacing w:before="120" w:after="120"/>
              <w:rPr>
                <w:b/>
                <w:i/>
              </w:rPr>
            </w:pPr>
          </w:p>
          <w:p w:rsidR="00086E2F" w:rsidRDefault="00086E2F" w:rsidP="00C37428">
            <w:pPr>
              <w:spacing w:before="120" w:after="120"/>
              <w:jc w:val="center"/>
              <w:rPr>
                <w:b/>
                <w:i/>
              </w:rPr>
            </w:pPr>
            <w:r w:rsidRPr="007465F6">
              <w:rPr>
                <w:b/>
                <w:i/>
              </w:rPr>
              <w:t>Pozměňovací návrhy</w:t>
            </w:r>
            <w:r w:rsidRPr="007465F6">
              <w:rPr>
                <w:b/>
              </w:rPr>
              <w:t xml:space="preserve"> </w:t>
            </w:r>
          </w:p>
          <w:p w:rsidR="00086E2F" w:rsidRPr="00DD3D41" w:rsidRDefault="00086E2F" w:rsidP="00C37428">
            <w:pPr>
              <w:spacing w:before="120" w:after="120"/>
              <w:jc w:val="center"/>
              <w:rPr>
                <w:b/>
              </w:rPr>
            </w:pPr>
            <w:r>
              <w:rPr>
                <w:b/>
                <w:i/>
              </w:rPr>
              <w:t>upl</w:t>
            </w:r>
            <w:r w:rsidR="000B6630">
              <w:rPr>
                <w:b/>
                <w:i/>
              </w:rPr>
              <w:t>atněné k sněmovnímu tisku č. 206</w:t>
            </w:r>
          </w:p>
          <w:p w:rsidR="00086E2F" w:rsidRPr="00DD3D41" w:rsidRDefault="00086E2F" w:rsidP="00C37428">
            <w:pPr>
              <w:jc w:val="center"/>
              <w:rPr>
                <w:b/>
              </w:rPr>
            </w:pPr>
          </w:p>
        </w:tc>
        <w:tc>
          <w:tcPr>
            <w:tcW w:w="6946" w:type="dxa"/>
            <w:shd w:val="clear" w:color="auto" w:fill="99CCFF"/>
          </w:tcPr>
          <w:p w:rsidR="00086E2F" w:rsidRPr="007465F6" w:rsidRDefault="00086E2F" w:rsidP="00C37428">
            <w:pPr>
              <w:spacing w:before="120" w:after="120"/>
              <w:jc w:val="center"/>
              <w:rPr>
                <w:b/>
              </w:rPr>
            </w:pPr>
          </w:p>
          <w:p w:rsidR="00086E2F" w:rsidRPr="007465F6" w:rsidRDefault="00086E2F" w:rsidP="00C37428">
            <w:pPr>
              <w:spacing w:before="120" w:after="120"/>
              <w:jc w:val="center"/>
              <w:rPr>
                <w:b/>
                <w:i/>
              </w:rPr>
            </w:pPr>
            <w:r w:rsidRPr="007465F6">
              <w:rPr>
                <w:b/>
                <w:i/>
              </w:rPr>
              <w:t>Stanovisko Ministerstva dopravy</w:t>
            </w:r>
          </w:p>
        </w:tc>
      </w:tr>
      <w:tr w:rsidR="008B3EE4" w:rsidTr="004E664C">
        <w:tc>
          <w:tcPr>
            <w:tcW w:w="14034" w:type="dxa"/>
            <w:gridSpan w:val="2"/>
            <w:shd w:val="clear" w:color="auto" w:fill="BFBFBF" w:themeFill="background1" w:themeFillShade="BF"/>
          </w:tcPr>
          <w:p w:rsidR="002F46EC" w:rsidRPr="002F46EC" w:rsidRDefault="008B3EE4" w:rsidP="005A2DE1">
            <w:pPr>
              <w:pStyle w:val="Default"/>
              <w:spacing w:before="120" w:after="120"/>
              <w:rPr>
                <w:b/>
                <w:bCs/>
                <w:sz w:val="23"/>
                <w:szCs w:val="23"/>
              </w:rPr>
            </w:pPr>
            <w:r w:rsidRPr="002A3E62">
              <w:rPr>
                <w:b/>
              </w:rPr>
              <w:t xml:space="preserve">A. </w:t>
            </w:r>
            <w:r w:rsidR="000B6630">
              <w:rPr>
                <w:b/>
              </w:rPr>
              <w:t>Pozměňovací návrh</w:t>
            </w:r>
            <w:r w:rsidRPr="002F46EC">
              <w:rPr>
                <w:b/>
              </w:rPr>
              <w:t xml:space="preserve"> dle usnesení garančního hospodářského výboru č.</w:t>
            </w:r>
            <w:r w:rsidR="002F46EC" w:rsidRPr="002F46EC">
              <w:rPr>
                <w:b/>
              </w:rPr>
              <w:t xml:space="preserve"> </w:t>
            </w:r>
            <w:r w:rsidR="000B6630">
              <w:rPr>
                <w:b/>
              </w:rPr>
              <w:t>75</w:t>
            </w:r>
            <w:r w:rsidR="000B6630" w:rsidRPr="006F78F8">
              <w:rPr>
                <w:b/>
                <w:bCs/>
              </w:rPr>
              <w:t xml:space="preserve"> </w:t>
            </w:r>
            <w:r w:rsidR="005A2DE1">
              <w:rPr>
                <w:b/>
                <w:bCs/>
              </w:rPr>
              <w:t>ze dne</w:t>
            </w:r>
            <w:r w:rsidR="000B6630" w:rsidRPr="006F78F8">
              <w:rPr>
                <w:b/>
                <w:bCs/>
              </w:rPr>
              <w:t xml:space="preserve"> 24</w:t>
            </w:r>
            <w:r w:rsidR="000B6630">
              <w:rPr>
                <w:b/>
                <w:bCs/>
              </w:rPr>
              <w:t>. června</w:t>
            </w:r>
            <w:r w:rsidR="000B6630" w:rsidRPr="006F78F8">
              <w:rPr>
                <w:b/>
                <w:bCs/>
              </w:rPr>
              <w:t xml:space="preserve"> 2022 (tisk 206</w:t>
            </w:r>
            <w:r w:rsidR="00CA5501">
              <w:rPr>
                <w:b/>
                <w:bCs/>
              </w:rPr>
              <w:t>/3</w:t>
            </w:r>
            <w:r w:rsidR="000B6630">
              <w:rPr>
                <w:b/>
                <w:bCs/>
              </w:rPr>
              <w:t>)</w:t>
            </w:r>
          </w:p>
        </w:tc>
      </w:tr>
      <w:tr w:rsidR="008B3EE4" w:rsidTr="004E664C">
        <w:tc>
          <w:tcPr>
            <w:tcW w:w="7088" w:type="dxa"/>
            <w:shd w:val="clear" w:color="auto" w:fill="FFFFFF" w:themeFill="background1"/>
          </w:tcPr>
          <w:p w:rsidR="000B6630" w:rsidRPr="000B6630" w:rsidRDefault="000B6630" w:rsidP="00F73F4B">
            <w:pPr>
              <w:spacing w:before="120"/>
              <w:jc w:val="both"/>
              <w:rPr>
                <w:bCs/>
              </w:rPr>
            </w:pPr>
            <w:r>
              <w:rPr>
                <w:b/>
                <w:bCs/>
              </w:rPr>
              <w:t>A.</w:t>
            </w:r>
            <w:r w:rsidR="008B3EE4" w:rsidRPr="00CF42B2">
              <w:rPr>
                <w:bCs/>
              </w:rPr>
              <w:t xml:space="preserve">  </w:t>
            </w:r>
            <w:r w:rsidRPr="000B6630">
              <w:rPr>
                <w:bCs/>
              </w:rPr>
              <w:t>V čl. I dosavadním novelizačním bodu 34 v § 43 odst. 2 písmeno p) zní:</w:t>
            </w:r>
          </w:p>
          <w:p w:rsidR="000B6630" w:rsidRPr="000B6630" w:rsidRDefault="000B6630" w:rsidP="000B6630">
            <w:pPr>
              <w:jc w:val="both"/>
              <w:rPr>
                <w:bCs/>
              </w:rPr>
            </w:pPr>
          </w:p>
          <w:p w:rsidR="000B6630" w:rsidRPr="000B6630" w:rsidRDefault="000B6630" w:rsidP="000B6630">
            <w:pPr>
              <w:jc w:val="both"/>
            </w:pPr>
            <w:r w:rsidRPr="000B6630">
              <w:t xml:space="preserve">„p) vykonává </w:t>
            </w:r>
          </w:p>
          <w:p w:rsidR="000B6630" w:rsidRPr="000B6630" w:rsidRDefault="000B6630" w:rsidP="000B6630">
            <w:pPr>
              <w:spacing w:before="120"/>
              <w:jc w:val="both"/>
            </w:pPr>
            <w:r w:rsidRPr="000B6630">
              <w:t>1. funkci člena posádky plavidla, činnost odborníka na přepravu cestujících nebo činnost odborníka na zkapalněný zemní plyn, obsluhuje plovoucí stroj anebo vede malé nebo rekreační plavidlo pod vlivem alkoholu nebo jiné návykové látky</w:t>
            </w:r>
            <w:r w:rsidRPr="000B6630">
              <w:rPr>
                <w:bCs/>
              </w:rPr>
              <w:t xml:space="preserve">; </w:t>
            </w:r>
            <w:r w:rsidRPr="000B6630">
              <w:rPr>
                <w:rFonts w:eastAsia="Calibri"/>
                <w:bCs/>
              </w:rPr>
              <w:t>to neplatí, je-li schopnost k vedení plavidla ovlivněna požitím alkoholu vůdcem malého plavidla bez vlastního strojního pohonu nepodléhajícího evidenci podle tohoto zákona, u něhož je zjištěný obsah alkoholu nižší než 0,5 promile, a toto plavidlo je vedeno na nesledované vodní cestě, účelové vodní cestě, na vodním toku Bečvy od Přerova po ústí vodního toku Moravy nebo na vodním toku Moravy od ústí vodního toku Bečvy po říční km 196,0 (jez Strž),</w:t>
            </w:r>
            <w:r w:rsidRPr="000B6630">
              <w:t xml:space="preserve"> nebo</w:t>
            </w:r>
          </w:p>
          <w:p w:rsidR="008B3EE4" w:rsidRPr="000B6630" w:rsidRDefault="000B6630" w:rsidP="000B6630">
            <w:pPr>
              <w:pStyle w:val="Odstavecseseznamem"/>
              <w:spacing w:before="120" w:after="120" w:line="240" w:lineRule="auto"/>
              <w:ind w:left="0"/>
              <w:contextualSpacing w:val="0"/>
              <w:jc w:val="both"/>
              <w:rPr>
                <w:rFonts w:ascii="Times New Roman" w:hAnsi="Times New Roman"/>
                <w:sz w:val="24"/>
                <w:szCs w:val="24"/>
              </w:rPr>
            </w:pPr>
            <w:r w:rsidRPr="000B6630">
              <w:rPr>
                <w:rFonts w:ascii="Times New Roman" w:hAnsi="Times New Roman"/>
                <w:sz w:val="24"/>
                <w:szCs w:val="24"/>
              </w:rPr>
              <w:t>2. jinou činnost spojenou s plavbou než je činnost uvedená pod bodem 1,</w:t>
            </w:r>
            <w:r w:rsidRPr="000B6630">
              <w:rPr>
                <w:rFonts w:ascii="Times New Roman" w:hAnsi="Times New Roman"/>
                <w:bCs/>
                <w:sz w:val="24"/>
                <w:szCs w:val="24"/>
              </w:rPr>
              <w:t xml:space="preserve"> při níž by mohla ohrozit život nebo zdraví jiné osoby nebo poškodit majetek,</w:t>
            </w:r>
            <w:r w:rsidRPr="000B6630">
              <w:rPr>
                <w:rFonts w:ascii="Times New Roman" w:hAnsi="Times New Roman"/>
                <w:sz w:val="24"/>
                <w:szCs w:val="24"/>
              </w:rPr>
              <w:t xml:space="preserve"> pod vlivem alkoholu nebo jiné návykové látky; to neplatí, je-li schopnost vykonávat tuto činnost ovlivněna požitím alkoholu a tato činnost je vykonávána na malém plavidle bez vlastního strojního pohonu nepodléhajícím evidenci podle tohoto zákona, které je vedeno na nesledované vodní cestě, účelové vodní cestě, </w:t>
            </w:r>
            <w:r w:rsidRPr="000B6630">
              <w:rPr>
                <w:rFonts w:ascii="Times New Roman" w:hAnsi="Times New Roman"/>
                <w:bCs/>
                <w:sz w:val="24"/>
                <w:szCs w:val="24"/>
              </w:rPr>
              <w:t>na vodním toku Bečvy od Přerova po ústí vodního toku Moravy</w:t>
            </w:r>
            <w:r w:rsidRPr="000B6630">
              <w:rPr>
                <w:rFonts w:ascii="Times New Roman" w:hAnsi="Times New Roman"/>
                <w:sz w:val="24"/>
                <w:szCs w:val="24"/>
              </w:rPr>
              <w:t xml:space="preserve"> nebo na vodním toku Moravy od ústí vodního toku Bečvy po říční km 196,0 (jez Strž), nebo“.</w:t>
            </w:r>
          </w:p>
        </w:tc>
        <w:tc>
          <w:tcPr>
            <w:tcW w:w="6946" w:type="dxa"/>
            <w:shd w:val="clear" w:color="auto" w:fill="FFFFFF" w:themeFill="background1"/>
          </w:tcPr>
          <w:p w:rsidR="000B6630" w:rsidRPr="00FA23BA" w:rsidRDefault="005A2DE1" w:rsidP="000B6630">
            <w:pPr>
              <w:tabs>
                <w:tab w:val="left" w:pos="6349"/>
              </w:tabs>
              <w:spacing w:before="120"/>
              <w:jc w:val="both"/>
              <w:rPr>
                <w:b/>
                <w:color w:val="538135" w:themeColor="accent6" w:themeShade="BF"/>
              </w:rPr>
            </w:pPr>
            <w:r>
              <w:rPr>
                <w:b/>
                <w:color w:val="538135" w:themeColor="accent6" w:themeShade="BF"/>
              </w:rPr>
              <w:t>Souhlas</w:t>
            </w:r>
          </w:p>
          <w:p w:rsidR="000B6630" w:rsidRPr="004039A0" w:rsidRDefault="000B6630" w:rsidP="000B6630">
            <w:pPr>
              <w:tabs>
                <w:tab w:val="left" w:pos="6349"/>
              </w:tabs>
              <w:spacing w:before="120"/>
              <w:jc w:val="both"/>
              <w:rPr>
                <w:color w:val="538135" w:themeColor="accent6" w:themeShade="BF"/>
              </w:rPr>
            </w:pPr>
            <w:r w:rsidRPr="004039A0">
              <w:rPr>
                <w:color w:val="538135" w:themeColor="accent6" w:themeShade="BF"/>
              </w:rPr>
              <w:t xml:space="preserve">Cílem pozměňovacího návrhu je vyloučit za přesně stanovených podmínek odpovědnost vůdce malého plavidla za vedení malého plavidla pod vlivem alkoholu a dalších osob vykonávajících činnosti související s plavbou na malém plavidle pod vlivem alkoholu. </w:t>
            </w:r>
          </w:p>
          <w:p w:rsidR="000B6630" w:rsidRPr="004039A0" w:rsidRDefault="000B6630" w:rsidP="000B6630">
            <w:pPr>
              <w:tabs>
                <w:tab w:val="left" w:pos="6349"/>
              </w:tabs>
              <w:spacing w:before="120"/>
              <w:jc w:val="both"/>
              <w:rPr>
                <w:color w:val="538135" w:themeColor="accent6" w:themeShade="BF"/>
              </w:rPr>
            </w:pPr>
            <w:r w:rsidRPr="004039A0">
              <w:rPr>
                <w:color w:val="538135" w:themeColor="accent6" w:themeShade="BF"/>
              </w:rPr>
              <w:t>Ve vztahu k vůdci malého plavidla se musí jednat o vůdce malého plavidla bez vlastního strojního pohonu nepodléhajícího evidenci podle zákona o vnitrozemské plavbě a obsah zjištěného alkoholu musí být nižší než 0,5 promile. S ohledem na to, že v České republice je řada míst s intenzivním plavebním provozem (např. úsek vodní cesty Vltava v</w:t>
            </w:r>
            <w:r>
              <w:rPr>
                <w:color w:val="538135" w:themeColor="accent6" w:themeShade="BF"/>
              </w:rPr>
              <w:t> </w:t>
            </w:r>
            <w:r w:rsidRPr="004039A0">
              <w:rPr>
                <w:color w:val="538135" w:themeColor="accent6" w:themeShade="BF"/>
              </w:rPr>
              <w:t xml:space="preserve">Praze, úseky v blízkosti pláží na vodních nádržích Slapy a Orlík, Baťův kanál), kde je pohyb vyjímaných plavidel vedených podnapilými osobami zcela nežádoucí, obsahuje pozměňovací návrh rovněž územní kritérium navrhovaného částečného omezení sankčního ustanovení. Vůdci předmětných plavidel nebudou sankcionováni za vedení těchto plavidel pod vlivem alkoholu s výše uvedeným omezením (0,5 promile) na a) nesledovaných vodních cestách, b) účelových vodních cestách, c) vodním toku Bečvy od Přerova po ústí vodního toku Moravy nebo d) vodním toku Moravy od ústí vodního toku Bečvy po říční kilometr 196,0 (jez Strž). </w:t>
            </w:r>
          </w:p>
          <w:p w:rsidR="000B6630" w:rsidRPr="004039A0" w:rsidRDefault="000B6630" w:rsidP="000B6630">
            <w:pPr>
              <w:tabs>
                <w:tab w:val="left" w:pos="6349"/>
              </w:tabs>
              <w:spacing w:before="120"/>
              <w:jc w:val="both"/>
              <w:rPr>
                <w:color w:val="538135" w:themeColor="accent6" w:themeShade="BF"/>
              </w:rPr>
            </w:pPr>
            <w:r w:rsidRPr="004039A0">
              <w:rPr>
                <w:color w:val="538135" w:themeColor="accent6" w:themeShade="BF"/>
              </w:rPr>
              <w:t xml:space="preserve">Ve vztahu k ostatním osobám vykonávajícím činnosti související </w:t>
            </w:r>
            <w:r>
              <w:rPr>
                <w:color w:val="538135" w:themeColor="accent6" w:themeShade="BF"/>
              </w:rPr>
              <w:br/>
            </w:r>
            <w:r w:rsidRPr="004039A0">
              <w:rPr>
                <w:color w:val="538135" w:themeColor="accent6" w:themeShade="BF"/>
              </w:rPr>
              <w:t>s plavbou na shora uvedeném malém plavidle, které je vedeno na shodně vymezených vodních cestách, pak nebude stanovena žádná hranice obsahu zjištěného alkoholu.</w:t>
            </w:r>
          </w:p>
          <w:p w:rsidR="005A2DE1" w:rsidRPr="001E6E31" w:rsidRDefault="000B6630" w:rsidP="005A2DE1">
            <w:pPr>
              <w:spacing w:before="120" w:after="120"/>
              <w:jc w:val="both"/>
              <w:rPr>
                <w:color w:val="538135" w:themeColor="accent6" w:themeShade="BF"/>
              </w:rPr>
            </w:pPr>
            <w:r w:rsidRPr="004039A0">
              <w:rPr>
                <w:color w:val="538135" w:themeColor="accent6" w:themeShade="BF"/>
              </w:rPr>
              <w:t xml:space="preserve">Návrhy obdobného charakteru byly již v minulosti Poslaneckou sněmovnou i Senátem opakovaně projednávány. Předložený návrh je kompromisním řešením, </w:t>
            </w:r>
            <w:r w:rsidR="005A2DE1" w:rsidRPr="005A2DE1">
              <w:rPr>
                <w:color w:val="538135" w:themeColor="accent6" w:themeShade="BF"/>
              </w:rPr>
              <w:t>dopadá pouze na jednoznačně vymezené činnosti vykonávané na vybraných plavidlech, obsahuje územní kritérium navrhovaného opatření a stanovuje tolerovatelný obsah alkoholu u vůdců plavidel, který musí být nižší než 0,5 promile.</w:t>
            </w:r>
          </w:p>
        </w:tc>
      </w:tr>
      <w:tr w:rsidR="002F46EC" w:rsidTr="004E664C">
        <w:tc>
          <w:tcPr>
            <w:tcW w:w="14034" w:type="dxa"/>
            <w:gridSpan w:val="2"/>
            <w:shd w:val="clear" w:color="auto" w:fill="BFBFBF" w:themeFill="background1" w:themeFillShade="BF"/>
          </w:tcPr>
          <w:p w:rsidR="002F46EC" w:rsidRPr="002F5790" w:rsidRDefault="002F46EC" w:rsidP="002F46EC">
            <w:pPr>
              <w:spacing w:before="120" w:after="120"/>
              <w:jc w:val="both"/>
              <w:rPr>
                <w:color w:val="FF0000"/>
              </w:rPr>
            </w:pPr>
            <w:proofErr w:type="spellStart"/>
            <w:r w:rsidRPr="002A3E62">
              <w:rPr>
                <w:b/>
                <w:bCs/>
                <w:lang w:val="en-US"/>
              </w:rPr>
              <w:t>Pozm</w:t>
            </w:r>
            <w:r w:rsidRPr="002A3E62">
              <w:rPr>
                <w:b/>
                <w:bCs/>
              </w:rPr>
              <w:t>ěňovací</w:t>
            </w:r>
            <w:proofErr w:type="spellEnd"/>
            <w:r w:rsidRPr="002A3E62">
              <w:rPr>
                <w:b/>
                <w:bCs/>
              </w:rPr>
              <w:t xml:space="preserve"> návrhy přednesené ve druhém čtení </w:t>
            </w:r>
            <w:r w:rsidR="005A2DE1">
              <w:rPr>
                <w:b/>
                <w:bCs/>
              </w:rPr>
              <w:t xml:space="preserve">na 29. schůzi Poslanecké sněmovny </w:t>
            </w:r>
            <w:r w:rsidRPr="002A3E62">
              <w:rPr>
                <w:b/>
                <w:bCs/>
              </w:rPr>
              <w:t xml:space="preserve">dne </w:t>
            </w:r>
            <w:r w:rsidR="000B6630">
              <w:rPr>
                <w:b/>
                <w:bCs/>
              </w:rPr>
              <w:t>20. července</w:t>
            </w:r>
            <w:r w:rsidRPr="002A3E62">
              <w:rPr>
                <w:b/>
                <w:bCs/>
              </w:rPr>
              <w:t xml:space="preserve"> 20</w:t>
            </w:r>
            <w:r w:rsidR="000B6630">
              <w:rPr>
                <w:b/>
                <w:bCs/>
              </w:rPr>
              <w:t>22 (tisk 206</w:t>
            </w:r>
            <w:r>
              <w:rPr>
                <w:b/>
                <w:bCs/>
              </w:rPr>
              <w:t>/3)</w:t>
            </w:r>
          </w:p>
        </w:tc>
      </w:tr>
      <w:tr w:rsidR="002F46EC" w:rsidTr="004E664C">
        <w:tc>
          <w:tcPr>
            <w:tcW w:w="7088" w:type="dxa"/>
            <w:shd w:val="clear" w:color="auto" w:fill="BFBFBF" w:themeFill="background1" w:themeFillShade="BF"/>
          </w:tcPr>
          <w:p w:rsidR="002F46EC" w:rsidRPr="002A3E62" w:rsidRDefault="00BA741A" w:rsidP="002F46EC">
            <w:pPr>
              <w:pStyle w:val="Odstavecseseznamem"/>
              <w:widowControl w:val="0"/>
              <w:autoSpaceDE w:val="0"/>
              <w:autoSpaceDN w:val="0"/>
              <w:adjustRightInd w:val="0"/>
              <w:spacing w:before="120" w:after="120" w:line="240" w:lineRule="auto"/>
              <w:ind w:left="0"/>
              <w:contextualSpacing w:val="0"/>
              <w:rPr>
                <w:b/>
                <w:bCs/>
                <w:lang w:val="en-US"/>
              </w:rPr>
            </w:pPr>
            <w:r>
              <w:rPr>
                <w:rFonts w:ascii="Times New Roman" w:hAnsi="Times New Roman"/>
                <w:b/>
                <w:sz w:val="24"/>
                <w:szCs w:val="24"/>
              </w:rPr>
              <w:t xml:space="preserve">B. </w:t>
            </w:r>
            <w:r w:rsidR="002F46EC">
              <w:rPr>
                <w:rFonts w:ascii="Times New Roman" w:hAnsi="Times New Roman"/>
                <w:b/>
                <w:sz w:val="24"/>
                <w:szCs w:val="24"/>
              </w:rPr>
              <w:t>Pozměňovací návrh</w:t>
            </w:r>
            <w:r w:rsidR="002F46EC" w:rsidRPr="0070464B">
              <w:rPr>
                <w:rFonts w:ascii="Times New Roman" w:hAnsi="Times New Roman"/>
                <w:b/>
                <w:sz w:val="24"/>
                <w:szCs w:val="24"/>
              </w:rPr>
              <w:t xml:space="preserve"> </w:t>
            </w:r>
            <w:r w:rsidR="000B6630">
              <w:rPr>
                <w:rFonts w:ascii="Times New Roman" w:hAnsi="Times New Roman"/>
                <w:b/>
                <w:sz w:val="24"/>
                <w:szCs w:val="24"/>
              </w:rPr>
              <w:t>poslance</w:t>
            </w:r>
            <w:r w:rsidR="002F46EC">
              <w:rPr>
                <w:rFonts w:ascii="Times New Roman" w:hAnsi="Times New Roman"/>
                <w:b/>
                <w:sz w:val="24"/>
                <w:szCs w:val="24"/>
              </w:rPr>
              <w:t xml:space="preserve"> </w:t>
            </w:r>
            <w:r w:rsidR="000B6630">
              <w:rPr>
                <w:rFonts w:ascii="Times New Roman" w:hAnsi="Times New Roman"/>
                <w:b/>
                <w:sz w:val="24"/>
                <w:szCs w:val="24"/>
              </w:rPr>
              <w:t>Munzara</w:t>
            </w:r>
          </w:p>
        </w:tc>
        <w:tc>
          <w:tcPr>
            <w:tcW w:w="6946" w:type="dxa"/>
            <w:shd w:val="clear" w:color="auto" w:fill="BFBFBF" w:themeFill="background1" w:themeFillShade="BF"/>
          </w:tcPr>
          <w:p w:rsidR="002F46EC" w:rsidRPr="002F5790" w:rsidRDefault="002F46EC" w:rsidP="008B3EE4">
            <w:pPr>
              <w:spacing w:before="120" w:after="120"/>
              <w:jc w:val="both"/>
              <w:rPr>
                <w:color w:val="FF0000"/>
              </w:rPr>
            </w:pPr>
          </w:p>
        </w:tc>
      </w:tr>
      <w:tr w:rsidR="008B3EE4" w:rsidTr="004E664C">
        <w:tc>
          <w:tcPr>
            <w:tcW w:w="7088" w:type="dxa"/>
            <w:shd w:val="clear" w:color="auto" w:fill="auto"/>
          </w:tcPr>
          <w:p w:rsidR="00F73F4B" w:rsidRDefault="00BA741A" w:rsidP="00F73F4B">
            <w:pPr>
              <w:spacing w:before="120" w:after="120"/>
              <w:jc w:val="both"/>
            </w:pPr>
            <w:proofErr w:type="gramStart"/>
            <w:r w:rsidRPr="00BA741A">
              <w:rPr>
                <w:b/>
              </w:rPr>
              <w:t>B</w:t>
            </w:r>
            <w:r w:rsidR="00F73F4B">
              <w:rPr>
                <w:b/>
              </w:rPr>
              <w:t>.</w:t>
            </w:r>
            <w:r w:rsidRPr="00BA741A">
              <w:rPr>
                <w:b/>
              </w:rPr>
              <w:t>1</w:t>
            </w:r>
            <w:r w:rsidR="00CE6C03">
              <w:rPr>
                <w:b/>
              </w:rPr>
              <w:t>.</w:t>
            </w:r>
            <w:proofErr w:type="gramEnd"/>
            <w:r>
              <w:t xml:space="preserve"> </w:t>
            </w:r>
            <w:r w:rsidR="00F73F4B">
              <w:t>V čl. II se za bod 24 vkládají nové body 25 a 26, které znějí:</w:t>
            </w:r>
          </w:p>
          <w:p w:rsidR="00F73F4B" w:rsidRDefault="00F73F4B" w:rsidP="00F73F4B">
            <w:pPr>
              <w:jc w:val="both"/>
            </w:pPr>
            <w:r>
              <w:t>„</w:t>
            </w:r>
            <w:r w:rsidRPr="005E5725">
              <w:t>25. Plavební úřad na žádost držitele průkazu způsobilosti vůdce malého plavidla, který měl nárok na výměnu tohoto průkazu podle čl. II bodu 13 zákona č. 187/2014 Sb. a o jeho výměnu ve stanovené lhůtě nepožádal, tento průkaz vymění za průkaz způsobilosti vůdce malého plavidla podle § 26a odst. 3 zákona č. 114/1995 Sb., ve znění účinném ode dne nabytí účinnosti tohoto zákona, byla-li tato žádost podána do 1 roku ode dne nabytí účinnosti tohoto zákona; vydá-li plavební úřad tento průkaz, odevzdá žadatel o jeho vydání původní průkaz plavebnímu úřadu do 15 dnů ode dne vydání nového průkazu. Za přijetí žádosti o výměnu průkazu způsobilosti vůdce malého plavidla se správní poplatek nevybírá.</w:t>
            </w:r>
          </w:p>
          <w:p w:rsidR="00F73F4B" w:rsidRPr="005E5725" w:rsidRDefault="00F73F4B" w:rsidP="00F73F4B">
            <w:pPr>
              <w:jc w:val="both"/>
            </w:pPr>
          </w:p>
          <w:p w:rsidR="00F73F4B" w:rsidRDefault="00F73F4B" w:rsidP="00F73F4B">
            <w:pPr>
              <w:jc w:val="both"/>
            </w:pPr>
            <w:r w:rsidRPr="005E5725">
              <w:t>26. Plavební úřad na žádost držitele mezinárodního průkazu způsobilosti k vedení rekreačního plavidla, který měl nárok na výměnu tohoto průkazu podle čl. II bodu 15 zákona č. 187/2014 Sb. a o</w:t>
            </w:r>
            <w:r>
              <w:t xml:space="preserve"> </w:t>
            </w:r>
            <w:r w:rsidRPr="005E5725">
              <w:t>jeho výměnu ve stanovené lhůtě nepožádal, tento průkaz vymění za mezinárodní průkaz způsobilosti vůdce rekreačního plavidla podle § 26a odst. 6 nebo § 26b odst. 2 zákona č. 114/1995 Sb., ve znění účinném ode dne nabytí účinnosti tohoto zákona, a vyznačí v něm rozsah oprávnění podle rozsahu oprávnění vyznačeného v původním průkazu, byla-li tato žádost podána do 1 roku ode dne nabytí účinnosti tohoto zákona; vydá-li plavební úřad tento průkaz, odevzdá žadatel o jeho vydání původní průkaz plavebnímu úřadu do 15 dnů ode dne vydání nového průkazu. Za přijetí žádosti o výměnu mezinárodního průkazu způsobilosti k vedení rekreačního plavidla se správní poplatek nevybírá.</w:t>
            </w:r>
            <w:r>
              <w:t>“.</w:t>
            </w:r>
          </w:p>
          <w:p w:rsidR="00F73F4B" w:rsidRDefault="00F73F4B" w:rsidP="00F73F4B">
            <w:pPr>
              <w:jc w:val="both"/>
            </w:pPr>
          </w:p>
          <w:p w:rsidR="00F73F4B" w:rsidRDefault="00F73F4B" w:rsidP="00F73F4B">
            <w:pPr>
              <w:jc w:val="both"/>
            </w:pPr>
            <w:r>
              <w:t>Dosavadní body 25 až 28 se označují jako body 27 až 30.</w:t>
            </w:r>
          </w:p>
          <w:p w:rsidR="00F73F4B" w:rsidRDefault="00F73F4B" w:rsidP="00F73F4B">
            <w:pPr>
              <w:jc w:val="both"/>
            </w:pPr>
          </w:p>
          <w:p w:rsidR="00F73F4B" w:rsidRPr="005E5725" w:rsidRDefault="00F73F4B" w:rsidP="00F73F4B">
            <w:pPr>
              <w:jc w:val="both"/>
            </w:pPr>
            <w:r w:rsidRPr="005E5725">
              <w:rPr>
                <w:b/>
              </w:rPr>
              <w:t>2.</w:t>
            </w:r>
            <w:r>
              <w:t xml:space="preserve"> V článku V se slova „</w:t>
            </w:r>
            <w:r w:rsidRPr="005E5725">
              <w:t>bodu 26</w:t>
            </w:r>
            <w:r>
              <w:t>“ nahrazují slovy „</w:t>
            </w:r>
            <w:r w:rsidRPr="005E5725">
              <w:t>bodu 28</w:t>
            </w:r>
            <w:r>
              <w:t>“.</w:t>
            </w:r>
          </w:p>
          <w:p w:rsidR="008B3EE4" w:rsidRPr="002F46EC" w:rsidRDefault="008B3EE4" w:rsidP="00CE6C03">
            <w:pPr>
              <w:spacing w:before="120"/>
              <w:jc w:val="both"/>
            </w:pPr>
          </w:p>
        </w:tc>
        <w:tc>
          <w:tcPr>
            <w:tcW w:w="6946" w:type="dxa"/>
            <w:shd w:val="clear" w:color="auto" w:fill="auto"/>
          </w:tcPr>
          <w:p w:rsidR="00F73F4B" w:rsidRPr="00FA23BA" w:rsidRDefault="005A2DE1" w:rsidP="00F73F4B">
            <w:pPr>
              <w:tabs>
                <w:tab w:val="left" w:pos="6349"/>
              </w:tabs>
              <w:spacing w:before="120"/>
              <w:jc w:val="both"/>
              <w:rPr>
                <w:b/>
                <w:color w:val="538135" w:themeColor="accent6" w:themeShade="BF"/>
              </w:rPr>
            </w:pPr>
            <w:r>
              <w:rPr>
                <w:b/>
                <w:color w:val="538135" w:themeColor="accent6" w:themeShade="BF"/>
              </w:rPr>
              <w:t>Souhlas</w:t>
            </w:r>
          </w:p>
          <w:p w:rsidR="00F73F4B" w:rsidRPr="00F73F4B" w:rsidRDefault="00F73F4B" w:rsidP="00F73F4B">
            <w:pPr>
              <w:spacing w:before="120" w:after="120"/>
              <w:jc w:val="both"/>
              <w:rPr>
                <w:color w:val="538135" w:themeColor="accent6" w:themeShade="BF"/>
              </w:rPr>
            </w:pPr>
            <w:r w:rsidRPr="00F73F4B">
              <w:rPr>
                <w:color w:val="538135" w:themeColor="accent6" w:themeShade="BF"/>
              </w:rPr>
              <w:t>Pozměňovacím návrhem dochází k zakotvení možnosti držitelům průkazů způsobilosti k vedení malého plavidla, kteří si je na základě přechodné pr</w:t>
            </w:r>
            <w:r w:rsidR="00B80EF9">
              <w:rPr>
                <w:color w:val="538135" w:themeColor="accent6" w:themeShade="BF"/>
              </w:rPr>
              <w:t>ávní úpravy zakotvené zákonem č.</w:t>
            </w:r>
            <w:r w:rsidRPr="00F73F4B">
              <w:rPr>
                <w:color w:val="538135" w:themeColor="accent6" w:themeShade="BF"/>
              </w:rPr>
              <w:t xml:space="preserve"> 187/2014 Sb. mohli vyměnit, ale neučinili tak, vyměnit si své již neplatné doklady ještě v dodatečně stanovené přechodné době jednoho roku od nabytí účinnosti nyní projednávaného návrhu zákona. Obdobnou možnost pak pozměňovací návrh přináší též držitelům mezinárodních průkazů způsobilosti k vedení rekreačního plavidla, které pozbyly své platnosti z téhož důvodu. Pozměňovacím návrhem je reagováno na značný nárůst žádostí o výměnu dotčených neplatných dokladů za doklady platné,</w:t>
            </w:r>
            <w:r w:rsidR="005A2DE1">
              <w:rPr>
                <w:color w:val="538135" w:themeColor="accent6" w:themeShade="BF"/>
              </w:rPr>
              <w:t xml:space="preserve"> </w:t>
            </w:r>
            <w:r w:rsidRPr="00F73F4B">
              <w:rPr>
                <w:color w:val="538135" w:themeColor="accent6" w:themeShade="BF"/>
              </w:rPr>
              <w:t>jeho přijetí umožní lepší rozložení administrativní zátěže Státní plavební správy v čase a současně poskytne držitelům uvedených neplatných dokladů v prodloužené lhůtě poslední možnost pro nápravu toho, co v minulosti zanedbali. Za výměnu dotčených dokladů se nebude vybírat správní poplatek.</w:t>
            </w:r>
          </w:p>
          <w:p w:rsidR="008B3EE4" w:rsidRPr="00990638" w:rsidRDefault="008B3EE4" w:rsidP="001E6E31">
            <w:pPr>
              <w:pStyle w:val="MDSR"/>
              <w:spacing w:after="120"/>
              <w:ind w:firstLine="0"/>
              <w:rPr>
                <w:color w:val="FF0000"/>
                <w:szCs w:val="24"/>
              </w:rPr>
            </w:pPr>
          </w:p>
        </w:tc>
      </w:tr>
      <w:tr w:rsidR="008B3EE4" w:rsidTr="004E664C">
        <w:tc>
          <w:tcPr>
            <w:tcW w:w="7088" w:type="dxa"/>
            <w:shd w:val="clear" w:color="auto" w:fill="auto"/>
          </w:tcPr>
          <w:p w:rsidR="00F73F4B" w:rsidRDefault="00F73F4B" w:rsidP="00F73F4B">
            <w:pPr>
              <w:spacing w:before="120"/>
              <w:jc w:val="both"/>
              <w:rPr>
                <w:bCs/>
              </w:rPr>
            </w:pPr>
            <w:proofErr w:type="gramStart"/>
            <w:r>
              <w:rPr>
                <w:b/>
                <w:color w:val="000000"/>
              </w:rPr>
              <w:t>B.2</w:t>
            </w:r>
            <w:r w:rsidR="00CE6C03">
              <w:rPr>
                <w:b/>
                <w:color w:val="000000"/>
              </w:rPr>
              <w:t>.</w:t>
            </w:r>
            <w:proofErr w:type="gramEnd"/>
            <w:r w:rsidR="00BA741A">
              <w:rPr>
                <w:b/>
                <w:color w:val="000000"/>
              </w:rPr>
              <w:t xml:space="preserve"> </w:t>
            </w:r>
            <w:r w:rsidRPr="00B23850">
              <w:rPr>
                <w:bCs/>
              </w:rPr>
              <w:t>V č</w:t>
            </w:r>
            <w:r>
              <w:rPr>
                <w:bCs/>
              </w:rPr>
              <w:t xml:space="preserve">l. I se za dosavadní novelizační bod 26 vkládá nový </w:t>
            </w:r>
            <w:r w:rsidRPr="00CF42B2">
              <w:rPr>
                <w:bCs/>
              </w:rPr>
              <w:t>novelizační bod</w:t>
            </w:r>
            <w:r>
              <w:rPr>
                <w:bCs/>
              </w:rPr>
              <w:t>, který zní:</w:t>
            </w:r>
          </w:p>
          <w:p w:rsidR="00F73F4B" w:rsidRDefault="00F73F4B" w:rsidP="00F73F4B">
            <w:pPr>
              <w:jc w:val="both"/>
              <w:rPr>
                <w:bCs/>
              </w:rPr>
            </w:pPr>
          </w:p>
          <w:p w:rsidR="00F73F4B" w:rsidRDefault="00F73F4B" w:rsidP="00F73F4B">
            <w:pPr>
              <w:jc w:val="both"/>
              <w:rPr>
                <w:bCs/>
                <w:iCs/>
                <w:sz w:val="23"/>
                <w:szCs w:val="23"/>
              </w:rPr>
            </w:pPr>
            <w:r>
              <w:t>„</w:t>
            </w:r>
            <w:r w:rsidRPr="002D56ED">
              <w:rPr>
                <w:b/>
              </w:rPr>
              <w:t>X.</w:t>
            </w:r>
            <w:r>
              <w:t xml:space="preserve"> V § 31 odst. 2 větě první se za slovo „nehoda“ vkládají </w:t>
            </w:r>
            <w:proofErr w:type="gramStart"/>
            <w:r>
              <w:t>slova „</w:t>
            </w:r>
            <w:r w:rsidR="00CA5501">
              <w:t xml:space="preserve"> </w:t>
            </w:r>
            <w:r>
              <w:t xml:space="preserve">, </w:t>
            </w:r>
            <w:r w:rsidRPr="0055276E">
              <w:rPr>
                <w:bCs/>
                <w:iCs/>
                <w:sz w:val="23"/>
                <w:szCs w:val="23"/>
              </w:rPr>
              <w:t>k níž</w:t>
            </w:r>
            <w:proofErr w:type="gramEnd"/>
            <w:r w:rsidRPr="0055276E">
              <w:rPr>
                <w:bCs/>
                <w:iCs/>
                <w:sz w:val="23"/>
                <w:szCs w:val="23"/>
              </w:rPr>
              <w:t xml:space="preserve"> došlo na sledované vodní cestě nebo</w:t>
            </w:r>
            <w:r>
              <w:rPr>
                <w:bCs/>
                <w:iCs/>
                <w:sz w:val="23"/>
                <w:szCs w:val="23"/>
              </w:rPr>
              <w:t xml:space="preserve">, je-li jejím účastníkem </w:t>
            </w:r>
            <w:r w:rsidRPr="0055276E">
              <w:rPr>
                <w:bCs/>
                <w:iCs/>
                <w:sz w:val="23"/>
                <w:szCs w:val="23"/>
              </w:rPr>
              <w:t xml:space="preserve">plavidlo </w:t>
            </w:r>
            <w:r>
              <w:rPr>
                <w:bCs/>
                <w:iCs/>
                <w:sz w:val="23"/>
                <w:szCs w:val="23"/>
              </w:rPr>
              <w:t>podléhající evidenci podle tohoto zákona,</w:t>
            </w:r>
            <w:r w:rsidRPr="0055276E">
              <w:rPr>
                <w:bCs/>
                <w:iCs/>
                <w:sz w:val="23"/>
                <w:szCs w:val="23"/>
              </w:rPr>
              <w:t xml:space="preserve"> na nesledované vodní cestě</w:t>
            </w:r>
            <w:r>
              <w:rPr>
                <w:bCs/>
                <w:iCs/>
                <w:sz w:val="23"/>
                <w:szCs w:val="23"/>
              </w:rPr>
              <w:t>,“.</w:t>
            </w:r>
          </w:p>
          <w:p w:rsidR="00F73F4B" w:rsidRPr="0055276E" w:rsidRDefault="00F73F4B" w:rsidP="00F73F4B">
            <w:pPr>
              <w:jc w:val="both"/>
            </w:pPr>
          </w:p>
          <w:p w:rsidR="00F73F4B" w:rsidRDefault="00F73F4B" w:rsidP="00F73F4B">
            <w:pPr>
              <w:jc w:val="both"/>
              <w:rPr>
                <w:bCs/>
              </w:rPr>
            </w:pPr>
            <w:r w:rsidRPr="005A5D23">
              <w:rPr>
                <w:bCs/>
              </w:rPr>
              <w:t xml:space="preserve">Následující </w:t>
            </w:r>
            <w:r>
              <w:rPr>
                <w:bCs/>
              </w:rPr>
              <w:t xml:space="preserve">novelizační </w:t>
            </w:r>
            <w:r w:rsidRPr="005A5D23">
              <w:rPr>
                <w:bCs/>
              </w:rPr>
              <w:t>body se</w:t>
            </w:r>
            <w:r>
              <w:rPr>
                <w:bCs/>
              </w:rPr>
              <w:t xml:space="preserve"> </w:t>
            </w:r>
            <w:r w:rsidRPr="005A5D23">
              <w:rPr>
                <w:bCs/>
              </w:rPr>
              <w:t>přečíslují.</w:t>
            </w:r>
          </w:p>
          <w:p w:rsidR="00F73F4B" w:rsidRDefault="00F73F4B" w:rsidP="00F73F4B">
            <w:pPr>
              <w:pStyle w:val="PNposlanec"/>
              <w:numPr>
                <w:ilvl w:val="0"/>
                <w:numId w:val="0"/>
              </w:numPr>
              <w:spacing w:after="0"/>
              <w:rPr>
                <w:b w:val="0"/>
              </w:rPr>
            </w:pPr>
          </w:p>
          <w:p w:rsidR="00BA741A" w:rsidRPr="00BA741A" w:rsidRDefault="00BA741A" w:rsidP="00BA741A">
            <w:pPr>
              <w:spacing w:before="120" w:after="120"/>
              <w:rPr>
                <w:color w:val="000000"/>
              </w:rPr>
            </w:pPr>
          </w:p>
          <w:p w:rsidR="008B3EE4" w:rsidRPr="002F4A5C" w:rsidRDefault="008B3EE4" w:rsidP="008B3EE4">
            <w:pPr>
              <w:spacing w:before="120" w:after="120"/>
              <w:rPr>
                <w:color w:val="000000"/>
              </w:rPr>
            </w:pPr>
          </w:p>
        </w:tc>
        <w:tc>
          <w:tcPr>
            <w:tcW w:w="6946" w:type="dxa"/>
            <w:shd w:val="clear" w:color="auto" w:fill="auto"/>
          </w:tcPr>
          <w:p w:rsidR="008B3EE4" w:rsidRDefault="00BA741A" w:rsidP="008B3EE4">
            <w:pPr>
              <w:spacing w:before="120" w:after="120"/>
              <w:jc w:val="both"/>
              <w:rPr>
                <w:b/>
                <w:color w:val="538135" w:themeColor="accent6" w:themeShade="BF"/>
              </w:rPr>
            </w:pPr>
            <w:r w:rsidRPr="001E6E31">
              <w:rPr>
                <w:b/>
                <w:color w:val="538135" w:themeColor="accent6" w:themeShade="BF"/>
              </w:rPr>
              <w:lastRenderedPageBreak/>
              <w:t>Souhlas</w:t>
            </w:r>
          </w:p>
          <w:p w:rsidR="00F73F4B" w:rsidRPr="00F73F4B" w:rsidRDefault="00F73F4B" w:rsidP="00F73F4B">
            <w:pPr>
              <w:pStyle w:val="Default"/>
              <w:spacing w:before="120"/>
              <w:jc w:val="both"/>
              <w:rPr>
                <w:color w:val="538135" w:themeColor="accent6" w:themeShade="BF"/>
              </w:rPr>
            </w:pPr>
            <w:r w:rsidRPr="00F73F4B">
              <w:rPr>
                <w:color w:val="538135" w:themeColor="accent6" w:themeShade="BF"/>
              </w:rPr>
              <w:t>Cílem pozměňovacího návrhu je odstranění stávající nadbytečné agendy v působnosti Státní plavební správy týkající se šetření určitého druhu nehod v provozu na vodní cestě (pozměňovací návrh přitom odstraňuje i odpovídající notifikační povinnost vůdce a provozovatele plavidla). Současná právní úprava stanovuje velmi široký rozsah Státní plavební správou šetřených nehod v provozu na vodní cestě. Jde i o nehody, které se stanou na nesledovaných vodních cestách, a to i v případě, že k nim dojde s účastí plavidel bez vlastního strojního pohonu (</w:t>
            </w:r>
            <w:proofErr w:type="spellStart"/>
            <w:r w:rsidRPr="00F73F4B">
              <w:rPr>
                <w:color w:val="538135" w:themeColor="accent6" w:themeShade="BF"/>
              </w:rPr>
              <w:t>kanoe</w:t>
            </w:r>
            <w:proofErr w:type="spellEnd"/>
            <w:r w:rsidRPr="00F73F4B">
              <w:rPr>
                <w:color w:val="538135" w:themeColor="accent6" w:themeShade="BF"/>
              </w:rPr>
              <w:t xml:space="preserve">, kajaky, rafty, šlapadla). Výsledky těchto šetření nemají žádný dopad na zlepšení bezpečnosti provozování </w:t>
            </w:r>
            <w:r w:rsidRPr="00F73F4B">
              <w:rPr>
                <w:color w:val="538135" w:themeColor="accent6" w:themeShade="BF"/>
              </w:rPr>
              <w:lastRenderedPageBreak/>
              <w:t xml:space="preserve">vodní dopravy, bezpečnosti jejích účastníků či jiných subjektů. Odstranění uvedené administrativní zátěže umožní efektivnější využití zaměstnanců Státní plavební správy při výkonu vlastního státního dozoru nad bezpečností plavebního provozu na vytížených vodních cestách. </w:t>
            </w:r>
          </w:p>
        </w:tc>
      </w:tr>
      <w:tr w:rsidR="008B3EE4" w:rsidTr="00B80EF9">
        <w:trPr>
          <w:trHeight w:val="1807"/>
        </w:trPr>
        <w:tc>
          <w:tcPr>
            <w:tcW w:w="7088" w:type="dxa"/>
            <w:shd w:val="clear" w:color="auto" w:fill="auto"/>
          </w:tcPr>
          <w:p w:rsidR="00F73F4B" w:rsidRDefault="00CA5501" w:rsidP="00F73F4B">
            <w:pPr>
              <w:spacing w:before="120"/>
              <w:jc w:val="both"/>
            </w:pPr>
            <w:proofErr w:type="gramStart"/>
            <w:r>
              <w:rPr>
                <w:b/>
                <w:bCs/>
              </w:rPr>
              <w:lastRenderedPageBreak/>
              <w:t>B.</w:t>
            </w:r>
            <w:r w:rsidR="00F73F4B">
              <w:rPr>
                <w:b/>
                <w:bCs/>
              </w:rPr>
              <w:t>3</w:t>
            </w:r>
            <w:r w:rsidR="00BA741A" w:rsidRPr="00BA741A">
              <w:rPr>
                <w:b/>
                <w:bCs/>
              </w:rPr>
              <w:t>.</w:t>
            </w:r>
            <w:proofErr w:type="gramEnd"/>
            <w:r w:rsidR="00BA741A" w:rsidRPr="00BA741A">
              <w:rPr>
                <w:b/>
                <w:bCs/>
              </w:rPr>
              <w:t xml:space="preserve"> </w:t>
            </w:r>
            <w:r w:rsidR="00F73F4B">
              <w:t>Článek V zní:</w:t>
            </w:r>
          </w:p>
          <w:p w:rsidR="008658C7" w:rsidRDefault="008658C7" w:rsidP="00F73F4B">
            <w:pPr>
              <w:jc w:val="center"/>
            </w:pPr>
          </w:p>
          <w:p w:rsidR="00F73F4B" w:rsidRDefault="00F73F4B" w:rsidP="008658C7">
            <w:pPr>
              <w:spacing w:before="120"/>
              <w:jc w:val="center"/>
            </w:pPr>
            <w:r w:rsidRPr="00023C0A">
              <w:t>„Čl. V</w:t>
            </w:r>
          </w:p>
          <w:p w:rsidR="00F73F4B" w:rsidRPr="00023C0A" w:rsidRDefault="00F73F4B" w:rsidP="00F73F4B">
            <w:pPr>
              <w:jc w:val="center"/>
            </w:pPr>
          </w:p>
          <w:p w:rsidR="00F73F4B" w:rsidRPr="002836D3" w:rsidRDefault="00F73F4B" w:rsidP="00F73F4B">
            <w:pPr>
              <w:ind w:firstLine="709"/>
              <w:jc w:val="both"/>
              <w:rPr>
                <w:rFonts w:eastAsia="TimesNewRoman,Bold"/>
                <w:bCs/>
                <w:i/>
              </w:rPr>
            </w:pPr>
            <w:r w:rsidRPr="00023C0A">
              <w:t xml:space="preserve">Tento zákon nabývá účinnosti prvním dnem </w:t>
            </w:r>
            <w:r>
              <w:t xml:space="preserve">třetího </w:t>
            </w:r>
            <w:r w:rsidRPr="00023C0A">
              <w:t>kalendářního měsíce následujícího po jeho vyhlášení, s výjimkou ustanovení čl. I bodu 31, kter</w:t>
            </w:r>
            <w:r>
              <w:t>é</w:t>
            </w:r>
            <w:r w:rsidRPr="00023C0A">
              <w:t xml:space="preserve"> nabývá účinnosti dnem 1.</w:t>
            </w:r>
            <w:r>
              <w:t> </w:t>
            </w:r>
            <w:r w:rsidRPr="00023C0A">
              <w:t>července 2023, a ustanovení čl. I bodu 20 a čl. II bodu 26, která nabývají účinnosti dnem 1.</w:t>
            </w:r>
            <w:r>
              <w:t> </w:t>
            </w:r>
            <w:r w:rsidRPr="00023C0A">
              <w:t>ledna 2024.</w:t>
            </w:r>
            <w:r w:rsidRPr="00193CA0">
              <w:t>“.</w:t>
            </w:r>
          </w:p>
          <w:p w:rsidR="008B3EE4" w:rsidRPr="00705C10" w:rsidRDefault="008B3EE4" w:rsidP="00F73F4B">
            <w:pPr>
              <w:pStyle w:val="Default"/>
              <w:spacing w:before="120"/>
              <w:jc w:val="both"/>
            </w:pPr>
            <w:bookmarkStart w:id="0" w:name="_GoBack"/>
            <w:bookmarkEnd w:id="0"/>
          </w:p>
        </w:tc>
        <w:tc>
          <w:tcPr>
            <w:tcW w:w="6946" w:type="dxa"/>
            <w:shd w:val="clear" w:color="auto" w:fill="auto"/>
          </w:tcPr>
          <w:p w:rsidR="00F73F4B" w:rsidRDefault="00F73F4B" w:rsidP="008658C7">
            <w:pPr>
              <w:spacing w:before="120"/>
              <w:jc w:val="both"/>
              <w:rPr>
                <w:b/>
                <w:color w:val="538135" w:themeColor="accent6" w:themeShade="BF"/>
              </w:rPr>
            </w:pPr>
            <w:r w:rsidRPr="001E6E31">
              <w:rPr>
                <w:b/>
                <w:color w:val="538135" w:themeColor="accent6" w:themeShade="BF"/>
              </w:rPr>
              <w:t>Souhlas</w:t>
            </w:r>
          </w:p>
          <w:p w:rsidR="008B3EE4" w:rsidRPr="00B80EF9" w:rsidRDefault="00F73F4B" w:rsidP="00B80EF9">
            <w:pPr>
              <w:spacing w:before="120"/>
              <w:jc w:val="both"/>
              <w:rPr>
                <w:color w:val="538135" w:themeColor="accent6" w:themeShade="BF"/>
              </w:rPr>
            </w:pPr>
            <w:r w:rsidRPr="00F73F4B">
              <w:rPr>
                <w:color w:val="538135" w:themeColor="accent6" w:themeShade="BF"/>
              </w:rPr>
              <w:t xml:space="preserve">S ohledem na zdržení legislativního procesu se navrhuje vhodným způsobem korigovat ustanovení upravující účinnost navrhovaného zákona. Navrhuje se, aby zákon nabyl účinnosti </w:t>
            </w:r>
            <w:r w:rsidRPr="00F73F4B">
              <w:rPr>
                <w:rFonts w:eastAsia="TimesNewRoman,Bold"/>
                <w:bCs/>
                <w:color w:val="538135" w:themeColor="accent6" w:themeShade="BF"/>
              </w:rPr>
              <w:t>prvním dnem třetího kalendářního měsíce následujícího po jeho vyhlášení.</w:t>
            </w:r>
            <w:r w:rsidRPr="00F73F4B">
              <w:rPr>
                <w:color w:val="538135" w:themeColor="accent6" w:themeShade="BF"/>
              </w:rPr>
              <w:t xml:space="preserve"> Navržená </w:t>
            </w:r>
            <w:proofErr w:type="spellStart"/>
            <w:r w:rsidRPr="00F73F4B">
              <w:rPr>
                <w:color w:val="538135" w:themeColor="accent6" w:themeShade="BF"/>
              </w:rPr>
              <w:t>legisvakanční</w:t>
            </w:r>
            <w:proofErr w:type="spellEnd"/>
            <w:r w:rsidRPr="00F73F4B">
              <w:rPr>
                <w:color w:val="538135" w:themeColor="accent6" w:themeShade="BF"/>
              </w:rPr>
              <w:t xml:space="preserve"> lhůta zajistí dostatečný časový prostor pro finalizaci a</w:t>
            </w:r>
            <w:r w:rsidR="005A2DE1">
              <w:rPr>
                <w:color w:val="538135" w:themeColor="accent6" w:themeShade="BF"/>
              </w:rPr>
              <w:t> </w:t>
            </w:r>
            <w:r w:rsidRPr="00F73F4B">
              <w:rPr>
                <w:color w:val="538135" w:themeColor="accent6" w:themeShade="BF"/>
              </w:rPr>
              <w:t xml:space="preserve">projednání navazujícího prováděcího předpisu (zcela nové vyhlášky), která vymezí činnosti vykonávané členy posádky plavidla a stanoví podrobnosti týkající se ověřování odborné způsobilosti osob k vedení plavidel, jejich obsluze a k výkonu dalších činností ve vnitrozemské plavbě. </w:t>
            </w:r>
          </w:p>
        </w:tc>
      </w:tr>
    </w:tbl>
    <w:p w:rsidR="00135DAB" w:rsidRDefault="00135DAB"/>
    <w:p w:rsidR="00CE6C03" w:rsidRDefault="00CE6C03"/>
    <w:p w:rsidR="00D96C6A" w:rsidRDefault="00D96C6A" w:rsidP="00CE6C03">
      <w:pPr>
        <w:spacing w:before="120" w:after="120"/>
        <w:jc w:val="both"/>
        <w:rPr>
          <w:b/>
        </w:rPr>
      </w:pPr>
    </w:p>
    <w:p w:rsidR="002B392E" w:rsidRDefault="002B392E" w:rsidP="008512BB">
      <w:pPr>
        <w:spacing w:before="120" w:after="120"/>
        <w:rPr>
          <w:color w:val="FF0000"/>
        </w:rPr>
      </w:pPr>
    </w:p>
    <w:sectPr w:rsidR="002B392E" w:rsidSect="00DD3ADF">
      <w:footerReference w:type="default" r:id="rId8"/>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44F6" w:rsidRDefault="004244F6" w:rsidP="00DD3ADF">
      <w:r>
        <w:separator/>
      </w:r>
    </w:p>
  </w:endnote>
  <w:endnote w:type="continuationSeparator" w:id="0">
    <w:p w:rsidR="004244F6" w:rsidRDefault="004244F6" w:rsidP="00DD3A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0"/>
    <w:family w:val="roman"/>
    <w:pitch w:val="variable"/>
    <w:sig w:usb0="00008003" w:usb1="00000000" w:usb2="00000000" w:usb3="00000000" w:csb0="00000001" w:csb1="00000000"/>
  </w:font>
  <w:font w:name="TimesNewRoman,Bold">
    <w:altName w:val="Yu Gothic UI"/>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7315860"/>
      <w:docPartObj>
        <w:docPartGallery w:val="Page Numbers (Bottom of Page)"/>
        <w:docPartUnique/>
      </w:docPartObj>
    </w:sdtPr>
    <w:sdtEndPr/>
    <w:sdtContent>
      <w:p w:rsidR="00DD3ADF" w:rsidRDefault="00DD3ADF">
        <w:pPr>
          <w:pStyle w:val="Zpat"/>
          <w:jc w:val="center"/>
        </w:pPr>
        <w:r>
          <w:fldChar w:fldCharType="begin"/>
        </w:r>
        <w:r>
          <w:instrText>PAGE   \* MERGEFORMAT</w:instrText>
        </w:r>
        <w:r>
          <w:fldChar w:fldCharType="separate"/>
        </w:r>
        <w:r w:rsidR="00B80EF9">
          <w:rPr>
            <w:noProof/>
          </w:rPr>
          <w:t>5</w:t>
        </w:r>
        <w:r>
          <w:fldChar w:fldCharType="end"/>
        </w:r>
      </w:p>
    </w:sdtContent>
  </w:sdt>
  <w:p w:rsidR="00DD3ADF" w:rsidRDefault="00DD3AD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44F6" w:rsidRDefault="004244F6" w:rsidP="00DD3ADF">
      <w:r>
        <w:separator/>
      </w:r>
    </w:p>
  </w:footnote>
  <w:footnote w:type="continuationSeparator" w:id="0">
    <w:p w:rsidR="004244F6" w:rsidRDefault="004244F6" w:rsidP="00DD3A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1B0023F2"/>
    <w:name w:val="WW8Num5"/>
    <w:lvl w:ilvl="0">
      <w:start w:val="1"/>
      <w:numFmt w:val="upperLetter"/>
      <w:pStyle w:val="Oznaenpozmn"/>
      <w:lvlText w:val="%1."/>
      <w:lvlJc w:val="left"/>
      <w:pPr>
        <w:tabs>
          <w:tab w:val="num" w:pos="425"/>
        </w:tabs>
        <w:ind w:left="425" w:hanging="425"/>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6E2F"/>
    <w:rsid w:val="00086E2F"/>
    <w:rsid w:val="000B6630"/>
    <w:rsid w:val="000C64B9"/>
    <w:rsid w:val="00135DAB"/>
    <w:rsid w:val="001D76D9"/>
    <w:rsid w:val="001E6E31"/>
    <w:rsid w:val="00251E5A"/>
    <w:rsid w:val="002A6AF0"/>
    <w:rsid w:val="002B392E"/>
    <w:rsid w:val="002D070D"/>
    <w:rsid w:val="002F46EC"/>
    <w:rsid w:val="003069E0"/>
    <w:rsid w:val="004244F6"/>
    <w:rsid w:val="0046330E"/>
    <w:rsid w:val="00497C7C"/>
    <w:rsid w:val="004E664C"/>
    <w:rsid w:val="00503DF5"/>
    <w:rsid w:val="005A2DE1"/>
    <w:rsid w:val="005D4131"/>
    <w:rsid w:val="00617E1C"/>
    <w:rsid w:val="00677F6E"/>
    <w:rsid w:val="006D0B89"/>
    <w:rsid w:val="006D51BC"/>
    <w:rsid w:val="00705C10"/>
    <w:rsid w:val="00733124"/>
    <w:rsid w:val="0078057D"/>
    <w:rsid w:val="00814D2C"/>
    <w:rsid w:val="008512BB"/>
    <w:rsid w:val="008658C7"/>
    <w:rsid w:val="00895C12"/>
    <w:rsid w:val="008B3EE4"/>
    <w:rsid w:val="008C04E4"/>
    <w:rsid w:val="008E00C5"/>
    <w:rsid w:val="008E3328"/>
    <w:rsid w:val="00906F32"/>
    <w:rsid w:val="009266C7"/>
    <w:rsid w:val="009518BE"/>
    <w:rsid w:val="00981109"/>
    <w:rsid w:val="00990638"/>
    <w:rsid w:val="00A37ECB"/>
    <w:rsid w:val="00B36634"/>
    <w:rsid w:val="00B80EF9"/>
    <w:rsid w:val="00BA741A"/>
    <w:rsid w:val="00BA775C"/>
    <w:rsid w:val="00BC2B2A"/>
    <w:rsid w:val="00CA5501"/>
    <w:rsid w:val="00CE6C03"/>
    <w:rsid w:val="00CF42B2"/>
    <w:rsid w:val="00D202A9"/>
    <w:rsid w:val="00D675E0"/>
    <w:rsid w:val="00D96C6A"/>
    <w:rsid w:val="00DC7BDF"/>
    <w:rsid w:val="00DD3ADF"/>
    <w:rsid w:val="00E36324"/>
    <w:rsid w:val="00E55E8D"/>
    <w:rsid w:val="00EE2102"/>
    <w:rsid w:val="00F14B7D"/>
    <w:rsid w:val="00F56DAE"/>
    <w:rsid w:val="00F70F21"/>
    <w:rsid w:val="00F73F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33318"/>
  <w15:chartTrackingRefBased/>
  <w15:docId w15:val="{157D3449-F57A-44F6-830D-934C8EA26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3F4B"/>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086E2F"/>
    <w:pPr>
      <w:spacing w:after="200" w:line="276" w:lineRule="auto"/>
      <w:ind w:left="720"/>
      <w:contextualSpacing/>
    </w:pPr>
    <w:rPr>
      <w:rFonts w:ascii="Calibri" w:eastAsia="Calibri" w:hAnsi="Calibri"/>
      <w:sz w:val="22"/>
      <w:szCs w:val="22"/>
      <w:lang w:eastAsia="en-US"/>
    </w:rPr>
  </w:style>
  <w:style w:type="character" w:customStyle="1" w:styleId="OdstavecseseznamemChar">
    <w:name w:val="Odstavec se seznamem Char"/>
    <w:link w:val="Odstavecseseznamem"/>
    <w:uiPriority w:val="34"/>
    <w:locked/>
    <w:rsid w:val="00086E2F"/>
    <w:rPr>
      <w:rFonts w:ascii="Calibri" w:eastAsia="Calibri" w:hAnsi="Calibri" w:cs="Times New Roman"/>
    </w:rPr>
  </w:style>
  <w:style w:type="character" w:styleId="Siln">
    <w:name w:val="Strong"/>
    <w:basedOn w:val="Standardnpsmoodstavce"/>
    <w:qFormat/>
    <w:rsid w:val="00086E2F"/>
    <w:rPr>
      <w:b/>
      <w:bCs/>
    </w:rPr>
  </w:style>
  <w:style w:type="paragraph" w:styleId="Zhlav">
    <w:name w:val="header"/>
    <w:basedOn w:val="Normln"/>
    <w:link w:val="ZhlavChar"/>
    <w:uiPriority w:val="99"/>
    <w:unhideWhenUsed/>
    <w:rsid w:val="00DD3ADF"/>
    <w:pPr>
      <w:tabs>
        <w:tab w:val="center" w:pos="4536"/>
        <w:tab w:val="right" w:pos="9072"/>
      </w:tabs>
    </w:pPr>
  </w:style>
  <w:style w:type="character" w:customStyle="1" w:styleId="ZhlavChar">
    <w:name w:val="Záhlaví Char"/>
    <w:basedOn w:val="Standardnpsmoodstavce"/>
    <w:link w:val="Zhlav"/>
    <w:uiPriority w:val="99"/>
    <w:rsid w:val="00DD3ADF"/>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DD3ADF"/>
    <w:pPr>
      <w:tabs>
        <w:tab w:val="center" w:pos="4536"/>
        <w:tab w:val="right" w:pos="9072"/>
      </w:tabs>
    </w:pPr>
  </w:style>
  <w:style w:type="character" w:customStyle="1" w:styleId="ZpatChar">
    <w:name w:val="Zápatí Char"/>
    <w:basedOn w:val="Standardnpsmoodstavce"/>
    <w:link w:val="Zpat"/>
    <w:uiPriority w:val="99"/>
    <w:rsid w:val="00DD3ADF"/>
    <w:rPr>
      <w:rFonts w:ascii="Times New Roman" w:eastAsia="Times New Roman" w:hAnsi="Times New Roman" w:cs="Times New Roman"/>
      <w:sz w:val="24"/>
      <w:szCs w:val="24"/>
      <w:lang w:eastAsia="cs-CZ"/>
    </w:rPr>
  </w:style>
  <w:style w:type="paragraph" w:customStyle="1" w:styleId="MDSR">
    <w:name w:val="MDS ČR"/>
    <w:basedOn w:val="Normln"/>
    <w:rsid w:val="002A6AF0"/>
    <w:pPr>
      <w:suppressAutoHyphens/>
      <w:overflowPunct w:val="0"/>
      <w:autoSpaceDE w:val="0"/>
      <w:autoSpaceDN w:val="0"/>
      <w:adjustRightInd w:val="0"/>
      <w:spacing w:before="120"/>
      <w:ind w:firstLine="567"/>
      <w:jc w:val="both"/>
    </w:pPr>
    <w:rPr>
      <w:szCs w:val="20"/>
    </w:rPr>
  </w:style>
  <w:style w:type="character" w:styleId="Odkaznakoment">
    <w:name w:val="annotation reference"/>
    <w:uiPriority w:val="99"/>
    <w:semiHidden/>
    <w:unhideWhenUsed/>
    <w:rsid w:val="00990638"/>
    <w:rPr>
      <w:sz w:val="16"/>
      <w:szCs w:val="16"/>
    </w:rPr>
  </w:style>
  <w:style w:type="paragraph" w:styleId="Textbubliny">
    <w:name w:val="Balloon Text"/>
    <w:basedOn w:val="Normln"/>
    <w:link w:val="TextbublinyChar"/>
    <w:uiPriority w:val="99"/>
    <w:semiHidden/>
    <w:unhideWhenUsed/>
    <w:rsid w:val="00B36634"/>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B36634"/>
    <w:rPr>
      <w:rFonts w:ascii="Segoe UI" w:eastAsia="Times New Roman" w:hAnsi="Segoe UI" w:cs="Segoe UI"/>
      <w:sz w:val="18"/>
      <w:szCs w:val="18"/>
      <w:lang w:eastAsia="cs-CZ"/>
    </w:rPr>
  </w:style>
  <w:style w:type="paragraph" w:customStyle="1" w:styleId="Default">
    <w:name w:val="Default"/>
    <w:rsid w:val="002F46E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Oznaenpozmn">
    <w:name w:val="Označení pozm.n."/>
    <w:basedOn w:val="Normln"/>
    <w:next w:val="Normln"/>
    <w:rsid w:val="00F73F4B"/>
    <w:pPr>
      <w:widowControl w:val="0"/>
      <w:numPr>
        <w:numId w:val="1"/>
      </w:numPr>
      <w:suppressAutoHyphens/>
      <w:spacing w:after="120"/>
    </w:pPr>
    <w:rPr>
      <w:rFonts w:eastAsia="SimSun" w:cs="Mangal"/>
      <w:b/>
      <w:kern w:val="1"/>
      <w:lang w:eastAsia="zh-CN" w:bidi="hi-IN"/>
    </w:rPr>
  </w:style>
  <w:style w:type="paragraph" w:customStyle="1" w:styleId="PNposlanec">
    <w:name w:val="PN poslanec"/>
    <w:basedOn w:val="Oznaenpozmn"/>
    <w:link w:val="PNposlanecChar"/>
    <w:qFormat/>
    <w:rsid w:val="00F73F4B"/>
  </w:style>
  <w:style w:type="character" w:customStyle="1" w:styleId="PNposlanecChar">
    <w:name w:val="PN poslanec Char"/>
    <w:link w:val="PNposlanec"/>
    <w:rsid w:val="00F73F4B"/>
    <w:rPr>
      <w:rFonts w:ascii="Times New Roman" w:eastAsia="SimSun" w:hAnsi="Times New Roman" w:cs="Mangal"/>
      <w:b/>
      <w:kern w:val="1"/>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1616790">
      <w:bodyDiv w:val="1"/>
      <w:marLeft w:val="0"/>
      <w:marRight w:val="0"/>
      <w:marTop w:val="0"/>
      <w:marBottom w:val="0"/>
      <w:divBdr>
        <w:top w:val="none" w:sz="0" w:space="0" w:color="auto"/>
        <w:left w:val="none" w:sz="0" w:space="0" w:color="auto"/>
        <w:bottom w:val="none" w:sz="0" w:space="0" w:color="auto"/>
        <w:right w:val="none" w:sz="0" w:space="0" w:color="auto"/>
      </w:divBdr>
    </w:div>
    <w:div w:id="528681977">
      <w:bodyDiv w:val="1"/>
      <w:marLeft w:val="0"/>
      <w:marRight w:val="0"/>
      <w:marTop w:val="0"/>
      <w:marBottom w:val="0"/>
      <w:divBdr>
        <w:top w:val="none" w:sz="0" w:space="0" w:color="auto"/>
        <w:left w:val="none" w:sz="0" w:space="0" w:color="auto"/>
        <w:bottom w:val="none" w:sz="0" w:space="0" w:color="auto"/>
        <w:right w:val="none" w:sz="0" w:space="0" w:color="auto"/>
      </w:divBdr>
    </w:div>
    <w:div w:id="638657941">
      <w:bodyDiv w:val="1"/>
      <w:marLeft w:val="0"/>
      <w:marRight w:val="0"/>
      <w:marTop w:val="0"/>
      <w:marBottom w:val="0"/>
      <w:divBdr>
        <w:top w:val="none" w:sz="0" w:space="0" w:color="auto"/>
        <w:left w:val="none" w:sz="0" w:space="0" w:color="auto"/>
        <w:bottom w:val="none" w:sz="0" w:space="0" w:color="auto"/>
        <w:right w:val="none" w:sz="0" w:space="0" w:color="auto"/>
      </w:divBdr>
    </w:div>
    <w:div w:id="1300695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D0D39A-B0F2-4F11-B2E1-624D8495DE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1280</Words>
  <Characters>7557</Characters>
  <Application>Microsoft Office Word</Application>
  <DocSecurity>0</DocSecurity>
  <Lines>62</Lines>
  <Paragraphs>17</Paragraphs>
  <ScaleCrop>false</ScaleCrop>
  <HeadingPairs>
    <vt:vector size="2" baseType="variant">
      <vt:variant>
        <vt:lpstr>Název</vt:lpstr>
      </vt:variant>
      <vt:variant>
        <vt:i4>1</vt:i4>
      </vt:variant>
    </vt:vector>
  </HeadingPairs>
  <TitlesOfParts>
    <vt:vector size="1" baseType="lpstr">
      <vt:lpstr/>
    </vt:vector>
  </TitlesOfParts>
  <Company>MD</Company>
  <LinksUpToDate>false</LinksUpToDate>
  <CharactersWithSpaces>8820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Nagyová Magdaléna Mgr.</dc:creator>
  <cp:keywords/>
  <dc:description/>
  <cp:lastModifiedBy>Frasch Ivan Mgr.</cp:lastModifiedBy>
  <cp:revision>3</cp:revision>
  <cp:lastPrinted>2019-02-04T14:23:00Z</cp:lastPrinted>
  <dcterms:created xsi:type="dcterms:W3CDTF">2022-08-25T13:18:00Z</dcterms:created>
  <dcterms:modified xsi:type="dcterms:W3CDTF">2022-08-25T13:22:00Z</dcterms:modified>
</cp:coreProperties>
</file>