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14715ADF" w:rsidR="003E1216" w:rsidRPr="00C907C5" w:rsidRDefault="00650BA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81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7A2D877E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2043E2">
        <w:t>e</w:t>
      </w:r>
      <w:r w:rsidR="00D87B3C">
        <w:t xml:space="preserve"> </w:t>
      </w:r>
      <w:r w:rsidR="002043E2">
        <w:t>14</w:t>
      </w:r>
      <w:r w:rsidR="00C907C5">
        <w:t>. schůze</w:t>
      </w:r>
    </w:p>
    <w:p w14:paraId="025AB889" w14:textId="3B36FA68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2043E2">
        <w:rPr>
          <w:bCs/>
          <w:iCs/>
        </w:rPr>
        <w:t>1</w:t>
      </w:r>
      <w:r>
        <w:rPr>
          <w:bCs/>
          <w:iCs/>
        </w:rPr>
        <w:t xml:space="preserve">. </w:t>
      </w:r>
      <w:r w:rsidR="002043E2">
        <w:rPr>
          <w:bCs/>
          <w:iCs/>
        </w:rPr>
        <w:t>září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550DE5BC" w:rsidR="00CC33F6" w:rsidRPr="00996356" w:rsidRDefault="00CC33F6" w:rsidP="001808AF">
      <w:pPr>
        <w:pStyle w:val="slovanseznam"/>
        <w:tabs>
          <w:tab w:val="clear" w:pos="360"/>
        </w:tabs>
        <w:spacing w:before="600"/>
        <w:ind w:left="357" w:firstLine="0"/>
        <w:contextualSpacing w:val="0"/>
        <w:jc w:val="center"/>
        <w:rPr>
          <w:i/>
          <w:sz w:val="22"/>
        </w:rPr>
      </w:pPr>
      <w:r>
        <w:t>k v</w:t>
      </w:r>
      <w:r>
        <w:rPr>
          <w:shd w:val="clear" w:color="auto" w:fill="FFFFFF"/>
        </w:rPr>
        <w:t>ládnímu návrhu zákona</w:t>
      </w:r>
      <w:r w:rsidR="001808AF">
        <w:rPr>
          <w:shd w:val="clear" w:color="auto" w:fill="FFFFFF"/>
        </w:rPr>
        <w:t>,</w:t>
      </w:r>
      <w:r w:rsidR="002043E2" w:rsidRPr="00B8578D">
        <w:rPr>
          <w:rFonts w:cs="Times New Roman"/>
          <w:color w:val="000000" w:themeColor="text1"/>
          <w:szCs w:val="24"/>
          <w:shd w:val="clear" w:color="auto" w:fill="FFFFFF"/>
        </w:rPr>
        <w:t xml:space="preserve"> kterým se mění zákon č. 114/1995 Sb., o vnitrozemské plavbě, ve znění pozdějších předpisů, a další související zákony</w:t>
      </w:r>
      <w:r w:rsidR="001808AF">
        <w:rPr>
          <w:rFonts w:eastAsia="Times New Roman" w:cs="Times New Roman"/>
          <w:szCs w:val="20"/>
        </w:rPr>
        <w:br/>
      </w:r>
      <w:r w:rsidR="001808AF" w:rsidRPr="00B45FB9">
        <w:t xml:space="preserve">– </w:t>
      </w:r>
      <w:r w:rsidR="001808AF" w:rsidRPr="00B45FB9">
        <w:rPr>
          <w:b/>
        </w:rPr>
        <w:t>sněmovní tisk </w:t>
      </w:r>
      <w:r w:rsidR="002043E2">
        <w:rPr>
          <w:b/>
        </w:rPr>
        <w:t>20</w:t>
      </w:r>
      <w:r w:rsidR="001808AF">
        <w:rPr>
          <w:b/>
        </w:rPr>
        <w:t>6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7D7ACEAE" w14:textId="77777777" w:rsidR="00C45EDA" w:rsidRPr="00C45EDA" w:rsidRDefault="00C45EDA" w:rsidP="00C45EDA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5EDA">
        <w:rPr>
          <w:rFonts w:ascii="Times New Roman" w:hAnsi="Times New Roman"/>
          <w:sz w:val="24"/>
          <w:szCs w:val="24"/>
        </w:rPr>
        <w:t>Hospodářský výbor Poslanecké sněmovny Parlamentu ČR jako garanční výbor po pro-jednání návrhu zákona po druhém čtení</w:t>
      </w:r>
    </w:p>
    <w:p w14:paraId="534C197C" w14:textId="02757468" w:rsidR="00EF638C" w:rsidRPr="00D5456C" w:rsidRDefault="00EF638C" w:rsidP="00D87DF2">
      <w:pPr>
        <w:pStyle w:val="Odstavecseseznamem"/>
        <w:numPr>
          <w:ilvl w:val="0"/>
          <w:numId w:val="34"/>
        </w:numPr>
        <w:suppressAutoHyphens/>
        <w:spacing w:before="36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</w:t>
      </w:r>
      <w:r w:rsidRPr="009F7620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sněmovního tisku </w:t>
      </w:r>
      <w:r w:rsidR="00EA07C8" w:rsidRPr="009F762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206</w:t>
      </w:r>
      <w:r w:rsidRPr="009F7620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/</w:t>
      </w:r>
      <w:r w:rsidR="00CC33F6" w:rsidRPr="009F762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303B4374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07D3D">
        <w:t xml:space="preserve"> A</w:t>
      </w:r>
      <w:r w:rsidR="00D07D3D" w:rsidRPr="00D07D3D">
        <w:rPr>
          <w:i/>
        </w:rPr>
        <w:t xml:space="preserve"> </w:t>
      </w:r>
      <w:r w:rsidR="00D07D3D" w:rsidRPr="00663218">
        <w:t>(usnesení HV)</w:t>
      </w:r>
    </w:p>
    <w:p w14:paraId="7F0100A2" w14:textId="64E9122C" w:rsidR="00663218" w:rsidRPr="00420F8A" w:rsidRDefault="00663218" w:rsidP="00663218">
      <w:pPr>
        <w:pStyle w:val="Normlnweb"/>
        <w:widowControl w:val="0"/>
        <w:numPr>
          <w:ilvl w:val="0"/>
          <w:numId w:val="35"/>
        </w:numPr>
        <w:tabs>
          <w:tab w:val="left" w:pos="993"/>
        </w:tabs>
        <w:suppressAutoHyphens/>
        <w:spacing w:before="120" w:beforeAutospacing="0"/>
        <w:ind w:hanging="11"/>
        <w:jc w:val="both"/>
        <w:textAlignment w:val="baseline"/>
        <w:rPr>
          <w:i/>
        </w:rPr>
      </w:pPr>
      <w:r w:rsidRPr="00420F8A">
        <w:t>pozměňovací návrh B1</w:t>
      </w:r>
    </w:p>
    <w:p w14:paraId="170593F8" w14:textId="0E2FF5B5" w:rsidR="00663218" w:rsidRPr="00420F8A" w:rsidRDefault="00663218" w:rsidP="00663218">
      <w:pPr>
        <w:pStyle w:val="Normlnweb"/>
        <w:widowControl w:val="0"/>
        <w:numPr>
          <w:ilvl w:val="0"/>
          <w:numId w:val="35"/>
        </w:numPr>
        <w:tabs>
          <w:tab w:val="left" w:pos="993"/>
        </w:tabs>
        <w:suppressAutoHyphens/>
        <w:spacing w:before="120" w:beforeAutospacing="0"/>
        <w:ind w:hanging="11"/>
        <w:jc w:val="both"/>
        <w:textAlignment w:val="baseline"/>
        <w:rPr>
          <w:i/>
        </w:rPr>
      </w:pPr>
      <w:r w:rsidRPr="00420F8A">
        <w:t xml:space="preserve"> pozměňovací návrh B2</w:t>
      </w:r>
    </w:p>
    <w:p w14:paraId="60F1D6B3" w14:textId="7FF65349" w:rsidR="00663218" w:rsidRPr="00420F8A" w:rsidRDefault="00663218" w:rsidP="00663218">
      <w:pPr>
        <w:pStyle w:val="Normlnweb"/>
        <w:widowControl w:val="0"/>
        <w:numPr>
          <w:ilvl w:val="0"/>
          <w:numId w:val="35"/>
        </w:numPr>
        <w:tabs>
          <w:tab w:val="left" w:pos="993"/>
        </w:tabs>
        <w:suppressAutoHyphens/>
        <w:spacing w:before="120" w:beforeAutospacing="0"/>
        <w:ind w:hanging="11"/>
        <w:jc w:val="both"/>
        <w:textAlignment w:val="baseline"/>
        <w:rPr>
          <w:i/>
        </w:rPr>
      </w:pPr>
      <w:r w:rsidRPr="00420F8A">
        <w:t xml:space="preserve"> </w:t>
      </w:r>
      <w:r w:rsidR="00E567D5" w:rsidRPr="00420F8A">
        <w:t>p</w:t>
      </w:r>
      <w:r w:rsidRPr="00420F8A">
        <w:t>ozměňovací návrh B3</w:t>
      </w:r>
    </w:p>
    <w:p w14:paraId="06FAEDE1" w14:textId="1243FCC6" w:rsidR="00EF638C" w:rsidRPr="00751D84" w:rsidRDefault="00EF638C" w:rsidP="00663218">
      <w:pPr>
        <w:pStyle w:val="Normlnweb"/>
        <w:widowControl w:val="0"/>
        <w:numPr>
          <w:ilvl w:val="0"/>
          <w:numId w:val="35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D87DF2">
      <w:pPr>
        <w:pStyle w:val="Odstavecseseznamem"/>
        <w:numPr>
          <w:ilvl w:val="0"/>
          <w:numId w:val="27"/>
        </w:numPr>
        <w:suppressAutoHyphens/>
        <w:spacing w:before="48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3D8CF95B" w:rsidR="00EF638C" w:rsidRDefault="00DA0367" w:rsidP="00D5456C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D07D3D">
        <w:rPr>
          <w:rFonts w:ascii="Times New Roman" w:hAnsi="Times New Roman"/>
          <w:sz w:val="24"/>
          <w:szCs w:val="24"/>
        </w:rPr>
        <w:t xml:space="preserve"> A</w:t>
      </w:r>
      <w:r w:rsidR="00CC33F6">
        <w:rPr>
          <w:rFonts w:ascii="Times New Roman" w:hAnsi="Times New Roman"/>
          <w:sz w:val="24"/>
          <w:szCs w:val="24"/>
        </w:rPr>
        <w:tab/>
      </w:r>
      <w:r w:rsidR="00CC33F6">
        <w:rPr>
          <w:rFonts w:ascii="Times New Roman" w:hAnsi="Times New Roman"/>
          <w:sz w:val="24"/>
          <w:szCs w:val="24"/>
        </w:rPr>
        <w:tab/>
      </w:r>
      <w:r w:rsidR="00D5121E">
        <w:rPr>
          <w:rFonts w:ascii="Times New Roman" w:hAnsi="Times New Roman"/>
          <w:sz w:val="24"/>
          <w:szCs w:val="24"/>
        </w:rPr>
        <w:tab/>
      </w:r>
      <w:r w:rsidR="00663218">
        <w:rPr>
          <w:rFonts w:ascii="Times New Roman" w:hAnsi="Times New Roman"/>
          <w:b/>
          <w:sz w:val="24"/>
          <w:szCs w:val="24"/>
        </w:rPr>
        <w:t>bez stanoviska</w:t>
      </w:r>
    </w:p>
    <w:p w14:paraId="74212694" w14:textId="070BF7EA" w:rsidR="00663218" w:rsidRPr="00420F8A" w:rsidRDefault="00663218" w:rsidP="00663218">
      <w:pPr>
        <w:suppressAutoHyphens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20F8A">
        <w:rPr>
          <w:rFonts w:ascii="Times New Roman" w:hAnsi="Times New Roman"/>
          <w:sz w:val="24"/>
          <w:szCs w:val="24"/>
        </w:rPr>
        <w:t>pozměňovací návrhy B1</w:t>
      </w:r>
      <w:r w:rsidRPr="00420F8A">
        <w:rPr>
          <w:rFonts w:ascii="Times New Roman" w:hAnsi="Times New Roman"/>
          <w:b/>
          <w:sz w:val="24"/>
          <w:szCs w:val="24"/>
        </w:rPr>
        <w:t xml:space="preserve"> </w:t>
      </w:r>
      <w:r w:rsidRPr="00420F8A">
        <w:rPr>
          <w:rFonts w:ascii="Times New Roman" w:hAnsi="Times New Roman"/>
          <w:b/>
          <w:sz w:val="24"/>
          <w:szCs w:val="24"/>
        </w:rPr>
        <w:tab/>
      </w:r>
      <w:r w:rsidRPr="00420F8A">
        <w:rPr>
          <w:rFonts w:ascii="Times New Roman" w:hAnsi="Times New Roman"/>
          <w:b/>
          <w:sz w:val="24"/>
          <w:szCs w:val="24"/>
        </w:rPr>
        <w:tab/>
        <w:t>doporučuje</w:t>
      </w:r>
    </w:p>
    <w:p w14:paraId="5FCD170B" w14:textId="0868A8EA" w:rsidR="00663218" w:rsidRPr="00420F8A" w:rsidRDefault="00663218" w:rsidP="00663218">
      <w:pPr>
        <w:suppressAutoHyphens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20F8A">
        <w:rPr>
          <w:rFonts w:ascii="Times New Roman" w:hAnsi="Times New Roman"/>
          <w:sz w:val="24"/>
          <w:szCs w:val="24"/>
        </w:rPr>
        <w:t>pozměňovací návrhy B2</w:t>
      </w:r>
      <w:r w:rsidRPr="00420F8A">
        <w:rPr>
          <w:rFonts w:ascii="Times New Roman" w:hAnsi="Times New Roman"/>
          <w:b/>
          <w:sz w:val="24"/>
          <w:szCs w:val="24"/>
        </w:rPr>
        <w:t xml:space="preserve"> </w:t>
      </w:r>
      <w:r w:rsidRPr="00420F8A">
        <w:rPr>
          <w:rFonts w:ascii="Times New Roman" w:hAnsi="Times New Roman"/>
          <w:b/>
          <w:sz w:val="24"/>
          <w:szCs w:val="24"/>
        </w:rPr>
        <w:tab/>
      </w:r>
      <w:r w:rsidRPr="00420F8A">
        <w:rPr>
          <w:rFonts w:ascii="Times New Roman" w:hAnsi="Times New Roman"/>
          <w:b/>
          <w:sz w:val="24"/>
          <w:szCs w:val="24"/>
        </w:rPr>
        <w:tab/>
        <w:t>doporučuje</w:t>
      </w:r>
    </w:p>
    <w:p w14:paraId="4CF34ED9" w14:textId="18080336" w:rsidR="00663218" w:rsidRPr="000755EB" w:rsidRDefault="00663218" w:rsidP="00663218">
      <w:pPr>
        <w:suppressAutoHyphens/>
        <w:spacing w:before="120"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20F8A">
        <w:rPr>
          <w:rFonts w:ascii="Times New Roman" w:hAnsi="Times New Roman"/>
          <w:sz w:val="24"/>
          <w:szCs w:val="24"/>
        </w:rPr>
        <w:t>pozměňovací návrhy B3</w:t>
      </w:r>
      <w:r w:rsidRPr="00420F8A">
        <w:rPr>
          <w:rFonts w:ascii="Times New Roman" w:hAnsi="Times New Roman"/>
          <w:b/>
          <w:sz w:val="24"/>
          <w:szCs w:val="24"/>
        </w:rPr>
        <w:t xml:space="preserve"> </w:t>
      </w:r>
      <w:r w:rsidRPr="00420F8A">
        <w:rPr>
          <w:rFonts w:ascii="Times New Roman" w:hAnsi="Times New Roman"/>
          <w:b/>
          <w:sz w:val="24"/>
          <w:szCs w:val="24"/>
        </w:rPr>
        <w:tab/>
      </w:r>
      <w:r w:rsidRPr="00420F8A">
        <w:rPr>
          <w:rFonts w:ascii="Times New Roman" w:hAnsi="Times New Roman"/>
          <w:b/>
          <w:sz w:val="24"/>
          <w:szCs w:val="24"/>
        </w:rPr>
        <w:tab/>
        <w:t>doporučuje</w:t>
      </w:r>
    </w:p>
    <w:p w14:paraId="303BEB6A" w14:textId="2347CD23" w:rsidR="00EF638C" w:rsidRPr="000755EB" w:rsidRDefault="00EF638C" w:rsidP="00E560AB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663218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371CF5E7" w:rsidR="00EF638C" w:rsidRPr="00C03BB5" w:rsidRDefault="00EF638C" w:rsidP="00D87DF2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lastRenderedPageBreak/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2043E2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2B05CEAC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2043E2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6C5BC779" w:rsidR="00EF638C" w:rsidRDefault="00EF638C" w:rsidP="00D87DF2">
      <w:pPr>
        <w:pStyle w:val="PStextHV"/>
        <w:numPr>
          <w:ilvl w:val="0"/>
          <w:numId w:val="30"/>
        </w:numPr>
        <w:spacing w:before="48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E531F">
        <w:t>kyni</w:t>
      </w:r>
      <w:r w:rsidRPr="00242FCA">
        <w:t xml:space="preserve"> Poslanecké sněmovny</w:t>
      </w:r>
      <w:r>
        <w:t>.</w:t>
      </w:r>
    </w:p>
    <w:p w14:paraId="576B2094" w14:textId="2C0E2826" w:rsidR="00C3035B" w:rsidRPr="00524661" w:rsidRDefault="002043E2" w:rsidP="002043E2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ind w:left="7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Marek NOVÁK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D49F7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Jiří HÁJEK</w:t>
      </w:r>
      <w:r w:rsidR="00DD49F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7B46DC34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043E2">
        <w:rPr>
          <w:rFonts w:ascii="Times New Roman" w:hAnsi="Times New Roman"/>
          <w:sz w:val="24"/>
          <w:szCs w:val="24"/>
          <w:lang w:eastAsia="cs-CZ"/>
        </w:rPr>
        <w:t xml:space="preserve">         </w:t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662474CD" w:rsidR="007D5AF0" w:rsidRPr="00524661" w:rsidRDefault="00420F8A" w:rsidP="00663218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Jan BAUER</w:t>
      </w:r>
      <w:r w:rsidR="00DD49F7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14:paraId="00A27AFC" w14:textId="13BA5118" w:rsidR="00A47BEA" w:rsidRPr="00524661" w:rsidRDefault="00420F8A" w:rsidP="002043E2">
      <w:pPr>
        <w:tabs>
          <w:tab w:val="center" w:pos="1418"/>
          <w:tab w:val="center" w:pos="4536"/>
          <w:tab w:val="center" w:pos="7655"/>
        </w:tabs>
        <w:spacing w:after="0" w:line="240" w:lineRule="auto"/>
        <w:jc w:val="center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místo</w:t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197046"/>
    <w:multiLevelType w:val="hybridMultilevel"/>
    <w:tmpl w:val="533A7204"/>
    <w:lvl w:ilvl="0" w:tplc="77F45ED2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3"/>
  </w:num>
  <w:num w:numId="16">
    <w:abstractNumId w:val="26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5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4"/>
  </w:num>
  <w:num w:numId="30">
    <w:abstractNumId w:val="30"/>
  </w:num>
  <w:num w:numId="31">
    <w:abstractNumId w:val="16"/>
  </w:num>
  <w:num w:numId="32">
    <w:abstractNumId w:val="22"/>
  </w:num>
  <w:num w:numId="33">
    <w:abstractNumId w:val="12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808AF"/>
    <w:rsid w:val="001D31DB"/>
    <w:rsid w:val="001D480E"/>
    <w:rsid w:val="001D62A9"/>
    <w:rsid w:val="001E2E72"/>
    <w:rsid w:val="002043E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12A8"/>
    <w:rsid w:val="003F7969"/>
    <w:rsid w:val="00416EA7"/>
    <w:rsid w:val="00420F8A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92292"/>
    <w:rsid w:val="005A6FA8"/>
    <w:rsid w:val="00616FD9"/>
    <w:rsid w:val="00650BA2"/>
    <w:rsid w:val="006571DB"/>
    <w:rsid w:val="00663218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668F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27E01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F6EBA"/>
    <w:rsid w:val="009F7620"/>
    <w:rsid w:val="00A0557D"/>
    <w:rsid w:val="00A371B0"/>
    <w:rsid w:val="00A47BEA"/>
    <w:rsid w:val="00A640F6"/>
    <w:rsid w:val="00A84635"/>
    <w:rsid w:val="00AA1BEC"/>
    <w:rsid w:val="00AB30C2"/>
    <w:rsid w:val="00AD6905"/>
    <w:rsid w:val="00AE531F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A0F1E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45EDA"/>
    <w:rsid w:val="00C54849"/>
    <w:rsid w:val="00C60195"/>
    <w:rsid w:val="00C67A97"/>
    <w:rsid w:val="00C907C5"/>
    <w:rsid w:val="00C92E3F"/>
    <w:rsid w:val="00C97BAC"/>
    <w:rsid w:val="00CB4AA3"/>
    <w:rsid w:val="00CB5879"/>
    <w:rsid w:val="00CC33F6"/>
    <w:rsid w:val="00D07D3D"/>
    <w:rsid w:val="00D16CDC"/>
    <w:rsid w:val="00D300A9"/>
    <w:rsid w:val="00D42F9F"/>
    <w:rsid w:val="00D5121E"/>
    <w:rsid w:val="00D5456C"/>
    <w:rsid w:val="00D70B05"/>
    <w:rsid w:val="00D87B3C"/>
    <w:rsid w:val="00D87DF2"/>
    <w:rsid w:val="00DA0367"/>
    <w:rsid w:val="00DA1A01"/>
    <w:rsid w:val="00DD49F7"/>
    <w:rsid w:val="00DF7720"/>
    <w:rsid w:val="00E22264"/>
    <w:rsid w:val="00E31117"/>
    <w:rsid w:val="00E31D3B"/>
    <w:rsid w:val="00E50212"/>
    <w:rsid w:val="00E560AB"/>
    <w:rsid w:val="00E567D5"/>
    <w:rsid w:val="00E63FB5"/>
    <w:rsid w:val="00E73024"/>
    <w:rsid w:val="00E83F84"/>
    <w:rsid w:val="00EA0554"/>
    <w:rsid w:val="00EA07C8"/>
    <w:rsid w:val="00EA70E0"/>
    <w:rsid w:val="00EA71EE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09DB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30EA9-1299-4DFD-96DD-FCE11896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108</TotalTime>
  <Pages>2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2022-09-01T09:41:00Z</cp:lastPrinted>
  <dcterms:created xsi:type="dcterms:W3CDTF">2022-08-16T06:06:00Z</dcterms:created>
  <dcterms:modified xsi:type="dcterms:W3CDTF">2022-09-01T09:42:00Z</dcterms:modified>
</cp:coreProperties>
</file>