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74A5" w14:textId="77777777" w:rsidR="00B4631D" w:rsidRPr="00584635" w:rsidRDefault="00B4631D" w:rsidP="00B4631D">
      <w:pPr>
        <w:pStyle w:val="Nadpis2"/>
        <w:rPr>
          <w:caps/>
          <w:sz w:val="48"/>
        </w:rPr>
      </w:pPr>
      <w:r w:rsidRPr="00584635">
        <w:t>Parlament České republiky</w:t>
      </w:r>
    </w:p>
    <w:p w14:paraId="41B7A56C" w14:textId="77777777" w:rsidR="00B4631D" w:rsidRPr="00584635" w:rsidRDefault="00B4631D" w:rsidP="00B4631D">
      <w:pPr>
        <w:pStyle w:val="Nadpis1"/>
        <w:spacing w:before="0" w:after="0"/>
        <w:jc w:val="center"/>
        <w:rPr>
          <w:rFonts w:eastAsia="Times New Roman" w:cs="Times New Roman"/>
          <w:sz w:val="32"/>
        </w:rPr>
      </w:pPr>
      <w:r w:rsidRPr="00584635">
        <w:rPr>
          <w:rFonts w:eastAsia="Times New Roman" w:cs="Times New Roman"/>
          <w:caps/>
          <w:spacing w:val="40"/>
          <w:sz w:val="48"/>
        </w:rPr>
        <w:t>Poslanecká sněmovna</w:t>
      </w:r>
    </w:p>
    <w:p w14:paraId="3D520503" w14:textId="5762C45F" w:rsidR="00B4631D" w:rsidRPr="00584635" w:rsidRDefault="00B4631D" w:rsidP="00B4631D">
      <w:pPr>
        <w:jc w:val="center"/>
        <w:rPr>
          <w:rFonts w:ascii="Times New Roman" w:hAnsi="Times New Roman" w:cs="Times New Roman"/>
        </w:rPr>
      </w:pPr>
      <w:r w:rsidRPr="00584635">
        <w:rPr>
          <w:rFonts w:ascii="Times New Roman" w:hAnsi="Times New Roman" w:cs="Times New Roman"/>
          <w:sz w:val="32"/>
        </w:rPr>
        <w:t>20</w:t>
      </w:r>
      <w:r>
        <w:rPr>
          <w:rFonts w:ascii="Times New Roman" w:hAnsi="Times New Roman" w:cs="Times New Roman"/>
          <w:sz w:val="32"/>
        </w:rPr>
        <w:t>2</w:t>
      </w:r>
      <w:r w:rsidR="004A057B">
        <w:rPr>
          <w:rFonts w:ascii="Times New Roman" w:hAnsi="Times New Roman" w:cs="Times New Roman"/>
          <w:sz w:val="32"/>
        </w:rPr>
        <w:t>2</w:t>
      </w:r>
    </w:p>
    <w:p w14:paraId="0E9729B2" w14:textId="77777777" w:rsidR="00B4631D" w:rsidRPr="00584635" w:rsidRDefault="00B4631D" w:rsidP="00B4631D">
      <w:pPr>
        <w:jc w:val="center"/>
        <w:rPr>
          <w:rFonts w:ascii="Times New Roman" w:hAnsi="Times New Roman" w:cs="Times New Roman"/>
        </w:rPr>
      </w:pPr>
    </w:p>
    <w:p w14:paraId="582750D4" w14:textId="3FAB4B61" w:rsidR="00B4631D" w:rsidRPr="00584635" w:rsidRDefault="004A057B" w:rsidP="00B4631D">
      <w:pPr>
        <w:pStyle w:val="Nadpis2"/>
        <w:rPr>
          <w:rFonts w:eastAsia="Times New Roman" w:cs="Times New Roman"/>
          <w:b/>
        </w:rPr>
      </w:pPr>
      <w:r>
        <w:rPr>
          <w:rFonts w:eastAsia="Times New Roman" w:cs="Times New Roman"/>
          <w:sz w:val="28"/>
        </w:rPr>
        <w:t>9</w:t>
      </w:r>
      <w:r w:rsidR="00B4631D" w:rsidRPr="00584635">
        <w:rPr>
          <w:rFonts w:eastAsia="Times New Roman" w:cs="Times New Roman"/>
          <w:sz w:val="28"/>
        </w:rPr>
        <w:t>. volební období</w:t>
      </w:r>
    </w:p>
    <w:p w14:paraId="7754B392" w14:textId="77777777" w:rsidR="00B4631D" w:rsidRPr="00584635" w:rsidRDefault="00B4631D" w:rsidP="00B4631D">
      <w:pPr>
        <w:jc w:val="center"/>
        <w:rPr>
          <w:rFonts w:ascii="Times New Roman" w:hAnsi="Times New Roman" w:cs="Times New Roman"/>
          <w:b/>
        </w:rPr>
      </w:pPr>
    </w:p>
    <w:p w14:paraId="0779F116" w14:textId="77777777" w:rsidR="00B4631D" w:rsidRPr="00584635" w:rsidRDefault="00B4631D" w:rsidP="00B4631D">
      <w:pPr>
        <w:pBdr>
          <w:bottom w:val="single" w:sz="4" w:space="1" w:color="000000"/>
        </w:pBdr>
        <w:jc w:val="center"/>
        <w:rPr>
          <w:rFonts w:ascii="Times New Roman" w:hAnsi="Times New Roman" w:cs="Times New Roman"/>
          <w:b/>
        </w:rPr>
      </w:pPr>
    </w:p>
    <w:p w14:paraId="6C229502" w14:textId="77777777" w:rsidR="00B4631D" w:rsidRPr="00584635" w:rsidRDefault="00B4631D" w:rsidP="00B4631D">
      <w:pPr>
        <w:rPr>
          <w:rFonts w:ascii="Times New Roman" w:hAnsi="Times New Roman" w:cs="Times New Roman"/>
          <w:b/>
        </w:rPr>
      </w:pPr>
    </w:p>
    <w:p w14:paraId="05BB5A87" w14:textId="77777777" w:rsidR="00B4631D" w:rsidRPr="00584635" w:rsidRDefault="00B4631D" w:rsidP="00B4631D">
      <w:pPr>
        <w:rPr>
          <w:rFonts w:ascii="Times New Roman" w:hAnsi="Times New Roman" w:cs="Times New Roman"/>
          <w:b/>
        </w:rPr>
      </w:pPr>
    </w:p>
    <w:p w14:paraId="7F8C96A0" w14:textId="77777777" w:rsidR="00B4631D" w:rsidRPr="00584635" w:rsidRDefault="00B4631D" w:rsidP="00B4631D">
      <w:pPr>
        <w:rPr>
          <w:rFonts w:ascii="Times New Roman" w:hAnsi="Times New Roman" w:cs="Times New Roman"/>
          <w:b/>
        </w:rPr>
      </w:pPr>
    </w:p>
    <w:p w14:paraId="4F7B710F" w14:textId="77777777" w:rsidR="00B4631D" w:rsidRPr="00584635" w:rsidRDefault="00B4631D" w:rsidP="00B4631D">
      <w:pPr>
        <w:rPr>
          <w:rFonts w:ascii="Times New Roman" w:hAnsi="Times New Roman" w:cs="Times New Roman"/>
          <w:b/>
        </w:rPr>
      </w:pPr>
    </w:p>
    <w:p w14:paraId="4DAD2CE2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079FAB2E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1376A55B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49B25CE3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5AA25F95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2239BF48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1C6BF311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745898B5" w14:textId="77777777" w:rsidR="00B4631D" w:rsidRPr="00584635" w:rsidRDefault="00B4631D" w:rsidP="00B4631D">
      <w:pPr>
        <w:jc w:val="center"/>
        <w:rPr>
          <w:rFonts w:ascii="Times New Roman" w:hAnsi="Times New Roman" w:cs="Times New Roman"/>
          <w:b/>
          <w:sz w:val="28"/>
        </w:rPr>
      </w:pPr>
    </w:p>
    <w:p w14:paraId="05E7472D" w14:textId="63233C5A" w:rsidR="00B4631D" w:rsidRPr="00E81DB0" w:rsidRDefault="00B4631D" w:rsidP="00D17444">
      <w:pPr>
        <w:spacing w:before="240" w:after="240"/>
        <w:jc w:val="center"/>
        <w:rPr>
          <w:rFonts w:ascii="Times New Roman" w:hAnsi="Times New Roman" w:cs="Times New Roman"/>
          <w:b/>
          <w:sz w:val="28"/>
        </w:rPr>
      </w:pPr>
      <w:r w:rsidRPr="00E81DB0">
        <w:rPr>
          <w:rFonts w:ascii="Times New Roman" w:hAnsi="Times New Roman" w:cs="Times New Roman"/>
          <w:b/>
          <w:sz w:val="28"/>
        </w:rPr>
        <w:t>Pozměňovací návrh</w:t>
      </w:r>
      <w:r w:rsidR="00B23BD2">
        <w:rPr>
          <w:rFonts w:ascii="Times New Roman" w:hAnsi="Times New Roman" w:cs="Times New Roman"/>
          <w:b/>
          <w:sz w:val="28"/>
        </w:rPr>
        <w:t xml:space="preserve"> poslance</w:t>
      </w:r>
      <w:r w:rsidR="006C2488">
        <w:rPr>
          <w:rFonts w:ascii="Times New Roman" w:hAnsi="Times New Roman" w:cs="Times New Roman"/>
          <w:b/>
          <w:sz w:val="28"/>
        </w:rPr>
        <w:t xml:space="preserve"> Ivana Adamce</w:t>
      </w:r>
    </w:p>
    <w:p w14:paraId="14A240B9" w14:textId="5E880B17" w:rsidR="00B4631D" w:rsidRPr="00E81DB0" w:rsidRDefault="00B4631D" w:rsidP="00D17444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DB0">
        <w:rPr>
          <w:rFonts w:ascii="Times New Roman" w:hAnsi="Times New Roman" w:cs="Times New Roman"/>
          <w:b/>
          <w:sz w:val="28"/>
          <w:szCs w:val="28"/>
        </w:rPr>
        <w:t xml:space="preserve">k vládnímu návrhu zákona, </w:t>
      </w:r>
      <w:bookmarkStart w:id="0" w:name="_Hlk50481302"/>
      <w:r w:rsidR="004A057B" w:rsidRPr="00E81D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kterým se mění zákon č. 458/2000 Sb., o podmínkách podnikání a o výkonu státní správy v energetických odvětvích a o změně některých zákonů (energetický zákon), ve znění pozdějších předpisů</w:t>
      </w:r>
    </w:p>
    <w:bookmarkEnd w:id="0"/>
    <w:p w14:paraId="2F99B59A" w14:textId="77777777" w:rsidR="00B4631D" w:rsidRPr="00584635" w:rsidRDefault="00B4631D" w:rsidP="00D17444">
      <w:pPr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36D897DB" w14:textId="00048152" w:rsidR="00B4631D" w:rsidRPr="00584635" w:rsidRDefault="00B4631D" w:rsidP="00D17444">
      <w:pPr>
        <w:spacing w:before="240" w:after="240"/>
        <w:jc w:val="center"/>
        <w:rPr>
          <w:rFonts w:ascii="Times New Roman" w:hAnsi="Times New Roman" w:cs="Times New Roman"/>
          <w:b/>
          <w:sz w:val="26"/>
        </w:rPr>
      </w:pPr>
      <w:r w:rsidRPr="00584635">
        <w:rPr>
          <w:rFonts w:ascii="Times New Roman" w:hAnsi="Times New Roman" w:cs="Times New Roman"/>
          <w:b/>
          <w:sz w:val="28"/>
          <w:szCs w:val="28"/>
        </w:rPr>
        <w:t>(sněmovní tisk</w:t>
      </w:r>
      <w:r w:rsidR="006C2488">
        <w:rPr>
          <w:rFonts w:ascii="Times New Roman" w:hAnsi="Times New Roman" w:cs="Times New Roman"/>
          <w:b/>
          <w:sz w:val="28"/>
          <w:szCs w:val="28"/>
        </w:rPr>
        <w:t xml:space="preserve"> 259</w:t>
      </w:r>
      <w:r w:rsidRPr="00584635">
        <w:rPr>
          <w:rFonts w:ascii="Times New Roman" w:hAnsi="Times New Roman" w:cs="Times New Roman"/>
          <w:b/>
          <w:sz w:val="28"/>
          <w:szCs w:val="28"/>
        </w:rPr>
        <w:t>)</w:t>
      </w:r>
    </w:p>
    <w:p w14:paraId="2E468E44" w14:textId="77777777" w:rsidR="00B4631D" w:rsidRDefault="00B4631D" w:rsidP="00B4631D">
      <w:pPr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br w:type="page"/>
      </w:r>
    </w:p>
    <w:p w14:paraId="63CC9B25" w14:textId="77777777" w:rsidR="00B4631D" w:rsidRDefault="00B4631D" w:rsidP="00B4631D">
      <w:pPr>
        <w:spacing w:line="340" w:lineRule="exact"/>
        <w:jc w:val="both"/>
        <w:rPr>
          <w:rFonts w:ascii="Times New Roman" w:hAnsi="Times New Roman" w:cs="Times New Roman"/>
          <w:b/>
          <w:bCs/>
          <w:u w:val="single"/>
        </w:rPr>
      </w:pPr>
      <w:r w:rsidRPr="00AE102D">
        <w:rPr>
          <w:rFonts w:ascii="Times New Roman" w:hAnsi="Times New Roman" w:cs="Times New Roman"/>
          <w:b/>
          <w:bCs/>
          <w:u w:val="single"/>
        </w:rPr>
        <w:lastRenderedPageBreak/>
        <w:t>Navrhovaná úprava</w:t>
      </w:r>
      <w:r>
        <w:rPr>
          <w:rFonts w:ascii="Times New Roman" w:hAnsi="Times New Roman" w:cs="Times New Roman"/>
          <w:b/>
          <w:bCs/>
          <w:u w:val="single"/>
        </w:rPr>
        <w:t>:</w:t>
      </w:r>
    </w:p>
    <w:p w14:paraId="3B68CF7B" w14:textId="77777777" w:rsidR="00B4631D" w:rsidRDefault="00B4631D" w:rsidP="00B4631D">
      <w:pPr>
        <w:spacing w:line="340" w:lineRule="exact"/>
        <w:jc w:val="both"/>
        <w:rPr>
          <w:rFonts w:ascii="Times New Roman" w:hAnsi="Times New Roman" w:cs="Times New Roman"/>
          <w:b/>
          <w:bCs/>
          <w:u w:val="single"/>
        </w:rPr>
      </w:pPr>
    </w:p>
    <w:p w14:paraId="3EEC70E2" w14:textId="293B406E" w:rsidR="00B4631D" w:rsidRDefault="00B4631D" w:rsidP="00F76D39">
      <w:pPr>
        <w:spacing w:after="240" w:line="276" w:lineRule="auto"/>
        <w:jc w:val="both"/>
        <w:rPr>
          <w:rFonts w:ascii="Times New Roman" w:hAnsi="Times New Roman" w:cs="Times New Roman"/>
          <w:bCs/>
        </w:rPr>
      </w:pPr>
      <w:r w:rsidRPr="00A45102">
        <w:rPr>
          <w:rFonts w:ascii="Times New Roman" w:hAnsi="Times New Roman" w:cs="Times New Roman"/>
          <w:b/>
        </w:rPr>
        <w:t>1.</w:t>
      </w:r>
      <w:r w:rsidRPr="00A45102">
        <w:rPr>
          <w:rFonts w:ascii="Times New Roman" w:hAnsi="Times New Roman" w:cs="Times New Roman"/>
          <w:bCs/>
        </w:rPr>
        <w:t xml:space="preserve"> V čl. I se za dosavadní novelizační bod </w:t>
      </w:r>
      <w:r w:rsidR="00CC09CD">
        <w:rPr>
          <w:rFonts w:ascii="Times New Roman" w:hAnsi="Times New Roman" w:cs="Times New Roman"/>
          <w:bCs/>
        </w:rPr>
        <w:t>1</w:t>
      </w:r>
      <w:r w:rsidRPr="00A45102">
        <w:rPr>
          <w:rFonts w:ascii="Times New Roman" w:hAnsi="Times New Roman" w:cs="Times New Roman"/>
          <w:bCs/>
        </w:rPr>
        <w:t xml:space="preserve"> vklád</w:t>
      </w:r>
      <w:r w:rsidR="00CC09CD">
        <w:rPr>
          <w:rFonts w:ascii="Times New Roman" w:hAnsi="Times New Roman" w:cs="Times New Roman"/>
          <w:bCs/>
        </w:rPr>
        <w:t>á</w:t>
      </w:r>
      <w:r w:rsidRPr="00A45102">
        <w:rPr>
          <w:rFonts w:ascii="Times New Roman" w:hAnsi="Times New Roman" w:cs="Times New Roman"/>
          <w:bCs/>
        </w:rPr>
        <w:t xml:space="preserve"> nov</w:t>
      </w:r>
      <w:r w:rsidR="00CC09CD">
        <w:rPr>
          <w:rFonts w:ascii="Times New Roman" w:hAnsi="Times New Roman" w:cs="Times New Roman"/>
          <w:bCs/>
        </w:rPr>
        <w:t>ý</w:t>
      </w:r>
      <w:r w:rsidRPr="00A45102">
        <w:rPr>
          <w:rFonts w:ascii="Times New Roman" w:hAnsi="Times New Roman" w:cs="Times New Roman"/>
          <w:bCs/>
        </w:rPr>
        <w:t xml:space="preserve"> novelizační bod </w:t>
      </w:r>
      <w:r w:rsidR="00CC09CD">
        <w:rPr>
          <w:rFonts w:ascii="Times New Roman" w:hAnsi="Times New Roman" w:cs="Times New Roman"/>
          <w:bCs/>
        </w:rPr>
        <w:t>2</w:t>
      </w:r>
      <w:r w:rsidRPr="00A45102">
        <w:rPr>
          <w:rFonts w:ascii="Times New Roman" w:hAnsi="Times New Roman" w:cs="Times New Roman"/>
          <w:bCs/>
        </w:rPr>
        <w:t>, kter</w:t>
      </w:r>
      <w:r w:rsidR="00CC09CD">
        <w:rPr>
          <w:rFonts w:ascii="Times New Roman" w:hAnsi="Times New Roman" w:cs="Times New Roman"/>
          <w:bCs/>
        </w:rPr>
        <w:t>ý</w:t>
      </w:r>
      <w:r w:rsidRPr="00A45102">
        <w:rPr>
          <w:rFonts w:ascii="Times New Roman" w:hAnsi="Times New Roman" w:cs="Times New Roman"/>
          <w:bCs/>
        </w:rPr>
        <w:t xml:space="preserve"> zní:</w:t>
      </w:r>
    </w:p>
    <w:p w14:paraId="61238AB5" w14:textId="627EC1F9" w:rsidR="00CC09CD" w:rsidRPr="00A45102" w:rsidRDefault="00CC09CD" w:rsidP="00F76D39">
      <w:pPr>
        <w:spacing w:after="24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„2. V § 56 se na konci odstavce 1 doplňuje věta „</w:t>
      </w:r>
      <w:r w:rsidRPr="00DC67A4">
        <w:rPr>
          <w:rFonts w:ascii="Times New Roman" w:hAnsi="Times New Roman" w:cs="Times New Roman"/>
          <w:bCs/>
          <w:iCs/>
        </w:rPr>
        <w:t xml:space="preserve">Účastníky trhu s plynem jsou rovněž provozovatelé přímých plynovodů a zahraniční fyzické či právnické osoby, které mají </w:t>
      </w:r>
      <w:r>
        <w:rPr>
          <w:rFonts w:ascii="Times New Roman" w:hAnsi="Times New Roman" w:cs="Times New Roman"/>
          <w:bCs/>
          <w:iCs/>
        </w:rPr>
        <w:t>uzavřenou</w:t>
      </w:r>
      <w:r w:rsidRPr="00DC67A4">
        <w:rPr>
          <w:rFonts w:ascii="Times New Roman" w:hAnsi="Times New Roman" w:cs="Times New Roman"/>
          <w:bCs/>
          <w:iCs/>
        </w:rPr>
        <w:t xml:space="preserve"> platnou smlouvu o poskytnutí služby přepravy plynu nebo smlouvu o uskladňování plynu</w:t>
      </w:r>
      <w:r w:rsidRPr="00DC67A4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“.</w:t>
      </w:r>
    </w:p>
    <w:p w14:paraId="15E41DFE" w14:textId="6D78FD52" w:rsidR="00B4631D" w:rsidRPr="00A45102" w:rsidRDefault="00B4631D" w:rsidP="00F76D39">
      <w:pPr>
        <w:spacing w:after="240" w:line="276" w:lineRule="auto"/>
        <w:jc w:val="both"/>
        <w:rPr>
          <w:rFonts w:ascii="Times New Roman" w:hAnsi="Times New Roman" w:cs="Times New Roman"/>
          <w:bCs/>
        </w:rPr>
      </w:pPr>
      <w:r w:rsidRPr="00A45102">
        <w:rPr>
          <w:rFonts w:ascii="Times New Roman" w:hAnsi="Times New Roman" w:cs="Times New Roman"/>
          <w:bCs/>
        </w:rPr>
        <w:t>Následující novelizační body se přečíslují.</w:t>
      </w:r>
    </w:p>
    <w:p w14:paraId="6B5F561D" w14:textId="77777777" w:rsidR="00B4631D" w:rsidRPr="00A45102" w:rsidRDefault="00B4631D" w:rsidP="00B4631D">
      <w:pPr>
        <w:spacing w:after="120"/>
        <w:rPr>
          <w:rFonts w:ascii="Times New Roman" w:hAnsi="Times New Roman"/>
          <w:b/>
          <w:bCs/>
          <w:u w:val="single"/>
        </w:rPr>
      </w:pPr>
      <w:r w:rsidRPr="00A45102">
        <w:rPr>
          <w:rFonts w:ascii="Times New Roman" w:hAnsi="Times New Roman"/>
          <w:b/>
          <w:bCs/>
          <w:u w:val="single"/>
        </w:rPr>
        <w:t>Odůvodnění:</w:t>
      </w:r>
    </w:p>
    <w:p w14:paraId="08E19A36" w14:textId="3F5092C1" w:rsidR="00F76D39" w:rsidRDefault="005167D3" w:rsidP="005167D3">
      <w:pPr>
        <w:pStyle w:val="Odstavecseseznamem"/>
        <w:spacing w:before="240" w:line="276" w:lineRule="auto"/>
        <w:ind w:left="0"/>
        <w:jc w:val="both"/>
      </w:pPr>
      <w:r w:rsidRPr="001F65D3">
        <w:rPr>
          <w:rFonts w:ascii="Times New Roman" w:hAnsi="Times New Roman" w:cs="Times New Roman"/>
        </w:rPr>
        <w:t>Růst počtu zahraničních subjektů, využívajících tuzemskou přepravní soustavu či zásobníky plynu, stejně jako je tomu v případě existence přímých plynovodů, s sebou přinášejí riziko, že při striktním uplatňování textu energetické legislativy by se mohly jevit nejasnosti</w:t>
      </w:r>
      <w:r>
        <w:rPr>
          <w:rFonts w:ascii="Times New Roman" w:hAnsi="Times New Roman" w:cs="Times New Roman"/>
        </w:rPr>
        <w:t>,</w:t>
      </w:r>
      <w:r w:rsidRPr="001F65D3">
        <w:rPr>
          <w:rFonts w:ascii="Times New Roman" w:hAnsi="Times New Roman" w:cs="Times New Roman"/>
        </w:rPr>
        <w:t xml:space="preserve"> zdali zmíněné fyzické či právnické osoby náleží mezi účastníky trhu </w:t>
      </w:r>
      <w:r>
        <w:rPr>
          <w:rFonts w:ascii="Times New Roman" w:hAnsi="Times New Roman" w:cs="Times New Roman"/>
        </w:rPr>
        <w:br/>
      </w:r>
      <w:r w:rsidRPr="001F65D3">
        <w:rPr>
          <w:rFonts w:ascii="Times New Roman" w:hAnsi="Times New Roman" w:cs="Times New Roman"/>
        </w:rPr>
        <w:t>s plynem s krajní možností vyhýbání se plnění některých požadavků, kladených obecně na všechny účastníky trhu s plynem. Proto zmíněná úprava jednoznačným způsobem doplňuje dosavadní text § 56 odst. 1 s cílem zamezit jakémukoliv různému výkladu ohledně účasti na trhu s plynem v případě zmiňovaných subjektů.</w:t>
      </w:r>
    </w:p>
    <w:p w14:paraId="5A83FE44" w14:textId="77777777" w:rsidR="00CC09CD" w:rsidRDefault="00CC09CD" w:rsidP="00F76D39">
      <w:pPr>
        <w:spacing w:after="160" w:line="259" w:lineRule="auto"/>
        <w:rPr>
          <w:rFonts w:ascii="Times New Roman" w:hAnsi="Times New Roman" w:cs="Times New Roman"/>
          <w:b/>
          <w:bCs/>
          <w:u w:val="single"/>
        </w:rPr>
      </w:pPr>
    </w:p>
    <w:p w14:paraId="2CECFE0F" w14:textId="7942B01D" w:rsidR="00B4631D" w:rsidRPr="005167D3" w:rsidRDefault="005167D3" w:rsidP="00F76D39">
      <w:pPr>
        <w:spacing w:after="160" w:line="259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br w:type="page"/>
      </w:r>
      <w:r w:rsidR="00B4631D" w:rsidRPr="00E81DB0">
        <w:rPr>
          <w:rFonts w:ascii="Times New Roman" w:hAnsi="Times New Roman" w:cs="Times New Roman"/>
          <w:b/>
          <w:bCs/>
          <w:u w:val="single"/>
        </w:rPr>
        <w:lastRenderedPageBreak/>
        <w:t>Úplné znění:</w:t>
      </w:r>
    </w:p>
    <w:p w14:paraId="29D31891" w14:textId="1A13B508" w:rsidR="00E81DB0" w:rsidRPr="00E81DB0" w:rsidRDefault="00E81DB0" w:rsidP="00E81DB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E81DB0">
        <w:rPr>
          <w:rFonts w:ascii="Times New Roman" w:hAnsi="Times New Roman" w:cs="Times New Roman"/>
          <w:b/>
        </w:rPr>
        <w:t>Platné znění dotčených částí zákona č. 458/2000 sb., o podmínkách podnikání a o výkonu státní správy v energetických odvětvích a o změně některých zákonů</w:t>
      </w:r>
    </w:p>
    <w:p w14:paraId="1ADB52C7" w14:textId="11A81DCB" w:rsidR="00B4631D" w:rsidRPr="00E81DB0" w:rsidRDefault="00E81DB0" w:rsidP="00E81DB0">
      <w:pPr>
        <w:pStyle w:val="Odstavecseseznamem"/>
        <w:spacing w:after="120" w:line="36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E81DB0">
        <w:rPr>
          <w:rFonts w:ascii="Times New Roman" w:hAnsi="Times New Roman" w:cs="Times New Roman"/>
          <w:b/>
        </w:rPr>
        <w:t>(energetický zákon)</w:t>
      </w:r>
      <w:r w:rsidR="00B4631D" w:rsidRPr="00E81DB0">
        <w:rPr>
          <w:rFonts w:ascii="Times New Roman" w:hAnsi="Times New Roman" w:cs="Times New Roman"/>
          <w:b/>
          <w:bCs/>
        </w:rPr>
        <w:t>, s vyznačenýma změnami.</w:t>
      </w:r>
    </w:p>
    <w:p w14:paraId="1BAB6DAE" w14:textId="4893CC1E" w:rsidR="005167D3" w:rsidRPr="00C4319F" w:rsidRDefault="005167D3" w:rsidP="005167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§ 56 </w:t>
      </w:r>
    </w:p>
    <w:p w14:paraId="1A9B5B1E" w14:textId="77777777" w:rsidR="005167D3" w:rsidRPr="00C4319F" w:rsidRDefault="005167D3" w:rsidP="005167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Cs w:val="16"/>
        </w:rPr>
      </w:pPr>
      <w:r w:rsidRPr="00C4319F">
        <w:rPr>
          <w:rFonts w:ascii="Times New Roman" w:hAnsi="Times New Roman" w:cs="Times New Roman"/>
          <w:b/>
          <w:bCs/>
          <w:szCs w:val="16"/>
        </w:rPr>
        <w:t xml:space="preserve">Účastníci trhu s plynem </w:t>
      </w:r>
    </w:p>
    <w:p w14:paraId="55035C7F" w14:textId="77777777" w:rsidR="005167D3" w:rsidRPr="00C4319F" w:rsidRDefault="005167D3" w:rsidP="005167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16"/>
        </w:rPr>
      </w:pPr>
    </w:p>
    <w:p w14:paraId="12D87DAC" w14:textId="44B9C0FD" w:rsidR="005167D3" w:rsidRPr="00C4319F" w:rsidRDefault="005167D3" w:rsidP="005167D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ab/>
        <w:t xml:space="preserve">(1) Účastníky trhu s plynem jsou </w:t>
      </w:r>
    </w:p>
    <w:p w14:paraId="12BDB986" w14:textId="4FBA7904" w:rsidR="005167D3" w:rsidRPr="00C4319F" w:rsidRDefault="005167D3" w:rsidP="005167D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a) výrobci plynu, </w:t>
      </w:r>
    </w:p>
    <w:p w14:paraId="23C672BD" w14:textId="78E7C122" w:rsidR="005167D3" w:rsidRPr="00C4319F" w:rsidRDefault="005167D3" w:rsidP="005167D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b) provozovatel přepravní soustavy, </w:t>
      </w:r>
    </w:p>
    <w:p w14:paraId="3A631785" w14:textId="23B31D33" w:rsidR="005167D3" w:rsidRPr="00C4319F" w:rsidRDefault="005167D3" w:rsidP="005167D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c) provozovatelé distribučních soustav, </w:t>
      </w:r>
    </w:p>
    <w:p w14:paraId="7CB2C45B" w14:textId="5EFBA47B" w:rsidR="005167D3" w:rsidRPr="00C4319F" w:rsidRDefault="005167D3" w:rsidP="005167D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d) provozovatelé zásobníků plynu, </w:t>
      </w:r>
    </w:p>
    <w:p w14:paraId="04DE0FEC" w14:textId="53348293" w:rsidR="005167D3" w:rsidRPr="00C4319F" w:rsidRDefault="005167D3" w:rsidP="005167D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e) obchodníci s plynem, </w:t>
      </w:r>
    </w:p>
    <w:p w14:paraId="1152EABE" w14:textId="39AF72F5" w:rsidR="005167D3" w:rsidRPr="00C4319F" w:rsidRDefault="005167D3" w:rsidP="005167D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f) zákazníci, </w:t>
      </w:r>
      <w:bookmarkStart w:id="1" w:name="_GoBack"/>
      <w:bookmarkEnd w:id="1"/>
    </w:p>
    <w:p w14:paraId="350434A5" w14:textId="77777777" w:rsidR="005167D3" w:rsidRPr="00C4319F" w:rsidRDefault="005167D3" w:rsidP="005167D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g) operátor trhu. </w:t>
      </w:r>
    </w:p>
    <w:p w14:paraId="7D646B90" w14:textId="7AB05095" w:rsidR="005167D3" w:rsidRPr="005167D3" w:rsidRDefault="005167D3" w:rsidP="005167D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 </w:t>
      </w:r>
      <w:r>
        <w:rPr>
          <w:rFonts w:ascii="Times New Roman" w:hAnsi="Times New Roman" w:cs="Times New Roman"/>
          <w:szCs w:val="16"/>
        </w:rPr>
        <w:tab/>
      </w:r>
      <w:r w:rsidRPr="005167D3">
        <w:rPr>
          <w:rFonts w:ascii="Times New Roman" w:hAnsi="Times New Roman" w:cs="Times New Roman"/>
          <w:b/>
          <w:bCs/>
          <w:iCs/>
        </w:rPr>
        <w:t xml:space="preserve">Účastníky trhu s plynem jsou rovněž provozovatelé přímých plynovodů </w:t>
      </w:r>
      <w:r w:rsidR="005D6FE3">
        <w:rPr>
          <w:rFonts w:ascii="Times New Roman" w:hAnsi="Times New Roman" w:cs="Times New Roman"/>
          <w:b/>
          <w:bCs/>
          <w:iCs/>
        </w:rPr>
        <w:br/>
      </w:r>
      <w:r w:rsidRPr="005167D3">
        <w:rPr>
          <w:rFonts w:ascii="Times New Roman" w:hAnsi="Times New Roman" w:cs="Times New Roman"/>
          <w:b/>
          <w:bCs/>
          <w:iCs/>
        </w:rPr>
        <w:t xml:space="preserve">a zahraniční fyzické či právnické osoby, které mají uzavřenou platnou smlouvu </w:t>
      </w:r>
      <w:r w:rsidR="005D6FE3">
        <w:rPr>
          <w:rFonts w:ascii="Times New Roman" w:hAnsi="Times New Roman" w:cs="Times New Roman"/>
          <w:b/>
          <w:bCs/>
          <w:iCs/>
        </w:rPr>
        <w:br/>
      </w:r>
      <w:r w:rsidRPr="005167D3">
        <w:rPr>
          <w:rFonts w:ascii="Times New Roman" w:hAnsi="Times New Roman" w:cs="Times New Roman"/>
          <w:b/>
          <w:bCs/>
          <w:iCs/>
        </w:rPr>
        <w:t>o poskytnutí služby přepravy plynu nebo smlouvu o uskladňování plynu</w:t>
      </w:r>
      <w:r w:rsidRPr="005167D3">
        <w:rPr>
          <w:rFonts w:ascii="Times New Roman" w:hAnsi="Times New Roman" w:cs="Times New Roman"/>
          <w:b/>
          <w:bCs/>
        </w:rPr>
        <w:t>.</w:t>
      </w:r>
    </w:p>
    <w:p w14:paraId="0587D4CE" w14:textId="79B7F915" w:rsidR="005167D3" w:rsidRPr="00C4319F" w:rsidRDefault="005167D3" w:rsidP="005167D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ab/>
        <w:t xml:space="preserve">(2) Účastník trhu s plynem s právem regulovaného přístupu k přepravní soustavě nebo distribuční soustavě </w:t>
      </w:r>
    </w:p>
    <w:p w14:paraId="3E68D9B9" w14:textId="7AFA2A4E" w:rsidR="005167D3" w:rsidRPr="00C4319F" w:rsidRDefault="005167D3" w:rsidP="005167D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a) odpovídá za odchylku a je subjektem zúčtování odchylek, nebo </w:t>
      </w:r>
    </w:p>
    <w:p w14:paraId="4F47B8F8" w14:textId="307BA2EA" w:rsidR="005167D3" w:rsidRPr="00C4319F" w:rsidRDefault="005167D3" w:rsidP="005167D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szCs w:val="16"/>
        </w:rPr>
      </w:pPr>
      <w:r w:rsidRPr="00C4319F">
        <w:rPr>
          <w:rFonts w:ascii="Times New Roman" w:hAnsi="Times New Roman" w:cs="Times New Roman"/>
          <w:szCs w:val="16"/>
        </w:rPr>
        <w:t xml:space="preserve">b) může přenášet na základě smlouvy odpovědnost za odchylku na jiný subjekt zúčtování odchylek. </w:t>
      </w:r>
    </w:p>
    <w:p w14:paraId="420D9AC1" w14:textId="0D8FE142" w:rsidR="000F0537" w:rsidRDefault="005167D3" w:rsidP="005167D3">
      <w:pPr>
        <w:spacing w:after="240" w:line="276" w:lineRule="auto"/>
        <w:jc w:val="both"/>
      </w:pPr>
      <w:r w:rsidRPr="00C4319F">
        <w:rPr>
          <w:rFonts w:ascii="Times New Roman" w:hAnsi="Times New Roman" w:cs="Times New Roman"/>
          <w:szCs w:val="16"/>
        </w:rPr>
        <w:tab/>
        <w:t>(3) Ve stavu nouze vyhlášeném provozovatelem přepravní soustavy se zúčtování odchylek provádí ve zvláštním režimu zúčtování, a to pouze v časovém období, pro které byl stav nouze vyhlášen. Zvláštní režim zúčtování se uplatní pro celou plynárenskou soustavu a pro všechny subjekty zúčtování.</w:t>
      </w:r>
    </w:p>
    <w:p w14:paraId="2BB95FFF" w14:textId="2EB0305B" w:rsidR="005167D3" w:rsidRPr="005167D3" w:rsidRDefault="005167D3" w:rsidP="005167D3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5167D3">
        <w:rPr>
          <w:rFonts w:ascii="Times New Roman" w:hAnsi="Times New Roman" w:cs="Times New Roman"/>
        </w:rPr>
        <w:t>(4) Účastník trhu s plynem má právo rezervovat přepravní kapacitu ze zásobníku plynu a do zásobníku plynu pouze do výše rezervované skladovací kapacity, kterou disponuje, a dále má povinnost strpět odebrání rezervované přepravní kapacity ze strany provozovatele přepravní soustavy v případě, že disponuje nižší rezervovanou skladovací kapacitou než rezervovanou přepravní kapacitou. Povinnost účastníka trhu s plynem platit za rezervaci pevné přepravní kapacity provozovateli přepravní soustavy cenu v rozsahu kapacity nepřidělené jinému účastníku trhu s plynem tím není dotčena.</w:t>
      </w:r>
    </w:p>
    <w:sectPr w:rsidR="005167D3" w:rsidRPr="005167D3" w:rsidSect="00F5346F">
      <w:footerReference w:type="default" r:id="rId6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C2901" w14:textId="77777777" w:rsidR="00C66AF3" w:rsidRDefault="00C66AF3">
      <w:r>
        <w:separator/>
      </w:r>
    </w:p>
  </w:endnote>
  <w:endnote w:type="continuationSeparator" w:id="0">
    <w:p w14:paraId="45D7B9CB" w14:textId="77777777" w:rsidR="00C66AF3" w:rsidRDefault="00C66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137861"/>
      <w:docPartObj>
        <w:docPartGallery w:val="Page Numbers (Bottom of Page)"/>
        <w:docPartUnique/>
      </w:docPartObj>
    </w:sdtPr>
    <w:sdtEndPr/>
    <w:sdtContent>
      <w:p w14:paraId="527E2E9B" w14:textId="4AD120E2" w:rsidR="005167D3" w:rsidRDefault="005167D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488">
          <w:rPr>
            <w:noProof/>
          </w:rPr>
          <w:t>2</w:t>
        </w:r>
        <w:r>
          <w:fldChar w:fldCharType="end"/>
        </w:r>
      </w:p>
    </w:sdtContent>
  </w:sdt>
  <w:p w14:paraId="67DE6C64" w14:textId="77777777" w:rsidR="00D41E45" w:rsidRDefault="006C24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DF289" w14:textId="77777777" w:rsidR="00C66AF3" w:rsidRDefault="00C66AF3">
      <w:r>
        <w:separator/>
      </w:r>
    </w:p>
  </w:footnote>
  <w:footnote w:type="continuationSeparator" w:id="0">
    <w:p w14:paraId="2EE8E23B" w14:textId="77777777" w:rsidR="00C66AF3" w:rsidRDefault="00C66A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9B"/>
    <w:rsid w:val="000C1800"/>
    <w:rsid w:val="000F0537"/>
    <w:rsid w:val="0011240A"/>
    <w:rsid w:val="003C11CF"/>
    <w:rsid w:val="003E352A"/>
    <w:rsid w:val="00464806"/>
    <w:rsid w:val="004A057B"/>
    <w:rsid w:val="005167D3"/>
    <w:rsid w:val="005D6FE3"/>
    <w:rsid w:val="00675BBE"/>
    <w:rsid w:val="006C2488"/>
    <w:rsid w:val="007E4FCE"/>
    <w:rsid w:val="00875CC5"/>
    <w:rsid w:val="008E3107"/>
    <w:rsid w:val="00914BCD"/>
    <w:rsid w:val="00934040"/>
    <w:rsid w:val="009A248D"/>
    <w:rsid w:val="009B5E8C"/>
    <w:rsid w:val="009F4350"/>
    <w:rsid w:val="00A45102"/>
    <w:rsid w:val="00B23BD2"/>
    <w:rsid w:val="00B4631D"/>
    <w:rsid w:val="00C66AF3"/>
    <w:rsid w:val="00CC09CD"/>
    <w:rsid w:val="00D17444"/>
    <w:rsid w:val="00E45406"/>
    <w:rsid w:val="00E81DB0"/>
    <w:rsid w:val="00F21F6D"/>
    <w:rsid w:val="00F76D39"/>
    <w:rsid w:val="00FD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9087"/>
  <w15:chartTrackingRefBased/>
  <w15:docId w15:val="{9C643FB2-8555-4F56-A405-6B34A2A4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631D"/>
    <w:pPr>
      <w:spacing w:after="0" w:line="240" w:lineRule="auto"/>
    </w:pPr>
    <w:rPr>
      <w:rFonts w:eastAsiaTheme="minorEastAsia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4631D"/>
    <w:pPr>
      <w:keepNext/>
      <w:suppressAutoHyphens/>
      <w:spacing w:before="240" w:after="60"/>
      <w:jc w:val="both"/>
      <w:outlineLvl w:val="0"/>
    </w:pPr>
    <w:rPr>
      <w:rFonts w:ascii="Times New Roman" w:hAnsi="Times New Roman"/>
      <w:sz w:val="20"/>
      <w:szCs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B4631D"/>
    <w:pPr>
      <w:keepNext/>
      <w:suppressAutoHyphens/>
      <w:jc w:val="center"/>
      <w:outlineLvl w:val="1"/>
    </w:pPr>
    <w:rPr>
      <w:rFonts w:ascii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4631D"/>
    <w:rPr>
      <w:rFonts w:ascii="Times New Roman" w:eastAsiaTheme="minorEastAsia" w:hAnsi="Times New Roman"/>
      <w:sz w:val="20"/>
      <w:szCs w:val="20"/>
    </w:rPr>
  </w:style>
  <w:style w:type="character" w:customStyle="1" w:styleId="Nadpis2Char">
    <w:name w:val="Nadpis 2 Char"/>
    <w:basedOn w:val="Standardnpsmoodstavce"/>
    <w:link w:val="Nadpis2"/>
    <w:rsid w:val="00B4631D"/>
    <w:rPr>
      <w:rFonts w:ascii="Times New Roman" w:eastAsiaTheme="minorEastAsia" w:hAnsi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B4631D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4631D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31D"/>
    <w:rPr>
      <w:rFonts w:eastAsiaTheme="minorEastAsia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B4631D"/>
    <w:rPr>
      <w:rFonts w:eastAsiaTheme="minorEastAsia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4631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E81DB0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E81DB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MüllerP</dc:creator>
  <cp:keywords/>
  <dc:description/>
  <cp:lastModifiedBy>Vosatkova Dana</cp:lastModifiedBy>
  <cp:revision>2</cp:revision>
  <dcterms:created xsi:type="dcterms:W3CDTF">2022-07-14T06:34:00Z</dcterms:created>
  <dcterms:modified xsi:type="dcterms:W3CDTF">2022-07-14T06:34:00Z</dcterms:modified>
</cp:coreProperties>
</file>