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F67" w:rsidRPr="008B19A4" w:rsidRDefault="003F6F67" w:rsidP="003F6F67">
      <w:pPr>
        <w:jc w:val="center"/>
        <w:rPr>
          <w:b/>
          <w:smallCaps/>
          <w:spacing w:val="60"/>
          <w:sz w:val="32"/>
          <w:szCs w:val="32"/>
        </w:rPr>
      </w:pPr>
      <w:bookmarkStart w:id="0" w:name="_GoBack"/>
      <w:bookmarkEnd w:id="0"/>
      <w:r w:rsidRPr="008B19A4">
        <w:rPr>
          <w:b/>
          <w:smallCaps/>
          <w:spacing w:val="60"/>
          <w:sz w:val="32"/>
          <w:szCs w:val="32"/>
        </w:rPr>
        <w:t>Stanovisko Ministerstva dopravy</w:t>
      </w:r>
    </w:p>
    <w:p w:rsidR="0073104A" w:rsidRDefault="0073104A" w:rsidP="003F6F67">
      <w:pPr>
        <w:spacing w:before="120"/>
        <w:jc w:val="center"/>
        <w:rPr>
          <w:b/>
          <w:spacing w:val="-3"/>
        </w:rPr>
      </w:pPr>
    </w:p>
    <w:p w:rsidR="003F6F67" w:rsidRPr="006E2D73" w:rsidRDefault="003F6F67" w:rsidP="003F6F67">
      <w:pPr>
        <w:spacing w:before="120"/>
        <w:jc w:val="center"/>
        <w:rPr>
          <w:b/>
          <w:spacing w:val="-3"/>
        </w:rPr>
      </w:pPr>
      <w:r w:rsidRPr="006E2D73">
        <w:rPr>
          <w:b/>
          <w:spacing w:val="-3"/>
        </w:rPr>
        <w:t>k pozměňovacím</w:t>
      </w:r>
      <w:r w:rsidR="004039A0">
        <w:rPr>
          <w:b/>
          <w:spacing w:val="-3"/>
        </w:rPr>
        <w:t>u</w:t>
      </w:r>
      <w:r w:rsidRPr="006E2D73">
        <w:rPr>
          <w:b/>
          <w:spacing w:val="-3"/>
        </w:rPr>
        <w:t xml:space="preserve"> návrh</w:t>
      </w:r>
      <w:r w:rsidR="004039A0">
        <w:rPr>
          <w:b/>
          <w:spacing w:val="-3"/>
        </w:rPr>
        <w:t>u uplatněnému</w:t>
      </w:r>
      <w:r w:rsidRPr="006E2D73">
        <w:rPr>
          <w:b/>
          <w:spacing w:val="-3"/>
        </w:rPr>
        <w:t xml:space="preserve"> </w:t>
      </w:r>
    </w:p>
    <w:p w:rsidR="003F6F67" w:rsidRPr="0073104A" w:rsidRDefault="003F6F67" w:rsidP="0073104A">
      <w:pPr>
        <w:jc w:val="center"/>
        <w:rPr>
          <w:b/>
          <w:szCs w:val="20"/>
          <w:lang w:eastAsia="ar-SA"/>
        </w:rPr>
      </w:pPr>
      <w:r w:rsidRPr="006E2D73">
        <w:rPr>
          <w:b/>
          <w:spacing w:val="-3"/>
        </w:rPr>
        <w:t>k</w:t>
      </w:r>
      <w:r w:rsidR="004039A0">
        <w:rPr>
          <w:b/>
          <w:spacing w:val="-3"/>
        </w:rPr>
        <w:t xml:space="preserve"> vládnímu návrhu zákona, </w:t>
      </w:r>
      <w:r w:rsidR="004039A0" w:rsidRPr="00F373A1">
        <w:rPr>
          <w:b/>
          <w:szCs w:val="20"/>
          <w:lang w:eastAsia="ar-SA"/>
        </w:rPr>
        <w:t>kterým se mění zákon č. 114/1995 Sb., o vnitrozemské plavbě, ve znění pozdějších předpisů, a další související zákony</w:t>
      </w:r>
    </w:p>
    <w:p w:rsidR="003F6F67" w:rsidRPr="006E2D73" w:rsidRDefault="003F6F67" w:rsidP="003F6F67">
      <w:pPr>
        <w:spacing w:before="60"/>
        <w:jc w:val="center"/>
      </w:pPr>
      <w:r w:rsidRPr="006E2D73">
        <w:t xml:space="preserve"> (sněmovní tisk č. </w:t>
      </w:r>
      <w:r w:rsidR="004039A0">
        <w:rPr>
          <w:spacing w:val="-3"/>
        </w:rPr>
        <w:t>206</w:t>
      </w:r>
      <w:r w:rsidRPr="006E2D73">
        <w:t>)</w:t>
      </w:r>
    </w:p>
    <w:p w:rsidR="003F6F67" w:rsidRPr="006E2D73" w:rsidRDefault="003F6F67" w:rsidP="003F6F67">
      <w:pPr>
        <w:spacing w:before="60"/>
        <w:jc w:val="center"/>
        <w:rPr>
          <w:b/>
        </w:rPr>
      </w:pPr>
    </w:p>
    <w:p w:rsidR="003F6F67" w:rsidRPr="006E2D73" w:rsidRDefault="0073104A" w:rsidP="003F6F67">
      <w:pPr>
        <w:jc w:val="center"/>
        <w:rPr>
          <w:bCs/>
        </w:rPr>
      </w:pPr>
      <w:r>
        <w:rPr>
          <w:b/>
          <w:bCs/>
          <w:i/>
        </w:rPr>
        <w:t>pro</w:t>
      </w:r>
      <w:r w:rsidR="003F6F67" w:rsidRPr="006E2D73">
        <w:rPr>
          <w:b/>
          <w:bCs/>
          <w:i/>
        </w:rPr>
        <w:t xml:space="preserve"> projednání v hospodářském výboru P</w:t>
      </w:r>
      <w:r w:rsidR="003F6F67">
        <w:rPr>
          <w:b/>
          <w:bCs/>
          <w:i/>
        </w:rPr>
        <w:t>oslanecké sněmovny Parlamentu České republiky</w:t>
      </w:r>
      <w:r w:rsidR="003F6F67" w:rsidRPr="006E2D73">
        <w:rPr>
          <w:b/>
          <w:bCs/>
          <w:i/>
        </w:rPr>
        <w:t xml:space="preserve"> dne </w:t>
      </w:r>
      <w:r w:rsidR="003F6F67">
        <w:rPr>
          <w:b/>
          <w:bCs/>
          <w:i/>
        </w:rPr>
        <w:t>22. června 2022</w:t>
      </w:r>
    </w:p>
    <w:p w:rsidR="003F6F67" w:rsidRPr="006E2D73" w:rsidRDefault="003F6F67" w:rsidP="003F6F67">
      <w:pPr>
        <w:jc w:val="cente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gridCol w:w="7088"/>
      </w:tblGrid>
      <w:tr w:rsidR="003F6F67" w:rsidRPr="006E2D73" w:rsidTr="0000029B">
        <w:trPr>
          <w:tblHeader/>
        </w:trPr>
        <w:tc>
          <w:tcPr>
            <w:tcW w:w="6946" w:type="dxa"/>
            <w:shd w:val="clear" w:color="auto" w:fill="99CCFF"/>
          </w:tcPr>
          <w:p w:rsidR="003F6F67" w:rsidRPr="006E2D73" w:rsidRDefault="003F6F67" w:rsidP="0000029B">
            <w:pPr>
              <w:spacing w:before="120" w:after="120"/>
              <w:rPr>
                <w:b/>
                <w:i/>
              </w:rPr>
            </w:pPr>
          </w:p>
          <w:p w:rsidR="003F6F67" w:rsidRPr="006E2D73" w:rsidRDefault="003F6F67" w:rsidP="0000029B">
            <w:pPr>
              <w:spacing w:before="120" w:after="120"/>
              <w:jc w:val="center"/>
              <w:rPr>
                <w:b/>
              </w:rPr>
            </w:pPr>
            <w:r w:rsidRPr="006E2D73">
              <w:rPr>
                <w:b/>
                <w:i/>
              </w:rPr>
              <w:t>Pozměňovací návrh</w:t>
            </w:r>
            <w:r w:rsidRPr="006E2D73">
              <w:rPr>
                <w:b/>
              </w:rPr>
              <w:t xml:space="preserve"> </w:t>
            </w:r>
            <w:r w:rsidRPr="006E2D73">
              <w:rPr>
                <w:b/>
                <w:i/>
              </w:rPr>
              <w:t>uplatněn</w:t>
            </w:r>
            <w:r w:rsidR="004039A0">
              <w:rPr>
                <w:b/>
                <w:i/>
              </w:rPr>
              <w:t>ý</w:t>
            </w:r>
            <w:r w:rsidRPr="006E2D73">
              <w:rPr>
                <w:b/>
                <w:i/>
              </w:rPr>
              <w:t xml:space="preserve"> k sněmovnímu tisku č. </w:t>
            </w:r>
            <w:r>
              <w:rPr>
                <w:b/>
                <w:i/>
              </w:rPr>
              <w:t>20</w:t>
            </w:r>
            <w:r w:rsidR="004039A0">
              <w:rPr>
                <w:b/>
                <w:i/>
              </w:rPr>
              <w:t>6</w:t>
            </w:r>
          </w:p>
          <w:p w:rsidR="003F6F67" w:rsidRPr="006E2D73" w:rsidRDefault="003F6F67" w:rsidP="0000029B">
            <w:pPr>
              <w:jc w:val="center"/>
              <w:rPr>
                <w:b/>
              </w:rPr>
            </w:pPr>
          </w:p>
        </w:tc>
        <w:tc>
          <w:tcPr>
            <w:tcW w:w="7088" w:type="dxa"/>
            <w:shd w:val="clear" w:color="auto" w:fill="99CCFF"/>
          </w:tcPr>
          <w:p w:rsidR="003F6F67" w:rsidRPr="006E2D73" w:rsidRDefault="003F6F67" w:rsidP="0000029B">
            <w:pPr>
              <w:spacing w:before="120" w:after="120"/>
              <w:jc w:val="center"/>
              <w:rPr>
                <w:b/>
              </w:rPr>
            </w:pPr>
          </w:p>
          <w:p w:rsidR="003F6F67" w:rsidRPr="006E2D73" w:rsidRDefault="003F6F67" w:rsidP="0000029B">
            <w:pPr>
              <w:spacing w:before="120" w:after="120"/>
              <w:jc w:val="center"/>
              <w:rPr>
                <w:b/>
                <w:i/>
              </w:rPr>
            </w:pPr>
            <w:r w:rsidRPr="006E2D73">
              <w:rPr>
                <w:b/>
                <w:i/>
              </w:rPr>
              <w:t>Stanovisko Ministerstva dopravy</w:t>
            </w:r>
          </w:p>
        </w:tc>
      </w:tr>
      <w:tr w:rsidR="003F6F67" w:rsidRPr="006E2D73" w:rsidTr="0000029B">
        <w:tc>
          <w:tcPr>
            <w:tcW w:w="6946" w:type="dxa"/>
            <w:shd w:val="clear" w:color="auto" w:fill="BFBFBF" w:themeFill="background1" w:themeFillShade="BF"/>
          </w:tcPr>
          <w:p w:rsidR="003F6F67" w:rsidRPr="006E2D73" w:rsidRDefault="003F6F67" w:rsidP="004039A0">
            <w:pPr>
              <w:pStyle w:val="Odstavecseseznamem"/>
              <w:widowControl w:val="0"/>
              <w:autoSpaceDE w:val="0"/>
              <w:autoSpaceDN w:val="0"/>
              <w:adjustRightInd w:val="0"/>
              <w:spacing w:before="120" w:after="120" w:line="240" w:lineRule="auto"/>
              <w:ind w:left="0"/>
              <w:contextualSpacing w:val="0"/>
              <w:jc w:val="center"/>
              <w:rPr>
                <w:rFonts w:ascii="Times New Roman" w:hAnsi="Times New Roman"/>
                <w:b/>
                <w:sz w:val="24"/>
                <w:szCs w:val="24"/>
              </w:rPr>
            </w:pPr>
            <w:r w:rsidRPr="006E2D73">
              <w:rPr>
                <w:rFonts w:ascii="Times New Roman" w:hAnsi="Times New Roman"/>
                <w:b/>
                <w:sz w:val="24"/>
                <w:szCs w:val="24"/>
              </w:rPr>
              <w:t>Pozměňovací návrh poslan</w:t>
            </w:r>
            <w:r>
              <w:rPr>
                <w:rFonts w:ascii="Times New Roman" w:hAnsi="Times New Roman"/>
                <w:b/>
                <w:sz w:val="24"/>
                <w:szCs w:val="24"/>
              </w:rPr>
              <w:t xml:space="preserve">ce </w:t>
            </w:r>
            <w:r w:rsidR="004039A0">
              <w:rPr>
                <w:rFonts w:ascii="Times New Roman" w:hAnsi="Times New Roman"/>
                <w:b/>
                <w:sz w:val="24"/>
                <w:szCs w:val="24"/>
              </w:rPr>
              <w:t>Munzara a dalších</w:t>
            </w:r>
          </w:p>
        </w:tc>
        <w:tc>
          <w:tcPr>
            <w:tcW w:w="7088" w:type="dxa"/>
            <w:shd w:val="clear" w:color="auto" w:fill="BFBFBF" w:themeFill="background1" w:themeFillShade="BF"/>
          </w:tcPr>
          <w:p w:rsidR="003F6F67" w:rsidRPr="006E2D73" w:rsidRDefault="003F6F67" w:rsidP="0000029B">
            <w:pPr>
              <w:spacing w:before="120" w:after="120"/>
              <w:jc w:val="both"/>
              <w:rPr>
                <w:color w:val="FF0000"/>
              </w:rPr>
            </w:pPr>
          </w:p>
        </w:tc>
      </w:tr>
      <w:tr w:rsidR="003F6F67" w:rsidRPr="006E2D73" w:rsidTr="0000029B">
        <w:tc>
          <w:tcPr>
            <w:tcW w:w="6946" w:type="dxa"/>
            <w:shd w:val="clear" w:color="auto" w:fill="FFFFFF" w:themeFill="background1"/>
          </w:tcPr>
          <w:p w:rsidR="004039A0" w:rsidRDefault="004039A0" w:rsidP="004039A0">
            <w:pPr>
              <w:jc w:val="both"/>
              <w:rPr>
                <w:bCs/>
              </w:rPr>
            </w:pPr>
            <w:r w:rsidRPr="00B23850">
              <w:rPr>
                <w:bCs/>
              </w:rPr>
              <w:t>V č</w:t>
            </w:r>
            <w:r>
              <w:rPr>
                <w:bCs/>
              </w:rPr>
              <w:t xml:space="preserve">l. I </w:t>
            </w:r>
            <w:r w:rsidRPr="00CF42B2">
              <w:rPr>
                <w:bCs/>
              </w:rPr>
              <w:t>dosavadním novelizačním bodu</w:t>
            </w:r>
            <w:r>
              <w:rPr>
                <w:bCs/>
              </w:rPr>
              <w:t xml:space="preserve"> 34</w:t>
            </w:r>
            <w:r w:rsidRPr="00CF42B2">
              <w:rPr>
                <w:bCs/>
              </w:rPr>
              <w:t xml:space="preserve"> </w:t>
            </w:r>
            <w:r>
              <w:rPr>
                <w:bCs/>
              </w:rPr>
              <w:t>v § 43 odst. 2 písmeno p) zní:</w:t>
            </w:r>
          </w:p>
          <w:p w:rsidR="004039A0" w:rsidRDefault="004039A0" w:rsidP="004039A0">
            <w:pPr>
              <w:jc w:val="both"/>
              <w:rPr>
                <w:bCs/>
              </w:rPr>
            </w:pPr>
          </w:p>
          <w:p w:rsidR="004039A0" w:rsidRDefault="004039A0" w:rsidP="004039A0">
            <w:pPr>
              <w:jc w:val="both"/>
            </w:pPr>
            <w:r>
              <w:t>„</w:t>
            </w:r>
            <w:r w:rsidRPr="00F373A1">
              <w:t xml:space="preserve">p) vykonává </w:t>
            </w:r>
          </w:p>
          <w:p w:rsidR="004039A0" w:rsidRDefault="004039A0" w:rsidP="004039A0">
            <w:pPr>
              <w:spacing w:before="120"/>
              <w:jc w:val="both"/>
            </w:pPr>
            <w:r>
              <w:t xml:space="preserve">1. </w:t>
            </w:r>
            <w:r w:rsidRPr="00F373A1">
              <w:t>funkci člena posádky plavidla, činnost odborníka na přepravu cestujících nebo činnost odborníka na zkapalněný zemní plyn, obsluhuje plovoucí stroj anebo vede malé nebo rekreační plavidlo pod vlivem al</w:t>
            </w:r>
            <w:r>
              <w:t>koholu nebo jiné návykové látky</w:t>
            </w:r>
            <w:r>
              <w:rPr>
                <w:bCs/>
              </w:rPr>
              <w:t xml:space="preserve">; </w:t>
            </w:r>
            <w:r w:rsidRPr="00B23850">
              <w:rPr>
                <w:rFonts w:eastAsia="Calibri"/>
                <w:bCs/>
              </w:rPr>
              <w:t xml:space="preserve">to neplatí, je-li schopnost k vedení plavidla ovlivněna požitím alkoholu vůdcem malého plavidla bez vlastního strojního pohonu nepodléhajícího evidenci podle tohoto zákona, u něhož je zjištěný obsah alkoholu nižší než </w:t>
            </w:r>
            <w:r>
              <w:rPr>
                <w:rFonts w:eastAsia="Calibri"/>
                <w:bCs/>
              </w:rPr>
              <w:t>0,5</w:t>
            </w:r>
            <w:r w:rsidRPr="00B23850">
              <w:rPr>
                <w:rFonts w:eastAsia="Calibri"/>
                <w:bCs/>
              </w:rPr>
              <w:t xml:space="preserve"> promile, a toto plavidlo je vedeno na nesledované vodní cestě, účelové vodní cestě, </w:t>
            </w:r>
            <w:r>
              <w:rPr>
                <w:rFonts w:eastAsia="Calibri"/>
                <w:bCs/>
              </w:rPr>
              <w:t xml:space="preserve">na </w:t>
            </w:r>
            <w:r w:rsidRPr="00B82A32">
              <w:rPr>
                <w:rFonts w:eastAsia="Calibri"/>
                <w:bCs/>
              </w:rPr>
              <w:t>vodní</w:t>
            </w:r>
            <w:r>
              <w:rPr>
                <w:rFonts w:eastAsia="Calibri"/>
                <w:bCs/>
              </w:rPr>
              <w:t>m</w:t>
            </w:r>
            <w:r w:rsidRPr="00B82A32">
              <w:rPr>
                <w:rFonts w:eastAsia="Calibri"/>
                <w:bCs/>
              </w:rPr>
              <w:t xml:space="preserve"> tok</w:t>
            </w:r>
            <w:r>
              <w:rPr>
                <w:rFonts w:eastAsia="Calibri"/>
                <w:bCs/>
              </w:rPr>
              <w:t>u</w:t>
            </w:r>
            <w:r w:rsidRPr="00B82A32">
              <w:rPr>
                <w:rFonts w:eastAsia="Calibri"/>
                <w:bCs/>
              </w:rPr>
              <w:t xml:space="preserve"> Bečvy od Přerova po ústí vodního toku Moravy</w:t>
            </w:r>
            <w:r w:rsidRPr="00B23850">
              <w:rPr>
                <w:rFonts w:eastAsia="Calibri"/>
                <w:bCs/>
              </w:rPr>
              <w:t xml:space="preserve"> nebo na vodním toku Moravy od ústí vodního toku Bečv</w:t>
            </w:r>
            <w:r>
              <w:rPr>
                <w:rFonts w:eastAsia="Calibri"/>
                <w:bCs/>
              </w:rPr>
              <w:t>y po říční km 196,0 (jez Strž),</w:t>
            </w:r>
            <w:r w:rsidRPr="00F373A1">
              <w:t xml:space="preserve"> nebo</w:t>
            </w:r>
          </w:p>
          <w:p w:rsidR="003F6F67" w:rsidRPr="006E2D73" w:rsidRDefault="004039A0" w:rsidP="004039A0">
            <w:pPr>
              <w:spacing w:before="120"/>
              <w:jc w:val="both"/>
            </w:pPr>
            <w:r>
              <w:lastRenderedPageBreak/>
              <w:t>2. jinou činnost spojenou s plavbou než je činnost uvedená pod bodem 1,</w:t>
            </w:r>
            <w:r w:rsidRPr="00756C0F">
              <w:rPr>
                <w:bCs/>
              </w:rPr>
              <w:t xml:space="preserve"> </w:t>
            </w:r>
            <w:r w:rsidRPr="007D4FF8">
              <w:rPr>
                <w:bCs/>
              </w:rPr>
              <w:t>při níž by mohla ohrozit život nebo zdraví jiné osoby nebo poškodit majetek</w:t>
            </w:r>
            <w:r>
              <w:rPr>
                <w:bCs/>
              </w:rPr>
              <w:t>,</w:t>
            </w:r>
            <w:r w:rsidRPr="00756C0F">
              <w:t xml:space="preserve"> </w:t>
            </w:r>
            <w:r w:rsidRPr="00F373A1">
              <w:t>pod vlivem al</w:t>
            </w:r>
            <w:r>
              <w:t>koholu nebo jiné návykové látky;</w:t>
            </w:r>
            <w:r w:rsidRPr="00756C0F">
              <w:t xml:space="preserve"> to neplatí, je-li schopnost vykonávat tuto činnost ovlivněna požitím alkoholu </w:t>
            </w:r>
            <w:r>
              <w:t xml:space="preserve">a tato činnost je vykonávána na malém plavidle </w:t>
            </w:r>
            <w:r w:rsidRPr="00756C0F">
              <w:t xml:space="preserve">bez vlastního </w:t>
            </w:r>
            <w:r>
              <w:t>strojního pohonu nepodléhajícím</w:t>
            </w:r>
            <w:r w:rsidRPr="00756C0F">
              <w:t xml:space="preserve"> evidenci podle tohoto zákona</w:t>
            </w:r>
            <w:r>
              <w:t xml:space="preserve">, které je vedeno </w:t>
            </w:r>
            <w:r w:rsidRPr="00756C0F">
              <w:t xml:space="preserve">na nesledované vodní cestě, účelové vodní cestě, </w:t>
            </w:r>
            <w:r>
              <w:rPr>
                <w:rFonts w:eastAsia="Calibri"/>
                <w:bCs/>
              </w:rPr>
              <w:t xml:space="preserve">na </w:t>
            </w:r>
            <w:r w:rsidRPr="00B82A32">
              <w:rPr>
                <w:rFonts w:eastAsia="Calibri"/>
                <w:bCs/>
              </w:rPr>
              <w:t>vodní</w:t>
            </w:r>
            <w:r>
              <w:rPr>
                <w:rFonts w:eastAsia="Calibri"/>
                <w:bCs/>
              </w:rPr>
              <w:t>m</w:t>
            </w:r>
            <w:r w:rsidRPr="00B82A32">
              <w:rPr>
                <w:rFonts w:eastAsia="Calibri"/>
                <w:bCs/>
              </w:rPr>
              <w:t xml:space="preserve"> tok</w:t>
            </w:r>
            <w:r>
              <w:rPr>
                <w:rFonts w:eastAsia="Calibri"/>
                <w:bCs/>
              </w:rPr>
              <w:t>u</w:t>
            </w:r>
            <w:r w:rsidRPr="00B82A32">
              <w:rPr>
                <w:rFonts w:eastAsia="Calibri"/>
                <w:bCs/>
              </w:rPr>
              <w:t xml:space="preserve"> Bečvy od Přerova po ústí vodního toku Moravy</w:t>
            </w:r>
            <w:r w:rsidRPr="00756C0F">
              <w:t xml:space="preserve"> nebo na vodním toku Moravy od ústí vodního toku Bečvy po říční km 196,0 (jez Strž), nebo</w:t>
            </w:r>
            <w:r>
              <w:t>“.</w:t>
            </w:r>
          </w:p>
        </w:tc>
        <w:tc>
          <w:tcPr>
            <w:tcW w:w="7088" w:type="dxa"/>
            <w:shd w:val="clear" w:color="auto" w:fill="FFFFFF" w:themeFill="background1"/>
          </w:tcPr>
          <w:p w:rsidR="003F6F67" w:rsidRPr="00FA23BA" w:rsidRDefault="0073104A" w:rsidP="0000029B">
            <w:pPr>
              <w:tabs>
                <w:tab w:val="left" w:pos="6349"/>
              </w:tabs>
              <w:spacing w:before="120"/>
              <w:jc w:val="both"/>
              <w:rPr>
                <w:b/>
                <w:color w:val="538135" w:themeColor="accent6" w:themeShade="BF"/>
              </w:rPr>
            </w:pPr>
            <w:r>
              <w:rPr>
                <w:b/>
                <w:color w:val="538135" w:themeColor="accent6" w:themeShade="BF"/>
              </w:rPr>
              <w:lastRenderedPageBreak/>
              <w:t>Souhlas</w:t>
            </w:r>
          </w:p>
          <w:p w:rsidR="004039A0" w:rsidRPr="004039A0" w:rsidRDefault="004039A0" w:rsidP="004039A0">
            <w:pPr>
              <w:tabs>
                <w:tab w:val="left" w:pos="6349"/>
              </w:tabs>
              <w:spacing w:before="120"/>
              <w:jc w:val="both"/>
              <w:rPr>
                <w:color w:val="538135" w:themeColor="accent6" w:themeShade="BF"/>
              </w:rPr>
            </w:pPr>
            <w:r w:rsidRPr="004039A0">
              <w:rPr>
                <w:color w:val="538135" w:themeColor="accent6" w:themeShade="BF"/>
              </w:rPr>
              <w:t xml:space="preserve">Cílem pozměňovacího návrhu je vyloučit za přesně stanovených podmínek odpovědnost vůdce malého plavidla za vedení malého plavidla pod vlivem alkoholu a dalších osob vykonávajících činnosti související s plavbou na malém plavidle pod vlivem alkoholu. </w:t>
            </w:r>
          </w:p>
          <w:p w:rsidR="004039A0" w:rsidRPr="004039A0" w:rsidRDefault="004039A0" w:rsidP="004039A0">
            <w:pPr>
              <w:tabs>
                <w:tab w:val="left" w:pos="6349"/>
              </w:tabs>
              <w:spacing w:before="120"/>
              <w:jc w:val="both"/>
              <w:rPr>
                <w:color w:val="538135" w:themeColor="accent6" w:themeShade="BF"/>
              </w:rPr>
            </w:pPr>
            <w:r w:rsidRPr="004039A0">
              <w:rPr>
                <w:color w:val="538135" w:themeColor="accent6" w:themeShade="BF"/>
              </w:rPr>
              <w:t>Ve vztahu k vůdci malého plavidla se musí jednat o vůdce malého plavidla bez vlastního strojního pohonu nepodléhajícího evidenci podle zákona o vnitrozemské plavbě a obsah zjištěného alkoholu musí být nižší než 0,5 promile. S ohledem na to, že v České republice je řada míst s intenzivním plavebním provozem (např. úsek vodní cesty Vltava v</w:t>
            </w:r>
            <w:r>
              <w:rPr>
                <w:color w:val="538135" w:themeColor="accent6" w:themeShade="BF"/>
              </w:rPr>
              <w:t> </w:t>
            </w:r>
            <w:r w:rsidRPr="004039A0">
              <w:rPr>
                <w:color w:val="538135" w:themeColor="accent6" w:themeShade="BF"/>
              </w:rPr>
              <w:t xml:space="preserve">Praze, úseky v blízkosti pláží na vodních nádržích Slapy a Orlík, Baťův kanál), kde je pohyb vyjímaných plavidel vedených podnapilými osobami zcela nežádoucí, obsahuje pozměňovací návrh rovněž územní kritérium navrhovaného částečného omezení sankčního ustanovení. </w:t>
            </w:r>
            <w:r w:rsidRPr="004039A0">
              <w:rPr>
                <w:color w:val="538135" w:themeColor="accent6" w:themeShade="BF"/>
              </w:rPr>
              <w:lastRenderedPageBreak/>
              <w:t xml:space="preserve">Vůdci předmětných plavidel nebudou sankcionováni za vedení těchto plavidel pod vlivem alkoholu s výše uvedeným omezením (0,5 promile) na a) nesledovaných vodních cestách, b) účelových vodních cestách, c) vodním toku Bečvy od Přerova po ústí vodního toku Moravy nebo d) vodním toku Moravy od ústí vodního toku Bečvy po říční kilometr 196,0 (jez Strž). </w:t>
            </w:r>
          </w:p>
          <w:p w:rsidR="004039A0" w:rsidRPr="004039A0" w:rsidRDefault="004039A0" w:rsidP="004039A0">
            <w:pPr>
              <w:tabs>
                <w:tab w:val="left" w:pos="6349"/>
              </w:tabs>
              <w:spacing w:before="120"/>
              <w:jc w:val="both"/>
              <w:rPr>
                <w:color w:val="538135" w:themeColor="accent6" w:themeShade="BF"/>
              </w:rPr>
            </w:pPr>
            <w:r w:rsidRPr="004039A0">
              <w:rPr>
                <w:color w:val="538135" w:themeColor="accent6" w:themeShade="BF"/>
              </w:rPr>
              <w:t>Ve vztahu k ostatním osobám vykonávajícím činnosti související s plavbou na shora uvedeném malém plavidle, které je vedeno na shodně vymezených vodních cestách, pak nebude stanovena žádná hranice obsahu zjištěného alkoholu.</w:t>
            </w:r>
          </w:p>
          <w:p w:rsidR="003F6F67" w:rsidRPr="00A35222" w:rsidRDefault="004039A0" w:rsidP="004039A0">
            <w:pPr>
              <w:tabs>
                <w:tab w:val="left" w:pos="6349"/>
              </w:tabs>
              <w:spacing w:before="120"/>
              <w:jc w:val="both"/>
              <w:rPr>
                <w:color w:val="538135" w:themeColor="accent6" w:themeShade="BF"/>
              </w:rPr>
            </w:pPr>
            <w:r w:rsidRPr="004039A0">
              <w:rPr>
                <w:color w:val="538135" w:themeColor="accent6" w:themeShade="BF"/>
              </w:rPr>
              <w:t>Návrhy obdobného charakteru byly již v minulosti Poslaneckou sněmovnou Parlamentu České republiky i Senátem Parlamentu České republiky opakovaně projednávány. Předložený návrh je kompromisním řešením, neboť jednak obsahuje územní kritérium navrhovaného opatření, jednak stanovuje tolerovatelný obsah alkoholu u vůdců plavidel, který musí být nižší než 0,5 promile. S uvedeným řešením, které po věcné stránce vede k nastavení únosné míry rizika pro účastníky plavebního provozu, vyslovilo v minulosti souhlas i Ministerstvo dopravy.</w:t>
            </w:r>
          </w:p>
        </w:tc>
      </w:tr>
    </w:tbl>
    <w:p w:rsidR="003F6F67" w:rsidRDefault="003F6F67" w:rsidP="003F6F67">
      <w:pPr>
        <w:spacing w:before="120"/>
      </w:pPr>
    </w:p>
    <w:p w:rsidR="003F6F67" w:rsidRDefault="003F6F67" w:rsidP="003F6F67">
      <w:pPr>
        <w:spacing w:before="120"/>
      </w:pPr>
    </w:p>
    <w:p w:rsidR="003F6F67" w:rsidRPr="006E2D73" w:rsidRDefault="003F6F67" w:rsidP="003F6F67">
      <w:pPr>
        <w:spacing w:before="120"/>
      </w:pPr>
    </w:p>
    <w:p w:rsidR="001407DF" w:rsidRDefault="004438AC"/>
    <w:sectPr w:rsidR="001407DF" w:rsidSect="00DD3ADF">
      <w:footerReference w:type="default" r:id="rId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B41" w:rsidRDefault="0073104A">
      <w:r>
        <w:separator/>
      </w:r>
    </w:p>
  </w:endnote>
  <w:endnote w:type="continuationSeparator" w:id="0">
    <w:p w:rsidR="005D7B41" w:rsidRDefault="00731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371424"/>
      <w:docPartObj>
        <w:docPartGallery w:val="Page Numbers (Bottom of Page)"/>
        <w:docPartUnique/>
      </w:docPartObj>
    </w:sdtPr>
    <w:sdtEndPr/>
    <w:sdtContent>
      <w:p w:rsidR="00ED4C35" w:rsidRDefault="004039A0">
        <w:pPr>
          <w:pStyle w:val="Zpat"/>
          <w:jc w:val="center"/>
        </w:pPr>
        <w:r>
          <w:fldChar w:fldCharType="begin"/>
        </w:r>
        <w:r>
          <w:instrText>PAGE   \* MERGEFORMAT</w:instrText>
        </w:r>
        <w:r>
          <w:fldChar w:fldCharType="separate"/>
        </w:r>
        <w:r w:rsidR="004438AC">
          <w:rPr>
            <w:noProof/>
          </w:rPr>
          <w:t>2</w:t>
        </w:r>
        <w:r>
          <w:fldChar w:fldCharType="end"/>
        </w:r>
      </w:p>
    </w:sdtContent>
  </w:sdt>
  <w:p w:rsidR="00013F05" w:rsidRDefault="004438A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B41" w:rsidRDefault="0073104A">
      <w:r>
        <w:separator/>
      </w:r>
    </w:p>
  </w:footnote>
  <w:footnote w:type="continuationSeparator" w:id="0">
    <w:p w:rsidR="005D7B41" w:rsidRDefault="007310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F67"/>
    <w:rsid w:val="003F6F67"/>
    <w:rsid w:val="004039A0"/>
    <w:rsid w:val="00423049"/>
    <w:rsid w:val="004438AC"/>
    <w:rsid w:val="00503CC1"/>
    <w:rsid w:val="005D7B41"/>
    <w:rsid w:val="0073104A"/>
    <w:rsid w:val="00CE69AA"/>
    <w:rsid w:val="00E637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0FFB32-3490-4ACB-AD9B-7B759622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F6F6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F6F67"/>
    <w:pPr>
      <w:spacing w:after="200" w:line="276" w:lineRule="auto"/>
      <w:ind w:left="720"/>
      <w:contextualSpacing/>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3F6F67"/>
    <w:rPr>
      <w:rFonts w:ascii="Calibri" w:eastAsia="Calibri" w:hAnsi="Calibri" w:cs="Times New Roman"/>
    </w:rPr>
  </w:style>
  <w:style w:type="paragraph" w:styleId="Zpat">
    <w:name w:val="footer"/>
    <w:basedOn w:val="Normln"/>
    <w:link w:val="ZpatChar"/>
    <w:uiPriority w:val="99"/>
    <w:unhideWhenUsed/>
    <w:rsid w:val="003F6F67"/>
    <w:pPr>
      <w:tabs>
        <w:tab w:val="center" w:pos="4536"/>
        <w:tab w:val="right" w:pos="9072"/>
      </w:tabs>
    </w:pPr>
  </w:style>
  <w:style w:type="character" w:customStyle="1" w:styleId="ZpatChar">
    <w:name w:val="Zápatí Char"/>
    <w:basedOn w:val="Standardnpsmoodstavce"/>
    <w:link w:val="Zpat"/>
    <w:uiPriority w:val="99"/>
    <w:rsid w:val="003F6F6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3289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Heppnerová Daniela Mgr.</dc:creator>
  <cp:keywords/>
  <dc:description/>
  <cp:lastModifiedBy>Vosatkova Dana</cp:lastModifiedBy>
  <cp:revision>2</cp:revision>
  <dcterms:created xsi:type="dcterms:W3CDTF">2022-06-20T15:42:00Z</dcterms:created>
  <dcterms:modified xsi:type="dcterms:W3CDTF">2022-06-20T15:42:00Z</dcterms:modified>
</cp:coreProperties>
</file>