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D6C" w:rsidRDefault="00B62D6C" w:rsidP="00B62D6C">
      <w:pPr>
        <w:pStyle w:val="PS-hlavika1"/>
        <w:jc w:val="right"/>
      </w:pPr>
      <w:r>
        <w:t>P</w:t>
      </w:r>
      <w:bookmarkStart w:id="0" w:name="_GoBack"/>
      <w:bookmarkEnd w:id="0"/>
      <w:r>
        <w:t>S200313726</w:t>
      </w:r>
    </w:p>
    <w:p w:rsidR="00EE65B0" w:rsidRDefault="001625BA">
      <w:pPr>
        <w:pStyle w:val="PS-hlavika1"/>
      </w:pPr>
      <w:r>
        <w:t>Parlament České republiky</w:t>
      </w:r>
    </w:p>
    <w:p w:rsidR="00EE65B0" w:rsidRDefault="001625BA">
      <w:pPr>
        <w:pStyle w:val="PS-hlavika2"/>
      </w:pPr>
      <w:r>
        <w:t>POSLANECKÁ SNĚMOVNA</w:t>
      </w:r>
    </w:p>
    <w:p w:rsidR="00EE65B0" w:rsidRDefault="00F33D86">
      <w:pPr>
        <w:pStyle w:val="PS-hlavika2"/>
      </w:pPr>
      <w:r>
        <w:t>20</w:t>
      </w:r>
      <w:r w:rsidR="00434A11">
        <w:t>22</w:t>
      </w:r>
    </w:p>
    <w:p w:rsidR="00EE65B0" w:rsidRPr="00887168" w:rsidRDefault="00434A11">
      <w:pPr>
        <w:pStyle w:val="PS-hlavika1"/>
      </w:pPr>
      <w:r w:rsidRPr="00887168">
        <w:t>9</w:t>
      </w:r>
      <w:r w:rsidR="001625BA" w:rsidRPr="00887168">
        <w:t>. volební období</w:t>
      </w:r>
    </w:p>
    <w:p w:rsidR="00EE65B0" w:rsidRPr="00887168" w:rsidRDefault="001B3ED7">
      <w:pPr>
        <w:pStyle w:val="PS-slousnesen"/>
      </w:pPr>
      <w:r w:rsidRPr="001B3ED7">
        <w:t>53</w:t>
      </w:r>
      <w:r w:rsidR="00912EB4" w:rsidRPr="001B3ED7">
        <w:t>.</w:t>
      </w:r>
    </w:p>
    <w:p w:rsidR="00EE65B0" w:rsidRPr="00887168" w:rsidRDefault="001625BA">
      <w:pPr>
        <w:pStyle w:val="PS-hlavika3"/>
      </w:pPr>
      <w:r w:rsidRPr="00887168">
        <w:t>USNESENÍ</w:t>
      </w:r>
    </w:p>
    <w:p w:rsidR="00EE65B0" w:rsidRPr="00887168" w:rsidRDefault="001625BA">
      <w:pPr>
        <w:pStyle w:val="PS-hlavika1"/>
      </w:pPr>
      <w:r w:rsidRPr="00887168">
        <w:t>výboru pro životní prostředí</w:t>
      </w:r>
    </w:p>
    <w:p w:rsidR="00EE65B0" w:rsidRPr="00887168" w:rsidRDefault="00D86EF4">
      <w:pPr>
        <w:pStyle w:val="PS-hlavika1"/>
      </w:pPr>
      <w:r w:rsidRPr="00887168">
        <w:t xml:space="preserve">z </w:t>
      </w:r>
      <w:r w:rsidR="0085162E">
        <w:t>10</w:t>
      </w:r>
      <w:r w:rsidR="001625BA" w:rsidRPr="00887168">
        <w:t>. schůze</w:t>
      </w:r>
    </w:p>
    <w:p w:rsidR="00EE65B0" w:rsidRDefault="001426DE">
      <w:pPr>
        <w:pStyle w:val="PS-hlavika1"/>
      </w:pPr>
      <w:r w:rsidRPr="00887168">
        <w:t xml:space="preserve">dne </w:t>
      </w:r>
      <w:r w:rsidR="0085162E">
        <w:t>23. červ</w:t>
      </w:r>
      <w:r w:rsidR="008D1488">
        <w:t>na</w:t>
      </w:r>
      <w:r w:rsidR="00434A11" w:rsidRPr="00887168">
        <w:t xml:space="preserve"> 2022</w:t>
      </w:r>
    </w:p>
    <w:p w:rsidR="000F7F4E" w:rsidRPr="00E026BA" w:rsidRDefault="000F7F4E">
      <w:pPr>
        <w:pStyle w:val="PS-hlavika1"/>
      </w:pPr>
    </w:p>
    <w:p w:rsidR="000F7F4E" w:rsidRDefault="000F7F4E" w:rsidP="000F7F4E">
      <w:pPr>
        <w:pStyle w:val="western"/>
        <w:spacing w:before="0" w:beforeAutospacing="0"/>
        <w:jc w:val="center"/>
      </w:pPr>
      <w:r w:rsidRPr="00AF2929">
        <w:t>k</w:t>
      </w:r>
      <w:r>
        <w:t xml:space="preserve"> dokumentu EU: </w:t>
      </w:r>
      <w:r w:rsidR="0085162E" w:rsidRPr="00D92DF6">
        <w:t xml:space="preserve">Návrh </w:t>
      </w:r>
      <w:r w:rsidR="000B45A5" w:rsidRPr="00D92DF6">
        <w:t>směrnice Evropského parlamentu a Rady, kterou se mění směrnice Evropského parlamentu a Rady 2010/75/EU ze dne 24. listopadu 2010 o průmyslových emisích (integrované prevenci a omezování znečištění) a směrnice Rady 1999/31/ES ze dne 26. dubna 1999 o skládkách odpadů</w:t>
      </w:r>
      <w:r w:rsidR="000B45A5">
        <w:t>, COM(2022) 156 final, 8064/22</w:t>
      </w:r>
    </w:p>
    <w:p w:rsidR="00887168" w:rsidRPr="00887168" w:rsidRDefault="00F63B05" w:rsidP="00887168">
      <w:pPr>
        <w:pStyle w:val="PS-pedmtusnesen"/>
      </w:pPr>
      <w:r>
        <w:t>k</w:t>
      </w:r>
      <w:r w:rsidR="00B57ED6">
        <w:t xml:space="preserve"> dokumentu EU: </w:t>
      </w:r>
      <w:r w:rsidR="000B45A5">
        <w:t xml:space="preserve">Návrh nařízení </w:t>
      </w:r>
      <w:r w:rsidR="000B45A5" w:rsidRPr="00D92DF6">
        <w:t>Evropského parlamentu a Rady o ohlašování environmentálních údajů průmyslovými zařízeními a o zřízení portálu průmyslových emisí</w:t>
      </w:r>
      <w:r w:rsidR="000B45A5">
        <w:t>, COM(2022) 157 final, 8121/22</w:t>
      </w:r>
    </w:p>
    <w:p w:rsidR="003329C4" w:rsidRPr="00312DA4" w:rsidRDefault="003329C4" w:rsidP="003329C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</w:pPr>
      <w:r w:rsidRPr="002E2EFB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Po </w:t>
      </w:r>
      <w:r w:rsidRPr="00120D9A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úvodním slov</w:t>
      </w:r>
      <w:r w:rsidR="00077E7D" w:rsidRPr="00120D9A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ě</w:t>
      </w:r>
      <w:r w:rsidRPr="00120D9A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 </w:t>
      </w:r>
      <w:r w:rsidR="008B2723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vedoucího oddělení </w:t>
      </w:r>
      <w:r w:rsidR="008164D3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IPPC a IRZ </w:t>
      </w:r>
      <w:r w:rsidR="00AE7CA8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MŽP Ing. Jan</w:t>
      </w:r>
      <w:r w:rsidR="008164D3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a</w:t>
      </w:r>
      <w:r w:rsidR="00AE7CA8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 Slavík</w:t>
      </w:r>
      <w:r w:rsidR="008164D3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a</w:t>
      </w:r>
      <w:r w:rsidR="00AE7CA8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, Ph.D.</w:t>
      </w:r>
      <w:r w:rsidR="008B2723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,</w:t>
      </w:r>
      <w:r w:rsidR="00451218" w:rsidRPr="00120D9A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 </w:t>
      </w:r>
      <w:r w:rsidRPr="00312DA4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zpravodajské </w:t>
      </w:r>
      <w:r w:rsidRPr="002E2EFB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zprávě posl. </w:t>
      </w:r>
      <w:r w:rsidR="000B45A5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Mgr. Bc. Davida Šimka, MBA</w:t>
      </w:r>
      <w:r w:rsidR="00887168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 a p</w:t>
      </w:r>
      <w:r w:rsidRPr="00312DA4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o rozpravě</w:t>
      </w:r>
    </w:p>
    <w:p w:rsidR="00D86EF4" w:rsidRPr="00312DA4" w:rsidRDefault="00D86EF4" w:rsidP="00D86EF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</w:pPr>
    </w:p>
    <w:p w:rsidR="001C4651" w:rsidRPr="00B26768" w:rsidRDefault="001C4651" w:rsidP="001C4651">
      <w:pPr>
        <w:pStyle w:val="PS-uvodnodstavec"/>
        <w:spacing w:after="480"/>
        <w:ind w:firstLine="0"/>
        <w:rPr>
          <w:szCs w:val="24"/>
        </w:rPr>
      </w:pPr>
      <w:r w:rsidRPr="00B26768">
        <w:rPr>
          <w:szCs w:val="24"/>
        </w:rPr>
        <w:t>výbor pro životní prostředí Poslanecké sněmovny Parlamentu ČR</w:t>
      </w:r>
    </w:p>
    <w:p w:rsidR="00772EBB" w:rsidRPr="00582EF4" w:rsidRDefault="00772EBB" w:rsidP="00772EBB">
      <w:pPr>
        <w:widowControl w:val="0"/>
        <w:numPr>
          <w:ilvl w:val="0"/>
          <w:numId w:val="24"/>
        </w:numPr>
        <w:suppressAutoHyphens/>
        <w:spacing w:after="120" w:line="252" w:lineRule="auto"/>
        <w:jc w:val="both"/>
        <w:rPr>
          <w:rFonts w:ascii="Times New Roman" w:eastAsia="SimSun" w:hAnsi="Times New Roman"/>
          <w:color w:val="auto"/>
          <w:kern w:val="1"/>
          <w:sz w:val="24"/>
          <w:szCs w:val="24"/>
          <w:shd w:val="clear" w:color="auto" w:fill="FFFF00"/>
          <w:lang w:eastAsia="hi-IN" w:bidi="hi-IN"/>
        </w:rPr>
      </w:pPr>
      <w:r w:rsidRPr="008B2723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>bere na vědomí</w:t>
      </w:r>
      <w:bookmarkStart w:id="1" w:name="_heading=h.gjdgxs"/>
      <w:bookmarkEnd w:id="1"/>
      <w:r w:rsidRPr="008B2723">
        <w:rPr>
          <w:rFonts w:ascii="Times New Roman" w:eastAsia="SimSun" w:hAnsi="Times New Roman"/>
          <w:color w:val="auto"/>
          <w:kern w:val="1"/>
          <w:sz w:val="24"/>
          <w:szCs w:val="24"/>
          <w:lang w:eastAsia="hi-IN" w:bidi="hi-IN"/>
        </w:rPr>
        <w:t xml:space="preserve"> </w:t>
      </w:r>
      <w:r w:rsidR="008A6CE8" w:rsidRPr="008B2723">
        <w:rPr>
          <w:rFonts w:ascii="Times New Roman" w:eastAsia="SimSun" w:hAnsi="Times New Roman"/>
          <w:color w:val="auto"/>
          <w:kern w:val="1"/>
          <w:sz w:val="24"/>
          <w:szCs w:val="24"/>
          <w:lang w:eastAsia="hi-IN" w:bidi="hi-IN"/>
        </w:rPr>
        <w:t>návrh směrnice Evropského parlamentu a Rady, kterou se mění směrnice Evropského parlamentu a Rady 2010/75/EU ze dne 24. listopadu 2010 o </w:t>
      </w:r>
      <w:r w:rsidR="008A6CE8" w:rsidRPr="00582EF4">
        <w:rPr>
          <w:rFonts w:ascii="Times New Roman" w:eastAsia="SimSun" w:hAnsi="Times New Roman"/>
          <w:color w:val="auto"/>
          <w:kern w:val="1"/>
          <w:sz w:val="24"/>
          <w:szCs w:val="24"/>
          <w:lang w:eastAsia="hi-IN" w:bidi="hi-IN"/>
        </w:rPr>
        <w:t xml:space="preserve">průmyslových emisích (integrované prevenci a omezování znečištění) a směrnice Rady 1999/31/ES ze dne 26. dubna 1999 o skládkách odpadů, COM(2022) 156 final, 8064/22 a </w:t>
      </w:r>
      <w:r w:rsidR="008A6CE8" w:rsidRPr="00582EF4">
        <w:rPr>
          <w:rFonts w:ascii="Times New Roman" w:eastAsia="Times New Roman" w:hAnsi="Times New Roman"/>
          <w:color w:val="000000"/>
          <w:kern w:val="1"/>
          <w:sz w:val="24"/>
          <w:szCs w:val="24"/>
          <w:lang w:eastAsia="hi-IN" w:bidi="hi-IN"/>
        </w:rPr>
        <w:t>návrh nařízení Evropského parlamentu a Rady o ohlašování environmentálních údajů průmyslovými zařízeními a o zřízení portálu průmyslových emisí, COM(2022) 157 final, 8121/22;</w:t>
      </w:r>
    </w:p>
    <w:p w:rsidR="00582EF4" w:rsidRDefault="00582EF4" w:rsidP="00582EF4">
      <w:pPr>
        <w:pStyle w:val="Odstavecseseznamem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582EF4">
        <w:rPr>
          <w:rStyle w:val="proloenChar"/>
          <w:b/>
          <w:szCs w:val="24"/>
        </w:rPr>
        <w:t>podporuje</w:t>
      </w:r>
      <w:r w:rsidRPr="00582EF4">
        <w:rPr>
          <w:rFonts w:ascii="Times New Roman" w:hAnsi="Times New Roman"/>
          <w:sz w:val="24"/>
          <w:szCs w:val="24"/>
        </w:rPr>
        <w:t xml:space="preserve"> pozici vlády ČR, která návrh směrnice obecně akceptuje, má ale zásadní výhrady k některým ustanovením;</w:t>
      </w:r>
    </w:p>
    <w:p w:rsidR="00582EF4" w:rsidRDefault="00582EF4" w:rsidP="00582EF4">
      <w:pPr>
        <w:pStyle w:val="Odstavecseseznamem"/>
        <w:jc w:val="both"/>
        <w:rPr>
          <w:rFonts w:ascii="Times New Roman" w:hAnsi="Times New Roman"/>
          <w:sz w:val="24"/>
          <w:szCs w:val="24"/>
        </w:rPr>
      </w:pPr>
    </w:p>
    <w:p w:rsidR="00582EF4" w:rsidRPr="00582EF4" w:rsidRDefault="00582EF4" w:rsidP="00582EF4">
      <w:pPr>
        <w:pStyle w:val="Odstavecseseznamem"/>
        <w:numPr>
          <w:ilvl w:val="0"/>
          <w:numId w:val="24"/>
        </w:numPr>
        <w:spacing w:before="240"/>
        <w:jc w:val="both"/>
        <w:rPr>
          <w:rFonts w:ascii="Times New Roman" w:hAnsi="Times New Roman"/>
          <w:sz w:val="24"/>
          <w:szCs w:val="24"/>
        </w:rPr>
      </w:pPr>
      <w:r w:rsidRPr="00582EF4">
        <w:rPr>
          <w:rStyle w:val="proloenChar"/>
          <w:b/>
          <w:szCs w:val="24"/>
        </w:rPr>
        <w:t>uznává,</w:t>
      </w:r>
      <w:r>
        <w:rPr>
          <w:rStyle w:val="proloenChar"/>
          <w:b/>
          <w:szCs w:val="24"/>
        </w:rPr>
        <w:t xml:space="preserve"> </w:t>
      </w:r>
      <w:r w:rsidRPr="00582EF4">
        <w:rPr>
          <w:rFonts w:ascii="Times New Roman" w:hAnsi="Times New Roman"/>
          <w:color w:val="000000"/>
          <w:kern w:val="1"/>
          <w:sz w:val="24"/>
          <w:szCs w:val="24"/>
          <w:lang w:eastAsia="hi-IN" w:bidi="hi-IN"/>
        </w:rPr>
        <w:t>že energetika a průmysl ČR budou muset dále investovat do snížení dopadů provozu zařízení na životní prostředí;</w:t>
      </w:r>
    </w:p>
    <w:p w:rsidR="00582EF4" w:rsidRPr="00582EF4" w:rsidRDefault="00582EF4" w:rsidP="00582EF4">
      <w:pPr>
        <w:pStyle w:val="Odstavecseseznamem"/>
        <w:rPr>
          <w:rFonts w:ascii="Times New Roman" w:hAnsi="Times New Roman"/>
          <w:sz w:val="24"/>
          <w:szCs w:val="24"/>
        </w:rPr>
      </w:pPr>
    </w:p>
    <w:p w:rsidR="00582EF4" w:rsidRDefault="00582EF4" w:rsidP="00582EF4">
      <w:pPr>
        <w:pStyle w:val="Odstavecseseznamem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582EF4">
        <w:rPr>
          <w:rStyle w:val="proloenChar"/>
          <w:b/>
          <w:szCs w:val="24"/>
        </w:rPr>
        <w:t>konstatuje</w:t>
      </w:r>
      <w:r w:rsidRPr="00582EF4">
        <w:rPr>
          <w:rFonts w:ascii="Times New Roman" w:hAnsi="Times New Roman"/>
          <w:b/>
          <w:sz w:val="24"/>
          <w:szCs w:val="24"/>
        </w:rPr>
        <w:t>,</w:t>
      </w:r>
      <w:r w:rsidRPr="00582EF4">
        <w:rPr>
          <w:rFonts w:ascii="Times New Roman" w:hAnsi="Times New Roman"/>
          <w:sz w:val="24"/>
          <w:szCs w:val="24"/>
        </w:rPr>
        <w:t xml:space="preserve"> že návrh Směrnice se nepřiměřeně rozšiřuje nad rámec původního záměru regulovat velké průmyslové zdroje;</w:t>
      </w:r>
    </w:p>
    <w:p w:rsidR="00582EF4" w:rsidRPr="00582EF4" w:rsidRDefault="00582EF4" w:rsidP="00582EF4">
      <w:pPr>
        <w:pStyle w:val="Odstavecseseznamem"/>
        <w:rPr>
          <w:rFonts w:ascii="Times New Roman" w:hAnsi="Times New Roman"/>
          <w:sz w:val="24"/>
          <w:szCs w:val="24"/>
        </w:rPr>
      </w:pPr>
    </w:p>
    <w:p w:rsidR="00582EF4" w:rsidRPr="00582EF4" w:rsidRDefault="00582EF4" w:rsidP="00582EF4">
      <w:pPr>
        <w:pStyle w:val="Odstavecseseznamem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582EF4">
        <w:rPr>
          <w:rStyle w:val="proloenChar"/>
          <w:b/>
          <w:szCs w:val="24"/>
        </w:rPr>
        <w:t>dospěl k závěru</w:t>
      </w:r>
      <w:r w:rsidRPr="00582EF4">
        <w:rPr>
          <w:rFonts w:ascii="Times New Roman" w:hAnsi="Times New Roman"/>
          <w:sz w:val="24"/>
          <w:szCs w:val="24"/>
        </w:rPr>
        <w:t xml:space="preserve">, že předložený návrh směrnice Evropského parlamentu a Rady o průmyslových emisích </w:t>
      </w:r>
      <w:r>
        <w:rPr>
          <w:rFonts w:ascii="Times New Roman" w:hAnsi="Times New Roman"/>
          <w:sz w:val="24"/>
          <w:szCs w:val="24"/>
        </w:rPr>
        <w:t xml:space="preserve">není </w:t>
      </w:r>
      <w:r w:rsidRPr="002D78B1">
        <w:rPr>
          <w:rFonts w:ascii="Times New Roman" w:hAnsi="Times New Roman"/>
          <w:sz w:val="24"/>
          <w:szCs w:val="24"/>
        </w:rPr>
        <w:t xml:space="preserve">v souladu s principem subsidiarity a proporcionality ve smyslu čl. 5 Smlouvy o Evropské unii, a proto přijímá odůvodněné stanovisko podle </w:t>
      </w:r>
      <w:r w:rsidRPr="002D78B1">
        <w:rPr>
          <w:rFonts w:ascii="Times New Roman" w:hAnsi="Times New Roman"/>
          <w:sz w:val="24"/>
          <w:szCs w:val="24"/>
        </w:rPr>
        <w:lastRenderedPageBreak/>
        <w:t xml:space="preserve">článku 6 Protokolu č. 2 o uplatňování zásad subsidiarity a proporcionality připojeného ke </w:t>
      </w:r>
      <w:r w:rsidR="002D78B1" w:rsidRPr="002D78B1">
        <w:rPr>
          <w:rFonts w:ascii="Times New Roman" w:hAnsi="Times New Roman"/>
          <w:sz w:val="24"/>
          <w:szCs w:val="24"/>
        </w:rPr>
        <w:t xml:space="preserve">Smlouvám, </w:t>
      </w:r>
      <w:r w:rsidRPr="002D78B1">
        <w:rPr>
          <w:rFonts w:ascii="Times New Roman" w:hAnsi="Times New Roman"/>
          <w:sz w:val="24"/>
          <w:szCs w:val="24"/>
        </w:rPr>
        <w:t>a to z následujících důvodů:</w:t>
      </w:r>
    </w:p>
    <w:p w:rsidR="00582EF4" w:rsidRPr="00582EF4" w:rsidRDefault="00582EF4" w:rsidP="00582EF4">
      <w:pPr>
        <w:spacing w:after="12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582EF4">
        <w:rPr>
          <w:rFonts w:ascii="Times New Roman" w:hAnsi="Times New Roman"/>
          <w:sz w:val="24"/>
          <w:szCs w:val="24"/>
        </w:rPr>
        <w:t>-</w:t>
      </w:r>
      <w:r w:rsidRPr="00582EF4">
        <w:rPr>
          <w:rFonts w:ascii="Times New Roman" w:hAnsi="Times New Roman"/>
          <w:sz w:val="24"/>
          <w:szCs w:val="24"/>
        </w:rPr>
        <w:tab/>
        <w:t>Komise nepředložila studie dopadů na jednotlivé členské státy, čímž neumožnila národním parlamentům plně posoudit všechny důsledky návrhu i z hlediska dodržení zásady subsidiarity;</w:t>
      </w:r>
    </w:p>
    <w:p w:rsidR="00582EF4" w:rsidRPr="00582EF4" w:rsidRDefault="00582EF4" w:rsidP="00582EF4">
      <w:pPr>
        <w:spacing w:after="12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582EF4">
        <w:rPr>
          <w:rFonts w:ascii="Times New Roman" w:hAnsi="Times New Roman"/>
          <w:sz w:val="24"/>
          <w:szCs w:val="24"/>
        </w:rPr>
        <w:t>-</w:t>
      </w:r>
      <w:r w:rsidRPr="00582EF4">
        <w:rPr>
          <w:rFonts w:ascii="Times New Roman" w:hAnsi="Times New Roman"/>
          <w:sz w:val="24"/>
          <w:szCs w:val="24"/>
        </w:rPr>
        <w:tab/>
        <w:t>Směrnice navrhuje sjednotit na celounijní úrovni postup vyhodnocení naměřených hodnot kontinuálního měření emisí, avšak neprokázala skutečnou přidanou hodnotu zvoleného způsobu jednání na úrovni EU</w:t>
      </w:r>
      <w:r w:rsidR="002D78B1">
        <w:rPr>
          <w:rFonts w:ascii="Times New Roman" w:hAnsi="Times New Roman"/>
          <w:sz w:val="24"/>
          <w:szCs w:val="24"/>
        </w:rPr>
        <w:t>;</w:t>
      </w:r>
      <w:r w:rsidRPr="00582EF4">
        <w:rPr>
          <w:rFonts w:ascii="Times New Roman" w:hAnsi="Times New Roman"/>
          <w:sz w:val="24"/>
          <w:szCs w:val="24"/>
        </w:rPr>
        <w:t xml:space="preserve"> </w:t>
      </w:r>
    </w:p>
    <w:p w:rsidR="00582EF4" w:rsidRPr="00582EF4" w:rsidRDefault="00582EF4" w:rsidP="00582EF4">
      <w:pPr>
        <w:spacing w:after="12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582EF4">
        <w:rPr>
          <w:rFonts w:ascii="Times New Roman" w:hAnsi="Times New Roman"/>
          <w:sz w:val="24"/>
          <w:szCs w:val="24"/>
        </w:rPr>
        <w:t>-</w:t>
      </w:r>
      <w:r w:rsidRPr="00582EF4">
        <w:rPr>
          <w:rFonts w:ascii="Times New Roman" w:hAnsi="Times New Roman"/>
          <w:sz w:val="24"/>
          <w:szCs w:val="24"/>
        </w:rPr>
        <w:tab/>
        <w:t>Směrnice vyžaduje při stanovování emisních limitů jednotlivých zařízení využití nejpřísnějších hodnot v rámci intervalu úrovní emisí spojených s nejlepšími dostupnými technikami (BAT-AEL) definovaných v rámci Závěrů o BAT. To neumožňuje vycházet z posouzení situace daného konkrétního zařízení odpovědnou autoritou, což odporuje principu proporcionality a subsidiarity;</w:t>
      </w:r>
    </w:p>
    <w:p w:rsidR="00582EF4" w:rsidRPr="00582EF4" w:rsidRDefault="00582EF4" w:rsidP="00582EF4">
      <w:pPr>
        <w:spacing w:after="12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582EF4">
        <w:rPr>
          <w:rFonts w:ascii="Times New Roman" w:hAnsi="Times New Roman"/>
          <w:sz w:val="24"/>
          <w:szCs w:val="24"/>
        </w:rPr>
        <w:t xml:space="preserve">- </w:t>
      </w:r>
      <w:r w:rsidRPr="00582EF4">
        <w:rPr>
          <w:rFonts w:ascii="Times New Roman" w:hAnsi="Times New Roman"/>
          <w:sz w:val="24"/>
          <w:szCs w:val="24"/>
        </w:rPr>
        <w:tab/>
        <w:t>Směrnice požaduje doplnit mezi obecné požadavky na provozovatele posuzovat materiálovou efektivitu a celkovou environmentální výkonnost dodavatelského řetězce během životního cyklu. Tento požadavek porušuje zásadu proporcionality, protože není řádně zdůvodněn ani vysvětlen jeho přínos a jedná se o zásadní navýšení administrativy spojené s provozem daného zařízení s marginálním teoretickým přínosem pro</w:t>
      </w:r>
      <w:r w:rsidR="002D78B1">
        <w:rPr>
          <w:rFonts w:ascii="Times New Roman" w:hAnsi="Times New Roman"/>
          <w:sz w:val="24"/>
          <w:szCs w:val="24"/>
        </w:rPr>
        <w:t xml:space="preserve"> životní prostředí;</w:t>
      </w:r>
      <w:r w:rsidRPr="00582EF4">
        <w:rPr>
          <w:rFonts w:ascii="Times New Roman" w:hAnsi="Times New Roman"/>
          <w:sz w:val="24"/>
          <w:szCs w:val="24"/>
        </w:rPr>
        <w:t xml:space="preserve"> </w:t>
      </w:r>
    </w:p>
    <w:p w:rsidR="002D78B1" w:rsidRDefault="00582EF4" w:rsidP="002D78B1">
      <w:pPr>
        <w:spacing w:after="12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582EF4">
        <w:rPr>
          <w:rFonts w:ascii="Times New Roman" w:hAnsi="Times New Roman"/>
          <w:sz w:val="24"/>
          <w:szCs w:val="24"/>
        </w:rPr>
        <w:t>-</w:t>
      </w:r>
      <w:r w:rsidRPr="00582EF4">
        <w:rPr>
          <w:rFonts w:ascii="Times New Roman" w:hAnsi="Times New Roman"/>
          <w:sz w:val="24"/>
          <w:szCs w:val="24"/>
        </w:rPr>
        <w:tab/>
        <w:t>Směrnice v rozporu se zásadou proporcionality požaduje zezávaznění ostatních environmentálních parametrů (tzv. BAT-AEPLs) uvedených v rámci Závěrů o BAT (mimo emisní limity BAT-AELs) bez možnosti derogace. Protože jsou požadavky mnohdy ve svých důsledcích protichůdné a jsou vždy požadovány nejpřísnější hodnoty, nebude už v podstatě možné navrhnout zařízení, kt</w:t>
      </w:r>
      <w:r w:rsidR="002D78B1">
        <w:rPr>
          <w:rFonts w:ascii="Times New Roman" w:hAnsi="Times New Roman"/>
          <w:sz w:val="24"/>
          <w:szCs w:val="24"/>
        </w:rPr>
        <w:t>eré by vyhovělo všem požadavkům;</w:t>
      </w:r>
    </w:p>
    <w:p w:rsidR="008A6CE8" w:rsidRPr="00E419DF" w:rsidRDefault="00E419DF" w:rsidP="00E419DF">
      <w:pPr>
        <w:pStyle w:val="Odstavecseseznamem"/>
        <w:widowControl w:val="0"/>
        <w:numPr>
          <w:ilvl w:val="0"/>
          <w:numId w:val="24"/>
        </w:numPr>
        <w:suppressAutoHyphens/>
        <w:spacing w:after="0" w:line="252" w:lineRule="auto"/>
        <w:jc w:val="both"/>
        <w:rPr>
          <w:rFonts w:ascii="Times New Roman" w:eastAsia="SimSun" w:hAnsi="Times New Roman"/>
          <w:color w:val="auto"/>
          <w:kern w:val="1"/>
          <w:sz w:val="24"/>
          <w:szCs w:val="24"/>
          <w:lang w:eastAsia="hi-IN" w:bidi="hi-IN"/>
        </w:rPr>
      </w:pPr>
      <w:r w:rsidRPr="00E419DF">
        <w:rPr>
          <w:rStyle w:val="proloenChar"/>
          <w:b/>
          <w:szCs w:val="24"/>
          <w:lang w:eastAsia="cs-CZ"/>
        </w:rPr>
        <w:t>pověřuje</w:t>
      </w:r>
      <w:r w:rsidRPr="00E419DF">
        <w:rPr>
          <w:rStyle w:val="proloenChar"/>
          <w:szCs w:val="24"/>
          <w:lang w:eastAsia="cs-CZ"/>
        </w:rPr>
        <w:t xml:space="preserve"> </w:t>
      </w:r>
      <w:r w:rsidRPr="00E419DF">
        <w:rPr>
          <w:rFonts w:ascii="Times New Roman" w:hAnsi="Times New Roman"/>
          <w:color w:val="000000"/>
          <w:sz w:val="24"/>
          <w:szCs w:val="24"/>
          <w:lang w:eastAsia="cs-CZ"/>
        </w:rPr>
        <w:t>předsedkyni výboru, aby</w:t>
      </w:r>
      <w:r>
        <w:rPr>
          <w:rFonts w:ascii="Times New Roman" w:hAnsi="Times New Roman"/>
          <w:color w:val="000000"/>
          <w:sz w:val="24"/>
          <w:szCs w:val="24"/>
          <w:lang w:eastAsia="cs-CZ"/>
        </w:rPr>
        <w:t xml:space="preserve"> v souladu s jednacím řádem Poslanecké sněmovny Parlamentu </w:t>
      </w:r>
      <w:r w:rsidRPr="00E419DF">
        <w:rPr>
          <w:rFonts w:ascii="Times New Roman" w:hAnsi="Times New Roman"/>
          <w:color w:val="000000"/>
          <w:sz w:val="24"/>
          <w:szCs w:val="24"/>
          <w:lang w:eastAsia="cs-CZ"/>
        </w:rPr>
        <w:t>ČR postoupila toto usnesení prostřednictvím předsedkyně Poslanecké</w:t>
      </w:r>
      <w:r w:rsidR="00CB2001">
        <w:rPr>
          <w:rFonts w:ascii="Times New Roman" w:hAnsi="Times New Roman"/>
          <w:color w:val="000000"/>
          <w:sz w:val="24"/>
          <w:szCs w:val="24"/>
          <w:lang w:eastAsia="cs-CZ"/>
        </w:rPr>
        <w:t xml:space="preserve"> sněmovny V</w:t>
      </w:r>
      <w:r w:rsidRPr="00E419DF">
        <w:rPr>
          <w:rFonts w:ascii="Times New Roman" w:hAnsi="Times New Roman"/>
          <w:color w:val="000000"/>
          <w:sz w:val="24"/>
          <w:szCs w:val="24"/>
          <w:lang w:eastAsia="cs-CZ"/>
        </w:rPr>
        <w:t>ládě</w:t>
      </w:r>
      <w:r w:rsidR="00CB2001">
        <w:rPr>
          <w:rFonts w:ascii="Times New Roman" w:hAnsi="Times New Roman"/>
          <w:color w:val="000000"/>
          <w:sz w:val="24"/>
          <w:szCs w:val="24"/>
          <w:lang w:eastAsia="cs-CZ"/>
        </w:rPr>
        <w:t xml:space="preserve"> ČR</w:t>
      </w:r>
      <w:r w:rsidR="00DC3F2D">
        <w:rPr>
          <w:rFonts w:ascii="Times New Roman" w:hAnsi="Times New Roman"/>
          <w:color w:val="000000"/>
          <w:sz w:val="24"/>
          <w:szCs w:val="24"/>
          <w:lang w:eastAsia="cs-CZ"/>
        </w:rPr>
        <w:t>, předsedovi Senátu, předsedkyni</w:t>
      </w:r>
      <w:r w:rsidRPr="00E419DF">
        <w:rPr>
          <w:rFonts w:ascii="Times New Roman" w:hAnsi="Times New Roman"/>
          <w:color w:val="000000"/>
          <w:sz w:val="24"/>
          <w:szCs w:val="24"/>
          <w:lang w:eastAsia="cs-CZ"/>
        </w:rPr>
        <w:t xml:space="preserve"> Evropského parlamentu,</w:t>
      </w:r>
      <w:r w:rsidR="00DC3F2D">
        <w:rPr>
          <w:rFonts w:ascii="Times New Roman" w:hAnsi="Times New Roman"/>
          <w:color w:val="000000"/>
          <w:sz w:val="24"/>
          <w:szCs w:val="24"/>
          <w:lang w:eastAsia="cs-CZ"/>
        </w:rPr>
        <w:t xml:space="preserve"> předsedovi Rady EU a předsedkyni</w:t>
      </w:r>
      <w:r w:rsidRPr="00E419DF">
        <w:rPr>
          <w:rFonts w:ascii="Times New Roman" w:hAnsi="Times New Roman"/>
          <w:color w:val="000000"/>
          <w:sz w:val="24"/>
          <w:szCs w:val="24"/>
          <w:lang w:eastAsia="cs-CZ"/>
        </w:rPr>
        <w:t xml:space="preserve"> Evropské komise</w:t>
      </w:r>
      <w:r>
        <w:rPr>
          <w:rFonts w:ascii="Times New Roman" w:hAnsi="Times New Roman"/>
          <w:color w:val="000000"/>
          <w:sz w:val="24"/>
          <w:szCs w:val="24"/>
          <w:lang w:eastAsia="cs-CZ"/>
        </w:rPr>
        <w:t>.</w:t>
      </w:r>
    </w:p>
    <w:p w:rsidR="00E419DF" w:rsidRDefault="00E419DF" w:rsidP="00E419DF">
      <w:pPr>
        <w:pStyle w:val="Odstavecseseznamem"/>
        <w:widowControl w:val="0"/>
        <w:suppressAutoHyphens/>
        <w:spacing w:after="0" w:line="252" w:lineRule="auto"/>
        <w:jc w:val="both"/>
        <w:rPr>
          <w:rStyle w:val="proloenChar"/>
          <w:b/>
          <w:lang w:eastAsia="cs-CZ"/>
        </w:rPr>
      </w:pPr>
    </w:p>
    <w:p w:rsidR="00E419DF" w:rsidRDefault="00E419DF" w:rsidP="00E419DF">
      <w:pPr>
        <w:pStyle w:val="Odstavecseseznamem"/>
        <w:widowControl w:val="0"/>
        <w:suppressAutoHyphens/>
        <w:spacing w:after="0" w:line="252" w:lineRule="auto"/>
        <w:jc w:val="both"/>
        <w:rPr>
          <w:rStyle w:val="proloenChar"/>
          <w:b/>
          <w:lang w:eastAsia="cs-CZ"/>
        </w:rPr>
      </w:pPr>
    </w:p>
    <w:p w:rsidR="00E419DF" w:rsidRDefault="00E419DF" w:rsidP="00E419DF">
      <w:pPr>
        <w:pStyle w:val="Odstavecseseznamem"/>
        <w:widowControl w:val="0"/>
        <w:suppressAutoHyphens/>
        <w:spacing w:after="0" w:line="252" w:lineRule="auto"/>
        <w:jc w:val="both"/>
        <w:rPr>
          <w:rStyle w:val="proloenChar"/>
          <w:b/>
          <w:lang w:eastAsia="cs-CZ"/>
        </w:rPr>
      </w:pPr>
    </w:p>
    <w:p w:rsidR="00E419DF" w:rsidRDefault="00E419DF" w:rsidP="00E419DF">
      <w:pPr>
        <w:pStyle w:val="Odstavecseseznamem"/>
        <w:widowControl w:val="0"/>
        <w:suppressAutoHyphens/>
        <w:spacing w:after="0" w:line="252" w:lineRule="auto"/>
        <w:jc w:val="both"/>
        <w:rPr>
          <w:rStyle w:val="proloenChar"/>
          <w:b/>
          <w:lang w:eastAsia="cs-CZ"/>
        </w:rPr>
      </w:pPr>
    </w:p>
    <w:p w:rsidR="00E419DF" w:rsidRPr="00E419DF" w:rsidRDefault="00E419DF" w:rsidP="00E419DF">
      <w:pPr>
        <w:pStyle w:val="Odstavecseseznamem"/>
        <w:widowControl w:val="0"/>
        <w:suppressAutoHyphens/>
        <w:spacing w:after="0" w:line="252" w:lineRule="auto"/>
        <w:jc w:val="both"/>
        <w:rPr>
          <w:rFonts w:ascii="Times New Roman" w:eastAsia="SimSun" w:hAnsi="Times New Roman"/>
          <w:color w:val="auto"/>
          <w:kern w:val="1"/>
          <w:sz w:val="24"/>
          <w:szCs w:val="24"/>
          <w:lang w:eastAsia="hi-IN" w:bidi="hi-IN"/>
        </w:rPr>
      </w:pPr>
    </w:p>
    <w:tbl>
      <w:tblPr>
        <w:tblStyle w:val="Mkatabulky"/>
        <w:tblpPr w:leftFromText="141" w:rightFromText="141" w:vertAnchor="text" w:horzAnchor="margin" w:tblpY="437"/>
        <w:tblW w:w="0" w:type="auto"/>
        <w:tblLook w:val="04A0" w:firstRow="1" w:lastRow="0" w:firstColumn="1" w:lastColumn="0" w:noHBand="0" w:noVBand="1"/>
      </w:tblPr>
      <w:tblGrid>
        <w:gridCol w:w="4468"/>
        <w:gridCol w:w="4470"/>
      </w:tblGrid>
      <w:tr w:rsidR="008A6CE8" w:rsidTr="008A6CE8">
        <w:trPr>
          <w:trHeight w:val="1225"/>
        </w:trPr>
        <w:tc>
          <w:tcPr>
            <w:tcW w:w="4468" w:type="dxa"/>
            <w:tcBorders>
              <w:top w:val="nil"/>
              <w:left w:val="nil"/>
              <w:bottom w:val="nil"/>
              <w:right w:val="nil"/>
            </w:tcBorders>
          </w:tcPr>
          <w:p w:rsidR="00E76806" w:rsidRDefault="00E76806" w:rsidP="00E76806">
            <w:pPr>
              <w:pStyle w:val="PS-slovanseznam"/>
              <w:spacing w:after="0"/>
              <w:ind w:left="0" w:firstLine="0"/>
              <w:jc w:val="center"/>
            </w:pPr>
            <w:r w:rsidRPr="001B3ED7">
              <w:t xml:space="preserve">Ing. </w:t>
            </w:r>
            <w:r w:rsidR="002067D5">
              <w:t>Josef BERNARD</w:t>
            </w:r>
            <w:r w:rsidR="00A31700">
              <w:t xml:space="preserve"> v. r.</w:t>
            </w:r>
          </w:p>
          <w:p w:rsidR="008A6CE8" w:rsidRPr="008B2723" w:rsidRDefault="008A6CE8" w:rsidP="008A6CE8">
            <w:pPr>
              <w:pStyle w:val="PS-slovanseznam"/>
              <w:spacing w:after="0"/>
              <w:ind w:left="0" w:firstLine="0"/>
              <w:jc w:val="center"/>
            </w:pPr>
            <w:r w:rsidRPr="008B2723">
              <w:t>ověřovatel</w:t>
            </w:r>
          </w:p>
        </w:tc>
        <w:tc>
          <w:tcPr>
            <w:tcW w:w="44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A6CE8" w:rsidRPr="008B2723" w:rsidRDefault="00AE7CA8" w:rsidP="008A6CE8">
            <w:pPr>
              <w:pStyle w:val="PS-slovanseznam"/>
              <w:spacing w:after="0"/>
              <w:ind w:left="0" w:firstLine="0"/>
              <w:jc w:val="center"/>
            </w:pPr>
            <w:r>
              <w:rPr>
                <w:rFonts w:eastAsia="Times New Roman"/>
                <w:color w:val="auto"/>
                <w:spacing w:val="-3"/>
                <w:szCs w:val="24"/>
                <w:lang w:eastAsia="cs-CZ" w:bidi="hi-IN"/>
              </w:rPr>
              <w:t>Mgr. Bc. David ŠIMEK</w:t>
            </w:r>
            <w:r w:rsidR="008A6CE8" w:rsidRPr="008B2723">
              <w:rPr>
                <w:rFonts w:eastAsia="Times New Roman"/>
                <w:color w:val="auto"/>
                <w:spacing w:val="-3"/>
                <w:szCs w:val="24"/>
                <w:lang w:eastAsia="cs-CZ" w:bidi="hi-IN"/>
              </w:rPr>
              <w:t>, MBA</w:t>
            </w:r>
            <w:r w:rsidR="008A6CE8" w:rsidRPr="008B2723">
              <w:t xml:space="preserve"> </w:t>
            </w:r>
            <w:r w:rsidR="00A31700">
              <w:t>v. r.</w:t>
            </w:r>
          </w:p>
          <w:p w:rsidR="008A6CE8" w:rsidRDefault="008A6CE8" w:rsidP="008A6CE8">
            <w:pPr>
              <w:pStyle w:val="PS-slovanseznam"/>
              <w:spacing w:after="0"/>
              <w:ind w:left="0" w:firstLine="0"/>
              <w:jc w:val="center"/>
            </w:pPr>
            <w:r w:rsidRPr="008B2723">
              <w:t>zpravodaj</w:t>
            </w:r>
          </w:p>
          <w:p w:rsidR="008A6CE8" w:rsidRDefault="008A6CE8" w:rsidP="008A6CE8">
            <w:pPr>
              <w:pStyle w:val="PS-slovanseznam"/>
              <w:spacing w:after="0"/>
              <w:ind w:left="0" w:firstLine="0"/>
            </w:pPr>
          </w:p>
          <w:p w:rsidR="008A6CE8" w:rsidRDefault="008A6CE8" w:rsidP="008A6CE8">
            <w:pPr>
              <w:pStyle w:val="PS-slovanseznam"/>
              <w:spacing w:after="0"/>
              <w:ind w:left="0" w:firstLine="0"/>
            </w:pPr>
          </w:p>
        </w:tc>
      </w:tr>
      <w:tr w:rsidR="008A6CE8" w:rsidTr="008A6CE8">
        <w:trPr>
          <w:trHeight w:val="620"/>
        </w:trPr>
        <w:tc>
          <w:tcPr>
            <w:tcW w:w="8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A6CE8" w:rsidRDefault="008A6CE8" w:rsidP="008A6CE8">
            <w:pPr>
              <w:pStyle w:val="PS-slovanseznam"/>
              <w:spacing w:after="0"/>
              <w:ind w:left="0" w:firstLine="0"/>
              <w:jc w:val="center"/>
            </w:pPr>
            <w:r>
              <w:t>Ing. Jan</w:t>
            </w:r>
            <w:r w:rsidR="00E76806">
              <w:t xml:space="preserve"> BUREŠ</w:t>
            </w:r>
            <w:r w:rsidR="00CF3834">
              <w:t>, DBA</w:t>
            </w:r>
            <w:r w:rsidR="00A31700">
              <w:t xml:space="preserve"> v. r.</w:t>
            </w:r>
          </w:p>
          <w:p w:rsidR="008A6CE8" w:rsidRDefault="002D78B1" w:rsidP="008A6CE8">
            <w:pPr>
              <w:pStyle w:val="PS-slovanseznam"/>
              <w:spacing w:after="0"/>
              <w:ind w:left="0" w:firstLine="0"/>
              <w:jc w:val="center"/>
            </w:pPr>
            <w:r>
              <w:t>m</w:t>
            </w:r>
            <w:r w:rsidR="00CF3834">
              <w:t>ístopředseda</w:t>
            </w:r>
          </w:p>
          <w:p w:rsidR="00582EF4" w:rsidRDefault="00582EF4" w:rsidP="008A6CE8">
            <w:pPr>
              <w:pStyle w:val="PS-slovanseznam"/>
              <w:spacing w:after="0"/>
              <w:ind w:left="0" w:firstLine="0"/>
              <w:jc w:val="center"/>
            </w:pPr>
          </w:p>
          <w:p w:rsidR="00582EF4" w:rsidRDefault="00582EF4" w:rsidP="008A6CE8">
            <w:pPr>
              <w:pStyle w:val="PS-slovanseznam"/>
              <w:spacing w:after="0"/>
              <w:ind w:left="0" w:firstLine="0"/>
              <w:jc w:val="center"/>
            </w:pPr>
          </w:p>
          <w:p w:rsidR="00582EF4" w:rsidRDefault="00582EF4" w:rsidP="008A6CE8">
            <w:pPr>
              <w:pStyle w:val="PS-slovanseznam"/>
              <w:spacing w:after="0"/>
              <w:ind w:left="0" w:firstLine="0"/>
              <w:jc w:val="center"/>
            </w:pPr>
          </w:p>
          <w:p w:rsidR="00582EF4" w:rsidRDefault="00582EF4" w:rsidP="00E419DF">
            <w:pPr>
              <w:pStyle w:val="PS-slovanseznam"/>
              <w:spacing w:after="0"/>
              <w:ind w:left="0" w:firstLine="0"/>
            </w:pPr>
          </w:p>
        </w:tc>
      </w:tr>
    </w:tbl>
    <w:p w:rsidR="000F7F4E" w:rsidRDefault="000F7F4E" w:rsidP="00806CFD">
      <w:pPr>
        <w:rPr>
          <w:rFonts w:ascii="Times New Roman" w:hAnsi="Times New Roman"/>
          <w:sz w:val="24"/>
        </w:rPr>
      </w:pPr>
    </w:p>
    <w:p w:rsidR="001A33CF" w:rsidRDefault="00582EF4" w:rsidP="001A33CF">
      <w:pPr>
        <w:rPr>
          <w:rFonts w:ascii="Times New Roman" w:hAnsi="Times New Roman"/>
          <w:sz w:val="24"/>
        </w:rPr>
      </w:pPr>
      <w:r w:rsidRPr="000D01B3">
        <w:rPr>
          <w:rFonts w:ascii="Calibri Light" w:eastAsia="Times New Roman" w:hAnsi="Calibri Light"/>
          <w:noProof/>
          <w:color w:val="auto"/>
          <w:sz w:val="24"/>
          <w:szCs w:val="20"/>
          <w:lang w:eastAsia="cs-CZ"/>
        </w:rPr>
        <w:lastRenderedPageBreak/>
        <mc:AlternateContent>
          <mc:Choice Requires="wps">
            <w:drawing>
              <wp:anchor distT="182880" distB="182880" distL="182880" distR="182880" simplePos="0" relativeHeight="251659264" behindDoc="0" locked="0" layoutInCell="1" allowOverlap="1" wp14:anchorId="37784C14" wp14:editId="1D0B612D">
                <wp:simplePos x="0" y="0"/>
                <wp:positionH relativeFrom="page">
                  <wp:posOffset>5210175</wp:posOffset>
                </wp:positionH>
                <wp:positionV relativeFrom="margin">
                  <wp:posOffset>-443865</wp:posOffset>
                </wp:positionV>
                <wp:extent cx="2240280" cy="1085850"/>
                <wp:effectExtent l="0" t="0" r="7620" b="0"/>
                <wp:wrapNone/>
                <wp:docPr id="6" name="Obdélník s jedním ustřiženým rohem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40280" cy="1085850"/>
                        </a:xfrm>
                        <a:custGeom>
                          <a:avLst/>
                          <a:gdLst>
                            <a:gd name="T0" fmla="*/ 0 w 2240352"/>
                            <a:gd name="T1" fmla="*/ 0 h 9004899"/>
                            <a:gd name="T2" fmla="*/ 1866953 w 2240352"/>
                            <a:gd name="T3" fmla="*/ 0 h 9004899"/>
                            <a:gd name="T4" fmla="*/ 2240352 w 2240352"/>
                            <a:gd name="T5" fmla="*/ 373399 h 9004899"/>
                            <a:gd name="T6" fmla="*/ 2240352 w 2240352"/>
                            <a:gd name="T7" fmla="*/ 9004899 h 9004899"/>
                            <a:gd name="T8" fmla="*/ 0 w 2240352"/>
                            <a:gd name="T9" fmla="*/ 9004899 h 9004899"/>
                            <a:gd name="T10" fmla="*/ 0 w 2240352"/>
                            <a:gd name="T11" fmla="*/ 0 h 9004899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w 2240352"/>
                            <a:gd name="T19" fmla="*/ 0 h 9004899"/>
                            <a:gd name="T20" fmla="*/ 2240352 w 2240352"/>
                            <a:gd name="T21" fmla="*/ 9004899 h 9004899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2240352" h="9004899">
                              <a:moveTo>
                                <a:pt x="0" y="0"/>
                              </a:moveTo>
                              <a:lnTo>
                                <a:pt x="1866953" y="0"/>
                              </a:lnTo>
                              <a:lnTo>
                                <a:pt x="2240352" y="373399"/>
                              </a:lnTo>
                              <a:lnTo>
                                <a:pt x="2240352" y="9004899"/>
                              </a:lnTo>
                              <a:lnTo>
                                <a:pt x="0" y="9004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0D01B3" w:rsidRPr="003670F2" w:rsidRDefault="000D01B3" w:rsidP="000D01B3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0D01B3" w:rsidRPr="00333C99" w:rsidRDefault="000D01B3" w:rsidP="000D01B3">
                            <w:pPr>
                              <w:pStyle w:val="ZHLAVTITULKY"/>
                            </w:pPr>
                            <w:r>
                              <w:t>DOKUMENTY EU</w:t>
                            </w:r>
                          </w:p>
                          <w:p w:rsidR="000D01B3" w:rsidRPr="0035103C" w:rsidRDefault="000D01B3" w:rsidP="000D01B3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0D01B3" w:rsidRPr="0035103C" w:rsidRDefault="000D01B3" w:rsidP="000D01B3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0D01B3" w:rsidRPr="0035103C" w:rsidRDefault="000D01B3" w:rsidP="000D01B3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0D01B3" w:rsidRPr="0035103C" w:rsidRDefault="000D01B3" w:rsidP="000D01B3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0D01B3" w:rsidRPr="0035103C" w:rsidRDefault="000D01B3" w:rsidP="000D01B3">
                            <w:pPr>
                              <w:tabs>
                                <w:tab w:val="center" w:pos="2835"/>
                                <w:tab w:val="center" w:pos="2977"/>
                              </w:tabs>
                              <w:ind w:left="284" w:right="193" w:hanging="284"/>
                              <w:rPr>
                                <w:rFonts w:cs="Arial"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228600" tIns="91440" rIns="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784C14" id="Obdélník s jedním ustřiženým rohem 118" o:spid="_x0000_s1026" style="position:absolute;margin-left:410.25pt;margin-top:-34.95pt;width:176.4pt;height:85.5pt;z-index:251659264;visibility:visible;mso-wrap-style:square;mso-width-percent:0;mso-height-percent:0;mso-wrap-distance-left:14.4pt;mso-wrap-distance-top:14.4pt;mso-wrap-distance-right:14.4pt;mso-wrap-distance-bottom:14.4pt;mso-position-horizontal:absolute;mso-position-horizontal-relative:page;mso-position-vertical:absolute;mso-position-vertical-relative:margin;mso-width-percent:0;mso-height-percent:0;mso-width-relative:margin;mso-height-relative:margin;v-text-anchor:top" coordsize="2240352,900489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" adj="-11796480,,5400" path="m,l1866953,r373399,373399l2240352,9004899,,9004899,,xe" filled="f" stroked="f">
                <v:stroke joinstyle="miter"/>
                <v:formulas/>
                <v:path arrowok="t" o:connecttype="custom" o:connectlocs="0,0;1866893,0;2240280,45026;2240280,1085850;0,1085850;0,0" o:connectangles="0,0,0,0,0,0" textboxrect="0,0,2240352,9004899"/>
                <v:textbox inset="18pt,7.2pt,0,7.2pt">
                  <w:txbxContent>
                    <w:p w:rsidR="000D01B3" w:rsidRPr="003670F2" w:rsidRDefault="000D01B3" w:rsidP="000D01B3">
                      <w:pPr>
                        <w:rPr>
                          <w:color w:val="C00000"/>
                        </w:rPr>
                      </w:pPr>
                    </w:p>
                    <w:p w:rsidR="000D01B3" w:rsidRPr="00333C99" w:rsidRDefault="000D01B3" w:rsidP="000D01B3">
                      <w:pPr>
                        <w:pStyle w:val="ZHLAVTITULKY"/>
                      </w:pPr>
                      <w:r>
                        <w:t>DOKUMENTY EU</w:t>
                      </w:r>
                    </w:p>
                    <w:p w:rsidR="000D01B3" w:rsidRPr="0035103C" w:rsidRDefault="000D01B3" w:rsidP="000D01B3">
                      <w:pPr>
                        <w:rPr>
                          <w:color w:val="C00000"/>
                        </w:rPr>
                      </w:pPr>
                    </w:p>
                    <w:p w:rsidR="000D01B3" w:rsidRPr="0035103C" w:rsidRDefault="000D01B3" w:rsidP="000D01B3">
                      <w:pPr>
                        <w:rPr>
                          <w:color w:val="C00000"/>
                        </w:rPr>
                      </w:pPr>
                    </w:p>
                    <w:p w:rsidR="000D01B3" w:rsidRPr="0035103C" w:rsidRDefault="000D01B3" w:rsidP="000D01B3">
                      <w:pPr>
                        <w:rPr>
                          <w:color w:val="C00000"/>
                        </w:rPr>
                      </w:pPr>
                    </w:p>
                    <w:p w:rsidR="000D01B3" w:rsidRPr="0035103C" w:rsidRDefault="000D01B3" w:rsidP="000D01B3">
                      <w:pPr>
                        <w:rPr>
                          <w:color w:val="C00000"/>
                        </w:rPr>
                      </w:pPr>
                    </w:p>
                    <w:p w:rsidR="000D01B3" w:rsidRPr="0035103C" w:rsidRDefault="000D01B3" w:rsidP="000D01B3">
                      <w:pPr>
                        <w:tabs>
                          <w:tab w:val="center" w:pos="2835"/>
                          <w:tab w:val="center" w:pos="2977"/>
                        </w:tabs>
                        <w:ind w:left="284" w:right="193" w:hanging="284"/>
                        <w:rPr>
                          <w:rFonts w:cs="Arial"/>
                          <w:color w:val="C00000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A33CF">
        <w:rPr>
          <w:rFonts w:ascii="Times New Roman" w:hAnsi="Times New Roman"/>
          <w:sz w:val="24"/>
        </w:rPr>
        <w:t xml:space="preserve">Příloha k usnesení </w:t>
      </w:r>
      <w:r w:rsidR="001A33CF" w:rsidRPr="00DE5FC5">
        <w:rPr>
          <w:rFonts w:ascii="Times New Roman" w:hAnsi="Times New Roman"/>
          <w:sz w:val="24"/>
        </w:rPr>
        <w:t xml:space="preserve">VŽP </w:t>
      </w:r>
      <w:r w:rsidR="00DE5FC5">
        <w:rPr>
          <w:rFonts w:ascii="Times New Roman" w:hAnsi="Times New Roman"/>
          <w:sz w:val="24"/>
        </w:rPr>
        <w:t xml:space="preserve">č. </w:t>
      </w:r>
      <w:r w:rsidR="001B3ED7">
        <w:rPr>
          <w:rFonts w:ascii="Times New Roman" w:hAnsi="Times New Roman"/>
          <w:sz w:val="24"/>
        </w:rPr>
        <w:t>53</w:t>
      </w:r>
    </w:p>
    <w:p w:rsidR="000D01B3" w:rsidRPr="000D01B3" w:rsidRDefault="000D01B3" w:rsidP="000D01B3">
      <w:pPr>
        <w:spacing w:after="0" w:line="240" w:lineRule="auto"/>
        <w:rPr>
          <w:rFonts w:ascii="Calibri Light" w:eastAsia="Times New Roman" w:hAnsi="Calibri Light" w:cs="Arial"/>
          <w:color w:val="0070C0"/>
          <w:sz w:val="24"/>
          <w:szCs w:val="20"/>
          <w:lang w:eastAsia="cs-CZ"/>
        </w:rPr>
      </w:pPr>
      <w:r w:rsidRPr="000D01B3">
        <w:rPr>
          <w:rFonts w:ascii="Calibri Light" w:eastAsia="Times New Roman" w:hAnsi="Calibri Light" w:cs="Arial"/>
          <w:noProof/>
          <w:color w:val="0070C0"/>
          <w:sz w:val="24"/>
          <w:szCs w:val="20"/>
          <w:lang w:eastAsia="cs-CZ"/>
        </w:rPr>
        <w:drawing>
          <wp:inline distT="0" distB="0" distL="0" distR="0" wp14:anchorId="589BC0E1" wp14:editId="6A436728">
            <wp:extent cx="6210935" cy="1087120"/>
            <wp:effectExtent l="0" t="0" r="0" b="0"/>
            <wp:docPr id="1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1087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01B3">
        <w:rPr>
          <w:rFonts w:ascii="Calibri Light" w:eastAsia="Times New Roman" w:hAnsi="Calibri Light" w:cs="Arial"/>
          <w:noProof/>
          <w:color w:val="0070C0"/>
          <w:sz w:val="24"/>
          <w:szCs w:val="20"/>
          <w:lang w:eastAsia="cs-CZ"/>
        </w:rPr>
        <w:drawing>
          <wp:inline distT="0" distB="0" distL="0" distR="0" wp14:anchorId="36D94731" wp14:editId="488CFE96">
            <wp:extent cx="6210935" cy="69215"/>
            <wp:effectExtent l="0" t="0" r="0" b="0"/>
            <wp:docPr id="2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6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D01B3">
        <w:rPr>
          <w:rFonts w:ascii="Calibri Light" w:eastAsia="Times New Roman" w:hAnsi="Calibri Light" w:cs="Arial"/>
          <w:color w:val="0070C0"/>
          <w:sz w:val="24"/>
          <w:szCs w:val="20"/>
          <w:lang w:eastAsia="cs-CZ"/>
        </w:rPr>
        <w:tab/>
      </w:r>
      <w:r w:rsidRPr="000D01B3">
        <w:rPr>
          <w:rFonts w:ascii="Calibri Light" w:eastAsia="Times New Roman" w:hAnsi="Calibri Light" w:cs="Arial"/>
          <w:color w:val="0070C0"/>
          <w:sz w:val="24"/>
          <w:szCs w:val="20"/>
          <w:lang w:eastAsia="cs-CZ"/>
        </w:rPr>
        <w:tab/>
      </w:r>
      <w:r w:rsidRPr="000D01B3">
        <w:rPr>
          <w:rFonts w:ascii="Calibri Light" w:eastAsia="Times New Roman" w:hAnsi="Calibri Light" w:cs="Arial"/>
          <w:color w:val="0070C0"/>
          <w:sz w:val="24"/>
          <w:szCs w:val="20"/>
          <w:lang w:eastAsia="cs-CZ"/>
        </w:rPr>
        <w:tab/>
      </w:r>
    </w:p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9498"/>
      </w:tblGrid>
      <w:tr w:rsidR="000D01B3" w:rsidRPr="000D01B3" w:rsidTr="0023605F">
        <w:tc>
          <w:tcPr>
            <w:tcW w:w="9498" w:type="dxa"/>
            <w:shd w:val="clear" w:color="auto" w:fill="auto"/>
          </w:tcPr>
          <w:p w:rsidR="000D01B3" w:rsidRPr="000D01B3" w:rsidRDefault="000D01B3" w:rsidP="000D01B3">
            <w:pPr>
              <w:spacing w:before="240" w:after="240" w:line="240" w:lineRule="auto"/>
              <w:ind w:right="176"/>
              <w:rPr>
                <w:rFonts w:ascii="Calibri Light" w:hAnsi="Calibri Light" w:cs="Arial"/>
                <w:b/>
                <w:color w:val="1F4E79" w:themeColor="accent1" w:themeShade="80"/>
                <w:sz w:val="44"/>
                <w:szCs w:val="36"/>
              </w:rPr>
            </w:pPr>
            <w:r w:rsidRPr="000D01B3">
              <w:rPr>
                <w:rFonts w:ascii="Calibri Light" w:hAnsi="Calibri Light" w:cs="Arial"/>
                <w:b/>
                <w:color w:val="1F4E79" w:themeColor="accent1" w:themeShade="80"/>
                <w:sz w:val="44"/>
                <w:szCs w:val="36"/>
              </w:rPr>
              <w:t>Přezkum pravidel pro průmyslové emise</w:t>
            </w:r>
          </w:p>
        </w:tc>
      </w:tr>
      <w:tr w:rsidR="000D01B3" w:rsidRPr="000D01B3" w:rsidTr="0023605F">
        <w:tc>
          <w:tcPr>
            <w:tcW w:w="9498" w:type="dxa"/>
            <w:shd w:val="clear" w:color="auto" w:fill="auto"/>
          </w:tcPr>
          <w:p w:rsidR="000D01B3" w:rsidRPr="000D01B3" w:rsidRDefault="000D01B3" w:rsidP="000D01B3">
            <w:pPr>
              <w:spacing w:after="0" w:line="240" w:lineRule="auto"/>
              <w:rPr>
                <w:rFonts w:asciiTheme="majorHAnsi" w:hAnsiTheme="majorHAnsi"/>
                <w:color w:val="1F4E79" w:themeColor="accent1" w:themeShade="80"/>
                <w:sz w:val="28"/>
                <w:szCs w:val="28"/>
              </w:rPr>
            </w:pPr>
            <w:r w:rsidRPr="000D01B3">
              <w:rPr>
                <w:rFonts w:asciiTheme="majorHAnsi" w:hAnsiTheme="majorHAnsi"/>
                <w:color w:val="1F4E79" w:themeColor="accent1" w:themeShade="80"/>
                <w:sz w:val="28"/>
                <w:szCs w:val="28"/>
              </w:rPr>
              <w:t>Informační podklad k návrhu směrnice, kterou se mění směrnice 2010/75/EU o průmyslových emisích (integrované prevenci a omezování znečištění) a směrnice 1999/31/ES o skládkách odpadů, a k návrhu nařízení o ohlašování environmentálních údajů průmyslovými zařízeními a o zřízení portálu průmyslových emisí</w:t>
            </w:r>
          </w:p>
          <w:p w:rsidR="000D01B3" w:rsidRPr="000D01B3" w:rsidRDefault="000D01B3" w:rsidP="000D01B3">
            <w:pPr>
              <w:spacing w:after="0" w:line="240" w:lineRule="auto"/>
              <w:rPr>
                <w:rFonts w:ascii="Calibri Light" w:eastAsia="Times New Roman" w:hAnsi="Calibri Light"/>
                <w:color w:val="auto"/>
                <w:sz w:val="24"/>
                <w:szCs w:val="20"/>
              </w:rPr>
            </w:pPr>
          </w:p>
          <w:p w:rsidR="000D01B3" w:rsidRPr="000D01B3" w:rsidRDefault="000D01B3" w:rsidP="000D01B3">
            <w:pPr>
              <w:spacing w:after="0" w:line="240" w:lineRule="auto"/>
              <w:rPr>
                <w:rFonts w:ascii="Calibri Light" w:eastAsia="Times New Roman" w:hAnsi="Calibri Light"/>
                <w:color w:val="auto"/>
                <w:sz w:val="24"/>
                <w:szCs w:val="20"/>
              </w:rPr>
            </w:pPr>
          </w:p>
          <w:p w:rsidR="000D01B3" w:rsidRPr="000D01B3" w:rsidRDefault="000D01B3" w:rsidP="000D01B3">
            <w:pPr>
              <w:spacing w:after="0" w:line="240" w:lineRule="auto"/>
              <w:rPr>
                <w:rFonts w:ascii="Calibri Light" w:eastAsia="Times New Roman" w:hAnsi="Calibri Light"/>
                <w:color w:val="auto"/>
                <w:sz w:val="24"/>
                <w:szCs w:val="20"/>
              </w:rPr>
            </w:pPr>
          </w:p>
        </w:tc>
      </w:tr>
    </w:tbl>
    <w:p w:rsidR="000D01B3" w:rsidRPr="000D01B3" w:rsidRDefault="000D01B3" w:rsidP="000D01B3">
      <w:pPr>
        <w:tabs>
          <w:tab w:val="right" w:leader="dot" w:pos="9344"/>
        </w:tabs>
        <w:spacing w:before="120" w:after="120" w:line="240" w:lineRule="auto"/>
        <w:ind w:left="567" w:hanging="567"/>
        <w:rPr>
          <w:rFonts w:asciiTheme="minorHAnsi" w:eastAsia="Times New Roman" w:hAnsiTheme="minorHAnsi"/>
          <w:bCs/>
          <w:caps/>
          <w:color w:val="auto"/>
          <w:sz w:val="20"/>
          <w:szCs w:val="20"/>
          <w:lang w:eastAsia="cs-CZ"/>
        </w:rPr>
      </w:pPr>
      <w:bookmarkStart w:id="2" w:name="_Toc102889783"/>
      <w:bookmarkStart w:id="3" w:name="_Toc102890434"/>
      <w:bookmarkStart w:id="4" w:name="_Toc102962509"/>
      <w:bookmarkStart w:id="5" w:name="_Toc102963703"/>
      <w:bookmarkStart w:id="6" w:name="_Toc104024348"/>
      <w:bookmarkStart w:id="7" w:name="_Toc442363945"/>
    </w:p>
    <w:p w:rsidR="000D01B3" w:rsidRPr="000D01B3" w:rsidRDefault="000D01B3" w:rsidP="000D01B3">
      <w:pPr>
        <w:spacing w:after="0" w:line="240" w:lineRule="auto"/>
        <w:jc w:val="center"/>
        <w:rPr>
          <w:rFonts w:eastAsia="Times New Roman" w:cs="Arial"/>
          <w:b/>
          <w:color w:val="1F4E79" w:themeColor="accent1" w:themeShade="80"/>
          <w:sz w:val="28"/>
          <w:szCs w:val="28"/>
          <w:lang w:eastAsia="cs-CZ"/>
        </w:rPr>
      </w:pPr>
      <w:r w:rsidRPr="000D01B3">
        <w:rPr>
          <w:rFonts w:eastAsia="Times New Roman" w:cs="Arial"/>
          <w:b/>
          <w:color w:val="1F4E79" w:themeColor="accent1" w:themeShade="80"/>
          <w:sz w:val="28"/>
          <w:szCs w:val="28"/>
          <w:lang w:eastAsia="cs-CZ"/>
        </w:rPr>
        <w:t>NÁVRH SMĚRNICE</w:t>
      </w:r>
    </w:p>
    <w:p w:rsidR="000D01B3" w:rsidRPr="000D01B3" w:rsidRDefault="000D01B3" w:rsidP="000D01B3">
      <w:pPr>
        <w:spacing w:after="0" w:line="240" w:lineRule="auto"/>
        <w:jc w:val="center"/>
        <w:rPr>
          <w:rFonts w:asciiTheme="majorHAnsi" w:hAnsiTheme="majorHAnsi"/>
          <w:color w:val="1F4E79" w:themeColor="accent1" w:themeShade="80"/>
          <w:sz w:val="28"/>
          <w:szCs w:val="28"/>
        </w:rPr>
      </w:pPr>
      <w:r w:rsidRPr="000D01B3">
        <w:rPr>
          <w:rFonts w:asciiTheme="majorHAnsi" w:hAnsiTheme="majorHAnsi"/>
          <w:color w:val="1F4E79" w:themeColor="accent1" w:themeShade="80"/>
          <w:sz w:val="28"/>
          <w:szCs w:val="28"/>
        </w:rPr>
        <w:t>Návrh směrnice Evropského parlamentu a Rady, kterou se mění směrnice Evropského parlamentu a Rady 2010/75/EU ze dne 24. listopadu 2010 o průmyslových emisích (integrované prevenci a omezování znečištění) a směrnice Rady 1999/31/ES ze dne 26. dubna 1999 o skládkách odpadů</w:t>
      </w:r>
    </w:p>
    <w:p w:rsidR="000D01B3" w:rsidRPr="000D01B3" w:rsidRDefault="000D01B3" w:rsidP="000D01B3">
      <w:pPr>
        <w:spacing w:after="0" w:line="240" w:lineRule="auto"/>
        <w:jc w:val="center"/>
        <w:rPr>
          <w:rFonts w:asciiTheme="majorHAnsi" w:hAnsiTheme="majorHAnsi"/>
          <w:color w:val="1F4E79" w:themeColor="accent1" w:themeShade="80"/>
          <w:sz w:val="28"/>
          <w:szCs w:val="28"/>
        </w:rPr>
      </w:pPr>
      <w:r w:rsidRPr="000D01B3">
        <w:rPr>
          <w:rFonts w:asciiTheme="majorHAnsi" w:hAnsiTheme="majorHAnsi"/>
          <w:color w:val="1F4E79" w:themeColor="accent1" w:themeShade="80"/>
          <w:sz w:val="28"/>
          <w:szCs w:val="28"/>
        </w:rPr>
        <w:t>COM(2022) 156 final, číslo Rady 8064/22</w:t>
      </w:r>
    </w:p>
    <w:p w:rsidR="000D01B3" w:rsidRPr="000D01B3" w:rsidRDefault="000D01B3" w:rsidP="000D01B3">
      <w:pPr>
        <w:spacing w:after="0" w:line="240" w:lineRule="auto"/>
        <w:jc w:val="center"/>
        <w:rPr>
          <w:rFonts w:asciiTheme="majorHAnsi" w:hAnsiTheme="majorHAnsi"/>
          <w:color w:val="1F4E79" w:themeColor="accent1" w:themeShade="80"/>
          <w:sz w:val="28"/>
          <w:szCs w:val="28"/>
        </w:rPr>
      </w:pPr>
      <w:r w:rsidRPr="000D01B3">
        <w:rPr>
          <w:rFonts w:asciiTheme="majorHAnsi" w:hAnsiTheme="majorHAnsi"/>
          <w:color w:val="1F4E79" w:themeColor="accent1" w:themeShade="80"/>
          <w:sz w:val="28"/>
          <w:szCs w:val="28"/>
        </w:rPr>
        <w:t>Interinstitucionální spis 2022/0104/COD</w:t>
      </w:r>
    </w:p>
    <w:p w:rsidR="000D01B3" w:rsidRPr="000D01B3" w:rsidRDefault="000D01B3" w:rsidP="000D01B3">
      <w:pPr>
        <w:spacing w:after="0" w:line="240" w:lineRule="auto"/>
        <w:jc w:val="center"/>
        <w:rPr>
          <w:rFonts w:asciiTheme="majorHAnsi" w:hAnsiTheme="majorHAnsi"/>
          <w:color w:val="1F4E79" w:themeColor="accent1" w:themeShade="80"/>
          <w:sz w:val="28"/>
          <w:szCs w:val="28"/>
        </w:rPr>
      </w:pPr>
    </w:p>
    <w:p w:rsidR="000D01B3" w:rsidRPr="000D01B3" w:rsidRDefault="000D01B3" w:rsidP="000D01B3">
      <w:pPr>
        <w:spacing w:after="0" w:line="240" w:lineRule="auto"/>
        <w:jc w:val="center"/>
        <w:rPr>
          <w:rFonts w:eastAsia="Times New Roman" w:cs="Arial"/>
          <w:b/>
          <w:color w:val="1F4E79" w:themeColor="accent1" w:themeShade="80"/>
          <w:sz w:val="28"/>
          <w:szCs w:val="28"/>
          <w:lang w:eastAsia="cs-CZ"/>
        </w:rPr>
      </w:pPr>
      <w:r w:rsidRPr="000D01B3">
        <w:rPr>
          <w:rFonts w:eastAsia="Times New Roman" w:cs="Arial"/>
          <w:b/>
          <w:color w:val="1F4E79" w:themeColor="accent1" w:themeShade="80"/>
          <w:sz w:val="28"/>
          <w:szCs w:val="28"/>
          <w:lang w:eastAsia="cs-CZ"/>
        </w:rPr>
        <w:t>NÁVRH NAŘÍZENÍ</w:t>
      </w:r>
    </w:p>
    <w:p w:rsidR="000D01B3" w:rsidRPr="000D01B3" w:rsidRDefault="000D01B3" w:rsidP="000D01B3">
      <w:pPr>
        <w:spacing w:after="0" w:line="240" w:lineRule="auto"/>
        <w:jc w:val="center"/>
        <w:rPr>
          <w:rFonts w:asciiTheme="majorHAnsi" w:hAnsiTheme="majorHAnsi"/>
          <w:color w:val="1F4E79" w:themeColor="accent1" w:themeShade="80"/>
          <w:sz w:val="28"/>
          <w:szCs w:val="28"/>
        </w:rPr>
      </w:pPr>
      <w:r w:rsidRPr="000D01B3">
        <w:rPr>
          <w:rFonts w:asciiTheme="majorHAnsi" w:hAnsiTheme="majorHAnsi"/>
          <w:color w:val="1F4E79" w:themeColor="accent1" w:themeShade="80"/>
          <w:sz w:val="28"/>
          <w:szCs w:val="28"/>
        </w:rPr>
        <w:t>Návrh nařízení Evropského parlamentu a Rady o ohlašování environmentálních údajů průmyslovými zařízeními a o zřízení portálu průmyslových emisí</w:t>
      </w:r>
    </w:p>
    <w:p w:rsidR="000D01B3" w:rsidRPr="000D01B3" w:rsidRDefault="000D01B3" w:rsidP="000D01B3">
      <w:pPr>
        <w:spacing w:after="0" w:line="240" w:lineRule="auto"/>
        <w:jc w:val="center"/>
        <w:rPr>
          <w:rFonts w:asciiTheme="majorHAnsi" w:hAnsiTheme="majorHAnsi"/>
          <w:color w:val="1F4E79" w:themeColor="accent1" w:themeShade="80"/>
          <w:sz w:val="28"/>
          <w:szCs w:val="28"/>
        </w:rPr>
      </w:pPr>
      <w:r w:rsidRPr="000D01B3">
        <w:rPr>
          <w:rFonts w:asciiTheme="majorHAnsi" w:hAnsiTheme="majorHAnsi"/>
          <w:color w:val="1F4E79" w:themeColor="accent1" w:themeShade="80"/>
          <w:sz w:val="28"/>
          <w:szCs w:val="28"/>
        </w:rPr>
        <w:t>COM(2022) 157 final, číslo Rady 8121/22</w:t>
      </w:r>
    </w:p>
    <w:p w:rsidR="000D01B3" w:rsidRPr="000D01B3" w:rsidRDefault="000D01B3" w:rsidP="000D01B3">
      <w:pPr>
        <w:spacing w:after="0" w:line="240" w:lineRule="auto"/>
        <w:jc w:val="center"/>
        <w:rPr>
          <w:rFonts w:asciiTheme="majorHAnsi" w:hAnsiTheme="majorHAnsi"/>
          <w:color w:val="1F4E79" w:themeColor="accent1" w:themeShade="80"/>
          <w:sz w:val="28"/>
          <w:szCs w:val="28"/>
        </w:rPr>
      </w:pPr>
      <w:r w:rsidRPr="000D01B3">
        <w:rPr>
          <w:rFonts w:asciiTheme="majorHAnsi" w:hAnsiTheme="majorHAnsi"/>
          <w:color w:val="1F4E79" w:themeColor="accent1" w:themeShade="80"/>
          <w:sz w:val="28"/>
          <w:szCs w:val="28"/>
        </w:rPr>
        <w:t>Interinstitucionální spis 2022/0105/COD</w:t>
      </w:r>
    </w:p>
    <w:p w:rsidR="000D01B3" w:rsidRPr="000D01B3" w:rsidRDefault="000D01B3" w:rsidP="000D01B3">
      <w:pPr>
        <w:spacing w:after="0" w:line="240" w:lineRule="auto"/>
        <w:jc w:val="both"/>
        <w:rPr>
          <w:rFonts w:asciiTheme="minorHAnsi" w:eastAsia="Times New Roman" w:hAnsiTheme="minorHAnsi"/>
          <w:caps/>
          <w:color w:val="auto"/>
          <w:sz w:val="20"/>
          <w:szCs w:val="20"/>
          <w:lang w:eastAsia="cs-CZ"/>
        </w:rPr>
      </w:pPr>
    </w:p>
    <w:p w:rsidR="000D01B3" w:rsidRPr="000D01B3" w:rsidRDefault="000D01B3" w:rsidP="000D01B3">
      <w:pPr>
        <w:spacing w:after="0" w:line="240" w:lineRule="auto"/>
        <w:jc w:val="both"/>
        <w:rPr>
          <w:rFonts w:asciiTheme="majorHAnsi" w:eastAsia="Times New Roman" w:hAnsiTheme="majorHAnsi"/>
          <w:b/>
          <w:bCs/>
          <w:color w:val="auto"/>
          <w:sz w:val="24"/>
          <w:szCs w:val="20"/>
          <w:lang w:eastAsia="cs-CZ"/>
        </w:rPr>
      </w:pPr>
    </w:p>
    <w:p w:rsidR="000D01B3" w:rsidRPr="000D01B3" w:rsidRDefault="000D01B3" w:rsidP="000D01B3">
      <w:pPr>
        <w:keepNext/>
        <w:keepLines/>
        <w:numPr>
          <w:ilvl w:val="0"/>
          <w:numId w:val="11"/>
        </w:numPr>
        <w:suppressAutoHyphens/>
        <w:autoSpaceDN w:val="0"/>
        <w:spacing w:after="0" w:line="254" w:lineRule="auto"/>
        <w:jc w:val="both"/>
        <w:textAlignment w:val="baseline"/>
        <w:rPr>
          <w:rFonts w:ascii="Calibri Light" w:hAnsi="Calibri Light" w:cs="Calibri"/>
          <w:b/>
          <w:color w:val="auto"/>
          <w:sz w:val="24"/>
        </w:rPr>
      </w:pPr>
      <w:bookmarkStart w:id="8" w:name="_Toc445380604"/>
      <w:r w:rsidRPr="000D01B3">
        <w:rPr>
          <w:rFonts w:ascii="Calibri Light" w:hAnsi="Calibri Light" w:cs="Calibri"/>
          <w:b/>
          <w:color w:val="auto"/>
          <w:sz w:val="24"/>
        </w:rPr>
        <w:t>Právní základ:</w:t>
      </w:r>
      <w:bookmarkEnd w:id="8"/>
    </w:p>
    <w:p w:rsidR="000D01B3" w:rsidRPr="000D01B3" w:rsidRDefault="000D01B3" w:rsidP="000D01B3">
      <w:pPr>
        <w:spacing w:after="0" w:line="240" w:lineRule="auto"/>
        <w:jc w:val="both"/>
        <w:rPr>
          <w:rFonts w:asciiTheme="majorHAnsi" w:hAnsiTheme="majorHAnsi"/>
          <w:color w:val="auto"/>
          <w:sz w:val="24"/>
        </w:rPr>
      </w:pPr>
      <w:r w:rsidRPr="000D01B3">
        <w:rPr>
          <w:rFonts w:asciiTheme="majorHAnsi" w:hAnsiTheme="majorHAnsi"/>
          <w:color w:val="auto"/>
          <w:sz w:val="24"/>
        </w:rPr>
        <w:t>Článek 192 odst. 1 Smlouvy o fungování Evropské unie.</w:t>
      </w:r>
    </w:p>
    <w:p w:rsidR="000D01B3" w:rsidRPr="000D01B3" w:rsidRDefault="000D01B3" w:rsidP="000D01B3">
      <w:pPr>
        <w:spacing w:after="0" w:line="240" w:lineRule="auto"/>
        <w:jc w:val="both"/>
        <w:rPr>
          <w:rFonts w:asciiTheme="majorHAnsi" w:hAnsiTheme="majorHAnsi"/>
          <w:color w:val="auto"/>
          <w:sz w:val="24"/>
        </w:rPr>
      </w:pPr>
    </w:p>
    <w:p w:rsidR="000D01B3" w:rsidRPr="000D01B3" w:rsidRDefault="000D01B3" w:rsidP="000D01B3">
      <w:pPr>
        <w:keepNext/>
        <w:keepLines/>
        <w:numPr>
          <w:ilvl w:val="0"/>
          <w:numId w:val="11"/>
        </w:numPr>
        <w:suppressAutoHyphens/>
        <w:autoSpaceDN w:val="0"/>
        <w:spacing w:after="0" w:line="254" w:lineRule="auto"/>
        <w:jc w:val="both"/>
        <w:textAlignment w:val="baseline"/>
        <w:rPr>
          <w:rFonts w:ascii="Calibri Light" w:hAnsi="Calibri Light" w:cs="Calibri"/>
          <w:b/>
          <w:color w:val="auto"/>
          <w:sz w:val="24"/>
        </w:rPr>
      </w:pPr>
      <w:bookmarkStart w:id="9" w:name="_Toc445380605"/>
      <w:r w:rsidRPr="000D01B3">
        <w:rPr>
          <w:rFonts w:ascii="Calibri Light" w:hAnsi="Calibri Light" w:cs="Calibri"/>
          <w:b/>
          <w:color w:val="auto"/>
          <w:sz w:val="24"/>
        </w:rPr>
        <w:t>Datum zaslání Poslanecké sněmovně prostřednictvím VEZ:</w:t>
      </w:r>
      <w:bookmarkEnd w:id="9"/>
    </w:p>
    <w:p w:rsidR="000D01B3" w:rsidRPr="000D01B3" w:rsidRDefault="000D01B3" w:rsidP="000D01B3">
      <w:pPr>
        <w:spacing w:after="0" w:line="240" w:lineRule="auto"/>
        <w:jc w:val="both"/>
        <w:rPr>
          <w:rFonts w:asciiTheme="majorHAnsi" w:hAnsiTheme="majorHAnsi"/>
          <w:color w:val="auto"/>
          <w:sz w:val="24"/>
        </w:rPr>
      </w:pPr>
      <w:r w:rsidRPr="000D01B3">
        <w:rPr>
          <w:rFonts w:asciiTheme="majorHAnsi" w:hAnsiTheme="majorHAnsi"/>
          <w:color w:val="auto"/>
          <w:sz w:val="24"/>
        </w:rPr>
        <w:t>28. 4. a 2. 5. 2022</w:t>
      </w:r>
    </w:p>
    <w:p w:rsidR="000D01B3" w:rsidRPr="000D01B3" w:rsidRDefault="000D01B3" w:rsidP="000D01B3">
      <w:pPr>
        <w:spacing w:after="0" w:line="240" w:lineRule="auto"/>
        <w:jc w:val="both"/>
        <w:rPr>
          <w:rFonts w:asciiTheme="majorHAnsi" w:hAnsiTheme="majorHAnsi"/>
          <w:color w:val="auto"/>
          <w:sz w:val="24"/>
        </w:rPr>
      </w:pPr>
    </w:p>
    <w:p w:rsidR="000D01B3" w:rsidRPr="000D01B3" w:rsidRDefault="000D01B3" w:rsidP="000D01B3">
      <w:pPr>
        <w:keepNext/>
        <w:keepLines/>
        <w:numPr>
          <w:ilvl w:val="0"/>
          <w:numId w:val="11"/>
        </w:numPr>
        <w:suppressAutoHyphens/>
        <w:autoSpaceDN w:val="0"/>
        <w:spacing w:after="0" w:line="254" w:lineRule="auto"/>
        <w:jc w:val="both"/>
        <w:textAlignment w:val="baseline"/>
        <w:rPr>
          <w:rFonts w:ascii="Calibri Light" w:hAnsi="Calibri Light" w:cs="Calibri"/>
          <w:b/>
          <w:color w:val="auto"/>
          <w:sz w:val="24"/>
        </w:rPr>
      </w:pPr>
      <w:bookmarkStart w:id="10" w:name="_Toc445380606"/>
      <w:r w:rsidRPr="000D01B3">
        <w:rPr>
          <w:rFonts w:ascii="Calibri Light" w:hAnsi="Calibri Light" w:cs="Calibri"/>
          <w:b/>
          <w:color w:val="auto"/>
          <w:sz w:val="24"/>
        </w:rPr>
        <w:t>Datum projednání ve VEZ:</w:t>
      </w:r>
      <w:bookmarkEnd w:id="10"/>
    </w:p>
    <w:p w:rsidR="000D01B3" w:rsidRPr="000D01B3" w:rsidRDefault="000D01B3" w:rsidP="000D01B3">
      <w:pPr>
        <w:spacing w:after="0" w:line="240" w:lineRule="auto"/>
        <w:jc w:val="both"/>
        <w:rPr>
          <w:rFonts w:asciiTheme="majorHAnsi" w:hAnsiTheme="majorHAnsi"/>
          <w:color w:val="auto"/>
          <w:sz w:val="24"/>
        </w:rPr>
      </w:pPr>
      <w:r w:rsidRPr="000D01B3">
        <w:rPr>
          <w:rFonts w:asciiTheme="majorHAnsi" w:hAnsiTheme="majorHAnsi"/>
          <w:color w:val="auto"/>
          <w:sz w:val="24"/>
        </w:rPr>
        <w:t>18. 5. 2022 (1. kolo)</w:t>
      </w:r>
    </w:p>
    <w:p w:rsidR="000D01B3" w:rsidRPr="000D01B3" w:rsidRDefault="000D01B3" w:rsidP="000D01B3">
      <w:pPr>
        <w:spacing w:after="0" w:line="240" w:lineRule="auto"/>
        <w:jc w:val="both"/>
        <w:rPr>
          <w:rFonts w:asciiTheme="majorHAnsi" w:hAnsiTheme="majorHAnsi"/>
          <w:color w:val="auto"/>
          <w:sz w:val="24"/>
        </w:rPr>
      </w:pPr>
    </w:p>
    <w:p w:rsidR="000D01B3" w:rsidRPr="000D01B3" w:rsidRDefault="000D01B3" w:rsidP="000D01B3">
      <w:pPr>
        <w:keepNext/>
        <w:keepLines/>
        <w:numPr>
          <w:ilvl w:val="0"/>
          <w:numId w:val="11"/>
        </w:numPr>
        <w:suppressAutoHyphens/>
        <w:autoSpaceDN w:val="0"/>
        <w:spacing w:after="0" w:line="254" w:lineRule="auto"/>
        <w:jc w:val="both"/>
        <w:textAlignment w:val="baseline"/>
        <w:rPr>
          <w:rFonts w:ascii="Calibri Light" w:hAnsi="Calibri Light" w:cs="Calibri"/>
          <w:b/>
          <w:color w:val="auto"/>
          <w:sz w:val="24"/>
        </w:rPr>
      </w:pPr>
      <w:bookmarkStart w:id="11" w:name="_Toc445380607"/>
      <w:r w:rsidRPr="000D01B3">
        <w:rPr>
          <w:rFonts w:ascii="Calibri Light" w:hAnsi="Calibri Light" w:cs="Calibri"/>
          <w:b/>
          <w:color w:val="auto"/>
          <w:sz w:val="24"/>
        </w:rPr>
        <w:t>Procedura:</w:t>
      </w:r>
      <w:bookmarkEnd w:id="11"/>
    </w:p>
    <w:p w:rsidR="000D01B3" w:rsidRPr="000D01B3" w:rsidRDefault="000D01B3" w:rsidP="000D01B3">
      <w:pPr>
        <w:spacing w:after="0" w:line="240" w:lineRule="auto"/>
        <w:jc w:val="both"/>
        <w:rPr>
          <w:rFonts w:asciiTheme="majorHAnsi" w:hAnsiTheme="majorHAnsi"/>
          <w:color w:val="auto"/>
          <w:sz w:val="24"/>
        </w:rPr>
      </w:pPr>
      <w:r w:rsidRPr="000D01B3">
        <w:rPr>
          <w:rFonts w:asciiTheme="majorHAnsi" w:hAnsiTheme="majorHAnsi"/>
          <w:color w:val="auto"/>
          <w:sz w:val="24"/>
        </w:rPr>
        <w:t>Řádný legislativní postup.</w:t>
      </w:r>
    </w:p>
    <w:p w:rsidR="000D01B3" w:rsidRPr="000D01B3" w:rsidRDefault="000D01B3" w:rsidP="000D01B3">
      <w:pPr>
        <w:spacing w:after="0" w:line="240" w:lineRule="auto"/>
        <w:jc w:val="both"/>
        <w:rPr>
          <w:rFonts w:asciiTheme="majorHAnsi" w:hAnsiTheme="majorHAnsi"/>
          <w:color w:val="auto"/>
          <w:sz w:val="24"/>
        </w:rPr>
      </w:pPr>
    </w:p>
    <w:p w:rsidR="000D01B3" w:rsidRPr="000D01B3" w:rsidRDefault="000D01B3" w:rsidP="000D01B3">
      <w:pPr>
        <w:keepNext/>
        <w:keepLines/>
        <w:numPr>
          <w:ilvl w:val="0"/>
          <w:numId w:val="11"/>
        </w:numPr>
        <w:suppressAutoHyphens/>
        <w:autoSpaceDN w:val="0"/>
        <w:spacing w:after="0" w:line="254" w:lineRule="auto"/>
        <w:jc w:val="both"/>
        <w:textAlignment w:val="baseline"/>
        <w:rPr>
          <w:rFonts w:ascii="Calibri Light" w:hAnsi="Calibri Light" w:cs="Calibri"/>
          <w:b/>
          <w:color w:val="auto"/>
          <w:sz w:val="24"/>
        </w:rPr>
      </w:pPr>
      <w:bookmarkStart w:id="12" w:name="_Toc445380608"/>
      <w:r w:rsidRPr="000D01B3">
        <w:rPr>
          <w:rFonts w:ascii="Calibri Light" w:hAnsi="Calibri Light" w:cs="Calibri"/>
          <w:b/>
          <w:color w:val="auto"/>
          <w:sz w:val="24"/>
        </w:rPr>
        <w:t>Předběžná stanoviska vlády (dle § 109a odst. 1 jednacího řádu PS):</w:t>
      </w:r>
      <w:bookmarkEnd w:id="12"/>
    </w:p>
    <w:p w:rsidR="000D01B3" w:rsidRPr="000D01B3" w:rsidRDefault="000D01B3" w:rsidP="000D01B3">
      <w:pPr>
        <w:spacing w:after="0" w:line="240" w:lineRule="auto"/>
        <w:jc w:val="both"/>
        <w:rPr>
          <w:rFonts w:asciiTheme="majorHAnsi" w:hAnsiTheme="majorHAnsi"/>
          <w:color w:val="auto"/>
          <w:sz w:val="24"/>
        </w:rPr>
      </w:pPr>
      <w:r w:rsidRPr="000D01B3">
        <w:rPr>
          <w:rFonts w:asciiTheme="majorHAnsi" w:hAnsiTheme="majorHAnsi"/>
          <w:color w:val="auto"/>
          <w:sz w:val="24"/>
        </w:rPr>
        <w:t xml:space="preserve">Datovaná dnem 19. 5. 2022, resp. 24. 5. 2022, doručené do výboru pro evropské záležitosti dne 25. 5. 2022 prostřednictvím systému ISAP. </w:t>
      </w:r>
    </w:p>
    <w:p w:rsidR="000D01B3" w:rsidRPr="000D01B3" w:rsidRDefault="000D01B3" w:rsidP="000D01B3">
      <w:pPr>
        <w:spacing w:after="0" w:line="240" w:lineRule="auto"/>
        <w:jc w:val="both"/>
        <w:rPr>
          <w:rFonts w:asciiTheme="majorHAnsi" w:hAnsiTheme="majorHAnsi"/>
          <w:color w:val="auto"/>
          <w:sz w:val="24"/>
        </w:rPr>
      </w:pPr>
    </w:p>
    <w:p w:rsidR="000D01B3" w:rsidRPr="000D01B3" w:rsidRDefault="000D01B3" w:rsidP="000D01B3">
      <w:pPr>
        <w:numPr>
          <w:ilvl w:val="0"/>
          <w:numId w:val="9"/>
        </w:numPr>
        <w:spacing w:after="0" w:line="240" w:lineRule="auto"/>
        <w:ind w:left="0"/>
        <w:outlineLvl w:val="0"/>
        <w:rPr>
          <w:rFonts w:asciiTheme="majorHAnsi" w:eastAsia="Times New Roman" w:hAnsiTheme="majorHAnsi"/>
          <w:b/>
          <w:color w:val="auto"/>
          <w:sz w:val="24"/>
          <w:szCs w:val="20"/>
          <w:lang w:eastAsia="cs-CZ"/>
        </w:rPr>
      </w:pPr>
      <w:bookmarkStart w:id="13" w:name="_Toc445380609"/>
      <w:bookmarkStart w:id="14" w:name="_Toc448302188"/>
      <w:r w:rsidRPr="000D01B3">
        <w:rPr>
          <w:rFonts w:asciiTheme="majorHAnsi" w:eastAsia="Times New Roman" w:hAnsiTheme="majorHAnsi"/>
          <w:b/>
          <w:color w:val="auto"/>
          <w:sz w:val="24"/>
          <w:szCs w:val="20"/>
          <w:lang w:eastAsia="cs-CZ"/>
        </w:rPr>
        <w:t>Hodnocení z hlediska principu</w:t>
      </w:r>
      <w:r w:rsidRPr="000D01B3">
        <w:rPr>
          <w:rFonts w:asciiTheme="majorHAnsi" w:eastAsia="Times New Roman" w:hAnsiTheme="majorHAnsi"/>
          <w:color w:val="auto"/>
          <w:sz w:val="24"/>
          <w:szCs w:val="20"/>
          <w:lang w:eastAsia="cs-CZ"/>
        </w:rPr>
        <w:t xml:space="preserve"> </w:t>
      </w:r>
      <w:r w:rsidRPr="000D01B3">
        <w:rPr>
          <w:rFonts w:asciiTheme="majorHAnsi" w:eastAsia="Times New Roman" w:hAnsiTheme="majorHAnsi"/>
          <w:b/>
          <w:color w:val="auto"/>
          <w:sz w:val="24"/>
          <w:szCs w:val="20"/>
          <w:lang w:eastAsia="cs-CZ"/>
        </w:rPr>
        <w:t>subsidiarity:</w:t>
      </w:r>
      <w:bookmarkEnd w:id="13"/>
      <w:bookmarkEnd w:id="14"/>
    </w:p>
    <w:p w:rsidR="000D01B3" w:rsidRPr="000D01B3" w:rsidRDefault="000D01B3" w:rsidP="000D01B3">
      <w:pPr>
        <w:spacing w:after="0" w:line="240" w:lineRule="auto"/>
        <w:jc w:val="both"/>
        <w:rPr>
          <w:rFonts w:asciiTheme="majorHAnsi" w:hAnsiTheme="majorHAnsi"/>
          <w:color w:val="auto"/>
          <w:sz w:val="24"/>
        </w:rPr>
      </w:pPr>
      <w:r w:rsidRPr="000D01B3">
        <w:rPr>
          <w:rFonts w:asciiTheme="majorHAnsi" w:hAnsiTheme="majorHAnsi"/>
          <w:color w:val="auto"/>
          <w:sz w:val="24"/>
        </w:rPr>
        <w:t>Bude doplněno po jednání výboru.</w:t>
      </w:r>
    </w:p>
    <w:p w:rsidR="000D01B3" w:rsidRPr="000D01B3" w:rsidRDefault="000D01B3" w:rsidP="000D01B3">
      <w:pPr>
        <w:spacing w:after="0" w:line="240" w:lineRule="auto"/>
        <w:jc w:val="both"/>
        <w:rPr>
          <w:rFonts w:asciiTheme="majorHAnsi" w:hAnsiTheme="majorHAnsi"/>
          <w:color w:val="auto"/>
          <w:sz w:val="24"/>
        </w:rPr>
      </w:pPr>
    </w:p>
    <w:p w:rsidR="000D01B3" w:rsidRPr="000D01B3" w:rsidRDefault="000D01B3" w:rsidP="000D01B3">
      <w:pPr>
        <w:numPr>
          <w:ilvl w:val="0"/>
          <w:numId w:val="9"/>
        </w:numPr>
        <w:spacing w:after="0" w:line="240" w:lineRule="auto"/>
        <w:ind w:left="0"/>
        <w:outlineLvl w:val="0"/>
        <w:rPr>
          <w:rFonts w:asciiTheme="majorHAnsi" w:eastAsia="Times New Roman" w:hAnsiTheme="majorHAnsi"/>
          <w:b/>
          <w:color w:val="auto"/>
          <w:sz w:val="24"/>
          <w:szCs w:val="20"/>
          <w:lang w:eastAsia="cs-CZ"/>
        </w:rPr>
      </w:pPr>
      <w:bookmarkStart w:id="15" w:name="_Toc445380610"/>
      <w:bookmarkStart w:id="16" w:name="_Toc448302189"/>
      <w:r w:rsidRPr="000D01B3">
        <w:rPr>
          <w:rFonts w:asciiTheme="majorHAnsi" w:eastAsia="Times New Roman" w:hAnsiTheme="majorHAnsi"/>
          <w:b/>
          <w:color w:val="auto"/>
          <w:sz w:val="24"/>
          <w:szCs w:val="20"/>
          <w:lang w:eastAsia="cs-CZ"/>
        </w:rPr>
        <w:t>Odůvodnění a předmět:</w:t>
      </w:r>
      <w:bookmarkEnd w:id="15"/>
      <w:bookmarkEnd w:id="16"/>
    </w:p>
    <w:p w:rsidR="000D01B3" w:rsidRPr="000D01B3" w:rsidRDefault="00B62D6C" w:rsidP="000D01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after="120" w:line="240" w:lineRule="auto"/>
        <w:jc w:val="both"/>
        <w:rPr>
          <w:rFonts w:asciiTheme="majorHAnsi" w:hAnsiTheme="majorHAnsi"/>
          <w:color w:val="auto"/>
          <w:sz w:val="24"/>
          <w:szCs w:val="24"/>
          <w:highlight w:val="yellow"/>
        </w:rPr>
      </w:pPr>
      <w:hyperlink r:id="rId10" w:history="1">
        <w:r w:rsidR="000D01B3" w:rsidRPr="000D01B3">
          <w:rPr>
            <w:rFonts w:asciiTheme="majorHAnsi" w:eastAsia="Times New Roman" w:hAnsiTheme="majorHAnsi"/>
            <w:color w:val="0000FF"/>
            <w:sz w:val="24"/>
            <w:szCs w:val="20"/>
            <w:u w:val="single"/>
            <w:lang w:eastAsia="cs-CZ"/>
          </w:rPr>
          <w:t>Návrh směrnice Evropského parlamentu a Rady, kterou se mění směrnice Evropského parlamentu a Rady 2010/75/EU ze dne 24. listopadu 2010 o průmyslových emisích (integrované prevenci a omezování znečištění) a směrnice Rady 1999/31/ES ze dne 26. dubna 1999 o skládkách odpadů</w:t>
        </w:r>
      </w:hyperlink>
      <w:r w:rsidR="000D01B3" w:rsidRPr="000D01B3">
        <w:rPr>
          <w:rFonts w:asciiTheme="majorHAnsi" w:eastAsia="Times New Roman" w:hAnsiTheme="majorHAnsi"/>
          <w:color w:val="auto"/>
          <w:sz w:val="24"/>
          <w:szCs w:val="20"/>
          <w:lang w:eastAsia="cs-CZ"/>
        </w:rPr>
        <w:t xml:space="preserve"> </w:t>
      </w:r>
      <w:r w:rsidR="000D01B3" w:rsidRPr="000D01B3">
        <w:rPr>
          <w:rFonts w:asciiTheme="majorHAnsi" w:hAnsiTheme="majorHAnsi"/>
          <w:color w:val="auto"/>
          <w:sz w:val="24"/>
          <w:szCs w:val="24"/>
        </w:rPr>
        <w:t>(dále jen „návrh revize směrnice“) si klade za cíl stimulovat zemědělsko-průmyslovou transformaci směrem k nulovému znečištění pomocí využívání přelomových technologií, a tím přispět k cílům Zelené dohody pro Evropu. Kromě toho návrh revize směrnice o průmyslových emisích usiluje o modernizaci a zjednodušení stávajících předpisů, např. prostřednictvím digitalizace a zlepšování znalostí o zdrojích znečištění. Dalším cílem je zvýšit účast veřejnosti na rozhodování a zlepšit přístup k informacím a spravedlnosti včetně účinných mechanismů nápravy.</w:t>
      </w:r>
    </w:p>
    <w:p w:rsidR="000D01B3" w:rsidRPr="000D01B3" w:rsidRDefault="00B62D6C" w:rsidP="000D01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after="120" w:line="240" w:lineRule="auto"/>
        <w:jc w:val="both"/>
        <w:rPr>
          <w:rFonts w:asciiTheme="majorHAnsi" w:hAnsiTheme="majorHAnsi"/>
          <w:color w:val="auto"/>
          <w:sz w:val="24"/>
          <w:szCs w:val="24"/>
        </w:rPr>
      </w:pPr>
      <w:hyperlink r:id="rId11" w:history="1">
        <w:r w:rsidR="000D01B3" w:rsidRPr="000D01B3">
          <w:rPr>
            <w:rFonts w:asciiTheme="majorHAnsi" w:eastAsia="Times New Roman" w:hAnsiTheme="majorHAnsi"/>
            <w:color w:val="0000FF"/>
            <w:sz w:val="24"/>
            <w:szCs w:val="20"/>
            <w:u w:val="single"/>
            <w:lang w:eastAsia="cs-CZ"/>
          </w:rPr>
          <w:t>Návrh nařízení Evropského parlamentu a Rady o ohlašování environmentálních údajů průmyslovými zařízeními a o zřízení portálu průmyslových emisí</w:t>
        </w:r>
      </w:hyperlink>
      <w:r w:rsidR="000D01B3" w:rsidRPr="000D01B3">
        <w:rPr>
          <w:rFonts w:asciiTheme="majorHAnsi" w:hAnsiTheme="majorHAnsi"/>
          <w:color w:val="auto"/>
          <w:sz w:val="24"/>
          <w:szCs w:val="24"/>
        </w:rPr>
        <w:t xml:space="preserve"> (dále jen „návrh nařízení“) si klade za cíl prostřednictvím vytvoření portálu průmyslových emisí aktualizovat evropský registr úniků a přenosů znečišťujících látek (E-PRTR) v souladu se zjištěními nedávno dokončeného posouzení dopadů. Dále by mělo navrhované nařízení zlepšit přístup EU k informacím v oblasti životního prostředí týkajících se průmyslových zařízení.</w:t>
      </w:r>
    </w:p>
    <w:p w:rsidR="000D01B3" w:rsidRPr="000D01B3" w:rsidRDefault="000D01B3" w:rsidP="000D01B3">
      <w:pPr>
        <w:spacing w:after="120" w:line="240" w:lineRule="auto"/>
        <w:jc w:val="both"/>
        <w:rPr>
          <w:rFonts w:asciiTheme="majorHAnsi" w:hAnsiTheme="majorHAnsi"/>
          <w:color w:val="auto"/>
          <w:sz w:val="24"/>
        </w:rPr>
      </w:pPr>
      <w:r w:rsidRPr="000D01B3">
        <w:rPr>
          <w:rFonts w:asciiTheme="majorHAnsi" w:hAnsiTheme="majorHAnsi"/>
          <w:color w:val="auto"/>
          <w:sz w:val="24"/>
        </w:rPr>
        <w:t xml:space="preserve">Komise ve sdělení </w:t>
      </w:r>
      <w:hyperlink r:id="rId12" w:history="1">
        <w:r w:rsidRPr="000D01B3">
          <w:rPr>
            <w:rFonts w:asciiTheme="majorHAnsi" w:hAnsiTheme="majorHAnsi"/>
            <w:color w:val="0000FF"/>
            <w:sz w:val="24"/>
            <w:u w:val="single"/>
          </w:rPr>
          <w:t>Zelená dohoda pro Evropu</w:t>
        </w:r>
      </w:hyperlink>
      <w:r w:rsidRPr="000D01B3">
        <w:rPr>
          <w:rFonts w:asciiTheme="majorHAnsi" w:hAnsiTheme="majorHAnsi"/>
          <w:color w:val="0000FF"/>
          <w:sz w:val="24"/>
        </w:rPr>
        <w:t xml:space="preserve"> </w:t>
      </w:r>
      <w:r w:rsidRPr="000D01B3">
        <w:rPr>
          <w:rFonts w:asciiTheme="majorHAnsi" w:hAnsiTheme="majorHAnsi"/>
          <w:color w:val="auto"/>
          <w:sz w:val="24"/>
        </w:rPr>
        <w:t xml:space="preserve">v prosinci roku 2019 avizovala, že provede přezkum opatření EU s cílem řešit problematiku znečištění, které generují rozsáhlé průmyslové komplexy. V roce 2020 proběhlo </w:t>
      </w:r>
      <w:hyperlink r:id="rId13" w:history="1">
        <w:r w:rsidRPr="000D01B3">
          <w:rPr>
            <w:rFonts w:asciiTheme="majorHAnsi" w:hAnsiTheme="majorHAnsi"/>
            <w:color w:val="0000FF"/>
            <w:sz w:val="24"/>
            <w:u w:val="single"/>
          </w:rPr>
          <w:t>hodnocení směrnice o průmyslových emisích</w:t>
        </w:r>
      </w:hyperlink>
      <w:r w:rsidRPr="000D01B3">
        <w:rPr>
          <w:rFonts w:asciiTheme="majorHAnsi" w:hAnsiTheme="majorHAnsi"/>
          <w:color w:val="auto"/>
          <w:sz w:val="24"/>
        </w:rPr>
        <w:t xml:space="preserve">. V tomto hodnocení bylo konstatováno, že směrnice účinně snižuje dopady průmyslových odvětví, která spadají do její působnosti, na životní prostředí a omezuje narušování hospodářské soutěže v EU. Byly nicméně nalezeny i oblasti, ve kterých by právní úprava mohla být vylepšena. Jedná se například o snižování emisí znečišťujících látek, zejména do vody, přispívání ke snižování emisí skleníkových plynů nebo zlepšování účinného využívání a opětovného používání zdrojů. V květnu roku 2021 pak Komise vydala </w:t>
      </w:r>
      <w:hyperlink r:id="rId14" w:history="1">
        <w:r w:rsidRPr="000D01B3">
          <w:rPr>
            <w:rFonts w:asciiTheme="majorHAnsi" w:hAnsiTheme="majorHAnsi"/>
            <w:color w:val="0000FF"/>
            <w:sz w:val="24"/>
            <w:u w:val="single"/>
          </w:rPr>
          <w:t>Akční plán EU: „Vstříc nulovému znečištění ovzduší, vod a půdy“</w:t>
        </w:r>
      </w:hyperlink>
      <w:r w:rsidRPr="000D01B3">
        <w:rPr>
          <w:rFonts w:asciiTheme="majorHAnsi" w:hAnsiTheme="majorHAnsi"/>
          <w:color w:val="auto"/>
          <w:sz w:val="24"/>
        </w:rPr>
        <w:t>. Součástí akčního plánu bylo také oznámení revize směrnice o průmyslových emisích a nařízení o evropském registru úniků a přenosů znečišťujících látek.</w:t>
      </w:r>
    </w:p>
    <w:p w:rsidR="000D01B3" w:rsidRPr="000D01B3" w:rsidRDefault="000D01B3" w:rsidP="000D01B3">
      <w:pPr>
        <w:spacing w:after="120" w:line="240" w:lineRule="auto"/>
        <w:jc w:val="both"/>
        <w:rPr>
          <w:rFonts w:asciiTheme="majorHAnsi" w:hAnsiTheme="majorHAnsi"/>
          <w:color w:val="auto"/>
          <w:sz w:val="24"/>
        </w:rPr>
      </w:pPr>
      <w:r w:rsidRPr="000D01B3">
        <w:rPr>
          <w:rFonts w:asciiTheme="majorHAnsi" w:hAnsiTheme="majorHAnsi"/>
          <w:color w:val="auto"/>
          <w:sz w:val="24"/>
        </w:rPr>
        <w:t xml:space="preserve">Návrh revize směrnice by měl měnit v současnosti platnou </w:t>
      </w:r>
      <w:hyperlink r:id="rId15" w:history="1">
        <w:r w:rsidRPr="000D01B3">
          <w:rPr>
            <w:rFonts w:asciiTheme="majorHAnsi" w:hAnsiTheme="majorHAnsi"/>
            <w:color w:val="0000FF"/>
            <w:sz w:val="24"/>
            <w:u w:val="single"/>
          </w:rPr>
          <w:t>směrnici Evropského parlamentu a Rady 2010/75/EU ze dne 24. listopadu 2010 o průmyslových emisích</w:t>
        </w:r>
      </w:hyperlink>
      <w:r w:rsidRPr="000D01B3">
        <w:rPr>
          <w:rFonts w:asciiTheme="majorHAnsi" w:hAnsiTheme="majorHAnsi"/>
          <w:color w:val="auto"/>
          <w:sz w:val="24"/>
        </w:rPr>
        <w:t xml:space="preserve"> (dále jen „směrnice“). Cílem této směrnice</w:t>
      </w:r>
      <w:r w:rsidRPr="000D01B3">
        <w:rPr>
          <w:rFonts w:asciiTheme="majorHAnsi" w:eastAsia="Times New Roman" w:hAnsiTheme="majorHAnsi"/>
          <w:color w:val="auto"/>
          <w:sz w:val="24"/>
          <w:szCs w:val="20"/>
          <w:lang w:eastAsia="cs-CZ"/>
        </w:rPr>
        <w:t xml:space="preserve"> </w:t>
      </w:r>
      <w:r w:rsidRPr="000D01B3">
        <w:rPr>
          <w:rFonts w:asciiTheme="majorHAnsi" w:hAnsiTheme="majorHAnsi"/>
          <w:color w:val="auto"/>
          <w:sz w:val="24"/>
        </w:rPr>
        <w:t>je zajistit postupné snižování znečištění z největších zemědělsko-průmyslových zařízení. Směrnice stanovuje pravidla, která regulují emise vytvářené těmito zařízeními v rámci EU. Zařízení je možné provozovat, jen pokud získají povolení a dodržují dané podmínky. Podmínky povolení vycházejí ze závěrů o nejlepších dostupných technikách („BAT“) přijatých Evropskou komisí.</w:t>
      </w:r>
    </w:p>
    <w:p w:rsidR="000D01B3" w:rsidRPr="000D01B3" w:rsidRDefault="000D01B3" w:rsidP="000D01B3">
      <w:pPr>
        <w:spacing w:after="0" w:line="240" w:lineRule="auto"/>
        <w:jc w:val="both"/>
        <w:rPr>
          <w:rFonts w:asciiTheme="majorHAnsi" w:hAnsiTheme="majorHAnsi"/>
          <w:color w:val="auto"/>
          <w:sz w:val="24"/>
        </w:rPr>
      </w:pPr>
      <w:r w:rsidRPr="000D01B3">
        <w:rPr>
          <w:rFonts w:asciiTheme="majorHAnsi" w:hAnsiTheme="majorHAnsi"/>
          <w:color w:val="auto"/>
          <w:sz w:val="24"/>
        </w:rPr>
        <w:lastRenderedPageBreak/>
        <w:t xml:space="preserve">Návrh nařízení o ohlašování environmentálních údajů průmyslovými zařízeními a o zřízení portálu průmyslových emisí by měl nahradit </w:t>
      </w:r>
      <w:hyperlink r:id="rId16" w:history="1">
        <w:r w:rsidRPr="000D01B3">
          <w:rPr>
            <w:rFonts w:asciiTheme="majorHAnsi" w:hAnsiTheme="majorHAnsi"/>
            <w:color w:val="0000FF"/>
            <w:sz w:val="24"/>
            <w:u w:val="single"/>
          </w:rPr>
          <w:t>nařízení Evropského parlamentu a Rady (ES) č. 166/2006 ze dne 18. ledna 2006, kterým se zřizuje evropský registr úniků a přenosů znečišťujících látek</w:t>
        </w:r>
      </w:hyperlink>
      <w:r w:rsidRPr="000D01B3">
        <w:rPr>
          <w:rFonts w:asciiTheme="majorHAnsi" w:hAnsiTheme="majorHAnsi"/>
          <w:color w:val="auto"/>
          <w:sz w:val="24"/>
        </w:rPr>
        <w:t xml:space="preserve"> (dále jen „nařízení“). Na základě v současnosti platného nařízení je provozován evropský registr úniků a přenosů znečišťujících látek, který zajišťuje přístup veřejnosti ke klíčovým environmentálním údajům z průmyslových provozoven nacházejících se v EU. Tento registr by měl být na základě návrhu nařízení nahrazen portálem průmyslových emisí. Nařízením se provádí </w:t>
      </w:r>
      <w:hyperlink r:id="rId17" w:history="1">
        <w:r w:rsidRPr="000D01B3">
          <w:rPr>
            <w:rFonts w:asciiTheme="majorHAnsi" w:hAnsiTheme="majorHAnsi"/>
            <w:color w:val="0000FF"/>
            <w:sz w:val="24"/>
            <w:u w:val="single"/>
          </w:rPr>
          <w:t>kyjevský Protokol o registrech úniků a přenosů znečišťujících látek</w:t>
        </w:r>
      </w:hyperlink>
      <w:r w:rsidRPr="000D01B3">
        <w:rPr>
          <w:rFonts w:asciiTheme="majorHAnsi" w:hAnsiTheme="majorHAnsi"/>
          <w:color w:val="auto"/>
          <w:sz w:val="24"/>
        </w:rPr>
        <w:t xml:space="preserve"> z roku 2006. </w:t>
      </w:r>
    </w:p>
    <w:p w:rsidR="000D01B3" w:rsidRPr="000D01B3" w:rsidRDefault="000D01B3" w:rsidP="000D01B3">
      <w:pPr>
        <w:spacing w:after="0" w:line="240" w:lineRule="auto"/>
        <w:jc w:val="both"/>
        <w:rPr>
          <w:rFonts w:asciiTheme="majorHAnsi" w:hAnsiTheme="majorHAnsi"/>
          <w:color w:val="auto"/>
          <w:sz w:val="24"/>
        </w:rPr>
      </w:pPr>
    </w:p>
    <w:p w:rsidR="000D01B3" w:rsidRPr="000D01B3" w:rsidRDefault="000D01B3" w:rsidP="000D01B3">
      <w:pPr>
        <w:numPr>
          <w:ilvl w:val="0"/>
          <w:numId w:val="9"/>
        </w:numPr>
        <w:spacing w:after="0" w:line="240" w:lineRule="auto"/>
        <w:ind w:left="0"/>
        <w:outlineLvl w:val="0"/>
        <w:rPr>
          <w:rFonts w:asciiTheme="majorHAnsi" w:eastAsia="Times New Roman" w:hAnsiTheme="majorHAnsi"/>
          <w:b/>
          <w:color w:val="auto"/>
          <w:sz w:val="24"/>
          <w:szCs w:val="20"/>
          <w:lang w:eastAsia="cs-CZ"/>
        </w:rPr>
      </w:pPr>
      <w:bookmarkStart w:id="17" w:name="_Toc445380611"/>
      <w:bookmarkStart w:id="18" w:name="_Toc448302190"/>
      <w:r w:rsidRPr="000D01B3">
        <w:rPr>
          <w:rFonts w:asciiTheme="majorHAnsi" w:eastAsia="Times New Roman" w:hAnsiTheme="majorHAnsi"/>
          <w:b/>
          <w:color w:val="auto"/>
          <w:sz w:val="24"/>
          <w:szCs w:val="20"/>
          <w:lang w:eastAsia="cs-CZ"/>
        </w:rPr>
        <w:t>Obsah a dopad:</w:t>
      </w:r>
      <w:bookmarkEnd w:id="17"/>
      <w:bookmarkEnd w:id="18"/>
    </w:p>
    <w:p w:rsidR="000D01B3" w:rsidRPr="000D01B3" w:rsidRDefault="00B62D6C" w:rsidP="000D01B3">
      <w:pPr>
        <w:spacing w:after="120" w:line="240" w:lineRule="auto"/>
        <w:jc w:val="both"/>
        <w:rPr>
          <w:rFonts w:asciiTheme="majorHAnsi" w:eastAsia="Times New Roman" w:hAnsiTheme="majorHAnsi"/>
          <w:color w:val="0000FF"/>
          <w:sz w:val="24"/>
          <w:szCs w:val="20"/>
          <w:u w:val="single"/>
          <w:lang w:eastAsia="cs-CZ"/>
        </w:rPr>
      </w:pPr>
      <w:hyperlink r:id="rId18" w:history="1">
        <w:r w:rsidR="000D01B3" w:rsidRPr="000D01B3">
          <w:rPr>
            <w:rFonts w:asciiTheme="majorHAnsi" w:eastAsia="Times New Roman" w:hAnsiTheme="majorHAnsi"/>
            <w:color w:val="0000FF"/>
            <w:sz w:val="24"/>
            <w:szCs w:val="20"/>
            <w:u w:val="single"/>
            <w:lang w:eastAsia="cs-CZ"/>
          </w:rPr>
          <w:t>Návrh směrnice, kterou se mění směrnice o průmyslových emisích</w:t>
        </w:r>
      </w:hyperlink>
    </w:p>
    <w:p w:rsidR="000D01B3" w:rsidRPr="000D01B3" w:rsidRDefault="000D01B3" w:rsidP="000D01B3">
      <w:pPr>
        <w:spacing w:after="120" w:line="240" w:lineRule="auto"/>
        <w:jc w:val="both"/>
        <w:rPr>
          <w:rFonts w:asciiTheme="majorHAnsi" w:hAnsiTheme="majorHAnsi"/>
          <w:color w:val="auto"/>
          <w:sz w:val="24"/>
        </w:rPr>
      </w:pPr>
      <w:r w:rsidRPr="000D01B3">
        <w:rPr>
          <w:rFonts w:asciiTheme="majorHAnsi" w:hAnsiTheme="majorHAnsi"/>
          <w:color w:val="auto"/>
          <w:sz w:val="24"/>
        </w:rPr>
        <w:t>Návrh revize směrnice nově výslovně zavádí povinnost zpřístupňovat bezplatně a neomezeně udělená povolení (nový čl. 5 odst. 4). Další navrhovanou změnou je změna čl. 8, který se zabývá nedodržením podmínek povolení. Nově zpřísňuje pravidla platná v případě porušení podmínek povolení a rozšiřuje pravomoci příslušného orgánu pozastavit provoz zařízení, dokud nebude zjednána náprava. Změna je navrhována také v čl. 9, ve kterém je zrušena výjimka, dle které pro činnosti uvedené v příloze I směrnice 2003/87/ES</w:t>
      </w:r>
      <w:r w:rsidRPr="000D01B3">
        <w:rPr>
          <w:rFonts w:asciiTheme="majorHAnsi" w:hAnsiTheme="majorHAnsi"/>
          <w:color w:val="auto"/>
          <w:sz w:val="24"/>
          <w:vertAlign w:val="superscript"/>
        </w:rPr>
        <w:footnoteReference w:id="1"/>
      </w:r>
      <w:r w:rsidRPr="000D01B3">
        <w:rPr>
          <w:rFonts w:asciiTheme="majorHAnsi" w:hAnsiTheme="majorHAnsi"/>
          <w:color w:val="auto"/>
          <w:sz w:val="24"/>
        </w:rPr>
        <w:t xml:space="preserve"> členské státy nemusí stanovit požadavky týkající se energetické účinnosti.</w:t>
      </w:r>
    </w:p>
    <w:p w:rsidR="000D01B3" w:rsidRPr="000D01B3" w:rsidRDefault="000D01B3" w:rsidP="000D01B3">
      <w:pPr>
        <w:spacing w:after="120" w:line="240" w:lineRule="auto"/>
        <w:jc w:val="both"/>
        <w:rPr>
          <w:rFonts w:asciiTheme="majorHAnsi" w:hAnsiTheme="majorHAnsi"/>
          <w:color w:val="auto"/>
          <w:sz w:val="24"/>
        </w:rPr>
      </w:pPr>
      <w:r w:rsidRPr="000D01B3">
        <w:rPr>
          <w:rFonts w:asciiTheme="majorHAnsi" w:hAnsiTheme="majorHAnsi"/>
          <w:color w:val="auto"/>
          <w:sz w:val="24"/>
        </w:rPr>
        <w:t xml:space="preserve">Změny jsou navrhovány také u čl. 14, který upravuje </w:t>
      </w:r>
      <w:r w:rsidRPr="000D01B3">
        <w:rPr>
          <w:rFonts w:asciiTheme="majorHAnsi" w:hAnsiTheme="majorHAnsi"/>
          <w:b/>
          <w:color w:val="auto"/>
          <w:sz w:val="24"/>
        </w:rPr>
        <w:t>podmínky povolení</w:t>
      </w:r>
      <w:r w:rsidRPr="000D01B3">
        <w:rPr>
          <w:rFonts w:asciiTheme="majorHAnsi" w:hAnsiTheme="majorHAnsi"/>
          <w:color w:val="auto"/>
          <w:sz w:val="24"/>
        </w:rPr>
        <w:t xml:space="preserve">. Dochází k rozšíření opatření, která musí být zahrnuta do podmínek povolení. Nově má být v povolení stanoven například požadavek na mezní hodnoty environmentální výkonnosti, vhodné požadavky na ochranu půdy, podzemní a povrchové vody nebo opatření k monitorování a nakládání s odpady. </w:t>
      </w:r>
    </w:p>
    <w:p w:rsidR="000D01B3" w:rsidRPr="000D01B3" w:rsidRDefault="000D01B3" w:rsidP="000D01B3">
      <w:pPr>
        <w:spacing w:after="120" w:line="240" w:lineRule="auto"/>
        <w:jc w:val="both"/>
        <w:rPr>
          <w:rFonts w:asciiTheme="majorHAnsi" w:hAnsiTheme="majorHAnsi"/>
          <w:color w:val="auto"/>
          <w:sz w:val="24"/>
        </w:rPr>
      </w:pPr>
      <w:r w:rsidRPr="000D01B3">
        <w:rPr>
          <w:rFonts w:asciiTheme="majorHAnsi" w:hAnsiTheme="majorHAnsi"/>
          <w:color w:val="auto"/>
          <w:sz w:val="24"/>
        </w:rPr>
        <w:t xml:space="preserve">Do směrnice se dále doplňuje nový článek 14a, který vyžaduje, aby provozovatel vytvořil a zavedl </w:t>
      </w:r>
      <w:r w:rsidRPr="000D01B3">
        <w:rPr>
          <w:rFonts w:asciiTheme="majorHAnsi" w:hAnsiTheme="majorHAnsi"/>
          <w:b/>
          <w:color w:val="auto"/>
          <w:sz w:val="24"/>
        </w:rPr>
        <w:t>systém environmentálního řízení</w:t>
      </w:r>
      <w:r w:rsidRPr="000D01B3">
        <w:rPr>
          <w:rFonts w:asciiTheme="majorHAnsi" w:hAnsiTheme="majorHAnsi"/>
          <w:color w:val="auto"/>
          <w:sz w:val="24"/>
        </w:rPr>
        <w:t xml:space="preserve"> v souladu s příslušnými závěry o BAT, a to s cílem neustále zlepšovat environmentální a energeticky účinnou výkonnost a bezpečnost zařízení.</w:t>
      </w:r>
    </w:p>
    <w:p w:rsidR="000D01B3" w:rsidRPr="000D01B3" w:rsidRDefault="000D01B3" w:rsidP="000D01B3">
      <w:pPr>
        <w:spacing w:after="120" w:line="240" w:lineRule="auto"/>
        <w:jc w:val="both"/>
        <w:rPr>
          <w:rFonts w:asciiTheme="majorHAnsi" w:hAnsiTheme="majorHAnsi"/>
          <w:color w:val="auto"/>
          <w:sz w:val="24"/>
        </w:rPr>
      </w:pPr>
      <w:r w:rsidRPr="000D01B3">
        <w:rPr>
          <w:rFonts w:asciiTheme="majorHAnsi" w:hAnsiTheme="majorHAnsi"/>
          <w:color w:val="auto"/>
          <w:sz w:val="24"/>
        </w:rPr>
        <w:t xml:space="preserve">Dále dochází k významným úpravám čl. 15, který vymezuje mezní hodnoty emisí nebo mezní hodnoty environmentální výkonností. Dochází zde k vyjasnění pravidel pro vypouštění znečišťujících látek do vody. K úpravě dochází i pro stanovování </w:t>
      </w:r>
      <w:r w:rsidRPr="000D01B3">
        <w:rPr>
          <w:rFonts w:asciiTheme="majorHAnsi" w:hAnsiTheme="majorHAnsi"/>
          <w:b/>
          <w:color w:val="auto"/>
          <w:sz w:val="24"/>
        </w:rPr>
        <w:t>mezní hodnoty emisí</w:t>
      </w:r>
      <w:r w:rsidRPr="000D01B3">
        <w:rPr>
          <w:rFonts w:asciiTheme="majorHAnsi" w:hAnsiTheme="majorHAnsi"/>
          <w:color w:val="auto"/>
          <w:sz w:val="24"/>
        </w:rPr>
        <w:t xml:space="preserve">. Příslušné orgány by měly stanovit mezní hodnoty emisí na </w:t>
      </w:r>
      <w:r w:rsidRPr="000D01B3">
        <w:rPr>
          <w:rFonts w:asciiTheme="majorHAnsi" w:hAnsiTheme="majorHAnsi"/>
          <w:color w:val="auto"/>
          <w:sz w:val="24"/>
          <w:u w:val="single"/>
        </w:rPr>
        <w:t>nejnižší úrovni</w:t>
      </w:r>
      <w:r w:rsidRPr="000D01B3">
        <w:rPr>
          <w:rFonts w:asciiTheme="majorHAnsi" w:hAnsiTheme="majorHAnsi"/>
          <w:color w:val="auto"/>
          <w:sz w:val="24"/>
        </w:rPr>
        <w:t xml:space="preserve"> příslušného rozsahu nejlepších dostupných technik, pokud provozovatel neprokáže, že použití BAT popsané v závěrech o BAT umožňuje pouze splnění méně přísných mezních hodnot emisí. Dochází také k úpravám podmínek, za nichž lze udělovat výjimky z mezních hodnot emisí, tak aby došlo k minimalizaci emisí. Komise by mohla vydat prováděcí akt, který by stanovil metodiku pro některá kritéria udělování výjimek. Dochází také k vložení nového článku 15a, který zmocňuje Komisi ke stanovení společných pravidel pro posuzování dodržování mezních hodnot emisí a ke schvalování naměřených úrovní emisí do ovzduší i vody na základě BAT pro zařízení, na něž se vztahuje kapitola II.</w:t>
      </w:r>
    </w:p>
    <w:p w:rsidR="000D01B3" w:rsidRPr="000D01B3" w:rsidRDefault="000D01B3" w:rsidP="000D01B3">
      <w:pPr>
        <w:spacing w:after="120" w:line="240" w:lineRule="auto"/>
        <w:jc w:val="both"/>
        <w:rPr>
          <w:rFonts w:asciiTheme="majorHAnsi" w:hAnsiTheme="majorHAnsi"/>
          <w:color w:val="auto"/>
          <w:sz w:val="24"/>
        </w:rPr>
      </w:pPr>
      <w:r w:rsidRPr="000D01B3">
        <w:rPr>
          <w:rFonts w:asciiTheme="majorHAnsi" w:hAnsiTheme="majorHAnsi"/>
          <w:color w:val="auto"/>
          <w:sz w:val="24"/>
        </w:rPr>
        <w:t xml:space="preserve">Dále je navrhováno vložení nové části směrnice, která by se zabývala </w:t>
      </w:r>
      <w:r w:rsidRPr="000D01B3">
        <w:rPr>
          <w:rFonts w:asciiTheme="majorHAnsi" w:hAnsiTheme="majorHAnsi"/>
          <w:b/>
          <w:color w:val="auto"/>
          <w:sz w:val="24"/>
        </w:rPr>
        <w:t xml:space="preserve">podporou inovací </w:t>
      </w:r>
      <w:r w:rsidRPr="000D01B3">
        <w:rPr>
          <w:rFonts w:asciiTheme="majorHAnsi" w:hAnsiTheme="majorHAnsi"/>
          <w:color w:val="auto"/>
          <w:sz w:val="24"/>
        </w:rPr>
        <w:t xml:space="preserve">(čl. 27-27d). Cílem je podpořit inovace (např. udělením výjimek z požadavků směrnice při zkoušení nově vznikajících technik), usnadnit testování a zavádění nově vznikajících technik s lepší environmentální výkonností a zřídit specializované centrum na podporu inovací. Provozovatelé některých zařízení budou mít povinnost zahrnout do svého systému environmentálního řízení (vedeného dle navrhovaného čl. 14a) informace o tom, jakou transformaci dané zařízení v </w:t>
      </w:r>
      <w:r w:rsidRPr="000D01B3">
        <w:rPr>
          <w:rFonts w:asciiTheme="majorHAnsi" w:hAnsiTheme="majorHAnsi"/>
          <w:color w:val="auto"/>
          <w:sz w:val="24"/>
        </w:rPr>
        <w:lastRenderedPageBreak/>
        <w:t>období 2030–2050 provede, aby přispělo ke vzniku udržitelného, čistého, oběhového a klimaticky neutrálního hospodářství do roku 2050 (čl. 27d)</w:t>
      </w:r>
    </w:p>
    <w:p w:rsidR="000D01B3" w:rsidRPr="000D01B3" w:rsidRDefault="000D01B3" w:rsidP="000D01B3">
      <w:pPr>
        <w:spacing w:after="120" w:line="240" w:lineRule="auto"/>
        <w:jc w:val="both"/>
        <w:rPr>
          <w:rFonts w:asciiTheme="majorHAnsi" w:hAnsiTheme="majorHAnsi"/>
          <w:color w:val="auto"/>
          <w:sz w:val="24"/>
        </w:rPr>
      </w:pPr>
      <w:r w:rsidRPr="000D01B3">
        <w:rPr>
          <w:rFonts w:asciiTheme="majorHAnsi" w:hAnsiTheme="majorHAnsi"/>
          <w:color w:val="auto"/>
          <w:sz w:val="24"/>
        </w:rPr>
        <w:t xml:space="preserve">Úpravy směrnice jsou navrhovány také v oblasti </w:t>
      </w:r>
      <w:r w:rsidRPr="000D01B3">
        <w:rPr>
          <w:rFonts w:asciiTheme="majorHAnsi" w:hAnsiTheme="majorHAnsi"/>
          <w:b/>
          <w:color w:val="auto"/>
          <w:sz w:val="24"/>
        </w:rPr>
        <w:t>účasti veřejnosti</w:t>
      </w:r>
      <w:r w:rsidRPr="000D01B3">
        <w:rPr>
          <w:rFonts w:asciiTheme="majorHAnsi" w:hAnsiTheme="majorHAnsi"/>
          <w:color w:val="auto"/>
          <w:sz w:val="24"/>
        </w:rPr>
        <w:t xml:space="preserve">. Možnost účasti veřejnosti na povolovacích řízeních upravená v čl. 24 směrnice by měla být rozšířena. Nově by veřejnost měla mít možnost účastnit se v širším okruhu případů aktualizace povolení nebo podmínek povolení. Doplňují se také požadavky na zpřístupnění informací veřejnosti. </w:t>
      </w:r>
      <w:r w:rsidRPr="000D01B3">
        <w:rPr>
          <w:rFonts w:asciiTheme="majorHAnsi" w:hAnsiTheme="majorHAnsi"/>
          <w:color w:val="auto"/>
          <w:sz w:val="24"/>
          <w:u w:val="single"/>
        </w:rPr>
        <w:t xml:space="preserve">Zásadní je navrhovaná změna čl. 25, která se týká účasti veřejnosti na soudním přezkumu. Nově by bylo zakázáno limitovat právo účasti v soudním přezkumu předchozí účastí na povolovacím procesu. </w:t>
      </w:r>
    </w:p>
    <w:p w:rsidR="000D01B3" w:rsidRPr="000D01B3" w:rsidRDefault="000D01B3" w:rsidP="000D01B3">
      <w:pPr>
        <w:spacing w:after="120" w:line="240" w:lineRule="auto"/>
        <w:jc w:val="both"/>
        <w:rPr>
          <w:rFonts w:asciiTheme="majorHAnsi" w:hAnsiTheme="majorHAnsi"/>
          <w:color w:val="auto"/>
          <w:sz w:val="24"/>
        </w:rPr>
      </w:pPr>
      <w:r w:rsidRPr="000D01B3">
        <w:rPr>
          <w:rFonts w:asciiTheme="majorHAnsi" w:hAnsiTheme="majorHAnsi"/>
          <w:color w:val="auto"/>
          <w:sz w:val="24"/>
        </w:rPr>
        <w:t xml:space="preserve">Změny směrnice jsou navrhovány také v oblasti </w:t>
      </w:r>
      <w:r w:rsidRPr="000D01B3">
        <w:rPr>
          <w:rFonts w:asciiTheme="majorHAnsi" w:hAnsiTheme="majorHAnsi"/>
          <w:b/>
          <w:color w:val="auto"/>
          <w:sz w:val="24"/>
        </w:rPr>
        <w:t>velkochovu hospodářských zvířat</w:t>
      </w:r>
      <w:r w:rsidRPr="000D01B3">
        <w:rPr>
          <w:rFonts w:asciiTheme="majorHAnsi" w:hAnsiTheme="majorHAnsi"/>
          <w:color w:val="auto"/>
          <w:sz w:val="24"/>
        </w:rPr>
        <w:t xml:space="preserve"> (drůbeže, prasat a skotu). Návrh revize směrnice obsahuje novou kapitolu VIa, která se věnuje čistě těmto hospodářským zvířatům. Okruh regulovaných velkochovů hospodářských zvířat je oproti nyní platné úpravě značně rozšířen. Dochází ke </w:t>
      </w:r>
      <w:r w:rsidRPr="000D01B3">
        <w:rPr>
          <w:rFonts w:asciiTheme="majorHAnsi" w:hAnsiTheme="majorHAnsi"/>
          <w:color w:val="auto"/>
          <w:sz w:val="24"/>
          <w:u w:val="single"/>
        </w:rPr>
        <w:t>snížení prahové hodnoty počtu kusů drůbeže a prasat</w:t>
      </w:r>
      <w:r w:rsidRPr="000D01B3">
        <w:rPr>
          <w:rFonts w:asciiTheme="majorHAnsi" w:hAnsiTheme="majorHAnsi"/>
          <w:color w:val="auto"/>
          <w:sz w:val="24"/>
        </w:rPr>
        <w:t xml:space="preserve"> a </w:t>
      </w:r>
      <w:r w:rsidRPr="000D01B3">
        <w:rPr>
          <w:rFonts w:asciiTheme="majorHAnsi" w:hAnsiTheme="majorHAnsi"/>
          <w:color w:val="auto"/>
          <w:sz w:val="24"/>
          <w:u w:val="single"/>
        </w:rPr>
        <w:t>nově je regulován také chov skotu</w:t>
      </w:r>
      <w:r w:rsidRPr="000D01B3">
        <w:rPr>
          <w:rFonts w:asciiTheme="majorHAnsi" w:hAnsiTheme="majorHAnsi"/>
          <w:color w:val="auto"/>
          <w:sz w:val="24"/>
        </w:rPr>
        <w:t xml:space="preserve"> (přesné vymezení obsahuje příloha Ia). Upravena jsou pravidla pro vydání povolení, povinnosti provozovatele nebo povinnost členských států zajistit monitorování. Vymezena jsou také zvláštní pravidla pro informování a účast veřejnosti na řízení a přístupu veřejnosti k právní ochraně. Dále je zde stanoveno, že </w:t>
      </w:r>
      <w:r w:rsidRPr="000D01B3">
        <w:rPr>
          <w:rFonts w:asciiTheme="majorHAnsi" w:hAnsiTheme="majorHAnsi"/>
          <w:color w:val="auto"/>
          <w:sz w:val="24"/>
          <w:u w:val="single"/>
        </w:rPr>
        <w:t>Komise stanoví delegovaným aktem provozní pravidla pro velkochovy</w:t>
      </w:r>
      <w:r w:rsidRPr="000D01B3">
        <w:rPr>
          <w:rFonts w:asciiTheme="majorHAnsi" w:hAnsiTheme="majorHAnsi"/>
          <w:color w:val="auto"/>
          <w:sz w:val="24"/>
        </w:rPr>
        <w:t xml:space="preserve">. Tato pravidla budou obsahovat například mezní hodnoty emisí nebo požadavky na monitorování. V této souvislosti je také nutné upozornit na čl. 4 odst. 1 kde je doplněna výjimka, dle které členské státy </w:t>
      </w:r>
      <w:r w:rsidRPr="000D01B3">
        <w:rPr>
          <w:rFonts w:asciiTheme="majorHAnsi" w:hAnsiTheme="majorHAnsi"/>
          <w:color w:val="auto"/>
          <w:sz w:val="24"/>
          <w:u w:val="single"/>
        </w:rPr>
        <w:t>mohou</w:t>
      </w:r>
      <w:r w:rsidRPr="000D01B3">
        <w:rPr>
          <w:rFonts w:asciiTheme="majorHAnsi" w:hAnsiTheme="majorHAnsi"/>
          <w:color w:val="auto"/>
          <w:sz w:val="24"/>
        </w:rPr>
        <w:t xml:space="preserve"> vydat taková pravidla, dle kterých nebudou vyžadovat pro chov těchto zvířat standardní povolení, ale postačí registrace zařízení. </w:t>
      </w:r>
    </w:p>
    <w:p w:rsidR="000D01B3" w:rsidRPr="000D01B3" w:rsidRDefault="000D01B3" w:rsidP="000D01B3">
      <w:pPr>
        <w:spacing w:after="120" w:line="240" w:lineRule="auto"/>
        <w:jc w:val="both"/>
        <w:rPr>
          <w:rFonts w:asciiTheme="majorHAnsi" w:hAnsiTheme="majorHAnsi"/>
          <w:color w:val="auto"/>
          <w:sz w:val="24"/>
        </w:rPr>
      </w:pPr>
      <w:r w:rsidRPr="000D01B3">
        <w:rPr>
          <w:rFonts w:asciiTheme="majorHAnsi" w:hAnsiTheme="majorHAnsi"/>
          <w:color w:val="auto"/>
          <w:sz w:val="24"/>
        </w:rPr>
        <w:t xml:space="preserve">Zpřesněna jsou ustanovení, která se týkají </w:t>
      </w:r>
      <w:r w:rsidRPr="000D01B3">
        <w:rPr>
          <w:rFonts w:asciiTheme="majorHAnsi" w:hAnsiTheme="majorHAnsi"/>
          <w:b/>
          <w:color w:val="auto"/>
          <w:sz w:val="24"/>
        </w:rPr>
        <w:t>sankcí</w:t>
      </w:r>
      <w:r w:rsidRPr="000D01B3">
        <w:rPr>
          <w:rFonts w:asciiTheme="majorHAnsi" w:hAnsiTheme="majorHAnsi"/>
          <w:color w:val="auto"/>
          <w:sz w:val="24"/>
        </w:rPr>
        <w:t xml:space="preserve"> (čl. 79). Konkrétně jsou zpřesněna kritéria pro udělování sankcí. Nově je zaveden požadavek, aby členské státy zajistily, aby v případě, že dojde ke škodě na lidském zdraví v důsledku porušení vnitrostátních opatření přijatých podle této směrnice, měly dotčené osoby </w:t>
      </w:r>
      <w:r w:rsidRPr="000D01B3">
        <w:rPr>
          <w:rFonts w:asciiTheme="majorHAnsi" w:hAnsiTheme="majorHAnsi"/>
          <w:color w:val="auto"/>
          <w:sz w:val="24"/>
          <w:u w:val="single"/>
        </w:rPr>
        <w:t>právo požadovat a získat náhradu této škody</w:t>
      </w:r>
      <w:r w:rsidRPr="000D01B3">
        <w:rPr>
          <w:rFonts w:asciiTheme="majorHAnsi" w:hAnsiTheme="majorHAnsi"/>
          <w:color w:val="auto"/>
          <w:sz w:val="24"/>
        </w:rPr>
        <w:t xml:space="preserve"> od příslušných fyzických nebo právnických osob a případně od příslušných orgánů odpovědných za toto porušení (čl. 79a).</w:t>
      </w:r>
    </w:p>
    <w:p w:rsidR="000D01B3" w:rsidRPr="000D01B3" w:rsidRDefault="000D01B3" w:rsidP="000D01B3">
      <w:pPr>
        <w:spacing w:after="120" w:line="240" w:lineRule="auto"/>
        <w:jc w:val="both"/>
        <w:rPr>
          <w:rFonts w:asciiTheme="majorHAnsi" w:hAnsiTheme="majorHAnsi"/>
          <w:color w:val="auto"/>
          <w:sz w:val="24"/>
        </w:rPr>
      </w:pPr>
      <w:r w:rsidRPr="000D01B3">
        <w:rPr>
          <w:rFonts w:asciiTheme="majorHAnsi" w:hAnsiTheme="majorHAnsi"/>
          <w:color w:val="auto"/>
          <w:sz w:val="24"/>
        </w:rPr>
        <w:t xml:space="preserve">Ke změnám dochází také u </w:t>
      </w:r>
      <w:hyperlink r:id="rId19" w:history="1">
        <w:r w:rsidRPr="000D01B3">
          <w:rPr>
            <w:rFonts w:asciiTheme="majorHAnsi" w:hAnsiTheme="majorHAnsi"/>
            <w:color w:val="0000FF"/>
            <w:sz w:val="24"/>
            <w:u w:val="single"/>
          </w:rPr>
          <w:t>přílohy</w:t>
        </w:r>
      </w:hyperlink>
      <w:r w:rsidRPr="000D01B3">
        <w:rPr>
          <w:rFonts w:asciiTheme="majorHAnsi" w:hAnsiTheme="majorHAnsi"/>
          <w:color w:val="auto"/>
          <w:sz w:val="24"/>
        </w:rPr>
        <w:t xml:space="preserve"> I, která upravuje </w:t>
      </w:r>
      <w:r w:rsidRPr="000D01B3">
        <w:rPr>
          <w:rFonts w:asciiTheme="majorHAnsi" w:hAnsiTheme="majorHAnsi"/>
          <w:b/>
          <w:color w:val="auto"/>
          <w:sz w:val="24"/>
        </w:rPr>
        <w:t>činnosti</w:t>
      </w:r>
      <w:r w:rsidRPr="000D01B3">
        <w:rPr>
          <w:rFonts w:asciiTheme="majorHAnsi" w:hAnsiTheme="majorHAnsi"/>
          <w:color w:val="auto"/>
          <w:sz w:val="24"/>
        </w:rPr>
        <w:t xml:space="preserve"> (a jejich kapacitní prahové hodnoty), na které se vztahují povinnosti uvedené ve směrnici. Mezi zásadní změny </w:t>
      </w:r>
      <w:r w:rsidRPr="000D01B3">
        <w:rPr>
          <w:rFonts w:asciiTheme="majorHAnsi" w:hAnsiTheme="majorHAnsi"/>
          <w:color w:val="auto"/>
          <w:sz w:val="24"/>
          <w:u w:val="single"/>
        </w:rPr>
        <w:t>patří zahrnutí těžby průmyslových a kovových minerálů</w:t>
      </w:r>
      <w:r w:rsidRPr="000D01B3">
        <w:rPr>
          <w:rFonts w:asciiTheme="majorHAnsi" w:hAnsiTheme="majorHAnsi"/>
          <w:color w:val="auto"/>
          <w:sz w:val="24"/>
        </w:rPr>
        <w:t xml:space="preserve"> do oblasti působnosti této směrnice. Do působnosti směrnice budou zařazena také velká zařízení na výrobu baterií.</w:t>
      </w:r>
    </w:p>
    <w:p w:rsidR="000D01B3" w:rsidRPr="000D01B3" w:rsidRDefault="00B62D6C" w:rsidP="000D01B3">
      <w:pPr>
        <w:spacing w:after="120" w:line="240" w:lineRule="auto"/>
        <w:jc w:val="both"/>
        <w:rPr>
          <w:rFonts w:asciiTheme="majorHAnsi" w:eastAsia="Times New Roman" w:hAnsiTheme="majorHAnsi"/>
          <w:color w:val="0000FF"/>
          <w:sz w:val="24"/>
          <w:szCs w:val="20"/>
          <w:u w:val="single"/>
          <w:lang w:eastAsia="cs-CZ"/>
        </w:rPr>
      </w:pPr>
      <w:hyperlink r:id="rId20" w:history="1">
        <w:r w:rsidR="000D01B3" w:rsidRPr="000D01B3">
          <w:rPr>
            <w:rFonts w:asciiTheme="majorHAnsi" w:eastAsia="Times New Roman" w:hAnsiTheme="majorHAnsi"/>
            <w:color w:val="0000FF"/>
            <w:sz w:val="24"/>
            <w:szCs w:val="20"/>
            <w:u w:val="single"/>
            <w:lang w:eastAsia="cs-CZ"/>
          </w:rPr>
          <w:t>Návrh nařízení o ohlašování environmentálních údajů průmyslovými zařízeními a o zřízení portálu průmyslových emisí</w:t>
        </w:r>
      </w:hyperlink>
    </w:p>
    <w:p w:rsidR="000D01B3" w:rsidRPr="000D01B3" w:rsidRDefault="000D01B3" w:rsidP="000D01B3">
      <w:pPr>
        <w:spacing w:after="120" w:line="240" w:lineRule="auto"/>
        <w:jc w:val="both"/>
        <w:rPr>
          <w:rFonts w:asciiTheme="majorHAnsi" w:hAnsiTheme="majorHAnsi"/>
          <w:color w:val="auto"/>
          <w:sz w:val="24"/>
        </w:rPr>
      </w:pPr>
      <w:r w:rsidRPr="000D01B3">
        <w:rPr>
          <w:rFonts w:asciiTheme="majorHAnsi" w:hAnsiTheme="majorHAnsi"/>
          <w:color w:val="auto"/>
          <w:sz w:val="24"/>
        </w:rPr>
        <w:t xml:space="preserve">Návrh nařízení svou strukturou navazuje na aktuálně platné nařízení. V úvodním ustanovení je konstatováno, že návrh nařízení stanoví </w:t>
      </w:r>
      <w:r w:rsidRPr="000D01B3">
        <w:rPr>
          <w:rFonts w:asciiTheme="majorHAnsi" w:hAnsiTheme="majorHAnsi"/>
          <w:b/>
          <w:color w:val="auto"/>
          <w:sz w:val="24"/>
        </w:rPr>
        <w:t>pravidla pro sběr a ohlašování údajů o životním prostředí průmyslovými zařízeními a zřizuje portál průmyslových emisí</w:t>
      </w:r>
      <w:r w:rsidRPr="000D01B3">
        <w:rPr>
          <w:rFonts w:asciiTheme="majorHAnsi" w:hAnsiTheme="majorHAnsi"/>
          <w:color w:val="auto"/>
          <w:sz w:val="24"/>
        </w:rPr>
        <w:t xml:space="preserve"> („portál“) na úrovni Unie v podobě online databáze, která poskytuje přístup k těmto údajům (čl. 1).</w:t>
      </w:r>
    </w:p>
    <w:p w:rsidR="000D01B3" w:rsidRPr="000D01B3" w:rsidRDefault="000D01B3" w:rsidP="000D01B3">
      <w:pPr>
        <w:spacing w:after="120" w:line="240" w:lineRule="auto"/>
        <w:jc w:val="both"/>
        <w:rPr>
          <w:rFonts w:asciiTheme="majorHAnsi" w:hAnsiTheme="majorHAnsi"/>
          <w:color w:val="auto"/>
          <w:sz w:val="24"/>
        </w:rPr>
      </w:pPr>
      <w:r w:rsidRPr="000D01B3">
        <w:rPr>
          <w:rFonts w:asciiTheme="majorHAnsi" w:hAnsiTheme="majorHAnsi"/>
          <w:color w:val="auto"/>
          <w:sz w:val="24"/>
        </w:rPr>
        <w:t xml:space="preserve">Dále se návrh věnuje definování </w:t>
      </w:r>
      <w:r w:rsidRPr="000D01B3">
        <w:rPr>
          <w:rFonts w:asciiTheme="majorHAnsi" w:hAnsiTheme="majorHAnsi"/>
          <w:b/>
          <w:color w:val="auto"/>
          <w:sz w:val="24"/>
        </w:rPr>
        <w:t>obsahu a struktuře portálu</w:t>
      </w:r>
      <w:r w:rsidRPr="000D01B3">
        <w:rPr>
          <w:rFonts w:asciiTheme="majorHAnsi" w:hAnsiTheme="majorHAnsi"/>
          <w:color w:val="auto"/>
          <w:sz w:val="24"/>
        </w:rPr>
        <w:t>; zde je určeno, které údaje budou zpřístupněny veřejnosti. Z hlediska obsahu portálu je nový zejména požadavek na doplnění údajů o využívání vodních zdrojů, energie a surovin (čl. 3 odst. 1). Z hlediska zpřístupnění údajů veřejnosti ustanovení z velké části odpovídají stávající úpravě (čl. 4).</w:t>
      </w:r>
    </w:p>
    <w:p w:rsidR="000D01B3" w:rsidRPr="000D01B3" w:rsidRDefault="000D01B3" w:rsidP="000D01B3">
      <w:pPr>
        <w:spacing w:after="120" w:line="240" w:lineRule="auto"/>
        <w:jc w:val="both"/>
        <w:rPr>
          <w:rFonts w:asciiTheme="majorHAnsi" w:hAnsiTheme="majorHAnsi"/>
          <w:color w:val="auto"/>
          <w:sz w:val="24"/>
        </w:rPr>
      </w:pPr>
      <w:r w:rsidRPr="000D01B3">
        <w:rPr>
          <w:rFonts w:asciiTheme="majorHAnsi" w:hAnsiTheme="majorHAnsi"/>
          <w:color w:val="auto"/>
          <w:sz w:val="24"/>
        </w:rPr>
        <w:t xml:space="preserve">Zásadní je článek 5, který definuje </w:t>
      </w:r>
      <w:r w:rsidRPr="000D01B3">
        <w:rPr>
          <w:rFonts w:asciiTheme="majorHAnsi" w:hAnsiTheme="majorHAnsi"/>
          <w:b/>
          <w:color w:val="auto"/>
          <w:sz w:val="24"/>
        </w:rPr>
        <w:t>údaje, které má provozovatel hlásit příslušným orgánům</w:t>
      </w:r>
      <w:r w:rsidRPr="000D01B3">
        <w:rPr>
          <w:rFonts w:asciiTheme="majorHAnsi" w:hAnsiTheme="majorHAnsi"/>
          <w:color w:val="auto"/>
          <w:sz w:val="24"/>
        </w:rPr>
        <w:t xml:space="preserve">. Ohledně rozsahu povinností, které má provozovatel podle nařízení v oblasti hlášení údajů plnit, dochází zejména k rozšíření o </w:t>
      </w:r>
      <w:r w:rsidRPr="000D01B3">
        <w:rPr>
          <w:rFonts w:asciiTheme="majorHAnsi" w:hAnsiTheme="majorHAnsi"/>
          <w:color w:val="auto"/>
          <w:sz w:val="24"/>
          <w:u w:val="single"/>
        </w:rPr>
        <w:t>povinnost hlášení využívání vody, energie a surovin</w:t>
      </w:r>
      <w:r w:rsidRPr="000D01B3">
        <w:rPr>
          <w:rFonts w:asciiTheme="majorHAnsi" w:hAnsiTheme="majorHAnsi"/>
          <w:color w:val="auto"/>
          <w:sz w:val="24"/>
        </w:rPr>
        <w:t xml:space="preserve">. Úplně nově je v druhém odstavci čl. 5 uvedeno, že </w:t>
      </w:r>
      <w:r w:rsidRPr="000D01B3">
        <w:rPr>
          <w:rFonts w:asciiTheme="majorHAnsi" w:hAnsiTheme="majorHAnsi"/>
          <w:color w:val="auto"/>
          <w:sz w:val="24"/>
          <w:u w:val="single"/>
        </w:rPr>
        <w:t xml:space="preserve">provozovatelé budou muset oznámit, pokud dojde </w:t>
      </w:r>
      <w:r w:rsidRPr="000D01B3">
        <w:rPr>
          <w:rFonts w:asciiTheme="majorHAnsi" w:hAnsiTheme="majorHAnsi"/>
          <w:color w:val="auto"/>
          <w:sz w:val="24"/>
          <w:u w:val="single"/>
        </w:rPr>
        <w:lastRenderedPageBreak/>
        <w:t>k úniku nebo přenosu znečišťující látky, který nedosáhl prahových limitů</w:t>
      </w:r>
      <w:r w:rsidRPr="000D01B3">
        <w:rPr>
          <w:rFonts w:asciiTheme="majorHAnsi" w:hAnsiTheme="majorHAnsi"/>
          <w:color w:val="auto"/>
          <w:sz w:val="24"/>
        </w:rPr>
        <w:t xml:space="preserve"> (nicméně bez dalších doplňujících údajů). Nový je odstavec 10 čl. 5, dle kterého by členské státy mohly místo provozovatelů kvantifikovat úmyslný únik znečišťujících látek u zařízení pro chov dobytka a zařízení pro akvakulturu, čímž by se pro tyto provozovatele mohla snížit administrativní zátěž. </w:t>
      </w:r>
    </w:p>
    <w:p w:rsidR="000D01B3" w:rsidRPr="000D01B3" w:rsidRDefault="000D01B3" w:rsidP="000D01B3">
      <w:pPr>
        <w:spacing w:after="120" w:line="240" w:lineRule="auto"/>
        <w:jc w:val="both"/>
        <w:rPr>
          <w:rFonts w:asciiTheme="majorHAnsi" w:hAnsiTheme="majorHAnsi"/>
          <w:color w:val="auto"/>
          <w:sz w:val="24"/>
        </w:rPr>
      </w:pPr>
      <w:r w:rsidRPr="000D01B3">
        <w:rPr>
          <w:rFonts w:asciiTheme="majorHAnsi" w:hAnsiTheme="majorHAnsi"/>
          <w:color w:val="auto"/>
          <w:sz w:val="24"/>
        </w:rPr>
        <w:t xml:space="preserve">Dále se návrh věnuje </w:t>
      </w:r>
      <w:r w:rsidRPr="000D01B3">
        <w:rPr>
          <w:rFonts w:asciiTheme="majorHAnsi" w:hAnsiTheme="majorHAnsi"/>
          <w:b/>
          <w:color w:val="auto"/>
          <w:sz w:val="24"/>
        </w:rPr>
        <w:t>povinnosti podávání zpráv členskými státy Komisi</w:t>
      </w:r>
      <w:r w:rsidRPr="000D01B3">
        <w:rPr>
          <w:rFonts w:asciiTheme="majorHAnsi" w:hAnsiTheme="majorHAnsi"/>
          <w:color w:val="auto"/>
          <w:sz w:val="24"/>
        </w:rPr>
        <w:t xml:space="preserve">. Je zakotven požadavek na zajištění a posuzování kvality informací, upravena je také povinnost zpřístupnění údajů veřejnosti. </w:t>
      </w:r>
    </w:p>
    <w:p w:rsidR="000D01B3" w:rsidRPr="000D01B3" w:rsidRDefault="000D01B3" w:rsidP="000D01B3">
      <w:pPr>
        <w:spacing w:after="120" w:line="240" w:lineRule="auto"/>
        <w:jc w:val="both"/>
        <w:rPr>
          <w:rFonts w:asciiTheme="majorHAnsi" w:hAnsiTheme="majorHAnsi"/>
          <w:color w:val="auto"/>
          <w:sz w:val="24"/>
        </w:rPr>
      </w:pPr>
      <w:r w:rsidRPr="000D01B3">
        <w:rPr>
          <w:rFonts w:asciiTheme="majorHAnsi" w:hAnsiTheme="majorHAnsi"/>
          <w:color w:val="auto"/>
          <w:sz w:val="24"/>
        </w:rPr>
        <w:t xml:space="preserve">Nově Komisi byla svěřena pravomoc měnit nařízení pomocí </w:t>
      </w:r>
      <w:r w:rsidRPr="000D01B3">
        <w:rPr>
          <w:rFonts w:asciiTheme="majorHAnsi" w:hAnsiTheme="majorHAnsi"/>
          <w:b/>
          <w:color w:val="auto"/>
          <w:sz w:val="24"/>
        </w:rPr>
        <w:t>delegovaných aktů</w:t>
      </w:r>
      <w:r w:rsidRPr="000D01B3">
        <w:rPr>
          <w:rFonts w:asciiTheme="majorHAnsi" w:hAnsiTheme="majorHAnsi"/>
          <w:color w:val="auto"/>
          <w:sz w:val="24"/>
        </w:rPr>
        <w:t xml:space="preserve">. Jedná se o možnost měnit přílohy nařízení, které definují seznam dotčených činností a dotčených látek (čl. 14 a 16), a dále o možnost vydat delegované akty za účelem doplnění nařízení zahájením ohlašování úniků příslušných znečišťujících látek z jednoho nebo více rozptýlených zdrojů. (čl. 7 odst. 3 ve spojení s čl. 15). </w:t>
      </w:r>
    </w:p>
    <w:p w:rsidR="000D01B3" w:rsidRPr="000D01B3" w:rsidRDefault="000D01B3" w:rsidP="000D01B3">
      <w:pPr>
        <w:spacing w:after="120" w:line="240" w:lineRule="auto"/>
        <w:jc w:val="both"/>
        <w:rPr>
          <w:rFonts w:asciiTheme="majorHAnsi" w:hAnsiTheme="majorHAnsi"/>
          <w:color w:val="auto"/>
          <w:sz w:val="24"/>
        </w:rPr>
      </w:pPr>
      <w:r w:rsidRPr="000D01B3">
        <w:rPr>
          <w:rFonts w:asciiTheme="majorHAnsi" w:hAnsiTheme="majorHAnsi"/>
          <w:color w:val="auto"/>
          <w:sz w:val="24"/>
        </w:rPr>
        <w:t>Oproti stávající úpravě jsou podrobněji upraveny sankce za porušení vnitrostátních opatření přijatých podle tohoto nařízení (čl. 17).</w:t>
      </w:r>
    </w:p>
    <w:p w:rsidR="000D01B3" w:rsidRPr="000D01B3" w:rsidRDefault="000D01B3" w:rsidP="000D01B3">
      <w:pPr>
        <w:spacing w:after="0" w:line="240" w:lineRule="auto"/>
        <w:jc w:val="both"/>
        <w:rPr>
          <w:rFonts w:asciiTheme="majorHAnsi" w:hAnsiTheme="majorHAnsi"/>
          <w:i/>
          <w:color w:val="auto"/>
          <w:sz w:val="24"/>
          <w:u w:val="single"/>
        </w:rPr>
      </w:pPr>
      <w:r w:rsidRPr="000D01B3">
        <w:rPr>
          <w:rFonts w:asciiTheme="majorHAnsi" w:hAnsiTheme="majorHAnsi"/>
          <w:i/>
          <w:color w:val="auto"/>
          <w:sz w:val="24"/>
          <w:u w:val="single"/>
        </w:rPr>
        <w:t>Dopad na státní rozpočet a právní řád ČR:</w:t>
      </w:r>
    </w:p>
    <w:p w:rsidR="000D01B3" w:rsidRPr="000D01B3" w:rsidRDefault="000D01B3" w:rsidP="000D01B3">
      <w:pPr>
        <w:spacing w:after="120" w:line="240" w:lineRule="auto"/>
        <w:jc w:val="both"/>
        <w:rPr>
          <w:rFonts w:asciiTheme="majorHAnsi" w:hAnsiTheme="majorHAnsi"/>
          <w:color w:val="auto"/>
          <w:sz w:val="24"/>
        </w:rPr>
      </w:pPr>
      <w:r w:rsidRPr="000D01B3">
        <w:rPr>
          <w:rFonts w:asciiTheme="majorHAnsi" w:hAnsiTheme="majorHAnsi"/>
          <w:color w:val="auto"/>
          <w:sz w:val="24"/>
        </w:rPr>
        <w:t xml:space="preserve">U </w:t>
      </w:r>
      <w:r w:rsidRPr="000D01B3">
        <w:rPr>
          <w:rFonts w:asciiTheme="majorHAnsi" w:hAnsiTheme="majorHAnsi"/>
          <w:b/>
          <w:color w:val="auto"/>
          <w:sz w:val="24"/>
        </w:rPr>
        <w:t>návrhu revize směrnice, kterou se mění směrnice o průmyslových emisích</w:t>
      </w:r>
      <w:r w:rsidRPr="000D01B3">
        <w:rPr>
          <w:rFonts w:asciiTheme="majorHAnsi" w:hAnsiTheme="majorHAnsi"/>
          <w:color w:val="auto"/>
          <w:sz w:val="24"/>
        </w:rPr>
        <w:t xml:space="preserve">, lze předpokládat nutnost změny zákona č. 76/2002 Sb., o integrované prevenci a o omezování znečištění, o integrovaném registru znečišťování a o změně některých zákonů. Dopad na státní rozpočet je možné očekávat v souvislosti s náklady na administrativu.  </w:t>
      </w:r>
    </w:p>
    <w:p w:rsidR="000D01B3" w:rsidRPr="000D01B3" w:rsidRDefault="000D01B3" w:rsidP="000D01B3">
      <w:pPr>
        <w:spacing w:after="0" w:line="240" w:lineRule="auto"/>
        <w:jc w:val="both"/>
        <w:rPr>
          <w:rFonts w:asciiTheme="majorHAnsi" w:hAnsiTheme="majorHAnsi"/>
          <w:color w:val="auto"/>
          <w:sz w:val="24"/>
        </w:rPr>
      </w:pPr>
      <w:r w:rsidRPr="000D01B3">
        <w:rPr>
          <w:rFonts w:asciiTheme="majorHAnsi" w:hAnsiTheme="majorHAnsi"/>
          <w:color w:val="auto"/>
          <w:sz w:val="24"/>
        </w:rPr>
        <w:t xml:space="preserve">U </w:t>
      </w:r>
      <w:r w:rsidRPr="000D01B3">
        <w:rPr>
          <w:rFonts w:asciiTheme="majorHAnsi" w:hAnsiTheme="majorHAnsi"/>
          <w:b/>
          <w:color w:val="auto"/>
          <w:sz w:val="24"/>
        </w:rPr>
        <w:t>návrhu nařízení</w:t>
      </w:r>
      <w:r w:rsidRPr="000D01B3">
        <w:rPr>
          <w:rFonts w:asciiTheme="majorHAnsi" w:hAnsiTheme="majorHAnsi"/>
          <w:color w:val="auto"/>
          <w:sz w:val="24"/>
        </w:rPr>
        <w:t xml:space="preserve"> </w:t>
      </w:r>
      <w:r w:rsidRPr="000D01B3">
        <w:rPr>
          <w:rFonts w:asciiTheme="majorHAnsi" w:hAnsiTheme="majorHAnsi"/>
          <w:b/>
          <w:color w:val="auto"/>
          <w:sz w:val="24"/>
        </w:rPr>
        <w:t>o ohlašování environmentálních údajů průmyslovými zařízeními a o zřízení portálu průmyslových emisí</w:t>
      </w:r>
      <w:r w:rsidRPr="000D01B3">
        <w:rPr>
          <w:rFonts w:asciiTheme="majorHAnsi" w:hAnsiTheme="majorHAnsi"/>
          <w:color w:val="auto"/>
          <w:sz w:val="24"/>
        </w:rPr>
        <w:t xml:space="preserve"> se předpokládá nutnost novelizace zákona č. 25/2008 Sb., o integrovaném registru znečišťování životního prostředí a integrovaném systému plnění ohlašovacích povinností v oblasti životního prostředí. Dále se předpokládá novelizace nařízení vlády č. 145/2008 Sb., kterým se stanoví seznam znečišťujících látek a prahových hodnot a údaje požadované pro ohlašování do integrovaného registru znečišťování životního prostředí. Dopad na státní rozpočet lze předpokládat v souvislosti s nutnou úpravou informačních systémů. </w:t>
      </w:r>
    </w:p>
    <w:p w:rsidR="000D01B3" w:rsidRPr="000D01B3" w:rsidRDefault="000D01B3" w:rsidP="000D01B3">
      <w:pPr>
        <w:spacing w:after="0" w:line="240" w:lineRule="auto"/>
        <w:jc w:val="both"/>
        <w:rPr>
          <w:rFonts w:asciiTheme="majorHAnsi" w:hAnsiTheme="majorHAnsi"/>
          <w:color w:val="auto"/>
          <w:sz w:val="24"/>
        </w:rPr>
      </w:pPr>
    </w:p>
    <w:p w:rsidR="000D01B3" w:rsidRPr="000D01B3" w:rsidRDefault="000D01B3" w:rsidP="000D01B3">
      <w:pPr>
        <w:numPr>
          <w:ilvl w:val="0"/>
          <w:numId w:val="9"/>
        </w:numPr>
        <w:spacing w:after="0" w:line="240" w:lineRule="auto"/>
        <w:ind w:left="0"/>
        <w:outlineLvl w:val="0"/>
        <w:rPr>
          <w:rFonts w:asciiTheme="majorHAnsi" w:eastAsia="Times New Roman" w:hAnsiTheme="majorHAnsi"/>
          <w:b/>
          <w:color w:val="auto"/>
          <w:sz w:val="24"/>
          <w:szCs w:val="20"/>
          <w:lang w:eastAsia="cs-CZ"/>
        </w:rPr>
      </w:pPr>
      <w:bookmarkStart w:id="19" w:name="_Toc445380612"/>
      <w:bookmarkStart w:id="20" w:name="_Toc448302191"/>
      <w:r w:rsidRPr="000D01B3">
        <w:rPr>
          <w:rFonts w:asciiTheme="majorHAnsi" w:eastAsia="Times New Roman" w:hAnsiTheme="majorHAnsi"/>
          <w:b/>
          <w:color w:val="auto"/>
          <w:sz w:val="24"/>
          <w:szCs w:val="20"/>
          <w:lang w:eastAsia="cs-CZ"/>
        </w:rPr>
        <w:t>Stanovisko vlády ČR:</w:t>
      </w:r>
      <w:bookmarkEnd w:id="19"/>
      <w:bookmarkEnd w:id="20"/>
    </w:p>
    <w:p w:rsidR="000D01B3" w:rsidRPr="000D01B3" w:rsidRDefault="000D01B3" w:rsidP="000D01B3">
      <w:pPr>
        <w:spacing w:after="120" w:line="240" w:lineRule="auto"/>
        <w:jc w:val="both"/>
        <w:rPr>
          <w:rFonts w:asciiTheme="majorHAnsi" w:hAnsiTheme="majorHAnsi"/>
          <w:color w:val="auto"/>
          <w:sz w:val="24"/>
        </w:rPr>
      </w:pPr>
      <w:r w:rsidRPr="000D01B3">
        <w:rPr>
          <w:rFonts w:asciiTheme="majorHAnsi" w:hAnsiTheme="majorHAnsi"/>
          <w:color w:val="auto"/>
          <w:sz w:val="24"/>
        </w:rPr>
        <w:t xml:space="preserve">U </w:t>
      </w:r>
      <w:r w:rsidRPr="000D01B3">
        <w:rPr>
          <w:rFonts w:asciiTheme="majorHAnsi" w:hAnsiTheme="majorHAnsi"/>
          <w:b/>
          <w:color w:val="auto"/>
          <w:sz w:val="24"/>
        </w:rPr>
        <w:t>návrhu revize směrnice, kterou se mění směrnice o průmyslových emisích</w:t>
      </w:r>
      <w:r w:rsidRPr="000D01B3">
        <w:rPr>
          <w:rFonts w:asciiTheme="majorHAnsi" w:hAnsiTheme="majorHAnsi"/>
          <w:color w:val="auto"/>
          <w:sz w:val="24"/>
        </w:rPr>
        <w:t>,</w:t>
      </w:r>
      <w:r w:rsidRPr="000D01B3">
        <w:rPr>
          <w:rFonts w:asciiTheme="majorHAnsi" w:hAnsiTheme="majorHAnsi"/>
          <w:b/>
          <w:color w:val="auto"/>
          <w:sz w:val="24"/>
        </w:rPr>
        <w:t xml:space="preserve"> </w:t>
      </w:r>
      <w:r w:rsidRPr="000D01B3">
        <w:rPr>
          <w:rFonts w:asciiTheme="majorHAnsi" w:hAnsiTheme="majorHAnsi"/>
          <w:color w:val="auto"/>
          <w:sz w:val="24"/>
        </w:rPr>
        <w:t xml:space="preserve">má vláda několik připomínek. Například u úpravy čl. 15 vláda nesouhlasí s pravomocí Komise dodatečně doplňovat podmínky výjimek. V oblasti podpory inovací dle vlády nelze v navržené podobě podpořit povinnost zpracovávání tzv. transformačního plánu (čl. 27d), protože není jasné právní postavení dokumentu ve vztahu k závazným podmínkám provozu. Stejně tak vláda považuje za sporný efekt plošného zavedení environmentálního managementu v čl. 14a a čl. 11. </w:t>
      </w:r>
    </w:p>
    <w:p w:rsidR="000D01B3" w:rsidRPr="000D01B3" w:rsidRDefault="000D01B3" w:rsidP="000D01B3">
      <w:pPr>
        <w:spacing w:after="120" w:line="240" w:lineRule="auto"/>
        <w:jc w:val="both"/>
        <w:rPr>
          <w:rFonts w:asciiTheme="majorHAnsi" w:hAnsiTheme="majorHAnsi"/>
          <w:color w:val="auto"/>
          <w:sz w:val="24"/>
        </w:rPr>
      </w:pPr>
      <w:r w:rsidRPr="000D01B3">
        <w:rPr>
          <w:rFonts w:asciiTheme="majorHAnsi" w:hAnsiTheme="majorHAnsi"/>
          <w:color w:val="auto"/>
          <w:sz w:val="24"/>
        </w:rPr>
        <w:t>Ohledně regulace velkochovů vláda podporuje zavedení zjednodušeného povolovacího režimu v kapitole VIa, nicméně nesouhlasí s příliš širokým rozšířením působnosti směrnice i na malé chovy. V oblasti účasti veřejnosti a přístupu ke spravedlnosti se vláda staví negativně k navrhované úpravě kompenzací a odškodnění dle nového čl. 79a. U rozšíření regulovaných činností se vláda staví negativně k zahrnutí těžebních činností.</w:t>
      </w:r>
    </w:p>
    <w:p w:rsidR="000D01B3" w:rsidRPr="000D01B3" w:rsidRDefault="000D01B3" w:rsidP="000D01B3">
      <w:pPr>
        <w:spacing w:after="0" w:line="240" w:lineRule="auto"/>
        <w:jc w:val="both"/>
        <w:rPr>
          <w:rFonts w:asciiTheme="majorHAnsi" w:hAnsiTheme="majorHAnsi"/>
          <w:color w:val="auto"/>
          <w:sz w:val="24"/>
        </w:rPr>
      </w:pPr>
      <w:r w:rsidRPr="000D01B3">
        <w:rPr>
          <w:rFonts w:asciiTheme="majorHAnsi" w:hAnsiTheme="majorHAnsi"/>
          <w:color w:val="auto"/>
          <w:sz w:val="24"/>
        </w:rPr>
        <w:t xml:space="preserve">K </w:t>
      </w:r>
      <w:r w:rsidRPr="000D01B3">
        <w:rPr>
          <w:rFonts w:asciiTheme="majorHAnsi" w:hAnsiTheme="majorHAnsi"/>
          <w:b/>
          <w:color w:val="auto"/>
          <w:sz w:val="24"/>
        </w:rPr>
        <w:t>návrhu nařízení o ohlašování environmentálních údajů průmyslovými zařízeními a o zřízení portálu průmyslových emisí</w:t>
      </w:r>
      <w:r w:rsidRPr="000D01B3">
        <w:rPr>
          <w:rFonts w:asciiTheme="majorHAnsi" w:hAnsiTheme="majorHAnsi"/>
          <w:color w:val="auto"/>
          <w:sz w:val="24"/>
        </w:rPr>
        <w:t xml:space="preserve"> má vláda několik připomínek. Vláda například nepreferuje přijímání některých změn nařízení Komisí pomocí delegovaných aktů, protože je zde omezenější možnost ovlivnění finálního znění příslušného aktu. Vláda se také staví spíše rezervovaně k povinnosti vykazování údajů o spotřebě zdrojů (suroviny, voda a energie). Vláda také poukazuje, že na </w:t>
      </w:r>
      <w:r w:rsidRPr="000D01B3">
        <w:rPr>
          <w:rFonts w:asciiTheme="majorHAnsi" w:hAnsiTheme="majorHAnsi"/>
          <w:color w:val="auto"/>
          <w:sz w:val="24"/>
        </w:rPr>
        <w:lastRenderedPageBreak/>
        <w:t xml:space="preserve">ohlašovatele by mohlo mít negativní dopad plnění požadavku na oznamování podlimitních úniků/přenosů. </w:t>
      </w:r>
    </w:p>
    <w:p w:rsidR="000D01B3" w:rsidRPr="000D01B3" w:rsidRDefault="000D01B3" w:rsidP="000D01B3">
      <w:pPr>
        <w:spacing w:after="0" w:line="240" w:lineRule="auto"/>
        <w:jc w:val="both"/>
        <w:rPr>
          <w:rFonts w:asciiTheme="majorHAnsi" w:hAnsiTheme="majorHAnsi"/>
          <w:color w:val="auto"/>
          <w:sz w:val="24"/>
        </w:rPr>
      </w:pPr>
    </w:p>
    <w:p w:rsidR="000D01B3" w:rsidRPr="000D01B3" w:rsidRDefault="000D01B3" w:rsidP="000D01B3">
      <w:pPr>
        <w:numPr>
          <w:ilvl w:val="0"/>
          <w:numId w:val="9"/>
        </w:numPr>
        <w:spacing w:after="0" w:line="240" w:lineRule="auto"/>
        <w:ind w:left="0"/>
        <w:outlineLvl w:val="0"/>
        <w:rPr>
          <w:rFonts w:asciiTheme="majorHAnsi" w:eastAsia="Times New Roman" w:hAnsiTheme="majorHAnsi"/>
          <w:b/>
          <w:color w:val="auto"/>
          <w:sz w:val="24"/>
          <w:szCs w:val="20"/>
          <w:lang w:eastAsia="cs-CZ"/>
        </w:rPr>
      </w:pPr>
      <w:bookmarkStart w:id="21" w:name="_Toc445380613"/>
      <w:bookmarkStart w:id="22" w:name="_Toc448302192"/>
      <w:r w:rsidRPr="000D01B3">
        <w:rPr>
          <w:rFonts w:asciiTheme="majorHAnsi" w:eastAsia="Times New Roman" w:hAnsiTheme="majorHAnsi"/>
          <w:b/>
          <w:color w:val="auto"/>
          <w:sz w:val="24"/>
          <w:szCs w:val="20"/>
          <w:lang w:eastAsia="cs-CZ"/>
        </w:rPr>
        <w:t>Předpokládaný harmonogram projednávání v orgánech EU:</w:t>
      </w:r>
      <w:bookmarkEnd w:id="21"/>
      <w:bookmarkEnd w:id="22"/>
    </w:p>
    <w:p w:rsidR="000D01B3" w:rsidRPr="000D01B3" w:rsidRDefault="000D01B3" w:rsidP="000D01B3">
      <w:pPr>
        <w:spacing w:after="120" w:line="240" w:lineRule="auto"/>
        <w:jc w:val="both"/>
        <w:rPr>
          <w:rFonts w:asciiTheme="majorHAnsi" w:hAnsiTheme="majorHAnsi"/>
          <w:color w:val="auto"/>
          <w:sz w:val="24"/>
        </w:rPr>
      </w:pPr>
      <w:r w:rsidRPr="000D01B3">
        <w:rPr>
          <w:rFonts w:asciiTheme="majorHAnsi" w:hAnsiTheme="majorHAnsi"/>
          <w:color w:val="auto"/>
          <w:sz w:val="24"/>
        </w:rPr>
        <w:t xml:space="preserve">Oba návrhy jsou momentálně projednávány v přípravných orgánech Rady. V Evropském parlamentu je k projednání </w:t>
      </w:r>
      <w:hyperlink r:id="rId21" w:history="1">
        <w:r w:rsidRPr="000D01B3">
          <w:rPr>
            <w:rFonts w:asciiTheme="majorHAnsi" w:hAnsiTheme="majorHAnsi"/>
            <w:color w:val="0000FF"/>
            <w:sz w:val="24"/>
            <w:u w:val="single"/>
          </w:rPr>
          <w:t>návrhu revize směrnice</w:t>
        </w:r>
      </w:hyperlink>
      <w:r w:rsidRPr="000D01B3">
        <w:rPr>
          <w:rFonts w:asciiTheme="majorHAnsi" w:hAnsiTheme="majorHAnsi"/>
          <w:color w:val="auto"/>
          <w:sz w:val="24"/>
        </w:rPr>
        <w:t xml:space="preserve"> i k </w:t>
      </w:r>
      <w:hyperlink r:id="rId22" w:history="1">
        <w:r w:rsidRPr="000D01B3">
          <w:rPr>
            <w:rFonts w:asciiTheme="majorHAnsi" w:hAnsiTheme="majorHAnsi"/>
            <w:color w:val="0000FF"/>
            <w:sz w:val="24"/>
            <w:u w:val="single"/>
          </w:rPr>
          <w:t>návrhu nařízení</w:t>
        </w:r>
      </w:hyperlink>
      <w:r w:rsidRPr="000D01B3">
        <w:rPr>
          <w:rFonts w:asciiTheme="majorHAnsi" w:hAnsiTheme="majorHAnsi"/>
          <w:color w:val="auto"/>
          <w:sz w:val="24"/>
        </w:rPr>
        <w:t xml:space="preserve"> příslušný Výbor pro životní prostředí veřejné zdraví a bezpečnost potravin. </w:t>
      </w:r>
    </w:p>
    <w:p w:rsidR="000D01B3" w:rsidRPr="000D01B3" w:rsidRDefault="000D01B3" w:rsidP="000D01B3">
      <w:pPr>
        <w:spacing w:after="120" w:line="240" w:lineRule="auto"/>
        <w:jc w:val="both"/>
        <w:rPr>
          <w:rFonts w:asciiTheme="majorHAnsi" w:hAnsiTheme="majorHAnsi"/>
          <w:color w:val="auto"/>
          <w:sz w:val="24"/>
        </w:rPr>
      </w:pPr>
    </w:p>
    <w:p w:rsidR="000D01B3" w:rsidRPr="000D01B3" w:rsidRDefault="000D01B3" w:rsidP="000D01B3">
      <w:pPr>
        <w:spacing w:after="0" w:line="240" w:lineRule="auto"/>
        <w:jc w:val="both"/>
        <w:rPr>
          <w:rFonts w:asciiTheme="majorHAnsi" w:eastAsia="Times New Roman" w:hAnsiTheme="majorHAnsi"/>
          <w:color w:val="auto"/>
          <w:sz w:val="24"/>
          <w:szCs w:val="20"/>
          <w:lang w:eastAsia="cs-CZ"/>
        </w:rPr>
      </w:pPr>
      <w:r w:rsidRPr="000D01B3">
        <w:rPr>
          <w:rFonts w:asciiTheme="majorHAnsi" w:eastAsia="Times New Roman" w:hAnsiTheme="majorHAnsi"/>
          <w:color w:val="auto"/>
          <w:sz w:val="24"/>
          <w:szCs w:val="20"/>
          <w:lang w:eastAsia="cs-CZ"/>
        </w:rPr>
        <w:t>Zpracovala Mgr. Tereza Gajdová, odborná konzultantka Parlamentního institutu Kanceláře PS PČR.</w:t>
      </w:r>
      <w:bookmarkEnd w:id="2"/>
      <w:bookmarkEnd w:id="3"/>
      <w:bookmarkEnd w:id="4"/>
      <w:bookmarkEnd w:id="5"/>
      <w:bookmarkEnd w:id="6"/>
      <w:bookmarkEnd w:id="7"/>
    </w:p>
    <w:p w:rsidR="000D01B3" w:rsidRDefault="000D01B3" w:rsidP="001A33CF">
      <w:pPr>
        <w:rPr>
          <w:rFonts w:ascii="Times New Roman" w:hAnsi="Times New Roman"/>
          <w:sz w:val="24"/>
        </w:rPr>
      </w:pPr>
    </w:p>
    <w:p w:rsidR="001A33CF" w:rsidRDefault="001A33CF" w:rsidP="00806CFD">
      <w:pPr>
        <w:rPr>
          <w:rFonts w:ascii="Times New Roman" w:hAnsi="Times New Roman"/>
          <w:sz w:val="24"/>
        </w:rPr>
      </w:pPr>
    </w:p>
    <w:sectPr w:rsidR="001A33CF"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01F" w:rsidRDefault="00AF701F" w:rsidP="00AF701F">
      <w:pPr>
        <w:spacing w:after="0" w:line="240" w:lineRule="auto"/>
      </w:pPr>
      <w:r>
        <w:separator/>
      </w:r>
    </w:p>
  </w:endnote>
  <w:endnote w:type="continuationSeparator" w:id="0">
    <w:p w:rsidR="00AF701F" w:rsidRDefault="00AF701F" w:rsidP="00AF7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01F" w:rsidRDefault="00AF701F" w:rsidP="00AF701F">
      <w:pPr>
        <w:spacing w:after="0" w:line="240" w:lineRule="auto"/>
      </w:pPr>
      <w:r>
        <w:separator/>
      </w:r>
    </w:p>
  </w:footnote>
  <w:footnote w:type="continuationSeparator" w:id="0">
    <w:p w:rsidR="00AF701F" w:rsidRDefault="00AF701F" w:rsidP="00AF701F">
      <w:pPr>
        <w:spacing w:after="0" w:line="240" w:lineRule="auto"/>
      </w:pPr>
      <w:r>
        <w:continuationSeparator/>
      </w:r>
    </w:p>
  </w:footnote>
  <w:footnote w:id="1">
    <w:p w:rsidR="000D01B3" w:rsidRDefault="000D01B3" w:rsidP="000D01B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1A5E0A">
        <w:t>Směrnice Evropského parlamentu a Rady 2003/87/ES ze dne 13. října 2003 o vytvoření systému pro obchodování s</w:t>
      </w:r>
      <w:r>
        <w:t> </w:t>
      </w:r>
      <w:r w:rsidRPr="001A5E0A">
        <w:t>povolenkami na emise skleníkových plynů ve Společenství a o změně směrnice Rady 96/61/ES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5DBE"/>
    <w:multiLevelType w:val="hybridMultilevel"/>
    <w:tmpl w:val="1960D7B0"/>
    <w:lvl w:ilvl="0" w:tplc="E7648976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26A39D1"/>
    <w:multiLevelType w:val="multilevel"/>
    <w:tmpl w:val="B8529282"/>
    <w:lvl w:ilvl="0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03602FA3"/>
    <w:multiLevelType w:val="hybridMultilevel"/>
    <w:tmpl w:val="847CF8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E2E70"/>
    <w:multiLevelType w:val="hybridMultilevel"/>
    <w:tmpl w:val="C910202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FD88093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B50C0"/>
    <w:multiLevelType w:val="hybridMultilevel"/>
    <w:tmpl w:val="A17C8D1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5A7488"/>
    <w:multiLevelType w:val="hybridMultilevel"/>
    <w:tmpl w:val="26120AD8"/>
    <w:lvl w:ilvl="0" w:tplc="BB44B070">
      <w:start w:val="1"/>
      <w:numFmt w:val="upperRoman"/>
      <w:lvlText w:val="%1."/>
      <w:lvlJc w:val="left"/>
      <w:pPr>
        <w:ind w:left="157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E054AD"/>
    <w:multiLevelType w:val="hybridMultilevel"/>
    <w:tmpl w:val="75AE05D4"/>
    <w:lvl w:ilvl="0" w:tplc="04050013">
      <w:start w:val="1"/>
      <w:numFmt w:val="upperRoman"/>
      <w:lvlText w:val="%1."/>
      <w:lvlJc w:val="righ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EEC3236"/>
    <w:multiLevelType w:val="hybridMultilevel"/>
    <w:tmpl w:val="419A377C"/>
    <w:lvl w:ilvl="0" w:tplc="23B8ADB4"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977F62"/>
    <w:multiLevelType w:val="hybridMultilevel"/>
    <w:tmpl w:val="BC78DB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760982"/>
    <w:multiLevelType w:val="multilevel"/>
    <w:tmpl w:val="E39C9C4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0" w15:restartNumberingAfterBreak="0">
    <w:nsid w:val="1EA83A57"/>
    <w:multiLevelType w:val="hybridMultilevel"/>
    <w:tmpl w:val="CB1450D2"/>
    <w:lvl w:ilvl="0" w:tplc="7E642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D67EE0"/>
    <w:multiLevelType w:val="hybridMultilevel"/>
    <w:tmpl w:val="461AB820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3E2652"/>
    <w:multiLevelType w:val="multilevel"/>
    <w:tmpl w:val="32123598"/>
    <w:lvl w:ilvl="0">
      <w:start w:val="1"/>
      <w:numFmt w:val="upperRoman"/>
      <w:lvlText w:val="%1."/>
      <w:lvlJc w:val="left"/>
      <w:pPr>
        <w:ind w:left="360" w:hanging="360"/>
      </w:pPr>
      <w:rPr>
        <w:rFonts w:eastAsia="Calibri" w:cs="Times New Roman"/>
        <w:b/>
      </w:r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2AC21FAC"/>
    <w:multiLevelType w:val="multilevel"/>
    <w:tmpl w:val="4D4E131C"/>
    <w:lvl w:ilvl="0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FF0418"/>
    <w:multiLevelType w:val="hybridMultilevel"/>
    <w:tmpl w:val="CEE4BBF6"/>
    <w:lvl w:ilvl="0" w:tplc="04050013">
      <w:start w:val="1"/>
      <w:numFmt w:val="upperRoman"/>
      <w:lvlText w:val="%1."/>
      <w:lvlJc w:val="righ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312F2315"/>
    <w:multiLevelType w:val="multilevel"/>
    <w:tmpl w:val="0A6C210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6" w15:restartNumberingAfterBreak="0">
    <w:nsid w:val="32411480"/>
    <w:multiLevelType w:val="hybridMultilevel"/>
    <w:tmpl w:val="6A22056A"/>
    <w:lvl w:ilvl="0" w:tplc="BB44B0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7648976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C17D86"/>
    <w:multiLevelType w:val="multilevel"/>
    <w:tmpl w:val="C2BAD2B6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8" w15:restartNumberingAfterBreak="0">
    <w:nsid w:val="3B4E6877"/>
    <w:multiLevelType w:val="hybridMultilevel"/>
    <w:tmpl w:val="24205904"/>
    <w:lvl w:ilvl="0" w:tplc="488C79FC">
      <w:start w:val="1"/>
      <w:numFmt w:val="upperRoman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9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25D2BDF"/>
    <w:multiLevelType w:val="hybridMultilevel"/>
    <w:tmpl w:val="B1C433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606D83"/>
    <w:multiLevelType w:val="singleLevel"/>
    <w:tmpl w:val="A6660ED0"/>
    <w:lvl w:ilvl="0">
      <w:start w:val="1"/>
      <w:numFmt w:val="decimal"/>
      <w:pStyle w:val="stty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4A4878E0"/>
    <w:multiLevelType w:val="hybridMultilevel"/>
    <w:tmpl w:val="A7E48346"/>
    <w:lvl w:ilvl="0" w:tplc="0F7A27D0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B431D6"/>
    <w:multiLevelType w:val="hybridMultilevel"/>
    <w:tmpl w:val="842A9E2A"/>
    <w:lvl w:ilvl="0" w:tplc="203277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44632F"/>
    <w:multiLevelType w:val="hybridMultilevel"/>
    <w:tmpl w:val="BF3E2E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F51B28"/>
    <w:multiLevelType w:val="hybridMultilevel"/>
    <w:tmpl w:val="0714F1D6"/>
    <w:lvl w:ilvl="0" w:tplc="BFD60960">
      <w:start w:val="1"/>
      <w:numFmt w:val="lowerLetter"/>
      <w:lvlText w:val="%1)"/>
      <w:lvlJc w:val="left"/>
      <w:pPr>
        <w:ind w:left="1068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2FD6008"/>
    <w:multiLevelType w:val="hybridMultilevel"/>
    <w:tmpl w:val="B39A990E"/>
    <w:lvl w:ilvl="0" w:tplc="4212303A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50013">
      <w:start w:val="1"/>
      <w:numFmt w:val="upperRoman"/>
      <w:lvlText w:val="%2."/>
      <w:lvlJc w:val="righ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BE64E4"/>
    <w:multiLevelType w:val="hybridMultilevel"/>
    <w:tmpl w:val="9A8EB8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0376BA"/>
    <w:multiLevelType w:val="hybridMultilevel"/>
    <w:tmpl w:val="096CC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631B6A"/>
    <w:multiLevelType w:val="hybridMultilevel"/>
    <w:tmpl w:val="DFBA87CA"/>
    <w:lvl w:ilvl="0" w:tplc="BC42C1E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025CF9"/>
    <w:multiLevelType w:val="multilevel"/>
    <w:tmpl w:val="08749158"/>
    <w:lvl w:ilvl="0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8617913"/>
    <w:multiLevelType w:val="hybridMultilevel"/>
    <w:tmpl w:val="450E818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B9566FE"/>
    <w:multiLevelType w:val="hybridMultilevel"/>
    <w:tmpl w:val="07188B2E"/>
    <w:lvl w:ilvl="0" w:tplc="D7488604">
      <w:numFmt w:val="bullet"/>
      <w:lvlText w:val="-"/>
      <w:lvlJc w:val="left"/>
      <w:pPr>
        <w:ind w:left="644" w:hanging="360"/>
      </w:pPr>
      <w:rPr>
        <w:rFonts w:ascii="Calibri Light" w:eastAsia="Calibri" w:hAnsi="Calibri Light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2"/>
  </w:num>
  <w:num w:numId="3">
    <w:abstractNumId w:val="30"/>
  </w:num>
  <w:num w:numId="4">
    <w:abstractNumId w:val="15"/>
  </w:num>
  <w:num w:numId="5">
    <w:abstractNumId w:val="0"/>
  </w:num>
  <w:num w:numId="6">
    <w:abstractNumId w:val="18"/>
  </w:num>
  <w:num w:numId="7">
    <w:abstractNumId w:val="19"/>
  </w:num>
  <w:num w:numId="8">
    <w:abstractNumId w:val="13"/>
  </w:num>
  <w:num w:numId="9">
    <w:abstractNumId w:val="21"/>
  </w:num>
  <w:num w:numId="10">
    <w:abstractNumId w:val="32"/>
  </w:num>
  <w:num w:numId="11">
    <w:abstractNumId w:val="28"/>
  </w:num>
  <w:num w:numId="12">
    <w:abstractNumId w:val="22"/>
  </w:num>
  <w:num w:numId="13">
    <w:abstractNumId w:val="27"/>
  </w:num>
  <w:num w:numId="14">
    <w:abstractNumId w:val="8"/>
  </w:num>
  <w:num w:numId="15">
    <w:abstractNumId w:val="24"/>
  </w:num>
  <w:num w:numId="16">
    <w:abstractNumId w:val="2"/>
  </w:num>
  <w:num w:numId="17">
    <w:abstractNumId w:val="3"/>
  </w:num>
  <w:num w:numId="18">
    <w:abstractNumId w:val="31"/>
  </w:num>
  <w:num w:numId="19">
    <w:abstractNumId w:val="4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9"/>
  </w:num>
  <w:num w:numId="22">
    <w:abstractNumId w:val="14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</w:num>
  <w:num w:numId="25">
    <w:abstractNumId w:val="23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25"/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16"/>
  </w:num>
  <w:num w:numId="32">
    <w:abstractNumId w:val="10"/>
  </w:num>
  <w:num w:numId="33">
    <w:abstractNumId w:val="7"/>
  </w:num>
  <w:num w:numId="34">
    <w:abstractNumId w:val="6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5B0"/>
    <w:rsid w:val="00013B4F"/>
    <w:rsid w:val="00013F1C"/>
    <w:rsid w:val="0002401D"/>
    <w:rsid w:val="00041825"/>
    <w:rsid w:val="000435F4"/>
    <w:rsid w:val="00061FAE"/>
    <w:rsid w:val="000621B2"/>
    <w:rsid w:val="00077E7D"/>
    <w:rsid w:val="000807A3"/>
    <w:rsid w:val="00092605"/>
    <w:rsid w:val="000A6AB9"/>
    <w:rsid w:val="000B45A5"/>
    <w:rsid w:val="000C188C"/>
    <w:rsid w:val="000D01B3"/>
    <w:rsid w:val="000F096B"/>
    <w:rsid w:val="000F7C41"/>
    <w:rsid w:val="000F7F4E"/>
    <w:rsid w:val="00120D9A"/>
    <w:rsid w:val="001426DE"/>
    <w:rsid w:val="001468FA"/>
    <w:rsid w:val="00156F43"/>
    <w:rsid w:val="00157CB8"/>
    <w:rsid w:val="001625BA"/>
    <w:rsid w:val="001642B0"/>
    <w:rsid w:val="00167C49"/>
    <w:rsid w:val="001816FB"/>
    <w:rsid w:val="001A019C"/>
    <w:rsid w:val="001A33CF"/>
    <w:rsid w:val="001B0B56"/>
    <w:rsid w:val="001B3ED7"/>
    <w:rsid w:val="001C4651"/>
    <w:rsid w:val="001C5B87"/>
    <w:rsid w:val="001D79C9"/>
    <w:rsid w:val="001E0814"/>
    <w:rsid w:val="001E578B"/>
    <w:rsid w:val="002067D5"/>
    <w:rsid w:val="00216821"/>
    <w:rsid w:val="002601E5"/>
    <w:rsid w:val="00270B75"/>
    <w:rsid w:val="00282B37"/>
    <w:rsid w:val="002B4BE8"/>
    <w:rsid w:val="002C464C"/>
    <w:rsid w:val="002D4FEB"/>
    <w:rsid w:val="002D78B1"/>
    <w:rsid w:val="002E2EFB"/>
    <w:rsid w:val="002E3429"/>
    <w:rsid w:val="002E3C24"/>
    <w:rsid w:val="002E5FAE"/>
    <w:rsid w:val="00312DA4"/>
    <w:rsid w:val="0032533C"/>
    <w:rsid w:val="003329C4"/>
    <w:rsid w:val="00344880"/>
    <w:rsid w:val="0038206C"/>
    <w:rsid w:val="0038487B"/>
    <w:rsid w:val="00387E1C"/>
    <w:rsid w:val="00390A7A"/>
    <w:rsid w:val="0039620C"/>
    <w:rsid w:val="003C4840"/>
    <w:rsid w:val="003D0C66"/>
    <w:rsid w:val="003D1B05"/>
    <w:rsid w:val="004109E4"/>
    <w:rsid w:val="0041401D"/>
    <w:rsid w:val="00434A11"/>
    <w:rsid w:val="00435608"/>
    <w:rsid w:val="00436533"/>
    <w:rsid w:val="00451218"/>
    <w:rsid w:val="00451C36"/>
    <w:rsid w:val="00464DA7"/>
    <w:rsid w:val="004653E7"/>
    <w:rsid w:val="00474A0B"/>
    <w:rsid w:val="004B1695"/>
    <w:rsid w:val="004C2030"/>
    <w:rsid w:val="004C3484"/>
    <w:rsid w:val="004C3CDF"/>
    <w:rsid w:val="004E2BA6"/>
    <w:rsid w:val="00503C0B"/>
    <w:rsid w:val="00513223"/>
    <w:rsid w:val="005254AE"/>
    <w:rsid w:val="00531130"/>
    <w:rsid w:val="005373D4"/>
    <w:rsid w:val="00537E15"/>
    <w:rsid w:val="00543B97"/>
    <w:rsid w:val="00555EC9"/>
    <w:rsid w:val="00582EF4"/>
    <w:rsid w:val="0058397D"/>
    <w:rsid w:val="005C054E"/>
    <w:rsid w:val="005D07D7"/>
    <w:rsid w:val="005D41E3"/>
    <w:rsid w:val="005D6318"/>
    <w:rsid w:val="005E41AB"/>
    <w:rsid w:val="005F513B"/>
    <w:rsid w:val="005F7A2B"/>
    <w:rsid w:val="005F7E82"/>
    <w:rsid w:val="006020AF"/>
    <w:rsid w:val="006137FB"/>
    <w:rsid w:val="006300DD"/>
    <w:rsid w:val="006447D1"/>
    <w:rsid w:val="006518B7"/>
    <w:rsid w:val="00675452"/>
    <w:rsid w:val="0067644A"/>
    <w:rsid w:val="006A63D3"/>
    <w:rsid w:val="006B7661"/>
    <w:rsid w:val="006C7FB2"/>
    <w:rsid w:val="00703C41"/>
    <w:rsid w:val="00710A0E"/>
    <w:rsid w:val="00711113"/>
    <w:rsid w:val="007121B2"/>
    <w:rsid w:val="00745C58"/>
    <w:rsid w:val="007570A2"/>
    <w:rsid w:val="007706FD"/>
    <w:rsid w:val="00772EBB"/>
    <w:rsid w:val="007D09E1"/>
    <w:rsid w:val="007E71D7"/>
    <w:rsid w:val="00806CFD"/>
    <w:rsid w:val="00811F5C"/>
    <w:rsid w:val="008164D3"/>
    <w:rsid w:val="008275C7"/>
    <w:rsid w:val="00830838"/>
    <w:rsid w:val="0083478E"/>
    <w:rsid w:val="0085162E"/>
    <w:rsid w:val="008547C9"/>
    <w:rsid w:val="00855797"/>
    <w:rsid w:val="00877D5E"/>
    <w:rsid w:val="00881204"/>
    <w:rsid w:val="00885B9E"/>
    <w:rsid w:val="00886500"/>
    <w:rsid w:val="00887168"/>
    <w:rsid w:val="008912A9"/>
    <w:rsid w:val="00897B1B"/>
    <w:rsid w:val="00897CCB"/>
    <w:rsid w:val="008A6CE8"/>
    <w:rsid w:val="008B0A30"/>
    <w:rsid w:val="008B2723"/>
    <w:rsid w:val="008B7AA3"/>
    <w:rsid w:val="008C1B58"/>
    <w:rsid w:val="008D1488"/>
    <w:rsid w:val="008D731D"/>
    <w:rsid w:val="008E0029"/>
    <w:rsid w:val="008E715C"/>
    <w:rsid w:val="009040E6"/>
    <w:rsid w:val="00912EB4"/>
    <w:rsid w:val="009532CA"/>
    <w:rsid w:val="009608C9"/>
    <w:rsid w:val="00977660"/>
    <w:rsid w:val="009919D2"/>
    <w:rsid w:val="009931B8"/>
    <w:rsid w:val="009B0440"/>
    <w:rsid w:val="00A04947"/>
    <w:rsid w:val="00A05479"/>
    <w:rsid w:val="00A102F3"/>
    <w:rsid w:val="00A31700"/>
    <w:rsid w:val="00A63D7A"/>
    <w:rsid w:val="00A72A64"/>
    <w:rsid w:val="00A9265E"/>
    <w:rsid w:val="00AC0B3E"/>
    <w:rsid w:val="00AD71A8"/>
    <w:rsid w:val="00AE1CD6"/>
    <w:rsid w:val="00AE7CA8"/>
    <w:rsid w:val="00AF701F"/>
    <w:rsid w:val="00B23CE4"/>
    <w:rsid w:val="00B25BB0"/>
    <w:rsid w:val="00B26768"/>
    <w:rsid w:val="00B322FF"/>
    <w:rsid w:val="00B57ED6"/>
    <w:rsid w:val="00B62D6C"/>
    <w:rsid w:val="00B75E03"/>
    <w:rsid w:val="00B77E2B"/>
    <w:rsid w:val="00B8615E"/>
    <w:rsid w:val="00BA46AD"/>
    <w:rsid w:val="00BB32B9"/>
    <w:rsid w:val="00BB4B95"/>
    <w:rsid w:val="00BC2C44"/>
    <w:rsid w:val="00BD0AEB"/>
    <w:rsid w:val="00BF0735"/>
    <w:rsid w:val="00BF211D"/>
    <w:rsid w:val="00BF69EA"/>
    <w:rsid w:val="00C030E4"/>
    <w:rsid w:val="00C04DCD"/>
    <w:rsid w:val="00C1658C"/>
    <w:rsid w:val="00C41859"/>
    <w:rsid w:val="00C91953"/>
    <w:rsid w:val="00C933C9"/>
    <w:rsid w:val="00CA746E"/>
    <w:rsid w:val="00CB152C"/>
    <w:rsid w:val="00CB2001"/>
    <w:rsid w:val="00CE71AF"/>
    <w:rsid w:val="00CF3834"/>
    <w:rsid w:val="00D1438B"/>
    <w:rsid w:val="00D324DF"/>
    <w:rsid w:val="00D86EF4"/>
    <w:rsid w:val="00D942B1"/>
    <w:rsid w:val="00D97A2E"/>
    <w:rsid w:val="00DA53EA"/>
    <w:rsid w:val="00DC37AF"/>
    <w:rsid w:val="00DC3F2D"/>
    <w:rsid w:val="00DE5FC5"/>
    <w:rsid w:val="00DF6B7D"/>
    <w:rsid w:val="00E026BA"/>
    <w:rsid w:val="00E07438"/>
    <w:rsid w:val="00E101E0"/>
    <w:rsid w:val="00E239AD"/>
    <w:rsid w:val="00E26A18"/>
    <w:rsid w:val="00E318F6"/>
    <w:rsid w:val="00E3286A"/>
    <w:rsid w:val="00E33704"/>
    <w:rsid w:val="00E355C4"/>
    <w:rsid w:val="00E40F62"/>
    <w:rsid w:val="00E419DF"/>
    <w:rsid w:val="00E45802"/>
    <w:rsid w:val="00E57F34"/>
    <w:rsid w:val="00E6388F"/>
    <w:rsid w:val="00E6411C"/>
    <w:rsid w:val="00E6426C"/>
    <w:rsid w:val="00E6658C"/>
    <w:rsid w:val="00E76806"/>
    <w:rsid w:val="00E9189F"/>
    <w:rsid w:val="00EB4938"/>
    <w:rsid w:val="00EC5F47"/>
    <w:rsid w:val="00EC65B6"/>
    <w:rsid w:val="00ED21E0"/>
    <w:rsid w:val="00EE65B0"/>
    <w:rsid w:val="00F03DE5"/>
    <w:rsid w:val="00F057A1"/>
    <w:rsid w:val="00F15604"/>
    <w:rsid w:val="00F33D86"/>
    <w:rsid w:val="00F4281D"/>
    <w:rsid w:val="00F51DA3"/>
    <w:rsid w:val="00F53B6C"/>
    <w:rsid w:val="00F56BCF"/>
    <w:rsid w:val="00F628C1"/>
    <w:rsid w:val="00F63B05"/>
    <w:rsid w:val="00F63F13"/>
    <w:rsid w:val="00F81ED3"/>
    <w:rsid w:val="00F85028"/>
    <w:rsid w:val="00FF0729"/>
    <w:rsid w:val="00FF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62431"/>
  <w15:docId w15:val="{6F254BEA-0F65-4BF9-BD7B-7DDC6D9B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B530E0"/>
    <w:pPr>
      <w:keepNext/>
      <w:numPr>
        <w:numId w:val="1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qFormat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qFormat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qFormat/>
    <w:rsid w:val="00B530E0"/>
    <w:rPr>
      <w:rFonts w:ascii="Times New Roman" w:eastAsia="Times New Roman" w:hAnsi="Times New Roman"/>
      <w:b/>
      <w:i/>
      <w:color w:val="00000A"/>
      <w:spacing w:val="-3"/>
      <w:sz w:val="28"/>
      <w:lang w:eastAsia="zh-CN" w:bidi="hi-I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ascii="Times New Roman" w:hAnsi="Times New Roman"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color w:val="00000A"/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qFormat/>
    <w:rsid w:val="00D76FB3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qFormat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qFormat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qFormat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qFormat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qFormat/>
    <w:rsid w:val="002B60B3"/>
    <w:p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qFormat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qFormat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qFormat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basedOn w:val="Normln"/>
    <w:qFormat/>
    <w:rsid w:val="00387E1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72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2A64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western">
    <w:name w:val="western"/>
    <w:basedOn w:val="Normln"/>
    <w:qFormat/>
    <w:rsid w:val="00555EC9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4653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ty">
    <w:name w:val="státy"/>
    <w:basedOn w:val="Normln"/>
    <w:rsid w:val="00AF701F"/>
    <w:pPr>
      <w:numPr>
        <w:numId w:val="9"/>
      </w:numPr>
      <w:spacing w:after="0" w:line="240" w:lineRule="auto"/>
      <w:jc w:val="both"/>
    </w:pPr>
    <w:rPr>
      <w:rFonts w:asciiTheme="majorHAnsi" w:eastAsia="Times New Roman" w:hAnsiTheme="majorHAnsi"/>
      <w:b/>
      <w:color w:val="auto"/>
      <w:sz w:val="24"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rsid w:val="00AF701F"/>
    <w:pPr>
      <w:tabs>
        <w:tab w:val="right" w:leader="dot" w:pos="9344"/>
      </w:tabs>
      <w:spacing w:before="120" w:after="120" w:line="240" w:lineRule="auto"/>
      <w:ind w:left="567" w:hanging="567"/>
    </w:pPr>
    <w:rPr>
      <w:rFonts w:asciiTheme="minorHAnsi" w:eastAsia="Times New Roman" w:hAnsiTheme="minorHAnsi"/>
      <w:b/>
      <w:bCs/>
      <w:color w:val="auto"/>
      <w:sz w:val="20"/>
      <w:szCs w:val="20"/>
      <w:lang w:eastAsia="cs-CZ"/>
    </w:rPr>
  </w:style>
  <w:style w:type="character" w:styleId="Znakapoznpodarou">
    <w:name w:val="footnote reference"/>
    <w:uiPriority w:val="99"/>
    <w:rsid w:val="00AF701F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AF701F"/>
    <w:pPr>
      <w:spacing w:after="0" w:line="240" w:lineRule="auto"/>
    </w:pPr>
    <w:rPr>
      <w:rFonts w:asciiTheme="majorHAnsi" w:eastAsia="Times New Roman" w:hAnsiTheme="majorHAnsi"/>
      <w:color w:val="auto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F701F"/>
    <w:rPr>
      <w:rFonts w:asciiTheme="majorHAnsi" w:eastAsia="Times New Roman" w:hAnsiTheme="majorHAnsi"/>
    </w:rPr>
  </w:style>
  <w:style w:type="character" w:styleId="Hypertextovodkaz">
    <w:name w:val="Hyperlink"/>
    <w:uiPriority w:val="99"/>
    <w:rsid w:val="00AF701F"/>
    <w:rPr>
      <w:color w:val="0000FF"/>
      <w:u w:val="single"/>
    </w:rPr>
  </w:style>
  <w:style w:type="paragraph" w:customStyle="1" w:styleId="NZEVPRCE">
    <w:name w:val="NÁZEV PRÁCE"/>
    <w:basedOn w:val="Normln"/>
    <w:qFormat/>
    <w:rsid w:val="00AF701F"/>
    <w:pPr>
      <w:spacing w:before="240" w:after="240" w:line="240" w:lineRule="auto"/>
      <w:ind w:right="176"/>
    </w:pPr>
    <w:rPr>
      <w:rFonts w:ascii="Calibri Light" w:hAnsi="Calibri Light" w:cs="Arial"/>
      <w:b/>
      <w:color w:val="1F4E79" w:themeColor="accent1" w:themeShade="80"/>
      <w:sz w:val="44"/>
      <w:szCs w:val="36"/>
    </w:rPr>
  </w:style>
  <w:style w:type="paragraph" w:customStyle="1" w:styleId="PODNZEVPRCE">
    <w:name w:val="PODNÁZEV PRÁCE"/>
    <w:basedOn w:val="Normln"/>
    <w:qFormat/>
    <w:rsid w:val="00AF701F"/>
    <w:pPr>
      <w:spacing w:after="0" w:line="240" w:lineRule="auto"/>
    </w:pPr>
    <w:rPr>
      <w:rFonts w:asciiTheme="majorHAnsi" w:hAnsiTheme="majorHAnsi"/>
      <w:color w:val="1F4E79" w:themeColor="accent1" w:themeShade="80"/>
      <w:sz w:val="28"/>
      <w:szCs w:val="28"/>
    </w:rPr>
  </w:style>
  <w:style w:type="paragraph" w:customStyle="1" w:styleId="ZHLAVTITULKY">
    <w:name w:val="ZÁHLAVÍ TITULKY"/>
    <w:basedOn w:val="Normln"/>
    <w:qFormat/>
    <w:rsid w:val="00AF701F"/>
    <w:pPr>
      <w:spacing w:after="0" w:line="240" w:lineRule="auto"/>
    </w:pPr>
    <w:rPr>
      <w:rFonts w:eastAsia="Times New Roman" w:cs="Arial"/>
      <w:b/>
      <w:color w:val="1F4E79" w:themeColor="accent1" w:themeShade="80"/>
      <w:sz w:val="28"/>
      <w:szCs w:val="28"/>
      <w:lang w:eastAsia="cs-CZ"/>
    </w:rPr>
  </w:style>
  <w:style w:type="paragraph" w:customStyle="1" w:styleId="titulnstranaobsah">
    <w:name w:val="titulní strana obsah"/>
    <w:basedOn w:val="Normln"/>
    <w:qFormat/>
    <w:rsid w:val="00AF701F"/>
    <w:pPr>
      <w:spacing w:after="0" w:line="240" w:lineRule="auto"/>
    </w:pPr>
    <w:rPr>
      <w:rFonts w:eastAsia="Times New Roman" w:cs="Arial"/>
      <w:b/>
      <w:color w:val="1F4E79" w:themeColor="accent1" w:themeShade="80"/>
      <w:sz w:val="24"/>
      <w:szCs w:val="20"/>
      <w:lang w:eastAsia="cs-CZ"/>
    </w:rPr>
  </w:style>
  <w:style w:type="character" w:styleId="Siln">
    <w:name w:val="Strong"/>
    <w:uiPriority w:val="22"/>
    <w:qFormat/>
    <w:rsid w:val="00AF701F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582EF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82EF4"/>
    <w:pPr>
      <w:spacing w:after="0" w:line="240" w:lineRule="auto"/>
    </w:pPr>
    <w:rPr>
      <w:rFonts w:ascii="Times New Roman" w:eastAsia="Times New Roman" w:hAnsi="Times New Roman"/>
      <w:color w:val="auto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82EF4"/>
    <w:rPr>
      <w:rFonts w:ascii="Times New Roman" w:eastAsia="Times New Roman" w:hAnsi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5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0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eur-lex.europa.eu/LexUriServ/LexUriServ.do?uri=SWD:2020:0181:FIN:EN:PDF" TargetMode="External"/><Relationship Id="rId18" Type="http://schemas.openxmlformats.org/officeDocument/2006/relationships/hyperlink" Target="https://eur-lex.europa.eu/legal-content/CS/TXT/?uri=CELEX%3A52022PC0156&amp;qid=1653568496700" TargetMode="External"/><Relationship Id="rId3" Type="http://schemas.openxmlformats.org/officeDocument/2006/relationships/styles" Target="styles.xml"/><Relationship Id="rId21" Type="http://schemas.openxmlformats.org/officeDocument/2006/relationships/hyperlink" Target="https://oeil.secure.europarl.europa.eu/oeil/popups/ficheprocedure.do?reference=2022/0104(COD)&amp;l=en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ur-lex.europa.eu/legal-content/EN/ALL/?uri=COM:2019:640:FIN" TargetMode="External"/><Relationship Id="rId17" Type="http://schemas.openxmlformats.org/officeDocument/2006/relationships/hyperlink" Target="https://unece.org/environment-policy/public-participation/prtrs-protocol-tex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ur-lex.europa.eu/legal-content/CS/ALL/?uri=celex:32006R0166" TargetMode="External"/><Relationship Id="rId20" Type="http://schemas.openxmlformats.org/officeDocument/2006/relationships/hyperlink" Target="https://eur-lex.europa.eu/legal-content/CS/TXT/?uri=CELEX:52022PC0157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ur-lex.europa.eu/legal-content/CS/TXT/?uri=CELEX:52022PC0157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eur-lex.europa.eu/legal-content/CS/TXT/?uri=celex:32010L0075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eur-lex.europa.eu/legal-content/CS/TXT/?uri=CELEX%3A52022PC0156&amp;qid=1653568496700" TargetMode="External"/><Relationship Id="rId19" Type="http://schemas.openxmlformats.org/officeDocument/2006/relationships/hyperlink" Target="https://eur-lex.europa.eu/resource.html?uri=cellar:6a2e6b16-b5a9-11ec-b6f4-01aa75ed71a1.0001.02/DOC_2&amp;format=PDF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eur-lex.europa.eu/legal-content/CS/TXT/?uri=CELEX:52021DC0400" TargetMode="External"/><Relationship Id="rId22" Type="http://schemas.openxmlformats.org/officeDocument/2006/relationships/hyperlink" Target="https://oeil.secure.europarl.europa.eu/oeil/popups/ficheprocedure.do?reference=2022/0105(COD)&amp;l=en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236A21-C7F1-4F19-B770-88AA4777B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8</Pages>
  <Words>3068</Words>
  <Characters>18106</Characters>
  <Application>Microsoft Office Word</Application>
  <DocSecurity>0</DocSecurity>
  <Lines>150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dc:description/>
  <cp:lastModifiedBy>VondrackovaE</cp:lastModifiedBy>
  <cp:revision>24</cp:revision>
  <cp:lastPrinted>2022-06-23T13:31:00Z</cp:lastPrinted>
  <dcterms:created xsi:type="dcterms:W3CDTF">2022-06-16T08:27:00Z</dcterms:created>
  <dcterms:modified xsi:type="dcterms:W3CDTF">2022-06-23T13:58:00Z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Parlament CR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