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3A3" w:rsidRDefault="003473A3" w:rsidP="003473A3">
      <w:pPr>
        <w:pStyle w:val="PS-hlavika1"/>
        <w:jc w:val="right"/>
      </w:pPr>
      <w:r>
        <w:t>PS200313723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4F1AEB">
      <w:pPr>
        <w:pStyle w:val="PS-slousnesen"/>
      </w:pPr>
      <w:r w:rsidRPr="004F1AEB">
        <w:t>52</w:t>
      </w:r>
      <w:r w:rsidR="00912EB4" w:rsidRPr="004F1AEB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85162E">
        <w:t>10</w:t>
      </w:r>
      <w:r w:rsidR="001625BA" w:rsidRPr="00887168">
        <w:t>. schůze</w:t>
      </w:r>
    </w:p>
    <w:p w:rsidR="00EE65B0" w:rsidRDefault="001426DE">
      <w:pPr>
        <w:pStyle w:val="PS-hlavika1"/>
      </w:pPr>
      <w:r w:rsidRPr="00887168">
        <w:t xml:space="preserve">dne </w:t>
      </w:r>
      <w:r w:rsidR="0085162E">
        <w:t>23. červ</w:t>
      </w:r>
      <w:r w:rsidR="008D1488">
        <w:t>na</w:t>
      </w:r>
      <w:r w:rsidR="00434A11" w:rsidRPr="00887168">
        <w:t xml:space="preserve"> 2022</w:t>
      </w:r>
    </w:p>
    <w:p w:rsidR="000F7F4E" w:rsidRPr="00E026BA" w:rsidRDefault="000F7F4E">
      <w:pPr>
        <w:pStyle w:val="PS-hlavika1"/>
      </w:pPr>
    </w:p>
    <w:p w:rsidR="000F7F4E" w:rsidRDefault="000F7F4E" w:rsidP="000F7F4E">
      <w:pPr>
        <w:pStyle w:val="western"/>
        <w:spacing w:before="0" w:beforeAutospacing="0"/>
        <w:jc w:val="center"/>
      </w:pPr>
      <w:r w:rsidRPr="00AF2929">
        <w:t>k</w:t>
      </w:r>
      <w:r>
        <w:t xml:space="preserve"> dokumentu EU: </w:t>
      </w:r>
      <w:r w:rsidR="0085162E" w:rsidRPr="00D92DF6">
        <w:t>Návrh nařízení Evropského parlamentu a Rady o fluorovaných skleníkových plynech, o změně směrnice (EU) 2019/1937 a o zrušení nařízení (EU) č. 517/2014</w:t>
      </w:r>
      <w:r w:rsidR="0085162E">
        <w:t>, COM(2022) 150 final, 8042/22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 xml:space="preserve"> dokumentu EU: </w:t>
      </w:r>
      <w:r w:rsidR="0085162E" w:rsidRPr="00D92DF6">
        <w:t>Návrh nařízení Evropského parlamentu a Rady o látkách, které poškozují ozonovou vrstvu, a zrušení nařízení (ES) č. 1005/2009</w:t>
      </w:r>
      <w:r w:rsidR="0085162E">
        <w:t>, COM(2022) 151 final, 8048/22</w:t>
      </w:r>
    </w:p>
    <w:p w:rsidR="003329C4" w:rsidRPr="00312DA4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Po </w:t>
      </w:r>
      <w:r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úvodním slov</w:t>
      </w:r>
      <w:r w:rsidR="00077E7D"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387DC2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vedoucího oddělení technologických zdrojů MŽP Ing. Jakuba Achrera, zpravod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ajské </w:t>
      </w: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zprávě posl. </w:t>
      </w:r>
      <w:r w:rsidR="0085162E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Jana Hofmanna</w:t>
      </w:r>
      <w:r w:rsidR="0088716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312DA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387DC2" w:rsidRDefault="001C4651" w:rsidP="001C4651">
      <w:pPr>
        <w:pStyle w:val="PS-uvodnodstavec"/>
        <w:spacing w:after="480"/>
        <w:ind w:firstLine="0"/>
        <w:rPr>
          <w:szCs w:val="24"/>
        </w:rPr>
      </w:pPr>
      <w:r w:rsidRPr="00387DC2">
        <w:rPr>
          <w:szCs w:val="24"/>
        </w:rPr>
        <w:t>výbor pro životní prostředí Poslanecké sněmovny Parlamentu ČR</w:t>
      </w:r>
    </w:p>
    <w:p w:rsidR="00772EBB" w:rsidRPr="00387DC2" w:rsidRDefault="00772EBB" w:rsidP="00387DC2">
      <w:pPr>
        <w:widowControl w:val="0"/>
        <w:numPr>
          <w:ilvl w:val="0"/>
          <w:numId w:val="24"/>
        </w:numPr>
        <w:shd w:val="clear" w:color="auto" w:fill="FFFFFF" w:themeFill="background1"/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387DC2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bookmarkStart w:id="0" w:name="_heading=h.gjdgxs"/>
      <w:bookmarkEnd w:id="0"/>
      <w:r w:rsidRPr="00387DC2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n</w:t>
      </w:r>
      <w:r w:rsidRPr="00387DC2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ávrh nařízení Evropského parlamentu a Rady o fluorovaných skleníkových plynech, o změně směrnice (EU) 2019/1937 a o zrušení nařízení (EU) č. 517/2014, COM(2022) 150 final, 8042/22 a návrh nařízení Evropského parlamentu a Rady o látkách, které poškozují ozonovou vrstvu, a zrušení nařízení (ES) č. 1005/2009, COM(2022) 151 final, 8048/22;</w:t>
      </w:r>
    </w:p>
    <w:p w:rsidR="00772EBB" w:rsidRPr="00387DC2" w:rsidRDefault="00772EBB" w:rsidP="00387DC2">
      <w:pPr>
        <w:widowControl w:val="0"/>
        <w:numPr>
          <w:ilvl w:val="0"/>
          <w:numId w:val="24"/>
        </w:numPr>
        <w:shd w:val="clear" w:color="auto" w:fill="FFFFFF" w:themeFill="background1"/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387DC2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podporuje </w:t>
      </w:r>
      <w:r w:rsidRPr="00387DC2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pozici;</w:t>
      </w:r>
    </w:p>
    <w:p w:rsidR="00772EBB" w:rsidRPr="00387DC2" w:rsidRDefault="00772EBB" w:rsidP="00387DC2">
      <w:pPr>
        <w:widowControl w:val="0"/>
        <w:numPr>
          <w:ilvl w:val="0"/>
          <w:numId w:val="24"/>
        </w:numPr>
        <w:shd w:val="clear" w:color="auto" w:fill="FFFFFF" w:themeFill="background1"/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387DC2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387DC2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387DC2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772EBB" w:rsidRDefault="00772EBB" w:rsidP="00772EBB">
      <w:pPr>
        <w:rPr>
          <w:rFonts w:ascii="Times New Roman" w:hAnsi="Times New Roman"/>
          <w:sz w:val="24"/>
        </w:rPr>
      </w:pPr>
    </w:p>
    <w:p w:rsidR="0039401A" w:rsidRDefault="0039401A" w:rsidP="0039401A">
      <w:pPr>
        <w:spacing w:line="360" w:lineRule="auto"/>
        <w:rPr>
          <w:rFonts w:ascii="Times New Roman" w:hAnsi="Times New Roman"/>
          <w:sz w:val="24"/>
        </w:rPr>
      </w:pPr>
    </w:p>
    <w:p w:rsidR="0038487B" w:rsidRDefault="0038487B" w:rsidP="0039401A">
      <w:pPr>
        <w:spacing w:line="360" w:lineRule="auto"/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474A0B" w:rsidRPr="001F2C28" w:rsidRDefault="00624FF2" w:rsidP="00387DC2">
            <w:pPr>
              <w:pStyle w:val="PS-slovanseznam"/>
              <w:spacing w:after="0"/>
              <w:ind w:left="0" w:firstLine="0"/>
              <w:jc w:val="center"/>
            </w:pPr>
            <w:r w:rsidRPr="001F2C28">
              <w:t xml:space="preserve">Ing. </w:t>
            </w:r>
            <w:r w:rsidR="0064027A">
              <w:t>Josef BERNARD</w:t>
            </w:r>
            <w:r w:rsidR="003473A3">
              <w:t xml:space="preserve"> v. r.</w:t>
            </w:r>
          </w:p>
          <w:p w:rsidR="00B26768" w:rsidRPr="001F2C28" w:rsidRDefault="005373D4" w:rsidP="00387DC2">
            <w:pPr>
              <w:pStyle w:val="PS-slovanseznam"/>
              <w:spacing w:after="0"/>
              <w:ind w:left="0" w:firstLine="0"/>
              <w:jc w:val="center"/>
            </w:pPr>
            <w:r w:rsidRPr="001F2C28">
              <w:t>o</w:t>
            </w:r>
            <w:r w:rsidR="00B26768" w:rsidRPr="001F2C28">
              <w:t>věřovatel</w:t>
            </w:r>
          </w:p>
          <w:p w:rsidR="005373D4" w:rsidRPr="001F2C28" w:rsidRDefault="005373D4" w:rsidP="00387DC2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768" w:rsidRPr="001F2C28" w:rsidRDefault="00772EBB" w:rsidP="00387DC2">
            <w:pPr>
              <w:pStyle w:val="PS-slovanseznam"/>
              <w:spacing w:after="0"/>
              <w:ind w:left="0" w:firstLine="0"/>
              <w:jc w:val="center"/>
            </w:pPr>
            <w:r w:rsidRPr="001F2C28">
              <w:t xml:space="preserve">Jan </w:t>
            </w:r>
            <w:r w:rsidR="00624FF2" w:rsidRPr="001F2C28">
              <w:t>HOFMANN</w:t>
            </w:r>
            <w:r w:rsidR="003473A3">
              <w:t xml:space="preserve"> v. r.</w:t>
            </w:r>
          </w:p>
          <w:p w:rsidR="00B26768" w:rsidRDefault="00885B9E" w:rsidP="00387DC2">
            <w:pPr>
              <w:pStyle w:val="PS-slovanseznam"/>
              <w:spacing w:after="0"/>
              <w:ind w:left="0" w:firstLine="0"/>
              <w:jc w:val="center"/>
            </w:pPr>
            <w:r w:rsidRPr="001F2C28">
              <w:t>zpravodaj</w:t>
            </w:r>
          </w:p>
          <w:p w:rsidR="00B26768" w:rsidRDefault="00B26768" w:rsidP="00387DC2">
            <w:pPr>
              <w:pStyle w:val="PS-slovanseznam"/>
              <w:spacing w:after="0"/>
              <w:ind w:left="0" w:firstLine="0"/>
              <w:jc w:val="center"/>
            </w:pPr>
          </w:p>
          <w:p w:rsidR="005373D4" w:rsidRDefault="005373D4" w:rsidP="00387DC2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DC2" w:rsidRDefault="00387DC2" w:rsidP="00387DC2">
            <w:pPr>
              <w:pStyle w:val="PS-slovanseznam"/>
              <w:spacing w:after="0"/>
              <w:ind w:left="0" w:firstLine="0"/>
              <w:jc w:val="center"/>
            </w:pPr>
            <w:r>
              <w:t>Ing. Jan BUREŠ, DBA</w:t>
            </w:r>
            <w:r w:rsidR="003473A3">
              <w:t xml:space="preserve"> v. r.</w:t>
            </w:r>
            <w:bookmarkStart w:id="1" w:name="_GoBack"/>
            <w:bookmarkEnd w:id="1"/>
          </w:p>
          <w:p w:rsidR="00B26768" w:rsidRDefault="00387DC2" w:rsidP="00387DC2">
            <w:pPr>
              <w:pStyle w:val="PS-slovanseznam"/>
              <w:spacing w:after="0"/>
              <w:ind w:left="0" w:firstLine="0"/>
              <w:jc w:val="center"/>
            </w:pPr>
            <w:r>
              <w:t>místopředseda</w:t>
            </w:r>
          </w:p>
        </w:tc>
      </w:tr>
    </w:tbl>
    <w:p w:rsidR="00387DC2" w:rsidRDefault="00387DC2" w:rsidP="00806CFD">
      <w:pPr>
        <w:rPr>
          <w:rFonts w:ascii="Times New Roman" w:hAnsi="Times New Roman"/>
          <w:sz w:val="24"/>
        </w:rPr>
      </w:pPr>
    </w:p>
    <w:p w:rsidR="00060319" w:rsidRDefault="00060319" w:rsidP="00806CF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Příloha k usnesení </w:t>
      </w:r>
      <w:r w:rsidRPr="001F2C28">
        <w:rPr>
          <w:rFonts w:ascii="Times New Roman" w:hAnsi="Times New Roman"/>
          <w:sz w:val="24"/>
        </w:rPr>
        <w:t>VŽP č</w:t>
      </w:r>
      <w:r w:rsidR="001F2C28">
        <w:rPr>
          <w:rFonts w:ascii="Times New Roman" w:hAnsi="Times New Roman"/>
          <w:sz w:val="24"/>
        </w:rPr>
        <w:t>. 52</w:t>
      </w:r>
    </w:p>
    <w:p w:rsidR="00677CB6" w:rsidRPr="00677CB6" w:rsidRDefault="00677CB6" w:rsidP="00677CB6">
      <w:pPr>
        <w:spacing w:after="0" w:line="240" w:lineRule="auto"/>
        <w:rPr>
          <w:rFonts w:ascii="Calibri Light" w:eastAsia="Times New Roman" w:hAnsi="Calibri Light" w:cs="Arial"/>
          <w:color w:val="0070C0"/>
          <w:sz w:val="24"/>
          <w:szCs w:val="20"/>
          <w:lang w:eastAsia="cs-CZ"/>
        </w:rPr>
      </w:pPr>
      <w:r w:rsidRPr="00677CB6">
        <w:rPr>
          <w:rFonts w:ascii="Calibri Light" w:eastAsia="Times New Roman" w:hAnsi="Calibri Light" w:cs="Arial"/>
          <w:noProof/>
          <w:color w:val="0070C0"/>
          <w:sz w:val="24"/>
          <w:szCs w:val="20"/>
          <w:lang w:eastAsia="cs-CZ"/>
        </w:rPr>
        <w:drawing>
          <wp:inline distT="0" distB="0" distL="0" distR="0" wp14:anchorId="5878780E" wp14:editId="20A2883B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B6">
        <w:rPr>
          <w:rFonts w:ascii="Calibri Light" w:eastAsia="Times New Roman" w:hAnsi="Calibri Light" w:cs="Arial"/>
          <w:noProof/>
          <w:color w:val="0070C0"/>
          <w:sz w:val="24"/>
          <w:szCs w:val="20"/>
          <w:lang w:eastAsia="cs-CZ"/>
        </w:rPr>
        <w:drawing>
          <wp:inline distT="0" distB="0" distL="0" distR="0" wp14:anchorId="1650FC6E" wp14:editId="3BF0B5E4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7CB6">
        <w:rPr>
          <w:rFonts w:ascii="Calibri Light" w:eastAsia="Times New Roman" w:hAnsi="Calibri Light" w:cs="Arial"/>
          <w:color w:val="0070C0"/>
          <w:sz w:val="24"/>
          <w:szCs w:val="20"/>
          <w:lang w:eastAsia="cs-CZ"/>
        </w:rPr>
        <w:tab/>
      </w:r>
      <w:r w:rsidRPr="00677CB6">
        <w:rPr>
          <w:rFonts w:ascii="Calibri Light" w:eastAsia="Times New Roman" w:hAnsi="Calibri Light" w:cs="Arial"/>
          <w:color w:val="0070C0"/>
          <w:sz w:val="24"/>
          <w:szCs w:val="20"/>
          <w:lang w:eastAsia="cs-CZ"/>
        </w:rPr>
        <w:tab/>
      </w:r>
      <w:r w:rsidRPr="00677CB6">
        <w:rPr>
          <w:rFonts w:ascii="Calibri Light" w:eastAsia="Times New Roman" w:hAnsi="Calibri Light" w:cs="Arial"/>
          <w:color w:val="0070C0"/>
          <w:sz w:val="24"/>
          <w:szCs w:val="20"/>
          <w:lang w:eastAsia="cs-CZ"/>
        </w:rPr>
        <w:tab/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677CB6" w:rsidRPr="00677CB6" w:rsidTr="00431FBA">
        <w:tc>
          <w:tcPr>
            <w:tcW w:w="9498" w:type="dxa"/>
            <w:shd w:val="clear" w:color="auto" w:fill="auto"/>
          </w:tcPr>
          <w:p w:rsidR="00677CB6" w:rsidRPr="00677CB6" w:rsidRDefault="00677CB6" w:rsidP="00677CB6">
            <w:pPr>
              <w:spacing w:before="240" w:after="240" w:line="240" w:lineRule="auto"/>
              <w:ind w:right="176"/>
              <w:rPr>
                <w:rFonts w:ascii="Calibri Light" w:hAnsi="Calibri Light" w:cs="Arial"/>
                <w:b/>
                <w:color w:val="1F4E79" w:themeColor="accent1" w:themeShade="80"/>
                <w:sz w:val="44"/>
                <w:szCs w:val="36"/>
              </w:rPr>
            </w:pPr>
            <w:r w:rsidRPr="00677CB6">
              <w:rPr>
                <w:rFonts w:ascii="Calibri Light" w:hAnsi="Calibri Light" w:cs="Arial"/>
                <w:b/>
                <w:color w:val="1F4E79" w:themeColor="accent1" w:themeShade="80"/>
                <w:sz w:val="44"/>
                <w:szCs w:val="36"/>
              </w:rPr>
              <w:t>Přezkum pravidel pro fluorované skleníkové plyny a látky poškozující ozónovou vrstvu</w:t>
            </w:r>
          </w:p>
        </w:tc>
      </w:tr>
      <w:tr w:rsidR="00677CB6" w:rsidRPr="00677CB6" w:rsidTr="00431FBA">
        <w:tc>
          <w:tcPr>
            <w:tcW w:w="9498" w:type="dxa"/>
            <w:shd w:val="clear" w:color="auto" w:fill="auto"/>
          </w:tcPr>
          <w:p w:rsidR="00677CB6" w:rsidRPr="00677CB6" w:rsidRDefault="00677CB6" w:rsidP="00677CB6">
            <w:pPr>
              <w:spacing w:after="0" w:line="240" w:lineRule="auto"/>
              <w:rPr>
                <w:rFonts w:asciiTheme="majorHAnsi" w:hAnsiTheme="majorHAnsi"/>
                <w:color w:val="1F4E79" w:themeColor="accent1" w:themeShade="80"/>
                <w:sz w:val="28"/>
                <w:szCs w:val="28"/>
              </w:rPr>
            </w:pPr>
            <w:r w:rsidRPr="00677CB6">
              <w:rPr>
                <w:rFonts w:asciiTheme="majorHAnsi" w:hAnsiTheme="majorHAnsi"/>
                <w:color w:val="1F4E79" w:themeColor="accent1" w:themeShade="80"/>
                <w:sz w:val="28"/>
                <w:szCs w:val="28"/>
              </w:rPr>
              <w:t>Informační podklad k návrhu nařízení o fluorovaných skleníkových plynech, o změně směrnice (EU) 2019/1937 a o zrušení nařízení (EU) č. 517/2014 a k návrhu nařízení o látkách, které poškozují ozonovou vrstvu, a zrušení nařízení (ES) č. 1005/2009</w:t>
            </w:r>
          </w:p>
          <w:p w:rsidR="00677CB6" w:rsidRPr="00677CB6" w:rsidRDefault="00677CB6" w:rsidP="00677CB6">
            <w:pPr>
              <w:spacing w:after="0" w:line="240" w:lineRule="auto"/>
              <w:rPr>
                <w:rFonts w:ascii="Calibri Light" w:eastAsia="Times New Roman" w:hAnsi="Calibri Light"/>
                <w:color w:val="auto"/>
                <w:sz w:val="24"/>
                <w:szCs w:val="20"/>
              </w:rPr>
            </w:pPr>
          </w:p>
          <w:p w:rsidR="00677CB6" w:rsidRPr="00677CB6" w:rsidRDefault="00677CB6" w:rsidP="00677CB6">
            <w:pPr>
              <w:spacing w:after="0" w:line="240" w:lineRule="auto"/>
              <w:rPr>
                <w:rFonts w:ascii="Calibri Light" w:eastAsia="Times New Roman" w:hAnsi="Calibri Light"/>
                <w:color w:val="auto"/>
                <w:sz w:val="24"/>
                <w:szCs w:val="20"/>
              </w:rPr>
            </w:pPr>
          </w:p>
          <w:p w:rsidR="00677CB6" w:rsidRPr="00677CB6" w:rsidRDefault="00677CB6" w:rsidP="00677CB6">
            <w:pPr>
              <w:spacing w:after="0" w:line="240" w:lineRule="auto"/>
              <w:rPr>
                <w:rFonts w:ascii="Calibri Light" w:eastAsia="Times New Roman" w:hAnsi="Calibri Light"/>
                <w:color w:val="auto"/>
                <w:sz w:val="24"/>
                <w:szCs w:val="20"/>
              </w:rPr>
            </w:pPr>
          </w:p>
        </w:tc>
      </w:tr>
    </w:tbl>
    <w:p w:rsidR="00677CB6" w:rsidRPr="00677CB6" w:rsidRDefault="00677CB6" w:rsidP="00677CB6">
      <w:pPr>
        <w:tabs>
          <w:tab w:val="right" w:leader="dot" w:pos="9344"/>
        </w:tabs>
        <w:spacing w:before="120" w:after="120" w:line="240" w:lineRule="auto"/>
        <w:ind w:left="567" w:hanging="567"/>
        <w:rPr>
          <w:rFonts w:asciiTheme="minorHAnsi" w:eastAsia="Times New Roman" w:hAnsiTheme="minorHAnsi"/>
          <w:bCs/>
          <w:caps/>
          <w:color w:val="auto"/>
          <w:sz w:val="20"/>
          <w:szCs w:val="20"/>
          <w:lang w:eastAsia="cs-CZ"/>
        </w:rPr>
      </w:pPr>
    </w:p>
    <w:p w:rsidR="00677CB6" w:rsidRPr="00677CB6" w:rsidRDefault="00677CB6" w:rsidP="00677CB6">
      <w:pPr>
        <w:spacing w:after="0" w:line="240" w:lineRule="auto"/>
        <w:jc w:val="center"/>
        <w:rPr>
          <w:rFonts w:eastAsia="Times New Roman" w:cs="Arial"/>
          <w:b/>
          <w:color w:val="1F4E79" w:themeColor="accent1" w:themeShade="80"/>
          <w:sz w:val="28"/>
          <w:szCs w:val="28"/>
          <w:lang w:eastAsia="cs-CZ"/>
        </w:rPr>
      </w:pPr>
      <w:r w:rsidRPr="00677CB6">
        <w:rPr>
          <w:rFonts w:eastAsia="Times New Roman" w:cs="Arial"/>
          <w:b/>
          <w:color w:val="1F4E79" w:themeColor="accent1" w:themeShade="80"/>
          <w:sz w:val="28"/>
          <w:szCs w:val="28"/>
          <w:lang w:eastAsia="cs-CZ"/>
        </w:rPr>
        <w:t>NÁVRH NAŘÍZENÍ</w:t>
      </w:r>
    </w:p>
    <w:p w:rsidR="00677CB6" w:rsidRPr="00677CB6" w:rsidRDefault="00677CB6" w:rsidP="00677CB6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677CB6">
        <w:rPr>
          <w:rFonts w:asciiTheme="majorHAnsi" w:hAnsiTheme="majorHAnsi"/>
          <w:color w:val="1F4E79" w:themeColor="accent1" w:themeShade="80"/>
          <w:sz w:val="28"/>
          <w:szCs w:val="28"/>
        </w:rPr>
        <w:t xml:space="preserve">Návrh nařízení Evropského parlamentu a Rady o fluorovaných skleníkových plynech, o změně směrnice (EU) 2019/1937 a o zrušení nařízení (EU) č. 517/2014  </w:t>
      </w:r>
    </w:p>
    <w:p w:rsidR="00677CB6" w:rsidRPr="00677CB6" w:rsidRDefault="00677CB6" w:rsidP="00677CB6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677CB6">
        <w:rPr>
          <w:rFonts w:asciiTheme="majorHAnsi" w:hAnsiTheme="majorHAnsi"/>
          <w:color w:val="1F4E79" w:themeColor="accent1" w:themeShade="80"/>
          <w:sz w:val="28"/>
          <w:szCs w:val="28"/>
        </w:rPr>
        <w:t>COM(2022) 150 final, číslo Rady 8042/22</w:t>
      </w:r>
    </w:p>
    <w:p w:rsidR="00677CB6" w:rsidRPr="00677CB6" w:rsidRDefault="00677CB6" w:rsidP="00677CB6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677CB6">
        <w:rPr>
          <w:rFonts w:asciiTheme="majorHAnsi" w:hAnsiTheme="majorHAnsi"/>
          <w:color w:val="1F4E79" w:themeColor="accent1" w:themeShade="80"/>
          <w:sz w:val="28"/>
          <w:szCs w:val="28"/>
        </w:rPr>
        <w:t>Interinstitucionální spis 2022/0099/COD</w:t>
      </w:r>
    </w:p>
    <w:p w:rsidR="00677CB6" w:rsidRPr="00677CB6" w:rsidRDefault="00677CB6" w:rsidP="00677CB6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</w:p>
    <w:p w:rsidR="00677CB6" w:rsidRPr="00677CB6" w:rsidRDefault="00677CB6" w:rsidP="00677CB6">
      <w:pPr>
        <w:spacing w:after="0" w:line="240" w:lineRule="auto"/>
        <w:jc w:val="center"/>
        <w:rPr>
          <w:rFonts w:eastAsia="Times New Roman" w:cs="Arial"/>
          <w:b/>
          <w:color w:val="1F4E79" w:themeColor="accent1" w:themeShade="80"/>
          <w:sz w:val="28"/>
          <w:szCs w:val="28"/>
          <w:lang w:eastAsia="cs-CZ"/>
        </w:rPr>
      </w:pPr>
      <w:r w:rsidRPr="00677CB6">
        <w:rPr>
          <w:rFonts w:eastAsia="Times New Roman" w:cs="Arial"/>
          <w:b/>
          <w:color w:val="1F4E79" w:themeColor="accent1" w:themeShade="80"/>
          <w:sz w:val="28"/>
          <w:szCs w:val="28"/>
          <w:lang w:eastAsia="cs-CZ"/>
        </w:rPr>
        <w:t>NÁVRH NAŘÍZENÍ</w:t>
      </w:r>
    </w:p>
    <w:p w:rsidR="00677CB6" w:rsidRPr="00677CB6" w:rsidRDefault="00677CB6" w:rsidP="00677CB6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677CB6">
        <w:rPr>
          <w:rFonts w:asciiTheme="majorHAnsi" w:hAnsiTheme="majorHAnsi"/>
          <w:color w:val="1F4E79" w:themeColor="accent1" w:themeShade="80"/>
          <w:sz w:val="28"/>
          <w:szCs w:val="28"/>
        </w:rPr>
        <w:t xml:space="preserve">Návrh nařízení Evropského parlamentu a Rady o látkách, které poškozují ozonovou vrstvu, a zrušení nařízení (ES) č. 1005/2009  </w:t>
      </w:r>
    </w:p>
    <w:p w:rsidR="00677CB6" w:rsidRPr="00677CB6" w:rsidRDefault="00677CB6" w:rsidP="00677CB6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677CB6">
        <w:rPr>
          <w:rFonts w:asciiTheme="majorHAnsi" w:hAnsiTheme="majorHAnsi"/>
          <w:color w:val="1F4E79" w:themeColor="accent1" w:themeShade="80"/>
          <w:sz w:val="28"/>
          <w:szCs w:val="28"/>
        </w:rPr>
        <w:t>COM(2022) 151 final, číslo Rady 8048/22</w:t>
      </w:r>
    </w:p>
    <w:p w:rsidR="00677CB6" w:rsidRPr="00677CB6" w:rsidRDefault="00677CB6" w:rsidP="00677CB6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677CB6">
        <w:rPr>
          <w:rFonts w:asciiTheme="majorHAnsi" w:hAnsiTheme="majorHAnsi"/>
          <w:color w:val="1F4E79" w:themeColor="accent1" w:themeShade="80"/>
          <w:sz w:val="28"/>
          <w:szCs w:val="28"/>
        </w:rPr>
        <w:t>Interinstitucionální spis 2022/0100/COD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inorHAnsi" w:eastAsia="Times New Roman" w:hAnsiTheme="minorHAnsi"/>
          <w:caps/>
          <w:color w:val="auto"/>
          <w:sz w:val="20"/>
          <w:szCs w:val="20"/>
          <w:lang w:eastAsia="cs-CZ"/>
        </w:rPr>
      </w:pP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eastAsia="Times New Roman" w:hAnsiTheme="majorHAnsi"/>
          <w:b/>
          <w:bCs/>
          <w:color w:val="auto"/>
          <w:sz w:val="24"/>
          <w:szCs w:val="20"/>
          <w:lang w:eastAsia="cs-CZ"/>
        </w:rPr>
      </w:pPr>
    </w:p>
    <w:p w:rsidR="00677CB6" w:rsidRPr="00677CB6" w:rsidRDefault="00677CB6" w:rsidP="00677CB6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2" w:name="_Toc445380604"/>
      <w:r w:rsidRPr="00677CB6">
        <w:rPr>
          <w:rFonts w:ascii="Calibri Light" w:hAnsi="Calibri Light" w:cs="Calibri"/>
          <w:b/>
          <w:color w:val="auto"/>
          <w:sz w:val="24"/>
        </w:rPr>
        <w:t>Právní základ:</w:t>
      </w:r>
      <w:bookmarkEnd w:id="2"/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>Článek 192 odst. 1 Smlouvy o fungování Evropské unie.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677CB6" w:rsidRPr="00677CB6" w:rsidRDefault="00677CB6" w:rsidP="00677CB6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3" w:name="_Toc445380605"/>
      <w:r w:rsidRPr="00677CB6">
        <w:rPr>
          <w:rFonts w:ascii="Calibri Light" w:hAnsi="Calibri Light" w:cs="Calibri"/>
          <w:b/>
          <w:color w:val="auto"/>
          <w:sz w:val="24"/>
        </w:rPr>
        <w:t>Datum zaslání Poslanecké sněmovně prostřednictvím VEZ:</w:t>
      </w:r>
      <w:bookmarkEnd w:id="3"/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>29. 4. a 4. 5. 2022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677CB6" w:rsidRPr="00677CB6" w:rsidRDefault="00677CB6" w:rsidP="00677CB6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4" w:name="_Toc445380606"/>
      <w:r w:rsidRPr="00677CB6">
        <w:rPr>
          <w:rFonts w:ascii="Calibri Light" w:hAnsi="Calibri Light" w:cs="Calibri"/>
          <w:b/>
          <w:color w:val="auto"/>
          <w:sz w:val="24"/>
        </w:rPr>
        <w:t>Datum projednání ve VEZ:</w:t>
      </w:r>
      <w:bookmarkEnd w:id="4"/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>18. 5. 2022 (1. kolo)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677CB6" w:rsidRPr="00677CB6" w:rsidRDefault="00677CB6" w:rsidP="00677CB6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5" w:name="_Toc445380607"/>
      <w:r w:rsidRPr="00677CB6">
        <w:rPr>
          <w:rFonts w:ascii="Calibri Light" w:hAnsi="Calibri Light" w:cs="Calibri"/>
          <w:b/>
          <w:color w:val="auto"/>
          <w:sz w:val="24"/>
        </w:rPr>
        <w:t>Procedura:</w:t>
      </w:r>
      <w:bookmarkEnd w:id="5"/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>Řádný legislativní postup.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677CB6" w:rsidRPr="00677CB6" w:rsidRDefault="00677CB6" w:rsidP="00677CB6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6" w:name="_Toc445380608"/>
      <w:r w:rsidRPr="00677CB6">
        <w:rPr>
          <w:rFonts w:ascii="Calibri Light" w:hAnsi="Calibri Light" w:cs="Calibri"/>
          <w:b/>
          <w:color w:val="auto"/>
          <w:sz w:val="24"/>
        </w:rPr>
        <w:t>Předběžná stanoviska vlády (dle § 109a odst. 1 jednacího řádu PS):</w:t>
      </w:r>
      <w:bookmarkEnd w:id="6"/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>Datovaná dnem 10. 5. 2022, doručené do výboru pro evropské záležitosti dne 11. 5. 2022 prostřednictvím systému ISAP.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677CB6" w:rsidRPr="00677CB6" w:rsidRDefault="00677CB6" w:rsidP="00677CB6">
      <w:pPr>
        <w:numPr>
          <w:ilvl w:val="0"/>
          <w:numId w:val="25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7" w:name="_Toc445380609"/>
      <w:bookmarkStart w:id="8" w:name="_Toc448302188"/>
      <w:r w:rsidRPr="00677CB6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Hodnocení z hlediska principu</w:t>
      </w:r>
      <w:r w:rsidRPr="00677CB6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 xml:space="preserve"> </w:t>
      </w:r>
      <w:r w:rsidRPr="00677CB6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subsidiarity:</w:t>
      </w:r>
      <w:bookmarkEnd w:id="7"/>
      <w:bookmarkEnd w:id="8"/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>Bude doplněno po jednání výboru.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677CB6" w:rsidRPr="00677CB6" w:rsidRDefault="00677CB6" w:rsidP="00677CB6">
      <w:pPr>
        <w:numPr>
          <w:ilvl w:val="0"/>
          <w:numId w:val="25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9" w:name="_Toc445380610"/>
      <w:bookmarkStart w:id="10" w:name="_Toc448302189"/>
      <w:r w:rsidRPr="00677CB6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Odůvodnění a předmět:</w:t>
      </w:r>
      <w:bookmarkEnd w:id="9"/>
      <w:bookmarkEnd w:id="10"/>
    </w:p>
    <w:p w:rsidR="00677CB6" w:rsidRPr="00677CB6" w:rsidRDefault="003473A3" w:rsidP="00677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 w:line="240" w:lineRule="auto"/>
        <w:jc w:val="both"/>
        <w:rPr>
          <w:rFonts w:asciiTheme="majorHAnsi" w:hAnsiTheme="majorHAnsi"/>
          <w:color w:val="auto"/>
          <w:sz w:val="24"/>
          <w:szCs w:val="24"/>
        </w:rPr>
      </w:pPr>
      <w:hyperlink r:id="rId10" w:history="1">
        <w:r w:rsidR="00677CB6" w:rsidRPr="00677CB6">
          <w:rPr>
            <w:rFonts w:asciiTheme="majorHAnsi" w:eastAsia="Times New Roman" w:hAnsiTheme="majorHAnsi"/>
            <w:color w:val="0000FF"/>
            <w:sz w:val="24"/>
            <w:szCs w:val="20"/>
            <w:u w:val="single"/>
            <w:lang w:eastAsia="cs-CZ"/>
          </w:rPr>
          <w:t>Návrh nařízení Evropského parlamentu a Rady o látkách poškozujících ozonovou vrstvu a o zrušení nařízení (ES) č. 1005/2009</w:t>
        </w:r>
      </w:hyperlink>
      <w:r w:rsidR="00677CB6" w:rsidRPr="00677CB6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 xml:space="preserve"> </w:t>
      </w:r>
      <w:r w:rsidR="00677CB6" w:rsidRPr="00677CB6">
        <w:rPr>
          <w:rFonts w:asciiTheme="majorHAnsi" w:hAnsiTheme="majorHAnsi"/>
          <w:color w:val="auto"/>
          <w:sz w:val="24"/>
          <w:szCs w:val="24"/>
        </w:rPr>
        <w:t>(dále jen „návrh nařízení o látkách poškozujících ozonovou vrstvu“) si klade za cíl zajistit komplexnější sledování látek poškozujících ozonovou vrstvu včetně látek, které (dosud) nejsou regulovány; zjednodušit a zefektivnit stávající pravidla za účelem snížení administrativních nákladů; zlepšit jasnost a soudržnost s jinými pravidly EU a přispět tak ke snížení emisí.</w:t>
      </w:r>
    </w:p>
    <w:p w:rsidR="00677CB6" w:rsidRPr="00677CB6" w:rsidRDefault="003473A3" w:rsidP="00677C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 w:line="240" w:lineRule="auto"/>
        <w:jc w:val="both"/>
        <w:rPr>
          <w:rFonts w:asciiTheme="majorHAnsi" w:hAnsiTheme="majorHAnsi"/>
          <w:color w:val="auto"/>
          <w:sz w:val="24"/>
          <w:szCs w:val="24"/>
        </w:rPr>
      </w:pPr>
      <w:hyperlink r:id="rId11" w:history="1">
        <w:r w:rsidR="00677CB6" w:rsidRPr="00677CB6">
          <w:rPr>
            <w:rFonts w:asciiTheme="majorHAnsi" w:hAnsiTheme="majorHAnsi"/>
            <w:color w:val="0000FF"/>
            <w:sz w:val="24"/>
            <w:szCs w:val="24"/>
            <w:u w:val="single"/>
          </w:rPr>
          <w:t>Návrh nařízení Evropského parlamentu a Rady o fluorovaných skleníkových plynech, o změně směrnice (EU) 2019/1937 a o zrušení nařízení (EU) č. 517/2014</w:t>
        </w:r>
      </w:hyperlink>
      <w:r w:rsidR="00677CB6" w:rsidRPr="00677CB6">
        <w:rPr>
          <w:rFonts w:asciiTheme="majorHAnsi" w:hAnsiTheme="majorHAnsi"/>
          <w:color w:val="auto"/>
          <w:sz w:val="24"/>
          <w:szCs w:val="24"/>
        </w:rPr>
        <w:t xml:space="preserve"> (dále jen „návrh nařízení o F-plynech“) si klade za cíl vyjasnění a posílení stávajících pravidel za účelem zajištění jejich lepšího prosazování. Zároveň návrh zajišťuje soulad s cíli EU v oblasti klimatu a dlouhodobé dodržování mezinárodních závazků.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  <w:u w:val="single"/>
        </w:rPr>
        <w:t>Látky poškozující ozonovou vrstvu</w:t>
      </w:r>
      <w:r w:rsidRPr="00677CB6">
        <w:rPr>
          <w:rFonts w:asciiTheme="majorHAnsi" w:hAnsiTheme="majorHAnsi"/>
          <w:color w:val="auto"/>
          <w:sz w:val="24"/>
        </w:rPr>
        <w:t xml:space="preserve"> jsou chemické látky, které po uvolnění často dosahují horních vrstev atmosféry a poškozují ozonovou vrstvu, která chrání zemský povrch před nebezpečným ultrafialovým slunečním zářením. Následkem tohoto poškození je vznik takzvané ozonové díry, která má závažné nepříznivé dopady na lidské zdraví a přírodu. Látky poškozující ozonovou vrstvu jsou také silnými skleníkovými plyny.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Po zákazu používání látek poškozujících ozonovou vrstvu byly tyto látky nahrazeny </w:t>
      </w:r>
      <w:r w:rsidRPr="00677CB6">
        <w:rPr>
          <w:rFonts w:asciiTheme="majorHAnsi" w:hAnsiTheme="majorHAnsi"/>
          <w:color w:val="auto"/>
          <w:sz w:val="24"/>
          <w:u w:val="single"/>
        </w:rPr>
        <w:t>fluorovanými skleníkovými plyny</w:t>
      </w:r>
      <w:r w:rsidRPr="00677CB6">
        <w:rPr>
          <w:rFonts w:asciiTheme="majorHAnsi" w:hAnsiTheme="majorHAnsi"/>
          <w:color w:val="auto"/>
          <w:sz w:val="24"/>
        </w:rPr>
        <w:t xml:space="preserve"> (nazývanými zkráceně F-plyny). F-plyny jsou chemické látky, které jsou velmi silnými skleníkovými plyny, často tisícinásobně silnějšími než oxid uhličitý (CO</w:t>
      </w:r>
      <w:r w:rsidRPr="00677CB6">
        <w:rPr>
          <w:rFonts w:asciiTheme="majorHAnsi" w:hAnsiTheme="majorHAnsi"/>
          <w:color w:val="auto"/>
          <w:sz w:val="24"/>
          <w:vertAlign w:val="subscript"/>
        </w:rPr>
        <w:t>2</w:t>
      </w:r>
      <w:r w:rsidRPr="00677CB6">
        <w:rPr>
          <w:rFonts w:asciiTheme="majorHAnsi" w:hAnsiTheme="majorHAnsi"/>
          <w:color w:val="auto"/>
          <w:sz w:val="24"/>
        </w:rPr>
        <w:t>). Množství emisí těchto látek stoupá právě díky tomu, že nahradily látky poškozující ozonovou vrstvu.  Oba typy látek byly, případně stále jsou, používány v každodenním životě, například při chlazení, klimatizaci, izolaci, požární ochraně, v elektrickém vedení a jako hnací média aerosolů.</w:t>
      </w:r>
      <w:r w:rsidRPr="00677CB6">
        <w:rPr>
          <w:rFonts w:asciiTheme="majorHAnsi" w:hAnsiTheme="majorHAnsi"/>
          <w:color w:val="auto"/>
          <w:sz w:val="24"/>
          <w:vertAlign w:val="superscript"/>
        </w:rPr>
        <w:footnoteReference w:id="1"/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Na mezinárodní úrovni je ochrana ozonové vrstvy upravena </w:t>
      </w:r>
      <w:hyperlink r:id="rId12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Vídeňskou úmluvou na ochranu ozonové vrstvy</w:t>
        </w:r>
      </w:hyperlink>
      <w:r w:rsidRPr="00677CB6">
        <w:rPr>
          <w:rFonts w:asciiTheme="majorHAnsi" w:hAnsiTheme="majorHAnsi"/>
          <w:color w:val="auto"/>
          <w:sz w:val="24"/>
        </w:rPr>
        <w:t xml:space="preserve"> (sjednána v roce 1985). Na tuto úmluvu navazuje prováděcí </w:t>
      </w:r>
      <w:hyperlink r:id="rId13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Montrealský protokol o látkách, které poškozují ozonovou vrstvu</w:t>
        </w:r>
      </w:hyperlink>
      <w:r w:rsidRPr="00677CB6">
        <w:rPr>
          <w:rFonts w:asciiTheme="majorHAnsi" w:hAnsiTheme="majorHAnsi"/>
          <w:color w:val="auto"/>
          <w:sz w:val="24"/>
        </w:rPr>
        <w:t xml:space="preserve">, který upravuje ukončování používání chemických látek, které ozonovou vrstvu poškozují. Protokol byl několikrát pozměněn, nejnovější </w:t>
      </w:r>
      <w:hyperlink r:id="rId14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Kigalská změna</w:t>
        </w:r>
      </w:hyperlink>
      <w:r w:rsidRPr="00677CB6">
        <w:rPr>
          <w:rFonts w:asciiTheme="majorHAnsi" w:hAnsiTheme="majorHAnsi"/>
          <w:color w:val="auto"/>
          <w:sz w:val="24"/>
        </w:rPr>
        <w:t xml:space="preserve"> vyzývá k omezování částečně fluorovaných uhlovodíků. Montrealský protokol byl sjednán v roce 1987 a prozatím k němu přistoupilo 198 smluvních stran, včetně České republiky a Evropské unie.</w:t>
      </w:r>
      <w:r w:rsidRPr="00677CB6">
        <w:rPr>
          <w:rFonts w:asciiTheme="majorHAnsi" w:hAnsiTheme="majorHAnsi"/>
          <w:color w:val="auto"/>
          <w:sz w:val="24"/>
          <w:vertAlign w:val="superscript"/>
        </w:rPr>
        <w:footnoteReference w:id="2"/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lastRenderedPageBreak/>
        <w:t xml:space="preserve">Na unijní úrovni jsou v současné době látky poškozující ozonovou vrstvu upraveny </w:t>
      </w:r>
      <w:hyperlink r:id="rId15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nařízením Evropského parlamentu a Rady (ES) č. 1005/2009 ze dne 16. září 2009 o látkách, které poškozují ozonovou vrstvu</w:t>
        </w:r>
      </w:hyperlink>
      <w:r w:rsidRPr="00677CB6">
        <w:rPr>
          <w:rFonts w:asciiTheme="majorHAnsi" w:hAnsiTheme="majorHAnsi"/>
          <w:color w:val="auto"/>
          <w:sz w:val="24"/>
        </w:rPr>
        <w:t>, které by mělo být současným návrhem nařízení o látkách poškozujících ozonovou vrstvu zrušeno. Toto nařízení stanovilo pravidla pro výrobu, dovoz, vývoz, uvádění na trh, použití, znovuzískání, recyklaci, regeneraci a zneškodňování látek poškozujících ozonovou vrstvu, pro podávání informací o těchto látkách a pro dovoz, vývoz, uvádění na trh a použití výrobků a zařízení, které obsahují tyto látky nebo jsou na nich závislé.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Návrh nařízení o F-plynech by měl nahradit v současnosti platné </w:t>
      </w:r>
      <w:hyperlink r:id="rId16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nařízení Evropského parlamentu a Rady (EU) č. 517/2014 ze dne 16. dubna 2014 o fluorovaných skleníkových plynech</w:t>
        </w:r>
      </w:hyperlink>
      <w:r w:rsidRPr="00677CB6">
        <w:rPr>
          <w:rFonts w:asciiTheme="majorHAnsi" w:hAnsiTheme="majorHAnsi"/>
          <w:color w:val="auto"/>
          <w:sz w:val="24"/>
        </w:rPr>
        <w:t>. Cílem tohoto nařízení bylo chránit životní prostředí snižováním emisí fluorovaných skleníkových plynů. Toto nařízení proto mimo jiné stanovilo pravidla pro omezování úniků, používání, znovuzískávání a zneškodňování fluorovaných skleníkových plynů a související doplňková opatření.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Z hlediska cílů v oblasti snižování emisí návrhy nařízení navazují na to, že Komise v roce 2019 ve sdělení </w:t>
      </w:r>
      <w:hyperlink r:id="rId17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Zelená dohoda pro Evropu</w:t>
        </w:r>
      </w:hyperlink>
      <w:r w:rsidRPr="00677CB6">
        <w:rPr>
          <w:rFonts w:asciiTheme="majorHAnsi" w:hAnsiTheme="majorHAnsi"/>
          <w:color w:val="auto"/>
          <w:sz w:val="24"/>
        </w:rPr>
        <w:t xml:space="preserve"> oznámila cíl do roku 2050 dosáhnout klimatické neutrality. Cíl snížení čistých emisí skleníkových plynů do roku 2030 alespoň o 55 % ve srovnání s úrovní z roku 1990 a cíl dosáhnout do roku 2050 klimatické neutrality byly následně kodifikovány v červnu roku 2021 v </w:t>
      </w:r>
      <w:hyperlink r:id="rId18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Evropském právním rámci pro klima</w:t>
        </w:r>
      </w:hyperlink>
      <w:r w:rsidRPr="00677CB6">
        <w:rPr>
          <w:rFonts w:asciiTheme="majorHAnsi" w:hAnsiTheme="majorHAnsi"/>
          <w:color w:val="auto"/>
          <w:sz w:val="24"/>
        </w:rPr>
        <w:t xml:space="preserve">. Návrhy nařízení by měly také napomáhat splnění cílů </w:t>
      </w:r>
      <w:hyperlink r:id="rId19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Pařížské dohody</w:t>
        </w:r>
      </w:hyperlink>
      <w:r w:rsidRPr="00677CB6">
        <w:rPr>
          <w:rFonts w:asciiTheme="majorHAnsi" w:hAnsiTheme="majorHAnsi"/>
          <w:color w:val="auto"/>
          <w:sz w:val="24"/>
        </w:rPr>
        <w:t xml:space="preserve"> přijaté v roce 2015 v rámci Rámcové úmluvy Organizace spojených národů o změně klimatu, která stanoví cíl udržet nárůst průměrné globální teploty výrazně pod hranicí 2 °C oproti hodnotám před průmyslovou revolucí, případně usilovat o to, aby nárůst teploty nepřekročil 1,5 °C.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677CB6" w:rsidRPr="00677CB6" w:rsidRDefault="00677CB6" w:rsidP="00677CB6">
      <w:pPr>
        <w:numPr>
          <w:ilvl w:val="0"/>
          <w:numId w:val="25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11" w:name="_Toc445380611"/>
      <w:bookmarkStart w:id="12" w:name="_Toc448302190"/>
      <w:r w:rsidRPr="00677CB6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Obsah a dopad:</w:t>
      </w:r>
      <w:bookmarkEnd w:id="11"/>
      <w:bookmarkEnd w:id="12"/>
    </w:p>
    <w:p w:rsidR="00677CB6" w:rsidRPr="00677CB6" w:rsidRDefault="003473A3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hyperlink r:id="rId20" w:history="1">
        <w:r w:rsidR="00677CB6" w:rsidRPr="00677CB6">
          <w:rPr>
            <w:rFonts w:asciiTheme="majorHAnsi" w:eastAsia="Times New Roman" w:hAnsiTheme="majorHAnsi"/>
            <w:color w:val="0000FF"/>
            <w:sz w:val="24"/>
            <w:szCs w:val="20"/>
            <w:u w:val="single"/>
            <w:lang w:eastAsia="cs-CZ"/>
          </w:rPr>
          <w:t xml:space="preserve">Návrh nařízení o látkách poškozujících ozonovou vrstvu </w:t>
        </w:r>
      </w:hyperlink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Návrh nařízení o látkách poškozujících ozonovou vrstvu obdobně jako stávající nařízení v úvodu stanovuje </w:t>
      </w:r>
      <w:r w:rsidRPr="00677CB6">
        <w:rPr>
          <w:rFonts w:asciiTheme="majorHAnsi" w:hAnsiTheme="majorHAnsi"/>
          <w:b/>
          <w:color w:val="auto"/>
          <w:sz w:val="24"/>
        </w:rPr>
        <w:t>obecné zákazy týkající se výroby, dovozu, uvádění na trh, použití látek poškozujících ozonovou vrstvu a obchodování s nimi</w:t>
      </w:r>
      <w:r w:rsidRPr="00677CB6">
        <w:rPr>
          <w:rFonts w:asciiTheme="majorHAnsi" w:hAnsiTheme="majorHAnsi"/>
          <w:color w:val="auto"/>
          <w:sz w:val="24"/>
        </w:rPr>
        <w:t xml:space="preserve"> (čl. 4-5). Návrh dále obdobně jako ve stávajícím nařízení stanoví </w:t>
      </w:r>
      <w:r w:rsidRPr="00677CB6">
        <w:rPr>
          <w:rFonts w:asciiTheme="majorHAnsi" w:hAnsiTheme="majorHAnsi"/>
          <w:b/>
          <w:color w:val="auto"/>
          <w:sz w:val="24"/>
        </w:rPr>
        <w:t>výjimky ze zákazů</w:t>
      </w:r>
      <w:r w:rsidRPr="00677CB6">
        <w:rPr>
          <w:rFonts w:asciiTheme="majorHAnsi" w:hAnsiTheme="majorHAnsi"/>
          <w:color w:val="auto"/>
          <w:sz w:val="24"/>
        </w:rPr>
        <w:t xml:space="preserve"> – například pro laboratorní použití nebo pro kritické použití halonu (čl. 6–14) - a uvádí podmínky pro uplatňování těchto výjimek. Zdůraznit je možné obecný zákaz používání nádob na jednorázové použití (článek 15).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Návrh nařízení dále </w:t>
      </w:r>
      <w:r w:rsidRPr="00677CB6">
        <w:rPr>
          <w:rFonts w:asciiTheme="majorHAnsi" w:hAnsiTheme="majorHAnsi"/>
          <w:b/>
          <w:color w:val="auto"/>
          <w:sz w:val="24"/>
        </w:rPr>
        <w:t xml:space="preserve">modernizuje a zjednodušuje systém licencí </w:t>
      </w:r>
      <w:r w:rsidRPr="00677CB6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 xml:space="preserve">pro látky poškozující ozonovou vrstvu </w:t>
      </w:r>
      <w:r w:rsidRPr="00677CB6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>a výrobky nebo zařízení, které obsahují tyto látky nebo jsou na jejich fungování závislé. C</w:t>
      </w:r>
      <w:r w:rsidRPr="00677CB6">
        <w:rPr>
          <w:rFonts w:asciiTheme="majorHAnsi" w:hAnsiTheme="majorHAnsi"/>
          <w:color w:val="auto"/>
          <w:sz w:val="24"/>
        </w:rPr>
        <w:t xml:space="preserve">ílem je propojení s jednotným portálem Evropské unie pro oblast celnictví, který umožní automatické celní kontroly každé zásilky. Návrh také vyjasňuje úlohu příslušných celních orgánů a orgánů dozoru nad trhem při provádění zákazů a omezení stanovených v navrhovaném nařízení (čl. 16-19). 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eastAsia="Times New Roman" w:hAnsiTheme="majorHAnsi"/>
          <w:color w:val="auto"/>
          <w:sz w:val="24"/>
          <w:szCs w:val="20"/>
          <w:lang w:eastAsia="cs-CZ"/>
        </w:rPr>
      </w:pPr>
      <w:r w:rsidRPr="00677CB6">
        <w:rPr>
          <w:rFonts w:asciiTheme="majorHAnsi" w:hAnsiTheme="majorHAnsi"/>
          <w:color w:val="auto"/>
          <w:sz w:val="24"/>
        </w:rPr>
        <w:t xml:space="preserve">Návrh nařízení dále upravuje </w:t>
      </w:r>
      <w:r w:rsidRPr="00677CB6">
        <w:rPr>
          <w:rFonts w:asciiTheme="majorHAnsi" w:hAnsiTheme="majorHAnsi"/>
          <w:b/>
          <w:color w:val="auto"/>
          <w:sz w:val="24"/>
        </w:rPr>
        <w:t>povinnosti související se snižováním emisí</w:t>
      </w:r>
      <w:r w:rsidRPr="00677CB6">
        <w:rPr>
          <w:rFonts w:asciiTheme="majorHAnsi" w:hAnsiTheme="majorHAnsi"/>
          <w:color w:val="auto"/>
          <w:sz w:val="24"/>
        </w:rPr>
        <w:t>. Povinnosti znovuzískání (za účelem zneškodnění, recyklace nebo regenerace) látek poškozujících ozonovou vrstvu obsažených v chladicích a klimatizačních zařízeních, tepelných čerpadlech, zařízeních s obsahem rozpouštědel, systémech protipožární ochrany nebo v hasicích přístrojích jsou převzaty ze stávající právní úpravy.</w:t>
      </w:r>
      <w:r w:rsidRPr="00677CB6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 xml:space="preserve"> </w:t>
      </w:r>
      <w:r w:rsidRPr="00677CB6">
        <w:rPr>
          <w:rFonts w:asciiTheme="majorHAnsi" w:hAnsiTheme="majorHAnsi"/>
          <w:color w:val="auto"/>
          <w:sz w:val="24"/>
        </w:rPr>
        <w:t xml:space="preserve">Vlastníci budov a dodavatelé budou ovšem muset nově zajistit, aby se při rekonstrukčních, renovačních nebo demoličních činnostech, které vedou </w:t>
      </w:r>
      <w:r w:rsidRPr="00677CB6">
        <w:rPr>
          <w:rFonts w:asciiTheme="majorHAnsi" w:hAnsiTheme="majorHAnsi"/>
          <w:color w:val="auto"/>
          <w:sz w:val="24"/>
          <w:u w:val="single"/>
        </w:rPr>
        <w:t>k likvidaci panelů s kovovým povrchem nebo</w:t>
      </w:r>
      <w:r w:rsidRPr="00677CB6">
        <w:rPr>
          <w:rFonts w:asciiTheme="majorHAnsi" w:eastAsia="Times New Roman" w:hAnsiTheme="majorHAnsi"/>
          <w:color w:val="auto"/>
          <w:sz w:val="24"/>
          <w:szCs w:val="20"/>
          <w:u w:val="single"/>
          <w:lang w:eastAsia="cs-CZ"/>
        </w:rPr>
        <w:t xml:space="preserve"> </w:t>
      </w:r>
      <w:r w:rsidRPr="00677CB6">
        <w:rPr>
          <w:rFonts w:asciiTheme="majorHAnsi" w:hAnsiTheme="majorHAnsi"/>
          <w:color w:val="auto"/>
          <w:sz w:val="24"/>
          <w:u w:val="single"/>
        </w:rPr>
        <w:t>pěn v laminátových deskách instalovaných v dutinách nebo zabudovaných konstrukcích, které obsahují pěny s látkami poškozujícími ozonovou vrstvu</w:t>
      </w:r>
      <w:r w:rsidRPr="00677CB6">
        <w:rPr>
          <w:rFonts w:asciiTheme="majorHAnsi" w:hAnsiTheme="majorHAnsi"/>
          <w:color w:val="auto"/>
          <w:sz w:val="24"/>
        </w:rPr>
        <w:t xml:space="preserve">, v co největší míře zabránilo emisím, a to znovuzískáváním pěn a látek, jež obsahují, za účelem opětovného použití nebo zneškodnění. </w:t>
      </w:r>
      <w:r w:rsidRPr="00677CB6">
        <w:rPr>
          <w:rFonts w:asciiTheme="majorHAnsi" w:hAnsiTheme="majorHAnsi"/>
          <w:color w:val="auto"/>
          <w:sz w:val="24"/>
          <w:u w:val="single"/>
        </w:rPr>
        <w:t xml:space="preserve">Zakázáno je nově také až na výjimky </w:t>
      </w:r>
      <w:r w:rsidRPr="00677CB6">
        <w:rPr>
          <w:rFonts w:asciiTheme="majorHAnsi" w:hAnsiTheme="majorHAnsi"/>
          <w:color w:val="auto"/>
          <w:sz w:val="24"/>
          <w:u w:val="single"/>
        </w:rPr>
        <w:lastRenderedPageBreak/>
        <w:t>zneškodňování halonů, aby byly pokud možno znovuzískány a opětovně použity, čímž by odpadla potřeba jejich budoucí výroby.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  <w:u w:val="single"/>
        </w:rPr>
        <w:t>Komise by měla prostřednictvím vydáním aktu v přenesené pravomoci stanovit seznam výrobků a zařízení, u nichž se znovuzískání látek poškozujících ozonovou vrstvu nebo zneškodnění bez předchozího znovuzískání látek poškozujících ozonovou vrstvu považuje za technicky a ekonomicky proveditelné.</w:t>
      </w:r>
      <w:r w:rsidRPr="00677CB6">
        <w:rPr>
          <w:rFonts w:asciiTheme="majorHAnsi" w:hAnsiTheme="majorHAnsi"/>
          <w:color w:val="auto"/>
          <w:sz w:val="24"/>
        </w:rPr>
        <w:t xml:space="preserve"> (čl. 20-21).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eastAsia="Times New Roman" w:hAnsiTheme="majorHAnsi"/>
          <w:color w:val="auto"/>
          <w:sz w:val="24"/>
          <w:szCs w:val="20"/>
          <w:lang w:eastAsia="cs-CZ"/>
        </w:rPr>
      </w:pPr>
      <w:r w:rsidRPr="00677CB6">
        <w:rPr>
          <w:rFonts w:asciiTheme="majorHAnsi" w:hAnsiTheme="majorHAnsi"/>
          <w:color w:val="auto"/>
          <w:sz w:val="24"/>
        </w:rPr>
        <w:t xml:space="preserve">Dále je v návrhu nařízení mírně rozšířena </w:t>
      </w:r>
      <w:r w:rsidRPr="00677CB6">
        <w:rPr>
          <w:rFonts w:asciiTheme="majorHAnsi" w:hAnsiTheme="majorHAnsi"/>
          <w:b/>
          <w:color w:val="auto"/>
          <w:sz w:val="24"/>
        </w:rPr>
        <w:t>povinnost podávání zpráv pro podniky</w:t>
      </w:r>
      <w:r w:rsidRPr="00677CB6">
        <w:rPr>
          <w:rFonts w:asciiTheme="majorHAnsi" w:hAnsiTheme="majorHAnsi"/>
          <w:color w:val="auto"/>
          <w:sz w:val="24"/>
        </w:rPr>
        <w:t>. Nově budou muset například podniky uvést u každé látky veškeré emise, včetně emisí souvisejících s výrobou, vedlejší výrobou, skladováním a přepravou (čl. 24 ve spojení s přílohou VI).</w:t>
      </w:r>
      <w:r w:rsidRPr="00677CB6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 xml:space="preserve"> </w:t>
      </w:r>
      <w:r w:rsidRPr="00677CB6">
        <w:rPr>
          <w:rFonts w:asciiTheme="majorHAnsi" w:hAnsiTheme="majorHAnsi"/>
          <w:color w:val="auto"/>
          <w:sz w:val="24"/>
        </w:rPr>
        <w:t>Návrh také přidává tři nové sledované látky s cílem zajistit řádné sledování jejich výroby, použití a obchodování s nimi.</w:t>
      </w:r>
      <w:r w:rsidRPr="00677CB6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 xml:space="preserve"> 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Oproti stávající úpravě jsou v návrhu nařízení uvedeny také některé změny v oblasti kontrol. </w:t>
      </w:r>
      <w:r w:rsidRPr="00677CB6">
        <w:rPr>
          <w:rFonts w:asciiTheme="majorHAnsi" w:hAnsiTheme="majorHAnsi"/>
          <w:b/>
          <w:color w:val="auto"/>
          <w:sz w:val="24"/>
        </w:rPr>
        <w:t>Kontroly</w:t>
      </w:r>
      <w:r w:rsidRPr="00677CB6">
        <w:rPr>
          <w:rFonts w:asciiTheme="majorHAnsi" w:hAnsiTheme="majorHAnsi"/>
          <w:color w:val="auto"/>
          <w:sz w:val="24"/>
        </w:rPr>
        <w:t xml:space="preserve"> by se měly provádět na základě přístupu založeného na hodnocení rizik. Nově je v návrhu nařízení zavedeno, že kontroly se provádějí </w:t>
      </w:r>
      <w:r w:rsidRPr="00677CB6">
        <w:rPr>
          <w:rFonts w:asciiTheme="majorHAnsi" w:hAnsiTheme="majorHAnsi"/>
          <w:color w:val="auto"/>
          <w:sz w:val="24"/>
          <w:u w:val="single"/>
        </w:rPr>
        <w:t>zpravidla neohlášeně</w:t>
      </w:r>
      <w:r w:rsidRPr="00677CB6">
        <w:rPr>
          <w:rFonts w:asciiTheme="majorHAnsi" w:hAnsiTheme="majorHAnsi"/>
          <w:color w:val="auto"/>
          <w:sz w:val="24"/>
        </w:rPr>
        <w:t xml:space="preserve"> (čl. 26). Nově jsou oproti stávající úpravě rovněž podrobněji upravena kritéria pro výši sankcí za porušení pravidel uvedených v nařízení (čl. 27). 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>Komisi je také nově svěřena pravomoc přijímat některé akty v přenesené pravomoci. Jedná se například o pravomoc Komise přijímat změny příloh, včetně příloh, které obsahují seznamy látek poškozujících ozonovou vrstvu (čl. 22 ve spojení s čl. 29).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Dále jsou součástí návrhu </w:t>
      </w:r>
      <w:hyperlink r:id="rId21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přílohy</w:t>
        </w:r>
      </w:hyperlink>
      <w:r w:rsidRPr="00677CB6">
        <w:rPr>
          <w:rFonts w:asciiTheme="majorHAnsi" w:hAnsiTheme="majorHAnsi"/>
          <w:color w:val="auto"/>
          <w:sz w:val="24"/>
        </w:rPr>
        <w:t xml:space="preserve">, které mimo jiné obsahují právě seznamy látek poškozující ozonovou vrstvu a další upřesňující údaje. </w:t>
      </w:r>
    </w:p>
    <w:p w:rsidR="00677CB6" w:rsidRPr="00677CB6" w:rsidRDefault="003473A3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hyperlink r:id="rId22" w:history="1">
        <w:r w:rsidR="00677CB6" w:rsidRPr="00677CB6">
          <w:rPr>
            <w:rFonts w:asciiTheme="majorHAnsi" w:hAnsiTheme="majorHAnsi"/>
            <w:color w:val="0000FF"/>
            <w:sz w:val="24"/>
            <w:szCs w:val="24"/>
            <w:u w:val="single"/>
          </w:rPr>
          <w:t xml:space="preserve">Návrh nařízení o fluorovaných skleníkových plynech </w:t>
        </w:r>
      </w:hyperlink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Návrh nařízení stejně jako u stávajícího nařízení nejprve upravuje </w:t>
      </w:r>
      <w:r w:rsidRPr="00677CB6">
        <w:rPr>
          <w:rFonts w:asciiTheme="majorHAnsi" w:hAnsiTheme="majorHAnsi"/>
          <w:b/>
          <w:color w:val="auto"/>
          <w:sz w:val="24"/>
        </w:rPr>
        <w:t>pravidla pro omezování úniků F-plynů</w:t>
      </w:r>
      <w:r w:rsidRPr="00677CB6">
        <w:rPr>
          <w:rFonts w:asciiTheme="majorHAnsi" w:hAnsiTheme="majorHAnsi"/>
          <w:color w:val="auto"/>
          <w:sz w:val="24"/>
        </w:rPr>
        <w:t xml:space="preserve"> (prevence vzniku emisí, kontroly těsnosti, systém detekce úniků a pravidla pro znovuzískávání). Oproti stávající úpravě dochází k některým úpravám, tak aby byla zajištěna lepší ochrana před úniky. Například dochází k rozšíření množství zařízení, u kterých musí být provedena kontrola těsnosti. Povinnosti znovuzískávání fluorovaných skleníkových plynů se rozšiřují tak, aby se vztahovaly i na pěny v sendvičových panelech a laminované desky po vynětí z budov. Komise také může aktem v přenesené pravomoci přijmout seznamu výrobků a zařízení, u nichž se považuje za technicky a ekonomicky proveditelné znovuzískání fluorovaných skleníkových plynů. Povinnost certifikace a školení by se nově vztahovala i na osoby, které pracují s alternativami fluorovaných skleníkových plynů (čl. 4-10).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Stejně jaké stávající právní úprava obsahuje návrh nařízení </w:t>
      </w:r>
      <w:r w:rsidRPr="00677CB6">
        <w:rPr>
          <w:rFonts w:asciiTheme="majorHAnsi" w:hAnsiTheme="majorHAnsi"/>
          <w:b/>
          <w:color w:val="auto"/>
          <w:sz w:val="24"/>
        </w:rPr>
        <w:t>omezení pro uvádění určitých výrobků a zařízení na trh.</w:t>
      </w:r>
      <w:r w:rsidRPr="00677CB6">
        <w:rPr>
          <w:rFonts w:asciiTheme="majorHAnsi" w:hAnsiTheme="majorHAnsi"/>
          <w:color w:val="auto"/>
          <w:sz w:val="24"/>
        </w:rPr>
        <w:t xml:space="preserve"> </w:t>
      </w:r>
      <w:r w:rsidRPr="00677CB6">
        <w:rPr>
          <w:rFonts w:asciiTheme="majorHAnsi" w:hAnsiTheme="majorHAnsi"/>
          <w:color w:val="auto"/>
          <w:sz w:val="24"/>
          <w:u w:val="single"/>
        </w:rPr>
        <w:t>Oproti stávající úpravě je seznam zakázaných výrobků a zařízení rozšířen</w:t>
      </w:r>
      <w:r w:rsidRPr="00677CB6">
        <w:rPr>
          <w:rFonts w:asciiTheme="majorHAnsi" w:hAnsiTheme="majorHAnsi"/>
          <w:color w:val="auto"/>
          <w:sz w:val="24"/>
        </w:rPr>
        <w:t>. Nově se bude vtahovat například na instalaci a výměnu vymezených elektrických spínacích zařízení nebo přenosných tepelných čerpadel. Výrobky a zařízení, které byly nezákonně uvedeny na trh, nesmějí být následně použity, dodány nebo poskytnuty jiným osobám v Unii za úplatu či bezplatně ani vyvezeny (čl. 11 ve spojení s přílohou IV). Navržen je také zákaz nádob na jedno použití. Upravena jsou také pravidla pro označování (čl. 12).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Návrh dále stanoví </w:t>
      </w:r>
      <w:r w:rsidRPr="00677CB6">
        <w:rPr>
          <w:rFonts w:asciiTheme="majorHAnsi" w:hAnsiTheme="majorHAnsi"/>
          <w:color w:val="auto"/>
          <w:sz w:val="24"/>
          <w:u w:val="single"/>
        </w:rPr>
        <w:t xml:space="preserve">harmonogram snížení </w:t>
      </w:r>
      <w:r w:rsidRPr="00677CB6">
        <w:rPr>
          <w:rFonts w:asciiTheme="majorHAnsi" w:hAnsiTheme="majorHAnsi"/>
          <w:b/>
          <w:color w:val="auto"/>
          <w:sz w:val="24"/>
          <w:u w:val="single"/>
        </w:rPr>
        <w:t>výroby</w:t>
      </w:r>
      <w:r w:rsidRPr="00677CB6">
        <w:rPr>
          <w:rFonts w:asciiTheme="majorHAnsi" w:hAnsiTheme="majorHAnsi"/>
          <w:color w:val="auto"/>
          <w:sz w:val="24"/>
          <w:u w:val="single"/>
        </w:rPr>
        <w:t xml:space="preserve"> částečně fluorovaných uhlovodíků</w:t>
      </w:r>
      <w:r w:rsidRPr="00677CB6">
        <w:rPr>
          <w:rFonts w:asciiTheme="majorHAnsi" w:hAnsiTheme="majorHAnsi"/>
          <w:color w:val="auto"/>
          <w:sz w:val="24"/>
          <w:vertAlign w:val="superscript"/>
        </w:rPr>
        <w:footnoteReference w:id="3"/>
      </w:r>
      <w:r w:rsidRPr="00677CB6">
        <w:rPr>
          <w:rFonts w:asciiTheme="majorHAnsi" w:hAnsiTheme="majorHAnsi"/>
          <w:color w:val="auto"/>
          <w:sz w:val="24"/>
        </w:rPr>
        <w:t xml:space="preserve"> v souladu se závaznými pravidly Montrealského protokolu - např. v období od 1. ledna 2036 dále bude </w:t>
      </w:r>
      <w:r w:rsidRPr="00677CB6">
        <w:rPr>
          <w:rFonts w:asciiTheme="majorHAnsi" w:hAnsiTheme="majorHAnsi"/>
          <w:color w:val="auto"/>
          <w:sz w:val="24"/>
        </w:rPr>
        <w:lastRenderedPageBreak/>
        <w:t xml:space="preserve">výroba omezena na 15 % ročního průměru produkce výrobce v letech 2011–2013 (čl. 14-15 ve spojení s přílohou V). 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Návrh nařízení stanoví pro další roky </w:t>
      </w:r>
      <w:r w:rsidRPr="00677CB6">
        <w:rPr>
          <w:rFonts w:asciiTheme="majorHAnsi" w:hAnsiTheme="majorHAnsi"/>
          <w:color w:val="auto"/>
          <w:sz w:val="24"/>
          <w:u w:val="single"/>
        </w:rPr>
        <w:t xml:space="preserve">harmonogram snižování množství částečně fluorovaných uhlovodíků </w:t>
      </w:r>
      <w:r w:rsidRPr="00677CB6">
        <w:rPr>
          <w:rFonts w:asciiTheme="majorHAnsi" w:hAnsiTheme="majorHAnsi"/>
          <w:b/>
          <w:color w:val="auto"/>
          <w:sz w:val="24"/>
          <w:u w:val="single"/>
        </w:rPr>
        <w:t>uváděných na trh</w:t>
      </w:r>
      <w:r w:rsidRPr="00677CB6">
        <w:rPr>
          <w:rFonts w:asciiTheme="majorHAnsi" w:hAnsiTheme="majorHAnsi"/>
          <w:color w:val="auto"/>
          <w:sz w:val="24"/>
        </w:rPr>
        <w:t>, a to stanovením individuálních množstevních limitů (kvót) pro výrobce a dovozce. Stejně jako u stávajícího nařízení je uvádění částečně fluorovaných uhlovodíků na trh povoleno pouze v rozsahu, v jakém Komise výrobcům a dovozcům kvóty přidělila. Návrh nicméně obsahuje také výčet výjimek, u kterých je uvádění na trh možné bez přidělení kvót; na rozdíl od nyní platného nařízení nicméně mezi výjimky není řazena výroba inhalátorů pro podávání složek léčivých přípravků</w:t>
      </w:r>
      <w:r w:rsidRPr="00677CB6">
        <w:rPr>
          <w:rFonts w:asciiTheme="majorHAnsi" w:hAnsiTheme="majorHAnsi"/>
          <w:color w:val="auto"/>
          <w:sz w:val="24"/>
          <w:szCs w:val="20"/>
          <w:lang w:eastAsia="cs-CZ"/>
        </w:rPr>
        <w:t xml:space="preserve"> </w:t>
      </w:r>
      <w:r w:rsidRPr="00677CB6">
        <w:rPr>
          <w:rFonts w:asciiTheme="majorHAnsi" w:hAnsiTheme="majorHAnsi"/>
          <w:color w:val="auto"/>
          <w:sz w:val="24"/>
        </w:rPr>
        <w:t>(čl. 16-19 ve spojení s přílohou VII).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Komise plánuje zřídit </w:t>
      </w:r>
      <w:r w:rsidRPr="00677CB6">
        <w:rPr>
          <w:rFonts w:asciiTheme="majorHAnsi" w:hAnsiTheme="majorHAnsi"/>
          <w:b/>
          <w:color w:val="auto"/>
          <w:sz w:val="24"/>
        </w:rPr>
        <w:t>elektronický systém pro správu systému kvót, udělování licencí na dovoz a vývoz a podávání zpráv, který bude propojen s jednotným portálem EU pro cla</w:t>
      </w:r>
      <w:r w:rsidRPr="00677CB6">
        <w:rPr>
          <w:rFonts w:asciiTheme="majorHAnsi" w:hAnsiTheme="majorHAnsi"/>
          <w:color w:val="auto"/>
          <w:sz w:val="24"/>
        </w:rPr>
        <w:t xml:space="preserve"> (čl. 20-21). Přes elektronický systém by probíhalo také podávání zpráv podniky. Oproti stávající úpravě dochází k rozšíření povinnosti podávat zprávy, například o výrobce inhalátorů (čl. 26). 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Návrh nařízení stanovuje jako podmínku obchodu platnou licenci, která se v případě dovozu a vývozu předkládá celním orgánům (čl. 22). Návrh rovněž objasňuje úlohu celních orgánů a orgánů dozoru nad trhem při prosazování kontrol obchodu, které jsou v něm stanoveny (čl. 22-25). 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Návrh také upřesňuje případy, kdy je vyžadována výměna informací a spolupráce s příslušnými orgány v rámci členského státu, jakož i mezi členskými státy a s příslušnými orgány třetích zemí. Návrh rovněž zavádí pro příslušné orgány povinnost kontrolovat soulad podniků s nařízením na základě hodnocení rizik a v případě, že jsou k dispozici konkrétní důkazy (čl. 28 a 29). Oproti stávající úpravě jsou podrobněji upraveny podmínky pro udělování sankcí (čl. 31). Dále jsou součástí návrhu </w:t>
      </w:r>
      <w:hyperlink r:id="rId23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přílohy</w:t>
        </w:r>
      </w:hyperlink>
      <w:r w:rsidRPr="00677CB6">
        <w:rPr>
          <w:rFonts w:asciiTheme="majorHAnsi" w:hAnsiTheme="majorHAnsi"/>
          <w:color w:val="auto"/>
          <w:sz w:val="24"/>
        </w:rPr>
        <w:t>, které mimo jiné obsahují seznamy fluorovaných skleníkových plynů.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i/>
          <w:color w:val="auto"/>
          <w:sz w:val="24"/>
          <w:u w:val="single"/>
        </w:rPr>
      </w:pPr>
      <w:r w:rsidRPr="00677CB6">
        <w:rPr>
          <w:rFonts w:asciiTheme="majorHAnsi" w:hAnsiTheme="majorHAnsi"/>
          <w:i/>
          <w:color w:val="auto"/>
          <w:sz w:val="24"/>
          <w:u w:val="single"/>
        </w:rPr>
        <w:t>Dopad na státní rozpočet a právní řád ČR: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>Dopad na státní rozpočet se nepředpokládá. V souvislosti s přijetím obou nařízení lze očekávat nutnost novelizace zákona č. 73/2012 Sb., o látkách, které poškozují ozonovou vrstvu, a o fluorovaných skleníkových plynech.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677CB6" w:rsidRPr="00677CB6" w:rsidRDefault="00677CB6" w:rsidP="00677CB6">
      <w:pPr>
        <w:numPr>
          <w:ilvl w:val="0"/>
          <w:numId w:val="25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13" w:name="_Toc445380612"/>
      <w:bookmarkStart w:id="14" w:name="_Toc448302191"/>
      <w:r w:rsidRPr="00677CB6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Stanovisko vlády ČR:</w:t>
      </w:r>
      <w:bookmarkEnd w:id="13"/>
      <w:bookmarkEnd w:id="14"/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Vláda </w:t>
      </w:r>
      <w:r w:rsidRPr="00677CB6">
        <w:rPr>
          <w:rFonts w:asciiTheme="majorHAnsi" w:hAnsiTheme="majorHAnsi"/>
          <w:color w:val="auto"/>
          <w:sz w:val="24"/>
          <w:u w:val="single"/>
        </w:rPr>
        <w:t xml:space="preserve">návrh </w:t>
      </w:r>
      <w:r w:rsidRPr="00677CB6">
        <w:rPr>
          <w:rFonts w:asciiTheme="majorHAnsi" w:hAnsiTheme="majorHAnsi"/>
          <w:color w:val="auto"/>
          <w:sz w:val="24"/>
          <w:szCs w:val="24"/>
          <w:u w:val="single"/>
        </w:rPr>
        <w:t>nařízení o látkách poškozujících ozonovou vrstv</w:t>
      </w:r>
      <w:r w:rsidRPr="00677CB6">
        <w:rPr>
          <w:rFonts w:asciiTheme="majorHAnsi" w:hAnsiTheme="majorHAnsi"/>
          <w:color w:val="auto"/>
          <w:sz w:val="24"/>
          <w:szCs w:val="24"/>
        </w:rPr>
        <w:t>u</w:t>
      </w:r>
      <w:r w:rsidRPr="00677CB6">
        <w:rPr>
          <w:rFonts w:asciiTheme="majorHAnsi" w:hAnsiTheme="majorHAnsi"/>
          <w:color w:val="auto"/>
          <w:sz w:val="24"/>
        </w:rPr>
        <w:t xml:space="preserve"> až na několik výjimek obecně podporuje. Vláda nepodporuje zejména některá zmocnění Komise k vydání aktů v přenesené pravomoci, například pravomoc Komise</w:t>
      </w:r>
      <w:r w:rsidRPr="00677CB6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 xml:space="preserve"> </w:t>
      </w:r>
      <w:r w:rsidRPr="00677CB6">
        <w:rPr>
          <w:rFonts w:asciiTheme="majorHAnsi" w:hAnsiTheme="majorHAnsi"/>
          <w:color w:val="auto"/>
          <w:sz w:val="24"/>
        </w:rPr>
        <w:t>měnit seznam výjimek kritických použití halonů. Vláda dále nesouhlasí s pravomocí Komise měnit přílohy č. I a II, kde jsou uvedeny látky poškozující ozonovou vrstvu. Vláda má výhrady také ke způsobu vymáhání zákazu jednorázových lahví a má spíše rezervovaný postoj k nové povinnosti znovuzískávání regulovaných látek z izolačních pěn.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  <w:szCs w:val="24"/>
        </w:rPr>
      </w:pPr>
      <w:r w:rsidRPr="00677CB6">
        <w:rPr>
          <w:rFonts w:asciiTheme="majorHAnsi" w:hAnsiTheme="majorHAnsi"/>
          <w:color w:val="auto"/>
          <w:sz w:val="24"/>
          <w:u w:val="single"/>
        </w:rPr>
        <w:t xml:space="preserve">Návrh </w:t>
      </w:r>
      <w:r w:rsidRPr="00677CB6">
        <w:rPr>
          <w:rFonts w:asciiTheme="majorHAnsi" w:hAnsiTheme="majorHAnsi"/>
          <w:color w:val="auto"/>
          <w:sz w:val="24"/>
          <w:szCs w:val="24"/>
          <w:u w:val="single"/>
        </w:rPr>
        <w:t>nařízení o F-plynech</w:t>
      </w:r>
      <w:r w:rsidRPr="00677CB6">
        <w:rPr>
          <w:rFonts w:asciiTheme="majorHAnsi" w:hAnsiTheme="majorHAnsi"/>
          <w:color w:val="auto"/>
          <w:sz w:val="24"/>
          <w:szCs w:val="24"/>
        </w:rPr>
        <w:t xml:space="preserve"> vláda považuje za značně ambiciózní a jako celek jej podporuje s některými výhradami. Vláda se například domnívá, že harmonogram snížení výroby a spotřeby nastavený v návrhu nařízení nereflektuje aktuální situaci v souvislosti s válkou na Ukrajině a významný nárůst poptávky po instalaci tepelných čerpadel namísto plynových kotlů. Vláda má také spíše rezervovaný postoj k nové povinnosti znovuzískávání fluorovaných skleníkových plynů z izolačních hmot ve stavebnictví. Vláda se také staví rezervovaně k návrhu zavedení povinnosti znovuzískávání F-plynů z dalších výrobků a zařízení, které určí Komise aktem v přenesené pravomoci. </w:t>
      </w:r>
    </w:p>
    <w:p w:rsidR="00677CB6" w:rsidRPr="00677CB6" w:rsidRDefault="00677CB6" w:rsidP="00677CB6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677CB6" w:rsidRPr="00677CB6" w:rsidRDefault="00677CB6" w:rsidP="00677CB6">
      <w:pPr>
        <w:numPr>
          <w:ilvl w:val="0"/>
          <w:numId w:val="25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15" w:name="_Toc445380613"/>
      <w:bookmarkStart w:id="16" w:name="_Toc448302192"/>
      <w:r w:rsidRPr="00677CB6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Předpokládaný harmonogram projednávání v orgánech EU:</w:t>
      </w:r>
      <w:bookmarkEnd w:id="15"/>
      <w:bookmarkEnd w:id="16"/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677CB6">
        <w:rPr>
          <w:rFonts w:asciiTheme="majorHAnsi" w:hAnsiTheme="majorHAnsi"/>
          <w:color w:val="auto"/>
          <w:sz w:val="24"/>
        </w:rPr>
        <w:t xml:space="preserve">Oba návrhy jsou momentálně projednávány v přípravných orgánech Rady. V Evropském parlamentu je k projednání </w:t>
      </w:r>
      <w:hyperlink r:id="rId24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n</w:t>
        </w:r>
        <w:r w:rsidRPr="00677CB6">
          <w:rPr>
            <w:rFonts w:asciiTheme="majorHAnsi" w:eastAsia="Times New Roman" w:hAnsiTheme="majorHAnsi"/>
            <w:color w:val="0000FF"/>
            <w:sz w:val="24"/>
            <w:szCs w:val="20"/>
            <w:u w:val="single"/>
            <w:lang w:eastAsia="cs-CZ"/>
          </w:rPr>
          <w:t>ávrhu nařízení o látkách poškozujících ozonovou vrstvu</w:t>
        </w:r>
      </w:hyperlink>
      <w:r w:rsidRPr="00677CB6">
        <w:rPr>
          <w:rFonts w:asciiTheme="majorHAnsi" w:hAnsiTheme="majorHAnsi"/>
          <w:color w:val="auto"/>
          <w:sz w:val="24"/>
        </w:rPr>
        <w:t xml:space="preserve"> i </w:t>
      </w:r>
      <w:hyperlink r:id="rId25" w:history="1">
        <w:r w:rsidRPr="00677CB6">
          <w:rPr>
            <w:rFonts w:asciiTheme="majorHAnsi" w:hAnsiTheme="majorHAnsi"/>
            <w:color w:val="0000FF"/>
            <w:sz w:val="24"/>
            <w:u w:val="single"/>
          </w:rPr>
          <w:t>návrhu nařízení o fluorovaných skleníkových plynech</w:t>
        </w:r>
      </w:hyperlink>
      <w:r w:rsidRPr="00677CB6">
        <w:rPr>
          <w:rFonts w:asciiTheme="majorHAnsi" w:hAnsiTheme="majorHAnsi"/>
          <w:color w:val="auto"/>
          <w:sz w:val="24"/>
        </w:rPr>
        <w:t xml:space="preserve"> příslušný Výbor pro životní prostředí, veřejné zdraví a bezpečnost potravin. </w:t>
      </w:r>
    </w:p>
    <w:p w:rsidR="00677CB6" w:rsidRPr="00677CB6" w:rsidRDefault="00677CB6" w:rsidP="00677CB6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DF5EAB" w:rsidRPr="00DF5EAB" w:rsidRDefault="00DF5EAB" w:rsidP="00DF5EAB">
      <w:pPr>
        <w:spacing w:after="0" w:line="240" w:lineRule="auto"/>
        <w:jc w:val="both"/>
        <w:rPr>
          <w:rFonts w:asciiTheme="majorHAnsi" w:eastAsia="Times New Roman" w:hAnsiTheme="majorHAnsi"/>
          <w:color w:val="auto"/>
          <w:sz w:val="24"/>
          <w:szCs w:val="20"/>
          <w:lang w:eastAsia="cs-CZ"/>
        </w:rPr>
      </w:pPr>
      <w:r w:rsidRPr="00DF5EAB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>Zpracovala Mgr. Tereza Gajdová, odborná konzultantka Parlamentního institutu Kanceláře PS PČR.</w:t>
      </w:r>
    </w:p>
    <w:p w:rsidR="00677CB6" w:rsidRDefault="00677CB6" w:rsidP="00DF5EAB">
      <w:pPr>
        <w:rPr>
          <w:rFonts w:ascii="Times New Roman" w:hAnsi="Times New Roman"/>
          <w:sz w:val="24"/>
        </w:rPr>
      </w:pPr>
    </w:p>
    <w:sectPr w:rsidR="00677CB6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  <w:footnote w:id="1">
    <w:p w:rsidR="00677CB6" w:rsidRDefault="00677CB6" w:rsidP="00677CB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Více informací také tisková zpráva Komise: </w:t>
      </w:r>
      <w:hyperlink r:id="rId1" w:history="1">
        <w:r w:rsidRPr="00D94BDC">
          <w:rPr>
            <w:rStyle w:val="Hypertextovodkaz"/>
          </w:rPr>
          <w:t>https://ec.europa.eu/commission/presscorner/detail/cs/ip_22_2189</w:t>
        </w:r>
      </w:hyperlink>
      <w:r>
        <w:t xml:space="preserve"> nebo v publikaci </w:t>
      </w:r>
      <w:r w:rsidRPr="002720BF">
        <w:rPr>
          <w:i/>
        </w:rPr>
        <w:t>„Ochrana ozonové vrstvy v České republice“</w:t>
      </w:r>
      <w:r>
        <w:t xml:space="preserve"> – dostupné zde:  </w:t>
      </w:r>
      <w:hyperlink r:id="rId2" w:history="1">
        <w:r w:rsidRPr="00995337">
          <w:rPr>
            <w:rStyle w:val="Hypertextovodkaz"/>
          </w:rPr>
          <w:t>https://www.mzp.cz/C1257458002F0DC7/cz/videnska_umluva_montrealsky_protokol_dokument/$FILE/OVM-OOVZvCR-20letMP-20191112.pdf</w:t>
        </w:r>
      </w:hyperlink>
      <w:r>
        <w:t xml:space="preserve"> </w:t>
      </w:r>
    </w:p>
  </w:footnote>
  <w:footnote w:id="2">
    <w:p w:rsidR="00677CB6" w:rsidRDefault="00677CB6" w:rsidP="00677CB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Plný přehled států lze najít zde: </w:t>
      </w:r>
      <w:hyperlink r:id="rId3" w:history="1">
        <w:r w:rsidRPr="00995337">
          <w:rPr>
            <w:rStyle w:val="Hypertextovodkaz"/>
          </w:rPr>
          <w:t>https://ozone.unep.org/all-ratifications</w:t>
        </w:r>
      </w:hyperlink>
      <w:r>
        <w:t xml:space="preserve"> </w:t>
      </w:r>
    </w:p>
  </w:footnote>
  <w:footnote w:id="3">
    <w:p w:rsidR="00677CB6" w:rsidRDefault="00677CB6" w:rsidP="00677CB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Fluorované uhlovodíky začaly být používány především jako náhrada za zakázané látky, které poškozovaly ozonovou vrstvu. Používají se v chladírenských a klimatizačních zařízeních, dále také jako hnací plyny v průmyslových aerosolech nebo pro výrobu inhalátorů pro léčbu astmatu. Více informací například zde: </w:t>
      </w:r>
      <w:hyperlink r:id="rId4" w:history="1">
        <w:r w:rsidRPr="00AE567B">
          <w:rPr>
            <w:rStyle w:val="Hypertextovodkaz"/>
          </w:rPr>
          <w:t>https://www.irz.cz/sites/irz.cz/files/latky/Fluorovane_uhlovodiky_Karta_latky_11012019.pdf</w:t>
        </w:r>
      </w:hyperlink>
      <w:r>
        <w:t xml:space="preserve"> </w:t>
      </w:r>
    </w:p>
    <w:p w:rsidR="00677CB6" w:rsidRDefault="00677CB6" w:rsidP="00677CB6">
      <w:pPr>
        <w:pStyle w:val="Textpoznpodarou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A7488"/>
    <w:multiLevelType w:val="hybridMultilevel"/>
    <w:tmpl w:val="26120AD8"/>
    <w:lvl w:ilvl="0" w:tplc="BB44B070">
      <w:start w:val="1"/>
      <w:numFmt w:val="upperRoman"/>
      <w:lvlText w:val="%1."/>
      <w:lvlJc w:val="left"/>
      <w:pPr>
        <w:ind w:left="157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 w15:restartNumberingAfterBreak="0">
    <w:nsid w:val="32411480"/>
    <w:multiLevelType w:val="hybridMultilevel"/>
    <w:tmpl w:val="6A22056A"/>
    <w:lvl w:ilvl="0" w:tplc="BB44B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764897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FD6008"/>
    <w:multiLevelType w:val="hybridMultilevel"/>
    <w:tmpl w:val="FE7EE4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8"/>
  </w:num>
  <w:num w:numId="4">
    <w:abstractNumId w:val="13"/>
  </w:num>
  <w:num w:numId="5">
    <w:abstractNumId w:val="0"/>
  </w:num>
  <w:num w:numId="6">
    <w:abstractNumId w:val="16"/>
  </w:num>
  <w:num w:numId="7">
    <w:abstractNumId w:val="17"/>
  </w:num>
  <w:num w:numId="8">
    <w:abstractNumId w:val="11"/>
  </w:num>
  <w:num w:numId="9">
    <w:abstractNumId w:val="19"/>
  </w:num>
  <w:num w:numId="10">
    <w:abstractNumId w:val="30"/>
  </w:num>
  <w:num w:numId="11">
    <w:abstractNumId w:val="26"/>
  </w:num>
  <w:num w:numId="12">
    <w:abstractNumId w:val="20"/>
  </w:num>
  <w:num w:numId="13">
    <w:abstractNumId w:val="25"/>
  </w:num>
  <w:num w:numId="14">
    <w:abstractNumId w:val="7"/>
  </w:num>
  <w:num w:numId="15">
    <w:abstractNumId w:val="22"/>
  </w:num>
  <w:num w:numId="16">
    <w:abstractNumId w:val="2"/>
  </w:num>
  <w:num w:numId="17">
    <w:abstractNumId w:val="3"/>
  </w:num>
  <w:num w:numId="18">
    <w:abstractNumId w:val="29"/>
  </w:num>
  <w:num w:numId="19">
    <w:abstractNumId w:val="4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4"/>
  </w:num>
  <w:num w:numId="32">
    <w:abstractNumId w:val="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36280"/>
    <w:rsid w:val="00041825"/>
    <w:rsid w:val="000435F4"/>
    <w:rsid w:val="00060319"/>
    <w:rsid w:val="00061FAE"/>
    <w:rsid w:val="00077E7D"/>
    <w:rsid w:val="000807A3"/>
    <w:rsid w:val="00092605"/>
    <w:rsid w:val="000A6AB9"/>
    <w:rsid w:val="000F096B"/>
    <w:rsid w:val="000F7C41"/>
    <w:rsid w:val="000F7F4E"/>
    <w:rsid w:val="00120D9A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B0B56"/>
    <w:rsid w:val="001C4651"/>
    <w:rsid w:val="001C5B87"/>
    <w:rsid w:val="001D79C9"/>
    <w:rsid w:val="001E0814"/>
    <w:rsid w:val="001E578B"/>
    <w:rsid w:val="001F2C28"/>
    <w:rsid w:val="00216821"/>
    <w:rsid w:val="002601E5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473A3"/>
    <w:rsid w:val="0038206C"/>
    <w:rsid w:val="0038487B"/>
    <w:rsid w:val="00387DC2"/>
    <w:rsid w:val="00387E1C"/>
    <w:rsid w:val="00390A7A"/>
    <w:rsid w:val="0039401A"/>
    <w:rsid w:val="0039620C"/>
    <w:rsid w:val="003C4840"/>
    <w:rsid w:val="003D0C66"/>
    <w:rsid w:val="003D1B05"/>
    <w:rsid w:val="004109E4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4F1AEB"/>
    <w:rsid w:val="00503C0B"/>
    <w:rsid w:val="00513223"/>
    <w:rsid w:val="005254AE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E41AB"/>
    <w:rsid w:val="005F7A2B"/>
    <w:rsid w:val="005F7E82"/>
    <w:rsid w:val="006020AF"/>
    <w:rsid w:val="006137FB"/>
    <w:rsid w:val="00624FF2"/>
    <w:rsid w:val="006300DD"/>
    <w:rsid w:val="0064027A"/>
    <w:rsid w:val="006447D1"/>
    <w:rsid w:val="006518B7"/>
    <w:rsid w:val="00675452"/>
    <w:rsid w:val="0067644A"/>
    <w:rsid w:val="00677CB6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72EBB"/>
    <w:rsid w:val="007D09E1"/>
    <w:rsid w:val="007E71D7"/>
    <w:rsid w:val="007F68BB"/>
    <w:rsid w:val="008006D9"/>
    <w:rsid w:val="00806CFD"/>
    <w:rsid w:val="00811F5C"/>
    <w:rsid w:val="008275C7"/>
    <w:rsid w:val="00830838"/>
    <w:rsid w:val="0083478E"/>
    <w:rsid w:val="0085162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C1B58"/>
    <w:rsid w:val="008D1488"/>
    <w:rsid w:val="008D731D"/>
    <w:rsid w:val="008E0029"/>
    <w:rsid w:val="008E715C"/>
    <w:rsid w:val="009040E6"/>
    <w:rsid w:val="00912EB4"/>
    <w:rsid w:val="009532CA"/>
    <w:rsid w:val="009608C9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9265E"/>
    <w:rsid w:val="00AC0B3E"/>
    <w:rsid w:val="00AD71A8"/>
    <w:rsid w:val="00AE1CD6"/>
    <w:rsid w:val="00AF701F"/>
    <w:rsid w:val="00B23CE4"/>
    <w:rsid w:val="00B25BB0"/>
    <w:rsid w:val="00B26768"/>
    <w:rsid w:val="00B57ED6"/>
    <w:rsid w:val="00B75E03"/>
    <w:rsid w:val="00B77E2B"/>
    <w:rsid w:val="00B8615E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1953"/>
    <w:rsid w:val="00C933C9"/>
    <w:rsid w:val="00CA746E"/>
    <w:rsid w:val="00CB152C"/>
    <w:rsid w:val="00CE59E7"/>
    <w:rsid w:val="00CE71AF"/>
    <w:rsid w:val="00D1438B"/>
    <w:rsid w:val="00D324DF"/>
    <w:rsid w:val="00D86EF4"/>
    <w:rsid w:val="00D942B1"/>
    <w:rsid w:val="00D97A2E"/>
    <w:rsid w:val="00DA53EA"/>
    <w:rsid w:val="00DC37AF"/>
    <w:rsid w:val="00DF5EAB"/>
    <w:rsid w:val="00DF6B7D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388F"/>
    <w:rsid w:val="00E6411C"/>
    <w:rsid w:val="00E6426C"/>
    <w:rsid w:val="00E6658C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42F9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qFormat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gal-content/CS/TXT/?uri=celex:21988A1031(02)" TargetMode="External"/><Relationship Id="rId18" Type="http://schemas.openxmlformats.org/officeDocument/2006/relationships/hyperlink" Target="https://eur-lex.europa.eu/legal-content/CS/TXT/PDF/?uri=CELEX:32021R1119&amp;from=EN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ur-lex.europa.eu/resource.html?uri=cellar:e728f4a3-b5e2-11ec-b6f4-01aa75ed71a1.0005.02/DOC_2&amp;format=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CS/TXT/?uri=celex:21988A1031(01)" TargetMode="External"/><Relationship Id="rId17" Type="http://schemas.openxmlformats.org/officeDocument/2006/relationships/hyperlink" Target="https://eur-lex.europa.eu/legal-content/EN/ALL/?uri=COM:2019:640:FIN" TargetMode="External"/><Relationship Id="rId25" Type="http://schemas.openxmlformats.org/officeDocument/2006/relationships/hyperlink" Target="https://oeil.secure.europarl.europa.eu/oeil/popups/ficheprocedure.do?reference=2022/0099(COD)&amp;l=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CS/TXT/?uri=celex%3A32014R0517" TargetMode="External"/><Relationship Id="rId20" Type="http://schemas.openxmlformats.org/officeDocument/2006/relationships/hyperlink" Target="https://eur-lex.europa.eu/legal-content/CS/ALL/?uri=COM:2022:151:FI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CS/ALL/?uri=COM:2022:150:FIN" TargetMode="External"/><Relationship Id="rId24" Type="http://schemas.openxmlformats.org/officeDocument/2006/relationships/hyperlink" Target="https://oeil.secure.europarl.europa.eu/oeil/popups/ficheprocedure.do?reference=2022/0100(COD)&amp;l=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CS/TXT/?uri=CELEX:02009R1005-20170419" TargetMode="External"/><Relationship Id="rId23" Type="http://schemas.openxmlformats.org/officeDocument/2006/relationships/hyperlink" Target="https://eur-lex.europa.eu/resource.html?uri=cellar:ecf2b875-b59f-11ec-b6f4-01aa75ed71a1.0006.02/DOC_2&amp;format=PDF" TargetMode="External"/><Relationship Id="rId10" Type="http://schemas.openxmlformats.org/officeDocument/2006/relationships/hyperlink" Target="https://eur-lex.europa.eu/legal-content/CS/ALL/?uri=COM:2022:151:FIN" TargetMode="External"/><Relationship Id="rId19" Type="http://schemas.openxmlformats.org/officeDocument/2006/relationships/hyperlink" Target="https://unfccc.int/sites/default/files/english_paris_agreement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ur-lex.europa.eu/legal-content/CS/TXT/?uri=celex:22017A0914(01)" TargetMode="External"/><Relationship Id="rId22" Type="http://schemas.openxmlformats.org/officeDocument/2006/relationships/hyperlink" Target="https://eur-lex.europa.eu/legal-content/CS/ALL/?uri=COM:2022:150:FIN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zone.unep.org/all-ratifications" TargetMode="External"/><Relationship Id="rId2" Type="http://schemas.openxmlformats.org/officeDocument/2006/relationships/hyperlink" Target="https://www.mzp.cz/C1257458002F0DC7/cz/videnska_umluva_montrealsky_protokol_dokument/$FILE/OVM-OOVZvCR-20letMP-20191112.pdf" TargetMode="External"/><Relationship Id="rId1" Type="http://schemas.openxmlformats.org/officeDocument/2006/relationships/hyperlink" Target="https://ec.europa.eu/commission/presscorner/detail/cs/ip_22_2189" TargetMode="External"/><Relationship Id="rId4" Type="http://schemas.openxmlformats.org/officeDocument/2006/relationships/hyperlink" Target="https://www.irz.cz/sites/irz.cz/files/latky/Fluorovane_uhlovodiky_Karta_latky_11012019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04034-D83E-4ABE-B6A3-D47925CB1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2575</Words>
  <Characters>15196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19</cp:revision>
  <cp:lastPrinted>2022-06-23T05:52:00Z</cp:lastPrinted>
  <dcterms:created xsi:type="dcterms:W3CDTF">2022-06-16T08:06:00Z</dcterms:created>
  <dcterms:modified xsi:type="dcterms:W3CDTF">2022-06-23T12:34:00Z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