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278FFA7" w:rsidR="003E1216" w:rsidRPr="00C907C5" w:rsidRDefault="000F046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74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4011B4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</w:t>
      </w:r>
      <w:r w:rsidR="00E44430">
        <w:t>2</w:t>
      </w:r>
      <w:r w:rsidR="00C907C5">
        <w:t>. schůze</w:t>
      </w:r>
    </w:p>
    <w:p w14:paraId="109F92E9" w14:textId="35975587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44430">
        <w:rPr>
          <w:bCs/>
          <w:iCs/>
        </w:rPr>
        <w:t>22</w:t>
      </w:r>
      <w:r w:rsidR="001B4026">
        <w:rPr>
          <w:bCs/>
          <w:iCs/>
        </w:rPr>
        <w:t xml:space="preserve">. </w:t>
      </w:r>
      <w:r w:rsidR="001A15B9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4DAF6BE4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 xml:space="preserve">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</w:t>
      </w:r>
      <w:r w:rsidR="0089664E" w:rsidRPr="00BB2187">
        <w:rPr>
          <w:rFonts w:eastAsia="Times New Roman" w:cs="Times New Roman"/>
          <w:szCs w:val="20"/>
        </w:rPr>
        <w:t>předpisů</w:t>
      </w:r>
      <w:r w:rsidR="001E6509">
        <w:rPr>
          <w:rFonts w:eastAsia="Times New Roman" w:cs="Times New Roman"/>
          <w:szCs w:val="20"/>
        </w:rPr>
        <w:t xml:space="preserve"> </w:t>
      </w:r>
      <w:r w:rsidR="0089664E" w:rsidRPr="00B45FB9">
        <w:t xml:space="preserve">– </w:t>
      </w:r>
      <w:r w:rsidR="0089664E" w:rsidRPr="00B45FB9">
        <w:rPr>
          <w:b/>
        </w:rPr>
        <w:t>sněmovní tisk </w:t>
      </w:r>
      <w:r w:rsidR="001A15B9">
        <w:rPr>
          <w:b/>
        </w:rPr>
        <w:t>216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15D40200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C301F7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C301F7">
        <w:rPr>
          <w:rFonts w:ascii="Times New Roman" w:hAnsi="Times New Roman"/>
          <w:sz w:val="24"/>
          <w:szCs w:val="24"/>
        </w:rPr>
        <w:t>dopravy</w:t>
      </w:r>
      <w:r w:rsidR="00F6604D" w:rsidRPr="00C301F7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E44430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033E5874" w14:textId="74733D4B" w:rsidR="00E44430" w:rsidRPr="00E44430" w:rsidRDefault="00E44430" w:rsidP="00F64180">
      <w:pPr>
        <w:pStyle w:val="Odstavecseseznamem"/>
        <w:numPr>
          <w:ilvl w:val="0"/>
          <w:numId w:val="23"/>
        </w:numPr>
        <w:spacing w:before="360" w:after="24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216</w:t>
      </w:r>
      <w:r w:rsidRPr="00790104">
        <w:rPr>
          <w:rFonts w:ascii="Times New Roman" w:hAnsi="Times New Roman"/>
          <w:sz w:val="24"/>
          <w:szCs w:val="24"/>
        </w:rPr>
        <w:t xml:space="preserve"> v</w:t>
      </w:r>
      <w:r w:rsidR="00E41D5A"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sz w:val="24"/>
          <w:szCs w:val="24"/>
        </w:rPr>
        <w:t>e znění schválených pozměňovacích návrhů:</w:t>
      </w:r>
    </w:p>
    <w:p w14:paraId="20BA4780" w14:textId="2D6C2326" w:rsidR="002C1EF5" w:rsidRPr="00F64180" w:rsidRDefault="002C1EF5" w:rsidP="00F31C0C">
      <w:pPr>
        <w:pStyle w:val="Odstavecseseznamem"/>
        <w:numPr>
          <w:ilvl w:val="0"/>
          <w:numId w:val="30"/>
        </w:numPr>
        <w:spacing w:before="36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V</w:t>
      </w:r>
      <w:r w:rsidR="00FC43C8">
        <w:rPr>
          <w:rFonts w:ascii="Times New Roman" w:hAnsi="Times New Roman"/>
          <w:sz w:val="24"/>
          <w:szCs w:val="24"/>
        </w:rPr>
        <w:t xml:space="preserve"> části první </w:t>
      </w:r>
      <w:r w:rsidRPr="00F64180">
        <w:rPr>
          <w:rFonts w:ascii="Times New Roman" w:hAnsi="Times New Roman"/>
          <w:sz w:val="24"/>
          <w:szCs w:val="24"/>
        </w:rPr>
        <w:t>čl. I se za dosavadní bod 50 vkládá nový bod, který zní:</w:t>
      </w:r>
    </w:p>
    <w:p w14:paraId="2555C0E9" w14:textId="77777777" w:rsidR="002C1EF5" w:rsidRPr="00F64180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„X. V § 10 odst. 1 úvodní části ustanovení se za větu první vkládá věta „Má-li být jako nový vlastník silničního vozidla zapsán v registru silničních vozidel jeho dosavadní provozovatel, splnění podmínky podle § 6 odst. 3 písm. f) se nevyžaduje.“.“.</w:t>
      </w:r>
    </w:p>
    <w:p w14:paraId="65D67918" w14:textId="77777777" w:rsidR="002C1EF5" w:rsidRPr="00F64180" w:rsidRDefault="002C1EF5" w:rsidP="00F64180">
      <w:pPr>
        <w:spacing w:before="240" w:after="4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14:paraId="296AC6A8" w14:textId="0358EA1F" w:rsidR="002C1EF5" w:rsidRPr="00FC43C8" w:rsidRDefault="002C1EF5" w:rsidP="00FC43C8">
      <w:pPr>
        <w:pStyle w:val="Odstavecseseznamem"/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C43C8">
        <w:rPr>
          <w:rFonts w:ascii="Times New Roman" w:hAnsi="Times New Roman"/>
          <w:sz w:val="24"/>
          <w:szCs w:val="24"/>
        </w:rPr>
        <w:t>V</w:t>
      </w:r>
      <w:r w:rsidR="00FC43C8">
        <w:rPr>
          <w:rFonts w:ascii="Times New Roman" w:hAnsi="Times New Roman"/>
          <w:sz w:val="24"/>
          <w:szCs w:val="24"/>
        </w:rPr>
        <w:t xml:space="preserve"> části první </w:t>
      </w:r>
      <w:r w:rsidRPr="00FC43C8">
        <w:rPr>
          <w:rFonts w:ascii="Times New Roman" w:hAnsi="Times New Roman"/>
          <w:sz w:val="24"/>
          <w:szCs w:val="24"/>
        </w:rPr>
        <w:t>čl. I dosavadních bodech 50, 55 a 123 se slova „2 roky“ nahrazují slovy „1 rok“.</w:t>
      </w:r>
    </w:p>
    <w:p w14:paraId="52356EB4" w14:textId="00FC23CE" w:rsidR="008D3B1E" w:rsidRPr="008D3B1E" w:rsidRDefault="008D3B1E" w:rsidP="008D3B1E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3B1E">
        <w:rPr>
          <w:rFonts w:ascii="Times New Roman" w:hAnsi="Times New Roman"/>
          <w:sz w:val="24"/>
          <w:szCs w:val="24"/>
        </w:rPr>
        <w:t>V</w:t>
      </w:r>
      <w:r w:rsidR="00FC43C8">
        <w:rPr>
          <w:rFonts w:ascii="Times New Roman" w:hAnsi="Times New Roman"/>
          <w:sz w:val="24"/>
          <w:szCs w:val="24"/>
        </w:rPr>
        <w:t xml:space="preserve"> části první </w:t>
      </w:r>
      <w:r w:rsidRPr="008D3B1E">
        <w:rPr>
          <w:rFonts w:ascii="Times New Roman" w:hAnsi="Times New Roman"/>
          <w:sz w:val="24"/>
          <w:szCs w:val="24"/>
        </w:rPr>
        <w:t>čl. I dosavadní bod 121 zní:</w:t>
      </w:r>
    </w:p>
    <w:p w14:paraId="66E4DB49" w14:textId="77777777" w:rsidR="008D3B1E" w:rsidRPr="00F64180" w:rsidRDefault="008D3B1E" w:rsidP="00F31C0C">
      <w:pPr>
        <w:spacing w:before="24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„121. V § 38b odstavec 1 zní:</w:t>
      </w:r>
    </w:p>
    <w:p w14:paraId="74BD6EEF" w14:textId="77777777" w:rsidR="008D3B1E" w:rsidRPr="00F64180" w:rsidRDefault="008D3B1E" w:rsidP="009754C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„(1) Na základě povolení manipulačního provozu vydaného obecním úřadem obce s rozšířenou působností, v jehož správním obvodu má žadatel sídlo, lze provozovat silniční vozidlo v rámci manipulačního provozu, kterým je provozování</w:t>
      </w:r>
    </w:p>
    <w:p w14:paraId="2255CADA" w14:textId="77777777" w:rsidR="008D3B1E" w:rsidRPr="00F64180" w:rsidRDefault="008D3B1E" w:rsidP="009754CD">
      <w:pPr>
        <w:widowControl w:val="0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lastRenderedPageBreak/>
        <w:t>a) silničního vozidla, jehož technická způsobilost byla schválena a které podléhá registraci, ale není zapsáno v registru silničních vozidel, za účelem jeho distribuce a prodeje, nebo</w:t>
      </w:r>
    </w:p>
    <w:p w14:paraId="5053C2C5" w14:textId="77777777" w:rsidR="008D3B1E" w:rsidRPr="00F64180" w:rsidRDefault="008D3B1E" w:rsidP="009754C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b) silničního vozidla, které je vyřazeno z provozu, za účelem jízdy v okruhu nejvýše 100 km od provozovny dopravce, pokud nejsou vozidlem přepravovány osoby ani náklad.“.“.</w:t>
      </w:r>
    </w:p>
    <w:p w14:paraId="3863D489" w14:textId="0A20CB07" w:rsidR="008D3B1E" w:rsidRPr="009754CD" w:rsidRDefault="008D3B1E" w:rsidP="009754CD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4CD">
        <w:rPr>
          <w:rFonts w:ascii="Times New Roman" w:hAnsi="Times New Roman"/>
          <w:sz w:val="24"/>
          <w:szCs w:val="24"/>
        </w:rPr>
        <w:t>V</w:t>
      </w:r>
      <w:r w:rsidR="00FC43C8">
        <w:rPr>
          <w:rFonts w:ascii="Times New Roman" w:hAnsi="Times New Roman"/>
          <w:sz w:val="24"/>
          <w:szCs w:val="24"/>
        </w:rPr>
        <w:t xml:space="preserve"> části první </w:t>
      </w:r>
      <w:r w:rsidRPr="009754CD">
        <w:rPr>
          <w:rFonts w:ascii="Times New Roman" w:hAnsi="Times New Roman"/>
          <w:sz w:val="24"/>
          <w:szCs w:val="24"/>
        </w:rPr>
        <w:t>čl. I se za bod 121 vkládají nové body, které znějí:</w:t>
      </w:r>
    </w:p>
    <w:p w14:paraId="68DD64DB" w14:textId="77777777" w:rsidR="008D3B1E" w:rsidRPr="00F64180" w:rsidRDefault="008D3B1E" w:rsidP="00F31C0C">
      <w:pPr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„X. V § 38b odst. 2 písm. d) se za slovo „přepravovaná“ vkládají slova „nebo provozovaná“.</w:t>
      </w:r>
    </w:p>
    <w:p w14:paraId="107324A4" w14:textId="77777777" w:rsidR="008D3B1E" w:rsidRPr="00F64180" w:rsidRDefault="008D3B1E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X. V § 38b odst. 3 větě druhé a v § 38b odst. 7 písm. a) se slova „nebo prodejce“ nahrazují slovy „, prodejce nebo dopravce“.</w:t>
      </w:r>
    </w:p>
    <w:p w14:paraId="2C515D74" w14:textId="77777777" w:rsidR="008D3B1E" w:rsidRPr="00F64180" w:rsidRDefault="008D3B1E" w:rsidP="00F31C0C">
      <w:pPr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X. V § 38b odst. 5 se slova „Silniční vozidlo, které je na pozemních komunikacích provozováno podle odstavce 1 písm. b), musí být“ nahrazují slovy „Silniční vozidlo, jehož technická způsobilost byla schválena a které podléhá registraci, ale není zapsáno v registru silničních vozidel, lze na pozemních komunikacích provozovat bez povolení manipulačního provozu za účelem jízdy z místa prodeje do místa registrace silničního vozidla, pokud je“.</w:t>
      </w:r>
    </w:p>
    <w:p w14:paraId="487AF59F" w14:textId="77777777" w:rsidR="008D3B1E" w:rsidRPr="00F64180" w:rsidRDefault="008D3B1E" w:rsidP="00F31C0C">
      <w:pPr>
        <w:spacing w:before="240"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X. V § 38c odst. 3 se za slovo „prodejce“ vkládá slovo „, dopravce“.“.</w:t>
      </w:r>
      <w:r w:rsidRPr="00F64180">
        <w:rPr>
          <w:rFonts w:ascii="Times New Roman" w:hAnsi="Times New Roman"/>
          <w:b/>
          <w:sz w:val="24"/>
          <w:szCs w:val="24"/>
        </w:rPr>
        <w:t xml:space="preserve"> </w:t>
      </w:r>
    </w:p>
    <w:p w14:paraId="302D9D5E" w14:textId="77777777" w:rsidR="008D3B1E" w:rsidRPr="00F64180" w:rsidRDefault="008D3B1E" w:rsidP="00F31C0C">
      <w:pPr>
        <w:spacing w:before="240" w:after="480" w:line="240" w:lineRule="auto"/>
        <w:ind w:left="709"/>
        <w:jc w:val="both"/>
        <w:rPr>
          <w:rFonts w:ascii="Times New Roman" w:eastAsia="TimesNewRoman,Bold" w:hAnsi="Times New Roman"/>
          <w:b/>
          <w:bCs/>
          <w:sz w:val="24"/>
          <w:szCs w:val="24"/>
          <w:u w:val="single"/>
        </w:rPr>
      </w:pPr>
      <w:r w:rsidRPr="00F64180">
        <w:rPr>
          <w:rFonts w:ascii="Times New Roman" w:hAnsi="Times New Roman"/>
          <w:sz w:val="24"/>
          <w:szCs w:val="24"/>
        </w:rPr>
        <w:t>Následující body se přečíslují.</w:t>
      </w:r>
    </w:p>
    <w:p w14:paraId="6E3CB57E" w14:textId="4C52AFBE" w:rsidR="002C1EF5" w:rsidRPr="00D318A7" w:rsidRDefault="002C1EF5" w:rsidP="00D318A7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V</w:t>
      </w:r>
      <w:r w:rsidR="00FC43C8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>čl. I se za dosavadní bod 125 vkládá nový bod, který zní:</w:t>
      </w:r>
    </w:p>
    <w:p w14:paraId="2A0BA5F9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eastAsiaTheme="minorHAnsi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„X1. V § 47 odst. 2 se za písmeno b) vkládá nové písmeno c), které zní:</w:t>
      </w:r>
    </w:p>
    <w:p w14:paraId="1BEB1D66" w14:textId="77777777" w:rsidR="002C1EF5" w:rsidRPr="00D318A7" w:rsidRDefault="002C1EF5" w:rsidP="00D318A7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„c) technické prohlídky historických vozidel,“.</w:t>
      </w:r>
    </w:p>
    <w:p w14:paraId="25D380A9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Dosavadní písmena c) až i) se označují jako písmena d) až j).“.</w:t>
      </w:r>
    </w:p>
    <w:p w14:paraId="3DFBAC7C" w14:textId="77777777" w:rsidR="002C1EF5" w:rsidRPr="00D318A7" w:rsidRDefault="002C1EF5" w:rsidP="00D318A7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Následující body se přečíslují.</w:t>
      </w:r>
    </w:p>
    <w:p w14:paraId="7B14E9C2" w14:textId="69839426" w:rsidR="002C1EF5" w:rsidRPr="00D318A7" w:rsidRDefault="002C1EF5" w:rsidP="00F31C0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480" w:after="0" w:line="240" w:lineRule="auto"/>
        <w:ind w:left="709" w:hanging="425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V</w:t>
      </w:r>
      <w:r w:rsidR="00FC43C8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>čl. I se za dosavadní bod 132 vkládají nové body, které znějí:</w:t>
      </w:r>
    </w:p>
    <w:p w14:paraId="6C58BA13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eastAsiaTheme="minorHAnsi" w:hAnsi="Times New Roman"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„X2. V § 51 odst. 1 větě první se za slova „technickém průkazu vozidla“ vkládají slova „</w:t>
      </w:r>
      <w:r w:rsidRPr="00D318A7">
        <w:rPr>
          <w:rFonts w:ascii="Times New Roman" w:hAnsi="Times New Roman"/>
          <w:sz w:val="24"/>
          <w:szCs w:val="24"/>
        </w:rPr>
        <w:t>nebo v průkazu historického vozidla“.</w:t>
      </w:r>
    </w:p>
    <w:p w14:paraId="22E75BD2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X3. V § 51 se na konci textu odstavce 2 doplňují slova „; to neplatí, jde-li o historické vozidlo“.</w:t>
      </w:r>
    </w:p>
    <w:p w14:paraId="20BA56F1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X4. V § 52 se na konci textu odstavce 2 doplňují slova „; to neplatí, jde-li o historické vozidlo“.“.</w:t>
      </w:r>
    </w:p>
    <w:p w14:paraId="27A61240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48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Následující body se přečíslují.</w:t>
      </w:r>
    </w:p>
    <w:p w14:paraId="2916EBA8" w14:textId="3B4AB746" w:rsidR="002C1EF5" w:rsidRPr="00D318A7" w:rsidRDefault="002C1EF5" w:rsidP="00D318A7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V</w:t>
      </w:r>
      <w:r w:rsidR="00FC43C8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>čl. I se za dosavadní bod 153 vkládají nové body, které znějí:</w:t>
      </w:r>
    </w:p>
    <w:p w14:paraId="6F5B4DAA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eastAsiaTheme="minorHAnsi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lastRenderedPageBreak/>
        <w:t>„X5. V § 79a odst. 1 větě druhé se slova „obecní úřad obce s rozšířenou působností v sídle kraje, v jehož správním obvodu má provozovatel historického nebo sportovního vozidla místo bydliště nebo sídlo, popřípadě, jde-li o zahraniční právnickou osobu, odštěpný závod; ve Středočeském kraji je místně příslušným úřadem pro registraci historického nebo sportovního vozidla Městský úřad v Kolíně a v Praze je místně příslušným úřadem Magistrát hlavního města Prahy“ nahrazují slovy „kterýkoli obecní úřad obce s rozšířenou působností podle věty první“.</w:t>
      </w:r>
    </w:p>
    <w:p w14:paraId="1CBF7775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X6. V § 79a odst. 2 větě první se za slovo „testování“ vkládají slova „a protokolu o technické prohlídce historického vozidla“.</w:t>
      </w:r>
    </w:p>
    <w:p w14:paraId="7856915A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X7. V § 79b odst. 1 se slova „, kterým se nahrazuje technická prohlídka vozidla“ nahrazují slovy „a je podle výsledku technické prohlídky historického vozidla technicky způsobilé“.</w:t>
      </w:r>
    </w:p>
    <w:p w14:paraId="2C131F56" w14:textId="77777777" w:rsidR="002C1EF5" w:rsidRPr="00D318A7" w:rsidRDefault="002C1EF5" w:rsidP="00F31C0C">
      <w:pPr>
        <w:widowControl w:val="0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X8. V § 79b odst. 2 větě druhé se za slova „vyznačí právnická osoba“ vkládají slova „v protokolu o testování a, byl-li vydán,“.</w:t>
      </w:r>
    </w:p>
    <w:p w14:paraId="74A5E09C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X9. V § 79b odst. 2 větě třetí se slova „nejdéle 24 měsíců“ nahrazují slovy „5 let“.</w:t>
      </w:r>
    </w:p>
    <w:p w14:paraId="1AA6AD9F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X10. V § 79b se za odstavec 2 vkládá nový odstavce 3, který zní:</w:t>
      </w:r>
    </w:p>
    <w:p w14:paraId="075F6470" w14:textId="77777777" w:rsidR="002C1EF5" w:rsidRPr="00D318A7" w:rsidRDefault="002C1EF5" w:rsidP="00F31C0C">
      <w:p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„(3) Technickou prohlídku historického vozidla ve stanici technické kontroly lze provést až po jeho testování. Stanice technické kontroly vyznačí údaj o výsledku technické prohlídky v protokolu o technické prohlídce a, byl-li vydán, v průkazu historického vozidla. Výsledek technické prohlídky platí po dobu platnosti výsledku testování.“.</w:t>
      </w:r>
    </w:p>
    <w:p w14:paraId="719CCE96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Dosavadní odstavce 3 až 7 se označují jako odstavce 4 až 8.</w:t>
      </w:r>
    </w:p>
    <w:p w14:paraId="27AE4FA6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X11. V § 79c odst. 2 větě třetí se slova „nejdéle 24 měsíců“ nahrazují slovy „5 let“ a slovo „historického“ se zrušuje.“.“.</w:t>
      </w:r>
    </w:p>
    <w:p w14:paraId="65325038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318A7">
        <w:rPr>
          <w:rFonts w:ascii="Times New Roman" w:hAnsi="Times New Roman"/>
          <w:sz w:val="24"/>
          <w:szCs w:val="24"/>
        </w:rPr>
        <w:t>Následující body se přečíslují.</w:t>
      </w:r>
    </w:p>
    <w:p w14:paraId="563C6808" w14:textId="53DF7625" w:rsidR="002C1EF5" w:rsidRPr="009D6196" w:rsidRDefault="002C1EF5" w:rsidP="00F31C0C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9D6196">
        <w:rPr>
          <w:rFonts w:ascii="Times New Roman" w:hAnsi="Times New Roman"/>
          <w:sz w:val="24"/>
          <w:szCs w:val="24"/>
        </w:rPr>
        <w:t>V</w:t>
      </w:r>
      <w:r w:rsidR="00FC43C8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9D6196">
        <w:rPr>
          <w:rFonts w:ascii="Times New Roman" w:eastAsia="TimesNewRoman,Bold" w:hAnsi="Times New Roman"/>
          <w:bCs/>
          <w:sz w:val="24"/>
          <w:szCs w:val="24"/>
        </w:rPr>
        <w:t>čl. I se za dosavadní bod 172 vkládá nový bod, který zní:</w:t>
      </w:r>
    </w:p>
    <w:p w14:paraId="666FE620" w14:textId="39AF5F5C" w:rsidR="002C1EF5" w:rsidRPr="00D318A7" w:rsidRDefault="002C1EF5" w:rsidP="00F31C0C">
      <w:pPr>
        <w:spacing w:before="240" w:after="24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„X12. V § 80 odst. 5 písm. e) se slova „na základě protokolu o platném testování historického vozidla“ zrušují.“.</w:t>
      </w:r>
    </w:p>
    <w:p w14:paraId="6DDC570D" w14:textId="77777777" w:rsidR="002C1EF5" w:rsidRPr="00D318A7" w:rsidRDefault="002C1EF5" w:rsidP="00D318A7">
      <w:pPr>
        <w:spacing w:before="120" w:after="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Následující body se přečíslují.</w:t>
      </w:r>
    </w:p>
    <w:p w14:paraId="39049079" w14:textId="4FB56E3E" w:rsidR="002C1EF5" w:rsidRPr="009D6196" w:rsidRDefault="002C1EF5" w:rsidP="009D6196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9D6196">
        <w:rPr>
          <w:rFonts w:ascii="Times New Roman" w:eastAsia="TimesNewRoman,Bold" w:hAnsi="Times New Roman"/>
          <w:bCs/>
          <w:sz w:val="24"/>
          <w:szCs w:val="24"/>
        </w:rPr>
        <w:t>V</w:t>
      </w:r>
      <w:r w:rsidR="00FC43C8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9D6196">
        <w:rPr>
          <w:rFonts w:ascii="Times New Roman" w:eastAsia="TimesNewRoman,Bold" w:hAnsi="Times New Roman"/>
          <w:bCs/>
          <w:sz w:val="24"/>
          <w:szCs w:val="24"/>
        </w:rPr>
        <w:t>čl. I se za dosavadní bod 213 doplňuje nový bod, který zní:</w:t>
      </w:r>
    </w:p>
    <w:p w14:paraId="7F274A72" w14:textId="77777777" w:rsidR="002C1EF5" w:rsidRPr="00D318A7" w:rsidRDefault="002C1EF5" w:rsidP="00F31C0C">
      <w:pPr>
        <w:spacing w:before="240" w:after="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>„X13. V § 91 odst. 1 se text „§ 79b odst. 7“ nahrazuje textem „§ 79b odst. 8“.“.</w:t>
      </w:r>
    </w:p>
    <w:p w14:paraId="215FE51C" w14:textId="77516851" w:rsidR="002C1EF5" w:rsidRPr="009D6196" w:rsidRDefault="002C1EF5" w:rsidP="00F31C0C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9D6196">
        <w:rPr>
          <w:rFonts w:ascii="Times New Roman" w:eastAsia="TimesNewRoman,Bold" w:hAnsi="Times New Roman"/>
          <w:bCs/>
          <w:sz w:val="24"/>
          <w:szCs w:val="24"/>
        </w:rPr>
        <w:t>V</w:t>
      </w:r>
      <w:r w:rsidR="00D32D85">
        <w:rPr>
          <w:rFonts w:ascii="Times New Roman" w:eastAsia="TimesNewRoman,Bold" w:hAnsi="Times New Roman"/>
          <w:bCs/>
          <w:sz w:val="24"/>
          <w:szCs w:val="24"/>
        </w:rPr>
        <w:t xml:space="preserve"> části první </w:t>
      </w:r>
      <w:r w:rsidRPr="009D6196">
        <w:rPr>
          <w:rFonts w:ascii="Times New Roman" w:eastAsia="TimesNewRoman,Bold" w:hAnsi="Times New Roman"/>
          <w:bCs/>
          <w:sz w:val="24"/>
          <w:szCs w:val="24"/>
        </w:rPr>
        <w:t>čl. II se doplňují body 5 a 6, které znějí:</w:t>
      </w:r>
    </w:p>
    <w:p w14:paraId="76E53A03" w14:textId="77777777" w:rsidR="002C1EF5" w:rsidRPr="00D318A7" w:rsidRDefault="002C1EF5" w:rsidP="00F31C0C">
      <w:pPr>
        <w:spacing w:before="240" w:after="24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 xml:space="preserve">„5. U historického vozidla, jehož testování bylo provedeno přede dnem nabytí účinnosti čl. I bodů </w:t>
      </w:r>
      <w:r w:rsidRPr="00D318A7">
        <w:rPr>
          <w:rFonts w:ascii="Times New Roman" w:eastAsia="TimesNewRoman,Bold" w:hAnsi="Times New Roman"/>
          <w:bCs/>
          <w:i/>
          <w:sz w:val="24"/>
          <w:szCs w:val="24"/>
        </w:rPr>
        <w:t>X7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 xml:space="preserve"> a </w:t>
      </w:r>
      <w:r w:rsidRPr="00D318A7">
        <w:rPr>
          <w:rFonts w:ascii="Times New Roman" w:eastAsia="TimesNewRoman,Bold" w:hAnsi="Times New Roman"/>
          <w:bCs/>
          <w:i/>
          <w:sz w:val="24"/>
          <w:szCs w:val="24"/>
        </w:rPr>
        <w:t>X9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 xml:space="preserve">, je výsledek tohoto testování platný po dobu 24 měsíců ode dne jeho 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lastRenderedPageBreak/>
        <w:t>provedení a po tuto dobu se provedení technické prohlídky historického vozidla nevyžaduje.</w:t>
      </w:r>
    </w:p>
    <w:p w14:paraId="52EF72EF" w14:textId="77777777" w:rsidR="002C1EF5" w:rsidRPr="00D318A7" w:rsidRDefault="002C1EF5" w:rsidP="00D318A7">
      <w:pPr>
        <w:spacing w:before="120" w:after="0" w:line="240" w:lineRule="auto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D318A7">
        <w:rPr>
          <w:rFonts w:ascii="Times New Roman" w:eastAsia="TimesNewRoman,Bold" w:hAnsi="Times New Roman"/>
          <w:bCs/>
          <w:sz w:val="24"/>
          <w:szCs w:val="24"/>
        </w:rPr>
        <w:t xml:space="preserve">6. U vozidla, jehož testování podle § 79c bylo provedeno přede dnem nabytí účinnosti čl. I bodu </w:t>
      </w:r>
      <w:r w:rsidRPr="00D318A7">
        <w:rPr>
          <w:rFonts w:ascii="Times New Roman" w:eastAsia="TimesNewRoman,Bold" w:hAnsi="Times New Roman"/>
          <w:bCs/>
          <w:i/>
          <w:sz w:val="24"/>
          <w:szCs w:val="24"/>
        </w:rPr>
        <w:t>X11</w:t>
      </w:r>
      <w:r w:rsidRPr="00D318A7">
        <w:rPr>
          <w:rFonts w:ascii="Times New Roman" w:eastAsia="TimesNewRoman,Bold" w:hAnsi="Times New Roman"/>
          <w:bCs/>
          <w:sz w:val="24"/>
          <w:szCs w:val="24"/>
        </w:rPr>
        <w:t>, je výsledek tohoto testování platný po dobu 5 let ode dne jeho provedení.“.</w:t>
      </w:r>
    </w:p>
    <w:p w14:paraId="6B71ED8C" w14:textId="36166B95" w:rsidR="00FC43C8" w:rsidRPr="00FC43C8" w:rsidRDefault="00FC43C8" w:rsidP="00FC43C8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43C8">
        <w:rPr>
          <w:rFonts w:ascii="Times New Roman" w:hAnsi="Times New Roman"/>
          <w:sz w:val="24"/>
          <w:szCs w:val="24"/>
        </w:rPr>
        <w:t>V</w:t>
      </w:r>
      <w:r w:rsidR="00D32D85">
        <w:rPr>
          <w:rFonts w:ascii="Times New Roman" w:hAnsi="Times New Roman"/>
          <w:sz w:val="24"/>
          <w:szCs w:val="24"/>
        </w:rPr>
        <w:t xml:space="preserve"> části druhé </w:t>
      </w:r>
      <w:r w:rsidRPr="00FC43C8">
        <w:rPr>
          <w:rFonts w:ascii="Times New Roman" w:hAnsi="Times New Roman"/>
          <w:sz w:val="24"/>
          <w:szCs w:val="24"/>
        </w:rPr>
        <w:t>čl. III se před dosavadní bod 1 vkládají nové body, které znějí:</w:t>
      </w:r>
    </w:p>
    <w:p w14:paraId="0CB313D7" w14:textId="77777777" w:rsidR="00FC43C8" w:rsidRPr="00F64180" w:rsidRDefault="00FC43C8" w:rsidP="00FC43C8">
      <w:pPr>
        <w:spacing w:before="240" w:after="24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 xml:space="preserve">„X. V položce 26 písmeni a) se za slovo „provozovatele“ vkládají slova „, </w:t>
      </w:r>
      <w:r w:rsidRPr="00F64180">
        <w:rPr>
          <w:rFonts w:ascii="Times New Roman" w:hAnsi="Times New Roman"/>
          <w:bCs/>
          <w:sz w:val="24"/>
          <w:szCs w:val="24"/>
        </w:rPr>
        <w:t>s výjimkou zápisu dosavadního provozovatele vozidla jako jeho nového vlastníka,“.</w:t>
      </w:r>
    </w:p>
    <w:p w14:paraId="4D0CDBDF" w14:textId="77777777" w:rsidR="00FC43C8" w:rsidRPr="00F64180" w:rsidRDefault="00FC43C8" w:rsidP="00FC43C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X. V položce 26 písmeni g) se za slovo „vozidel“ vkládají slova „včetně zápisu dosavadního provozovatele vozidla jako jeho nového vlastníka“.“.</w:t>
      </w:r>
    </w:p>
    <w:p w14:paraId="015BDFC5" w14:textId="77777777" w:rsidR="00FC43C8" w:rsidRDefault="00FC43C8" w:rsidP="00FC43C8">
      <w:pPr>
        <w:spacing w:before="240" w:after="4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4180">
        <w:rPr>
          <w:rFonts w:ascii="Times New Roman" w:hAnsi="Times New Roman"/>
          <w:sz w:val="24"/>
          <w:szCs w:val="24"/>
        </w:rPr>
        <w:t>Následující body se přečíslují.</w:t>
      </w:r>
    </w:p>
    <w:p w14:paraId="47191FC1" w14:textId="365DF80D" w:rsidR="002C1EF5" w:rsidRPr="009D6196" w:rsidRDefault="002C1EF5" w:rsidP="00F31C0C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9D6196">
        <w:rPr>
          <w:rFonts w:ascii="Times New Roman" w:eastAsia="TimesNewRoman,Bold" w:hAnsi="Times New Roman"/>
          <w:bCs/>
          <w:sz w:val="24"/>
          <w:szCs w:val="24"/>
        </w:rPr>
        <w:t>V</w:t>
      </w:r>
      <w:r w:rsidR="00D32D85">
        <w:rPr>
          <w:rFonts w:ascii="Times New Roman" w:eastAsia="TimesNewRoman,Bold" w:hAnsi="Times New Roman"/>
          <w:bCs/>
          <w:sz w:val="24"/>
          <w:szCs w:val="24"/>
        </w:rPr>
        <w:t xml:space="preserve"> části třetí </w:t>
      </w:r>
      <w:r w:rsidRPr="009D6196">
        <w:rPr>
          <w:rFonts w:ascii="Times New Roman" w:eastAsia="TimesNewRoman,Bold" w:hAnsi="Times New Roman"/>
          <w:bCs/>
          <w:sz w:val="24"/>
          <w:szCs w:val="24"/>
        </w:rPr>
        <w:t>čl. IV se za číslo „51“ doplňují slova „X1</w:t>
      </w:r>
      <w:r w:rsidR="001052C5">
        <w:rPr>
          <w:rFonts w:ascii="Times New Roman" w:eastAsia="TimesNewRoman,Bold" w:hAnsi="Times New Roman"/>
          <w:bCs/>
          <w:sz w:val="24"/>
          <w:szCs w:val="24"/>
        </w:rPr>
        <w:t xml:space="preserve"> až </w:t>
      </w:r>
      <w:r w:rsidRPr="009D6196">
        <w:rPr>
          <w:rFonts w:ascii="Times New Roman" w:eastAsia="TimesNewRoman,Bold" w:hAnsi="Times New Roman"/>
          <w:bCs/>
          <w:sz w:val="24"/>
          <w:szCs w:val="24"/>
        </w:rPr>
        <w:t>X13“.</w:t>
      </w:r>
      <w:bookmarkStart w:id="0" w:name="_GoBack"/>
      <w:bookmarkEnd w:id="0"/>
    </w:p>
    <w:p w14:paraId="12D30B57" w14:textId="77777777" w:rsidR="00E44430" w:rsidRPr="00B32EA2" w:rsidRDefault="00E44430" w:rsidP="00F31C0C">
      <w:pPr>
        <w:pStyle w:val="Odstavecseseznamem"/>
        <w:numPr>
          <w:ilvl w:val="0"/>
          <w:numId w:val="23"/>
        </w:numPr>
        <w:suppressAutoHyphens/>
        <w:spacing w:before="600" w:after="48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návrhu zákona legislativně technické úpravy, které nemají dopad na věcný obsah navrhovaného zákona.</w:t>
      </w:r>
    </w:p>
    <w:p w14:paraId="4566B33D" w14:textId="77777777" w:rsidR="00E44430" w:rsidRPr="00B32EA2" w:rsidRDefault="00E44430" w:rsidP="00E44430">
      <w:pPr>
        <w:pStyle w:val="Odstavecseseznamem"/>
        <w:numPr>
          <w:ilvl w:val="0"/>
          <w:numId w:val="23"/>
        </w:numPr>
        <w:suppressAutoHyphens/>
        <w:spacing w:before="120"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zprávu o výsledcích projednávání tohoto návrhu zákona v hospodářském výboru.</w:t>
      </w:r>
    </w:p>
    <w:p w14:paraId="0FF71291" w14:textId="77777777" w:rsidR="00E44430" w:rsidRPr="00B32EA2" w:rsidRDefault="00E44430" w:rsidP="00E44430">
      <w:pPr>
        <w:pStyle w:val="Odstavecseseznamem"/>
        <w:numPr>
          <w:ilvl w:val="0"/>
          <w:numId w:val="23"/>
        </w:numPr>
        <w:suppressAutoHyphens/>
        <w:spacing w:before="480" w:after="48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kyni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Poslanecké sněmovny Parlamentu ČR.</w:t>
      </w:r>
    </w:p>
    <w:p w14:paraId="321A3B88" w14:textId="34CBECF2" w:rsidR="00C3035B" w:rsidRPr="00524661" w:rsidRDefault="007E4AF2" w:rsidP="00B3268C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46EAD821" w:rsidR="007D5AF0" w:rsidRPr="00524661" w:rsidRDefault="00A47BEA" w:rsidP="00B326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C560C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DCC6" w14:textId="77777777" w:rsidR="002004C0" w:rsidRDefault="002004C0" w:rsidP="00C66196">
      <w:pPr>
        <w:spacing w:after="0" w:line="240" w:lineRule="auto"/>
      </w:pPr>
      <w:r>
        <w:separator/>
      </w:r>
    </w:p>
  </w:endnote>
  <w:endnote w:type="continuationSeparator" w:id="0">
    <w:p w14:paraId="6206B1F2" w14:textId="77777777" w:rsidR="002004C0" w:rsidRDefault="002004C0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098956"/>
      <w:docPartObj>
        <w:docPartGallery w:val="Page Numbers (Bottom of Page)"/>
        <w:docPartUnique/>
      </w:docPartObj>
    </w:sdtPr>
    <w:sdtEndPr/>
    <w:sdtContent>
      <w:p w14:paraId="0D63B7F8" w14:textId="112AA6B8" w:rsidR="00C560C0" w:rsidRDefault="00C560C0">
        <w:pPr>
          <w:pStyle w:val="Zpat"/>
          <w:jc w:val="right"/>
        </w:pPr>
        <w:r w:rsidRPr="00C560C0">
          <w:rPr>
            <w:sz w:val="18"/>
          </w:rPr>
          <w:fldChar w:fldCharType="begin"/>
        </w:r>
        <w:r w:rsidRPr="00C560C0">
          <w:rPr>
            <w:sz w:val="18"/>
          </w:rPr>
          <w:instrText>PAGE   \* MERGEFORMAT</w:instrText>
        </w:r>
        <w:r w:rsidRPr="00C560C0">
          <w:rPr>
            <w:sz w:val="18"/>
          </w:rPr>
          <w:fldChar w:fldCharType="separate"/>
        </w:r>
        <w:r w:rsidR="00A26F39">
          <w:rPr>
            <w:noProof/>
            <w:sz w:val="18"/>
          </w:rPr>
          <w:t>4</w:t>
        </w:r>
        <w:r w:rsidRPr="00C560C0">
          <w:rPr>
            <w:sz w:val="18"/>
          </w:rP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AA33" w14:textId="77777777" w:rsidR="002004C0" w:rsidRDefault="002004C0" w:rsidP="00C66196">
      <w:pPr>
        <w:spacing w:after="0" w:line="240" w:lineRule="auto"/>
      </w:pPr>
      <w:r>
        <w:separator/>
      </w:r>
    </w:p>
  </w:footnote>
  <w:footnote w:type="continuationSeparator" w:id="0">
    <w:p w14:paraId="3687DF58" w14:textId="77777777" w:rsidR="002004C0" w:rsidRDefault="002004C0" w:rsidP="00C66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B1DFE"/>
    <w:multiLevelType w:val="multilevel"/>
    <w:tmpl w:val="685C041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5" w15:restartNumberingAfterBreak="0">
    <w:nsid w:val="2A077E2A"/>
    <w:multiLevelType w:val="hybridMultilevel"/>
    <w:tmpl w:val="54163FAC"/>
    <w:lvl w:ilvl="0" w:tplc="2DEAC7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46B0E"/>
    <w:multiLevelType w:val="multilevel"/>
    <w:tmpl w:val="54163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DB6514C"/>
    <w:multiLevelType w:val="multilevel"/>
    <w:tmpl w:val="54163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731A33"/>
    <w:multiLevelType w:val="multilevel"/>
    <w:tmpl w:val="54163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8"/>
  </w:num>
  <w:num w:numId="13">
    <w:abstractNumId w:val="28"/>
  </w:num>
  <w:num w:numId="14">
    <w:abstractNumId w:val="30"/>
  </w:num>
  <w:num w:numId="15">
    <w:abstractNumId w:val="12"/>
  </w:num>
  <w:num w:numId="16">
    <w:abstractNumId w:val="26"/>
  </w:num>
  <w:num w:numId="17">
    <w:abstractNumId w:val="22"/>
  </w:num>
  <w:num w:numId="18">
    <w:abstractNumId w:val="24"/>
  </w:num>
  <w:num w:numId="19">
    <w:abstractNumId w:val="20"/>
  </w:num>
  <w:num w:numId="20">
    <w:abstractNumId w:val="27"/>
  </w:num>
  <w:num w:numId="21">
    <w:abstractNumId w:val="33"/>
  </w:num>
  <w:num w:numId="22">
    <w:abstractNumId w:val="21"/>
  </w:num>
  <w:num w:numId="23">
    <w:abstractNumId w:val="10"/>
  </w:num>
  <w:num w:numId="24">
    <w:abstractNumId w:val="11"/>
  </w:num>
  <w:num w:numId="25">
    <w:abstractNumId w:val="31"/>
  </w:num>
  <w:num w:numId="26">
    <w:abstractNumId w:val="16"/>
  </w:num>
  <w:num w:numId="27">
    <w:abstractNumId w:val="13"/>
  </w:num>
  <w:num w:numId="28">
    <w:abstractNumId w:val="29"/>
  </w:num>
  <w:num w:numId="29">
    <w:abstractNumId w:val="19"/>
  </w:num>
  <w:num w:numId="30">
    <w:abstractNumId w:val="15"/>
  </w:num>
  <w:num w:numId="31">
    <w:abstractNumId w:val="25"/>
  </w:num>
  <w:num w:numId="32">
    <w:abstractNumId w:val="17"/>
  </w:num>
  <w:num w:numId="33">
    <w:abstractNumId w:val="3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0468"/>
    <w:rsid w:val="000F3F85"/>
    <w:rsid w:val="001052C5"/>
    <w:rsid w:val="001056EE"/>
    <w:rsid w:val="001176D3"/>
    <w:rsid w:val="00117C2E"/>
    <w:rsid w:val="00123D1F"/>
    <w:rsid w:val="00156E5E"/>
    <w:rsid w:val="0017278F"/>
    <w:rsid w:val="001A0483"/>
    <w:rsid w:val="001A15B9"/>
    <w:rsid w:val="001B4026"/>
    <w:rsid w:val="001C4FB8"/>
    <w:rsid w:val="001D31DB"/>
    <w:rsid w:val="001D480E"/>
    <w:rsid w:val="001D62A9"/>
    <w:rsid w:val="001E2E72"/>
    <w:rsid w:val="001E6509"/>
    <w:rsid w:val="001F6D70"/>
    <w:rsid w:val="002004C0"/>
    <w:rsid w:val="002128F2"/>
    <w:rsid w:val="00216D4E"/>
    <w:rsid w:val="002214A3"/>
    <w:rsid w:val="00232CB3"/>
    <w:rsid w:val="002457B0"/>
    <w:rsid w:val="00255747"/>
    <w:rsid w:val="00283C78"/>
    <w:rsid w:val="002B2D62"/>
    <w:rsid w:val="002C1EF5"/>
    <w:rsid w:val="002C5CAA"/>
    <w:rsid w:val="002E355C"/>
    <w:rsid w:val="002F496A"/>
    <w:rsid w:val="00307D78"/>
    <w:rsid w:val="00315E6F"/>
    <w:rsid w:val="00323B6C"/>
    <w:rsid w:val="00323DBF"/>
    <w:rsid w:val="00324828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108B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53604"/>
    <w:rsid w:val="00560B5B"/>
    <w:rsid w:val="00580782"/>
    <w:rsid w:val="005A152E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9664E"/>
    <w:rsid w:val="008A29E6"/>
    <w:rsid w:val="008B4F68"/>
    <w:rsid w:val="008C5CDC"/>
    <w:rsid w:val="008D02DE"/>
    <w:rsid w:val="008D3B1E"/>
    <w:rsid w:val="008E3EAF"/>
    <w:rsid w:val="009202F2"/>
    <w:rsid w:val="00920BD2"/>
    <w:rsid w:val="00940C0E"/>
    <w:rsid w:val="00940FE6"/>
    <w:rsid w:val="00941FB1"/>
    <w:rsid w:val="009543BC"/>
    <w:rsid w:val="009649C6"/>
    <w:rsid w:val="009754CD"/>
    <w:rsid w:val="00985CCB"/>
    <w:rsid w:val="00993ADE"/>
    <w:rsid w:val="00996356"/>
    <w:rsid w:val="00996EF7"/>
    <w:rsid w:val="009B1740"/>
    <w:rsid w:val="009C00F0"/>
    <w:rsid w:val="009D160F"/>
    <w:rsid w:val="009D3FBD"/>
    <w:rsid w:val="009D6196"/>
    <w:rsid w:val="009E21D7"/>
    <w:rsid w:val="009F556E"/>
    <w:rsid w:val="00A020C6"/>
    <w:rsid w:val="00A10D38"/>
    <w:rsid w:val="00A26F39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4C15"/>
    <w:rsid w:val="00B17153"/>
    <w:rsid w:val="00B17CFF"/>
    <w:rsid w:val="00B21021"/>
    <w:rsid w:val="00B3268C"/>
    <w:rsid w:val="00B35523"/>
    <w:rsid w:val="00B42ABD"/>
    <w:rsid w:val="00B611EE"/>
    <w:rsid w:val="00B73037"/>
    <w:rsid w:val="00B85113"/>
    <w:rsid w:val="00BA7B05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1F7"/>
    <w:rsid w:val="00C3035B"/>
    <w:rsid w:val="00C54849"/>
    <w:rsid w:val="00C560C0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318A7"/>
    <w:rsid w:val="00D32D85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41D5A"/>
    <w:rsid w:val="00E44430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31C0C"/>
    <w:rsid w:val="00F43A5F"/>
    <w:rsid w:val="00F4473B"/>
    <w:rsid w:val="00F55AFD"/>
    <w:rsid w:val="00F64180"/>
    <w:rsid w:val="00F6604D"/>
    <w:rsid w:val="00F6673C"/>
    <w:rsid w:val="00F67053"/>
    <w:rsid w:val="00F960F2"/>
    <w:rsid w:val="00FA2792"/>
    <w:rsid w:val="00FA4D43"/>
    <w:rsid w:val="00FC2BE0"/>
    <w:rsid w:val="00FC43C8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36D72-3EC4-4B59-9CA9-CF60A463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4</Pages>
  <Words>1062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2022-06-22T09:03:00Z</cp:lastPrinted>
  <dcterms:created xsi:type="dcterms:W3CDTF">2022-06-22T13:19:00Z</dcterms:created>
  <dcterms:modified xsi:type="dcterms:W3CDTF">2022-06-22T13:19:00Z</dcterms:modified>
</cp:coreProperties>
</file>