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FE9" w:rsidRPr="00030438" w:rsidRDefault="00BF3FE9" w:rsidP="00030438">
      <w:pPr>
        <w:spacing w:before="0" w:after="0"/>
        <w:jc w:val="left"/>
        <w:rPr>
          <w:sz w:val="24"/>
        </w:rPr>
      </w:pPr>
      <w:bookmarkStart w:id="0" w:name="_GoBack"/>
      <w:bookmarkEnd w:id="0"/>
      <w:r w:rsidRPr="00030438">
        <w:rPr>
          <w:sz w:val="24"/>
        </w:rPr>
        <w:t>Ministerstvo financí</w:t>
      </w:r>
    </w:p>
    <w:p w:rsidR="00BF3FE9" w:rsidRPr="00030438" w:rsidRDefault="00BF3FE9" w:rsidP="00030438">
      <w:pPr>
        <w:spacing w:before="0" w:after="0"/>
        <w:jc w:val="left"/>
        <w:rPr>
          <w:sz w:val="24"/>
        </w:rPr>
      </w:pPr>
      <w:r w:rsidRPr="00030438">
        <w:rPr>
          <w:sz w:val="24"/>
        </w:rPr>
        <w:t>Čj.: MF –</w:t>
      </w:r>
      <w:r w:rsidR="00030438" w:rsidRPr="00030438">
        <w:rPr>
          <w:sz w:val="24"/>
        </w:rPr>
        <w:t xml:space="preserve"> 20014</w:t>
      </w:r>
      <w:r w:rsidRPr="00030438">
        <w:rPr>
          <w:sz w:val="24"/>
        </w:rPr>
        <w:t>/2020/1104-</w:t>
      </w:r>
      <w:r w:rsidR="00C96B1D">
        <w:rPr>
          <w:sz w:val="24"/>
        </w:rPr>
        <w:t>20</w:t>
      </w:r>
    </w:p>
    <w:p w:rsidR="00BF3FE9" w:rsidRPr="00554A21" w:rsidRDefault="00BF3FE9" w:rsidP="00BF3FE9"/>
    <w:p w:rsidR="00BF3FE9" w:rsidRPr="00554A21" w:rsidRDefault="00BF3FE9" w:rsidP="00BF3FE9"/>
    <w:p w:rsidR="00BF3FE9" w:rsidRPr="00554A21" w:rsidRDefault="00BF3FE9" w:rsidP="00BF3FE9"/>
    <w:p w:rsidR="00BF3FE9" w:rsidRPr="00554A21" w:rsidRDefault="00BF3FE9" w:rsidP="00BF3FE9"/>
    <w:p w:rsidR="00BF3FE9" w:rsidRPr="00554A21" w:rsidRDefault="00BF3FE9" w:rsidP="00BF3FE9"/>
    <w:p w:rsidR="00BF3FE9" w:rsidRPr="00554A21" w:rsidRDefault="00BF3FE9" w:rsidP="00BF3FE9"/>
    <w:p w:rsidR="00BF3FE9" w:rsidRPr="00554A21" w:rsidRDefault="00BF3FE9" w:rsidP="00BF3FE9"/>
    <w:p w:rsidR="00BF3FE9" w:rsidRPr="00554A21" w:rsidRDefault="00BF3FE9" w:rsidP="00BF3FE9"/>
    <w:p w:rsidR="00BF3FE9" w:rsidRPr="00554A21" w:rsidRDefault="00BF3FE9" w:rsidP="00BF3FE9"/>
    <w:p w:rsidR="00BF3FE9" w:rsidRPr="00554A21" w:rsidRDefault="00BF3FE9" w:rsidP="00BF3FE9"/>
    <w:p w:rsidR="00BF3FE9" w:rsidRDefault="00BF3FE9" w:rsidP="00BF3FE9"/>
    <w:p w:rsidR="00030438" w:rsidRDefault="00030438" w:rsidP="00BF3FE9"/>
    <w:p w:rsidR="00030438" w:rsidRDefault="00030438" w:rsidP="00BF3FE9"/>
    <w:p w:rsidR="00030438" w:rsidRDefault="00030438" w:rsidP="00BF3FE9"/>
    <w:p w:rsidR="00030438" w:rsidRDefault="00030438" w:rsidP="00BF3FE9"/>
    <w:p w:rsidR="00030438" w:rsidRPr="00554A21" w:rsidRDefault="00030438" w:rsidP="00BF3FE9"/>
    <w:p w:rsidR="00BF3FE9" w:rsidRPr="00554A21" w:rsidRDefault="00BF3FE9" w:rsidP="00BF3FE9">
      <w:pPr>
        <w:rPr>
          <w:sz w:val="44"/>
        </w:rPr>
      </w:pPr>
    </w:p>
    <w:p w:rsidR="00BF3FE9" w:rsidRPr="00554A21" w:rsidRDefault="00C96B1D" w:rsidP="00030438">
      <w:pPr>
        <w:spacing w:before="0" w:after="0"/>
        <w:jc w:val="center"/>
        <w:rPr>
          <w:b/>
          <w:bCs/>
          <w:sz w:val="44"/>
        </w:rPr>
      </w:pPr>
      <w:r>
        <w:rPr>
          <w:b/>
          <w:bCs/>
          <w:sz w:val="44"/>
        </w:rPr>
        <w:t>G</w:t>
      </w:r>
      <w:r w:rsidR="00BF3FE9" w:rsidRPr="00554A21">
        <w:rPr>
          <w:b/>
          <w:bCs/>
          <w:sz w:val="44"/>
        </w:rPr>
        <w:t>.</w:t>
      </w:r>
    </w:p>
    <w:p w:rsidR="00BF3FE9" w:rsidRDefault="00BF3FE9" w:rsidP="00030438">
      <w:pPr>
        <w:spacing w:before="0" w:after="0"/>
        <w:jc w:val="center"/>
        <w:rPr>
          <w:b/>
          <w:bCs/>
          <w:sz w:val="44"/>
        </w:rPr>
      </w:pPr>
    </w:p>
    <w:p w:rsidR="00BF3FE9" w:rsidRDefault="00BF3FE9" w:rsidP="00030438">
      <w:pPr>
        <w:spacing w:before="0" w:after="0"/>
        <w:jc w:val="center"/>
        <w:rPr>
          <w:b/>
          <w:bCs/>
          <w:sz w:val="44"/>
        </w:rPr>
      </w:pPr>
      <w:r w:rsidRPr="00A71AC5">
        <w:rPr>
          <w:b/>
          <w:bCs/>
          <w:sz w:val="44"/>
        </w:rPr>
        <w:t>Rozpočty územních samosprávných celků, dobrovolných svazků obcí a regionálních rad regionů soudržnosti</w:t>
      </w:r>
    </w:p>
    <w:p w:rsidR="00A71AC5" w:rsidRDefault="00A71AC5" w:rsidP="00030438">
      <w:pPr>
        <w:spacing w:before="0" w:after="0"/>
        <w:jc w:val="center"/>
        <w:rPr>
          <w:b/>
          <w:bCs/>
          <w:sz w:val="44"/>
        </w:rPr>
      </w:pPr>
      <w:r>
        <w:rPr>
          <w:b/>
          <w:bCs/>
          <w:sz w:val="44"/>
        </w:rPr>
        <w:br w:type="page"/>
      </w:r>
    </w:p>
    <w:p w:rsidR="00013DB3" w:rsidRPr="00A71AC5" w:rsidRDefault="00013DB3" w:rsidP="00A71AC5">
      <w:pPr>
        <w:spacing w:after="0"/>
        <w:jc w:val="center"/>
        <w:rPr>
          <w:b/>
          <w:bCs/>
          <w:sz w:val="44"/>
        </w:rPr>
      </w:pPr>
    </w:p>
    <w:tbl>
      <w:tblPr>
        <w:tblW w:w="9878" w:type="dxa"/>
        <w:tblLook w:val="01E0" w:firstRow="1" w:lastRow="1" w:firstColumn="1" w:lastColumn="1" w:noHBand="0" w:noVBand="0"/>
      </w:tblPr>
      <w:tblGrid>
        <w:gridCol w:w="9878"/>
      </w:tblGrid>
      <w:tr w:rsidR="00650288" w:rsidRPr="003B10C6" w:rsidTr="004F2DDD">
        <w:trPr>
          <w:trHeight w:val="11597"/>
        </w:trPr>
        <w:tc>
          <w:tcPr>
            <w:tcW w:w="9878" w:type="dxa"/>
            <w:shd w:val="clear" w:color="auto" w:fill="auto"/>
          </w:tcPr>
          <w:p w:rsidR="008D01C8" w:rsidRDefault="008D01C8">
            <w:pPr>
              <w:pStyle w:val="Nadpisobsahu"/>
            </w:pPr>
            <w:r>
              <w:t>Obsah</w:t>
            </w:r>
          </w:p>
          <w:p w:rsidR="00792F37" w:rsidRDefault="008D01C8">
            <w:pPr>
              <w:pStyle w:val="Obsah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54337172" w:history="1">
              <w:r w:rsidR="00792F37" w:rsidRPr="0009128E">
                <w:rPr>
                  <w:rStyle w:val="Hypertextovodkaz"/>
                </w:rPr>
                <w:t>1</w:t>
              </w:r>
              <w:r w:rsidR="00792F37">
                <w:rPr>
                  <w:rFonts w:asciiTheme="minorHAnsi" w:eastAsiaTheme="minorEastAsia" w:hAnsiTheme="minorHAnsi" w:cstheme="minorBidi"/>
                  <w:b w:val="0"/>
                  <w:sz w:val="22"/>
                  <w:szCs w:val="22"/>
                </w:rPr>
                <w:tab/>
              </w:r>
              <w:r w:rsidR="00792F37" w:rsidRPr="0009128E">
                <w:rPr>
                  <w:rStyle w:val="Hypertextovodkaz"/>
                </w:rPr>
                <w:t>Úvod</w:t>
              </w:r>
              <w:r w:rsidR="00792F37">
                <w:rPr>
                  <w:webHidden/>
                </w:rPr>
                <w:tab/>
              </w:r>
              <w:r w:rsidR="00792F37">
                <w:rPr>
                  <w:webHidden/>
                </w:rPr>
                <w:fldChar w:fldCharType="begin"/>
              </w:r>
              <w:r w:rsidR="00792F37">
                <w:rPr>
                  <w:webHidden/>
                </w:rPr>
                <w:instrText xml:space="preserve"> PAGEREF _Toc54337172 \h </w:instrText>
              </w:r>
              <w:r w:rsidR="00792F37">
                <w:rPr>
                  <w:webHidden/>
                </w:rPr>
              </w:r>
              <w:r w:rsidR="00792F37">
                <w:rPr>
                  <w:webHidden/>
                </w:rPr>
                <w:fldChar w:fldCharType="separate"/>
              </w:r>
              <w:r w:rsidR="00792F37">
                <w:rPr>
                  <w:webHidden/>
                </w:rPr>
                <w:t>1</w:t>
              </w:r>
              <w:r w:rsidR="00792F37">
                <w:rPr>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73" w:history="1">
              <w:r w:rsidR="00792F37" w:rsidRPr="0009128E">
                <w:rPr>
                  <w:rStyle w:val="Hypertextovodkaz"/>
                  <w:noProof/>
                </w:rPr>
                <w:t>1.1</w:t>
              </w:r>
              <w:r w:rsidR="00792F37">
                <w:rPr>
                  <w:rFonts w:asciiTheme="minorHAnsi" w:eastAsiaTheme="minorEastAsia" w:hAnsiTheme="minorHAnsi" w:cstheme="minorBidi"/>
                  <w:noProof/>
                  <w:sz w:val="22"/>
                  <w:szCs w:val="22"/>
                </w:rPr>
                <w:tab/>
              </w:r>
              <w:r w:rsidR="00792F37" w:rsidRPr="0009128E">
                <w:rPr>
                  <w:rStyle w:val="Hypertextovodkaz"/>
                  <w:noProof/>
                </w:rPr>
                <w:t>Územní samosprávné celky (ÚSC)</w:t>
              </w:r>
              <w:r w:rsidR="00792F37">
                <w:rPr>
                  <w:noProof/>
                  <w:webHidden/>
                </w:rPr>
                <w:tab/>
              </w:r>
              <w:r w:rsidR="00792F37">
                <w:rPr>
                  <w:noProof/>
                  <w:webHidden/>
                </w:rPr>
                <w:fldChar w:fldCharType="begin"/>
              </w:r>
              <w:r w:rsidR="00792F37">
                <w:rPr>
                  <w:noProof/>
                  <w:webHidden/>
                </w:rPr>
                <w:instrText xml:space="preserve"> PAGEREF _Toc54337173 \h </w:instrText>
              </w:r>
              <w:r w:rsidR="00792F37">
                <w:rPr>
                  <w:noProof/>
                  <w:webHidden/>
                </w:rPr>
              </w:r>
              <w:r w:rsidR="00792F37">
                <w:rPr>
                  <w:noProof/>
                  <w:webHidden/>
                </w:rPr>
                <w:fldChar w:fldCharType="separate"/>
              </w:r>
              <w:r w:rsidR="00792F37">
                <w:rPr>
                  <w:noProof/>
                  <w:webHidden/>
                </w:rPr>
                <w:t>1</w:t>
              </w:r>
              <w:r w:rsidR="00792F37">
                <w:rPr>
                  <w:noProof/>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74" w:history="1">
              <w:r w:rsidR="00792F37" w:rsidRPr="0009128E">
                <w:rPr>
                  <w:rStyle w:val="Hypertextovodkaz"/>
                  <w:noProof/>
                </w:rPr>
                <w:t>1.2</w:t>
              </w:r>
              <w:r w:rsidR="00792F37">
                <w:rPr>
                  <w:rFonts w:asciiTheme="minorHAnsi" w:eastAsiaTheme="minorEastAsia" w:hAnsiTheme="minorHAnsi" w:cstheme="minorBidi"/>
                  <w:noProof/>
                  <w:sz w:val="22"/>
                  <w:szCs w:val="22"/>
                </w:rPr>
                <w:tab/>
              </w:r>
              <w:r w:rsidR="00792F37" w:rsidRPr="0009128E">
                <w:rPr>
                  <w:rStyle w:val="Hypertextovodkaz"/>
                  <w:noProof/>
                </w:rPr>
                <w:t>Další územní rozpočty</w:t>
              </w:r>
              <w:r w:rsidR="00792F37">
                <w:rPr>
                  <w:noProof/>
                  <w:webHidden/>
                </w:rPr>
                <w:tab/>
              </w:r>
              <w:r w:rsidR="00792F37">
                <w:rPr>
                  <w:noProof/>
                  <w:webHidden/>
                </w:rPr>
                <w:fldChar w:fldCharType="begin"/>
              </w:r>
              <w:r w:rsidR="00792F37">
                <w:rPr>
                  <w:noProof/>
                  <w:webHidden/>
                </w:rPr>
                <w:instrText xml:space="preserve"> PAGEREF _Toc54337174 \h </w:instrText>
              </w:r>
              <w:r w:rsidR="00792F37">
                <w:rPr>
                  <w:noProof/>
                  <w:webHidden/>
                </w:rPr>
              </w:r>
              <w:r w:rsidR="00792F37">
                <w:rPr>
                  <w:noProof/>
                  <w:webHidden/>
                </w:rPr>
                <w:fldChar w:fldCharType="separate"/>
              </w:r>
              <w:r w:rsidR="00792F37">
                <w:rPr>
                  <w:noProof/>
                  <w:webHidden/>
                </w:rPr>
                <w:t>1</w:t>
              </w:r>
              <w:r w:rsidR="00792F37">
                <w:rPr>
                  <w:noProof/>
                  <w:webHidden/>
                </w:rPr>
                <w:fldChar w:fldCharType="end"/>
              </w:r>
            </w:hyperlink>
          </w:p>
          <w:p w:rsidR="00792F37" w:rsidRDefault="005D3F3A">
            <w:pPr>
              <w:pStyle w:val="Obsah1"/>
              <w:rPr>
                <w:rFonts w:asciiTheme="minorHAnsi" w:eastAsiaTheme="minorEastAsia" w:hAnsiTheme="minorHAnsi" w:cstheme="minorBidi"/>
                <w:b w:val="0"/>
                <w:sz w:val="22"/>
                <w:szCs w:val="22"/>
              </w:rPr>
            </w:pPr>
            <w:hyperlink w:anchor="_Toc54337175" w:history="1">
              <w:r w:rsidR="00792F37" w:rsidRPr="0009128E">
                <w:rPr>
                  <w:rStyle w:val="Hypertextovodkaz"/>
                </w:rPr>
                <w:t>2</w:t>
              </w:r>
              <w:r w:rsidR="00792F37">
                <w:rPr>
                  <w:rFonts w:asciiTheme="minorHAnsi" w:eastAsiaTheme="minorEastAsia" w:hAnsiTheme="minorHAnsi" w:cstheme="minorBidi"/>
                  <w:b w:val="0"/>
                  <w:sz w:val="22"/>
                  <w:szCs w:val="22"/>
                </w:rPr>
                <w:tab/>
              </w:r>
              <w:r w:rsidR="00792F37" w:rsidRPr="0009128E">
                <w:rPr>
                  <w:rStyle w:val="Hypertextovodkaz"/>
                </w:rPr>
                <w:t>Územní rozpočty v letech 2020 a 2021</w:t>
              </w:r>
              <w:r w:rsidR="00792F37">
                <w:rPr>
                  <w:webHidden/>
                </w:rPr>
                <w:tab/>
              </w:r>
              <w:r w:rsidR="00792F37">
                <w:rPr>
                  <w:webHidden/>
                </w:rPr>
                <w:fldChar w:fldCharType="begin"/>
              </w:r>
              <w:r w:rsidR="00792F37">
                <w:rPr>
                  <w:webHidden/>
                </w:rPr>
                <w:instrText xml:space="preserve"> PAGEREF _Toc54337175 \h </w:instrText>
              </w:r>
              <w:r w:rsidR="00792F37">
                <w:rPr>
                  <w:webHidden/>
                </w:rPr>
              </w:r>
              <w:r w:rsidR="00792F37">
                <w:rPr>
                  <w:webHidden/>
                </w:rPr>
                <w:fldChar w:fldCharType="separate"/>
              </w:r>
              <w:r w:rsidR="00792F37">
                <w:rPr>
                  <w:webHidden/>
                </w:rPr>
                <w:t>2</w:t>
              </w:r>
              <w:r w:rsidR="00792F37">
                <w:rPr>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76" w:history="1">
              <w:r w:rsidR="00792F37" w:rsidRPr="0009128E">
                <w:rPr>
                  <w:rStyle w:val="Hypertextovodkaz"/>
                  <w:noProof/>
                </w:rPr>
                <w:t>2.1</w:t>
              </w:r>
              <w:r w:rsidR="00792F37">
                <w:rPr>
                  <w:rFonts w:asciiTheme="minorHAnsi" w:eastAsiaTheme="minorEastAsia" w:hAnsiTheme="minorHAnsi" w:cstheme="minorBidi"/>
                  <w:noProof/>
                  <w:sz w:val="22"/>
                  <w:szCs w:val="22"/>
                </w:rPr>
                <w:tab/>
              </w:r>
              <w:r w:rsidR="00792F37" w:rsidRPr="0009128E">
                <w:rPr>
                  <w:rStyle w:val="Hypertextovodkaz"/>
                  <w:noProof/>
                </w:rPr>
                <w:t>Východiska pro sestavení predikce</w:t>
              </w:r>
              <w:r w:rsidR="00792F37">
                <w:rPr>
                  <w:noProof/>
                  <w:webHidden/>
                </w:rPr>
                <w:tab/>
              </w:r>
              <w:r w:rsidR="00792F37">
                <w:rPr>
                  <w:noProof/>
                  <w:webHidden/>
                </w:rPr>
                <w:fldChar w:fldCharType="begin"/>
              </w:r>
              <w:r w:rsidR="00792F37">
                <w:rPr>
                  <w:noProof/>
                  <w:webHidden/>
                </w:rPr>
                <w:instrText xml:space="preserve"> PAGEREF _Toc54337176 \h </w:instrText>
              </w:r>
              <w:r w:rsidR="00792F37">
                <w:rPr>
                  <w:noProof/>
                  <w:webHidden/>
                </w:rPr>
              </w:r>
              <w:r w:rsidR="00792F37">
                <w:rPr>
                  <w:noProof/>
                  <w:webHidden/>
                </w:rPr>
                <w:fldChar w:fldCharType="separate"/>
              </w:r>
              <w:r w:rsidR="00792F37">
                <w:rPr>
                  <w:noProof/>
                  <w:webHidden/>
                </w:rPr>
                <w:t>2</w:t>
              </w:r>
              <w:r w:rsidR="00792F37">
                <w:rPr>
                  <w:noProof/>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77" w:history="1">
              <w:r w:rsidR="00792F37" w:rsidRPr="0009128E">
                <w:rPr>
                  <w:rStyle w:val="Hypertextovodkaz"/>
                  <w:noProof/>
                </w:rPr>
                <w:t>2.2</w:t>
              </w:r>
              <w:r w:rsidR="00792F37">
                <w:rPr>
                  <w:rFonts w:asciiTheme="minorHAnsi" w:eastAsiaTheme="minorEastAsia" w:hAnsiTheme="minorHAnsi" w:cstheme="minorBidi"/>
                  <w:noProof/>
                  <w:sz w:val="22"/>
                  <w:szCs w:val="22"/>
                </w:rPr>
                <w:tab/>
              </w:r>
              <w:r w:rsidR="00792F37" w:rsidRPr="0009128E">
                <w:rPr>
                  <w:rStyle w:val="Hypertextovodkaz"/>
                  <w:noProof/>
                </w:rPr>
                <w:t>Očekávaný vývoj hospodaření územních rozpočtů v letech 2020 a 2021</w:t>
              </w:r>
              <w:r w:rsidR="00792F37">
                <w:rPr>
                  <w:noProof/>
                  <w:webHidden/>
                </w:rPr>
                <w:tab/>
              </w:r>
              <w:r w:rsidR="00792F37">
                <w:rPr>
                  <w:noProof/>
                  <w:webHidden/>
                </w:rPr>
                <w:fldChar w:fldCharType="begin"/>
              </w:r>
              <w:r w:rsidR="00792F37">
                <w:rPr>
                  <w:noProof/>
                  <w:webHidden/>
                </w:rPr>
                <w:instrText xml:space="preserve"> PAGEREF _Toc54337177 \h </w:instrText>
              </w:r>
              <w:r w:rsidR="00792F37">
                <w:rPr>
                  <w:noProof/>
                  <w:webHidden/>
                </w:rPr>
              </w:r>
              <w:r w:rsidR="00792F37">
                <w:rPr>
                  <w:noProof/>
                  <w:webHidden/>
                </w:rPr>
                <w:fldChar w:fldCharType="separate"/>
              </w:r>
              <w:r w:rsidR="00792F37">
                <w:rPr>
                  <w:noProof/>
                  <w:webHidden/>
                </w:rPr>
                <w:t>2</w:t>
              </w:r>
              <w:r w:rsidR="00792F37">
                <w:rPr>
                  <w:noProof/>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78" w:history="1">
              <w:r w:rsidR="00792F37" w:rsidRPr="0009128E">
                <w:rPr>
                  <w:rStyle w:val="Hypertextovodkaz"/>
                  <w:noProof/>
                </w:rPr>
                <w:t>2.3</w:t>
              </w:r>
              <w:r w:rsidR="00792F37">
                <w:rPr>
                  <w:rFonts w:asciiTheme="minorHAnsi" w:eastAsiaTheme="minorEastAsia" w:hAnsiTheme="minorHAnsi" w:cstheme="minorBidi"/>
                  <w:noProof/>
                  <w:sz w:val="22"/>
                  <w:szCs w:val="22"/>
                </w:rPr>
                <w:tab/>
              </w:r>
              <w:r w:rsidR="00792F37" w:rsidRPr="0009128E">
                <w:rPr>
                  <w:rStyle w:val="Hypertextovodkaz"/>
                  <w:noProof/>
                </w:rPr>
                <w:t>Vývoj hospodaření obcí v letech 2020 a 2021</w:t>
              </w:r>
              <w:r w:rsidR="00792F37">
                <w:rPr>
                  <w:noProof/>
                  <w:webHidden/>
                </w:rPr>
                <w:tab/>
              </w:r>
              <w:r w:rsidR="00792F37">
                <w:rPr>
                  <w:noProof/>
                  <w:webHidden/>
                </w:rPr>
                <w:fldChar w:fldCharType="begin"/>
              </w:r>
              <w:r w:rsidR="00792F37">
                <w:rPr>
                  <w:noProof/>
                  <w:webHidden/>
                </w:rPr>
                <w:instrText xml:space="preserve"> PAGEREF _Toc54337178 \h </w:instrText>
              </w:r>
              <w:r w:rsidR="00792F37">
                <w:rPr>
                  <w:noProof/>
                  <w:webHidden/>
                </w:rPr>
              </w:r>
              <w:r w:rsidR="00792F37">
                <w:rPr>
                  <w:noProof/>
                  <w:webHidden/>
                </w:rPr>
                <w:fldChar w:fldCharType="separate"/>
              </w:r>
              <w:r w:rsidR="00792F37">
                <w:rPr>
                  <w:noProof/>
                  <w:webHidden/>
                </w:rPr>
                <w:t>3</w:t>
              </w:r>
              <w:r w:rsidR="00792F37">
                <w:rPr>
                  <w:noProof/>
                  <w:webHidden/>
                </w:rPr>
                <w:fldChar w:fldCharType="end"/>
              </w:r>
            </w:hyperlink>
          </w:p>
          <w:p w:rsidR="00792F37" w:rsidRDefault="005D3F3A">
            <w:pPr>
              <w:pStyle w:val="Obsah3"/>
              <w:rPr>
                <w:rFonts w:asciiTheme="minorHAnsi" w:eastAsiaTheme="minorEastAsia" w:hAnsiTheme="minorHAnsi" w:cstheme="minorBidi"/>
                <w:noProof/>
                <w:sz w:val="22"/>
                <w:szCs w:val="22"/>
              </w:rPr>
            </w:pPr>
            <w:hyperlink w:anchor="_Toc54337179" w:history="1">
              <w:r w:rsidR="00792F37" w:rsidRPr="0009128E">
                <w:rPr>
                  <w:rStyle w:val="Hypertextovodkaz"/>
                  <w:noProof/>
                  <w14:scene3d>
                    <w14:camera w14:prst="orthographicFront"/>
                    <w14:lightRig w14:rig="threePt" w14:dir="t">
                      <w14:rot w14:lat="0" w14:lon="0" w14:rev="0"/>
                    </w14:lightRig>
                  </w14:scene3d>
                </w:rPr>
                <w:t>2.3.1</w:t>
              </w:r>
              <w:r w:rsidR="00792F37">
                <w:rPr>
                  <w:rFonts w:asciiTheme="minorHAnsi" w:eastAsiaTheme="minorEastAsia" w:hAnsiTheme="minorHAnsi" w:cstheme="minorBidi"/>
                  <w:noProof/>
                  <w:sz w:val="22"/>
                  <w:szCs w:val="22"/>
                </w:rPr>
                <w:tab/>
              </w:r>
              <w:r w:rsidR="00792F37" w:rsidRPr="0009128E">
                <w:rPr>
                  <w:rStyle w:val="Hypertextovodkaz"/>
                  <w:noProof/>
                </w:rPr>
                <w:t>Odhadovaný vývoj na straně příjmů</w:t>
              </w:r>
              <w:r w:rsidR="00792F37">
                <w:rPr>
                  <w:noProof/>
                  <w:webHidden/>
                </w:rPr>
                <w:tab/>
              </w:r>
              <w:r w:rsidR="00792F37">
                <w:rPr>
                  <w:noProof/>
                  <w:webHidden/>
                </w:rPr>
                <w:fldChar w:fldCharType="begin"/>
              </w:r>
              <w:r w:rsidR="00792F37">
                <w:rPr>
                  <w:noProof/>
                  <w:webHidden/>
                </w:rPr>
                <w:instrText xml:space="preserve"> PAGEREF _Toc54337179 \h </w:instrText>
              </w:r>
              <w:r w:rsidR="00792F37">
                <w:rPr>
                  <w:noProof/>
                  <w:webHidden/>
                </w:rPr>
              </w:r>
              <w:r w:rsidR="00792F37">
                <w:rPr>
                  <w:noProof/>
                  <w:webHidden/>
                </w:rPr>
                <w:fldChar w:fldCharType="separate"/>
              </w:r>
              <w:r w:rsidR="00792F37">
                <w:rPr>
                  <w:noProof/>
                  <w:webHidden/>
                </w:rPr>
                <w:t>4</w:t>
              </w:r>
              <w:r w:rsidR="00792F37">
                <w:rPr>
                  <w:noProof/>
                  <w:webHidden/>
                </w:rPr>
                <w:fldChar w:fldCharType="end"/>
              </w:r>
            </w:hyperlink>
          </w:p>
          <w:p w:rsidR="00792F37" w:rsidRDefault="005D3F3A">
            <w:pPr>
              <w:pStyle w:val="Obsah3"/>
              <w:rPr>
                <w:rFonts w:asciiTheme="minorHAnsi" w:eastAsiaTheme="minorEastAsia" w:hAnsiTheme="minorHAnsi" w:cstheme="minorBidi"/>
                <w:noProof/>
                <w:sz w:val="22"/>
                <w:szCs w:val="22"/>
              </w:rPr>
            </w:pPr>
            <w:hyperlink w:anchor="_Toc54337180" w:history="1">
              <w:r w:rsidR="00792F37" w:rsidRPr="0009128E">
                <w:rPr>
                  <w:rStyle w:val="Hypertextovodkaz"/>
                  <w:noProof/>
                  <w14:scene3d>
                    <w14:camera w14:prst="orthographicFront"/>
                    <w14:lightRig w14:rig="threePt" w14:dir="t">
                      <w14:rot w14:lat="0" w14:lon="0" w14:rev="0"/>
                    </w14:lightRig>
                  </w14:scene3d>
                </w:rPr>
                <w:t>2.3.2</w:t>
              </w:r>
              <w:r w:rsidR="00792F37">
                <w:rPr>
                  <w:rFonts w:asciiTheme="minorHAnsi" w:eastAsiaTheme="minorEastAsia" w:hAnsiTheme="minorHAnsi" w:cstheme="minorBidi"/>
                  <w:noProof/>
                  <w:sz w:val="22"/>
                  <w:szCs w:val="22"/>
                </w:rPr>
                <w:tab/>
              </w:r>
              <w:r w:rsidR="00792F37" w:rsidRPr="0009128E">
                <w:rPr>
                  <w:rStyle w:val="Hypertextovodkaz"/>
                  <w:noProof/>
                </w:rPr>
                <w:t>Odhadovaný vývoj na straně výdajů</w:t>
              </w:r>
              <w:r w:rsidR="00792F37">
                <w:rPr>
                  <w:noProof/>
                  <w:webHidden/>
                </w:rPr>
                <w:tab/>
              </w:r>
              <w:r w:rsidR="00792F37">
                <w:rPr>
                  <w:noProof/>
                  <w:webHidden/>
                </w:rPr>
                <w:fldChar w:fldCharType="begin"/>
              </w:r>
              <w:r w:rsidR="00792F37">
                <w:rPr>
                  <w:noProof/>
                  <w:webHidden/>
                </w:rPr>
                <w:instrText xml:space="preserve"> PAGEREF _Toc54337180 \h </w:instrText>
              </w:r>
              <w:r w:rsidR="00792F37">
                <w:rPr>
                  <w:noProof/>
                  <w:webHidden/>
                </w:rPr>
              </w:r>
              <w:r w:rsidR="00792F37">
                <w:rPr>
                  <w:noProof/>
                  <w:webHidden/>
                </w:rPr>
                <w:fldChar w:fldCharType="separate"/>
              </w:r>
              <w:r w:rsidR="00792F37">
                <w:rPr>
                  <w:noProof/>
                  <w:webHidden/>
                </w:rPr>
                <w:t>5</w:t>
              </w:r>
              <w:r w:rsidR="00792F37">
                <w:rPr>
                  <w:noProof/>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81" w:history="1">
              <w:r w:rsidR="00792F37" w:rsidRPr="0009128E">
                <w:rPr>
                  <w:rStyle w:val="Hypertextovodkaz"/>
                  <w:noProof/>
                </w:rPr>
                <w:t>2.4</w:t>
              </w:r>
              <w:r w:rsidR="00792F37">
                <w:rPr>
                  <w:rFonts w:asciiTheme="minorHAnsi" w:eastAsiaTheme="minorEastAsia" w:hAnsiTheme="minorHAnsi" w:cstheme="minorBidi"/>
                  <w:noProof/>
                  <w:sz w:val="22"/>
                  <w:szCs w:val="22"/>
                </w:rPr>
                <w:tab/>
              </w:r>
              <w:r w:rsidR="00792F37" w:rsidRPr="0009128E">
                <w:rPr>
                  <w:rStyle w:val="Hypertextovodkaz"/>
                  <w:noProof/>
                </w:rPr>
                <w:t>Vývoj hospodaření krajů v letech 2020 a 2021</w:t>
              </w:r>
              <w:r w:rsidR="00792F37">
                <w:rPr>
                  <w:noProof/>
                  <w:webHidden/>
                </w:rPr>
                <w:tab/>
              </w:r>
              <w:r w:rsidR="00792F37">
                <w:rPr>
                  <w:noProof/>
                  <w:webHidden/>
                </w:rPr>
                <w:fldChar w:fldCharType="begin"/>
              </w:r>
              <w:r w:rsidR="00792F37">
                <w:rPr>
                  <w:noProof/>
                  <w:webHidden/>
                </w:rPr>
                <w:instrText xml:space="preserve"> PAGEREF _Toc54337181 \h </w:instrText>
              </w:r>
              <w:r w:rsidR="00792F37">
                <w:rPr>
                  <w:noProof/>
                  <w:webHidden/>
                </w:rPr>
              </w:r>
              <w:r w:rsidR="00792F37">
                <w:rPr>
                  <w:noProof/>
                  <w:webHidden/>
                </w:rPr>
                <w:fldChar w:fldCharType="separate"/>
              </w:r>
              <w:r w:rsidR="00792F37">
                <w:rPr>
                  <w:noProof/>
                  <w:webHidden/>
                </w:rPr>
                <w:t>6</w:t>
              </w:r>
              <w:r w:rsidR="00792F37">
                <w:rPr>
                  <w:noProof/>
                  <w:webHidden/>
                </w:rPr>
                <w:fldChar w:fldCharType="end"/>
              </w:r>
            </w:hyperlink>
          </w:p>
          <w:p w:rsidR="00792F37" w:rsidRDefault="005D3F3A">
            <w:pPr>
              <w:pStyle w:val="Obsah3"/>
              <w:rPr>
                <w:rFonts w:asciiTheme="minorHAnsi" w:eastAsiaTheme="minorEastAsia" w:hAnsiTheme="minorHAnsi" w:cstheme="minorBidi"/>
                <w:noProof/>
                <w:sz w:val="22"/>
                <w:szCs w:val="22"/>
              </w:rPr>
            </w:pPr>
            <w:hyperlink w:anchor="_Toc54337182" w:history="1">
              <w:r w:rsidR="00792F37" w:rsidRPr="0009128E">
                <w:rPr>
                  <w:rStyle w:val="Hypertextovodkaz"/>
                  <w:noProof/>
                  <w14:scene3d>
                    <w14:camera w14:prst="orthographicFront"/>
                    <w14:lightRig w14:rig="threePt" w14:dir="t">
                      <w14:rot w14:lat="0" w14:lon="0" w14:rev="0"/>
                    </w14:lightRig>
                  </w14:scene3d>
                </w:rPr>
                <w:t>2.4.1</w:t>
              </w:r>
              <w:r w:rsidR="00792F37">
                <w:rPr>
                  <w:rFonts w:asciiTheme="minorHAnsi" w:eastAsiaTheme="minorEastAsia" w:hAnsiTheme="minorHAnsi" w:cstheme="minorBidi"/>
                  <w:noProof/>
                  <w:sz w:val="22"/>
                  <w:szCs w:val="22"/>
                </w:rPr>
                <w:tab/>
              </w:r>
              <w:r w:rsidR="00792F37" w:rsidRPr="0009128E">
                <w:rPr>
                  <w:rStyle w:val="Hypertextovodkaz"/>
                  <w:noProof/>
                </w:rPr>
                <w:t>Odhadovaný vývoj na straně příjmů</w:t>
              </w:r>
              <w:r w:rsidR="00792F37">
                <w:rPr>
                  <w:noProof/>
                  <w:webHidden/>
                </w:rPr>
                <w:tab/>
              </w:r>
              <w:r w:rsidR="00792F37">
                <w:rPr>
                  <w:noProof/>
                  <w:webHidden/>
                </w:rPr>
                <w:fldChar w:fldCharType="begin"/>
              </w:r>
              <w:r w:rsidR="00792F37">
                <w:rPr>
                  <w:noProof/>
                  <w:webHidden/>
                </w:rPr>
                <w:instrText xml:space="preserve"> PAGEREF _Toc54337182 \h </w:instrText>
              </w:r>
              <w:r w:rsidR="00792F37">
                <w:rPr>
                  <w:noProof/>
                  <w:webHidden/>
                </w:rPr>
              </w:r>
              <w:r w:rsidR="00792F37">
                <w:rPr>
                  <w:noProof/>
                  <w:webHidden/>
                </w:rPr>
                <w:fldChar w:fldCharType="separate"/>
              </w:r>
              <w:r w:rsidR="00792F37">
                <w:rPr>
                  <w:noProof/>
                  <w:webHidden/>
                </w:rPr>
                <w:t>7</w:t>
              </w:r>
              <w:r w:rsidR="00792F37">
                <w:rPr>
                  <w:noProof/>
                  <w:webHidden/>
                </w:rPr>
                <w:fldChar w:fldCharType="end"/>
              </w:r>
            </w:hyperlink>
          </w:p>
          <w:p w:rsidR="00792F37" w:rsidRDefault="005D3F3A">
            <w:pPr>
              <w:pStyle w:val="Obsah3"/>
              <w:rPr>
                <w:rFonts w:asciiTheme="minorHAnsi" w:eastAsiaTheme="minorEastAsia" w:hAnsiTheme="minorHAnsi" w:cstheme="minorBidi"/>
                <w:noProof/>
                <w:sz w:val="22"/>
                <w:szCs w:val="22"/>
              </w:rPr>
            </w:pPr>
            <w:hyperlink w:anchor="_Toc54337183" w:history="1">
              <w:r w:rsidR="00792F37" w:rsidRPr="0009128E">
                <w:rPr>
                  <w:rStyle w:val="Hypertextovodkaz"/>
                  <w:noProof/>
                  <w14:scene3d>
                    <w14:camera w14:prst="orthographicFront"/>
                    <w14:lightRig w14:rig="threePt" w14:dir="t">
                      <w14:rot w14:lat="0" w14:lon="0" w14:rev="0"/>
                    </w14:lightRig>
                  </w14:scene3d>
                </w:rPr>
                <w:t>2.4.2</w:t>
              </w:r>
              <w:r w:rsidR="00792F37">
                <w:rPr>
                  <w:rFonts w:asciiTheme="minorHAnsi" w:eastAsiaTheme="minorEastAsia" w:hAnsiTheme="minorHAnsi" w:cstheme="minorBidi"/>
                  <w:noProof/>
                  <w:sz w:val="22"/>
                  <w:szCs w:val="22"/>
                </w:rPr>
                <w:tab/>
              </w:r>
              <w:r w:rsidR="00792F37" w:rsidRPr="0009128E">
                <w:rPr>
                  <w:rStyle w:val="Hypertextovodkaz"/>
                  <w:noProof/>
                </w:rPr>
                <w:t>Odhadovaný vývoj na straně výdajů</w:t>
              </w:r>
              <w:r w:rsidR="00792F37">
                <w:rPr>
                  <w:noProof/>
                  <w:webHidden/>
                </w:rPr>
                <w:tab/>
              </w:r>
              <w:r w:rsidR="00792F37">
                <w:rPr>
                  <w:noProof/>
                  <w:webHidden/>
                </w:rPr>
                <w:fldChar w:fldCharType="begin"/>
              </w:r>
              <w:r w:rsidR="00792F37">
                <w:rPr>
                  <w:noProof/>
                  <w:webHidden/>
                </w:rPr>
                <w:instrText xml:space="preserve"> PAGEREF _Toc54337183 \h </w:instrText>
              </w:r>
              <w:r w:rsidR="00792F37">
                <w:rPr>
                  <w:noProof/>
                  <w:webHidden/>
                </w:rPr>
              </w:r>
              <w:r w:rsidR="00792F37">
                <w:rPr>
                  <w:noProof/>
                  <w:webHidden/>
                </w:rPr>
                <w:fldChar w:fldCharType="separate"/>
              </w:r>
              <w:r w:rsidR="00792F37">
                <w:rPr>
                  <w:noProof/>
                  <w:webHidden/>
                </w:rPr>
                <w:t>9</w:t>
              </w:r>
              <w:r w:rsidR="00792F37">
                <w:rPr>
                  <w:noProof/>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84" w:history="1">
              <w:r w:rsidR="00792F37" w:rsidRPr="0009128E">
                <w:rPr>
                  <w:rStyle w:val="Hypertextovodkaz"/>
                  <w:noProof/>
                </w:rPr>
                <w:t>2.5</w:t>
              </w:r>
              <w:r w:rsidR="00792F37">
                <w:rPr>
                  <w:rFonts w:asciiTheme="minorHAnsi" w:eastAsiaTheme="minorEastAsia" w:hAnsiTheme="minorHAnsi" w:cstheme="minorBidi"/>
                  <w:noProof/>
                  <w:sz w:val="22"/>
                  <w:szCs w:val="22"/>
                </w:rPr>
                <w:tab/>
              </w:r>
              <w:r w:rsidR="00792F37" w:rsidRPr="0009128E">
                <w:rPr>
                  <w:rStyle w:val="Hypertextovodkaz"/>
                  <w:noProof/>
                </w:rPr>
                <w:t>Další územní rozpočty v letech 2020 a 2021</w:t>
              </w:r>
              <w:r w:rsidR="00792F37">
                <w:rPr>
                  <w:noProof/>
                  <w:webHidden/>
                </w:rPr>
                <w:tab/>
              </w:r>
              <w:r w:rsidR="00792F37">
                <w:rPr>
                  <w:noProof/>
                  <w:webHidden/>
                </w:rPr>
                <w:fldChar w:fldCharType="begin"/>
              </w:r>
              <w:r w:rsidR="00792F37">
                <w:rPr>
                  <w:noProof/>
                  <w:webHidden/>
                </w:rPr>
                <w:instrText xml:space="preserve"> PAGEREF _Toc54337184 \h </w:instrText>
              </w:r>
              <w:r w:rsidR="00792F37">
                <w:rPr>
                  <w:noProof/>
                  <w:webHidden/>
                </w:rPr>
              </w:r>
              <w:r w:rsidR="00792F37">
                <w:rPr>
                  <w:noProof/>
                  <w:webHidden/>
                </w:rPr>
                <w:fldChar w:fldCharType="separate"/>
              </w:r>
              <w:r w:rsidR="00792F37">
                <w:rPr>
                  <w:noProof/>
                  <w:webHidden/>
                </w:rPr>
                <w:t>9</w:t>
              </w:r>
              <w:r w:rsidR="00792F37">
                <w:rPr>
                  <w:noProof/>
                  <w:webHidden/>
                </w:rPr>
                <w:fldChar w:fldCharType="end"/>
              </w:r>
            </w:hyperlink>
          </w:p>
          <w:p w:rsidR="00792F37" w:rsidRDefault="005D3F3A">
            <w:pPr>
              <w:pStyle w:val="Obsah1"/>
              <w:rPr>
                <w:rFonts w:asciiTheme="minorHAnsi" w:eastAsiaTheme="minorEastAsia" w:hAnsiTheme="minorHAnsi" w:cstheme="minorBidi"/>
                <w:b w:val="0"/>
                <w:sz w:val="22"/>
                <w:szCs w:val="22"/>
              </w:rPr>
            </w:pPr>
            <w:hyperlink w:anchor="_Toc54337185" w:history="1">
              <w:r w:rsidR="00792F37" w:rsidRPr="0009128E">
                <w:rPr>
                  <w:rStyle w:val="Hypertextovodkaz"/>
                </w:rPr>
                <w:t>3</w:t>
              </w:r>
              <w:r w:rsidR="00792F37">
                <w:rPr>
                  <w:rFonts w:asciiTheme="minorHAnsi" w:eastAsiaTheme="minorEastAsia" w:hAnsiTheme="minorHAnsi" w:cstheme="minorBidi"/>
                  <w:b w:val="0"/>
                  <w:sz w:val="22"/>
                  <w:szCs w:val="22"/>
                </w:rPr>
                <w:tab/>
              </w:r>
              <w:r w:rsidR="00792F37" w:rsidRPr="0009128E">
                <w:rPr>
                  <w:rStyle w:val="Hypertextovodkaz"/>
                </w:rPr>
                <w:t>Dotace ze státního rozpočtu pro územní rozpočty</w:t>
              </w:r>
              <w:r w:rsidR="00792F37">
                <w:rPr>
                  <w:webHidden/>
                </w:rPr>
                <w:tab/>
              </w:r>
              <w:r w:rsidR="00792F37">
                <w:rPr>
                  <w:webHidden/>
                </w:rPr>
                <w:fldChar w:fldCharType="begin"/>
              </w:r>
              <w:r w:rsidR="00792F37">
                <w:rPr>
                  <w:webHidden/>
                </w:rPr>
                <w:instrText xml:space="preserve"> PAGEREF _Toc54337185 \h </w:instrText>
              </w:r>
              <w:r w:rsidR="00792F37">
                <w:rPr>
                  <w:webHidden/>
                </w:rPr>
              </w:r>
              <w:r w:rsidR="00792F37">
                <w:rPr>
                  <w:webHidden/>
                </w:rPr>
                <w:fldChar w:fldCharType="separate"/>
              </w:r>
              <w:r w:rsidR="00792F37">
                <w:rPr>
                  <w:webHidden/>
                </w:rPr>
                <w:t>10</w:t>
              </w:r>
              <w:r w:rsidR="00792F37">
                <w:rPr>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86" w:history="1">
              <w:r w:rsidR="00792F37" w:rsidRPr="0009128E">
                <w:rPr>
                  <w:rStyle w:val="Hypertextovodkaz"/>
                  <w:noProof/>
                </w:rPr>
                <w:t>3.1</w:t>
              </w:r>
              <w:r w:rsidR="00792F37">
                <w:rPr>
                  <w:rFonts w:asciiTheme="minorHAnsi" w:eastAsiaTheme="minorEastAsia" w:hAnsiTheme="minorHAnsi" w:cstheme="minorBidi"/>
                  <w:noProof/>
                  <w:sz w:val="22"/>
                  <w:szCs w:val="22"/>
                </w:rPr>
                <w:tab/>
              </w:r>
              <w:r w:rsidR="00792F37" w:rsidRPr="0009128E">
                <w:rPr>
                  <w:rStyle w:val="Hypertextovodkaz"/>
                  <w:noProof/>
                </w:rPr>
                <w:t>Dotace ze státního rozpočtu pro obce a hl. m. Prahu v roce 2021</w:t>
              </w:r>
              <w:r w:rsidR="00792F37">
                <w:rPr>
                  <w:noProof/>
                  <w:webHidden/>
                </w:rPr>
                <w:tab/>
              </w:r>
              <w:r w:rsidR="00792F37">
                <w:rPr>
                  <w:noProof/>
                  <w:webHidden/>
                </w:rPr>
                <w:fldChar w:fldCharType="begin"/>
              </w:r>
              <w:r w:rsidR="00792F37">
                <w:rPr>
                  <w:noProof/>
                  <w:webHidden/>
                </w:rPr>
                <w:instrText xml:space="preserve"> PAGEREF _Toc54337186 \h </w:instrText>
              </w:r>
              <w:r w:rsidR="00792F37">
                <w:rPr>
                  <w:noProof/>
                  <w:webHidden/>
                </w:rPr>
              </w:r>
              <w:r w:rsidR="00792F37">
                <w:rPr>
                  <w:noProof/>
                  <w:webHidden/>
                </w:rPr>
                <w:fldChar w:fldCharType="separate"/>
              </w:r>
              <w:r w:rsidR="00792F37">
                <w:rPr>
                  <w:noProof/>
                  <w:webHidden/>
                </w:rPr>
                <w:t>10</w:t>
              </w:r>
              <w:r w:rsidR="00792F37">
                <w:rPr>
                  <w:noProof/>
                  <w:webHidden/>
                </w:rPr>
                <w:fldChar w:fldCharType="end"/>
              </w:r>
            </w:hyperlink>
          </w:p>
          <w:p w:rsidR="00792F37" w:rsidRDefault="005D3F3A">
            <w:pPr>
              <w:pStyle w:val="Obsah3"/>
              <w:rPr>
                <w:rFonts w:asciiTheme="minorHAnsi" w:eastAsiaTheme="minorEastAsia" w:hAnsiTheme="minorHAnsi" w:cstheme="minorBidi"/>
                <w:noProof/>
                <w:sz w:val="22"/>
                <w:szCs w:val="22"/>
              </w:rPr>
            </w:pPr>
            <w:hyperlink w:anchor="_Toc54337187" w:history="1">
              <w:r w:rsidR="00792F37" w:rsidRPr="0009128E">
                <w:rPr>
                  <w:rStyle w:val="Hypertextovodkaz"/>
                  <w:noProof/>
                  <w14:scene3d>
                    <w14:camera w14:prst="orthographicFront"/>
                    <w14:lightRig w14:rig="threePt" w14:dir="t">
                      <w14:rot w14:lat="0" w14:lon="0" w14:rev="0"/>
                    </w14:lightRig>
                  </w14:scene3d>
                </w:rPr>
                <w:t>3.1.1</w:t>
              </w:r>
              <w:r w:rsidR="00792F37">
                <w:rPr>
                  <w:rFonts w:asciiTheme="minorHAnsi" w:eastAsiaTheme="minorEastAsia" w:hAnsiTheme="minorHAnsi" w:cstheme="minorBidi"/>
                  <w:noProof/>
                  <w:sz w:val="22"/>
                  <w:szCs w:val="22"/>
                </w:rPr>
                <w:tab/>
              </w:r>
              <w:r w:rsidR="00792F37" w:rsidRPr="0009128E">
                <w:rPr>
                  <w:rStyle w:val="Hypertextovodkaz"/>
                  <w:noProof/>
                </w:rPr>
                <w:t>Dotace z kapitoly Všeobecná pokladní správa</w:t>
              </w:r>
              <w:r w:rsidR="00792F37">
                <w:rPr>
                  <w:noProof/>
                  <w:webHidden/>
                </w:rPr>
                <w:tab/>
              </w:r>
              <w:r w:rsidR="00792F37">
                <w:rPr>
                  <w:noProof/>
                  <w:webHidden/>
                </w:rPr>
                <w:fldChar w:fldCharType="begin"/>
              </w:r>
              <w:r w:rsidR="00792F37">
                <w:rPr>
                  <w:noProof/>
                  <w:webHidden/>
                </w:rPr>
                <w:instrText xml:space="preserve"> PAGEREF _Toc54337187 \h </w:instrText>
              </w:r>
              <w:r w:rsidR="00792F37">
                <w:rPr>
                  <w:noProof/>
                  <w:webHidden/>
                </w:rPr>
              </w:r>
              <w:r w:rsidR="00792F37">
                <w:rPr>
                  <w:noProof/>
                  <w:webHidden/>
                </w:rPr>
                <w:fldChar w:fldCharType="separate"/>
              </w:r>
              <w:r w:rsidR="00792F37">
                <w:rPr>
                  <w:noProof/>
                  <w:webHidden/>
                </w:rPr>
                <w:t>10</w:t>
              </w:r>
              <w:r w:rsidR="00792F37">
                <w:rPr>
                  <w:noProof/>
                  <w:webHidden/>
                </w:rPr>
                <w:fldChar w:fldCharType="end"/>
              </w:r>
            </w:hyperlink>
          </w:p>
          <w:p w:rsidR="00792F37" w:rsidRDefault="005D3F3A">
            <w:pPr>
              <w:pStyle w:val="Obsah3"/>
              <w:rPr>
                <w:rFonts w:asciiTheme="minorHAnsi" w:eastAsiaTheme="minorEastAsia" w:hAnsiTheme="minorHAnsi" w:cstheme="minorBidi"/>
                <w:noProof/>
                <w:sz w:val="22"/>
                <w:szCs w:val="22"/>
              </w:rPr>
            </w:pPr>
            <w:hyperlink w:anchor="_Toc54337188" w:history="1">
              <w:r w:rsidR="00792F37" w:rsidRPr="0009128E">
                <w:rPr>
                  <w:rStyle w:val="Hypertextovodkaz"/>
                  <w:noProof/>
                  <w14:scene3d>
                    <w14:camera w14:prst="orthographicFront"/>
                    <w14:lightRig w14:rig="threePt" w14:dir="t">
                      <w14:rot w14:lat="0" w14:lon="0" w14:rev="0"/>
                    </w14:lightRig>
                  </w14:scene3d>
                </w:rPr>
                <w:t>3.1.2</w:t>
              </w:r>
              <w:r w:rsidR="00792F37">
                <w:rPr>
                  <w:rFonts w:asciiTheme="minorHAnsi" w:eastAsiaTheme="minorEastAsia" w:hAnsiTheme="minorHAnsi" w:cstheme="minorBidi"/>
                  <w:noProof/>
                  <w:sz w:val="22"/>
                  <w:szCs w:val="22"/>
                </w:rPr>
                <w:tab/>
              </w:r>
              <w:r w:rsidR="00792F37" w:rsidRPr="0009128E">
                <w:rPr>
                  <w:rStyle w:val="Hypertextovodkaz"/>
                  <w:noProof/>
                </w:rPr>
                <w:t>Ostatní dotace z kapitoly Všeobecná pokladní správa</w:t>
              </w:r>
              <w:r w:rsidR="00792F37">
                <w:rPr>
                  <w:noProof/>
                  <w:webHidden/>
                </w:rPr>
                <w:tab/>
              </w:r>
              <w:r w:rsidR="00792F37">
                <w:rPr>
                  <w:noProof/>
                  <w:webHidden/>
                </w:rPr>
                <w:fldChar w:fldCharType="begin"/>
              </w:r>
              <w:r w:rsidR="00792F37">
                <w:rPr>
                  <w:noProof/>
                  <w:webHidden/>
                </w:rPr>
                <w:instrText xml:space="preserve"> PAGEREF _Toc54337188 \h </w:instrText>
              </w:r>
              <w:r w:rsidR="00792F37">
                <w:rPr>
                  <w:noProof/>
                  <w:webHidden/>
                </w:rPr>
              </w:r>
              <w:r w:rsidR="00792F37">
                <w:rPr>
                  <w:noProof/>
                  <w:webHidden/>
                </w:rPr>
                <w:fldChar w:fldCharType="separate"/>
              </w:r>
              <w:r w:rsidR="00792F37">
                <w:rPr>
                  <w:noProof/>
                  <w:webHidden/>
                </w:rPr>
                <w:t>16</w:t>
              </w:r>
              <w:r w:rsidR="00792F37">
                <w:rPr>
                  <w:noProof/>
                  <w:webHidden/>
                </w:rPr>
                <w:fldChar w:fldCharType="end"/>
              </w:r>
            </w:hyperlink>
          </w:p>
          <w:p w:rsidR="00792F37" w:rsidRDefault="005D3F3A">
            <w:pPr>
              <w:pStyle w:val="Obsah3"/>
              <w:rPr>
                <w:rFonts w:asciiTheme="minorHAnsi" w:eastAsiaTheme="minorEastAsia" w:hAnsiTheme="minorHAnsi" w:cstheme="minorBidi"/>
                <w:noProof/>
                <w:sz w:val="22"/>
                <w:szCs w:val="22"/>
              </w:rPr>
            </w:pPr>
            <w:hyperlink w:anchor="_Toc54337189" w:history="1">
              <w:r w:rsidR="00792F37" w:rsidRPr="0009128E">
                <w:rPr>
                  <w:rStyle w:val="Hypertextovodkaz"/>
                  <w:noProof/>
                  <w14:scene3d>
                    <w14:camera w14:prst="orthographicFront"/>
                    <w14:lightRig w14:rig="threePt" w14:dir="t">
                      <w14:rot w14:lat="0" w14:lon="0" w14:rev="0"/>
                    </w14:lightRig>
                  </w14:scene3d>
                </w:rPr>
                <w:t>3.1.3</w:t>
              </w:r>
              <w:r w:rsidR="00792F37">
                <w:rPr>
                  <w:rFonts w:asciiTheme="minorHAnsi" w:eastAsiaTheme="minorEastAsia" w:hAnsiTheme="minorHAnsi" w:cstheme="minorBidi"/>
                  <w:noProof/>
                  <w:sz w:val="22"/>
                  <w:szCs w:val="22"/>
                </w:rPr>
                <w:tab/>
              </w:r>
              <w:r w:rsidR="00792F37" w:rsidRPr="0009128E">
                <w:rPr>
                  <w:rStyle w:val="Hypertextovodkaz"/>
                  <w:noProof/>
                </w:rPr>
                <w:t>Dotace z ostatních kapitol státního rozpočtu</w:t>
              </w:r>
              <w:r w:rsidR="00792F37">
                <w:rPr>
                  <w:noProof/>
                  <w:webHidden/>
                </w:rPr>
                <w:tab/>
              </w:r>
              <w:r w:rsidR="00792F37">
                <w:rPr>
                  <w:noProof/>
                  <w:webHidden/>
                </w:rPr>
                <w:fldChar w:fldCharType="begin"/>
              </w:r>
              <w:r w:rsidR="00792F37">
                <w:rPr>
                  <w:noProof/>
                  <w:webHidden/>
                </w:rPr>
                <w:instrText xml:space="preserve"> PAGEREF _Toc54337189 \h </w:instrText>
              </w:r>
              <w:r w:rsidR="00792F37">
                <w:rPr>
                  <w:noProof/>
                  <w:webHidden/>
                </w:rPr>
              </w:r>
              <w:r w:rsidR="00792F37">
                <w:rPr>
                  <w:noProof/>
                  <w:webHidden/>
                </w:rPr>
                <w:fldChar w:fldCharType="separate"/>
              </w:r>
              <w:r w:rsidR="00792F37">
                <w:rPr>
                  <w:noProof/>
                  <w:webHidden/>
                </w:rPr>
                <w:t>17</w:t>
              </w:r>
              <w:r w:rsidR="00792F37">
                <w:rPr>
                  <w:noProof/>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90" w:history="1">
              <w:r w:rsidR="00792F37" w:rsidRPr="0009128E">
                <w:rPr>
                  <w:rStyle w:val="Hypertextovodkaz"/>
                  <w:noProof/>
                </w:rPr>
                <w:t>3.2</w:t>
              </w:r>
              <w:r w:rsidR="00792F37">
                <w:rPr>
                  <w:rFonts w:asciiTheme="minorHAnsi" w:eastAsiaTheme="minorEastAsia" w:hAnsiTheme="minorHAnsi" w:cstheme="minorBidi"/>
                  <w:noProof/>
                  <w:sz w:val="22"/>
                  <w:szCs w:val="22"/>
                </w:rPr>
                <w:tab/>
              </w:r>
              <w:r w:rsidR="00792F37" w:rsidRPr="0009128E">
                <w:rPr>
                  <w:rStyle w:val="Hypertextovodkaz"/>
                  <w:noProof/>
                </w:rPr>
                <w:t>Dotace ze státního rozpočtu pro dobrovolné svazky obcí v roce 2021</w:t>
              </w:r>
              <w:r w:rsidR="00792F37">
                <w:rPr>
                  <w:noProof/>
                  <w:webHidden/>
                </w:rPr>
                <w:tab/>
              </w:r>
              <w:r w:rsidR="00792F37">
                <w:rPr>
                  <w:noProof/>
                  <w:webHidden/>
                </w:rPr>
                <w:fldChar w:fldCharType="begin"/>
              </w:r>
              <w:r w:rsidR="00792F37">
                <w:rPr>
                  <w:noProof/>
                  <w:webHidden/>
                </w:rPr>
                <w:instrText xml:space="preserve"> PAGEREF _Toc54337190 \h </w:instrText>
              </w:r>
              <w:r w:rsidR="00792F37">
                <w:rPr>
                  <w:noProof/>
                  <w:webHidden/>
                </w:rPr>
              </w:r>
              <w:r w:rsidR="00792F37">
                <w:rPr>
                  <w:noProof/>
                  <w:webHidden/>
                </w:rPr>
                <w:fldChar w:fldCharType="separate"/>
              </w:r>
              <w:r w:rsidR="00792F37">
                <w:rPr>
                  <w:noProof/>
                  <w:webHidden/>
                </w:rPr>
                <w:t>17</w:t>
              </w:r>
              <w:r w:rsidR="00792F37">
                <w:rPr>
                  <w:noProof/>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91" w:history="1">
              <w:r w:rsidR="00792F37" w:rsidRPr="0009128E">
                <w:rPr>
                  <w:rStyle w:val="Hypertextovodkaz"/>
                  <w:noProof/>
                </w:rPr>
                <w:t>3.3</w:t>
              </w:r>
              <w:r w:rsidR="00792F37">
                <w:rPr>
                  <w:rFonts w:asciiTheme="minorHAnsi" w:eastAsiaTheme="minorEastAsia" w:hAnsiTheme="minorHAnsi" w:cstheme="minorBidi"/>
                  <w:noProof/>
                  <w:sz w:val="22"/>
                  <w:szCs w:val="22"/>
                </w:rPr>
                <w:tab/>
              </w:r>
              <w:r w:rsidR="00792F37" w:rsidRPr="0009128E">
                <w:rPr>
                  <w:rStyle w:val="Hypertextovodkaz"/>
                  <w:noProof/>
                </w:rPr>
                <w:t>Dotace ze státního rozpočtu pro kraje v roce 2021</w:t>
              </w:r>
              <w:r w:rsidR="00792F37">
                <w:rPr>
                  <w:noProof/>
                  <w:webHidden/>
                </w:rPr>
                <w:tab/>
              </w:r>
              <w:r w:rsidR="00792F37">
                <w:rPr>
                  <w:noProof/>
                  <w:webHidden/>
                </w:rPr>
                <w:fldChar w:fldCharType="begin"/>
              </w:r>
              <w:r w:rsidR="00792F37">
                <w:rPr>
                  <w:noProof/>
                  <w:webHidden/>
                </w:rPr>
                <w:instrText xml:space="preserve"> PAGEREF _Toc54337191 \h </w:instrText>
              </w:r>
              <w:r w:rsidR="00792F37">
                <w:rPr>
                  <w:noProof/>
                  <w:webHidden/>
                </w:rPr>
              </w:r>
              <w:r w:rsidR="00792F37">
                <w:rPr>
                  <w:noProof/>
                  <w:webHidden/>
                </w:rPr>
                <w:fldChar w:fldCharType="separate"/>
              </w:r>
              <w:r w:rsidR="00792F37">
                <w:rPr>
                  <w:noProof/>
                  <w:webHidden/>
                </w:rPr>
                <w:t>18</w:t>
              </w:r>
              <w:r w:rsidR="00792F37">
                <w:rPr>
                  <w:noProof/>
                  <w:webHidden/>
                </w:rPr>
                <w:fldChar w:fldCharType="end"/>
              </w:r>
            </w:hyperlink>
          </w:p>
          <w:p w:rsidR="00792F37" w:rsidRDefault="005D3F3A">
            <w:pPr>
              <w:pStyle w:val="Obsah3"/>
              <w:rPr>
                <w:rFonts w:asciiTheme="minorHAnsi" w:eastAsiaTheme="minorEastAsia" w:hAnsiTheme="minorHAnsi" w:cstheme="minorBidi"/>
                <w:noProof/>
                <w:sz w:val="22"/>
                <w:szCs w:val="22"/>
              </w:rPr>
            </w:pPr>
            <w:hyperlink w:anchor="_Toc54337192" w:history="1">
              <w:r w:rsidR="00792F37" w:rsidRPr="0009128E">
                <w:rPr>
                  <w:rStyle w:val="Hypertextovodkaz"/>
                  <w:noProof/>
                  <w14:scene3d>
                    <w14:camera w14:prst="orthographicFront"/>
                    <w14:lightRig w14:rig="threePt" w14:dir="t">
                      <w14:rot w14:lat="0" w14:lon="0" w14:rev="0"/>
                    </w14:lightRig>
                  </w14:scene3d>
                </w:rPr>
                <w:t>3.3.1</w:t>
              </w:r>
              <w:r w:rsidR="00792F37">
                <w:rPr>
                  <w:rFonts w:asciiTheme="minorHAnsi" w:eastAsiaTheme="minorEastAsia" w:hAnsiTheme="minorHAnsi" w:cstheme="minorBidi"/>
                  <w:noProof/>
                  <w:sz w:val="22"/>
                  <w:szCs w:val="22"/>
                </w:rPr>
                <w:tab/>
              </w:r>
              <w:r w:rsidR="00792F37" w:rsidRPr="0009128E">
                <w:rPr>
                  <w:rStyle w:val="Hypertextovodkaz"/>
                  <w:noProof/>
                </w:rPr>
                <w:t>Dotace z kapitoly Všeobecná pokladní správa</w:t>
              </w:r>
              <w:r w:rsidR="00792F37">
                <w:rPr>
                  <w:noProof/>
                  <w:webHidden/>
                </w:rPr>
                <w:tab/>
              </w:r>
              <w:r w:rsidR="00792F37">
                <w:rPr>
                  <w:noProof/>
                  <w:webHidden/>
                </w:rPr>
                <w:fldChar w:fldCharType="begin"/>
              </w:r>
              <w:r w:rsidR="00792F37">
                <w:rPr>
                  <w:noProof/>
                  <w:webHidden/>
                </w:rPr>
                <w:instrText xml:space="preserve"> PAGEREF _Toc54337192 \h </w:instrText>
              </w:r>
              <w:r w:rsidR="00792F37">
                <w:rPr>
                  <w:noProof/>
                  <w:webHidden/>
                </w:rPr>
              </w:r>
              <w:r w:rsidR="00792F37">
                <w:rPr>
                  <w:noProof/>
                  <w:webHidden/>
                </w:rPr>
                <w:fldChar w:fldCharType="separate"/>
              </w:r>
              <w:r w:rsidR="00792F37">
                <w:rPr>
                  <w:noProof/>
                  <w:webHidden/>
                </w:rPr>
                <w:t>18</w:t>
              </w:r>
              <w:r w:rsidR="00792F37">
                <w:rPr>
                  <w:noProof/>
                  <w:webHidden/>
                </w:rPr>
                <w:fldChar w:fldCharType="end"/>
              </w:r>
            </w:hyperlink>
          </w:p>
          <w:p w:rsidR="00792F37" w:rsidRDefault="005D3F3A">
            <w:pPr>
              <w:pStyle w:val="Obsah3"/>
              <w:rPr>
                <w:rFonts w:asciiTheme="minorHAnsi" w:eastAsiaTheme="minorEastAsia" w:hAnsiTheme="minorHAnsi" w:cstheme="minorBidi"/>
                <w:noProof/>
                <w:sz w:val="22"/>
                <w:szCs w:val="22"/>
              </w:rPr>
            </w:pPr>
            <w:hyperlink w:anchor="_Toc54337193" w:history="1">
              <w:r w:rsidR="00792F37" w:rsidRPr="0009128E">
                <w:rPr>
                  <w:rStyle w:val="Hypertextovodkaz"/>
                  <w:noProof/>
                  <w14:scene3d>
                    <w14:camera w14:prst="orthographicFront"/>
                    <w14:lightRig w14:rig="threePt" w14:dir="t">
                      <w14:rot w14:lat="0" w14:lon="0" w14:rev="0"/>
                    </w14:lightRig>
                  </w14:scene3d>
                </w:rPr>
                <w:t>3.3.2</w:t>
              </w:r>
              <w:r w:rsidR="00792F37">
                <w:rPr>
                  <w:rFonts w:asciiTheme="minorHAnsi" w:eastAsiaTheme="minorEastAsia" w:hAnsiTheme="minorHAnsi" w:cstheme="minorBidi"/>
                  <w:noProof/>
                  <w:sz w:val="22"/>
                  <w:szCs w:val="22"/>
                </w:rPr>
                <w:tab/>
              </w:r>
              <w:r w:rsidR="00792F37" w:rsidRPr="0009128E">
                <w:rPr>
                  <w:rStyle w:val="Hypertextovodkaz"/>
                  <w:noProof/>
                </w:rPr>
                <w:t>Ostatní dotace z kapitoly Všeobecná pokladní správa</w:t>
              </w:r>
              <w:r w:rsidR="00792F37">
                <w:rPr>
                  <w:noProof/>
                  <w:webHidden/>
                </w:rPr>
                <w:tab/>
              </w:r>
              <w:r w:rsidR="00792F37">
                <w:rPr>
                  <w:noProof/>
                  <w:webHidden/>
                </w:rPr>
                <w:fldChar w:fldCharType="begin"/>
              </w:r>
              <w:r w:rsidR="00792F37">
                <w:rPr>
                  <w:noProof/>
                  <w:webHidden/>
                </w:rPr>
                <w:instrText xml:space="preserve"> PAGEREF _Toc54337193 \h </w:instrText>
              </w:r>
              <w:r w:rsidR="00792F37">
                <w:rPr>
                  <w:noProof/>
                  <w:webHidden/>
                </w:rPr>
              </w:r>
              <w:r w:rsidR="00792F37">
                <w:rPr>
                  <w:noProof/>
                  <w:webHidden/>
                </w:rPr>
                <w:fldChar w:fldCharType="separate"/>
              </w:r>
              <w:r w:rsidR="00792F37">
                <w:rPr>
                  <w:noProof/>
                  <w:webHidden/>
                </w:rPr>
                <w:t>20</w:t>
              </w:r>
              <w:r w:rsidR="00792F37">
                <w:rPr>
                  <w:noProof/>
                  <w:webHidden/>
                </w:rPr>
                <w:fldChar w:fldCharType="end"/>
              </w:r>
            </w:hyperlink>
          </w:p>
          <w:p w:rsidR="00792F37" w:rsidRDefault="005D3F3A">
            <w:pPr>
              <w:pStyle w:val="Obsah3"/>
              <w:rPr>
                <w:rFonts w:asciiTheme="minorHAnsi" w:eastAsiaTheme="minorEastAsia" w:hAnsiTheme="minorHAnsi" w:cstheme="minorBidi"/>
                <w:noProof/>
                <w:sz w:val="22"/>
                <w:szCs w:val="22"/>
              </w:rPr>
            </w:pPr>
            <w:hyperlink w:anchor="_Toc54337194" w:history="1">
              <w:r w:rsidR="00792F37" w:rsidRPr="0009128E">
                <w:rPr>
                  <w:rStyle w:val="Hypertextovodkaz"/>
                  <w:noProof/>
                  <w14:scene3d>
                    <w14:camera w14:prst="orthographicFront"/>
                    <w14:lightRig w14:rig="threePt" w14:dir="t">
                      <w14:rot w14:lat="0" w14:lon="0" w14:rev="0"/>
                    </w14:lightRig>
                  </w14:scene3d>
                </w:rPr>
                <w:t>3.3.3</w:t>
              </w:r>
              <w:r w:rsidR="00792F37">
                <w:rPr>
                  <w:rFonts w:asciiTheme="minorHAnsi" w:eastAsiaTheme="minorEastAsia" w:hAnsiTheme="minorHAnsi" w:cstheme="minorBidi"/>
                  <w:noProof/>
                  <w:sz w:val="22"/>
                  <w:szCs w:val="22"/>
                </w:rPr>
                <w:tab/>
              </w:r>
              <w:r w:rsidR="00792F37" w:rsidRPr="0009128E">
                <w:rPr>
                  <w:rStyle w:val="Hypertextovodkaz"/>
                  <w:noProof/>
                </w:rPr>
                <w:t>Dotace z ostatních kapitol státního rozpočtu</w:t>
              </w:r>
              <w:r w:rsidR="00792F37">
                <w:rPr>
                  <w:noProof/>
                  <w:webHidden/>
                </w:rPr>
                <w:tab/>
              </w:r>
              <w:r w:rsidR="00792F37">
                <w:rPr>
                  <w:noProof/>
                  <w:webHidden/>
                </w:rPr>
                <w:fldChar w:fldCharType="begin"/>
              </w:r>
              <w:r w:rsidR="00792F37">
                <w:rPr>
                  <w:noProof/>
                  <w:webHidden/>
                </w:rPr>
                <w:instrText xml:space="preserve"> PAGEREF _Toc54337194 \h </w:instrText>
              </w:r>
              <w:r w:rsidR="00792F37">
                <w:rPr>
                  <w:noProof/>
                  <w:webHidden/>
                </w:rPr>
              </w:r>
              <w:r w:rsidR="00792F37">
                <w:rPr>
                  <w:noProof/>
                  <w:webHidden/>
                </w:rPr>
                <w:fldChar w:fldCharType="separate"/>
              </w:r>
              <w:r w:rsidR="00792F37">
                <w:rPr>
                  <w:noProof/>
                  <w:webHidden/>
                </w:rPr>
                <w:t>20</w:t>
              </w:r>
              <w:r w:rsidR="00792F37">
                <w:rPr>
                  <w:noProof/>
                  <w:webHidden/>
                </w:rPr>
                <w:fldChar w:fldCharType="end"/>
              </w:r>
            </w:hyperlink>
          </w:p>
          <w:p w:rsidR="00792F37" w:rsidRDefault="005D3F3A">
            <w:pPr>
              <w:pStyle w:val="Obsah2"/>
              <w:rPr>
                <w:rFonts w:asciiTheme="minorHAnsi" w:eastAsiaTheme="minorEastAsia" w:hAnsiTheme="minorHAnsi" w:cstheme="minorBidi"/>
                <w:noProof/>
                <w:sz w:val="22"/>
                <w:szCs w:val="22"/>
              </w:rPr>
            </w:pPr>
            <w:hyperlink w:anchor="_Toc54337195" w:history="1">
              <w:r w:rsidR="00792F37" w:rsidRPr="0009128E">
                <w:rPr>
                  <w:rStyle w:val="Hypertextovodkaz"/>
                  <w:noProof/>
                </w:rPr>
                <w:t>3.4</w:t>
              </w:r>
              <w:r w:rsidR="00792F37">
                <w:rPr>
                  <w:rFonts w:asciiTheme="minorHAnsi" w:eastAsiaTheme="minorEastAsia" w:hAnsiTheme="minorHAnsi" w:cstheme="minorBidi"/>
                  <w:noProof/>
                  <w:sz w:val="22"/>
                  <w:szCs w:val="22"/>
                </w:rPr>
                <w:tab/>
              </w:r>
              <w:r w:rsidR="00792F37" w:rsidRPr="0009128E">
                <w:rPr>
                  <w:rStyle w:val="Hypertextovodkaz"/>
                  <w:noProof/>
                </w:rPr>
                <w:t>Dotace ze státního rozpočtu pro regionální rady regionů soudržnosti v roce 2021</w:t>
              </w:r>
              <w:r w:rsidR="00792F37">
                <w:rPr>
                  <w:noProof/>
                  <w:webHidden/>
                </w:rPr>
                <w:tab/>
              </w:r>
              <w:r w:rsidR="00792F37">
                <w:rPr>
                  <w:noProof/>
                  <w:webHidden/>
                </w:rPr>
                <w:fldChar w:fldCharType="begin"/>
              </w:r>
              <w:r w:rsidR="00792F37">
                <w:rPr>
                  <w:noProof/>
                  <w:webHidden/>
                </w:rPr>
                <w:instrText xml:space="preserve"> PAGEREF _Toc54337195 \h </w:instrText>
              </w:r>
              <w:r w:rsidR="00792F37">
                <w:rPr>
                  <w:noProof/>
                  <w:webHidden/>
                </w:rPr>
              </w:r>
              <w:r w:rsidR="00792F37">
                <w:rPr>
                  <w:noProof/>
                  <w:webHidden/>
                </w:rPr>
                <w:fldChar w:fldCharType="separate"/>
              </w:r>
              <w:r w:rsidR="00792F37">
                <w:rPr>
                  <w:noProof/>
                  <w:webHidden/>
                </w:rPr>
                <w:t>20</w:t>
              </w:r>
              <w:r w:rsidR="00792F37">
                <w:rPr>
                  <w:noProof/>
                  <w:webHidden/>
                </w:rPr>
                <w:fldChar w:fldCharType="end"/>
              </w:r>
            </w:hyperlink>
          </w:p>
          <w:p w:rsidR="004A070E" w:rsidRPr="003B10C6" w:rsidRDefault="008D01C8" w:rsidP="00213A87">
            <w:r>
              <w:rPr>
                <w:b/>
                <w:bCs/>
              </w:rPr>
              <w:fldChar w:fldCharType="end"/>
            </w:r>
          </w:p>
        </w:tc>
      </w:tr>
    </w:tbl>
    <w:p w:rsidR="00D15AE3" w:rsidRPr="00F65A82" w:rsidRDefault="004764B0" w:rsidP="004A070E">
      <w:pPr>
        <w:pStyle w:val="Nadpismal"/>
        <w:spacing w:before="0"/>
      </w:pPr>
      <w:r>
        <w:br w:type="page"/>
      </w:r>
      <w:r w:rsidR="00D15AE3" w:rsidRPr="00F65A82">
        <w:lastRenderedPageBreak/>
        <w:t>Seznam tabulek</w:t>
      </w:r>
    </w:p>
    <w:p w:rsidR="00792F37" w:rsidRDefault="00D15AE3">
      <w:pPr>
        <w:pStyle w:val="Seznamobrzk"/>
        <w:rPr>
          <w:rFonts w:asciiTheme="minorHAnsi" w:eastAsiaTheme="minorEastAsia" w:hAnsiTheme="minorHAnsi" w:cstheme="minorBidi"/>
          <w:noProof/>
          <w:sz w:val="22"/>
          <w:szCs w:val="22"/>
        </w:rPr>
      </w:pPr>
      <w:r w:rsidRPr="00C85A15">
        <w:rPr>
          <w:noProof/>
          <w:highlight w:val="yellow"/>
        </w:rPr>
        <w:fldChar w:fldCharType="begin"/>
      </w:r>
      <w:r w:rsidRPr="00C85A15">
        <w:rPr>
          <w:noProof/>
          <w:highlight w:val="yellow"/>
        </w:rPr>
        <w:instrText xml:space="preserve"> TOC \h \z \c "Tabulka" </w:instrText>
      </w:r>
      <w:r w:rsidRPr="00C85A15">
        <w:rPr>
          <w:noProof/>
          <w:highlight w:val="yellow"/>
        </w:rPr>
        <w:fldChar w:fldCharType="separate"/>
      </w:r>
      <w:hyperlink w:anchor="_Toc54337196" w:history="1">
        <w:r w:rsidR="00792F37" w:rsidRPr="003C663E">
          <w:rPr>
            <w:rStyle w:val="Hypertextovodkaz"/>
            <w:noProof/>
          </w:rPr>
          <w:t xml:space="preserve">Tabulka 1: Struktura salda hospodaření územních rozpočtů v letech 2016 - 2021 </w:t>
        </w:r>
        <w:r w:rsidR="00792F37" w:rsidRPr="003C663E">
          <w:rPr>
            <w:rStyle w:val="Hypertextovodkaz"/>
            <w:i/>
            <w:noProof/>
          </w:rPr>
          <w:t>(v mld. Kč)</w:t>
        </w:r>
        <w:r w:rsidR="00792F37">
          <w:rPr>
            <w:noProof/>
            <w:webHidden/>
          </w:rPr>
          <w:tab/>
        </w:r>
        <w:r w:rsidR="00792F37">
          <w:rPr>
            <w:noProof/>
            <w:webHidden/>
          </w:rPr>
          <w:fldChar w:fldCharType="begin"/>
        </w:r>
        <w:r w:rsidR="00792F37">
          <w:rPr>
            <w:noProof/>
            <w:webHidden/>
          </w:rPr>
          <w:instrText xml:space="preserve"> PAGEREF _Toc54337196 \h </w:instrText>
        </w:r>
        <w:r w:rsidR="00792F37">
          <w:rPr>
            <w:noProof/>
            <w:webHidden/>
          </w:rPr>
        </w:r>
        <w:r w:rsidR="00792F37">
          <w:rPr>
            <w:noProof/>
            <w:webHidden/>
          </w:rPr>
          <w:fldChar w:fldCharType="separate"/>
        </w:r>
        <w:r w:rsidR="00792F37">
          <w:rPr>
            <w:noProof/>
            <w:webHidden/>
          </w:rPr>
          <w:t>2</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197" w:history="1">
        <w:r w:rsidR="00792F37" w:rsidRPr="003C663E">
          <w:rPr>
            <w:rStyle w:val="Hypertextovodkaz"/>
            <w:noProof/>
          </w:rPr>
          <w:t xml:space="preserve">Tabulka 2: Struktura příjmů a výdajů obcí v letech 2016– 2021 </w:t>
        </w:r>
        <w:r w:rsidR="00792F37" w:rsidRPr="003C663E">
          <w:rPr>
            <w:rStyle w:val="Hypertextovodkaz"/>
            <w:i/>
            <w:noProof/>
          </w:rPr>
          <w:t>(v mld. Kč)</w:t>
        </w:r>
        <w:r w:rsidR="00792F37">
          <w:rPr>
            <w:noProof/>
            <w:webHidden/>
          </w:rPr>
          <w:tab/>
        </w:r>
        <w:r w:rsidR="00792F37">
          <w:rPr>
            <w:noProof/>
            <w:webHidden/>
          </w:rPr>
          <w:fldChar w:fldCharType="begin"/>
        </w:r>
        <w:r w:rsidR="00792F37">
          <w:rPr>
            <w:noProof/>
            <w:webHidden/>
          </w:rPr>
          <w:instrText xml:space="preserve"> PAGEREF _Toc54337197 \h </w:instrText>
        </w:r>
        <w:r w:rsidR="00792F37">
          <w:rPr>
            <w:noProof/>
            <w:webHidden/>
          </w:rPr>
        </w:r>
        <w:r w:rsidR="00792F37">
          <w:rPr>
            <w:noProof/>
            <w:webHidden/>
          </w:rPr>
          <w:fldChar w:fldCharType="separate"/>
        </w:r>
        <w:r w:rsidR="00792F37">
          <w:rPr>
            <w:noProof/>
            <w:webHidden/>
          </w:rPr>
          <w:t>3</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198" w:history="1">
        <w:r w:rsidR="00792F37" w:rsidRPr="003C663E">
          <w:rPr>
            <w:rStyle w:val="Hypertextovodkaz"/>
            <w:noProof/>
          </w:rPr>
          <w:t xml:space="preserve">Tabulka 3: Struktura příjmů a výdajů krajů v letech 2016 - 2021 </w:t>
        </w:r>
        <w:r w:rsidR="00792F37" w:rsidRPr="003C663E">
          <w:rPr>
            <w:rStyle w:val="Hypertextovodkaz"/>
            <w:i/>
            <w:noProof/>
          </w:rPr>
          <w:t>(v mld. Kč)</w:t>
        </w:r>
        <w:r w:rsidR="00792F37">
          <w:rPr>
            <w:noProof/>
            <w:webHidden/>
          </w:rPr>
          <w:tab/>
        </w:r>
        <w:r w:rsidR="00792F37">
          <w:rPr>
            <w:noProof/>
            <w:webHidden/>
          </w:rPr>
          <w:fldChar w:fldCharType="begin"/>
        </w:r>
        <w:r w:rsidR="00792F37">
          <w:rPr>
            <w:noProof/>
            <w:webHidden/>
          </w:rPr>
          <w:instrText xml:space="preserve"> PAGEREF _Toc54337198 \h </w:instrText>
        </w:r>
        <w:r w:rsidR="00792F37">
          <w:rPr>
            <w:noProof/>
            <w:webHidden/>
          </w:rPr>
        </w:r>
        <w:r w:rsidR="00792F37">
          <w:rPr>
            <w:noProof/>
            <w:webHidden/>
          </w:rPr>
          <w:fldChar w:fldCharType="separate"/>
        </w:r>
        <w:r w:rsidR="00792F37">
          <w:rPr>
            <w:noProof/>
            <w:webHidden/>
          </w:rPr>
          <w:t>6</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199" w:history="1">
        <w:r w:rsidR="00792F37" w:rsidRPr="003C663E">
          <w:rPr>
            <w:rStyle w:val="Hypertextovodkaz"/>
            <w:noProof/>
          </w:rPr>
          <w:t>Tabulka 4: Dotace a příspěvky ze státního rozpočtu obcím a hl. m. Praze v letech 2016 – 2021 </w:t>
        </w:r>
        <w:r w:rsidR="00792F37" w:rsidRPr="003C663E">
          <w:rPr>
            <w:rStyle w:val="Hypertextovodkaz"/>
            <w:i/>
            <w:noProof/>
          </w:rPr>
          <w:t>(tis Kč)</w:t>
        </w:r>
        <w:r w:rsidR="00792F37">
          <w:rPr>
            <w:noProof/>
            <w:webHidden/>
          </w:rPr>
          <w:tab/>
        </w:r>
        <w:r w:rsidR="00792F37">
          <w:rPr>
            <w:noProof/>
            <w:webHidden/>
          </w:rPr>
          <w:fldChar w:fldCharType="begin"/>
        </w:r>
        <w:r w:rsidR="00792F37">
          <w:rPr>
            <w:noProof/>
            <w:webHidden/>
          </w:rPr>
          <w:instrText xml:space="preserve"> PAGEREF _Toc54337199 \h </w:instrText>
        </w:r>
        <w:r w:rsidR="00792F37">
          <w:rPr>
            <w:noProof/>
            <w:webHidden/>
          </w:rPr>
        </w:r>
        <w:r w:rsidR="00792F37">
          <w:rPr>
            <w:noProof/>
            <w:webHidden/>
          </w:rPr>
          <w:fldChar w:fldCharType="separate"/>
        </w:r>
        <w:r w:rsidR="00792F37">
          <w:rPr>
            <w:noProof/>
            <w:webHidden/>
          </w:rPr>
          <w:t>10</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00" w:history="1">
        <w:r w:rsidR="00792F37" w:rsidRPr="003C663E">
          <w:rPr>
            <w:rStyle w:val="Hypertextovodkaz"/>
            <w:noProof/>
          </w:rPr>
          <w:t>Tabulka 5: Dotace a příspěvky rozpočtované pro obce a hl. město Prahu v kapitole Všeobecná pokladní správa v letech 2016 - 2021 </w:t>
        </w:r>
        <w:r w:rsidR="00792F37" w:rsidRPr="003C663E">
          <w:rPr>
            <w:rStyle w:val="Hypertextovodkaz"/>
            <w:i/>
            <w:noProof/>
          </w:rPr>
          <w:t>(v tis. Kč)</w:t>
        </w:r>
        <w:r w:rsidR="00792F37">
          <w:rPr>
            <w:noProof/>
            <w:webHidden/>
          </w:rPr>
          <w:tab/>
        </w:r>
        <w:r w:rsidR="00792F37">
          <w:rPr>
            <w:noProof/>
            <w:webHidden/>
          </w:rPr>
          <w:fldChar w:fldCharType="begin"/>
        </w:r>
        <w:r w:rsidR="00792F37">
          <w:rPr>
            <w:noProof/>
            <w:webHidden/>
          </w:rPr>
          <w:instrText xml:space="preserve"> PAGEREF _Toc54337200 \h </w:instrText>
        </w:r>
        <w:r w:rsidR="00792F37">
          <w:rPr>
            <w:noProof/>
            <w:webHidden/>
          </w:rPr>
        </w:r>
        <w:r w:rsidR="00792F37">
          <w:rPr>
            <w:noProof/>
            <w:webHidden/>
          </w:rPr>
          <w:fldChar w:fldCharType="separate"/>
        </w:r>
        <w:r w:rsidR="00792F37">
          <w:rPr>
            <w:noProof/>
            <w:webHidden/>
          </w:rPr>
          <w:t>11</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01" w:history="1">
        <w:r w:rsidR="00792F37" w:rsidRPr="003C663E">
          <w:rPr>
            <w:rStyle w:val="Hypertextovodkaz"/>
            <w:noProof/>
          </w:rPr>
          <w:t xml:space="preserve">Tabulka 6: Dotace a příspěvky ze státního rozpočtu pro kraje v letech 2016 - 2021 </w:t>
        </w:r>
        <w:r w:rsidR="00792F37" w:rsidRPr="003C663E">
          <w:rPr>
            <w:rStyle w:val="Hypertextovodkaz"/>
            <w:i/>
            <w:noProof/>
          </w:rPr>
          <w:t>(v tis. Kč)</w:t>
        </w:r>
        <w:r w:rsidR="00792F37">
          <w:rPr>
            <w:noProof/>
            <w:webHidden/>
          </w:rPr>
          <w:tab/>
        </w:r>
        <w:r w:rsidR="00792F37">
          <w:rPr>
            <w:noProof/>
            <w:webHidden/>
          </w:rPr>
          <w:fldChar w:fldCharType="begin"/>
        </w:r>
        <w:r w:rsidR="00792F37">
          <w:rPr>
            <w:noProof/>
            <w:webHidden/>
          </w:rPr>
          <w:instrText xml:space="preserve"> PAGEREF _Toc54337201 \h </w:instrText>
        </w:r>
        <w:r w:rsidR="00792F37">
          <w:rPr>
            <w:noProof/>
            <w:webHidden/>
          </w:rPr>
        </w:r>
        <w:r w:rsidR="00792F37">
          <w:rPr>
            <w:noProof/>
            <w:webHidden/>
          </w:rPr>
          <w:fldChar w:fldCharType="separate"/>
        </w:r>
        <w:r w:rsidR="00792F37">
          <w:rPr>
            <w:noProof/>
            <w:webHidden/>
          </w:rPr>
          <w:t>18</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02" w:history="1">
        <w:r w:rsidR="00792F37" w:rsidRPr="003C663E">
          <w:rPr>
            <w:rStyle w:val="Hypertextovodkaz"/>
            <w:noProof/>
          </w:rPr>
          <w:t>Tabulka 7: Dotace a příspěvky rozpočtované pro kraje v kapitole Všeobecná pokladní správa v letech 2016 -2021 </w:t>
        </w:r>
        <w:r w:rsidR="00792F37" w:rsidRPr="003C663E">
          <w:rPr>
            <w:rStyle w:val="Hypertextovodkaz"/>
            <w:i/>
            <w:noProof/>
          </w:rPr>
          <w:t>(v tis Kč)</w:t>
        </w:r>
        <w:r w:rsidR="00792F37">
          <w:rPr>
            <w:noProof/>
            <w:webHidden/>
          </w:rPr>
          <w:tab/>
        </w:r>
        <w:r w:rsidR="00792F37">
          <w:rPr>
            <w:noProof/>
            <w:webHidden/>
          </w:rPr>
          <w:fldChar w:fldCharType="begin"/>
        </w:r>
        <w:r w:rsidR="00792F37">
          <w:rPr>
            <w:noProof/>
            <w:webHidden/>
          </w:rPr>
          <w:instrText xml:space="preserve"> PAGEREF _Toc54337202 \h </w:instrText>
        </w:r>
        <w:r w:rsidR="00792F37">
          <w:rPr>
            <w:noProof/>
            <w:webHidden/>
          </w:rPr>
        </w:r>
        <w:r w:rsidR="00792F37">
          <w:rPr>
            <w:noProof/>
            <w:webHidden/>
          </w:rPr>
          <w:fldChar w:fldCharType="separate"/>
        </w:r>
        <w:r w:rsidR="00792F37">
          <w:rPr>
            <w:noProof/>
            <w:webHidden/>
          </w:rPr>
          <w:t>18</w:t>
        </w:r>
        <w:r w:rsidR="00792F37">
          <w:rPr>
            <w:noProof/>
            <w:webHidden/>
          </w:rPr>
          <w:fldChar w:fldCharType="end"/>
        </w:r>
      </w:hyperlink>
    </w:p>
    <w:p w:rsidR="00BC667D" w:rsidRPr="003B10C6" w:rsidRDefault="00D15AE3" w:rsidP="00BC667D">
      <w:pPr>
        <w:pStyle w:val="Seznamobrzk"/>
      </w:pPr>
      <w:r w:rsidRPr="00C85A15">
        <w:rPr>
          <w:noProof/>
          <w:highlight w:val="yellow"/>
        </w:rPr>
        <w:fldChar w:fldCharType="end"/>
      </w:r>
    </w:p>
    <w:p w:rsidR="00D15AE3" w:rsidRPr="00F65A82" w:rsidRDefault="007F14ED" w:rsidP="00036D3E">
      <w:pPr>
        <w:pStyle w:val="Nadpismal"/>
      </w:pPr>
      <w:r w:rsidRPr="00F65A82">
        <w:t>S</w:t>
      </w:r>
      <w:r w:rsidR="00D15AE3" w:rsidRPr="00F65A82">
        <w:t xml:space="preserve">eznam </w:t>
      </w:r>
      <w:r w:rsidR="00FA2323" w:rsidRPr="00F65A82">
        <w:t>obrázků</w:t>
      </w:r>
    </w:p>
    <w:p w:rsidR="00792F37" w:rsidRDefault="00E30018">
      <w:pPr>
        <w:pStyle w:val="Seznamobrzk"/>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54337204" w:history="1">
        <w:r w:rsidR="00792F37" w:rsidRPr="003B5592">
          <w:rPr>
            <w:rStyle w:val="Hypertextovodkaz"/>
            <w:noProof/>
          </w:rPr>
          <w:t xml:space="preserve">Obrázek 1: Saldo obecních rozpočtů v letech 2001 – 2021 </w:t>
        </w:r>
        <w:r w:rsidR="00792F37" w:rsidRPr="003B5592">
          <w:rPr>
            <w:rStyle w:val="Hypertextovodkaz"/>
            <w:i/>
            <w:noProof/>
          </w:rPr>
          <w:t>(v mld. Kč)</w:t>
        </w:r>
        <w:r w:rsidR="00792F37">
          <w:rPr>
            <w:noProof/>
            <w:webHidden/>
          </w:rPr>
          <w:tab/>
        </w:r>
        <w:r w:rsidR="00792F37">
          <w:rPr>
            <w:noProof/>
            <w:webHidden/>
          </w:rPr>
          <w:fldChar w:fldCharType="begin"/>
        </w:r>
        <w:r w:rsidR="00792F37">
          <w:rPr>
            <w:noProof/>
            <w:webHidden/>
          </w:rPr>
          <w:instrText xml:space="preserve"> PAGEREF _Toc54337204 \h </w:instrText>
        </w:r>
        <w:r w:rsidR="00792F37">
          <w:rPr>
            <w:noProof/>
            <w:webHidden/>
          </w:rPr>
        </w:r>
        <w:r w:rsidR="00792F37">
          <w:rPr>
            <w:noProof/>
            <w:webHidden/>
          </w:rPr>
          <w:fldChar w:fldCharType="separate"/>
        </w:r>
        <w:r w:rsidR="00792F37">
          <w:rPr>
            <w:noProof/>
            <w:webHidden/>
          </w:rPr>
          <w:t>3</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05" w:history="1">
        <w:r w:rsidR="00792F37" w:rsidRPr="003B5592">
          <w:rPr>
            <w:rStyle w:val="Hypertextovodkaz"/>
            <w:noProof/>
          </w:rPr>
          <w:t>Obrázek 2: Struktura příjmů obcí v roce 2020</w:t>
        </w:r>
        <w:r w:rsidR="00792F37">
          <w:rPr>
            <w:noProof/>
            <w:webHidden/>
          </w:rPr>
          <w:tab/>
        </w:r>
        <w:r w:rsidR="00792F37">
          <w:rPr>
            <w:noProof/>
            <w:webHidden/>
          </w:rPr>
          <w:fldChar w:fldCharType="begin"/>
        </w:r>
        <w:r w:rsidR="00792F37">
          <w:rPr>
            <w:noProof/>
            <w:webHidden/>
          </w:rPr>
          <w:instrText xml:space="preserve"> PAGEREF _Toc54337205 \h </w:instrText>
        </w:r>
        <w:r w:rsidR="00792F37">
          <w:rPr>
            <w:noProof/>
            <w:webHidden/>
          </w:rPr>
        </w:r>
        <w:r w:rsidR="00792F37">
          <w:rPr>
            <w:noProof/>
            <w:webHidden/>
          </w:rPr>
          <w:fldChar w:fldCharType="separate"/>
        </w:r>
        <w:r w:rsidR="00792F37">
          <w:rPr>
            <w:noProof/>
            <w:webHidden/>
          </w:rPr>
          <w:t>4</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06" w:history="1">
        <w:r w:rsidR="00792F37" w:rsidRPr="003B5592">
          <w:rPr>
            <w:rStyle w:val="Hypertextovodkaz"/>
            <w:noProof/>
          </w:rPr>
          <w:t xml:space="preserve">Obrázek 3: Vývoj daňových příjmů obcí v letech 2005 – 2021 </w:t>
        </w:r>
        <w:r w:rsidR="00792F37" w:rsidRPr="003B5592">
          <w:rPr>
            <w:rStyle w:val="Hypertextovodkaz"/>
            <w:i/>
            <w:noProof/>
          </w:rPr>
          <w:t>(v mld. Kč)</w:t>
        </w:r>
        <w:r w:rsidR="00792F37">
          <w:rPr>
            <w:noProof/>
            <w:webHidden/>
          </w:rPr>
          <w:tab/>
        </w:r>
        <w:r w:rsidR="00792F37">
          <w:rPr>
            <w:noProof/>
            <w:webHidden/>
          </w:rPr>
          <w:fldChar w:fldCharType="begin"/>
        </w:r>
        <w:r w:rsidR="00792F37">
          <w:rPr>
            <w:noProof/>
            <w:webHidden/>
          </w:rPr>
          <w:instrText xml:space="preserve"> PAGEREF _Toc54337206 \h </w:instrText>
        </w:r>
        <w:r w:rsidR="00792F37">
          <w:rPr>
            <w:noProof/>
            <w:webHidden/>
          </w:rPr>
        </w:r>
        <w:r w:rsidR="00792F37">
          <w:rPr>
            <w:noProof/>
            <w:webHidden/>
          </w:rPr>
          <w:fldChar w:fldCharType="separate"/>
        </w:r>
        <w:r w:rsidR="00792F37">
          <w:rPr>
            <w:noProof/>
            <w:webHidden/>
          </w:rPr>
          <w:t>5</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07" w:history="1">
        <w:r w:rsidR="00792F37" w:rsidRPr="003B5592">
          <w:rPr>
            <w:rStyle w:val="Hypertextovodkaz"/>
            <w:noProof/>
          </w:rPr>
          <w:t xml:space="preserve">Obrázek 4: Vývoj kapitálových výdajů a investičních transferů obcí v letech 2007 – 2020 </w:t>
        </w:r>
        <w:r w:rsidR="00792F37" w:rsidRPr="003B5592">
          <w:rPr>
            <w:rStyle w:val="Hypertextovodkaz"/>
            <w:i/>
            <w:noProof/>
          </w:rPr>
          <w:t>(v mld. Kč)</w:t>
        </w:r>
        <w:r w:rsidR="00792F37">
          <w:rPr>
            <w:noProof/>
            <w:webHidden/>
          </w:rPr>
          <w:tab/>
        </w:r>
        <w:r w:rsidR="00792F37">
          <w:rPr>
            <w:noProof/>
            <w:webHidden/>
          </w:rPr>
          <w:fldChar w:fldCharType="begin"/>
        </w:r>
        <w:r w:rsidR="00792F37">
          <w:rPr>
            <w:noProof/>
            <w:webHidden/>
          </w:rPr>
          <w:instrText xml:space="preserve"> PAGEREF _Toc54337207 \h </w:instrText>
        </w:r>
        <w:r w:rsidR="00792F37">
          <w:rPr>
            <w:noProof/>
            <w:webHidden/>
          </w:rPr>
        </w:r>
        <w:r w:rsidR="00792F37">
          <w:rPr>
            <w:noProof/>
            <w:webHidden/>
          </w:rPr>
          <w:fldChar w:fldCharType="separate"/>
        </w:r>
        <w:r w:rsidR="00792F37">
          <w:rPr>
            <w:noProof/>
            <w:webHidden/>
          </w:rPr>
          <w:t>6</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08" w:history="1">
        <w:r w:rsidR="00792F37" w:rsidRPr="003B5592">
          <w:rPr>
            <w:rStyle w:val="Hypertextovodkaz"/>
            <w:noProof/>
          </w:rPr>
          <w:t xml:space="preserve">Obrázek 5: Saldo krajských rozpočtů v letech 2001 - 2021 </w:t>
        </w:r>
        <w:r w:rsidR="00792F37" w:rsidRPr="003B5592">
          <w:rPr>
            <w:rStyle w:val="Hypertextovodkaz"/>
            <w:i/>
            <w:noProof/>
          </w:rPr>
          <w:t>(v mld. Kč)</w:t>
        </w:r>
        <w:r w:rsidR="00792F37">
          <w:rPr>
            <w:noProof/>
            <w:webHidden/>
          </w:rPr>
          <w:tab/>
        </w:r>
        <w:r w:rsidR="00792F37">
          <w:rPr>
            <w:noProof/>
            <w:webHidden/>
          </w:rPr>
          <w:fldChar w:fldCharType="begin"/>
        </w:r>
        <w:r w:rsidR="00792F37">
          <w:rPr>
            <w:noProof/>
            <w:webHidden/>
          </w:rPr>
          <w:instrText xml:space="preserve"> PAGEREF _Toc54337208 \h </w:instrText>
        </w:r>
        <w:r w:rsidR="00792F37">
          <w:rPr>
            <w:noProof/>
            <w:webHidden/>
          </w:rPr>
        </w:r>
        <w:r w:rsidR="00792F37">
          <w:rPr>
            <w:noProof/>
            <w:webHidden/>
          </w:rPr>
          <w:fldChar w:fldCharType="separate"/>
        </w:r>
        <w:r w:rsidR="00792F37">
          <w:rPr>
            <w:noProof/>
            <w:webHidden/>
          </w:rPr>
          <w:t>7</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09" w:history="1">
        <w:r w:rsidR="00792F37" w:rsidRPr="003B5592">
          <w:rPr>
            <w:rStyle w:val="Hypertextovodkaz"/>
            <w:noProof/>
          </w:rPr>
          <w:t>Obrázek 6: Struktura příjmů krajů v roce 2020</w:t>
        </w:r>
        <w:r w:rsidR="00792F37">
          <w:rPr>
            <w:noProof/>
            <w:webHidden/>
          </w:rPr>
          <w:tab/>
        </w:r>
        <w:r w:rsidR="00792F37">
          <w:rPr>
            <w:noProof/>
            <w:webHidden/>
          </w:rPr>
          <w:fldChar w:fldCharType="begin"/>
        </w:r>
        <w:r w:rsidR="00792F37">
          <w:rPr>
            <w:noProof/>
            <w:webHidden/>
          </w:rPr>
          <w:instrText xml:space="preserve"> PAGEREF _Toc54337209 \h </w:instrText>
        </w:r>
        <w:r w:rsidR="00792F37">
          <w:rPr>
            <w:noProof/>
            <w:webHidden/>
          </w:rPr>
        </w:r>
        <w:r w:rsidR="00792F37">
          <w:rPr>
            <w:noProof/>
            <w:webHidden/>
          </w:rPr>
          <w:fldChar w:fldCharType="separate"/>
        </w:r>
        <w:r w:rsidR="00792F37">
          <w:rPr>
            <w:noProof/>
            <w:webHidden/>
          </w:rPr>
          <w:t>7</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10" w:history="1">
        <w:r w:rsidR="00792F37" w:rsidRPr="003B5592">
          <w:rPr>
            <w:rStyle w:val="Hypertextovodkaz"/>
            <w:noProof/>
          </w:rPr>
          <w:t xml:space="preserve">Obrázek 7: Vývoj daňových příjmů krajů v letech 2005 – 2021 </w:t>
        </w:r>
        <w:r w:rsidR="00792F37" w:rsidRPr="003B5592">
          <w:rPr>
            <w:rStyle w:val="Hypertextovodkaz"/>
            <w:i/>
            <w:noProof/>
          </w:rPr>
          <w:t>(v mld. Kč)</w:t>
        </w:r>
        <w:r w:rsidR="00792F37">
          <w:rPr>
            <w:noProof/>
            <w:webHidden/>
          </w:rPr>
          <w:tab/>
        </w:r>
        <w:r w:rsidR="00792F37">
          <w:rPr>
            <w:noProof/>
            <w:webHidden/>
          </w:rPr>
          <w:fldChar w:fldCharType="begin"/>
        </w:r>
        <w:r w:rsidR="00792F37">
          <w:rPr>
            <w:noProof/>
            <w:webHidden/>
          </w:rPr>
          <w:instrText xml:space="preserve"> PAGEREF _Toc54337210 \h </w:instrText>
        </w:r>
        <w:r w:rsidR="00792F37">
          <w:rPr>
            <w:noProof/>
            <w:webHidden/>
          </w:rPr>
        </w:r>
        <w:r w:rsidR="00792F37">
          <w:rPr>
            <w:noProof/>
            <w:webHidden/>
          </w:rPr>
          <w:fldChar w:fldCharType="separate"/>
        </w:r>
        <w:r w:rsidR="00792F37">
          <w:rPr>
            <w:noProof/>
            <w:webHidden/>
          </w:rPr>
          <w:t>8</w:t>
        </w:r>
        <w:r w:rsidR="00792F37">
          <w:rPr>
            <w:noProof/>
            <w:webHidden/>
          </w:rPr>
          <w:fldChar w:fldCharType="end"/>
        </w:r>
      </w:hyperlink>
    </w:p>
    <w:p w:rsidR="00037118" w:rsidRDefault="00E30018" w:rsidP="00037118">
      <w:pPr>
        <w:pStyle w:val="Nadpismal"/>
      </w:pPr>
      <w:r>
        <w:fldChar w:fldCharType="end"/>
      </w:r>
      <w:r w:rsidR="00F65A82" w:rsidRPr="00084BD5">
        <w:t>Seznam boxů</w:t>
      </w:r>
    </w:p>
    <w:p w:rsidR="00792F37" w:rsidRDefault="00D660A0">
      <w:pPr>
        <w:pStyle w:val="Seznamobrzk"/>
        <w:rPr>
          <w:rFonts w:asciiTheme="minorHAnsi" w:eastAsiaTheme="minorEastAsia" w:hAnsiTheme="minorHAnsi" w:cstheme="minorBidi"/>
          <w:noProof/>
          <w:sz w:val="22"/>
          <w:szCs w:val="22"/>
        </w:rPr>
      </w:pPr>
      <w:r>
        <w:fldChar w:fldCharType="begin"/>
      </w:r>
      <w:r>
        <w:instrText xml:space="preserve"> TOC \h \z \c "Box" </w:instrText>
      </w:r>
      <w:r>
        <w:fldChar w:fldCharType="separate"/>
      </w:r>
      <w:hyperlink w:anchor="_Toc54337213" w:history="1">
        <w:r w:rsidR="00792F37" w:rsidRPr="00B2405D">
          <w:rPr>
            <w:rStyle w:val="Hypertextovodkaz"/>
            <w:noProof/>
          </w:rPr>
          <w:t>Box 1: Obecná charakteristika příjmů obcí</w:t>
        </w:r>
        <w:r w:rsidR="00792F37">
          <w:rPr>
            <w:noProof/>
            <w:webHidden/>
          </w:rPr>
          <w:tab/>
        </w:r>
        <w:r w:rsidR="00792F37">
          <w:rPr>
            <w:noProof/>
            <w:webHidden/>
          </w:rPr>
          <w:fldChar w:fldCharType="begin"/>
        </w:r>
        <w:r w:rsidR="00792F37">
          <w:rPr>
            <w:noProof/>
            <w:webHidden/>
          </w:rPr>
          <w:instrText xml:space="preserve"> PAGEREF _Toc54337213 \h </w:instrText>
        </w:r>
        <w:r w:rsidR="00792F37">
          <w:rPr>
            <w:noProof/>
            <w:webHidden/>
          </w:rPr>
        </w:r>
        <w:r w:rsidR="00792F37">
          <w:rPr>
            <w:noProof/>
            <w:webHidden/>
          </w:rPr>
          <w:fldChar w:fldCharType="separate"/>
        </w:r>
        <w:r w:rsidR="00792F37">
          <w:rPr>
            <w:noProof/>
            <w:webHidden/>
          </w:rPr>
          <w:t>4</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14" w:history="1">
        <w:r w:rsidR="00792F37" w:rsidRPr="00B2405D">
          <w:rPr>
            <w:rStyle w:val="Hypertextovodkaz"/>
            <w:noProof/>
          </w:rPr>
          <w:t>Box 2: Obecná charakteristika výdajů obcí</w:t>
        </w:r>
        <w:r w:rsidR="00792F37">
          <w:rPr>
            <w:noProof/>
            <w:webHidden/>
          </w:rPr>
          <w:tab/>
        </w:r>
        <w:r w:rsidR="00792F37">
          <w:rPr>
            <w:noProof/>
            <w:webHidden/>
          </w:rPr>
          <w:fldChar w:fldCharType="begin"/>
        </w:r>
        <w:r w:rsidR="00792F37">
          <w:rPr>
            <w:noProof/>
            <w:webHidden/>
          </w:rPr>
          <w:instrText xml:space="preserve"> PAGEREF _Toc54337214 \h </w:instrText>
        </w:r>
        <w:r w:rsidR="00792F37">
          <w:rPr>
            <w:noProof/>
            <w:webHidden/>
          </w:rPr>
        </w:r>
        <w:r w:rsidR="00792F37">
          <w:rPr>
            <w:noProof/>
            <w:webHidden/>
          </w:rPr>
          <w:fldChar w:fldCharType="separate"/>
        </w:r>
        <w:r w:rsidR="00792F37">
          <w:rPr>
            <w:noProof/>
            <w:webHidden/>
          </w:rPr>
          <w:t>5</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15" w:history="1">
        <w:r w:rsidR="00792F37" w:rsidRPr="00792F37">
          <w:rPr>
            <w:rStyle w:val="Hypertextovodkaz"/>
            <w:noProof/>
          </w:rPr>
          <w:t>Box 3: Obecná charakteristika příjmů krajů</w:t>
        </w:r>
        <w:r w:rsidR="00792F37">
          <w:rPr>
            <w:noProof/>
            <w:webHidden/>
          </w:rPr>
          <w:tab/>
        </w:r>
        <w:r w:rsidR="00792F37">
          <w:rPr>
            <w:noProof/>
            <w:webHidden/>
          </w:rPr>
          <w:fldChar w:fldCharType="begin"/>
        </w:r>
        <w:r w:rsidR="00792F37">
          <w:rPr>
            <w:noProof/>
            <w:webHidden/>
          </w:rPr>
          <w:instrText xml:space="preserve"> PAGEREF _Toc54337215 \h </w:instrText>
        </w:r>
        <w:r w:rsidR="00792F37">
          <w:rPr>
            <w:noProof/>
            <w:webHidden/>
          </w:rPr>
        </w:r>
        <w:r w:rsidR="00792F37">
          <w:rPr>
            <w:noProof/>
            <w:webHidden/>
          </w:rPr>
          <w:fldChar w:fldCharType="separate"/>
        </w:r>
        <w:r w:rsidR="00792F37">
          <w:rPr>
            <w:noProof/>
            <w:webHidden/>
          </w:rPr>
          <w:t>7</w:t>
        </w:r>
        <w:r w:rsidR="00792F37">
          <w:rPr>
            <w:noProof/>
            <w:webHidden/>
          </w:rPr>
          <w:fldChar w:fldCharType="end"/>
        </w:r>
      </w:hyperlink>
    </w:p>
    <w:p w:rsidR="00792F37" w:rsidRDefault="005D3F3A">
      <w:pPr>
        <w:pStyle w:val="Seznamobrzk"/>
        <w:rPr>
          <w:rFonts w:asciiTheme="minorHAnsi" w:eastAsiaTheme="minorEastAsia" w:hAnsiTheme="minorHAnsi" w:cstheme="minorBidi"/>
          <w:noProof/>
          <w:sz w:val="22"/>
          <w:szCs w:val="22"/>
        </w:rPr>
      </w:pPr>
      <w:hyperlink w:anchor="_Toc54337216" w:history="1">
        <w:r w:rsidR="00792F37" w:rsidRPr="00B2405D">
          <w:rPr>
            <w:rStyle w:val="Hypertextovodkaz"/>
            <w:noProof/>
          </w:rPr>
          <w:t>Box 4: Obecná charakteristika výdajů krajů</w:t>
        </w:r>
        <w:r w:rsidR="00792F37">
          <w:rPr>
            <w:noProof/>
            <w:webHidden/>
          </w:rPr>
          <w:tab/>
        </w:r>
        <w:r w:rsidR="00792F37">
          <w:rPr>
            <w:noProof/>
            <w:webHidden/>
          </w:rPr>
          <w:fldChar w:fldCharType="begin"/>
        </w:r>
        <w:r w:rsidR="00792F37">
          <w:rPr>
            <w:noProof/>
            <w:webHidden/>
          </w:rPr>
          <w:instrText xml:space="preserve"> PAGEREF _Toc54337216 \h </w:instrText>
        </w:r>
        <w:r w:rsidR="00792F37">
          <w:rPr>
            <w:noProof/>
            <w:webHidden/>
          </w:rPr>
        </w:r>
        <w:r w:rsidR="00792F37">
          <w:rPr>
            <w:noProof/>
            <w:webHidden/>
          </w:rPr>
          <w:fldChar w:fldCharType="separate"/>
        </w:r>
        <w:r w:rsidR="00792F37">
          <w:rPr>
            <w:noProof/>
            <w:webHidden/>
          </w:rPr>
          <w:t>9</w:t>
        </w:r>
        <w:r w:rsidR="00792F37">
          <w:rPr>
            <w:noProof/>
            <w:webHidden/>
          </w:rPr>
          <w:fldChar w:fldCharType="end"/>
        </w:r>
      </w:hyperlink>
    </w:p>
    <w:p w:rsidR="00037118" w:rsidRPr="00037118" w:rsidRDefault="00D660A0" w:rsidP="00037118">
      <w:pPr>
        <w:pStyle w:val="Nadpismal"/>
      </w:pPr>
      <w:r>
        <w:fldChar w:fldCharType="end"/>
      </w:r>
      <w:r w:rsidR="00037118">
        <w:t xml:space="preserve">Seznam </w:t>
      </w:r>
      <w:r w:rsidR="00084BD5">
        <w:t>tabulkových</w:t>
      </w:r>
      <w:r w:rsidR="005263C7">
        <w:t xml:space="preserve"> a grafických</w:t>
      </w:r>
      <w:r w:rsidR="00084BD5">
        <w:t xml:space="preserve"> </w:t>
      </w:r>
      <w:r w:rsidR="00037118">
        <w:t>příloh</w:t>
      </w:r>
    </w:p>
    <w:p w:rsidR="00037118" w:rsidRPr="004C3D7B" w:rsidRDefault="00037118" w:rsidP="007D236F">
      <w:pPr>
        <w:tabs>
          <w:tab w:val="num" w:pos="0"/>
          <w:tab w:val="left" w:pos="1276"/>
        </w:tabs>
        <w:ind w:left="1276" w:hanging="1276"/>
      </w:pPr>
      <w:r w:rsidRPr="004C3D7B">
        <w:t xml:space="preserve">Příloha č. 1 </w:t>
      </w:r>
      <w:r w:rsidR="00953AFC" w:rsidRPr="004C3D7B">
        <w:t>-</w:t>
      </w:r>
      <w:r w:rsidRPr="004C3D7B">
        <w:tab/>
        <w:t>Predikce hospodaření územních samosprávných celků, dobrovolných svazků obcí a regionálních rad regionů soudržnosti v letech 20</w:t>
      </w:r>
      <w:r w:rsidR="000D2841">
        <w:t>20</w:t>
      </w:r>
      <w:r w:rsidRPr="004C3D7B">
        <w:t xml:space="preserve"> a 20</w:t>
      </w:r>
      <w:r w:rsidR="00CD25E6" w:rsidRPr="004C3D7B">
        <w:t>2</w:t>
      </w:r>
      <w:r w:rsidR="000D2841">
        <w:t>1</w:t>
      </w:r>
    </w:p>
    <w:p w:rsidR="00EB3436" w:rsidRPr="004C3D7B" w:rsidRDefault="00EB3436" w:rsidP="007D236F">
      <w:pPr>
        <w:tabs>
          <w:tab w:val="num" w:pos="0"/>
          <w:tab w:val="left" w:pos="1276"/>
        </w:tabs>
        <w:ind w:left="1276" w:hanging="1276"/>
      </w:pPr>
      <w:r w:rsidRPr="004C3D7B">
        <w:t xml:space="preserve">Příloha č. </w:t>
      </w:r>
      <w:r w:rsidR="00EE73A8" w:rsidRPr="004C3D7B">
        <w:t>2</w:t>
      </w:r>
      <w:r w:rsidRPr="004C3D7B">
        <w:t xml:space="preserve"> - </w:t>
      </w:r>
      <w:r w:rsidRPr="004C3D7B">
        <w:tab/>
        <w:t xml:space="preserve">Vývoj podílu obcí a krajů na stanovené části výnosu daní dle zákona č. 243/2000 </w:t>
      </w:r>
      <w:r w:rsidR="00B378CC">
        <w:t>S</w:t>
      </w:r>
      <w:r w:rsidRPr="004C3D7B">
        <w:t>b., o rozpočtovém určení daní, ve znění pozdějších předpisů</w:t>
      </w:r>
    </w:p>
    <w:p w:rsidR="00EE73A8" w:rsidRPr="004C3D7B" w:rsidRDefault="007D236F" w:rsidP="007D236F">
      <w:pPr>
        <w:tabs>
          <w:tab w:val="num" w:pos="0"/>
          <w:tab w:val="left" w:pos="1276"/>
        </w:tabs>
        <w:ind w:left="1276" w:hanging="1276"/>
      </w:pPr>
      <w:r>
        <w:t xml:space="preserve">Příloha č. 3 - </w:t>
      </w:r>
      <w:r>
        <w:tab/>
      </w:r>
      <w:r w:rsidR="00EE73A8" w:rsidRPr="004C3D7B">
        <w:t>Schéma rozpočtového určení daní od roku 2018</w:t>
      </w:r>
    </w:p>
    <w:p w:rsidR="00037118" w:rsidRPr="004C3D7B" w:rsidRDefault="00037118" w:rsidP="007D236F">
      <w:pPr>
        <w:tabs>
          <w:tab w:val="num" w:pos="0"/>
          <w:tab w:val="left" w:pos="1276"/>
        </w:tabs>
        <w:ind w:left="1276" w:hanging="1276"/>
      </w:pPr>
      <w:r w:rsidRPr="004C3D7B">
        <w:t xml:space="preserve">Příloha č. </w:t>
      </w:r>
      <w:r w:rsidR="00EB3436" w:rsidRPr="004C3D7B">
        <w:t>4</w:t>
      </w:r>
      <w:r w:rsidRPr="004C3D7B">
        <w:t xml:space="preserve"> </w:t>
      </w:r>
      <w:r w:rsidR="007C1FEF" w:rsidRPr="004C3D7B">
        <w:t>-</w:t>
      </w:r>
      <w:r w:rsidRPr="004C3D7B">
        <w:t xml:space="preserve"> </w:t>
      </w:r>
      <w:r w:rsidRPr="004C3D7B">
        <w:tab/>
        <w:t>Vývoj daňových příjmů obcí a krajů v letech 20</w:t>
      </w:r>
      <w:r w:rsidR="00AE4F3B">
        <w:t>20</w:t>
      </w:r>
      <w:r w:rsidRPr="004C3D7B">
        <w:t xml:space="preserve"> a 20</w:t>
      </w:r>
      <w:r w:rsidR="00CD25E6" w:rsidRPr="004C3D7B">
        <w:t>2</w:t>
      </w:r>
      <w:r w:rsidR="00AE4F3B">
        <w:t>1</w:t>
      </w:r>
    </w:p>
    <w:p w:rsidR="00037118" w:rsidRPr="004C3D7B" w:rsidRDefault="00037118" w:rsidP="007D236F">
      <w:pPr>
        <w:tabs>
          <w:tab w:val="num" w:pos="0"/>
          <w:tab w:val="left" w:pos="1276"/>
        </w:tabs>
        <w:ind w:left="1276" w:hanging="1276"/>
      </w:pPr>
      <w:r w:rsidRPr="004C3D7B">
        <w:t xml:space="preserve">Příloha č. </w:t>
      </w:r>
      <w:r w:rsidR="00EB3436" w:rsidRPr="004C3D7B">
        <w:t>5</w:t>
      </w:r>
      <w:r w:rsidR="007C1FEF" w:rsidRPr="004C3D7B">
        <w:t xml:space="preserve"> -</w:t>
      </w:r>
      <w:r w:rsidRPr="004C3D7B">
        <w:t xml:space="preserve"> </w:t>
      </w:r>
      <w:r w:rsidRPr="004C3D7B">
        <w:tab/>
        <w:t>Vybrané dotace územním samosprávným celkům z kapitoly Všeobecná pokladní správa v roce 20</w:t>
      </w:r>
      <w:r w:rsidR="00CD25E6" w:rsidRPr="004C3D7B">
        <w:t>2</w:t>
      </w:r>
      <w:r w:rsidR="00AE4F3B">
        <w:t>1</w:t>
      </w:r>
    </w:p>
    <w:p w:rsidR="00037118" w:rsidRPr="004C3D7B" w:rsidRDefault="00037118" w:rsidP="007D236F">
      <w:pPr>
        <w:tabs>
          <w:tab w:val="num" w:pos="0"/>
          <w:tab w:val="left" w:pos="1276"/>
        </w:tabs>
        <w:ind w:left="1276" w:hanging="1276"/>
      </w:pPr>
      <w:r w:rsidRPr="004C3D7B">
        <w:t xml:space="preserve">Příloha č. </w:t>
      </w:r>
      <w:r w:rsidR="00EB3436" w:rsidRPr="004C3D7B">
        <w:t>6</w:t>
      </w:r>
      <w:r w:rsidRPr="004C3D7B">
        <w:t xml:space="preserve"> </w:t>
      </w:r>
      <w:r w:rsidR="007C1FEF" w:rsidRPr="004C3D7B">
        <w:t>-</w:t>
      </w:r>
      <w:r w:rsidRPr="004C3D7B">
        <w:t xml:space="preserve"> </w:t>
      </w:r>
      <w:r w:rsidRPr="004C3D7B">
        <w:tab/>
        <w:t>Výdaje vedené v informačním systému programového financování EDS/SMVS celkem v roce 20</w:t>
      </w:r>
      <w:r w:rsidR="00CD25E6" w:rsidRPr="004C3D7B">
        <w:t>2</w:t>
      </w:r>
      <w:r w:rsidR="00AE4F3B">
        <w:t>1</w:t>
      </w:r>
      <w:r w:rsidRPr="004C3D7B">
        <w:t xml:space="preserve"> </w:t>
      </w:r>
      <w:r w:rsidR="00B378CC">
        <w:t>pro obce a kraje v</w:t>
      </w:r>
      <w:r w:rsidRPr="004C3D7B">
        <w:t xml:space="preserve"> kapitole Všeobecná pokladní správa </w:t>
      </w:r>
    </w:p>
    <w:p w:rsidR="00037118" w:rsidRPr="007C13A2" w:rsidRDefault="007C1FEF" w:rsidP="007D236F">
      <w:pPr>
        <w:tabs>
          <w:tab w:val="num" w:pos="0"/>
          <w:tab w:val="left" w:pos="1276"/>
        </w:tabs>
        <w:ind w:left="1276" w:hanging="1276"/>
      </w:pPr>
      <w:r w:rsidRPr="007C13A2">
        <w:t xml:space="preserve">Příloha č. </w:t>
      </w:r>
      <w:r w:rsidR="00EB3436" w:rsidRPr="007C13A2">
        <w:t>7</w:t>
      </w:r>
      <w:r w:rsidRPr="007C13A2">
        <w:t xml:space="preserve"> - </w:t>
      </w:r>
      <w:r w:rsidR="00037118" w:rsidRPr="007C13A2">
        <w:tab/>
      </w:r>
      <w:r w:rsidR="001A3D0A" w:rsidRPr="007C13A2">
        <w:t>Příspěvek na výkon státní správy pro hl. m. Prahu v roce 202</w:t>
      </w:r>
      <w:r w:rsidR="00AE4F3B" w:rsidRPr="007C13A2">
        <w:t>1</w:t>
      </w:r>
      <w:r w:rsidR="001A3D0A" w:rsidRPr="007C13A2">
        <w:t xml:space="preserve"> - výkon veřejného opatrovnictví</w:t>
      </w:r>
    </w:p>
    <w:p w:rsidR="00037118" w:rsidRPr="007C13A2" w:rsidRDefault="00037118" w:rsidP="007D236F">
      <w:pPr>
        <w:tabs>
          <w:tab w:val="left" w:pos="1276"/>
        </w:tabs>
        <w:ind w:left="1276" w:hanging="1276"/>
      </w:pPr>
      <w:r w:rsidRPr="007C13A2">
        <w:t xml:space="preserve">Příloha č. </w:t>
      </w:r>
      <w:r w:rsidR="00EB3436" w:rsidRPr="007C13A2">
        <w:t>8</w:t>
      </w:r>
      <w:r w:rsidRPr="007C13A2">
        <w:t xml:space="preserve"> -</w:t>
      </w:r>
      <w:r w:rsidR="00DF126F">
        <w:t xml:space="preserve"> </w:t>
      </w:r>
      <w:r w:rsidRPr="007C13A2">
        <w:tab/>
      </w:r>
      <w:r w:rsidR="001A3D0A" w:rsidRPr="007C13A2">
        <w:t>Příspěvek na výkon státní správy pro hl. m. Prahu v roce 202</w:t>
      </w:r>
      <w:r w:rsidR="00AE4F3B" w:rsidRPr="007C13A2">
        <w:t>1</w:t>
      </w:r>
      <w:r w:rsidR="001A3D0A" w:rsidRPr="007C13A2">
        <w:t xml:space="preserve">  - vydávání občanských průkazů</w:t>
      </w:r>
    </w:p>
    <w:p w:rsidR="006A1F6C" w:rsidRPr="007C13A2" w:rsidRDefault="006A1F6C" w:rsidP="007D236F">
      <w:pPr>
        <w:tabs>
          <w:tab w:val="left" w:pos="1276"/>
        </w:tabs>
        <w:ind w:left="1276" w:hanging="1276"/>
      </w:pPr>
      <w:r w:rsidRPr="007C13A2">
        <w:t xml:space="preserve">Příloha č. </w:t>
      </w:r>
      <w:r w:rsidR="00EB3436" w:rsidRPr="007C13A2">
        <w:t>9</w:t>
      </w:r>
      <w:r w:rsidRPr="007C13A2">
        <w:t xml:space="preserve"> </w:t>
      </w:r>
      <w:r w:rsidR="007C1FEF" w:rsidRPr="007C13A2">
        <w:t>-</w:t>
      </w:r>
      <w:r w:rsidRPr="007C13A2">
        <w:t xml:space="preserve"> </w:t>
      </w:r>
      <w:r w:rsidR="001A3D0A" w:rsidRPr="007C13A2">
        <w:tab/>
        <w:t>Příspěvek na výkon státní správy pro hl. m. Prahu v roce 202</w:t>
      </w:r>
      <w:r w:rsidR="00AE4F3B" w:rsidRPr="007C13A2">
        <w:t>1</w:t>
      </w:r>
      <w:r w:rsidR="001A3D0A" w:rsidRPr="007C13A2">
        <w:t xml:space="preserve">  - financování matričních úřadů</w:t>
      </w:r>
    </w:p>
    <w:p w:rsidR="00A4612C" w:rsidRDefault="006A1F6C" w:rsidP="007D236F">
      <w:pPr>
        <w:tabs>
          <w:tab w:val="left" w:pos="1276"/>
        </w:tabs>
        <w:ind w:left="1276" w:hanging="1276"/>
      </w:pPr>
      <w:r w:rsidRPr="007C13A2">
        <w:t xml:space="preserve">Příloha č. </w:t>
      </w:r>
      <w:r w:rsidR="00EB3436" w:rsidRPr="007C13A2">
        <w:t>10</w:t>
      </w:r>
      <w:r w:rsidRPr="007C13A2">
        <w:t xml:space="preserve"> </w:t>
      </w:r>
      <w:r w:rsidR="007C1FEF" w:rsidRPr="007C13A2">
        <w:t>-</w:t>
      </w:r>
      <w:r w:rsidRPr="007C13A2">
        <w:t xml:space="preserve"> </w:t>
      </w:r>
      <w:r w:rsidR="00C12739" w:rsidRPr="007C13A2">
        <w:tab/>
      </w:r>
      <w:r w:rsidR="00A4612C" w:rsidRPr="00A4612C">
        <w:t>Příspěvek na výkon státní správy pro hl. m. Prahu v roce 2021  - zpracování živnostenského avíza</w:t>
      </w:r>
    </w:p>
    <w:p w:rsidR="006A1F6C" w:rsidRPr="00037118" w:rsidRDefault="00A4612C" w:rsidP="007D236F">
      <w:pPr>
        <w:tabs>
          <w:tab w:val="left" w:pos="1276"/>
        </w:tabs>
        <w:ind w:left="1276" w:hanging="1276"/>
      </w:pPr>
      <w:r w:rsidRPr="007C13A2">
        <w:t>Příloha č. 1</w:t>
      </w:r>
      <w:r>
        <w:t>1</w:t>
      </w:r>
      <w:r w:rsidR="00DF126F">
        <w:t xml:space="preserve"> -</w:t>
      </w:r>
      <w:r w:rsidRPr="007C13A2">
        <w:t xml:space="preserve"> </w:t>
      </w:r>
      <w:r w:rsidR="00DF126F">
        <w:tab/>
      </w:r>
      <w:r w:rsidR="00C12739" w:rsidRPr="007C13A2">
        <w:t>Konstrukce příspěvku na výkon státní správy pro kraje v roce 202</w:t>
      </w:r>
      <w:r w:rsidR="00AE4F3B" w:rsidRPr="007C13A2">
        <w:t>1</w:t>
      </w:r>
    </w:p>
    <w:p w:rsidR="00037118" w:rsidRPr="00037118" w:rsidRDefault="00037118" w:rsidP="00037118"/>
    <w:p w:rsidR="00877BE7" w:rsidRDefault="00877BE7" w:rsidP="006E0C69">
      <w:pPr>
        <w:sectPr w:rsidR="00877BE7" w:rsidSect="00877BE7">
          <w:type w:val="oddPage"/>
          <w:pgSz w:w="11906" w:h="16838"/>
          <w:pgMar w:top="1134" w:right="1134" w:bottom="1134" w:left="1134" w:header="709" w:footer="709" w:gutter="0"/>
          <w:cols w:space="708"/>
          <w:docGrid w:linePitch="360"/>
        </w:sectPr>
      </w:pPr>
    </w:p>
    <w:p w:rsidR="0004538D" w:rsidRDefault="00013DB3" w:rsidP="00013DB3">
      <w:pPr>
        <w:pStyle w:val="Nadpis1"/>
        <w:tabs>
          <w:tab w:val="clear" w:pos="567"/>
        </w:tabs>
        <w:sectPr w:rsidR="0004538D" w:rsidSect="0059148B">
          <w:headerReference w:type="default" r:id="rId9"/>
          <w:footerReference w:type="even" r:id="rId10"/>
          <w:footerReference w:type="default" r:id="rId11"/>
          <w:type w:val="continuous"/>
          <w:pgSz w:w="11906" w:h="16838" w:code="9"/>
          <w:pgMar w:top="1134" w:right="1134" w:bottom="1418" w:left="1134" w:header="709" w:footer="709" w:gutter="0"/>
          <w:pgNumType w:start="1"/>
          <w:cols w:num="2" w:space="709"/>
          <w:docGrid w:linePitch="360"/>
        </w:sectPr>
      </w:pPr>
      <w:bookmarkStart w:id="1" w:name="_Toc533674250"/>
      <w:bookmarkStart w:id="2" w:name="_Toc17962153"/>
      <w:bookmarkStart w:id="3" w:name="_Toc54337172"/>
      <w:r w:rsidRPr="00013DB3">
        <w:lastRenderedPageBreak/>
        <w:t>Úvod</w:t>
      </w:r>
      <w:bookmarkEnd w:id="1"/>
      <w:bookmarkEnd w:id="2"/>
      <w:bookmarkEnd w:id="3"/>
    </w:p>
    <w:p w:rsidR="00013DB3" w:rsidRPr="004D5B3C" w:rsidRDefault="00013DB3" w:rsidP="00013DB3">
      <w:pPr>
        <w:rPr>
          <w:b/>
          <w:sz w:val="24"/>
          <w:szCs w:val="24"/>
        </w:rPr>
      </w:pPr>
      <w:r w:rsidRPr="004D5B3C">
        <w:rPr>
          <w:b/>
          <w:sz w:val="24"/>
          <w:szCs w:val="24"/>
        </w:rPr>
        <w:lastRenderedPageBreak/>
        <w:t xml:space="preserve">Územní (místní) rozpočty zahrnují: </w:t>
      </w:r>
    </w:p>
    <w:p w:rsidR="00013DB3" w:rsidRPr="00013DB3" w:rsidRDefault="00013DB3" w:rsidP="0059148B">
      <w:pPr>
        <w:pStyle w:val="Odstavecseseznamem"/>
        <w:numPr>
          <w:ilvl w:val="0"/>
          <w:numId w:val="29"/>
        </w:numPr>
        <w:ind w:left="426"/>
      </w:pPr>
      <w:r w:rsidRPr="00013DB3">
        <w:t>rozpočty územních samosprávných celků</w:t>
      </w:r>
      <w:r w:rsidR="007817D6">
        <w:t xml:space="preserve"> (tj. rozpočty obcí a krajů)</w:t>
      </w:r>
      <w:r w:rsidRPr="00013DB3">
        <w:t xml:space="preserve"> </w:t>
      </w:r>
    </w:p>
    <w:p w:rsidR="00013DB3" w:rsidRPr="00013DB3" w:rsidRDefault="00013DB3" w:rsidP="0059148B">
      <w:pPr>
        <w:pStyle w:val="Odstavecseseznamem"/>
        <w:numPr>
          <w:ilvl w:val="0"/>
          <w:numId w:val="29"/>
        </w:numPr>
        <w:ind w:left="426"/>
      </w:pPr>
      <w:r w:rsidRPr="00013DB3">
        <w:t xml:space="preserve">rozpočty dobrovolných svazků obcí </w:t>
      </w:r>
    </w:p>
    <w:p w:rsidR="00126EB5" w:rsidRDefault="00126EB5" w:rsidP="0059148B">
      <w:pPr>
        <w:pStyle w:val="Odstavecseseznamem"/>
        <w:numPr>
          <w:ilvl w:val="0"/>
          <w:numId w:val="29"/>
        </w:numPr>
        <w:ind w:left="426"/>
        <w:sectPr w:rsidR="00126EB5" w:rsidSect="00126EB5">
          <w:type w:val="continuous"/>
          <w:pgSz w:w="11906" w:h="16838" w:code="9"/>
          <w:pgMar w:top="1134" w:right="1134" w:bottom="1418" w:left="1134" w:header="709" w:footer="709" w:gutter="0"/>
          <w:pgNumType w:start="1"/>
          <w:cols w:space="709"/>
          <w:docGrid w:linePitch="360"/>
        </w:sectPr>
      </w:pPr>
    </w:p>
    <w:p w:rsidR="00013DB3" w:rsidRPr="00013DB3" w:rsidRDefault="00013DB3" w:rsidP="0059148B">
      <w:pPr>
        <w:pStyle w:val="Odstavecseseznamem"/>
        <w:numPr>
          <w:ilvl w:val="0"/>
          <w:numId w:val="29"/>
        </w:numPr>
        <w:ind w:left="426"/>
      </w:pPr>
      <w:r w:rsidRPr="00013DB3">
        <w:lastRenderedPageBreak/>
        <w:t xml:space="preserve">rozpočty regionálních rad regionů soudržnosti </w:t>
      </w:r>
    </w:p>
    <w:p w:rsidR="006A40AF" w:rsidRDefault="006A40AF" w:rsidP="004D5B3C">
      <w:pPr>
        <w:pStyle w:val="Nadpis2"/>
        <w:sectPr w:rsidR="006A40AF" w:rsidSect="0059148B">
          <w:type w:val="continuous"/>
          <w:pgSz w:w="11906" w:h="16838" w:code="9"/>
          <w:pgMar w:top="1134" w:right="1134" w:bottom="1418" w:left="1134" w:header="709" w:footer="709" w:gutter="0"/>
          <w:pgNumType w:start="1"/>
          <w:cols w:num="2" w:space="709"/>
          <w:docGrid w:linePitch="360"/>
        </w:sectPr>
      </w:pPr>
      <w:bookmarkStart w:id="4" w:name="_Toc5956942"/>
      <w:bookmarkStart w:id="5" w:name="_Toc533674251"/>
      <w:bookmarkStart w:id="6" w:name="_Toc525714684"/>
    </w:p>
    <w:p w:rsidR="002F7560" w:rsidRDefault="004D5B3C" w:rsidP="005C6303">
      <w:pPr>
        <w:pStyle w:val="Nadpis2"/>
      </w:pPr>
      <w:bookmarkStart w:id="7" w:name="_Toc17962154"/>
      <w:bookmarkStart w:id="8" w:name="_Toc54337173"/>
      <w:r w:rsidRPr="004D5B3C">
        <w:lastRenderedPageBreak/>
        <w:t>Územní samosprávné celky (ÚSC)</w:t>
      </w:r>
      <w:bookmarkEnd w:id="4"/>
      <w:bookmarkEnd w:id="5"/>
      <w:bookmarkEnd w:id="7"/>
      <w:bookmarkEnd w:id="8"/>
    </w:p>
    <w:p w:rsidR="006A40AF" w:rsidRDefault="006A40AF" w:rsidP="005C6303">
      <w:pPr>
        <w:pStyle w:val="Nadpis2"/>
        <w:sectPr w:rsidR="006A40AF" w:rsidSect="006A40AF">
          <w:type w:val="continuous"/>
          <w:pgSz w:w="11906" w:h="16838" w:code="9"/>
          <w:pgMar w:top="1134" w:right="1134" w:bottom="1418" w:left="1134" w:header="709" w:footer="709" w:gutter="0"/>
          <w:cols w:space="709"/>
          <w:docGrid w:linePitch="360"/>
        </w:sectPr>
      </w:pPr>
    </w:p>
    <w:p w:rsidR="004D5B3C" w:rsidRPr="00EB0FEE" w:rsidRDefault="004D5B3C" w:rsidP="00577165">
      <w:pPr>
        <w:suppressAutoHyphens/>
        <w:spacing w:before="120"/>
      </w:pPr>
      <w:r w:rsidRPr="00EB0FEE">
        <w:lastRenderedPageBreak/>
        <w:t xml:space="preserve">Všechny obce (včetně hl. m. Prahy) a kraje zajišťují jak samostatnou působnost, tak státní správu, kterou vykonávají jako svou přenesenou působnost: </w:t>
      </w:r>
    </w:p>
    <w:p w:rsidR="004D5B3C" w:rsidRPr="00EB0FEE" w:rsidRDefault="004D5B3C" w:rsidP="00577165">
      <w:pPr>
        <w:suppressAutoHyphens/>
        <w:spacing w:before="120"/>
      </w:pPr>
      <w:r w:rsidRPr="00A706AE">
        <w:rPr>
          <w:b/>
        </w:rPr>
        <w:t>samostatná působnost</w:t>
      </w:r>
      <w:r w:rsidRPr="00EB0FEE">
        <w:t xml:space="preserve"> - obec a kraj ji vykonává prostřednictvím svých volených orgánů (např. zastupitelstvo, rada) - např. se zde řadí nakládání s majetkem a finanční hospodaření;</w:t>
      </w:r>
    </w:p>
    <w:p w:rsidR="00C92971" w:rsidRDefault="004D5B3C" w:rsidP="00577165">
      <w:pPr>
        <w:suppressAutoHyphens/>
        <w:spacing w:before="120"/>
      </w:pPr>
      <w:r w:rsidRPr="00A706AE">
        <w:rPr>
          <w:b/>
        </w:rPr>
        <w:t>přenesená působnost</w:t>
      </w:r>
      <w:r w:rsidRPr="00EB0FEE">
        <w:t xml:space="preserve"> - vykonává ji jménem státu obecní úřad (např. působnost stavebního úřadu), krajský úřad (např. přezkum hospodaření obcí). Většina obcí zajišťuje pouze základní rozsah státní správy; podle rozsah</w:t>
      </w:r>
      <w:r w:rsidR="006A40AF">
        <w:t>u státní správy existují obce s </w:t>
      </w:r>
      <w:r w:rsidRPr="00EB0FEE">
        <w:t>funkcí matričního úřadu, stavebního úřadu, obce s pověřeným obecním úřadem a obce s rozšířenou působností; k částečné úhradě výkonu přenesené působnosti je obcím a krajům poskytován ze státního rozpočtu příspěvek.</w:t>
      </w:r>
    </w:p>
    <w:p w:rsidR="001C6124" w:rsidRPr="00EB0FEE" w:rsidRDefault="00C92971" w:rsidP="00577165">
      <w:pPr>
        <w:suppressAutoHyphens/>
        <w:spacing w:before="120"/>
      </w:pPr>
      <w:r>
        <w:br w:type="column"/>
      </w:r>
      <w:r w:rsidR="00AD0D9F" w:rsidRPr="00A706AE">
        <w:rPr>
          <w:b/>
        </w:rPr>
        <w:lastRenderedPageBreak/>
        <w:t>Hospodaření územních samosprávných celků</w:t>
      </w:r>
      <w:r w:rsidR="00AD0D9F" w:rsidRPr="00EB0FEE">
        <w:t>:</w:t>
      </w:r>
    </w:p>
    <w:p w:rsidR="0059148B" w:rsidRDefault="00AD0D9F" w:rsidP="00577165">
      <w:pPr>
        <w:suppressAutoHyphens/>
        <w:spacing w:before="120"/>
      </w:pPr>
      <w:r w:rsidRPr="00EB0FEE">
        <w:t>Nástrojem finančního hospodaření ÚSC je rozpočet, který se sestavuje na jeden kalendářní rok (rozpočtové období) a střednědobý výhled rozpočtu. Ten představuje nástroj střednědobého plánování a sestavuje se pro období 2-5 let po roce, na který se sestavuje rozpočet</w:t>
      </w:r>
      <w:r w:rsidR="00FC4779">
        <w:t>.</w:t>
      </w:r>
    </w:p>
    <w:p w:rsidR="00C92971" w:rsidRDefault="00C92971" w:rsidP="00577165">
      <w:pPr>
        <w:suppressAutoHyphens/>
        <w:spacing w:before="120"/>
      </w:pPr>
    </w:p>
    <w:p w:rsidR="00183DCA" w:rsidRDefault="00183DCA" w:rsidP="00EB0FEE">
      <w:pPr>
        <w:pStyle w:val="Nadpis2"/>
        <w:sectPr w:rsidR="00183DCA" w:rsidSect="00183DCA">
          <w:footnotePr>
            <w:pos w:val="beneathText"/>
          </w:footnotePr>
          <w:type w:val="continuous"/>
          <w:pgSz w:w="11906" w:h="16838" w:code="9"/>
          <w:pgMar w:top="1134" w:right="1134" w:bottom="1418" w:left="1134" w:header="709" w:footer="709" w:gutter="0"/>
          <w:cols w:num="2" w:space="397"/>
          <w:docGrid w:linePitch="360"/>
        </w:sectPr>
      </w:pPr>
      <w:bookmarkStart w:id="9" w:name="_Toc533674252"/>
      <w:bookmarkStart w:id="10" w:name="_Toc5956943"/>
    </w:p>
    <w:p w:rsidR="00020832" w:rsidRPr="00020832" w:rsidRDefault="00020832" w:rsidP="005C6303">
      <w:pPr>
        <w:pStyle w:val="Nadpis2"/>
      </w:pPr>
      <w:bookmarkStart w:id="11" w:name="_Toc17962155"/>
      <w:bookmarkStart w:id="12" w:name="_Toc54337174"/>
      <w:r w:rsidRPr="00020832">
        <w:lastRenderedPageBreak/>
        <w:t>Další územní rozpočty</w:t>
      </w:r>
      <w:bookmarkEnd w:id="9"/>
      <w:bookmarkEnd w:id="11"/>
      <w:bookmarkEnd w:id="12"/>
      <w:r w:rsidRPr="00020832">
        <w:t xml:space="preserve"> </w:t>
      </w:r>
    </w:p>
    <w:bookmarkEnd w:id="6"/>
    <w:bookmarkEnd w:id="10"/>
    <w:p w:rsidR="00F763ED" w:rsidRDefault="00F763ED" w:rsidP="005C6303">
      <w:pPr>
        <w:pStyle w:val="Nadpis2"/>
        <w:sectPr w:rsidR="00F763ED" w:rsidSect="00877BE7">
          <w:type w:val="continuous"/>
          <w:pgSz w:w="11906" w:h="16838" w:code="9"/>
          <w:pgMar w:top="1134" w:right="1134" w:bottom="1418" w:left="1134" w:header="709" w:footer="709" w:gutter="0"/>
          <w:cols w:space="709"/>
          <w:docGrid w:linePitch="360"/>
        </w:sectPr>
      </w:pPr>
    </w:p>
    <w:p w:rsidR="000E71B9" w:rsidRPr="000E71B9" w:rsidRDefault="000E71B9" w:rsidP="00577165">
      <w:pPr>
        <w:spacing w:before="120"/>
        <w:rPr>
          <w:b/>
        </w:rPr>
      </w:pPr>
      <w:r w:rsidRPr="000E71B9">
        <w:rPr>
          <w:b/>
        </w:rPr>
        <w:lastRenderedPageBreak/>
        <w:t>Dobrovolné svazky obcí (dále jen „DSO“)</w:t>
      </w:r>
    </w:p>
    <w:p w:rsidR="000E71B9" w:rsidRPr="000E71B9" w:rsidRDefault="000E71B9" w:rsidP="00577165">
      <w:pPr>
        <w:suppressAutoHyphens/>
        <w:spacing w:before="120"/>
      </w:pPr>
      <w:r w:rsidRPr="000E71B9">
        <w:t>Podle zákona č. 128/2000 Sb., o obcích, ve znění pozdějších předpisů, mohou obce ke spolupráci při výkonu samostatné působnosti vytvořit DSO. DSO je právnickou osobou, hospodaří podle vlastního rozpočtu za podmínek stanovených v zákoně č.</w:t>
      </w:r>
      <w:r w:rsidR="00A24D68">
        <w:t xml:space="preserve"> </w:t>
      </w:r>
      <w:r w:rsidRPr="000E71B9">
        <w:t>250/2000 Sb., o</w:t>
      </w:r>
      <w:r w:rsidR="00A24D68">
        <w:t> </w:t>
      </w:r>
      <w:r w:rsidRPr="000E71B9">
        <w:t>rozpočtových pravidlech územních rozpočtů, ve znění pozdějších předpisů. DSO hospodaří s</w:t>
      </w:r>
      <w:r w:rsidR="00A24D68">
        <w:t xml:space="preserve"> </w:t>
      </w:r>
      <w:r w:rsidRPr="000E71B9">
        <w:t>majetkem, který vytvářejí vlastní činností, nebo který do něj vložily členské obce. Svazky nejčastěji působí v oblasti vodního hospodářství, územního rozvoje a k</w:t>
      </w:r>
      <w:r w:rsidR="00A24D68">
        <w:t xml:space="preserve"> </w:t>
      </w:r>
      <w:r w:rsidRPr="000E71B9">
        <w:t>zajištění komunálních služeb.</w:t>
      </w:r>
    </w:p>
    <w:p w:rsidR="000E71B9" w:rsidRPr="00FE5FE2" w:rsidRDefault="00183DCA" w:rsidP="00577165">
      <w:pPr>
        <w:suppressAutoHyphens/>
        <w:spacing w:before="120"/>
        <w:rPr>
          <w:b/>
        </w:rPr>
      </w:pPr>
      <w:r>
        <w:rPr>
          <w:b/>
        </w:rPr>
        <w:br w:type="column"/>
      </w:r>
      <w:r w:rsidR="000E71B9" w:rsidRPr="00FE5FE2">
        <w:rPr>
          <w:b/>
        </w:rPr>
        <w:lastRenderedPageBreak/>
        <w:t xml:space="preserve">Regionální rady regionů soudržnosti (dále jen „RR“) </w:t>
      </w:r>
    </w:p>
    <w:p w:rsidR="000E71B9" w:rsidRPr="000E71B9" w:rsidRDefault="000E71B9" w:rsidP="00577165">
      <w:pPr>
        <w:suppressAutoHyphens/>
        <w:spacing w:before="120"/>
      </w:pPr>
      <w:r w:rsidRPr="00FE5FE2">
        <w:t>RR jsou právnické osoby, které vznikly v roce 2006 novelou zákona č. 248/2000 Sb., o  podpoře regionálního rozvoje, ve znění pozdějších předpisů. Jejich hlavním úkolem bylo administrovat finanční prostředky z fondů EU prostřednictvím regionálních operačních programů (dále jen „ROP“) v předchozím programovém období 2007 - 2013. Č</w:t>
      </w:r>
      <w:r w:rsidR="006D6BA1" w:rsidRPr="00FE5FE2">
        <w:t xml:space="preserve">innost RR již </w:t>
      </w:r>
      <w:r w:rsidR="00FF00DB" w:rsidRPr="00FE5FE2">
        <w:t xml:space="preserve">končí a v současné době je </w:t>
      </w:r>
      <w:r w:rsidR="00FE5FE2" w:rsidRPr="00FE5FE2">
        <w:t xml:space="preserve">v legislativním procesu </w:t>
      </w:r>
      <w:r w:rsidR="00FF00DB" w:rsidRPr="00FE5FE2">
        <w:t>legislativa, která povede k jejich zrušení.</w:t>
      </w:r>
      <w:r w:rsidRPr="000E71B9">
        <w:t xml:space="preserve"> </w:t>
      </w:r>
    </w:p>
    <w:p w:rsidR="00183DCA" w:rsidRDefault="00183DCA" w:rsidP="005C4562">
      <w:pPr>
        <w:sectPr w:rsidR="00183DCA" w:rsidSect="00183DCA">
          <w:headerReference w:type="even" r:id="rId12"/>
          <w:headerReference w:type="default" r:id="rId13"/>
          <w:footerReference w:type="even" r:id="rId14"/>
          <w:footerReference w:type="default" r:id="rId15"/>
          <w:type w:val="continuous"/>
          <w:pgSz w:w="11906" w:h="16838" w:code="9"/>
          <w:pgMar w:top="1134" w:right="1134" w:bottom="1134" w:left="1134" w:header="709" w:footer="709" w:gutter="0"/>
          <w:cols w:num="2" w:space="397"/>
          <w:docGrid w:linePitch="360"/>
        </w:sectPr>
      </w:pPr>
    </w:p>
    <w:p w:rsidR="00183DCA" w:rsidRDefault="00183DCA">
      <w:pPr>
        <w:spacing w:after="0"/>
        <w:jc w:val="left"/>
        <w:rPr>
          <w:b/>
          <w:bCs/>
        </w:rPr>
      </w:pPr>
      <w:bookmarkStart w:id="13" w:name="_Ref533159140"/>
    </w:p>
    <w:p w:rsidR="0059148B" w:rsidRDefault="0059148B">
      <w:pPr>
        <w:spacing w:before="0" w:after="0"/>
        <w:jc w:val="left"/>
        <w:rPr>
          <w:rFonts w:cs="Arial"/>
          <w:b/>
          <w:bCs/>
          <w:kern w:val="32"/>
          <w:sz w:val="40"/>
          <w:szCs w:val="32"/>
        </w:rPr>
      </w:pPr>
      <w:bookmarkStart w:id="14" w:name="_Toc533674253"/>
      <w:bookmarkStart w:id="15" w:name="_Toc17962156"/>
      <w:bookmarkStart w:id="16" w:name="_Toc206730426"/>
      <w:bookmarkStart w:id="17" w:name="_Toc238787317"/>
      <w:bookmarkStart w:id="18" w:name="_Toc239042731"/>
      <w:bookmarkStart w:id="19" w:name="_Toc239056360"/>
      <w:bookmarkStart w:id="20" w:name="_Toc239056398"/>
      <w:bookmarkStart w:id="21" w:name="_Toc525714686"/>
      <w:bookmarkStart w:id="22" w:name="_Toc515545973"/>
      <w:bookmarkStart w:id="23" w:name="_Toc5956945"/>
      <w:bookmarkEnd w:id="13"/>
      <w:r>
        <w:br w:type="page"/>
      </w:r>
    </w:p>
    <w:p w:rsidR="00EB0FEE" w:rsidRDefault="00EB0FEE" w:rsidP="00EB0FEE">
      <w:pPr>
        <w:pStyle w:val="Nadpis1"/>
        <w:pageBreakBefore w:val="0"/>
        <w:tabs>
          <w:tab w:val="clear" w:pos="567"/>
        </w:tabs>
        <w:spacing w:after="360"/>
        <w:ind w:left="432" w:hanging="432"/>
        <w:jc w:val="left"/>
      </w:pPr>
      <w:bookmarkStart w:id="24" w:name="_Toc54337175"/>
      <w:r w:rsidRPr="00EB0FEE">
        <w:lastRenderedPageBreak/>
        <w:t>Územní rozpočty v letech 20</w:t>
      </w:r>
      <w:r w:rsidR="008D55BA">
        <w:t>20</w:t>
      </w:r>
      <w:r w:rsidRPr="00EB0FEE">
        <w:t xml:space="preserve"> a 20</w:t>
      </w:r>
      <w:bookmarkEnd w:id="14"/>
      <w:r w:rsidR="00C43C0C">
        <w:t>2</w:t>
      </w:r>
      <w:bookmarkEnd w:id="15"/>
      <w:r w:rsidR="008D55BA">
        <w:t>1</w:t>
      </w:r>
      <w:bookmarkEnd w:id="24"/>
    </w:p>
    <w:p w:rsidR="00C8341D" w:rsidRPr="00C8341D" w:rsidRDefault="00C8341D" w:rsidP="005C6303">
      <w:pPr>
        <w:pStyle w:val="Nadpis2"/>
      </w:pPr>
      <w:bookmarkStart w:id="25" w:name="_Toc533674254"/>
      <w:bookmarkStart w:id="26" w:name="_Toc17962157"/>
      <w:bookmarkStart w:id="27" w:name="_Toc54337176"/>
      <w:r w:rsidRPr="00C8341D">
        <w:t>Východiska pro sestavení predikc</w:t>
      </w:r>
      <w:bookmarkEnd w:id="25"/>
      <w:r>
        <w:t>e</w:t>
      </w:r>
      <w:bookmarkEnd w:id="26"/>
      <w:bookmarkEnd w:id="27"/>
    </w:p>
    <w:bookmarkEnd w:id="16"/>
    <w:bookmarkEnd w:id="17"/>
    <w:bookmarkEnd w:id="18"/>
    <w:bookmarkEnd w:id="19"/>
    <w:bookmarkEnd w:id="20"/>
    <w:bookmarkEnd w:id="21"/>
    <w:bookmarkEnd w:id="22"/>
    <w:bookmarkEnd w:id="23"/>
    <w:p w:rsidR="00505DD6" w:rsidRDefault="00505DD6" w:rsidP="005C6303">
      <w:pPr>
        <w:pStyle w:val="Nadpis2"/>
        <w:sectPr w:rsidR="00505DD6" w:rsidSect="003F38F3">
          <w:type w:val="continuous"/>
          <w:pgSz w:w="11906" w:h="16838" w:code="9"/>
          <w:pgMar w:top="1134" w:right="1134" w:bottom="1134" w:left="1134" w:header="709" w:footer="709" w:gutter="0"/>
          <w:cols w:space="708"/>
          <w:docGrid w:linePitch="360"/>
        </w:sectPr>
      </w:pPr>
    </w:p>
    <w:p w:rsidR="00C8341D" w:rsidRPr="00C8341D" w:rsidRDefault="00C8341D" w:rsidP="00577165">
      <w:pPr>
        <w:spacing w:before="120" w:after="120"/>
      </w:pPr>
      <w:r w:rsidRPr="00C8341D">
        <w:lastRenderedPageBreak/>
        <w:t>Odhady vývoje hospodaření jednotlivých složek územních rozpočtů pro roky 20</w:t>
      </w:r>
      <w:r w:rsidR="00A73C6D">
        <w:t>20</w:t>
      </w:r>
      <w:r w:rsidRPr="00C8341D">
        <w:t xml:space="preserve"> a 20</w:t>
      </w:r>
      <w:r w:rsidR="000D6603">
        <w:t>2</w:t>
      </w:r>
      <w:r w:rsidR="00A73C6D">
        <w:t>1</w:t>
      </w:r>
      <w:r w:rsidRPr="00C8341D">
        <w:t xml:space="preserve"> byly připraveny s využitím následujících podkladů:</w:t>
      </w:r>
    </w:p>
    <w:p w:rsidR="00C8341D" w:rsidRPr="00C8341D" w:rsidRDefault="00C8341D" w:rsidP="00DC1829">
      <w:pPr>
        <w:numPr>
          <w:ilvl w:val="0"/>
          <w:numId w:val="7"/>
        </w:numPr>
        <w:spacing w:before="0" w:after="0"/>
        <w:ind w:left="357" w:hanging="357"/>
        <w:contextualSpacing/>
      </w:pPr>
      <w:r w:rsidRPr="00C8341D">
        <w:t>aktuální makroekonomická predikce České republiky,</w:t>
      </w:r>
    </w:p>
    <w:p w:rsidR="00C8341D" w:rsidRPr="00C8341D" w:rsidRDefault="00C8341D" w:rsidP="00DC1829">
      <w:pPr>
        <w:numPr>
          <w:ilvl w:val="0"/>
          <w:numId w:val="7"/>
        </w:numPr>
        <w:spacing w:before="0" w:after="0"/>
        <w:ind w:left="357" w:hanging="357"/>
        <w:contextualSpacing/>
      </w:pPr>
      <w:r w:rsidRPr="00C8341D">
        <w:t>očekávaná skutečnost plnění daňových příjmů veřejných rozpočtů v roce 20</w:t>
      </w:r>
      <w:r w:rsidR="00A73C6D">
        <w:t>20</w:t>
      </w:r>
      <w:r w:rsidRPr="00C8341D">
        <w:t xml:space="preserve"> a daňová predikce na rok 20</w:t>
      </w:r>
      <w:r w:rsidR="000D6603">
        <w:t>2</w:t>
      </w:r>
      <w:r w:rsidR="00A73C6D">
        <w:t>1</w:t>
      </w:r>
      <w:r w:rsidRPr="00C8341D">
        <w:t>,</w:t>
      </w:r>
    </w:p>
    <w:p w:rsidR="00C8341D" w:rsidRPr="00C8341D" w:rsidRDefault="00C8341D" w:rsidP="00DC1829">
      <w:pPr>
        <w:numPr>
          <w:ilvl w:val="0"/>
          <w:numId w:val="7"/>
        </w:numPr>
        <w:spacing w:before="0" w:after="0"/>
        <w:ind w:left="357" w:hanging="357"/>
        <w:contextualSpacing/>
      </w:pPr>
      <w:r w:rsidRPr="00C8341D">
        <w:t>aktuální bilance příjmů a výdajů obcí a krajů, DSO a RR,</w:t>
      </w:r>
    </w:p>
    <w:p w:rsidR="00577165" w:rsidRDefault="00C8341D" w:rsidP="00DC1829">
      <w:pPr>
        <w:numPr>
          <w:ilvl w:val="0"/>
          <w:numId w:val="7"/>
        </w:numPr>
        <w:spacing w:before="0" w:after="0"/>
        <w:ind w:left="357" w:hanging="357"/>
        <w:contextualSpacing/>
      </w:pPr>
      <w:r w:rsidRPr="00C8341D">
        <w:lastRenderedPageBreak/>
        <w:t>upravené rozpočty kapitol státního rozpočtu a</w:t>
      </w:r>
      <w:r w:rsidR="00CE2E65">
        <w:t> </w:t>
      </w:r>
      <w:r w:rsidRPr="00C8341D">
        <w:t>státních fondů.</w:t>
      </w:r>
    </w:p>
    <w:p w:rsidR="00EB0FEE" w:rsidRPr="00577165" w:rsidRDefault="00577165" w:rsidP="00577165">
      <w:pPr>
        <w:spacing w:before="120" w:after="120"/>
        <w:rPr>
          <w:b/>
        </w:rPr>
      </w:pPr>
      <w:r w:rsidRPr="00577165">
        <w:rPr>
          <w:b/>
        </w:rPr>
        <w:t>U</w:t>
      </w:r>
      <w:r w:rsidR="00C8341D" w:rsidRPr="00577165">
        <w:rPr>
          <w:b/>
        </w:rPr>
        <w:t>váděné hodnoty vztahující se k příjmům, výdajům a</w:t>
      </w:r>
      <w:r w:rsidR="009E0B34" w:rsidRPr="00577165">
        <w:rPr>
          <w:b/>
        </w:rPr>
        <w:t> </w:t>
      </w:r>
      <w:r w:rsidR="00C8341D" w:rsidRPr="00577165">
        <w:rPr>
          <w:b/>
        </w:rPr>
        <w:t>saldu jednotlivých kategorií územních rozpočtů pro roky 20</w:t>
      </w:r>
      <w:r w:rsidR="00A73C6D">
        <w:rPr>
          <w:b/>
        </w:rPr>
        <w:t>20</w:t>
      </w:r>
      <w:r w:rsidR="00C8341D" w:rsidRPr="00577165">
        <w:rPr>
          <w:b/>
        </w:rPr>
        <w:t xml:space="preserve"> a 20</w:t>
      </w:r>
      <w:r w:rsidR="000D6603" w:rsidRPr="00577165">
        <w:rPr>
          <w:b/>
        </w:rPr>
        <w:t>2</w:t>
      </w:r>
      <w:r w:rsidR="00A73C6D">
        <w:rPr>
          <w:b/>
        </w:rPr>
        <w:t>1</w:t>
      </w:r>
      <w:r w:rsidR="00C8341D" w:rsidRPr="00577165">
        <w:rPr>
          <w:b/>
        </w:rPr>
        <w:t xml:space="preserve"> představují odhady, které vychází z výše uvedených předpokladů a jsou vždy postupně zpřesňovány na základě aktuálního vývoje. </w:t>
      </w:r>
    </w:p>
    <w:p w:rsidR="005A6A7E" w:rsidRDefault="005A6A7E" w:rsidP="005A6A7E"/>
    <w:p w:rsidR="005A6A7E" w:rsidRPr="005A6A7E" w:rsidRDefault="005A6A7E" w:rsidP="005A6A7E">
      <w:pPr>
        <w:sectPr w:rsidR="005A6A7E" w:rsidRPr="005A6A7E" w:rsidSect="00505DD6">
          <w:type w:val="continuous"/>
          <w:pgSz w:w="11906" w:h="16838" w:code="9"/>
          <w:pgMar w:top="1134" w:right="1134" w:bottom="1134" w:left="1134" w:header="709" w:footer="709" w:gutter="0"/>
          <w:cols w:num="2" w:space="397"/>
          <w:docGrid w:linePitch="360"/>
        </w:sectPr>
      </w:pPr>
    </w:p>
    <w:p w:rsidR="002016D8" w:rsidRPr="002016D8" w:rsidRDefault="002016D8" w:rsidP="005C6303">
      <w:pPr>
        <w:pStyle w:val="Nadpis2"/>
      </w:pPr>
      <w:bookmarkStart w:id="28" w:name="_Toc533674255"/>
      <w:bookmarkStart w:id="29" w:name="_Toc17962158"/>
      <w:bookmarkStart w:id="30" w:name="_Toc54337177"/>
      <w:bookmarkStart w:id="31" w:name="_Toc5956947"/>
      <w:bookmarkStart w:id="32" w:name="_Toc238787318"/>
      <w:bookmarkStart w:id="33" w:name="_Toc239042732"/>
      <w:bookmarkStart w:id="34" w:name="_Toc239056361"/>
      <w:bookmarkStart w:id="35" w:name="_Toc239056399"/>
      <w:bookmarkStart w:id="36" w:name="_Toc525714687"/>
      <w:r w:rsidRPr="002016D8">
        <w:lastRenderedPageBreak/>
        <w:t>Očekávaný vývoj hospodaření územních rozpočtů v letech 20</w:t>
      </w:r>
      <w:r w:rsidR="008D55BA">
        <w:t>20</w:t>
      </w:r>
      <w:r w:rsidRPr="002016D8">
        <w:t xml:space="preserve"> a 20</w:t>
      </w:r>
      <w:bookmarkEnd w:id="28"/>
      <w:r w:rsidR="007A2A48">
        <w:t>2</w:t>
      </w:r>
      <w:bookmarkEnd w:id="29"/>
      <w:r w:rsidR="008D55BA">
        <w:t>1</w:t>
      </w:r>
      <w:bookmarkEnd w:id="30"/>
    </w:p>
    <w:bookmarkEnd w:id="31"/>
    <w:p w:rsidR="00837825" w:rsidRDefault="00837825" w:rsidP="005C6303">
      <w:pPr>
        <w:pStyle w:val="Nadpis2"/>
        <w:sectPr w:rsidR="00837825" w:rsidSect="002016D8">
          <w:type w:val="continuous"/>
          <w:pgSz w:w="11906" w:h="16838" w:code="9"/>
          <w:pgMar w:top="1134" w:right="1134" w:bottom="1134" w:left="1134" w:header="709" w:footer="709" w:gutter="0"/>
          <w:cols w:space="397"/>
          <w:docGrid w:linePitch="360"/>
        </w:sectPr>
      </w:pPr>
    </w:p>
    <w:p w:rsidR="00FF3AFD" w:rsidRDefault="00511333" w:rsidP="00FF3AFD">
      <w:r w:rsidRPr="00461363">
        <w:lastRenderedPageBreak/>
        <w:t xml:space="preserve">I přes stávající ekonomický vývoj, který souvisí s probíhající pandemií onemocnění COVID-19, se předpokládá, že územní rozpočty </w:t>
      </w:r>
      <w:r w:rsidR="002016D8" w:rsidRPr="00461363">
        <w:t xml:space="preserve">jako celek v letošním </w:t>
      </w:r>
      <w:r w:rsidR="006A03B8">
        <w:t xml:space="preserve">i v příštím roce </w:t>
      </w:r>
      <w:r w:rsidR="002016D8" w:rsidRPr="00461363">
        <w:t>vykáží</w:t>
      </w:r>
      <w:r w:rsidR="006A03B8">
        <w:t xml:space="preserve"> </w:t>
      </w:r>
      <w:r w:rsidR="002016D8" w:rsidRPr="00461363">
        <w:t xml:space="preserve">rozpočtový </w:t>
      </w:r>
      <w:r w:rsidRPr="00461363">
        <w:t>přebytek</w:t>
      </w:r>
      <w:r w:rsidR="002016D8" w:rsidRPr="00461363">
        <w:t>.</w:t>
      </w:r>
      <w:r w:rsidRPr="00461363">
        <w:t xml:space="preserve"> Ten by</w:t>
      </w:r>
      <w:r w:rsidR="006A03B8">
        <w:t xml:space="preserve"> se</w:t>
      </w:r>
      <w:r w:rsidRPr="00461363">
        <w:t xml:space="preserve"> však měl </w:t>
      </w:r>
      <w:r w:rsidR="006A03B8">
        <w:t xml:space="preserve">postupně snižovat. </w:t>
      </w:r>
    </w:p>
    <w:p w:rsidR="002016D8" w:rsidRPr="002016D8" w:rsidRDefault="002016D8" w:rsidP="00FF3AFD">
      <w:r w:rsidRPr="00461363">
        <w:lastRenderedPageBreak/>
        <w:t xml:space="preserve">Jakým způsobem se jednotlivé úrovně této kategorie veřejných rozpočtů na </w:t>
      </w:r>
      <w:r w:rsidR="005D39D3">
        <w:t>odhadovaném</w:t>
      </w:r>
      <w:r w:rsidRPr="00461363">
        <w:t xml:space="preserve"> </w:t>
      </w:r>
      <w:r w:rsidR="004A5920" w:rsidRPr="00461363">
        <w:t>saldu</w:t>
      </w:r>
      <w:r w:rsidRPr="00461363">
        <w:t xml:space="preserve"> podílejí, ve srovnání se situací v</w:t>
      </w:r>
      <w:r w:rsidR="007D4454" w:rsidRPr="00461363">
        <w:t> minulých letech</w:t>
      </w:r>
      <w:r w:rsidRPr="00461363">
        <w:t>, zachycuje následující tabulka</w:t>
      </w:r>
      <w:r w:rsidR="00603CB3" w:rsidRPr="00461363">
        <w:t>.</w:t>
      </w:r>
      <w:r w:rsidR="00461363">
        <w:t xml:space="preserve"> </w:t>
      </w:r>
    </w:p>
    <w:p w:rsidR="00A706AE" w:rsidRDefault="00A706AE" w:rsidP="00751CD7">
      <w:pPr>
        <w:pStyle w:val="Titulek"/>
        <w:jc w:val="left"/>
        <w:sectPr w:rsidR="00A706AE" w:rsidSect="0078037D">
          <w:type w:val="continuous"/>
          <w:pgSz w:w="11906" w:h="16838" w:code="9"/>
          <w:pgMar w:top="1134" w:right="1134" w:bottom="1134" w:left="1134" w:header="709" w:footer="709" w:gutter="0"/>
          <w:cols w:num="2" w:space="397"/>
          <w:docGrid w:linePitch="360"/>
        </w:sectPr>
      </w:pPr>
    </w:p>
    <w:p w:rsidR="00E30018" w:rsidRDefault="00E30018" w:rsidP="009F6BEF">
      <w:pPr>
        <w:pStyle w:val="Titulek"/>
        <w:spacing w:before="120" w:after="120"/>
        <w:rPr>
          <w:b w:val="0"/>
          <w:i/>
        </w:rPr>
      </w:pPr>
      <w:bookmarkStart w:id="37" w:name="_Toc54337196"/>
      <w:r w:rsidRPr="00561ECD">
        <w:lastRenderedPageBreak/>
        <w:t xml:space="preserve">Tabulka </w:t>
      </w:r>
      <w:fldSimple w:instr=" SEQ Tabulka \* ARABIC ">
        <w:r w:rsidR="00340343">
          <w:rPr>
            <w:noProof/>
          </w:rPr>
          <w:t>1</w:t>
        </w:r>
      </w:fldSimple>
      <w:r w:rsidRPr="00561ECD">
        <w:t>: Struktura salda hospodaření územních rozpočtů v letech 201</w:t>
      </w:r>
      <w:r w:rsidR="0071043F" w:rsidRPr="00561ECD">
        <w:t>6</w:t>
      </w:r>
      <w:r w:rsidR="009974F5" w:rsidRPr="00561ECD">
        <w:t xml:space="preserve"> </w:t>
      </w:r>
      <w:r w:rsidRPr="00561ECD">
        <w:t>-</w:t>
      </w:r>
      <w:r w:rsidR="009974F5" w:rsidRPr="00561ECD">
        <w:t xml:space="preserve"> </w:t>
      </w:r>
      <w:r w:rsidRPr="00561ECD">
        <w:t>202</w:t>
      </w:r>
      <w:r w:rsidR="0071043F" w:rsidRPr="00561ECD">
        <w:t>1</w:t>
      </w:r>
      <w:r w:rsidRPr="00561ECD">
        <w:t xml:space="preserve"> </w:t>
      </w:r>
      <w:r w:rsidRPr="00561ECD">
        <w:rPr>
          <w:b w:val="0"/>
          <w:i/>
        </w:rPr>
        <w:t>(v mld. Kč)</w:t>
      </w:r>
      <w:bookmarkEnd w:id="37"/>
    </w:p>
    <w:p w:rsidR="00751CD7" w:rsidRPr="00751CD7" w:rsidRDefault="002E13F3" w:rsidP="00751CD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100.5pt">
            <v:imagedata r:id="rId16" o:title=""/>
          </v:shape>
        </w:pict>
      </w:r>
    </w:p>
    <w:p w:rsidR="002031F5" w:rsidRPr="00F84004" w:rsidRDefault="002031F5" w:rsidP="009F6BEF">
      <w:pPr>
        <w:spacing w:before="240"/>
        <w:rPr>
          <w:b/>
          <w:sz w:val="24"/>
        </w:rPr>
      </w:pPr>
      <w:r w:rsidRPr="00F84004">
        <w:rPr>
          <w:b/>
          <w:sz w:val="24"/>
        </w:rPr>
        <w:t>Hlavní faktory mající vliv na vývoj hospodaření územních rozpočtů v letech 20</w:t>
      </w:r>
      <w:r w:rsidR="008D55BA">
        <w:rPr>
          <w:b/>
          <w:sz w:val="24"/>
        </w:rPr>
        <w:t>20</w:t>
      </w:r>
      <w:r w:rsidRPr="00F84004">
        <w:rPr>
          <w:b/>
          <w:sz w:val="24"/>
        </w:rPr>
        <w:t xml:space="preserve"> a 20</w:t>
      </w:r>
      <w:r w:rsidR="00D531F8" w:rsidRPr="00F84004">
        <w:rPr>
          <w:b/>
          <w:sz w:val="24"/>
        </w:rPr>
        <w:t>2</w:t>
      </w:r>
      <w:r w:rsidR="008D55BA">
        <w:rPr>
          <w:b/>
          <w:sz w:val="24"/>
        </w:rPr>
        <w:t>1</w:t>
      </w:r>
    </w:p>
    <w:p w:rsidR="00F34AD5" w:rsidRPr="00F84004" w:rsidRDefault="00F34AD5" w:rsidP="009F6BEF">
      <w:pPr>
        <w:spacing w:before="240"/>
        <w:rPr>
          <w:b/>
          <w:sz w:val="24"/>
        </w:rPr>
        <w:sectPr w:rsidR="00F34AD5" w:rsidRPr="00F84004" w:rsidSect="00F34AD5">
          <w:type w:val="continuous"/>
          <w:pgSz w:w="11906" w:h="16838" w:code="9"/>
          <w:pgMar w:top="1134" w:right="1134" w:bottom="1134" w:left="1134" w:header="709" w:footer="709" w:gutter="0"/>
          <w:cols w:space="397"/>
          <w:docGrid w:linePitch="360"/>
        </w:sectPr>
      </w:pPr>
    </w:p>
    <w:p w:rsidR="00F34AD5" w:rsidRPr="00561ECD" w:rsidRDefault="00D40916" w:rsidP="00B1368D">
      <w:pPr>
        <w:numPr>
          <w:ilvl w:val="0"/>
          <w:numId w:val="9"/>
        </w:numPr>
        <w:suppressAutoHyphens/>
        <w:ind w:left="284" w:hanging="284"/>
      </w:pPr>
      <w:r w:rsidRPr="00561ECD">
        <w:rPr>
          <w:b/>
        </w:rPr>
        <w:lastRenderedPageBreak/>
        <w:t>E</w:t>
      </w:r>
      <w:r w:rsidR="004B2066" w:rsidRPr="00561ECD">
        <w:rPr>
          <w:b/>
        </w:rPr>
        <w:t xml:space="preserve">konomický </w:t>
      </w:r>
      <w:r w:rsidR="002031F5" w:rsidRPr="00561ECD">
        <w:rPr>
          <w:b/>
        </w:rPr>
        <w:t>vývoj</w:t>
      </w:r>
      <w:r w:rsidRPr="00561ECD">
        <w:rPr>
          <w:b/>
        </w:rPr>
        <w:t xml:space="preserve"> ovlivněný pandemií onemocnění C</w:t>
      </w:r>
      <w:r w:rsidR="00C73A00" w:rsidRPr="00561ECD">
        <w:rPr>
          <w:b/>
        </w:rPr>
        <w:t>OVID</w:t>
      </w:r>
      <w:r w:rsidR="00252685">
        <w:rPr>
          <w:b/>
        </w:rPr>
        <w:t>-</w:t>
      </w:r>
      <w:r w:rsidRPr="00561ECD">
        <w:rPr>
          <w:b/>
        </w:rPr>
        <w:t>19</w:t>
      </w:r>
    </w:p>
    <w:p w:rsidR="00E24DB0" w:rsidRDefault="005103FF" w:rsidP="00B1368D">
      <w:pPr>
        <w:suppressAutoHyphens/>
        <w:ind w:left="284"/>
      </w:pPr>
      <w:r w:rsidRPr="00875FAF">
        <w:t xml:space="preserve">Nastalá ekonomická situace </w:t>
      </w:r>
      <w:r w:rsidR="00875FAF" w:rsidRPr="00875FAF">
        <w:t>n</w:t>
      </w:r>
      <w:r w:rsidRPr="00875FAF">
        <w:t xml:space="preserve">egativně ovlivňuje </w:t>
      </w:r>
      <w:r w:rsidR="00875FAF" w:rsidRPr="00875FAF">
        <w:t xml:space="preserve">vývoj </w:t>
      </w:r>
      <w:r w:rsidRPr="00875FAF">
        <w:t>daňov</w:t>
      </w:r>
      <w:r w:rsidR="00875FAF" w:rsidRPr="00875FAF">
        <w:t>ých</w:t>
      </w:r>
      <w:r w:rsidRPr="00875FAF">
        <w:t xml:space="preserve"> příjm</w:t>
      </w:r>
      <w:r w:rsidR="00875FAF" w:rsidRPr="00875FAF">
        <w:t>ů</w:t>
      </w:r>
      <w:r w:rsidRPr="00875FAF">
        <w:t xml:space="preserve"> územních samosprávných celků, oproti tomu </w:t>
      </w:r>
      <w:r w:rsidR="00875FAF" w:rsidRPr="00875FAF">
        <w:t xml:space="preserve">však </w:t>
      </w:r>
      <w:r w:rsidR="00E24DB0" w:rsidRPr="00875FAF">
        <w:t>dochází v průběhu roku</w:t>
      </w:r>
      <w:r w:rsidR="00832311">
        <w:t xml:space="preserve"> 2020</w:t>
      </w:r>
      <w:r w:rsidR="00E24DB0" w:rsidRPr="00875FAF">
        <w:t xml:space="preserve"> k navyšování transferů pro územní rozpočty. To ovlivní nejen plnění příjmů, ale i</w:t>
      </w:r>
      <w:r w:rsidR="00A24D68">
        <w:t> </w:t>
      </w:r>
      <w:r w:rsidR="00E24DB0" w:rsidRPr="00875FAF">
        <w:t xml:space="preserve">výdajů a výslednou výši salda rozpočtového hospodaření. </w:t>
      </w:r>
    </w:p>
    <w:p w:rsidR="00875FAF" w:rsidRDefault="00875FAF" w:rsidP="00B1368D">
      <w:pPr>
        <w:suppressAutoHyphens/>
        <w:ind w:left="284"/>
      </w:pPr>
      <w:r w:rsidRPr="00832311">
        <w:t xml:space="preserve">V roce 2021 </w:t>
      </w:r>
      <w:r w:rsidR="00474525" w:rsidRPr="00832311">
        <w:t xml:space="preserve">se již předpokládá oživení </w:t>
      </w:r>
      <w:r w:rsidR="001B07D5">
        <w:t>ekonomiky a</w:t>
      </w:r>
      <w:r w:rsidR="00F5789F">
        <w:t> </w:t>
      </w:r>
      <w:r w:rsidR="001B07D5">
        <w:t xml:space="preserve">s tím související obnovení </w:t>
      </w:r>
      <w:r w:rsidR="00474525" w:rsidRPr="00832311">
        <w:t xml:space="preserve">růstu daňových příjmů, což </w:t>
      </w:r>
      <w:r w:rsidRPr="00832311">
        <w:t>by</w:t>
      </w:r>
      <w:r w:rsidR="00474525" w:rsidRPr="00832311">
        <w:t xml:space="preserve"> mělo pozitivně ovlivnit příjmovou stran</w:t>
      </w:r>
      <w:r w:rsidR="00832311" w:rsidRPr="00832311">
        <w:t>u</w:t>
      </w:r>
      <w:r w:rsidR="00474525" w:rsidRPr="00832311">
        <w:t xml:space="preserve"> rozpočtů obcí a krajů, u nichž daňové příjmy představují nejvýznamnější kategorii vlastních příjmů. </w:t>
      </w:r>
    </w:p>
    <w:p w:rsidR="002042D9" w:rsidRPr="003C3F3F" w:rsidRDefault="00252685" w:rsidP="00B1368D">
      <w:pPr>
        <w:keepNext/>
        <w:numPr>
          <w:ilvl w:val="0"/>
          <w:numId w:val="9"/>
        </w:numPr>
        <w:suppressAutoHyphens/>
        <w:ind w:left="284" w:hanging="284"/>
        <w:rPr>
          <w:b/>
        </w:rPr>
      </w:pPr>
      <w:r>
        <w:rPr>
          <w:b/>
        </w:rPr>
        <w:t>R</w:t>
      </w:r>
      <w:r w:rsidR="002031F5" w:rsidRPr="003C3F3F">
        <w:rPr>
          <w:b/>
        </w:rPr>
        <w:t>ozpočtové určení daní</w:t>
      </w:r>
    </w:p>
    <w:p w:rsidR="004B6D45" w:rsidRPr="004B6D45" w:rsidRDefault="00E24DB0" w:rsidP="00B1368D">
      <w:pPr>
        <w:suppressAutoHyphens/>
        <w:ind w:left="284"/>
      </w:pPr>
      <w:r>
        <w:t>V</w:t>
      </w:r>
      <w:r w:rsidR="00C73A00">
        <w:t xml:space="preserve">ývoj na straně </w:t>
      </w:r>
      <w:r w:rsidR="004B6D45" w:rsidRPr="004B6D45">
        <w:t xml:space="preserve">daňových příjmů </w:t>
      </w:r>
      <w:r w:rsidR="002F1965">
        <w:t xml:space="preserve">obcí a krajů </w:t>
      </w:r>
      <w:r w:rsidR="00875FAF">
        <w:t xml:space="preserve">neovlivňuje v letošním ani příštím roce </w:t>
      </w:r>
      <w:r w:rsidR="004B6D45" w:rsidRPr="004B6D45">
        <w:t>změn</w:t>
      </w:r>
      <w:r w:rsidR="00875FAF">
        <w:t>a</w:t>
      </w:r>
      <w:r w:rsidR="00BB3515">
        <w:t xml:space="preserve"> </w:t>
      </w:r>
      <w:r w:rsidR="004B6D45">
        <w:t>zákona</w:t>
      </w:r>
      <w:r w:rsidR="00BB3515">
        <w:t xml:space="preserve"> </w:t>
      </w:r>
      <w:r w:rsidR="004B6D45">
        <w:t>č.</w:t>
      </w:r>
      <w:r w:rsidR="00A168DF">
        <w:t> </w:t>
      </w:r>
      <w:r w:rsidR="004B6D45">
        <w:t>243/2000</w:t>
      </w:r>
      <w:r w:rsidR="00A168DF">
        <w:t> </w:t>
      </w:r>
      <w:r w:rsidR="004B6D45">
        <w:t>Sb.,</w:t>
      </w:r>
      <w:r w:rsidR="00BB3515">
        <w:t xml:space="preserve"> </w:t>
      </w:r>
      <w:r w:rsidR="004B6D45">
        <w:t>o</w:t>
      </w:r>
      <w:r w:rsidR="00A168DF">
        <w:t> </w:t>
      </w:r>
      <w:r w:rsidR="004B6D45" w:rsidRPr="004B6D45">
        <w:t>rozpočtové</w:t>
      </w:r>
      <w:r w:rsidR="00A34F2D">
        <w:t>m</w:t>
      </w:r>
      <w:r w:rsidR="00BB3515">
        <w:t xml:space="preserve"> </w:t>
      </w:r>
      <w:r w:rsidR="004B6D45" w:rsidRPr="004B6D45">
        <w:t>určení daní</w:t>
      </w:r>
      <w:r w:rsidR="00A34F2D">
        <w:t>, ve znění pozdějších předpisů</w:t>
      </w:r>
      <w:r w:rsidR="004B6D45" w:rsidRPr="004B6D45">
        <w:t>. V</w:t>
      </w:r>
      <w:r w:rsidR="00BB3515">
        <w:t> </w:t>
      </w:r>
      <w:r w:rsidR="004B6D45" w:rsidRPr="004B6D45">
        <w:t>předchozích</w:t>
      </w:r>
      <w:r w:rsidR="00BB3515">
        <w:t xml:space="preserve"> </w:t>
      </w:r>
      <w:r w:rsidR="004B6D45" w:rsidRPr="004B6D45">
        <w:t>letech</w:t>
      </w:r>
      <w:r w:rsidR="00BB3515">
        <w:t xml:space="preserve"> </w:t>
      </w:r>
      <w:r w:rsidR="004B6D45" w:rsidRPr="004B6D45">
        <w:t>došlo</w:t>
      </w:r>
      <w:r w:rsidR="00BB3515">
        <w:t xml:space="preserve"> </w:t>
      </w:r>
      <w:r w:rsidR="004B6D45" w:rsidRPr="004B6D45">
        <w:t>k</w:t>
      </w:r>
      <w:r w:rsidR="00A168DF">
        <w:t> </w:t>
      </w:r>
      <w:r w:rsidR="004B6D45" w:rsidRPr="004B6D45">
        <w:t>úpravám</w:t>
      </w:r>
      <w:r w:rsidR="003C05B2">
        <w:t xml:space="preserve"> tohoto zákona </w:t>
      </w:r>
      <w:r w:rsidR="004B6D45" w:rsidRPr="004B6D45">
        <w:t>znamenajícím</w:t>
      </w:r>
      <w:r w:rsidR="003C05B2">
        <w:t xml:space="preserve"> </w:t>
      </w:r>
      <w:r w:rsidR="004B6D45" w:rsidRPr="004B6D45">
        <w:lastRenderedPageBreak/>
        <w:t>posílení</w:t>
      </w:r>
      <w:r w:rsidR="003C05B2">
        <w:t xml:space="preserve"> </w:t>
      </w:r>
      <w:r w:rsidR="004B6D45" w:rsidRPr="004B6D45">
        <w:t>daňových</w:t>
      </w:r>
      <w:r w:rsidR="003C05B2">
        <w:t xml:space="preserve"> </w:t>
      </w:r>
      <w:r w:rsidR="004B6D45" w:rsidRPr="004B6D45">
        <w:t>příjmů</w:t>
      </w:r>
      <w:r w:rsidR="003C05B2">
        <w:t xml:space="preserve"> </w:t>
      </w:r>
      <w:r w:rsidR="00A168DF">
        <w:t>územních samosprávných celků</w:t>
      </w:r>
      <w:r>
        <w:t xml:space="preserve"> následujícím způsobem:</w:t>
      </w:r>
      <w:r w:rsidR="00A168DF">
        <w:t xml:space="preserve"> </w:t>
      </w:r>
      <w:r w:rsidR="004B6D45" w:rsidRPr="004B6D45">
        <w:t>Od 1.</w:t>
      </w:r>
      <w:r w:rsidR="00A168DF">
        <w:t> </w:t>
      </w:r>
      <w:r w:rsidR="004B6D45" w:rsidRPr="004B6D45">
        <w:t>1.</w:t>
      </w:r>
      <w:r w:rsidR="00A168DF">
        <w:t> </w:t>
      </w:r>
      <w:r w:rsidR="004B6D45" w:rsidRPr="004B6D45">
        <w:t>2016 byl navýšen podíl krajů na dani z přidané hodnoty na 8,92</w:t>
      </w:r>
      <w:r w:rsidR="00A34F2D">
        <w:t> </w:t>
      </w:r>
      <w:r w:rsidR="00BB3515">
        <w:t>%. U </w:t>
      </w:r>
      <w:r w:rsidR="004B6D45" w:rsidRPr="004B6D45">
        <w:t>obcí došlo s účinností od 1.</w:t>
      </w:r>
      <w:r w:rsidR="005B1141">
        <w:t> </w:t>
      </w:r>
      <w:r w:rsidR="004B6D45" w:rsidRPr="004B6D45">
        <w:t>1. 2017 k navýšení podílu na</w:t>
      </w:r>
      <w:r w:rsidR="00BB3515">
        <w:t xml:space="preserve"> dani z přidané hodnoty na 21,4 </w:t>
      </w:r>
      <w:r w:rsidR="004B6D45" w:rsidRPr="004B6D45">
        <w:t>% a zároveň byl zrušen problematický 30% podíl obcí na dani z příjmů f</w:t>
      </w:r>
      <w:r w:rsidR="00BB3515">
        <w:t>yzických osob z přiznání. Od 1. 1. </w:t>
      </w:r>
      <w:r w:rsidR="004B6D45" w:rsidRPr="004B6D45">
        <w:t>2018 došlo u</w:t>
      </w:r>
      <w:r w:rsidR="00A168DF">
        <w:t> </w:t>
      </w:r>
      <w:r w:rsidR="004B6D45" w:rsidRPr="004B6D45">
        <w:t>obcí k dalšímu navýšení podílu na dani z přidané hodnoty na 23,58 %</w:t>
      </w:r>
      <w:r w:rsidR="00252685">
        <w:t xml:space="preserve"> a</w:t>
      </w:r>
      <w:r w:rsidR="002031F5" w:rsidRPr="004B6D45">
        <w:t xml:space="preserve"> </w:t>
      </w:r>
      <w:r w:rsidR="00252685">
        <w:t>z</w:t>
      </w:r>
      <w:r w:rsidR="002031F5" w:rsidRPr="004B6D45">
        <w:t>ároveň se navýšila váha kritéria počtu dětí a</w:t>
      </w:r>
      <w:r w:rsidR="008A4102" w:rsidRPr="004B6D45">
        <w:t> </w:t>
      </w:r>
      <w:r w:rsidR="002031F5" w:rsidRPr="004B6D45">
        <w:t>žáků</w:t>
      </w:r>
      <w:r w:rsidR="008A4102" w:rsidRPr="004B6D45">
        <w:t xml:space="preserve"> ZŠ a MŠ v působnosti obcí</w:t>
      </w:r>
      <w:r w:rsidR="002031F5" w:rsidRPr="004B6D45">
        <w:t xml:space="preserve"> ze 7 % na 9 %.</w:t>
      </w:r>
      <w:r w:rsidR="00D531F8" w:rsidRPr="004B6D45">
        <w:t xml:space="preserve"> </w:t>
      </w:r>
    </w:p>
    <w:p w:rsidR="00252685" w:rsidRPr="00252685" w:rsidRDefault="001B1272" w:rsidP="00252685">
      <w:pPr>
        <w:pStyle w:val="Odstavecseseznamem"/>
        <w:numPr>
          <w:ilvl w:val="0"/>
          <w:numId w:val="9"/>
        </w:numPr>
        <w:suppressAutoHyphens/>
        <w:rPr>
          <w:b/>
        </w:rPr>
      </w:pPr>
      <w:r>
        <w:rPr>
          <w:b/>
        </w:rPr>
        <w:t>Investiční politika na úrovni územních samosprávných celků</w:t>
      </w:r>
    </w:p>
    <w:p w:rsidR="00C44386" w:rsidRPr="003C3F3F" w:rsidRDefault="00CD72CB" w:rsidP="00252685">
      <w:pPr>
        <w:suppressAutoHyphens/>
        <w:ind w:left="284"/>
      </w:pPr>
      <w:r w:rsidRPr="003C3F3F">
        <w:t>Ochota</w:t>
      </w:r>
      <w:r w:rsidR="00252685">
        <w:t xml:space="preserve"> investovat</w:t>
      </w:r>
      <w:r w:rsidRPr="003C3F3F">
        <w:t xml:space="preserve"> </w:t>
      </w:r>
      <w:r w:rsidR="00410F1B">
        <w:t>v minulosti naspořené prostředky</w:t>
      </w:r>
      <w:r w:rsidR="007D4B70">
        <w:t>,</w:t>
      </w:r>
      <w:r w:rsidR="00410F1B">
        <w:t xml:space="preserve"> popř. </w:t>
      </w:r>
      <w:r w:rsidR="00827184">
        <w:t>vůle</w:t>
      </w:r>
      <w:r w:rsidR="00410F1B">
        <w:t xml:space="preserve"> zapojit do</w:t>
      </w:r>
      <w:r w:rsidR="00A24D68">
        <w:t xml:space="preserve"> jejich</w:t>
      </w:r>
      <w:r w:rsidR="00410F1B">
        <w:t xml:space="preserve"> financování bankovní úvěry</w:t>
      </w:r>
      <w:r w:rsidR="007D4B70">
        <w:t>,</w:t>
      </w:r>
      <w:r w:rsidR="00410F1B">
        <w:t xml:space="preserve"> </w:t>
      </w:r>
      <w:r w:rsidR="00252685">
        <w:t xml:space="preserve">bude mít přímý vliv </w:t>
      </w:r>
      <w:r w:rsidR="00C44386" w:rsidRPr="003C3F3F">
        <w:t xml:space="preserve">nejen </w:t>
      </w:r>
      <w:r w:rsidR="009607BA">
        <w:t xml:space="preserve">na </w:t>
      </w:r>
      <w:r w:rsidR="008A4ADB">
        <w:t>výši</w:t>
      </w:r>
      <w:r w:rsidR="00C44386" w:rsidRPr="003C3F3F">
        <w:t xml:space="preserve"> kapitálových výdajů, ale odrazí se </w:t>
      </w:r>
      <w:r w:rsidR="00410F1B">
        <w:t xml:space="preserve">i </w:t>
      </w:r>
      <w:r w:rsidR="00C44386" w:rsidRPr="003C3F3F">
        <w:t xml:space="preserve">ve výsledném saldu rozpočtového hospodaření. </w:t>
      </w:r>
      <w:r w:rsidRPr="003C3F3F">
        <w:t xml:space="preserve"> </w:t>
      </w:r>
    </w:p>
    <w:p w:rsidR="00C26DCB" w:rsidRDefault="002031F5" w:rsidP="00B1368D">
      <w:pPr>
        <w:suppressAutoHyphens/>
        <w:ind w:left="284"/>
      </w:pPr>
      <w:r w:rsidRPr="003C3F3F">
        <w:t>Podrobnější údaje o očekávaných příjmech a</w:t>
      </w:r>
      <w:r w:rsidR="00BE49A4" w:rsidRPr="003C3F3F">
        <w:t> </w:t>
      </w:r>
      <w:r w:rsidRPr="003C3F3F">
        <w:t>výdajích jednotlivých úrovní územních rozpo</w:t>
      </w:r>
      <w:r w:rsidR="002042D9" w:rsidRPr="003C3F3F">
        <w:t>čtů jsou uvedeny v následujícím textu</w:t>
      </w:r>
      <w:r w:rsidR="00F34AD5" w:rsidRPr="003C3F3F">
        <w:t>.</w:t>
      </w:r>
    </w:p>
    <w:p w:rsidR="00756F3F" w:rsidRDefault="00756F3F" w:rsidP="00252685">
      <w:pPr>
        <w:suppressAutoHyphens/>
        <w:ind w:left="284"/>
      </w:pPr>
    </w:p>
    <w:p w:rsidR="00FA1241" w:rsidRDefault="00FA1241" w:rsidP="00FA1241">
      <w:pPr>
        <w:pStyle w:val="Nadpis2"/>
        <w:sectPr w:rsidR="00FA1241" w:rsidSect="0078037D">
          <w:type w:val="continuous"/>
          <w:pgSz w:w="11906" w:h="16838" w:code="9"/>
          <w:pgMar w:top="1134" w:right="1134" w:bottom="1134" w:left="1134" w:header="709" w:footer="709" w:gutter="0"/>
          <w:cols w:num="2" w:space="397"/>
          <w:docGrid w:linePitch="360"/>
        </w:sectPr>
      </w:pPr>
    </w:p>
    <w:p w:rsidR="00FA1241" w:rsidRPr="005C6303" w:rsidRDefault="00FA1241" w:rsidP="005C6303">
      <w:pPr>
        <w:pStyle w:val="Nadpis2"/>
        <w:sectPr w:rsidR="00FA1241" w:rsidRPr="005C6303" w:rsidSect="00FA1241">
          <w:type w:val="continuous"/>
          <w:pgSz w:w="11906" w:h="16838" w:code="9"/>
          <w:pgMar w:top="1134" w:right="1134" w:bottom="1134" w:left="1134" w:header="709" w:footer="709" w:gutter="0"/>
          <w:cols w:space="397"/>
          <w:docGrid w:linePitch="360"/>
        </w:sectPr>
      </w:pPr>
      <w:bookmarkStart w:id="38" w:name="_Toc533674256"/>
      <w:bookmarkStart w:id="39" w:name="_Toc17962159"/>
      <w:bookmarkStart w:id="40" w:name="_Toc54337178"/>
      <w:r w:rsidRPr="005C6303">
        <w:lastRenderedPageBreak/>
        <w:t>Vývoj hospodaření obcí v letech 20</w:t>
      </w:r>
      <w:r w:rsidR="008D55BA">
        <w:t>20</w:t>
      </w:r>
      <w:r w:rsidRPr="005C6303">
        <w:t xml:space="preserve"> a 20</w:t>
      </w:r>
      <w:bookmarkEnd w:id="38"/>
      <w:r w:rsidRPr="005C6303">
        <w:t>2</w:t>
      </w:r>
      <w:bookmarkEnd w:id="39"/>
      <w:r w:rsidR="008D55BA">
        <w:t>1</w:t>
      </w:r>
      <w:bookmarkEnd w:id="40"/>
    </w:p>
    <w:p w:rsidR="00777712" w:rsidRDefault="00777712" w:rsidP="00777712">
      <w:pPr>
        <w:pStyle w:val="Titulek"/>
        <w:spacing w:after="120"/>
      </w:pPr>
      <w:bookmarkStart w:id="41" w:name="_Toc54337197"/>
      <w:r w:rsidRPr="003B66D4">
        <w:lastRenderedPageBreak/>
        <w:t xml:space="preserve">Tabulka </w:t>
      </w:r>
      <w:fldSimple w:instr=" SEQ Tabulka \* ARABIC ">
        <w:r w:rsidR="00340343">
          <w:rPr>
            <w:noProof/>
          </w:rPr>
          <w:t>2</w:t>
        </w:r>
      </w:fldSimple>
      <w:r w:rsidRPr="003B66D4">
        <w:t>: Struktura příjmů a výdajů obcí v letech 201</w:t>
      </w:r>
      <w:r w:rsidR="007C0EE4" w:rsidRPr="003B66D4">
        <w:t>6</w:t>
      </w:r>
      <w:r w:rsidRPr="003B66D4">
        <w:t>– 202</w:t>
      </w:r>
      <w:r w:rsidR="007C0EE4" w:rsidRPr="003B66D4">
        <w:t>1</w:t>
      </w:r>
      <w:r w:rsidRPr="003B66D4">
        <w:t xml:space="preserve"> </w:t>
      </w:r>
      <w:r w:rsidRPr="003B66D4">
        <w:rPr>
          <w:b w:val="0"/>
          <w:i/>
        </w:rPr>
        <w:t>(v mld. Kč)</w:t>
      </w:r>
      <w:bookmarkEnd w:id="41"/>
    </w:p>
    <w:p w:rsidR="00ED75FE" w:rsidRPr="00912DA9" w:rsidRDefault="002E13F3" w:rsidP="00B1368D">
      <w:pPr>
        <w:spacing w:before="120" w:after="120"/>
        <w:rPr>
          <w:i/>
        </w:rPr>
      </w:pPr>
      <w:r>
        <w:rPr>
          <w:b/>
          <w:bCs/>
        </w:rPr>
        <w:pict>
          <v:shape id="_x0000_i1026" type="#_x0000_t75" style="width:483pt;height:152.25pt">
            <v:imagedata r:id="rId17" o:title=""/>
          </v:shape>
        </w:pict>
      </w:r>
      <w:r w:rsidR="00ED75FE" w:rsidRPr="00912DA9">
        <w:rPr>
          <w:b/>
          <w:i/>
          <w:u w:val="single"/>
        </w:rPr>
        <w:t>Poznámka:</w:t>
      </w:r>
    </w:p>
    <w:p w:rsidR="00A76C3D" w:rsidRPr="007C0EE4" w:rsidRDefault="00ED75FE" w:rsidP="00912DA9">
      <w:pPr>
        <w:jc w:val="left"/>
        <w:rPr>
          <w:i/>
        </w:rPr>
        <w:sectPr w:rsidR="00A76C3D" w:rsidRPr="007C0EE4" w:rsidSect="00505DD6">
          <w:type w:val="continuous"/>
          <w:pgSz w:w="11906" w:h="16838" w:code="9"/>
          <w:pgMar w:top="1134" w:right="1134" w:bottom="1134" w:left="1134" w:header="709" w:footer="709" w:gutter="0"/>
          <w:cols w:space="708"/>
          <w:docGrid w:linePitch="360"/>
        </w:sectPr>
      </w:pPr>
      <w:r w:rsidRPr="00912DA9">
        <w:rPr>
          <w:i/>
        </w:rPr>
        <w:t>Výše transferů</w:t>
      </w:r>
      <w:r w:rsidR="007639CC" w:rsidRPr="00912DA9">
        <w:rPr>
          <w:i/>
        </w:rPr>
        <w:t xml:space="preserve"> vychází z návrhu</w:t>
      </w:r>
      <w:r w:rsidRPr="00912DA9">
        <w:rPr>
          <w:i/>
        </w:rPr>
        <w:t xml:space="preserve"> státního rozpočtu na rok 20</w:t>
      </w:r>
      <w:r w:rsidR="001F0F82" w:rsidRPr="00912DA9">
        <w:rPr>
          <w:i/>
        </w:rPr>
        <w:t>2</w:t>
      </w:r>
      <w:r w:rsidR="003B0B93" w:rsidRPr="00912DA9">
        <w:rPr>
          <w:i/>
        </w:rPr>
        <w:t>1</w:t>
      </w:r>
      <w:r w:rsidRPr="00912DA9">
        <w:rPr>
          <w:i/>
        </w:rPr>
        <w:t xml:space="preserve">. </w:t>
      </w:r>
      <w:r w:rsidR="00014F65" w:rsidRPr="00912DA9">
        <w:rPr>
          <w:i/>
        </w:rPr>
        <w:t>Té odpovídá i výše odhadovaných výdajů</w:t>
      </w:r>
      <w:r w:rsidR="007639CC" w:rsidRPr="00912DA9">
        <w:rPr>
          <w:i/>
        </w:rPr>
        <w:t>, a to zejména kapitálových</w:t>
      </w:r>
      <w:r w:rsidR="00014F65" w:rsidRPr="00912DA9">
        <w:rPr>
          <w:i/>
        </w:rPr>
        <w:t xml:space="preserve">. </w:t>
      </w:r>
      <w:r w:rsidRPr="00912DA9">
        <w:rPr>
          <w:i/>
        </w:rPr>
        <w:t>Stejně jako v předchozích letech se předpokládá částečné navýšení transferů pro obce v průběhu roku (formou  rozpočtových opatření), což ovlivní nejen skutečné plnění příjmů, ale i výdajů.</w:t>
      </w:r>
    </w:p>
    <w:p w:rsidR="0020776E" w:rsidRPr="0020776E" w:rsidRDefault="00F31C60" w:rsidP="00DC1829">
      <w:r>
        <w:lastRenderedPageBreak/>
        <w:t>V h</w:t>
      </w:r>
      <w:r w:rsidR="007C0EE4" w:rsidRPr="00DB0243">
        <w:t xml:space="preserve">ospodaření obcí v roce 2020 </w:t>
      </w:r>
      <w:r>
        <w:t xml:space="preserve">se projevuje probíhající </w:t>
      </w:r>
      <w:r w:rsidR="007C0EE4" w:rsidRPr="00DB0243">
        <w:t>celosvětov</w:t>
      </w:r>
      <w:r>
        <w:t>á</w:t>
      </w:r>
      <w:r w:rsidR="007C0EE4" w:rsidRPr="00DB0243">
        <w:t xml:space="preserve"> pandemie onemocnění COVID</w:t>
      </w:r>
      <w:r w:rsidR="00410F1B">
        <w:t>-</w:t>
      </w:r>
      <w:r w:rsidR="007C0EE4" w:rsidRPr="00DB0243">
        <w:t>19.</w:t>
      </w:r>
      <w:r w:rsidR="00816B8B" w:rsidRPr="00DB0243">
        <w:t xml:space="preserve"> </w:t>
      </w:r>
      <w:r w:rsidR="0020776E" w:rsidRPr="00DB0243">
        <w:t>Aktualizovaný odhad výsledku hospodaření předpokládá u obcí</w:t>
      </w:r>
      <w:r w:rsidR="00F5456E">
        <w:t xml:space="preserve"> jak v </w:t>
      </w:r>
      <w:r w:rsidR="00D32A3A">
        <w:t xml:space="preserve"> letošním </w:t>
      </w:r>
      <w:r w:rsidR="00F5456E">
        <w:t xml:space="preserve">tak příštím </w:t>
      </w:r>
      <w:r w:rsidR="00D32A3A">
        <w:t xml:space="preserve">roce přebytek, a </w:t>
      </w:r>
      <w:r w:rsidR="00D32A3A" w:rsidRPr="00ED7641">
        <w:t>to</w:t>
      </w:r>
      <w:r w:rsidR="00912DA9" w:rsidRPr="00ED7641">
        <w:t xml:space="preserve"> ve výši </w:t>
      </w:r>
      <w:r w:rsidR="00ED7641" w:rsidRPr="00ED7641">
        <w:t>4,4</w:t>
      </w:r>
      <w:r w:rsidR="00747FE7">
        <w:t> </w:t>
      </w:r>
      <w:r w:rsidR="00912DA9" w:rsidRPr="00ED7641">
        <w:t>mld.</w:t>
      </w:r>
      <w:r w:rsidR="00747FE7">
        <w:t> </w:t>
      </w:r>
      <w:r w:rsidR="00912DA9" w:rsidRPr="00ED7641">
        <w:t>Kč</w:t>
      </w:r>
      <w:r w:rsidR="00F5456E">
        <w:t xml:space="preserve"> pro rok 2020 a 1,4 mld. Kč pro rok 2021</w:t>
      </w:r>
      <w:r w:rsidR="00D32A3A" w:rsidRPr="00ED7641">
        <w:t>, což</w:t>
      </w:r>
      <w:r w:rsidR="00D32A3A">
        <w:t xml:space="preserve"> je nižší hodnota než byla obcemi vykázaná v předchozí</w:t>
      </w:r>
      <w:r w:rsidR="00F5456E">
        <w:t>ch</w:t>
      </w:r>
      <w:r w:rsidR="00D32A3A">
        <w:t xml:space="preserve"> </w:t>
      </w:r>
      <w:r w:rsidR="00F5456E">
        <w:t>letech</w:t>
      </w:r>
      <w:r w:rsidR="00D32A3A">
        <w:t xml:space="preserve">. </w:t>
      </w:r>
      <w:r w:rsidR="00912DA9" w:rsidRPr="00DB0243">
        <w:t xml:space="preserve">Skutečně dosažený výsledek </w:t>
      </w:r>
      <w:r w:rsidR="00912DA9" w:rsidRPr="00DB0243">
        <w:lastRenderedPageBreak/>
        <w:t>rozpočtového hospodaření</w:t>
      </w:r>
      <w:r w:rsidR="00F5456E">
        <w:t xml:space="preserve"> bude</w:t>
      </w:r>
      <w:r w:rsidR="00912DA9" w:rsidRPr="00DB0243">
        <w:t xml:space="preserve"> v roce 2020 záviset nejen na dosažené</w:t>
      </w:r>
      <w:r w:rsidR="00F5456E">
        <w:t xml:space="preserve"> výši daňových příjmů, ale i na</w:t>
      </w:r>
      <w:r w:rsidR="00912DA9" w:rsidRPr="00DB0243">
        <w:t xml:space="preserve"> </w:t>
      </w:r>
      <w:r w:rsidR="00EF36D7">
        <w:t>přijatých</w:t>
      </w:r>
      <w:r w:rsidR="00912DA9" w:rsidRPr="00DB0243">
        <w:t xml:space="preserve"> transfer</w:t>
      </w:r>
      <w:r w:rsidR="00F5456E">
        <w:t>ech</w:t>
      </w:r>
      <w:r w:rsidR="00912DA9" w:rsidRPr="00DB0243">
        <w:t xml:space="preserve"> </w:t>
      </w:r>
      <w:r w:rsidR="00F5789F">
        <w:t>(</w:t>
      </w:r>
      <w:r w:rsidR="00912DA9" w:rsidRPr="00DB0243">
        <w:t>zejména ze státního rozpočtu</w:t>
      </w:r>
      <w:r w:rsidR="00F5789F">
        <w:t>)</w:t>
      </w:r>
      <w:r w:rsidR="00912DA9" w:rsidRPr="00DB0243">
        <w:t xml:space="preserve"> a</w:t>
      </w:r>
      <w:r w:rsidR="00F5456E">
        <w:t> </w:t>
      </w:r>
      <w:r w:rsidR="00DB0243" w:rsidRPr="00DB0243">
        <w:t xml:space="preserve">v neposlední řadě na </w:t>
      </w:r>
      <w:r w:rsidR="00912DA9" w:rsidRPr="00DB0243">
        <w:t>ochotě obcí realizovat kapitálové výdaje</w:t>
      </w:r>
      <w:r w:rsidR="00F5789F">
        <w:t xml:space="preserve"> </w:t>
      </w:r>
      <w:r>
        <w:t>s využitím</w:t>
      </w:r>
      <w:r w:rsidR="00F5789F">
        <w:t xml:space="preserve"> v minulosti naspořených prostředků</w:t>
      </w:r>
      <w:r>
        <w:t>, popř. bankovních úvěrů</w:t>
      </w:r>
      <w:r w:rsidR="00DB0243" w:rsidRPr="00DB0243">
        <w:t>.</w:t>
      </w:r>
      <w:r w:rsidR="00912DA9" w:rsidRPr="00DB0243">
        <w:t xml:space="preserve"> </w:t>
      </w:r>
      <w:r w:rsidR="00DB0243" w:rsidRPr="00F5789F">
        <w:t>To</w:t>
      </w:r>
      <w:r w:rsidR="00912DA9" w:rsidRPr="00F5789F">
        <w:t xml:space="preserve"> </w:t>
      </w:r>
      <w:r w:rsidR="009E4A97" w:rsidRPr="00F5789F">
        <w:t>bude klíčové</w:t>
      </w:r>
      <w:r w:rsidR="00912DA9" w:rsidRPr="00F5789F">
        <w:t xml:space="preserve"> </w:t>
      </w:r>
      <w:r w:rsidR="00F5456E">
        <w:t xml:space="preserve">pro </w:t>
      </w:r>
      <w:r w:rsidR="00912DA9" w:rsidRPr="00F5789F">
        <w:t xml:space="preserve">vývoj </w:t>
      </w:r>
      <w:r>
        <w:t xml:space="preserve">rozpočtového hospodaření </w:t>
      </w:r>
      <w:r w:rsidR="00F5456E">
        <w:t xml:space="preserve">obcí </w:t>
      </w:r>
      <w:r>
        <w:t> </w:t>
      </w:r>
      <w:r w:rsidR="00CF0A0C">
        <w:t xml:space="preserve">i </w:t>
      </w:r>
      <w:r w:rsidR="00912DA9" w:rsidRPr="00F5789F">
        <w:t>v následujícím roce</w:t>
      </w:r>
      <w:r w:rsidR="00F5456E">
        <w:t>.</w:t>
      </w:r>
    </w:p>
    <w:p w:rsidR="00103808" w:rsidRDefault="00103808" w:rsidP="00103808">
      <w:pPr>
        <w:pStyle w:val="Titulek"/>
        <w:spacing w:before="120"/>
        <w:sectPr w:rsidR="00103808" w:rsidSect="0078037D">
          <w:type w:val="continuous"/>
          <w:pgSz w:w="11906" w:h="16838" w:code="9"/>
          <w:pgMar w:top="1134" w:right="1134" w:bottom="1134" w:left="1134" w:header="709" w:footer="709" w:gutter="0"/>
          <w:cols w:num="2" w:space="397"/>
          <w:docGrid w:linePitch="360"/>
        </w:sectPr>
      </w:pPr>
    </w:p>
    <w:p w:rsidR="00777712" w:rsidRDefault="00777712" w:rsidP="00777712">
      <w:pPr>
        <w:pStyle w:val="Titulek"/>
        <w:spacing w:after="120"/>
        <w:rPr>
          <w:b w:val="0"/>
          <w:i/>
        </w:rPr>
      </w:pPr>
      <w:bookmarkStart w:id="42" w:name="_Toc54337204"/>
      <w:r w:rsidRPr="003B66D4">
        <w:lastRenderedPageBreak/>
        <w:t xml:space="preserve">Obrázek </w:t>
      </w:r>
      <w:fldSimple w:instr=" SEQ Obrázek \* ARABIC ">
        <w:r w:rsidR="00340343">
          <w:rPr>
            <w:noProof/>
          </w:rPr>
          <w:t>1</w:t>
        </w:r>
      </w:fldSimple>
      <w:r w:rsidRPr="003B66D4">
        <w:t>: Saldo obecních rozpočtů v letech 2001 – 20</w:t>
      </w:r>
      <w:r w:rsidR="009C3287" w:rsidRPr="003B66D4">
        <w:t>2</w:t>
      </w:r>
      <w:r w:rsidR="007C0EE4" w:rsidRPr="003B66D4">
        <w:t>1</w:t>
      </w:r>
      <w:r w:rsidRPr="003B66D4">
        <w:t xml:space="preserve"> </w:t>
      </w:r>
      <w:r w:rsidRPr="003B66D4">
        <w:rPr>
          <w:b w:val="0"/>
          <w:i/>
        </w:rPr>
        <w:t>(v mld. Kč)</w:t>
      </w:r>
      <w:bookmarkEnd w:id="42"/>
    </w:p>
    <w:p w:rsidR="005F2331" w:rsidRDefault="004554F0" w:rsidP="0064722B">
      <w:pPr>
        <w:spacing w:after="0"/>
      </w:pPr>
      <w:r>
        <w:rPr>
          <w:noProof/>
        </w:rPr>
        <w:drawing>
          <wp:inline distT="0" distB="0" distL="0" distR="0" wp14:anchorId="6C5960A0" wp14:editId="3BDCD861">
            <wp:extent cx="6219825" cy="34956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22699" cy="3497290"/>
                    </a:xfrm>
                    <a:prstGeom prst="rect">
                      <a:avLst/>
                    </a:prstGeom>
                    <a:noFill/>
                  </pic:spPr>
                </pic:pic>
              </a:graphicData>
            </a:graphic>
          </wp:inline>
        </w:drawing>
      </w:r>
    </w:p>
    <w:p w:rsidR="005F2331" w:rsidRPr="00426505" w:rsidRDefault="005F2331" w:rsidP="0064722B">
      <w:pPr>
        <w:spacing w:after="0"/>
      </w:pPr>
    </w:p>
    <w:p w:rsidR="004744D6" w:rsidRDefault="004744D6" w:rsidP="004744D6"/>
    <w:p w:rsidR="00254F4E" w:rsidRDefault="00254F4E" w:rsidP="004744D6">
      <w:pPr>
        <w:sectPr w:rsidR="00254F4E" w:rsidSect="00505DD6">
          <w:type w:val="continuous"/>
          <w:pgSz w:w="11906" w:h="16838" w:code="9"/>
          <w:pgMar w:top="1134" w:right="1134" w:bottom="1134" w:left="1134" w:header="709" w:footer="709" w:gutter="0"/>
          <w:cols w:space="708"/>
          <w:docGrid w:linePitch="360"/>
        </w:sectPr>
      </w:pPr>
    </w:p>
    <w:p w:rsidR="009079BE" w:rsidRPr="0004538D" w:rsidRDefault="00103808" w:rsidP="00756F3F">
      <w:pPr>
        <w:pStyle w:val="Nadpis3"/>
      </w:pPr>
      <w:bookmarkStart w:id="43" w:name="_Toc54337179"/>
      <w:r w:rsidRPr="0004538D">
        <w:lastRenderedPageBreak/>
        <w:t>Odhadovaný vývoj na straně příjmů</w:t>
      </w:r>
      <w:bookmarkEnd w:id="43"/>
    </w:p>
    <w:p w:rsidR="005D26CA" w:rsidRPr="0004538D" w:rsidRDefault="005D26CA" w:rsidP="00756F3F">
      <w:pPr>
        <w:pStyle w:val="Nadpis3"/>
        <w:sectPr w:rsidR="005D26CA" w:rsidRPr="0004538D" w:rsidSect="00505DD6">
          <w:type w:val="continuous"/>
          <w:pgSz w:w="11906" w:h="16838" w:code="9"/>
          <w:pgMar w:top="1134" w:right="1134" w:bottom="1134" w:left="1134" w:header="709" w:footer="709" w:gutter="0"/>
          <w:cols w:space="708"/>
          <w:docGrid w:linePitch="360"/>
        </w:sectPr>
      </w:pPr>
    </w:p>
    <w:p w:rsidR="00103808" w:rsidRPr="004516B7" w:rsidRDefault="00CD3AD3" w:rsidP="0078037D">
      <w:pPr>
        <w:pStyle w:val="Titulek"/>
        <w:spacing w:before="0"/>
      </w:pPr>
      <w:bookmarkStart w:id="44" w:name="_Toc54337213"/>
      <w:r w:rsidRPr="004516B7">
        <w:lastRenderedPageBreak/>
        <w:t xml:space="preserve">Box </w:t>
      </w:r>
      <w:fldSimple w:instr=" SEQ Box \* ARABIC ">
        <w:r w:rsidR="00340343">
          <w:rPr>
            <w:noProof/>
          </w:rPr>
          <w:t>1</w:t>
        </w:r>
      </w:fldSimple>
      <w:r w:rsidR="00C20F9A" w:rsidRPr="004516B7">
        <w:t>:</w:t>
      </w:r>
      <w:r w:rsidR="00103808" w:rsidRPr="004516B7">
        <w:t xml:space="preserve"> Obecná charakteristika příjmů obcí</w:t>
      </w:r>
      <w:bookmarkEnd w:id="44"/>
    </w:p>
    <w:p w:rsidR="00103808" w:rsidRPr="00103808" w:rsidRDefault="00103808" w:rsidP="00DC1829">
      <w:pPr>
        <w:pBdr>
          <w:top w:val="single" w:sz="4" w:space="1" w:color="auto"/>
          <w:left w:val="single" w:sz="4" w:space="4" w:color="auto"/>
          <w:bottom w:val="single" w:sz="4" w:space="1" w:color="auto"/>
          <w:right w:val="single" w:sz="4" w:space="4" w:color="auto"/>
        </w:pBdr>
      </w:pPr>
      <w:r w:rsidRPr="00103808">
        <w:t xml:space="preserve">Struktura příjmů obcí je z dlouhodobého hlediska stabilní. Nejdůležitější zdroj financování představují </w:t>
      </w:r>
      <w:r w:rsidRPr="00103808">
        <w:rPr>
          <w:b/>
        </w:rPr>
        <w:t>daňové příjmy</w:t>
      </w:r>
      <w:r w:rsidRPr="00103808">
        <w:t xml:space="preserve">, které jsou definovány zejména zákonem č. 243/2000 Sb., o  rozpočtovém určení daní, ve znění pozdějších přepisů. Mezi daňové příjmy obcí se rovněž řadí podíl na výnosu daně z hazardu, z místních a správních poplatků, různé poplatky a odvody v oblasti životního prostředí. Jejich rozpočtové určení definují příslušné zákony. Druhý nejvýznamnější zdroj financování rozpočtů obcí tvoří </w:t>
      </w:r>
      <w:r w:rsidRPr="00103808">
        <w:rPr>
          <w:b/>
        </w:rPr>
        <w:t>transfery poskytované z různých úrovní veřejných rozpočtů</w:t>
      </w:r>
      <w:r w:rsidRPr="00103808">
        <w:t xml:space="preserve"> (zejména ze státního rozpočtu, ale také např. z rozpočtů krajů, státních fondů, EU). Méně významný podíl představují v rozpočtech obcí </w:t>
      </w:r>
      <w:r w:rsidRPr="00103808">
        <w:rPr>
          <w:b/>
        </w:rPr>
        <w:t>kapitálové a nedaňové příjmy</w:t>
      </w:r>
      <w:r w:rsidRPr="00103808">
        <w:t>. Do kapitálových příjmů se řadí např. příjmy z</w:t>
      </w:r>
      <w:r w:rsidR="007817D6">
        <w:t> </w:t>
      </w:r>
      <w:r w:rsidRPr="00103808">
        <w:t>prodeje</w:t>
      </w:r>
      <w:r w:rsidR="007817D6">
        <w:t xml:space="preserve"> dlouhodobého</w:t>
      </w:r>
      <w:r w:rsidRPr="00103808">
        <w:t xml:space="preserve"> majetku, do nedaňových příjmů např. příjmy z jeho pronájmu</w:t>
      </w:r>
      <w:r w:rsidR="00AA427A">
        <w:t xml:space="preserve"> a</w:t>
      </w:r>
      <w:r w:rsidR="007817D6">
        <w:t xml:space="preserve"> vlastní či</w:t>
      </w:r>
      <w:r w:rsidR="00AA427A">
        <w:t>n</w:t>
      </w:r>
      <w:r w:rsidR="007817D6">
        <w:t>nosti</w:t>
      </w:r>
      <w:r w:rsidRPr="00103808">
        <w:t>.</w:t>
      </w:r>
    </w:p>
    <w:p w:rsidR="00DE0F2C" w:rsidRPr="00A228CF" w:rsidRDefault="00DE0F2C" w:rsidP="00DE0F2C">
      <w:pPr>
        <w:pStyle w:val="Titulek"/>
        <w:spacing w:after="120"/>
      </w:pPr>
      <w:bookmarkStart w:id="45" w:name="_Toc54337205"/>
      <w:r w:rsidRPr="00A228CF">
        <w:t xml:space="preserve">Obrázek </w:t>
      </w:r>
      <w:fldSimple w:instr=" SEQ Obrázek \* ARABIC ">
        <w:r w:rsidR="00340343">
          <w:rPr>
            <w:noProof/>
          </w:rPr>
          <w:t>2</w:t>
        </w:r>
      </w:fldSimple>
      <w:r w:rsidRPr="00A228CF">
        <w:t>: Struktura příjmů obcí v roce 20</w:t>
      </w:r>
      <w:r w:rsidR="008D55BA" w:rsidRPr="00A228CF">
        <w:t>20</w:t>
      </w:r>
      <w:bookmarkEnd w:id="45"/>
    </w:p>
    <w:p w:rsidR="00C20F9A" w:rsidRPr="00103808" w:rsidRDefault="00D47693" w:rsidP="003C05B2">
      <w:pPr>
        <w:jc w:val="center"/>
      </w:pPr>
      <w:r>
        <w:rPr>
          <w:noProof/>
        </w:rPr>
        <w:drawing>
          <wp:inline distT="0" distB="0" distL="0" distR="0" wp14:anchorId="2265DDA1" wp14:editId="38F41B8B">
            <wp:extent cx="4572000" cy="27508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2750820"/>
                    </a:xfrm>
                    <a:prstGeom prst="rect">
                      <a:avLst/>
                    </a:prstGeom>
                    <a:noFill/>
                  </pic:spPr>
                </pic:pic>
              </a:graphicData>
            </a:graphic>
          </wp:inline>
        </w:drawing>
      </w:r>
    </w:p>
    <w:p w:rsidR="00696E6B" w:rsidRDefault="00696E6B" w:rsidP="00DC1829">
      <w:pPr>
        <w:spacing w:before="120" w:after="120"/>
        <w:rPr>
          <w:rFonts w:ascii="Arial" w:hAnsi="Arial" w:cs="Arial"/>
        </w:rPr>
        <w:sectPr w:rsidR="00696E6B" w:rsidSect="00505DD6">
          <w:type w:val="continuous"/>
          <w:pgSz w:w="11906" w:h="16838" w:code="9"/>
          <w:pgMar w:top="1134" w:right="1134" w:bottom="1134" w:left="1134" w:header="709" w:footer="709" w:gutter="0"/>
          <w:cols w:space="708"/>
          <w:docGrid w:linePitch="360"/>
        </w:sectPr>
      </w:pPr>
    </w:p>
    <w:p w:rsidR="004714C6" w:rsidRPr="00EF3A67" w:rsidRDefault="00DC1829" w:rsidP="008D5B4A">
      <w:pPr>
        <w:pStyle w:val="Odstavecseseznamem"/>
        <w:numPr>
          <w:ilvl w:val="0"/>
          <w:numId w:val="35"/>
        </w:numPr>
        <w:spacing w:before="120"/>
        <w:ind w:left="284" w:hanging="284"/>
        <w:jc w:val="left"/>
        <w:rPr>
          <w:rFonts w:cs="Arial"/>
          <w:b/>
        </w:rPr>
        <w:sectPr w:rsidR="004714C6" w:rsidRPr="00EF3A67" w:rsidSect="00DE0F2C">
          <w:footnotePr>
            <w:pos w:val="beneathText"/>
          </w:footnotePr>
          <w:type w:val="continuous"/>
          <w:pgSz w:w="11906" w:h="16838" w:code="9"/>
          <w:pgMar w:top="1134" w:right="1134" w:bottom="1134" w:left="1134" w:header="709" w:footer="709" w:gutter="0"/>
          <w:cols w:num="2" w:space="397"/>
          <w:docGrid w:linePitch="360"/>
        </w:sectPr>
      </w:pPr>
      <w:r w:rsidRPr="00EF3A67">
        <w:rPr>
          <w:rFonts w:cs="Arial"/>
          <w:b/>
        </w:rPr>
        <w:lastRenderedPageBreak/>
        <w:t>Daňové příjmy</w:t>
      </w:r>
    </w:p>
    <w:p w:rsidR="0032292C" w:rsidRDefault="00ED080A" w:rsidP="00EF3A67">
      <w:pPr>
        <w:suppressAutoHyphens/>
        <w:spacing w:after="0"/>
        <w:rPr>
          <w:rFonts w:cs="Arial"/>
        </w:rPr>
      </w:pPr>
      <w:r w:rsidRPr="004A3532">
        <w:rPr>
          <w:rFonts w:cs="Arial"/>
          <w:b/>
        </w:rPr>
        <w:lastRenderedPageBreak/>
        <w:t>V roce 20</w:t>
      </w:r>
      <w:r w:rsidR="00456AB7" w:rsidRPr="004A3532">
        <w:rPr>
          <w:rFonts w:cs="Arial"/>
          <w:b/>
        </w:rPr>
        <w:t>20</w:t>
      </w:r>
      <w:r w:rsidRPr="001E4E3F">
        <w:rPr>
          <w:rFonts w:cs="Arial"/>
        </w:rPr>
        <w:t xml:space="preserve"> se předpokládá, že daňové příjmy obcí dosáhnou částky</w:t>
      </w:r>
      <w:r w:rsidR="0004263B" w:rsidRPr="001E4E3F">
        <w:rPr>
          <w:rFonts w:cs="Arial"/>
        </w:rPr>
        <w:t xml:space="preserve"> </w:t>
      </w:r>
      <w:r w:rsidR="00993FA2" w:rsidRPr="001E4E3F">
        <w:rPr>
          <w:rFonts w:cs="Arial"/>
        </w:rPr>
        <w:t>222,8</w:t>
      </w:r>
      <w:r w:rsidRPr="001E4E3F">
        <w:rPr>
          <w:rFonts w:cs="Arial"/>
        </w:rPr>
        <w:t xml:space="preserve"> mld. Kč a na celkových příjmech se budou podílet </w:t>
      </w:r>
      <w:r w:rsidR="00993FA2" w:rsidRPr="001E4E3F">
        <w:rPr>
          <w:rFonts w:cs="Arial"/>
        </w:rPr>
        <w:t>60,4</w:t>
      </w:r>
      <w:r w:rsidR="00DC1829" w:rsidRPr="001E4E3F">
        <w:rPr>
          <w:rFonts w:cs="Arial"/>
        </w:rPr>
        <w:t xml:space="preserve"> %. Ve srovnání s </w:t>
      </w:r>
      <w:r w:rsidRPr="001E4E3F">
        <w:rPr>
          <w:rFonts w:cs="Arial"/>
        </w:rPr>
        <w:t>rokem 201</w:t>
      </w:r>
      <w:r w:rsidR="00456AB7" w:rsidRPr="001E4E3F">
        <w:rPr>
          <w:rFonts w:cs="Arial"/>
        </w:rPr>
        <w:t>9</w:t>
      </w:r>
      <w:r w:rsidRPr="001E4E3F">
        <w:rPr>
          <w:rFonts w:cs="Arial"/>
        </w:rPr>
        <w:t xml:space="preserve"> </w:t>
      </w:r>
      <w:r w:rsidR="00456AB7" w:rsidRPr="001E4E3F">
        <w:rPr>
          <w:rFonts w:cs="Arial"/>
        </w:rPr>
        <w:t xml:space="preserve">se předpokládá pokles daňových příjmů </w:t>
      </w:r>
      <w:r w:rsidR="00DC1829" w:rsidRPr="001E4E3F">
        <w:rPr>
          <w:rFonts w:cs="Arial"/>
        </w:rPr>
        <w:t>obcí</w:t>
      </w:r>
      <w:r w:rsidR="0004263B" w:rsidRPr="001E4E3F">
        <w:rPr>
          <w:rFonts w:cs="Arial"/>
        </w:rPr>
        <w:t xml:space="preserve"> o cca </w:t>
      </w:r>
      <w:r w:rsidR="00993FA2" w:rsidRPr="001E4E3F">
        <w:rPr>
          <w:rFonts w:cs="Arial"/>
        </w:rPr>
        <w:t>9,1</w:t>
      </w:r>
      <w:r w:rsidR="0004263B" w:rsidRPr="001E4E3F">
        <w:rPr>
          <w:rFonts w:cs="Arial"/>
        </w:rPr>
        <w:t xml:space="preserve"> %</w:t>
      </w:r>
      <w:r w:rsidRPr="001E4E3F">
        <w:rPr>
          <w:rFonts w:cs="Arial"/>
        </w:rPr>
        <w:t xml:space="preserve">. Dosavadní </w:t>
      </w:r>
      <w:r w:rsidR="0004263B" w:rsidRPr="001E4E3F">
        <w:rPr>
          <w:rFonts w:cs="Arial"/>
        </w:rPr>
        <w:t xml:space="preserve">situace </w:t>
      </w:r>
      <w:r w:rsidRPr="001E4E3F">
        <w:rPr>
          <w:rFonts w:cs="Arial"/>
        </w:rPr>
        <w:t>v oblasti</w:t>
      </w:r>
      <w:r w:rsidRPr="00771145">
        <w:rPr>
          <w:rFonts w:cs="Arial"/>
        </w:rPr>
        <w:t xml:space="preserve"> daňových příjmů obcí odráží </w:t>
      </w:r>
      <w:r w:rsidR="00456AB7" w:rsidRPr="00771145">
        <w:rPr>
          <w:rFonts w:cs="Arial"/>
        </w:rPr>
        <w:t xml:space="preserve">jednak </w:t>
      </w:r>
      <w:r w:rsidR="0004263B" w:rsidRPr="00771145">
        <w:rPr>
          <w:rFonts w:cs="Arial"/>
        </w:rPr>
        <w:t xml:space="preserve">stávající ekonomický vývoj, který je důsledkem probíhající </w:t>
      </w:r>
      <w:r w:rsidR="00456AB7" w:rsidRPr="00771145">
        <w:rPr>
          <w:rFonts w:cs="Arial"/>
        </w:rPr>
        <w:t>pandemie</w:t>
      </w:r>
      <w:r w:rsidR="0004263B" w:rsidRPr="00771145">
        <w:rPr>
          <w:rFonts w:cs="Arial"/>
        </w:rPr>
        <w:t xml:space="preserve"> onemocnění</w:t>
      </w:r>
      <w:r w:rsidR="00456AB7" w:rsidRPr="00771145">
        <w:rPr>
          <w:rFonts w:cs="Arial"/>
        </w:rPr>
        <w:t xml:space="preserve"> C</w:t>
      </w:r>
      <w:r w:rsidR="0004263B" w:rsidRPr="00771145">
        <w:rPr>
          <w:rFonts w:cs="Arial"/>
        </w:rPr>
        <w:t>OVID</w:t>
      </w:r>
      <w:r w:rsidR="00786612" w:rsidRPr="00771145">
        <w:rPr>
          <w:rFonts w:cs="Arial"/>
        </w:rPr>
        <w:t>–</w:t>
      </w:r>
      <w:r w:rsidR="00456AB7" w:rsidRPr="00771145">
        <w:rPr>
          <w:rFonts w:cs="Arial"/>
        </w:rPr>
        <w:t>19</w:t>
      </w:r>
      <w:r w:rsidR="00786612" w:rsidRPr="00771145">
        <w:rPr>
          <w:rFonts w:cs="Arial"/>
        </w:rPr>
        <w:t xml:space="preserve"> v kombinaci s přijatými diskrečními opatřeními na příjmové straně</w:t>
      </w:r>
      <w:r w:rsidR="00771145" w:rsidRPr="00771145">
        <w:rPr>
          <w:rFonts w:cs="Arial"/>
        </w:rPr>
        <w:t xml:space="preserve"> (např. prominutí červnové zálohy u</w:t>
      </w:r>
      <w:r w:rsidR="00113203">
        <w:rPr>
          <w:rFonts w:cs="Arial"/>
        </w:rPr>
        <w:t> </w:t>
      </w:r>
      <w:r w:rsidR="00771145" w:rsidRPr="00771145">
        <w:rPr>
          <w:rFonts w:cs="Arial"/>
        </w:rPr>
        <w:t>daně z příjmů právnických osob a fyzických osob placené poplatníky, výplata tzv. kompenzačního bonusu na úkor inkasa daně z příjmů fyzických osob ze závislé činnosti, atd.).</w:t>
      </w:r>
    </w:p>
    <w:p w:rsidR="0083041C" w:rsidRDefault="00ED080A" w:rsidP="00EF3A67">
      <w:pPr>
        <w:rPr>
          <w:rFonts w:cs="Arial"/>
          <w:b/>
        </w:rPr>
      </w:pPr>
      <w:r w:rsidRPr="004A3532">
        <w:rPr>
          <w:rFonts w:cs="Arial"/>
          <w:b/>
        </w:rPr>
        <w:t>V roce 20</w:t>
      </w:r>
      <w:r w:rsidR="009E3739" w:rsidRPr="004A3532">
        <w:rPr>
          <w:rFonts w:cs="Arial"/>
          <w:b/>
        </w:rPr>
        <w:t>2</w:t>
      </w:r>
      <w:r w:rsidR="0032292C" w:rsidRPr="004A3532">
        <w:rPr>
          <w:rFonts w:cs="Arial"/>
          <w:b/>
        </w:rPr>
        <w:t>1</w:t>
      </w:r>
      <w:r w:rsidRPr="00265C13">
        <w:rPr>
          <w:rFonts w:cs="Arial"/>
        </w:rPr>
        <w:t xml:space="preserve"> se očekává </w:t>
      </w:r>
      <w:r w:rsidR="0032292C">
        <w:rPr>
          <w:rFonts w:cs="Arial"/>
        </w:rPr>
        <w:t xml:space="preserve">obnovení růstu daňových příjmů obcí, </w:t>
      </w:r>
      <w:r w:rsidR="0032292C" w:rsidRPr="001A7F28">
        <w:rPr>
          <w:rFonts w:cs="Arial"/>
        </w:rPr>
        <w:t>a to</w:t>
      </w:r>
      <w:r w:rsidRPr="001A7F28">
        <w:rPr>
          <w:rFonts w:cs="Arial"/>
        </w:rPr>
        <w:t xml:space="preserve"> o</w:t>
      </w:r>
      <w:r w:rsidR="00733236" w:rsidRPr="001A7F28">
        <w:rPr>
          <w:rFonts w:cs="Arial"/>
        </w:rPr>
        <w:t> </w:t>
      </w:r>
      <w:r w:rsidR="00993FA2" w:rsidRPr="001A7F28">
        <w:rPr>
          <w:rFonts w:cs="Arial"/>
        </w:rPr>
        <w:t>5,</w:t>
      </w:r>
      <w:r w:rsidR="001E4E3F" w:rsidRPr="001A7F28">
        <w:rPr>
          <w:rFonts w:cs="Arial"/>
        </w:rPr>
        <w:t>6</w:t>
      </w:r>
      <w:r w:rsidRPr="001A7F28">
        <w:rPr>
          <w:rFonts w:cs="Arial"/>
        </w:rPr>
        <w:t xml:space="preserve"> %, tj. o </w:t>
      </w:r>
      <w:r w:rsidR="00993FA2" w:rsidRPr="001A7F28">
        <w:rPr>
          <w:rFonts w:cs="Arial"/>
        </w:rPr>
        <w:t>12,</w:t>
      </w:r>
      <w:r w:rsidR="001E4E3F" w:rsidRPr="001A7F28">
        <w:rPr>
          <w:rFonts w:cs="Arial"/>
        </w:rPr>
        <w:t>5</w:t>
      </w:r>
      <w:r w:rsidRPr="001A7F28">
        <w:rPr>
          <w:rFonts w:cs="Arial"/>
          <w:vertAlign w:val="superscript"/>
        </w:rPr>
        <w:t xml:space="preserve"> </w:t>
      </w:r>
      <w:r w:rsidR="004A259E" w:rsidRPr="001A7F28">
        <w:rPr>
          <w:rFonts w:cs="Arial"/>
        </w:rPr>
        <w:t>mld. Kč (tento</w:t>
      </w:r>
      <w:r w:rsidR="004A259E" w:rsidRPr="00265C13">
        <w:rPr>
          <w:rFonts w:cs="Arial"/>
        </w:rPr>
        <w:t xml:space="preserve"> údaj zahrnuje </w:t>
      </w:r>
      <w:r w:rsidR="004A259E" w:rsidRPr="00265C13">
        <w:rPr>
          <w:rFonts w:cs="Arial"/>
        </w:rPr>
        <w:lastRenderedPageBreak/>
        <w:t>z důvodu lepší srovnatelnosti daňové příjmy hl.</w:t>
      </w:r>
      <w:r w:rsidR="001A7F28">
        <w:rPr>
          <w:rFonts w:cs="Arial"/>
        </w:rPr>
        <w:t> </w:t>
      </w:r>
      <w:r w:rsidR="004A259E" w:rsidRPr="00265C13">
        <w:rPr>
          <w:rFonts w:cs="Arial"/>
        </w:rPr>
        <w:t>m.</w:t>
      </w:r>
      <w:r w:rsidR="001A7F28">
        <w:rPr>
          <w:rFonts w:cs="Arial"/>
        </w:rPr>
        <w:t> </w:t>
      </w:r>
      <w:r w:rsidR="004A259E" w:rsidRPr="00265C13">
        <w:rPr>
          <w:rFonts w:cs="Arial"/>
        </w:rPr>
        <w:t>Prahy, které</w:t>
      </w:r>
      <w:r w:rsidR="004A259E" w:rsidRPr="009E3739">
        <w:rPr>
          <w:rFonts w:cs="Arial"/>
        </w:rPr>
        <w:t xml:space="preserve"> hlavní město získává jako obec i kraj</w:t>
      </w:r>
      <w:r w:rsidR="00265C13">
        <w:rPr>
          <w:rFonts w:cs="Arial"/>
        </w:rPr>
        <w:t>)</w:t>
      </w:r>
      <w:r w:rsidR="004A259E" w:rsidRPr="009E3739">
        <w:rPr>
          <w:rFonts w:cs="Arial"/>
        </w:rPr>
        <w:t>.</w:t>
      </w:r>
      <w:r w:rsidR="0083041C" w:rsidRPr="0083041C">
        <w:rPr>
          <w:rFonts w:cs="Arial"/>
          <w:b/>
        </w:rPr>
        <w:t xml:space="preserve"> </w:t>
      </w:r>
    </w:p>
    <w:p w:rsidR="0083041C" w:rsidRPr="00BD3E02" w:rsidRDefault="0083041C" w:rsidP="00EF3A67">
      <w:pPr>
        <w:ind w:left="357" w:hanging="357"/>
        <w:rPr>
          <w:rFonts w:cs="Arial"/>
          <w:b/>
        </w:rPr>
      </w:pPr>
      <w:r w:rsidRPr="00BD3E02">
        <w:rPr>
          <w:rFonts w:cs="Arial"/>
          <w:b/>
        </w:rPr>
        <w:t>Hlavní vlivy na inkaso daní v roce 202</w:t>
      </w:r>
      <w:r>
        <w:rPr>
          <w:rFonts w:cs="Arial"/>
          <w:b/>
        </w:rPr>
        <w:t>1:</w:t>
      </w:r>
    </w:p>
    <w:p w:rsidR="0083041C" w:rsidRDefault="00E22FC9" w:rsidP="00EF3A67">
      <w:pPr>
        <w:numPr>
          <w:ilvl w:val="0"/>
          <w:numId w:val="10"/>
        </w:numPr>
        <w:spacing w:after="0"/>
        <w:ind w:left="284" w:hanging="284"/>
        <w:rPr>
          <w:rFonts w:cs="Arial"/>
        </w:rPr>
      </w:pPr>
      <w:r>
        <w:rPr>
          <w:rFonts w:cs="Arial"/>
        </w:rPr>
        <w:t>aktuální</w:t>
      </w:r>
      <w:r w:rsidR="0083041C" w:rsidRPr="0083041C">
        <w:rPr>
          <w:rFonts w:cs="Arial"/>
        </w:rPr>
        <w:t xml:space="preserve"> ekonomická situace v České republice, přičemž lze očekávat pozvolné oživování ekonomiky</w:t>
      </w:r>
      <w:r w:rsidR="0083041C">
        <w:rPr>
          <w:rFonts w:cs="Arial"/>
        </w:rPr>
        <w:t>;</w:t>
      </w:r>
    </w:p>
    <w:p w:rsidR="0083041C" w:rsidRPr="00F669F4" w:rsidRDefault="0083041C" w:rsidP="00EF3A67">
      <w:pPr>
        <w:numPr>
          <w:ilvl w:val="0"/>
          <w:numId w:val="10"/>
        </w:numPr>
        <w:spacing w:after="0"/>
        <w:ind w:left="284" w:hanging="284"/>
        <w:rPr>
          <w:rFonts w:cs="Arial"/>
        </w:rPr>
      </w:pPr>
      <w:r w:rsidRPr="0083041C">
        <w:rPr>
          <w:rFonts w:cs="Arial"/>
        </w:rPr>
        <w:t xml:space="preserve">dopady </w:t>
      </w:r>
      <w:r>
        <w:rPr>
          <w:rFonts w:cs="Arial"/>
        </w:rPr>
        <w:t xml:space="preserve">legislativních </w:t>
      </w:r>
      <w:r w:rsidRPr="0083041C">
        <w:rPr>
          <w:rFonts w:cs="Arial"/>
        </w:rPr>
        <w:t>opatření</w:t>
      </w:r>
      <w:r>
        <w:rPr>
          <w:rFonts w:cs="Arial"/>
        </w:rPr>
        <w:t xml:space="preserve"> zavedených v</w:t>
      </w:r>
      <w:r w:rsidR="00F669F4">
        <w:rPr>
          <w:rFonts w:cs="Arial"/>
        </w:rPr>
        <w:t> </w:t>
      </w:r>
      <w:r>
        <w:rPr>
          <w:rFonts w:cs="Arial"/>
        </w:rPr>
        <w:t xml:space="preserve">předchozích letech </w:t>
      </w:r>
      <w:r w:rsidRPr="0083041C">
        <w:rPr>
          <w:rFonts w:cs="Arial"/>
        </w:rPr>
        <w:t>(</w:t>
      </w:r>
      <w:r>
        <w:rPr>
          <w:rFonts w:cs="Arial"/>
        </w:rPr>
        <w:t>k</w:t>
      </w:r>
      <w:r w:rsidRPr="0083041C">
        <w:rPr>
          <w:rFonts w:cs="Arial"/>
        </w:rPr>
        <w:t>ontrolní hlášení, zvýšení daňového zvýhodnění na děti,</w:t>
      </w:r>
      <w:r w:rsidR="00F669F4">
        <w:rPr>
          <w:rFonts w:cs="Arial"/>
        </w:rPr>
        <w:t xml:space="preserve"> </w:t>
      </w:r>
      <w:proofErr w:type="spellStart"/>
      <w:r w:rsidR="00F669F4">
        <w:rPr>
          <w:rFonts w:cs="Arial"/>
        </w:rPr>
        <w:t>školkovné</w:t>
      </w:r>
      <w:proofErr w:type="spellEnd"/>
      <w:r w:rsidRPr="0083041C">
        <w:rPr>
          <w:rFonts w:cs="Arial"/>
        </w:rPr>
        <w:t xml:space="preserve"> apod.)</w:t>
      </w:r>
      <w:r w:rsidR="00F669F4">
        <w:rPr>
          <w:rFonts w:cs="Arial"/>
        </w:rPr>
        <w:t xml:space="preserve"> a</w:t>
      </w:r>
      <w:r w:rsidR="005F2331">
        <w:rPr>
          <w:rFonts w:cs="Arial"/>
        </w:rPr>
        <w:t> </w:t>
      </w:r>
      <w:r w:rsidR="00F669F4" w:rsidRPr="00F669F4">
        <w:rPr>
          <w:rFonts w:cs="Arial"/>
        </w:rPr>
        <w:t>opatření přijatá v důsledku onemocnění COVID-19 (např. zavedení institutu zpětného uplatnění</w:t>
      </w:r>
      <w:r w:rsidR="005F2331">
        <w:rPr>
          <w:rFonts w:cs="Arial"/>
        </w:rPr>
        <w:t xml:space="preserve"> daňové</w:t>
      </w:r>
      <w:r w:rsidR="00F669F4" w:rsidRPr="00F669F4">
        <w:rPr>
          <w:rFonts w:cs="Arial"/>
        </w:rPr>
        <w:t xml:space="preserve"> ztráty</w:t>
      </w:r>
      <w:r w:rsidR="00F669F4">
        <w:rPr>
          <w:rFonts w:cs="Arial"/>
        </w:rPr>
        <w:t>)</w:t>
      </w:r>
      <w:r w:rsidRPr="00F669F4">
        <w:rPr>
          <w:rFonts w:cs="Arial"/>
        </w:rPr>
        <w:t>.</w:t>
      </w:r>
    </w:p>
    <w:p w:rsidR="00ED080A" w:rsidRPr="0032292C" w:rsidRDefault="00ED080A" w:rsidP="00E24B2B">
      <w:pPr>
        <w:spacing w:after="0"/>
        <w:rPr>
          <w:rFonts w:cs="Arial"/>
          <w:highlight w:val="yellow"/>
        </w:rPr>
      </w:pPr>
    </w:p>
    <w:p w:rsidR="00ED080A" w:rsidRDefault="00ED080A" w:rsidP="000631A3">
      <w:pPr>
        <w:pStyle w:val="Titulek"/>
        <w:spacing w:before="120"/>
        <w:sectPr w:rsidR="00ED080A" w:rsidSect="00DE0F2C">
          <w:footnotePr>
            <w:pos w:val="beneathText"/>
          </w:footnotePr>
          <w:type w:val="continuous"/>
          <w:pgSz w:w="11906" w:h="16838" w:code="9"/>
          <w:pgMar w:top="1134" w:right="1134" w:bottom="1134" w:left="1134" w:header="709" w:footer="709" w:gutter="0"/>
          <w:cols w:num="2" w:space="397"/>
          <w:docGrid w:linePitch="360"/>
        </w:sectPr>
      </w:pPr>
    </w:p>
    <w:p w:rsidR="00DE0F2C" w:rsidRDefault="00DE0F2C" w:rsidP="00DE0F2C">
      <w:pPr>
        <w:pStyle w:val="Titulek"/>
        <w:spacing w:after="120"/>
        <w:jc w:val="left"/>
      </w:pPr>
      <w:bookmarkStart w:id="46" w:name="_Toc54337206"/>
      <w:r>
        <w:lastRenderedPageBreak/>
        <w:t xml:space="preserve">Obrázek </w:t>
      </w:r>
      <w:fldSimple w:instr=" SEQ Obrázek \* ARABIC ">
        <w:r w:rsidR="00340343">
          <w:rPr>
            <w:noProof/>
          </w:rPr>
          <w:t>3</w:t>
        </w:r>
      </w:fldSimple>
      <w:r>
        <w:t xml:space="preserve">: </w:t>
      </w:r>
      <w:r w:rsidRPr="00A9662A">
        <w:t>Vývoj daňových příjmů obcí v letech 2005 – 202</w:t>
      </w:r>
      <w:r w:rsidR="0032292C" w:rsidRPr="00A9662A">
        <w:t>1</w:t>
      </w:r>
      <w:r w:rsidRPr="00A9662A">
        <w:t xml:space="preserve"> </w:t>
      </w:r>
      <w:r w:rsidRPr="00A9662A">
        <w:rPr>
          <w:b w:val="0"/>
          <w:i/>
        </w:rPr>
        <w:t>(v mld. Kč)</w:t>
      </w:r>
      <w:bookmarkEnd w:id="46"/>
    </w:p>
    <w:p w:rsidR="008B1C81" w:rsidRDefault="003B66D4" w:rsidP="004714C6">
      <w:pPr>
        <w:pStyle w:val="Zkladntextodsazen2"/>
        <w:autoSpaceDE w:val="0"/>
        <w:autoSpaceDN w:val="0"/>
        <w:spacing w:after="0" w:line="240" w:lineRule="auto"/>
        <w:ind w:left="0"/>
        <w:rPr>
          <w:rFonts w:asciiTheme="minorHAnsi" w:hAnsiTheme="minorHAnsi"/>
          <w:b/>
          <w:i/>
          <w:sz w:val="20"/>
          <w:szCs w:val="20"/>
          <w:u w:val="single"/>
        </w:rPr>
      </w:pPr>
      <w:r>
        <w:rPr>
          <w:rFonts w:asciiTheme="minorHAnsi" w:hAnsiTheme="minorHAnsi"/>
          <w:b/>
          <w:i/>
          <w:noProof/>
          <w:sz w:val="20"/>
          <w:szCs w:val="20"/>
          <w:u w:val="single"/>
        </w:rPr>
        <w:drawing>
          <wp:inline distT="0" distB="0" distL="0" distR="0" wp14:anchorId="07D163DD" wp14:editId="06F0C9E3">
            <wp:extent cx="6062133" cy="26670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64953" cy="2668241"/>
                    </a:xfrm>
                    <a:prstGeom prst="rect">
                      <a:avLst/>
                    </a:prstGeom>
                    <a:noFill/>
                  </pic:spPr>
                </pic:pic>
              </a:graphicData>
            </a:graphic>
          </wp:inline>
        </w:drawing>
      </w:r>
    </w:p>
    <w:p w:rsidR="00605DF6" w:rsidRPr="00707685" w:rsidRDefault="00605DF6" w:rsidP="004714C6">
      <w:pPr>
        <w:pStyle w:val="Zkladntextodsazen2"/>
        <w:autoSpaceDE w:val="0"/>
        <w:autoSpaceDN w:val="0"/>
        <w:spacing w:after="0" w:line="240" w:lineRule="auto"/>
        <w:ind w:left="0"/>
        <w:rPr>
          <w:rFonts w:asciiTheme="minorHAnsi" w:hAnsiTheme="minorHAnsi"/>
          <w:b/>
          <w:i/>
          <w:sz w:val="20"/>
          <w:szCs w:val="20"/>
          <w:u w:val="single"/>
        </w:rPr>
      </w:pPr>
    </w:p>
    <w:p w:rsidR="00605DF6" w:rsidRDefault="00605DF6" w:rsidP="004714C6">
      <w:pPr>
        <w:spacing w:before="0"/>
        <w:rPr>
          <w:highlight w:val="yellow"/>
        </w:rPr>
        <w:sectPr w:rsidR="00605DF6" w:rsidSect="00505DD6">
          <w:type w:val="continuous"/>
          <w:pgSz w:w="11906" w:h="16838" w:code="9"/>
          <w:pgMar w:top="1134" w:right="1134" w:bottom="1134" w:left="1134" w:header="709" w:footer="709" w:gutter="0"/>
          <w:cols w:space="708"/>
          <w:docGrid w:linePitch="360"/>
        </w:sectPr>
      </w:pPr>
    </w:p>
    <w:p w:rsidR="001476FF" w:rsidRPr="001476FF" w:rsidRDefault="0088365C" w:rsidP="001476FF">
      <w:pPr>
        <w:spacing w:before="0"/>
      </w:pPr>
      <w:r w:rsidRPr="00605DF6">
        <w:lastRenderedPageBreak/>
        <w:t>Konkrétní číselné údaje dle je</w:t>
      </w:r>
      <w:r w:rsidR="00607656" w:rsidRPr="00605DF6">
        <w:t>d</w:t>
      </w:r>
      <w:r w:rsidRPr="00605DF6">
        <w:t xml:space="preserve">notlivých daňových titulů jsou obsaženy v tabulkové části </w:t>
      </w:r>
      <w:r w:rsidRPr="001476FF">
        <w:t>v </w:t>
      </w:r>
      <w:r w:rsidR="0017545E" w:rsidRPr="001476FF">
        <w:t>P</w:t>
      </w:r>
      <w:r w:rsidRPr="001476FF">
        <w:t xml:space="preserve">říloze č. </w:t>
      </w:r>
      <w:r w:rsidR="0017545E" w:rsidRPr="001476FF">
        <w:t>4</w:t>
      </w:r>
      <w:r w:rsidRPr="001476FF">
        <w:t xml:space="preserve">. </w:t>
      </w:r>
    </w:p>
    <w:p w:rsidR="00605DF6" w:rsidRPr="0060286B" w:rsidRDefault="0088365C" w:rsidP="0060286B">
      <w:pPr>
        <w:spacing w:before="0"/>
        <w:sectPr w:rsidR="00605DF6" w:rsidRPr="0060286B" w:rsidSect="00221257">
          <w:type w:val="continuous"/>
          <w:pgSz w:w="11906" w:h="16838" w:code="9"/>
          <w:pgMar w:top="1134" w:right="1134" w:bottom="1134" w:left="1134" w:header="709" w:footer="709" w:gutter="0"/>
          <w:cols w:num="2" w:space="397"/>
          <w:docGrid w:linePitch="360"/>
        </w:sectPr>
      </w:pPr>
      <w:r w:rsidRPr="001476FF">
        <w:lastRenderedPageBreak/>
        <w:t xml:space="preserve">Podrobně se problematikou </w:t>
      </w:r>
      <w:r w:rsidR="001476FF">
        <w:t>vývoje</w:t>
      </w:r>
      <w:r w:rsidRPr="001476FF">
        <w:t xml:space="preserve"> daňových příjmů zabývá </w:t>
      </w:r>
      <w:r w:rsidR="0060286B">
        <w:t>část E.</w:t>
      </w:r>
      <w:r w:rsidR="001476FF" w:rsidRPr="001476FF">
        <w:t xml:space="preserve"> </w:t>
      </w:r>
      <w:r w:rsidR="0060286B" w:rsidRPr="0060286B">
        <w:t>Zpráva k návrhu zákona o státním rozpočtu ČR na rok 2021</w:t>
      </w:r>
      <w:r w:rsidR="0060286B">
        <w:t xml:space="preserve"> </w:t>
      </w:r>
      <w:r w:rsidR="001476FF" w:rsidRPr="001476FF">
        <w:t xml:space="preserve">rozpočtové dokumentace. </w:t>
      </w:r>
    </w:p>
    <w:p w:rsidR="004714C6" w:rsidRPr="00B1368D" w:rsidRDefault="00924734" w:rsidP="008D5B4A">
      <w:pPr>
        <w:pStyle w:val="Odstavecseseznamem"/>
        <w:numPr>
          <w:ilvl w:val="0"/>
          <w:numId w:val="35"/>
        </w:numPr>
        <w:spacing w:before="120"/>
        <w:ind w:left="284" w:hanging="284"/>
        <w:jc w:val="left"/>
        <w:rPr>
          <w:rFonts w:cs="Arial"/>
          <w:b/>
        </w:rPr>
        <w:sectPr w:rsidR="004714C6" w:rsidRPr="00B1368D" w:rsidSect="00221257">
          <w:type w:val="continuous"/>
          <w:pgSz w:w="11906" w:h="16838" w:code="9"/>
          <w:pgMar w:top="1134" w:right="1134" w:bottom="1134" w:left="1134" w:header="709" w:footer="709" w:gutter="0"/>
          <w:cols w:num="2" w:space="397"/>
          <w:docGrid w:linePitch="360"/>
        </w:sectPr>
      </w:pPr>
      <w:r w:rsidRPr="00B1368D">
        <w:rPr>
          <w:rFonts w:cs="Arial"/>
          <w:b/>
        </w:rPr>
        <w:lastRenderedPageBreak/>
        <w:t xml:space="preserve">Transfery </w:t>
      </w:r>
    </w:p>
    <w:p w:rsidR="008278B0" w:rsidRDefault="00924734" w:rsidP="00EF3A67">
      <w:pPr>
        <w:spacing w:before="120" w:after="120"/>
      </w:pPr>
      <w:r w:rsidRPr="008278B0">
        <w:lastRenderedPageBreak/>
        <w:t>Očekává se, že obce v roce 20</w:t>
      </w:r>
      <w:r w:rsidR="00082523" w:rsidRPr="008278B0">
        <w:t>20</w:t>
      </w:r>
      <w:r w:rsidRPr="008278B0">
        <w:t xml:space="preserve"> získají z různých úrovní veřejných rozpočtů transfery v částce </w:t>
      </w:r>
      <w:r w:rsidR="00082523" w:rsidRPr="008278B0">
        <w:t>104</w:t>
      </w:r>
      <w:r w:rsidRPr="008278B0">
        <w:t xml:space="preserve"> mld. Kč, což je o </w:t>
      </w:r>
      <w:r w:rsidR="00082523" w:rsidRPr="008278B0">
        <w:t>29,6</w:t>
      </w:r>
      <w:r w:rsidRPr="008278B0">
        <w:t xml:space="preserve"> mld. Kč více než v roce 201</w:t>
      </w:r>
      <w:r w:rsidR="00082523" w:rsidRPr="008278B0">
        <w:t>9</w:t>
      </w:r>
      <w:r w:rsidRPr="008278B0">
        <w:t xml:space="preserve">. Meziroční nárůst se týká jak neinvestičních, tak investičních transferů, které jsou obcím poskytovány </w:t>
      </w:r>
      <w:r w:rsidR="00503DFC">
        <w:t xml:space="preserve">zejména </w:t>
      </w:r>
      <w:r w:rsidRPr="008278B0">
        <w:t>ze státního rozpočtu.</w:t>
      </w:r>
      <w:r w:rsidR="00082523" w:rsidRPr="008278B0">
        <w:t xml:space="preserve"> </w:t>
      </w:r>
    </w:p>
    <w:p w:rsidR="009E46B8" w:rsidRPr="008278B0" w:rsidRDefault="009E46B8" w:rsidP="00EF3A67">
      <w:pPr>
        <w:spacing w:before="120" w:after="120"/>
      </w:pPr>
      <w:r w:rsidRPr="008278B0">
        <w:t>V návaznosti na snahu vlády omezit dopady na rozpočty obcí v souvislosti s probíhající pandemií onemocnění COVID-19 získaly obce</w:t>
      </w:r>
      <w:r w:rsidR="00503DFC">
        <w:t xml:space="preserve"> ze státního rozpočtu</w:t>
      </w:r>
      <w:r w:rsidRPr="008278B0">
        <w:t xml:space="preserve"> např. mimořádný jednorázový příspěvek ve výši 13,4 mld. Kč na zmírnění dopadu poklesu daňových příjmů v roce 2020 z titulu vyplácení tzv. kompenzačního bonusu na základě zákona č.</w:t>
      </w:r>
      <w:r w:rsidR="008278B0" w:rsidRPr="008278B0">
        <w:t> </w:t>
      </w:r>
      <w:r w:rsidRPr="008278B0">
        <w:t xml:space="preserve">159/2020 Sb., o kompenzačním </w:t>
      </w:r>
      <w:r w:rsidR="008278B0" w:rsidRPr="008278B0">
        <w:t xml:space="preserve">bonusu v souvislosti s krizovými opatřeními v souvislosti s výskytem </w:t>
      </w:r>
      <w:proofErr w:type="spellStart"/>
      <w:r w:rsidR="008278B0" w:rsidRPr="008278B0">
        <w:t>koronaviru</w:t>
      </w:r>
      <w:proofErr w:type="spellEnd"/>
      <w:r w:rsidR="008278B0" w:rsidRPr="008278B0">
        <w:t xml:space="preserve"> SARS CoV-2, ve znění pozdějších předpisů.</w:t>
      </w:r>
      <w:r w:rsidRPr="008278B0">
        <w:t xml:space="preserve"> </w:t>
      </w:r>
      <w:r w:rsidR="008278B0" w:rsidRPr="008278B0">
        <w:t xml:space="preserve">Obce zároveň </w:t>
      </w:r>
      <w:r w:rsidR="00503DFC">
        <w:t>čerpají dotační prostředky</w:t>
      </w:r>
      <w:r w:rsidR="008278B0" w:rsidRPr="008278B0">
        <w:t xml:space="preserve"> </w:t>
      </w:r>
      <w:r w:rsidR="00503DFC">
        <w:t xml:space="preserve">z různých </w:t>
      </w:r>
      <w:r w:rsidRPr="008278B0">
        <w:t xml:space="preserve">dotačních titulů cílených do oblastí jako je např. školství, nájemní bydlení, </w:t>
      </w:r>
      <w:r w:rsidR="00231664">
        <w:t xml:space="preserve">jiný </w:t>
      </w:r>
      <w:r w:rsidR="00503DFC">
        <w:t>obecní majet</w:t>
      </w:r>
      <w:r w:rsidR="00231664">
        <w:t>ek</w:t>
      </w:r>
      <w:r w:rsidR="00503DFC">
        <w:t xml:space="preserve"> </w:t>
      </w:r>
      <w:r w:rsidRPr="008278B0">
        <w:t>apod.</w:t>
      </w:r>
      <w:r w:rsidR="00231664">
        <w:t>,</w:t>
      </w:r>
      <w:r w:rsidR="008278B0" w:rsidRPr="008278B0">
        <w:t xml:space="preserve"> </w:t>
      </w:r>
      <w:r w:rsidR="00503DFC">
        <w:t>zahrnutých v příslušných</w:t>
      </w:r>
      <w:r w:rsidR="008278B0" w:rsidRPr="008278B0">
        <w:t xml:space="preserve"> kapitolách státního rozpočtu.</w:t>
      </w:r>
      <w:r w:rsidRPr="008278B0">
        <w:t xml:space="preserve">  </w:t>
      </w:r>
    </w:p>
    <w:p w:rsidR="00924734" w:rsidRPr="00924734" w:rsidRDefault="00924734" w:rsidP="00EF3A67">
      <w:pPr>
        <w:spacing w:afterLines="60" w:after="144"/>
      </w:pPr>
      <w:r w:rsidRPr="001101EE">
        <w:lastRenderedPageBreak/>
        <w:t>Výše navrhovaných transferů určených obcím z různých úrovní veřejných rozpočtů v roce 20</w:t>
      </w:r>
      <w:r w:rsidR="00D31585" w:rsidRPr="001101EE">
        <w:t>2</w:t>
      </w:r>
      <w:r w:rsidR="00503DFC" w:rsidRPr="001101EE">
        <w:t>1</w:t>
      </w:r>
      <w:r w:rsidRPr="001101EE">
        <w:t xml:space="preserve"> se pohybuje na </w:t>
      </w:r>
      <w:r w:rsidR="003E617C" w:rsidRPr="001101EE">
        <w:t>6</w:t>
      </w:r>
      <w:r w:rsidR="00254F4E">
        <w:t>8</w:t>
      </w:r>
      <w:r w:rsidRPr="001101EE">
        <w:t xml:space="preserve"> % z jejich odhadované hodnoty pro rok 20</w:t>
      </w:r>
      <w:r w:rsidR="001923EB" w:rsidRPr="001101EE">
        <w:t>20</w:t>
      </w:r>
      <w:r w:rsidR="0060286B">
        <w:t>.</w:t>
      </w:r>
      <w:r w:rsidRPr="001101EE">
        <w:t xml:space="preserve"> </w:t>
      </w:r>
      <w:r w:rsidR="001101EE" w:rsidRPr="001101EE">
        <w:t xml:space="preserve">Tato hodnota je jako každý rok zkreslena tím, že poskytovatelé dotací ne vždy veškeré prostředky rozepisují v položkách dle jednotlivých skupin příjemců již v době zpracování státního rozpočtu, ale činí tak až v průběhu rozpočtového roku. Stejně jako v předchozích letech se předpokládá další navýšení transferů pro obce v průběhu roku rozpočtovými opatřeními v některých kapitolách státního rozpočtu, což ovlivní nejen skutečné plnění příjmů, ale i výdajů, a to zejména kapitálových. Navíc srovnávací základna </w:t>
      </w:r>
      <w:r w:rsidR="007003B3">
        <w:t xml:space="preserve">roku </w:t>
      </w:r>
      <w:r w:rsidR="001101EE" w:rsidRPr="001101EE">
        <w:t>2020</w:t>
      </w:r>
      <w:r w:rsidR="007003B3">
        <w:t xml:space="preserve"> byla jednorázově</w:t>
      </w:r>
      <w:r w:rsidR="001101EE" w:rsidRPr="001101EE">
        <w:t xml:space="preserve"> navýšena o dotační prostředky, které byly obcím </w:t>
      </w:r>
      <w:r w:rsidR="007003B3">
        <w:t xml:space="preserve">vyčleněny </w:t>
      </w:r>
      <w:r w:rsidR="001101EE" w:rsidRPr="001101EE">
        <w:t xml:space="preserve">zejména </w:t>
      </w:r>
      <w:r w:rsidR="003E617C" w:rsidRPr="001101EE">
        <w:t xml:space="preserve">poslední novelou zákona o státním rozpočtu </w:t>
      </w:r>
      <w:r w:rsidR="007003B3">
        <w:t xml:space="preserve">na rok 2020 </w:t>
      </w:r>
      <w:r w:rsidR="001101EE" w:rsidRPr="001101EE">
        <w:t>v souvislosti s pandemií onemocnění COVID-19.</w:t>
      </w:r>
      <w:r w:rsidR="003E617C" w:rsidRPr="001101EE">
        <w:t xml:space="preserve"> </w:t>
      </w:r>
    </w:p>
    <w:p w:rsidR="00924734" w:rsidRPr="00924734" w:rsidRDefault="00924734" w:rsidP="009F6BEF"/>
    <w:p w:rsidR="00221257" w:rsidRDefault="00221257" w:rsidP="007C1E42">
      <w:pPr>
        <w:sectPr w:rsidR="00221257" w:rsidSect="00221257">
          <w:type w:val="continuous"/>
          <w:pgSz w:w="11906" w:h="16838" w:code="9"/>
          <w:pgMar w:top="1134" w:right="1134" w:bottom="1134" w:left="1134" w:header="709" w:footer="709" w:gutter="0"/>
          <w:cols w:num="2" w:space="397"/>
          <w:docGrid w:linePitch="360"/>
        </w:sectPr>
      </w:pPr>
    </w:p>
    <w:p w:rsidR="00924734" w:rsidRPr="004714C6" w:rsidRDefault="00924734" w:rsidP="00756F3F">
      <w:pPr>
        <w:pStyle w:val="Nadpis3"/>
      </w:pPr>
      <w:bookmarkStart w:id="47" w:name="_Toc54337180"/>
      <w:r w:rsidRPr="004714C6">
        <w:lastRenderedPageBreak/>
        <w:t>Odhadovaný vývoj na straně výdajů</w:t>
      </w:r>
      <w:bookmarkEnd w:id="47"/>
    </w:p>
    <w:p w:rsidR="00924734" w:rsidRPr="004516B7" w:rsidRDefault="00CD3AD3" w:rsidP="004714C6">
      <w:pPr>
        <w:pStyle w:val="Titulek"/>
        <w:spacing w:before="0"/>
      </w:pPr>
      <w:bookmarkStart w:id="48" w:name="_Toc54337214"/>
      <w:r w:rsidRPr="004516B7">
        <w:t xml:space="preserve">Box </w:t>
      </w:r>
      <w:fldSimple w:instr=" SEQ Box \* ARABIC ">
        <w:r w:rsidR="00340343">
          <w:rPr>
            <w:noProof/>
          </w:rPr>
          <w:t>2</w:t>
        </w:r>
      </w:fldSimple>
      <w:r w:rsidR="00924734" w:rsidRPr="004516B7">
        <w:t>: Obecná charakteristika výdajů obcí</w:t>
      </w:r>
      <w:bookmarkEnd w:id="48"/>
    </w:p>
    <w:p w:rsidR="00924734" w:rsidRPr="00924734" w:rsidRDefault="00924734" w:rsidP="009F6BEF">
      <w:pPr>
        <w:pBdr>
          <w:top w:val="single" w:sz="4" w:space="1" w:color="auto"/>
          <w:left w:val="single" w:sz="4" w:space="4" w:color="auto"/>
          <w:bottom w:val="single" w:sz="4" w:space="1" w:color="auto"/>
          <w:right w:val="single" w:sz="4" w:space="4" w:color="auto"/>
        </w:pBdr>
      </w:pPr>
      <w:r w:rsidRPr="00924734">
        <w:t xml:space="preserve">Výdaje obcí se člení na </w:t>
      </w:r>
      <w:r w:rsidRPr="00924734">
        <w:rPr>
          <w:b/>
        </w:rPr>
        <w:t>běžné a kapitálové</w:t>
      </w:r>
      <w:r w:rsidRPr="00924734">
        <w:t>.</w:t>
      </w:r>
      <w:r w:rsidR="002F0EDE">
        <w:t xml:space="preserve"> Tři čtvrtiny </w:t>
      </w:r>
      <w:r w:rsidRPr="00924734">
        <w:t xml:space="preserve">z celkových výdajů obcí představují běžné výdaje. </w:t>
      </w:r>
      <w:r w:rsidRPr="00924734">
        <w:rPr>
          <w:b/>
        </w:rPr>
        <w:t>Do běžných výdajů</w:t>
      </w:r>
      <w:r w:rsidRPr="00924734">
        <w:t xml:space="preserve"> se řadí zejména mzdy a platy zaměstnanců, povinné pojistné placené zaměstnavatelem, výdaje na nákup služeb, materiálu a neinvestiční transfery příspěvkovým a neziskovým organizacím</w:t>
      </w:r>
      <w:r w:rsidR="00231664">
        <w:t>, výdaje na opravy a údržbu majetku</w:t>
      </w:r>
      <w:r w:rsidRPr="00924734">
        <w:t xml:space="preserve">. </w:t>
      </w:r>
    </w:p>
    <w:p w:rsidR="00BD54C6" w:rsidRDefault="00924734" w:rsidP="009F6BEF">
      <w:pPr>
        <w:pBdr>
          <w:top w:val="single" w:sz="4" w:space="1" w:color="auto"/>
          <w:left w:val="single" w:sz="4" w:space="4" w:color="auto"/>
          <w:bottom w:val="single" w:sz="4" w:space="1" w:color="auto"/>
          <w:right w:val="single" w:sz="4" w:space="4" w:color="auto"/>
        </w:pBdr>
      </w:pPr>
      <w:r w:rsidRPr="00924734">
        <w:rPr>
          <w:b/>
        </w:rPr>
        <w:t>Kapitálové výdaje</w:t>
      </w:r>
      <w:r w:rsidRPr="00924734">
        <w:t xml:space="preserve"> obcí </w:t>
      </w:r>
      <w:r w:rsidR="00231664">
        <w:t xml:space="preserve">zahrnují </w:t>
      </w:r>
      <w:r w:rsidR="00AC5733">
        <w:t>zejména</w:t>
      </w:r>
      <w:r w:rsidRPr="00924734">
        <w:t xml:space="preserve"> výdaje na pořízení dlouhodobého majetku a jeho technické zhodnocení. </w:t>
      </w:r>
    </w:p>
    <w:p w:rsidR="00BD54C6" w:rsidRDefault="00BD54C6" w:rsidP="00BD54C6">
      <w:pPr>
        <w:sectPr w:rsidR="00BD54C6" w:rsidSect="00505DD6">
          <w:type w:val="continuous"/>
          <w:pgSz w:w="11906" w:h="16838" w:code="9"/>
          <w:pgMar w:top="1134" w:right="1134" w:bottom="1134" w:left="1134" w:header="709" w:footer="709" w:gutter="0"/>
          <w:cols w:space="708"/>
          <w:docGrid w:linePitch="360"/>
        </w:sectPr>
      </w:pPr>
    </w:p>
    <w:p w:rsidR="00950C55" w:rsidRDefault="00924734" w:rsidP="009F6BEF">
      <w:r w:rsidRPr="00CA7D33">
        <w:lastRenderedPageBreak/>
        <w:t>Odhaduje se, že celkové výdaje obcí v roce 20</w:t>
      </w:r>
      <w:r w:rsidR="00AC7A8D">
        <w:t>20</w:t>
      </w:r>
      <w:r w:rsidRPr="00CA7D33">
        <w:t xml:space="preserve"> dosáhnou výše </w:t>
      </w:r>
      <w:r w:rsidR="00AC7A8D">
        <w:t>364,</w:t>
      </w:r>
      <w:r w:rsidR="007F44FB">
        <w:t>3</w:t>
      </w:r>
      <w:r w:rsidRPr="00CA7D33">
        <w:t xml:space="preserve"> mld. Kč, což představuje meziroční navýšení o </w:t>
      </w:r>
      <w:r w:rsidR="00AC7A8D">
        <w:t>8,7</w:t>
      </w:r>
      <w:r w:rsidRPr="00CA7D33">
        <w:t xml:space="preserve"> %. V případě běžných výdajů se nárůst soustřeďuje zejména do</w:t>
      </w:r>
      <w:r w:rsidR="00A66A79">
        <w:t xml:space="preserve"> hlavních výdajových skupin, </w:t>
      </w:r>
      <w:r w:rsidR="00A66A79">
        <w:lastRenderedPageBreak/>
        <w:t>jako jsou mzdy,</w:t>
      </w:r>
      <w:r w:rsidRPr="00CA7D33">
        <w:t xml:space="preserve"> plat</w:t>
      </w:r>
      <w:r w:rsidR="00A66A79">
        <w:t>y</w:t>
      </w:r>
      <w:r w:rsidRPr="00CA7D33">
        <w:t xml:space="preserve"> a</w:t>
      </w:r>
      <w:r w:rsidR="00F07CBD">
        <w:t> </w:t>
      </w:r>
      <w:r w:rsidRPr="00CA7D33">
        <w:t>související platb</w:t>
      </w:r>
      <w:r w:rsidR="00A66A79">
        <w:t>y</w:t>
      </w:r>
      <w:r w:rsidRPr="00CA7D33">
        <w:t xml:space="preserve"> a do transferů příspěvkovým a neziskovým organizacím</w:t>
      </w:r>
      <w:r w:rsidRPr="00F07CBD">
        <w:t>.</w:t>
      </w:r>
    </w:p>
    <w:p w:rsidR="00924734" w:rsidRPr="00924734" w:rsidRDefault="00924734" w:rsidP="009F6BEF">
      <w:r w:rsidRPr="00F07CBD">
        <w:lastRenderedPageBreak/>
        <w:t>Kapitálové výdaje obcí se pro rok 20</w:t>
      </w:r>
      <w:r w:rsidR="007F44FB">
        <w:t>20</w:t>
      </w:r>
      <w:r w:rsidRPr="00F07CBD">
        <w:t xml:space="preserve"> očekávají ve výši </w:t>
      </w:r>
      <w:r w:rsidR="003D0389" w:rsidRPr="00F07CBD">
        <w:t>104,</w:t>
      </w:r>
      <w:r w:rsidR="007F44FB">
        <w:t>6</w:t>
      </w:r>
      <w:r w:rsidRPr="00F07CBD">
        <w:t xml:space="preserve"> mld. Kč. </w:t>
      </w:r>
      <w:r w:rsidR="00F850D2" w:rsidRPr="00F07CBD">
        <w:t>Vývoj na straně kapitálových výdajů</w:t>
      </w:r>
      <w:r w:rsidRPr="00F07CBD">
        <w:t xml:space="preserve"> </w:t>
      </w:r>
      <w:r w:rsidR="00A66A79">
        <w:t xml:space="preserve">by měly pozitivně ovlivnit prostředky na investiční transfery, které byly dodatečně zahrnuty do státního </w:t>
      </w:r>
      <w:r w:rsidR="00A66A79" w:rsidRPr="00A66A79">
        <w:lastRenderedPageBreak/>
        <w:t>rozpočtu na rok 2020 a zároveň ochota obcí investovat se zapojením v minulosti naspořených prostředků, popř. s využitím bankovních úvěrů. Tyto faktory ovlivní výši kapitálových výdajů obcí i v roce 2021</w:t>
      </w:r>
      <w:r w:rsidRPr="00A66A79">
        <w:t>.</w:t>
      </w:r>
      <w:r w:rsidRPr="00924734">
        <w:t xml:space="preserve"> </w:t>
      </w:r>
    </w:p>
    <w:p w:rsidR="00BD54C6" w:rsidRDefault="00BD54C6" w:rsidP="00BD54C6">
      <w:pPr>
        <w:sectPr w:rsidR="00BD54C6" w:rsidSect="00BD54C6">
          <w:type w:val="continuous"/>
          <w:pgSz w:w="11906" w:h="16838" w:code="9"/>
          <w:pgMar w:top="1134" w:right="1134" w:bottom="1134" w:left="1134" w:header="709" w:footer="709" w:gutter="0"/>
          <w:cols w:num="2" w:space="397"/>
          <w:docGrid w:linePitch="360"/>
        </w:sectPr>
      </w:pPr>
    </w:p>
    <w:p w:rsidR="00DE0F2C" w:rsidRDefault="00DE0F2C" w:rsidP="00DE0F2C">
      <w:pPr>
        <w:pStyle w:val="Titulek"/>
        <w:spacing w:after="120"/>
      </w:pPr>
      <w:bookmarkStart w:id="49" w:name="_Toc54337207"/>
      <w:r w:rsidRPr="00A9662A">
        <w:lastRenderedPageBreak/>
        <w:t xml:space="preserve">Obrázek </w:t>
      </w:r>
      <w:fldSimple w:instr=" SEQ Obrázek \* ARABIC ">
        <w:r w:rsidR="00340343">
          <w:rPr>
            <w:noProof/>
          </w:rPr>
          <w:t>4</w:t>
        </w:r>
      </w:fldSimple>
      <w:r w:rsidRPr="00A9662A">
        <w:t>: Vývoj kapitálových výdajů a investičních transferů obcí v letech 2007 – 20</w:t>
      </w:r>
      <w:r w:rsidR="00863634" w:rsidRPr="00A9662A">
        <w:t>20</w:t>
      </w:r>
      <w:r w:rsidRPr="00A9662A">
        <w:t xml:space="preserve"> </w:t>
      </w:r>
      <w:r w:rsidRPr="00A9662A">
        <w:rPr>
          <w:b w:val="0"/>
          <w:i/>
        </w:rPr>
        <w:t>(v mld. Kč)</w:t>
      </w:r>
      <w:bookmarkEnd w:id="49"/>
    </w:p>
    <w:p w:rsidR="00607656" w:rsidRPr="00607656" w:rsidRDefault="007F44FB" w:rsidP="00607656">
      <w:r>
        <w:rPr>
          <w:noProof/>
        </w:rPr>
        <w:drawing>
          <wp:inline distT="0" distB="0" distL="0" distR="0" wp14:anchorId="5E7DD092" wp14:editId="1BB75957">
            <wp:extent cx="6163733" cy="2836333"/>
            <wp:effectExtent l="0" t="0" r="8890" b="254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60150" cy="2834684"/>
                    </a:xfrm>
                    <a:prstGeom prst="rect">
                      <a:avLst/>
                    </a:prstGeom>
                    <a:noFill/>
                  </pic:spPr>
                </pic:pic>
              </a:graphicData>
            </a:graphic>
          </wp:inline>
        </w:drawing>
      </w:r>
    </w:p>
    <w:p w:rsidR="00607656" w:rsidRPr="00607656" w:rsidRDefault="00607656" w:rsidP="00772869">
      <w:pPr>
        <w:pStyle w:val="Titulek"/>
        <w:tabs>
          <w:tab w:val="center" w:pos="4535"/>
        </w:tabs>
      </w:pPr>
    </w:p>
    <w:p w:rsidR="00426505" w:rsidRDefault="00426505" w:rsidP="00426505">
      <w:pPr>
        <w:spacing w:before="120" w:line="360" w:lineRule="auto"/>
        <w:sectPr w:rsidR="00426505" w:rsidSect="00505DD6">
          <w:type w:val="continuous"/>
          <w:pgSz w:w="11906" w:h="16838" w:code="9"/>
          <w:pgMar w:top="1134" w:right="1134" w:bottom="1134" w:left="1134" w:header="709" w:footer="709" w:gutter="0"/>
          <w:cols w:space="708"/>
          <w:docGrid w:linePitch="360"/>
        </w:sectPr>
      </w:pPr>
    </w:p>
    <w:p w:rsidR="00037D61" w:rsidRDefault="00426505" w:rsidP="00D46E19">
      <w:r w:rsidRPr="000A7841">
        <w:lastRenderedPageBreak/>
        <w:t>Výdaje, které by měly obce vynaložit v roce 20</w:t>
      </w:r>
      <w:r w:rsidR="0099385B" w:rsidRPr="000A7841">
        <w:t>2</w:t>
      </w:r>
      <w:r w:rsidR="00DB69BE" w:rsidRPr="000A7841">
        <w:t>1</w:t>
      </w:r>
      <w:r w:rsidRPr="000A7841">
        <w:t xml:space="preserve">, se odhadují ve výši  </w:t>
      </w:r>
      <w:r w:rsidR="000A7841" w:rsidRPr="000A7841">
        <w:t>34</w:t>
      </w:r>
      <w:r w:rsidR="00177C87">
        <w:t>7</w:t>
      </w:r>
      <w:r w:rsidR="000A7841" w:rsidRPr="000A7841">
        <w:t>,</w:t>
      </w:r>
      <w:r w:rsidR="00177C87">
        <w:t>9</w:t>
      </w:r>
      <w:r w:rsidRPr="000A7841">
        <w:t xml:space="preserve"> mld. Kč. Na celkové částce se ze 7</w:t>
      </w:r>
      <w:r w:rsidR="00F75843" w:rsidRPr="000A7841">
        <w:t>2</w:t>
      </w:r>
      <w:r w:rsidRPr="000A7841">
        <w:t xml:space="preserve"> % podílejí běžné výdaje, zbývajících 2</w:t>
      </w:r>
      <w:r w:rsidR="00F75843" w:rsidRPr="000A7841">
        <w:t>8</w:t>
      </w:r>
      <w:r w:rsidRPr="000A7841">
        <w:t xml:space="preserve"> % připadá na výdaje kapitálové. V průběhu rozpočtového roku </w:t>
      </w:r>
      <w:r w:rsidRPr="000A7841">
        <w:lastRenderedPageBreak/>
        <w:t>bude výše kapitálových výdajů stejně jako každý rok zpřesňována v návaznosti na aktuální vývoj v oblasti transferů.</w:t>
      </w:r>
      <w:r w:rsidRPr="00426505">
        <w:t xml:space="preserve"> </w:t>
      </w:r>
    </w:p>
    <w:p w:rsidR="00426505" w:rsidRDefault="00426505" w:rsidP="00755A4A">
      <w:pPr>
        <w:pStyle w:val="Titulek"/>
        <w:spacing w:before="120"/>
        <w:sectPr w:rsidR="00426505" w:rsidSect="00756909">
          <w:type w:val="continuous"/>
          <w:pgSz w:w="11906" w:h="16838" w:code="9"/>
          <w:pgMar w:top="1134" w:right="1134" w:bottom="1134" w:left="1134" w:header="709" w:footer="709" w:gutter="0"/>
          <w:cols w:num="2" w:space="397"/>
          <w:docGrid w:linePitch="360"/>
        </w:sectPr>
      </w:pPr>
    </w:p>
    <w:p w:rsidR="007F7C77" w:rsidRPr="007F7C77" w:rsidRDefault="007F7C77" w:rsidP="005C6303">
      <w:pPr>
        <w:pStyle w:val="Nadpis2"/>
      </w:pPr>
      <w:bookmarkStart w:id="50" w:name="_Toc533674257"/>
      <w:bookmarkStart w:id="51" w:name="_Toc17962160"/>
      <w:bookmarkStart w:id="52" w:name="_Toc54337181"/>
      <w:bookmarkStart w:id="53" w:name="_Toc5956949"/>
      <w:r w:rsidRPr="007F7C77">
        <w:lastRenderedPageBreak/>
        <w:t>Vývoj hospodaření krajů v letech 20</w:t>
      </w:r>
      <w:r w:rsidR="008D55BA">
        <w:t>20</w:t>
      </w:r>
      <w:r w:rsidRPr="007F7C77">
        <w:t xml:space="preserve"> a 20</w:t>
      </w:r>
      <w:bookmarkEnd w:id="50"/>
      <w:r w:rsidR="00A6096E">
        <w:t>2</w:t>
      </w:r>
      <w:bookmarkEnd w:id="51"/>
      <w:r w:rsidR="008D55BA">
        <w:t>1</w:t>
      </w:r>
      <w:bookmarkEnd w:id="52"/>
    </w:p>
    <w:bookmarkEnd w:id="53"/>
    <w:p w:rsidR="00DC6777" w:rsidRDefault="00DC6777" w:rsidP="005C6303">
      <w:pPr>
        <w:pStyle w:val="Nadpis2"/>
        <w:sectPr w:rsidR="00DC6777" w:rsidSect="00C5556B">
          <w:type w:val="continuous"/>
          <w:pgSz w:w="11906" w:h="16838" w:code="9"/>
          <w:pgMar w:top="1134" w:right="1134" w:bottom="1134" w:left="1134" w:header="709" w:footer="709" w:gutter="0"/>
          <w:cols w:space="708"/>
          <w:docGrid w:linePitch="360"/>
        </w:sectPr>
      </w:pPr>
    </w:p>
    <w:p w:rsidR="00DE0F2C" w:rsidRDefault="00DE0F2C" w:rsidP="00DE0F2C">
      <w:pPr>
        <w:pStyle w:val="Titulek"/>
        <w:spacing w:after="120"/>
      </w:pPr>
      <w:bookmarkStart w:id="54" w:name="_Toc54337198"/>
      <w:r>
        <w:lastRenderedPageBreak/>
        <w:t xml:space="preserve">Tabulka </w:t>
      </w:r>
      <w:fldSimple w:instr=" SEQ Tabulka \* ARABIC ">
        <w:r w:rsidR="00340343">
          <w:rPr>
            <w:noProof/>
          </w:rPr>
          <w:t>3</w:t>
        </w:r>
      </w:fldSimple>
      <w:r>
        <w:t xml:space="preserve">: </w:t>
      </w:r>
      <w:r w:rsidRPr="0038053F">
        <w:t>Struktura příjmů a výdajů krajů v letech 201</w:t>
      </w:r>
      <w:r w:rsidR="00156246">
        <w:t>6</w:t>
      </w:r>
      <w:r w:rsidRPr="0038053F">
        <w:t xml:space="preserve"> - 202</w:t>
      </w:r>
      <w:r w:rsidR="005766B2">
        <w:t>1</w:t>
      </w:r>
      <w:r w:rsidRPr="0038053F">
        <w:t xml:space="preserve"> </w:t>
      </w:r>
      <w:r w:rsidRPr="00DE0F2C">
        <w:rPr>
          <w:b w:val="0"/>
          <w:i/>
        </w:rPr>
        <w:t>(v mld. Kč)</w:t>
      </w:r>
      <w:bookmarkEnd w:id="54"/>
    </w:p>
    <w:p w:rsidR="00FF156F" w:rsidRPr="00A9662A" w:rsidRDefault="002E13F3" w:rsidP="008C0E44">
      <w:pPr>
        <w:jc w:val="left"/>
        <w:rPr>
          <w:b/>
          <w:i/>
          <w:u w:val="single"/>
        </w:rPr>
      </w:pPr>
      <w:r>
        <w:rPr>
          <w:i/>
          <w:sz w:val="16"/>
          <w:szCs w:val="16"/>
        </w:rPr>
        <w:pict>
          <v:shape id="_x0000_i1027" type="#_x0000_t75" style="width:483pt;height:152.25pt">
            <v:imagedata r:id="rId22" o:title=""/>
          </v:shape>
        </w:pict>
      </w:r>
      <w:r w:rsidR="00FF156F" w:rsidRPr="00A9662A">
        <w:rPr>
          <w:b/>
          <w:i/>
          <w:u w:val="single"/>
        </w:rPr>
        <w:t>Poznámka:</w:t>
      </w:r>
    </w:p>
    <w:p w:rsidR="00DA715F" w:rsidRDefault="004B5DD0" w:rsidP="00CF11D7">
      <w:pPr>
        <w:jc w:val="left"/>
        <w:sectPr w:rsidR="00DA715F" w:rsidSect="00C5556B">
          <w:type w:val="continuous"/>
          <w:pgSz w:w="11906" w:h="16838" w:code="9"/>
          <w:pgMar w:top="1134" w:right="1134" w:bottom="1134" w:left="1134" w:header="709" w:footer="709" w:gutter="0"/>
          <w:cols w:space="708"/>
          <w:docGrid w:linePitch="360"/>
        </w:sectPr>
      </w:pPr>
      <w:r w:rsidRPr="008C5DD3">
        <w:rPr>
          <w:i/>
        </w:rPr>
        <w:t>Výše transferů vychází z návrhu státního rozpočtu na rok 202</w:t>
      </w:r>
      <w:r w:rsidR="00450EB1" w:rsidRPr="008C5DD3">
        <w:rPr>
          <w:i/>
        </w:rPr>
        <w:t>1</w:t>
      </w:r>
      <w:r w:rsidRPr="008C5DD3">
        <w:rPr>
          <w:i/>
        </w:rPr>
        <w:t>. Té odpovídá i výše odhadovaných výdajů, a to zejména kapitálových. Stejně jako v</w:t>
      </w:r>
      <w:r w:rsidR="00CF11D7">
        <w:rPr>
          <w:i/>
        </w:rPr>
        <w:t xml:space="preserve"> </w:t>
      </w:r>
      <w:r w:rsidRPr="008C5DD3">
        <w:rPr>
          <w:i/>
        </w:rPr>
        <w:t>předchozích letech se předpokládá částečné navýšení transferů pro kraje v průběhu roku (formou rozpočtových opatření), což ovlivní nejen skutečné plnění příjmů, ale i výdajů.</w:t>
      </w:r>
    </w:p>
    <w:p w:rsidR="006679A9" w:rsidRDefault="0086214B" w:rsidP="004D2D58">
      <w:pPr>
        <w:sectPr w:rsidR="006679A9" w:rsidSect="00FC1DAB">
          <w:type w:val="continuous"/>
          <w:pgSz w:w="11906" w:h="16838" w:code="9"/>
          <w:pgMar w:top="1134" w:right="1134" w:bottom="1134" w:left="1134" w:header="709" w:footer="709" w:gutter="0"/>
          <w:cols w:num="2" w:space="397"/>
          <w:docGrid w:linePitch="360"/>
        </w:sectPr>
      </w:pPr>
      <w:r w:rsidRPr="004D2D58">
        <w:lastRenderedPageBreak/>
        <w:t>V</w:t>
      </w:r>
      <w:r w:rsidR="00DA715F" w:rsidRPr="004D2D58">
        <w:t> případě krajů, se předpokládá v roce 20</w:t>
      </w:r>
      <w:r w:rsidR="005C0A27" w:rsidRPr="004D2D58">
        <w:t>20</w:t>
      </w:r>
      <w:r w:rsidR="00DA715F" w:rsidRPr="004D2D58">
        <w:t xml:space="preserve"> </w:t>
      </w:r>
      <w:r w:rsidR="00A9662A" w:rsidRPr="004D2D58">
        <w:t>mírn</w:t>
      </w:r>
      <w:r w:rsidR="00AC4F4A">
        <w:t>é</w:t>
      </w:r>
      <w:r w:rsidR="00A9662A" w:rsidRPr="004D2D58">
        <w:t xml:space="preserve"> </w:t>
      </w:r>
      <w:r w:rsidR="005C0A27" w:rsidRPr="004D2D58">
        <w:t>záporn</w:t>
      </w:r>
      <w:r w:rsidR="00AC4F4A">
        <w:t xml:space="preserve">é saldo </w:t>
      </w:r>
      <w:r w:rsidR="00DA715F" w:rsidRPr="004D2D58">
        <w:t>hospodaření</w:t>
      </w:r>
      <w:r w:rsidRPr="004D2D58">
        <w:t>, a to ve výši -1,5 mld. Kč</w:t>
      </w:r>
      <w:r w:rsidR="00DA715F" w:rsidRPr="004D2D58">
        <w:t xml:space="preserve">. Rozpočtový </w:t>
      </w:r>
      <w:r w:rsidR="005C0A27" w:rsidRPr="004D2D58">
        <w:t xml:space="preserve">schodek </w:t>
      </w:r>
      <w:r w:rsidR="00DA715F" w:rsidRPr="004D2D58">
        <w:t>se očekává i pro rok 20</w:t>
      </w:r>
      <w:r w:rsidR="001A262A" w:rsidRPr="004D2D58">
        <w:t>2</w:t>
      </w:r>
      <w:r w:rsidR="005C0A27" w:rsidRPr="004D2D58">
        <w:t>1</w:t>
      </w:r>
      <w:r w:rsidR="008C5DD3" w:rsidRPr="004D2D58">
        <w:t xml:space="preserve">, a to ve výši </w:t>
      </w:r>
      <w:r w:rsidR="004D2D58" w:rsidRPr="004D2D58">
        <w:t>-1,1</w:t>
      </w:r>
      <w:r w:rsidR="008C5DD3" w:rsidRPr="004D2D58">
        <w:t xml:space="preserve"> mld. Kč</w:t>
      </w:r>
      <w:r w:rsidR="00DA715F" w:rsidRPr="004D2D58">
        <w:t xml:space="preserve">. </w:t>
      </w:r>
      <w:r w:rsidR="00B179F3" w:rsidRPr="004D2D58">
        <w:t>R</w:t>
      </w:r>
      <w:r w:rsidR="005C0A27" w:rsidRPr="004D2D58">
        <w:t>ozpo</w:t>
      </w:r>
      <w:r w:rsidR="00B179F3" w:rsidRPr="004D2D58">
        <w:t>čtové saldo u</w:t>
      </w:r>
      <w:r w:rsidR="00CA645E" w:rsidRPr="004D2D58">
        <w:t> </w:t>
      </w:r>
      <w:r w:rsidR="00B179F3" w:rsidRPr="004D2D58">
        <w:t xml:space="preserve">krajů </w:t>
      </w:r>
      <w:r w:rsidR="00DA715F" w:rsidRPr="004D2D58">
        <w:t>bude ovlivněn</w:t>
      </w:r>
      <w:r w:rsidR="005C0A27" w:rsidRPr="004D2D58">
        <w:t>o</w:t>
      </w:r>
      <w:r w:rsidR="00DA715F" w:rsidRPr="004D2D58">
        <w:t xml:space="preserve"> shodnými faktory jako v případě obecních </w:t>
      </w:r>
      <w:r w:rsidR="00DA715F" w:rsidRPr="004D2D58">
        <w:lastRenderedPageBreak/>
        <w:t xml:space="preserve">rozpočtů, </w:t>
      </w:r>
      <w:r w:rsidR="004D6034" w:rsidRPr="004D2D58">
        <w:t xml:space="preserve">tj. </w:t>
      </w:r>
      <w:r w:rsidR="005C0A27" w:rsidRPr="004D2D58">
        <w:t xml:space="preserve">bude záviset nejen na dosažené výši daňových příjmů, ale i na výši </w:t>
      </w:r>
      <w:r w:rsidR="009C6854">
        <w:t>přijatých</w:t>
      </w:r>
      <w:r w:rsidR="005C0A27" w:rsidRPr="004D2D58">
        <w:t xml:space="preserve"> transferů zejména ze státního rozpočtu</w:t>
      </w:r>
      <w:r w:rsidR="00815991" w:rsidRPr="004D2D58">
        <w:t>,</w:t>
      </w:r>
      <w:r w:rsidR="00815991">
        <w:t xml:space="preserve"> popř. ze státních fondů,</w:t>
      </w:r>
      <w:r w:rsidR="005C0A27" w:rsidRPr="00DB0243">
        <w:t xml:space="preserve"> a</w:t>
      </w:r>
      <w:r w:rsidR="00815991">
        <w:t> </w:t>
      </w:r>
      <w:r w:rsidR="005C0A27" w:rsidRPr="00DB0243">
        <w:t xml:space="preserve">v neposlední řadě na ochotě </w:t>
      </w:r>
      <w:r w:rsidR="00B179F3">
        <w:t>krajů</w:t>
      </w:r>
      <w:r w:rsidR="004D2D58">
        <w:t xml:space="preserve"> realizovat investice.</w:t>
      </w:r>
    </w:p>
    <w:p w:rsidR="00F2744F" w:rsidRDefault="00F2744F" w:rsidP="00F2744F">
      <w:pPr>
        <w:pStyle w:val="Titulek"/>
        <w:spacing w:after="120"/>
      </w:pPr>
      <w:bookmarkStart w:id="55" w:name="_Toc54337208"/>
      <w:r w:rsidRPr="00AD7010">
        <w:lastRenderedPageBreak/>
        <w:t xml:space="preserve">Obrázek </w:t>
      </w:r>
      <w:fldSimple w:instr=" SEQ Obrázek \* ARABIC ">
        <w:r w:rsidR="00340343">
          <w:rPr>
            <w:noProof/>
          </w:rPr>
          <w:t>5</w:t>
        </w:r>
      </w:fldSimple>
      <w:r w:rsidRPr="00AD7010">
        <w:t>: Saldo krajských rozpočtů v letech 2001 - 20</w:t>
      </w:r>
      <w:r w:rsidR="00796248" w:rsidRPr="00AD7010">
        <w:t>2</w:t>
      </w:r>
      <w:r w:rsidR="00AC4F4A">
        <w:t>1</w:t>
      </w:r>
      <w:r w:rsidRPr="00AD7010">
        <w:t xml:space="preserve"> </w:t>
      </w:r>
      <w:r w:rsidRPr="00AD7010">
        <w:rPr>
          <w:b w:val="0"/>
          <w:i/>
        </w:rPr>
        <w:t>(v mld. Kč)</w:t>
      </w:r>
      <w:bookmarkEnd w:id="55"/>
    </w:p>
    <w:p w:rsidR="00873FB7" w:rsidRDefault="008E7506" w:rsidP="00873FB7">
      <w:r>
        <w:rPr>
          <w:noProof/>
        </w:rPr>
        <w:drawing>
          <wp:inline distT="0" distB="0" distL="0" distR="0" wp14:anchorId="63EB3273" wp14:editId="50FB496E">
            <wp:extent cx="6214533" cy="2700867"/>
            <wp:effectExtent l="0" t="0" r="0" b="444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17077" cy="2701973"/>
                    </a:xfrm>
                    <a:prstGeom prst="rect">
                      <a:avLst/>
                    </a:prstGeom>
                    <a:noFill/>
                  </pic:spPr>
                </pic:pic>
              </a:graphicData>
            </a:graphic>
          </wp:inline>
        </w:drawing>
      </w:r>
    </w:p>
    <w:p w:rsidR="00AA4382" w:rsidRDefault="00AA4382" w:rsidP="00873FB7"/>
    <w:p w:rsidR="006328E2" w:rsidRPr="00BC3685" w:rsidRDefault="006328E2" w:rsidP="00756F3F">
      <w:pPr>
        <w:pStyle w:val="Nadpis3"/>
      </w:pPr>
      <w:bookmarkStart w:id="56" w:name="_Toc54337182"/>
      <w:r w:rsidRPr="00BC3685">
        <w:t>Odhadovaný vývoj na straně příjmů</w:t>
      </w:r>
      <w:bookmarkEnd w:id="56"/>
    </w:p>
    <w:p w:rsidR="006328E2" w:rsidRPr="004516B7" w:rsidRDefault="00CD3AD3" w:rsidP="00BC3685">
      <w:pPr>
        <w:rPr>
          <w:b/>
        </w:rPr>
      </w:pPr>
      <w:bookmarkStart w:id="57" w:name="_Toc54337215"/>
      <w:r w:rsidRPr="004516B7">
        <w:rPr>
          <w:b/>
        </w:rPr>
        <w:t xml:space="preserve">Box </w:t>
      </w:r>
      <w:r w:rsidR="00604771" w:rsidRPr="004516B7">
        <w:rPr>
          <w:b/>
        </w:rPr>
        <w:fldChar w:fldCharType="begin"/>
      </w:r>
      <w:r w:rsidR="00604771" w:rsidRPr="004516B7">
        <w:rPr>
          <w:b/>
        </w:rPr>
        <w:instrText xml:space="preserve"> SEQ Box \* ARABIC </w:instrText>
      </w:r>
      <w:r w:rsidR="00604771" w:rsidRPr="004516B7">
        <w:rPr>
          <w:b/>
        </w:rPr>
        <w:fldChar w:fldCharType="separate"/>
      </w:r>
      <w:r w:rsidR="00340343">
        <w:rPr>
          <w:b/>
          <w:noProof/>
        </w:rPr>
        <w:t>3</w:t>
      </w:r>
      <w:r w:rsidR="00604771" w:rsidRPr="004516B7">
        <w:rPr>
          <w:b/>
          <w:noProof/>
        </w:rPr>
        <w:fldChar w:fldCharType="end"/>
      </w:r>
      <w:r w:rsidR="006328E2" w:rsidRPr="004516B7">
        <w:rPr>
          <w:b/>
        </w:rPr>
        <w:t>: Obecná charakteristika příjmů krajů</w:t>
      </w:r>
      <w:bookmarkEnd w:id="57"/>
    </w:p>
    <w:p w:rsidR="006328E2" w:rsidRDefault="006328E2" w:rsidP="00BC3685">
      <w:pPr>
        <w:pBdr>
          <w:top w:val="single" w:sz="4" w:space="1" w:color="auto"/>
          <w:left w:val="single" w:sz="4" w:space="4" w:color="auto"/>
          <w:bottom w:val="single" w:sz="4" w:space="1" w:color="auto"/>
          <w:right w:val="single" w:sz="4" w:space="4" w:color="auto"/>
        </w:pBdr>
      </w:pPr>
      <w:r w:rsidRPr="006328E2">
        <w:t xml:space="preserve">Nejdůležitější zdroj financování představují v případě krajů </w:t>
      </w:r>
      <w:r w:rsidRPr="006328E2">
        <w:rPr>
          <w:b/>
        </w:rPr>
        <w:t>transfery</w:t>
      </w:r>
      <w:r w:rsidRPr="006328E2">
        <w:t>. Je to dáno tím, že prostřednictvím krajských rozpočtů jsou administrovány prostředky na úhradu tzv. „přímých výdajů na vzdělávání v regionálním školství“. Ty</w:t>
      </w:r>
      <w:r w:rsidRPr="006328E2">
        <w:rPr>
          <w:iCs/>
        </w:rPr>
        <w:t xml:space="preserve"> jsou tvořeny osobními výdaji (jedná se o platy pedagogických a nepedagogických pracovníků, pojistné a další související platby) a ostatními přímými neinvestičními výdaji (jedná se o učebnice, učební pomůcky apod.). Podle zákona č. 561/2004 Sb., o předškolním, základním, středním, vyšším odborném a jiném vzdělávání, ve znění pozdějších předpisů, tyto prostředky neprocházejí rozpočty obcí. </w:t>
      </w:r>
      <w:r w:rsidRPr="006328E2">
        <w:t xml:space="preserve">Zároveň jejich charakter předurčuje, že v celkových transferech pro kraje převažují z více než 80 % neinvestiční transfery z kapitoly Ministerstva </w:t>
      </w:r>
      <w:r w:rsidR="00756909">
        <w:t>školství</w:t>
      </w:r>
      <w:r w:rsidR="002F0EDE">
        <w:t>,</w:t>
      </w:r>
      <w:r w:rsidR="00756909">
        <w:t xml:space="preserve"> mládeže a tělovýchovy.</w:t>
      </w:r>
    </w:p>
    <w:p w:rsidR="00C23FE0" w:rsidRDefault="00C23FE0" w:rsidP="00BC3685">
      <w:pPr>
        <w:pBdr>
          <w:top w:val="single" w:sz="4" w:space="1" w:color="auto"/>
          <w:left w:val="single" w:sz="4" w:space="4" w:color="auto"/>
          <w:bottom w:val="single" w:sz="4" w:space="1" w:color="auto"/>
          <w:right w:val="single" w:sz="4" w:space="4" w:color="auto"/>
        </w:pBdr>
      </w:pPr>
      <w:r>
        <w:t>D</w:t>
      </w:r>
      <w:r w:rsidRPr="00963B52">
        <w:t>ruh</w:t>
      </w:r>
      <w:r>
        <w:t>ý</w:t>
      </w:r>
      <w:r w:rsidRPr="00963B52">
        <w:t xml:space="preserve"> nejvýznamnější</w:t>
      </w:r>
      <w:r>
        <w:t xml:space="preserve"> zdroj rozpočtů krajů</w:t>
      </w:r>
      <w:r w:rsidRPr="00963B52">
        <w:t xml:space="preserve"> představují </w:t>
      </w:r>
      <w:r w:rsidRPr="00E4506C">
        <w:rPr>
          <w:b/>
        </w:rPr>
        <w:t>daňové příjmy</w:t>
      </w:r>
      <w:r>
        <w:t>, které jsou definovány zejména zákonem č.</w:t>
      </w:r>
      <w:r w:rsidR="00DF30B3">
        <w:t> </w:t>
      </w:r>
      <w:r>
        <w:t>243/2000 Sb., o rozpočtovém určení daní, ve znění pozdějších přepisů. Mezi daňové příjmy krajů se řadí i výnosy ze správních poplatků, popř. jiných poplatků, které jsou na základě příslušných zák</w:t>
      </w:r>
      <w:r w:rsidR="00756909">
        <w:t>onů příjmem krajských rozpočtů.</w:t>
      </w:r>
    </w:p>
    <w:p w:rsidR="00F15064" w:rsidRDefault="00C23FE0" w:rsidP="00F15064">
      <w:pPr>
        <w:pBdr>
          <w:top w:val="single" w:sz="4" w:space="1" w:color="auto"/>
          <w:left w:val="single" w:sz="4" w:space="4" w:color="auto"/>
          <w:bottom w:val="single" w:sz="4" w:space="1" w:color="auto"/>
          <w:right w:val="single" w:sz="4" w:space="4" w:color="auto"/>
        </w:pBdr>
      </w:pPr>
      <w:r>
        <w:t xml:space="preserve">Méně významný podíl představují v rozpočtech krajů </w:t>
      </w:r>
      <w:r w:rsidRPr="00E4506C">
        <w:rPr>
          <w:b/>
        </w:rPr>
        <w:t>kapitálové a nedaňové příjmy.</w:t>
      </w:r>
      <w:r>
        <w:t xml:space="preserve"> Do kapitálových příjmů se řadí např. příjmy z prodeje majetku, do nedaňových příjmů např. příjmy z pronájmu</w:t>
      </w:r>
      <w:r w:rsidR="00DF30B3">
        <w:t xml:space="preserve"> a z vlastní činnosti.</w:t>
      </w:r>
    </w:p>
    <w:p w:rsidR="00F2744F" w:rsidRDefault="00F2744F" w:rsidP="00F2744F">
      <w:pPr>
        <w:pStyle w:val="Titulek"/>
        <w:spacing w:after="120"/>
        <w:jc w:val="left"/>
      </w:pPr>
      <w:bookmarkStart w:id="58" w:name="_Toc54337209"/>
      <w:r>
        <w:t xml:space="preserve">Obrázek </w:t>
      </w:r>
      <w:fldSimple w:instr=" SEQ Obrázek \* ARABIC ">
        <w:r w:rsidR="00340343">
          <w:rPr>
            <w:noProof/>
          </w:rPr>
          <w:t>6</w:t>
        </w:r>
      </w:fldSimple>
      <w:r w:rsidRPr="0069232D">
        <w:t>: Struktura příjmů krajů v roce 20</w:t>
      </w:r>
      <w:r w:rsidR="008D55BA">
        <w:t>20</w:t>
      </w:r>
      <w:bookmarkEnd w:id="58"/>
    </w:p>
    <w:p w:rsidR="00D31FE5" w:rsidRDefault="00933769" w:rsidP="00502F03">
      <w:pPr>
        <w:jc w:val="center"/>
        <w:rPr>
          <w:b/>
        </w:rPr>
      </w:pPr>
      <w:r>
        <w:rPr>
          <w:b/>
          <w:noProof/>
        </w:rPr>
        <w:drawing>
          <wp:inline distT="0" distB="0" distL="0" distR="0" wp14:anchorId="533CF121" wp14:editId="63FB559B">
            <wp:extent cx="4318000" cy="2717800"/>
            <wp:effectExtent l="0" t="0" r="6350" b="635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17201" cy="2717297"/>
                    </a:xfrm>
                    <a:prstGeom prst="rect">
                      <a:avLst/>
                    </a:prstGeom>
                    <a:noFill/>
                  </pic:spPr>
                </pic:pic>
              </a:graphicData>
            </a:graphic>
          </wp:inline>
        </w:drawing>
      </w:r>
    </w:p>
    <w:p w:rsidR="00BF5A04" w:rsidRDefault="00BF5A04" w:rsidP="00502F03">
      <w:pPr>
        <w:jc w:val="center"/>
        <w:rPr>
          <w:b/>
        </w:rPr>
      </w:pPr>
    </w:p>
    <w:p w:rsidR="00D31FE5" w:rsidRDefault="00D31FE5" w:rsidP="0068405A">
      <w:pPr>
        <w:jc w:val="left"/>
        <w:rPr>
          <w:b/>
        </w:rPr>
        <w:sectPr w:rsidR="00D31FE5" w:rsidSect="00C5556B">
          <w:type w:val="continuous"/>
          <w:pgSz w:w="11906" w:h="16838" w:code="9"/>
          <w:pgMar w:top="1134" w:right="1134" w:bottom="1134" w:left="1134" w:header="709" w:footer="709" w:gutter="0"/>
          <w:cols w:space="708"/>
          <w:docGrid w:linePitch="360"/>
        </w:sectPr>
      </w:pPr>
    </w:p>
    <w:p w:rsidR="0079492B" w:rsidRPr="0068405A" w:rsidRDefault="0079492B" w:rsidP="008D5B4A">
      <w:pPr>
        <w:pStyle w:val="Odstavecseseznamem"/>
        <w:numPr>
          <w:ilvl w:val="0"/>
          <w:numId w:val="35"/>
        </w:numPr>
        <w:spacing w:before="120"/>
        <w:ind w:left="284" w:hanging="284"/>
        <w:jc w:val="left"/>
        <w:rPr>
          <w:b/>
        </w:rPr>
      </w:pPr>
      <w:r w:rsidRPr="0068405A">
        <w:rPr>
          <w:b/>
        </w:rPr>
        <w:lastRenderedPageBreak/>
        <w:t xml:space="preserve">Daňové příjmy </w:t>
      </w:r>
    </w:p>
    <w:p w:rsidR="0068405A" w:rsidRDefault="0068405A" w:rsidP="0049662D">
      <w:pPr>
        <w:suppressAutoHyphens/>
        <w:rPr>
          <w:highlight w:val="yellow"/>
        </w:rPr>
        <w:sectPr w:rsidR="0068405A" w:rsidSect="0068405A">
          <w:type w:val="continuous"/>
          <w:pgSz w:w="11906" w:h="16838" w:code="9"/>
          <w:pgMar w:top="1134" w:right="1134" w:bottom="1134" w:left="1134" w:header="709" w:footer="709" w:gutter="0"/>
          <w:cols w:num="2" w:space="397"/>
          <w:docGrid w:linePitch="360"/>
        </w:sectPr>
      </w:pPr>
    </w:p>
    <w:p w:rsidR="0079492B" w:rsidRPr="0036019C" w:rsidRDefault="0079492B" w:rsidP="00EF3A67">
      <w:r w:rsidRPr="0036019C">
        <w:lastRenderedPageBreak/>
        <w:t>V roce 20</w:t>
      </w:r>
      <w:r w:rsidR="006929B0">
        <w:t>20</w:t>
      </w:r>
      <w:r w:rsidRPr="0036019C">
        <w:t xml:space="preserve"> se předpokládá, že daňové příjmy krajů dosáhnou částky </w:t>
      </w:r>
      <w:r w:rsidR="006929B0">
        <w:t>6</w:t>
      </w:r>
      <w:r w:rsidR="000102C3">
        <w:t>7,5</w:t>
      </w:r>
      <w:r w:rsidRPr="0036019C">
        <w:t xml:space="preserve"> mld. Kč a na celkových příjmech se budou podílet </w:t>
      </w:r>
      <w:r w:rsidR="006929B0">
        <w:t>25,</w:t>
      </w:r>
      <w:r w:rsidR="00DC7F1A">
        <w:t>8</w:t>
      </w:r>
      <w:r w:rsidRPr="0036019C">
        <w:t xml:space="preserve"> %. Ve srovnání s rokem 201</w:t>
      </w:r>
      <w:r w:rsidR="006929B0">
        <w:t>9</w:t>
      </w:r>
      <w:r w:rsidRPr="0036019C">
        <w:t xml:space="preserve"> se </w:t>
      </w:r>
      <w:r w:rsidR="006929B0">
        <w:t xml:space="preserve">očekává pokles </w:t>
      </w:r>
      <w:r w:rsidRPr="0036019C">
        <w:t>daňov</w:t>
      </w:r>
      <w:r w:rsidR="006929B0">
        <w:t>ých</w:t>
      </w:r>
      <w:r w:rsidRPr="0036019C">
        <w:t xml:space="preserve"> příjm</w:t>
      </w:r>
      <w:r w:rsidR="006929B0">
        <w:t>ů</w:t>
      </w:r>
      <w:r w:rsidRPr="0036019C">
        <w:t xml:space="preserve"> krajů o </w:t>
      </w:r>
      <w:r w:rsidR="000102C3">
        <w:t>7,5</w:t>
      </w:r>
      <w:r w:rsidRPr="0036019C">
        <w:t xml:space="preserve"> mld. Kč, tj. o</w:t>
      </w:r>
      <w:r w:rsidR="00901AB9">
        <w:t> </w:t>
      </w:r>
      <w:r w:rsidR="006929B0">
        <w:t>cca 1</w:t>
      </w:r>
      <w:r w:rsidR="000102C3">
        <w:t>0</w:t>
      </w:r>
      <w:r w:rsidR="0036019C" w:rsidRPr="0036019C">
        <w:t> </w:t>
      </w:r>
      <w:r w:rsidRPr="0036019C">
        <w:t xml:space="preserve">%. </w:t>
      </w:r>
      <w:r w:rsidR="006B2DB2" w:rsidRPr="00771145">
        <w:rPr>
          <w:rFonts w:cs="Arial"/>
        </w:rPr>
        <w:t xml:space="preserve">Dosavadní situace v oblasti daňových příjmů </w:t>
      </w:r>
      <w:r w:rsidR="000102C3">
        <w:rPr>
          <w:rFonts w:cs="Arial"/>
        </w:rPr>
        <w:t>krajů</w:t>
      </w:r>
      <w:r w:rsidR="006B2DB2" w:rsidRPr="00771145">
        <w:rPr>
          <w:rFonts w:cs="Arial"/>
        </w:rPr>
        <w:t xml:space="preserve"> odráží jednak stávající ekonomický vývoj, který je důsledkem probíhající pandemie onemocnění COVID–19 </w:t>
      </w:r>
      <w:r w:rsidR="006B2DB2" w:rsidRPr="00771145">
        <w:rPr>
          <w:rFonts w:cs="Arial"/>
        </w:rPr>
        <w:lastRenderedPageBreak/>
        <w:t xml:space="preserve">v kombinaci s přijatými diskrečními opatřeními na příjmové straně </w:t>
      </w:r>
    </w:p>
    <w:p w:rsidR="0079492B" w:rsidRDefault="0079492B" w:rsidP="00EF3A67">
      <w:pPr>
        <w:suppressAutoHyphens/>
      </w:pPr>
      <w:r w:rsidRPr="00AD7010">
        <w:t>V roce 20</w:t>
      </w:r>
      <w:r w:rsidR="0036019C" w:rsidRPr="00AD7010">
        <w:t>2</w:t>
      </w:r>
      <w:r w:rsidR="0086214B" w:rsidRPr="00AD7010">
        <w:t>1</w:t>
      </w:r>
      <w:r w:rsidRPr="00AD7010">
        <w:t xml:space="preserve"> se očekává meziroční navýšení daňových příjmů krajů </w:t>
      </w:r>
      <w:r w:rsidR="00D31FE5" w:rsidRPr="00AD7010">
        <w:t xml:space="preserve">o </w:t>
      </w:r>
      <w:r w:rsidR="0086214B" w:rsidRPr="00AD7010">
        <w:t>4</w:t>
      </w:r>
      <w:r w:rsidRPr="00AD7010">
        <w:t xml:space="preserve"> mld. Kč, tj. o</w:t>
      </w:r>
      <w:r w:rsidR="00A4612C" w:rsidRPr="00AD7010">
        <w:t xml:space="preserve"> </w:t>
      </w:r>
      <w:r w:rsidR="00AD7010" w:rsidRPr="00AD7010">
        <w:t>5,9</w:t>
      </w:r>
      <w:r w:rsidRPr="00AD7010">
        <w:t xml:space="preserve"> % (podrobněji viz  subkapitola 2.3. Vývoj hospodaření obcí v letech 20</w:t>
      </w:r>
      <w:r w:rsidR="0086214B" w:rsidRPr="00AD7010">
        <w:t xml:space="preserve">20 </w:t>
      </w:r>
      <w:r w:rsidRPr="00AD7010">
        <w:t>a 20</w:t>
      </w:r>
      <w:r w:rsidR="00D31FE5" w:rsidRPr="00AD7010">
        <w:t>2</w:t>
      </w:r>
      <w:r w:rsidR="0086214B" w:rsidRPr="00AD7010">
        <w:t>1</w:t>
      </w:r>
      <w:r w:rsidRPr="00AD7010">
        <w:t>).</w:t>
      </w:r>
    </w:p>
    <w:p w:rsidR="00F15064" w:rsidRPr="0079492B" w:rsidRDefault="00F15064" w:rsidP="0049662D">
      <w:pPr>
        <w:suppressAutoHyphens/>
        <w:rPr>
          <w:b/>
        </w:rPr>
      </w:pPr>
    </w:p>
    <w:p w:rsidR="0079492B" w:rsidRDefault="0079492B" w:rsidP="00873FB7">
      <w:pPr>
        <w:rPr>
          <w:b/>
        </w:rPr>
        <w:sectPr w:rsidR="0079492B" w:rsidSect="0068405A">
          <w:type w:val="continuous"/>
          <w:pgSz w:w="11906" w:h="16838" w:code="9"/>
          <w:pgMar w:top="1134" w:right="1134" w:bottom="1134" w:left="1134" w:header="709" w:footer="709" w:gutter="0"/>
          <w:cols w:num="2" w:space="397"/>
          <w:docGrid w:linePitch="360"/>
        </w:sectPr>
      </w:pPr>
    </w:p>
    <w:p w:rsidR="0049662D" w:rsidRDefault="0049662D" w:rsidP="0049662D">
      <w:pPr>
        <w:pStyle w:val="Titulek"/>
        <w:spacing w:after="120"/>
        <w:jc w:val="left"/>
      </w:pPr>
      <w:bookmarkStart w:id="59" w:name="_Toc54337210"/>
      <w:r w:rsidRPr="00603031">
        <w:lastRenderedPageBreak/>
        <w:t xml:space="preserve">Obrázek </w:t>
      </w:r>
      <w:fldSimple w:instr=" SEQ Obrázek \* ARABIC ">
        <w:r w:rsidR="00340343">
          <w:rPr>
            <w:noProof/>
          </w:rPr>
          <w:t>7</w:t>
        </w:r>
      </w:fldSimple>
      <w:r w:rsidRPr="00603031">
        <w:t>: Vývoj daňových příjmů krajů v letech 2005 – 202</w:t>
      </w:r>
      <w:r w:rsidR="00123A6D" w:rsidRPr="00603031">
        <w:t>1</w:t>
      </w:r>
      <w:r w:rsidRPr="00603031">
        <w:t xml:space="preserve"> </w:t>
      </w:r>
      <w:r w:rsidRPr="00603031">
        <w:rPr>
          <w:b w:val="0"/>
          <w:i/>
        </w:rPr>
        <w:t>(v mld. Kč)</w:t>
      </w:r>
      <w:bookmarkEnd w:id="59"/>
    </w:p>
    <w:p w:rsidR="00C02350" w:rsidRPr="00C02350" w:rsidRDefault="0051153D" w:rsidP="00C02350">
      <w:pPr>
        <w:pStyle w:val="Zkladntextodsazen2"/>
        <w:tabs>
          <w:tab w:val="left" w:pos="6765"/>
        </w:tabs>
        <w:autoSpaceDE w:val="0"/>
        <w:autoSpaceDN w:val="0"/>
        <w:spacing w:after="0" w:line="240" w:lineRule="auto"/>
        <w:ind w:left="0"/>
        <w:rPr>
          <w:rFonts w:ascii="Calibri" w:hAnsi="Calibri"/>
          <w:b/>
          <w:sz w:val="20"/>
          <w:szCs w:val="20"/>
        </w:rPr>
      </w:pPr>
      <w:r>
        <w:rPr>
          <w:rFonts w:ascii="Calibri" w:hAnsi="Calibri"/>
          <w:b/>
          <w:noProof/>
          <w:sz w:val="20"/>
          <w:szCs w:val="20"/>
        </w:rPr>
        <w:drawing>
          <wp:inline distT="0" distB="0" distL="0" distR="0" wp14:anchorId="3C0FF440" wp14:editId="4B1A0607">
            <wp:extent cx="6163733" cy="2870200"/>
            <wp:effectExtent l="0" t="0" r="8890" b="635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66601" cy="2871536"/>
                    </a:xfrm>
                    <a:prstGeom prst="rect">
                      <a:avLst/>
                    </a:prstGeom>
                    <a:noFill/>
                  </pic:spPr>
                </pic:pic>
              </a:graphicData>
            </a:graphic>
          </wp:inline>
        </w:drawing>
      </w:r>
    </w:p>
    <w:p w:rsidR="0048463A" w:rsidRDefault="0048463A" w:rsidP="00123A6D">
      <w:pPr>
        <w:pStyle w:val="Zkladntextodsazen2"/>
        <w:autoSpaceDE w:val="0"/>
        <w:autoSpaceDN w:val="0"/>
        <w:spacing w:line="240" w:lineRule="auto"/>
        <w:ind w:left="0"/>
        <w:jc w:val="both"/>
        <w:rPr>
          <w:rFonts w:ascii="Calibri" w:hAnsi="Calibri"/>
          <w:sz w:val="20"/>
          <w:szCs w:val="20"/>
        </w:rPr>
      </w:pPr>
    </w:p>
    <w:p w:rsidR="00C02350" w:rsidRDefault="00C02350" w:rsidP="00123A6D">
      <w:pPr>
        <w:pStyle w:val="Zkladntextodsazen2"/>
        <w:autoSpaceDE w:val="0"/>
        <w:autoSpaceDN w:val="0"/>
        <w:spacing w:line="240" w:lineRule="auto"/>
        <w:ind w:left="0"/>
        <w:jc w:val="both"/>
        <w:rPr>
          <w:rFonts w:ascii="Calibri" w:hAnsi="Calibri"/>
          <w:sz w:val="20"/>
          <w:szCs w:val="20"/>
        </w:rPr>
      </w:pPr>
      <w:r w:rsidRPr="005B0E53">
        <w:rPr>
          <w:rFonts w:ascii="Calibri" w:hAnsi="Calibri"/>
          <w:sz w:val="20"/>
          <w:szCs w:val="20"/>
        </w:rPr>
        <w:t xml:space="preserve">Konkrétní číselné údaje dle jednotlivých daňových titulů jsou obsaženy v tabulkové </w:t>
      </w:r>
      <w:r w:rsidRPr="00236E6C">
        <w:rPr>
          <w:rFonts w:ascii="Calibri" w:hAnsi="Calibri"/>
          <w:sz w:val="20"/>
          <w:szCs w:val="20"/>
        </w:rPr>
        <w:t>části v </w:t>
      </w:r>
      <w:r w:rsidR="00702B5A">
        <w:rPr>
          <w:rFonts w:ascii="Calibri" w:hAnsi="Calibri"/>
          <w:sz w:val="20"/>
          <w:szCs w:val="20"/>
        </w:rPr>
        <w:t>P</w:t>
      </w:r>
      <w:r w:rsidRPr="00236E6C">
        <w:rPr>
          <w:rFonts w:ascii="Calibri" w:hAnsi="Calibri"/>
          <w:sz w:val="20"/>
          <w:szCs w:val="20"/>
        </w:rPr>
        <w:t xml:space="preserve">říloze č. </w:t>
      </w:r>
      <w:r w:rsidR="00702B5A">
        <w:rPr>
          <w:rFonts w:ascii="Calibri" w:hAnsi="Calibri"/>
          <w:sz w:val="20"/>
          <w:szCs w:val="20"/>
        </w:rPr>
        <w:t>4</w:t>
      </w:r>
      <w:r w:rsidRPr="00236E6C">
        <w:rPr>
          <w:rFonts w:ascii="Calibri" w:hAnsi="Calibri"/>
          <w:sz w:val="20"/>
          <w:szCs w:val="20"/>
        </w:rPr>
        <w:t>.</w:t>
      </w:r>
      <w:r w:rsidRPr="005B0E53">
        <w:rPr>
          <w:rFonts w:ascii="Calibri" w:hAnsi="Calibri"/>
          <w:sz w:val="20"/>
          <w:szCs w:val="20"/>
        </w:rPr>
        <w:t xml:space="preserve"> </w:t>
      </w:r>
    </w:p>
    <w:p w:rsidR="00F15064" w:rsidRDefault="00F15064" w:rsidP="00123A6D">
      <w:pPr>
        <w:pStyle w:val="Zkladntextodsazen2"/>
        <w:autoSpaceDE w:val="0"/>
        <w:autoSpaceDN w:val="0"/>
        <w:spacing w:line="240" w:lineRule="auto"/>
        <w:ind w:left="0"/>
        <w:jc w:val="both"/>
        <w:rPr>
          <w:rFonts w:ascii="Calibri" w:hAnsi="Calibri"/>
          <w:sz w:val="20"/>
          <w:szCs w:val="20"/>
        </w:rPr>
      </w:pPr>
    </w:p>
    <w:p w:rsidR="005B0E53" w:rsidRDefault="005B0E53" w:rsidP="00C02350">
      <w:pPr>
        <w:pStyle w:val="Zkladntextodsazen2"/>
        <w:autoSpaceDE w:val="0"/>
        <w:autoSpaceDN w:val="0"/>
        <w:spacing w:after="0" w:line="360" w:lineRule="auto"/>
        <w:ind w:left="426"/>
        <w:jc w:val="both"/>
        <w:rPr>
          <w:rFonts w:ascii="Calibri" w:hAnsi="Calibri"/>
        </w:rPr>
        <w:sectPr w:rsidR="005B0E53" w:rsidSect="0049662D">
          <w:type w:val="continuous"/>
          <w:pgSz w:w="11906" w:h="16838" w:code="9"/>
          <w:pgMar w:top="1134" w:right="1134" w:bottom="1134" w:left="1134" w:header="709" w:footer="709" w:gutter="0"/>
          <w:cols w:space="708"/>
          <w:docGrid w:linePitch="360"/>
        </w:sectPr>
      </w:pPr>
    </w:p>
    <w:p w:rsidR="00123A6D" w:rsidRPr="00CD6D9C" w:rsidRDefault="005B0769" w:rsidP="008D5B4A">
      <w:pPr>
        <w:pStyle w:val="Odstavecseseznamem"/>
        <w:numPr>
          <w:ilvl w:val="0"/>
          <w:numId w:val="35"/>
        </w:numPr>
        <w:spacing w:before="120"/>
        <w:ind w:left="284" w:hanging="284"/>
        <w:jc w:val="left"/>
        <w:rPr>
          <w:b/>
        </w:rPr>
      </w:pPr>
      <w:r w:rsidRPr="008D5B4A">
        <w:rPr>
          <w:rFonts w:cs="Arial"/>
          <w:b/>
        </w:rPr>
        <w:lastRenderedPageBreak/>
        <w:t>Transfery</w:t>
      </w:r>
      <w:r w:rsidRPr="00CD6D9C">
        <w:rPr>
          <w:b/>
        </w:rPr>
        <w:t xml:space="preserve"> </w:t>
      </w:r>
    </w:p>
    <w:p w:rsidR="00123A6D" w:rsidRDefault="00123A6D" w:rsidP="00B32582">
      <w:pPr>
        <w:numPr>
          <w:ilvl w:val="0"/>
          <w:numId w:val="5"/>
        </w:numPr>
        <w:sectPr w:rsidR="00123A6D" w:rsidSect="005B0769">
          <w:type w:val="continuous"/>
          <w:pgSz w:w="11906" w:h="16838" w:code="9"/>
          <w:pgMar w:top="1134" w:right="1134" w:bottom="1134" w:left="1134" w:header="709" w:footer="709" w:gutter="0"/>
          <w:cols w:num="2" w:space="708"/>
          <w:docGrid w:linePitch="360"/>
        </w:sectPr>
      </w:pPr>
    </w:p>
    <w:p w:rsidR="00300CC2" w:rsidRPr="000A002D" w:rsidRDefault="00123A6D" w:rsidP="00EF3A67">
      <w:r w:rsidRPr="000A002D">
        <w:lastRenderedPageBreak/>
        <w:t>V roce 20</w:t>
      </w:r>
      <w:r w:rsidR="001E2AE8" w:rsidRPr="000A002D">
        <w:t>20</w:t>
      </w:r>
      <w:r w:rsidRPr="000A002D">
        <w:t xml:space="preserve"> se očekává, že transfery přijaté </w:t>
      </w:r>
      <w:r w:rsidR="005B0769" w:rsidRPr="000A002D">
        <w:t xml:space="preserve">kraji dosáhnou částky </w:t>
      </w:r>
      <w:r w:rsidR="00373853" w:rsidRPr="000A002D">
        <w:t>186,9</w:t>
      </w:r>
      <w:r w:rsidR="00171FAA" w:rsidRPr="000A002D">
        <w:t xml:space="preserve"> </w:t>
      </w:r>
      <w:r w:rsidR="005B0769" w:rsidRPr="000A002D">
        <w:t>mld. Kč</w:t>
      </w:r>
      <w:r w:rsidR="00F172BA" w:rsidRPr="000A002D">
        <w:t xml:space="preserve"> a ve srovnání s rokem 201</w:t>
      </w:r>
      <w:r w:rsidR="001E2AE8" w:rsidRPr="000A002D">
        <w:t>9</w:t>
      </w:r>
      <w:r w:rsidR="00F172BA" w:rsidRPr="000A002D">
        <w:t xml:space="preserve"> meziročně v</w:t>
      </w:r>
      <w:r w:rsidR="0097655E">
        <w:t>z</w:t>
      </w:r>
      <w:r w:rsidR="00F172BA" w:rsidRPr="000A002D">
        <w:t xml:space="preserve">rostou o </w:t>
      </w:r>
      <w:r w:rsidR="001E2AE8" w:rsidRPr="000A002D">
        <w:t>19,5</w:t>
      </w:r>
      <w:r w:rsidR="00F076D5" w:rsidRPr="000A002D">
        <w:t xml:space="preserve"> %. Z</w:t>
      </w:r>
      <w:r w:rsidR="005B0769" w:rsidRPr="000A002D">
        <w:t xml:space="preserve"> celkových příjmů budou tvořit </w:t>
      </w:r>
      <w:r w:rsidR="00373853" w:rsidRPr="000A002D">
        <w:t>71,6</w:t>
      </w:r>
      <w:r w:rsidR="005B0769" w:rsidRPr="000A002D">
        <w:t xml:space="preserve"> %. Meziroční nárůst se týká jak neinvestičních, tak investičních transferů.</w:t>
      </w:r>
      <w:r w:rsidR="00300CC2" w:rsidRPr="000A002D">
        <w:t xml:space="preserve"> V návaznosti na snahu vlády omezit dopady na rozpočty krajů v souvislosti s probíhající pandemií onemocnění COVID-19 </w:t>
      </w:r>
      <w:r w:rsidR="00F27080" w:rsidRPr="000A002D">
        <w:t xml:space="preserve">jsou pro rok 2020 pro kraje vyčleněny </w:t>
      </w:r>
      <w:r w:rsidR="00300CC2" w:rsidRPr="000A002D">
        <w:t xml:space="preserve">jako kompenzační opatření nejen finanční prostředky na opravy silnic II. a III. třídy, </w:t>
      </w:r>
      <w:r w:rsidR="00171FAA" w:rsidRPr="000A002D">
        <w:t xml:space="preserve">ale také </w:t>
      </w:r>
      <w:r w:rsidR="00300CC2" w:rsidRPr="000A002D">
        <w:t xml:space="preserve">prostředky na podporu sociálních služeb, na ochranné prostředky, na odměny záchranářů, </w:t>
      </w:r>
      <w:r w:rsidR="00171FAA" w:rsidRPr="000A002D">
        <w:t>popř</w:t>
      </w:r>
      <w:r w:rsidR="00300CC2" w:rsidRPr="000A002D">
        <w:t>.</w:t>
      </w:r>
      <w:r w:rsidR="00171FAA" w:rsidRPr="000A002D">
        <w:t xml:space="preserve"> další. </w:t>
      </w:r>
      <w:r w:rsidR="005B0769" w:rsidRPr="000A002D">
        <w:t xml:space="preserve"> </w:t>
      </w:r>
    </w:p>
    <w:p w:rsidR="000A002D" w:rsidRPr="00924734" w:rsidRDefault="005B0769" w:rsidP="00EF3A67">
      <w:pPr>
        <w:spacing w:afterLines="60" w:after="144"/>
      </w:pPr>
      <w:r w:rsidRPr="000A002D">
        <w:t>V roce 20</w:t>
      </w:r>
      <w:r w:rsidR="00F076D5" w:rsidRPr="000A002D">
        <w:t>2</w:t>
      </w:r>
      <w:r w:rsidR="00300CC2" w:rsidRPr="000A002D">
        <w:t>1</w:t>
      </w:r>
      <w:r w:rsidRPr="000A002D">
        <w:t xml:space="preserve"> by měly transfery určené krajům z různých úrovní veřejných rozpočtů </w:t>
      </w:r>
      <w:r w:rsidR="000A002D" w:rsidRPr="000A002D">
        <w:t>dosáhnout cca 9</w:t>
      </w:r>
      <w:r w:rsidR="00381EA1">
        <w:t>8</w:t>
      </w:r>
      <w:r w:rsidR="001225A3">
        <w:t>,7</w:t>
      </w:r>
      <w:r w:rsidR="000A002D" w:rsidRPr="000A002D">
        <w:t xml:space="preserve"> % z jejich </w:t>
      </w:r>
      <w:r w:rsidR="000A002D" w:rsidRPr="000A002D">
        <w:lastRenderedPageBreak/>
        <w:t xml:space="preserve">hodnoty odhadované pro rok 2020. </w:t>
      </w:r>
      <w:r w:rsidRPr="000A002D">
        <w:t>Obdobně jako v předchozích letech se předpokládá částečné navýšení ostatních (především investičních) transferů pro kraje v průběhu roku rozpočtovými opatřeními v některých kapitolách státního rozpočtu, což ovlivní nejen skutečné plnění příjmů, ale i výdajů krajů.</w:t>
      </w:r>
      <w:r w:rsidR="000A002D" w:rsidRPr="000A002D">
        <w:t xml:space="preserve"> Stejně jako u obcí srovnávací základna roku 2020 byla jednorázově navýšena o dotační prostředky, které byly krajům vyčleněny zejména poslední novelou zákona o státním rozpočtu na rok 2020 v souvislosti s pandemií onemocnění COVID-19.</w:t>
      </w:r>
      <w:r w:rsidR="000A002D" w:rsidRPr="001101EE">
        <w:t xml:space="preserve"> </w:t>
      </w:r>
    </w:p>
    <w:p w:rsidR="005B0769" w:rsidRDefault="005B0769" w:rsidP="007C1E42"/>
    <w:p w:rsidR="00710254" w:rsidRDefault="00710254" w:rsidP="007C1E42">
      <w:pPr>
        <w:sectPr w:rsidR="00710254" w:rsidSect="00123A6D">
          <w:type w:val="continuous"/>
          <w:pgSz w:w="11906" w:h="16838" w:code="9"/>
          <w:pgMar w:top="1134" w:right="1134" w:bottom="1134" w:left="1134" w:header="709" w:footer="709" w:gutter="0"/>
          <w:cols w:num="2" w:space="397"/>
          <w:docGrid w:linePitch="360"/>
        </w:sectPr>
      </w:pPr>
    </w:p>
    <w:p w:rsidR="00385524" w:rsidRDefault="00385524">
      <w:pPr>
        <w:spacing w:before="0" w:after="0"/>
        <w:jc w:val="left"/>
        <w:rPr>
          <w:rFonts w:cs="Arial"/>
          <w:b/>
          <w:bCs/>
          <w:sz w:val="24"/>
          <w:szCs w:val="26"/>
        </w:rPr>
      </w:pPr>
      <w:bookmarkStart w:id="60" w:name="_Toc5956950"/>
      <w:r>
        <w:rPr>
          <w:rFonts w:cs="Arial"/>
          <w:b/>
          <w:bCs/>
          <w:sz w:val="24"/>
          <w:szCs w:val="26"/>
        </w:rPr>
        <w:lastRenderedPageBreak/>
        <w:br w:type="page"/>
      </w:r>
    </w:p>
    <w:p w:rsidR="00082682" w:rsidRPr="00502F03" w:rsidRDefault="008E0953" w:rsidP="00756F3F">
      <w:pPr>
        <w:pStyle w:val="Nadpis3"/>
      </w:pPr>
      <w:bookmarkStart w:id="61" w:name="_Toc54337183"/>
      <w:r w:rsidRPr="00502F03">
        <w:lastRenderedPageBreak/>
        <w:t>Odhadovaný vývoj na straně výdajů</w:t>
      </w:r>
      <w:bookmarkEnd w:id="61"/>
    </w:p>
    <w:p w:rsidR="008E0953" w:rsidRPr="004516B7" w:rsidRDefault="00CD3AD3" w:rsidP="00502F03">
      <w:pPr>
        <w:pStyle w:val="Titulek"/>
        <w:spacing w:before="0"/>
      </w:pPr>
      <w:bookmarkStart w:id="62" w:name="_Toc54337216"/>
      <w:r w:rsidRPr="004516B7">
        <w:t xml:space="preserve">Box </w:t>
      </w:r>
      <w:fldSimple w:instr=" SEQ Box \* ARABIC ">
        <w:r w:rsidR="00340343">
          <w:rPr>
            <w:noProof/>
          </w:rPr>
          <w:t>4</w:t>
        </w:r>
      </w:fldSimple>
      <w:r w:rsidRPr="004516B7">
        <w:t xml:space="preserve">: </w:t>
      </w:r>
      <w:r w:rsidR="008E0953" w:rsidRPr="004516B7">
        <w:t>Obecná charakteristika výdajů krajů</w:t>
      </w:r>
      <w:bookmarkEnd w:id="62"/>
    </w:p>
    <w:p w:rsidR="008E0953" w:rsidRPr="008E0953" w:rsidRDefault="008E0953" w:rsidP="00F14DCC">
      <w:pPr>
        <w:pBdr>
          <w:top w:val="single" w:sz="4" w:space="1" w:color="auto"/>
          <w:left w:val="single" w:sz="4" w:space="4" w:color="auto"/>
          <w:bottom w:val="single" w:sz="4" w:space="1" w:color="auto"/>
          <w:right w:val="single" w:sz="4" w:space="4" w:color="auto"/>
        </w:pBdr>
        <w:spacing w:after="120"/>
      </w:pPr>
      <w:r w:rsidRPr="008E0953">
        <w:t xml:space="preserve">Výdaje krajů se člení na </w:t>
      </w:r>
      <w:r w:rsidRPr="008E0953">
        <w:rPr>
          <w:b/>
        </w:rPr>
        <w:t>běžné a kapitálové</w:t>
      </w:r>
      <w:r w:rsidRPr="008E0953">
        <w:t xml:space="preserve">. Cca 90 % z celkových výdajů krajů představují </w:t>
      </w:r>
      <w:r w:rsidRPr="008E0953">
        <w:rPr>
          <w:b/>
        </w:rPr>
        <w:t>běžné výdaje</w:t>
      </w:r>
      <w:r w:rsidRPr="008E0953">
        <w:t>. Stejně jako u</w:t>
      </w:r>
      <w:r w:rsidR="003570D3">
        <w:t> </w:t>
      </w:r>
      <w:r w:rsidRPr="008E0953">
        <w:t xml:space="preserve">obcí se jedná zejména o mzdy a platy zaměstnanců, povinné pojistné placené zaměstnavatelem, výdaje na nákup služeb, materiálu a neinvestiční transfery </w:t>
      </w:r>
      <w:r w:rsidRPr="00F14DCC">
        <w:rPr>
          <w:iCs/>
        </w:rPr>
        <w:t>organizacím</w:t>
      </w:r>
      <w:r w:rsidR="0097655E">
        <w:rPr>
          <w:iCs/>
        </w:rPr>
        <w:t>, výdaje na opravy, údržbu majetku</w:t>
      </w:r>
      <w:r w:rsidRPr="008E0953">
        <w:t xml:space="preserve">. Na rozdíl od obcí neinvestiční transfery organizacím představují ve výdajích krajů jednoznačně dominantní položku. To odpovídá struktuře příjmů krajů, kde převládají zejména neinvestiční transfery z kapitoly Ministerstva školství mládeže a  tělovýchovy (podrobněji viz Box 3). </w:t>
      </w:r>
    </w:p>
    <w:p w:rsidR="00255446" w:rsidRDefault="008E0953" w:rsidP="00F14DCC">
      <w:pPr>
        <w:pBdr>
          <w:top w:val="single" w:sz="4" w:space="1" w:color="auto"/>
          <w:left w:val="single" w:sz="4" w:space="4" w:color="auto"/>
          <w:bottom w:val="single" w:sz="4" w:space="1" w:color="auto"/>
          <w:right w:val="single" w:sz="4" w:space="4" w:color="auto"/>
        </w:pBdr>
        <w:spacing w:after="120"/>
        <w:sectPr w:rsidR="00255446" w:rsidSect="00C5556B">
          <w:type w:val="continuous"/>
          <w:pgSz w:w="11906" w:h="16838" w:code="9"/>
          <w:pgMar w:top="1134" w:right="1134" w:bottom="1134" w:left="1134" w:header="709" w:footer="709" w:gutter="0"/>
          <w:cols w:space="708"/>
          <w:docGrid w:linePitch="360"/>
        </w:sectPr>
      </w:pPr>
      <w:r w:rsidRPr="008E0953">
        <w:rPr>
          <w:b/>
        </w:rPr>
        <w:t>Kapitálové výdaje</w:t>
      </w:r>
      <w:r w:rsidRPr="008E0953">
        <w:t xml:space="preserve"> krajů tvoří </w:t>
      </w:r>
      <w:r w:rsidRPr="00F14DCC">
        <w:rPr>
          <w:iCs/>
        </w:rPr>
        <w:t>zejména</w:t>
      </w:r>
      <w:r w:rsidRPr="008E0953">
        <w:t xml:space="preserve"> výdaje na pořízení dlouhodobého majetku a jeho technické zhodnocení</w:t>
      </w:r>
      <w:r w:rsidR="00E44080">
        <w:t>.</w:t>
      </w:r>
    </w:p>
    <w:p w:rsidR="00BD775B" w:rsidRDefault="00255446" w:rsidP="00BD775B">
      <w:r w:rsidRPr="000D6B07">
        <w:lastRenderedPageBreak/>
        <w:t>Předpokládá se, že celkové výdaje krajů v roce 20</w:t>
      </w:r>
      <w:r w:rsidR="00DD5B38">
        <w:t>20</w:t>
      </w:r>
      <w:r w:rsidRPr="000D6B07">
        <w:t xml:space="preserve"> dosáhnou výše </w:t>
      </w:r>
      <w:r w:rsidR="00DD5B38">
        <w:t>262,8</w:t>
      </w:r>
      <w:r w:rsidRPr="000D6B07">
        <w:t xml:space="preserve"> mld. Kč, což představuje meziroční navýšení o </w:t>
      </w:r>
      <w:r w:rsidR="00DD5B38">
        <w:t>13</w:t>
      </w:r>
      <w:r w:rsidRPr="000D6B07">
        <w:t xml:space="preserve"> %. V případě běžných výdajů se nárůst </w:t>
      </w:r>
      <w:r w:rsidR="00FF6682">
        <w:t xml:space="preserve">týká </w:t>
      </w:r>
      <w:r w:rsidRPr="000D6B07">
        <w:t xml:space="preserve">zejména neinvestičních transferů příspěvkovým, neziskovým a podobným organizacím a dále do mzdových a souvisejících plateb. </w:t>
      </w:r>
      <w:r w:rsidR="00FF6682">
        <w:t>Kapitá</w:t>
      </w:r>
      <w:r w:rsidRPr="000D6B07">
        <w:t>lové výdaje krajů se pro rok 20</w:t>
      </w:r>
      <w:r w:rsidR="00DD5B38">
        <w:t>20</w:t>
      </w:r>
      <w:r w:rsidRPr="000D6B07">
        <w:t xml:space="preserve"> odhadují ve výši </w:t>
      </w:r>
      <w:r w:rsidR="000D6B07" w:rsidRPr="000D6B07">
        <w:t>3</w:t>
      </w:r>
      <w:r w:rsidR="006C139B">
        <w:t xml:space="preserve">4,8 </w:t>
      </w:r>
      <w:r w:rsidRPr="000D6B07">
        <w:t>mld. Kč. I v případě této skupiny výdajů se počítá s nárůstem oproti roku 201</w:t>
      </w:r>
      <w:r w:rsidR="006C139B">
        <w:t>9</w:t>
      </w:r>
      <w:r w:rsidRPr="000D6B07">
        <w:t xml:space="preserve">, což koresponduje s odhadovaným vývojem na straně investičních transferů. </w:t>
      </w:r>
    </w:p>
    <w:p w:rsidR="00BD775B" w:rsidRDefault="00BD775B" w:rsidP="00BD775B">
      <w:r>
        <w:t>K</w:t>
      </w:r>
      <w:r w:rsidRPr="006679A9">
        <w:t xml:space="preserve">raje </w:t>
      </w:r>
      <w:r>
        <w:t xml:space="preserve">k pololetí </w:t>
      </w:r>
      <w:r w:rsidRPr="006679A9">
        <w:t>vyk</w:t>
      </w:r>
      <w:r>
        <w:t xml:space="preserve">ázaly ve srovnání se stejným obdobím poměrně vysokou investiční aktivitu, </w:t>
      </w:r>
      <w:r w:rsidRPr="006679A9">
        <w:t xml:space="preserve">o čemž svědčí </w:t>
      </w:r>
      <w:r w:rsidRPr="006679A9">
        <w:lastRenderedPageBreak/>
        <w:t>skutečnost, že jejich kapitálové výdaje vzrostly k 30.</w:t>
      </w:r>
      <w:r w:rsidR="00C11476">
        <w:t> </w:t>
      </w:r>
      <w:r w:rsidRPr="006679A9">
        <w:t>6</w:t>
      </w:r>
      <w:r w:rsidR="00C11476">
        <w:t> </w:t>
      </w:r>
      <w:r w:rsidRPr="006679A9">
        <w:t>20</w:t>
      </w:r>
      <w:r>
        <w:t>20</w:t>
      </w:r>
      <w:r w:rsidRPr="006679A9">
        <w:t>, ve srovnání se stejným obdobím roku 201</w:t>
      </w:r>
      <w:r>
        <w:t>9</w:t>
      </w:r>
      <w:r w:rsidR="00385524">
        <w:t>, o </w:t>
      </w:r>
      <w:r>
        <w:t xml:space="preserve">téměř </w:t>
      </w:r>
      <w:r w:rsidRPr="006679A9">
        <w:t>2</w:t>
      </w:r>
      <w:r>
        <w:t>6</w:t>
      </w:r>
      <w:r w:rsidRPr="006679A9">
        <w:t xml:space="preserve"> %. </w:t>
      </w:r>
      <w:r>
        <w:t xml:space="preserve">Vzhledem k současné nestandartní situaci je však otázkou, do jaké míry bude tento trend zachován. Na základě informací dostupných v době zpracování rozpočtové dokumentace se odhaduje </w:t>
      </w:r>
      <w:r w:rsidRPr="006679A9">
        <w:t xml:space="preserve">růst kapitálových výdajů krajů </w:t>
      </w:r>
      <w:r>
        <w:t xml:space="preserve">pro rok 2020 </w:t>
      </w:r>
      <w:r w:rsidRPr="006679A9">
        <w:t>o</w:t>
      </w:r>
      <w:r>
        <w:t xml:space="preserve"> 7,7 </w:t>
      </w:r>
      <w:r w:rsidRPr="006679A9">
        <w:t>% ve srovnání s rokem 201</w:t>
      </w:r>
      <w:r>
        <w:t>9</w:t>
      </w:r>
      <w:r w:rsidR="00843619">
        <w:t>.</w:t>
      </w:r>
    </w:p>
    <w:p w:rsidR="00255446" w:rsidRPr="00255446" w:rsidRDefault="00255446" w:rsidP="00502F03">
      <w:r w:rsidRPr="00581230">
        <w:t>Výdaje, které by měly kraje vynaložit v roce 20</w:t>
      </w:r>
      <w:r w:rsidR="008901DC" w:rsidRPr="00581230">
        <w:t>2</w:t>
      </w:r>
      <w:r w:rsidR="00ED0F13" w:rsidRPr="00581230">
        <w:t>1</w:t>
      </w:r>
      <w:r w:rsidRPr="00581230">
        <w:t xml:space="preserve">, se odhadují ve výši </w:t>
      </w:r>
      <w:r w:rsidR="008B7110">
        <w:t>264,6</w:t>
      </w:r>
      <w:r w:rsidR="00735804" w:rsidRPr="00581230">
        <w:t xml:space="preserve"> mld</w:t>
      </w:r>
      <w:r w:rsidRPr="00581230">
        <w:t>. Kč. Na celkové částce se z</w:t>
      </w:r>
      <w:r w:rsidR="008901DC" w:rsidRPr="00581230">
        <w:t> 8</w:t>
      </w:r>
      <w:r w:rsidR="001A4C03">
        <w:t>8</w:t>
      </w:r>
      <w:r w:rsidR="008901DC" w:rsidRPr="00581230">
        <w:t> </w:t>
      </w:r>
      <w:r w:rsidRPr="00581230">
        <w:t>% podílejí běžné výdaje, zbývajících 1</w:t>
      </w:r>
      <w:r w:rsidR="001A4C03">
        <w:t>2</w:t>
      </w:r>
      <w:r w:rsidRPr="00581230">
        <w:t xml:space="preserve"> % připadá na výdaje kapitálové.</w:t>
      </w:r>
      <w:r w:rsidRPr="00255446">
        <w:t xml:space="preserve"> </w:t>
      </w:r>
    </w:p>
    <w:p w:rsidR="00255446" w:rsidRDefault="00255446" w:rsidP="00255446">
      <w:pPr>
        <w:sectPr w:rsidR="00255446" w:rsidSect="006F5555">
          <w:type w:val="continuous"/>
          <w:pgSz w:w="11906" w:h="16838" w:code="9"/>
          <w:pgMar w:top="1134" w:right="1134" w:bottom="1134" w:left="1134" w:header="709" w:footer="709" w:gutter="0"/>
          <w:cols w:num="2" w:space="397"/>
          <w:docGrid w:linePitch="360"/>
        </w:sectPr>
      </w:pPr>
    </w:p>
    <w:p w:rsidR="009758FE" w:rsidRDefault="00596A14" w:rsidP="005C6303">
      <w:pPr>
        <w:pStyle w:val="Nadpis2"/>
      </w:pPr>
      <w:bookmarkStart w:id="63" w:name="_Toc533674258"/>
      <w:bookmarkStart w:id="64" w:name="_Toc17962161"/>
      <w:bookmarkStart w:id="65" w:name="_Toc54337184"/>
      <w:r w:rsidRPr="00596A14">
        <w:lastRenderedPageBreak/>
        <w:t>Další územní rozpočty v letech 20</w:t>
      </w:r>
      <w:r w:rsidR="008D55BA">
        <w:t>20</w:t>
      </w:r>
      <w:r w:rsidRPr="00596A14">
        <w:t xml:space="preserve"> a 20</w:t>
      </w:r>
      <w:bookmarkEnd w:id="63"/>
      <w:r w:rsidR="00EC7AEC">
        <w:t>2</w:t>
      </w:r>
      <w:bookmarkEnd w:id="64"/>
      <w:r w:rsidR="008D55BA">
        <w:t>1</w:t>
      </w:r>
      <w:bookmarkEnd w:id="65"/>
    </w:p>
    <w:p w:rsidR="00C16981" w:rsidRDefault="00C16981" w:rsidP="005C6303">
      <w:pPr>
        <w:pStyle w:val="Nadpis2"/>
        <w:sectPr w:rsidR="00C16981" w:rsidSect="00C16981">
          <w:type w:val="continuous"/>
          <w:pgSz w:w="11906" w:h="16838" w:code="9"/>
          <w:pgMar w:top="1134" w:right="1134" w:bottom="1134" w:left="1134" w:header="709" w:footer="709" w:gutter="0"/>
          <w:cols w:space="708"/>
          <w:docGrid w:linePitch="360"/>
        </w:sectPr>
      </w:pPr>
    </w:p>
    <w:p w:rsidR="00C16981" w:rsidRPr="000D1447" w:rsidRDefault="00C16981" w:rsidP="00C16981">
      <w:pPr>
        <w:pStyle w:val="Zkladntext"/>
        <w:rPr>
          <w:b/>
        </w:rPr>
      </w:pPr>
      <w:r w:rsidRPr="000D1447">
        <w:rPr>
          <w:b/>
        </w:rPr>
        <w:lastRenderedPageBreak/>
        <w:t>Dobrovolné svazky obcí</w:t>
      </w:r>
    </w:p>
    <w:p w:rsidR="00C16981" w:rsidRPr="00B83DA4" w:rsidRDefault="00C16981" w:rsidP="00502F03">
      <w:r w:rsidRPr="000D1447">
        <w:t xml:space="preserve">Výše příjmů DSO je primárně ovlivněna výší přijatých </w:t>
      </w:r>
      <w:r w:rsidRPr="00B83DA4">
        <w:t>transferů, protože DSO neparticipují na daňových příjmech. Vlastní příjmy (nedaňové a kapitálové) se pro rok 20</w:t>
      </w:r>
      <w:r w:rsidR="001A4C03">
        <w:t>20</w:t>
      </w:r>
      <w:r w:rsidRPr="00B83DA4">
        <w:t xml:space="preserve"> odhadují ve výši </w:t>
      </w:r>
      <w:r w:rsidR="00517B31">
        <w:t>1,</w:t>
      </w:r>
      <w:r w:rsidR="0082398F">
        <w:t>5</w:t>
      </w:r>
      <w:r w:rsidRPr="00B83DA4">
        <w:t xml:space="preserve"> mld. Kč. Přijaté transfery se pro tento rok předpokládají ve výši </w:t>
      </w:r>
      <w:r w:rsidR="00517B31">
        <w:t>3</w:t>
      </w:r>
      <w:r w:rsidR="00C440B9" w:rsidRPr="00B83DA4">
        <w:t> </w:t>
      </w:r>
      <w:r w:rsidRPr="00B83DA4">
        <w:t xml:space="preserve">mld. Kč. Pokud jde o </w:t>
      </w:r>
      <w:r w:rsidR="00C11476">
        <w:t>saldo</w:t>
      </w:r>
      <w:r w:rsidRPr="00B83DA4">
        <w:t xml:space="preserve"> hospodaření, očekává se, že rozpočty DSO v roce 20</w:t>
      </w:r>
      <w:r w:rsidR="00517B31">
        <w:t>20</w:t>
      </w:r>
      <w:r w:rsidRPr="00B83DA4">
        <w:t xml:space="preserve"> skončí v přebytku ve výši 0,</w:t>
      </w:r>
      <w:r w:rsidR="00517B31">
        <w:t>1</w:t>
      </w:r>
      <w:r w:rsidRPr="00B83DA4">
        <w:t xml:space="preserve"> mld. Kč. </w:t>
      </w:r>
      <w:r w:rsidRPr="00861072">
        <w:t>Pro rok 20</w:t>
      </w:r>
      <w:r w:rsidR="00C440B9" w:rsidRPr="00861072">
        <w:t>2</w:t>
      </w:r>
      <w:r w:rsidR="00517B31" w:rsidRPr="00861072">
        <w:t>1</w:t>
      </w:r>
      <w:r w:rsidRPr="00861072">
        <w:t xml:space="preserve"> se předpokládá, že DSO budou hospodařit s rozpočtovým přebytkem ve výši 0,</w:t>
      </w:r>
      <w:r w:rsidR="00861072" w:rsidRPr="00861072">
        <w:t>1</w:t>
      </w:r>
      <w:r w:rsidRPr="00861072">
        <w:t xml:space="preserve"> mld. Kč, a to s příjmy </w:t>
      </w:r>
      <w:r w:rsidR="00861072" w:rsidRPr="00861072">
        <w:t>4,</w:t>
      </w:r>
      <w:r w:rsidR="00456AA5">
        <w:t>6</w:t>
      </w:r>
      <w:r w:rsidRPr="00861072">
        <w:t xml:space="preserve"> mld. Kč a výdaji </w:t>
      </w:r>
      <w:r w:rsidR="00861072" w:rsidRPr="00861072">
        <w:t>4,</w:t>
      </w:r>
      <w:r w:rsidR="00456AA5">
        <w:t>5</w:t>
      </w:r>
      <w:r w:rsidRPr="00861072">
        <w:t xml:space="preserve"> mld. Kč.</w:t>
      </w:r>
    </w:p>
    <w:p w:rsidR="00C16981" w:rsidRPr="00B83DA4" w:rsidRDefault="00C16981" w:rsidP="00C16981">
      <w:pPr>
        <w:pStyle w:val="Zkladntext"/>
        <w:rPr>
          <w:b/>
        </w:rPr>
      </w:pPr>
      <w:r w:rsidRPr="00B83DA4">
        <w:rPr>
          <w:b/>
        </w:rPr>
        <w:lastRenderedPageBreak/>
        <w:t>Regionální rady regionů soudržnosti</w:t>
      </w:r>
    </w:p>
    <w:p w:rsidR="00C16981" w:rsidRPr="00C16981" w:rsidRDefault="00C16981" w:rsidP="00502F03">
      <w:r w:rsidRPr="00B83DA4">
        <w:t>Pro rok 20</w:t>
      </w:r>
      <w:r w:rsidR="00517B31">
        <w:t>20</w:t>
      </w:r>
      <w:r w:rsidRPr="00B83DA4">
        <w:t xml:space="preserve"> se příjmy RR odhadují ve výši 0,</w:t>
      </w:r>
      <w:r w:rsidR="00517B31">
        <w:t>3</w:t>
      </w:r>
      <w:r w:rsidRPr="00B83DA4">
        <w:t xml:space="preserve"> mld. Kč</w:t>
      </w:r>
      <w:r w:rsidR="00C440B9" w:rsidRPr="00B83DA4">
        <w:t xml:space="preserve"> a</w:t>
      </w:r>
      <w:r w:rsidR="00843619">
        <w:t> </w:t>
      </w:r>
      <w:r w:rsidR="00C440B9" w:rsidRPr="00B83DA4">
        <w:t>jsou tvořeny přijatými transfery.</w:t>
      </w:r>
      <w:r w:rsidRPr="00B83DA4">
        <w:t xml:space="preserve"> Výdaje se očekávají ve výši 0,</w:t>
      </w:r>
      <w:r w:rsidR="00C440B9" w:rsidRPr="00B83DA4">
        <w:t>3</w:t>
      </w:r>
      <w:r w:rsidRPr="00B83DA4">
        <w:t> mld. Kč a měly by být</w:t>
      </w:r>
      <w:r w:rsidR="00C440B9" w:rsidRPr="00B83DA4">
        <w:t xml:space="preserve"> zejména</w:t>
      </w:r>
      <w:r w:rsidRPr="00B83DA4">
        <w:t xml:space="preserve"> neinvestičního charakteru. To, že v roce 2016 bylo definitivně ukončeno proplácení prostředků z ROP, se projevuje jak na struktuře příjmů, tak i výdajů RR. </w:t>
      </w:r>
      <w:r w:rsidRPr="00DA0FED">
        <w:t>Pro rok 20</w:t>
      </w:r>
      <w:r w:rsidR="00C440B9" w:rsidRPr="00DA0FED">
        <w:t>2</w:t>
      </w:r>
      <w:r w:rsidR="00517B31" w:rsidRPr="00DA0FED">
        <w:t>1</w:t>
      </w:r>
      <w:r w:rsidRPr="00DA0FED">
        <w:t xml:space="preserve"> se předpokládá, že RR budou hospodařit s vyrovnaným rozpočtem s příjmy a výdaji ve výši 0,</w:t>
      </w:r>
      <w:r w:rsidR="00DA0FED" w:rsidRPr="00DA0FED">
        <w:t>05</w:t>
      </w:r>
      <w:r w:rsidRPr="00DA0FED">
        <w:t> mld. Kč.</w:t>
      </w:r>
      <w:r w:rsidRPr="00C16981">
        <w:t xml:space="preserve"> </w:t>
      </w:r>
    </w:p>
    <w:p w:rsidR="004E7A79" w:rsidRPr="004E7A79" w:rsidRDefault="004E7A79" w:rsidP="0086136B">
      <w:pPr>
        <w:pStyle w:val="Zkladntext"/>
      </w:pPr>
    </w:p>
    <w:p w:rsidR="004E7A79" w:rsidRDefault="004E7A79" w:rsidP="004E7A79">
      <w:pPr>
        <w:pStyle w:val="Nadpis1"/>
        <w:sectPr w:rsidR="004E7A79" w:rsidSect="00F14DCC">
          <w:type w:val="continuous"/>
          <w:pgSz w:w="11906" w:h="16838" w:code="9"/>
          <w:pgMar w:top="1134" w:right="1134" w:bottom="1134" w:left="1134" w:header="709" w:footer="709" w:gutter="0"/>
          <w:cols w:num="2" w:space="397"/>
          <w:docGrid w:linePitch="360"/>
        </w:sectPr>
      </w:pPr>
    </w:p>
    <w:p w:rsidR="000C2B9C" w:rsidRPr="008052A9" w:rsidRDefault="000C2B9C" w:rsidP="008052A9">
      <w:r>
        <w:lastRenderedPageBreak/>
        <w:br w:type="page"/>
      </w:r>
    </w:p>
    <w:p w:rsidR="00C16981" w:rsidRDefault="004E7A79" w:rsidP="004E7A79">
      <w:pPr>
        <w:pStyle w:val="Nadpis1"/>
        <w:pageBreakBefore w:val="0"/>
        <w:tabs>
          <w:tab w:val="clear" w:pos="567"/>
        </w:tabs>
        <w:spacing w:after="360"/>
        <w:ind w:left="432" w:hanging="432"/>
        <w:jc w:val="left"/>
      </w:pPr>
      <w:bookmarkStart w:id="66" w:name="_Toc17962162"/>
      <w:bookmarkStart w:id="67" w:name="_Toc54337185"/>
      <w:r>
        <w:lastRenderedPageBreak/>
        <w:t>Dotace ze státního rozpočtu pro územní rozpočty</w:t>
      </w:r>
      <w:bookmarkEnd w:id="66"/>
      <w:bookmarkEnd w:id="67"/>
    </w:p>
    <w:p w:rsidR="004E7A79" w:rsidRPr="005C6303" w:rsidRDefault="004E7A79" w:rsidP="005C6303">
      <w:pPr>
        <w:pStyle w:val="Nadpis2"/>
      </w:pPr>
      <w:bookmarkStart w:id="68" w:name="_Toc206898247"/>
      <w:bookmarkStart w:id="69" w:name="_Toc302458272"/>
      <w:bookmarkStart w:id="70" w:name="_Toc302458320"/>
      <w:bookmarkStart w:id="71" w:name="_Toc399489404"/>
      <w:bookmarkStart w:id="72" w:name="_Toc533674260"/>
      <w:bookmarkStart w:id="73" w:name="_Toc17962163"/>
      <w:bookmarkStart w:id="74" w:name="_Toc54337186"/>
      <w:r w:rsidRPr="005C6303">
        <w:t>Dotace ze státního rozpočtu pro obce a hl. m. Prahu v roce 20</w:t>
      </w:r>
      <w:bookmarkEnd w:id="68"/>
      <w:bookmarkEnd w:id="69"/>
      <w:bookmarkEnd w:id="70"/>
      <w:bookmarkEnd w:id="71"/>
      <w:bookmarkEnd w:id="72"/>
      <w:r w:rsidR="00B53344" w:rsidRPr="005C6303">
        <w:t>2</w:t>
      </w:r>
      <w:bookmarkEnd w:id="73"/>
      <w:r w:rsidR="008D55BA">
        <w:t>1</w:t>
      </w:r>
      <w:bookmarkEnd w:id="74"/>
    </w:p>
    <w:p w:rsidR="0086136B" w:rsidRDefault="0086136B" w:rsidP="0086136B">
      <w:pPr>
        <w:pStyle w:val="Titulek"/>
        <w:spacing w:after="120"/>
        <w:rPr>
          <w:b w:val="0"/>
          <w:i/>
        </w:rPr>
      </w:pPr>
      <w:bookmarkStart w:id="75" w:name="_Toc54337199"/>
      <w:r>
        <w:t xml:space="preserve">Tabulka </w:t>
      </w:r>
      <w:fldSimple w:instr=" SEQ Tabulka \* ARABIC ">
        <w:r w:rsidR="00340343">
          <w:rPr>
            <w:noProof/>
          </w:rPr>
          <w:t>4</w:t>
        </w:r>
      </w:fldSimple>
      <w:r>
        <w:t xml:space="preserve">: </w:t>
      </w:r>
      <w:r w:rsidR="00843619">
        <w:t xml:space="preserve">Dotace a příspěvky ze státního rozpočtu </w:t>
      </w:r>
      <w:r w:rsidRPr="00A849EF">
        <w:t>obcí</w:t>
      </w:r>
      <w:r w:rsidR="00843619">
        <w:t>m</w:t>
      </w:r>
      <w:r w:rsidRPr="00A849EF">
        <w:t xml:space="preserve"> a hl. m. Pra</w:t>
      </w:r>
      <w:r w:rsidR="00843619">
        <w:t>ze</w:t>
      </w:r>
      <w:r w:rsidRPr="00A849EF">
        <w:t xml:space="preserve"> v letech 201</w:t>
      </w:r>
      <w:r w:rsidR="00364DE4">
        <w:t>6</w:t>
      </w:r>
      <w:r w:rsidR="009974F5">
        <w:t xml:space="preserve"> </w:t>
      </w:r>
      <w:r w:rsidR="00344991">
        <w:t>–</w:t>
      </w:r>
      <w:r w:rsidR="009974F5">
        <w:t xml:space="preserve"> </w:t>
      </w:r>
      <w:r w:rsidRPr="00A849EF">
        <w:t>202</w:t>
      </w:r>
      <w:r w:rsidR="00364DE4">
        <w:t>1</w:t>
      </w:r>
      <w:r w:rsidR="00344991">
        <w:t> </w:t>
      </w:r>
      <w:r w:rsidRPr="0086136B">
        <w:rPr>
          <w:b w:val="0"/>
          <w:i/>
        </w:rPr>
        <w:t>(</w:t>
      </w:r>
      <w:r w:rsidR="00C4448E">
        <w:rPr>
          <w:b w:val="0"/>
          <w:i/>
        </w:rPr>
        <w:t>ti</w:t>
      </w:r>
      <w:r w:rsidR="00344991">
        <w:rPr>
          <w:b w:val="0"/>
          <w:i/>
        </w:rPr>
        <w:t>s </w:t>
      </w:r>
      <w:r w:rsidRPr="0086136B">
        <w:rPr>
          <w:b w:val="0"/>
          <w:i/>
        </w:rPr>
        <w:t>Kč)</w:t>
      </w:r>
      <w:bookmarkEnd w:id="75"/>
    </w:p>
    <w:p w:rsidR="0096028B" w:rsidRPr="0096028B" w:rsidRDefault="0096028B" w:rsidP="0096028B"/>
    <w:p w:rsidR="004E7A79" w:rsidRDefault="002E13F3" w:rsidP="004E7A79">
      <w:r>
        <w:pict>
          <v:shape id="_x0000_i1028" type="#_x0000_t75" style="width:477pt;height:285pt">
            <v:imagedata r:id="rId26" o:title=""/>
          </v:shape>
        </w:pict>
      </w:r>
    </w:p>
    <w:p w:rsidR="00F07C91" w:rsidRPr="00151BDE" w:rsidRDefault="00F07C91" w:rsidP="004317A0">
      <w:pPr>
        <w:pStyle w:val="Nadpis3"/>
      </w:pPr>
      <w:bookmarkStart w:id="76" w:name="_Toc17962164"/>
      <w:bookmarkStart w:id="77" w:name="_Toc54337187"/>
      <w:r w:rsidRPr="00151BDE">
        <w:t>Dotace z kapitoly Všeobecná pokladní správa</w:t>
      </w:r>
      <w:bookmarkEnd w:id="76"/>
      <w:bookmarkEnd w:id="77"/>
    </w:p>
    <w:p w:rsidR="001A3C01" w:rsidRPr="00151BDE" w:rsidRDefault="001A3C01" w:rsidP="004317A0">
      <w:pPr>
        <w:pStyle w:val="Nadpis3"/>
        <w:sectPr w:rsidR="001A3C01" w:rsidRPr="00151BDE" w:rsidSect="004E7A79">
          <w:type w:val="continuous"/>
          <w:pgSz w:w="11906" w:h="16838" w:code="9"/>
          <w:pgMar w:top="1134" w:right="1134" w:bottom="1134" w:left="1134" w:header="709" w:footer="709" w:gutter="0"/>
          <w:cols w:space="708"/>
          <w:docGrid w:linePitch="360"/>
        </w:sectPr>
      </w:pPr>
    </w:p>
    <w:p w:rsidR="001A3C01" w:rsidRPr="001A3C01" w:rsidRDefault="001A3C01" w:rsidP="00F07C91">
      <w:pPr>
        <w:suppressAutoHyphens/>
        <w:spacing w:after="0"/>
        <w:rPr>
          <w:b/>
        </w:rPr>
      </w:pPr>
      <w:r w:rsidRPr="001A3C01">
        <w:lastRenderedPageBreak/>
        <w:t xml:space="preserve">Dotace z kapitoly Všeobecná pokladní správa zahrnují dotace a příspěvky v ukazatelích </w:t>
      </w:r>
      <w:r w:rsidRPr="001A3C01">
        <w:rPr>
          <w:b/>
        </w:rPr>
        <w:t>Finanční vztah státního rozpočtu k rozpočtům obcí v úhrnech po jednotlivých krajích</w:t>
      </w:r>
      <w:r w:rsidR="00F07C91">
        <w:rPr>
          <w:b/>
        </w:rPr>
        <w:t> </w:t>
      </w:r>
      <w:r w:rsidRPr="001A3C01">
        <w:t>(příloha</w:t>
      </w:r>
      <w:r w:rsidR="00F07C91">
        <w:t> č. </w:t>
      </w:r>
      <w:r w:rsidRPr="001A3C01">
        <w:t>6</w:t>
      </w:r>
      <w:r w:rsidR="00F07C91">
        <w:t> </w:t>
      </w:r>
      <w:r w:rsidRPr="001A3C01">
        <w:t>k</w:t>
      </w:r>
      <w:r w:rsidR="00F07C91">
        <w:t> </w:t>
      </w:r>
      <w:r w:rsidRPr="001A3C01">
        <w:t>zákonu</w:t>
      </w:r>
      <w:r w:rsidR="00F07C91">
        <w:t> </w:t>
      </w:r>
      <w:r w:rsidRPr="001A3C01">
        <w:t>o</w:t>
      </w:r>
      <w:r w:rsidR="00F07C91">
        <w:t> </w:t>
      </w:r>
      <w:r w:rsidRPr="001A3C01">
        <w:t>státním</w:t>
      </w:r>
      <w:r w:rsidR="00F07C91">
        <w:t> </w:t>
      </w:r>
      <w:r w:rsidRPr="001A3C01">
        <w:t>rozpočtu),</w:t>
      </w:r>
      <w:r w:rsidR="00F07C91">
        <w:t xml:space="preserve"> </w:t>
      </w:r>
      <w:r w:rsidRPr="001A3C01">
        <w:rPr>
          <w:b/>
        </w:rPr>
        <w:lastRenderedPageBreak/>
        <w:t>Finanční vztah státního rozpočtu k rozpočtu hl. m.</w:t>
      </w:r>
      <w:r w:rsidR="00F07C91">
        <w:rPr>
          <w:b/>
        </w:rPr>
        <w:t> </w:t>
      </w:r>
      <w:r w:rsidRPr="001A3C01">
        <w:rPr>
          <w:b/>
        </w:rPr>
        <w:t xml:space="preserve">Prahy </w:t>
      </w:r>
      <w:r w:rsidRPr="001A3C01">
        <w:t xml:space="preserve">(příloha č. 7 k zákonu o státním rozpočtu) </w:t>
      </w:r>
      <w:r w:rsidRPr="001A3C01">
        <w:rPr>
          <w:b/>
        </w:rPr>
        <w:t>a</w:t>
      </w:r>
      <w:r w:rsidR="00F672D7">
        <w:rPr>
          <w:b/>
        </w:rPr>
        <w:t> </w:t>
      </w:r>
      <w:r w:rsidRPr="001A3C01">
        <w:rPr>
          <w:b/>
        </w:rPr>
        <w:t>ostatní dotace z kapitoly Všeobecná pokladní správa.</w:t>
      </w:r>
    </w:p>
    <w:p w:rsidR="001A3C01" w:rsidRDefault="001A3C01" w:rsidP="00F07C91">
      <w:pPr>
        <w:spacing w:line="360" w:lineRule="auto"/>
        <w:sectPr w:rsidR="001A3C01" w:rsidSect="0086136B">
          <w:type w:val="continuous"/>
          <w:pgSz w:w="11906" w:h="16838" w:code="9"/>
          <w:pgMar w:top="1134" w:right="1134" w:bottom="1134" w:left="1134" w:header="709" w:footer="709" w:gutter="0"/>
          <w:cols w:num="2" w:space="397"/>
          <w:docGrid w:linePitch="360"/>
        </w:sectPr>
      </w:pPr>
    </w:p>
    <w:p w:rsidR="0086136B" w:rsidRDefault="0086136B" w:rsidP="0086136B">
      <w:pPr>
        <w:pStyle w:val="Titulek"/>
        <w:spacing w:after="120"/>
        <w:ind w:left="851" w:hanging="851"/>
      </w:pPr>
      <w:bookmarkStart w:id="78" w:name="_Toc54337200"/>
      <w:r>
        <w:lastRenderedPageBreak/>
        <w:t xml:space="preserve">Tabulka </w:t>
      </w:r>
      <w:fldSimple w:instr=" SEQ Tabulka \* ARABIC ">
        <w:r w:rsidR="00340343">
          <w:rPr>
            <w:noProof/>
          </w:rPr>
          <w:t>5</w:t>
        </w:r>
      </w:fldSimple>
      <w:r>
        <w:t xml:space="preserve">: </w:t>
      </w:r>
      <w:r w:rsidRPr="00360148">
        <w:t>Dotace a příspěvky rozpočtované pro obce</w:t>
      </w:r>
      <w:r w:rsidR="00F75AFF">
        <w:t xml:space="preserve"> a hl. město Prahu</w:t>
      </w:r>
      <w:r w:rsidRPr="00360148">
        <w:t xml:space="preserve"> v kapitole Všeobecná pokladní správa v</w:t>
      </w:r>
      <w:r w:rsidR="00F75AFF">
        <w:t> </w:t>
      </w:r>
      <w:r w:rsidRPr="00360148">
        <w:t>letech 201</w:t>
      </w:r>
      <w:r w:rsidR="000610F9">
        <w:t>6</w:t>
      </w:r>
      <w:r w:rsidR="009974F5">
        <w:t> </w:t>
      </w:r>
      <w:r w:rsidR="007A39D3">
        <w:t>-</w:t>
      </w:r>
      <w:r w:rsidR="009974F5">
        <w:t> </w:t>
      </w:r>
      <w:r w:rsidRPr="00360148">
        <w:t>202</w:t>
      </w:r>
      <w:r w:rsidR="000610F9">
        <w:t>1</w:t>
      </w:r>
      <w:r w:rsidR="007A39D3">
        <w:t> </w:t>
      </w:r>
      <w:r w:rsidRPr="0086136B">
        <w:rPr>
          <w:b w:val="0"/>
          <w:i/>
        </w:rPr>
        <w:t>(v</w:t>
      </w:r>
      <w:r w:rsidR="001C7F66">
        <w:rPr>
          <w:b w:val="0"/>
          <w:i/>
        </w:rPr>
        <w:t> </w:t>
      </w:r>
      <w:r w:rsidR="00D53C62">
        <w:rPr>
          <w:b w:val="0"/>
          <w:i/>
        </w:rPr>
        <w:t>tis</w:t>
      </w:r>
      <w:r w:rsidR="00344991">
        <w:rPr>
          <w:b w:val="0"/>
          <w:i/>
        </w:rPr>
        <w:t>. </w:t>
      </w:r>
      <w:r w:rsidRPr="0086136B">
        <w:rPr>
          <w:b w:val="0"/>
          <w:i/>
        </w:rPr>
        <w:t>Kč)</w:t>
      </w:r>
      <w:bookmarkEnd w:id="78"/>
    </w:p>
    <w:p w:rsidR="00364DE4" w:rsidRDefault="002E13F3" w:rsidP="00364DE4">
      <w:pPr>
        <w:jc w:val="center"/>
        <w:rPr>
          <w:b/>
          <w:sz w:val="26"/>
          <w:szCs w:val="26"/>
        </w:rPr>
        <w:sectPr w:rsidR="00364DE4" w:rsidSect="004E7A79">
          <w:type w:val="continuous"/>
          <w:pgSz w:w="11906" w:h="16838" w:code="9"/>
          <w:pgMar w:top="1134" w:right="1134" w:bottom="1134" w:left="1134" w:header="709" w:footer="709" w:gutter="0"/>
          <w:cols w:space="708"/>
          <w:docGrid w:linePitch="360"/>
        </w:sectPr>
      </w:pPr>
      <w:r>
        <w:rPr>
          <w:b/>
          <w:sz w:val="26"/>
          <w:szCs w:val="26"/>
        </w:rPr>
        <w:pict>
          <v:shape id="_x0000_i1029" type="#_x0000_t75" style="width:487.5pt;height:357pt">
            <v:imagedata r:id="rId27" o:title=""/>
          </v:shape>
        </w:pict>
      </w:r>
    </w:p>
    <w:p w:rsidR="0086136B" w:rsidRPr="0073486D" w:rsidRDefault="006D0941" w:rsidP="006D0941">
      <w:pPr>
        <w:spacing w:after="0"/>
        <w:rPr>
          <w:rFonts w:asciiTheme="minorHAnsi" w:hAnsiTheme="minorHAnsi"/>
          <w:i/>
        </w:rPr>
      </w:pPr>
      <w:r w:rsidRPr="006D0941">
        <w:rPr>
          <w:rFonts w:ascii="Times New Roman" w:hAnsi="Times New Roman"/>
          <w:sz w:val="22"/>
          <w:szCs w:val="22"/>
        </w:rPr>
        <w:lastRenderedPageBreak/>
        <w:t xml:space="preserve"> </w:t>
      </w:r>
      <w:r w:rsidRPr="0073486D">
        <w:rPr>
          <w:rFonts w:asciiTheme="minorHAnsi" w:hAnsiTheme="minorHAnsi"/>
        </w:rPr>
        <w:t>*)</w:t>
      </w:r>
      <w:r w:rsidRPr="0073486D">
        <w:rPr>
          <w:rFonts w:asciiTheme="minorHAnsi" w:hAnsiTheme="minorHAnsi"/>
          <w:b/>
        </w:rPr>
        <w:t xml:space="preserve"> </w:t>
      </w:r>
      <w:r w:rsidRPr="0073486D">
        <w:rPr>
          <w:rFonts w:asciiTheme="minorHAnsi" w:hAnsiTheme="minorHAnsi"/>
          <w:i/>
        </w:rPr>
        <w:t xml:space="preserve">Novelou zákona č. 159/2020 Sb., bylo schváleno navýšení příspěvku z 1200 Kč na 1250 Kč/obyv. obce, a proto byla dodatečně celková částka příspěvku navýšena </w:t>
      </w:r>
      <w:r w:rsidR="00F75AFF">
        <w:rPr>
          <w:rFonts w:asciiTheme="minorHAnsi" w:hAnsiTheme="minorHAnsi"/>
          <w:i/>
        </w:rPr>
        <w:t xml:space="preserve">z Vládní rozpočtové rezervy </w:t>
      </w:r>
      <w:r w:rsidRPr="0073486D">
        <w:rPr>
          <w:rFonts w:asciiTheme="minorHAnsi" w:hAnsiTheme="minorHAnsi"/>
          <w:i/>
        </w:rPr>
        <w:t>na 13 367 424 tis. Kč</w:t>
      </w:r>
      <w:r w:rsidR="004C6EDA">
        <w:rPr>
          <w:rFonts w:asciiTheme="minorHAnsi" w:hAnsiTheme="minorHAnsi"/>
          <w:i/>
        </w:rPr>
        <w:t>, a to v souladu s usnesením vlády č. 795 ze dne 27. 7. 2020</w:t>
      </w:r>
      <w:r w:rsidRPr="0073486D">
        <w:rPr>
          <w:rFonts w:asciiTheme="minorHAnsi" w:hAnsiTheme="minorHAnsi"/>
          <w:i/>
        </w:rPr>
        <w:t>.</w:t>
      </w:r>
    </w:p>
    <w:p w:rsidR="00B82CB7" w:rsidRPr="0025661A" w:rsidRDefault="00AE23BF" w:rsidP="001E3191">
      <w:pPr>
        <w:spacing w:before="240"/>
        <w:rPr>
          <w:b/>
          <w:sz w:val="26"/>
          <w:szCs w:val="26"/>
        </w:rPr>
      </w:pPr>
      <w:r w:rsidRPr="0025661A">
        <w:rPr>
          <w:b/>
          <w:sz w:val="26"/>
          <w:szCs w:val="26"/>
        </w:rPr>
        <w:t>Dotace a příspěvky obsažené ve</w:t>
      </w:r>
      <w:r w:rsidR="00CD152E" w:rsidRPr="0025661A">
        <w:rPr>
          <w:b/>
          <w:sz w:val="26"/>
          <w:szCs w:val="26"/>
        </w:rPr>
        <w:t xml:space="preserve"> </w:t>
      </w:r>
      <w:r w:rsidR="00B82CB7" w:rsidRPr="0025661A">
        <w:rPr>
          <w:b/>
          <w:sz w:val="26"/>
          <w:szCs w:val="26"/>
        </w:rPr>
        <w:t>finančním vztahu státního rozpočtu</w:t>
      </w:r>
      <w:r w:rsidR="00CD152E" w:rsidRPr="0025661A">
        <w:rPr>
          <w:b/>
          <w:sz w:val="26"/>
          <w:szCs w:val="26"/>
        </w:rPr>
        <w:t xml:space="preserve"> </w:t>
      </w:r>
      <w:r w:rsidR="00B82CB7" w:rsidRPr="0025661A">
        <w:rPr>
          <w:b/>
          <w:sz w:val="26"/>
          <w:szCs w:val="26"/>
        </w:rPr>
        <w:t>k rozpočtům obcí a rozpočtu hl. m. Prahy:</w:t>
      </w:r>
    </w:p>
    <w:p w:rsidR="0058299F" w:rsidRPr="00C75143" w:rsidRDefault="00AE23BF" w:rsidP="00E75D84">
      <w:pPr>
        <w:pStyle w:val="Odstavecseseznamem"/>
        <w:keepNext/>
        <w:numPr>
          <w:ilvl w:val="0"/>
          <w:numId w:val="8"/>
        </w:numPr>
        <w:tabs>
          <w:tab w:val="num" w:pos="567"/>
          <w:tab w:val="right" w:pos="9072"/>
        </w:tabs>
        <w:autoSpaceDE w:val="0"/>
        <w:autoSpaceDN w:val="0"/>
        <w:adjustRightInd w:val="0"/>
        <w:ind w:left="357" w:hanging="357"/>
        <w:contextualSpacing w:val="0"/>
        <w:rPr>
          <w:b/>
          <w:sz w:val="24"/>
          <w:szCs w:val="24"/>
        </w:rPr>
      </w:pPr>
      <w:r w:rsidRPr="00C75143">
        <w:rPr>
          <w:b/>
          <w:bCs/>
          <w:iCs/>
          <w:sz w:val="24"/>
          <w:szCs w:val="24"/>
        </w:rPr>
        <w:t xml:space="preserve">Příspěvek na výkon státní správy pro obce </w:t>
      </w:r>
    </w:p>
    <w:p w:rsidR="00CD152E" w:rsidRDefault="00CD152E" w:rsidP="00AE23BF">
      <w:pPr>
        <w:autoSpaceDE w:val="0"/>
        <w:autoSpaceDN w:val="0"/>
        <w:adjustRightInd w:val="0"/>
        <w:spacing w:after="0"/>
        <w:rPr>
          <w:b/>
        </w:rPr>
        <w:sectPr w:rsidR="00CD152E" w:rsidSect="004E7A79">
          <w:footnotePr>
            <w:pos w:val="beneathText"/>
          </w:footnotePr>
          <w:type w:val="continuous"/>
          <w:pgSz w:w="11906" w:h="16838" w:code="9"/>
          <w:pgMar w:top="1134" w:right="1134" w:bottom="1134" w:left="1134" w:header="709" w:footer="709" w:gutter="0"/>
          <w:cols w:space="708"/>
          <w:docGrid w:linePitch="360"/>
        </w:sectPr>
      </w:pPr>
    </w:p>
    <w:p w:rsidR="00B80106" w:rsidRPr="00A52F58" w:rsidRDefault="00B80106" w:rsidP="001E3191">
      <w:r w:rsidRPr="00A52F58">
        <w:lastRenderedPageBreak/>
        <w:t>Postup pro stanovení výše příspěvku na výkon státní správy jednotlivým obcím je stanoven přílohou č. 8 k</w:t>
      </w:r>
      <w:r w:rsidR="00BB5440">
        <w:t> </w:t>
      </w:r>
      <w:r w:rsidRPr="00A52F58">
        <w:t>zákonu o státním rozpočtu ČR na rok 202</w:t>
      </w:r>
      <w:r w:rsidR="00FE74A2">
        <w:t>1</w:t>
      </w:r>
      <w:r w:rsidRPr="00A52F58">
        <w:t>.</w:t>
      </w:r>
    </w:p>
    <w:p w:rsidR="00AE23BF" w:rsidRPr="00AE23BF" w:rsidRDefault="00AE23BF" w:rsidP="002F46DD">
      <w:pPr>
        <w:suppressAutoHyphens/>
        <w:autoSpaceDE w:val="0"/>
        <w:autoSpaceDN w:val="0"/>
        <w:adjustRightInd w:val="0"/>
        <w:spacing w:after="0"/>
        <w:rPr>
          <w:b/>
        </w:rPr>
      </w:pPr>
      <w:r w:rsidRPr="00AE23BF">
        <w:rPr>
          <w:b/>
        </w:rPr>
        <w:t xml:space="preserve">Obecná charakteristika příspěvku na výkon státní správy pro obce: </w:t>
      </w:r>
    </w:p>
    <w:p w:rsidR="00FE74A2" w:rsidRPr="00FE74A2" w:rsidRDefault="00FE74A2" w:rsidP="00FE74A2">
      <w:pPr>
        <w:pStyle w:val="Odstavecseseznamem"/>
        <w:numPr>
          <w:ilvl w:val="0"/>
          <w:numId w:val="30"/>
        </w:numPr>
        <w:tabs>
          <w:tab w:val="num" w:pos="928"/>
        </w:tabs>
        <w:autoSpaceDE w:val="0"/>
        <w:autoSpaceDN w:val="0"/>
        <w:adjustRightInd w:val="0"/>
        <w:spacing w:after="0"/>
        <w:rPr>
          <w:rFonts w:asciiTheme="minorHAnsi" w:hAnsiTheme="minorHAnsi"/>
        </w:rPr>
      </w:pPr>
      <w:r w:rsidRPr="00FE74A2">
        <w:rPr>
          <w:rFonts w:asciiTheme="minorHAnsi" w:hAnsiTheme="minorHAnsi"/>
        </w:rPr>
        <w:t xml:space="preserve">Příspěvek je určen na částečnou úhradu výdajů spojených s výkonem státní správy dle § 62 zákona č. 128/2000 Sb., o obcích (obecní zřízení), ve znění pozdějších předpisů. Pro rok 2021 zůstává zachována </w:t>
      </w:r>
      <w:r w:rsidRPr="00FE74A2">
        <w:rPr>
          <w:rFonts w:asciiTheme="minorHAnsi" w:hAnsiTheme="minorHAnsi"/>
          <w:b/>
        </w:rPr>
        <w:t xml:space="preserve">pro všechny kategorie obcí kumulovaná konstrukce příspěvku, tj. příspěvek představuje součet dílčích částek vypočtených pro jednotlivé správní činnosti. </w:t>
      </w:r>
    </w:p>
    <w:p w:rsidR="00FE74A2" w:rsidRPr="00FE74A2" w:rsidRDefault="00FE74A2" w:rsidP="00FE74A2">
      <w:pPr>
        <w:pStyle w:val="Odstavecseseznamem"/>
        <w:numPr>
          <w:ilvl w:val="0"/>
          <w:numId w:val="30"/>
        </w:numPr>
        <w:tabs>
          <w:tab w:val="num" w:pos="928"/>
        </w:tabs>
        <w:autoSpaceDE w:val="0"/>
        <w:autoSpaceDN w:val="0"/>
        <w:adjustRightInd w:val="0"/>
        <w:spacing w:after="0"/>
        <w:rPr>
          <w:rFonts w:asciiTheme="minorHAnsi" w:hAnsiTheme="minorHAnsi"/>
          <w:color w:val="000000"/>
        </w:rPr>
      </w:pPr>
      <w:r w:rsidRPr="00FE74A2">
        <w:rPr>
          <w:rFonts w:asciiTheme="minorHAnsi" w:hAnsiTheme="minorHAnsi"/>
          <w:b/>
        </w:rPr>
        <w:t xml:space="preserve">Konkrétní příspěvek pro jednotlivé obce </w:t>
      </w:r>
      <w:r w:rsidRPr="00FE74A2">
        <w:rPr>
          <w:rFonts w:asciiTheme="minorHAnsi" w:hAnsiTheme="minorHAnsi"/>
        </w:rPr>
        <w:t xml:space="preserve">je součtem příspěvků všech skutečně vykonávaných působností dané obce (základní působnost, působnost stavebního úřadu, působnost matričního </w:t>
      </w:r>
      <w:r w:rsidRPr="00FE74A2">
        <w:rPr>
          <w:rFonts w:asciiTheme="minorHAnsi" w:hAnsiTheme="minorHAnsi"/>
        </w:rPr>
        <w:lastRenderedPageBreak/>
        <w:t>úřadu, působnost pověřeného obecního</w:t>
      </w:r>
      <w:r w:rsidRPr="00FE74A2">
        <w:rPr>
          <w:rFonts w:asciiTheme="minorHAnsi" w:hAnsiTheme="minorHAnsi"/>
          <w:color w:val="000000"/>
        </w:rPr>
        <w:t xml:space="preserve"> úřadu a působnost obce s rozšířenou působností). U některých obcí se navíc přičítají další částky na zajištění dalších specifických správních činností viz </w:t>
      </w:r>
      <w:r w:rsidRPr="00FE74A2">
        <w:rPr>
          <w:rFonts w:asciiTheme="minorHAnsi" w:hAnsiTheme="minorHAnsi"/>
          <w:b/>
          <w:color w:val="000000"/>
        </w:rPr>
        <w:t>část</w:t>
      </w:r>
      <w:r w:rsidRPr="00FE74A2">
        <w:rPr>
          <w:rFonts w:asciiTheme="minorHAnsi" w:hAnsiTheme="minorHAnsi"/>
          <w:color w:val="000000"/>
        </w:rPr>
        <w:t xml:space="preserve"> </w:t>
      </w:r>
      <w:r w:rsidRPr="00FE74A2">
        <w:rPr>
          <w:rFonts w:asciiTheme="minorHAnsi" w:hAnsiTheme="minorHAnsi"/>
          <w:b/>
          <w:color w:val="000000"/>
        </w:rPr>
        <w:t>1.C),</w:t>
      </w:r>
      <w:r w:rsidRPr="00FE74A2">
        <w:rPr>
          <w:rFonts w:asciiTheme="minorHAnsi" w:hAnsiTheme="minorHAnsi"/>
          <w:color w:val="000000"/>
        </w:rPr>
        <w:t xml:space="preserve"> </w:t>
      </w:r>
      <w:r w:rsidRPr="00FE74A2">
        <w:rPr>
          <w:rFonts w:asciiTheme="minorHAnsi" w:hAnsiTheme="minorHAnsi"/>
          <w:b/>
          <w:color w:val="000000"/>
        </w:rPr>
        <w:t>1.D), 1.E), 1.F), 1.G), 1.H), 1.I) a 1.J) přílohy č. 8</w:t>
      </w:r>
      <w:r w:rsidRPr="00FE74A2">
        <w:rPr>
          <w:rFonts w:asciiTheme="minorHAnsi" w:hAnsiTheme="minorHAnsi"/>
          <w:color w:val="000000"/>
        </w:rPr>
        <w:t xml:space="preserve"> k zákonu o státním rozpočtu ČR na rok 2021, např. na zajištění výkonu veřejného opatrovnictví obcemi, vydávání občanských průkazů apod. (obecně výkonové složky). </w:t>
      </w:r>
    </w:p>
    <w:p w:rsidR="00FE74A2" w:rsidRPr="00FE74A2" w:rsidRDefault="00FE74A2" w:rsidP="00FE74A2">
      <w:pPr>
        <w:pStyle w:val="Odstavecseseznamem"/>
        <w:numPr>
          <w:ilvl w:val="0"/>
          <w:numId w:val="30"/>
        </w:numPr>
        <w:tabs>
          <w:tab w:val="num" w:pos="928"/>
        </w:tabs>
        <w:autoSpaceDE w:val="0"/>
        <w:autoSpaceDN w:val="0"/>
        <w:adjustRightInd w:val="0"/>
        <w:spacing w:after="0"/>
        <w:rPr>
          <w:rFonts w:asciiTheme="minorHAnsi" w:hAnsiTheme="minorHAnsi"/>
          <w:b/>
        </w:rPr>
      </w:pPr>
      <w:r w:rsidRPr="00FE74A2">
        <w:rPr>
          <w:rFonts w:asciiTheme="minorHAnsi" w:hAnsiTheme="minorHAnsi"/>
          <w:color w:val="000000"/>
        </w:rPr>
        <w:t>Do výše příspěvku se promítá celkový počet obyvatel obce, počet obyvatel správního obvodu a</w:t>
      </w:r>
      <w:r w:rsidR="008D6C98">
        <w:rPr>
          <w:rFonts w:asciiTheme="minorHAnsi" w:hAnsiTheme="minorHAnsi"/>
          <w:color w:val="000000"/>
        </w:rPr>
        <w:t> </w:t>
      </w:r>
      <w:r w:rsidRPr="00FE74A2">
        <w:rPr>
          <w:rFonts w:asciiTheme="minorHAnsi" w:hAnsiTheme="minorHAnsi"/>
          <w:color w:val="000000"/>
        </w:rPr>
        <w:t xml:space="preserve">u obcí s rozšířenou působností také poměr správního centra ke správnímu obvodu vyjádřený počtem obyvatel. Příspěvky na zajištění financování dalších specifických činností jsou závislé na jiných parametrech, např. na počtu </w:t>
      </w:r>
      <w:proofErr w:type="spellStart"/>
      <w:r w:rsidRPr="00FE74A2">
        <w:rPr>
          <w:rFonts w:asciiTheme="minorHAnsi" w:hAnsiTheme="minorHAnsi"/>
          <w:color w:val="000000"/>
        </w:rPr>
        <w:t>opatrovanců</w:t>
      </w:r>
      <w:proofErr w:type="spellEnd"/>
      <w:r w:rsidRPr="00FE74A2">
        <w:rPr>
          <w:rFonts w:asciiTheme="minorHAnsi" w:hAnsiTheme="minorHAnsi"/>
          <w:color w:val="000000"/>
        </w:rPr>
        <w:t xml:space="preserve">, počtu </w:t>
      </w:r>
      <w:r w:rsidRPr="00FE74A2">
        <w:rPr>
          <w:rFonts w:asciiTheme="minorHAnsi" w:hAnsiTheme="minorHAnsi"/>
          <w:color w:val="000000"/>
        </w:rPr>
        <w:lastRenderedPageBreak/>
        <w:t>podaných žádostí o vydání občanského a řidičského průkazu apod.</w:t>
      </w:r>
    </w:p>
    <w:p w:rsidR="00FE74A2" w:rsidRPr="00FE74A2" w:rsidRDefault="00FE74A2" w:rsidP="00FE74A2">
      <w:pPr>
        <w:pStyle w:val="Odstavecseseznamem"/>
        <w:numPr>
          <w:ilvl w:val="0"/>
          <w:numId w:val="30"/>
        </w:numPr>
        <w:tabs>
          <w:tab w:val="num" w:pos="928"/>
        </w:tabs>
        <w:autoSpaceDE w:val="0"/>
        <w:autoSpaceDN w:val="0"/>
        <w:adjustRightInd w:val="0"/>
        <w:spacing w:after="0"/>
        <w:rPr>
          <w:rFonts w:asciiTheme="minorHAnsi" w:hAnsiTheme="minorHAnsi"/>
        </w:rPr>
      </w:pPr>
      <w:r w:rsidRPr="00FE74A2">
        <w:rPr>
          <w:rFonts w:asciiTheme="minorHAnsi" w:hAnsiTheme="minorHAnsi"/>
        </w:rPr>
        <w:t>Obce s rozšířenou působností (dále jen ORP) Černošice, Brandýs nad Labem-Stará Boleslav, Nýřany a Šlapanice podle § 6 zákona č. 51/2020 Sb., o územně správním členění státu, mohou vykonávat svou působnost na detašovaném pracovišti mimo svůj správní obvod. Zákon však již neupravuje, které agendy by měly být v rámci těchto detašovaných pracovišť vykonávány. Od roku 2003 prošly úřady těchto čtyř ORP určitým vývojem až k současnému stavu rozmístění agend. Mimo jiné u některých agend došlo ke zrušení místní příslušnosti. Výše příspěvku na zvláštní působnost byla od roku 2013 do roku 2018 ve stejné výši pro všechny tyto úřady, nicméně jejich velikost a rozsah agend, které poskytují na detašovaném pracovišti, je rozdílná. Nové rozdělení je založené na skutečném počtu zaměstnanců vykonávající</w:t>
      </w:r>
      <w:r w:rsidR="00245549">
        <w:rPr>
          <w:rFonts w:asciiTheme="minorHAnsi" w:hAnsiTheme="minorHAnsi"/>
        </w:rPr>
        <w:t>ch</w:t>
      </w:r>
      <w:r w:rsidRPr="00FE74A2">
        <w:rPr>
          <w:rFonts w:asciiTheme="minorHAnsi" w:hAnsiTheme="minorHAnsi"/>
        </w:rPr>
        <w:t xml:space="preserve"> přenesenou působnost na detašovaném pracovišti (vyjma zaměstnanců orgánů sociálně – právní ochrany dětí, kteří jsou financováni z dotací z kapitoly Ministerstva práce a sociálních věcí) a velikosti správního obvodu ORP. </w:t>
      </w:r>
    </w:p>
    <w:p w:rsidR="00792C54" w:rsidRPr="00D93F60" w:rsidRDefault="00792C54" w:rsidP="00792C54">
      <w:pPr>
        <w:autoSpaceDE w:val="0"/>
        <w:autoSpaceDN w:val="0"/>
        <w:adjustRightInd w:val="0"/>
        <w:spacing w:after="0"/>
        <w:rPr>
          <w:rFonts w:asciiTheme="minorHAnsi" w:hAnsiTheme="minorHAnsi"/>
          <w:b/>
        </w:rPr>
      </w:pPr>
      <w:r w:rsidRPr="00D93F60">
        <w:rPr>
          <w:rFonts w:asciiTheme="minorHAnsi" w:hAnsiTheme="minorHAnsi"/>
          <w:b/>
        </w:rPr>
        <w:t>Vlivy zohledněné v příspěvku na výkon státní správy pro obce v roce 2020:</w:t>
      </w:r>
    </w:p>
    <w:p w:rsidR="008C318B" w:rsidRPr="008C318B" w:rsidRDefault="008C318B" w:rsidP="008C318B">
      <w:pPr>
        <w:pStyle w:val="Odstavecseseznamem"/>
        <w:numPr>
          <w:ilvl w:val="0"/>
          <w:numId w:val="30"/>
        </w:numPr>
        <w:tabs>
          <w:tab w:val="num" w:pos="928"/>
        </w:tabs>
        <w:autoSpaceDE w:val="0"/>
        <w:autoSpaceDN w:val="0"/>
        <w:adjustRightInd w:val="0"/>
        <w:spacing w:after="0"/>
        <w:rPr>
          <w:rFonts w:asciiTheme="minorHAnsi" w:hAnsiTheme="minorHAnsi"/>
        </w:rPr>
      </w:pPr>
      <w:r w:rsidRPr="008C318B">
        <w:rPr>
          <w:rFonts w:asciiTheme="minorHAnsi" w:hAnsiTheme="minorHAnsi"/>
        </w:rPr>
        <w:t>změna počtu obyvatel jednotlivých správních obvodů kategorií obcí dle bilance obyvatel ČR k 1. 1. 2020 vydané ČSÚ,</w:t>
      </w:r>
    </w:p>
    <w:p w:rsidR="008C318B" w:rsidRPr="008C318B" w:rsidRDefault="008C318B" w:rsidP="008C318B">
      <w:pPr>
        <w:pStyle w:val="Odstavecseseznamem"/>
        <w:numPr>
          <w:ilvl w:val="0"/>
          <w:numId w:val="30"/>
        </w:numPr>
        <w:tabs>
          <w:tab w:val="num" w:pos="928"/>
        </w:tabs>
        <w:autoSpaceDE w:val="0"/>
        <w:autoSpaceDN w:val="0"/>
        <w:adjustRightInd w:val="0"/>
        <w:spacing w:after="0"/>
        <w:rPr>
          <w:rFonts w:asciiTheme="minorHAnsi" w:hAnsiTheme="minorHAnsi"/>
        </w:rPr>
      </w:pPr>
      <w:r w:rsidRPr="008C318B">
        <w:rPr>
          <w:rFonts w:asciiTheme="minorHAnsi" w:hAnsiTheme="minorHAnsi"/>
        </w:rPr>
        <w:t xml:space="preserve">úprava správních obvodů obcí v důsledku schválení zákona č. 51/2020 Sb., o územně správním členění státu a navazujících vyhlášek č. 345/2020 Sb., </w:t>
      </w:r>
      <w:r w:rsidRPr="008C318B">
        <w:rPr>
          <w:rFonts w:asciiTheme="minorHAnsi" w:hAnsiTheme="minorHAnsi"/>
        </w:rPr>
        <w:lastRenderedPageBreak/>
        <w:t>o</w:t>
      </w:r>
      <w:r>
        <w:rPr>
          <w:rFonts w:asciiTheme="minorHAnsi" w:hAnsiTheme="minorHAnsi"/>
        </w:rPr>
        <w:t> </w:t>
      </w:r>
      <w:r w:rsidRPr="008C318B">
        <w:rPr>
          <w:rFonts w:asciiTheme="minorHAnsi" w:hAnsiTheme="minorHAnsi"/>
        </w:rPr>
        <w:t>stanovení správních obvodů obcí s pověřeným obecním úřadem, a vyhlášky č. 346/2020 Sb., o</w:t>
      </w:r>
      <w:r>
        <w:rPr>
          <w:rFonts w:asciiTheme="minorHAnsi" w:hAnsiTheme="minorHAnsi"/>
        </w:rPr>
        <w:t> </w:t>
      </w:r>
      <w:r w:rsidRPr="008C318B">
        <w:rPr>
          <w:rFonts w:asciiTheme="minorHAnsi" w:hAnsiTheme="minorHAnsi"/>
        </w:rPr>
        <w:t>stanovení správních obvodů obcí s rozšířenou působností, území obvodů hlavního města Prahy a</w:t>
      </w:r>
      <w:r>
        <w:rPr>
          <w:rFonts w:asciiTheme="minorHAnsi" w:hAnsiTheme="minorHAnsi"/>
        </w:rPr>
        <w:t> </w:t>
      </w:r>
      <w:r w:rsidRPr="008C318B">
        <w:rPr>
          <w:rFonts w:asciiTheme="minorHAnsi" w:hAnsiTheme="minorHAnsi"/>
        </w:rPr>
        <w:t>příslušnosti některých obcí do jiného okresu</w:t>
      </w:r>
      <w:r w:rsidR="00FB047C">
        <w:rPr>
          <w:rFonts w:asciiTheme="minorHAnsi" w:hAnsiTheme="minorHAnsi"/>
        </w:rPr>
        <w:t>,</w:t>
      </w:r>
    </w:p>
    <w:p w:rsidR="008C318B" w:rsidRPr="008C318B" w:rsidRDefault="008C318B" w:rsidP="008C318B">
      <w:pPr>
        <w:pStyle w:val="Odstavecseseznamem"/>
        <w:numPr>
          <w:ilvl w:val="0"/>
          <w:numId w:val="30"/>
        </w:numPr>
        <w:tabs>
          <w:tab w:val="num" w:pos="928"/>
        </w:tabs>
        <w:autoSpaceDE w:val="0"/>
        <w:autoSpaceDN w:val="0"/>
        <w:adjustRightInd w:val="0"/>
        <w:spacing w:after="0"/>
        <w:rPr>
          <w:rFonts w:asciiTheme="minorHAnsi" w:hAnsiTheme="minorHAnsi"/>
        </w:rPr>
      </w:pPr>
      <w:r w:rsidRPr="008C318B">
        <w:rPr>
          <w:rFonts w:asciiTheme="minorHAnsi" w:hAnsiTheme="minorHAnsi"/>
        </w:rPr>
        <w:t>zrušení matričních úřadů v obci Hostomice, Dolní Bělá a Stanovice</w:t>
      </w:r>
      <w:r w:rsidR="00FB047C">
        <w:rPr>
          <w:rFonts w:asciiTheme="minorHAnsi" w:hAnsiTheme="minorHAnsi"/>
        </w:rPr>
        <w:t>,</w:t>
      </w:r>
    </w:p>
    <w:p w:rsidR="008C318B" w:rsidRPr="008C318B" w:rsidRDefault="008C318B" w:rsidP="008C318B">
      <w:pPr>
        <w:pStyle w:val="Odstavecseseznamem"/>
        <w:numPr>
          <w:ilvl w:val="0"/>
          <w:numId w:val="30"/>
        </w:numPr>
        <w:tabs>
          <w:tab w:val="num" w:pos="928"/>
        </w:tabs>
        <w:autoSpaceDE w:val="0"/>
        <w:autoSpaceDN w:val="0"/>
        <w:adjustRightInd w:val="0"/>
        <w:spacing w:after="0"/>
        <w:rPr>
          <w:rFonts w:asciiTheme="minorHAnsi" w:hAnsiTheme="minorHAnsi"/>
        </w:rPr>
      </w:pPr>
      <w:r w:rsidRPr="008C318B">
        <w:rPr>
          <w:rFonts w:asciiTheme="minorHAnsi" w:hAnsiTheme="minorHAnsi"/>
        </w:rPr>
        <w:t>doplnění výkonového financování agendy živnostenských úřadů,</w:t>
      </w:r>
    </w:p>
    <w:p w:rsidR="008C318B" w:rsidRPr="008C318B" w:rsidRDefault="008C318B" w:rsidP="008C318B">
      <w:pPr>
        <w:pStyle w:val="Odstavecseseznamem"/>
        <w:numPr>
          <w:ilvl w:val="0"/>
          <w:numId w:val="30"/>
        </w:numPr>
        <w:tabs>
          <w:tab w:val="num" w:pos="928"/>
        </w:tabs>
        <w:autoSpaceDE w:val="0"/>
        <w:autoSpaceDN w:val="0"/>
        <w:adjustRightInd w:val="0"/>
        <w:spacing w:after="0"/>
        <w:rPr>
          <w:rFonts w:asciiTheme="minorHAnsi" w:hAnsiTheme="minorHAnsi"/>
        </w:rPr>
      </w:pPr>
      <w:r w:rsidRPr="008C318B">
        <w:rPr>
          <w:rFonts w:asciiTheme="minorHAnsi" w:hAnsiTheme="minorHAnsi"/>
        </w:rPr>
        <w:t>doplnění výkonového financování vydávání občanských průkazů (platba za aktivaci občanského průkazu),</w:t>
      </w:r>
    </w:p>
    <w:p w:rsidR="008C318B" w:rsidRPr="008C318B" w:rsidRDefault="008C318B" w:rsidP="008C318B">
      <w:pPr>
        <w:pStyle w:val="Odstavecseseznamem"/>
        <w:numPr>
          <w:ilvl w:val="0"/>
          <w:numId w:val="30"/>
        </w:numPr>
        <w:tabs>
          <w:tab w:val="num" w:pos="928"/>
        </w:tabs>
        <w:autoSpaceDE w:val="0"/>
        <w:autoSpaceDN w:val="0"/>
        <w:adjustRightInd w:val="0"/>
        <w:spacing w:after="0"/>
        <w:rPr>
          <w:rFonts w:asciiTheme="minorHAnsi" w:hAnsiTheme="minorHAnsi"/>
        </w:rPr>
      </w:pPr>
      <w:r w:rsidRPr="008C318B">
        <w:rPr>
          <w:rFonts w:asciiTheme="minorHAnsi" w:hAnsiTheme="minorHAnsi"/>
        </w:rPr>
        <w:t>úprava parametrů pro kalkulaci nákladů na modelový pracovní úvazek (při výpočtu kalkulován 8. platový stupeň namísto 7., navýšeno osobní ohodnocení na 25 % z 20 % a jeho výpočet vztažen k nejvyššímu tj. 12. platovému stupni namísto původně 7.</w:t>
      </w:r>
      <w:r w:rsidR="00FB047C">
        <w:rPr>
          <w:rFonts w:asciiTheme="minorHAnsi" w:hAnsiTheme="minorHAnsi"/>
        </w:rPr>
        <w:t>)</w:t>
      </w:r>
      <w:r w:rsidRPr="008C318B">
        <w:rPr>
          <w:rFonts w:asciiTheme="minorHAnsi" w:hAnsiTheme="minorHAnsi"/>
        </w:rPr>
        <w:t>,</w:t>
      </w:r>
    </w:p>
    <w:p w:rsidR="008C318B" w:rsidRPr="008C318B" w:rsidRDefault="008C318B" w:rsidP="008C318B">
      <w:pPr>
        <w:pStyle w:val="Odstavecseseznamem"/>
        <w:numPr>
          <w:ilvl w:val="0"/>
          <w:numId w:val="30"/>
        </w:numPr>
        <w:tabs>
          <w:tab w:val="num" w:pos="928"/>
        </w:tabs>
        <w:autoSpaceDE w:val="0"/>
        <w:autoSpaceDN w:val="0"/>
        <w:adjustRightInd w:val="0"/>
        <w:spacing w:after="0"/>
        <w:rPr>
          <w:rFonts w:asciiTheme="minorHAnsi" w:hAnsiTheme="minorHAnsi"/>
        </w:rPr>
      </w:pPr>
      <w:r w:rsidRPr="008C318B">
        <w:rPr>
          <w:rFonts w:asciiTheme="minorHAnsi" w:hAnsiTheme="minorHAnsi"/>
        </w:rPr>
        <w:t>navýšení jednotlivých výkonových plateb v důsledku dříve uvedených změn modelového pracovního úvazku,</w:t>
      </w:r>
    </w:p>
    <w:p w:rsidR="008C318B" w:rsidRPr="008C318B" w:rsidRDefault="008C318B" w:rsidP="008C318B">
      <w:pPr>
        <w:pStyle w:val="Odstavecseseznamem"/>
        <w:numPr>
          <w:ilvl w:val="0"/>
          <w:numId w:val="30"/>
        </w:numPr>
        <w:tabs>
          <w:tab w:val="num" w:pos="928"/>
        </w:tabs>
        <w:autoSpaceDE w:val="0"/>
        <w:autoSpaceDN w:val="0"/>
        <w:adjustRightInd w:val="0"/>
        <w:spacing w:after="0"/>
        <w:rPr>
          <w:rFonts w:asciiTheme="minorHAnsi" w:hAnsiTheme="minorHAnsi"/>
        </w:rPr>
      </w:pPr>
      <w:r w:rsidRPr="008C318B">
        <w:rPr>
          <w:rFonts w:asciiTheme="minorHAnsi" w:hAnsiTheme="minorHAnsi"/>
        </w:rPr>
        <w:t>v případě zvláštní matriky města Brna došlo k navýšení pří</w:t>
      </w:r>
      <w:r w:rsidR="00AD1A65">
        <w:rPr>
          <w:rFonts w:asciiTheme="minorHAnsi" w:hAnsiTheme="minorHAnsi"/>
        </w:rPr>
        <w:t>spěvku na výkon státní správy o </w:t>
      </w:r>
      <w:r w:rsidRPr="008C318B">
        <w:rPr>
          <w:rFonts w:asciiTheme="minorHAnsi" w:hAnsiTheme="minorHAnsi"/>
        </w:rPr>
        <w:t>2 230 000 Kč z důvodu nárůstu mzdových nákladů a provozních výdajů,</w:t>
      </w:r>
    </w:p>
    <w:p w:rsidR="008C318B" w:rsidRPr="008C318B" w:rsidRDefault="008C318B" w:rsidP="008C318B">
      <w:pPr>
        <w:pStyle w:val="Odstavecseseznamem"/>
        <w:numPr>
          <w:ilvl w:val="0"/>
          <w:numId w:val="30"/>
        </w:numPr>
        <w:tabs>
          <w:tab w:val="num" w:pos="928"/>
        </w:tabs>
        <w:autoSpaceDE w:val="0"/>
        <w:autoSpaceDN w:val="0"/>
        <w:adjustRightInd w:val="0"/>
        <w:spacing w:after="0"/>
        <w:rPr>
          <w:rFonts w:asciiTheme="minorHAnsi" w:hAnsiTheme="minorHAnsi"/>
          <w:b/>
          <w:bCs/>
        </w:rPr>
      </w:pPr>
      <w:r w:rsidRPr="008C318B">
        <w:rPr>
          <w:rFonts w:asciiTheme="minorHAnsi" w:hAnsiTheme="minorHAnsi"/>
        </w:rPr>
        <w:t>celkový objem příspěvku dle jednotlivých působností obcí (základní působnost, stavební úřad, pověřený obecní úřad, obecní úřad s rozšířenou působností) byl pro rok 2021 valorizován o 4,28 %, vyjma matriční působnosti</w:t>
      </w:r>
      <w:r w:rsidRPr="008C318B">
        <w:rPr>
          <w:rFonts w:asciiTheme="minorHAnsi" w:hAnsiTheme="minorHAnsi"/>
          <w:b/>
        </w:rPr>
        <w:t>.</w:t>
      </w:r>
    </w:p>
    <w:p w:rsidR="00CD152E" w:rsidRDefault="00CD152E" w:rsidP="002F46DD">
      <w:pPr>
        <w:suppressAutoHyphens/>
        <w:autoSpaceDE w:val="0"/>
        <w:autoSpaceDN w:val="0"/>
        <w:adjustRightInd w:val="0"/>
        <w:spacing w:after="0"/>
        <w:rPr>
          <w:b/>
        </w:rPr>
        <w:sectPr w:rsidR="00CD152E" w:rsidSect="00CD152E">
          <w:type w:val="continuous"/>
          <w:pgSz w:w="11906" w:h="16838" w:code="9"/>
          <w:pgMar w:top="1134" w:right="1134" w:bottom="1134" w:left="1134" w:header="709" w:footer="709" w:gutter="0"/>
          <w:cols w:num="2" w:space="397"/>
          <w:docGrid w:linePitch="360"/>
        </w:sectPr>
      </w:pPr>
    </w:p>
    <w:p w:rsidR="00AE23BF" w:rsidRPr="00BF5A04" w:rsidRDefault="0025661A" w:rsidP="0025661A">
      <w:pPr>
        <w:keepNext/>
        <w:tabs>
          <w:tab w:val="num" w:pos="567"/>
          <w:tab w:val="right" w:pos="9072"/>
        </w:tabs>
        <w:autoSpaceDE w:val="0"/>
        <w:autoSpaceDN w:val="0"/>
        <w:adjustRightInd w:val="0"/>
        <w:spacing w:before="120" w:after="120"/>
        <w:rPr>
          <w:b/>
          <w:bCs/>
          <w:iCs/>
          <w:sz w:val="24"/>
          <w:szCs w:val="24"/>
        </w:rPr>
      </w:pPr>
      <w:r>
        <w:rPr>
          <w:b/>
          <w:bCs/>
          <w:iCs/>
          <w:sz w:val="24"/>
          <w:szCs w:val="24"/>
        </w:rPr>
        <w:lastRenderedPageBreak/>
        <w:t>Z</w:t>
      </w:r>
      <w:r w:rsidR="00AE23BF" w:rsidRPr="00BF5A04">
        <w:rPr>
          <w:b/>
          <w:bCs/>
          <w:iCs/>
          <w:sz w:val="24"/>
          <w:szCs w:val="24"/>
        </w:rPr>
        <w:t>ajištění financování dalších specifických činností</w:t>
      </w:r>
      <w:r>
        <w:rPr>
          <w:b/>
          <w:bCs/>
          <w:iCs/>
          <w:sz w:val="24"/>
          <w:szCs w:val="24"/>
        </w:rPr>
        <w:t xml:space="preserve"> v rámci příspěvku na výkon státní správy</w:t>
      </w:r>
    </w:p>
    <w:p w:rsidR="00125B3E" w:rsidRPr="003506B8" w:rsidRDefault="00125B3E"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3506B8">
        <w:rPr>
          <w:b/>
          <w:sz w:val="24"/>
        </w:rPr>
        <w:t>Financování veřejného opatrovnictví</w:t>
      </w:r>
    </w:p>
    <w:p w:rsidR="002F46DD" w:rsidRPr="003506B8" w:rsidRDefault="002F46DD" w:rsidP="00B32582">
      <w:pPr>
        <w:pStyle w:val="Odstavecseseznamem"/>
        <w:numPr>
          <w:ilvl w:val="0"/>
          <w:numId w:val="13"/>
        </w:numPr>
        <w:suppressAutoHyphens/>
        <w:autoSpaceDE w:val="0"/>
        <w:autoSpaceDN w:val="0"/>
        <w:adjustRightInd w:val="0"/>
        <w:spacing w:after="0"/>
        <w:rPr>
          <w:b/>
          <w:sz w:val="24"/>
        </w:rPr>
        <w:sectPr w:rsidR="002F46DD" w:rsidRPr="003506B8" w:rsidSect="004E7A79">
          <w:footnotePr>
            <w:pos w:val="beneathText"/>
          </w:footnotePr>
          <w:type w:val="continuous"/>
          <w:pgSz w:w="11906" w:h="16838" w:code="9"/>
          <w:pgMar w:top="1134" w:right="1134" w:bottom="1134" w:left="1134" w:header="709" w:footer="709" w:gutter="0"/>
          <w:cols w:space="708"/>
          <w:docGrid w:linePitch="360"/>
        </w:sectPr>
      </w:pPr>
    </w:p>
    <w:p w:rsidR="00686B06" w:rsidRPr="00686B06" w:rsidRDefault="00686B06" w:rsidP="00686B06">
      <w:pPr>
        <w:widowControl w:val="0"/>
        <w:autoSpaceDE w:val="0"/>
        <w:autoSpaceDN w:val="0"/>
        <w:adjustRightInd w:val="0"/>
        <w:spacing w:after="0"/>
        <w:ind w:left="360"/>
        <w:rPr>
          <w:rFonts w:asciiTheme="minorHAnsi" w:hAnsiTheme="minorHAnsi"/>
        </w:rPr>
      </w:pPr>
      <w:r w:rsidRPr="00686B06">
        <w:rPr>
          <w:rFonts w:asciiTheme="minorHAnsi" w:hAnsiTheme="minorHAnsi"/>
        </w:rPr>
        <w:lastRenderedPageBreak/>
        <w:t>Obce jako veřejní opatrovníci obdrží násobek paušální platby na jednoho opatrovance podle jejich faktického počtu k rozhodnému dni. Výše paušální platby byla pro rok 2021 stanovena částkou 30</w:t>
      </w:r>
      <w:r w:rsidR="003C6D7D">
        <w:rPr>
          <w:rFonts w:asciiTheme="minorHAnsi" w:hAnsiTheme="minorHAnsi"/>
        </w:rPr>
        <w:t> </w:t>
      </w:r>
      <w:r w:rsidRPr="00686B06">
        <w:rPr>
          <w:rFonts w:asciiTheme="minorHAnsi" w:hAnsiTheme="minorHAnsi"/>
        </w:rPr>
        <w:t xml:space="preserve">500 Kč na opatrovance za rok. Rozhodným dnem pro příspěvek na rok 2021 byl 31. březen 2020. </w:t>
      </w:r>
      <w:r w:rsidRPr="00686B06">
        <w:rPr>
          <w:rFonts w:asciiTheme="minorHAnsi" w:hAnsiTheme="minorHAnsi"/>
          <w:color w:val="000000"/>
        </w:rPr>
        <w:t xml:space="preserve">K tomuto rozhodnému dni bylo prostřednictvím krajských úřadů realizováno ve všech obcích zjišťování skutečného stavu výkonu veřejného opatrovnictví. Následně byla takto kraji dodaná data zveřejněna na internetových stránkách Ministerstva vnitra, s cílem umožnit obcím zjištěné skutečnosti </w:t>
      </w:r>
      <w:r w:rsidRPr="00686B06">
        <w:rPr>
          <w:rFonts w:asciiTheme="minorHAnsi" w:hAnsiTheme="minorHAnsi"/>
          <w:color w:val="000000"/>
        </w:rPr>
        <w:lastRenderedPageBreak/>
        <w:t xml:space="preserve">ještě jednou verifikovat. </w:t>
      </w:r>
      <w:r w:rsidRPr="00686B06">
        <w:rPr>
          <w:rFonts w:asciiTheme="minorHAnsi" w:hAnsiTheme="minorHAnsi"/>
        </w:rPr>
        <w:t xml:space="preserve">Na změny v počtu </w:t>
      </w:r>
      <w:proofErr w:type="spellStart"/>
      <w:r w:rsidRPr="00686B06">
        <w:rPr>
          <w:rFonts w:asciiTheme="minorHAnsi" w:hAnsiTheme="minorHAnsi"/>
        </w:rPr>
        <w:t>opatrovanců</w:t>
      </w:r>
      <w:proofErr w:type="spellEnd"/>
      <w:r w:rsidRPr="00686B06">
        <w:rPr>
          <w:rFonts w:asciiTheme="minorHAnsi" w:hAnsiTheme="minorHAnsi"/>
        </w:rPr>
        <w:t xml:space="preserve"> v průběhu roku není brán zřetel. Jedná se pouze o živé osoby pod opatrovnictvím obcí. Zároveň nehraje roli faktická přítomnost osoby v obci, tedy zda osoba v rozhodném datu pobývá na jiném místě (například zdravotnické zařízení, zařízení sociálních služeb apod.), či zda jde o osobu migrující v dalších obcích.  </w:t>
      </w:r>
    </w:p>
    <w:p w:rsidR="00686B06" w:rsidRPr="00686B06" w:rsidRDefault="00686B06" w:rsidP="00686B06">
      <w:pPr>
        <w:widowControl w:val="0"/>
        <w:autoSpaceDE w:val="0"/>
        <w:autoSpaceDN w:val="0"/>
        <w:adjustRightInd w:val="0"/>
        <w:spacing w:after="0"/>
        <w:ind w:left="360"/>
        <w:rPr>
          <w:rFonts w:asciiTheme="minorHAnsi" w:hAnsiTheme="minorHAnsi"/>
        </w:rPr>
      </w:pPr>
      <w:r w:rsidRPr="00686B06">
        <w:rPr>
          <w:rFonts w:asciiTheme="minorHAnsi" w:hAnsiTheme="minorHAnsi"/>
        </w:rPr>
        <w:t>Celková vyčleněná částka je 383 385 000 Kč.</w:t>
      </w:r>
    </w:p>
    <w:p w:rsidR="00D72545" w:rsidRDefault="00D72545" w:rsidP="00A8669C">
      <w:pPr>
        <w:pStyle w:val="Odstavecseseznamem"/>
        <w:autoSpaceDE w:val="0"/>
        <w:autoSpaceDN w:val="0"/>
        <w:adjustRightInd w:val="0"/>
        <w:spacing w:after="0"/>
        <w:ind w:left="360"/>
        <w:rPr>
          <w:b/>
        </w:rPr>
      </w:pPr>
    </w:p>
    <w:p w:rsidR="00D72545" w:rsidRDefault="00D72545" w:rsidP="00A8669C">
      <w:pPr>
        <w:pStyle w:val="Odstavecseseznamem"/>
        <w:autoSpaceDE w:val="0"/>
        <w:autoSpaceDN w:val="0"/>
        <w:adjustRightInd w:val="0"/>
        <w:spacing w:after="0"/>
        <w:ind w:left="360"/>
        <w:rPr>
          <w:b/>
        </w:rPr>
        <w:sectPr w:rsidR="00D72545" w:rsidSect="00D72545">
          <w:footnotePr>
            <w:pos w:val="beneathText"/>
          </w:footnotePr>
          <w:type w:val="continuous"/>
          <w:pgSz w:w="11906" w:h="16838" w:code="9"/>
          <w:pgMar w:top="1134" w:right="1134" w:bottom="1134" w:left="1134" w:header="709" w:footer="709" w:gutter="0"/>
          <w:cols w:num="2" w:space="397"/>
          <w:docGrid w:linePitch="360"/>
        </w:sectPr>
      </w:pPr>
    </w:p>
    <w:p w:rsidR="00AE23BF" w:rsidRDefault="00AE23BF" w:rsidP="00A8669C">
      <w:pPr>
        <w:pStyle w:val="Odstavecseseznamem"/>
        <w:autoSpaceDE w:val="0"/>
        <w:autoSpaceDN w:val="0"/>
        <w:adjustRightInd w:val="0"/>
        <w:spacing w:after="0"/>
        <w:ind w:left="360"/>
        <w:rPr>
          <w:b/>
        </w:rPr>
      </w:pPr>
      <w:r w:rsidRPr="00D264CF">
        <w:rPr>
          <w:b/>
        </w:rPr>
        <w:lastRenderedPageBreak/>
        <w:t>Do financování spadá:</w:t>
      </w:r>
    </w:p>
    <w:p w:rsidR="00D72545" w:rsidRDefault="00D72545" w:rsidP="00220419">
      <w:pPr>
        <w:pStyle w:val="Odstavecseseznamem"/>
        <w:numPr>
          <w:ilvl w:val="0"/>
          <w:numId w:val="30"/>
        </w:numPr>
        <w:tabs>
          <w:tab w:val="num" w:pos="928"/>
        </w:tabs>
        <w:autoSpaceDE w:val="0"/>
        <w:autoSpaceDN w:val="0"/>
        <w:adjustRightInd w:val="0"/>
        <w:spacing w:after="0"/>
        <w:rPr>
          <w:rFonts w:asciiTheme="minorHAnsi" w:hAnsiTheme="minorHAnsi"/>
        </w:rPr>
        <w:sectPr w:rsidR="00D72545" w:rsidSect="00A53656">
          <w:footnotePr>
            <w:pos w:val="beneathText"/>
          </w:footnotePr>
          <w:type w:val="continuous"/>
          <w:pgSz w:w="11906" w:h="16838" w:code="9"/>
          <w:pgMar w:top="1134" w:right="1134" w:bottom="1134" w:left="1134" w:header="709" w:footer="709" w:gutter="0"/>
          <w:cols w:space="397"/>
          <w:docGrid w:linePitch="360"/>
        </w:sectPr>
      </w:pPr>
    </w:p>
    <w:p w:rsidR="00220419" w:rsidRPr="00220419" w:rsidRDefault="00220419" w:rsidP="00AD1A65">
      <w:pPr>
        <w:pStyle w:val="Odstavecseseznamem"/>
        <w:numPr>
          <w:ilvl w:val="0"/>
          <w:numId w:val="30"/>
        </w:numPr>
        <w:autoSpaceDE w:val="0"/>
        <w:autoSpaceDN w:val="0"/>
        <w:adjustRightInd w:val="0"/>
        <w:spacing w:after="0"/>
        <w:ind w:left="567" w:hanging="218"/>
        <w:rPr>
          <w:rFonts w:asciiTheme="minorHAnsi" w:hAnsiTheme="minorHAnsi"/>
        </w:rPr>
      </w:pPr>
      <w:r w:rsidRPr="002D2293">
        <w:rPr>
          <w:rFonts w:asciiTheme="minorHAnsi" w:hAnsiTheme="minorHAnsi"/>
        </w:rPr>
        <w:lastRenderedPageBreak/>
        <w:t xml:space="preserve">opatrovnictví zletilých osob, a to jak těch, které byly omezeny ve svéprávnosti (dle </w:t>
      </w:r>
      <w:hyperlink r:id="rId28" w:history="1">
        <w:r w:rsidR="00AD1A65">
          <w:rPr>
            <w:rFonts w:asciiTheme="minorHAnsi" w:hAnsiTheme="minorHAnsi"/>
          </w:rPr>
          <w:t>§ 55 zákona č. </w:t>
        </w:r>
        <w:r w:rsidRPr="002D2293">
          <w:rPr>
            <w:rFonts w:asciiTheme="minorHAnsi" w:hAnsiTheme="minorHAnsi"/>
          </w:rPr>
          <w:t>89/2012 Sb.</w:t>
        </w:r>
      </w:hyperlink>
      <w:r w:rsidRPr="002D2293">
        <w:rPr>
          <w:rFonts w:asciiTheme="minorHAnsi" w:hAnsiTheme="minorHAnsi"/>
        </w:rPr>
        <w:t>, občanský zákoník</w:t>
      </w:r>
      <w:r>
        <w:rPr>
          <w:rFonts w:asciiTheme="minorHAnsi" w:hAnsiTheme="minorHAnsi"/>
        </w:rPr>
        <w:t xml:space="preserve"> (dále jen „</w:t>
      </w:r>
      <w:r w:rsidRPr="002D2293">
        <w:rPr>
          <w:rFonts w:asciiTheme="minorHAnsi" w:hAnsiTheme="minorHAnsi"/>
        </w:rPr>
        <w:t>OZ</w:t>
      </w:r>
      <w:r>
        <w:rPr>
          <w:rFonts w:asciiTheme="minorHAnsi" w:hAnsiTheme="minorHAnsi"/>
        </w:rPr>
        <w:t>“)</w:t>
      </w:r>
      <w:r w:rsidRPr="002D2293">
        <w:rPr>
          <w:rFonts w:asciiTheme="minorHAnsi" w:hAnsiTheme="minorHAnsi"/>
        </w:rPr>
        <w:t xml:space="preserve"> ve spojení s</w:t>
      </w:r>
      <w:r>
        <w:rPr>
          <w:rFonts w:asciiTheme="minorHAnsi" w:hAnsiTheme="minorHAnsi"/>
        </w:rPr>
        <w:t> </w:t>
      </w:r>
      <w:hyperlink r:id="rId29" w:history="1">
        <w:r w:rsidRPr="002D2293">
          <w:rPr>
            <w:rFonts w:asciiTheme="minorHAnsi" w:hAnsiTheme="minorHAnsi"/>
          </w:rPr>
          <w:t>§</w:t>
        </w:r>
        <w:r>
          <w:rPr>
            <w:rFonts w:asciiTheme="minorHAnsi" w:hAnsiTheme="minorHAnsi"/>
          </w:rPr>
          <w:t> </w:t>
        </w:r>
        <w:r w:rsidRPr="002D2293">
          <w:rPr>
            <w:rFonts w:asciiTheme="minorHAnsi" w:hAnsiTheme="minorHAnsi"/>
          </w:rPr>
          <w:t>62</w:t>
        </w:r>
      </w:hyperlink>
      <w:r>
        <w:rPr>
          <w:rFonts w:asciiTheme="minorHAnsi" w:hAnsiTheme="minorHAnsi"/>
        </w:rPr>
        <w:t>)</w:t>
      </w:r>
      <w:r w:rsidRPr="002D2293">
        <w:rPr>
          <w:rFonts w:asciiTheme="minorHAnsi" w:hAnsiTheme="minorHAnsi"/>
        </w:rPr>
        <w:t>, tak i těch, které omezeny nebyly (</w:t>
      </w:r>
      <w:hyperlink r:id="rId30" w:history="1">
        <w:r w:rsidRPr="002D2293">
          <w:rPr>
            <w:rFonts w:asciiTheme="minorHAnsi" w:hAnsiTheme="minorHAnsi"/>
          </w:rPr>
          <w:t>§ 469 OZ</w:t>
        </w:r>
      </w:hyperlink>
      <w:r w:rsidRPr="002D2293">
        <w:rPr>
          <w:rFonts w:asciiTheme="minorHAnsi" w:hAnsiTheme="minorHAnsi"/>
        </w:rPr>
        <w:t xml:space="preserve"> – špatný zdravotní stav působí obtíže při správě jmění nebo hájení práv). </w:t>
      </w:r>
      <w:r w:rsidR="00AD1A65">
        <w:rPr>
          <w:rFonts w:asciiTheme="minorHAnsi" w:hAnsiTheme="minorHAnsi"/>
        </w:rPr>
        <w:t>V </w:t>
      </w:r>
      <w:r w:rsidRPr="00220419">
        <w:rPr>
          <w:rFonts w:asciiTheme="minorHAnsi" w:hAnsiTheme="minorHAnsi"/>
        </w:rPr>
        <w:t xml:space="preserve">těchto případech je zde pravomocný rozsudek soudu, kterým je jmenována obec veřejným opatrovníkem nikoliv jen pro jedno konkrétní </w:t>
      </w:r>
      <w:r w:rsidRPr="00220419">
        <w:rPr>
          <w:rFonts w:asciiTheme="minorHAnsi" w:hAnsiTheme="minorHAnsi"/>
        </w:rPr>
        <w:lastRenderedPageBreak/>
        <w:t>řízení, ale pro komplexní výkon práv a povinností spojených s dlouhodobou omezenou schopností opatrovance zajišťovat své potřeby vlastními silami,</w:t>
      </w:r>
    </w:p>
    <w:p w:rsidR="00220419" w:rsidRPr="00220419" w:rsidRDefault="00220419" w:rsidP="00AD1A65">
      <w:pPr>
        <w:pStyle w:val="Odstavecseseznamem"/>
        <w:numPr>
          <w:ilvl w:val="0"/>
          <w:numId w:val="30"/>
        </w:numPr>
        <w:autoSpaceDE w:val="0"/>
        <w:autoSpaceDN w:val="0"/>
        <w:adjustRightInd w:val="0"/>
        <w:spacing w:after="0"/>
        <w:ind w:left="567" w:hanging="218"/>
        <w:rPr>
          <w:rFonts w:asciiTheme="minorHAnsi" w:hAnsiTheme="minorHAnsi"/>
        </w:rPr>
      </w:pPr>
      <w:r w:rsidRPr="00C62801">
        <w:rPr>
          <w:rFonts w:asciiTheme="minorHAnsi" w:hAnsiTheme="minorHAnsi"/>
        </w:rPr>
        <w:t xml:space="preserve">rozhodnutí o omezení ve způsobilosti k právním úkonům dle </w:t>
      </w:r>
      <w:hyperlink r:id="rId31" w:history="1">
        <w:r w:rsidRPr="00C62801">
          <w:rPr>
            <w:rFonts w:asciiTheme="minorHAnsi" w:hAnsiTheme="minorHAnsi"/>
          </w:rPr>
          <w:t>§ 10 odst. 2</w:t>
        </w:r>
      </w:hyperlink>
      <w:r w:rsidRPr="00C62801">
        <w:rPr>
          <w:rFonts w:asciiTheme="minorHAnsi" w:hAnsiTheme="minorHAnsi"/>
        </w:rPr>
        <w:t xml:space="preserve"> a rozhodnutí o zbavení způsobilosti k</w:t>
      </w:r>
      <w:r>
        <w:rPr>
          <w:rFonts w:asciiTheme="minorHAnsi" w:hAnsiTheme="minorHAnsi"/>
        </w:rPr>
        <w:t> </w:t>
      </w:r>
      <w:r w:rsidRPr="00C62801">
        <w:rPr>
          <w:rFonts w:asciiTheme="minorHAnsi" w:hAnsiTheme="minorHAnsi"/>
        </w:rPr>
        <w:t xml:space="preserve">právním úkonům dle </w:t>
      </w:r>
      <w:hyperlink r:id="rId32" w:history="1">
        <w:r w:rsidRPr="00C62801">
          <w:rPr>
            <w:rFonts w:asciiTheme="minorHAnsi" w:hAnsiTheme="minorHAnsi"/>
          </w:rPr>
          <w:t>§ 10 odst. 1 zákona č. 40/1964 Sb.</w:t>
        </w:r>
      </w:hyperlink>
      <w:r w:rsidRPr="00C62801">
        <w:rPr>
          <w:rFonts w:asciiTheme="minorHAnsi" w:hAnsiTheme="minorHAnsi"/>
        </w:rPr>
        <w:t>, Občanský zákoník.</w:t>
      </w:r>
    </w:p>
    <w:p w:rsidR="00D72545" w:rsidRDefault="00D72545" w:rsidP="00D72545">
      <w:pPr>
        <w:tabs>
          <w:tab w:val="num" w:pos="928"/>
        </w:tabs>
        <w:autoSpaceDE w:val="0"/>
        <w:autoSpaceDN w:val="0"/>
        <w:adjustRightInd w:val="0"/>
        <w:spacing w:after="0"/>
        <w:rPr>
          <w:rFonts w:asciiTheme="minorHAnsi" w:hAnsiTheme="minorHAnsi"/>
        </w:rPr>
        <w:sectPr w:rsidR="00D72545" w:rsidSect="00D72545">
          <w:footnotePr>
            <w:pos w:val="beneathText"/>
          </w:footnotePr>
          <w:type w:val="continuous"/>
          <w:pgSz w:w="11906" w:h="16838" w:code="9"/>
          <w:pgMar w:top="1134" w:right="1134" w:bottom="1134" w:left="1134" w:header="709" w:footer="709" w:gutter="0"/>
          <w:cols w:num="2" w:space="397"/>
          <w:docGrid w:linePitch="360"/>
        </w:sectPr>
      </w:pPr>
    </w:p>
    <w:p w:rsidR="00AE23BF" w:rsidRPr="00D72545" w:rsidRDefault="003506B8" w:rsidP="00075D14">
      <w:pPr>
        <w:tabs>
          <w:tab w:val="num" w:pos="928"/>
        </w:tabs>
        <w:autoSpaceDE w:val="0"/>
        <w:autoSpaceDN w:val="0"/>
        <w:adjustRightInd w:val="0"/>
        <w:spacing w:after="0"/>
        <w:ind w:firstLine="284"/>
        <w:rPr>
          <w:b/>
        </w:rPr>
      </w:pPr>
      <w:r w:rsidRPr="00D72545">
        <w:rPr>
          <w:rFonts w:asciiTheme="minorHAnsi" w:hAnsiTheme="minorHAnsi"/>
        </w:rPr>
        <w:lastRenderedPageBreak/>
        <w:br w:type="column"/>
      </w:r>
      <w:r w:rsidR="00AE23BF" w:rsidRPr="00D72545">
        <w:rPr>
          <w:b/>
        </w:rPr>
        <w:lastRenderedPageBreak/>
        <w:t>Do financování nespadá:</w:t>
      </w:r>
    </w:p>
    <w:p w:rsidR="00D72545" w:rsidRDefault="00D72545" w:rsidP="00D72545">
      <w:pPr>
        <w:pStyle w:val="Odstavecseseznamem"/>
        <w:numPr>
          <w:ilvl w:val="0"/>
          <w:numId w:val="14"/>
        </w:numPr>
        <w:autoSpaceDE w:val="0"/>
        <w:autoSpaceDN w:val="0"/>
        <w:adjustRightInd w:val="0"/>
        <w:spacing w:before="120"/>
        <w:ind w:left="709" w:hanging="283"/>
        <w:rPr>
          <w:rFonts w:asciiTheme="minorHAnsi" w:hAnsiTheme="minorHAnsi"/>
        </w:rPr>
        <w:sectPr w:rsidR="00D72545" w:rsidSect="00A53656">
          <w:footnotePr>
            <w:pos w:val="beneathText"/>
          </w:footnotePr>
          <w:type w:val="continuous"/>
          <w:pgSz w:w="11906" w:h="16838" w:code="9"/>
          <w:pgMar w:top="1134" w:right="1134" w:bottom="1134" w:left="1134" w:header="709" w:footer="709" w:gutter="0"/>
          <w:cols w:space="397"/>
          <w:docGrid w:linePitch="360"/>
        </w:sectPr>
      </w:pPr>
    </w:p>
    <w:p w:rsidR="00D72545" w:rsidRPr="006178AA" w:rsidRDefault="00D72545" w:rsidP="00AD1A65">
      <w:pPr>
        <w:pStyle w:val="Odstavecseseznamem"/>
        <w:numPr>
          <w:ilvl w:val="0"/>
          <w:numId w:val="30"/>
        </w:numPr>
        <w:autoSpaceDE w:val="0"/>
        <w:autoSpaceDN w:val="0"/>
        <w:adjustRightInd w:val="0"/>
        <w:spacing w:after="0"/>
        <w:ind w:left="567" w:hanging="218"/>
        <w:rPr>
          <w:rFonts w:asciiTheme="minorHAnsi" w:hAnsiTheme="minorHAnsi"/>
        </w:rPr>
      </w:pPr>
      <w:r w:rsidRPr="006178AA">
        <w:rPr>
          <w:rFonts w:asciiTheme="minorHAnsi" w:hAnsiTheme="minorHAnsi"/>
        </w:rPr>
        <w:lastRenderedPageBreak/>
        <w:t xml:space="preserve">procesní opatrovnictví osob, u kterých není známo, kde pobývají, nebo osob neznámých, které se účastní určitého právního jednání, </w:t>
      </w:r>
    </w:p>
    <w:p w:rsidR="00D72545" w:rsidRPr="006178AA" w:rsidRDefault="00D72545" w:rsidP="00AD1A65">
      <w:pPr>
        <w:pStyle w:val="Odstavecseseznamem"/>
        <w:numPr>
          <w:ilvl w:val="0"/>
          <w:numId w:val="30"/>
        </w:numPr>
        <w:autoSpaceDE w:val="0"/>
        <w:autoSpaceDN w:val="0"/>
        <w:adjustRightInd w:val="0"/>
        <w:spacing w:after="0"/>
        <w:ind w:left="567" w:hanging="218"/>
        <w:rPr>
          <w:rFonts w:asciiTheme="minorHAnsi" w:hAnsiTheme="minorHAnsi"/>
        </w:rPr>
      </w:pPr>
      <w:r w:rsidRPr="006178AA">
        <w:rPr>
          <w:rFonts w:asciiTheme="minorHAnsi" w:hAnsiTheme="minorHAnsi"/>
        </w:rPr>
        <w:t xml:space="preserve">ustanovení obce jako osoby určené pro provedení určitých jednotlivých právních jednání, nebo jíž je svěřena správa majetku osoby již během řízení o svéprávnosti dle </w:t>
      </w:r>
      <w:hyperlink r:id="rId33" w:history="1">
        <w:r w:rsidRPr="006178AA">
          <w:rPr>
            <w:rFonts w:asciiTheme="minorHAnsi" w:hAnsiTheme="minorHAnsi"/>
          </w:rPr>
          <w:t>§ 58 OZ</w:t>
        </w:r>
      </w:hyperlink>
      <w:r w:rsidRPr="006178AA">
        <w:rPr>
          <w:rFonts w:asciiTheme="minorHAnsi" w:hAnsiTheme="minorHAnsi"/>
        </w:rPr>
        <w:t xml:space="preserve">, </w:t>
      </w:r>
    </w:p>
    <w:p w:rsidR="00D72545" w:rsidRPr="003506B8" w:rsidRDefault="00D72545" w:rsidP="00AD1A65">
      <w:pPr>
        <w:pStyle w:val="Odstavecseseznamem"/>
        <w:numPr>
          <w:ilvl w:val="0"/>
          <w:numId w:val="30"/>
        </w:numPr>
        <w:autoSpaceDE w:val="0"/>
        <w:autoSpaceDN w:val="0"/>
        <w:adjustRightInd w:val="0"/>
        <w:spacing w:after="0"/>
        <w:ind w:left="567" w:hanging="218"/>
        <w:rPr>
          <w:rFonts w:asciiTheme="minorHAnsi" w:hAnsiTheme="minorHAnsi"/>
        </w:rPr>
      </w:pPr>
      <w:r w:rsidRPr="006178AA">
        <w:rPr>
          <w:rFonts w:asciiTheme="minorHAnsi" w:hAnsiTheme="minorHAnsi"/>
        </w:rPr>
        <w:t>procesní opatrovnictví pro řízení o</w:t>
      </w:r>
      <w:r>
        <w:rPr>
          <w:rFonts w:asciiTheme="minorHAnsi" w:hAnsiTheme="minorHAnsi"/>
        </w:rPr>
        <w:t> </w:t>
      </w:r>
      <w:r w:rsidRPr="006178AA">
        <w:rPr>
          <w:rFonts w:asciiTheme="minorHAnsi" w:hAnsiTheme="minorHAnsi"/>
        </w:rPr>
        <w:t xml:space="preserve">svéprávnosti, opatrovnictví či některých podpůrných opatření (dle </w:t>
      </w:r>
      <w:hyperlink r:id="rId34" w:history="1">
        <w:r w:rsidRPr="006178AA">
          <w:rPr>
            <w:rFonts w:asciiTheme="minorHAnsi" w:hAnsiTheme="minorHAnsi"/>
          </w:rPr>
          <w:t>§ 37 zákona č.</w:t>
        </w:r>
        <w:r>
          <w:rPr>
            <w:rFonts w:asciiTheme="minorHAnsi" w:hAnsiTheme="minorHAnsi"/>
          </w:rPr>
          <w:t> </w:t>
        </w:r>
        <w:r w:rsidRPr="006178AA">
          <w:rPr>
            <w:rFonts w:asciiTheme="minorHAnsi" w:hAnsiTheme="minorHAnsi"/>
          </w:rPr>
          <w:t>292/2013 Sb.</w:t>
        </w:r>
      </w:hyperlink>
      <w:r w:rsidRPr="006178AA">
        <w:rPr>
          <w:rFonts w:asciiTheme="minorHAnsi" w:hAnsiTheme="minorHAnsi"/>
        </w:rPr>
        <w:t>, o</w:t>
      </w:r>
      <w:r>
        <w:rPr>
          <w:rFonts w:asciiTheme="minorHAnsi" w:hAnsiTheme="minorHAnsi"/>
        </w:rPr>
        <w:t> </w:t>
      </w:r>
      <w:r w:rsidRPr="006178AA">
        <w:rPr>
          <w:rFonts w:asciiTheme="minorHAnsi" w:hAnsiTheme="minorHAnsi"/>
        </w:rPr>
        <w:t xml:space="preserve">zvláštních </w:t>
      </w:r>
      <w:r w:rsidRPr="006178AA">
        <w:rPr>
          <w:rFonts w:asciiTheme="minorHAnsi" w:hAnsiTheme="minorHAnsi"/>
        </w:rPr>
        <w:lastRenderedPageBreak/>
        <w:t xml:space="preserve">řízeních soudních, ve znění pozdějších předpisů) či jiného </w:t>
      </w:r>
      <w:r w:rsidRPr="003506B8">
        <w:rPr>
          <w:rFonts w:asciiTheme="minorHAnsi" w:hAnsiTheme="minorHAnsi"/>
        </w:rPr>
        <w:t xml:space="preserve">procesního opatrovnictví, </w:t>
      </w:r>
    </w:p>
    <w:p w:rsidR="00D72545" w:rsidRDefault="00D72545" w:rsidP="00AD1A65">
      <w:pPr>
        <w:pStyle w:val="Odstavecseseznamem"/>
        <w:numPr>
          <w:ilvl w:val="0"/>
          <w:numId w:val="30"/>
        </w:numPr>
        <w:autoSpaceDE w:val="0"/>
        <w:autoSpaceDN w:val="0"/>
        <w:adjustRightInd w:val="0"/>
        <w:spacing w:after="0"/>
        <w:ind w:left="567" w:hanging="218"/>
        <w:rPr>
          <w:rFonts w:asciiTheme="minorHAnsi" w:hAnsiTheme="minorHAnsi"/>
        </w:rPr>
      </w:pPr>
      <w:r w:rsidRPr="00BB4194">
        <w:rPr>
          <w:rFonts w:asciiTheme="minorHAnsi" w:hAnsiTheme="minorHAnsi"/>
        </w:rPr>
        <w:t xml:space="preserve">případy opatrovnictví, kdy se obec stane dočasně opatrovníkem přímo ze zákona dle </w:t>
      </w:r>
      <w:hyperlink r:id="rId35" w:history="1">
        <w:r w:rsidRPr="00BB4194">
          <w:rPr>
            <w:rFonts w:asciiTheme="minorHAnsi" w:hAnsiTheme="minorHAnsi"/>
          </w:rPr>
          <w:t>§ 468 OZ</w:t>
        </w:r>
      </w:hyperlink>
      <w:r w:rsidRPr="00BB4194">
        <w:rPr>
          <w:rFonts w:asciiTheme="minorHAnsi" w:hAnsiTheme="minorHAnsi"/>
        </w:rPr>
        <w:t>. Jedná se o</w:t>
      </w:r>
      <w:r>
        <w:rPr>
          <w:rFonts w:asciiTheme="minorHAnsi" w:hAnsiTheme="minorHAnsi"/>
        </w:rPr>
        <w:t> </w:t>
      </w:r>
      <w:r w:rsidRPr="00BB4194">
        <w:rPr>
          <w:rFonts w:asciiTheme="minorHAnsi" w:hAnsiTheme="minorHAnsi"/>
        </w:rPr>
        <w:t>případy, kdy zemřel dosavadní opatrovník (</w:t>
      </w:r>
      <w:r w:rsidR="00AD1A65">
        <w:rPr>
          <w:rFonts w:asciiTheme="minorHAnsi" w:hAnsiTheme="minorHAnsi"/>
        </w:rPr>
        <w:t>fyzická osoba) nebo kdy došlo k </w:t>
      </w:r>
      <w:r w:rsidRPr="00BB4194">
        <w:rPr>
          <w:rFonts w:asciiTheme="minorHAnsi" w:hAnsiTheme="minorHAnsi"/>
        </w:rPr>
        <w:t>odvolání stávajícího opatrovníka bez jmenování nového (toto opatrovnictví zaniká právní mocí rozsudku o</w:t>
      </w:r>
      <w:r w:rsidR="000A57CD">
        <w:rPr>
          <w:rFonts w:asciiTheme="minorHAnsi" w:hAnsiTheme="minorHAnsi"/>
        </w:rPr>
        <w:t> </w:t>
      </w:r>
      <w:r w:rsidRPr="00BB4194">
        <w:rPr>
          <w:rFonts w:asciiTheme="minorHAnsi" w:hAnsiTheme="minorHAnsi"/>
        </w:rPr>
        <w:t>ustanovení nového opatrovníka).</w:t>
      </w:r>
    </w:p>
    <w:p w:rsidR="00916046" w:rsidRDefault="00916046" w:rsidP="00916046">
      <w:pPr>
        <w:tabs>
          <w:tab w:val="num" w:pos="928"/>
        </w:tabs>
        <w:autoSpaceDE w:val="0"/>
        <w:autoSpaceDN w:val="0"/>
        <w:adjustRightInd w:val="0"/>
        <w:spacing w:after="0"/>
        <w:jc w:val="left"/>
        <w:rPr>
          <w:rFonts w:asciiTheme="minorHAnsi" w:hAnsiTheme="minorHAnsi"/>
        </w:rPr>
      </w:pPr>
    </w:p>
    <w:p w:rsidR="002F46DD" w:rsidRPr="00BB4194" w:rsidRDefault="002F46DD" w:rsidP="00D72545">
      <w:pPr>
        <w:pStyle w:val="Odstavecseseznamem"/>
        <w:numPr>
          <w:ilvl w:val="0"/>
          <w:numId w:val="30"/>
        </w:numPr>
        <w:tabs>
          <w:tab w:val="num" w:pos="928"/>
        </w:tabs>
        <w:autoSpaceDE w:val="0"/>
        <w:autoSpaceDN w:val="0"/>
        <w:adjustRightInd w:val="0"/>
        <w:spacing w:after="0"/>
        <w:rPr>
          <w:rFonts w:asciiTheme="minorHAnsi" w:hAnsiTheme="minorHAnsi"/>
        </w:rPr>
        <w:sectPr w:rsidR="002F46DD" w:rsidRPr="00BB4194" w:rsidSect="00D72545">
          <w:footnotePr>
            <w:pos w:val="beneathText"/>
          </w:footnotePr>
          <w:type w:val="continuous"/>
          <w:pgSz w:w="11906" w:h="16838" w:code="9"/>
          <w:pgMar w:top="1134" w:right="1134" w:bottom="1134" w:left="1134" w:header="709" w:footer="709" w:gutter="0"/>
          <w:cols w:num="2" w:space="397"/>
          <w:docGrid w:linePitch="360"/>
        </w:sectPr>
      </w:pPr>
    </w:p>
    <w:p w:rsidR="00AE23BF" w:rsidRPr="003506B8" w:rsidRDefault="00BB4194" w:rsidP="006B0B2A">
      <w:pPr>
        <w:pStyle w:val="Odstavecseseznamem"/>
        <w:numPr>
          <w:ilvl w:val="0"/>
          <w:numId w:val="13"/>
        </w:numPr>
        <w:suppressAutoHyphens/>
        <w:autoSpaceDE w:val="0"/>
        <w:autoSpaceDN w:val="0"/>
        <w:adjustRightInd w:val="0"/>
        <w:spacing w:before="120"/>
        <w:ind w:left="714" w:hanging="357"/>
        <w:contextualSpacing w:val="0"/>
        <w:rPr>
          <w:b/>
          <w:sz w:val="24"/>
        </w:rPr>
      </w:pPr>
      <w:r>
        <w:rPr>
          <w:b/>
          <w:sz w:val="24"/>
        </w:rPr>
        <w:lastRenderedPageBreak/>
        <w:t>Financování</w:t>
      </w:r>
      <w:r w:rsidR="00AE23BF" w:rsidRPr="003506B8">
        <w:rPr>
          <w:b/>
          <w:sz w:val="24"/>
        </w:rPr>
        <w:t xml:space="preserve"> jednotných kontaktních míst </w:t>
      </w:r>
    </w:p>
    <w:p w:rsidR="002F46DD" w:rsidRPr="003506B8" w:rsidRDefault="002F46DD"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2F46DD" w:rsidRPr="003506B8" w:rsidSect="004E7A79">
          <w:footnotePr>
            <w:pos w:val="beneathText"/>
          </w:footnotePr>
          <w:type w:val="continuous"/>
          <w:pgSz w:w="11906" w:h="16838" w:code="9"/>
          <w:pgMar w:top="1134" w:right="1134" w:bottom="1134" w:left="1134" w:header="709" w:footer="709" w:gutter="0"/>
          <w:cols w:space="708"/>
          <w:docGrid w:linePitch="360"/>
        </w:sectPr>
      </w:pPr>
    </w:p>
    <w:p w:rsidR="000A57CD" w:rsidRPr="00C52125" w:rsidRDefault="000A57CD" w:rsidP="00AD1A65">
      <w:pPr>
        <w:pStyle w:val="Odstavecseseznamem"/>
        <w:numPr>
          <w:ilvl w:val="0"/>
          <w:numId w:val="30"/>
        </w:numPr>
        <w:autoSpaceDE w:val="0"/>
        <w:autoSpaceDN w:val="0"/>
        <w:adjustRightInd w:val="0"/>
        <w:spacing w:after="0"/>
        <w:ind w:left="567" w:hanging="218"/>
        <w:rPr>
          <w:rFonts w:asciiTheme="minorHAnsi" w:hAnsiTheme="minorHAnsi"/>
        </w:rPr>
      </w:pPr>
      <w:r w:rsidRPr="00C52125">
        <w:rPr>
          <w:rFonts w:asciiTheme="minorHAnsi" w:hAnsiTheme="minorHAnsi"/>
        </w:rPr>
        <w:lastRenderedPageBreak/>
        <w:t>Financování je určeno pro případy, kdy obecní živnostenské úřady podle ustanovení § 2</w:t>
      </w:r>
      <w:r w:rsidR="00EE1517">
        <w:rPr>
          <w:rFonts w:asciiTheme="minorHAnsi" w:hAnsiTheme="minorHAnsi"/>
        </w:rPr>
        <w:t xml:space="preserve"> </w:t>
      </w:r>
      <w:r w:rsidRPr="00C52125">
        <w:rPr>
          <w:rFonts w:asciiTheme="minorHAnsi" w:hAnsiTheme="minorHAnsi"/>
        </w:rPr>
        <w:t>odst. 4 zákona č. 570/1991 Sb., o živnostenských úřadech, ve znění pozděj</w:t>
      </w:r>
      <w:r>
        <w:rPr>
          <w:rFonts w:asciiTheme="minorHAnsi" w:hAnsiTheme="minorHAnsi"/>
        </w:rPr>
        <w:softHyphen/>
      </w:r>
      <w:r w:rsidRPr="00C52125">
        <w:rPr>
          <w:rFonts w:asciiTheme="minorHAnsi" w:hAnsiTheme="minorHAnsi"/>
        </w:rPr>
        <w:t>ších předpisů, plní funkci jednotného kontaktního místa podle zákona č.</w:t>
      </w:r>
      <w:r w:rsidR="00EE1517">
        <w:rPr>
          <w:rFonts w:asciiTheme="minorHAnsi" w:hAnsiTheme="minorHAnsi"/>
        </w:rPr>
        <w:t> </w:t>
      </w:r>
      <w:r w:rsidRPr="00C52125">
        <w:rPr>
          <w:rFonts w:asciiTheme="minorHAnsi" w:hAnsiTheme="minorHAnsi"/>
        </w:rPr>
        <w:t>222/2009 Sb., o volném pohybu služeb, ve znění pozdějších předpisů.</w:t>
      </w:r>
    </w:p>
    <w:p w:rsidR="000A57CD" w:rsidRPr="00C52125" w:rsidRDefault="000A57CD" w:rsidP="00AD1A65">
      <w:pPr>
        <w:pStyle w:val="Odstavecseseznamem"/>
        <w:numPr>
          <w:ilvl w:val="0"/>
          <w:numId w:val="30"/>
        </w:numPr>
        <w:autoSpaceDE w:val="0"/>
        <w:autoSpaceDN w:val="0"/>
        <w:adjustRightInd w:val="0"/>
        <w:spacing w:after="0"/>
        <w:ind w:left="567" w:hanging="218"/>
        <w:rPr>
          <w:rFonts w:asciiTheme="minorHAnsi" w:hAnsiTheme="minorHAnsi"/>
        </w:rPr>
      </w:pPr>
      <w:r w:rsidRPr="00C52125">
        <w:rPr>
          <w:rFonts w:asciiTheme="minorHAnsi" w:hAnsiTheme="minorHAnsi"/>
        </w:rPr>
        <w:t>Seznam jednotných kontaktních míst je stano</w:t>
      </w:r>
      <w:r>
        <w:rPr>
          <w:rFonts w:asciiTheme="minorHAnsi" w:hAnsiTheme="minorHAnsi"/>
        </w:rPr>
        <w:softHyphen/>
      </w:r>
      <w:r w:rsidRPr="00C52125">
        <w:rPr>
          <w:rFonts w:asciiTheme="minorHAnsi" w:hAnsiTheme="minorHAnsi"/>
        </w:rPr>
        <w:t>ven přílohou vyhlášky č. 248/2009 Sb., kterou se stanoví seznam jednotných kontaktních míst.</w:t>
      </w:r>
    </w:p>
    <w:p w:rsidR="000A57CD" w:rsidRPr="00C52125" w:rsidRDefault="000A57CD" w:rsidP="00AD1A65">
      <w:pPr>
        <w:pStyle w:val="Odstavecseseznamem"/>
        <w:numPr>
          <w:ilvl w:val="0"/>
          <w:numId w:val="30"/>
        </w:numPr>
        <w:autoSpaceDE w:val="0"/>
        <w:autoSpaceDN w:val="0"/>
        <w:adjustRightInd w:val="0"/>
        <w:spacing w:after="0"/>
        <w:ind w:left="567" w:hanging="218"/>
        <w:rPr>
          <w:rFonts w:asciiTheme="minorHAnsi" w:hAnsiTheme="minorHAnsi"/>
        </w:rPr>
      </w:pPr>
      <w:r w:rsidRPr="00C52125">
        <w:rPr>
          <w:rFonts w:asciiTheme="minorHAnsi" w:hAnsiTheme="minorHAnsi"/>
        </w:rPr>
        <w:t>Výše příspěvku pro jednotlivá jednotná kon</w:t>
      </w:r>
      <w:r>
        <w:rPr>
          <w:rFonts w:asciiTheme="minorHAnsi" w:hAnsiTheme="minorHAnsi"/>
        </w:rPr>
        <w:softHyphen/>
      </w:r>
      <w:r w:rsidRPr="00C52125">
        <w:rPr>
          <w:rFonts w:asciiTheme="minorHAnsi" w:hAnsiTheme="minorHAnsi"/>
        </w:rPr>
        <w:t xml:space="preserve">taktní místa je stanovena na základě statistik vedených v informačním systému „SINPRO“, tj. zaevidovaných a následně řešených dotazů </w:t>
      </w:r>
      <w:r w:rsidRPr="00C52125">
        <w:rPr>
          <w:rFonts w:asciiTheme="minorHAnsi" w:hAnsiTheme="minorHAnsi"/>
        </w:rPr>
        <w:lastRenderedPageBreak/>
        <w:t>klienta bez duplicit takovéhoto dotazu za období od 1. 1. do 31.  12.  </w:t>
      </w:r>
      <w:r>
        <w:rPr>
          <w:rFonts w:asciiTheme="minorHAnsi" w:hAnsiTheme="minorHAnsi"/>
        </w:rPr>
        <w:t>2019</w:t>
      </w:r>
      <w:r w:rsidRPr="00C52125">
        <w:rPr>
          <w:rFonts w:asciiTheme="minorHAnsi" w:hAnsiTheme="minorHAnsi"/>
        </w:rPr>
        <w:t>. Konkrétní počet zaevidovaných a následně řešených dotazů v rámci jednotného kontaktního místa je zařazen do odpovídajícího intervalu, na který jsou navázány finanční prostředky (viz příloha č</w:t>
      </w:r>
      <w:r>
        <w:rPr>
          <w:rFonts w:asciiTheme="minorHAnsi" w:hAnsiTheme="minorHAnsi"/>
        </w:rPr>
        <w:t>. 8 k </w:t>
      </w:r>
      <w:r w:rsidRPr="00C52125">
        <w:rPr>
          <w:rFonts w:asciiTheme="minorHAnsi" w:hAnsiTheme="minorHAnsi"/>
        </w:rPr>
        <w:t>zákon</w:t>
      </w:r>
      <w:r>
        <w:rPr>
          <w:rFonts w:asciiTheme="minorHAnsi" w:hAnsiTheme="minorHAnsi"/>
        </w:rPr>
        <w:t>u</w:t>
      </w:r>
      <w:r w:rsidRPr="00C52125">
        <w:rPr>
          <w:rFonts w:asciiTheme="minorHAnsi" w:hAnsiTheme="minorHAnsi"/>
        </w:rPr>
        <w:t xml:space="preserve"> o státním rozpočtu na rok </w:t>
      </w:r>
      <w:r>
        <w:rPr>
          <w:rFonts w:asciiTheme="minorHAnsi" w:hAnsiTheme="minorHAnsi"/>
        </w:rPr>
        <w:t>2021</w:t>
      </w:r>
      <w:r w:rsidRPr="00C52125">
        <w:rPr>
          <w:rFonts w:asciiTheme="minorHAnsi" w:hAnsiTheme="minorHAnsi"/>
        </w:rPr>
        <w:t xml:space="preserve">). Se zvyšujícím se počtem řešených dotazů se zvyšují navázané finanční prostředky v rámci škály stanovených intervalů. </w:t>
      </w:r>
    </w:p>
    <w:p w:rsidR="000A57CD" w:rsidRPr="00C52125" w:rsidRDefault="000A57CD" w:rsidP="00AD1A65">
      <w:pPr>
        <w:pStyle w:val="Odstavecseseznamem"/>
        <w:numPr>
          <w:ilvl w:val="0"/>
          <w:numId w:val="30"/>
        </w:numPr>
        <w:autoSpaceDE w:val="0"/>
        <w:autoSpaceDN w:val="0"/>
        <w:adjustRightInd w:val="0"/>
        <w:spacing w:after="0"/>
        <w:ind w:left="567" w:hanging="218"/>
        <w:rPr>
          <w:rFonts w:asciiTheme="minorHAnsi" w:hAnsiTheme="minorHAnsi"/>
        </w:rPr>
      </w:pPr>
      <w:r w:rsidRPr="00C52125">
        <w:rPr>
          <w:rFonts w:asciiTheme="minorHAnsi" w:hAnsiTheme="minorHAnsi"/>
        </w:rPr>
        <w:t xml:space="preserve">Stanovené rozpětí </w:t>
      </w:r>
      <w:r>
        <w:rPr>
          <w:rFonts w:asciiTheme="minorHAnsi" w:hAnsiTheme="minorHAnsi"/>
        </w:rPr>
        <w:t xml:space="preserve">prvního intervalu </w:t>
      </w:r>
      <w:r w:rsidRPr="00C52125">
        <w:rPr>
          <w:rFonts w:asciiTheme="minorHAnsi" w:hAnsiTheme="minorHAnsi"/>
        </w:rPr>
        <w:t xml:space="preserve">bylo valorizováno o </w:t>
      </w:r>
      <w:r>
        <w:rPr>
          <w:rFonts w:asciiTheme="minorHAnsi" w:hAnsiTheme="minorHAnsi"/>
        </w:rPr>
        <w:t>4,28</w:t>
      </w:r>
      <w:r w:rsidRPr="00C52125">
        <w:rPr>
          <w:rFonts w:asciiTheme="minorHAnsi" w:hAnsiTheme="minorHAnsi"/>
        </w:rPr>
        <w:t xml:space="preserve"> % se zaokrouhlením částek na tisíce</w:t>
      </w:r>
      <w:r>
        <w:rPr>
          <w:rFonts w:asciiTheme="minorHAnsi" w:hAnsiTheme="minorHAnsi"/>
        </w:rPr>
        <w:t>, další rozpětí jsou jeho násobky</w:t>
      </w:r>
      <w:r w:rsidRPr="00C52125">
        <w:rPr>
          <w:rFonts w:asciiTheme="minorHAnsi" w:hAnsiTheme="minorHAnsi"/>
        </w:rPr>
        <w:t>.</w:t>
      </w:r>
    </w:p>
    <w:p w:rsidR="000A57CD" w:rsidRDefault="000A57CD" w:rsidP="00AD1A65">
      <w:pPr>
        <w:pStyle w:val="Odstavecseseznamem"/>
        <w:numPr>
          <w:ilvl w:val="0"/>
          <w:numId w:val="30"/>
        </w:numPr>
        <w:autoSpaceDE w:val="0"/>
        <w:autoSpaceDN w:val="0"/>
        <w:adjustRightInd w:val="0"/>
        <w:spacing w:after="0"/>
        <w:ind w:left="567" w:hanging="218"/>
        <w:rPr>
          <w:rFonts w:asciiTheme="minorHAnsi" w:hAnsiTheme="minorHAnsi"/>
        </w:rPr>
      </w:pPr>
      <w:r w:rsidRPr="00C52125">
        <w:rPr>
          <w:rFonts w:asciiTheme="minorHAnsi" w:hAnsiTheme="minorHAnsi"/>
        </w:rPr>
        <w:t xml:space="preserve">Celková vyčleněná částka je </w:t>
      </w:r>
      <w:r>
        <w:rPr>
          <w:rFonts w:asciiTheme="minorHAnsi" w:hAnsiTheme="minorHAnsi"/>
        </w:rPr>
        <w:t>7 344 000</w:t>
      </w:r>
      <w:r w:rsidRPr="00C52125">
        <w:rPr>
          <w:rFonts w:asciiTheme="minorHAnsi" w:hAnsiTheme="minorHAnsi"/>
        </w:rPr>
        <w:t xml:space="preserve"> Kč.</w:t>
      </w:r>
      <w:r w:rsidRPr="000A57CD">
        <w:rPr>
          <w:rFonts w:asciiTheme="minorHAnsi" w:hAnsiTheme="minorHAnsi"/>
        </w:rPr>
        <w:t xml:space="preserve"> </w:t>
      </w:r>
    </w:p>
    <w:p w:rsidR="00202A9F" w:rsidRDefault="00202A9F" w:rsidP="00202A9F">
      <w:pPr>
        <w:widowControl w:val="0"/>
        <w:autoSpaceDE w:val="0"/>
        <w:autoSpaceDN w:val="0"/>
        <w:adjustRightInd w:val="0"/>
        <w:spacing w:line="360" w:lineRule="auto"/>
        <w:ind w:left="360"/>
        <w:sectPr w:rsidR="00202A9F" w:rsidSect="00A8669C">
          <w:footnotePr>
            <w:pos w:val="beneathText"/>
          </w:footnotePr>
          <w:type w:val="continuous"/>
          <w:pgSz w:w="11906" w:h="16838" w:code="9"/>
          <w:pgMar w:top="1134" w:right="1134" w:bottom="1134" w:left="1134" w:header="709" w:footer="709" w:gutter="0"/>
          <w:cols w:num="2" w:space="397"/>
          <w:docGrid w:linePitch="360"/>
        </w:sectPr>
      </w:pPr>
    </w:p>
    <w:p w:rsidR="002F46DD" w:rsidRPr="006B0B2A" w:rsidRDefault="00125B3E"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3506B8">
        <w:rPr>
          <w:b/>
          <w:sz w:val="24"/>
        </w:rPr>
        <w:lastRenderedPageBreak/>
        <w:t>Financování vydávání občanských průkazů</w:t>
      </w:r>
    </w:p>
    <w:p w:rsidR="00125B3E" w:rsidRPr="006B0B2A" w:rsidRDefault="00125B3E"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125B3E" w:rsidRPr="006B0B2A" w:rsidSect="004E7A79">
          <w:footnotePr>
            <w:pos w:val="beneathText"/>
          </w:footnotePr>
          <w:type w:val="continuous"/>
          <w:pgSz w:w="11906" w:h="16838" w:code="9"/>
          <w:pgMar w:top="1134" w:right="1134" w:bottom="1134" w:left="1134" w:header="709" w:footer="709" w:gutter="0"/>
          <w:cols w:space="708"/>
          <w:docGrid w:linePitch="360"/>
        </w:sectPr>
      </w:pPr>
    </w:p>
    <w:p w:rsidR="000A57CD" w:rsidRPr="00C520BD" w:rsidRDefault="000A57CD" w:rsidP="00AD1A65">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C520BD">
        <w:rPr>
          <w:rFonts w:asciiTheme="minorHAnsi" w:hAnsiTheme="minorHAnsi"/>
        </w:rPr>
        <w:lastRenderedPageBreak/>
        <w:t xml:space="preserve">V rámci příspěvku pro </w:t>
      </w:r>
      <w:r w:rsidR="00245549">
        <w:rPr>
          <w:rFonts w:asciiTheme="minorHAnsi" w:hAnsiTheme="minorHAnsi"/>
        </w:rPr>
        <w:t>ORP</w:t>
      </w:r>
      <w:r w:rsidRPr="00C520BD">
        <w:rPr>
          <w:rFonts w:asciiTheme="minorHAnsi" w:hAnsiTheme="minorHAnsi"/>
        </w:rPr>
        <w:t xml:space="preserve"> je zahrnuta paušální platba na jeden vydaný občanský průkaz</w:t>
      </w:r>
      <w:r>
        <w:rPr>
          <w:rFonts w:asciiTheme="minorHAnsi" w:hAnsiTheme="minorHAnsi"/>
        </w:rPr>
        <w:t>, a nově také platba za aktivaci elektronického čipu občanského průkazu</w:t>
      </w:r>
      <w:r w:rsidRPr="00C520BD">
        <w:rPr>
          <w:rFonts w:asciiTheme="minorHAnsi" w:hAnsiTheme="minorHAnsi"/>
        </w:rPr>
        <w:t xml:space="preserve">. </w:t>
      </w:r>
    </w:p>
    <w:p w:rsidR="000A57CD" w:rsidRPr="00C520BD" w:rsidRDefault="000A57CD" w:rsidP="00AD1A65">
      <w:pPr>
        <w:pStyle w:val="Odstavecseseznamem"/>
        <w:numPr>
          <w:ilvl w:val="0"/>
          <w:numId w:val="30"/>
        </w:numPr>
        <w:autoSpaceDE w:val="0"/>
        <w:autoSpaceDN w:val="0"/>
        <w:adjustRightInd w:val="0"/>
        <w:spacing w:after="0"/>
        <w:ind w:left="567" w:hanging="218"/>
        <w:rPr>
          <w:rFonts w:asciiTheme="minorHAnsi" w:hAnsiTheme="minorHAnsi"/>
        </w:rPr>
      </w:pPr>
      <w:r w:rsidRPr="00C520BD">
        <w:rPr>
          <w:rFonts w:asciiTheme="minorHAnsi" w:hAnsiTheme="minorHAnsi"/>
        </w:rPr>
        <w:t>Obec, kde byla podána žádost o vydání občanského průkazu (tzv. "místo nabrání")</w:t>
      </w:r>
      <w:r>
        <w:rPr>
          <w:rFonts w:asciiTheme="minorHAnsi" w:hAnsiTheme="minorHAnsi"/>
        </w:rPr>
        <w:t>,</w:t>
      </w:r>
      <w:r w:rsidRPr="00C520BD">
        <w:rPr>
          <w:rFonts w:asciiTheme="minorHAnsi" w:hAnsiTheme="minorHAnsi"/>
        </w:rPr>
        <w:t xml:space="preserve"> obdrží příspěvek ve výši </w:t>
      </w:r>
      <w:r>
        <w:rPr>
          <w:rFonts w:asciiTheme="minorHAnsi" w:hAnsiTheme="minorHAnsi"/>
        </w:rPr>
        <w:t>139</w:t>
      </w:r>
      <w:r w:rsidRPr="00C520BD">
        <w:rPr>
          <w:rFonts w:asciiTheme="minorHAnsi" w:hAnsiTheme="minorHAnsi"/>
        </w:rPr>
        <w:t xml:space="preserve"> Kč na </w:t>
      </w:r>
      <w:r>
        <w:rPr>
          <w:rFonts w:asciiTheme="minorHAnsi" w:hAnsiTheme="minorHAnsi"/>
        </w:rPr>
        <w:t>jeden</w:t>
      </w:r>
      <w:r w:rsidRPr="00C520BD">
        <w:rPr>
          <w:rFonts w:asciiTheme="minorHAnsi" w:hAnsiTheme="minorHAnsi"/>
        </w:rPr>
        <w:t xml:space="preserve"> občanský průkaz. Rozhodným obdobím pro stanovení počtu podaných žádostí o vydání občanských průkazů je </w:t>
      </w:r>
      <w:r>
        <w:rPr>
          <w:rFonts w:asciiTheme="minorHAnsi" w:hAnsiTheme="minorHAnsi"/>
        </w:rPr>
        <w:t xml:space="preserve">od </w:t>
      </w:r>
      <w:r w:rsidRPr="00C520BD">
        <w:rPr>
          <w:rFonts w:asciiTheme="minorHAnsi" w:hAnsiTheme="minorHAnsi"/>
        </w:rPr>
        <w:t xml:space="preserve">1. 1. </w:t>
      </w:r>
      <w:r>
        <w:rPr>
          <w:rFonts w:asciiTheme="minorHAnsi" w:hAnsiTheme="minorHAnsi"/>
        </w:rPr>
        <w:t>do</w:t>
      </w:r>
      <w:r w:rsidRPr="00C520BD">
        <w:rPr>
          <w:rFonts w:asciiTheme="minorHAnsi" w:hAnsiTheme="minorHAnsi"/>
        </w:rPr>
        <w:t xml:space="preserve"> 31. 12. </w:t>
      </w:r>
      <w:r>
        <w:rPr>
          <w:rFonts w:asciiTheme="minorHAnsi" w:hAnsiTheme="minorHAnsi"/>
        </w:rPr>
        <w:t>2019</w:t>
      </w:r>
      <w:r w:rsidRPr="00C520BD">
        <w:rPr>
          <w:rFonts w:asciiTheme="minorHAnsi" w:hAnsiTheme="minorHAnsi"/>
        </w:rPr>
        <w:t>. Data jsou získána na základě údajů příslušného informačníh</w:t>
      </w:r>
      <w:r>
        <w:rPr>
          <w:rFonts w:asciiTheme="minorHAnsi" w:hAnsiTheme="minorHAnsi"/>
        </w:rPr>
        <w:t>o systému Ministerstva vnitra.</w:t>
      </w:r>
    </w:p>
    <w:p w:rsidR="000A57CD" w:rsidRPr="00C520BD" w:rsidRDefault="000A57CD" w:rsidP="00AD1A65">
      <w:pPr>
        <w:pStyle w:val="Odstavecseseznamem"/>
        <w:numPr>
          <w:ilvl w:val="0"/>
          <w:numId w:val="30"/>
        </w:numPr>
        <w:autoSpaceDE w:val="0"/>
        <w:autoSpaceDN w:val="0"/>
        <w:adjustRightInd w:val="0"/>
        <w:spacing w:after="0"/>
        <w:ind w:left="567" w:hanging="218"/>
        <w:rPr>
          <w:rFonts w:asciiTheme="minorHAnsi" w:hAnsiTheme="minorHAnsi"/>
        </w:rPr>
      </w:pPr>
      <w:r w:rsidRPr="00C520BD">
        <w:rPr>
          <w:rFonts w:asciiTheme="minorHAnsi" w:hAnsiTheme="minorHAnsi"/>
        </w:rPr>
        <w:t xml:space="preserve">Důvodem </w:t>
      </w:r>
      <w:r>
        <w:rPr>
          <w:rFonts w:asciiTheme="minorHAnsi" w:hAnsiTheme="minorHAnsi"/>
        </w:rPr>
        <w:t>zvýšení</w:t>
      </w:r>
      <w:r w:rsidRPr="00C520BD">
        <w:rPr>
          <w:rFonts w:asciiTheme="minorHAnsi" w:hAnsiTheme="minorHAnsi"/>
        </w:rPr>
        <w:t xml:space="preserve"> úhrady za jeden vydaný</w:t>
      </w:r>
      <w:r>
        <w:rPr>
          <w:rFonts w:asciiTheme="minorHAnsi" w:hAnsiTheme="minorHAnsi"/>
        </w:rPr>
        <w:t xml:space="preserve"> občanský</w:t>
      </w:r>
      <w:r w:rsidRPr="00C520BD">
        <w:rPr>
          <w:rFonts w:asciiTheme="minorHAnsi" w:hAnsiTheme="minorHAnsi"/>
        </w:rPr>
        <w:t xml:space="preserve"> průkaz je </w:t>
      </w:r>
      <w:r>
        <w:rPr>
          <w:rFonts w:asciiTheme="minorHAnsi" w:hAnsiTheme="minorHAnsi"/>
        </w:rPr>
        <w:t>úprava parametrů pro kalkulaci nákladů na modelový pracovní úvazek.</w:t>
      </w:r>
    </w:p>
    <w:p w:rsidR="000A57CD" w:rsidRDefault="000A57CD" w:rsidP="00AD1A65">
      <w:pPr>
        <w:pStyle w:val="Odstavecseseznamem"/>
        <w:numPr>
          <w:ilvl w:val="0"/>
          <w:numId w:val="30"/>
        </w:numPr>
        <w:autoSpaceDE w:val="0"/>
        <w:autoSpaceDN w:val="0"/>
        <w:adjustRightInd w:val="0"/>
        <w:spacing w:after="0"/>
        <w:ind w:left="567" w:hanging="218"/>
        <w:rPr>
          <w:rFonts w:asciiTheme="minorHAnsi" w:hAnsiTheme="minorHAnsi"/>
        </w:rPr>
      </w:pPr>
      <w:r w:rsidRPr="00C520BD">
        <w:rPr>
          <w:rFonts w:asciiTheme="minorHAnsi" w:hAnsiTheme="minorHAnsi"/>
        </w:rPr>
        <w:lastRenderedPageBreak/>
        <w:t>Příspěvek nenáleží za přijatou žádost, u které byl inkasován správní poplatek - tj. žádost o</w:t>
      </w:r>
      <w:r>
        <w:rPr>
          <w:rFonts w:asciiTheme="minorHAnsi" w:hAnsiTheme="minorHAnsi"/>
        </w:rPr>
        <w:t> </w:t>
      </w:r>
      <w:r w:rsidRPr="00C520BD">
        <w:rPr>
          <w:rFonts w:asciiTheme="minorHAnsi" w:hAnsiTheme="minorHAnsi"/>
        </w:rPr>
        <w:t xml:space="preserve">vydání občanského průkazu s dobou vydání do pěti pracovních dnů a do 24 hodin, žádost o vydání občanského průkazu s dobou platnosti šest, tři nebo </w:t>
      </w:r>
      <w:r>
        <w:rPr>
          <w:rFonts w:asciiTheme="minorHAnsi" w:hAnsiTheme="minorHAnsi"/>
        </w:rPr>
        <w:t>jeden</w:t>
      </w:r>
      <w:r w:rsidRPr="00C520BD">
        <w:rPr>
          <w:rFonts w:asciiTheme="minorHAnsi" w:hAnsiTheme="minorHAnsi"/>
        </w:rPr>
        <w:t xml:space="preserve"> měsíc. </w:t>
      </w:r>
    </w:p>
    <w:p w:rsidR="000A57CD" w:rsidRDefault="000A57CD" w:rsidP="00AD1A65">
      <w:pPr>
        <w:pStyle w:val="Odstavecseseznamem"/>
        <w:numPr>
          <w:ilvl w:val="0"/>
          <w:numId w:val="30"/>
        </w:numPr>
        <w:autoSpaceDE w:val="0"/>
        <w:autoSpaceDN w:val="0"/>
        <w:adjustRightInd w:val="0"/>
        <w:spacing w:after="0"/>
        <w:ind w:left="567" w:hanging="218"/>
        <w:rPr>
          <w:rFonts w:asciiTheme="minorHAnsi" w:hAnsiTheme="minorHAnsi"/>
        </w:rPr>
      </w:pPr>
      <w:r w:rsidRPr="003619A2">
        <w:rPr>
          <w:rFonts w:asciiTheme="minorHAnsi" w:hAnsiTheme="minorHAnsi"/>
        </w:rPr>
        <w:t>Další příspěvek obdrží obec, která při vydání občanského průkazu provedla aktivaci jeho elektronického čipu a představila jeho funkce (tzv. "místo aktivace"). Za tento úkon obdrží příspěvek ve výši násobku 35 Kč za každou provedenou aktivaci.</w:t>
      </w:r>
    </w:p>
    <w:p w:rsidR="000A57CD" w:rsidRPr="00C52125" w:rsidRDefault="000A57CD" w:rsidP="00AD1A65">
      <w:pPr>
        <w:pStyle w:val="Odstavecseseznamem"/>
        <w:numPr>
          <w:ilvl w:val="0"/>
          <w:numId w:val="30"/>
        </w:numPr>
        <w:autoSpaceDE w:val="0"/>
        <w:autoSpaceDN w:val="0"/>
        <w:adjustRightInd w:val="0"/>
        <w:spacing w:after="0"/>
        <w:ind w:left="567" w:hanging="218"/>
        <w:rPr>
          <w:rFonts w:asciiTheme="minorHAnsi" w:hAnsiTheme="minorHAnsi"/>
        </w:rPr>
      </w:pPr>
      <w:r w:rsidRPr="00C52125">
        <w:rPr>
          <w:rFonts w:asciiTheme="minorHAnsi" w:hAnsiTheme="minorHAnsi"/>
        </w:rPr>
        <w:t xml:space="preserve">Celková vyčleněná částka je </w:t>
      </w:r>
      <w:r>
        <w:rPr>
          <w:rFonts w:asciiTheme="minorHAnsi" w:hAnsiTheme="minorHAnsi"/>
        </w:rPr>
        <w:t>124 688 831</w:t>
      </w:r>
      <w:r w:rsidRPr="00C52125">
        <w:rPr>
          <w:rFonts w:asciiTheme="minorHAnsi" w:hAnsiTheme="minorHAnsi"/>
        </w:rPr>
        <w:t xml:space="preserve"> Kč.</w:t>
      </w:r>
      <w:r w:rsidRPr="000A57CD">
        <w:rPr>
          <w:rFonts w:asciiTheme="minorHAnsi" w:hAnsiTheme="minorHAnsi"/>
        </w:rPr>
        <w:t xml:space="preserve"> </w:t>
      </w:r>
    </w:p>
    <w:p w:rsidR="00125B3E" w:rsidRPr="000A57CD" w:rsidRDefault="00125B3E" w:rsidP="000A57CD">
      <w:pPr>
        <w:pStyle w:val="Odstavecseseznamem"/>
        <w:numPr>
          <w:ilvl w:val="0"/>
          <w:numId w:val="30"/>
        </w:numPr>
        <w:tabs>
          <w:tab w:val="num" w:pos="928"/>
        </w:tabs>
        <w:autoSpaceDE w:val="0"/>
        <w:autoSpaceDN w:val="0"/>
        <w:adjustRightInd w:val="0"/>
        <w:spacing w:after="0"/>
        <w:rPr>
          <w:rFonts w:asciiTheme="minorHAnsi" w:hAnsiTheme="minorHAnsi"/>
        </w:rPr>
        <w:sectPr w:rsidR="00125B3E" w:rsidRPr="000A57CD" w:rsidSect="00A8669C">
          <w:footnotePr>
            <w:pos w:val="beneathText"/>
          </w:footnotePr>
          <w:type w:val="continuous"/>
          <w:pgSz w:w="11906" w:h="16838" w:code="9"/>
          <w:pgMar w:top="1134" w:right="1134" w:bottom="1134" w:left="1134" w:header="709" w:footer="709" w:gutter="0"/>
          <w:cols w:num="2" w:space="397"/>
          <w:docGrid w:linePitch="360"/>
        </w:sectPr>
      </w:pPr>
    </w:p>
    <w:p w:rsidR="00036055" w:rsidRPr="006B0B2A" w:rsidRDefault="00036055"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6B0B2A">
        <w:rPr>
          <w:b/>
          <w:sz w:val="24"/>
        </w:rPr>
        <w:lastRenderedPageBreak/>
        <w:t>Financov</w:t>
      </w:r>
      <w:r w:rsidR="006B0B2A" w:rsidRPr="006B0B2A">
        <w:rPr>
          <w:b/>
          <w:sz w:val="24"/>
        </w:rPr>
        <w:t>ání vydávání řidičských průkazů</w:t>
      </w:r>
    </w:p>
    <w:p w:rsidR="00036055" w:rsidRPr="006B0B2A" w:rsidRDefault="00036055"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036055" w:rsidRPr="006B0B2A" w:rsidSect="004E7A79">
          <w:footnotePr>
            <w:pos w:val="beneathText"/>
          </w:footnotePr>
          <w:type w:val="continuous"/>
          <w:pgSz w:w="11906" w:h="16838" w:code="9"/>
          <w:pgMar w:top="1134" w:right="1134" w:bottom="1134" w:left="1134" w:header="709" w:footer="709" w:gutter="0"/>
          <w:cols w:space="708"/>
          <w:docGrid w:linePitch="360"/>
        </w:sectPr>
      </w:pPr>
    </w:p>
    <w:p w:rsidR="003D3F1C" w:rsidRDefault="008527A6" w:rsidP="00AD1A65">
      <w:pPr>
        <w:pStyle w:val="Odstavecseseznamem"/>
        <w:numPr>
          <w:ilvl w:val="0"/>
          <w:numId w:val="30"/>
        </w:numPr>
        <w:autoSpaceDE w:val="0"/>
        <w:autoSpaceDN w:val="0"/>
        <w:adjustRightInd w:val="0"/>
        <w:spacing w:after="0"/>
        <w:ind w:left="567" w:hanging="218"/>
        <w:rPr>
          <w:rFonts w:asciiTheme="minorHAnsi" w:hAnsiTheme="minorHAnsi"/>
        </w:rPr>
      </w:pPr>
      <w:r>
        <w:rPr>
          <w:rFonts w:asciiTheme="minorHAnsi" w:hAnsiTheme="minorHAnsi"/>
        </w:rPr>
        <w:lastRenderedPageBreak/>
        <w:t>ORP</w:t>
      </w:r>
      <w:r w:rsidR="003D3F1C" w:rsidRPr="00036055">
        <w:rPr>
          <w:rFonts w:asciiTheme="minorHAnsi" w:hAnsiTheme="minorHAnsi"/>
        </w:rPr>
        <w:t>, kde byla podána žádost o vydání řidičského průkazu (tzv. "místo nabrání")</w:t>
      </w:r>
      <w:r w:rsidR="003D3F1C">
        <w:rPr>
          <w:rFonts w:asciiTheme="minorHAnsi" w:hAnsiTheme="minorHAnsi"/>
        </w:rPr>
        <w:t>,</w:t>
      </w:r>
      <w:r w:rsidR="003D3F1C" w:rsidRPr="00036055">
        <w:rPr>
          <w:rFonts w:asciiTheme="minorHAnsi" w:hAnsiTheme="minorHAnsi"/>
        </w:rPr>
        <w:t xml:space="preserve"> obdrží příspěvek ve výši násobku </w:t>
      </w:r>
      <w:r w:rsidR="003D3F1C">
        <w:rPr>
          <w:rFonts w:asciiTheme="minorHAnsi" w:hAnsiTheme="minorHAnsi"/>
        </w:rPr>
        <w:t>139</w:t>
      </w:r>
      <w:r w:rsidR="003D3F1C" w:rsidRPr="00036055">
        <w:rPr>
          <w:rFonts w:asciiTheme="minorHAnsi" w:hAnsiTheme="minorHAnsi"/>
        </w:rPr>
        <w:t xml:space="preserve"> Kč za přijatou žádost o vydání řidičského průkazu. Příspěvek nenálež</w:t>
      </w:r>
      <w:r w:rsidR="00AD1A65">
        <w:rPr>
          <w:rFonts w:asciiTheme="minorHAnsi" w:hAnsiTheme="minorHAnsi"/>
        </w:rPr>
        <w:t>í za přijatou žádost o </w:t>
      </w:r>
      <w:r w:rsidR="003D3F1C" w:rsidRPr="00036055">
        <w:rPr>
          <w:rFonts w:asciiTheme="minorHAnsi" w:hAnsiTheme="minorHAnsi"/>
        </w:rPr>
        <w:t xml:space="preserve">vydání řidičského průkazu s dobou vydání do pěti pracovních dnů a žádosti o vydání nového řidičského průkazu, u kterých byl inkasován správní poplatek. Rozhodným obdobím pro stanovení počtu podaných žádostí o vydání </w:t>
      </w:r>
      <w:r w:rsidR="003D3F1C" w:rsidRPr="00036055">
        <w:rPr>
          <w:rFonts w:asciiTheme="minorHAnsi" w:hAnsiTheme="minorHAnsi"/>
        </w:rPr>
        <w:lastRenderedPageBreak/>
        <w:t>řidičských průkazů, který je získaný na základě údajů příslušného informačního systému Ministerstva dop</w:t>
      </w:r>
      <w:r w:rsidR="003D3F1C">
        <w:rPr>
          <w:rFonts w:asciiTheme="minorHAnsi" w:hAnsiTheme="minorHAnsi"/>
        </w:rPr>
        <w:t>ravy, je období od 1. 1. do 31. </w:t>
      </w:r>
      <w:r w:rsidR="003D3F1C" w:rsidRPr="00036055">
        <w:rPr>
          <w:rFonts w:asciiTheme="minorHAnsi" w:hAnsiTheme="minorHAnsi"/>
        </w:rPr>
        <w:t xml:space="preserve">12. </w:t>
      </w:r>
      <w:r w:rsidR="003D3F1C">
        <w:rPr>
          <w:rFonts w:asciiTheme="minorHAnsi" w:hAnsiTheme="minorHAnsi"/>
        </w:rPr>
        <w:t>2019</w:t>
      </w:r>
      <w:r w:rsidR="003D3F1C" w:rsidRPr="00036055">
        <w:rPr>
          <w:rFonts w:asciiTheme="minorHAnsi" w:hAnsiTheme="minorHAnsi"/>
        </w:rPr>
        <w:t>.</w:t>
      </w:r>
    </w:p>
    <w:p w:rsidR="003D3F1C" w:rsidRPr="00EA0E2E" w:rsidRDefault="003D3F1C" w:rsidP="00AD1A65">
      <w:pPr>
        <w:pStyle w:val="Odstavecseseznamem"/>
        <w:numPr>
          <w:ilvl w:val="0"/>
          <w:numId w:val="30"/>
        </w:numPr>
        <w:autoSpaceDE w:val="0"/>
        <w:autoSpaceDN w:val="0"/>
        <w:adjustRightInd w:val="0"/>
        <w:spacing w:after="0"/>
        <w:ind w:left="567" w:hanging="218"/>
        <w:rPr>
          <w:rFonts w:asciiTheme="minorHAnsi" w:hAnsiTheme="minorHAnsi"/>
        </w:rPr>
      </w:pPr>
      <w:r w:rsidRPr="001A247E">
        <w:rPr>
          <w:rFonts w:asciiTheme="minorHAnsi" w:hAnsiTheme="minorHAnsi"/>
        </w:rPr>
        <w:t xml:space="preserve">Důvodem zvýšení úhrady za jeden vydaný občanský průkaz je úprava parametrů pro kalkulaci nákladů </w:t>
      </w:r>
      <w:r w:rsidRPr="00EA0E2E">
        <w:rPr>
          <w:rFonts w:asciiTheme="minorHAnsi" w:hAnsiTheme="minorHAnsi"/>
        </w:rPr>
        <w:t xml:space="preserve">na modelový pracovní úvazek. </w:t>
      </w:r>
    </w:p>
    <w:p w:rsidR="003D3F1C" w:rsidRPr="003D3F1C" w:rsidRDefault="003D3F1C" w:rsidP="00AD1A65">
      <w:pPr>
        <w:pStyle w:val="Odstavecseseznamem"/>
        <w:numPr>
          <w:ilvl w:val="0"/>
          <w:numId w:val="30"/>
        </w:numPr>
        <w:autoSpaceDE w:val="0"/>
        <w:autoSpaceDN w:val="0"/>
        <w:adjustRightInd w:val="0"/>
        <w:spacing w:after="0"/>
        <w:ind w:left="567" w:hanging="218"/>
        <w:rPr>
          <w:rFonts w:asciiTheme="minorHAnsi" w:hAnsiTheme="minorHAnsi"/>
        </w:rPr>
      </w:pPr>
      <w:r w:rsidRPr="00EA0E2E">
        <w:rPr>
          <w:rFonts w:asciiTheme="minorHAnsi" w:hAnsiTheme="minorHAnsi"/>
        </w:rPr>
        <w:t>Celková vyčleněná částka je 43 928 726 Kč.</w:t>
      </w:r>
    </w:p>
    <w:p w:rsidR="003D3F1C" w:rsidRPr="003D3F1C" w:rsidRDefault="003D3F1C" w:rsidP="003D3F1C">
      <w:pPr>
        <w:pStyle w:val="Odstavecseseznamem"/>
        <w:numPr>
          <w:ilvl w:val="0"/>
          <w:numId w:val="30"/>
        </w:numPr>
        <w:tabs>
          <w:tab w:val="num" w:pos="928"/>
        </w:tabs>
        <w:autoSpaceDE w:val="0"/>
        <w:autoSpaceDN w:val="0"/>
        <w:adjustRightInd w:val="0"/>
        <w:spacing w:after="0"/>
        <w:rPr>
          <w:rFonts w:asciiTheme="minorHAnsi" w:hAnsiTheme="minorHAnsi"/>
        </w:rPr>
        <w:sectPr w:rsidR="003D3F1C" w:rsidRPr="003D3F1C" w:rsidSect="009F6312">
          <w:footnotePr>
            <w:pos w:val="beneathText"/>
          </w:footnotePr>
          <w:type w:val="continuous"/>
          <w:pgSz w:w="11906" w:h="16838" w:code="9"/>
          <w:pgMar w:top="1134" w:right="1134" w:bottom="1134" w:left="1134" w:header="709" w:footer="709" w:gutter="0"/>
          <w:cols w:num="2" w:space="397"/>
          <w:docGrid w:linePitch="360"/>
        </w:sectPr>
      </w:pPr>
    </w:p>
    <w:p w:rsidR="00CB5F1B" w:rsidRDefault="00CB5F1B">
      <w:pPr>
        <w:spacing w:before="0" w:after="0"/>
        <w:jc w:val="left"/>
        <w:rPr>
          <w:rFonts w:eastAsia="Calibri"/>
          <w:b/>
          <w:sz w:val="24"/>
        </w:rPr>
      </w:pPr>
      <w:r>
        <w:rPr>
          <w:b/>
          <w:sz w:val="24"/>
        </w:rPr>
        <w:lastRenderedPageBreak/>
        <w:br w:type="page"/>
      </w:r>
    </w:p>
    <w:p w:rsidR="00036055" w:rsidRPr="006B0B2A" w:rsidRDefault="00036055" w:rsidP="00CB5F1B">
      <w:pPr>
        <w:pStyle w:val="Odstavecseseznamem"/>
        <w:keepNext/>
        <w:numPr>
          <w:ilvl w:val="0"/>
          <w:numId w:val="13"/>
        </w:numPr>
        <w:suppressAutoHyphens/>
        <w:autoSpaceDE w:val="0"/>
        <w:autoSpaceDN w:val="0"/>
        <w:adjustRightInd w:val="0"/>
        <w:spacing w:before="120"/>
        <w:ind w:left="714" w:hanging="357"/>
        <w:contextualSpacing w:val="0"/>
        <w:rPr>
          <w:b/>
          <w:sz w:val="24"/>
        </w:rPr>
      </w:pPr>
      <w:r w:rsidRPr="006B0B2A">
        <w:rPr>
          <w:b/>
          <w:sz w:val="24"/>
        </w:rPr>
        <w:lastRenderedPageBreak/>
        <w:t>Financování matričních úřadů</w:t>
      </w:r>
    </w:p>
    <w:p w:rsidR="00036055" w:rsidRPr="006B0B2A" w:rsidRDefault="00036055"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036055" w:rsidRPr="006B0B2A" w:rsidSect="004E7A79">
          <w:footnotePr>
            <w:pos w:val="beneathText"/>
          </w:footnotePr>
          <w:type w:val="continuous"/>
          <w:pgSz w:w="11906" w:h="16838" w:code="9"/>
          <w:pgMar w:top="1134" w:right="1134" w:bottom="1134" w:left="1134" w:header="709" w:footer="709" w:gutter="0"/>
          <w:cols w:space="708"/>
          <w:docGrid w:linePitch="360"/>
        </w:sectPr>
      </w:pPr>
    </w:p>
    <w:p w:rsidR="00EE1517" w:rsidRDefault="009C6AEE" w:rsidP="00EE1517">
      <w:pPr>
        <w:pStyle w:val="Odstavecseseznamem"/>
        <w:numPr>
          <w:ilvl w:val="0"/>
          <w:numId w:val="30"/>
        </w:numPr>
        <w:autoSpaceDE w:val="0"/>
        <w:autoSpaceDN w:val="0"/>
        <w:adjustRightInd w:val="0"/>
        <w:spacing w:after="0"/>
        <w:ind w:left="567" w:hanging="218"/>
        <w:rPr>
          <w:rFonts w:asciiTheme="minorHAnsi" w:hAnsiTheme="minorHAnsi"/>
        </w:rPr>
      </w:pPr>
      <w:r w:rsidRPr="00EE1517">
        <w:rPr>
          <w:rFonts w:asciiTheme="minorHAnsi" w:hAnsiTheme="minorHAnsi"/>
        </w:rPr>
        <w:lastRenderedPageBreak/>
        <w:t xml:space="preserve">Celková částka prostředků, určená na financování matričních úřadů, byla rozdělena přibližně na dvě shodné části. Výkonová část tvoří 53 % z celkové částky a platba na základě koeficientů tvoří 47 % z celkové částky. </w:t>
      </w:r>
      <w:r w:rsidR="00EE1517">
        <w:rPr>
          <w:rFonts w:asciiTheme="minorHAnsi" w:hAnsiTheme="minorHAnsi"/>
        </w:rPr>
        <w:t>První</w:t>
      </w:r>
      <w:r w:rsidR="00EE1517" w:rsidRPr="00036055">
        <w:rPr>
          <w:rFonts w:asciiTheme="minorHAnsi" w:hAnsiTheme="minorHAnsi"/>
        </w:rPr>
        <w:t xml:space="preserve"> část byla rozdělena na základě počtu sledovaných úkonů. </w:t>
      </w:r>
      <w:r w:rsidR="00EE1517" w:rsidRPr="00EE1517">
        <w:rPr>
          <w:rFonts w:asciiTheme="minorHAnsi" w:hAnsiTheme="minorHAnsi"/>
        </w:rPr>
        <w:t>Druhá</w:t>
      </w:r>
      <w:r w:rsidRPr="00EE1517">
        <w:rPr>
          <w:rFonts w:asciiTheme="minorHAnsi" w:hAnsiTheme="minorHAnsi"/>
        </w:rPr>
        <w:t xml:space="preserve"> část byla obcím alokována na základě vzorců a koeficientů zahrnující počet obyvatel ve správním obvodu viz část 1.A) a 1.B) přílohy č. 8 k</w:t>
      </w:r>
      <w:r w:rsidR="00EE1517">
        <w:rPr>
          <w:rFonts w:asciiTheme="minorHAnsi" w:hAnsiTheme="minorHAnsi"/>
        </w:rPr>
        <w:t> </w:t>
      </w:r>
      <w:r w:rsidRPr="00EE1517">
        <w:rPr>
          <w:rFonts w:asciiTheme="minorHAnsi" w:hAnsiTheme="minorHAnsi"/>
        </w:rPr>
        <w:t xml:space="preserve">zákonu o státním rozpočtu ČR na rok 2021. </w:t>
      </w:r>
    </w:p>
    <w:p w:rsidR="009C6AEE" w:rsidRPr="00EE1517" w:rsidRDefault="009C6AEE" w:rsidP="00EE1517">
      <w:pPr>
        <w:pStyle w:val="Odstavecseseznamem"/>
        <w:numPr>
          <w:ilvl w:val="0"/>
          <w:numId w:val="30"/>
        </w:numPr>
        <w:autoSpaceDE w:val="0"/>
        <w:autoSpaceDN w:val="0"/>
        <w:adjustRightInd w:val="0"/>
        <w:spacing w:after="0"/>
        <w:ind w:left="567" w:hanging="218"/>
        <w:rPr>
          <w:rFonts w:asciiTheme="minorHAnsi" w:hAnsiTheme="minorHAnsi"/>
        </w:rPr>
      </w:pPr>
      <w:r w:rsidRPr="00EE1517">
        <w:rPr>
          <w:rFonts w:asciiTheme="minorHAnsi" w:hAnsiTheme="minorHAnsi"/>
        </w:rPr>
        <w:t xml:space="preserve">Obec, jejíž matriční úřad provedl v rozhodném období od 1. 1. do 31. 12. 2019 úkon, obdrží za jeho provedení příspěvek. Za každý provedený zápis v knize narození obdrží obec příspěvek ve výši 741 Kč. Za každý provedený zápis v knize manželství nebo partnerství obdrží obec příspěvek ve výši 2 964 Kč a za každý provedený zápis v knize úmrtí obdrží obec příspěvek 988 Kč. Za každý úkon určení otcovství souhlasným prohlášením rodičů obdrží obec příspěvek ve výši 247 Kč, a to za období od 1. 1. do 31. 12. 2019.  </w:t>
      </w:r>
    </w:p>
    <w:p w:rsidR="009C6AEE" w:rsidRPr="00036055" w:rsidRDefault="009C6AEE" w:rsidP="00AD1A65">
      <w:pPr>
        <w:pStyle w:val="Odstavecseseznamem"/>
        <w:numPr>
          <w:ilvl w:val="0"/>
          <w:numId w:val="30"/>
        </w:numPr>
        <w:autoSpaceDE w:val="0"/>
        <w:autoSpaceDN w:val="0"/>
        <w:adjustRightInd w:val="0"/>
        <w:spacing w:after="0"/>
        <w:ind w:left="567" w:hanging="218"/>
        <w:rPr>
          <w:rFonts w:asciiTheme="minorHAnsi" w:hAnsiTheme="minorHAnsi"/>
        </w:rPr>
      </w:pPr>
      <w:r w:rsidRPr="00036055">
        <w:rPr>
          <w:rFonts w:asciiTheme="minorHAnsi" w:hAnsiTheme="minorHAnsi"/>
        </w:rPr>
        <w:lastRenderedPageBreak/>
        <w:t xml:space="preserve">V případě </w:t>
      </w:r>
      <w:r w:rsidR="00B26403">
        <w:rPr>
          <w:rFonts w:asciiTheme="minorHAnsi" w:hAnsiTheme="minorHAnsi"/>
        </w:rPr>
        <w:t>ORP</w:t>
      </w:r>
      <w:r w:rsidRPr="00036055">
        <w:rPr>
          <w:rFonts w:asciiTheme="minorHAnsi" w:hAnsiTheme="minorHAnsi"/>
        </w:rPr>
        <w:t xml:space="preserve"> se zvláštním post</w:t>
      </w:r>
      <w:r>
        <w:rPr>
          <w:rFonts w:asciiTheme="minorHAnsi" w:hAnsiTheme="minorHAnsi"/>
        </w:rPr>
        <w:t>avením, které vykonávaly do 31. </w:t>
      </w:r>
      <w:r w:rsidRPr="00036055">
        <w:rPr>
          <w:rFonts w:asciiTheme="minorHAnsi" w:hAnsiTheme="minorHAnsi"/>
        </w:rPr>
        <w:t>12. 2002 pů</w:t>
      </w:r>
      <w:r w:rsidR="00AD1A65">
        <w:rPr>
          <w:rFonts w:asciiTheme="minorHAnsi" w:hAnsiTheme="minorHAnsi"/>
        </w:rPr>
        <w:t>sobnost okresního úřadu podle § </w:t>
      </w:r>
      <w:r w:rsidRPr="00036055">
        <w:rPr>
          <w:rFonts w:asciiTheme="minorHAnsi" w:hAnsiTheme="minorHAnsi"/>
        </w:rPr>
        <w:t>10 zákona č. 147/2000 Sb., o okresních úřadech, ve znění z</w:t>
      </w:r>
      <w:r w:rsidR="00AD1A65">
        <w:rPr>
          <w:rFonts w:asciiTheme="minorHAnsi" w:hAnsiTheme="minorHAnsi"/>
        </w:rPr>
        <w:t>ákona č. 320/2001 Sb. (zákon č. </w:t>
      </w:r>
      <w:r w:rsidRPr="00036055">
        <w:rPr>
          <w:rFonts w:asciiTheme="minorHAnsi" w:hAnsiTheme="minorHAnsi"/>
        </w:rPr>
        <w:t>147/2000 Sb. byl zrušen ke dni 1.</w:t>
      </w:r>
      <w:r>
        <w:rPr>
          <w:rFonts w:asciiTheme="minorHAnsi" w:hAnsiTheme="minorHAnsi"/>
        </w:rPr>
        <w:t> </w:t>
      </w:r>
      <w:r w:rsidRPr="00036055">
        <w:rPr>
          <w:rFonts w:asciiTheme="minorHAnsi" w:hAnsiTheme="minorHAnsi"/>
        </w:rPr>
        <w:t>1.</w:t>
      </w:r>
      <w:r>
        <w:rPr>
          <w:rFonts w:asciiTheme="minorHAnsi" w:hAnsiTheme="minorHAnsi"/>
        </w:rPr>
        <w:t> </w:t>
      </w:r>
      <w:r w:rsidRPr="00036055">
        <w:rPr>
          <w:rFonts w:asciiTheme="minorHAnsi" w:hAnsiTheme="minorHAnsi"/>
        </w:rPr>
        <w:t>2003), bude financována jen výkonová složka, a to z důvodu vznikající úspory z rozsahu. Částky za provedené zápisy a úkon určení otcovství odpovídají výše uvedenému. Jedná se o města Brno, Ostrava a Plzeň. Výše příspěvku bude přičtena k celkovému příspěvku na zvláštní postavení (viz část 1.C) přílohy č. 8 k  zákon</w:t>
      </w:r>
      <w:r>
        <w:rPr>
          <w:rFonts w:asciiTheme="minorHAnsi" w:hAnsiTheme="minorHAnsi"/>
        </w:rPr>
        <w:t>u</w:t>
      </w:r>
      <w:r w:rsidR="00AD1A65">
        <w:rPr>
          <w:rFonts w:asciiTheme="minorHAnsi" w:hAnsiTheme="minorHAnsi"/>
        </w:rPr>
        <w:t xml:space="preserve"> o </w:t>
      </w:r>
      <w:r w:rsidRPr="00036055">
        <w:rPr>
          <w:rFonts w:asciiTheme="minorHAnsi" w:hAnsiTheme="minorHAnsi"/>
        </w:rPr>
        <w:t xml:space="preserve">státním rozpočtu na rok </w:t>
      </w:r>
      <w:r>
        <w:rPr>
          <w:rFonts w:asciiTheme="minorHAnsi" w:hAnsiTheme="minorHAnsi"/>
        </w:rPr>
        <w:t>2021</w:t>
      </w:r>
      <w:r w:rsidRPr="00036055">
        <w:rPr>
          <w:rFonts w:asciiTheme="minorHAnsi" w:hAnsiTheme="minorHAnsi"/>
        </w:rPr>
        <w:t>).</w:t>
      </w:r>
    </w:p>
    <w:p w:rsidR="009C6AEE" w:rsidRDefault="009C6AEE" w:rsidP="00AD1A65">
      <w:pPr>
        <w:pStyle w:val="Odstavecseseznamem"/>
        <w:numPr>
          <w:ilvl w:val="0"/>
          <w:numId w:val="30"/>
        </w:numPr>
        <w:autoSpaceDE w:val="0"/>
        <w:autoSpaceDN w:val="0"/>
        <w:adjustRightInd w:val="0"/>
        <w:spacing w:after="0"/>
        <w:ind w:left="567" w:hanging="218"/>
        <w:rPr>
          <w:rFonts w:asciiTheme="minorHAnsi" w:hAnsiTheme="minorHAnsi"/>
        </w:rPr>
      </w:pPr>
      <w:r w:rsidRPr="00756F3F">
        <w:rPr>
          <w:rFonts w:asciiTheme="minorHAnsi" w:hAnsiTheme="minorHAnsi"/>
        </w:rPr>
        <w:t>Počty zápisů vycházejí ze statistického zjišťování prováděného ČSÚ.</w:t>
      </w:r>
    </w:p>
    <w:p w:rsidR="009C6AEE" w:rsidRPr="003401D3" w:rsidRDefault="009C6AEE" w:rsidP="00AD1A65">
      <w:pPr>
        <w:pStyle w:val="Odstavecseseznamem"/>
        <w:numPr>
          <w:ilvl w:val="0"/>
          <w:numId w:val="30"/>
        </w:numPr>
        <w:autoSpaceDE w:val="0"/>
        <w:autoSpaceDN w:val="0"/>
        <w:adjustRightInd w:val="0"/>
        <w:spacing w:after="0"/>
        <w:ind w:left="567" w:hanging="218"/>
        <w:rPr>
          <w:rFonts w:asciiTheme="minorHAnsi" w:hAnsiTheme="minorHAnsi"/>
        </w:rPr>
      </w:pPr>
      <w:r w:rsidRPr="001A247E">
        <w:rPr>
          <w:rFonts w:asciiTheme="minorHAnsi" w:hAnsiTheme="minorHAnsi"/>
        </w:rPr>
        <w:t xml:space="preserve">Důvodem zvýšení úhrady </w:t>
      </w:r>
      <w:r>
        <w:rPr>
          <w:rFonts w:asciiTheme="minorHAnsi" w:hAnsiTheme="minorHAnsi"/>
        </w:rPr>
        <w:t>za jednotlivé úkony</w:t>
      </w:r>
      <w:r w:rsidRPr="001A247E">
        <w:rPr>
          <w:rFonts w:asciiTheme="minorHAnsi" w:hAnsiTheme="minorHAnsi"/>
        </w:rPr>
        <w:t xml:space="preserve"> je úprava parametrů pro kalkulaci nákladů na modelový pracovní úvazek</w:t>
      </w:r>
      <w:r>
        <w:rPr>
          <w:rFonts w:asciiTheme="minorHAnsi" w:hAnsiTheme="minorHAnsi"/>
        </w:rPr>
        <w:t>.</w:t>
      </w:r>
      <w:r w:rsidRPr="001E0AF9">
        <w:rPr>
          <w:rFonts w:asciiTheme="minorHAnsi" w:hAnsiTheme="minorHAnsi"/>
        </w:rPr>
        <w:t xml:space="preserve"> </w:t>
      </w:r>
    </w:p>
    <w:p w:rsidR="00036055" w:rsidRPr="00AD1A65" w:rsidRDefault="009C6AEE" w:rsidP="00AD1A65">
      <w:pPr>
        <w:pStyle w:val="Odstavecseseznamem"/>
        <w:numPr>
          <w:ilvl w:val="0"/>
          <w:numId w:val="30"/>
        </w:numPr>
        <w:autoSpaceDE w:val="0"/>
        <w:autoSpaceDN w:val="0"/>
        <w:adjustRightInd w:val="0"/>
        <w:spacing w:after="0"/>
        <w:ind w:left="567" w:hanging="218"/>
        <w:rPr>
          <w:b/>
        </w:rPr>
      </w:pPr>
      <w:r w:rsidRPr="00A14B93">
        <w:rPr>
          <w:rFonts w:asciiTheme="minorHAnsi" w:hAnsiTheme="minorHAnsi"/>
        </w:rPr>
        <w:t>Celková vyčlen</w:t>
      </w:r>
      <w:r w:rsidR="00AD1A65">
        <w:rPr>
          <w:rFonts w:asciiTheme="minorHAnsi" w:hAnsiTheme="minorHAnsi"/>
        </w:rPr>
        <w:t>ěná částka je 611 506 368 Kč (z </w:t>
      </w:r>
      <w:r w:rsidRPr="00A14B93">
        <w:rPr>
          <w:rFonts w:asciiTheme="minorHAnsi" w:hAnsiTheme="minorHAnsi"/>
        </w:rPr>
        <w:t>toho částka 35 570 470 Kč připadající městům Brno, Ostrava a Plzeň bude přičtena k celkovému příspěvku na zvláštní postavení).</w:t>
      </w:r>
    </w:p>
    <w:p w:rsidR="00AD1A65" w:rsidRPr="00A14B93" w:rsidRDefault="00AD1A65" w:rsidP="00AD1A65">
      <w:pPr>
        <w:pStyle w:val="Odstavecseseznamem"/>
        <w:numPr>
          <w:ilvl w:val="0"/>
          <w:numId w:val="30"/>
        </w:numPr>
        <w:autoSpaceDE w:val="0"/>
        <w:autoSpaceDN w:val="0"/>
        <w:adjustRightInd w:val="0"/>
        <w:spacing w:after="0"/>
        <w:ind w:left="567" w:hanging="218"/>
        <w:rPr>
          <w:b/>
        </w:rPr>
        <w:sectPr w:rsidR="00AD1A65" w:rsidRPr="00A14B93" w:rsidSect="00A8669C">
          <w:footnotePr>
            <w:pos w:val="beneathText"/>
          </w:footnotePr>
          <w:type w:val="continuous"/>
          <w:pgSz w:w="11906" w:h="16838" w:code="9"/>
          <w:pgMar w:top="1134" w:right="1134" w:bottom="1134" w:left="1134" w:header="709" w:footer="709" w:gutter="0"/>
          <w:cols w:num="2" w:space="397"/>
          <w:docGrid w:linePitch="360"/>
        </w:sectPr>
      </w:pPr>
    </w:p>
    <w:p w:rsidR="000F4405" w:rsidRPr="006B0B2A" w:rsidRDefault="00BF2E91"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6B0B2A">
        <w:rPr>
          <w:b/>
          <w:sz w:val="24"/>
        </w:rPr>
        <w:lastRenderedPageBreak/>
        <w:t xml:space="preserve">Financování úřadů </w:t>
      </w:r>
      <w:r w:rsidR="00AE23BF" w:rsidRPr="006B0B2A">
        <w:rPr>
          <w:b/>
          <w:sz w:val="24"/>
        </w:rPr>
        <w:t>územního plánování</w:t>
      </w:r>
    </w:p>
    <w:p w:rsidR="002F46DD" w:rsidRPr="006B0B2A" w:rsidRDefault="002F46DD"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2F46DD" w:rsidRPr="006B0B2A" w:rsidSect="004E7A79">
          <w:footnotePr>
            <w:pos w:val="beneathText"/>
          </w:footnotePr>
          <w:type w:val="continuous"/>
          <w:pgSz w:w="11906" w:h="16838" w:code="9"/>
          <w:pgMar w:top="1134" w:right="1134" w:bottom="1134" w:left="1134" w:header="709" w:footer="709" w:gutter="0"/>
          <w:cols w:space="708"/>
          <w:docGrid w:linePitch="360"/>
        </w:sectPr>
      </w:pPr>
    </w:p>
    <w:p w:rsidR="0098563A" w:rsidRPr="00793AB4" w:rsidRDefault="0098563A" w:rsidP="00AD1A65">
      <w:pPr>
        <w:pStyle w:val="Odstavecseseznamem"/>
        <w:numPr>
          <w:ilvl w:val="0"/>
          <w:numId w:val="30"/>
        </w:numPr>
        <w:autoSpaceDE w:val="0"/>
        <w:autoSpaceDN w:val="0"/>
        <w:adjustRightInd w:val="0"/>
        <w:spacing w:after="0"/>
        <w:ind w:left="567" w:hanging="218"/>
        <w:rPr>
          <w:rFonts w:asciiTheme="minorHAnsi" w:hAnsiTheme="minorHAnsi"/>
        </w:rPr>
      </w:pPr>
      <w:r w:rsidRPr="00793AB4">
        <w:rPr>
          <w:rFonts w:asciiTheme="minorHAnsi" w:hAnsiTheme="minorHAnsi"/>
        </w:rPr>
        <w:lastRenderedPageBreak/>
        <w:t xml:space="preserve">Vedle části příspěvku pro </w:t>
      </w:r>
      <w:r w:rsidR="00B26403">
        <w:rPr>
          <w:rFonts w:asciiTheme="minorHAnsi" w:hAnsiTheme="minorHAnsi"/>
        </w:rPr>
        <w:t xml:space="preserve">ORP </w:t>
      </w:r>
      <w:r w:rsidRPr="00793AB4">
        <w:rPr>
          <w:rFonts w:asciiTheme="minorHAnsi" w:hAnsiTheme="minorHAnsi"/>
        </w:rPr>
        <w:t>podle části 1.B), který obsahuje i</w:t>
      </w:r>
      <w:r>
        <w:rPr>
          <w:rFonts w:asciiTheme="minorHAnsi" w:hAnsiTheme="minorHAnsi"/>
        </w:rPr>
        <w:t> </w:t>
      </w:r>
      <w:r w:rsidRPr="00793AB4">
        <w:rPr>
          <w:rFonts w:asciiTheme="minorHAnsi" w:hAnsiTheme="minorHAnsi"/>
        </w:rPr>
        <w:t>poměrnou část příspěvku na pokrytí výkonu agendy úřadů územního plánování, v souladu s</w:t>
      </w:r>
      <w:r>
        <w:rPr>
          <w:rFonts w:asciiTheme="minorHAnsi" w:hAnsiTheme="minorHAnsi"/>
        </w:rPr>
        <w:t> </w:t>
      </w:r>
      <w:r w:rsidRPr="00793AB4">
        <w:rPr>
          <w:rFonts w:asciiTheme="minorHAnsi" w:hAnsiTheme="minorHAnsi"/>
        </w:rPr>
        <w:t>platnou právní úpravou, tj. zákonem č.</w:t>
      </w:r>
      <w:r>
        <w:rPr>
          <w:rFonts w:asciiTheme="minorHAnsi" w:hAnsiTheme="minorHAnsi"/>
        </w:rPr>
        <w:t> </w:t>
      </w:r>
      <w:r w:rsidRPr="00793AB4">
        <w:rPr>
          <w:rFonts w:asciiTheme="minorHAnsi" w:hAnsiTheme="minorHAnsi"/>
        </w:rPr>
        <w:t>183/2006 Sb., o územním plánování a</w:t>
      </w:r>
      <w:r>
        <w:rPr>
          <w:rFonts w:asciiTheme="minorHAnsi" w:hAnsiTheme="minorHAnsi"/>
        </w:rPr>
        <w:t> </w:t>
      </w:r>
      <w:r w:rsidRPr="00793AB4">
        <w:rPr>
          <w:rFonts w:asciiTheme="minorHAnsi" w:hAnsiTheme="minorHAnsi"/>
        </w:rPr>
        <w:t>stavebním řádu (stavební zákon), ve znění pozdějších předpisů, obdrží obce s rozšířenou působností další část příspěvku. Agenda uvedená ve větě první byla do zákona č.</w:t>
      </w:r>
      <w:r>
        <w:rPr>
          <w:rFonts w:asciiTheme="minorHAnsi" w:hAnsiTheme="minorHAnsi"/>
        </w:rPr>
        <w:t> </w:t>
      </w:r>
      <w:r w:rsidRPr="00793AB4">
        <w:rPr>
          <w:rFonts w:asciiTheme="minorHAnsi" w:hAnsiTheme="minorHAnsi"/>
        </w:rPr>
        <w:t xml:space="preserve"> 183/2006 Sb. doplněna zákonem č.</w:t>
      </w:r>
      <w:r>
        <w:rPr>
          <w:rFonts w:asciiTheme="minorHAnsi" w:hAnsiTheme="minorHAnsi"/>
        </w:rPr>
        <w:t> </w:t>
      </w:r>
      <w:r w:rsidRPr="00793AB4">
        <w:rPr>
          <w:rFonts w:asciiTheme="minorHAnsi" w:hAnsiTheme="minorHAnsi"/>
        </w:rPr>
        <w:t>225/2017 Sb., kterým se mění zákon č.</w:t>
      </w:r>
      <w:r>
        <w:rPr>
          <w:rFonts w:asciiTheme="minorHAnsi" w:hAnsiTheme="minorHAnsi"/>
        </w:rPr>
        <w:t> </w:t>
      </w:r>
      <w:r w:rsidRPr="00793AB4">
        <w:rPr>
          <w:rFonts w:asciiTheme="minorHAnsi" w:hAnsiTheme="minorHAnsi"/>
        </w:rPr>
        <w:t>183/2006 Sb., o územním plánování a</w:t>
      </w:r>
      <w:r>
        <w:rPr>
          <w:rFonts w:asciiTheme="minorHAnsi" w:hAnsiTheme="minorHAnsi"/>
        </w:rPr>
        <w:t> </w:t>
      </w:r>
      <w:r w:rsidRPr="00793AB4">
        <w:rPr>
          <w:rFonts w:asciiTheme="minorHAnsi" w:hAnsiTheme="minorHAnsi"/>
        </w:rPr>
        <w:t>stavebním řádu (stavební zákon), ve znění pozdějších předpisů, a další související zákony.</w:t>
      </w:r>
    </w:p>
    <w:p w:rsidR="0098563A" w:rsidRDefault="0098563A" w:rsidP="00AD1A65">
      <w:pPr>
        <w:pStyle w:val="Odstavecseseznamem"/>
        <w:numPr>
          <w:ilvl w:val="0"/>
          <w:numId w:val="30"/>
        </w:numPr>
        <w:autoSpaceDE w:val="0"/>
        <w:autoSpaceDN w:val="0"/>
        <w:adjustRightInd w:val="0"/>
        <w:spacing w:after="0"/>
        <w:ind w:left="567" w:hanging="218"/>
        <w:rPr>
          <w:rFonts w:asciiTheme="minorHAnsi" w:hAnsiTheme="minorHAnsi"/>
        </w:rPr>
      </w:pPr>
      <w:r w:rsidRPr="00793AB4">
        <w:rPr>
          <w:rFonts w:asciiTheme="minorHAnsi" w:hAnsiTheme="minorHAnsi"/>
        </w:rPr>
        <w:lastRenderedPageBreak/>
        <w:t>O</w:t>
      </w:r>
      <w:r w:rsidR="00B26403">
        <w:rPr>
          <w:rFonts w:asciiTheme="minorHAnsi" w:hAnsiTheme="minorHAnsi"/>
        </w:rPr>
        <w:t>RP obdrží</w:t>
      </w:r>
      <w:r w:rsidRPr="00793AB4">
        <w:rPr>
          <w:rFonts w:asciiTheme="minorHAnsi" w:hAnsiTheme="minorHAnsi"/>
        </w:rPr>
        <w:t xml:space="preserve"> příspěvek za každé závazné s</w:t>
      </w:r>
      <w:r w:rsidR="00AD1A65">
        <w:rPr>
          <w:rFonts w:asciiTheme="minorHAnsi" w:hAnsiTheme="minorHAnsi"/>
        </w:rPr>
        <w:t>tanovisko vydané v období od 1. </w:t>
      </w:r>
      <w:r w:rsidRPr="00793AB4">
        <w:rPr>
          <w:rFonts w:asciiTheme="minorHAnsi" w:hAnsiTheme="minorHAnsi"/>
        </w:rPr>
        <w:t xml:space="preserve">1. do 31. 12. </w:t>
      </w:r>
      <w:r>
        <w:rPr>
          <w:rFonts w:asciiTheme="minorHAnsi" w:hAnsiTheme="minorHAnsi"/>
        </w:rPr>
        <w:t>2019</w:t>
      </w:r>
      <w:r w:rsidR="00AD1A65">
        <w:rPr>
          <w:rFonts w:asciiTheme="minorHAnsi" w:hAnsiTheme="minorHAnsi"/>
        </w:rPr>
        <w:t xml:space="preserve"> podle § 96b zákona č. </w:t>
      </w:r>
      <w:r w:rsidRPr="00793AB4">
        <w:rPr>
          <w:rFonts w:asciiTheme="minorHAnsi" w:hAnsiTheme="minorHAnsi"/>
        </w:rPr>
        <w:t xml:space="preserve">183/2006 Sb., o územním plánování a stavebním řádu (stavební zákon), ve znění zákona č. 225/2017 Sb. Částka pro rok </w:t>
      </w:r>
      <w:r>
        <w:rPr>
          <w:rFonts w:asciiTheme="minorHAnsi" w:hAnsiTheme="minorHAnsi"/>
        </w:rPr>
        <w:t>2021</w:t>
      </w:r>
      <w:r w:rsidRPr="00793AB4">
        <w:rPr>
          <w:rFonts w:asciiTheme="minorHAnsi" w:hAnsiTheme="minorHAnsi"/>
        </w:rPr>
        <w:t xml:space="preserve"> za jeden úkon činí </w:t>
      </w:r>
      <w:r>
        <w:rPr>
          <w:rFonts w:asciiTheme="minorHAnsi" w:hAnsiTheme="minorHAnsi"/>
        </w:rPr>
        <w:t>2 706</w:t>
      </w:r>
      <w:r w:rsidRPr="00793AB4">
        <w:rPr>
          <w:rFonts w:asciiTheme="minorHAnsi" w:hAnsiTheme="minorHAnsi"/>
        </w:rPr>
        <w:t xml:space="preserve">  Kč. </w:t>
      </w:r>
    </w:p>
    <w:p w:rsidR="0098563A" w:rsidRPr="003619A2" w:rsidRDefault="0098563A" w:rsidP="00AD1A65">
      <w:pPr>
        <w:pStyle w:val="Odstavecseseznamem"/>
        <w:numPr>
          <w:ilvl w:val="0"/>
          <w:numId w:val="30"/>
        </w:numPr>
        <w:autoSpaceDE w:val="0"/>
        <w:autoSpaceDN w:val="0"/>
        <w:adjustRightInd w:val="0"/>
        <w:spacing w:after="0"/>
        <w:ind w:left="567" w:hanging="218"/>
        <w:rPr>
          <w:rFonts w:asciiTheme="minorHAnsi" w:hAnsiTheme="minorHAnsi"/>
        </w:rPr>
      </w:pPr>
      <w:r w:rsidRPr="001A247E">
        <w:rPr>
          <w:rFonts w:asciiTheme="minorHAnsi" w:hAnsiTheme="minorHAnsi"/>
        </w:rPr>
        <w:t>Důvodem zvýšení úhrady je úprava parametrů pro kalkulaci nákladů na modelový pracovní úvazek</w:t>
      </w:r>
      <w:r>
        <w:rPr>
          <w:rFonts w:asciiTheme="minorHAnsi" w:hAnsiTheme="minorHAnsi"/>
        </w:rPr>
        <w:t>.</w:t>
      </w:r>
      <w:r w:rsidRPr="001E0AF9">
        <w:rPr>
          <w:rFonts w:asciiTheme="minorHAnsi" w:hAnsiTheme="minorHAnsi"/>
        </w:rPr>
        <w:t xml:space="preserve"> </w:t>
      </w:r>
      <w:r w:rsidRPr="003619A2">
        <w:rPr>
          <w:rFonts w:asciiTheme="minorHAnsi" w:hAnsiTheme="minorHAnsi"/>
        </w:rPr>
        <w:t>Počty závazných stanovisek, které nejsou samostatným rozhodnutím ve správním řízení, vycházejí ze statistického zjišťování prováděného Ministerstvem pro místní rozvoj.</w:t>
      </w:r>
    </w:p>
    <w:p w:rsidR="0098563A" w:rsidRPr="0098563A" w:rsidRDefault="0098563A" w:rsidP="00AD1A65">
      <w:pPr>
        <w:pStyle w:val="Odstavecseseznamem"/>
        <w:numPr>
          <w:ilvl w:val="0"/>
          <w:numId w:val="30"/>
        </w:numPr>
        <w:autoSpaceDE w:val="0"/>
        <w:autoSpaceDN w:val="0"/>
        <w:adjustRightInd w:val="0"/>
        <w:spacing w:after="0"/>
        <w:ind w:left="567" w:hanging="218"/>
        <w:rPr>
          <w:rFonts w:asciiTheme="minorHAnsi" w:hAnsiTheme="minorHAnsi"/>
        </w:rPr>
      </w:pPr>
      <w:r w:rsidRPr="003401D3">
        <w:rPr>
          <w:rFonts w:asciiTheme="minorHAnsi" w:hAnsiTheme="minorHAnsi"/>
        </w:rPr>
        <w:t>Celková vyčleněná částka je 218 398 554 Kč.</w:t>
      </w:r>
    </w:p>
    <w:p w:rsidR="002F46DD" w:rsidRPr="00A14B93" w:rsidRDefault="002F46DD" w:rsidP="00A14B93">
      <w:pPr>
        <w:widowControl w:val="0"/>
        <w:autoSpaceDE w:val="0"/>
        <w:autoSpaceDN w:val="0"/>
        <w:adjustRightInd w:val="0"/>
        <w:spacing w:after="0"/>
        <w:ind w:left="360"/>
        <w:rPr>
          <w:rFonts w:asciiTheme="minorHAnsi" w:hAnsiTheme="minorHAnsi"/>
        </w:rPr>
        <w:sectPr w:rsidR="002F46DD" w:rsidRPr="00A14B93" w:rsidSect="002F46DD">
          <w:footnotePr>
            <w:pos w:val="beneathText"/>
          </w:footnotePr>
          <w:type w:val="continuous"/>
          <w:pgSz w:w="11906" w:h="16838" w:code="9"/>
          <w:pgMar w:top="1134" w:right="1134" w:bottom="1134" w:left="1134" w:header="709" w:footer="709" w:gutter="0"/>
          <w:cols w:num="2" w:space="397"/>
          <w:docGrid w:linePitch="360"/>
        </w:sectPr>
      </w:pPr>
    </w:p>
    <w:p w:rsidR="00A14B93" w:rsidRPr="006B0B2A" w:rsidRDefault="00A14B93" w:rsidP="00A14B93">
      <w:pPr>
        <w:pStyle w:val="Odstavecseseznamem"/>
        <w:numPr>
          <w:ilvl w:val="0"/>
          <w:numId w:val="13"/>
        </w:numPr>
        <w:suppressAutoHyphens/>
        <w:autoSpaceDE w:val="0"/>
        <w:autoSpaceDN w:val="0"/>
        <w:adjustRightInd w:val="0"/>
        <w:spacing w:before="120"/>
        <w:ind w:left="714" w:hanging="357"/>
        <w:contextualSpacing w:val="0"/>
        <w:rPr>
          <w:b/>
          <w:sz w:val="24"/>
        </w:rPr>
      </w:pPr>
      <w:r>
        <w:rPr>
          <w:b/>
          <w:sz w:val="24"/>
        </w:rPr>
        <w:lastRenderedPageBreak/>
        <w:t>Financování živnostenských úřadů</w:t>
      </w:r>
    </w:p>
    <w:p w:rsidR="00A14B93" w:rsidRPr="006B0B2A" w:rsidRDefault="00A14B93" w:rsidP="00A14B93">
      <w:pPr>
        <w:pStyle w:val="Odstavecseseznamem"/>
        <w:numPr>
          <w:ilvl w:val="0"/>
          <w:numId w:val="17"/>
        </w:numPr>
        <w:suppressAutoHyphens/>
        <w:autoSpaceDE w:val="0"/>
        <w:autoSpaceDN w:val="0"/>
        <w:adjustRightInd w:val="0"/>
        <w:spacing w:before="120"/>
        <w:contextualSpacing w:val="0"/>
        <w:rPr>
          <w:b/>
          <w:sz w:val="24"/>
        </w:rPr>
        <w:sectPr w:rsidR="00A14B93" w:rsidRPr="006B0B2A" w:rsidSect="004E7A79">
          <w:footnotePr>
            <w:pos w:val="beneathText"/>
          </w:footnotePr>
          <w:type w:val="continuous"/>
          <w:pgSz w:w="11906" w:h="16838" w:code="9"/>
          <w:pgMar w:top="1134" w:right="1134" w:bottom="1134" w:left="1134" w:header="709" w:footer="709" w:gutter="0"/>
          <w:cols w:space="708"/>
          <w:docGrid w:linePitch="360"/>
        </w:sectPr>
      </w:pPr>
    </w:p>
    <w:p w:rsidR="00A14B93" w:rsidRDefault="00A14B93" w:rsidP="00AD1A65">
      <w:pPr>
        <w:pStyle w:val="Odstavecseseznamem"/>
        <w:numPr>
          <w:ilvl w:val="0"/>
          <w:numId w:val="30"/>
        </w:numPr>
        <w:autoSpaceDE w:val="0"/>
        <w:autoSpaceDN w:val="0"/>
        <w:adjustRightInd w:val="0"/>
        <w:spacing w:after="0"/>
        <w:ind w:left="567" w:hanging="218"/>
        <w:rPr>
          <w:rFonts w:asciiTheme="minorHAnsi" w:hAnsiTheme="minorHAnsi"/>
        </w:rPr>
      </w:pPr>
      <w:r w:rsidRPr="004A5349">
        <w:rPr>
          <w:rFonts w:asciiTheme="minorHAnsi" w:hAnsiTheme="minorHAnsi"/>
        </w:rPr>
        <w:lastRenderedPageBreak/>
        <w:t xml:space="preserve">Vedle části příspěvku pro </w:t>
      </w:r>
      <w:r w:rsidR="00B26403">
        <w:rPr>
          <w:rFonts w:asciiTheme="minorHAnsi" w:hAnsiTheme="minorHAnsi"/>
        </w:rPr>
        <w:t>ORP</w:t>
      </w:r>
      <w:r w:rsidRPr="004A5349">
        <w:rPr>
          <w:rFonts w:asciiTheme="minorHAnsi" w:hAnsiTheme="minorHAnsi"/>
        </w:rPr>
        <w:t xml:space="preserve"> podle části 1.B), který obsahuje i</w:t>
      </w:r>
      <w:r w:rsidR="007E2513">
        <w:rPr>
          <w:rFonts w:asciiTheme="minorHAnsi" w:hAnsiTheme="minorHAnsi"/>
        </w:rPr>
        <w:t> </w:t>
      </w:r>
      <w:r w:rsidRPr="004A5349">
        <w:rPr>
          <w:rFonts w:asciiTheme="minorHAnsi" w:hAnsiTheme="minorHAnsi"/>
        </w:rPr>
        <w:t>poměrnou část příspěvku na pokrytí výkonu agendy ži</w:t>
      </w:r>
      <w:r w:rsidR="00AD1A65">
        <w:rPr>
          <w:rFonts w:asciiTheme="minorHAnsi" w:hAnsiTheme="minorHAnsi"/>
        </w:rPr>
        <w:t>vnostenských úřadů, v souladu s </w:t>
      </w:r>
      <w:r w:rsidRPr="004A5349">
        <w:rPr>
          <w:rFonts w:asciiTheme="minorHAnsi" w:hAnsiTheme="minorHAnsi"/>
        </w:rPr>
        <w:t>platnou</w:t>
      </w:r>
      <w:r>
        <w:rPr>
          <w:rFonts w:asciiTheme="minorHAnsi" w:hAnsiTheme="minorHAnsi"/>
        </w:rPr>
        <w:t xml:space="preserve"> právní úpravou, tj. zákonem č. </w:t>
      </w:r>
      <w:r w:rsidRPr="004A5349">
        <w:rPr>
          <w:rFonts w:asciiTheme="minorHAnsi" w:hAnsiTheme="minorHAnsi"/>
        </w:rPr>
        <w:t>455/1991 Sb., o</w:t>
      </w:r>
      <w:r w:rsidR="007E2513">
        <w:rPr>
          <w:rFonts w:asciiTheme="minorHAnsi" w:hAnsiTheme="minorHAnsi"/>
        </w:rPr>
        <w:t> </w:t>
      </w:r>
      <w:r w:rsidRPr="004A5349">
        <w:rPr>
          <w:rFonts w:asciiTheme="minorHAnsi" w:hAnsiTheme="minorHAnsi"/>
        </w:rPr>
        <w:t>živnostenském podnikání (živnostenský zákon), ve znění p</w:t>
      </w:r>
      <w:r>
        <w:rPr>
          <w:rFonts w:asciiTheme="minorHAnsi" w:hAnsiTheme="minorHAnsi"/>
        </w:rPr>
        <w:t>ozdějších předpisů, a zákonem č </w:t>
      </w:r>
      <w:r w:rsidR="00AD1A65">
        <w:rPr>
          <w:rFonts w:asciiTheme="minorHAnsi" w:hAnsiTheme="minorHAnsi"/>
        </w:rPr>
        <w:t xml:space="preserve"> 570/1991 Sb., o </w:t>
      </w:r>
      <w:r w:rsidRPr="004A5349">
        <w:rPr>
          <w:rFonts w:asciiTheme="minorHAnsi" w:hAnsiTheme="minorHAnsi"/>
        </w:rPr>
        <w:t xml:space="preserve">živnostenských úřadech, ve znění pozdějších předpisů, obdrží </w:t>
      </w:r>
      <w:r w:rsidR="00B26403">
        <w:rPr>
          <w:rFonts w:asciiTheme="minorHAnsi" w:hAnsiTheme="minorHAnsi"/>
        </w:rPr>
        <w:t>ORP da</w:t>
      </w:r>
      <w:r w:rsidR="0069015E">
        <w:rPr>
          <w:rFonts w:asciiTheme="minorHAnsi" w:hAnsiTheme="minorHAnsi"/>
        </w:rPr>
        <w:t>l</w:t>
      </w:r>
      <w:r w:rsidR="00B26403">
        <w:rPr>
          <w:rFonts w:asciiTheme="minorHAnsi" w:hAnsiTheme="minorHAnsi"/>
        </w:rPr>
        <w:t>ší</w:t>
      </w:r>
      <w:r w:rsidRPr="004A5349">
        <w:rPr>
          <w:rFonts w:asciiTheme="minorHAnsi" w:hAnsiTheme="minorHAnsi"/>
        </w:rPr>
        <w:t xml:space="preserve"> část příspěvku. </w:t>
      </w:r>
    </w:p>
    <w:p w:rsidR="00A14B93" w:rsidRDefault="00A14B93" w:rsidP="00AD1A65">
      <w:pPr>
        <w:pStyle w:val="Odstavecseseznamem"/>
        <w:numPr>
          <w:ilvl w:val="0"/>
          <w:numId w:val="30"/>
        </w:numPr>
        <w:autoSpaceDE w:val="0"/>
        <w:autoSpaceDN w:val="0"/>
        <w:adjustRightInd w:val="0"/>
        <w:spacing w:after="0"/>
        <w:ind w:left="567" w:hanging="218"/>
        <w:rPr>
          <w:rFonts w:asciiTheme="minorHAnsi" w:hAnsiTheme="minorHAnsi"/>
        </w:rPr>
      </w:pPr>
      <w:r w:rsidRPr="004A5349">
        <w:rPr>
          <w:rFonts w:asciiTheme="minorHAnsi" w:hAnsiTheme="minorHAnsi"/>
        </w:rPr>
        <w:t>O</w:t>
      </w:r>
      <w:r w:rsidR="0069015E">
        <w:rPr>
          <w:rFonts w:asciiTheme="minorHAnsi" w:hAnsiTheme="minorHAnsi"/>
        </w:rPr>
        <w:t xml:space="preserve">RP </w:t>
      </w:r>
      <w:r w:rsidRPr="004A5349">
        <w:rPr>
          <w:rFonts w:asciiTheme="minorHAnsi" w:hAnsiTheme="minorHAnsi"/>
        </w:rPr>
        <w:t xml:space="preserve"> obdrží příspěvek za každé avízo, tj. změnu a doplnění údajů ze základních registrů a určených </w:t>
      </w:r>
      <w:r w:rsidRPr="004A5349">
        <w:rPr>
          <w:rFonts w:asciiTheme="minorHAnsi" w:hAnsiTheme="minorHAnsi"/>
        </w:rPr>
        <w:lastRenderedPageBreak/>
        <w:t>informačních systémů, zpracované v období od 1. 1. do 31. 12. 2019 po</w:t>
      </w:r>
      <w:r w:rsidR="00AD1A65">
        <w:rPr>
          <w:rFonts w:asciiTheme="minorHAnsi" w:hAnsiTheme="minorHAnsi"/>
        </w:rPr>
        <w:t>dle § 49, § 56 a § 60 zákona č. </w:t>
      </w:r>
      <w:r w:rsidRPr="004A5349">
        <w:rPr>
          <w:rFonts w:asciiTheme="minorHAnsi" w:hAnsiTheme="minorHAnsi"/>
        </w:rPr>
        <w:t>455/1991 Sb., o živnostenském podnikání (živnostenský zákon), ve znění pozdějších předpisů. Částka pro rok 2021 za jedn</w:t>
      </w:r>
      <w:r>
        <w:rPr>
          <w:rFonts w:asciiTheme="minorHAnsi" w:hAnsiTheme="minorHAnsi"/>
        </w:rPr>
        <w:t>o</w:t>
      </w:r>
      <w:r w:rsidRPr="004A5349">
        <w:rPr>
          <w:rFonts w:asciiTheme="minorHAnsi" w:hAnsiTheme="minorHAnsi"/>
        </w:rPr>
        <w:t xml:space="preserve"> zpracované avízo činí 338 Kč. </w:t>
      </w:r>
    </w:p>
    <w:p w:rsidR="00A14B93" w:rsidRDefault="00A14B93" w:rsidP="00EE1517">
      <w:pPr>
        <w:pStyle w:val="Odstavecseseznamem"/>
        <w:numPr>
          <w:ilvl w:val="0"/>
          <w:numId w:val="30"/>
        </w:numPr>
        <w:autoSpaceDE w:val="0"/>
        <w:autoSpaceDN w:val="0"/>
        <w:adjustRightInd w:val="0"/>
        <w:spacing w:after="0"/>
        <w:ind w:left="567" w:hanging="218"/>
        <w:rPr>
          <w:rFonts w:asciiTheme="minorHAnsi" w:hAnsiTheme="minorHAnsi"/>
        </w:rPr>
      </w:pPr>
      <w:r w:rsidRPr="004A5349">
        <w:rPr>
          <w:rFonts w:asciiTheme="minorHAnsi" w:hAnsiTheme="minorHAnsi"/>
        </w:rPr>
        <w:t>Počty zpracovaných avíz vycházejí z</w:t>
      </w:r>
      <w:r w:rsidR="00EE1517">
        <w:rPr>
          <w:rFonts w:asciiTheme="minorHAnsi" w:hAnsiTheme="minorHAnsi"/>
        </w:rPr>
        <w:t> </w:t>
      </w:r>
      <w:r w:rsidRPr="004A5349">
        <w:rPr>
          <w:rFonts w:asciiTheme="minorHAnsi" w:hAnsiTheme="minorHAnsi"/>
        </w:rPr>
        <w:t>živnostenského rejstříku spravo</w:t>
      </w:r>
      <w:r>
        <w:rPr>
          <w:rFonts w:asciiTheme="minorHAnsi" w:hAnsiTheme="minorHAnsi"/>
        </w:rPr>
        <w:t>vaného Ministerstvem průmyslu a</w:t>
      </w:r>
      <w:r w:rsidR="00EE1517">
        <w:rPr>
          <w:rFonts w:asciiTheme="minorHAnsi" w:hAnsiTheme="minorHAnsi"/>
        </w:rPr>
        <w:t xml:space="preserve"> </w:t>
      </w:r>
      <w:r w:rsidRPr="004A5349">
        <w:rPr>
          <w:rFonts w:asciiTheme="minorHAnsi" w:hAnsiTheme="minorHAnsi"/>
        </w:rPr>
        <w:t xml:space="preserve">obchodu. </w:t>
      </w:r>
    </w:p>
    <w:p w:rsidR="00A14B93" w:rsidRDefault="00A14B93" w:rsidP="00AD1A65">
      <w:pPr>
        <w:pStyle w:val="Odstavecseseznamem"/>
        <w:numPr>
          <w:ilvl w:val="0"/>
          <w:numId w:val="30"/>
        </w:numPr>
        <w:autoSpaceDE w:val="0"/>
        <w:autoSpaceDN w:val="0"/>
        <w:adjustRightInd w:val="0"/>
        <w:spacing w:after="0"/>
        <w:ind w:left="567" w:hanging="218"/>
        <w:rPr>
          <w:rFonts w:asciiTheme="minorHAnsi" w:hAnsiTheme="minorHAnsi"/>
        </w:rPr>
      </w:pPr>
      <w:r w:rsidRPr="00C52125">
        <w:rPr>
          <w:rFonts w:asciiTheme="minorHAnsi" w:hAnsiTheme="minorHAnsi"/>
        </w:rPr>
        <w:t xml:space="preserve">Celková vyčleněná částka je </w:t>
      </w:r>
      <w:r>
        <w:rPr>
          <w:rFonts w:asciiTheme="minorHAnsi" w:hAnsiTheme="minorHAnsi"/>
        </w:rPr>
        <w:t>174 694 624</w:t>
      </w:r>
      <w:r w:rsidRPr="00C52125">
        <w:rPr>
          <w:rFonts w:asciiTheme="minorHAnsi" w:hAnsiTheme="minorHAnsi"/>
        </w:rPr>
        <w:t xml:space="preserve"> Kč.</w:t>
      </w:r>
      <w:r w:rsidRPr="00962282">
        <w:rPr>
          <w:rFonts w:asciiTheme="minorHAnsi" w:hAnsiTheme="minorHAnsi"/>
        </w:rPr>
        <w:t xml:space="preserve"> </w:t>
      </w:r>
    </w:p>
    <w:p w:rsidR="00A14B93" w:rsidRDefault="00A14B93" w:rsidP="00A14B93">
      <w:pPr>
        <w:pStyle w:val="Odstavecseseznamem"/>
        <w:numPr>
          <w:ilvl w:val="0"/>
          <w:numId w:val="30"/>
        </w:numPr>
        <w:tabs>
          <w:tab w:val="num" w:pos="928"/>
        </w:tabs>
        <w:autoSpaceDE w:val="0"/>
        <w:autoSpaceDN w:val="0"/>
        <w:adjustRightInd w:val="0"/>
        <w:spacing w:after="0"/>
        <w:rPr>
          <w:rFonts w:asciiTheme="minorHAnsi" w:hAnsiTheme="minorHAnsi"/>
        </w:rPr>
        <w:sectPr w:rsidR="00A14B93" w:rsidSect="009F6312">
          <w:footnotePr>
            <w:pos w:val="beneathText"/>
          </w:footnotePr>
          <w:type w:val="continuous"/>
          <w:pgSz w:w="11906" w:h="16838" w:code="9"/>
          <w:pgMar w:top="1134" w:right="1134" w:bottom="1134" w:left="1134" w:header="709" w:footer="709" w:gutter="0"/>
          <w:cols w:num="2" w:space="397"/>
          <w:docGrid w:linePitch="360"/>
        </w:sectPr>
      </w:pPr>
    </w:p>
    <w:p w:rsidR="00EE00B6" w:rsidRDefault="00EE00B6">
      <w:pPr>
        <w:spacing w:before="0" w:after="0"/>
        <w:jc w:val="left"/>
        <w:rPr>
          <w:b/>
          <w:bCs/>
          <w:iCs/>
          <w:sz w:val="24"/>
          <w:szCs w:val="24"/>
          <w:highlight w:val="yellow"/>
        </w:rPr>
      </w:pPr>
      <w:r>
        <w:rPr>
          <w:b/>
          <w:bCs/>
          <w:iCs/>
          <w:sz w:val="24"/>
          <w:szCs w:val="24"/>
          <w:highlight w:val="yellow"/>
        </w:rPr>
        <w:lastRenderedPageBreak/>
        <w:br w:type="page"/>
      </w:r>
    </w:p>
    <w:p w:rsidR="0016680B" w:rsidRPr="007E2513" w:rsidRDefault="00AE23BF" w:rsidP="00E75D84">
      <w:pPr>
        <w:pStyle w:val="Odstavecseseznamem"/>
        <w:keepNext/>
        <w:numPr>
          <w:ilvl w:val="0"/>
          <w:numId w:val="8"/>
        </w:numPr>
        <w:tabs>
          <w:tab w:val="num" w:pos="567"/>
          <w:tab w:val="right" w:pos="9072"/>
        </w:tabs>
        <w:autoSpaceDE w:val="0"/>
        <w:autoSpaceDN w:val="0"/>
        <w:adjustRightInd w:val="0"/>
        <w:ind w:left="357" w:hanging="357"/>
        <w:contextualSpacing w:val="0"/>
        <w:rPr>
          <w:b/>
          <w:bCs/>
          <w:iCs/>
          <w:sz w:val="24"/>
          <w:szCs w:val="24"/>
        </w:rPr>
      </w:pPr>
      <w:r w:rsidRPr="007E2513">
        <w:rPr>
          <w:b/>
          <w:bCs/>
          <w:iCs/>
          <w:sz w:val="24"/>
          <w:szCs w:val="24"/>
        </w:rPr>
        <w:lastRenderedPageBreak/>
        <w:t>Příspěvek na výkon státní správy pro hl. m. Prah</w:t>
      </w:r>
      <w:r w:rsidR="00E75D84" w:rsidRPr="007E2513">
        <w:rPr>
          <w:b/>
          <w:bCs/>
          <w:iCs/>
          <w:sz w:val="24"/>
          <w:szCs w:val="24"/>
        </w:rPr>
        <w:t>u</w:t>
      </w:r>
    </w:p>
    <w:p w:rsidR="005E67AC" w:rsidRPr="00BF5A04" w:rsidRDefault="005E67AC" w:rsidP="00BF5A04">
      <w:pPr>
        <w:keepNext/>
        <w:tabs>
          <w:tab w:val="num" w:pos="567"/>
          <w:tab w:val="right" w:pos="9072"/>
        </w:tabs>
        <w:autoSpaceDE w:val="0"/>
        <w:autoSpaceDN w:val="0"/>
        <w:adjustRightInd w:val="0"/>
        <w:rPr>
          <w:b/>
          <w:bCs/>
          <w:iCs/>
          <w:sz w:val="24"/>
          <w:szCs w:val="24"/>
        </w:rPr>
        <w:sectPr w:rsidR="005E67AC" w:rsidRPr="00BF5A04" w:rsidSect="004E7A79">
          <w:footnotePr>
            <w:pos w:val="beneathText"/>
          </w:footnotePr>
          <w:type w:val="continuous"/>
          <w:pgSz w:w="11906" w:h="16838" w:code="9"/>
          <w:pgMar w:top="1134" w:right="1134" w:bottom="1134" w:left="1134" w:header="709" w:footer="709" w:gutter="0"/>
          <w:cols w:space="708"/>
          <w:docGrid w:linePitch="360"/>
        </w:sectPr>
      </w:pPr>
    </w:p>
    <w:p w:rsidR="00F3525D" w:rsidRDefault="005E67AC" w:rsidP="00F3525D">
      <w:pPr>
        <w:suppressAutoHyphens/>
        <w:spacing w:after="0"/>
        <w:rPr>
          <w:iCs/>
        </w:rPr>
      </w:pPr>
      <w:r w:rsidRPr="005E67AC">
        <w:rPr>
          <w:iCs/>
        </w:rPr>
        <w:lastRenderedPageBreak/>
        <w:t>Postup pro stanovení výše příspěvku na výkon státní správy hl. m.  Praze je</w:t>
      </w:r>
      <w:r w:rsidR="00EE00B6">
        <w:rPr>
          <w:iCs/>
        </w:rPr>
        <w:t xml:space="preserve"> nově</w:t>
      </w:r>
      <w:r w:rsidRPr="005E67AC">
        <w:rPr>
          <w:iCs/>
        </w:rPr>
        <w:t xml:space="preserve"> stanoven přílohou č. </w:t>
      </w:r>
      <w:r w:rsidR="00EE00B6">
        <w:rPr>
          <w:iCs/>
        </w:rPr>
        <w:t>7</w:t>
      </w:r>
      <w:r w:rsidRPr="005E67AC">
        <w:rPr>
          <w:iCs/>
        </w:rPr>
        <w:t xml:space="preserve"> k  zákonu o </w:t>
      </w:r>
      <w:r w:rsidR="003C4B73">
        <w:rPr>
          <w:iCs/>
        </w:rPr>
        <w:t>státním rozpočtu ČR na rok 20</w:t>
      </w:r>
      <w:r w:rsidR="00E9509C">
        <w:rPr>
          <w:iCs/>
        </w:rPr>
        <w:t>2</w:t>
      </w:r>
      <w:r w:rsidR="00C53DAD">
        <w:rPr>
          <w:iCs/>
        </w:rPr>
        <w:t>1</w:t>
      </w:r>
      <w:r w:rsidR="003C4B73">
        <w:rPr>
          <w:iCs/>
        </w:rPr>
        <w:t xml:space="preserve">. </w:t>
      </w:r>
    </w:p>
    <w:p w:rsidR="00C53DAD" w:rsidRDefault="003C4B73" w:rsidP="00F3525D">
      <w:pPr>
        <w:suppressAutoHyphens/>
        <w:spacing w:after="0"/>
        <w:rPr>
          <w:rFonts w:asciiTheme="minorHAnsi" w:hAnsiTheme="minorHAnsi"/>
          <w:b/>
        </w:rPr>
      </w:pPr>
      <w:r w:rsidRPr="00DC6230">
        <w:rPr>
          <w:rFonts w:asciiTheme="minorHAnsi" w:hAnsiTheme="minorHAnsi"/>
          <w:b/>
        </w:rPr>
        <w:t>Obecná charakteristika příspěvku na výkon státní správy pro hl. m. Prahu:</w:t>
      </w:r>
    </w:p>
    <w:p w:rsidR="00C53DAD" w:rsidRPr="00CF2855" w:rsidRDefault="00C53DAD" w:rsidP="00C53DAD">
      <w:pPr>
        <w:pStyle w:val="Odstavecseseznamem"/>
        <w:numPr>
          <w:ilvl w:val="0"/>
          <w:numId w:val="30"/>
        </w:numPr>
        <w:tabs>
          <w:tab w:val="num" w:pos="928"/>
        </w:tabs>
        <w:autoSpaceDE w:val="0"/>
        <w:autoSpaceDN w:val="0"/>
        <w:adjustRightInd w:val="0"/>
        <w:spacing w:after="0"/>
        <w:rPr>
          <w:rFonts w:asciiTheme="minorHAnsi" w:hAnsiTheme="minorHAnsi"/>
        </w:rPr>
      </w:pPr>
      <w:r w:rsidRPr="00CF2855">
        <w:rPr>
          <w:rFonts w:asciiTheme="minorHAnsi" w:hAnsiTheme="minorHAnsi"/>
        </w:rPr>
        <w:t>Postavení hl. m. Prahy při výkonu státní správy je specifické, neboť hl. m. Praha vykonává jak státní správu, která podle zákona přísluší obcím, tak i</w:t>
      </w:r>
      <w:r>
        <w:rPr>
          <w:rFonts w:asciiTheme="minorHAnsi" w:hAnsiTheme="minorHAnsi"/>
        </w:rPr>
        <w:t> </w:t>
      </w:r>
      <w:r w:rsidRPr="00CF2855">
        <w:rPr>
          <w:rFonts w:asciiTheme="minorHAnsi" w:hAnsiTheme="minorHAnsi"/>
        </w:rPr>
        <w:t>státní správu, jejíž výkon zajišťují kraje. Na úhradu výkonu státní správy je hl.</w:t>
      </w:r>
      <w:r>
        <w:rPr>
          <w:rFonts w:asciiTheme="minorHAnsi" w:hAnsiTheme="minorHAnsi"/>
        </w:rPr>
        <w:t> </w:t>
      </w:r>
      <w:r w:rsidRPr="00CF2855">
        <w:rPr>
          <w:rFonts w:asciiTheme="minorHAnsi" w:hAnsiTheme="minorHAnsi"/>
        </w:rPr>
        <w:t>m. Praze poskytován příspěvek dle § 31 odst. 4 zákona č.</w:t>
      </w:r>
      <w:r>
        <w:rPr>
          <w:rFonts w:asciiTheme="minorHAnsi" w:hAnsiTheme="minorHAnsi"/>
        </w:rPr>
        <w:t> </w:t>
      </w:r>
      <w:r w:rsidRPr="00CF2855">
        <w:rPr>
          <w:rFonts w:asciiTheme="minorHAnsi" w:hAnsiTheme="minorHAnsi"/>
        </w:rPr>
        <w:t>131/2000</w:t>
      </w:r>
      <w:r>
        <w:rPr>
          <w:rFonts w:asciiTheme="minorHAnsi" w:hAnsiTheme="minorHAnsi"/>
        </w:rPr>
        <w:t> Sb., o </w:t>
      </w:r>
      <w:r w:rsidRPr="00CF2855">
        <w:rPr>
          <w:rFonts w:asciiTheme="minorHAnsi" w:hAnsiTheme="minorHAnsi"/>
        </w:rPr>
        <w:t>hlavním městě Praze, ve znění pozdějších předpisů.</w:t>
      </w:r>
    </w:p>
    <w:p w:rsidR="00C53DAD" w:rsidRPr="00EA0E2E" w:rsidRDefault="00C53DAD" w:rsidP="00C53DAD">
      <w:pPr>
        <w:pStyle w:val="Odstavecseseznamem"/>
        <w:numPr>
          <w:ilvl w:val="0"/>
          <w:numId w:val="30"/>
        </w:numPr>
        <w:tabs>
          <w:tab w:val="num" w:pos="928"/>
        </w:tabs>
        <w:autoSpaceDE w:val="0"/>
        <w:autoSpaceDN w:val="0"/>
        <w:adjustRightInd w:val="0"/>
        <w:spacing w:after="0"/>
        <w:rPr>
          <w:rFonts w:asciiTheme="minorHAnsi" w:hAnsiTheme="minorHAnsi"/>
        </w:rPr>
      </w:pPr>
      <w:r w:rsidRPr="00EA0E2E">
        <w:rPr>
          <w:rFonts w:asciiTheme="minorHAnsi" w:hAnsiTheme="minorHAnsi"/>
        </w:rPr>
        <w:t>Příspěvek na výkon státní správy pro hl. m. Prahu je stanoven jako součet příspěvku vypočteného použitím pevné sazby na 100 obyvatel hl. m. Prahy (působnost obce)</w:t>
      </w:r>
      <w:r>
        <w:rPr>
          <w:rFonts w:asciiTheme="minorHAnsi" w:hAnsiTheme="minorHAnsi"/>
        </w:rPr>
        <w:t>, příspěvku na zajištění financování dalších specifických správních činností</w:t>
      </w:r>
      <w:r w:rsidRPr="00EA0E2E">
        <w:rPr>
          <w:rFonts w:asciiTheme="minorHAnsi" w:hAnsiTheme="minorHAnsi"/>
        </w:rPr>
        <w:t xml:space="preserve"> a příspěvku odvozeného od poč</w:t>
      </w:r>
      <w:r w:rsidR="00AD1A65">
        <w:rPr>
          <w:rFonts w:asciiTheme="minorHAnsi" w:hAnsiTheme="minorHAnsi"/>
        </w:rPr>
        <w:t>tu funkčních míst převedených v </w:t>
      </w:r>
      <w:r w:rsidRPr="00EA0E2E">
        <w:rPr>
          <w:rFonts w:asciiTheme="minorHAnsi" w:hAnsiTheme="minorHAnsi"/>
        </w:rPr>
        <w:t xml:space="preserve">průběhu reformy veřejné správy a dále od rozsahu dalších delegovaných agend státní správy (působnost kraje). </w:t>
      </w:r>
    </w:p>
    <w:p w:rsidR="00C53DAD" w:rsidRPr="00EA0E2E" w:rsidRDefault="00C53DAD" w:rsidP="00C53DAD">
      <w:pPr>
        <w:pStyle w:val="Odstavecseseznamem"/>
        <w:numPr>
          <w:ilvl w:val="0"/>
          <w:numId w:val="30"/>
        </w:numPr>
        <w:tabs>
          <w:tab w:val="num" w:pos="928"/>
        </w:tabs>
        <w:autoSpaceDE w:val="0"/>
        <w:autoSpaceDN w:val="0"/>
        <w:adjustRightInd w:val="0"/>
        <w:spacing w:after="0"/>
        <w:rPr>
          <w:rFonts w:asciiTheme="minorHAnsi" w:hAnsiTheme="minorHAnsi"/>
        </w:rPr>
      </w:pPr>
      <w:r>
        <w:rPr>
          <w:rFonts w:asciiTheme="minorHAnsi" w:hAnsiTheme="minorHAnsi"/>
        </w:rPr>
        <w:t>Od roku 2021 se</w:t>
      </w:r>
      <w:r w:rsidRPr="00EA0E2E">
        <w:rPr>
          <w:rFonts w:asciiTheme="minorHAnsi" w:hAnsiTheme="minorHAnsi"/>
        </w:rPr>
        <w:t xml:space="preserve"> částky na zajištění dalších specifických správních činností </w:t>
      </w:r>
      <w:r w:rsidRPr="00C53DAD">
        <w:rPr>
          <w:rFonts w:asciiTheme="minorHAnsi" w:hAnsiTheme="minorHAnsi"/>
        </w:rPr>
        <w:t xml:space="preserve">viz část 1.B), 1.C), 1.D), 1.E). 1.F), 1.G) </w:t>
      </w:r>
      <w:r w:rsidR="002E0260">
        <w:rPr>
          <w:rFonts w:asciiTheme="minorHAnsi" w:hAnsiTheme="minorHAnsi"/>
        </w:rPr>
        <w:t>a 1.H), přílohy č. 7 k zákonu o </w:t>
      </w:r>
      <w:r w:rsidRPr="00C53DAD">
        <w:rPr>
          <w:rFonts w:asciiTheme="minorHAnsi" w:hAnsiTheme="minorHAnsi"/>
        </w:rPr>
        <w:t>státním rozpočtu na rok 2021)</w:t>
      </w:r>
      <w:r>
        <w:rPr>
          <w:rFonts w:asciiTheme="minorHAnsi" w:hAnsiTheme="minorHAnsi"/>
        </w:rPr>
        <w:t xml:space="preserve"> přičítají k pevné sazbě na 100 obyvatel hl. m. Prahy (působnost obce).</w:t>
      </w:r>
    </w:p>
    <w:p w:rsidR="007E1116" w:rsidRDefault="00C53DAD" w:rsidP="00C53DAD">
      <w:pPr>
        <w:pStyle w:val="Odstavecseseznamem"/>
        <w:numPr>
          <w:ilvl w:val="0"/>
          <w:numId w:val="30"/>
        </w:numPr>
        <w:tabs>
          <w:tab w:val="num" w:pos="928"/>
        </w:tabs>
        <w:autoSpaceDE w:val="0"/>
        <w:autoSpaceDN w:val="0"/>
        <w:adjustRightInd w:val="0"/>
        <w:spacing w:after="0"/>
        <w:rPr>
          <w:rFonts w:asciiTheme="minorHAnsi" w:hAnsiTheme="minorHAnsi"/>
        </w:rPr>
      </w:pPr>
      <w:r w:rsidRPr="00EA0E2E">
        <w:rPr>
          <w:rFonts w:asciiTheme="minorHAnsi" w:hAnsiTheme="minorHAnsi"/>
        </w:rPr>
        <w:t xml:space="preserve">Příspěvky na zajištění financování specifických činností jsou závislé na samostatných výkonových parametrech, např. na počtu </w:t>
      </w:r>
      <w:proofErr w:type="spellStart"/>
      <w:r w:rsidRPr="00EA0E2E">
        <w:rPr>
          <w:rFonts w:asciiTheme="minorHAnsi" w:hAnsiTheme="minorHAnsi"/>
        </w:rPr>
        <w:t>opatrovanců</w:t>
      </w:r>
      <w:proofErr w:type="spellEnd"/>
      <w:r w:rsidRPr="00EA0E2E">
        <w:rPr>
          <w:rFonts w:asciiTheme="minorHAnsi" w:hAnsiTheme="minorHAnsi"/>
        </w:rPr>
        <w:t xml:space="preserve">, počtu </w:t>
      </w:r>
      <w:r w:rsidRPr="00EA0E2E">
        <w:rPr>
          <w:rFonts w:asciiTheme="minorHAnsi" w:hAnsiTheme="minorHAnsi"/>
        </w:rPr>
        <w:lastRenderedPageBreak/>
        <w:t xml:space="preserve">podaných žádostí </w:t>
      </w:r>
      <w:r w:rsidRPr="00C53DAD">
        <w:rPr>
          <w:rFonts w:asciiTheme="minorHAnsi" w:hAnsiTheme="minorHAnsi"/>
        </w:rPr>
        <w:t>o vydání</w:t>
      </w:r>
      <w:r w:rsidRPr="00EA0E2E">
        <w:rPr>
          <w:rFonts w:asciiTheme="minorHAnsi" w:hAnsiTheme="minorHAnsi"/>
        </w:rPr>
        <w:t xml:space="preserve"> občanského průkazu apod</w:t>
      </w:r>
      <w:r w:rsidR="007E2513">
        <w:rPr>
          <w:rFonts w:asciiTheme="minorHAnsi" w:hAnsiTheme="minorHAnsi"/>
        </w:rPr>
        <w:t>.</w:t>
      </w:r>
    </w:p>
    <w:p w:rsidR="00F3525D" w:rsidRDefault="00C53DAD" w:rsidP="00F3525D">
      <w:pPr>
        <w:autoSpaceDE w:val="0"/>
        <w:autoSpaceDN w:val="0"/>
        <w:adjustRightInd w:val="0"/>
        <w:spacing w:after="0"/>
        <w:jc w:val="left"/>
        <w:rPr>
          <w:rFonts w:asciiTheme="minorHAnsi" w:hAnsiTheme="minorHAnsi"/>
          <w:b/>
        </w:rPr>
      </w:pPr>
      <w:r w:rsidRPr="00EA0E2E">
        <w:rPr>
          <w:rFonts w:asciiTheme="minorHAnsi" w:hAnsiTheme="minorHAnsi"/>
          <w:b/>
        </w:rPr>
        <w:t>Vlivy zohledněné v příspěvku na výkon státní správy pro hl. m. Prahu v roce 2021:</w:t>
      </w:r>
    </w:p>
    <w:p w:rsidR="00C53DAD" w:rsidRPr="00F3525D" w:rsidRDefault="00C53DAD" w:rsidP="007E2513">
      <w:pPr>
        <w:pStyle w:val="Odstavecseseznamem"/>
        <w:numPr>
          <w:ilvl w:val="0"/>
          <w:numId w:val="8"/>
        </w:numPr>
        <w:autoSpaceDE w:val="0"/>
        <w:autoSpaceDN w:val="0"/>
        <w:adjustRightInd w:val="0"/>
        <w:spacing w:after="0"/>
        <w:rPr>
          <w:rFonts w:asciiTheme="minorHAnsi" w:hAnsiTheme="minorHAnsi"/>
        </w:rPr>
      </w:pPr>
      <w:r w:rsidRPr="00F3525D">
        <w:rPr>
          <w:rFonts w:asciiTheme="minorHAnsi" w:hAnsiTheme="minorHAnsi"/>
        </w:rPr>
        <w:t>meziroční nárůst počtu obyvatel dle bilance obyvatel ČR k 1. 1. 2020 vydané ČSÚ,</w:t>
      </w:r>
    </w:p>
    <w:p w:rsidR="00C53DAD" w:rsidRPr="00EA0E2E" w:rsidRDefault="00C53DAD" w:rsidP="00C53DAD">
      <w:pPr>
        <w:pStyle w:val="Odstavecseseznamem"/>
        <w:numPr>
          <w:ilvl w:val="0"/>
          <w:numId w:val="30"/>
        </w:numPr>
        <w:tabs>
          <w:tab w:val="num" w:pos="928"/>
        </w:tabs>
        <w:autoSpaceDE w:val="0"/>
        <w:autoSpaceDN w:val="0"/>
        <w:adjustRightInd w:val="0"/>
        <w:spacing w:after="0"/>
        <w:rPr>
          <w:rFonts w:asciiTheme="minorHAnsi" w:hAnsiTheme="minorHAnsi"/>
        </w:rPr>
      </w:pPr>
      <w:r w:rsidRPr="00EA0E2E">
        <w:rPr>
          <w:rFonts w:asciiTheme="minorHAnsi" w:hAnsiTheme="minorHAnsi"/>
        </w:rPr>
        <w:t>doplnění výkonového financování agendy živnostenských úřadů,</w:t>
      </w:r>
    </w:p>
    <w:p w:rsidR="00C53DAD" w:rsidRPr="00EA0E2E" w:rsidRDefault="00C53DAD" w:rsidP="00C53DAD">
      <w:pPr>
        <w:pStyle w:val="Odstavecseseznamem"/>
        <w:numPr>
          <w:ilvl w:val="0"/>
          <w:numId w:val="30"/>
        </w:numPr>
        <w:tabs>
          <w:tab w:val="num" w:pos="928"/>
        </w:tabs>
        <w:autoSpaceDE w:val="0"/>
        <w:autoSpaceDN w:val="0"/>
        <w:adjustRightInd w:val="0"/>
        <w:spacing w:after="0"/>
        <w:rPr>
          <w:rFonts w:asciiTheme="minorHAnsi" w:hAnsiTheme="minorHAnsi"/>
        </w:rPr>
      </w:pPr>
      <w:r w:rsidRPr="00EA0E2E">
        <w:rPr>
          <w:rFonts w:asciiTheme="minorHAnsi" w:hAnsiTheme="minorHAnsi"/>
        </w:rPr>
        <w:t>doplnění výkonového financování vydávání občanských průkazů (platba za aktivaci občanského průkazu),</w:t>
      </w:r>
    </w:p>
    <w:p w:rsidR="00C53DAD" w:rsidRDefault="00C53DAD" w:rsidP="00C53DAD">
      <w:pPr>
        <w:pStyle w:val="Odstavecseseznamem"/>
        <w:numPr>
          <w:ilvl w:val="0"/>
          <w:numId w:val="30"/>
        </w:numPr>
        <w:tabs>
          <w:tab w:val="num" w:pos="928"/>
        </w:tabs>
        <w:autoSpaceDE w:val="0"/>
        <w:autoSpaceDN w:val="0"/>
        <w:adjustRightInd w:val="0"/>
        <w:spacing w:after="0"/>
        <w:rPr>
          <w:rFonts w:asciiTheme="minorHAnsi" w:hAnsiTheme="minorHAnsi"/>
        </w:rPr>
      </w:pPr>
      <w:r w:rsidRPr="00EA0E2E">
        <w:rPr>
          <w:rFonts w:asciiTheme="minorHAnsi" w:hAnsiTheme="minorHAnsi"/>
        </w:rPr>
        <w:t>úprava parametrů pro kalkulaci nákladů na modelový pracovní úvazek (při výpočtu kalkulován 8. platový stupeň namísto 7., navýšeno osobní ohodnocení na 25 % z 20 % a jeho výpočet vztažen k nejvyššímu tj. 12. platovému stupni namísto původně 7.</w:t>
      </w:r>
      <w:r w:rsidR="00EE00B6">
        <w:rPr>
          <w:rFonts w:asciiTheme="minorHAnsi" w:hAnsiTheme="minorHAnsi"/>
        </w:rPr>
        <w:t>)</w:t>
      </w:r>
      <w:r w:rsidRPr="00EA0E2E">
        <w:rPr>
          <w:rFonts w:asciiTheme="minorHAnsi" w:hAnsiTheme="minorHAnsi"/>
        </w:rPr>
        <w:t>,</w:t>
      </w:r>
    </w:p>
    <w:p w:rsidR="00C53DAD" w:rsidRPr="003619A2" w:rsidRDefault="00C53DAD" w:rsidP="00C53DAD">
      <w:pPr>
        <w:pStyle w:val="Odstavecseseznamem"/>
        <w:numPr>
          <w:ilvl w:val="0"/>
          <w:numId w:val="30"/>
        </w:numPr>
        <w:tabs>
          <w:tab w:val="num" w:pos="928"/>
        </w:tabs>
        <w:autoSpaceDE w:val="0"/>
        <w:autoSpaceDN w:val="0"/>
        <w:adjustRightInd w:val="0"/>
        <w:spacing w:after="0"/>
        <w:rPr>
          <w:rFonts w:asciiTheme="minorHAnsi" w:hAnsiTheme="minorHAnsi"/>
        </w:rPr>
      </w:pPr>
      <w:r>
        <w:rPr>
          <w:rFonts w:asciiTheme="minorHAnsi" w:hAnsiTheme="minorHAnsi"/>
        </w:rPr>
        <w:t>navýšení jednotlivých výkonových plateb v důsledku dříve uvedených změn modelového pracovního úvazku,</w:t>
      </w:r>
    </w:p>
    <w:p w:rsidR="00C53DAD" w:rsidRPr="00EA0E2E" w:rsidRDefault="00C53DAD" w:rsidP="00C53DAD">
      <w:pPr>
        <w:pStyle w:val="Odstavecseseznamem"/>
        <w:numPr>
          <w:ilvl w:val="0"/>
          <w:numId w:val="30"/>
        </w:numPr>
        <w:tabs>
          <w:tab w:val="num" w:pos="928"/>
        </w:tabs>
        <w:autoSpaceDE w:val="0"/>
        <w:autoSpaceDN w:val="0"/>
        <w:adjustRightInd w:val="0"/>
        <w:spacing w:after="0"/>
        <w:rPr>
          <w:rFonts w:asciiTheme="minorHAnsi" w:hAnsiTheme="minorHAnsi"/>
        </w:rPr>
      </w:pPr>
      <w:r w:rsidRPr="00EA0E2E">
        <w:rPr>
          <w:rFonts w:asciiTheme="minorHAnsi" w:hAnsiTheme="minorHAnsi"/>
        </w:rPr>
        <w:t>valorizace příspěvku na přenesenou působnost hl. m. Praze jako obci o 4,28 %</w:t>
      </w:r>
      <w:r>
        <w:rPr>
          <w:rFonts w:asciiTheme="minorHAnsi" w:hAnsiTheme="minorHAnsi"/>
        </w:rPr>
        <w:t xml:space="preserve"> (shodná s valorizací jednotlivých působností obcí</w:t>
      </w:r>
      <w:r w:rsidRPr="00B0719F">
        <w:rPr>
          <w:rFonts w:asciiTheme="minorHAnsi" w:hAnsiTheme="minorHAnsi"/>
        </w:rPr>
        <w:t xml:space="preserve"> </w:t>
      </w:r>
      <w:r w:rsidRPr="007A1EC7">
        <w:rPr>
          <w:rFonts w:asciiTheme="minorHAnsi" w:hAnsiTheme="minorHAnsi"/>
        </w:rPr>
        <w:t>pro rok 2021</w:t>
      </w:r>
      <w:r>
        <w:rPr>
          <w:rFonts w:asciiTheme="minorHAnsi" w:hAnsiTheme="minorHAnsi"/>
        </w:rPr>
        <w:t>)</w:t>
      </w:r>
      <w:r w:rsidRPr="00EA0E2E">
        <w:rPr>
          <w:rFonts w:asciiTheme="minorHAnsi" w:hAnsiTheme="minorHAnsi"/>
        </w:rPr>
        <w:t xml:space="preserve">, </w:t>
      </w:r>
      <w:r>
        <w:rPr>
          <w:rFonts w:asciiTheme="minorHAnsi" w:hAnsiTheme="minorHAnsi"/>
        </w:rPr>
        <w:t xml:space="preserve">vlivem osamostatnění výkonových plateb při výpočtu však dochází ke snížení pevné sazby ze 78 267 Kč na </w:t>
      </w:r>
      <w:r w:rsidRPr="00EA0E2E">
        <w:rPr>
          <w:rFonts w:asciiTheme="minorHAnsi" w:hAnsiTheme="minorHAnsi"/>
        </w:rPr>
        <w:t>70 683 Kč na 100 obyvatel</w:t>
      </w:r>
      <w:r w:rsidR="002E0260">
        <w:rPr>
          <w:rFonts w:asciiTheme="minorHAnsi" w:hAnsiTheme="minorHAnsi"/>
        </w:rPr>
        <w:t xml:space="preserve"> – zde se jedná pouze o </w:t>
      </w:r>
      <w:r>
        <w:rPr>
          <w:rFonts w:asciiTheme="minorHAnsi" w:hAnsiTheme="minorHAnsi"/>
        </w:rPr>
        <w:t>formální změnu</w:t>
      </w:r>
      <w:r w:rsidRPr="00EA0E2E">
        <w:rPr>
          <w:rFonts w:asciiTheme="minorHAnsi" w:hAnsiTheme="minorHAnsi"/>
        </w:rPr>
        <w:t>,</w:t>
      </w:r>
    </w:p>
    <w:p w:rsidR="00C53DAD" w:rsidRPr="00C53DAD" w:rsidRDefault="00C53DAD" w:rsidP="00C53DAD">
      <w:pPr>
        <w:pStyle w:val="Odstavecseseznamem"/>
        <w:numPr>
          <w:ilvl w:val="0"/>
          <w:numId w:val="30"/>
        </w:numPr>
        <w:tabs>
          <w:tab w:val="num" w:pos="928"/>
        </w:tabs>
        <w:autoSpaceDE w:val="0"/>
        <w:autoSpaceDN w:val="0"/>
        <w:adjustRightInd w:val="0"/>
        <w:spacing w:after="0"/>
        <w:rPr>
          <w:rFonts w:asciiTheme="minorHAnsi" w:hAnsiTheme="minorHAnsi"/>
        </w:rPr>
      </w:pPr>
      <w:r w:rsidRPr="001551A0">
        <w:rPr>
          <w:rFonts w:asciiTheme="minorHAnsi" w:hAnsiTheme="minorHAnsi"/>
        </w:rPr>
        <w:t xml:space="preserve">valorizace příspěvku na přenesenou působnost hl. m. Praze jako kraje oproti roku </w:t>
      </w:r>
      <w:r>
        <w:rPr>
          <w:rFonts w:asciiTheme="minorHAnsi" w:hAnsiTheme="minorHAnsi"/>
        </w:rPr>
        <w:t>2020</w:t>
      </w:r>
      <w:r w:rsidRPr="001551A0">
        <w:rPr>
          <w:rFonts w:asciiTheme="minorHAnsi" w:hAnsiTheme="minorHAnsi"/>
        </w:rPr>
        <w:t xml:space="preserve"> o </w:t>
      </w:r>
      <w:r>
        <w:rPr>
          <w:rFonts w:asciiTheme="minorHAnsi" w:hAnsiTheme="minorHAnsi"/>
        </w:rPr>
        <w:t>11,59</w:t>
      </w:r>
      <w:r w:rsidRPr="001551A0">
        <w:rPr>
          <w:rFonts w:asciiTheme="minorHAnsi" w:hAnsiTheme="minorHAnsi"/>
        </w:rPr>
        <w:t xml:space="preserve"> % (shodná s průměrnou valorizací krajů pro rok </w:t>
      </w:r>
      <w:r>
        <w:rPr>
          <w:rFonts w:asciiTheme="minorHAnsi" w:hAnsiTheme="minorHAnsi"/>
        </w:rPr>
        <w:t>2021</w:t>
      </w:r>
      <w:r w:rsidRPr="001551A0">
        <w:rPr>
          <w:rFonts w:asciiTheme="minorHAnsi" w:hAnsiTheme="minorHAnsi"/>
        </w:rPr>
        <w:t>)</w:t>
      </w:r>
      <w:r>
        <w:rPr>
          <w:rFonts w:asciiTheme="minorHAnsi" w:hAnsiTheme="minorHAnsi"/>
        </w:rPr>
        <w:t>.</w:t>
      </w:r>
    </w:p>
    <w:p w:rsidR="00F3525D" w:rsidRDefault="00F3525D" w:rsidP="00A53656">
      <w:pPr>
        <w:pStyle w:val="Odstavecseseznamem"/>
        <w:autoSpaceDE w:val="0"/>
        <w:autoSpaceDN w:val="0"/>
        <w:adjustRightInd w:val="0"/>
        <w:spacing w:after="0"/>
        <w:ind w:left="360"/>
        <w:rPr>
          <w:rFonts w:asciiTheme="minorHAnsi" w:hAnsiTheme="minorHAnsi"/>
        </w:rPr>
        <w:sectPr w:rsidR="00F3525D" w:rsidSect="009F6312">
          <w:footnotePr>
            <w:pos w:val="beneathText"/>
          </w:footnotePr>
          <w:type w:val="continuous"/>
          <w:pgSz w:w="11906" w:h="16838" w:code="9"/>
          <w:pgMar w:top="1134" w:right="1134" w:bottom="1134" w:left="1134" w:header="709" w:footer="709" w:gutter="0"/>
          <w:cols w:num="2" w:space="397"/>
          <w:docGrid w:linePitch="360"/>
        </w:sectPr>
      </w:pPr>
    </w:p>
    <w:p w:rsidR="00C53DAD" w:rsidRPr="00A53656" w:rsidRDefault="00C53DAD" w:rsidP="00A53656">
      <w:pPr>
        <w:autoSpaceDE w:val="0"/>
        <w:autoSpaceDN w:val="0"/>
        <w:adjustRightInd w:val="0"/>
        <w:spacing w:after="0"/>
        <w:rPr>
          <w:rFonts w:asciiTheme="minorHAnsi" w:hAnsiTheme="minorHAnsi"/>
        </w:rPr>
      </w:pPr>
    </w:p>
    <w:p w:rsidR="00C53DAD" w:rsidRDefault="00C53DAD" w:rsidP="0025661A">
      <w:pPr>
        <w:keepNext/>
        <w:tabs>
          <w:tab w:val="num" w:pos="567"/>
          <w:tab w:val="right" w:pos="9072"/>
        </w:tabs>
        <w:autoSpaceDE w:val="0"/>
        <w:autoSpaceDN w:val="0"/>
        <w:adjustRightInd w:val="0"/>
        <w:spacing w:before="120" w:after="120"/>
        <w:rPr>
          <w:b/>
          <w:bCs/>
          <w:iCs/>
          <w:sz w:val="24"/>
          <w:szCs w:val="24"/>
        </w:rPr>
        <w:sectPr w:rsidR="00C53DAD" w:rsidSect="00C53DAD">
          <w:footnotePr>
            <w:pos w:val="beneathText"/>
          </w:footnotePr>
          <w:type w:val="continuous"/>
          <w:pgSz w:w="11906" w:h="16838" w:code="9"/>
          <w:pgMar w:top="1134" w:right="1134" w:bottom="1134" w:left="1134" w:header="709" w:footer="709" w:gutter="0"/>
          <w:cols w:num="2" w:space="708"/>
          <w:docGrid w:linePitch="360"/>
        </w:sectPr>
      </w:pPr>
    </w:p>
    <w:p w:rsidR="0025661A" w:rsidRPr="00BF5A04" w:rsidRDefault="0025661A" w:rsidP="0025661A">
      <w:pPr>
        <w:keepNext/>
        <w:tabs>
          <w:tab w:val="num" w:pos="567"/>
          <w:tab w:val="right" w:pos="9072"/>
        </w:tabs>
        <w:autoSpaceDE w:val="0"/>
        <w:autoSpaceDN w:val="0"/>
        <w:adjustRightInd w:val="0"/>
        <w:spacing w:before="120" w:after="120"/>
        <w:rPr>
          <w:b/>
          <w:bCs/>
          <w:iCs/>
          <w:sz w:val="24"/>
          <w:szCs w:val="24"/>
        </w:rPr>
      </w:pPr>
      <w:r>
        <w:rPr>
          <w:b/>
          <w:bCs/>
          <w:iCs/>
          <w:sz w:val="24"/>
          <w:szCs w:val="24"/>
        </w:rPr>
        <w:lastRenderedPageBreak/>
        <w:t>Z</w:t>
      </w:r>
      <w:r w:rsidRPr="00BF5A04">
        <w:rPr>
          <w:b/>
          <w:bCs/>
          <w:iCs/>
          <w:sz w:val="24"/>
          <w:szCs w:val="24"/>
        </w:rPr>
        <w:t>ajištění financování dalších specifických činností</w:t>
      </w:r>
      <w:r>
        <w:rPr>
          <w:b/>
          <w:bCs/>
          <w:iCs/>
          <w:sz w:val="24"/>
          <w:szCs w:val="24"/>
        </w:rPr>
        <w:t xml:space="preserve"> v rámci příspěvku na výkon státní správy</w:t>
      </w:r>
    </w:p>
    <w:p w:rsidR="0016680B" w:rsidRPr="00F97ABA" w:rsidRDefault="00441163" w:rsidP="0016680B">
      <w:pPr>
        <w:pStyle w:val="Odstavecseseznamem"/>
        <w:numPr>
          <w:ilvl w:val="0"/>
          <w:numId w:val="25"/>
        </w:numPr>
        <w:suppressAutoHyphens/>
        <w:autoSpaceDE w:val="0"/>
        <w:autoSpaceDN w:val="0"/>
        <w:adjustRightInd w:val="0"/>
        <w:spacing w:before="120" w:after="0"/>
        <w:ind w:left="360"/>
        <w:contextualSpacing w:val="0"/>
        <w:rPr>
          <w:b/>
          <w:sz w:val="24"/>
        </w:rPr>
      </w:pPr>
      <w:r w:rsidRPr="007E1116">
        <w:rPr>
          <w:b/>
          <w:sz w:val="24"/>
        </w:rPr>
        <w:t>Financování veřejného opatrovnictví</w:t>
      </w:r>
    </w:p>
    <w:p w:rsidR="00A53656" w:rsidRDefault="00A53656" w:rsidP="00A53656">
      <w:pPr>
        <w:widowControl w:val="0"/>
        <w:autoSpaceDE w:val="0"/>
        <w:autoSpaceDN w:val="0"/>
        <w:adjustRightInd w:val="0"/>
        <w:ind w:left="360"/>
        <w:rPr>
          <w:rFonts w:asciiTheme="minorHAnsi" w:hAnsiTheme="minorHAnsi"/>
        </w:rPr>
        <w:sectPr w:rsidR="00A53656" w:rsidSect="004E7A79">
          <w:footnotePr>
            <w:pos w:val="beneathText"/>
          </w:footnotePr>
          <w:type w:val="continuous"/>
          <w:pgSz w:w="11906" w:h="16838" w:code="9"/>
          <w:pgMar w:top="1134" w:right="1134" w:bottom="1134" w:left="1134" w:header="709" w:footer="709" w:gutter="0"/>
          <w:cols w:space="708"/>
          <w:docGrid w:linePitch="360"/>
        </w:sectPr>
      </w:pPr>
    </w:p>
    <w:p w:rsidR="00A53656" w:rsidRPr="00EA0E2E" w:rsidRDefault="00A53656" w:rsidP="00A53656">
      <w:pPr>
        <w:widowControl w:val="0"/>
        <w:autoSpaceDE w:val="0"/>
        <w:autoSpaceDN w:val="0"/>
        <w:adjustRightInd w:val="0"/>
        <w:ind w:left="360"/>
        <w:rPr>
          <w:rFonts w:asciiTheme="minorHAnsi" w:hAnsiTheme="minorHAnsi"/>
        </w:rPr>
      </w:pPr>
      <w:r w:rsidRPr="00EA0E2E">
        <w:rPr>
          <w:rFonts w:asciiTheme="minorHAnsi" w:hAnsiTheme="minorHAnsi"/>
        </w:rPr>
        <w:lastRenderedPageBreak/>
        <w:t xml:space="preserve">V celkové částce příspěvku na výkon státní správy pro hl. m. Prahu jsou obsaženy prostředky na výkon veřejného opatrovnictví v působnosti obce v závislosti na počtu </w:t>
      </w:r>
      <w:proofErr w:type="spellStart"/>
      <w:r w:rsidRPr="00EA0E2E">
        <w:rPr>
          <w:rFonts w:asciiTheme="minorHAnsi" w:hAnsiTheme="minorHAnsi"/>
        </w:rPr>
        <w:t>opatrovanců</w:t>
      </w:r>
      <w:proofErr w:type="spellEnd"/>
      <w:r w:rsidRPr="00EA0E2E">
        <w:rPr>
          <w:rFonts w:asciiTheme="minorHAnsi" w:hAnsiTheme="minorHAnsi"/>
        </w:rPr>
        <w:t xml:space="preserve"> (</w:t>
      </w:r>
      <w:r w:rsidRPr="00D67F0F">
        <w:rPr>
          <w:rFonts w:asciiTheme="minorHAnsi" w:hAnsiTheme="minorHAnsi"/>
        </w:rPr>
        <w:t xml:space="preserve">viz část Příspěvek </w:t>
      </w:r>
      <w:r w:rsidRPr="00D67F0F">
        <w:rPr>
          <w:rFonts w:asciiTheme="minorHAnsi" w:hAnsiTheme="minorHAnsi"/>
        </w:rPr>
        <w:lastRenderedPageBreak/>
        <w:t>na výkon státní správy pro obce</w:t>
      </w:r>
      <w:r w:rsidRPr="00EA0E2E">
        <w:rPr>
          <w:rFonts w:asciiTheme="minorHAnsi" w:hAnsiTheme="minorHAnsi"/>
        </w:rPr>
        <w:t>).</w:t>
      </w:r>
    </w:p>
    <w:p w:rsidR="00A53656" w:rsidRPr="00A53656" w:rsidRDefault="00A53656" w:rsidP="00A53656">
      <w:pPr>
        <w:widowControl w:val="0"/>
        <w:autoSpaceDE w:val="0"/>
        <w:autoSpaceDN w:val="0"/>
        <w:adjustRightInd w:val="0"/>
        <w:ind w:left="360"/>
        <w:rPr>
          <w:rFonts w:asciiTheme="minorHAnsi" w:hAnsiTheme="minorHAnsi"/>
        </w:rPr>
        <w:sectPr w:rsidR="00A53656" w:rsidRPr="00A53656" w:rsidSect="009F6312">
          <w:footnotePr>
            <w:pos w:val="beneathText"/>
          </w:footnotePr>
          <w:type w:val="continuous"/>
          <w:pgSz w:w="11906" w:h="16838" w:code="9"/>
          <w:pgMar w:top="1134" w:right="1134" w:bottom="1134" w:left="1134" w:header="709" w:footer="709" w:gutter="0"/>
          <w:cols w:num="2" w:space="397"/>
          <w:docGrid w:linePitch="360"/>
        </w:sectPr>
      </w:pPr>
      <w:r w:rsidRPr="00EA0E2E">
        <w:rPr>
          <w:rFonts w:asciiTheme="minorHAnsi" w:hAnsiTheme="minorHAnsi"/>
        </w:rPr>
        <w:t>Konkrétně se jedná o částku 26 901 000 Kč, indikativní přerozdělení dle jednotlivých městských částí viz Příloha č. 7 tabulkové části dokumentace.</w:t>
      </w:r>
    </w:p>
    <w:p w:rsidR="0016680B" w:rsidRPr="00F97ABA" w:rsidRDefault="00A911ED" w:rsidP="0016680B">
      <w:pPr>
        <w:pStyle w:val="Odstavecseseznamem"/>
        <w:numPr>
          <w:ilvl w:val="0"/>
          <w:numId w:val="25"/>
        </w:numPr>
        <w:suppressAutoHyphens/>
        <w:autoSpaceDE w:val="0"/>
        <w:autoSpaceDN w:val="0"/>
        <w:adjustRightInd w:val="0"/>
        <w:spacing w:before="120" w:after="0"/>
        <w:ind w:left="360"/>
        <w:contextualSpacing w:val="0"/>
        <w:rPr>
          <w:b/>
          <w:sz w:val="24"/>
        </w:rPr>
      </w:pPr>
      <w:r>
        <w:rPr>
          <w:b/>
          <w:sz w:val="24"/>
        </w:rPr>
        <w:lastRenderedPageBreak/>
        <w:t>Financování</w:t>
      </w:r>
      <w:r w:rsidR="0016680B" w:rsidRPr="007E1116">
        <w:rPr>
          <w:b/>
          <w:sz w:val="24"/>
        </w:rPr>
        <w:t xml:space="preserve"> jednotných kontaktních míst</w:t>
      </w:r>
    </w:p>
    <w:p w:rsidR="00704375" w:rsidRDefault="00704375" w:rsidP="0016680B">
      <w:pPr>
        <w:widowControl w:val="0"/>
        <w:autoSpaceDE w:val="0"/>
        <w:autoSpaceDN w:val="0"/>
        <w:adjustRightInd w:val="0"/>
        <w:ind w:left="709" w:hanging="349"/>
        <w:jc w:val="left"/>
        <w:rPr>
          <w:rFonts w:asciiTheme="minorHAnsi" w:hAnsiTheme="minorHAnsi"/>
        </w:rPr>
        <w:sectPr w:rsidR="00704375" w:rsidSect="004E7A79">
          <w:footnotePr>
            <w:pos w:val="beneathText"/>
          </w:footnotePr>
          <w:type w:val="continuous"/>
          <w:pgSz w:w="11906" w:h="16838" w:code="9"/>
          <w:pgMar w:top="1134" w:right="1134" w:bottom="1134" w:left="1134" w:header="709" w:footer="709" w:gutter="0"/>
          <w:cols w:space="708"/>
          <w:docGrid w:linePitch="360"/>
        </w:sectPr>
      </w:pPr>
    </w:p>
    <w:p w:rsidR="00F0519E" w:rsidRDefault="00704375" w:rsidP="00A35C73">
      <w:pPr>
        <w:widowControl w:val="0"/>
        <w:autoSpaceDE w:val="0"/>
        <w:autoSpaceDN w:val="0"/>
        <w:adjustRightInd w:val="0"/>
        <w:ind w:left="360"/>
        <w:rPr>
          <w:rFonts w:asciiTheme="minorHAnsi" w:hAnsiTheme="minorHAnsi"/>
        </w:rPr>
      </w:pPr>
      <w:r w:rsidRPr="00704375">
        <w:rPr>
          <w:rFonts w:asciiTheme="minorHAnsi" w:hAnsiTheme="minorHAnsi"/>
        </w:rPr>
        <w:lastRenderedPageBreak/>
        <w:t>V celkové částce příspěvku na výkon státní správy pro hl. m. Prahu jsou obsaženy prostředky na financování jednotných kontaktních míst v</w:t>
      </w:r>
      <w:r w:rsidR="00183374">
        <w:rPr>
          <w:rFonts w:asciiTheme="minorHAnsi" w:hAnsiTheme="minorHAnsi"/>
        </w:rPr>
        <w:t> </w:t>
      </w:r>
      <w:r w:rsidRPr="00704375">
        <w:rPr>
          <w:rFonts w:asciiTheme="minorHAnsi" w:hAnsiTheme="minorHAnsi"/>
        </w:rPr>
        <w:t>působnosti městských částí hl. m. Prahy v</w:t>
      </w:r>
      <w:r w:rsidR="00183374">
        <w:rPr>
          <w:rFonts w:asciiTheme="minorHAnsi" w:hAnsiTheme="minorHAnsi"/>
        </w:rPr>
        <w:t> </w:t>
      </w:r>
      <w:r w:rsidRPr="00704375">
        <w:rPr>
          <w:rFonts w:asciiTheme="minorHAnsi" w:hAnsiTheme="minorHAnsi"/>
        </w:rPr>
        <w:t xml:space="preserve">závislosti na počtu zaevidovaných a následně </w:t>
      </w:r>
      <w:r w:rsidRPr="00704375">
        <w:rPr>
          <w:rFonts w:asciiTheme="minorHAnsi" w:hAnsiTheme="minorHAnsi"/>
        </w:rPr>
        <w:lastRenderedPageBreak/>
        <w:t>řešených dotazů klientů (viz</w:t>
      </w:r>
      <w:r w:rsidR="00A53656">
        <w:rPr>
          <w:rFonts w:asciiTheme="minorHAnsi" w:hAnsiTheme="minorHAnsi"/>
        </w:rPr>
        <w:t xml:space="preserve"> část Příspěvek na výkon státní správy pro obce</w:t>
      </w:r>
      <w:r w:rsidRPr="00704375">
        <w:rPr>
          <w:rFonts w:asciiTheme="minorHAnsi" w:hAnsiTheme="minorHAnsi"/>
        </w:rPr>
        <w:t xml:space="preserve">). Konkrétně se jedná o částku 2 </w:t>
      </w:r>
      <w:r w:rsidR="00A53656">
        <w:rPr>
          <w:rFonts w:asciiTheme="minorHAnsi" w:hAnsiTheme="minorHAnsi"/>
        </w:rPr>
        <w:t>808</w:t>
      </w:r>
      <w:r w:rsidRPr="00704375">
        <w:rPr>
          <w:rFonts w:asciiTheme="minorHAnsi" w:hAnsiTheme="minorHAnsi"/>
        </w:rPr>
        <w:t xml:space="preserve"> 000 Kč podle níže uvedeného:</w:t>
      </w:r>
    </w:p>
    <w:p w:rsidR="00F0519E" w:rsidRDefault="00F0519E" w:rsidP="00F47689">
      <w:pPr>
        <w:tabs>
          <w:tab w:val="left" w:pos="5860"/>
        </w:tabs>
        <w:jc w:val="center"/>
        <w:rPr>
          <w:b/>
          <w:sz w:val="26"/>
          <w:szCs w:val="26"/>
        </w:rPr>
      </w:pPr>
    </w:p>
    <w:p w:rsidR="0054278F" w:rsidRDefault="0054278F" w:rsidP="00F47689">
      <w:pPr>
        <w:tabs>
          <w:tab w:val="left" w:pos="5860"/>
        </w:tabs>
        <w:jc w:val="center"/>
        <w:rPr>
          <w:b/>
          <w:sz w:val="26"/>
          <w:szCs w:val="26"/>
        </w:rPr>
        <w:sectPr w:rsidR="0054278F" w:rsidSect="009F6312">
          <w:footnotePr>
            <w:pos w:val="beneathText"/>
          </w:footnotePr>
          <w:type w:val="continuous"/>
          <w:pgSz w:w="11906" w:h="16838" w:code="9"/>
          <w:pgMar w:top="1134" w:right="1134" w:bottom="1134" w:left="1134" w:header="709" w:footer="709" w:gutter="0"/>
          <w:cols w:num="2" w:space="397"/>
          <w:docGrid w:linePitch="360"/>
        </w:sectPr>
      </w:pPr>
    </w:p>
    <w:p w:rsidR="00F47689" w:rsidRDefault="002E13F3" w:rsidP="009F6312">
      <w:pPr>
        <w:tabs>
          <w:tab w:val="left" w:pos="5860"/>
        </w:tabs>
        <w:spacing w:before="120" w:after="120"/>
        <w:jc w:val="right"/>
        <w:rPr>
          <w:b/>
          <w:sz w:val="26"/>
          <w:szCs w:val="26"/>
        </w:rPr>
      </w:pPr>
      <w:r>
        <w:rPr>
          <w:b/>
          <w:sz w:val="26"/>
          <w:szCs w:val="26"/>
        </w:rPr>
        <w:lastRenderedPageBreak/>
        <w:pict>
          <v:shape id="_x0000_i1030" type="#_x0000_t75" style="width:470.25pt;height:60.75pt">
            <v:imagedata r:id="rId36" o:title=""/>
          </v:shape>
        </w:pict>
      </w:r>
    </w:p>
    <w:p w:rsidR="001B0E33" w:rsidRDefault="001B0E33">
      <w:pPr>
        <w:spacing w:before="0" w:after="0"/>
        <w:jc w:val="left"/>
        <w:rPr>
          <w:rFonts w:eastAsia="Calibri"/>
          <w:b/>
          <w:sz w:val="24"/>
        </w:rPr>
      </w:pPr>
      <w:r>
        <w:rPr>
          <w:b/>
          <w:sz w:val="24"/>
        </w:rPr>
        <w:br w:type="page"/>
      </w:r>
    </w:p>
    <w:p w:rsidR="0016680B" w:rsidRPr="00F97ABA" w:rsidRDefault="00E90A02" w:rsidP="0016680B">
      <w:pPr>
        <w:pStyle w:val="Odstavecseseznamem"/>
        <w:numPr>
          <w:ilvl w:val="0"/>
          <w:numId w:val="25"/>
        </w:numPr>
        <w:suppressAutoHyphens/>
        <w:autoSpaceDE w:val="0"/>
        <w:autoSpaceDN w:val="0"/>
        <w:adjustRightInd w:val="0"/>
        <w:spacing w:before="120" w:after="0"/>
        <w:ind w:left="360"/>
        <w:contextualSpacing w:val="0"/>
        <w:rPr>
          <w:b/>
          <w:sz w:val="24"/>
        </w:rPr>
      </w:pPr>
      <w:r w:rsidRPr="007E1116">
        <w:rPr>
          <w:b/>
          <w:sz w:val="24"/>
        </w:rPr>
        <w:lastRenderedPageBreak/>
        <w:t>Financování úřadů územního plánování</w:t>
      </w:r>
    </w:p>
    <w:p w:rsidR="004450B0" w:rsidRPr="0016680B" w:rsidRDefault="004450B0" w:rsidP="0016680B">
      <w:pPr>
        <w:pStyle w:val="Odstavecseseznamem"/>
        <w:numPr>
          <w:ilvl w:val="0"/>
          <w:numId w:val="22"/>
        </w:numPr>
        <w:autoSpaceDE w:val="0"/>
        <w:autoSpaceDN w:val="0"/>
        <w:adjustRightInd w:val="0"/>
        <w:spacing w:after="0"/>
        <w:ind w:left="360"/>
        <w:rPr>
          <w:b/>
        </w:rPr>
        <w:sectPr w:rsidR="004450B0" w:rsidRPr="0016680B" w:rsidSect="004E7A79">
          <w:footnotePr>
            <w:pos w:val="beneathText"/>
          </w:footnotePr>
          <w:type w:val="continuous"/>
          <w:pgSz w:w="11906" w:h="16838" w:code="9"/>
          <w:pgMar w:top="1134" w:right="1134" w:bottom="1134" w:left="1134" w:header="709" w:footer="709" w:gutter="0"/>
          <w:cols w:space="708"/>
          <w:docGrid w:linePitch="360"/>
        </w:sectPr>
      </w:pPr>
    </w:p>
    <w:p w:rsidR="004D0468" w:rsidRDefault="00941042" w:rsidP="00F97ABA">
      <w:pPr>
        <w:widowControl w:val="0"/>
        <w:autoSpaceDE w:val="0"/>
        <w:autoSpaceDN w:val="0"/>
        <w:adjustRightInd w:val="0"/>
        <w:ind w:left="360"/>
        <w:rPr>
          <w:rFonts w:asciiTheme="minorHAnsi" w:hAnsiTheme="minorHAnsi"/>
        </w:rPr>
      </w:pPr>
      <w:r w:rsidRPr="00F97ABA">
        <w:rPr>
          <w:rFonts w:asciiTheme="minorHAnsi" w:hAnsiTheme="minorHAnsi"/>
        </w:rPr>
        <w:lastRenderedPageBreak/>
        <w:t>V celkové částce příspěvku na výkon státní správy pro hl. m. Prahu jsou obsaženy prostředky k</w:t>
      </w:r>
      <w:r w:rsidR="00183374" w:rsidRPr="00F97ABA">
        <w:rPr>
          <w:rFonts w:asciiTheme="minorHAnsi" w:hAnsiTheme="minorHAnsi"/>
        </w:rPr>
        <w:t> </w:t>
      </w:r>
      <w:r w:rsidRPr="00F97ABA">
        <w:rPr>
          <w:rFonts w:asciiTheme="minorHAnsi" w:hAnsiTheme="minorHAnsi"/>
        </w:rPr>
        <w:t>pokrytí financování úřadu územního plánování v</w:t>
      </w:r>
      <w:r w:rsidR="00183374" w:rsidRPr="00F97ABA">
        <w:rPr>
          <w:rFonts w:asciiTheme="minorHAnsi" w:hAnsiTheme="minorHAnsi"/>
        </w:rPr>
        <w:t> </w:t>
      </w:r>
      <w:r w:rsidRPr="00F97ABA">
        <w:rPr>
          <w:rFonts w:asciiTheme="minorHAnsi" w:hAnsiTheme="minorHAnsi"/>
        </w:rPr>
        <w:t>závislosti na počtu závazných stanovisek vydaných v období od 1. 1. do 31. 12. 201</w:t>
      </w:r>
      <w:r w:rsidR="000D2398" w:rsidRPr="00F97ABA">
        <w:rPr>
          <w:rFonts w:asciiTheme="minorHAnsi" w:hAnsiTheme="minorHAnsi"/>
        </w:rPr>
        <w:t>9</w:t>
      </w:r>
      <w:r w:rsidRPr="00F97ABA">
        <w:rPr>
          <w:rFonts w:asciiTheme="minorHAnsi" w:hAnsiTheme="minorHAnsi"/>
        </w:rPr>
        <w:t xml:space="preserve"> dle </w:t>
      </w:r>
      <w:hyperlink r:id="rId37" w:history="1">
        <w:r w:rsidRPr="00F97ABA">
          <w:rPr>
            <w:rFonts w:asciiTheme="minorHAnsi" w:hAnsiTheme="minorHAnsi"/>
          </w:rPr>
          <w:t>§</w:t>
        </w:r>
        <w:r w:rsidR="00183374" w:rsidRPr="00F97ABA">
          <w:rPr>
            <w:rFonts w:asciiTheme="minorHAnsi" w:hAnsiTheme="minorHAnsi"/>
          </w:rPr>
          <w:t> </w:t>
        </w:r>
        <w:r w:rsidR="00982891" w:rsidRPr="00F97ABA">
          <w:rPr>
            <w:rFonts w:asciiTheme="minorHAnsi" w:hAnsiTheme="minorHAnsi"/>
          </w:rPr>
          <w:t xml:space="preserve">96b zákona </w:t>
        </w:r>
        <w:r w:rsidR="00982891" w:rsidRPr="00F97ABA">
          <w:rPr>
            <w:rFonts w:asciiTheme="minorHAnsi" w:hAnsiTheme="minorHAnsi"/>
          </w:rPr>
          <w:lastRenderedPageBreak/>
          <w:t>č. </w:t>
        </w:r>
        <w:r w:rsidRPr="00F97ABA">
          <w:rPr>
            <w:rFonts w:asciiTheme="minorHAnsi" w:hAnsiTheme="minorHAnsi"/>
          </w:rPr>
          <w:t>183/2006 Sb.</w:t>
        </w:r>
      </w:hyperlink>
      <w:r w:rsidRPr="00F97ABA">
        <w:rPr>
          <w:rFonts w:asciiTheme="minorHAnsi" w:hAnsiTheme="minorHAnsi"/>
        </w:rPr>
        <w:t>, o územním plánování a stavebním</w:t>
      </w:r>
      <w:r w:rsidR="004D0468">
        <w:rPr>
          <w:rFonts w:asciiTheme="minorHAnsi" w:hAnsiTheme="minorHAnsi"/>
        </w:rPr>
        <w:t xml:space="preserve"> </w:t>
      </w:r>
      <w:r w:rsidRPr="00F97ABA">
        <w:rPr>
          <w:rFonts w:asciiTheme="minorHAnsi" w:hAnsiTheme="minorHAnsi"/>
        </w:rPr>
        <w:t>řádu (</w:t>
      </w:r>
      <w:hyperlink r:id="rId38" w:history="1">
        <w:r w:rsidRPr="00F97ABA">
          <w:rPr>
            <w:rFonts w:asciiTheme="minorHAnsi" w:hAnsiTheme="minorHAnsi"/>
          </w:rPr>
          <w:t>stavební zákon</w:t>
        </w:r>
      </w:hyperlink>
      <w:r w:rsidRPr="00F97ABA">
        <w:rPr>
          <w:rFonts w:asciiTheme="minorHAnsi" w:hAnsiTheme="minorHAnsi"/>
        </w:rPr>
        <w:t>), ve znění zákona č. </w:t>
      </w:r>
      <w:hyperlink r:id="rId39" w:history="1">
        <w:r w:rsidRPr="00F97ABA">
          <w:rPr>
            <w:rFonts w:asciiTheme="minorHAnsi" w:hAnsiTheme="minorHAnsi"/>
          </w:rPr>
          <w:t>225/2017</w:t>
        </w:r>
        <w:r w:rsidR="00056B98" w:rsidRPr="00F97ABA">
          <w:rPr>
            <w:rFonts w:asciiTheme="minorHAnsi" w:hAnsiTheme="minorHAnsi"/>
          </w:rPr>
          <w:t> </w:t>
        </w:r>
        <w:r w:rsidRPr="00F97ABA">
          <w:rPr>
            <w:rFonts w:asciiTheme="minorHAnsi" w:hAnsiTheme="minorHAnsi"/>
          </w:rPr>
          <w:t>Sb.</w:t>
        </w:r>
      </w:hyperlink>
      <w:r w:rsidRPr="00F97ABA">
        <w:rPr>
          <w:rFonts w:asciiTheme="minorHAnsi" w:hAnsiTheme="minorHAnsi"/>
        </w:rPr>
        <w:t>(viz část Příspěvek na výkon státní</w:t>
      </w:r>
      <w:r w:rsidRPr="00941042">
        <w:rPr>
          <w:rFonts w:asciiTheme="minorHAnsi" w:hAnsiTheme="minorHAnsi"/>
        </w:rPr>
        <w:t xml:space="preserve"> správy pro obce). Konkrétně se jedná o částku </w:t>
      </w:r>
      <w:r w:rsidR="000D2398">
        <w:rPr>
          <w:rFonts w:asciiTheme="minorHAnsi" w:hAnsiTheme="minorHAnsi"/>
        </w:rPr>
        <w:t xml:space="preserve">12 020 052 </w:t>
      </w:r>
      <w:r w:rsidRPr="00941042">
        <w:rPr>
          <w:rFonts w:asciiTheme="minorHAnsi" w:hAnsiTheme="minorHAnsi"/>
        </w:rPr>
        <w:t xml:space="preserve">Kč. </w:t>
      </w:r>
    </w:p>
    <w:p w:rsidR="004450B0" w:rsidRPr="00F97ABA" w:rsidRDefault="004450B0" w:rsidP="00F97ABA">
      <w:pPr>
        <w:widowControl w:val="0"/>
        <w:autoSpaceDE w:val="0"/>
        <w:autoSpaceDN w:val="0"/>
        <w:adjustRightInd w:val="0"/>
        <w:ind w:left="360"/>
        <w:rPr>
          <w:rFonts w:asciiTheme="minorHAnsi" w:hAnsiTheme="minorHAnsi"/>
        </w:rPr>
        <w:sectPr w:rsidR="004450B0" w:rsidRPr="00F97ABA" w:rsidSect="00982891">
          <w:footnotePr>
            <w:pos w:val="beneathText"/>
          </w:footnotePr>
          <w:type w:val="continuous"/>
          <w:pgSz w:w="11906" w:h="16838" w:code="9"/>
          <w:pgMar w:top="1134" w:right="1134" w:bottom="1134" w:left="1134" w:header="709" w:footer="709" w:gutter="0"/>
          <w:cols w:num="2" w:space="397"/>
          <w:docGrid w:linePitch="360"/>
        </w:sectPr>
      </w:pPr>
    </w:p>
    <w:p w:rsidR="00B10A4D" w:rsidRDefault="002E13F3" w:rsidP="009F6312">
      <w:pPr>
        <w:autoSpaceDE w:val="0"/>
        <w:autoSpaceDN w:val="0"/>
        <w:adjustRightInd w:val="0"/>
        <w:spacing w:before="120" w:after="120"/>
        <w:ind w:left="357"/>
        <w:jc w:val="center"/>
        <w:rPr>
          <w:b/>
        </w:rPr>
      </w:pPr>
      <w:r>
        <w:rPr>
          <w:b/>
        </w:rPr>
        <w:lastRenderedPageBreak/>
        <w:pict>
          <v:shape id="_x0000_i1031" type="#_x0000_t75" style="width:444.75pt;height:38.25pt">
            <v:imagedata r:id="rId40" o:title=""/>
          </v:shape>
        </w:pict>
      </w:r>
    </w:p>
    <w:p w:rsidR="005B0220" w:rsidRPr="00F97ABA" w:rsidRDefault="00322CBC" w:rsidP="005B0220">
      <w:pPr>
        <w:pStyle w:val="Odstavecseseznamem"/>
        <w:numPr>
          <w:ilvl w:val="0"/>
          <w:numId w:val="25"/>
        </w:numPr>
        <w:suppressAutoHyphens/>
        <w:autoSpaceDE w:val="0"/>
        <w:autoSpaceDN w:val="0"/>
        <w:adjustRightInd w:val="0"/>
        <w:spacing w:before="120" w:after="0"/>
        <w:ind w:left="360"/>
        <w:contextualSpacing w:val="0"/>
        <w:rPr>
          <w:b/>
          <w:sz w:val="24"/>
        </w:rPr>
      </w:pPr>
      <w:r w:rsidRPr="007E1116">
        <w:rPr>
          <w:b/>
          <w:sz w:val="24"/>
        </w:rPr>
        <w:t>Financování vydávání občanských průkazů</w:t>
      </w:r>
    </w:p>
    <w:p w:rsidR="002C0355" w:rsidRDefault="002C0355" w:rsidP="002C0355">
      <w:pPr>
        <w:widowControl w:val="0"/>
        <w:autoSpaceDE w:val="0"/>
        <w:autoSpaceDN w:val="0"/>
        <w:adjustRightInd w:val="0"/>
        <w:ind w:left="360"/>
        <w:rPr>
          <w:rFonts w:asciiTheme="minorHAnsi" w:hAnsiTheme="minorHAnsi"/>
        </w:rPr>
        <w:sectPr w:rsidR="002C0355" w:rsidSect="004E7A79">
          <w:footnotePr>
            <w:pos w:val="beneathText"/>
          </w:footnotePr>
          <w:type w:val="continuous"/>
          <w:pgSz w:w="11906" w:h="16838" w:code="9"/>
          <w:pgMar w:top="1134" w:right="1134" w:bottom="1134" w:left="1134" w:header="709" w:footer="709" w:gutter="0"/>
          <w:cols w:space="708"/>
          <w:docGrid w:linePitch="360"/>
        </w:sectPr>
      </w:pPr>
    </w:p>
    <w:p w:rsidR="002C0355" w:rsidRPr="00F97ABA" w:rsidRDefault="002C0355" w:rsidP="00F97ABA">
      <w:pPr>
        <w:widowControl w:val="0"/>
        <w:autoSpaceDE w:val="0"/>
        <w:autoSpaceDN w:val="0"/>
        <w:adjustRightInd w:val="0"/>
        <w:ind w:left="360"/>
        <w:rPr>
          <w:rFonts w:asciiTheme="minorHAnsi" w:hAnsiTheme="minorHAnsi"/>
        </w:rPr>
      </w:pPr>
      <w:r w:rsidRPr="00F97ABA">
        <w:rPr>
          <w:rFonts w:asciiTheme="minorHAnsi" w:hAnsiTheme="minorHAnsi"/>
        </w:rPr>
        <w:lastRenderedPageBreak/>
        <w:t xml:space="preserve">V celkové částce příspěvku na výkon státní správy pro hl. m. Prahu jsou obsaženy prostředky na financování vydávání občanských průkazů v závislosti na počtu podaných žádostí o jeho vydání a dále prostředky na financování aktivace elektronického čipu občanského průkazu v závislosti </w:t>
      </w:r>
      <w:r w:rsidRPr="00F97ABA">
        <w:rPr>
          <w:rFonts w:asciiTheme="minorHAnsi" w:hAnsiTheme="minorHAnsi"/>
        </w:rPr>
        <w:lastRenderedPageBreak/>
        <w:t>na počtu provedených aktivací (viz část Příspěvek na výkon státní správy pro obce). Konkrétně se jedná o částku 20 576 632 Kč, indikativní přerozdělení dle jednotlivých městských částí viz</w:t>
      </w:r>
      <w:r w:rsidR="00FA6CD4">
        <w:rPr>
          <w:rFonts w:asciiTheme="minorHAnsi" w:hAnsiTheme="minorHAnsi"/>
        </w:rPr>
        <w:t xml:space="preserve"> </w:t>
      </w:r>
      <w:r w:rsidRPr="00F97ABA">
        <w:rPr>
          <w:rFonts w:asciiTheme="minorHAnsi" w:hAnsiTheme="minorHAnsi"/>
        </w:rPr>
        <w:t>Příloha č. 8</w:t>
      </w:r>
      <w:r w:rsidR="00553B34">
        <w:rPr>
          <w:rFonts w:asciiTheme="minorHAnsi" w:hAnsiTheme="minorHAnsi"/>
        </w:rPr>
        <w:t xml:space="preserve"> </w:t>
      </w:r>
      <w:r w:rsidRPr="00F97ABA">
        <w:rPr>
          <w:rFonts w:asciiTheme="minorHAnsi" w:hAnsiTheme="minorHAnsi"/>
        </w:rPr>
        <w:t>tabulkové části dokumentace.</w:t>
      </w:r>
    </w:p>
    <w:p w:rsidR="002C0355" w:rsidRDefault="002C0355" w:rsidP="002C0355">
      <w:pPr>
        <w:suppressAutoHyphens/>
        <w:autoSpaceDE w:val="0"/>
        <w:autoSpaceDN w:val="0"/>
        <w:adjustRightInd w:val="0"/>
        <w:spacing w:before="120" w:after="0"/>
        <w:rPr>
          <w:b/>
        </w:rPr>
        <w:sectPr w:rsidR="002C0355" w:rsidSect="009F6312">
          <w:footnotePr>
            <w:pos w:val="beneathText"/>
          </w:footnotePr>
          <w:type w:val="continuous"/>
          <w:pgSz w:w="11906" w:h="16838" w:code="9"/>
          <w:pgMar w:top="1134" w:right="1134" w:bottom="1134" w:left="1134" w:header="709" w:footer="709" w:gutter="0"/>
          <w:cols w:num="2" w:space="397"/>
          <w:docGrid w:linePitch="360"/>
        </w:sectPr>
      </w:pPr>
    </w:p>
    <w:p w:rsidR="006F2D83" w:rsidRPr="00F97ABA" w:rsidRDefault="001D5498" w:rsidP="006F2D83">
      <w:pPr>
        <w:pStyle w:val="Odstavecseseznamem"/>
        <w:numPr>
          <w:ilvl w:val="0"/>
          <w:numId w:val="25"/>
        </w:numPr>
        <w:suppressAutoHyphens/>
        <w:autoSpaceDE w:val="0"/>
        <w:autoSpaceDN w:val="0"/>
        <w:adjustRightInd w:val="0"/>
        <w:spacing w:before="120" w:after="0"/>
        <w:ind w:left="360"/>
        <w:contextualSpacing w:val="0"/>
        <w:rPr>
          <w:b/>
          <w:sz w:val="24"/>
        </w:rPr>
      </w:pPr>
      <w:r w:rsidRPr="007E1116">
        <w:rPr>
          <w:b/>
          <w:sz w:val="24"/>
        </w:rPr>
        <w:lastRenderedPageBreak/>
        <w:t xml:space="preserve">Financování vydávání řidičských průkazů </w:t>
      </w:r>
    </w:p>
    <w:p w:rsidR="00A86EC5" w:rsidRDefault="00A86EC5" w:rsidP="00A86EC5">
      <w:pPr>
        <w:widowControl w:val="0"/>
        <w:autoSpaceDE w:val="0"/>
        <w:autoSpaceDN w:val="0"/>
        <w:adjustRightInd w:val="0"/>
        <w:ind w:left="360"/>
        <w:rPr>
          <w:rFonts w:asciiTheme="minorHAnsi" w:hAnsiTheme="minorHAnsi"/>
        </w:rPr>
        <w:sectPr w:rsidR="00A86EC5" w:rsidSect="004E7A79">
          <w:footnotePr>
            <w:pos w:val="beneathText"/>
          </w:footnotePr>
          <w:type w:val="continuous"/>
          <w:pgSz w:w="11906" w:h="16838" w:code="9"/>
          <w:pgMar w:top="1134" w:right="1134" w:bottom="1134" w:left="1134" w:header="709" w:footer="709" w:gutter="0"/>
          <w:cols w:space="708"/>
          <w:docGrid w:linePitch="360"/>
        </w:sectPr>
      </w:pPr>
    </w:p>
    <w:p w:rsidR="0093446C" w:rsidRPr="00F97ABA" w:rsidRDefault="0093446C" w:rsidP="00F97ABA">
      <w:pPr>
        <w:widowControl w:val="0"/>
        <w:autoSpaceDE w:val="0"/>
        <w:autoSpaceDN w:val="0"/>
        <w:adjustRightInd w:val="0"/>
        <w:ind w:left="360"/>
        <w:rPr>
          <w:rFonts w:asciiTheme="minorHAnsi" w:hAnsiTheme="minorHAnsi"/>
        </w:rPr>
      </w:pPr>
      <w:r w:rsidRPr="00F97ABA">
        <w:rPr>
          <w:rFonts w:asciiTheme="minorHAnsi" w:hAnsiTheme="minorHAnsi"/>
        </w:rPr>
        <w:lastRenderedPageBreak/>
        <w:t xml:space="preserve">V celkové částce příspěvku na výkon státní správy pro hl. m. Prahu jsou obsaženy prostředky na financování vydávání řidičských průkazů v závislosti na počtu podaných žádostí o jeho vydání (viz část </w:t>
      </w:r>
      <w:r w:rsidRPr="00F97ABA">
        <w:rPr>
          <w:rFonts w:asciiTheme="minorHAnsi" w:hAnsiTheme="minorHAnsi"/>
        </w:rPr>
        <w:lastRenderedPageBreak/>
        <w:t>Příspěvek na výkon státní správy pro obce). Konkrétně se jedná o částku 5 912 365 Kč.</w:t>
      </w:r>
    </w:p>
    <w:p w:rsidR="00A86EC5" w:rsidRDefault="00A86EC5" w:rsidP="00F97ABA">
      <w:pPr>
        <w:widowControl w:val="0"/>
        <w:autoSpaceDE w:val="0"/>
        <w:autoSpaceDN w:val="0"/>
        <w:adjustRightInd w:val="0"/>
        <w:ind w:left="360"/>
        <w:rPr>
          <w:rFonts w:asciiTheme="minorHAnsi" w:hAnsiTheme="minorHAnsi"/>
        </w:rPr>
      </w:pPr>
    </w:p>
    <w:p w:rsidR="00F97ABA" w:rsidRDefault="00F97ABA" w:rsidP="00A35C73">
      <w:pPr>
        <w:widowControl w:val="0"/>
        <w:autoSpaceDE w:val="0"/>
        <w:autoSpaceDN w:val="0"/>
        <w:adjustRightInd w:val="0"/>
        <w:ind w:left="357"/>
        <w:rPr>
          <w:rFonts w:asciiTheme="minorHAnsi" w:hAnsiTheme="minorHAnsi"/>
        </w:rPr>
        <w:sectPr w:rsidR="00F97ABA" w:rsidSect="0093446C">
          <w:footnotePr>
            <w:pos w:val="beneathText"/>
          </w:footnotePr>
          <w:type w:val="continuous"/>
          <w:pgSz w:w="11906" w:h="16838" w:code="9"/>
          <w:pgMar w:top="1134" w:right="1134" w:bottom="1134" w:left="1134" w:header="709" w:footer="709" w:gutter="0"/>
          <w:cols w:num="2" w:space="397"/>
          <w:docGrid w:linePitch="360"/>
        </w:sectPr>
      </w:pPr>
    </w:p>
    <w:p w:rsidR="00F97ABA" w:rsidRDefault="002E13F3" w:rsidP="009F6312">
      <w:pPr>
        <w:widowControl w:val="0"/>
        <w:autoSpaceDE w:val="0"/>
        <w:autoSpaceDN w:val="0"/>
        <w:adjustRightInd w:val="0"/>
        <w:spacing w:before="120" w:after="120"/>
        <w:ind w:left="357"/>
        <w:rPr>
          <w:rFonts w:asciiTheme="minorHAnsi" w:hAnsiTheme="minorHAnsi"/>
        </w:rPr>
      </w:pPr>
      <w:r>
        <w:rPr>
          <w:rFonts w:asciiTheme="minorHAnsi" w:hAnsiTheme="minorHAnsi"/>
        </w:rPr>
        <w:lastRenderedPageBreak/>
        <w:pict>
          <v:shape id="_x0000_i1032" type="#_x0000_t75" style="width:454.5pt;height:49.5pt">
            <v:imagedata r:id="rId41" o:title=""/>
          </v:shape>
        </w:pict>
      </w:r>
    </w:p>
    <w:p w:rsidR="006F2D83" w:rsidRPr="00F97ABA" w:rsidRDefault="00CE5035" w:rsidP="00F97ABA">
      <w:pPr>
        <w:pStyle w:val="Odstavecseseznamem"/>
        <w:widowControl w:val="0"/>
        <w:numPr>
          <w:ilvl w:val="0"/>
          <w:numId w:val="25"/>
        </w:numPr>
        <w:suppressAutoHyphens/>
        <w:autoSpaceDE w:val="0"/>
        <w:autoSpaceDN w:val="0"/>
        <w:adjustRightInd w:val="0"/>
        <w:spacing w:before="120" w:after="0"/>
        <w:ind w:left="360"/>
        <w:contextualSpacing w:val="0"/>
        <w:rPr>
          <w:b/>
          <w:sz w:val="24"/>
        </w:rPr>
      </w:pPr>
      <w:r w:rsidRPr="00F97ABA">
        <w:rPr>
          <w:b/>
          <w:sz w:val="24"/>
        </w:rPr>
        <w:t>Financování matričních úřadů</w:t>
      </w:r>
    </w:p>
    <w:p w:rsidR="00F0519E" w:rsidRDefault="00F0519E" w:rsidP="00F0519E">
      <w:pPr>
        <w:widowControl w:val="0"/>
        <w:autoSpaceDE w:val="0"/>
        <w:autoSpaceDN w:val="0"/>
        <w:adjustRightInd w:val="0"/>
        <w:spacing w:after="0"/>
        <w:ind w:left="360"/>
        <w:rPr>
          <w:rFonts w:asciiTheme="minorHAnsi" w:hAnsiTheme="minorHAnsi"/>
        </w:rPr>
        <w:sectPr w:rsidR="00F0519E" w:rsidSect="004E7A79">
          <w:footnotePr>
            <w:pos w:val="beneathText"/>
          </w:footnotePr>
          <w:type w:val="continuous"/>
          <w:pgSz w:w="11906" w:h="16838" w:code="9"/>
          <w:pgMar w:top="1134" w:right="1134" w:bottom="1134" w:left="1134" w:header="709" w:footer="709" w:gutter="0"/>
          <w:cols w:space="708"/>
          <w:docGrid w:linePitch="360"/>
        </w:sectPr>
      </w:pPr>
    </w:p>
    <w:p w:rsidR="00F0519E" w:rsidRDefault="00F0519E" w:rsidP="00F97ABA">
      <w:pPr>
        <w:widowControl w:val="0"/>
        <w:autoSpaceDE w:val="0"/>
        <w:autoSpaceDN w:val="0"/>
        <w:adjustRightInd w:val="0"/>
        <w:ind w:left="360"/>
        <w:rPr>
          <w:rFonts w:asciiTheme="minorHAnsi" w:hAnsiTheme="minorHAnsi"/>
        </w:rPr>
      </w:pPr>
      <w:r w:rsidRPr="00F97ABA">
        <w:rPr>
          <w:rFonts w:asciiTheme="minorHAnsi" w:hAnsiTheme="minorHAnsi"/>
        </w:rPr>
        <w:lastRenderedPageBreak/>
        <w:t xml:space="preserve">V celkové částce příspěvku na výkon státní správy pro hl. m. Prahu jsou obsaženy prostředky na financování matričních úřadů v závislosti na počtu sledovaných úkonů (viz část Příspěvek na výkon státní správy pro obce). V případě hl. m. Prahy bude </w:t>
      </w:r>
      <w:r w:rsidRPr="00F97ABA">
        <w:rPr>
          <w:rFonts w:asciiTheme="minorHAnsi" w:hAnsiTheme="minorHAnsi"/>
        </w:rPr>
        <w:lastRenderedPageBreak/>
        <w:t>financována jen výkonová složka, a to z důvodu vznikající úspory z rozsahu. Konkrétně se jedná o</w:t>
      </w:r>
      <w:r w:rsidR="00D56E59">
        <w:rPr>
          <w:rFonts w:asciiTheme="minorHAnsi" w:hAnsiTheme="minorHAnsi"/>
        </w:rPr>
        <w:t> </w:t>
      </w:r>
      <w:r w:rsidRPr="00F97ABA">
        <w:rPr>
          <w:rFonts w:asciiTheme="minorHAnsi" w:hAnsiTheme="minorHAnsi"/>
        </w:rPr>
        <w:t xml:space="preserve">částku 42 344 198 Kč, indikativní přerozdělení dle jednotlivých městských částí </w:t>
      </w:r>
      <w:r w:rsidR="003374C2">
        <w:rPr>
          <w:rFonts w:asciiTheme="minorHAnsi" w:hAnsiTheme="minorHAnsi"/>
        </w:rPr>
        <w:t xml:space="preserve">viz </w:t>
      </w:r>
      <w:r w:rsidRPr="00F97ABA">
        <w:rPr>
          <w:rFonts w:asciiTheme="minorHAnsi" w:hAnsiTheme="minorHAnsi"/>
        </w:rPr>
        <w:t> příloha č. 9</w:t>
      </w:r>
      <w:r w:rsidR="003374C2">
        <w:rPr>
          <w:rFonts w:asciiTheme="minorHAnsi" w:hAnsiTheme="minorHAnsi"/>
        </w:rPr>
        <w:t xml:space="preserve"> </w:t>
      </w:r>
      <w:r w:rsidRPr="00F97ABA">
        <w:rPr>
          <w:rFonts w:asciiTheme="minorHAnsi" w:hAnsiTheme="minorHAnsi"/>
        </w:rPr>
        <w:t>tabulkové části dokumentace.</w:t>
      </w:r>
    </w:p>
    <w:p w:rsidR="00D56E59" w:rsidRPr="00F97ABA" w:rsidRDefault="00D56E59" w:rsidP="00F97ABA">
      <w:pPr>
        <w:widowControl w:val="0"/>
        <w:autoSpaceDE w:val="0"/>
        <w:autoSpaceDN w:val="0"/>
        <w:adjustRightInd w:val="0"/>
        <w:ind w:left="360"/>
        <w:rPr>
          <w:rFonts w:asciiTheme="minorHAnsi" w:hAnsiTheme="minorHAnsi"/>
        </w:rPr>
        <w:sectPr w:rsidR="00D56E59" w:rsidRPr="00F97ABA" w:rsidSect="009F6312">
          <w:footnotePr>
            <w:pos w:val="beneathText"/>
          </w:footnotePr>
          <w:type w:val="continuous"/>
          <w:pgSz w:w="11906" w:h="16838" w:code="9"/>
          <w:pgMar w:top="1134" w:right="1134" w:bottom="1134" w:left="1134" w:header="709" w:footer="709" w:gutter="0"/>
          <w:cols w:num="2" w:space="397"/>
          <w:docGrid w:linePitch="360"/>
        </w:sectPr>
      </w:pPr>
    </w:p>
    <w:p w:rsidR="00F0519E" w:rsidRPr="00F97ABA" w:rsidRDefault="009D4CF8" w:rsidP="00F97ABA">
      <w:pPr>
        <w:pStyle w:val="Odstavecseseznamem"/>
        <w:numPr>
          <w:ilvl w:val="0"/>
          <w:numId w:val="25"/>
        </w:numPr>
        <w:suppressAutoHyphens/>
        <w:autoSpaceDE w:val="0"/>
        <w:autoSpaceDN w:val="0"/>
        <w:adjustRightInd w:val="0"/>
        <w:spacing w:before="120" w:after="0"/>
        <w:ind w:left="360"/>
        <w:contextualSpacing w:val="0"/>
        <w:rPr>
          <w:b/>
          <w:sz w:val="24"/>
        </w:rPr>
      </w:pPr>
      <w:r w:rsidRPr="009D4CF8">
        <w:rPr>
          <w:b/>
          <w:sz w:val="24"/>
        </w:rPr>
        <w:lastRenderedPageBreak/>
        <w:t xml:space="preserve">Financování </w:t>
      </w:r>
      <w:r>
        <w:rPr>
          <w:b/>
          <w:sz w:val="24"/>
        </w:rPr>
        <w:t>živnostenských úřadů</w:t>
      </w:r>
    </w:p>
    <w:p w:rsidR="0093446C" w:rsidRDefault="0093446C" w:rsidP="0093446C">
      <w:pPr>
        <w:widowControl w:val="0"/>
        <w:autoSpaceDE w:val="0"/>
        <w:autoSpaceDN w:val="0"/>
        <w:adjustRightInd w:val="0"/>
        <w:spacing w:after="0"/>
        <w:ind w:left="360"/>
        <w:rPr>
          <w:rFonts w:asciiTheme="minorHAnsi" w:hAnsiTheme="minorHAnsi"/>
        </w:rPr>
        <w:sectPr w:rsidR="0093446C" w:rsidSect="004E7A79">
          <w:footnotePr>
            <w:pos w:val="beneathText"/>
          </w:footnotePr>
          <w:type w:val="continuous"/>
          <w:pgSz w:w="11906" w:h="16838" w:code="9"/>
          <w:pgMar w:top="1134" w:right="1134" w:bottom="1134" w:left="1134" w:header="709" w:footer="709" w:gutter="0"/>
          <w:cols w:space="708"/>
          <w:docGrid w:linePitch="360"/>
        </w:sectPr>
      </w:pPr>
    </w:p>
    <w:p w:rsidR="0093446C" w:rsidRPr="00F97ABA" w:rsidRDefault="0093446C" w:rsidP="00F97ABA">
      <w:pPr>
        <w:widowControl w:val="0"/>
        <w:autoSpaceDE w:val="0"/>
        <w:autoSpaceDN w:val="0"/>
        <w:adjustRightInd w:val="0"/>
        <w:ind w:left="360"/>
        <w:rPr>
          <w:rFonts w:asciiTheme="minorHAnsi" w:hAnsiTheme="minorHAnsi"/>
        </w:rPr>
      </w:pPr>
      <w:r w:rsidRPr="00F97ABA">
        <w:rPr>
          <w:rFonts w:asciiTheme="minorHAnsi" w:hAnsiTheme="minorHAnsi"/>
        </w:rPr>
        <w:lastRenderedPageBreak/>
        <w:t xml:space="preserve">V celkové částce příspěvku na výkon státní správy pro hl. m. Prahu jsou nově obsaženy prostředky na financování části agendy živnostenského úřadu (viz část Příspěvek na výkon státní správy pro obce). </w:t>
      </w:r>
      <w:r w:rsidRPr="00F97ABA">
        <w:rPr>
          <w:rFonts w:asciiTheme="minorHAnsi" w:hAnsiTheme="minorHAnsi"/>
        </w:rPr>
        <w:lastRenderedPageBreak/>
        <w:t>Konkrétně se jedná o částku 74 510 410 Kč, indikativní přerozdělení dle jednotlivých městských částí je viz příloha č. 10 tabulkové části dokumentace.</w:t>
      </w:r>
    </w:p>
    <w:p w:rsidR="0093446C" w:rsidRPr="00F97ABA" w:rsidRDefault="0093446C" w:rsidP="00F97ABA">
      <w:pPr>
        <w:widowControl w:val="0"/>
        <w:autoSpaceDE w:val="0"/>
        <w:autoSpaceDN w:val="0"/>
        <w:adjustRightInd w:val="0"/>
        <w:ind w:left="360"/>
        <w:rPr>
          <w:rFonts w:asciiTheme="minorHAnsi" w:hAnsiTheme="minorHAnsi"/>
        </w:rPr>
        <w:sectPr w:rsidR="0093446C" w:rsidRPr="00F97ABA" w:rsidSect="009F6312">
          <w:footnotePr>
            <w:pos w:val="beneathText"/>
          </w:footnotePr>
          <w:type w:val="continuous"/>
          <w:pgSz w:w="11906" w:h="16838" w:code="9"/>
          <w:pgMar w:top="1134" w:right="1134" w:bottom="1134" w:left="1134" w:header="709" w:footer="709" w:gutter="0"/>
          <w:cols w:num="2" w:space="397"/>
          <w:docGrid w:linePitch="360"/>
        </w:sectPr>
      </w:pPr>
    </w:p>
    <w:p w:rsidR="0093446C" w:rsidRPr="00F97ABA" w:rsidRDefault="0093446C" w:rsidP="00F97ABA">
      <w:pPr>
        <w:widowControl w:val="0"/>
        <w:autoSpaceDE w:val="0"/>
        <w:autoSpaceDN w:val="0"/>
        <w:adjustRightInd w:val="0"/>
        <w:ind w:left="360"/>
        <w:rPr>
          <w:rFonts w:asciiTheme="minorHAnsi" w:hAnsiTheme="minorHAnsi"/>
        </w:rPr>
      </w:pPr>
    </w:p>
    <w:p w:rsidR="005F74E6" w:rsidRPr="009D4CF8" w:rsidRDefault="005F74E6" w:rsidP="009D4CF8">
      <w:pPr>
        <w:pStyle w:val="Odstavecseseznamem"/>
        <w:widowControl w:val="0"/>
        <w:numPr>
          <w:ilvl w:val="0"/>
          <w:numId w:val="25"/>
        </w:numPr>
        <w:suppressAutoHyphens/>
        <w:autoSpaceDE w:val="0"/>
        <w:autoSpaceDN w:val="0"/>
        <w:adjustRightInd w:val="0"/>
        <w:spacing w:before="120" w:after="0"/>
        <w:rPr>
          <w:rFonts w:asciiTheme="minorHAnsi" w:hAnsiTheme="minorHAnsi"/>
          <w:b/>
        </w:rPr>
        <w:sectPr w:rsidR="005F74E6" w:rsidRPr="009D4CF8" w:rsidSect="004E7A79">
          <w:footnotePr>
            <w:pos w:val="beneathText"/>
          </w:footnotePr>
          <w:type w:val="continuous"/>
          <w:pgSz w:w="11906" w:h="16838" w:code="9"/>
          <w:pgMar w:top="1134" w:right="1134" w:bottom="1134" w:left="1134" w:header="709" w:footer="709" w:gutter="0"/>
          <w:cols w:space="708"/>
          <w:docGrid w:linePitch="360"/>
        </w:sectPr>
      </w:pPr>
    </w:p>
    <w:p w:rsidR="00D95859" w:rsidRPr="00B667D1" w:rsidRDefault="00D95859" w:rsidP="004317A0">
      <w:pPr>
        <w:pStyle w:val="Nadpis3"/>
        <w:tabs>
          <w:tab w:val="clear" w:pos="720"/>
          <w:tab w:val="left" w:pos="567"/>
        </w:tabs>
        <w:ind w:left="567" w:hanging="567"/>
      </w:pPr>
      <w:bookmarkStart w:id="79" w:name="_Toc17962165"/>
      <w:bookmarkStart w:id="80" w:name="_Toc54337188"/>
      <w:r w:rsidRPr="00B667D1">
        <w:lastRenderedPageBreak/>
        <w:t>Ostatní dotace z kapitoly Všeobecná pokladní správa</w:t>
      </w:r>
      <w:bookmarkEnd w:id="79"/>
      <w:bookmarkEnd w:id="80"/>
      <w:r w:rsidR="008052A9" w:rsidRPr="00B667D1">
        <w:t xml:space="preserve"> </w:t>
      </w:r>
    </w:p>
    <w:p w:rsidR="001D5FA6" w:rsidRPr="00B667D1" w:rsidRDefault="001D5FA6" w:rsidP="004317A0">
      <w:pPr>
        <w:pStyle w:val="Nadpis3"/>
        <w:tabs>
          <w:tab w:val="clear" w:pos="720"/>
          <w:tab w:val="left" w:pos="567"/>
        </w:tabs>
        <w:ind w:left="567" w:hanging="567"/>
        <w:sectPr w:rsidR="001D5FA6" w:rsidRPr="00B667D1" w:rsidSect="004E7A79">
          <w:footnotePr>
            <w:pos w:val="beneathText"/>
          </w:footnotePr>
          <w:type w:val="continuous"/>
          <w:pgSz w:w="11906" w:h="16838" w:code="9"/>
          <w:pgMar w:top="1134" w:right="1134" w:bottom="1134" w:left="1134" w:header="709" w:footer="709" w:gutter="0"/>
          <w:cols w:space="708"/>
          <w:docGrid w:linePitch="360"/>
        </w:sectPr>
      </w:pPr>
    </w:p>
    <w:p w:rsidR="00D95859" w:rsidRPr="00B667D1" w:rsidRDefault="00D95859" w:rsidP="001D5FA6">
      <w:pPr>
        <w:suppressAutoHyphens/>
        <w:spacing w:after="0"/>
        <w:rPr>
          <w:rFonts w:eastAsia="SymbolMT"/>
          <w:b/>
        </w:rPr>
      </w:pPr>
      <w:r w:rsidRPr="00B667D1">
        <w:rPr>
          <w:iCs/>
        </w:rPr>
        <w:lastRenderedPageBreak/>
        <w:t>Jedná se zejména o prostředky rozpočtované v</w:t>
      </w:r>
      <w:r w:rsidR="00554C33">
        <w:rPr>
          <w:iCs/>
        </w:rPr>
        <w:t xml:space="preserve"> </w:t>
      </w:r>
      <w:r w:rsidRPr="00B667D1">
        <w:rPr>
          <w:iCs/>
        </w:rPr>
        <w:t xml:space="preserve">ukazateli „Výdaje vedené v informačním systému programového financování EDS/SMVS celkem“ (viz </w:t>
      </w:r>
      <w:r w:rsidR="00AF077A" w:rsidRPr="00B667D1">
        <w:rPr>
          <w:iCs/>
        </w:rPr>
        <w:t>P</w:t>
      </w:r>
      <w:r w:rsidRPr="00B667D1">
        <w:rPr>
          <w:iCs/>
        </w:rPr>
        <w:t xml:space="preserve">říloha č. </w:t>
      </w:r>
      <w:r w:rsidR="002653CD" w:rsidRPr="00B667D1">
        <w:rPr>
          <w:iCs/>
        </w:rPr>
        <w:t>6</w:t>
      </w:r>
      <w:r w:rsidR="00056B98" w:rsidRPr="00B667D1">
        <w:rPr>
          <w:iCs/>
        </w:rPr>
        <w:t xml:space="preserve"> </w:t>
      </w:r>
      <w:r w:rsidR="00056B98" w:rsidRPr="00B667D1">
        <w:rPr>
          <w:iCs/>
        </w:rPr>
        <w:lastRenderedPageBreak/>
        <w:t>tabulkové části dokumentace</w:t>
      </w:r>
      <w:r w:rsidRPr="00B667D1">
        <w:rPr>
          <w:iCs/>
        </w:rPr>
        <w:t xml:space="preserve">), ve kterém je </w:t>
      </w:r>
      <w:r w:rsidRPr="00B667D1">
        <w:rPr>
          <w:rFonts w:eastAsia="SymbolMT"/>
          <w:b/>
        </w:rPr>
        <w:t>pro obce určena částka</w:t>
      </w:r>
      <w:r w:rsidR="00C627A5" w:rsidRPr="00B667D1">
        <w:rPr>
          <w:rFonts w:eastAsia="SymbolMT"/>
          <w:b/>
        </w:rPr>
        <w:t xml:space="preserve"> </w:t>
      </w:r>
      <w:r w:rsidR="009310E0">
        <w:rPr>
          <w:rFonts w:eastAsia="SymbolMT"/>
          <w:b/>
        </w:rPr>
        <w:t>5</w:t>
      </w:r>
      <w:r w:rsidR="00C627A5" w:rsidRPr="00B667D1">
        <w:rPr>
          <w:rFonts w:eastAsia="SymbolMT"/>
          <w:b/>
        </w:rPr>
        <w:t>1</w:t>
      </w:r>
      <w:r w:rsidR="00554C33">
        <w:rPr>
          <w:rFonts w:eastAsia="SymbolMT"/>
          <w:b/>
        </w:rPr>
        <w:t xml:space="preserve">5 </w:t>
      </w:r>
      <w:r w:rsidR="00C627A5" w:rsidRPr="00B667D1">
        <w:rPr>
          <w:rFonts w:eastAsia="SymbolMT"/>
          <w:b/>
        </w:rPr>
        <w:t xml:space="preserve">000 </w:t>
      </w:r>
      <w:r w:rsidR="004B15F5" w:rsidRPr="00B667D1">
        <w:rPr>
          <w:rFonts w:eastAsia="SymbolMT"/>
          <w:b/>
        </w:rPr>
        <w:t>tis. Kč</w:t>
      </w:r>
      <w:r w:rsidRPr="00B667D1">
        <w:rPr>
          <w:rFonts w:eastAsia="SymbolMT"/>
          <w:b/>
        </w:rPr>
        <w:t>,</w:t>
      </w:r>
      <w:r w:rsidR="00EE2104" w:rsidRPr="00B667D1">
        <w:rPr>
          <w:rFonts w:eastAsia="SymbolMT"/>
          <w:b/>
        </w:rPr>
        <w:t xml:space="preserve"> </w:t>
      </w:r>
      <w:r w:rsidRPr="00B667D1">
        <w:rPr>
          <w:rFonts w:eastAsia="SymbolMT"/>
          <w:b/>
        </w:rPr>
        <w:t>a to v následujících programech:</w:t>
      </w:r>
    </w:p>
    <w:p w:rsidR="001D5FA6" w:rsidRPr="00B667D1" w:rsidRDefault="001D5FA6" w:rsidP="00D95859">
      <w:pPr>
        <w:spacing w:after="0"/>
        <w:rPr>
          <w:rFonts w:eastAsia="SymbolMT"/>
        </w:rPr>
        <w:sectPr w:rsidR="001D5FA6" w:rsidRPr="00B667D1" w:rsidSect="009F6312">
          <w:footnotePr>
            <w:pos w:val="beneathText"/>
          </w:footnotePr>
          <w:type w:val="continuous"/>
          <w:pgSz w:w="11906" w:h="16838" w:code="9"/>
          <w:pgMar w:top="1134" w:right="1134" w:bottom="1134" w:left="1134" w:header="709" w:footer="709" w:gutter="0"/>
          <w:cols w:num="2" w:space="397"/>
          <w:docGrid w:linePitch="360"/>
        </w:sectPr>
      </w:pPr>
    </w:p>
    <w:p w:rsidR="00D95859" w:rsidRPr="00B667D1" w:rsidRDefault="00D95859" w:rsidP="007D236F">
      <w:pPr>
        <w:pStyle w:val="Odstavecseseznamem"/>
        <w:keepNext/>
        <w:numPr>
          <w:ilvl w:val="0"/>
          <w:numId w:val="33"/>
        </w:numPr>
        <w:tabs>
          <w:tab w:val="right" w:pos="9072"/>
        </w:tabs>
        <w:spacing w:before="120"/>
        <w:ind w:left="284" w:hanging="284"/>
        <w:rPr>
          <w:rFonts w:eastAsia="SymbolMT"/>
        </w:rPr>
      </w:pPr>
      <w:r w:rsidRPr="00B667D1">
        <w:rPr>
          <w:b/>
          <w:bCs/>
          <w:iCs/>
        </w:rPr>
        <w:lastRenderedPageBreak/>
        <w:t xml:space="preserve">Program 298 </w:t>
      </w:r>
      <w:r w:rsidRPr="000433D3">
        <w:rPr>
          <w:rFonts w:asciiTheme="minorHAnsi" w:hAnsiTheme="minorHAnsi"/>
          <w:b/>
          <w:bCs/>
          <w:iCs/>
        </w:rPr>
        <w:t>21</w:t>
      </w:r>
      <w:r w:rsidRPr="00B667D1">
        <w:rPr>
          <w:b/>
          <w:bCs/>
          <w:iCs/>
        </w:rPr>
        <w:t xml:space="preserve"> – Podpora rozvoje a obnovy materiálně technické základny regionálního školství (</w:t>
      </w:r>
      <w:r w:rsidR="00C627A5" w:rsidRPr="00B667D1">
        <w:rPr>
          <w:b/>
          <w:bCs/>
          <w:iCs/>
        </w:rPr>
        <w:t>186</w:t>
      </w:r>
      <w:r w:rsidR="00554C33">
        <w:rPr>
          <w:b/>
          <w:bCs/>
          <w:iCs/>
        </w:rPr>
        <w:t> </w:t>
      </w:r>
      <w:r w:rsidR="00C627A5" w:rsidRPr="00B667D1">
        <w:rPr>
          <w:b/>
          <w:bCs/>
          <w:iCs/>
        </w:rPr>
        <w:t>400</w:t>
      </w:r>
      <w:r w:rsidR="008052A9" w:rsidRPr="00B667D1">
        <w:rPr>
          <w:b/>
          <w:bCs/>
          <w:iCs/>
        </w:rPr>
        <w:t> tis. </w:t>
      </w:r>
      <w:r w:rsidRPr="00B667D1">
        <w:rPr>
          <w:b/>
          <w:bCs/>
          <w:iCs/>
        </w:rPr>
        <w:t>Kč)</w:t>
      </w:r>
    </w:p>
    <w:p w:rsidR="001D5FA6" w:rsidRPr="00B667D1" w:rsidRDefault="001D5FA6" w:rsidP="00F34AD5">
      <w:pPr>
        <w:spacing w:after="0"/>
        <w:rPr>
          <w:rFonts w:eastAsia="SymbolMT"/>
        </w:rPr>
        <w:sectPr w:rsidR="001D5FA6" w:rsidRPr="00B667D1" w:rsidSect="004E7A79">
          <w:footnotePr>
            <w:pos w:val="beneathText"/>
          </w:footnotePr>
          <w:type w:val="continuous"/>
          <w:pgSz w:w="11906" w:h="16838" w:code="9"/>
          <w:pgMar w:top="1134" w:right="1134" w:bottom="1134" w:left="1134" w:header="709" w:footer="709" w:gutter="0"/>
          <w:cols w:space="708"/>
          <w:docGrid w:linePitch="360"/>
        </w:sectPr>
      </w:pPr>
    </w:p>
    <w:p w:rsidR="00D95859" w:rsidRPr="00B667D1" w:rsidRDefault="00A40254" w:rsidP="00D56E59">
      <w:pPr>
        <w:pStyle w:val="Popisky"/>
        <w:ind w:left="284"/>
        <w:jc w:val="both"/>
        <w:rPr>
          <w:rFonts w:asciiTheme="minorHAnsi" w:eastAsia="SymbolMT" w:hAnsiTheme="minorHAnsi"/>
        </w:rPr>
      </w:pPr>
      <w:r w:rsidRPr="00B667D1">
        <w:rPr>
          <w:rFonts w:asciiTheme="minorHAnsi" w:eastAsia="SymbolMT" w:hAnsiTheme="minorHAnsi"/>
        </w:rPr>
        <w:lastRenderedPageBreak/>
        <w:t>Dotace</w:t>
      </w:r>
      <w:r w:rsidR="0081477F" w:rsidRPr="00B667D1">
        <w:rPr>
          <w:rFonts w:asciiTheme="minorHAnsi" w:eastAsia="SymbolMT" w:hAnsiTheme="minorHAnsi"/>
        </w:rPr>
        <w:t> </w:t>
      </w:r>
      <w:r w:rsidR="00EE2104" w:rsidRPr="00B667D1">
        <w:rPr>
          <w:rFonts w:asciiTheme="minorHAnsi" w:eastAsia="SymbolMT" w:hAnsiTheme="minorHAnsi"/>
        </w:rPr>
        <w:t xml:space="preserve"> </w:t>
      </w:r>
      <w:r w:rsidR="00C627A5" w:rsidRPr="00B667D1">
        <w:rPr>
          <w:rFonts w:asciiTheme="minorHAnsi" w:eastAsia="SymbolMT" w:hAnsiTheme="minorHAnsi"/>
          <w:b/>
        </w:rPr>
        <w:t>186 400</w:t>
      </w:r>
      <w:r w:rsidR="00C627A5" w:rsidRPr="00B667D1">
        <w:rPr>
          <w:rFonts w:asciiTheme="minorHAnsi" w:eastAsia="SymbolMT" w:hAnsiTheme="minorHAnsi"/>
        </w:rPr>
        <w:t xml:space="preserve"> </w:t>
      </w:r>
      <w:r w:rsidR="00C627A5" w:rsidRPr="00B667D1">
        <w:rPr>
          <w:rFonts w:asciiTheme="minorHAnsi" w:eastAsia="SymbolMT" w:hAnsiTheme="minorHAnsi"/>
          <w:b/>
        </w:rPr>
        <w:t>tis</w:t>
      </w:r>
      <w:r w:rsidR="00C627A5" w:rsidRPr="00B667D1">
        <w:rPr>
          <w:rFonts w:asciiTheme="minorHAnsi" w:eastAsia="SymbolMT" w:hAnsiTheme="minorHAnsi"/>
        </w:rPr>
        <w:t>.</w:t>
      </w:r>
      <w:r w:rsidR="00DA1CC8" w:rsidRPr="00B667D1">
        <w:rPr>
          <w:rFonts w:asciiTheme="minorHAnsi" w:eastAsia="SymbolMT" w:hAnsiTheme="minorHAnsi"/>
          <w:b/>
        </w:rPr>
        <w:t> Kč</w:t>
      </w:r>
      <w:r w:rsidR="00350EB2">
        <w:rPr>
          <w:rFonts w:asciiTheme="minorHAnsi" w:eastAsia="SymbolMT" w:hAnsiTheme="minorHAnsi"/>
          <w:b/>
        </w:rPr>
        <w:t xml:space="preserve"> </w:t>
      </w:r>
      <w:r w:rsidR="00D95859" w:rsidRPr="00B667D1">
        <w:rPr>
          <w:rFonts w:asciiTheme="minorHAnsi" w:eastAsia="SymbolMT" w:hAnsiTheme="minorHAnsi"/>
        </w:rPr>
        <w:t>je</w:t>
      </w:r>
      <w:r w:rsidR="00350EB2">
        <w:rPr>
          <w:rFonts w:asciiTheme="minorHAnsi" w:eastAsia="SymbolMT" w:hAnsiTheme="minorHAnsi"/>
        </w:rPr>
        <w:t xml:space="preserve"> </w:t>
      </w:r>
      <w:r w:rsidR="00D95859" w:rsidRPr="00B667D1">
        <w:rPr>
          <w:rFonts w:asciiTheme="minorHAnsi" w:eastAsia="SymbolMT" w:hAnsiTheme="minorHAnsi"/>
        </w:rPr>
        <w:t>rozpočtována</w:t>
      </w:r>
      <w:r w:rsidR="00350EB2">
        <w:rPr>
          <w:rFonts w:asciiTheme="minorHAnsi" w:eastAsia="SymbolMT" w:hAnsiTheme="minorHAnsi"/>
        </w:rPr>
        <w:t xml:space="preserve"> </w:t>
      </w:r>
      <w:r w:rsidR="00D95859" w:rsidRPr="00B667D1">
        <w:rPr>
          <w:rFonts w:asciiTheme="minorHAnsi" w:hAnsiTheme="minorHAnsi"/>
        </w:rPr>
        <w:t>v</w:t>
      </w:r>
      <w:r w:rsidR="00686DAE" w:rsidRPr="00B667D1">
        <w:rPr>
          <w:rFonts w:asciiTheme="minorHAnsi" w:hAnsiTheme="minorHAnsi"/>
        </w:rPr>
        <w:t> </w:t>
      </w:r>
      <w:r w:rsidR="00D95859" w:rsidRPr="00B667D1">
        <w:rPr>
          <w:rFonts w:asciiTheme="minorHAnsi" w:hAnsiTheme="minorHAnsi"/>
        </w:rPr>
        <w:t>podpr</w:t>
      </w:r>
      <w:r w:rsidR="0081477F" w:rsidRPr="00B667D1">
        <w:rPr>
          <w:rFonts w:asciiTheme="minorHAnsi" w:hAnsiTheme="minorHAnsi"/>
        </w:rPr>
        <w:t>o</w:t>
      </w:r>
      <w:r w:rsidR="00D95859" w:rsidRPr="00B667D1">
        <w:rPr>
          <w:rFonts w:asciiTheme="minorHAnsi" w:hAnsiTheme="minorHAnsi"/>
        </w:rPr>
        <w:t>gramu</w:t>
      </w:r>
      <w:r w:rsidR="00D95859" w:rsidRPr="00B667D1">
        <w:rPr>
          <w:rFonts w:asciiTheme="minorHAnsi" w:eastAsia="SymbolMT" w:hAnsiTheme="minorHAnsi"/>
          <w:b/>
        </w:rPr>
        <w:t xml:space="preserve"> 298</w:t>
      </w:r>
      <w:r w:rsidR="00350EB2">
        <w:rPr>
          <w:rFonts w:asciiTheme="minorHAnsi" w:eastAsia="SymbolMT" w:hAnsiTheme="minorHAnsi"/>
          <w:b/>
        </w:rPr>
        <w:t> </w:t>
      </w:r>
      <w:r w:rsidR="00D95859" w:rsidRPr="00B667D1">
        <w:rPr>
          <w:rFonts w:asciiTheme="minorHAnsi" w:eastAsia="SymbolMT" w:hAnsiTheme="minorHAnsi"/>
          <w:b/>
        </w:rPr>
        <w:t>213</w:t>
      </w:r>
      <w:r w:rsidR="00350EB2">
        <w:rPr>
          <w:rFonts w:asciiTheme="minorHAnsi" w:eastAsia="SymbolMT" w:hAnsiTheme="minorHAnsi"/>
          <w:b/>
        </w:rPr>
        <w:t xml:space="preserve"> </w:t>
      </w:r>
      <w:r w:rsidR="001B071A" w:rsidRPr="00B667D1">
        <w:rPr>
          <w:rFonts w:asciiTheme="minorHAnsi" w:eastAsia="SymbolMT" w:hAnsiTheme="minorHAnsi"/>
          <w:b/>
        </w:rPr>
        <w:t>–</w:t>
      </w:r>
      <w:r w:rsidR="008052A9" w:rsidRPr="00B667D1">
        <w:rPr>
          <w:rFonts w:asciiTheme="minorHAnsi" w:eastAsia="SymbolMT" w:hAnsiTheme="minorHAnsi"/>
          <w:b/>
        </w:rPr>
        <w:t xml:space="preserve"> </w:t>
      </w:r>
      <w:r w:rsidR="00D95859" w:rsidRPr="00B667D1">
        <w:rPr>
          <w:rFonts w:asciiTheme="minorHAnsi" w:eastAsia="SymbolMT" w:hAnsiTheme="minorHAnsi"/>
          <w:b/>
        </w:rPr>
        <w:t>Podpora</w:t>
      </w:r>
      <w:r w:rsidR="008052A9" w:rsidRPr="00B667D1">
        <w:rPr>
          <w:rFonts w:asciiTheme="minorHAnsi" w:eastAsia="SymbolMT" w:hAnsiTheme="minorHAnsi"/>
          <w:b/>
        </w:rPr>
        <w:t xml:space="preserve"> </w:t>
      </w:r>
      <w:r w:rsidR="00D95859" w:rsidRPr="00B667D1">
        <w:rPr>
          <w:rFonts w:asciiTheme="minorHAnsi" w:eastAsia="SymbolMT" w:hAnsiTheme="minorHAnsi"/>
          <w:b/>
        </w:rPr>
        <w:t>rozvoje</w:t>
      </w:r>
      <w:r w:rsidR="008052A9" w:rsidRPr="00B667D1">
        <w:rPr>
          <w:rFonts w:asciiTheme="minorHAnsi" w:eastAsia="SymbolMT" w:hAnsiTheme="minorHAnsi"/>
          <w:b/>
        </w:rPr>
        <w:t xml:space="preserve"> </w:t>
      </w:r>
      <w:r w:rsidR="00D95859" w:rsidRPr="00B667D1">
        <w:rPr>
          <w:rFonts w:asciiTheme="minorHAnsi" w:eastAsia="SymbolMT" w:hAnsiTheme="minorHAnsi"/>
          <w:b/>
        </w:rPr>
        <w:t>a</w:t>
      </w:r>
      <w:r w:rsidR="008052A9" w:rsidRPr="00B667D1">
        <w:rPr>
          <w:rFonts w:asciiTheme="minorHAnsi" w:eastAsia="SymbolMT" w:hAnsiTheme="minorHAnsi"/>
          <w:b/>
        </w:rPr>
        <w:t xml:space="preserve"> </w:t>
      </w:r>
      <w:r w:rsidR="00D95859" w:rsidRPr="00B667D1">
        <w:rPr>
          <w:rFonts w:asciiTheme="minorHAnsi" w:eastAsia="SymbolMT" w:hAnsiTheme="minorHAnsi"/>
          <w:b/>
        </w:rPr>
        <w:t>obnovy</w:t>
      </w:r>
      <w:r w:rsidR="008052A9" w:rsidRPr="00B667D1">
        <w:rPr>
          <w:rFonts w:asciiTheme="minorHAnsi" w:eastAsia="SymbolMT" w:hAnsiTheme="minorHAnsi"/>
          <w:b/>
        </w:rPr>
        <w:t xml:space="preserve"> </w:t>
      </w:r>
      <w:r w:rsidR="00D95859" w:rsidRPr="00B667D1">
        <w:rPr>
          <w:rFonts w:asciiTheme="minorHAnsi" w:eastAsia="SymbolMT" w:hAnsiTheme="minorHAnsi"/>
          <w:b/>
        </w:rPr>
        <w:t>materiálně</w:t>
      </w:r>
      <w:r w:rsidR="008052A9" w:rsidRPr="00B667D1">
        <w:rPr>
          <w:rFonts w:asciiTheme="minorHAnsi" w:eastAsia="SymbolMT" w:hAnsiTheme="minorHAnsi"/>
          <w:b/>
        </w:rPr>
        <w:t xml:space="preserve"> </w:t>
      </w:r>
      <w:r w:rsidR="00485B1B" w:rsidRPr="00B667D1">
        <w:rPr>
          <w:rFonts w:asciiTheme="minorHAnsi" w:eastAsia="SymbolMT" w:hAnsiTheme="minorHAnsi"/>
          <w:b/>
        </w:rPr>
        <w:t>–</w:t>
      </w:r>
      <w:r w:rsidR="008052A9" w:rsidRPr="00B667D1">
        <w:rPr>
          <w:rFonts w:asciiTheme="minorHAnsi" w:eastAsia="SymbolMT" w:hAnsiTheme="minorHAnsi"/>
          <w:b/>
        </w:rPr>
        <w:t xml:space="preserve"> </w:t>
      </w:r>
      <w:r w:rsidR="00D95859" w:rsidRPr="00B667D1">
        <w:rPr>
          <w:rFonts w:asciiTheme="minorHAnsi" w:eastAsia="SymbolMT" w:hAnsiTheme="minorHAnsi"/>
          <w:b/>
        </w:rPr>
        <w:t>technické</w:t>
      </w:r>
      <w:r w:rsidR="008052A9" w:rsidRPr="00B667D1">
        <w:rPr>
          <w:rFonts w:asciiTheme="minorHAnsi" w:eastAsia="SymbolMT" w:hAnsiTheme="minorHAnsi"/>
          <w:b/>
        </w:rPr>
        <w:t xml:space="preserve"> </w:t>
      </w:r>
      <w:r w:rsidR="00D95859" w:rsidRPr="00B667D1">
        <w:rPr>
          <w:rFonts w:asciiTheme="minorHAnsi" w:eastAsia="SymbolMT" w:hAnsiTheme="minorHAnsi"/>
          <w:b/>
        </w:rPr>
        <w:t>základny regionálních škol v okolí velkých měst.</w:t>
      </w:r>
      <w:r w:rsidR="00D95859" w:rsidRPr="00B667D1">
        <w:rPr>
          <w:rFonts w:asciiTheme="minorHAnsi" w:eastAsia="SymbolMT" w:hAnsiTheme="minorHAnsi"/>
        </w:rPr>
        <w:t xml:space="preserve"> Cílem podprogramu je navýšit kapacity základních devítiletých škol v působnosti a</w:t>
      </w:r>
      <w:r w:rsidR="00686DAE" w:rsidRPr="00B667D1">
        <w:rPr>
          <w:rFonts w:asciiTheme="minorHAnsi" w:eastAsia="SymbolMT" w:hAnsiTheme="minorHAnsi"/>
        </w:rPr>
        <w:t> </w:t>
      </w:r>
      <w:r w:rsidR="00D95859" w:rsidRPr="00B667D1">
        <w:rPr>
          <w:rFonts w:asciiTheme="minorHAnsi" w:eastAsia="SymbolMT" w:hAnsiTheme="minorHAnsi"/>
        </w:rPr>
        <w:t xml:space="preserve">v majetku obcí. Jedná se o pomoc obcím postiženým rezidenční </w:t>
      </w:r>
      <w:proofErr w:type="spellStart"/>
      <w:r w:rsidR="00D95859" w:rsidRPr="00B667D1">
        <w:rPr>
          <w:rFonts w:asciiTheme="minorHAnsi" w:eastAsia="SymbolMT" w:hAnsiTheme="minorHAnsi"/>
        </w:rPr>
        <w:t>suburbanizací</w:t>
      </w:r>
      <w:proofErr w:type="spellEnd"/>
      <w:r w:rsidR="00D95859" w:rsidRPr="00B667D1">
        <w:rPr>
          <w:rFonts w:asciiTheme="minorHAnsi" w:eastAsia="SymbolMT" w:hAnsiTheme="minorHAnsi"/>
        </w:rPr>
        <w:t xml:space="preserve">. Tento </w:t>
      </w:r>
      <w:r w:rsidR="00D95859" w:rsidRPr="00B667D1">
        <w:rPr>
          <w:rFonts w:asciiTheme="minorHAnsi" w:eastAsia="SymbolMT" w:hAnsiTheme="minorHAnsi"/>
        </w:rPr>
        <w:lastRenderedPageBreak/>
        <w:t xml:space="preserve">podprogram existuje od roku 2014. Protože </w:t>
      </w:r>
      <w:r w:rsidR="00CD2CC2" w:rsidRPr="00B667D1">
        <w:rPr>
          <w:rFonts w:asciiTheme="minorHAnsi" w:eastAsia="SymbolMT" w:hAnsiTheme="minorHAnsi"/>
        </w:rPr>
        <w:t>do konce roku 202</w:t>
      </w:r>
      <w:r w:rsidR="006000C0" w:rsidRPr="00B667D1">
        <w:rPr>
          <w:rFonts w:asciiTheme="minorHAnsi" w:eastAsia="SymbolMT" w:hAnsiTheme="minorHAnsi"/>
        </w:rPr>
        <w:t>1</w:t>
      </w:r>
      <w:r w:rsidR="00CD2CC2" w:rsidRPr="00B667D1">
        <w:rPr>
          <w:rFonts w:asciiTheme="minorHAnsi" w:eastAsia="SymbolMT" w:hAnsiTheme="minorHAnsi"/>
        </w:rPr>
        <w:t xml:space="preserve"> by mělo být ukončeno financování </w:t>
      </w:r>
      <w:r w:rsidR="00695228" w:rsidRPr="00B667D1">
        <w:rPr>
          <w:rFonts w:asciiTheme="minorHAnsi" w:eastAsia="SymbolMT" w:hAnsiTheme="minorHAnsi"/>
        </w:rPr>
        <w:t>rozestavěných akcí</w:t>
      </w:r>
      <w:r w:rsidR="00D95859" w:rsidRPr="00B667D1">
        <w:rPr>
          <w:rFonts w:asciiTheme="minorHAnsi" w:eastAsia="SymbolMT" w:hAnsiTheme="minorHAnsi"/>
        </w:rPr>
        <w:t>, rozpočtovaná částka zahrnuje finanční prostředky pouze na ty akce, které byly zařazeny</w:t>
      </w:r>
      <w:r w:rsidR="00013AB9" w:rsidRPr="00B667D1">
        <w:rPr>
          <w:rFonts w:asciiTheme="minorHAnsi" w:eastAsia="SymbolMT" w:hAnsiTheme="minorHAnsi"/>
        </w:rPr>
        <w:t xml:space="preserve"> k</w:t>
      </w:r>
      <w:r w:rsidR="00D95859" w:rsidRPr="00B667D1">
        <w:rPr>
          <w:rFonts w:asciiTheme="minorHAnsi" w:eastAsia="SymbolMT" w:hAnsiTheme="minorHAnsi"/>
        </w:rPr>
        <w:t xml:space="preserve"> financování</w:t>
      </w:r>
      <w:r w:rsidR="0016680B" w:rsidRPr="00B667D1">
        <w:rPr>
          <w:rFonts w:asciiTheme="minorHAnsi" w:eastAsia="SymbolMT" w:hAnsiTheme="minorHAnsi"/>
        </w:rPr>
        <w:t xml:space="preserve"> </w:t>
      </w:r>
      <w:r w:rsidR="00D95859" w:rsidRPr="00B667D1">
        <w:rPr>
          <w:rFonts w:asciiTheme="minorHAnsi" w:eastAsia="SymbolMT" w:hAnsiTheme="minorHAnsi"/>
        </w:rPr>
        <w:t>na</w:t>
      </w:r>
      <w:r w:rsidR="0016680B" w:rsidRPr="00B667D1">
        <w:rPr>
          <w:rFonts w:asciiTheme="minorHAnsi" w:eastAsia="SymbolMT" w:hAnsiTheme="minorHAnsi"/>
        </w:rPr>
        <w:t xml:space="preserve"> </w:t>
      </w:r>
      <w:r w:rsidR="00D95859" w:rsidRPr="00B667D1">
        <w:rPr>
          <w:rFonts w:asciiTheme="minorHAnsi" w:eastAsia="SymbolMT" w:hAnsiTheme="minorHAnsi"/>
        </w:rPr>
        <w:t>základě</w:t>
      </w:r>
      <w:r w:rsidR="0016680B" w:rsidRPr="00B667D1">
        <w:rPr>
          <w:rFonts w:asciiTheme="minorHAnsi" w:eastAsia="SymbolMT" w:hAnsiTheme="minorHAnsi"/>
        </w:rPr>
        <w:t xml:space="preserve"> </w:t>
      </w:r>
      <w:r w:rsidR="00D95859" w:rsidRPr="00B667D1">
        <w:rPr>
          <w:rFonts w:asciiTheme="minorHAnsi" w:eastAsia="SymbolMT" w:hAnsiTheme="minorHAnsi"/>
        </w:rPr>
        <w:t>vyhlášených</w:t>
      </w:r>
      <w:r w:rsidR="0016680B" w:rsidRPr="00B667D1">
        <w:rPr>
          <w:rFonts w:asciiTheme="minorHAnsi" w:eastAsia="SymbolMT" w:hAnsiTheme="minorHAnsi"/>
        </w:rPr>
        <w:t xml:space="preserve"> </w:t>
      </w:r>
      <w:r w:rsidR="00D95859" w:rsidRPr="00B667D1">
        <w:rPr>
          <w:rFonts w:asciiTheme="minorHAnsi" w:eastAsia="SymbolMT" w:hAnsiTheme="minorHAnsi"/>
        </w:rPr>
        <w:t>výzev</w:t>
      </w:r>
      <w:r w:rsidR="0016680B" w:rsidRPr="00B667D1">
        <w:rPr>
          <w:rFonts w:asciiTheme="minorHAnsi" w:eastAsia="SymbolMT" w:hAnsiTheme="minorHAnsi"/>
        </w:rPr>
        <w:t xml:space="preserve"> </w:t>
      </w:r>
      <w:r w:rsidR="00D95859" w:rsidRPr="00B667D1">
        <w:rPr>
          <w:rFonts w:asciiTheme="minorHAnsi" w:eastAsia="SymbolMT" w:hAnsiTheme="minorHAnsi"/>
        </w:rPr>
        <w:t>v předchozích letech.</w:t>
      </w:r>
      <w:r w:rsidR="00B479CD" w:rsidRPr="00B667D1">
        <w:rPr>
          <w:rFonts w:asciiTheme="minorHAnsi" w:eastAsia="SymbolMT" w:hAnsiTheme="minorHAnsi"/>
        </w:rPr>
        <w:t xml:space="preserve"> </w:t>
      </w:r>
    </w:p>
    <w:p w:rsidR="001D5FA6" w:rsidRPr="00B667D1" w:rsidRDefault="001D5FA6" w:rsidP="00B32582">
      <w:pPr>
        <w:pStyle w:val="Odstavecseseznamem"/>
        <w:keepNext/>
        <w:numPr>
          <w:ilvl w:val="0"/>
          <w:numId w:val="5"/>
        </w:numPr>
        <w:tabs>
          <w:tab w:val="num" w:pos="567"/>
          <w:tab w:val="right" w:pos="9072"/>
        </w:tabs>
        <w:spacing w:before="120" w:after="0"/>
        <w:ind w:left="567" w:hanging="567"/>
        <w:contextualSpacing w:val="0"/>
        <w:rPr>
          <w:b/>
          <w:bCs/>
          <w:iCs/>
        </w:rPr>
        <w:sectPr w:rsidR="001D5FA6" w:rsidRPr="00B667D1" w:rsidSect="00A40254">
          <w:footnotePr>
            <w:pos w:val="beneathText"/>
          </w:footnotePr>
          <w:type w:val="continuous"/>
          <w:pgSz w:w="11906" w:h="16838" w:code="9"/>
          <w:pgMar w:top="1134" w:right="1134" w:bottom="1134" w:left="1134" w:header="709" w:footer="709" w:gutter="0"/>
          <w:cols w:num="2" w:space="397"/>
          <w:docGrid w:linePitch="360"/>
        </w:sectPr>
      </w:pPr>
    </w:p>
    <w:p w:rsidR="00D56E59" w:rsidRDefault="00D56E59">
      <w:pPr>
        <w:spacing w:before="0" w:after="0"/>
        <w:jc w:val="left"/>
        <w:rPr>
          <w:b/>
          <w:bCs/>
          <w:iCs/>
        </w:rPr>
      </w:pPr>
      <w:r>
        <w:rPr>
          <w:b/>
          <w:bCs/>
          <w:iCs/>
        </w:rPr>
        <w:lastRenderedPageBreak/>
        <w:br w:type="page"/>
      </w:r>
    </w:p>
    <w:p w:rsidR="00D95859" w:rsidRPr="00B667D1" w:rsidRDefault="00D95859" w:rsidP="00727F67">
      <w:pPr>
        <w:pStyle w:val="Odstavecseseznamem"/>
        <w:keepNext/>
        <w:numPr>
          <w:ilvl w:val="0"/>
          <w:numId w:val="33"/>
        </w:numPr>
        <w:tabs>
          <w:tab w:val="right" w:pos="9072"/>
        </w:tabs>
        <w:spacing w:before="120"/>
        <w:ind w:left="284" w:hanging="284"/>
        <w:rPr>
          <w:b/>
          <w:bCs/>
          <w:iCs/>
        </w:rPr>
      </w:pPr>
      <w:r w:rsidRPr="00B667D1">
        <w:rPr>
          <w:b/>
          <w:bCs/>
          <w:iCs/>
        </w:rPr>
        <w:lastRenderedPageBreak/>
        <w:t>Program 298 22 – Akce financované z rozhodnutí Poslanecké sněmovny Parlamentu a Vlády ČR (</w:t>
      </w:r>
      <w:r w:rsidR="00C627A5" w:rsidRPr="00B667D1">
        <w:rPr>
          <w:b/>
          <w:bCs/>
          <w:iCs/>
        </w:rPr>
        <w:t>300 000</w:t>
      </w:r>
      <w:r w:rsidR="00695228" w:rsidRPr="00B667D1">
        <w:rPr>
          <w:b/>
          <w:bCs/>
          <w:iCs/>
        </w:rPr>
        <w:t xml:space="preserve"> </w:t>
      </w:r>
      <w:r w:rsidRPr="00B667D1">
        <w:rPr>
          <w:b/>
          <w:bCs/>
          <w:iCs/>
        </w:rPr>
        <w:t>tis. Kč)</w:t>
      </w:r>
    </w:p>
    <w:p w:rsidR="001D5FA6" w:rsidRPr="00B667D1" w:rsidRDefault="001D5FA6" w:rsidP="008052A9">
      <w:pPr>
        <w:pStyle w:val="Odstavecseseznamem"/>
        <w:keepNext/>
        <w:numPr>
          <w:ilvl w:val="0"/>
          <w:numId w:val="26"/>
        </w:numPr>
        <w:tabs>
          <w:tab w:val="num" w:pos="567"/>
          <w:tab w:val="right" w:pos="9072"/>
        </w:tabs>
        <w:spacing w:before="120"/>
        <w:ind w:left="284" w:hanging="284"/>
        <w:rPr>
          <w:b/>
          <w:bCs/>
          <w:iCs/>
        </w:rPr>
        <w:sectPr w:rsidR="001D5FA6" w:rsidRPr="00B667D1" w:rsidSect="004E7A79">
          <w:footnotePr>
            <w:pos w:val="beneathText"/>
          </w:footnotePr>
          <w:type w:val="continuous"/>
          <w:pgSz w:w="11906" w:h="16838" w:code="9"/>
          <w:pgMar w:top="1134" w:right="1134" w:bottom="1134" w:left="1134" w:header="709" w:footer="709" w:gutter="0"/>
          <w:cols w:space="708"/>
          <w:docGrid w:linePitch="360"/>
        </w:sectPr>
      </w:pPr>
    </w:p>
    <w:p w:rsidR="0058222E" w:rsidRPr="00350EB2" w:rsidRDefault="00042A65" w:rsidP="00350EB2">
      <w:pPr>
        <w:pStyle w:val="Popisky"/>
        <w:ind w:left="284"/>
        <w:jc w:val="both"/>
        <w:rPr>
          <w:rFonts w:asciiTheme="minorHAnsi" w:eastAsia="SymbolMT" w:hAnsiTheme="minorHAnsi"/>
        </w:rPr>
      </w:pPr>
      <w:bookmarkStart w:id="81" w:name="_Toc206898250"/>
      <w:bookmarkStart w:id="82" w:name="_Toc302458275"/>
      <w:r w:rsidRPr="00350EB2">
        <w:rPr>
          <w:rFonts w:asciiTheme="minorHAnsi" w:eastAsia="SymbolMT" w:hAnsiTheme="minorHAnsi"/>
        </w:rPr>
        <w:lastRenderedPageBreak/>
        <w:t>Rozpočtovaná č</w:t>
      </w:r>
      <w:r w:rsidR="00EE2104" w:rsidRPr="00350EB2">
        <w:rPr>
          <w:rFonts w:asciiTheme="minorHAnsi" w:eastAsia="SymbolMT" w:hAnsiTheme="minorHAnsi"/>
        </w:rPr>
        <w:t>ástka</w:t>
      </w:r>
      <w:r w:rsidR="00C627A5" w:rsidRPr="00350EB2">
        <w:rPr>
          <w:rFonts w:asciiTheme="minorHAnsi" w:eastAsia="SymbolMT" w:hAnsiTheme="minorHAnsi"/>
        </w:rPr>
        <w:t xml:space="preserve"> </w:t>
      </w:r>
      <w:r w:rsidR="00EE2104" w:rsidRPr="00350EB2">
        <w:rPr>
          <w:rFonts w:asciiTheme="minorHAnsi" w:eastAsia="SymbolMT" w:hAnsiTheme="minorHAnsi"/>
        </w:rPr>
        <w:t xml:space="preserve">představuje prostředky na dokončení rozestavěných akcí, které byly do státního rozpočtu zařazeny na základě dotačních výzev vyhlášených v roce 2020. Vzhledem k probíhající pandemii onemocnění COVID–19 </w:t>
      </w:r>
      <w:r w:rsidR="00597401" w:rsidRPr="00350EB2">
        <w:rPr>
          <w:rFonts w:asciiTheme="minorHAnsi" w:eastAsia="SymbolMT" w:hAnsiTheme="minorHAnsi"/>
        </w:rPr>
        <w:t xml:space="preserve">se některé obce </w:t>
      </w:r>
      <w:r w:rsidR="00597401" w:rsidRPr="00350EB2">
        <w:rPr>
          <w:rFonts w:asciiTheme="minorHAnsi" w:eastAsia="SymbolMT" w:hAnsiTheme="minorHAnsi"/>
        </w:rPr>
        <w:lastRenderedPageBreak/>
        <w:t xml:space="preserve">dostaly ne vlastní vinou do </w:t>
      </w:r>
      <w:r w:rsidR="00E60B93" w:rsidRPr="00350EB2">
        <w:rPr>
          <w:rFonts w:asciiTheme="minorHAnsi" w:eastAsia="SymbolMT" w:hAnsiTheme="minorHAnsi"/>
        </w:rPr>
        <w:t>prodlení s realizací akce</w:t>
      </w:r>
      <w:r w:rsidR="00F913FC">
        <w:rPr>
          <w:rFonts w:asciiTheme="minorHAnsi" w:eastAsia="SymbolMT" w:hAnsiTheme="minorHAnsi"/>
        </w:rPr>
        <w:t>, proto je třeba počítat při zpracování návrhu státního rozpočtu na rok 2021 s určitou rezervou pro tyto „zpožděné akce“.</w:t>
      </w:r>
      <w:r w:rsidR="00DA3007" w:rsidRPr="00350EB2">
        <w:rPr>
          <w:rFonts w:asciiTheme="minorHAnsi" w:eastAsia="SymbolMT" w:hAnsiTheme="minorHAnsi"/>
        </w:rPr>
        <w:t xml:space="preserve"> </w:t>
      </w:r>
    </w:p>
    <w:p w:rsidR="00460641" w:rsidRPr="00B667D1" w:rsidRDefault="00460641" w:rsidP="00D95859">
      <w:pPr>
        <w:spacing w:after="0"/>
        <w:rPr>
          <w:b/>
        </w:rPr>
        <w:sectPr w:rsidR="00460641" w:rsidRPr="00B667D1" w:rsidSect="001D5FA6">
          <w:footnotePr>
            <w:pos w:val="beneathText"/>
          </w:footnotePr>
          <w:type w:val="continuous"/>
          <w:pgSz w:w="11906" w:h="16838" w:code="9"/>
          <w:pgMar w:top="1134" w:right="1134" w:bottom="1134" w:left="1134" w:header="709" w:footer="709" w:gutter="0"/>
          <w:cols w:num="2" w:space="397"/>
          <w:docGrid w:linePitch="360"/>
        </w:sectPr>
      </w:pPr>
    </w:p>
    <w:p w:rsidR="0073486D" w:rsidRPr="00B667D1" w:rsidRDefault="0073486D" w:rsidP="00727F67">
      <w:pPr>
        <w:pStyle w:val="Odstavecseseznamem"/>
        <w:keepNext/>
        <w:numPr>
          <w:ilvl w:val="0"/>
          <w:numId w:val="33"/>
        </w:numPr>
        <w:tabs>
          <w:tab w:val="right" w:pos="9072"/>
        </w:tabs>
        <w:spacing w:before="120"/>
        <w:ind w:left="284" w:hanging="284"/>
        <w:rPr>
          <w:b/>
          <w:bCs/>
          <w:iCs/>
        </w:rPr>
      </w:pPr>
      <w:bookmarkStart w:id="83" w:name="_Toc17962166"/>
      <w:r w:rsidRPr="00B667D1">
        <w:rPr>
          <w:b/>
          <w:bCs/>
          <w:iCs/>
        </w:rPr>
        <w:lastRenderedPageBreak/>
        <w:t xml:space="preserve">Program 298 24 </w:t>
      </w:r>
      <w:r w:rsidR="00EE2104" w:rsidRPr="00B667D1">
        <w:rPr>
          <w:b/>
          <w:bCs/>
          <w:iCs/>
        </w:rPr>
        <w:t>–</w:t>
      </w:r>
      <w:r w:rsidRPr="00B667D1">
        <w:rPr>
          <w:b/>
          <w:bCs/>
          <w:iCs/>
        </w:rPr>
        <w:t xml:space="preserve"> </w:t>
      </w:r>
      <w:r w:rsidR="00EE2104" w:rsidRPr="00B667D1">
        <w:rPr>
          <w:b/>
          <w:bCs/>
          <w:iCs/>
        </w:rPr>
        <w:t>Podpora a rozvoj oblastí života obcí a krajů, kterým stanovila prioritu vláda ČR (</w:t>
      </w:r>
      <w:r w:rsidR="00056A5F" w:rsidRPr="00B667D1">
        <w:rPr>
          <w:b/>
          <w:bCs/>
          <w:iCs/>
        </w:rPr>
        <w:t xml:space="preserve"> 28 600 </w:t>
      </w:r>
      <w:r w:rsidR="00EE2104" w:rsidRPr="00B667D1">
        <w:rPr>
          <w:b/>
          <w:bCs/>
          <w:iCs/>
        </w:rPr>
        <w:t>tis.</w:t>
      </w:r>
      <w:r w:rsidR="00056A5F" w:rsidRPr="00B667D1">
        <w:rPr>
          <w:b/>
          <w:bCs/>
          <w:iCs/>
        </w:rPr>
        <w:t> </w:t>
      </w:r>
      <w:r w:rsidR="00EE2104" w:rsidRPr="00B667D1">
        <w:rPr>
          <w:b/>
          <w:bCs/>
          <w:iCs/>
        </w:rPr>
        <w:t>Kč)</w:t>
      </w:r>
    </w:p>
    <w:p w:rsidR="00EE2104" w:rsidRPr="00B667D1" w:rsidRDefault="00EE2104" w:rsidP="00EE2104">
      <w:pPr>
        <w:suppressAutoHyphens/>
        <w:spacing w:after="0"/>
        <w:ind w:left="284"/>
        <w:rPr>
          <w:iCs/>
        </w:rPr>
        <w:sectPr w:rsidR="00EE2104" w:rsidRPr="00B667D1" w:rsidSect="006526EB">
          <w:type w:val="continuous"/>
          <w:pgSz w:w="11906" w:h="16838" w:code="9"/>
          <w:pgMar w:top="1134" w:right="1134" w:bottom="1134" w:left="1134" w:header="709" w:footer="709" w:gutter="0"/>
          <w:cols w:space="708"/>
          <w:docGrid w:linePitch="360"/>
        </w:sectPr>
      </w:pPr>
    </w:p>
    <w:p w:rsidR="0073486D" w:rsidRPr="00B667D1" w:rsidRDefault="009564FD" w:rsidP="00EE2104">
      <w:pPr>
        <w:suppressAutoHyphens/>
        <w:spacing w:after="0"/>
        <w:ind w:left="284"/>
        <w:rPr>
          <w:iCs/>
        </w:rPr>
      </w:pPr>
      <w:r w:rsidRPr="00B667D1">
        <w:rPr>
          <w:iCs/>
        </w:rPr>
        <w:lastRenderedPageBreak/>
        <w:t xml:space="preserve">Částka 28 600 </w:t>
      </w:r>
      <w:r w:rsidR="00EE2104" w:rsidRPr="00B667D1">
        <w:rPr>
          <w:iCs/>
        </w:rPr>
        <w:t>tis. Kč</w:t>
      </w:r>
      <w:r w:rsidRPr="00B667D1">
        <w:rPr>
          <w:iCs/>
        </w:rPr>
        <w:t xml:space="preserve"> je určena na realizaci akcí, které jsou dány </w:t>
      </w:r>
      <w:r w:rsidR="00EE2104" w:rsidRPr="00B667D1">
        <w:rPr>
          <w:iCs/>
        </w:rPr>
        <w:t xml:space="preserve">usnesením vlády č. 469/2017 na financování projektů dotčených obcí souvisejících </w:t>
      </w:r>
      <w:r w:rsidR="00EE2104" w:rsidRPr="00B667D1">
        <w:rPr>
          <w:iCs/>
        </w:rPr>
        <w:lastRenderedPageBreak/>
        <w:t>s rozšířením strategické průmyslové zóny Solnice – Kvasiny</w:t>
      </w:r>
      <w:r w:rsidR="007E7AED">
        <w:rPr>
          <w:iCs/>
        </w:rPr>
        <w:t>, které dosud nebyly dokončeny</w:t>
      </w:r>
      <w:r w:rsidR="00EE2104" w:rsidRPr="00B667D1">
        <w:rPr>
          <w:iCs/>
        </w:rPr>
        <w:t>.</w:t>
      </w:r>
    </w:p>
    <w:p w:rsidR="00EE2104" w:rsidRPr="00B667D1" w:rsidRDefault="00EE2104" w:rsidP="004317A0">
      <w:pPr>
        <w:pStyle w:val="Nadpis3"/>
        <w:tabs>
          <w:tab w:val="clear" w:pos="720"/>
          <w:tab w:val="left" w:pos="567"/>
        </w:tabs>
        <w:ind w:left="567" w:hanging="567"/>
        <w:sectPr w:rsidR="00EE2104" w:rsidRPr="00B667D1" w:rsidSect="009F6312">
          <w:type w:val="continuous"/>
          <w:pgSz w:w="11906" w:h="16838" w:code="9"/>
          <w:pgMar w:top="1134" w:right="1134" w:bottom="1134" w:left="1134" w:header="709" w:footer="709" w:gutter="0"/>
          <w:cols w:num="2" w:space="397"/>
          <w:docGrid w:linePitch="360"/>
        </w:sectPr>
      </w:pPr>
    </w:p>
    <w:p w:rsidR="006526EB" w:rsidRPr="00B667D1" w:rsidRDefault="00D95859" w:rsidP="004317A0">
      <w:pPr>
        <w:pStyle w:val="Nadpis3"/>
        <w:tabs>
          <w:tab w:val="clear" w:pos="720"/>
          <w:tab w:val="left" w:pos="567"/>
        </w:tabs>
        <w:ind w:left="567" w:hanging="567"/>
      </w:pPr>
      <w:bookmarkStart w:id="84" w:name="_Toc54337189"/>
      <w:r w:rsidRPr="00B667D1">
        <w:lastRenderedPageBreak/>
        <w:t>Dotace z ostatních kapitol státního rozpočtu</w:t>
      </w:r>
      <w:bookmarkEnd w:id="81"/>
      <w:bookmarkEnd w:id="82"/>
      <w:bookmarkEnd w:id="83"/>
      <w:bookmarkEnd w:id="84"/>
    </w:p>
    <w:p w:rsidR="00114547" w:rsidRPr="00B667D1" w:rsidRDefault="00114547" w:rsidP="004317A0">
      <w:pPr>
        <w:pStyle w:val="Nadpis3"/>
        <w:tabs>
          <w:tab w:val="clear" w:pos="720"/>
          <w:tab w:val="left" w:pos="567"/>
        </w:tabs>
        <w:ind w:left="567" w:hanging="567"/>
        <w:sectPr w:rsidR="00114547" w:rsidRPr="00B667D1" w:rsidSect="006526EB">
          <w:type w:val="continuous"/>
          <w:pgSz w:w="11906" w:h="16838" w:code="9"/>
          <w:pgMar w:top="1134" w:right="1134" w:bottom="1134" w:left="1134" w:header="709" w:footer="709" w:gutter="0"/>
          <w:cols w:space="708"/>
          <w:docGrid w:linePitch="360"/>
        </w:sectPr>
      </w:pPr>
    </w:p>
    <w:p w:rsidR="00AE23BF" w:rsidRPr="00B667D1" w:rsidRDefault="00D95859" w:rsidP="006526EB">
      <w:pPr>
        <w:spacing w:after="0"/>
      </w:pPr>
      <w:r w:rsidRPr="00B667D1">
        <w:rPr>
          <w:iCs/>
        </w:rPr>
        <w:lastRenderedPageBreak/>
        <w:t>D</w:t>
      </w:r>
      <w:r w:rsidR="006526EB" w:rsidRPr="00B667D1">
        <w:rPr>
          <w:iCs/>
        </w:rPr>
        <w:t>otace pro obce a hl. m. Prahu z </w:t>
      </w:r>
      <w:r w:rsidRPr="00B667D1">
        <w:rPr>
          <w:iCs/>
        </w:rPr>
        <w:t xml:space="preserve">ostatních kapitol státního rozpočtu jsou rozpočtovány ve výši </w:t>
      </w:r>
      <w:r w:rsidR="00B70763" w:rsidRPr="00B667D1">
        <w:rPr>
          <w:iCs/>
        </w:rPr>
        <w:t>3</w:t>
      </w:r>
      <w:r w:rsidR="00270CE6">
        <w:rPr>
          <w:iCs/>
        </w:rPr>
        <w:t>5</w:t>
      </w:r>
      <w:r w:rsidR="00030079" w:rsidRPr="00B667D1">
        <w:rPr>
          <w:iCs/>
        </w:rPr>
        <w:t> </w:t>
      </w:r>
      <w:r w:rsidR="00270CE6">
        <w:rPr>
          <w:iCs/>
        </w:rPr>
        <w:t>081</w:t>
      </w:r>
      <w:r w:rsidR="00030079" w:rsidRPr="00B667D1">
        <w:rPr>
          <w:iCs/>
        </w:rPr>
        <w:t> </w:t>
      </w:r>
      <w:r w:rsidR="00270CE6">
        <w:rPr>
          <w:iCs/>
        </w:rPr>
        <w:t>933</w:t>
      </w:r>
      <w:r w:rsidR="008052A9" w:rsidRPr="00B667D1">
        <w:rPr>
          <w:iCs/>
        </w:rPr>
        <w:t> </w:t>
      </w:r>
      <w:r w:rsidR="00CE1B98" w:rsidRPr="00B667D1">
        <w:rPr>
          <w:iCs/>
        </w:rPr>
        <w:t>tis. Kč</w:t>
      </w:r>
      <w:r w:rsidRPr="00B667D1">
        <w:rPr>
          <w:iCs/>
        </w:rPr>
        <w:t>. Nejvyšší dotace je obsažena v</w:t>
      </w:r>
      <w:r w:rsidR="00AE695C" w:rsidRPr="00B667D1">
        <w:rPr>
          <w:iCs/>
        </w:rPr>
        <w:t> </w:t>
      </w:r>
      <w:r w:rsidRPr="00B667D1">
        <w:rPr>
          <w:iCs/>
        </w:rPr>
        <w:t>kapitole Ministerstva školství, mládeže a</w:t>
      </w:r>
      <w:r w:rsidR="00AE695C" w:rsidRPr="00B667D1">
        <w:rPr>
          <w:iCs/>
        </w:rPr>
        <w:t> </w:t>
      </w:r>
      <w:r w:rsidRPr="00B667D1">
        <w:rPr>
          <w:iCs/>
        </w:rPr>
        <w:t xml:space="preserve">tělovýchovy, a to v předpokládané částce </w:t>
      </w:r>
      <w:r w:rsidR="007F0679">
        <w:rPr>
          <w:iCs/>
        </w:rPr>
        <w:t>27 480 81</w:t>
      </w:r>
      <w:r w:rsidR="005D1263">
        <w:rPr>
          <w:iCs/>
        </w:rPr>
        <w:t>4</w:t>
      </w:r>
      <w:r w:rsidR="00CE1B98" w:rsidRPr="00B667D1">
        <w:rPr>
          <w:iCs/>
        </w:rPr>
        <w:t xml:space="preserve"> tis. Kč. </w:t>
      </w:r>
      <w:r w:rsidRPr="00B667D1">
        <w:rPr>
          <w:iCs/>
        </w:rPr>
        <w:t xml:space="preserve">Zejména se jedná o dotace na tzv. přímé výdaje na vzdělávání </w:t>
      </w:r>
      <w:r w:rsidRPr="00B667D1">
        <w:rPr>
          <w:iCs/>
        </w:rPr>
        <w:lastRenderedPageBreak/>
        <w:t xml:space="preserve">poskytované hl. m. Praze. Z kapitoly Ministerstva práce a sociálních věcí jsou rozpočtované prostředky </w:t>
      </w:r>
      <w:r w:rsidR="003D1AC4" w:rsidRPr="00B667D1">
        <w:rPr>
          <w:iCs/>
        </w:rPr>
        <w:t>ve výši 3</w:t>
      </w:r>
      <w:r w:rsidR="005D1263">
        <w:rPr>
          <w:iCs/>
        </w:rPr>
        <w:t> </w:t>
      </w:r>
      <w:r w:rsidR="003D1AC4">
        <w:rPr>
          <w:iCs/>
        </w:rPr>
        <w:t>914 293</w:t>
      </w:r>
      <w:r w:rsidR="003D1AC4" w:rsidRPr="00B667D1">
        <w:rPr>
          <w:iCs/>
        </w:rPr>
        <w:t xml:space="preserve"> tis. Kč </w:t>
      </w:r>
      <w:r w:rsidRPr="00B667D1">
        <w:rPr>
          <w:iCs/>
        </w:rPr>
        <w:t>určeny např. na činnosti vykonávané obcemi s rozšířenou působností v oblasti sociálně-právní ochrany dětí, na výkon pěstounské péče apod.</w:t>
      </w:r>
      <w:bookmarkEnd w:id="32"/>
      <w:bookmarkEnd w:id="33"/>
      <w:bookmarkEnd w:id="34"/>
      <w:bookmarkEnd w:id="35"/>
      <w:bookmarkEnd w:id="36"/>
      <w:bookmarkEnd w:id="60"/>
    </w:p>
    <w:p w:rsidR="00C94DDF" w:rsidRPr="00B667D1" w:rsidRDefault="00C94DDF" w:rsidP="00A35C73">
      <w:pPr>
        <w:pStyle w:val="Nadpis2"/>
        <w:sectPr w:rsidR="00C94DDF" w:rsidRPr="00B667D1" w:rsidSect="007E570E">
          <w:type w:val="continuous"/>
          <w:pgSz w:w="11906" w:h="16838" w:code="9"/>
          <w:pgMar w:top="1134" w:right="1134" w:bottom="1134" w:left="1134" w:header="709" w:footer="709" w:gutter="0"/>
          <w:cols w:num="2" w:space="397"/>
          <w:docGrid w:linePitch="360"/>
        </w:sectPr>
      </w:pPr>
    </w:p>
    <w:p w:rsidR="00A35C73" w:rsidRPr="00B667D1" w:rsidRDefault="00A35C73" w:rsidP="005C6303">
      <w:pPr>
        <w:pStyle w:val="Nadpis2"/>
      </w:pPr>
      <w:bookmarkStart w:id="85" w:name="_Toc17962167"/>
      <w:bookmarkStart w:id="86" w:name="_Toc54337190"/>
      <w:r w:rsidRPr="00B667D1">
        <w:lastRenderedPageBreak/>
        <w:t>Dotace ze státního rozpočtu pro dobrovolné svazky obcí v roce 202</w:t>
      </w:r>
      <w:bookmarkEnd w:id="85"/>
      <w:r w:rsidR="008D55BA" w:rsidRPr="00B667D1">
        <w:t>1</w:t>
      </w:r>
      <w:bookmarkEnd w:id="86"/>
    </w:p>
    <w:p w:rsidR="00A35C73" w:rsidRPr="00B667D1" w:rsidRDefault="00A35C73" w:rsidP="005C6303">
      <w:pPr>
        <w:pStyle w:val="Nadpis2"/>
        <w:sectPr w:rsidR="00A35C73" w:rsidRPr="00B667D1" w:rsidSect="006526EB">
          <w:type w:val="continuous"/>
          <w:pgSz w:w="11906" w:h="16838" w:code="9"/>
          <w:pgMar w:top="1134" w:right="1134" w:bottom="1134" w:left="1134" w:header="709" w:footer="709" w:gutter="0"/>
          <w:cols w:space="708"/>
          <w:docGrid w:linePitch="360"/>
        </w:sectPr>
      </w:pPr>
    </w:p>
    <w:p w:rsidR="00B16A02" w:rsidRPr="00B667D1" w:rsidRDefault="00B16A02" w:rsidP="00425BAA">
      <w:pPr>
        <w:spacing w:after="0"/>
        <w:rPr>
          <w:iCs/>
        </w:rPr>
      </w:pPr>
      <w:r w:rsidRPr="00B667D1">
        <w:rPr>
          <w:iCs/>
        </w:rPr>
        <w:lastRenderedPageBreak/>
        <w:t>Ve státním rozpočtu nejsou obvykle rozpočtovány téměř žádné dotace pro DSO. Tato skutečnost je způsobena tím, že neexistuje dotační titul, který by byl určen výhradně pro DSO. Konkrétní objemy dotací, které tyto subjekty čerpají ze státního rozpočtu na daný rok, jsou zřejmé až v průběhu rozpočtového roku.</w:t>
      </w:r>
    </w:p>
    <w:p w:rsidR="0071117A" w:rsidRPr="00B667D1" w:rsidRDefault="00B16A02" w:rsidP="00425BAA">
      <w:pPr>
        <w:spacing w:after="0"/>
        <w:rPr>
          <w:iCs/>
        </w:rPr>
      </w:pPr>
      <w:r w:rsidRPr="00B667D1">
        <w:rPr>
          <w:iCs/>
        </w:rPr>
        <w:t>V roce 20</w:t>
      </w:r>
      <w:r w:rsidR="00425BAA" w:rsidRPr="00B667D1">
        <w:rPr>
          <w:iCs/>
        </w:rPr>
        <w:t>2</w:t>
      </w:r>
      <w:r w:rsidR="005D1263">
        <w:rPr>
          <w:iCs/>
        </w:rPr>
        <w:t>1</w:t>
      </w:r>
      <w:r w:rsidRPr="00B667D1">
        <w:rPr>
          <w:iCs/>
        </w:rPr>
        <w:t xml:space="preserve"> bude DSO tak jako doposud poskytnut příspěvek na žáka ze státního rozpočtu formou účelové dotace z kapitoly Všeobecná pokladní správa, ukazatel „Další prostředky pro řešení aktuálních problémů ÚSC“.</w:t>
      </w:r>
    </w:p>
    <w:p w:rsidR="00425BAA" w:rsidRPr="00B667D1" w:rsidRDefault="0071117A" w:rsidP="00425BAA">
      <w:pPr>
        <w:spacing w:after="0"/>
        <w:rPr>
          <w:iCs/>
        </w:rPr>
      </w:pPr>
      <w:r w:rsidRPr="00B667D1">
        <w:rPr>
          <w:iCs/>
        </w:rPr>
        <w:t xml:space="preserve">DSO zřizují </w:t>
      </w:r>
      <w:r w:rsidR="00425BAA" w:rsidRPr="00B667D1">
        <w:rPr>
          <w:iCs/>
        </w:rPr>
        <w:t>škol</w:t>
      </w:r>
      <w:r w:rsidRPr="00B667D1">
        <w:rPr>
          <w:iCs/>
        </w:rPr>
        <w:t>y</w:t>
      </w:r>
      <w:r w:rsidR="00425BAA" w:rsidRPr="00B667D1">
        <w:rPr>
          <w:iCs/>
        </w:rPr>
        <w:t xml:space="preserve"> a školsk</w:t>
      </w:r>
      <w:r w:rsidRPr="00B667D1">
        <w:rPr>
          <w:iCs/>
        </w:rPr>
        <w:t>á</w:t>
      </w:r>
      <w:r w:rsidR="00425BAA" w:rsidRPr="00B667D1">
        <w:rPr>
          <w:iCs/>
        </w:rPr>
        <w:t xml:space="preserve"> zařízení dle zákona č.</w:t>
      </w:r>
      <w:r w:rsidRPr="00B667D1">
        <w:rPr>
          <w:iCs/>
        </w:rPr>
        <w:t> </w:t>
      </w:r>
      <w:r w:rsidR="00425BAA" w:rsidRPr="00B667D1">
        <w:rPr>
          <w:iCs/>
        </w:rPr>
        <w:t>250/2000 Sb., o rozpočtových pravidlech územních rozpočtů</w:t>
      </w:r>
      <w:r w:rsidRPr="00B667D1">
        <w:rPr>
          <w:iCs/>
        </w:rPr>
        <w:t>, ve znění pozdějších předpisů.</w:t>
      </w:r>
      <w:r w:rsidR="00425BAA" w:rsidRPr="00B667D1">
        <w:rPr>
          <w:iCs/>
        </w:rPr>
        <w:t xml:space="preserve"> Nemají daňové příjmy a jsou financovány zejména z dotací členských </w:t>
      </w:r>
      <w:r w:rsidR="00425BAA" w:rsidRPr="00B667D1">
        <w:rPr>
          <w:iCs/>
        </w:rPr>
        <w:lastRenderedPageBreak/>
        <w:t xml:space="preserve">obcí. DSO mají dle aktuální právní úpravy nárok na příspěvek na školství. </w:t>
      </w:r>
    </w:p>
    <w:p w:rsidR="00425BAA" w:rsidRPr="00B667D1" w:rsidRDefault="00B16A02" w:rsidP="00425BAA">
      <w:pPr>
        <w:spacing w:after="0"/>
        <w:rPr>
          <w:iCs/>
        </w:rPr>
      </w:pPr>
      <w:r w:rsidRPr="00B667D1">
        <w:rPr>
          <w:iCs/>
        </w:rPr>
        <w:t>Výše příspěvku na žáka v případě školského zařízení zřizovaného DSO bude i v roce 20</w:t>
      </w:r>
      <w:r w:rsidR="00425BAA" w:rsidRPr="00B667D1">
        <w:rPr>
          <w:iCs/>
        </w:rPr>
        <w:t>2</w:t>
      </w:r>
      <w:r w:rsidR="005D1263">
        <w:rPr>
          <w:iCs/>
        </w:rPr>
        <w:t>1</w:t>
      </w:r>
      <w:r w:rsidRPr="00B667D1">
        <w:rPr>
          <w:iCs/>
        </w:rPr>
        <w:t xml:space="preserve"> stanovena tak, aby korespondovala s výší prostředků na jednoho žáka, které obce získávají v rozpočtovém určení daní. Hlavním východiskem pro určení výše příspěvku na žáka navštěvujícího školské zařízení zřizované DSO bude daňová predikce použitá pro sestavení státního rozpočtu na rok 20</w:t>
      </w:r>
      <w:r w:rsidR="00425BAA" w:rsidRPr="00B667D1">
        <w:rPr>
          <w:iCs/>
        </w:rPr>
        <w:t>2</w:t>
      </w:r>
      <w:r w:rsidR="00782823" w:rsidRPr="00B667D1">
        <w:rPr>
          <w:iCs/>
        </w:rPr>
        <w:t>1</w:t>
      </w:r>
      <w:r w:rsidRPr="00B667D1">
        <w:rPr>
          <w:iCs/>
        </w:rPr>
        <w:t xml:space="preserve"> a</w:t>
      </w:r>
      <w:r w:rsidR="00636226" w:rsidRPr="00B667D1">
        <w:rPr>
          <w:iCs/>
        </w:rPr>
        <w:t xml:space="preserve"> počty dětí a žáků k 30. 9. 20</w:t>
      </w:r>
      <w:r w:rsidR="00782823" w:rsidRPr="00B667D1">
        <w:rPr>
          <w:iCs/>
        </w:rPr>
        <w:t>20</w:t>
      </w:r>
      <w:r w:rsidR="00DF4C0A" w:rsidRPr="00B667D1">
        <w:rPr>
          <w:iCs/>
        </w:rPr>
        <w:t>.</w:t>
      </w:r>
      <w:r w:rsidR="00425BAA" w:rsidRPr="00B667D1">
        <w:rPr>
          <w:iCs/>
        </w:rPr>
        <w:t xml:space="preserve"> Uvedený údaj bude mít Ministerstvo financí k dispozici počátkem roku 202</w:t>
      </w:r>
      <w:r w:rsidR="00782823" w:rsidRPr="00B667D1">
        <w:rPr>
          <w:iCs/>
        </w:rPr>
        <w:t>1</w:t>
      </w:r>
      <w:r w:rsidR="00425BAA" w:rsidRPr="00B667D1">
        <w:rPr>
          <w:iCs/>
        </w:rPr>
        <w:t xml:space="preserve">, z tohoto důvodu bude výše příspěvku na žáka navštěvujícího školské zařízení zřizované DSO propočtena až počátkem uvedeného roku. </w:t>
      </w:r>
    </w:p>
    <w:p w:rsidR="006526EB" w:rsidRPr="00B667D1" w:rsidRDefault="006526EB" w:rsidP="006526EB">
      <w:pPr>
        <w:pStyle w:val="Zkladntext"/>
        <w:suppressAutoHyphens/>
        <w:sectPr w:rsidR="006526EB" w:rsidRPr="00B667D1" w:rsidSect="007E570E">
          <w:footnotePr>
            <w:pos w:val="beneathText"/>
          </w:footnotePr>
          <w:type w:val="continuous"/>
          <w:pgSz w:w="11906" w:h="16838" w:code="9"/>
          <w:pgMar w:top="1134" w:right="1134" w:bottom="1134" w:left="1134" w:header="709" w:footer="709" w:gutter="0"/>
          <w:cols w:num="2" w:space="397"/>
          <w:docGrid w:linePitch="360"/>
        </w:sectPr>
      </w:pPr>
    </w:p>
    <w:p w:rsidR="00B16A02" w:rsidRPr="00B667D1" w:rsidRDefault="00643E69" w:rsidP="005C6303">
      <w:pPr>
        <w:pStyle w:val="Nadpis2"/>
      </w:pPr>
      <w:bookmarkStart w:id="87" w:name="_Toc17962168"/>
      <w:bookmarkStart w:id="88" w:name="_Toc54337191"/>
      <w:r w:rsidRPr="00B667D1">
        <w:lastRenderedPageBreak/>
        <w:t xml:space="preserve">Dotace ze státního rozpočtu </w:t>
      </w:r>
      <w:r w:rsidR="00A6331E" w:rsidRPr="00B667D1">
        <w:t xml:space="preserve">pro kraje v roce </w:t>
      </w:r>
      <w:r w:rsidRPr="00B667D1">
        <w:t>202</w:t>
      </w:r>
      <w:bookmarkEnd w:id="87"/>
      <w:r w:rsidR="008D55BA" w:rsidRPr="00B667D1">
        <w:t>1</w:t>
      </w:r>
      <w:bookmarkEnd w:id="88"/>
      <w:r w:rsidRPr="00B667D1">
        <w:t xml:space="preserve"> </w:t>
      </w:r>
    </w:p>
    <w:p w:rsidR="00C745DF" w:rsidRPr="00B667D1" w:rsidRDefault="00654D79" w:rsidP="00C745DF">
      <w:pPr>
        <w:pStyle w:val="Titulek"/>
        <w:spacing w:after="120"/>
        <w:rPr>
          <w:b w:val="0"/>
          <w:i/>
        </w:rPr>
      </w:pPr>
      <w:bookmarkStart w:id="89" w:name="_Toc54337201"/>
      <w:r w:rsidRPr="00B667D1">
        <w:t xml:space="preserve">Tabulka </w:t>
      </w:r>
      <w:fldSimple w:instr=" SEQ Tabulka \* ARABIC ">
        <w:r w:rsidR="00340343">
          <w:rPr>
            <w:noProof/>
          </w:rPr>
          <w:t>6</w:t>
        </w:r>
      </w:fldSimple>
      <w:r w:rsidRPr="00B667D1">
        <w:t>:</w:t>
      </w:r>
      <w:r w:rsidR="00EE1517">
        <w:t xml:space="preserve"> Dotace a příspěvky ze</w:t>
      </w:r>
      <w:r w:rsidRPr="00B667D1">
        <w:t xml:space="preserve"> státního rozpočtu </w:t>
      </w:r>
      <w:r w:rsidR="00EE1517">
        <w:t xml:space="preserve">pro </w:t>
      </w:r>
      <w:r w:rsidRPr="00B667D1">
        <w:t>kraj</w:t>
      </w:r>
      <w:r w:rsidR="00EE1517">
        <w:t>e</w:t>
      </w:r>
      <w:r w:rsidRPr="00B667D1">
        <w:t xml:space="preserve"> v letech 201</w:t>
      </w:r>
      <w:r w:rsidR="003D5859" w:rsidRPr="00B667D1">
        <w:t>6</w:t>
      </w:r>
      <w:r w:rsidR="009974F5" w:rsidRPr="00B667D1">
        <w:t xml:space="preserve"> </w:t>
      </w:r>
      <w:r w:rsidRPr="00B667D1">
        <w:t>-</w:t>
      </w:r>
      <w:r w:rsidR="009974F5" w:rsidRPr="00B667D1">
        <w:t xml:space="preserve"> </w:t>
      </w:r>
      <w:r w:rsidRPr="00B667D1">
        <w:t>202</w:t>
      </w:r>
      <w:r w:rsidR="003D5859" w:rsidRPr="00B667D1">
        <w:t>1</w:t>
      </w:r>
      <w:r w:rsidRPr="00B667D1">
        <w:t xml:space="preserve"> </w:t>
      </w:r>
      <w:r w:rsidRPr="00B667D1">
        <w:rPr>
          <w:b w:val="0"/>
          <w:i/>
        </w:rPr>
        <w:t>(v tis. Kč)</w:t>
      </w:r>
      <w:bookmarkEnd w:id="89"/>
    </w:p>
    <w:p w:rsidR="00636226" w:rsidRPr="00B667D1" w:rsidRDefault="002E13F3" w:rsidP="00636226">
      <w:pPr>
        <w:spacing w:line="360" w:lineRule="auto"/>
        <w:rPr>
          <w:b/>
          <w:sz w:val="26"/>
          <w:szCs w:val="26"/>
        </w:rPr>
        <w:sectPr w:rsidR="00636226" w:rsidRPr="00B667D1" w:rsidSect="00636226">
          <w:type w:val="continuous"/>
          <w:pgSz w:w="11906" w:h="16838" w:code="9"/>
          <w:pgMar w:top="1134" w:right="1134" w:bottom="1134" w:left="1134" w:header="709" w:footer="709" w:gutter="0"/>
          <w:cols w:space="708"/>
          <w:docGrid w:linePitch="360"/>
        </w:sectPr>
      </w:pPr>
      <w:r>
        <w:rPr>
          <w:b/>
          <w:sz w:val="26"/>
          <w:szCs w:val="26"/>
        </w:rPr>
        <w:pict>
          <v:shape id="_x0000_i1033" type="#_x0000_t75" style="width:489.75pt;height:249.75pt">
            <v:imagedata r:id="rId42" o:title=""/>
          </v:shape>
        </w:pict>
      </w:r>
    </w:p>
    <w:p w:rsidR="00C745DF" w:rsidRPr="00B667D1" w:rsidRDefault="00C745DF" w:rsidP="00636226">
      <w:pPr>
        <w:spacing w:after="0"/>
        <w:rPr>
          <w:b/>
          <w:sz w:val="22"/>
          <w:szCs w:val="22"/>
        </w:rPr>
        <w:sectPr w:rsidR="00C745DF" w:rsidRPr="00B667D1" w:rsidSect="00636226">
          <w:type w:val="continuous"/>
          <w:pgSz w:w="11906" w:h="16838" w:code="9"/>
          <w:pgMar w:top="1134" w:right="1134" w:bottom="1134" w:left="1134" w:header="709" w:footer="709" w:gutter="0"/>
          <w:cols w:num="2" w:space="708"/>
          <w:docGrid w:linePitch="360"/>
        </w:sectPr>
      </w:pPr>
    </w:p>
    <w:p w:rsidR="00C745DF" w:rsidRPr="00B667D1" w:rsidRDefault="00C745DF" w:rsidP="004317A0">
      <w:pPr>
        <w:pStyle w:val="Nadpis3"/>
      </w:pPr>
      <w:bookmarkStart w:id="90" w:name="_Toc17962169"/>
      <w:bookmarkStart w:id="91" w:name="_Toc54337192"/>
      <w:r w:rsidRPr="00B667D1">
        <w:lastRenderedPageBreak/>
        <w:t>D</w:t>
      </w:r>
      <w:r w:rsidR="00850B8D" w:rsidRPr="00B667D1">
        <w:t>otace z kapitoly Všeobecná pokladní správa</w:t>
      </w:r>
      <w:bookmarkEnd w:id="90"/>
      <w:bookmarkEnd w:id="91"/>
    </w:p>
    <w:p w:rsidR="00C745DF" w:rsidRPr="00B667D1" w:rsidRDefault="00C745DF" w:rsidP="004317A0">
      <w:pPr>
        <w:pStyle w:val="Nadpis3"/>
        <w:sectPr w:rsidR="00C745DF" w:rsidRPr="00B667D1" w:rsidSect="00C745DF">
          <w:type w:val="continuous"/>
          <w:pgSz w:w="11906" w:h="16838" w:code="9"/>
          <w:pgMar w:top="1134" w:right="1134" w:bottom="1134" w:left="1134" w:header="709" w:footer="709" w:gutter="0"/>
          <w:cols w:space="708"/>
          <w:docGrid w:linePitch="360"/>
        </w:sectPr>
      </w:pPr>
    </w:p>
    <w:p w:rsidR="00850B8D" w:rsidRPr="00B667D1" w:rsidRDefault="00850B8D" w:rsidP="00636226">
      <w:pPr>
        <w:spacing w:after="0"/>
        <w:rPr>
          <w:b/>
        </w:rPr>
      </w:pPr>
      <w:r w:rsidRPr="00B667D1">
        <w:lastRenderedPageBreak/>
        <w:t xml:space="preserve">Dotace z kapitoly Všeobecná pokladní správa zahrnují příspěvky zahrnuté v ukazateli </w:t>
      </w:r>
      <w:r w:rsidRPr="00B667D1">
        <w:rPr>
          <w:b/>
        </w:rPr>
        <w:t xml:space="preserve">Finanční vztah státního rozpočtu k rozpočtům krajů </w:t>
      </w:r>
      <w:r w:rsidRPr="00B667D1">
        <w:t xml:space="preserve">(příloha č. 5 k zákonu </w:t>
      </w:r>
      <w:r w:rsidRPr="00B667D1">
        <w:lastRenderedPageBreak/>
        <w:t xml:space="preserve">o státním rozpočtu) </w:t>
      </w:r>
      <w:r w:rsidRPr="00B667D1">
        <w:rPr>
          <w:b/>
        </w:rPr>
        <w:t xml:space="preserve">a ostatní dotace z kapitoly Všeobecná pokladní správa. </w:t>
      </w:r>
    </w:p>
    <w:p w:rsidR="00D720A4" w:rsidRPr="00B667D1" w:rsidRDefault="00D720A4" w:rsidP="00636226">
      <w:pPr>
        <w:spacing w:after="0"/>
        <w:sectPr w:rsidR="00D720A4" w:rsidRPr="00B667D1" w:rsidSect="007E570E">
          <w:type w:val="continuous"/>
          <w:pgSz w:w="11906" w:h="16838" w:code="9"/>
          <w:pgMar w:top="1134" w:right="1134" w:bottom="1134" w:left="1134" w:header="709" w:footer="709" w:gutter="0"/>
          <w:cols w:num="2" w:space="397"/>
          <w:docGrid w:linePitch="360"/>
        </w:sectPr>
      </w:pPr>
    </w:p>
    <w:p w:rsidR="008A48D9" w:rsidRPr="00B667D1" w:rsidRDefault="008A48D9" w:rsidP="001C7F66">
      <w:pPr>
        <w:pStyle w:val="Titulek"/>
        <w:spacing w:after="120"/>
        <w:ind w:left="993" w:hanging="993"/>
      </w:pPr>
      <w:bookmarkStart w:id="92" w:name="_Toc54337202"/>
      <w:r w:rsidRPr="00B667D1">
        <w:lastRenderedPageBreak/>
        <w:t xml:space="preserve">Tabulka </w:t>
      </w:r>
      <w:fldSimple w:instr=" SEQ Tabulka \* ARABIC ">
        <w:r w:rsidR="00340343">
          <w:rPr>
            <w:noProof/>
          </w:rPr>
          <w:t>7</w:t>
        </w:r>
      </w:fldSimple>
      <w:r w:rsidRPr="00B667D1">
        <w:t>: Dotace a příspěvky rozpočtované pro kraje v kapitole Všeobecná pokladní správa v</w:t>
      </w:r>
      <w:r w:rsidR="009974F5" w:rsidRPr="00B667D1">
        <w:t> </w:t>
      </w:r>
      <w:r w:rsidRPr="00B667D1">
        <w:t>letech</w:t>
      </w:r>
      <w:r w:rsidR="009974F5" w:rsidRPr="00B667D1">
        <w:t> </w:t>
      </w:r>
      <w:r w:rsidRPr="00B667D1">
        <w:t>201</w:t>
      </w:r>
      <w:r w:rsidR="00F77B62" w:rsidRPr="00B667D1">
        <w:t>6</w:t>
      </w:r>
      <w:r w:rsidR="009974F5" w:rsidRPr="00B667D1">
        <w:t> </w:t>
      </w:r>
      <w:r w:rsidR="007A39D3" w:rsidRPr="00B667D1">
        <w:t>-</w:t>
      </w:r>
      <w:r w:rsidRPr="00B667D1">
        <w:t>202</w:t>
      </w:r>
      <w:r w:rsidR="00F77B62" w:rsidRPr="00B667D1">
        <w:t>1</w:t>
      </w:r>
      <w:r w:rsidR="009974F5" w:rsidRPr="00B667D1">
        <w:t> </w:t>
      </w:r>
      <w:r w:rsidRPr="00B667D1">
        <w:rPr>
          <w:b w:val="0"/>
          <w:i/>
        </w:rPr>
        <w:t>(v</w:t>
      </w:r>
      <w:r w:rsidR="001C7F66" w:rsidRPr="00B667D1">
        <w:rPr>
          <w:b w:val="0"/>
          <w:i/>
        </w:rPr>
        <w:t> </w:t>
      </w:r>
      <w:r w:rsidRPr="00B667D1">
        <w:rPr>
          <w:b w:val="0"/>
          <w:i/>
        </w:rPr>
        <w:t>tis</w:t>
      </w:r>
      <w:r w:rsidR="009974F5" w:rsidRPr="00B667D1">
        <w:rPr>
          <w:b w:val="0"/>
          <w:i/>
        </w:rPr>
        <w:t> </w:t>
      </w:r>
      <w:r w:rsidRPr="00B667D1">
        <w:rPr>
          <w:b w:val="0"/>
          <w:i/>
        </w:rPr>
        <w:t>Kč)</w:t>
      </w:r>
      <w:bookmarkEnd w:id="92"/>
    </w:p>
    <w:p w:rsidR="0026624D" w:rsidRPr="00B667D1" w:rsidRDefault="0026624D" w:rsidP="00B82CB7">
      <w:pPr>
        <w:rPr>
          <w:b/>
          <w:sz w:val="26"/>
          <w:szCs w:val="26"/>
        </w:rPr>
        <w:sectPr w:rsidR="0026624D" w:rsidRPr="00B667D1" w:rsidSect="004E7A79">
          <w:type w:val="continuous"/>
          <w:pgSz w:w="11906" w:h="16838" w:code="9"/>
          <w:pgMar w:top="1134" w:right="1134" w:bottom="1134" w:left="1134" w:header="709" w:footer="709" w:gutter="0"/>
          <w:cols w:space="708"/>
          <w:docGrid w:linePitch="360"/>
        </w:sectPr>
      </w:pPr>
    </w:p>
    <w:p w:rsidR="00350EB2" w:rsidRDefault="002E13F3" w:rsidP="00350EB2">
      <w:pPr>
        <w:spacing w:before="120" w:after="120"/>
        <w:rPr>
          <w:b/>
          <w:sz w:val="24"/>
        </w:rPr>
      </w:pPr>
      <w:r>
        <w:rPr>
          <w:b/>
          <w:sz w:val="24"/>
        </w:rPr>
        <w:lastRenderedPageBreak/>
        <w:pict>
          <v:shape id="_x0000_i1034" type="#_x0000_t75" style="width:539.25pt;height:168pt">
            <v:imagedata r:id="rId43" o:title=""/>
          </v:shape>
        </w:pict>
      </w:r>
      <w:r w:rsidR="00350EB2">
        <w:rPr>
          <w:b/>
          <w:sz w:val="24"/>
        </w:rPr>
        <w:br w:type="page"/>
      </w:r>
    </w:p>
    <w:p w:rsidR="00B82CB7" w:rsidRPr="00B667D1" w:rsidRDefault="00B82CB7" w:rsidP="00350EB2">
      <w:pPr>
        <w:spacing w:before="120" w:after="120"/>
        <w:rPr>
          <w:b/>
          <w:sz w:val="24"/>
        </w:rPr>
      </w:pPr>
      <w:r w:rsidRPr="00B667D1">
        <w:rPr>
          <w:b/>
          <w:sz w:val="24"/>
        </w:rPr>
        <w:lastRenderedPageBreak/>
        <w:t>Dotace a příspěvky obsažené ve finančním vztahu stát</w:t>
      </w:r>
      <w:r w:rsidR="007E570E" w:rsidRPr="00B667D1">
        <w:rPr>
          <w:b/>
          <w:sz w:val="24"/>
        </w:rPr>
        <w:t>ního rozpočtu k rozpočtům krajů</w:t>
      </w:r>
    </w:p>
    <w:p w:rsidR="0026624D" w:rsidRPr="00B667D1" w:rsidRDefault="0026624D" w:rsidP="006F208A">
      <w:pPr>
        <w:pStyle w:val="Odstavecseseznamem"/>
        <w:keepNext/>
        <w:numPr>
          <w:ilvl w:val="0"/>
          <w:numId w:val="8"/>
        </w:numPr>
        <w:tabs>
          <w:tab w:val="num" w:pos="567"/>
          <w:tab w:val="right" w:pos="9072"/>
        </w:tabs>
        <w:spacing w:after="0"/>
        <w:rPr>
          <w:iCs/>
        </w:rPr>
      </w:pPr>
      <w:r w:rsidRPr="00B667D1">
        <w:rPr>
          <w:b/>
          <w:bCs/>
          <w:iCs/>
          <w:sz w:val="24"/>
          <w:szCs w:val="24"/>
        </w:rPr>
        <w:t>Příspěvek na výkon státní správy</w:t>
      </w:r>
    </w:p>
    <w:p w:rsidR="00512667" w:rsidRPr="00B667D1" w:rsidRDefault="00512667" w:rsidP="00B82CB7">
      <w:pPr>
        <w:spacing w:after="0"/>
        <w:rPr>
          <w:iCs/>
        </w:rPr>
        <w:sectPr w:rsidR="00512667" w:rsidRPr="00B667D1" w:rsidSect="004E7A79">
          <w:type w:val="continuous"/>
          <w:pgSz w:w="11906" w:h="16838" w:code="9"/>
          <w:pgMar w:top="1134" w:right="1134" w:bottom="1134" w:left="1134" w:header="709" w:footer="709" w:gutter="0"/>
          <w:cols w:space="708"/>
          <w:docGrid w:linePitch="360"/>
        </w:sectPr>
      </w:pPr>
    </w:p>
    <w:p w:rsidR="00490A62" w:rsidRPr="00B667D1" w:rsidRDefault="0026624D" w:rsidP="00512667">
      <w:pPr>
        <w:suppressAutoHyphens/>
        <w:spacing w:after="0"/>
        <w:rPr>
          <w:iCs/>
        </w:rPr>
      </w:pPr>
      <w:r w:rsidRPr="00B667D1">
        <w:rPr>
          <w:iCs/>
        </w:rPr>
        <w:lastRenderedPageBreak/>
        <w:t>V souladu s ustanovením § 29 odst. 2 zákona č.</w:t>
      </w:r>
      <w:r w:rsidR="00512667" w:rsidRPr="00B667D1">
        <w:rPr>
          <w:iCs/>
        </w:rPr>
        <w:t> </w:t>
      </w:r>
      <w:r w:rsidRPr="00B667D1">
        <w:rPr>
          <w:iCs/>
        </w:rPr>
        <w:t xml:space="preserve">129/2000 Sb., o krajích, ve znění pozdějších předpisů, obdrží kraje ze státního rozpočtu příspěvek na financování výkonu státní správy v přenesené působnosti. </w:t>
      </w:r>
    </w:p>
    <w:p w:rsidR="00490A62" w:rsidRPr="00B667D1" w:rsidRDefault="00490A62" w:rsidP="00490A62">
      <w:pPr>
        <w:rPr>
          <w:rFonts w:asciiTheme="minorHAnsi" w:hAnsiTheme="minorHAnsi"/>
          <w:b/>
        </w:rPr>
      </w:pPr>
      <w:r w:rsidRPr="00B667D1">
        <w:rPr>
          <w:rFonts w:asciiTheme="minorHAnsi" w:hAnsiTheme="minorHAnsi"/>
          <w:b/>
        </w:rPr>
        <w:t>Obecná charakteristika příspěvku na výkon státní správy pro kraje:</w:t>
      </w:r>
    </w:p>
    <w:p w:rsidR="00B714C6" w:rsidRPr="00B667D1" w:rsidRDefault="00B714C6" w:rsidP="00B714C6">
      <w:pPr>
        <w:pStyle w:val="Odstavecseseznamem"/>
        <w:numPr>
          <w:ilvl w:val="0"/>
          <w:numId w:val="5"/>
        </w:numPr>
        <w:rPr>
          <w:rFonts w:asciiTheme="minorHAnsi" w:hAnsiTheme="minorHAnsi"/>
        </w:rPr>
      </w:pPr>
      <w:bookmarkStart w:id="93" w:name="_Toc206898254"/>
      <w:bookmarkStart w:id="94" w:name="_Toc302458279"/>
      <w:r w:rsidRPr="00B667D1">
        <w:rPr>
          <w:rFonts w:asciiTheme="minorHAnsi" w:hAnsiTheme="minorHAnsi"/>
        </w:rPr>
        <w:t xml:space="preserve">Rozdělování finančních prostředků vychází z adekvátního počtu úředních úvazků zabývajících se přeneseným výkonem státní správy pro jednotlivé kraje. Dále se vychází z částky, určené Ministerstvem vnitra, na pokrytí jednoho úředního úvazku na krajském úřadě. Smyslem tohoto způsobu financování je nastavit shodnou míru krytí adekvátních nákladů krajů na výkon přenesené působnosti. </w:t>
      </w:r>
    </w:p>
    <w:p w:rsidR="00B714C6" w:rsidRPr="00B667D1" w:rsidRDefault="00B714C6" w:rsidP="00B714C6">
      <w:pPr>
        <w:spacing w:after="120"/>
        <w:rPr>
          <w:rFonts w:asciiTheme="minorHAnsi" w:hAnsiTheme="minorHAnsi"/>
          <w:b/>
        </w:rPr>
      </w:pPr>
      <w:r w:rsidRPr="00B667D1">
        <w:rPr>
          <w:rFonts w:asciiTheme="minorHAnsi" w:hAnsiTheme="minorHAnsi"/>
          <w:b/>
        </w:rPr>
        <w:t xml:space="preserve">K určení adekvátního počtu úředních úvazků byla použita statistická metoda regresní analýzy, konkrétně polynomická regrese druhého řádu, která zahrnuje tyto </w:t>
      </w:r>
      <w:proofErr w:type="spellStart"/>
      <w:r w:rsidRPr="00B667D1">
        <w:rPr>
          <w:rFonts w:asciiTheme="minorHAnsi" w:hAnsiTheme="minorHAnsi"/>
          <w:b/>
        </w:rPr>
        <w:t>regresory</w:t>
      </w:r>
      <w:proofErr w:type="spellEnd"/>
      <w:r w:rsidRPr="00B667D1">
        <w:rPr>
          <w:rFonts w:asciiTheme="minorHAnsi" w:hAnsiTheme="minorHAnsi"/>
          <w:b/>
        </w:rPr>
        <w:t xml:space="preserve">: </w:t>
      </w:r>
    </w:p>
    <w:p w:rsidR="00B714C6" w:rsidRPr="00B667D1" w:rsidRDefault="00B714C6" w:rsidP="00B714C6">
      <w:pPr>
        <w:pStyle w:val="Odstavecseseznamem"/>
        <w:numPr>
          <w:ilvl w:val="0"/>
          <w:numId w:val="18"/>
        </w:numPr>
        <w:spacing w:after="0"/>
        <w:ind w:left="357" w:hanging="357"/>
        <w:rPr>
          <w:rFonts w:asciiTheme="minorHAnsi" w:hAnsiTheme="minorHAnsi"/>
        </w:rPr>
      </w:pPr>
      <w:r w:rsidRPr="00B667D1">
        <w:rPr>
          <w:rFonts w:asciiTheme="minorHAnsi" w:hAnsiTheme="minorHAnsi"/>
        </w:rPr>
        <w:t>vztah mezi počtem obyvatel a počtem úvazků přenesené působnosti kraje;</w:t>
      </w:r>
    </w:p>
    <w:p w:rsidR="00B714C6" w:rsidRPr="00B667D1" w:rsidRDefault="00B714C6" w:rsidP="00B714C6">
      <w:pPr>
        <w:pStyle w:val="Odstavecseseznamem"/>
        <w:numPr>
          <w:ilvl w:val="0"/>
          <w:numId w:val="18"/>
        </w:numPr>
        <w:spacing w:after="0"/>
        <w:ind w:left="357" w:hanging="357"/>
        <w:rPr>
          <w:rFonts w:asciiTheme="minorHAnsi" w:hAnsiTheme="minorHAnsi"/>
        </w:rPr>
      </w:pPr>
      <w:r w:rsidRPr="00B667D1">
        <w:rPr>
          <w:rFonts w:asciiTheme="minorHAnsi" w:hAnsiTheme="minorHAnsi"/>
        </w:rPr>
        <w:t xml:space="preserve">růst od určitého bodu (Jihomoravský kraj) zpomaluje z důvodu projevujících se úspor z rozsahu;  </w:t>
      </w:r>
    </w:p>
    <w:p w:rsidR="00B714C6" w:rsidRPr="00B667D1" w:rsidRDefault="00B714C6" w:rsidP="00B714C6">
      <w:pPr>
        <w:pStyle w:val="Odstavecseseznamem"/>
        <w:numPr>
          <w:ilvl w:val="0"/>
          <w:numId w:val="18"/>
        </w:numPr>
        <w:spacing w:after="0"/>
        <w:ind w:left="357" w:hanging="357"/>
        <w:rPr>
          <w:rFonts w:asciiTheme="minorHAnsi" w:hAnsiTheme="minorHAnsi"/>
        </w:rPr>
      </w:pPr>
      <w:r w:rsidRPr="00B667D1">
        <w:rPr>
          <w:rFonts w:asciiTheme="minorHAnsi" w:hAnsiTheme="minorHAnsi"/>
        </w:rPr>
        <w:t>údaje o počtech obyvatel;</w:t>
      </w:r>
    </w:p>
    <w:p w:rsidR="00B714C6" w:rsidRPr="00175984" w:rsidRDefault="00B714C6" w:rsidP="00175984">
      <w:pPr>
        <w:pStyle w:val="Odstavecseseznamem"/>
        <w:numPr>
          <w:ilvl w:val="0"/>
          <w:numId w:val="18"/>
        </w:numPr>
        <w:spacing w:after="0"/>
        <w:ind w:left="357" w:hanging="357"/>
        <w:rPr>
          <w:rFonts w:asciiTheme="minorHAnsi" w:hAnsiTheme="minorHAnsi" w:cs="Arial"/>
        </w:rPr>
      </w:pPr>
      <w:r w:rsidRPr="00175984">
        <w:rPr>
          <w:rFonts w:asciiTheme="minorHAnsi" w:hAnsiTheme="minorHAnsi"/>
        </w:rPr>
        <w:t xml:space="preserve">údaje o počtech úvazků k 1. 5. 2020: minimum 147 úvazků (podle nejmenšího úřadu kraje Karlovarského kraje, jehož obsazení bylo uvažováno jako minimální možné, které je potřeba k náležitému fungování úřadu), maximum 333 úvazků (podle největšího existujícího krajského úřadu Jihomoravského kraje) a střed 217 úvazků podle Zlínského kraje, který je blízko střední hodnotě. Na základě konkrétních </w:t>
      </w:r>
      <w:proofErr w:type="spellStart"/>
      <w:r w:rsidRPr="00175984">
        <w:rPr>
          <w:rFonts w:asciiTheme="minorHAnsi" w:hAnsiTheme="minorHAnsi"/>
        </w:rPr>
        <w:t>regresorů</w:t>
      </w:r>
      <w:proofErr w:type="spellEnd"/>
      <w:r w:rsidRPr="00175984">
        <w:rPr>
          <w:rFonts w:asciiTheme="minorHAnsi" w:hAnsiTheme="minorHAnsi"/>
        </w:rPr>
        <w:t xml:space="preserve"> byly vypočítány koeficienty pro kvadratickou rovnici, která určí počet adekvátních úvazků. Kde x je adekvátní počet úvazků a </w:t>
      </w:r>
      <w:proofErr w:type="spellStart"/>
      <w:r w:rsidRPr="00175984">
        <w:rPr>
          <w:rFonts w:asciiTheme="minorHAnsi" w:hAnsiTheme="minorHAnsi"/>
        </w:rPr>
        <w:t>obyv</w:t>
      </w:r>
      <w:proofErr w:type="spellEnd"/>
      <w:r w:rsidRPr="00175984">
        <w:rPr>
          <w:rFonts w:asciiTheme="minorHAnsi" w:hAnsiTheme="minorHAnsi"/>
        </w:rPr>
        <w:t xml:space="preserve"> je počet obyvatel daného kraje, podle které byly určeny adekvátní počty úvazků pro každý kraj.</w:t>
      </w:r>
    </w:p>
    <w:p w:rsidR="00B714C6" w:rsidRPr="00B667D1" w:rsidRDefault="00B714C6" w:rsidP="00B714C6">
      <w:pPr>
        <w:spacing w:before="120"/>
        <w:jc w:val="center"/>
        <w:rPr>
          <w:rFonts w:asciiTheme="minorHAnsi" w:hAnsiTheme="minorHAnsi"/>
          <w:b/>
        </w:rPr>
      </w:pPr>
      <w:r w:rsidRPr="00B667D1">
        <w:rPr>
          <w:rFonts w:asciiTheme="minorHAnsi" w:hAnsiTheme="minorHAnsi"/>
          <w:b/>
        </w:rPr>
        <w:t>x = – A*obyv</w:t>
      </w:r>
      <w:r w:rsidRPr="00B667D1">
        <w:rPr>
          <w:rFonts w:asciiTheme="minorHAnsi" w:hAnsiTheme="minorHAnsi"/>
          <w:b/>
          <w:vertAlign w:val="superscript"/>
        </w:rPr>
        <w:t>2</w:t>
      </w:r>
      <w:r w:rsidRPr="00B667D1">
        <w:rPr>
          <w:rFonts w:asciiTheme="minorHAnsi" w:hAnsiTheme="minorHAnsi"/>
          <w:b/>
        </w:rPr>
        <w:t xml:space="preserve"> + B*</w:t>
      </w:r>
      <w:proofErr w:type="spellStart"/>
      <w:r w:rsidRPr="00B667D1">
        <w:rPr>
          <w:rFonts w:asciiTheme="minorHAnsi" w:hAnsiTheme="minorHAnsi"/>
          <w:b/>
        </w:rPr>
        <w:t>obyv</w:t>
      </w:r>
      <w:proofErr w:type="spellEnd"/>
      <w:r w:rsidRPr="00B667D1">
        <w:rPr>
          <w:rFonts w:asciiTheme="minorHAnsi" w:hAnsiTheme="minorHAnsi"/>
          <w:b/>
        </w:rPr>
        <w:t xml:space="preserve"> + C</w:t>
      </w:r>
    </w:p>
    <w:tbl>
      <w:tblPr>
        <w:tblpPr w:leftFromText="141" w:rightFromText="141" w:vertAnchor="text" w:horzAnchor="page" w:tblpX="1491" w:tblpY="158"/>
        <w:tblW w:w="4181" w:type="dxa"/>
        <w:tblCellMar>
          <w:left w:w="70" w:type="dxa"/>
          <w:right w:w="70" w:type="dxa"/>
        </w:tblCellMar>
        <w:tblLook w:val="04A0" w:firstRow="1" w:lastRow="0" w:firstColumn="1" w:lastColumn="0" w:noHBand="0" w:noVBand="1"/>
      </w:tblPr>
      <w:tblGrid>
        <w:gridCol w:w="1913"/>
        <w:gridCol w:w="2268"/>
      </w:tblGrid>
      <w:tr w:rsidR="00B714C6" w:rsidRPr="00B667D1" w:rsidTr="00B714C6">
        <w:trPr>
          <w:trHeight w:val="375"/>
        </w:trPr>
        <w:tc>
          <w:tcPr>
            <w:tcW w:w="418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714C6" w:rsidRPr="00B667D1" w:rsidRDefault="00B714C6" w:rsidP="00B714C6">
            <w:pPr>
              <w:jc w:val="center"/>
              <w:rPr>
                <w:rFonts w:asciiTheme="minorHAnsi" w:hAnsiTheme="minorHAnsi"/>
              </w:rPr>
            </w:pPr>
            <w:r w:rsidRPr="00B667D1">
              <w:rPr>
                <w:rFonts w:asciiTheme="minorHAnsi" w:hAnsiTheme="minorHAnsi"/>
              </w:rPr>
              <w:t>Koeficienty</w:t>
            </w:r>
          </w:p>
        </w:tc>
      </w:tr>
      <w:tr w:rsidR="00B714C6" w:rsidRPr="00B667D1" w:rsidTr="00B714C6">
        <w:trPr>
          <w:trHeight w:val="330"/>
        </w:trPr>
        <w:tc>
          <w:tcPr>
            <w:tcW w:w="1913" w:type="dxa"/>
            <w:tcBorders>
              <w:top w:val="nil"/>
              <w:left w:val="single" w:sz="8" w:space="0" w:color="auto"/>
              <w:bottom w:val="single" w:sz="8" w:space="0" w:color="auto"/>
              <w:right w:val="single" w:sz="8" w:space="0" w:color="auto"/>
            </w:tcBorders>
            <w:shd w:val="clear" w:color="auto" w:fill="auto"/>
            <w:vAlign w:val="center"/>
            <w:hideMark/>
          </w:tcPr>
          <w:p w:rsidR="00B714C6" w:rsidRPr="00B667D1" w:rsidRDefault="00B714C6" w:rsidP="00B714C6">
            <w:pPr>
              <w:jc w:val="center"/>
              <w:rPr>
                <w:rFonts w:asciiTheme="minorHAnsi" w:hAnsiTheme="minorHAnsi"/>
              </w:rPr>
            </w:pPr>
            <w:r w:rsidRPr="00B667D1">
              <w:rPr>
                <w:rFonts w:asciiTheme="minorHAnsi" w:hAnsiTheme="minorHAnsi"/>
              </w:rPr>
              <w:t>A</w:t>
            </w:r>
          </w:p>
        </w:tc>
        <w:tc>
          <w:tcPr>
            <w:tcW w:w="2268" w:type="dxa"/>
            <w:tcBorders>
              <w:top w:val="nil"/>
              <w:left w:val="nil"/>
              <w:bottom w:val="single" w:sz="8" w:space="0" w:color="auto"/>
              <w:right w:val="single" w:sz="8" w:space="0" w:color="auto"/>
            </w:tcBorders>
            <w:shd w:val="clear" w:color="auto" w:fill="auto"/>
            <w:noWrap/>
            <w:vAlign w:val="center"/>
            <w:hideMark/>
          </w:tcPr>
          <w:p w:rsidR="00B714C6" w:rsidRPr="00B667D1" w:rsidRDefault="00B714C6" w:rsidP="00B714C6">
            <w:pPr>
              <w:jc w:val="center"/>
              <w:rPr>
                <w:rFonts w:asciiTheme="minorHAnsi" w:hAnsiTheme="minorHAnsi"/>
              </w:rPr>
            </w:pPr>
            <w:r w:rsidRPr="00B667D1">
              <w:rPr>
                <w:rFonts w:asciiTheme="minorHAnsi" w:hAnsiTheme="minorHAnsi"/>
              </w:rPr>
              <w:t>0,00000000008891073</w:t>
            </w:r>
          </w:p>
        </w:tc>
      </w:tr>
      <w:tr w:rsidR="00B714C6" w:rsidRPr="00B667D1" w:rsidTr="00B714C6">
        <w:trPr>
          <w:trHeight w:val="330"/>
        </w:trPr>
        <w:tc>
          <w:tcPr>
            <w:tcW w:w="1913" w:type="dxa"/>
            <w:tcBorders>
              <w:top w:val="nil"/>
              <w:left w:val="single" w:sz="8" w:space="0" w:color="auto"/>
              <w:bottom w:val="single" w:sz="8" w:space="0" w:color="auto"/>
              <w:right w:val="single" w:sz="8" w:space="0" w:color="auto"/>
            </w:tcBorders>
            <w:shd w:val="clear" w:color="auto" w:fill="auto"/>
            <w:vAlign w:val="center"/>
            <w:hideMark/>
          </w:tcPr>
          <w:p w:rsidR="00B714C6" w:rsidRPr="00B667D1" w:rsidRDefault="00B714C6" w:rsidP="00B714C6">
            <w:pPr>
              <w:jc w:val="center"/>
              <w:rPr>
                <w:rFonts w:asciiTheme="minorHAnsi" w:hAnsiTheme="minorHAnsi"/>
              </w:rPr>
            </w:pPr>
            <w:r w:rsidRPr="00B667D1">
              <w:rPr>
                <w:rFonts w:asciiTheme="minorHAnsi" w:hAnsiTheme="minorHAnsi"/>
              </w:rPr>
              <w:t>B</w:t>
            </w:r>
          </w:p>
        </w:tc>
        <w:tc>
          <w:tcPr>
            <w:tcW w:w="2268" w:type="dxa"/>
            <w:tcBorders>
              <w:top w:val="nil"/>
              <w:left w:val="nil"/>
              <w:bottom w:val="single" w:sz="8" w:space="0" w:color="auto"/>
              <w:right w:val="single" w:sz="8" w:space="0" w:color="auto"/>
            </w:tcBorders>
            <w:shd w:val="clear" w:color="auto" w:fill="auto"/>
            <w:noWrap/>
            <w:vAlign w:val="center"/>
            <w:hideMark/>
          </w:tcPr>
          <w:p w:rsidR="00B714C6" w:rsidRPr="00B667D1" w:rsidRDefault="00B714C6" w:rsidP="00B714C6">
            <w:pPr>
              <w:jc w:val="center"/>
              <w:rPr>
                <w:rFonts w:asciiTheme="minorHAnsi" w:hAnsiTheme="minorHAnsi"/>
              </w:rPr>
            </w:pPr>
            <w:r w:rsidRPr="00B667D1">
              <w:rPr>
                <w:rFonts w:asciiTheme="minorHAnsi" w:hAnsiTheme="minorHAnsi"/>
              </w:rPr>
              <w:t>0,000321082</w:t>
            </w:r>
          </w:p>
        </w:tc>
      </w:tr>
      <w:tr w:rsidR="00B714C6" w:rsidRPr="00B667D1" w:rsidTr="00B714C6">
        <w:trPr>
          <w:trHeight w:val="330"/>
        </w:trPr>
        <w:tc>
          <w:tcPr>
            <w:tcW w:w="1913" w:type="dxa"/>
            <w:tcBorders>
              <w:top w:val="nil"/>
              <w:left w:val="single" w:sz="8" w:space="0" w:color="auto"/>
              <w:bottom w:val="single" w:sz="8" w:space="0" w:color="auto"/>
              <w:right w:val="single" w:sz="8" w:space="0" w:color="auto"/>
            </w:tcBorders>
            <w:shd w:val="clear" w:color="auto" w:fill="auto"/>
            <w:vAlign w:val="center"/>
            <w:hideMark/>
          </w:tcPr>
          <w:p w:rsidR="00B714C6" w:rsidRPr="00B667D1" w:rsidRDefault="00B714C6" w:rsidP="00B714C6">
            <w:pPr>
              <w:jc w:val="center"/>
              <w:rPr>
                <w:rFonts w:asciiTheme="minorHAnsi" w:hAnsiTheme="minorHAnsi"/>
              </w:rPr>
            </w:pPr>
            <w:r w:rsidRPr="00B667D1">
              <w:rPr>
                <w:rFonts w:asciiTheme="minorHAnsi" w:hAnsiTheme="minorHAnsi"/>
              </w:rPr>
              <w:t>C</w:t>
            </w:r>
          </w:p>
        </w:tc>
        <w:tc>
          <w:tcPr>
            <w:tcW w:w="2268" w:type="dxa"/>
            <w:tcBorders>
              <w:top w:val="nil"/>
              <w:left w:val="nil"/>
              <w:bottom w:val="single" w:sz="8" w:space="0" w:color="auto"/>
              <w:right w:val="single" w:sz="8" w:space="0" w:color="auto"/>
            </w:tcBorders>
            <w:shd w:val="clear" w:color="auto" w:fill="auto"/>
            <w:noWrap/>
            <w:vAlign w:val="center"/>
            <w:hideMark/>
          </w:tcPr>
          <w:p w:rsidR="00B714C6" w:rsidRPr="00B667D1" w:rsidRDefault="00B714C6" w:rsidP="00B714C6">
            <w:pPr>
              <w:jc w:val="center"/>
              <w:rPr>
                <w:rFonts w:asciiTheme="minorHAnsi" w:hAnsiTheme="minorHAnsi"/>
              </w:rPr>
            </w:pPr>
            <w:r w:rsidRPr="00B667D1">
              <w:rPr>
                <w:rFonts w:asciiTheme="minorHAnsi" w:hAnsiTheme="minorHAnsi"/>
              </w:rPr>
              <w:t>60,04625998</w:t>
            </w:r>
          </w:p>
        </w:tc>
      </w:tr>
    </w:tbl>
    <w:p w:rsidR="00B714C6" w:rsidRPr="00B667D1" w:rsidRDefault="00B714C6" w:rsidP="00B714C6">
      <w:pPr>
        <w:pStyle w:val="Odstavecseseznamem"/>
        <w:numPr>
          <w:ilvl w:val="0"/>
          <w:numId w:val="5"/>
        </w:numPr>
        <w:spacing w:after="0"/>
        <w:rPr>
          <w:rFonts w:asciiTheme="minorHAnsi" w:hAnsiTheme="minorHAnsi"/>
        </w:rPr>
      </w:pPr>
      <w:r w:rsidRPr="00B667D1">
        <w:rPr>
          <w:rFonts w:asciiTheme="minorHAnsi" w:hAnsiTheme="minorHAnsi"/>
        </w:rPr>
        <w:t>Východiskem pro objem příspěvku krajům na výkon státní správy pro rok 2021 je výsledná částka příspěvku pro rok 2020, valorizovaná o 5 % celkového objemu, a dále navýšená o částku 98</w:t>
      </w:r>
      <w:r w:rsidR="005B1141">
        <w:rPr>
          <w:rFonts w:asciiTheme="minorHAnsi" w:hAnsiTheme="minorHAnsi"/>
        </w:rPr>
        <w:t> </w:t>
      </w:r>
      <w:r w:rsidRPr="00B667D1">
        <w:rPr>
          <w:rFonts w:asciiTheme="minorHAnsi" w:hAnsiTheme="minorHAnsi"/>
        </w:rPr>
        <w:t>021</w:t>
      </w:r>
      <w:r w:rsidR="005B1141">
        <w:rPr>
          <w:rFonts w:asciiTheme="minorHAnsi" w:hAnsiTheme="minorHAnsi"/>
        </w:rPr>
        <w:t> </w:t>
      </w:r>
      <w:r w:rsidRPr="00B667D1">
        <w:rPr>
          <w:rFonts w:asciiTheme="minorHAnsi" w:hAnsiTheme="minorHAnsi"/>
        </w:rPr>
        <w:t xml:space="preserve">925 Kč, která byla vyčleněna z celkových </w:t>
      </w:r>
      <w:r w:rsidRPr="00B667D1">
        <w:rPr>
          <w:rFonts w:asciiTheme="minorHAnsi" w:hAnsiTheme="minorHAnsi"/>
        </w:rPr>
        <w:lastRenderedPageBreak/>
        <w:t xml:space="preserve">prostředků na financování nákladů na přenesenou působnost krajům, obcím a hl. m. Praze jako určitá dorovnávací platba, která reaguje na nižší průměrnou míru krytí příspěvku pro kraje oproti průměrné míře krytí pro obce (92 %). </w:t>
      </w:r>
    </w:p>
    <w:p w:rsidR="00B714C6" w:rsidRPr="00B667D1" w:rsidRDefault="00B714C6" w:rsidP="00B714C6">
      <w:pPr>
        <w:pStyle w:val="Odstavecseseznamem"/>
        <w:numPr>
          <w:ilvl w:val="0"/>
          <w:numId w:val="5"/>
        </w:numPr>
        <w:spacing w:after="0"/>
        <w:rPr>
          <w:rFonts w:asciiTheme="minorHAnsi" w:hAnsiTheme="minorHAnsi"/>
        </w:rPr>
      </w:pPr>
      <w:r w:rsidRPr="00B667D1">
        <w:rPr>
          <w:rFonts w:asciiTheme="minorHAnsi" w:hAnsiTheme="minorHAnsi"/>
        </w:rPr>
        <w:t xml:space="preserve">Ve výsledku je mezi 3 071 adekvátních úvazků všech krajů, odhadnutých kvadratickou funkcí, rozdělovaná částka 1 660 631 400 Kč. Krajům se tedy na financování přenesené působnosti vydá o 172 431 900 Kč více než v roce 2020. V průměru se krajům navýší příspěvek na výkon státní správy o 11,59 % ve srovnání s minulým rokem. Tím, že každý kraj vykazuje jiný rozdíl v aktuálním a adekvátním počtu úvazků, se relativní nárůst prostředků pro jednotlivé kraje liší. </w:t>
      </w:r>
    </w:p>
    <w:p w:rsidR="00B714C6" w:rsidRPr="00B667D1" w:rsidRDefault="00B714C6" w:rsidP="00B714C6">
      <w:pPr>
        <w:pStyle w:val="Odstavecseseznamem"/>
        <w:numPr>
          <w:ilvl w:val="0"/>
          <w:numId w:val="5"/>
        </w:numPr>
        <w:spacing w:after="0"/>
        <w:rPr>
          <w:rFonts w:asciiTheme="minorHAnsi" w:hAnsiTheme="minorHAnsi"/>
        </w:rPr>
      </w:pPr>
      <w:r w:rsidRPr="00B667D1">
        <w:rPr>
          <w:rFonts w:asciiTheme="minorHAnsi" w:hAnsiTheme="minorHAnsi"/>
        </w:rPr>
        <w:t>Pro výpočet míry krytí dále uvažujeme průměrné náklady na jeden úvazek přenesené působnosti, které jsou dle analýzy Ministerstva vnitra rovny 800</w:t>
      </w:r>
      <w:r w:rsidR="005B1141">
        <w:rPr>
          <w:rFonts w:asciiTheme="minorHAnsi" w:hAnsiTheme="minorHAnsi"/>
        </w:rPr>
        <w:t> </w:t>
      </w:r>
      <w:r w:rsidRPr="00B667D1">
        <w:rPr>
          <w:rFonts w:asciiTheme="minorHAnsi" w:hAnsiTheme="minorHAnsi"/>
        </w:rPr>
        <w:t xml:space="preserve">868 Kč. V takovém případě budou náklady na adekvátní úvazek přenesené působnosti pokryty do výše 67,52 % (postup propočtu viz Příloha č. 11 tabulkové části dokumentace). Výše příspěvku na </w:t>
      </w:r>
      <w:r w:rsidR="00C63833">
        <w:rPr>
          <w:rFonts w:asciiTheme="minorHAnsi" w:hAnsiTheme="minorHAnsi"/>
        </w:rPr>
        <w:t>jeden</w:t>
      </w:r>
      <w:r w:rsidRPr="00B667D1">
        <w:rPr>
          <w:rFonts w:asciiTheme="minorHAnsi" w:hAnsiTheme="minorHAnsi"/>
        </w:rPr>
        <w:t xml:space="preserve"> adekvátní pracovní úvazek meziročně vzrostla ze 480 823 Kč na 540 746 Kč.</w:t>
      </w:r>
    </w:p>
    <w:p w:rsidR="00B714C6" w:rsidRPr="00B667D1" w:rsidRDefault="00B714C6" w:rsidP="00B714C6">
      <w:pPr>
        <w:pStyle w:val="Odstavecseseznamem"/>
        <w:spacing w:after="0"/>
        <w:ind w:left="360"/>
        <w:rPr>
          <w:b/>
          <w:i/>
          <w:u w:val="single"/>
        </w:rPr>
      </w:pPr>
    </w:p>
    <w:p w:rsidR="00B714C6" w:rsidRPr="00B667D1" w:rsidRDefault="00B714C6" w:rsidP="00B714C6">
      <w:pPr>
        <w:pStyle w:val="Odstavecseseznamem"/>
        <w:spacing w:after="0"/>
        <w:ind w:left="360"/>
        <w:rPr>
          <w:b/>
          <w:i/>
          <w:u w:val="single"/>
        </w:rPr>
      </w:pPr>
      <w:r w:rsidRPr="00B667D1">
        <w:rPr>
          <w:b/>
          <w:i/>
          <w:u w:val="single"/>
        </w:rPr>
        <w:t>Poznámka:</w:t>
      </w:r>
    </w:p>
    <w:p w:rsidR="00B714C6" w:rsidRPr="00B667D1" w:rsidRDefault="00B714C6" w:rsidP="00B714C6">
      <w:pPr>
        <w:pStyle w:val="Odstavecseseznamem"/>
        <w:spacing w:after="0"/>
        <w:ind w:left="360"/>
        <w:rPr>
          <w:i/>
          <w:sz w:val="18"/>
        </w:rPr>
      </w:pPr>
      <w:r w:rsidRPr="00B667D1">
        <w:rPr>
          <w:i/>
          <w:sz w:val="18"/>
        </w:rPr>
        <w:t>Tuto částku tvoří roční mzdové prostředky (tarifní mzda v 11. platové třídě a v 8. platovém stupni, 25 % tarifu pro pohyblivé složky platu z 12. platového stupně, 33,8 % zákonné odvody) a režijní náklady ve výši 32 % mzdových prostředků. Výše tarifu odpovídá 11. platové třídě a 8. platovému stupni.</w:t>
      </w:r>
    </w:p>
    <w:p w:rsidR="00B714C6" w:rsidRPr="00B667D1" w:rsidRDefault="00B714C6" w:rsidP="00B714C6">
      <w:pPr>
        <w:pStyle w:val="Odstavecseseznamem"/>
        <w:spacing w:after="0"/>
        <w:ind w:left="360"/>
        <w:rPr>
          <w:i/>
          <w:sz w:val="18"/>
        </w:rPr>
      </w:pPr>
    </w:p>
    <w:p w:rsidR="00B714C6" w:rsidRPr="00B667D1" w:rsidRDefault="00B714C6" w:rsidP="00B714C6">
      <w:pPr>
        <w:pStyle w:val="Odstavecseseznamem"/>
        <w:numPr>
          <w:ilvl w:val="0"/>
          <w:numId w:val="5"/>
        </w:numPr>
        <w:spacing w:after="0"/>
        <w:rPr>
          <w:rFonts w:asciiTheme="minorHAnsi" w:hAnsiTheme="minorHAnsi"/>
        </w:rPr>
      </w:pPr>
      <w:r w:rsidRPr="00B667D1">
        <w:rPr>
          <w:rFonts w:asciiTheme="minorHAnsi" w:hAnsiTheme="minorHAnsi"/>
        </w:rPr>
        <w:t xml:space="preserve">Prostředky v příspěvku na výkon státní správy pro kraje jsou od roku 2020 rozdělovány dle odhadnutých adekvátních úvazků. </w:t>
      </w:r>
    </w:p>
    <w:p w:rsidR="00B714C6" w:rsidRPr="00B667D1" w:rsidRDefault="00B714C6" w:rsidP="00B714C6">
      <w:pPr>
        <w:pStyle w:val="Odstavecseseznamem"/>
        <w:numPr>
          <w:ilvl w:val="0"/>
          <w:numId w:val="5"/>
        </w:numPr>
        <w:spacing w:after="0"/>
        <w:rPr>
          <w:rFonts w:asciiTheme="minorHAnsi" w:hAnsiTheme="minorHAnsi"/>
        </w:rPr>
      </w:pPr>
      <w:r w:rsidRPr="00B667D1">
        <w:rPr>
          <w:rFonts w:asciiTheme="minorHAnsi" w:hAnsiTheme="minorHAnsi"/>
        </w:rPr>
        <w:t>Příspěvek pro hl. m. Prahu jako kraj je samostatně řešen v příloze č. 7 k zákonu o státním rozpočtu ČR na rok 2021.</w:t>
      </w:r>
    </w:p>
    <w:p w:rsidR="00B714C6" w:rsidRPr="00B667D1" w:rsidRDefault="00B714C6" w:rsidP="00B714C6">
      <w:pPr>
        <w:autoSpaceDE w:val="0"/>
        <w:autoSpaceDN w:val="0"/>
        <w:adjustRightInd w:val="0"/>
        <w:spacing w:after="0"/>
        <w:rPr>
          <w:rFonts w:asciiTheme="minorHAnsi" w:hAnsiTheme="minorHAnsi"/>
          <w:b/>
        </w:rPr>
      </w:pPr>
      <w:r w:rsidRPr="00B667D1">
        <w:rPr>
          <w:rFonts w:asciiTheme="minorHAnsi" w:hAnsiTheme="minorHAnsi"/>
          <w:b/>
        </w:rPr>
        <w:t>Vlivy zohledněné v příspěvku na výkon státní správy pro kraje v roce 2021:</w:t>
      </w:r>
    </w:p>
    <w:p w:rsidR="00B714C6" w:rsidRPr="00B667D1" w:rsidRDefault="00B714C6" w:rsidP="00B714C6">
      <w:pPr>
        <w:pStyle w:val="Odstavecseseznamem"/>
        <w:numPr>
          <w:ilvl w:val="0"/>
          <w:numId w:val="32"/>
        </w:numPr>
        <w:tabs>
          <w:tab w:val="num" w:pos="928"/>
        </w:tabs>
        <w:autoSpaceDE w:val="0"/>
        <w:autoSpaceDN w:val="0"/>
        <w:adjustRightInd w:val="0"/>
        <w:spacing w:after="0"/>
        <w:rPr>
          <w:rFonts w:asciiTheme="minorHAnsi" w:hAnsiTheme="minorHAnsi"/>
        </w:rPr>
      </w:pPr>
      <w:r w:rsidRPr="00B667D1">
        <w:rPr>
          <w:rFonts w:asciiTheme="minorHAnsi" w:hAnsiTheme="minorHAnsi"/>
        </w:rPr>
        <w:t>změna počtu obyvatel jednotlivých správních obvodů kategorií krajů dle bilance obyvatel ČR k 1. 1. 2020 vydané ČSÚ,</w:t>
      </w:r>
    </w:p>
    <w:p w:rsidR="00B714C6" w:rsidRPr="00B714C6" w:rsidRDefault="00B714C6" w:rsidP="00B714C6">
      <w:pPr>
        <w:pStyle w:val="Odstavecseseznamem"/>
        <w:numPr>
          <w:ilvl w:val="0"/>
          <w:numId w:val="32"/>
        </w:numPr>
        <w:tabs>
          <w:tab w:val="num" w:pos="928"/>
        </w:tabs>
        <w:autoSpaceDE w:val="0"/>
        <w:autoSpaceDN w:val="0"/>
        <w:adjustRightInd w:val="0"/>
        <w:spacing w:after="0"/>
        <w:rPr>
          <w:rFonts w:asciiTheme="minorHAnsi" w:hAnsiTheme="minorHAnsi"/>
        </w:rPr>
      </w:pPr>
      <w:r w:rsidRPr="00B667D1">
        <w:rPr>
          <w:rFonts w:asciiTheme="minorHAnsi" w:hAnsiTheme="minorHAnsi"/>
        </w:rPr>
        <w:t>v souvislosti s vypsáním dotačního programu Ministerstva zemědělství na poskytnutí finančního příspěvku n</w:t>
      </w:r>
      <w:r w:rsidR="003B5803">
        <w:rPr>
          <w:rFonts w:asciiTheme="minorHAnsi" w:hAnsiTheme="minorHAnsi"/>
        </w:rPr>
        <w:t>a zmírnění kůrovcové kalamity v </w:t>
      </w:r>
      <w:r w:rsidRPr="00B667D1">
        <w:rPr>
          <w:rFonts w:asciiTheme="minorHAnsi" w:hAnsiTheme="minorHAnsi"/>
        </w:rPr>
        <w:t>nestátních lesích za rok 2019 je pr</w:t>
      </w:r>
      <w:r w:rsidRPr="00B714C6">
        <w:rPr>
          <w:rFonts w:asciiTheme="minorHAnsi" w:hAnsiTheme="minorHAnsi"/>
        </w:rPr>
        <w:t>o agendu státní správy lesů navýšen počet zjištěných úvazků o 2 v každém krajském úřadu,</w:t>
      </w:r>
    </w:p>
    <w:p w:rsidR="00B714C6" w:rsidRPr="00B714C6" w:rsidRDefault="00B714C6" w:rsidP="00B714C6">
      <w:pPr>
        <w:pStyle w:val="Odstavecseseznamem"/>
        <w:numPr>
          <w:ilvl w:val="0"/>
          <w:numId w:val="32"/>
        </w:numPr>
        <w:tabs>
          <w:tab w:val="num" w:pos="928"/>
        </w:tabs>
        <w:autoSpaceDE w:val="0"/>
        <w:autoSpaceDN w:val="0"/>
        <w:adjustRightInd w:val="0"/>
        <w:spacing w:after="0"/>
        <w:rPr>
          <w:rFonts w:asciiTheme="minorHAnsi" w:hAnsiTheme="minorHAnsi"/>
        </w:rPr>
      </w:pPr>
      <w:r w:rsidRPr="00B714C6">
        <w:rPr>
          <w:rFonts w:asciiTheme="minorHAnsi" w:hAnsiTheme="minorHAnsi"/>
        </w:rPr>
        <w:t xml:space="preserve">úprava parametrů pro kalkulaci nákladů na modelový pracovní úvazek (při výpočtu kalkulován 8. platový stupeň namísto 7., navýšeno osobní ohodnocení na 25 % z 20 % a jeho výpočet vztažen </w:t>
      </w:r>
      <w:r w:rsidRPr="00B714C6">
        <w:rPr>
          <w:rFonts w:asciiTheme="minorHAnsi" w:hAnsiTheme="minorHAnsi"/>
        </w:rPr>
        <w:lastRenderedPageBreak/>
        <w:t>k nejvyššímu tj. 12. platovému stupni namísto původně 7.</w:t>
      </w:r>
      <w:r w:rsidR="003B1F19">
        <w:rPr>
          <w:rFonts w:asciiTheme="minorHAnsi" w:hAnsiTheme="minorHAnsi"/>
        </w:rPr>
        <w:t>)</w:t>
      </w:r>
      <w:r w:rsidRPr="00B714C6">
        <w:rPr>
          <w:rFonts w:asciiTheme="minorHAnsi" w:hAnsiTheme="minorHAnsi"/>
        </w:rPr>
        <w:t>,</w:t>
      </w:r>
    </w:p>
    <w:p w:rsidR="00B714C6" w:rsidRPr="00B714C6" w:rsidRDefault="00B714C6" w:rsidP="00B714C6">
      <w:pPr>
        <w:pStyle w:val="Odstavecseseznamem"/>
        <w:numPr>
          <w:ilvl w:val="0"/>
          <w:numId w:val="32"/>
        </w:numPr>
        <w:tabs>
          <w:tab w:val="num" w:pos="928"/>
        </w:tabs>
        <w:autoSpaceDE w:val="0"/>
        <w:autoSpaceDN w:val="0"/>
        <w:adjustRightInd w:val="0"/>
        <w:spacing w:after="0"/>
        <w:rPr>
          <w:rFonts w:asciiTheme="minorHAnsi" w:hAnsiTheme="minorHAnsi"/>
          <w:b/>
          <w:bCs/>
        </w:rPr>
      </w:pPr>
      <w:r w:rsidRPr="00B714C6">
        <w:rPr>
          <w:rFonts w:asciiTheme="minorHAnsi" w:hAnsiTheme="minorHAnsi"/>
          <w:b/>
        </w:rPr>
        <w:lastRenderedPageBreak/>
        <w:t>celkový objem příspěvku pro kraje byl pro rok 2021 valorizován o 11,59 %.</w:t>
      </w:r>
    </w:p>
    <w:p w:rsidR="00F3378E" w:rsidRDefault="00F3378E" w:rsidP="00B82CB7">
      <w:pPr>
        <w:spacing w:after="0"/>
        <w:rPr>
          <w:b/>
          <w:sz w:val="26"/>
          <w:szCs w:val="26"/>
        </w:rPr>
        <w:sectPr w:rsidR="00F3378E" w:rsidSect="00512667">
          <w:type w:val="continuous"/>
          <w:pgSz w:w="11906" w:h="16838" w:code="9"/>
          <w:pgMar w:top="1134" w:right="1134" w:bottom="1134" w:left="1134" w:header="709" w:footer="709" w:gutter="0"/>
          <w:cols w:num="2" w:space="397"/>
          <w:docGrid w:linePitch="360"/>
        </w:sectPr>
      </w:pPr>
    </w:p>
    <w:p w:rsidR="00512667" w:rsidRDefault="0026624D" w:rsidP="00543F32">
      <w:pPr>
        <w:pStyle w:val="Nadpis3"/>
      </w:pPr>
      <w:bookmarkStart w:id="95" w:name="_Toc17962170"/>
      <w:bookmarkStart w:id="96" w:name="_Toc54337193"/>
      <w:r w:rsidRPr="009C0506">
        <w:lastRenderedPageBreak/>
        <w:t>Ostatní dotace z kapitoly Všeobecná pokladní správa</w:t>
      </w:r>
      <w:bookmarkEnd w:id="93"/>
      <w:bookmarkEnd w:id="94"/>
      <w:bookmarkEnd w:id="95"/>
      <w:bookmarkEnd w:id="96"/>
    </w:p>
    <w:p w:rsidR="00543F32" w:rsidRPr="00543F32" w:rsidRDefault="00543F32" w:rsidP="00543F32">
      <w:pPr>
        <w:pStyle w:val="Nadpis1"/>
        <w:numPr>
          <w:ilvl w:val="0"/>
          <w:numId w:val="0"/>
        </w:numPr>
        <w:sectPr w:rsidR="00543F32" w:rsidRPr="00543F32" w:rsidSect="004E7A79">
          <w:type w:val="continuous"/>
          <w:pgSz w:w="11906" w:h="16838" w:code="9"/>
          <w:pgMar w:top="1134" w:right="1134" w:bottom="1134" w:left="1134" w:header="709" w:footer="709" w:gutter="0"/>
          <w:cols w:space="708"/>
          <w:docGrid w:linePitch="360"/>
        </w:sectPr>
      </w:pPr>
    </w:p>
    <w:p w:rsidR="00457235" w:rsidRDefault="0015239A" w:rsidP="00543F32">
      <w:pPr>
        <w:keepNext/>
        <w:tabs>
          <w:tab w:val="num" w:pos="567"/>
          <w:tab w:val="right" w:pos="9072"/>
        </w:tabs>
        <w:spacing w:before="120"/>
        <w:jc w:val="left"/>
        <w:rPr>
          <w:rFonts w:asciiTheme="minorHAnsi" w:hAnsiTheme="minorHAnsi"/>
          <w:iCs/>
        </w:rPr>
        <w:sectPr w:rsidR="00457235" w:rsidSect="00512667">
          <w:type w:val="continuous"/>
          <w:pgSz w:w="11906" w:h="16838" w:code="9"/>
          <w:pgMar w:top="1134" w:right="1134" w:bottom="1134" w:left="1134" w:header="709" w:footer="709" w:gutter="0"/>
          <w:cols w:num="2" w:space="397"/>
          <w:docGrid w:linePitch="360"/>
        </w:sectPr>
      </w:pPr>
      <w:r w:rsidRPr="00DF0B7F">
        <w:rPr>
          <w:rFonts w:asciiTheme="minorHAnsi" w:hAnsiTheme="minorHAnsi"/>
          <w:iCs/>
        </w:rPr>
        <w:lastRenderedPageBreak/>
        <w:t>V ukazateli „</w:t>
      </w:r>
      <w:r w:rsidRPr="00DF0B7F">
        <w:rPr>
          <w:rFonts w:asciiTheme="minorHAnsi" w:hAnsiTheme="minorHAnsi"/>
          <w:b/>
          <w:iCs/>
        </w:rPr>
        <w:t>Výdaje vedené v informačním systému programového financování EDS/SMVS celkem</w:t>
      </w:r>
      <w:r w:rsidR="00DF3E31" w:rsidRPr="00DF0B7F">
        <w:rPr>
          <w:rFonts w:asciiTheme="minorHAnsi" w:hAnsiTheme="minorHAnsi"/>
          <w:b/>
          <w:iCs/>
        </w:rPr>
        <w:t>“</w:t>
      </w:r>
      <w:r w:rsidRPr="00DF0B7F">
        <w:rPr>
          <w:rFonts w:asciiTheme="minorHAnsi" w:hAnsiTheme="minorHAnsi"/>
          <w:iCs/>
        </w:rPr>
        <w:t xml:space="preserve"> </w:t>
      </w:r>
      <w:r w:rsidR="00457235">
        <w:rPr>
          <w:rFonts w:asciiTheme="minorHAnsi" w:hAnsiTheme="minorHAnsi"/>
          <w:iCs/>
        </w:rPr>
        <w:t xml:space="preserve">jsou pro </w:t>
      </w:r>
      <w:r w:rsidR="00457235">
        <w:rPr>
          <w:rFonts w:asciiTheme="minorHAnsi" w:hAnsiTheme="minorHAnsi"/>
          <w:iCs/>
        </w:rPr>
        <w:lastRenderedPageBreak/>
        <w:t xml:space="preserve">kraje rozpočtovány prostředky ve výši </w:t>
      </w:r>
      <w:r w:rsidR="00457235" w:rsidRPr="00543F32">
        <w:rPr>
          <w:rFonts w:asciiTheme="minorHAnsi" w:hAnsiTheme="minorHAnsi"/>
          <w:b/>
          <w:iCs/>
        </w:rPr>
        <w:t>40 000 tis. Kč</w:t>
      </w:r>
      <w:r w:rsidR="00457235">
        <w:rPr>
          <w:rFonts w:asciiTheme="minorHAnsi" w:hAnsiTheme="minorHAnsi"/>
          <w:iCs/>
        </w:rPr>
        <w:t xml:space="preserve">, a to v následujících programech: </w:t>
      </w:r>
      <w:r w:rsidRPr="00DF0B7F">
        <w:rPr>
          <w:rFonts w:asciiTheme="minorHAnsi" w:hAnsiTheme="minorHAnsi"/>
          <w:iCs/>
        </w:rPr>
        <w:t xml:space="preserve"> </w:t>
      </w:r>
    </w:p>
    <w:p w:rsidR="00457235" w:rsidRPr="00457235" w:rsidRDefault="00457235" w:rsidP="00727F67">
      <w:pPr>
        <w:pStyle w:val="Odstavecseseznamem"/>
        <w:keepNext/>
        <w:numPr>
          <w:ilvl w:val="0"/>
          <w:numId w:val="33"/>
        </w:numPr>
        <w:tabs>
          <w:tab w:val="right" w:pos="9072"/>
        </w:tabs>
        <w:spacing w:before="120"/>
        <w:ind w:left="284" w:hanging="284"/>
        <w:rPr>
          <w:rFonts w:asciiTheme="minorHAnsi" w:hAnsiTheme="minorHAnsi"/>
          <w:b/>
          <w:bCs/>
          <w:iCs/>
        </w:rPr>
      </w:pPr>
      <w:r w:rsidRPr="00457235">
        <w:rPr>
          <w:rFonts w:asciiTheme="minorHAnsi" w:hAnsiTheme="minorHAnsi"/>
          <w:b/>
          <w:bCs/>
          <w:iCs/>
        </w:rPr>
        <w:lastRenderedPageBreak/>
        <w:t>Program 298 24 – Podpora a rozvoj oblastí života obcí a krajů, kterým stanovila prioritu vláda ČR (</w:t>
      </w:r>
      <w:r w:rsidR="00543F32">
        <w:rPr>
          <w:rFonts w:asciiTheme="minorHAnsi" w:hAnsiTheme="minorHAnsi"/>
          <w:b/>
          <w:bCs/>
          <w:iCs/>
        </w:rPr>
        <w:t>40</w:t>
      </w:r>
      <w:r w:rsidR="006136D8">
        <w:rPr>
          <w:rFonts w:asciiTheme="minorHAnsi" w:hAnsiTheme="minorHAnsi"/>
          <w:b/>
          <w:bCs/>
          <w:iCs/>
        </w:rPr>
        <w:t> </w:t>
      </w:r>
      <w:r w:rsidR="00543F32">
        <w:rPr>
          <w:rFonts w:asciiTheme="minorHAnsi" w:hAnsiTheme="minorHAnsi"/>
          <w:b/>
          <w:bCs/>
          <w:iCs/>
        </w:rPr>
        <w:t>000</w:t>
      </w:r>
      <w:r w:rsidR="006136D8">
        <w:rPr>
          <w:rFonts w:asciiTheme="minorHAnsi" w:hAnsiTheme="minorHAnsi"/>
          <w:b/>
          <w:bCs/>
          <w:iCs/>
        </w:rPr>
        <w:t> </w:t>
      </w:r>
      <w:r w:rsidRPr="00457235">
        <w:rPr>
          <w:rFonts w:asciiTheme="minorHAnsi" w:hAnsiTheme="minorHAnsi"/>
          <w:b/>
          <w:bCs/>
          <w:iCs/>
        </w:rPr>
        <w:t>tis.</w:t>
      </w:r>
      <w:r w:rsidR="00543F32">
        <w:rPr>
          <w:rFonts w:asciiTheme="minorHAnsi" w:hAnsiTheme="minorHAnsi"/>
          <w:b/>
          <w:bCs/>
          <w:iCs/>
        </w:rPr>
        <w:t> </w:t>
      </w:r>
      <w:r w:rsidRPr="00457235">
        <w:rPr>
          <w:rFonts w:asciiTheme="minorHAnsi" w:hAnsiTheme="minorHAnsi"/>
          <w:b/>
          <w:bCs/>
          <w:iCs/>
        </w:rPr>
        <w:t>Kč)</w:t>
      </w:r>
    </w:p>
    <w:p w:rsidR="00457235" w:rsidRDefault="00457235" w:rsidP="00512667">
      <w:pPr>
        <w:suppressAutoHyphens/>
        <w:spacing w:after="0"/>
        <w:rPr>
          <w:rFonts w:asciiTheme="minorHAnsi" w:hAnsiTheme="minorHAnsi"/>
          <w:iCs/>
        </w:rPr>
        <w:sectPr w:rsidR="00457235" w:rsidSect="00457235">
          <w:type w:val="continuous"/>
          <w:pgSz w:w="11906" w:h="16838" w:code="9"/>
          <w:pgMar w:top="1134" w:right="1134" w:bottom="1134" w:left="1134" w:header="709" w:footer="709" w:gutter="0"/>
          <w:cols w:space="397"/>
          <w:docGrid w:linePitch="360"/>
        </w:sectPr>
      </w:pPr>
    </w:p>
    <w:p w:rsidR="00457235" w:rsidRDefault="00543F32" w:rsidP="00081E3B">
      <w:pPr>
        <w:suppressAutoHyphens/>
        <w:spacing w:after="0"/>
        <w:ind w:left="284"/>
        <w:rPr>
          <w:rFonts w:asciiTheme="minorHAnsi" w:hAnsiTheme="minorHAnsi"/>
          <w:iCs/>
        </w:rPr>
      </w:pPr>
      <w:r>
        <w:rPr>
          <w:iCs/>
        </w:rPr>
        <w:lastRenderedPageBreak/>
        <w:t xml:space="preserve">Částka 40 000 tis. Kč představuje prostředky na výkupy pozemků pod silnicemi II. a III. třídy. Další etapu této podpory ze strany státu, která bude </w:t>
      </w:r>
      <w:r>
        <w:rPr>
          <w:iCs/>
        </w:rPr>
        <w:lastRenderedPageBreak/>
        <w:t>ukončena v roce 2023, schválila vláda svým usnesením č. 645/2020.</w:t>
      </w:r>
    </w:p>
    <w:p w:rsidR="00175984" w:rsidRDefault="00175984" w:rsidP="00175984">
      <w:pPr>
        <w:suppressAutoHyphens/>
        <w:spacing w:after="0"/>
        <w:ind w:left="284"/>
        <w:rPr>
          <w:rFonts w:asciiTheme="minorHAnsi" w:hAnsiTheme="minorHAnsi"/>
          <w:iCs/>
        </w:rPr>
        <w:sectPr w:rsidR="00175984" w:rsidSect="00175984">
          <w:type w:val="continuous"/>
          <w:pgSz w:w="11906" w:h="16838" w:code="9"/>
          <w:pgMar w:top="1134" w:right="1134" w:bottom="1134" w:left="1134" w:header="709" w:footer="709" w:gutter="0"/>
          <w:cols w:num="2" w:space="397"/>
          <w:docGrid w:linePitch="360"/>
        </w:sectPr>
      </w:pPr>
    </w:p>
    <w:p w:rsidR="00175984" w:rsidRDefault="00175984" w:rsidP="00175984">
      <w:pPr>
        <w:suppressAutoHyphens/>
        <w:spacing w:after="0"/>
        <w:ind w:left="284"/>
        <w:rPr>
          <w:rFonts w:asciiTheme="minorHAnsi" w:hAnsiTheme="minorHAnsi"/>
          <w:iCs/>
        </w:rPr>
      </w:pPr>
    </w:p>
    <w:p w:rsidR="00AA0E4D" w:rsidRDefault="00AA0E4D" w:rsidP="00175984">
      <w:pPr>
        <w:suppressAutoHyphens/>
        <w:spacing w:after="0"/>
        <w:ind w:left="284"/>
        <w:rPr>
          <w:rFonts w:asciiTheme="minorHAnsi" w:hAnsiTheme="minorHAnsi"/>
          <w:iCs/>
        </w:rPr>
        <w:sectPr w:rsidR="00AA0E4D" w:rsidSect="00175984">
          <w:type w:val="continuous"/>
          <w:pgSz w:w="11906" w:h="16838" w:code="9"/>
          <w:pgMar w:top="1134" w:right="1134" w:bottom="1134" w:left="1134" w:header="709" w:footer="709" w:gutter="0"/>
          <w:cols w:space="397"/>
          <w:docGrid w:linePitch="360"/>
        </w:sectPr>
      </w:pPr>
    </w:p>
    <w:p w:rsidR="003B5803" w:rsidRPr="00543F32" w:rsidRDefault="0026624D" w:rsidP="00AA0E4D">
      <w:pPr>
        <w:suppressAutoHyphens/>
        <w:spacing w:after="0"/>
        <w:rPr>
          <w:rFonts w:asciiTheme="minorHAnsi" w:hAnsiTheme="minorHAnsi"/>
          <w:iCs/>
        </w:rPr>
        <w:sectPr w:rsidR="003B5803" w:rsidRPr="00543F32" w:rsidSect="00AA0E4D">
          <w:type w:val="continuous"/>
          <w:pgSz w:w="11906" w:h="16838" w:code="9"/>
          <w:pgMar w:top="1134" w:right="1134" w:bottom="1134" w:left="1134" w:header="709" w:footer="709" w:gutter="0"/>
          <w:cols w:num="2" w:space="397"/>
          <w:docGrid w:linePitch="360"/>
        </w:sectPr>
      </w:pPr>
      <w:r w:rsidRPr="00DF0B7F">
        <w:rPr>
          <w:rFonts w:asciiTheme="minorHAnsi" w:hAnsiTheme="minorHAnsi"/>
          <w:iCs/>
        </w:rPr>
        <w:lastRenderedPageBreak/>
        <w:t xml:space="preserve">V ukazateli </w:t>
      </w:r>
      <w:r w:rsidRPr="00AA0E4D">
        <w:rPr>
          <w:rFonts w:asciiTheme="minorHAnsi" w:hAnsiTheme="minorHAnsi"/>
          <w:iCs/>
        </w:rPr>
        <w:t>„</w:t>
      </w:r>
      <w:r w:rsidRPr="005F12E1">
        <w:rPr>
          <w:rFonts w:asciiTheme="minorHAnsi" w:hAnsiTheme="minorHAnsi"/>
          <w:b/>
          <w:iCs/>
        </w:rPr>
        <w:t>Další prostředky pro územní samosprávné celky“</w:t>
      </w:r>
      <w:r w:rsidRPr="00DF0B7F">
        <w:rPr>
          <w:rFonts w:asciiTheme="minorHAnsi" w:hAnsiTheme="minorHAnsi"/>
          <w:iCs/>
        </w:rPr>
        <w:t xml:space="preserve"> jsou rozpočtovány </w:t>
      </w:r>
      <w:r w:rsidR="00512667" w:rsidRPr="00DF0B7F">
        <w:rPr>
          <w:rFonts w:asciiTheme="minorHAnsi" w:hAnsiTheme="minorHAnsi"/>
          <w:iCs/>
        </w:rPr>
        <w:t xml:space="preserve">finanční prostředky ve výši </w:t>
      </w:r>
      <w:r w:rsidR="004F2141" w:rsidRPr="006E43B6">
        <w:rPr>
          <w:rFonts w:asciiTheme="minorHAnsi" w:hAnsiTheme="minorHAnsi"/>
          <w:b/>
          <w:iCs/>
        </w:rPr>
        <w:t>193</w:t>
      </w:r>
      <w:r w:rsidR="00B71914" w:rsidRPr="006E43B6">
        <w:rPr>
          <w:rFonts w:asciiTheme="minorHAnsi" w:hAnsiTheme="minorHAnsi"/>
          <w:b/>
          <w:iCs/>
        </w:rPr>
        <w:t> </w:t>
      </w:r>
      <w:r w:rsidR="004F2141" w:rsidRPr="006E43B6">
        <w:rPr>
          <w:rFonts w:asciiTheme="minorHAnsi" w:hAnsiTheme="minorHAnsi"/>
          <w:b/>
          <w:iCs/>
        </w:rPr>
        <w:t>495</w:t>
      </w:r>
      <w:r w:rsidR="00B71914" w:rsidRPr="006E43B6">
        <w:rPr>
          <w:rFonts w:asciiTheme="minorHAnsi" w:hAnsiTheme="minorHAnsi"/>
          <w:b/>
          <w:iCs/>
        </w:rPr>
        <w:t xml:space="preserve"> </w:t>
      </w:r>
      <w:r w:rsidRPr="006E43B6">
        <w:rPr>
          <w:rFonts w:asciiTheme="minorHAnsi" w:hAnsiTheme="minorHAnsi"/>
          <w:b/>
          <w:iCs/>
        </w:rPr>
        <w:t>tis.</w:t>
      </w:r>
      <w:r w:rsidR="00175984" w:rsidRPr="006E43B6">
        <w:rPr>
          <w:rFonts w:asciiTheme="minorHAnsi" w:hAnsiTheme="minorHAnsi"/>
          <w:b/>
          <w:iCs/>
        </w:rPr>
        <w:t xml:space="preserve"> </w:t>
      </w:r>
      <w:r w:rsidRPr="006E43B6">
        <w:rPr>
          <w:rFonts w:asciiTheme="minorHAnsi" w:hAnsiTheme="minorHAnsi"/>
          <w:b/>
          <w:iCs/>
        </w:rPr>
        <w:t>Kč.</w:t>
      </w:r>
      <w:r w:rsidRPr="00DF0B7F">
        <w:rPr>
          <w:rFonts w:asciiTheme="minorHAnsi" w:hAnsiTheme="minorHAnsi"/>
          <w:iCs/>
        </w:rPr>
        <w:t xml:space="preserve"> Ten obsahuje tituly, které nelze </w:t>
      </w:r>
      <w:r w:rsidRPr="00DF0B7F">
        <w:rPr>
          <w:rFonts w:asciiTheme="minorHAnsi" w:hAnsiTheme="minorHAnsi"/>
          <w:iCs/>
        </w:rPr>
        <w:lastRenderedPageBreak/>
        <w:t>rozpočtovat u konkrétních příjemců v</w:t>
      </w:r>
      <w:r w:rsidR="00AA0E4D">
        <w:rPr>
          <w:rFonts w:asciiTheme="minorHAnsi" w:hAnsiTheme="minorHAnsi"/>
          <w:iCs/>
        </w:rPr>
        <w:t xml:space="preserve"> </w:t>
      </w:r>
      <w:r w:rsidRPr="00DF0B7F">
        <w:rPr>
          <w:rFonts w:asciiTheme="minorHAnsi" w:hAnsiTheme="minorHAnsi"/>
          <w:iCs/>
        </w:rPr>
        <w:t xml:space="preserve">době sestavování rozpočtu, </w:t>
      </w:r>
      <w:r w:rsidRPr="00AA0E4D">
        <w:rPr>
          <w:rFonts w:asciiTheme="minorHAnsi" w:hAnsiTheme="minorHAnsi"/>
          <w:iCs/>
        </w:rPr>
        <w:t xml:space="preserve">součástí je </w:t>
      </w:r>
      <w:r w:rsidR="0015239A" w:rsidRPr="00AA0E4D">
        <w:rPr>
          <w:rFonts w:asciiTheme="minorHAnsi" w:hAnsiTheme="minorHAnsi"/>
          <w:iCs/>
        </w:rPr>
        <w:t>např.</w:t>
      </w:r>
      <w:r w:rsidR="00AA0E4D">
        <w:rPr>
          <w:rFonts w:asciiTheme="minorHAnsi" w:hAnsiTheme="minorHAnsi"/>
          <w:iCs/>
        </w:rPr>
        <w:t xml:space="preserve"> rozpočtová</w:t>
      </w:r>
      <w:r w:rsidRPr="00AA0E4D">
        <w:rPr>
          <w:rFonts w:asciiTheme="minorHAnsi" w:hAnsiTheme="minorHAnsi"/>
          <w:iCs/>
        </w:rPr>
        <w:t xml:space="preserve"> polož</w:t>
      </w:r>
      <w:r w:rsidR="00FC4CC4">
        <w:rPr>
          <w:rFonts w:asciiTheme="minorHAnsi" w:hAnsiTheme="minorHAnsi"/>
          <w:iCs/>
        </w:rPr>
        <w:t>ka:</w:t>
      </w:r>
    </w:p>
    <w:p w:rsidR="00512667" w:rsidRPr="00AA0E4D" w:rsidRDefault="0026624D" w:rsidP="00AA0E4D">
      <w:pPr>
        <w:keepNext/>
        <w:tabs>
          <w:tab w:val="right" w:pos="9072"/>
        </w:tabs>
        <w:spacing w:before="120"/>
        <w:jc w:val="left"/>
        <w:rPr>
          <w:rFonts w:asciiTheme="minorHAnsi" w:hAnsiTheme="minorHAnsi"/>
          <w:b/>
          <w:iCs/>
        </w:rPr>
        <w:sectPr w:rsidR="00512667" w:rsidRPr="00AA0E4D" w:rsidSect="00175984">
          <w:type w:val="continuous"/>
          <w:pgSz w:w="11906" w:h="16838" w:code="9"/>
          <w:pgMar w:top="1134" w:right="1134" w:bottom="1134" w:left="1134" w:header="709" w:footer="709" w:gutter="0"/>
          <w:cols w:space="708"/>
          <w:docGrid w:linePitch="360"/>
        </w:sectPr>
      </w:pPr>
      <w:r w:rsidRPr="00AA0E4D">
        <w:rPr>
          <w:rFonts w:asciiTheme="minorHAnsi" w:hAnsiTheme="minorHAnsi"/>
          <w:b/>
          <w:iCs/>
        </w:rPr>
        <w:lastRenderedPageBreak/>
        <w:t xml:space="preserve">Prostředky pro řešení aktuálních problémů územních samosprávných celků </w:t>
      </w:r>
    </w:p>
    <w:p w:rsidR="00175984" w:rsidRPr="005F12E1" w:rsidRDefault="0026624D" w:rsidP="005F12E1">
      <w:pPr>
        <w:suppressAutoHyphens/>
        <w:spacing w:after="0"/>
        <w:ind w:left="284"/>
        <w:rPr>
          <w:iCs/>
        </w:rPr>
        <w:sectPr w:rsidR="00175984" w:rsidRPr="005F12E1" w:rsidSect="00AA0E4D">
          <w:type w:val="continuous"/>
          <w:pgSz w:w="11906" w:h="16838" w:code="9"/>
          <w:pgMar w:top="1134" w:right="1134" w:bottom="1134" w:left="1134" w:header="709" w:footer="709" w:gutter="0"/>
          <w:cols w:num="2" w:space="397"/>
          <w:docGrid w:linePitch="360"/>
        </w:sectPr>
      </w:pPr>
      <w:r w:rsidRPr="005F12E1">
        <w:rPr>
          <w:iCs/>
        </w:rPr>
        <w:lastRenderedPageBreak/>
        <w:t xml:space="preserve">Z této položky jsou během roku na základě žádostí uvolňovány prostředky na řešení závažných </w:t>
      </w:r>
      <w:r w:rsidRPr="005F12E1">
        <w:rPr>
          <w:iCs/>
        </w:rPr>
        <w:lastRenderedPageBreak/>
        <w:t>problémů územních samosprávných celků, které nelze postihnout při přípravě státního rozpočtu</w:t>
      </w:r>
      <w:r w:rsidR="005F12E1">
        <w:rPr>
          <w:iCs/>
        </w:rPr>
        <w:t>.</w:t>
      </w:r>
    </w:p>
    <w:p w:rsidR="00512667" w:rsidRDefault="00512667" w:rsidP="00175984">
      <w:pPr>
        <w:suppressAutoHyphens/>
        <w:spacing w:after="0"/>
        <w:rPr>
          <w:b/>
          <w:sz w:val="26"/>
          <w:szCs w:val="26"/>
        </w:rPr>
        <w:sectPr w:rsidR="00512667" w:rsidSect="00512667">
          <w:type w:val="continuous"/>
          <w:pgSz w:w="11906" w:h="16838" w:code="9"/>
          <w:pgMar w:top="1134" w:right="1134" w:bottom="1134" w:left="1134" w:header="709" w:footer="709" w:gutter="0"/>
          <w:cols w:num="2" w:space="397"/>
          <w:docGrid w:linePitch="360"/>
        </w:sectPr>
      </w:pPr>
      <w:bookmarkStart w:id="97" w:name="_Toc206898255"/>
      <w:bookmarkStart w:id="98" w:name="_Toc302458280"/>
    </w:p>
    <w:p w:rsidR="00114547" w:rsidRPr="00B667D1" w:rsidRDefault="0026624D" w:rsidP="004317A0">
      <w:pPr>
        <w:pStyle w:val="Nadpis3"/>
      </w:pPr>
      <w:bookmarkStart w:id="99" w:name="_Toc17962171"/>
      <w:bookmarkStart w:id="100" w:name="_Toc54337194"/>
      <w:r w:rsidRPr="00B667D1">
        <w:lastRenderedPageBreak/>
        <w:t>Dotace z ostatních kapitol státního rozpočtu</w:t>
      </w:r>
      <w:bookmarkEnd w:id="97"/>
      <w:bookmarkEnd w:id="98"/>
      <w:bookmarkEnd w:id="99"/>
      <w:bookmarkEnd w:id="100"/>
    </w:p>
    <w:p w:rsidR="00512667" w:rsidRPr="00B667D1" w:rsidRDefault="00512667" w:rsidP="004317A0">
      <w:pPr>
        <w:pStyle w:val="Nadpis3"/>
        <w:sectPr w:rsidR="00512667" w:rsidRPr="00B667D1" w:rsidSect="004E7A79">
          <w:type w:val="continuous"/>
          <w:pgSz w:w="11906" w:h="16838" w:code="9"/>
          <w:pgMar w:top="1134" w:right="1134" w:bottom="1134" w:left="1134" w:header="709" w:footer="709" w:gutter="0"/>
          <w:cols w:space="708"/>
          <w:docGrid w:linePitch="360"/>
        </w:sectPr>
      </w:pPr>
    </w:p>
    <w:p w:rsidR="0026624D" w:rsidRPr="00B667D1" w:rsidRDefault="0026624D" w:rsidP="00AB00AD">
      <w:pPr>
        <w:suppressAutoHyphens/>
        <w:spacing w:after="0"/>
        <w:rPr>
          <w:rFonts w:asciiTheme="minorHAnsi" w:hAnsiTheme="minorHAnsi"/>
          <w:iCs/>
        </w:rPr>
      </w:pPr>
      <w:r w:rsidRPr="00B667D1">
        <w:rPr>
          <w:rFonts w:asciiTheme="minorHAnsi" w:hAnsiTheme="minorHAnsi"/>
          <w:iCs/>
        </w:rPr>
        <w:lastRenderedPageBreak/>
        <w:t xml:space="preserve">Dotace z ostatních kapitol státního rozpočtu pro kraje jsou rozpočtovány v celkové výši </w:t>
      </w:r>
      <w:r w:rsidR="00C27E92">
        <w:rPr>
          <w:rFonts w:asciiTheme="minorHAnsi" w:hAnsiTheme="minorHAnsi"/>
          <w:iCs/>
        </w:rPr>
        <w:t>175 414 781</w:t>
      </w:r>
      <w:r w:rsidR="00205E0C" w:rsidRPr="00B667D1">
        <w:rPr>
          <w:rFonts w:asciiTheme="minorHAnsi" w:hAnsiTheme="minorHAnsi"/>
          <w:iCs/>
        </w:rPr>
        <w:t xml:space="preserve"> tis. Kč. </w:t>
      </w:r>
      <w:r w:rsidRPr="00B667D1">
        <w:rPr>
          <w:rFonts w:asciiTheme="minorHAnsi" w:hAnsiTheme="minorHAnsi"/>
          <w:iCs/>
        </w:rPr>
        <w:t>Nejvyšší částky dotací jsou rozpočtovány v kapitole Ministerstva</w:t>
      </w:r>
      <w:r w:rsidR="00AB00AD" w:rsidRPr="00B667D1">
        <w:rPr>
          <w:rFonts w:asciiTheme="minorHAnsi" w:hAnsiTheme="minorHAnsi"/>
          <w:iCs/>
        </w:rPr>
        <w:t xml:space="preserve"> </w:t>
      </w:r>
      <w:r w:rsidRPr="00B667D1">
        <w:rPr>
          <w:rFonts w:asciiTheme="minorHAnsi" w:hAnsiTheme="minorHAnsi"/>
          <w:iCs/>
        </w:rPr>
        <w:t>školství,</w:t>
      </w:r>
      <w:r w:rsidR="00AB00AD" w:rsidRPr="00B667D1">
        <w:rPr>
          <w:rFonts w:asciiTheme="minorHAnsi" w:hAnsiTheme="minorHAnsi"/>
          <w:iCs/>
        </w:rPr>
        <w:t xml:space="preserve"> </w:t>
      </w:r>
      <w:r w:rsidRPr="00B667D1">
        <w:rPr>
          <w:rFonts w:asciiTheme="minorHAnsi" w:hAnsiTheme="minorHAnsi"/>
          <w:iCs/>
        </w:rPr>
        <w:t>mládeže</w:t>
      </w:r>
      <w:r w:rsidR="00AB00AD" w:rsidRPr="00B667D1">
        <w:rPr>
          <w:rFonts w:asciiTheme="minorHAnsi" w:hAnsiTheme="minorHAnsi"/>
          <w:iCs/>
        </w:rPr>
        <w:t xml:space="preserve"> a </w:t>
      </w:r>
      <w:r w:rsidRPr="00B667D1">
        <w:rPr>
          <w:rFonts w:asciiTheme="minorHAnsi" w:hAnsiTheme="minorHAnsi"/>
          <w:iCs/>
        </w:rPr>
        <w:t>tělovýchovy</w:t>
      </w:r>
      <w:r w:rsidR="00AB00AD" w:rsidRPr="00B667D1">
        <w:rPr>
          <w:rFonts w:asciiTheme="minorHAnsi" w:hAnsiTheme="minorHAnsi"/>
          <w:iCs/>
        </w:rPr>
        <w:t xml:space="preserve"> </w:t>
      </w:r>
      <w:r w:rsidRPr="00B667D1">
        <w:rPr>
          <w:rFonts w:asciiTheme="minorHAnsi" w:hAnsiTheme="minorHAnsi"/>
          <w:iCs/>
        </w:rPr>
        <w:t>(v předpo</w:t>
      </w:r>
      <w:r w:rsidR="00205E0C" w:rsidRPr="00B667D1">
        <w:rPr>
          <w:rFonts w:asciiTheme="minorHAnsi" w:hAnsiTheme="minorHAnsi"/>
          <w:iCs/>
        </w:rPr>
        <w:t>k</w:t>
      </w:r>
      <w:r w:rsidR="00AB00AD" w:rsidRPr="00B667D1">
        <w:rPr>
          <w:rFonts w:asciiTheme="minorHAnsi" w:hAnsiTheme="minorHAnsi"/>
          <w:iCs/>
        </w:rPr>
        <w:t>lá</w:t>
      </w:r>
      <w:r w:rsidRPr="00B667D1">
        <w:rPr>
          <w:rFonts w:asciiTheme="minorHAnsi" w:hAnsiTheme="minorHAnsi"/>
          <w:iCs/>
        </w:rPr>
        <w:t xml:space="preserve">dané výši </w:t>
      </w:r>
      <w:r w:rsidR="00895AF1">
        <w:rPr>
          <w:rFonts w:asciiTheme="minorHAnsi" w:hAnsiTheme="minorHAnsi"/>
          <w:iCs/>
        </w:rPr>
        <w:t>152</w:t>
      </w:r>
      <w:r w:rsidR="00205E0C" w:rsidRPr="00B667D1">
        <w:rPr>
          <w:rFonts w:asciiTheme="minorHAnsi" w:hAnsiTheme="minorHAnsi"/>
          <w:iCs/>
        </w:rPr>
        <w:t> </w:t>
      </w:r>
      <w:r w:rsidR="00895AF1">
        <w:rPr>
          <w:rFonts w:asciiTheme="minorHAnsi" w:hAnsiTheme="minorHAnsi"/>
          <w:iCs/>
        </w:rPr>
        <w:t>100</w:t>
      </w:r>
      <w:r w:rsidR="009479A6" w:rsidRPr="00B667D1">
        <w:rPr>
          <w:rFonts w:asciiTheme="minorHAnsi" w:hAnsiTheme="minorHAnsi"/>
          <w:iCs/>
        </w:rPr>
        <w:t> </w:t>
      </w:r>
      <w:r w:rsidR="00895AF1">
        <w:rPr>
          <w:rFonts w:asciiTheme="minorHAnsi" w:hAnsiTheme="minorHAnsi"/>
          <w:iCs/>
        </w:rPr>
        <w:t>731</w:t>
      </w:r>
      <w:r w:rsidR="009479A6" w:rsidRPr="00B667D1">
        <w:rPr>
          <w:rFonts w:asciiTheme="minorHAnsi" w:hAnsiTheme="minorHAnsi"/>
          <w:iCs/>
        </w:rPr>
        <w:t xml:space="preserve"> </w:t>
      </w:r>
      <w:r w:rsidR="00205E0C" w:rsidRPr="00B667D1">
        <w:rPr>
          <w:rFonts w:asciiTheme="minorHAnsi" w:hAnsiTheme="minorHAnsi"/>
          <w:iCs/>
        </w:rPr>
        <w:t xml:space="preserve">tis. Kč), </w:t>
      </w:r>
      <w:r w:rsidRPr="00B667D1">
        <w:rPr>
          <w:rFonts w:asciiTheme="minorHAnsi" w:hAnsiTheme="minorHAnsi"/>
          <w:iCs/>
        </w:rPr>
        <w:t xml:space="preserve">která zahrnuje zejména dotace na tzv. přímé výdaje na vzdělávání pro školy a školská zařízení zřizovaná kraji, obcemi, příp. DSO. Významnější částky transferů pro </w:t>
      </w:r>
      <w:r w:rsidRPr="00B667D1">
        <w:rPr>
          <w:rFonts w:asciiTheme="minorHAnsi" w:hAnsiTheme="minorHAnsi"/>
          <w:iCs/>
        </w:rPr>
        <w:lastRenderedPageBreak/>
        <w:t xml:space="preserve">kraje jsou dále rozpočtovány v kapitole Ministerstva práce a sociálních věcí (zejména transfery poskytované kraji podle zákona č. 108/2006 Sb., o sociálních službách, na činnosti kraje v oblasti sociálně právní ochrany dětí apod.) ve výši </w:t>
      </w:r>
      <w:r w:rsidR="00C27E92">
        <w:rPr>
          <w:rFonts w:asciiTheme="minorHAnsi" w:hAnsiTheme="minorHAnsi"/>
          <w:iCs/>
        </w:rPr>
        <w:t>19</w:t>
      </w:r>
      <w:r w:rsidR="00205E0C" w:rsidRPr="00B667D1">
        <w:rPr>
          <w:rFonts w:asciiTheme="minorHAnsi" w:hAnsiTheme="minorHAnsi"/>
          <w:iCs/>
        </w:rPr>
        <w:t> </w:t>
      </w:r>
      <w:r w:rsidR="00C27E92">
        <w:rPr>
          <w:rFonts w:asciiTheme="minorHAnsi" w:hAnsiTheme="minorHAnsi"/>
          <w:iCs/>
        </w:rPr>
        <w:t>683</w:t>
      </w:r>
      <w:r w:rsidR="00205E0C" w:rsidRPr="00B667D1">
        <w:rPr>
          <w:rFonts w:asciiTheme="minorHAnsi" w:hAnsiTheme="minorHAnsi"/>
          <w:iCs/>
        </w:rPr>
        <w:t xml:space="preserve"> </w:t>
      </w:r>
      <w:r w:rsidR="009479A6" w:rsidRPr="00B667D1">
        <w:rPr>
          <w:rFonts w:asciiTheme="minorHAnsi" w:hAnsiTheme="minorHAnsi"/>
          <w:iCs/>
        </w:rPr>
        <w:t>735</w:t>
      </w:r>
      <w:r w:rsidRPr="00B667D1">
        <w:rPr>
          <w:rFonts w:asciiTheme="minorHAnsi" w:hAnsiTheme="minorHAnsi"/>
          <w:iCs/>
        </w:rPr>
        <w:t> tis. Kč a Ministerstva dopravy (prostředky na úhradu ztráty ze závazku ve veřejné drážní osobní dopravě) v</w:t>
      </w:r>
      <w:r w:rsidR="00934BD9" w:rsidRPr="00B667D1">
        <w:rPr>
          <w:rFonts w:asciiTheme="minorHAnsi" w:hAnsiTheme="minorHAnsi"/>
          <w:iCs/>
        </w:rPr>
        <w:t>e</w:t>
      </w:r>
      <w:r w:rsidRPr="00B667D1">
        <w:rPr>
          <w:rFonts w:asciiTheme="minorHAnsi" w:hAnsiTheme="minorHAnsi"/>
          <w:iCs/>
        </w:rPr>
        <w:t xml:space="preserve"> výši </w:t>
      </w:r>
      <w:r w:rsidR="00895AF1">
        <w:rPr>
          <w:rFonts w:asciiTheme="minorHAnsi" w:hAnsiTheme="minorHAnsi"/>
          <w:iCs/>
        </w:rPr>
        <w:t>3 071 822</w:t>
      </w:r>
      <w:r w:rsidR="00205E0C" w:rsidRPr="00B667D1">
        <w:rPr>
          <w:rFonts w:asciiTheme="minorHAnsi" w:hAnsiTheme="minorHAnsi"/>
          <w:iCs/>
        </w:rPr>
        <w:t> </w:t>
      </w:r>
      <w:r w:rsidRPr="00B667D1">
        <w:rPr>
          <w:rFonts w:asciiTheme="minorHAnsi" w:hAnsiTheme="minorHAnsi"/>
          <w:iCs/>
        </w:rPr>
        <w:t>tis. Kč.</w:t>
      </w:r>
    </w:p>
    <w:p w:rsidR="00512667" w:rsidRPr="00B667D1" w:rsidRDefault="00512667" w:rsidP="00AB00AD">
      <w:pPr>
        <w:suppressAutoHyphens/>
        <w:spacing w:line="360" w:lineRule="auto"/>
        <w:sectPr w:rsidR="00512667" w:rsidRPr="00B667D1" w:rsidSect="00512667">
          <w:type w:val="continuous"/>
          <w:pgSz w:w="11906" w:h="16838" w:code="9"/>
          <w:pgMar w:top="1134" w:right="1134" w:bottom="1134" w:left="1134" w:header="709" w:footer="709" w:gutter="0"/>
          <w:cols w:num="2" w:space="397"/>
          <w:docGrid w:linePitch="360"/>
        </w:sectPr>
      </w:pPr>
    </w:p>
    <w:p w:rsidR="0026624D" w:rsidRPr="00B667D1" w:rsidRDefault="0068041D" w:rsidP="005C6303">
      <w:pPr>
        <w:pStyle w:val="Nadpis2"/>
      </w:pPr>
      <w:bookmarkStart w:id="101" w:name="_Toc17962172"/>
      <w:bookmarkStart w:id="102" w:name="_Toc54337195"/>
      <w:r w:rsidRPr="00B667D1">
        <w:lastRenderedPageBreak/>
        <w:t>Dotace ze státního rozpočtu pro regionální rady regionů soudržnosti</w:t>
      </w:r>
      <w:r w:rsidR="00A6331E" w:rsidRPr="00B667D1">
        <w:t xml:space="preserve"> v roce 202</w:t>
      </w:r>
      <w:bookmarkEnd w:id="101"/>
      <w:r w:rsidR="008D55BA" w:rsidRPr="00B667D1">
        <w:t>1</w:t>
      </w:r>
      <w:bookmarkEnd w:id="102"/>
    </w:p>
    <w:p w:rsidR="00512667" w:rsidRPr="00B667D1" w:rsidRDefault="00512667" w:rsidP="005C6303">
      <w:pPr>
        <w:pStyle w:val="Nadpis2"/>
        <w:sectPr w:rsidR="00512667" w:rsidRPr="00B667D1" w:rsidSect="004E7A79">
          <w:type w:val="continuous"/>
          <w:pgSz w:w="11906" w:h="16838" w:code="9"/>
          <w:pgMar w:top="1134" w:right="1134" w:bottom="1134" w:left="1134" w:header="709" w:footer="709" w:gutter="0"/>
          <w:cols w:space="708"/>
          <w:docGrid w:linePitch="360"/>
        </w:sectPr>
      </w:pPr>
    </w:p>
    <w:p w:rsidR="00203DD2" w:rsidRPr="00DF0B7F" w:rsidRDefault="00203DD2" w:rsidP="000C2B9C">
      <w:pPr>
        <w:suppressAutoHyphens/>
        <w:spacing w:after="0"/>
        <w:rPr>
          <w:rFonts w:asciiTheme="minorHAnsi" w:hAnsiTheme="minorHAnsi"/>
          <w:iCs/>
        </w:rPr>
      </w:pPr>
      <w:r w:rsidRPr="00B667D1">
        <w:rPr>
          <w:rFonts w:asciiTheme="minorHAnsi" w:hAnsiTheme="minorHAnsi"/>
          <w:iCs/>
        </w:rPr>
        <w:lastRenderedPageBreak/>
        <w:t xml:space="preserve">I </w:t>
      </w:r>
      <w:r w:rsidR="000C2B9C" w:rsidRPr="00B667D1">
        <w:rPr>
          <w:rFonts w:asciiTheme="minorHAnsi" w:hAnsiTheme="minorHAnsi"/>
          <w:iCs/>
        </w:rPr>
        <w:t>v roce 202</w:t>
      </w:r>
      <w:r w:rsidR="00D51A99">
        <w:rPr>
          <w:rFonts w:asciiTheme="minorHAnsi" w:hAnsiTheme="minorHAnsi"/>
          <w:iCs/>
        </w:rPr>
        <w:t>1</w:t>
      </w:r>
      <w:r w:rsidRPr="00B667D1">
        <w:rPr>
          <w:rFonts w:asciiTheme="minorHAnsi" w:hAnsiTheme="minorHAnsi"/>
          <w:iCs/>
        </w:rPr>
        <w:t xml:space="preserve"> se počítá s financováním RR v rámci OP Technická pomoc 2014+.</w:t>
      </w:r>
    </w:p>
    <w:p w:rsidR="00512667" w:rsidRPr="00DF0B7F" w:rsidRDefault="00512667" w:rsidP="00D45D73">
      <w:pPr>
        <w:sectPr w:rsidR="00512667" w:rsidRPr="00DF0B7F" w:rsidSect="00B730BC">
          <w:type w:val="continuous"/>
          <w:pgSz w:w="11906" w:h="16838" w:code="9"/>
          <w:pgMar w:top="1134" w:right="1134" w:bottom="1134" w:left="1134" w:header="709" w:footer="709" w:gutter="0"/>
          <w:cols w:space="397"/>
          <w:docGrid w:linePitch="360"/>
        </w:sectPr>
      </w:pPr>
    </w:p>
    <w:p w:rsidR="0026624D" w:rsidRPr="00DF0B7F" w:rsidRDefault="0026624D" w:rsidP="009C0506"/>
    <w:sectPr w:rsidR="0026624D" w:rsidRPr="00DF0B7F" w:rsidSect="00B730BC">
      <w:type w:val="continuous"/>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F3A" w:rsidRDefault="005D3F3A">
      <w:r>
        <w:separator/>
      </w:r>
    </w:p>
    <w:p w:rsidR="005D3F3A" w:rsidRDefault="005D3F3A"/>
    <w:p w:rsidR="005D3F3A" w:rsidRDefault="005D3F3A"/>
  </w:endnote>
  <w:endnote w:type="continuationSeparator" w:id="0">
    <w:p w:rsidR="005D3F3A" w:rsidRDefault="005D3F3A">
      <w:r>
        <w:continuationSeparator/>
      </w:r>
    </w:p>
    <w:p w:rsidR="005D3F3A" w:rsidRDefault="005D3F3A"/>
    <w:p w:rsidR="005D3F3A" w:rsidRDefault="005D3F3A"/>
  </w:endnote>
  <w:endnote w:type="continuationNotice" w:id="1">
    <w:p w:rsidR="005D3F3A" w:rsidRDefault="005D3F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5F" w:usb2="00000000"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D7" w:rsidRPr="00A12A05" w:rsidRDefault="00EF36D7" w:rsidP="00A12A0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D7" w:rsidRDefault="00EF36D7">
    <w:pPr>
      <w:pStyle w:val="Zpat"/>
      <w:jc w:val="center"/>
    </w:pPr>
    <w:r>
      <w:fldChar w:fldCharType="begin"/>
    </w:r>
    <w:r>
      <w:instrText>PAGE   \* MERGEFORMAT</w:instrText>
    </w:r>
    <w:r>
      <w:fldChar w:fldCharType="separate"/>
    </w:r>
    <w:r w:rsidR="002E13F3">
      <w:rPr>
        <w:noProof/>
      </w:rPr>
      <w:t>1</w:t>
    </w:r>
    <w:r>
      <w:fldChar w:fldCharType="end"/>
    </w:r>
  </w:p>
  <w:p w:rsidR="00EF36D7" w:rsidRDefault="00EF36D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EF36D7" w:rsidRPr="00175F17" w:rsidTr="0029574E">
      <w:trPr>
        <w:cantSplit/>
      </w:trPr>
      <w:tc>
        <w:tcPr>
          <w:tcW w:w="950" w:type="pct"/>
          <w:shd w:val="clear" w:color="auto" w:fill="auto"/>
          <w:vAlign w:val="center"/>
        </w:tcPr>
        <w:p w:rsidR="00EF36D7" w:rsidRPr="00175F17" w:rsidRDefault="00EF36D7" w:rsidP="0029574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2</w:t>
          </w:r>
          <w:r>
            <w:rPr>
              <w:rStyle w:val="slostrnky"/>
              <w:sz w:val="32"/>
              <w:szCs w:val="32"/>
            </w:rPr>
            <w:fldChar w:fldCharType="end"/>
          </w:r>
        </w:p>
      </w:tc>
      <w:tc>
        <w:tcPr>
          <w:tcW w:w="4050" w:type="pct"/>
          <w:shd w:val="clear" w:color="auto" w:fill="auto"/>
          <w:vAlign w:val="center"/>
        </w:tcPr>
        <w:p w:rsidR="00EF36D7" w:rsidRPr="00175F17" w:rsidRDefault="00EF36D7" w:rsidP="0029574E">
          <w:pPr>
            <w:suppressAutoHyphens/>
            <w:spacing w:after="0"/>
            <w:jc w:val="left"/>
            <w:rPr>
              <w:color w:val="999999"/>
              <w:sz w:val="32"/>
              <w:szCs w:val="32"/>
            </w:rPr>
          </w:pPr>
        </w:p>
      </w:tc>
    </w:tr>
  </w:tbl>
  <w:p w:rsidR="00EF36D7" w:rsidRPr="00A12A05" w:rsidRDefault="00EF36D7" w:rsidP="00A12A05">
    <w:pPr>
      <w:pStyle w:val="Zpat"/>
    </w:pPr>
    <w:r>
      <w:rPr>
        <w:noProof/>
      </w:rPr>
      <mc:AlternateContent>
        <mc:Choice Requires="wps">
          <w:drawing>
            <wp:anchor distT="0" distB="0" distL="114300" distR="114300" simplePos="0" relativeHeight="251657728" behindDoc="0" locked="0" layoutInCell="1" allowOverlap="1" wp14:anchorId="166C5A13" wp14:editId="55C84C3D">
              <wp:simplePos x="0" y="0"/>
              <wp:positionH relativeFrom="column">
                <wp:posOffset>-113665</wp:posOffset>
              </wp:positionH>
              <wp:positionV relativeFrom="paragraph">
                <wp:posOffset>-1175385</wp:posOffset>
              </wp:positionV>
              <wp:extent cx="2743200" cy="1257300"/>
              <wp:effectExtent l="0" t="0" r="0" b="0"/>
              <wp:wrapNone/>
              <wp:docPr id="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36D7" w:rsidRPr="000F3D4A" w:rsidRDefault="00EF36D7" w:rsidP="00035475">
                          <w:pPr>
                            <w:spacing w:before="240" w:after="0"/>
                            <w:rPr>
                              <w:sz w:val="24"/>
                            </w:rPr>
                          </w:pP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8.95pt;margin-top:-92.55pt;width:3in;height: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" filled="f" stroked="f">
              <v:textbox inset=",2.5mm,,0">
                <w:txbxContent>
                  <w:p w:rsidR="00EF36D7" w:rsidRPr="000F3D4A" w:rsidRDefault="00EF36D7" w:rsidP="00035475">
                    <w:pPr>
                      <w:spacing w:before="240" w:after="0"/>
                      <w:rPr>
                        <w:sz w:val="24"/>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D7" w:rsidRDefault="00EF36D7">
    <w:pPr>
      <w:pStyle w:val="Zpat"/>
      <w:jc w:val="center"/>
    </w:pPr>
    <w:r>
      <w:fldChar w:fldCharType="begin"/>
    </w:r>
    <w:r>
      <w:instrText>PAGE   \* MERGEFORMAT</w:instrText>
    </w:r>
    <w:r>
      <w:fldChar w:fldCharType="separate"/>
    </w:r>
    <w:r w:rsidR="002E13F3">
      <w:rPr>
        <w:noProof/>
      </w:rPr>
      <w:t>20</w:t>
    </w:r>
    <w:r>
      <w:fldChar w:fldCharType="end"/>
    </w:r>
  </w:p>
  <w:p w:rsidR="00EF36D7" w:rsidRPr="00A12A05" w:rsidRDefault="00EF36D7" w:rsidP="00A12A0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F3A" w:rsidRDefault="005D3F3A" w:rsidP="004B7539">
      <w:pPr>
        <w:spacing w:after="0"/>
      </w:pPr>
      <w:r>
        <w:separator/>
      </w:r>
    </w:p>
  </w:footnote>
  <w:footnote w:type="continuationSeparator" w:id="0">
    <w:p w:rsidR="005D3F3A" w:rsidRDefault="005D3F3A">
      <w:r>
        <w:continuationSeparator/>
      </w:r>
    </w:p>
    <w:p w:rsidR="005D3F3A" w:rsidRDefault="005D3F3A"/>
  </w:footnote>
  <w:footnote w:type="continuationNotice" w:id="1">
    <w:p w:rsidR="005D3F3A" w:rsidRDefault="005D3F3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D7" w:rsidRDefault="00EF36D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D7" w:rsidRDefault="00EF36D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D7" w:rsidRPr="00EA5EF4" w:rsidRDefault="00EF36D7" w:rsidP="00EA5EF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1B78"/>
    <w:multiLevelType w:val="hybridMultilevel"/>
    <w:tmpl w:val="1E342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1B6EC5"/>
    <w:multiLevelType w:val="hybridMultilevel"/>
    <w:tmpl w:val="A89E3CD8"/>
    <w:lvl w:ilvl="0" w:tplc="C1B006F4">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8BD7AA2"/>
    <w:multiLevelType w:val="hybridMultilevel"/>
    <w:tmpl w:val="F1643530"/>
    <w:lvl w:ilvl="0" w:tplc="C1B006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5C440C"/>
    <w:multiLevelType w:val="hybridMultilevel"/>
    <w:tmpl w:val="62B2B9D0"/>
    <w:lvl w:ilvl="0" w:tplc="BFB2AD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BA3C5C"/>
    <w:multiLevelType w:val="hybridMultilevel"/>
    <w:tmpl w:val="94702DD4"/>
    <w:lvl w:ilvl="0" w:tplc="19C6430C">
      <w:start w:val="5"/>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4EA78D5"/>
    <w:multiLevelType w:val="hybridMultilevel"/>
    <w:tmpl w:val="CFA22258"/>
    <w:lvl w:ilvl="0" w:tplc="04050017">
      <w:start w:val="1"/>
      <w:numFmt w:val="lowerLetter"/>
      <w:lvlText w:val="%1)"/>
      <w:lvlJc w:val="left"/>
      <w:pPr>
        <w:ind w:left="-1065" w:hanging="360"/>
      </w:pPr>
      <w:rPr>
        <w:rFonts w:hint="default"/>
      </w:rPr>
    </w:lvl>
    <w:lvl w:ilvl="1" w:tplc="04050019" w:tentative="1">
      <w:start w:val="1"/>
      <w:numFmt w:val="lowerLetter"/>
      <w:lvlText w:val="%2."/>
      <w:lvlJc w:val="left"/>
      <w:pPr>
        <w:ind w:left="-345" w:hanging="360"/>
      </w:pPr>
    </w:lvl>
    <w:lvl w:ilvl="2" w:tplc="0405001B" w:tentative="1">
      <w:start w:val="1"/>
      <w:numFmt w:val="lowerRoman"/>
      <w:lvlText w:val="%3."/>
      <w:lvlJc w:val="right"/>
      <w:pPr>
        <w:ind w:left="375" w:hanging="180"/>
      </w:pPr>
    </w:lvl>
    <w:lvl w:ilvl="3" w:tplc="0405000F" w:tentative="1">
      <w:start w:val="1"/>
      <w:numFmt w:val="decimal"/>
      <w:lvlText w:val="%4."/>
      <w:lvlJc w:val="left"/>
      <w:pPr>
        <w:ind w:left="1095" w:hanging="360"/>
      </w:pPr>
    </w:lvl>
    <w:lvl w:ilvl="4" w:tplc="04050019" w:tentative="1">
      <w:start w:val="1"/>
      <w:numFmt w:val="lowerLetter"/>
      <w:lvlText w:val="%5."/>
      <w:lvlJc w:val="left"/>
      <w:pPr>
        <w:ind w:left="1815" w:hanging="360"/>
      </w:pPr>
    </w:lvl>
    <w:lvl w:ilvl="5" w:tplc="0405001B" w:tentative="1">
      <w:start w:val="1"/>
      <w:numFmt w:val="lowerRoman"/>
      <w:lvlText w:val="%6."/>
      <w:lvlJc w:val="right"/>
      <w:pPr>
        <w:ind w:left="2535" w:hanging="180"/>
      </w:pPr>
    </w:lvl>
    <w:lvl w:ilvl="6" w:tplc="0405000F" w:tentative="1">
      <w:start w:val="1"/>
      <w:numFmt w:val="decimal"/>
      <w:lvlText w:val="%7."/>
      <w:lvlJc w:val="left"/>
      <w:pPr>
        <w:ind w:left="3255" w:hanging="360"/>
      </w:pPr>
    </w:lvl>
    <w:lvl w:ilvl="7" w:tplc="04050019" w:tentative="1">
      <w:start w:val="1"/>
      <w:numFmt w:val="lowerLetter"/>
      <w:lvlText w:val="%8."/>
      <w:lvlJc w:val="left"/>
      <w:pPr>
        <w:ind w:left="3975" w:hanging="360"/>
      </w:pPr>
    </w:lvl>
    <w:lvl w:ilvl="8" w:tplc="0405001B" w:tentative="1">
      <w:start w:val="1"/>
      <w:numFmt w:val="lowerRoman"/>
      <w:lvlText w:val="%9."/>
      <w:lvlJc w:val="right"/>
      <w:pPr>
        <w:ind w:left="4695" w:hanging="180"/>
      </w:pPr>
    </w:lvl>
  </w:abstractNum>
  <w:abstractNum w:abstractNumId="6">
    <w:nsid w:val="1872126D"/>
    <w:multiLevelType w:val="hybridMultilevel"/>
    <w:tmpl w:val="10AA918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CE408B0"/>
    <w:multiLevelType w:val="hybridMultilevel"/>
    <w:tmpl w:val="93A482B8"/>
    <w:lvl w:ilvl="0" w:tplc="BFB2ADE0">
      <w:numFmt w:val="bullet"/>
      <w:lvlText w:val="-"/>
      <w:lvlJc w:val="left"/>
      <w:pPr>
        <w:ind w:left="162" w:hanging="360"/>
      </w:pPr>
      <w:rPr>
        <w:rFonts w:ascii="Times New Roman" w:eastAsia="Times New Roman" w:hAnsi="Times New Roman" w:cs="Times New Roman" w:hint="default"/>
      </w:rPr>
    </w:lvl>
    <w:lvl w:ilvl="1" w:tplc="04050003" w:tentative="1">
      <w:start w:val="1"/>
      <w:numFmt w:val="bullet"/>
      <w:lvlText w:val="o"/>
      <w:lvlJc w:val="left"/>
      <w:pPr>
        <w:ind w:left="882" w:hanging="360"/>
      </w:pPr>
      <w:rPr>
        <w:rFonts w:ascii="Courier New" w:hAnsi="Courier New" w:cs="Courier New" w:hint="default"/>
      </w:rPr>
    </w:lvl>
    <w:lvl w:ilvl="2" w:tplc="04050005" w:tentative="1">
      <w:start w:val="1"/>
      <w:numFmt w:val="bullet"/>
      <w:lvlText w:val=""/>
      <w:lvlJc w:val="left"/>
      <w:pPr>
        <w:ind w:left="1602" w:hanging="360"/>
      </w:pPr>
      <w:rPr>
        <w:rFonts w:ascii="Wingdings" w:hAnsi="Wingdings" w:hint="default"/>
      </w:rPr>
    </w:lvl>
    <w:lvl w:ilvl="3" w:tplc="04050001" w:tentative="1">
      <w:start w:val="1"/>
      <w:numFmt w:val="bullet"/>
      <w:lvlText w:val=""/>
      <w:lvlJc w:val="left"/>
      <w:pPr>
        <w:ind w:left="2322" w:hanging="360"/>
      </w:pPr>
      <w:rPr>
        <w:rFonts w:ascii="Symbol" w:hAnsi="Symbol" w:hint="default"/>
      </w:rPr>
    </w:lvl>
    <w:lvl w:ilvl="4" w:tplc="04050003" w:tentative="1">
      <w:start w:val="1"/>
      <w:numFmt w:val="bullet"/>
      <w:lvlText w:val="o"/>
      <w:lvlJc w:val="left"/>
      <w:pPr>
        <w:ind w:left="3042" w:hanging="360"/>
      </w:pPr>
      <w:rPr>
        <w:rFonts w:ascii="Courier New" w:hAnsi="Courier New" w:cs="Courier New" w:hint="default"/>
      </w:rPr>
    </w:lvl>
    <w:lvl w:ilvl="5" w:tplc="04050005" w:tentative="1">
      <w:start w:val="1"/>
      <w:numFmt w:val="bullet"/>
      <w:lvlText w:val=""/>
      <w:lvlJc w:val="left"/>
      <w:pPr>
        <w:ind w:left="3762" w:hanging="360"/>
      </w:pPr>
      <w:rPr>
        <w:rFonts w:ascii="Wingdings" w:hAnsi="Wingdings" w:hint="default"/>
      </w:rPr>
    </w:lvl>
    <w:lvl w:ilvl="6" w:tplc="04050001" w:tentative="1">
      <w:start w:val="1"/>
      <w:numFmt w:val="bullet"/>
      <w:lvlText w:val=""/>
      <w:lvlJc w:val="left"/>
      <w:pPr>
        <w:ind w:left="4482" w:hanging="360"/>
      </w:pPr>
      <w:rPr>
        <w:rFonts w:ascii="Symbol" w:hAnsi="Symbol" w:hint="default"/>
      </w:rPr>
    </w:lvl>
    <w:lvl w:ilvl="7" w:tplc="04050003" w:tentative="1">
      <w:start w:val="1"/>
      <w:numFmt w:val="bullet"/>
      <w:lvlText w:val="o"/>
      <w:lvlJc w:val="left"/>
      <w:pPr>
        <w:ind w:left="5202" w:hanging="360"/>
      </w:pPr>
      <w:rPr>
        <w:rFonts w:ascii="Courier New" w:hAnsi="Courier New" w:cs="Courier New" w:hint="default"/>
      </w:rPr>
    </w:lvl>
    <w:lvl w:ilvl="8" w:tplc="04050005" w:tentative="1">
      <w:start w:val="1"/>
      <w:numFmt w:val="bullet"/>
      <w:lvlText w:val=""/>
      <w:lvlJc w:val="left"/>
      <w:pPr>
        <w:ind w:left="5922" w:hanging="360"/>
      </w:pPr>
      <w:rPr>
        <w:rFonts w:ascii="Wingdings" w:hAnsi="Wingdings" w:hint="default"/>
      </w:rPr>
    </w:lvl>
  </w:abstractNum>
  <w:abstractNum w:abstractNumId="8">
    <w:nsid w:val="1D075A0C"/>
    <w:multiLevelType w:val="hybridMultilevel"/>
    <w:tmpl w:val="625AA7B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nsid w:val="26DA22AA"/>
    <w:multiLevelType w:val="hybridMultilevel"/>
    <w:tmpl w:val="3634AFF8"/>
    <w:lvl w:ilvl="0" w:tplc="19C6430C">
      <w:start w:val="5"/>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9E15A6"/>
    <w:multiLevelType w:val="multilevel"/>
    <w:tmpl w:val="6CB86544"/>
    <w:lvl w:ilvl="0">
      <w:start w:val="1"/>
      <w:numFmt w:val="decimal"/>
      <w:pStyle w:val="Nadpis1"/>
      <w:lvlText w:val="%1"/>
      <w:lvlJc w:val="left"/>
      <w:pPr>
        <w:tabs>
          <w:tab w:val="num" w:pos="567"/>
        </w:tabs>
        <w:ind w:left="567" w:hanging="567"/>
      </w:pPr>
      <w:rPr>
        <w:rFonts w:ascii="Calibri" w:hAnsi="Calibri" w:hint="default"/>
        <w:color w:val="auto"/>
      </w:rPr>
    </w:lvl>
    <w:lvl w:ilvl="1">
      <w:start w:val="1"/>
      <w:numFmt w:val="decimal"/>
      <w:pStyle w:val="Nadpis2"/>
      <w:lvlText w:val="%1.%2"/>
      <w:lvlJc w:val="left"/>
      <w:pPr>
        <w:tabs>
          <w:tab w:val="num" w:pos="851"/>
        </w:tabs>
        <w:ind w:left="851" w:hanging="567"/>
      </w:pPr>
      <w:rPr>
        <w:rFonts w:hint="default"/>
        <w:b/>
      </w:rPr>
    </w:lvl>
    <w:lvl w:ilvl="2">
      <w:start w:val="1"/>
      <w:numFmt w:val="decimal"/>
      <w:pStyle w:val="Nadpis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CA14E39"/>
    <w:multiLevelType w:val="hybridMultilevel"/>
    <w:tmpl w:val="83CED4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4531D3"/>
    <w:multiLevelType w:val="hybridMultilevel"/>
    <w:tmpl w:val="7396E03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2F8368FB"/>
    <w:multiLevelType w:val="hybridMultilevel"/>
    <w:tmpl w:val="D56C2A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0613CB7"/>
    <w:multiLevelType w:val="hybridMultilevel"/>
    <w:tmpl w:val="044A091C"/>
    <w:lvl w:ilvl="0" w:tplc="C1B006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1572469"/>
    <w:multiLevelType w:val="hybridMultilevel"/>
    <w:tmpl w:val="F15E2CD8"/>
    <w:lvl w:ilvl="0" w:tplc="04050005">
      <w:start w:val="1"/>
      <w:numFmt w:val="bullet"/>
      <w:lvlText w:val=""/>
      <w:lvlJc w:val="left"/>
      <w:pPr>
        <w:ind w:left="354" w:hanging="360"/>
      </w:pPr>
      <w:rPr>
        <w:rFonts w:ascii="Wingdings" w:hAnsi="Wingdings" w:hint="default"/>
      </w:rPr>
    </w:lvl>
    <w:lvl w:ilvl="1" w:tplc="04050003" w:tentative="1">
      <w:start w:val="1"/>
      <w:numFmt w:val="bullet"/>
      <w:lvlText w:val="o"/>
      <w:lvlJc w:val="left"/>
      <w:pPr>
        <w:ind w:left="1074" w:hanging="360"/>
      </w:pPr>
      <w:rPr>
        <w:rFonts w:ascii="Courier New" w:hAnsi="Courier New" w:cs="Courier New" w:hint="default"/>
      </w:rPr>
    </w:lvl>
    <w:lvl w:ilvl="2" w:tplc="04050005" w:tentative="1">
      <w:start w:val="1"/>
      <w:numFmt w:val="bullet"/>
      <w:lvlText w:val=""/>
      <w:lvlJc w:val="left"/>
      <w:pPr>
        <w:ind w:left="1794" w:hanging="360"/>
      </w:pPr>
      <w:rPr>
        <w:rFonts w:ascii="Wingdings" w:hAnsi="Wingdings" w:hint="default"/>
      </w:rPr>
    </w:lvl>
    <w:lvl w:ilvl="3" w:tplc="04050001" w:tentative="1">
      <w:start w:val="1"/>
      <w:numFmt w:val="bullet"/>
      <w:lvlText w:val=""/>
      <w:lvlJc w:val="left"/>
      <w:pPr>
        <w:ind w:left="2514" w:hanging="360"/>
      </w:pPr>
      <w:rPr>
        <w:rFonts w:ascii="Symbol" w:hAnsi="Symbol" w:hint="default"/>
      </w:rPr>
    </w:lvl>
    <w:lvl w:ilvl="4" w:tplc="04050003" w:tentative="1">
      <w:start w:val="1"/>
      <w:numFmt w:val="bullet"/>
      <w:lvlText w:val="o"/>
      <w:lvlJc w:val="left"/>
      <w:pPr>
        <w:ind w:left="3234" w:hanging="360"/>
      </w:pPr>
      <w:rPr>
        <w:rFonts w:ascii="Courier New" w:hAnsi="Courier New" w:cs="Courier New" w:hint="default"/>
      </w:rPr>
    </w:lvl>
    <w:lvl w:ilvl="5" w:tplc="04050005" w:tentative="1">
      <w:start w:val="1"/>
      <w:numFmt w:val="bullet"/>
      <w:lvlText w:val=""/>
      <w:lvlJc w:val="left"/>
      <w:pPr>
        <w:ind w:left="3954" w:hanging="360"/>
      </w:pPr>
      <w:rPr>
        <w:rFonts w:ascii="Wingdings" w:hAnsi="Wingdings" w:hint="default"/>
      </w:rPr>
    </w:lvl>
    <w:lvl w:ilvl="6" w:tplc="04050001" w:tentative="1">
      <w:start w:val="1"/>
      <w:numFmt w:val="bullet"/>
      <w:lvlText w:val=""/>
      <w:lvlJc w:val="left"/>
      <w:pPr>
        <w:ind w:left="4674" w:hanging="360"/>
      </w:pPr>
      <w:rPr>
        <w:rFonts w:ascii="Symbol" w:hAnsi="Symbol" w:hint="default"/>
      </w:rPr>
    </w:lvl>
    <w:lvl w:ilvl="7" w:tplc="04050003" w:tentative="1">
      <w:start w:val="1"/>
      <w:numFmt w:val="bullet"/>
      <w:lvlText w:val="o"/>
      <w:lvlJc w:val="left"/>
      <w:pPr>
        <w:ind w:left="5394" w:hanging="360"/>
      </w:pPr>
      <w:rPr>
        <w:rFonts w:ascii="Courier New" w:hAnsi="Courier New" w:cs="Courier New" w:hint="default"/>
      </w:rPr>
    </w:lvl>
    <w:lvl w:ilvl="8" w:tplc="04050005" w:tentative="1">
      <w:start w:val="1"/>
      <w:numFmt w:val="bullet"/>
      <w:lvlText w:val=""/>
      <w:lvlJc w:val="left"/>
      <w:pPr>
        <w:ind w:left="6114" w:hanging="360"/>
      </w:pPr>
      <w:rPr>
        <w:rFonts w:ascii="Wingdings" w:hAnsi="Wingdings" w:hint="default"/>
      </w:rPr>
    </w:lvl>
  </w:abstractNum>
  <w:abstractNum w:abstractNumId="16">
    <w:nsid w:val="333A6AEB"/>
    <w:multiLevelType w:val="hybridMultilevel"/>
    <w:tmpl w:val="189C75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335F04AB"/>
    <w:multiLevelType w:val="hybridMultilevel"/>
    <w:tmpl w:val="85B02B9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34677E60"/>
    <w:multiLevelType w:val="hybridMultilevel"/>
    <w:tmpl w:val="D58CD41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nsid w:val="37DB0BA3"/>
    <w:multiLevelType w:val="hybridMultilevel"/>
    <w:tmpl w:val="0ABC3514"/>
    <w:lvl w:ilvl="0" w:tplc="BFB2ADE0">
      <w:numFmt w:val="bullet"/>
      <w:lvlText w:val="-"/>
      <w:lvlJc w:val="left"/>
      <w:pPr>
        <w:tabs>
          <w:tab w:val="num" w:pos="3762"/>
        </w:tabs>
        <w:ind w:left="3762" w:hanging="360"/>
      </w:pPr>
      <w:rPr>
        <w:rFonts w:ascii="Times New Roman" w:eastAsia="Times New Roman" w:hAnsi="Times New Roman" w:cs="Times New Roman" w:hint="default"/>
      </w:rPr>
    </w:lvl>
    <w:lvl w:ilvl="1" w:tplc="04050003" w:tentative="1">
      <w:start w:val="1"/>
      <w:numFmt w:val="bullet"/>
      <w:lvlText w:val="o"/>
      <w:lvlJc w:val="left"/>
      <w:pPr>
        <w:tabs>
          <w:tab w:val="num" w:pos="4482"/>
        </w:tabs>
        <w:ind w:left="4482" w:hanging="360"/>
      </w:pPr>
      <w:rPr>
        <w:rFonts w:ascii="Courier New" w:hAnsi="Courier New" w:cs="Courier New" w:hint="default"/>
      </w:rPr>
    </w:lvl>
    <w:lvl w:ilvl="2" w:tplc="04050005" w:tentative="1">
      <w:start w:val="1"/>
      <w:numFmt w:val="bullet"/>
      <w:lvlText w:val=""/>
      <w:lvlJc w:val="left"/>
      <w:pPr>
        <w:tabs>
          <w:tab w:val="num" w:pos="5202"/>
        </w:tabs>
        <w:ind w:left="5202" w:hanging="360"/>
      </w:pPr>
      <w:rPr>
        <w:rFonts w:ascii="Wingdings" w:hAnsi="Wingdings" w:hint="default"/>
      </w:rPr>
    </w:lvl>
    <w:lvl w:ilvl="3" w:tplc="04050001" w:tentative="1">
      <w:start w:val="1"/>
      <w:numFmt w:val="bullet"/>
      <w:lvlText w:val=""/>
      <w:lvlJc w:val="left"/>
      <w:pPr>
        <w:tabs>
          <w:tab w:val="num" w:pos="5922"/>
        </w:tabs>
        <w:ind w:left="5922" w:hanging="360"/>
      </w:pPr>
      <w:rPr>
        <w:rFonts w:ascii="Symbol" w:hAnsi="Symbol" w:hint="default"/>
      </w:rPr>
    </w:lvl>
    <w:lvl w:ilvl="4" w:tplc="04050003" w:tentative="1">
      <w:start w:val="1"/>
      <w:numFmt w:val="bullet"/>
      <w:lvlText w:val="o"/>
      <w:lvlJc w:val="left"/>
      <w:pPr>
        <w:tabs>
          <w:tab w:val="num" w:pos="6642"/>
        </w:tabs>
        <w:ind w:left="6642" w:hanging="360"/>
      </w:pPr>
      <w:rPr>
        <w:rFonts w:ascii="Courier New" w:hAnsi="Courier New" w:cs="Courier New" w:hint="default"/>
      </w:rPr>
    </w:lvl>
    <w:lvl w:ilvl="5" w:tplc="04050005" w:tentative="1">
      <w:start w:val="1"/>
      <w:numFmt w:val="bullet"/>
      <w:lvlText w:val=""/>
      <w:lvlJc w:val="left"/>
      <w:pPr>
        <w:tabs>
          <w:tab w:val="num" w:pos="7362"/>
        </w:tabs>
        <w:ind w:left="7362" w:hanging="360"/>
      </w:pPr>
      <w:rPr>
        <w:rFonts w:ascii="Wingdings" w:hAnsi="Wingdings" w:hint="default"/>
      </w:rPr>
    </w:lvl>
    <w:lvl w:ilvl="6" w:tplc="04050001" w:tentative="1">
      <w:start w:val="1"/>
      <w:numFmt w:val="bullet"/>
      <w:lvlText w:val=""/>
      <w:lvlJc w:val="left"/>
      <w:pPr>
        <w:tabs>
          <w:tab w:val="num" w:pos="8082"/>
        </w:tabs>
        <w:ind w:left="8082" w:hanging="360"/>
      </w:pPr>
      <w:rPr>
        <w:rFonts w:ascii="Symbol" w:hAnsi="Symbol" w:hint="default"/>
      </w:rPr>
    </w:lvl>
    <w:lvl w:ilvl="7" w:tplc="04050003" w:tentative="1">
      <w:start w:val="1"/>
      <w:numFmt w:val="bullet"/>
      <w:lvlText w:val="o"/>
      <w:lvlJc w:val="left"/>
      <w:pPr>
        <w:tabs>
          <w:tab w:val="num" w:pos="8802"/>
        </w:tabs>
        <w:ind w:left="8802" w:hanging="360"/>
      </w:pPr>
      <w:rPr>
        <w:rFonts w:ascii="Courier New" w:hAnsi="Courier New" w:cs="Courier New" w:hint="default"/>
      </w:rPr>
    </w:lvl>
    <w:lvl w:ilvl="8" w:tplc="04050005" w:tentative="1">
      <w:start w:val="1"/>
      <w:numFmt w:val="bullet"/>
      <w:lvlText w:val=""/>
      <w:lvlJc w:val="left"/>
      <w:pPr>
        <w:tabs>
          <w:tab w:val="num" w:pos="9522"/>
        </w:tabs>
        <w:ind w:left="9522" w:hanging="360"/>
      </w:pPr>
      <w:rPr>
        <w:rFonts w:ascii="Wingdings" w:hAnsi="Wingdings" w:hint="default"/>
      </w:rPr>
    </w:lvl>
  </w:abstractNum>
  <w:abstractNum w:abstractNumId="20">
    <w:nsid w:val="4D02137C"/>
    <w:multiLevelType w:val="hybridMultilevel"/>
    <w:tmpl w:val="FADC907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4EAD027C"/>
    <w:multiLevelType w:val="hybridMultilevel"/>
    <w:tmpl w:val="B3A69572"/>
    <w:lvl w:ilvl="0" w:tplc="BFB2ADE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54102D3D"/>
    <w:multiLevelType w:val="hybridMultilevel"/>
    <w:tmpl w:val="3EE43E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57762462"/>
    <w:multiLevelType w:val="hybridMultilevel"/>
    <w:tmpl w:val="B32C2EE2"/>
    <w:lvl w:ilvl="0" w:tplc="2B56D00E">
      <w:start w:val="1"/>
      <w:numFmt w:val="bullet"/>
      <w:pStyle w:val="Styl1mmmmm"/>
      <w:lvlText w:val=""/>
      <w:lvlJc w:val="left"/>
      <w:pPr>
        <w:tabs>
          <w:tab w:val="num" w:pos="1560"/>
        </w:tabs>
        <w:ind w:left="1758" w:hanging="197"/>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24">
    <w:nsid w:val="58AA4AE5"/>
    <w:multiLevelType w:val="hybridMultilevel"/>
    <w:tmpl w:val="4D9CEB20"/>
    <w:lvl w:ilvl="0" w:tplc="0405000F">
      <w:start w:val="1"/>
      <w:numFmt w:val="decimal"/>
      <w:lvlText w:val="%1."/>
      <w:lvlJc w:val="left"/>
      <w:pPr>
        <w:ind w:left="6" w:hanging="360"/>
      </w:pPr>
      <w:rPr>
        <w:rFonts w:hint="default"/>
      </w:rPr>
    </w:lvl>
    <w:lvl w:ilvl="1" w:tplc="04050019" w:tentative="1">
      <w:start w:val="1"/>
      <w:numFmt w:val="lowerLetter"/>
      <w:lvlText w:val="%2."/>
      <w:lvlJc w:val="left"/>
      <w:pPr>
        <w:ind w:left="726" w:hanging="360"/>
      </w:pPr>
    </w:lvl>
    <w:lvl w:ilvl="2" w:tplc="0405001B" w:tentative="1">
      <w:start w:val="1"/>
      <w:numFmt w:val="lowerRoman"/>
      <w:lvlText w:val="%3."/>
      <w:lvlJc w:val="right"/>
      <w:pPr>
        <w:ind w:left="1446" w:hanging="180"/>
      </w:pPr>
    </w:lvl>
    <w:lvl w:ilvl="3" w:tplc="0405000F" w:tentative="1">
      <w:start w:val="1"/>
      <w:numFmt w:val="decimal"/>
      <w:lvlText w:val="%4."/>
      <w:lvlJc w:val="left"/>
      <w:pPr>
        <w:ind w:left="2166" w:hanging="360"/>
      </w:pPr>
    </w:lvl>
    <w:lvl w:ilvl="4" w:tplc="04050019" w:tentative="1">
      <w:start w:val="1"/>
      <w:numFmt w:val="lowerLetter"/>
      <w:lvlText w:val="%5."/>
      <w:lvlJc w:val="left"/>
      <w:pPr>
        <w:ind w:left="2886" w:hanging="360"/>
      </w:pPr>
    </w:lvl>
    <w:lvl w:ilvl="5" w:tplc="0405001B" w:tentative="1">
      <w:start w:val="1"/>
      <w:numFmt w:val="lowerRoman"/>
      <w:lvlText w:val="%6."/>
      <w:lvlJc w:val="right"/>
      <w:pPr>
        <w:ind w:left="3606" w:hanging="180"/>
      </w:pPr>
    </w:lvl>
    <w:lvl w:ilvl="6" w:tplc="0405000F" w:tentative="1">
      <w:start w:val="1"/>
      <w:numFmt w:val="decimal"/>
      <w:lvlText w:val="%7."/>
      <w:lvlJc w:val="left"/>
      <w:pPr>
        <w:ind w:left="4326" w:hanging="360"/>
      </w:pPr>
    </w:lvl>
    <w:lvl w:ilvl="7" w:tplc="04050019" w:tentative="1">
      <w:start w:val="1"/>
      <w:numFmt w:val="lowerLetter"/>
      <w:lvlText w:val="%8."/>
      <w:lvlJc w:val="left"/>
      <w:pPr>
        <w:ind w:left="5046" w:hanging="360"/>
      </w:pPr>
    </w:lvl>
    <w:lvl w:ilvl="8" w:tplc="0405001B" w:tentative="1">
      <w:start w:val="1"/>
      <w:numFmt w:val="lowerRoman"/>
      <w:lvlText w:val="%9."/>
      <w:lvlJc w:val="right"/>
      <w:pPr>
        <w:ind w:left="5766" w:hanging="180"/>
      </w:pPr>
    </w:lvl>
  </w:abstractNum>
  <w:abstractNum w:abstractNumId="25">
    <w:nsid w:val="5CC9639E"/>
    <w:multiLevelType w:val="multilevel"/>
    <w:tmpl w:val="DF30E1C8"/>
    <w:styleLink w:val="StylSodrkami"/>
    <w:lvl w:ilvl="0">
      <w:start w:val="1"/>
      <w:numFmt w:val="bullet"/>
      <w:lvlText w:val="−"/>
      <w:lvlJc w:val="left"/>
      <w:pPr>
        <w:tabs>
          <w:tab w:val="num" w:pos="720"/>
        </w:tabs>
        <w:ind w:left="72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5472E3A"/>
    <w:multiLevelType w:val="hybridMultilevel"/>
    <w:tmpl w:val="9E0CD758"/>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B0562DE"/>
    <w:multiLevelType w:val="hybridMultilevel"/>
    <w:tmpl w:val="738AFC6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5A33E62"/>
    <w:multiLevelType w:val="hybridMultilevel"/>
    <w:tmpl w:val="F2AEA08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A014842"/>
    <w:multiLevelType w:val="multilevel"/>
    <w:tmpl w:val="5330EC4A"/>
    <w:lvl w:ilvl="0">
      <w:start w:val="1"/>
      <w:numFmt w:val="upperLetter"/>
      <w:pStyle w:val="NadpisAB"/>
      <w:lvlText w:val="%1"/>
      <w:lvlJc w:val="left"/>
      <w:pPr>
        <w:tabs>
          <w:tab w:val="num" w:pos="567"/>
        </w:tabs>
        <w:ind w:left="567" w:hanging="567"/>
      </w:pPr>
      <w:rPr>
        <w:rFonts w:ascii="Calibri" w:hAnsi="Calibri" w:hint="default"/>
        <w:color w:val="auto"/>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A137652"/>
    <w:multiLevelType w:val="hybridMultilevel"/>
    <w:tmpl w:val="85B2874E"/>
    <w:lvl w:ilvl="0" w:tplc="BFB2AD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29"/>
  </w:num>
  <w:num w:numId="4">
    <w:abstractNumId w:val="23"/>
  </w:num>
  <w:num w:numId="5">
    <w:abstractNumId w:val="8"/>
  </w:num>
  <w:num w:numId="6">
    <w:abstractNumId w:val="0"/>
  </w:num>
  <w:num w:numId="7">
    <w:abstractNumId w:val="22"/>
  </w:num>
  <w:num w:numId="8">
    <w:abstractNumId w:val="16"/>
  </w:num>
  <w:num w:numId="9">
    <w:abstractNumId w:val="20"/>
  </w:num>
  <w:num w:numId="10">
    <w:abstractNumId w:val="15"/>
  </w:num>
  <w:num w:numId="11">
    <w:abstractNumId w:val="21"/>
  </w:num>
  <w:num w:numId="12">
    <w:abstractNumId w:val="7"/>
  </w:num>
  <w:num w:numId="13">
    <w:abstractNumId w:val="24"/>
  </w:num>
  <w:num w:numId="14">
    <w:abstractNumId w:val="3"/>
  </w:num>
  <w:num w:numId="15">
    <w:abstractNumId w:val="30"/>
  </w:num>
  <w:num w:numId="16">
    <w:abstractNumId w:val="19"/>
  </w:num>
  <w:num w:numId="17">
    <w:abstractNumId w:val="28"/>
  </w:num>
  <w:num w:numId="18">
    <w:abstractNumId w:val="5"/>
  </w:num>
  <w:num w:numId="19">
    <w:abstractNumId w:val="14"/>
  </w:num>
  <w:num w:numId="20">
    <w:abstractNumId w:val="1"/>
  </w:num>
  <w:num w:numId="21">
    <w:abstractNumId w:val="2"/>
  </w:num>
  <w:num w:numId="22">
    <w:abstractNumId w:val="11"/>
  </w:num>
  <w:num w:numId="23">
    <w:abstractNumId w:val="10"/>
  </w:num>
  <w:num w:numId="24">
    <w:abstractNumId w:val="10"/>
  </w:num>
  <w:num w:numId="25">
    <w:abstractNumId w:val="13"/>
  </w:num>
  <w:num w:numId="26">
    <w:abstractNumId w:val="12"/>
  </w:num>
  <w:num w:numId="27">
    <w:abstractNumId w:val="10"/>
  </w:num>
  <w:num w:numId="28">
    <w:abstractNumId w:val="10"/>
  </w:num>
  <w:num w:numId="29">
    <w:abstractNumId w:val="18"/>
  </w:num>
  <w:num w:numId="30">
    <w:abstractNumId w:val="26"/>
  </w:num>
  <w:num w:numId="31">
    <w:abstractNumId w:val="9"/>
  </w:num>
  <w:num w:numId="32">
    <w:abstractNumId w:val="4"/>
  </w:num>
  <w:num w:numId="33">
    <w:abstractNumId w:val="27"/>
  </w:num>
  <w:num w:numId="34">
    <w:abstractNumId w:val="6"/>
  </w:num>
  <w:num w:numId="35">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consecutiveHyphenLimit w:val="2"/>
  <w:hyphenationZone w:val="425"/>
  <w:doNotShadeFormData/>
  <w:characterSpacingControl w:val="doNotCompress"/>
  <w:hdrShapeDefaults>
    <o:shapedefaults v:ext="edit" spidmax="2049" strokecolor="#31527b">
      <v:stroke endarrow="open" color="#31527b" weight="1.5pt"/>
      <o:colormru v:ext="edit" colors="#995979"/>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F17"/>
    <w:rsid w:val="0000019B"/>
    <w:rsid w:val="000001AA"/>
    <w:rsid w:val="000001FB"/>
    <w:rsid w:val="00000669"/>
    <w:rsid w:val="00001159"/>
    <w:rsid w:val="00001569"/>
    <w:rsid w:val="000017D2"/>
    <w:rsid w:val="00001A34"/>
    <w:rsid w:val="00001BDB"/>
    <w:rsid w:val="00001E20"/>
    <w:rsid w:val="0000208E"/>
    <w:rsid w:val="000022F4"/>
    <w:rsid w:val="00002301"/>
    <w:rsid w:val="000028F8"/>
    <w:rsid w:val="00002AF3"/>
    <w:rsid w:val="00002D37"/>
    <w:rsid w:val="000030D2"/>
    <w:rsid w:val="00003C79"/>
    <w:rsid w:val="00004468"/>
    <w:rsid w:val="00004C9C"/>
    <w:rsid w:val="00005363"/>
    <w:rsid w:val="0000571D"/>
    <w:rsid w:val="00005A2A"/>
    <w:rsid w:val="00005A64"/>
    <w:rsid w:val="00005F57"/>
    <w:rsid w:val="000062DF"/>
    <w:rsid w:val="0000631A"/>
    <w:rsid w:val="00006492"/>
    <w:rsid w:val="00006536"/>
    <w:rsid w:val="0000675C"/>
    <w:rsid w:val="00006D27"/>
    <w:rsid w:val="00006E0F"/>
    <w:rsid w:val="00007069"/>
    <w:rsid w:val="00007221"/>
    <w:rsid w:val="000102C3"/>
    <w:rsid w:val="0001044A"/>
    <w:rsid w:val="000106F2"/>
    <w:rsid w:val="00010C58"/>
    <w:rsid w:val="00010C64"/>
    <w:rsid w:val="00010E98"/>
    <w:rsid w:val="000112F3"/>
    <w:rsid w:val="000120C8"/>
    <w:rsid w:val="0001212F"/>
    <w:rsid w:val="00012214"/>
    <w:rsid w:val="0001237F"/>
    <w:rsid w:val="000129E4"/>
    <w:rsid w:val="00013AB9"/>
    <w:rsid w:val="00013DB3"/>
    <w:rsid w:val="00013EEA"/>
    <w:rsid w:val="0001400F"/>
    <w:rsid w:val="00014121"/>
    <w:rsid w:val="000144DF"/>
    <w:rsid w:val="0001450B"/>
    <w:rsid w:val="000147F2"/>
    <w:rsid w:val="00014F65"/>
    <w:rsid w:val="000152AA"/>
    <w:rsid w:val="00015BB3"/>
    <w:rsid w:val="0001615D"/>
    <w:rsid w:val="00016D0F"/>
    <w:rsid w:val="000170CA"/>
    <w:rsid w:val="0001725B"/>
    <w:rsid w:val="0001725D"/>
    <w:rsid w:val="00017B25"/>
    <w:rsid w:val="00017EBA"/>
    <w:rsid w:val="0002010F"/>
    <w:rsid w:val="00020225"/>
    <w:rsid w:val="0002055B"/>
    <w:rsid w:val="0002076F"/>
    <w:rsid w:val="000207A3"/>
    <w:rsid w:val="00020832"/>
    <w:rsid w:val="00020A62"/>
    <w:rsid w:val="00021A67"/>
    <w:rsid w:val="00021F8C"/>
    <w:rsid w:val="00022191"/>
    <w:rsid w:val="00022370"/>
    <w:rsid w:val="000224AC"/>
    <w:rsid w:val="00022A03"/>
    <w:rsid w:val="0002323E"/>
    <w:rsid w:val="00023827"/>
    <w:rsid w:val="00023C00"/>
    <w:rsid w:val="000241C0"/>
    <w:rsid w:val="0002433D"/>
    <w:rsid w:val="0002438F"/>
    <w:rsid w:val="0002475E"/>
    <w:rsid w:val="00024CF6"/>
    <w:rsid w:val="00025351"/>
    <w:rsid w:val="00025740"/>
    <w:rsid w:val="000257EE"/>
    <w:rsid w:val="00025A7E"/>
    <w:rsid w:val="00025AA9"/>
    <w:rsid w:val="00025B00"/>
    <w:rsid w:val="00025C18"/>
    <w:rsid w:val="00025DE0"/>
    <w:rsid w:val="00025E18"/>
    <w:rsid w:val="00026202"/>
    <w:rsid w:val="0002654D"/>
    <w:rsid w:val="00026D05"/>
    <w:rsid w:val="000273F6"/>
    <w:rsid w:val="00027966"/>
    <w:rsid w:val="000279D1"/>
    <w:rsid w:val="00027B97"/>
    <w:rsid w:val="00027D51"/>
    <w:rsid w:val="00027DBB"/>
    <w:rsid w:val="00030079"/>
    <w:rsid w:val="00030438"/>
    <w:rsid w:val="000309D8"/>
    <w:rsid w:val="000309EE"/>
    <w:rsid w:val="00030E28"/>
    <w:rsid w:val="0003109D"/>
    <w:rsid w:val="00031F0E"/>
    <w:rsid w:val="00032079"/>
    <w:rsid w:val="000322DA"/>
    <w:rsid w:val="00032A63"/>
    <w:rsid w:val="00032FFA"/>
    <w:rsid w:val="00033964"/>
    <w:rsid w:val="00033A4F"/>
    <w:rsid w:val="00033F7C"/>
    <w:rsid w:val="0003445F"/>
    <w:rsid w:val="0003469F"/>
    <w:rsid w:val="000347BE"/>
    <w:rsid w:val="000347F4"/>
    <w:rsid w:val="00034BB2"/>
    <w:rsid w:val="000350B2"/>
    <w:rsid w:val="00035475"/>
    <w:rsid w:val="0003553C"/>
    <w:rsid w:val="00035A7C"/>
    <w:rsid w:val="00035B0F"/>
    <w:rsid w:val="00035CEE"/>
    <w:rsid w:val="00036055"/>
    <w:rsid w:val="00036421"/>
    <w:rsid w:val="0003676C"/>
    <w:rsid w:val="00036BFA"/>
    <w:rsid w:val="00036C8F"/>
    <w:rsid w:val="00036D3E"/>
    <w:rsid w:val="00036DBA"/>
    <w:rsid w:val="00037118"/>
    <w:rsid w:val="000371C5"/>
    <w:rsid w:val="00037239"/>
    <w:rsid w:val="0003792A"/>
    <w:rsid w:val="0003796E"/>
    <w:rsid w:val="00037D61"/>
    <w:rsid w:val="000400B8"/>
    <w:rsid w:val="0004073C"/>
    <w:rsid w:val="000408C6"/>
    <w:rsid w:val="00040EAF"/>
    <w:rsid w:val="00040EEC"/>
    <w:rsid w:val="000411FA"/>
    <w:rsid w:val="0004168A"/>
    <w:rsid w:val="0004236F"/>
    <w:rsid w:val="0004263B"/>
    <w:rsid w:val="00042895"/>
    <w:rsid w:val="00042A65"/>
    <w:rsid w:val="00042FEE"/>
    <w:rsid w:val="000430B1"/>
    <w:rsid w:val="0004313C"/>
    <w:rsid w:val="000433D3"/>
    <w:rsid w:val="000436C5"/>
    <w:rsid w:val="00043A87"/>
    <w:rsid w:val="00043E8B"/>
    <w:rsid w:val="00044283"/>
    <w:rsid w:val="000445FD"/>
    <w:rsid w:val="00044691"/>
    <w:rsid w:val="00044FD6"/>
    <w:rsid w:val="0004538D"/>
    <w:rsid w:val="000457EE"/>
    <w:rsid w:val="00045A1E"/>
    <w:rsid w:val="00045ABD"/>
    <w:rsid w:val="0004632A"/>
    <w:rsid w:val="000464A4"/>
    <w:rsid w:val="000466AC"/>
    <w:rsid w:val="00046BE1"/>
    <w:rsid w:val="00050343"/>
    <w:rsid w:val="00050418"/>
    <w:rsid w:val="000504C0"/>
    <w:rsid w:val="00050D5A"/>
    <w:rsid w:val="00050F88"/>
    <w:rsid w:val="00051038"/>
    <w:rsid w:val="0005104B"/>
    <w:rsid w:val="000511A6"/>
    <w:rsid w:val="00051555"/>
    <w:rsid w:val="000517EB"/>
    <w:rsid w:val="0005180B"/>
    <w:rsid w:val="00051DC5"/>
    <w:rsid w:val="00051FF8"/>
    <w:rsid w:val="0005262C"/>
    <w:rsid w:val="00052AAB"/>
    <w:rsid w:val="00053F95"/>
    <w:rsid w:val="00054055"/>
    <w:rsid w:val="000545AE"/>
    <w:rsid w:val="000549DC"/>
    <w:rsid w:val="00054C08"/>
    <w:rsid w:val="00054D5B"/>
    <w:rsid w:val="00054EF0"/>
    <w:rsid w:val="00055276"/>
    <w:rsid w:val="00056247"/>
    <w:rsid w:val="00056547"/>
    <w:rsid w:val="0005659D"/>
    <w:rsid w:val="00056A5F"/>
    <w:rsid w:val="00056ACD"/>
    <w:rsid w:val="00056B98"/>
    <w:rsid w:val="00057ADD"/>
    <w:rsid w:val="00060534"/>
    <w:rsid w:val="000610F9"/>
    <w:rsid w:val="00061337"/>
    <w:rsid w:val="00061B2F"/>
    <w:rsid w:val="00061CFD"/>
    <w:rsid w:val="0006229D"/>
    <w:rsid w:val="00062B0C"/>
    <w:rsid w:val="00062CD1"/>
    <w:rsid w:val="000630CA"/>
    <w:rsid w:val="000631A3"/>
    <w:rsid w:val="000632BE"/>
    <w:rsid w:val="00063A25"/>
    <w:rsid w:val="00063B70"/>
    <w:rsid w:val="00063EAD"/>
    <w:rsid w:val="00063F5A"/>
    <w:rsid w:val="00064668"/>
    <w:rsid w:val="00064A6D"/>
    <w:rsid w:val="0006560A"/>
    <w:rsid w:val="00066051"/>
    <w:rsid w:val="0006640B"/>
    <w:rsid w:val="0006653D"/>
    <w:rsid w:val="000668F0"/>
    <w:rsid w:val="0006695E"/>
    <w:rsid w:val="0007007F"/>
    <w:rsid w:val="000702A3"/>
    <w:rsid w:val="000703CB"/>
    <w:rsid w:val="000704B0"/>
    <w:rsid w:val="00070CF7"/>
    <w:rsid w:val="00070DF6"/>
    <w:rsid w:val="000714D8"/>
    <w:rsid w:val="00071EFB"/>
    <w:rsid w:val="000723FF"/>
    <w:rsid w:val="000726B6"/>
    <w:rsid w:val="00072797"/>
    <w:rsid w:val="000727D8"/>
    <w:rsid w:val="0007287E"/>
    <w:rsid w:val="0007291B"/>
    <w:rsid w:val="00072E99"/>
    <w:rsid w:val="0007417C"/>
    <w:rsid w:val="00075627"/>
    <w:rsid w:val="00075CB0"/>
    <w:rsid w:val="00075D14"/>
    <w:rsid w:val="0007618A"/>
    <w:rsid w:val="000761DE"/>
    <w:rsid w:val="000762E6"/>
    <w:rsid w:val="00076A61"/>
    <w:rsid w:val="00076B06"/>
    <w:rsid w:val="00076CFE"/>
    <w:rsid w:val="0007753A"/>
    <w:rsid w:val="000775A7"/>
    <w:rsid w:val="00077752"/>
    <w:rsid w:val="0007797D"/>
    <w:rsid w:val="00077CA3"/>
    <w:rsid w:val="00080280"/>
    <w:rsid w:val="000802D7"/>
    <w:rsid w:val="00080542"/>
    <w:rsid w:val="00080C8F"/>
    <w:rsid w:val="000811B0"/>
    <w:rsid w:val="00081A57"/>
    <w:rsid w:val="00081A67"/>
    <w:rsid w:val="00081E3B"/>
    <w:rsid w:val="00082523"/>
    <w:rsid w:val="00082682"/>
    <w:rsid w:val="00082F1B"/>
    <w:rsid w:val="0008312C"/>
    <w:rsid w:val="00083B05"/>
    <w:rsid w:val="00083EFC"/>
    <w:rsid w:val="00084129"/>
    <w:rsid w:val="000842CD"/>
    <w:rsid w:val="00084BD5"/>
    <w:rsid w:val="00084E06"/>
    <w:rsid w:val="00085078"/>
    <w:rsid w:val="000856A0"/>
    <w:rsid w:val="000862D1"/>
    <w:rsid w:val="00086F93"/>
    <w:rsid w:val="00086F9E"/>
    <w:rsid w:val="00087BDC"/>
    <w:rsid w:val="00087BF5"/>
    <w:rsid w:val="00087F13"/>
    <w:rsid w:val="00090071"/>
    <w:rsid w:val="0009053C"/>
    <w:rsid w:val="00090897"/>
    <w:rsid w:val="00090C49"/>
    <w:rsid w:val="000913BF"/>
    <w:rsid w:val="00091661"/>
    <w:rsid w:val="00091CCA"/>
    <w:rsid w:val="00091E20"/>
    <w:rsid w:val="000923DE"/>
    <w:rsid w:val="00092A1B"/>
    <w:rsid w:val="00093221"/>
    <w:rsid w:val="00093490"/>
    <w:rsid w:val="000936EF"/>
    <w:rsid w:val="000939F1"/>
    <w:rsid w:val="00094277"/>
    <w:rsid w:val="0009497F"/>
    <w:rsid w:val="000949A7"/>
    <w:rsid w:val="000952DB"/>
    <w:rsid w:val="0009585A"/>
    <w:rsid w:val="00095C9B"/>
    <w:rsid w:val="00095E19"/>
    <w:rsid w:val="00095F0B"/>
    <w:rsid w:val="00096AD7"/>
    <w:rsid w:val="00097580"/>
    <w:rsid w:val="00097FA9"/>
    <w:rsid w:val="000A002D"/>
    <w:rsid w:val="000A0A1C"/>
    <w:rsid w:val="000A0A32"/>
    <w:rsid w:val="000A0F1F"/>
    <w:rsid w:val="000A108C"/>
    <w:rsid w:val="000A121E"/>
    <w:rsid w:val="000A1720"/>
    <w:rsid w:val="000A179F"/>
    <w:rsid w:val="000A1E3D"/>
    <w:rsid w:val="000A1EA7"/>
    <w:rsid w:val="000A2961"/>
    <w:rsid w:val="000A2AAD"/>
    <w:rsid w:val="000A2D43"/>
    <w:rsid w:val="000A3466"/>
    <w:rsid w:val="000A39F0"/>
    <w:rsid w:val="000A3A68"/>
    <w:rsid w:val="000A3A77"/>
    <w:rsid w:val="000A3A7E"/>
    <w:rsid w:val="000A3E7F"/>
    <w:rsid w:val="000A3FF9"/>
    <w:rsid w:val="000A40EF"/>
    <w:rsid w:val="000A44B8"/>
    <w:rsid w:val="000A48EE"/>
    <w:rsid w:val="000A4E33"/>
    <w:rsid w:val="000A51EB"/>
    <w:rsid w:val="000A5444"/>
    <w:rsid w:val="000A54FB"/>
    <w:rsid w:val="000A57CD"/>
    <w:rsid w:val="000A5944"/>
    <w:rsid w:val="000A5D53"/>
    <w:rsid w:val="000A5E4C"/>
    <w:rsid w:val="000A5FAD"/>
    <w:rsid w:val="000A60BB"/>
    <w:rsid w:val="000A6E12"/>
    <w:rsid w:val="000A76DF"/>
    <w:rsid w:val="000A7841"/>
    <w:rsid w:val="000A7CC7"/>
    <w:rsid w:val="000A7D26"/>
    <w:rsid w:val="000B00DF"/>
    <w:rsid w:val="000B0192"/>
    <w:rsid w:val="000B019A"/>
    <w:rsid w:val="000B01E5"/>
    <w:rsid w:val="000B0329"/>
    <w:rsid w:val="000B042E"/>
    <w:rsid w:val="000B0449"/>
    <w:rsid w:val="000B0562"/>
    <w:rsid w:val="000B0F1C"/>
    <w:rsid w:val="000B1A59"/>
    <w:rsid w:val="000B2795"/>
    <w:rsid w:val="000B2B17"/>
    <w:rsid w:val="000B3B1C"/>
    <w:rsid w:val="000B40A5"/>
    <w:rsid w:val="000B4959"/>
    <w:rsid w:val="000B568D"/>
    <w:rsid w:val="000B59A0"/>
    <w:rsid w:val="000B5B92"/>
    <w:rsid w:val="000B5C41"/>
    <w:rsid w:val="000B6E58"/>
    <w:rsid w:val="000B7AF0"/>
    <w:rsid w:val="000C0345"/>
    <w:rsid w:val="000C0ABC"/>
    <w:rsid w:val="000C0BFA"/>
    <w:rsid w:val="000C1986"/>
    <w:rsid w:val="000C1E70"/>
    <w:rsid w:val="000C2055"/>
    <w:rsid w:val="000C29EA"/>
    <w:rsid w:val="000C2B9C"/>
    <w:rsid w:val="000C2DF8"/>
    <w:rsid w:val="000C2EE4"/>
    <w:rsid w:val="000C3305"/>
    <w:rsid w:val="000C3979"/>
    <w:rsid w:val="000C3F12"/>
    <w:rsid w:val="000C4404"/>
    <w:rsid w:val="000C47A3"/>
    <w:rsid w:val="000C4C3B"/>
    <w:rsid w:val="000C4CEE"/>
    <w:rsid w:val="000C4E18"/>
    <w:rsid w:val="000C4E25"/>
    <w:rsid w:val="000C51AD"/>
    <w:rsid w:val="000C5484"/>
    <w:rsid w:val="000C569B"/>
    <w:rsid w:val="000C5D7F"/>
    <w:rsid w:val="000C5DAC"/>
    <w:rsid w:val="000C65BE"/>
    <w:rsid w:val="000C6BB5"/>
    <w:rsid w:val="000C702D"/>
    <w:rsid w:val="000C7179"/>
    <w:rsid w:val="000C75DD"/>
    <w:rsid w:val="000D03C5"/>
    <w:rsid w:val="000D06C2"/>
    <w:rsid w:val="000D0BEC"/>
    <w:rsid w:val="000D0DE1"/>
    <w:rsid w:val="000D117D"/>
    <w:rsid w:val="000D1198"/>
    <w:rsid w:val="000D123E"/>
    <w:rsid w:val="000D1447"/>
    <w:rsid w:val="000D2126"/>
    <w:rsid w:val="000D2398"/>
    <w:rsid w:val="000D23E7"/>
    <w:rsid w:val="000D2841"/>
    <w:rsid w:val="000D28EC"/>
    <w:rsid w:val="000D2B7A"/>
    <w:rsid w:val="000D30C9"/>
    <w:rsid w:val="000D3889"/>
    <w:rsid w:val="000D3B7C"/>
    <w:rsid w:val="000D4486"/>
    <w:rsid w:val="000D4B86"/>
    <w:rsid w:val="000D4F50"/>
    <w:rsid w:val="000D56A3"/>
    <w:rsid w:val="000D64BA"/>
    <w:rsid w:val="000D6603"/>
    <w:rsid w:val="000D6711"/>
    <w:rsid w:val="000D6B07"/>
    <w:rsid w:val="000D6D01"/>
    <w:rsid w:val="000D6FFA"/>
    <w:rsid w:val="000D709E"/>
    <w:rsid w:val="000D7324"/>
    <w:rsid w:val="000D7C3F"/>
    <w:rsid w:val="000D7DFA"/>
    <w:rsid w:val="000E0EA6"/>
    <w:rsid w:val="000E1172"/>
    <w:rsid w:val="000E1583"/>
    <w:rsid w:val="000E1F6F"/>
    <w:rsid w:val="000E20EE"/>
    <w:rsid w:val="000E213D"/>
    <w:rsid w:val="000E2241"/>
    <w:rsid w:val="000E25B7"/>
    <w:rsid w:val="000E2F2C"/>
    <w:rsid w:val="000E2F52"/>
    <w:rsid w:val="000E2F67"/>
    <w:rsid w:val="000E318C"/>
    <w:rsid w:val="000E321C"/>
    <w:rsid w:val="000E35E7"/>
    <w:rsid w:val="000E3C52"/>
    <w:rsid w:val="000E3CB0"/>
    <w:rsid w:val="000E4F4B"/>
    <w:rsid w:val="000E522C"/>
    <w:rsid w:val="000E59AD"/>
    <w:rsid w:val="000E5A1E"/>
    <w:rsid w:val="000E5D26"/>
    <w:rsid w:val="000E5E9C"/>
    <w:rsid w:val="000E60F2"/>
    <w:rsid w:val="000E6592"/>
    <w:rsid w:val="000E6934"/>
    <w:rsid w:val="000E6DD6"/>
    <w:rsid w:val="000E6E03"/>
    <w:rsid w:val="000E71B9"/>
    <w:rsid w:val="000E7A40"/>
    <w:rsid w:val="000E7B30"/>
    <w:rsid w:val="000E7F57"/>
    <w:rsid w:val="000E7FC2"/>
    <w:rsid w:val="000E7FE9"/>
    <w:rsid w:val="000F0074"/>
    <w:rsid w:val="000F0329"/>
    <w:rsid w:val="000F0820"/>
    <w:rsid w:val="000F0B1D"/>
    <w:rsid w:val="000F1358"/>
    <w:rsid w:val="000F143C"/>
    <w:rsid w:val="000F1CCC"/>
    <w:rsid w:val="000F1F49"/>
    <w:rsid w:val="000F2606"/>
    <w:rsid w:val="000F276B"/>
    <w:rsid w:val="000F2EDC"/>
    <w:rsid w:val="000F341C"/>
    <w:rsid w:val="000F3D4A"/>
    <w:rsid w:val="000F4377"/>
    <w:rsid w:val="000F4405"/>
    <w:rsid w:val="000F4696"/>
    <w:rsid w:val="000F48A8"/>
    <w:rsid w:val="000F4D04"/>
    <w:rsid w:val="000F4ED8"/>
    <w:rsid w:val="000F5168"/>
    <w:rsid w:val="000F5D39"/>
    <w:rsid w:val="000F66C8"/>
    <w:rsid w:val="000F6A87"/>
    <w:rsid w:val="000F6B96"/>
    <w:rsid w:val="000F71EC"/>
    <w:rsid w:val="000F727F"/>
    <w:rsid w:val="000F7A1D"/>
    <w:rsid w:val="000F7BDB"/>
    <w:rsid w:val="00100955"/>
    <w:rsid w:val="00101787"/>
    <w:rsid w:val="00101D61"/>
    <w:rsid w:val="00101E33"/>
    <w:rsid w:val="00102912"/>
    <w:rsid w:val="00102C25"/>
    <w:rsid w:val="00102EE3"/>
    <w:rsid w:val="0010325A"/>
    <w:rsid w:val="001037A5"/>
    <w:rsid w:val="00103808"/>
    <w:rsid w:val="001042FF"/>
    <w:rsid w:val="00104535"/>
    <w:rsid w:val="00104DAE"/>
    <w:rsid w:val="0010568A"/>
    <w:rsid w:val="00105E1C"/>
    <w:rsid w:val="00106C33"/>
    <w:rsid w:val="0010781F"/>
    <w:rsid w:val="00107DE3"/>
    <w:rsid w:val="001101EE"/>
    <w:rsid w:val="0011051C"/>
    <w:rsid w:val="001106E3"/>
    <w:rsid w:val="00110A3A"/>
    <w:rsid w:val="00110DFC"/>
    <w:rsid w:val="001111B5"/>
    <w:rsid w:val="001116C2"/>
    <w:rsid w:val="00111701"/>
    <w:rsid w:val="001117F2"/>
    <w:rsid w:val="00111D7A"/>
    <w:rsid w:val="00112547"/>
    <w:rsid w:val="0011270D"/>
    <w:rsid w:val="0011289B"/>
    <w:rsid w:val="00113203"/>
    <w:rsid w:val="00113C61"/>
    <w:rsid w:val="00113FA9"/>
    <w:rsid w:val="00114213"/>
    <w:rsid w:val="0011448E"/>
    <w:rsid w:val="00114547"/>
    <w:rsid w:val="001148E8"/>
    <w:rsid w:val="00114B1D"/>
    <w:rsid w:val="00114D65"/>
    <w:rsid w:val="00114DA4"/>
    <w:rsid w:val="00114E19"/>
    <w:rsid w:val="00114E75"/>
    <w:rsid w:val="00114F62"/>
    <w:rsid w:val="001150AF"/>
    <w:rsid w:val="001156A5"/>
    <w:rsid w:val="00115A60"/>
    <w:rsid w:val="00115D6B"/>
    <w:rsid w:val="001168D2"/>
    <w:rsid w:val="001170F6"/>
    <w:rsid w:val="0011763A"/>
    <w:rsid w:val="00117A29"/>
    <w:rsid w:val="00117A3D"/>
    <w:rsid w:val="00117AA0"/>
    <w:rsid w:val="00120ECE"/>
    <w:rsid w:val="00121010"/>
    <w:rsid w:val="00121671"/>
    <w:rsid w:val="0012211F"/>
    <w:rsid w:val="00122183"/>
    <w:rsid w:val="00122272"/>
    <w:rsid w:val="001225A3"/>
    <w:rsid w:val="00122E9F"/>
    <w:rsid w:val="00123735"/>
    <w:rsid w:val="00123A6D"/>
    <w:rsid w:val="0012408F"/>
    <w:rsid w:val="00125050"/>
    <w:rsid w:val="001254D7"/>
    <w:rsid w:val="00125888"/>
    <w:rsid w:val="00125982"/>
    <w:rsid w:val="00125B3E"/>
    <w:rsid w:val="00125DAC"/>
    <w:rsid w:val="00125F16"/>
    <w:rsid w:val="001266F3"/>
    <w:rsid w:val="00126719"/>
    <w:rsid w:val="00126EB5"/>
    <w:rsid w:val="00127336"/>
    <w:rsid w:val="001274D5"/>
    <w:rsid w:val="0012750D"/>
    <w:rsid w:val="00127533"/>
    <w:rsid w:val="001310BB"/>
    <w:rsid w:val="00131343"/>
    <w:rsid w:val="0013142A"/>
    <w:rsid w:val="0013178B"/>
    <w:rsid w:val="00131BB8"/>
    <w:rsid w:val="0013223B"/>
    <w:rsid w:val="001322FE"/>
    <w:rsid w:val="00132A1E"/>
    <w:rsid w:val="00133298"/>
    <w:rsid w:val="0013343B"/>
    <w:rsid w:val="00133554"/>
    <w:rsid w:val="00133860"/>
    <w:rsid w:val="00133FD8"/>
    <w:rsid w:val="001344DB"/>
    <w:rsid w:val="00134904"/>
    <w:rsid w:val="00134907"/>
    <w:rsid w:val="00134E64"/>
    <w:rsid w:val="0013536E"/>
    <w:rsid w:val="00135EB3"/>
    <w:rsid w:val="00135F4B"/>
    <w:rsid w:val="00136355"/>
    <w:rsid w:val="001363E0"/>
    <w:rsid w:val="00136AC0"/>
    <w:rsid w:val="00136D6E"/>
    <w:rsid w:val="00136FAE"/>
    <w:rsid w:val="001374EF"/>
    <w:rsid w:val="00137549"/>
    <w:rsid w:val="00137C5B"/>
    <w:rsid w:val="00137D20"/>
    <w:rsid w:val="00137EB4"/>
    <w:rsid w:val="0014025A"/>
    <w:rsid w:val="00140367"/>
    <w:rsid w:val="001405C4"/>
    <w:rsid w:val="00141006"/>
    <w:rsid w:val="001419C7"/>
    <w:rsid w:val="00141B92"/>
    <w:rsid w:val="00141F64"/>
    <w:rsid w:val="001420BA"/>
    <w:rsid w:val="00142231"/>
    <w:rsid w:val="0014270A"/>
    <w:rsid w:val="00142E99"/>
    <w:rsid w:val="0014311A"/>
    <w:rsid w:val="00143B59"/>
    <w:rsid w:val="00143F31"/>
    <w:rsid w:val="001446CC"/>
    <w:rsid w:val="00144771"/>
    <w:rsid w:val="00145393"/>
    <w:rsid w:val="0014551F"/>
    <w:rsid w:val="001455A8"/>
    <w:rsid w:val="001455FB"/>
    <w:rsid w:val="00145859"/>
    <w:rsid w:val="00145CE0"/>
    <w:rsid w:val="00145DFA"/>
    <w:rsid w:val="00145FFD"/>
    <w:rsid w:val="001461CF"/>
    <w:rsid w:val="00146853"/>
    <w:rsid w:val="00146AA5"/>
    <w:rsid w:val="0014716B"/>
    <w:rsid w:val="001476FF"/>
    <w:rsid w:val="0014770B"/>
    <w:rsid w:val="00147BB0"/>
    <w:rsid w:val="00150579"/>
    <w:rsid w:val="00151136"/>
    <w:rsid w:val="00151537"/>
    <w:rsid w:val="00151702"/>
    <w:rsid w:val="0015183D"/>
    <w:rsid w:val="00151B85"/>
    <w:rsid w:val="00151BDE"/>
    <w:rsid w:val="00152126"/>
    <w:rsid w:val="00152316"/>
    <w:rsid w:val="0015239A"/>
    <w:rsid w:val="0015254F"/>
    <w:rsid w:val="00152AC2"/>
    <w:rsid w:val="00152CA1"/>
    <w:rsid w:val="0015350F"/>
    <w:rsid w:val="00153E90"/>
    <w:rsid w:val="00153EC3"/>
    <w:rsid w:val="00154B53"/>
    <w:rsid w:val="001559E6"/>
    <w:rsid w:val="00155DFC"/>
    <w:rsid w:val="00156034"/>
    <w:rsid w:val="00156246"/>
    <w:rsid w:val="001562AF"/>
    <w:rsid w:val="001566EA"/>
    <w:rsid w:val="001567D6"/>
    <w:rsid w:val="00156839"/>
    <w:rsid w:val="001569AD"/>
    <w:rsid w:val="00157A4F"/>
    <w:rsid w:val="00160245"/>
    <w:rsid w:val="001605BF"/>
    <w:rsid w:val="0016099A"/>
    <w:rsid w:val="00160B32"/>
    <w:rsid w:val="0016157B"/>
    <w:rsid w:val="001615DA"/>
    <w:rsid w:val="0016164D"/>
    <w:rsid w:val="00161775"/>
    <w:rsid w:val="00161AB4"/>
    <w:rsid w:val="00162123"/>
    <w:rsid w:val="0016233F"/>
    <w:rsid w:val="001623B0"/>
    <w:rsid w:val="001631D4"/>
    <w:rsid w:val="001636CC"/>
    <w:rsid w:val="001636E3"/>
    <w:rsid w:val="00163887"/>
    <w:rsid w:val="00163AA3"/>
    <w:rsid w:val="00163D62"/>
    <w:rsid w:val="0016441A"/>
    <w:rsid w:val="00164E27"/>
    <w:rsid w:val="0016529D"/>
    <w:rsid w:val="00165315"/>
    <w:rsid w:val="00165681"/>
    <w:rsid w:val="0016589A"/>
    <w:rsid w:val="00166054"/>
    <w:rsid w:val="001661A4"/>
    <w:rsid w:val="0016633F"/>
    <w:rsid w:val="0016680B"/>
    <w:rsid w:val="00166CEE"/>
    <w:rsid w:val="00166CFA"/>
    <w:rsid w:val="00167330"/>
    <w:rsid w:val="00167339"/>
    <w:rsid w:val="0016746A"/>
    <w:rsid w:val="0016764D"/>
    <w:rsid w:val="0016799A"/>
    <w:rsid w:val="00167EE8"/>
    <w:rsid w:val="001702CC"/>
    <w:rsid w:val="0017050D"/>
    <w:rsid w:val="00170587"/>
    <w:rsid w:val="001709D7"/>
    <w:rsid w:val="00170B8B"/>
    <w:rsid w:val="001712FF"/>
    <w:rsid w:val="0017137F"/>
    <w:rsid w:val="00171720"/>
    <w:rsid w:val="00171B3B"/>
    <w:rsid w:val="00171D6D"/>
    <w:rsid w:val="00171E44"/>
    <w:rsid w:val="00171FAA"/>
    <w:rsid w:val="00172A98"/>
    <w:rsid w:val="001731C0"/>
    <w:rsid w:val="00173523"/>
    <w:rsid w:val="001738E6"/>
    <w:rsid w:val="00173A3E"/>
    <w:rsid w:val="001744FB"/>
    <w:rsid w:val="00174563"/>
    <w:rsid w:val="00174568"/>
    <w:rsid w:val="0017490B"/>
    <w:rsid w:val="00174C04"/>
    <w:rsid w:val="00174D7E"/>
    <w:rsid w:val="00174F87"/>
    <w:rsid w:val="0017545E"/>
    <w:rsid w:val="00175984"/>
    <w:rsid w:val="00175F17"/>
    <w:rsid w:val="00175FE9"/>
    <w:rsid w:val="0017647B"/>
    <w:rsid w:val="00176A69"/>
    <w:rsid w:val="00176D51"/>
    <w:rsid w:val="00176E6D"/>
    <w:rsid w:val="00176EE5"/>
    <w:rsid w:val="001773BD"/>
    <w:rsid w:val="00177654"/>
    <w:rsid w:val="001776A2"/>
    <w:rsid w:val="001778C0"/>
    <w:rsid w:val="0017797C"/>
    <w:rsid w:val="00177C87"/>
    <w:rsid w:val="001800D0"/>
    <w:rsid w:val="001811CE"/>
    <w:rsid w:val="00181F5A"/>
    <w:rsid w:val="001820D1"/>
    <w:rsid w:val="00182148"/>
    <w:rsid w:val="00182E10"/>
    <w:rsid w:val="001832F7"/>
    <w:rsid w:val="00183374"/>
    <w:rsid w:val="001835EA"/>
    <w:rsid w:val="001838CE"/>
    <w:rsid w:val="00183931"/>
    <w:rsid w:val="0018397F"/>
    <w:rsid w:val="00183AD6"/>
    <w:rsid w:val="00183B26"/>
    <w:rsid w:val="00183DCA"/>
    <w:rsid w:val="00183FD3"/>
    <w:rsid w:val="0018427C"/>
    <w:rsid w:val="00184990"/>
    <w:rsid w:val="00184EC8"/>
    <w:rsid w:val="00184FF9"/>
    <w:rsid w:val="0018512F"/>
    <w:rsid w:val="0018586A"/>
    <w:rsid w:val="00185B76"/>
    <w:rsid w:val="0018613D"/>
    <w:rsid w:val="0018639F"/>
    <w:rsid w:val="00186D74"/>
    <w:rsid w:val="0018714D"/>
    <w:rsid w:val="001871E7"/>
    <w:rsid w:val="001876B3"/>
    <w:rsid w:val="00187D80"/>
    <w:rsid w:val="00187F5B"/>
    <w:rsid w:val="001901A0"/>
    <w:rsid w:val="00190519"/>
    <w:rsid w:val="001906B9"/>
    <w:rsid w:val="001909B1"/>
    <w:rsid w:val="00190DE6"/>
    <w:rsid w:val="00190DE9"/>
    <w:rsid w:val="00191FBC"/>
    <w:rsid w:val="0019213E"/>
    <w:rsid w:val="0019218B"/>
    <w:rsid w:val="001923EB"/>
    <w:rsid w:val="001925C0"/>
    <w:rsid w:val="00192BFD"/>
    <w:rsid w:val="00192F15"/>
    <w:rsid w:val="001936FD"/>
    <w:rsid w:val="00193DF4"/>
    <w:rsid w:val="001942CA"/>
    <w:rsid w:val="00194768"/>
    <w:rsid w:val="00194929"/>
    <w:rsid w:val="00195122"/>
    <w:rsid w:val="001956D9"/>
    <w:rsid w:val="001957E5"/>
    <w:rsid w:val="00195870"/>
    <w:rsid w:val="001960E7"/>
    <w:rsid w:val="001966D9"/>
    <w:rsid w:val="00197150"/>
    <w:rsid w:val="00197992"/>
    <w:rsid w:val="001979FE"/>
    <w:rsid w:val="001A07D7"/>
    <w:rsid w:val="001A0831"/>
    <w:rsid w:val="001A1541"/>
    <w:rsid w:val="001A165F"/>
    <w:rsid w:val="001A1892"/>
    <w:rsid w:val="001A1DD2"/>
    <w:rsid w:val="001A1EAA"/>
    <w:rsid w:val="001A262A"/>
    <w:rsid w:val="001A2A8B"/>
    <w:rsid w:val="001A31C1"/>
    <w:rsid w:val="001A3C01"/>
    <w:rsid w:val="001A3D0A"/>
    <w:rsid w:val="001A41CC"/>
    <w:rsid w:val="001A481A"/>
    <w:rsid w:val="001A49CB"/>
    <w:rsid w:val="001A4C03"/>
    <w:rsid w:val="001A50BA"/>
    <w:rsid w:val="001A54CE"/>
    <w:rsid w:val="001A569F"/>
    <w:rsid w:val="001A5879"/>
    <w:rsid w:val="001A5C86"/>
    <w:rsid w:val="001A5D2C"/>
    <w:rsid w:val="001A5EA9"/>
    <w:rsid w:val="001A5F7D"/>
    <w:rsid w:val="001A616B"/>
    <w:rsid w:val="001A6624"/>
    <w:rsid w:val="001A69C2"/>
    <w:rsid w:val="001A69E2"/>
    <w:rsid w:val="001A6A5D"/>
    <w:rsid w:val="001A6CB7"/>
    <w:rsid w:val="001A704E"/>
    <w:rsid w:val="001A75C7"/>
    <w:rsid w:val="001A7852"/>
    <w:rsid w:val="001A7B80"/>
    <w:rsid w:val="001A7F28"/>
    <w:rsid w:val="001A7FF1"/>
    <w:rsid w:val="001B021B"/>
    <w:rsid w:val="001B025B"/>
    <w:rsid w:val="001B0330"/>
    <w:rsid w:val="001B03B9"/>
    <w:rsid w:val="001B062C"/>
    <w:rsid w:val="001B071A"/>
    <w:rsid w:val="001B07D5"/>
    <w:rsid w:val="001B087D"/>
    <w:rsid w:val="001B08B4"/>
    <w:rsid w:val="001B0B09"/>
    <w:rsid w:val="001B0E03"/>
    <w:rsid w:val="001B0E33"/>
    <w:rsid w:val="001B108E"/>
    <w:rsid w:val="001B1272"/>
    <w:rsid w:val="001B1741"/>
    <w:rsid w:val="001B1C82"/>
    <w:rsid w:val="001B1D21"/>
    <w:rsid w:val="001B1EEC"/>
    <w:rsid w:val="001B1F60"/>
    <w:rsid w:val="001B293A"/>
    <w:rsid w:val="001B2991"/>
    <w:rsid w:val="001B299D"/>
    <w:rsid w:val="001B2CE0"/>
    <w:rsid w:val="001B3063"/>
    <w:rsid w:val="001B30D5"/>
    <w:rsid w:val="001B312C"/>
    <w:rsid w:val="001B3409"/>
    <w:rsid w:val="001B3713"/>
    <w:rsid w:val="001B3FFB"/>
    <w:rsid w:val="001B439C"/>
    <w:rsid w:val="001B48DB"/>
    <w:rsid w:val="001B4E32"/>
    <w:rsid w:val="001B5A16"/>
    <w:rsid w:val="001B5DB0"/>
    <w:rsid w:val="001B6530"/>
    <w:rsid w:val="001B66FE"/>
    <w:rsid w:val="001B679F"/>
    <w:rsid w:val="001B68AD"/>
    <w:rsid w:val="001B6945"/>
    <w:rsid w:val="001B7ECC"/>
    <w:rsid w:val="001C09CF"/>
    <w:rsid w:val="001C0B6C"/>
    <w:rsid w:val="001C0EF2"/>
    <w:rsid w:val="001C170D"/>
    <w:rsid w:val="001C1DAA"/>
    <w:rsid w:val="001C23C7"/>
    <w:rsid w:val="001C27FB"/>
    <w:rsid w:val="001C2D17"/>
    <w:rsid w:val="001C3000"/>
    <w:rsid w:val="001C31A2"/>
    <w:rsid w:val="001C32EC"/>
    <w:rsid w:val="001C383E"/>
    <w:rsid w:val="001C3A36"/>
    <w:rsid w:val="001C5064"/>
    <w:rsid w:val="001C54EE"/>
    <w:rsid w:val="001C56A4"/>
    <w:rsid w:val="001C5A75"/>
    <w:rsid w:val="001C5D32"/>
    <w:rsid w:val="001C5F4B"/>
    <w:rsid w:val="001C6124"/>
    <w:rsid w:val="001C64D5"/>
    <w:rsid w:val="001C6898"/>
    <w:rsid w:val="001C6C35"/>
    <w:rsid w:val="001C7403"/>
    <w:rsid w:val="001C7A45"/>
    <w:rsid w:val="001C7D7E"/>
    <w:rsid w:val="001C7F66"/>
    <w:rsid w:val="001D0251"/>
    <w:rsid w:val="001D06BC"/>
    <w:rsid w:val="001D0A83"/>
    <w:rsid w:val="001D1CDA"/>
    <w:rsid w:val="001D230D"/>
    <w:rsid w:val="001D2353"/>
    <w:rsid w:val="001D3CED"/>
    <w:rsid w:val="001D3F5D"/>
    <w:rsid w:val="001D4257"/>
    <w:rsid w:val="001D4369"/>
    <w:rsid w:val="001D4C5D"/>
    <w:rsid w:val="001D52D5"/>
    <w:rsid w:val="001D530C"/>
    <w:rsid w:val="001D53A7"/>
    <w:rsid w:val="001D5498"/>
    <w:rsid w:val="001D5953"/>
    <w:rsid w:val="001D5D06"/>
    <w:rsid w:val="001D5E2A"/>
    <w:rsid w:val="001D5FA6"/>
    <w:rsid w:val="001D64F0"/>
    <w:rsid w:val="001D663C"/>
    <w:rsid w:val="001D66DA"/>
    <w:rsid w:val="001D69BE"/>
    <w:rsid w:val="001D6CA6"/>
    <w:rsid w:val="001D6DA3"/>
    <w:rsid w:val="001D754B"/>
    <w:rsid w:val="001D7578"/>
    <w:rsid w:val="001D7E28"/>
    <w:rsid w:val="001D7E4B"/>
    <w:rsid w:val="001E0580"/>
    <w:rsid w:val="001E0CBA"/>
    <w:rsid w:val="001E0E6E"/>
    <w:rsid w:val="001E12B6"/>
    <w:rsid w:val="001E2684"/>
    <w:rsid w:val="001E2A52"/>
    <w:rsid w:val="001E2AE8"/>
    <w:rsid w:val="001E2E91"/>
    <w:rsid w:val="001E2EC1"/>
    <w:rsid w:val="001E3017"/>
    <w:rsid w:val="001E3191"/>
    <w:rsid w:val="001E4139"/>
    <w:rsid w:val="001E42C9"/>
    <w:rsid w:val="001E49CE"/>
    <w:rsid w:val="001E4AA5"/>
    <w:rsid w:val="001E4C61"/>
    <w:rsid w:val="001E4E3F"/>
    <w:rsid w:val="001E5614"/>
    <w:rsid w:val="001E5A8A"/>
    <w:rsid w:val="001E5E53"/>
    <w:rsid w:val="001E5F1F"/>
    <w:rsid w:val="001E6E0B"/>
    <w:rsid w:val="001E73E8"/>
    <w:rsid w:val="001E7A6F"/>
    <w:rsid w:val="001E7C59"/>
    <w:rsid w:val="001F05EB"/>
    <w:rsid w:val="001F0BDE"/>
    <w:rsid w:val="001F0F82"/>
    <w:rsid w:val="001F108A"/>
    <w:rsid w:val="001F145F"/>
    <w:rsid w:val="001F1651"/>
    <w:rsid w:val="001F19E2"/>
    <w:rsid w:val="001F1F9A"/>
    <w:rsid w:val="001F24DD"/>
    <w:rsid w:val="001F24FC"/>
    <w:rsid w:val="001F31F9"/>
    <w:rsid w:val="001F3403"/>
    <w:rsid w:val="001F3583"/>
    <w:rsid w:val="001F382D"/>
    <w:rsid w:val="001F3C10"/>
    <w:rsid w:val="001F3E32"/>
    <w:rsid w:val="001F3F4A"/>
    <w:rsid w:val="001F43C8"/>
    <w:rsid w:val="001F4503"/>
    <w:rsid w:val="001F45BB"/>
    <w:rsid w:val="001F495F"/>
    <w:rsid w:val="001F4965"/>
    <w:rsid w:val="001F4F62"/>
    <w:rsid w:val="001F4F6A"/>
    <w:rsid w:val="001F5427"/>
    <w:rsid w:val="001F55A1"/>
    <w:rsid w:val="001F5942"/>
    <w:rsid w:val="001F5977"/>
    <w:rsid w:val="001F5B07"/>
    <w:rsid w:val="001F5B97"/>
    <w:rsid w:val="001F5C13"/>
    <w:rsid w:val="001F5FD1"/>
    <w:rsid w:val="001F7021"/>
    <w:rsid w:val="001F727E"/>
    <w:rsid w:val="001F7516"/>
    <w:rsid w:val="001F78F1"/>
    <w:rsid w:val="001F7E0F"/>
    <w:rsid w:val="00200CA1"/>
    <w:rsid w:val="0020101D"/>
    <w:rsid w:val="002012F5"/>
    <w:rsid w:val="00201378"/>
    <w:rsid w:val="0020150D"/>
    <w:rsid w:val="002016D8"/>
    <w:rsid w:val="00202478"/>
    <w:rsid w:val="00202A9F"/>
    <w:rsid w:val="00202C66"/>
    <w:rsid w:val="00202F3F"/>
    <w:rsid w:val="00203101"/>
    <w:rsid w:val="002031F5"/>
    <w:rsid w:val="0020329A"/>
    <w:rsid w:val="00203500"/>
    <w:rsid w:val="00203C12"/>
    <w:rsid w:val="00203D35"/>
    <w:rsid w:val="00203DD2"/>
    <w:rsid w:val="0020411D"/>
    <w:rsid w:val="00204199"/>
    <w:rsid w:val="002042D9"/>
    <w:rsid w:val="0020470A"/>
    <w:rsid w:val="002055F1"/>
    <w:rsid w:val="002057BA"/>
    <w:rsid w:val="00205A62"/>
    <w:rsid w:val="00205E0C"/>
    <w:rsid w:val="002061DA"/>
    <w:rsid w:val="002063CD"/>
    <w:rsid w:val="00206838"/>
    <w:rsid w:val="00206D0D"/>
    <w:rsid w:val="00207442"/>
    <w:rsid w:val="0020776E"/>
    <w:rsid w:val="002102DD"/>
    <w:rsid w:val="00210693"/>
    <w:rsid w:val="0021079D"/>
    <w:rsid w:val="00210D12"/>
    <w:rsid w:val="00210FEB"/>
    <w:rsid w:val="00211016"/>
    <w:rsid w:val="0021151D"/>
    <w:rsid w:val="002119BD"/>
    <w:rsid w:val="00211DD4"/>
    <w:rsid w:val="00211EC6"/>
    <w:rsid w:val="002129CD"/>
    <w:rsid w:val="002129FC"/>
    <w:rsid w:val="00212E14"/>
    <w:rsid w:val="00213123"/>
    <w:rsid w:val="002135E6"/>
    <w:rsid w:val="002137F2"/>
    <w:rsid w:val="00213847"/>
    <w:rsid w:val="00213A87"/>
    <w:rsid w:val="0021415E"/>
    <w:rsid w:val="002142AD"/>
    <w:rsid w:val="002145AC"/>
    <w:rsid w:val="002146AB"/>
    <w:rsid w:val="00214980"/>
    <w:rsid w:val="00215186"/>
    <w:rsid w:val="0021542D"/>
    <w:rsid w:val="002155D7"/>
    <w:rsid w:val="00215E65"/>
    <w:rsid w:val="00216323"/>
    <w:rsid w:val="002164C0"/>
    <w:rsid w:val="0021665E"/>
    <w:rsid w:val="002166B8"/>
    <w:rsid w:val="00216718"/>
    <w:rsid w:val="0021684B"/>
    <w:rsid w:val="00217B63"/>
    <w:rsid w:val="00217F12"/>
    <w:rsid w:val="0022012F"/>
    <w:rsid w:val="002201CF"/>
    <w:rsid w:val="00220419"/>
    <w:rsid w:val="00220482"/>
    <w:rsid w:val="00220635"/>
    <w:rsid w:val="00221257"/>
    <w:rsid w:val="002214D7"/>
    <w:rsid w:val="00221538"/>
    <w:rsid w:val="002216AA"/>
    <w:rsid w:val="0022179F"/>
    <w:rsid w:val="002217CF"/>
    <w:rsid w:val="00221A5D"/>
    <w:rsid w:val="00221D94"/>
    <w:rsid w:val="002239FA"/>
    <w:rsid w:val="002240DE"/>
    <w:rsid w:val="002244CA"/>
    <w:rsid w:val="00224C6E"/>
    <w:rsid w:val="00224F46"/>
    <w:rsid w:val="0022568E"/>
    <w:rsid w:val="00225FBF"/>
    <w:rsid w:val="00226353"/>
    <w:rsid w:val="00226597"/>
    <w:rsid w:val="002265DD"/>
    <w:rsid w:val="00226C67"/>
    <w:rsid w:val="002270DD"/>
    <w:rsid w:val="0022744F"/>
    <w:rsid w:val="00227959"/>
    <w:rsid w:val="00227BEB"/>
    <w:rsid w:val="0023051C"/>
    <w:rsid w:val="00231145"/>
    <w:rsid w:val="00231531"/>
    <w:rsid w:val="00231664"/>
    <w:rsid w:val="00231736"/>
    <w:rsid w:val="002329AC"/>
    <w:rsid w:val="00233599"/>
    <w:rsid w:val="002338D3"/>
    <w:rsid w:val="00233B9F"/>
    <w:rsid w:val="00233E47"/>
    <w:rsid w:val="002342C0"/>
    <w:rsid w:val="002342E1"/>
    <w:rsid w:val="0023479D"/>
    <w:rsid w:val="002348FA"/>
    <w:rsid w:val="002349E9"/>
    <w:rsid w:val="0023575A"/>
    <w:rsid w:val="00235D17"/>
    <w:rsid w:val="00236D7A"/>
    <w:rsid w:val="00236E6C"/>
    <w:rsid w:val="00237082"/>
    <w:rsid w:val="002372A7"/>
    <w:rsid w:val="002372FD"/>
    <w:rsid w:val="00237D41"/>
    <w:rsid w:val="00237DE1"/>
    <w:rsid w:val="00237EAC"/>
    <w:rsid w:val="00240F8F"/>
    <w:rsid w:val="00241C4F"/>
    <w:rsid w:val="002423EF"/>
    <w:rsid w:val="002433B3"/>
    <w:rsid w:val="00243543"/>
    <w:rsid w:val="002437BA"/>
    <w:rsid w:val="0024429B"/>
    <w:rsid w:val="0024467C"/>
    <w:rsid w:val="00244868"/>
    <w:rsid w:val="00245549"/>
    <w:rsid w:val="002455A5"/>
    <w:rsid w:val="00245A4A"/>
    <w:rsid w:val="00245BF6"/>
    <w:rsid w:val="00246013"/>
    <w:rsid w:val="002460E5"/>
    <w:rsid w:val="002461FB"/>
    <w:rsid w:val="00246256"/>
    <w:rsid w:val="00246BBE"/>
    <w:rsid w:val="00247BC5"/>
    <w:rsid w:val="00247D15"/>
    <w:rsid w:val="00250248"/>
    <w:rsid w:val="002504A6"/>
    <w:rsid w:val="00251342"/>
    <w:rsid w:val="00251A3B"/>
    <w:rsid w:val="00251CFC"/>
    <w:rsid w:val="00251D88"/>
    <w:rsid w:val="00251F47"/>
    <w:rsid w:val="00252119"/>
    <w:rsid w:val="00252685"/>
    <w:rsid w:val="00252783"/>
    <w:rsid w:val="0025292F"/>
    <w:rsid w:val="00252B2D"/>
    <w:rsid w:val="002535FD"/>
    <w:rsid w:val="00253665"/>
    <w:rsid w:val="00254199"/>
    <w:rsid w:val="002544C4"/>
    <w:rsid w:val="002547FA"/>
    <w:rsid w:val="0025487D"/>
    <w:rsid w:val="00254F4E"/>
    <w:rsid w:val="00254FE0"/>
    <w:rsid w:val="00255446"/>
    <w:rsid w:val="0025549A"/>
    <w:rsid w:val="002554CD"/>
    <w:rsid w:val="002555EC"/>
    <w:rsid w:val="002558BB"/>
    <w:rsid w:val="002558CD"/>
    <w:rsid w:val="002559AB"/>
    <w:rsid w:val="00256291"/>
    <w:rsid w:val="0025661A"/>
    <w:rsid w:val="002568E9"/>
    <w:rsid w:val="00256FFD"/>
    <w:rsid w:val="00257301"/>
    <w:rsid w:val="002576EC"/>
    <w:rsid w:val="002577D1"/>
    <w:rsid w:val="00257B1E"/>
    <w:rsid w:val="00257FAA"/>
    <w:rsid w:val="00260569"/>
    <w:rsid w:val="00260766"/>
    <w:rsid w:val="00260D8C"/>
    <w:rsid w:val="002616CA"/>
    <w:rsid w:val="002617CB"/>
    <w:rsid w:val="0026296A"/>
    <w:rsid w:val="00262D60"/>
    <w:rsid w:val="00263452"/>
    <w:rsid w:val="0026345A"/>
    <w:rsid w:val="00264416"/>
    <w:rsid w:val="002647D4"/>
    <w:rsid w:val="00265207"/>
    <w:rsid w:val="002653CD"/>
    <w:rsid w:val="00265BED"/>
    <w:rsid w:val="00265C13"/>
    <w:rsid w:val="00265D15"/>
    <w:rsid w:val="0026624D"/>
    <w:rsid w:val="00266488"/>
    <w:rsid w:val="002665DA"/>
    <w:rsid w:val="002666C6"/>
    <w:rsid w:val="002668E8"/>
    <w:rsid w:val="002669D1"/>
    <w:rsid w:val="00266B7D"/>
    <w:rsid w:val="00267AE1"/>
    <w:rsid w:val="00267B86"/>
    <w:rsid w:val="00267DE6"/>
    <w:rsid w:val="0027015E"/>
    <w:rsid w:val="00270254"/>
    <w:rsid w:val="0027055C"/>
    <w:rsid w:val="00270CE6"/>
    <w:rsid w:val="002716DC"/>
    <w:rsid w:val="002718FC"/>
    <w:rsid w:val="00271E2A"/>
    <w:rsid w:val="002726E4"/>
    <w:rsid w:val="002728DA"/>
    <w:rsid w:val="00272906"/>
    <w:rsid w:val="00272928"/>
    <w:rsid w:val="00272A7F"/>
    <w:rsid w:val="00272D87"/>
    <w:rsid w:val="0027416D"/>
    <w:rsid w:val="002742E6"/>
    <w:rsid w:val="002743B3"/>
    <w:rsid w:val="002749EE"/>
    <w:rsid w:val="00275263"/>
    <w:rsid w:val="0027528B"/>
    <w:rsid w:val="002753BD"/>
    <w:rsid w:val="002758F5"/>
    <w:rsid w:val="0027590D"/>
    <w:rsid w:val="00276094"/>
    <w:rsid w:val="0027629D"/>
    <w:rsid w:val="002763ED"/>
    <w:rsid w:val="0027640E"/>
    <w:rsid w:val="00276544"/>
    <w:rsid w:val="00277224"/>
    <w:rsid w:val="00277399"/>
    <w:rsid w:val="0027741D"/>
    <w:rsid w:val="002775B0"/>
    <w:rsid w:val="0027765B"/>
    <w:rsid w:val="00277C58"/>
    <w:rsid w:val="00280221"/>
    <w:rsid w:val="00280DD1"/>
    <w:rsid w:val="00282188"/>
    <w:rsid w:val="002828DD"/>
    <w:rsid w:val="00282F94"/>
    <w:rsid w:val="00283270"/>
    <w:rsid w:val="00283315"/>
    <w:rsid w:val="00283672"/>
    <w:rsid w:val="0028380E"/>
    <w:rsid w:val="00283CEF"/>
    <w:rsid w:val="00283F34"/>
    <w:rsid w:val="002841E5"/>
    <w:rsid w:val="0028439F"/>
    <w:rsid w:val="00284A90"/>
    <w:rsid w:val="00284B21"/>
    <w:rsid w:val="00284E3E"/>
    <w:rsid w:val="002858CC"/>
    <w:rsid w:val="00285F41"/>
    <w:rsid w:val="00286A49"/>
    <w:rsid w:val="00286B88"/>
    <w:rsid w:val="00286C61"/>
    <w:rsid w:val="00286DFF"/>
    <w:rsid w:val="00287E1A"/>
    <w:rsid w:val="00290244"/>
    <w:rsid w:val="00290CB3"/>
    <w:rsid w:val="00290E53"/>
    <w:rsid w:val="00291175"/>
    <w:rsid w:val="00291B3A"/>
    <w:rsid w:val="00291FF5"/>
    <w:rsid w:val="00293053"/>
    <w:rsid w:val="0029443C"/>
    <w:rsid w:val="002944FA"/>
    <w:rsid w:val="00294670"/>
    <w:rsid w:val="00294872"/>
    <w:rsid w:val="002949CA"/>
    <w:rsid w:val="00294AA5"/>
    <w:rsid w:val="00294E88"/>
    <w:rsid w:val="0029574E"/>
    <w:rsid w:val="002958F8"/>
    <w:rsid w:val="00295BB0"/>
    <w:rsid w:val="00296464"/>
    <w:rsid w:val="00296727"/>
    <w:rsid w:val="0029706E"/>
    <w:rsid w:val="00297329"/>
    <w:rsid w:val="00297586"/>
    <w:rsid w:val="00297904"/>
    <w:rsid w:val="002979BC"/>
    <w:rsid w:val="00297DD0"/>
    <w:rsid w:val="00297F7F"/>
    <w:rsid w:val="002A017C"/>
    <w:rsid w:val="002A01CE"/>
    <w:rsid w:val="002A09AA"/>
    <w:rsid w:val="002A0B89"/>
    <w:rsid w:val="002A0E62"/>
    <w:rsid w:val="002A1930"/>
    <w:rsid w:val="002A1D51"/>
    <w:rsid w:val="002A1E8A"/>
    <w:rsid w:val="002A2CB1"/>
    <w:rsid w:val="002A34F7"/>
    <w:rsid w:val="002A3A6D"/>
    <w:rsid w:val="002A3D52"/>
    <w:rsid w:val="002A44E3"/>
    <w:rsid w:val="002A4680"/>
    <w:rsid w:val="002A47BB"/>
    <w:rsid w:val="002A47C0"/>
    <w:rsid w:val="002A4875"/>
    <w:rsid w:val="002A5007"/>
    <w:rsid w:val="002A51AA"/>
    <w:rsid w:val="002A52BB"/>
    <w:rsid w:val="002A54ED"/>
    <w:rsid w:val="002A5649"/>
    <w:rsid w:val="002A5BB0"/>
    <w:rsid w:val="002A6053"/>
    <w:rsid w:val="002A6EFC"/>
    <w:rsid w:val="002A6F3C"/>
    <w:rsid w:val="002A70C9"/>
    <w:rsid w:val="002A71BB"/>
    <w:rsid w:val="002A7760"/>
    <w:rsid w:val="002A7D62"/>
    <w:rsid w:val="002A7D7F"/>
    <w:rsid w:val="002B0497"/>
    <w:rsid w:val="002B04A4"/>
    <w:rsid w:val="002B052F"/>
    <w:rsid w:val="002B06F0"/>
    <w:rsid w:val="002B08F2"/>
    <w:rsid w:val="002B0A53"/>
    <w:rsid w:val="002B1056"/>
    <w:rsid w:val="002B1062"/>
    <w:rsid w:val="002B145A"/>
    <w:rsid w:val="002B1A7C"/>
    <w:rsid w:val="002B26C1"/>
    <w:rsid w:val="002B26D2"/>
    <w:rsid w:val="002B2D0C"/>
    <w:rsid w:val="002B401B"/>
    <w:rsid w:val="002B4232"/>
    <w:rsid w:val="002B461A"/>
    <w:rsid w:val="002B4782"/>
    <w:rsid w:val="002B5014"/>
    <w:rsid w:val="002B54C1"/>
    <w:rsid w:val="002B54E2"/>
    <w:rsid w:val="002B54E8"/>
    <w:rsid w:val="002B5AE6"/>
    <w:rsid w:val="002B5BA2"/>
    <w:rsid w:val="002B5E97"/>
    <w:rsid w:val="002B713C"/>
    <w:rsid w:val="002B72BC"/>
    <w:rsid w:val="002C0355"/>
    <w:rsid w:val="002C036F"/>
    <w:rsid w:val="002C0540"/>
    <w:rsid w:val="002C05C7"/>
    <w:rsid w:val="002C0821"/>
    <w:rsid w:val="002C0944"/>
    <w:rsid w:val="002C09FB"/>
    <w:rsid w:val="002C16D2"/>
    <w:rsid w:val="002C199A"/>
    <w:rsid w:val="002C1A8B"/>
    <w:rsid w:val="002C1B0D"/>
    <w:rsid w:val="002C28B0"/>
    <w:rsid w:val="002C2D76"/>
    <w:rsid w:val="002C30E3"/>
    <w:rsid w:val="002C3F5F"/>
    <w:rsid w:val="002C4CE2"/>
    <w:rsid w:val="002C507D"/>
    <w:rsid w:val="002C5672"/>
    <w:rsid w:val="002C5DC9"/>
    <w:rsid w:val="002C622D"/>
    <w:rsid w:val="002C6390"/>
    <w:rsid w:val="002C67C0"/>
    <w:rsid w:val="002C6B22"/>
    <w:rsid w:val="002C73AC"/>
    <w:rsid w:val="002C73F3"/>
    <w:rsid w:val="002C7960"/>
    <w:rsid w:val="002C7D29"/>
    <w:rsid w:val="002C7EF9"/>
    <w:rsid w:val="002D01C1"/>
    <w:rsid w:val="002D023C"/>
    <w:rsid w:val="002D097A"/>
    <w:rsid w:val="002D0B9B"/>
    <w:rsid w:val="002D0EEA"/>
    <w:rsid w:val="002D14B8"/>
    <w:rsid w:val="002D17EC"/>
    <w:rsid w:val="002D192B"/>
    <w:rsid w:val="002D1F08"/>
    <w:rsid w:val="002D1F65"/>
    <w:rsid w:val="002D2844"/>
    <w:rsid w:val="002D2D08"/>
    <w:rsid w:val="002D307B"/>
    <w:rsid w:val="002D366A"/>
    <w:rsid w:val="002D3A27"/>
    <w:rsid w:val="002D3B4A"/>
    <w:rsid w:val="002D3BE6"/>
    <w:rsid w:val="002D3CB3"/>
    <w:rsid w:val="002D476E"/>
    <w:rsid w:val="002D47DB"/>
    <w:rsid w:val="002D4A7B"/>
    <w:rsid w:val="002D4BA6"/>
    <w:rsid w:val="002D503F"/>
    <w:rsid w:val="002D534A"/>
    <w:rsid w:val="002D56DF"/>
    <w:rsid w:val="002D5980"/>
    <w:rsid w:val="002D62B6"/>
    <w:rsid w:val="002D6E06"/>
    <w:rsid w:val="002D6E52"/>
    <w:rsid w:val="002D7532"/>
    <w:rsid w:val="002D792F"/>
    <w:rsid w:val="002D7B45"/>
    <w:rsid w:val="002D7E8B"/>
    <w:rsid w:val="002E0170"/>
    <w:rsid w:val="002E0260"/>
    <w:rsid w:val="002E11EE"/>
    <w:rsid w:val="002E13F3"/>
    <w:rsid w:val="002E192E"/>
    <w:rsid w:val="002E193C"/>
    <w:rsid w:val="002E1BC5"/>
    <w:rsid w:val="002E3862"/>
    <w:rsid w:val="002E3A6C"/>
    <w:rsid w:val="002E3C41"/>
    <w:rsid w:val="002E4F84"/>
    <w:rsid w:val="002E59DB"/>
    <w:rsid w:val="002E5A5B"/>
    <w:rsid w:val="002E60E1"/>
    <w:rsid w:val="002E666A"/>
    <w:rsid w:val="002E7442"/>
    <w:rsid w:val="002E7965"/>
    <w:rsid w:val="002E7C2A"/>
    <w:rsid w:val="002F0BC9"/>
    <w:rsid w:val="002F0EDE"/>
    <w:rsid w:val="002F0EF9"/>
    <w:rsid w:val="002F10F5"/>
    <w:rsid w:val="002F1186"/>
    <w:rsid w:val="002F16B1"/>
    <w:rsid w:val="002F1965"/>
    <w:rsid w:val="002F1B93"/>
    <w:rsid w:val="002F2237"/>
    <w:rsid w:val="002F2BF3"/>
    <w:rsid w:val="002F313A"/>
    <w:rsid w:val="002F3485"/>
    <w:rsid w:val="002F3558"/>
    <w:rsid w:val="002F3DC3"/>
    <w:rsid w:val="002F456F"/>
    <w:rsid w:val="002F46DD"/>
    <w:rsid w:val="002F470D"/>
    <w:rsid w:val="002F4A6B"/>
    <w:rsid w:val="002F59A5"/>
    <w:rsid w:val="002F5F18"/>
    <w:rsid w:val="002F5F4E"/>
    <w:rsid w:val="002F627D"/>
    <w:rsid w:val="002F701C"/>
    <w:rsid w:val="002F7560"/>
    <w:rsid w:val="002F77E5"/>
    <w:rsid w:val="00300CC2"/>
    <w:rsid w:val="00301A69"/>
    <w:rsid w:val="00302A03"/>
    <w:rsid w:val="00302E48"/>
    <w:rsid w:val="0030306B"/>
    <w:rsid w:val="00303374"/>
    <w:rsid w:val="00303D39"/>
    <w:rsid w:val="00303FBC"/>
    <w:rsid w:val="00304B87"/>
    <w:rsid w:val="0030503E"/>
    <w:rsid w:val="003051BA"/>
    <w:rsid w:val="00305262"/>
    <w:rsid w:val="003058E8"/>
    <w:rsid w:val="00305FE1"/>
    <w:rsid w:val="00306024"/>
    <w:rsid w:val="003060AB"/>
    <w:rsid w:val="0030657E"/>
    <w:rsid w:val="00306640"/>
    <w:rsid w:val="003066E9"/>
    <w:rsid w:val="0030709E"/>
    <w:rsid w:val="0030711A"/>
    <w:rsid w:val="00307581"/>
    <w:rsid w:val="00307BC2"/>
    <w:rsid w:val="00307D39"/>
    <w:rsid w:val="00307DCE"/>
    <w:rsid w:val="00310199"/>
    <w:rsid w:val="003101AE"/>
    <w:rsid w:val="003101DE"/>
    <w:rsid w:val="003102A0"/>
    <w:rsid w:val="00311050"/>
    <w:rsid w:val="003110B7"/>
    <w:rsid w:val="0031123B"/>
    <w:rsid w:val="003113DB"/>
    <w:rsid w:val="00311BBE"/>
    <w:rsid w:val="00311C4C"/>
    <w:rsid w:val="00311C9F"/>
    <w:rsid w:val="00311E26"/>
    <w:rsid w:val="003122E0"/>
    <w:rsid w:val="00312A4A"/>
    <w:rsid w:val="003130AD"/>
    <w:rsid w:val="00314004"/>
    <w:rsid w:val="00314490"/>
    <w:rsid w:val="003144B2"/>
    <w:rsid w:val="00314B8B"/>
    <w:rsid w:val="003154F0"/>
    <w:rsid w:val="0031553E"/>
    <w:rsid w:val="00315C3A"/>
    <w:rsid w:val="0031645D"/>
    <w:rsid w:val="00316541"/>
    <w:rsid w:val="00316638"/>
    <w:rsid w:val="003168C1"/>
    <w:rsid w:val="003173C9"/>
    <w:rsid w:val="003178BF"/>
    <w:rsid w:val="00317F8C"/>
    <w:rsid w:val="0032033B"/>
    <w:rsid w:val="00320AC7"/>
    <w:rsid w:val="00320E85"/>
    <w:rsid w:val="0032129E"/>
    <w:rsid w:val="0032148F"/>
    <w:rsid w:val="0032151F"/>
    <w:rsid w:val="00322365"/>
    <w:rsid w:val="003225C7"/>
    <w:rsid w:val="003226AE"/>
    <w:rsid w:val="003227A2"/>
    <w:rsid w:val="0032292C"/>
    <w:rsid w:val="00322ACA"/>
    <w:rsid w:val="00322CBC"/>
    <w:rsid w:val="00322CD1"/>
    <w:rsid w:val="00323320"/>
    <w:rsid w:val="0032355D"/>
    <w:rsid w:val="00323B0C"/>
    <w:rsid w:val="00324023"/>
    <w:rsid w:val="003242A8"/>
    <w:rsid w:val="00324507"/>
    <w:rsid w:val="00324A5C"/>
    <w:rsid w:val="00324B9D"/>
    <w:rsid w:val="0032506D"/>
    <w:rsid w:val="00325179"/>
    <w:rsid w:val="003256AA"/>
    <w:rsid w:val="00325823"/>
    <w:rsid w:val="00325DB1"/>
    <w:rsid w:val="00326075"/>
    <w:rsid w:val="00326640"/>
    <w:rsid w:val="00326843"/>
    <w:rsid w:val="00326866"/>
    <w:rsid w:val="0032688D"/>
    <w:rsid w:val="00326FBA"/>
    <w:rsid w:val="00327323"/>
    <w:rsid w:val="00327AC3"/>
    <w:rsid w:val="00327C93"/>
    <w:rsid w:val="003303B8"/>
    <w:rsid w:val="00331258"/>
    <w:rsid w:val="0033160A"/>
    <w:rsid w:val="00331E41"/>
    <w:rsid w:val="003323B2"/>
    <w:rsid w:val="0033242E"/>
    <w:rsid w:val="00333227"/>
    <w:rsid w:val="00333881"/>
    <w:rsid w:val="003339D4"/>
    <w:rsid w:val="00333A9D"/>
    <w:rsid w:val="00334514"/>
    <w:rsid w:val="0033477A"/>
    <w:rsid w:val="00334E50"/>
    <w:rsid w:val="0033504B"/>
    <w:rsid w:val="00335843"/>
    <w:rsid w:val="00335DA4"/>
    <w:rsid w:val="0033648E"/>
    <w:rsid w:val="00336654"/>
    <w:rsid w:val="00336F01"/>
    <w:rsid w:val="003370A1"/>
    <w:rsid w:val="003371FE"/>
    <w:rsid w:val="003374C2"/>
    <w:rsid w:val="003374D4"/>
    <w:rsid w:val="00337C06"/>
    <w:rsid w:val="00337CFC"/>
    <w:rsid w:val="00340343"/>
    <w:rsid w:val="003403B9"/>
    <w:rsid w:val="00340512"/>
    <w:rsid w:val="00340630"/>
    <w:rsid w:val="00341AB7"/>
    <w:rsid w:val="00342890"/>
    <w:rsid w:val="0034289F"/>
    <w:rsid w:val="00342CDB"/>
    <w:rsid w:val="003431C1"/>
    <w:rsid w:val="00343854"/>
    <w:rsid w:val="003439DA"/>
    <w:rsid w:val="0034428A"/>
    <w:rsid w:val="00344301"/>
    <w:rsid w:val="00344354"/>
    <w:rsid w:val="00344991"/>
    <w:rsid w:val="003449F8"/>
    <w:rsid w:val="00344DC1"/>
    <w:rsid w:val="00344F98"/>
    <w:rsid w:val="00345B10"/>
    <w:rsid w:val="00346233"/>
    <w:rsid w:val="003466DC"/>
    <w:rsid w:val="00346C3E"/>
    <w:rsid w:val="003471C8"/>
    <w:rsid w:val="00347EBE"/>
    <w:rsid w:val="00350048"/>
    <w:rsid w:val="00350324"/>
    <w:rsid w:val="0035065E"/>
    <w:rsid w:val="003506B8"/>
    <w:rsid w:val="0035098A"/>
    <w:rsid w:val="00350ACC"/>
    <w:rsid w:val="00350E8C"/>
    <w:rsid w:val="00350EB2"/>
    <w:rsid w:val="0035171B"/>
    <w:rsid w:val="00351F20"/>
    <w:rsid w:val="0035230F"/>
    <w:rsid w:val="003528C6"/>
    <w:rsid w:val="00352AFF"/>
    <w:rsid w:val="00352DC3"/>
    <w:rsid w:val="00352F6A"/>
    <w:rsid w:val="00352FD0"/>
    <w:rsid w:val="00353176"/>
    <w:rsid w:val="00353418"/>
    <w:rsid w:val="00353F54"/>
    <w:rsid w:val="003543E5"/>
    <w:rsid w:val="00354420"/>
    <w:rsid w:val="003544CC"/>
    <w:rsid w:val="00354A44"/>
    <w:rsid w:val="00354E16"/>
    <w:rsid w:val="00354FD5"/>
    <w:rsid w:val="00355008"/>
    <w:rsid w:val="0035511D"/>
    <w:rsid w:val="00355383"/>
    <w:rsid w:val="003555A0"/>
    <w:rsid w:val="003555FF"/>
    <w:rsid w:val="00356031"/>
    <w:rsid w:val="00356226"/>
    <w:rsid w:val="003562B5"/>
    <w:rsid w:val="0035676F"/>
    <w:rsid w:val="00356D16"/>
    <w:rsid w:val="00356EDC"/>
    <w:rsid w:val="003570D3"/>
    <w:rsid w:val="003570D4"/>
    <w:rsid w:val="0035745A"/>
    <w:rsid w:val="003578DE"/>
    <w:rsid w:val="0036019C"/>
    <w:rsid w:val="00360432"/>
    <w:rsid w:val="00360448"/>
    <w:rsid w:val="003607D2"/>
    <w:rsid w:val="00360B6D"/>
    <w:rsid w:val="00360D51"/>
    <w:rsid w:val="00361808"/>
    <w:rsid w:val="00361B40"/>
    <w:rsid w:val="00361C65"/>
    <w:rsid w:val="00362292"/>
    <w:rsid w:val="00362400"/>
    <w:rsid w:val="003628A7"/>
    <w:rsid w:val="00363990"/>
    <w:rsid w:val="00363AE9"/>
    <w:rsid w:val="00363D7C"/>
    <w:rsid w:val="00363E33"/>
    <w:rsid w:val="0036468F"/>
    <w:rsid w:val="00364775"/>
    <w:rsid w:val="003647F0"/>
    <w:rsid w:val="00364865"/>
    <w:rsid w:val="00364DE4"/>
    <w:rsid w:val="00364FCF"/>
    <w:rsid w:val="00365116"/>
    <w:rsid w:val="00365326"/>
    <w:rsid w:val="003653AF"/>
    <w:rsid w:val="00365991"/>
    <w:rsid w:val="00365A55"/>
    <w:rsid w:val="00366444"/>
    <w:rsid w:val="00366644"/>
    <w:rsid w:val="003666F4"/>
    <w:rsid w:val="00366B50"/>
    <w:rsid w:val="00367086"/>
    <w:rsid w:val="0036758B"/>
    <w:rsid w:val="00367A36"/>
    <w:rsid w:val="00367E0F"/>
    <w:rsid w:val="00370886"/>
    <w:rsid w:val="0037097B"/>
    <w:rsid w:val="00370F18"/>
    <w:rsid w:val="00371123"/>
    <w:rsid w:val="00371747"/>
    <w:rsid w:val="003718B0"/>
    <w:rsid w:val="003719C1"/>
    <w:rsid w:val="003729B1"/>
    <w:rsid w:val="00372BE2"/>
    <w:rsid w:val="003735F9"/>
    <w:rsid w:val="00373853"/>
    <w:rsid w:val="00373FA6"/>
    <w:rsid w:val="003748A2"/>
    <w:rsid w:val="00374957"/>
    <w:rsid w:val="00374C6B"/>
    <w:rsid w:val="00374CC1"/>
    <w:rsid w:val="00375D60"/>
    <w:rsid w:val="003760D7"/>
    <w:rsid w:val="003770B6"/>
    <w:rsid w:val="00377116"/>
    <w:rsid w:val="00377A54"/>
    <w:rsid w:val="00377A82"/>
    <w:rsid w:val="003801C7"/>
    <w:rsid w:val="00380E3E"/>
    <w:rsid w:val="003814F4"/>
    <w:rsid w:val="003815DB"/>
    <w:rsid w:val="00381EA1"/>
    <w:rsid w:val="0038224A"/>
    <w:rsid w:val="003826C7"/>
    <w:rsid w:val="00382C16"/>
    <w:rsid w:val="00382DF0"/>
    <w:rsid w:val="003831C4"/>
    <w:rsid w:val="003839B4"/>
    <w:rsid w:val="00383A02"/>
    <w:rsid w:val="00383A1A"/>
    <w:rsid w:val="00383FD1"/>
    <w:rsid w:val="003844DA"/>
    <w:rsid w:val="00384A60"/>
    <w:rsid w:val="00385197"/>
    <w:rsid w:val="00385524"/>
    <w:rsid w:val="003857ED"/>
    <w:rsid w:val="00385FC7"/>
    <w:rsid w:val="003862F0"/>
    <w:rsid w:val="003876A6"/>
    <w:rsid w:val="003877C5"/>
    <w:rsid w:val="003879CC"/>
    <w:rsid w:val="00387A24"/>
    <w:rsid w:val="00387E83"/>
    <w:rsid w:val="003900FB"/>
    <w:rsid w:val="00390F77"/>
    <w:rsid w:val="003912D1"/>
    <w:rsid w:val="00391749"/>
    <w:rsid w:val="00391B88"/>
    <w:rsid w:val="003928CA"/>
    <w:rsid w:val="00392A30"/>
    <w:rsid w:val="00392ACA"/>
    <w:rsid w:val="00392B29"/>
    <w:rsid w:val="00392BB5"/>
    <w:rsid w:val="00393185"/>
    <w:rsid w:val="00393D0C"/>
    <w:rsid w:val="00393EBB"/>
    <w:rsid w:val="00394143"/>
    <w:rsid w:val="003942CB"/>
    <w:rsid w:val="00394C68"/>
    <w:rsid w:val="00396071"/>
    <w:rsid w:val="003963C4"/>
    <w:rsid w:val="0039658E"/>
    <w:rsid w:val="003965B6"/>
    <w:rsid w:val="00396672"/>
    <w:rsid w:val="00396D5D"/>
    <w:rsid w:val="00396E60"/>
    <w:rsid w:val="0039732F"/>
    <w:rsid w:val="003977E6"/>
    <w:rsid w:val="0039798F"/>
    <w:rsid w:val="00397B11"/>
    <w:rsid w:val="00397B94"/>
    <w:rsid w:val="00397C0F"/>
    <w:rsid w:val="00397D25"/>
    <w:rsid w:val="00397EFB"/>
    <w:rsid w:val="003A0344"/>
    <w:rsid w:val="003A075A"/>
    <w:rsid w:val="003A0806"/>
    <w:rsid w:val="003A0B1F"/>
    <w:rsid w:val="003A0B3F"/>
    <w:rsid w:val="003A124F"/>
    <w:rsid w:val="003A1354"/>
    <w:rsid w:val="003A13B5"/>
    <w:rsid w:val="003A1935"/>
    <w:rsid w:val="003A19A7"/>
    <w:rsid w:val="003A1A9B"/>
    <w:rsid w:val="003A21CB"/>
    <w:rsid w:val="003A2A39"/>
    <w:rsid w:val="003A2B91"/>
    <w:rsid w:val="003A2BCA"/>
    <w:rsid w:val="003A2F28"/>
    <w:rsid w:val="003A34B2"/>
    <w:rsid w:val="003A34C9"/>
    <w:rsid w:val="003A4B23"/>
    <w:rsid w:val="003A4B73"/>
    <w:rsid w:val="003A4EA4"/>
    <w:rsid w:val="003A5856"/>
    <w:rsid w:val="003A5AA8"/>
    <w:rsid w:val="003A5AD8"/>
    <w:rsid w:val="003A5B1E"/>
    <w:rsid w:val="003A5D11"/>
    <w:rsid w:val="003A6CB6"/>
    <w:rsid w:val="003A706E"/>
    <w:rsid w:val="003A726F"/>
    <w:rsid w:val="003A7415"/>
    <w:rsid w:val="003A7666"/>
    <w:rsid w:val="003A76F4"/>
    <w:rsid w:val="003B024F"/>
    <w:rsid w:val="003B068B"/>
    <w:rsid w:val="003B0B93"/>
    <w:rsid w:val="003B0FAD"/>
    <w:rsid w:val="003B10C6"/>
    <w:rsid w:val="003B1A22"/>
    <w:rsid w:val="003B1F19"/>
    <w:rsid w:val="003B1F80"/>
    <w:rsid w:val="003B21AE"/>
    <w:rsid w:val="003B24C9"/>
    <w:rsid w:val="003B2CEF"/>
    <w:rsid w:val="003B340E"/>
    <w:rsid w:val="003B3526"/>
    <w:rsid w:val="003B354B"/>
    <w:rsid w:val="003B3768"/>
    <w:rsid w:val="003B3DCD"/>
    <w:rsid w:val="003B4CE9"/>
    <w:rsid w:val="003B5803"/>
    <w:rsid w:val="003B5C3A"/>
    <w:rsid w:val="003B64EB"/>
    <w:rsid w:val="003B66D4"/>
    <w:rsid w:val="003B673F"/>
    <w:rsid w:val="003B6A39"/>
    <w:rsid w:val="003B6BD2"/>
    <w:rsid w:val="003B6D5C"/>
    <w:rsid w:val="003B6EEA"/>
    <w:rsid w:val="003B71D2"/>
    <w:rsid w:val="003B73C7"/>
    <w:rsid w:val="003B77B6"/>
    <w:rsid w:val="003B79C0"/>
    <w:rsid w:val="003B7C07"/>
    <w:rsid w:val="003B7C84"/>
    <w:rsid w:val="003C0284"/>
    <w:rsid w:val="003C0424"/>
    <w:rsid w:val="003C05B2"/>
    <w:rsid w:val="003C08FA"/>
    <w:rsid w:val="003C100D"/>
    <w:rsid w:val="003C1475"/>
    <w:rsid w:val="003C1A2B"/>
    <w:rsid w:val="003C1BA4"/>
    <w:rsid w:val="003C1D47"/>
    <w:rsid w:val="003C238C"/>
    <w:rsid w:val="003C25BA"/>
    <w:rsid w:val="003C260F"/>
    <w:rsid w:val="003C2688"/>
    <w:rsid w:val="003C26ED"/>
    <w:rsid w:val="003C2E23"/>
    <w:rsid w:val="003C2E29"/>
    <w:rsid w:val="003C346D"/>
    <w:rsid w:val="003C34D0"/>
    <w:rsid w:val="003C3740"/>
    <w:rsid w:val="003C3929"/>
    <w:rsid w:val="003C3DD7"/>
    <w:rsid w:val="003C3EED"/>
    <w:rsid w:val="003C3F3F"/>
    <w:rsid w:val="003C42A7"/>
    <w:rsid w:val="003C4929"/>
    <w:rsid w:val="003C4B73"/>
    <w:rsid w:val="003C4FCD"/>
    <w:rsid w:val="003C508A"/>
    <w:rsid w:val="003C5B67"/>
    <w:rsid w:val="003C5C85"/>
    <w:rsid w:val="003C5E03"/>
    <w:rsid w:val="003C5FEF"/>
    <w:rsid w:val="003C6473"/>
    <w:rsid w:val="003C6540"/>
    <w:rsid w:val="003C6724"/>
    <w:rsid w:val="003C6800"/>
    <w:rsid w:val="003C6B2B"/>
    <w:rsid w:val="003C6C2E"/>
    <w:rsid w:val="003C6D7D"/>
    <w:rsid w:val="003C7589"/>
    <w:rsid w:val="003C75A0"/>
    <w:rsid w:val="003C78DB"/>
    <w:rsid w:val="003C7F9B"/>
    <w:rsid w:val="003D0389"/>
    <w:rsid w:val="003D0F40"/>
    <w:rsid w:val="003D1AC4"/>
    <w:rsid w:val="003D1CF9"/>
    <w:rsid w:val="003D2727"/>
    <w:rsid w:val="003D281A"/>
    <w:rsid w:val="003D2909"/>
    <w:rsid w:val="003D2D5B"/>
    <w:rsid w:val="003D3155"/>
    <w:rsid w:val="003D37A2"/>
    <w:rsid w:val="003D3AD8"/>
    <w:rsid w:val="003D3F1C"/>
    <w:rsid w:val="003D3FC7"/>
    <w:rsid w:val="003D443A"/>
    <w:rsid w:val="003D52F1"/>
    <w:rsid w:val="003D53B3"/>
    <w:rsid w:val="003D54BC"/>
    <w:rsid w:val="003D5859"/>
    <w:rsid w:val="003D6130"/>
    <w:rsid w:val="003D6158"/>
    <w:rsid w:val="003D71B4"/>
    <w:rsid w:val="003D73BC"/>
    <w:rsid w:val="003D7E08"/>
    <w:rsid w:val="003D7E98"/>
    <w:rsid w:val="003E076A"/>
    <w:rsid w:val="003E1356"/>
    <w:rsid w:val="003E1B4A"/>
    <w:rsid w:val="003E2455"/>
    <w:rsid w:val="003E2603"/>
    <w:rsid w:val="003E2698"/>
    <w:rsid w:val="003E2B68"/>
    <w:rsid w:val="003E3634"/>
    <w:rsid w:val="003E36F8"/>
    <w:rsid w:val="003E3E94"/>
    <w:rsid w:val="003E433A"/>
    <w:rsid w:val="003E4A77"/>
    <w:rsid w:val="003E5721"/>
    <w:rsid w:val="003E5985"/>
    <w:rsid w:val="003E5A5F"/>
    <w:rsid w:val="003E5CFC"/>
    <w:rsid w:val="003E5DA7"/>
    <w:rsid w:val="003E617C"/>
    <w:rsid w:val="003E6D4E"/>
    <w:rsid w:val="003F1A0E"/>
    <w:rsid w:val="003F255A"/>
    <w:rsid w:val="003F2C2E"/>
    <w:rsid w:val="003F305D"/>
    <w:rsid w:val="003F3171"/>
    <w:rsid w:val="003F34ED"/>
    <w:rsid w:val="003F3632"/>
    <w:rsid w:val="003F38F3"/>
    <w:rsid w:val="003F3D45"/>
    <w:rsid w:val="003F4056"/>
    <w:rsid w:val="003F416E"/>
    <w:rsid w:val="003F41F3"/>
    <w:rsid w:val="003F4358"/>
    <w:rsid w:val="003F4681"/>
    <w:rsid w:val="003F4A90"/>
    <w:rsid w:val="003F4F51"/>
    <w:rsid w:val="003F4F6D"/>
    <w:rsid w:val="003F5A04"/>
    <w:rsid w:val="003F5FAF"/>
    <w:rsid w:val="003F690C"/>
    <w:rsid w:val="003F6970"/>
    <w:rsid w:val="003F6A54"/>
    <w:rsid w:val="003F6C2A"/>
    <w:rsid w:val="003F6CC8"/>
    <w:rsid w:val="003F7340"/>
    <w:rsid w:val="003F7504"/>
    <w:rsid w:val="003F7B67"/>
    <w:rsid w:val="003F7C7E"/>
    <w:rsid w:val="003F7F5E"/>
    <w:rsid w:val="003F7FC2"/>
    <w:rsid w:val="00400155"/>
    <w:rsid w:val="0040021A"/>
    <w:rsid w:val="00400308"/>
    <w:rsid w:val="0040061F"/>
    <w:rsid w:val="00400856"/>
    <w:rsid w:val="00400BD1"/>
    <w:rsid w:val="00400E11"/>
    <w:rsid w:val="00400FC5"/>
    <w:rsid w:val="00401058"/>
    <w:rsid w:val="0040112F"/>
    <w:rsid w:val="004011A2"/>
    <w:rsid w:val="004013DC"/>
    <w:rsid w:val="0040178B"/>
    <w:rsid w:val="00401AC8"/>
    <w:rsid w:val="00401C89"/>
    <w:rsid w:val="00402E5E"/>
    <w:rsid w:val="0040308A"/>
    <w:rsid w:val="0040361D"/>
    <w:rsid w:val="004037C6"/>
    <w:rsid w:val="00403C16"/>
    <w:rsid w:val="00403F01"/>
    <w:rsid w:val="00404985"/>
    <w:rsid w:val="0040514A"/>
    <w:rsid w:val="0040555D"/>
    <w:rsid w:val="00405811"/>
    <w:rsid w:val="00405BFA"/>
    <w:rsid w:val="00405D5F"/>
    <w:rsid w:val="00405FDD"/>
    <w:rsid w:val="00406324"/>
    <w:rsid w:val="00407139"/>
    <w:rsid w:val="004078AD"/>
    <w:rsid w:val="0041028A"/>
    <w:rsid w:val="0041041E"/>
    <w:rsid w:val="00410424"/>
    <w:rsid w:val="00410F1B"/>
    <w:rsid w:val="00411B1C"/>
    <w:rsid w:val="00411D66"/>
    <w:rsid w:val="00412B86"/>
    <w:rsid w:val="00412E51"/>
    <w:rsid w:val="0041362E"/>
    <w:rsid w:val="00413B07"/>
    <w:rsid w:val="00413FCE"/>
    <w:rsid w:val="0041473F"/>
    <w:rsid w:val="004148AA"/>
    <w:rsid w:val="00414D81"/>
    <w:rsid w:val="0041569F"/>
    <w:rsid w:val="004157CE"/>
    <w:rsid w:val="0041582D"/>
    <w:rsid w:val="00415CBA"/>
    <w:rsid w:val="00416655"/>
    <w:rsid w:val="00416C32"/>
    <w:rsid w:val="004171E7"/>
    <w:rsid w:val="0041783E"/>
    <w:rsid w:val="00417B98"/>
    <w:rsid w:val="00420195"/>
    <w:rsid w:val="004204CF"/>
    <w:rsid w:val="004208F7"/>
    <w:rsid w:val="00420C6E"/>
    <w:rsid w:val="00420F30"/>
    <w:rsid w:val="00422248"/>
    <w:rsid w:val="00422514"/>
    <w:rsid w:val="004225E7"/>
    <w:rsid w:val="004227F1"/>
    <w:rsid w:val="00422A0A"/>
    <w:rsid w:val="00423101"/>
    <w:rsid w:val="0042494D"/>
    <w:rsid w:val="00424ABB"/>
    <w:rsid w:val="0042516B"/>
    <w:rsid w:val="00425220"/>
    <w:rsid w:val="004253C0"/>
    <w:rsid w:val="00425BAA"/>
    <w:rsid w:val="00425E0D"/>
    <w:rsid w:val="00425F32"/>
    <w:rsid w:val="004263D9"/>
    <w:rsid w:val="00426454"/>
    <w:rsid w:val="00426505"/>
    <w:rsid w:val="00426784"/>
    <w:rsid w:val="004268B7"/>
    <w:rsid w:val="00426E34"/>
    <w:rsid w:val="0042706E"/>
    <w:rsid w:val="00427834"/>
    <w:rsid w:val="00427A57"/>
    <w:rsid w:val="0043020C"/>
    <w:rsid w:val="004304BC"/>
    <w:rsid w:val="004305B9"/>
    <w:rsid w:val="00430837"/>
    <w:rsid w:val="004309E1"/>
    <w:rsid w:val="00430C42"/>
    <w:rsid w:val="00430C8B"/>
    <w:rsid w:val="004312E8"/>
    <w:rsid w:val="004315DF"/>
    <w:rsid w:val="004315FF"/>
    <w:rsid w:val="004317A0"/>
    <w:rsid w:val="00431A55"/>
    <w:rsid w:val="00431E07"/>
    <w:rsid w:val="00431E7C"/>
    <w:rsid w:val="0043210F"/>
    <w:rsid w:val="00432856"/>
    <w:rsid w:val="004328AE"/>
    <w:rsid w:val="00432B6B"/>
    <w:rsid w:val="00432D82"/>
    <w:rsid w:val="00432FA5"/>
    <w:rsid w:val="0043323E"/>
    <w:rsid w:val="004339D3"/>
    <w:rsid w:val="00433CC2"/>
    <w:rsid w:val="00433D71"/>
    <w:rsid w:val="00433D87"/>
    <w:rsid w:val="00434923"/>
    <w:rsid w:val="00434AEB"/>
    <w:rsid w:val="004355A4"/>
    <w:rsid w:val="00436093"/>
    <w:rsid w:val="00436EC8"/>
    <w:rsid w:val="00437081"/>
    <w:rsid w:val="004378EA"/>
    <w:rsid w:val="00437BE3"/>
    <w:rsid w:val="00440525"/>
    <w:rsid w:val="00440C0D"/>
    <w:rsid w:val="00441163"/>
    <w:rsid w:val="0044129E"/>
    <w:rsid w:val="00441A46"/>
    <w:rsid w:val="00441C7F"/>
    <w:rsid w:val="00443377"/>
    <w:rsid w:val="00443B3E"/>
    <w:rsid w:val="00443E40"/>
    <w:rsid w:val="0044411B"/>
    <w:rsid w:val="004443DC"/>
    <w:rsid w:val="004444DF"/>
    <w:rsid w:val="0044479A"/>
    <w:rsid w:val="004450B0"/>
    <w:rsid w:val="00446123"/>
    <w:rsid w:val="004472CC"/>
    <w:rsid w:val="004478E4"/>
    <w:rsid w:val="0044794C"/>
    <w:rsid w:val="004502D8"/>
    <w:rsid w:val="00450422"/>
    <w:rsid w:val="00450536"/>
    <w:rsid w:val="00450EB1"/>
    <w:rsid w:val="004511DD"/>
    <w:rsid w:val="0045129B"/>
    <w:rsid w:val="0045164B"/>
    <w:rsid w:val="004516B7"/>
    <w:rsid w:val="00451B52"/>
    <w:rsid w:val="00451E62"/>
    <w:rsid w:val="00452521"/>
    <w:rsid w:val="00452B01"/>
    <w:rsid w:val="004531BE"/>
    <w:rsid w:val="0045395A"/>
    <w:rsid w:val="00453F3E"/>
    <w:rsid w:val="004540B1"/>
    <w:rsid w:val="00454235"/>
    <w:rsid w:val="00454443"/>
    <w:rsid w:val="00454D53"/>
    <w:rsid w:val="004554F0"/>
    <w:rsid w:val="00456100"/>
    <w:rsid w:val="00456499"/>
    <w:rsid w:val="0045696B"/>
    <w:rsid w:val="00456A53"/>
    <w:rsid w:val="00456AA5"/>
    <w:rsid w:val="00456AB7"/>
    <w:rsid w:val="00457235"/>
    <w:rsid w:val="00457429"/>
    <w:rsid w:val="00457CD6"/>
    <w:rsid w:val="0046001D"/>
    <w:rsid w:val="00460227"/>
    <w:rsid w:val="00460498"/>
    <w:rsid w:val="00460641"/>
    <w:rsid w:val="00460730"/>
    <w:rsid w:val="004608B5"/>
    <w:rsid w:val="004610CF"/>
    <w:rsid w:val="00461363"/>
    <w:rsid w:val="00461898"/>
    <w:rsid w:val="0046236F"/>
    <w:rsid w:val="00462397"/>
    <w:rsid w:val="004629D1"/>
    <w:rsid w:val="00462C34"/>
    <w:rsid w:val="00463012"/>
    <w:rsid w:val="00463245"/>
    <w:rsid w:val="004637B4"/>
    <w:rsid w:val="004637D0"/>
    <w:rsid w:val="00463CFF"/>
    <w:rsid w:val="00464635"/>
    <w:rsid w:val="00464E09"/>
    <w:rsid w:val="0046510E"/>
    <w:rsid w:val="00465D76"/>
    <w:rsid w:val="00466853"/>
    <w:rsid w:val="004668CB"/>
    <w:rsid w:val="00466F54"/>
    <w:rsid w:val="00467499"/>
    <w:rsid w:val="00467752"/>
    <w:rsid w:val="00467766"/>
    <w:rsid w:val="0047016C"/>
    <w:rsid w:val="004708DF"/>
    <w:rsid w:val="00470996"/>
    <w:rsid w:val="00470BC1"/>
    <w:rsid w:val="00470FE1"/>
    <w:rsid w:val="004711F8"/>
    <w:rsid w:val="004714C6"/>
    <w:rsid w:val="00471F5A"/>
    <w:rsid w:val="004730BE"/>
    <w:rsid w:val="0047323D"/>
    <w:rsid w:val="00473425"/>
    <w:rsid w:val="004734F8"/>
    <w:rsid w:val="00473897"/>
    <w:rsid w:val="004743CC"/>
    <w:rsid w:val="004744D6"/>
    <w:rsid w:val="00474525"/>
    <w:rsid w:val="004747BB"/>
    <w:rsid w:val="00474C02"/>
    <w:rsid w:val="00474E5C"/>
    <w:rsid w:val="00474ECA"/>
    <w:rsid w:val="004750B5"/>
    <w:rsid w:val="004758F7"/>
    <w:rsid w:val="00475B53"/>
    <w:rsid w:val="00475CC6"/>
    <w:rsid w:val="00475F06"/>
    <w:rsid w:val="00476111"/>
    <w:rsid w:val="004762F6"/>
    <w:rsid w:val="004764B0"/>
    <w:rsid w:val="00476650"/>
    <w:rsid w:val="0047698E"/>
    <w:rsid w:val="00476B9D"/>
    <w:rsid w:val="00476C62"/>
    <w:rsid w:val="00477E89"/>
    <w:rsid w:val="004811B6"/>
    <w:rsid w:val="00481410"/>
    <w:rsid w:val="00481500"/>
    <w:rsid w:val="004819F6"/>
    <w:rsid w:val="00481DF2"/>
    <w:rsid w:val="00481E87"/>
    <w:rsid w:val="004822AD"/>
    <w:rsid w:val="00482A49"/>
    <w:rsid w:val="00482B8D"/>
    <w:rsid w:val="004833A1"/>
    <w:rsid w:val="00483829"/>
    <w:rsid w:val="0048384E"/>
    <w:rsid w:val="00483D86"/>
    <w:rsid w:val="00483DDA"/>
    <w:rsid w:val="00483E74"/>
    <w:rsid w:val="00484091"/>
    <w:rsid w:val="0048463A"/>
    <w:rsid w:val="00484B10"/>
    <w:rsid w:val="00484D35"/>
    <w:rsid w:val="004852BD"/>
    <w:rsid w:val="004854A1"/>
    <w:rsid w:val="00485B1B"/>
    <w:rsid w:val="00485F63"/>
    <w:rsid w:val="00486049"/>
    <w:rsid w:val="00486DCD"/>
    <w:rsid w:val="00487EF3"/>
    <w:rsid w:val="004904D6"/>
    <w:rsid w:val="00490A49"/>
    <w:rsid w:val="00490A62"/>
    <w:rsid w:val="00490DE7"/>
    <w:rsid w:val="004910CB"/>
    <w:rsid w:val="0049118E"/>
    <w:rsid w:val="00492810"/>
    <w:rsid w:val="004928F6"/>
    <w:rsid w:val="00492B35"/>
    <w:rsid w:val="00493043"/>
    <w:rsid w:val="00493A88"/>
    <w:rsid w:val="00493B8C"/>
    <w:rsid w:val="00494441"/>
    <w:rsid w:val="00494BE0"/>
    <w:rsid w:val="00494DEF"/>
    <w:rsid w:val="00494F50"/>
    <w:rsid w:val="0049578E"/>
    <w:rsid w:val="00495BB0"/>
    <w:rsid w:val="00495BF0"/>
    <w:rsid w:val="004960C2"/>
    <w:rsid w:val="0049662D"/>
    <w:rsid w:val="0049670A"/>
    <w:rsid w:val="00496765"/>
    <w:rsid w:val="00496790"/>
    <w:rsid w:val="00496F67"/>
    <w:rsid w:val="00497082"/>
    <w:rsid w:val="004975E0"/>
    <w:rsid w:val="004A070E"/>
    <w:rsid w:val="004A0756"/>
    <w:rsid w:val="004A096F"/>
    <w:rsid w:val="004A09EF"/>
    <w:rsid w:val="004A105A"/>
    <w:rsid w:val="004A1252"/>
    <w:rsid w:val="004A14F0"/>
    <w:rsid w:val="004A1716"/>
    <w:rsid w:val="004A1A5E"/>
    <w:rsid w:val="004A259E"/>
    <w:rsid w:val="004A2650"/>
    <w:rsid w:val="004A27A9"/>
    <w:rsid w:val="004A2FA5"/>
    <w:rsid w:val="004A308C"/>
    <w:rsid w:val="004A3145"/>
    <w:rsid w:val="004A3482"/>
    <w:rsid w:val="004A3532"/>
    <w:rsid w:val="004A3840"/>
    <w:rsid w:val="004A3A76"/>
    <w:rsid w:val="004A3D19"/>
    <w:rsid w:val="004A3D9F"/>
    <w:rsid w:val="004A4024"/>
    <w:rsid w:val="004A40B2"/>
    <w:rsid w:val="004A447E"/>
    <w:rsid w:val="004A4533"/>
    <w:rsid w:val="004A4B1B"/>
    <w:rsid w:val="004A4E44"/>
    <w:rsid w:val="004A4F0C"/>
    <w:rsid w:val="004A523F"/>
    <w:rsid w:val="004A5920"/>
    <w:rsid w:val="004A5942"/>
    <w:rsid w:val="004A5DE1"/>
    <w:rsid w:val="004A64E6"/>
    <w:rsid w:val="004A7B34"/>
    <w:rsid w:val="004B0A7D"/>
    <w:rsid w:val="004B0B14"/>
    <w:rsid w:val="004B0BC8"/>
    <w:rsid w:val="004B120A"/>
    <w:rsid w:val="004B159A"/>
    <w:rsid w:val="004B15F5"/>
    <w:rsid w:val="004B172D"/>
    <w:rsid w:val="004B17E0"/>
    <w:rsid w:val="004B1873"/>
    <w:rsid w:val="004B1FE9"/>
    <w:rsid w:val="004B2066"/>
    <w:rsid w:val="004B21B8"/>
    <w:rsid w:val="004B2369"/>
    <w:rsid w:val="004B2E51"/>
    <w:rsid w:val="004B35C9"/>
    <w:rsid w:val="004B3B15"/>
    <w:rsid w:val="004B3B23"/>
    <w:rsid w:val="004B4343"/>
    <w:rsid w:val="004B44AB"/>
    <w:rsid w:val="004B4555"/>
    <w:rsid w:val="004B4916"/>
    <w:rsid w:val="004B4934"/>
    <w:rsid w:val="004B500A"/>
    <w:rsid w:val="004B5647"/>
    <w:rsid w:val="004B582D"/>
    <w:rsid w:val="004B5DD0"/>
    <w:rsid w:val="004B6617"/>
    <w:rsid w:val="004B67E5"/>
    <w:rsid w:val="004B6A30"/>
    <w:rsid w:val="004B6D45"/>
    <w:rsid w:val="004B718E"/>
    <w:rsid w:val="004B7345"/>
    <w:rsid w:val="004B7539"/>
    <w:rsid w:val="004B7A13"/>
    <w:rsid w:val="004B7A14"/>
    <w:rsid w:val="004B7D2A"/>
    <w:rsid w:val="004B7ED1"/>
    <w:rsid w:val="004C02EA"/>
    <w:rsid w:val="004C0333"/>
    <w:rsid w:val="004C0A23"/>
    <w:rsid w:val="004C0AC0"/>
    <w:rsid w:val="004C10C9"/>
    <w:rsid w:val="004C1716"/>
    <w:rsid w:val="004C1A83"/>
    <w:rsid w:val="004C2E11"/>
    <w:rsid w:val="004C35AA"/>
    <w:rsid w:val="004C3686"/>
    <w:rsid w:val="004C37BA"/>
    <w:rsid w:val="004C39A8"/>
    <w:rsid w:val="004C39F9"/>
    <w:rsid w:val="004C3CA4"/>
    <w:rsid w:val="004C3D7B"/>
    <w:rsid w:val="004C53D9"/>
    <w:rsid w:val="004C5A0F"/>
    <w:rsid w:val="004C5F1C"/>
    <w:rsid w:val="004C62F8"/>
    <w:rsid w:val="004C6BBE"/>
    <w:rsid w:val="004C6EC4"/>
    <w:rsid w:val="004C6EDA"/>
    <w:rsid w:val="004C7085"/>
    <w:rsid w:val="004C71C4"/>
    <w:rsid w:val="004C7584"/>
    <w:rsid w:val="004C762B"/>
    <w:rsid w:val="004C76CC"/>
    <w:rsid w:val="004C76E8"/>
    <w:rsid w:val="004C78F0"/>
    <w:rsid w:val="004C7BCE"/>
    <w:rsid w:val="004C7C1C"/>
    <w:rsid w:val="004C7EAE"/>
    <w:rsid w:val="004D000E"/>
    <w:rsid w:val="004D0071"/>
    <w:rsid w:val="004D016A"/>
    <w:rsid w:val="004D026D"/>
    <w:rsid w:val="004D02FF"/>
    <w:rsid w:val="004D0468"/>
    <w:rsid w:val="004D05D0"/>
    <w:rsid w:val="004D07D4"/>
    <w:rsid w:val="004D0A9D"/>
    <w:rsid w:val="004D11F6"/>
    <w:rsid w:val="004D1573"/>
    <w:rsid w:val="004D1BB2"/>
    <w:rsid w:val="004D1BCE"/>
    <w:rsid w:val="004D1C55"/>
    <w:rsid w:val="004D25EE"/>
    <w:rsid w:val="004D2707"/>
    <w:rsid w:val="004D2981"/>
    <w:rsid w:val="004D299E"/>
    <w:rsid w:val="004D2AF8"/>
    <w:rsid w:val="004D2C5A"/>
    <w:rsid w:val="004D2D58"/>
    <w:rsid w:val="004D2FCA"/>
    <w:rsid w:val="004D40FB"/>
    <w:rsid w:val="004D430B"/>
    <w:rsid w:val="004D4933"/>
    <w:rsid w:val="004D4966"/>
    <w:rsid w:val="004D49CA"/>
    <w:rsid w:val="004D4B75"/>
    <w:rsid w:val="004D4C0A"/>
    <w:rsid w:val="004D531C"/>
    <w:rsid w:val="004D53B3"/>
    <w:rsid w:val="004D5B3C"/>
    <w:rsid w:val="004D6034"/>
    <w:rsid w:val="004D644B"/>
    <w:rsid w:val="004D6CCB"/>
    <w:rsid w:val="004D6DA9"/>
    <w:rsid w:val="004D7188"/>
    <w:rsid w:val="004D7207"/>
    <w:rsid w:val="004D76F6"/>
    <w:rsid w:val="004D7FD4"/>
    <w:rsid w:val="004E0009"/>
    <w:rsid w:val="004E0103"/>
    <w:rsid w:val="004E04FD"/>
    <w:rsid w:val="004E1138"/>
    <w:rsid w:val="004E12ED"/>
    <w:rsid w:val="004E133F"/>
    <w:rsid w:val="004E1388"/>
    <w:rsid w:val="004E1CD3"/>
    <w:rsid w:val="004E1FF6"/>
    <w:rsid w:val="004E218C"/>
    <w:rsid w:val="004E2627"/>
    <w:rsid w:val="004E2E09"/>
    <w:rsid w:val="004E33DC"/>
    <w:rsid w:val="004E33FF"/>
    <w:rsid w:val="004E3A63"/>
    <w:rsid w:val="004E3C38"/>
    <w:rsid w:val="004E3FFD"/>
    <w:rsid w:val="004E4A17"/>
    <w:rsid w:val="004E5AE3"/>
    <w:rsid w:val="004E660D"/>
    <w:rsid w:val="004E763C"/>
    <w:rsid w:val="004E7A79"/>
    <w:rsid w:val="004E7DFA"/>
    <w:rsid w:val="004F0891"/>
    <w:rsid w:val="004F0B75"/>
    <w:rsid w:val="004F0E12"/>
    <w:rsid w:val="004F16E6"/>
    <w:rsid w:val="004F192E"/>
    <w:rsid w:val="004F1D68"/>
    <w:rsid w:val="004F1FC9"/>
    <w:rsid w:val="004F2051"/>
    <w:rsid w:val="004F2141"/>
    <w:rsid w:val="004F2245"/>
    <w:rsid w:val="004F22C6"/>
    <w:rsid w:val="004F2449"/>
    <w:rsid w:val="004F2DDD"/>
    <w:rsid w:val="004F39E8"/>
    <w:rsid w:val="004F3D59"/>
    <w:rsid w:val="004F4041"/>
    <w:rsid w:val="004F4DA9"/>
    <w:rsid w:val="004F4F03"/>
    <w:rsid w:val="004F4F84"/>
    <w:rsid w:val="004F5227"/>
    <w:rsid w:val="004F530A"/>
    <w:rsid w:val="004F5353"/>
    <w:rsid w:val="004F55E3"/>
    <w:rsid w:val="004F58D7"/>
    <w:rsid w:val="004F5924"/>
    <w:rsid w:val="004F59E7"/>
    <w:rsid w:val="004F5B6B"/>
    <w:rsid w:val="004F5EDB"/>
    <w:rsid w:val="004F6263"/>
    <w:rsid w:val="004F6653"/>
    <w:rsid w:val="004F6E39"/>
    <w:rsid w:val="004F6E4D"/>
    <w:rsid w:val="004F7116"/>
    <w:rsid w:val="004F75E8"/>
    <w:rsid w:val="004F76CB"/>
    <w:rsid w:val="004F7BB8"/>
    <w:rsid w:val="004F7D4E"/>
    <w:rsid w:val="0050035B"/>
    <w:rsid w:val="00501204"/>
    <w:rsid w:val="0050173C"/>
    <w:rsid w:val="00501A9B"/>
    <w:rsid w:val="00501E47"/>
    <w:rsid w:val="00502684"/>
    <w:rsid w:val="005027E8"/>
    <w:rsid w:val="00502955"/>
    <w:rsid w:val="00502CFB"/>
    <w:rsid w:val="00502F03"/>
    <w:rsid w:val="00503194"/>
    <w:rsid w:val="00503440"/>
    <w:rsid w:val="005034D4"/>
    <w:rsid w:val="00503635"/>
    <w:rsid w:val="00503901"/>
    <w:rsid w:val="00503DFC"/>
    <w:rsid w:val="00504372"/>
    <w:rsid w:val="00504491"/>
    <w:rsid w:val="00504C22"/>
    <w:rsid w:val="00504F8A"/>
    <w:rsid w:val="00505AC2"/>
    <w:rsid w:val="00505AE5"/>
    <w:rsid w:val="00505C18"/>
    <w:rsid w:val="00505D67"/>
    <w:rsid w:val="00505DD6"/>
    <w:rsid w:val="00505E30"/>
    <w:rsid w:val="00505E99"/>
    <w:rsid w:val="00506245"/>
    <w:rsid w:val="00506C57"/>
    <w:rsid w:val="00506D47"/>
    <w:rsid w:val="00506F4E"/>
    <w:rsid w:val="005078E6"/>
    <w:rsid w:val="005101FC"/>
    <w:rsid w:val="005103FF"/>
    <w:rsid w:val="00510568"/>
    <w:rsid w:val="005111DA"/>
    <w:rsid w:val="00511333"/>
    <w:rsid w:val="0051153D"/>
    <w:rsid w:val="005118CD"/>
    <w:rsid w:val="00511BF1"/>
    <w:rsid w:val="00511DFF"/>
    <w:rsid w:val="00511E6F"/>
    <w:rsid w:val="00512003"/>
    <w:rsid w:val="0051202A"/>
    <w:rsid w:val="00512667"/>
    <w:rsid w:val="005126ED"/>
    <w:rsid w:val="00512871"/>
    <w:rsid w:val="00512A4E"/>
    <w:rsid w:val="00512A7F"/>
    <w:rsid w:val="00513392"/>
    <w:rsid w:val="0051354E"/>
    <w:rsid w:val="005138C7"/>
    <w:rsid w:val="00513A38"/>
    <w:rsid w:val="00513BF6"/>
    <w:rsid w:val="00513D7A"/>
    <w:rsid w:val="005150D5"/>
    <w:rsid w:val="005151D6"/>
    <w:rsid w:val="00515251"/>
    <w:rsid w:val="0051572A"/>
    <w:rsid w:val="00515913"/>
    <w:rsid w:val="005160BD"/>
    <w:rsid w:val="005161AC"/>
    <w:rsid w:val="0051695F"/>
    <w:rsid w:val="00516F2B"/>
    <w:rsid w:val="005171FD"/>
    <w:rsid w:val="005175C6"/>
    <w:rsid w:val="00517B31"/>
    <w:rsid w:val="00517F33"/>
    <w:rsid w:val="00517FA8"/>
    <w:rsid w:val="00520000"/>
    <w:rsid w:val="0052015B"/>
    <w:rsid w:val="005201DE"/>
    <w:rsid w:val="005204B9"/>
    <w:rsid w:val="00520AD2"/>
    <w:rsid w:val="0052145D"/>
    <w:rsid w:val="00522435"/>
    <w:rsid w:val="00522C17"/>
    <w:rsid w:val="00523083"/>
    <w:rsid w:val="005234A1"/>
    <w:rsid w:val="00523511"/>
    <w:rsid w:val="005238F6"/>
    <w:rsid w:val="00523A8B"/>
    <w:rsid w:val="005241CE"/>
    <w:rsid w:val="00524663"/>
    <w:rsid w:val="00525396"/>
    <w:rsid w:val="00525572"/>
    <w:rsid w:val="00525CB8"/>
    <w:rsid w:val="00525D79"/>
    <w:rsid w:val="00525FF2"/>
    <w:rsid w:val="00526269"/>
    <w:rsid w:val="005263C7"/>
    <w:rsid w:val="0052675C"/>
    <w:rsid w:val="00526960"/>
    <w:rsid w:val="00526C1E"/>
    <w:rsid w:val="005273B0"/>
    <w:rsid w:val="005278F6"/>
    <w:rsid w:val="005300A6"/>
    <w:rsid w:val="00530F10"/>
    <w:rsid w:val="00531705"/>
    <w:rsid w:val="00531B22"/>
    <w:rsid w:val="00531BB6"/>
    <w:rsid w:val="00531CBF"/>
    <w:rsid w:val="00531D7C"/>
    <w:rsid w:val="00531DA3"/>
    <w:rsid w:val="0053210E"/>
    <w:rsid w:val="00532222"/>
    <w:rsid w:val="00532D01"/>
    <w:rsid w:val="005336AA"/>
    <w:rsid w:val="00533A6A"/>
    <w:rsid w:val="00533EBF"/>
    <w:rsid w:val="00533FC9"/>
    <w:rsid w:val="005354F3"/>
    <w:rsid w:val="00535569"/>
    <w:rsid w:val="00535CF9"/>
    <w:rsid w:val="00536517"/>
    <w:rsid w:val="0053688D"/>
    <w:rsid w:val="00536918"/>
    <w:rsid w:val="005379C5"/>
    <w:rsid w:val="00537B06"/>
    <w:rsid w:val="00537BA8"/>
    <w:rsid w:val="00540C2E"/>
    <w:rsid w:val="00541F87"/>
    <w:rsid w:val="00542262"/>
    <w:rsid w:val="0054278F"/>
    <w:rsid w:val="005432CA"/>
    <w:rsid w:val="005436F2"/>
    <w:rsid w:val="00543C00"/>
    <w:rsid w:val="00543F32"/>
    <w:rsid w:val="00544878"/>
    <w:rsid w:val="00544DAD"/>
    <w:rsid w:val="005450BF"/>
    <w:rsid w:val="00545264"/>
    <w:rsid w:val="00546188"/>
    <w:rsid w:val="0054688D"/>
    <w:rsid w:val="00546E42"/>
    <w:rsid w:val="00547232"/>
    <w:rsid w:val="00547E51"/>
    <w:rsid w:val="00547F10"/>
    <w:rsid w:val="00551652"/>
    <w:rsid w:val="00551B5D"/>
    <w:rsid w:val="00551B86"/>
    <w:rsid w:val="00552842"/>
    <w:rsid w:val="0055296C"/>
    <w:rsid w:val="0055319A"/>
    <w:rsid w:val="005538A6"/>
    <w:rsid w:val="00553B34"/>
    <w:rsid w:val="00553B56"/>
    <w:rsid w:val="005541AD"/>
    <w:rsid w:val="00554285"/>
    <w:rsid w:val="00554456"/>
    <w:rsid w:val="00554C33"/>
    <w:rsid w:val="00555E77"/>
    <w:rsid w:val="0055608D"/>
    <w:rsid w:val="00556DD6"/>
    <w:rsid w:val="00557182"/>
    <w:rsid w:val="0055751C"/>
    <w:rsid w:val="0055757D"/>
    <w:rsid w:val="0055779F"/>
    <w:rsid w:val="0056006F"/>
    <w:rsid w:val="005601A3"/>
    <w:rsid w:val="005602A5"/>
    <w:rsid w:val="0056061A"/>
    <w:rsid w:val="00560DD4"/>
    <w:rsid w:val="00560F78"/>
    <w:rsid w:val="005611F3"/>
    <w:rsid w:val="00561C2E"/>
    <w:rsid w:val="00561ECD"/>
    <w:rsid w:val="00562019"/>
    <w:rsid w:val="0056231C"/>
    <w:rsid w:val="00562B68"/>
    <w:rsid w:val="00563207"/>
    <w:rsid w:val="0056363E"/>
    <w:rsid w:val="00563930"/>
    <w:rsid w:val="00564947"/>
    <w:rsid w:val="00564C96"/>
    <w:rsid w:val="00564EF1"/>
    <w:rsid w:val="0056523E"/>
    <w:rsid w:val="005656EF"/>
    <w:rsid w:val="005658E1"/>
    <w:rsid w:val="00565D23"/>
    <w:rsid w:val="0056608C"/>
    <w:rsid w:val="00566262"/>
    <w:rsid w:val="0056659A"/>
    <w:rsid w:val="005677BF"/>
    <w:rsid w:val="00567A61"/>
    <w:rsid w:val="00570551"/>
    <w:rsid w:val="00570DC4"/>
    <w:rsid w:val="005713E8"/>
    <w:rsid w:val="00571C70"/>
    <w:rsid w:val="00572358"/>
    <w:rsid w:val="00572760"/>
    <w:rsid w:val="00572CCD"/>
    <w:rsid w:val="00572E9D"/>
    <w:rsid w:val="00572EBC"/>
    <w:rsid w:val="00573176"/>
    <w:rsid w:val="0057328D"/>
    <w:rsid w:val="0057363A"/>
    <w:rsid w:val="0057363C"/>
    <w:rsid w:val="005738D3"/>
    <w:rsid w:val="00573DDB"/>
    <w:rsid w:val="00574103"/>
    <w:rsid w:val="00574292"/>
    <w:rsid w:val="005744B6"/>
    <w:rsid w:val="00574704"/>
    <w:rsid w:val="00574A50"/>
    <w:rsid w:val="00574D8E"/>
    <w:rsid w:val="0057532A"/>
    <w:rsid w:val="005759FD"/>
    <w:rsid w:val="005766B2"/>
    <w:rsid w:val="0057697B"/>
    <w:rsid w:val="00576D45"/>
    <w:rsid w:val="0057705B"/>
    <w:rsid w:val="00577087"/>
    <w:rsid w:val="00577165"/>
    <w:rsid w:val="00577889"/>
    <w:rsid w:val="00577948"/>
    <w:rsid w:val="00577A44"/>
    <w:rsid w:val="00577E4B"/>
    <w:rsid w:val="00580F7D"/>
    <w:rsid w:val="00581230"/>
    <w:rsid w:val="0058186E"/>
    <w:rsid w:val="00581B06"/>
    <w:rsid w:val="00581EB0"/>
    <w:rsid w:val="0058222E"/>
    <w:rsid w:val="00582800"/>
    <w:rsid w:val="0058299F"/>
    <w:rsid w:val="005829B6"/>
    <w:rsid w:val="005830BF"/>
    <w:rsid w:val="00583501"/>
    <w:rsid w:val="00583EB3"/>
    <w:rsid w:val="00584313"/>
    <w:rsid w:val="0058432C"/>
    <w:rsid w:val="005846AC"/>
    <w:rsid w:val="0058472B"/>
    <w:rsid w:val="00584D96"/>
    <w:rsid w:val="005854DE"/>
    <w:rsid w:val="00585644"/>
    <w:rsid w:val="00585652"/>
    <w:rsid w:val="005856F6"/>
    <w:rsid w:val="005862BD"/>
    <w:rsid w:val="005866C9"/>
    <w:rsid w:val="00586A0D"/>
    <w:rsid w:val="00586C19"/>
    <w:rsid w:val="00586EBA"/>
    <w:rsid w:val="005876A1"/>
    <w:rsid w:val="00590DCB"/>
    <w:rsid w:val="00591309"/>
    <w:rsid w:val="0059148B"/>
    <w:rsid w:val="005918DF"/>
    <w:rsid w:val="00591AB0"/>
    <w:rsid w:val="005922F6"/>
    <w:rsid w:val="00592FAF"/>
    <w:rsid w:val="00593687"/>
    <w:rsid w:val="00593866"/>
    <w:rsid w:val="005938D4"/>
    <w:rsid w:val="00593C3F"/>
    <w:rsid w:val="00594038"/>
    <w:rsid w:val="0059432F"/>
    <w:rsid w:val="0059456C"/>
    <w:rsid w:val="0059459F"/>
    <w:rsid w:val="005955DB"/>
    <w:rsid w:val="00595681"/>
    <w:rsid w:val="00595C8A"/>
    <w:rsid w:val="00595D17"/>
    <w:rsid w:val="0059651B"/>
    <w:rsid w:val="0059651E"/>
    <w:rsid w:val="00596785"/>
    <w:rsid w:val="00596793"/>
    <w:rsid w:val="005967CD"/>
    <w:rsid w:val="00596A14"/>
    <w:rsid w:val="00597187"/>
    <w:rsid w:val="005972F1"/>
    <w:rsid w:val="00597401"/>
    <w:rsid w:val="0059745F"/>
    <w:rsid w:val="005979AD"/>
    <w:rsid w:val="00597BAE"/>
    <w:rsid w:val="00597D21"/>
    <w:rsid w:val="00597D8E"/>
    <w:rsid w:val="005A0555"/>
    <w:rsid w:val="005A05FC"/>
    <w:rsid w:val="005A0901"/>
    <w:rsid w:val="005A10E7"/>
    <w:rsid w:val="005A14BB"/>
    <w:rsid w:val="005A17FC"/>
    <w:rsid w:val="005A196D"/>
    <w:rsid w:val="005A24FD"/>
    <w:rsid w:val="005A2A74"/>
    <w:rsid w:val="005A2C83"/>
    <w:rsid w:val="005A2F27"/>
    <w:rsid w:val="005A3519"/>
    <w:rsid w:val="005A3553"/>
    <w:rsid w:val="005A4A94"/>
    <w:rsid w:val="005A4E69"/>
    <w:rsid w:val="005A518C"/>
    <w:rsid w:val="005A559A"/>
    <w:rsid w:val="005A5724"/>
    <w:rsid w:val="005A62A2"/>
    <w:rsid w:val="005A6A10"/>
    <w:rsid w:val="005A6A7E"/>
    <w:rsid w:val="005A6B99"/>
    <w:rsid w:val="005A6E5D"/>
    <w:rsid w:val="005A70E6"/>
    <w:rsid w:val="005A72FC"/>
    <w:rsid w:val="005A74BE"/>
    <w:rsid w:val="005A7E06"/>
    <w:rsid w:val="005B0220"/>
    <w:rsid w:val="005B0351"/>
    <w:rsid w:val="005B061D"/>
    <w:rsid w:val="005B0769"/>
    <w:rsid w:val="005B0E53"/>
    <w:rsid w:val="005B1141"/>
    <w:rsid w:val="005B1536"/>
    <w:rsid w:val="005B223C"/>
    <w:rsid w:val="005B274C"/>
    <w:rsid w:val="005B28E6"/>
    <w:rsid w:val="005B2984"/>
    <w:rsid w:val="005B29A6"/>
    <w:rsid w:val="005B2B60"/>
    <w:rsid w:val="005B2ED3"/>
    <w:rsid w:val="005B33BE"/>
    <w:rsid w:val="005B3559"/>
    <w:rsid w:val="005B4620"/>
    <w:rsid w:val="005B487D"/>
    <w:rsid w:val="005B53EF"/>
    <w:rsid w:val="005B5E15"/>
    <w:rsid w:val="005B60BC"/>
    <w:rsid w:val="005B65F1"/>
    <w:rsid w:val="005B66A7"/>
    <w:rsid w:val="005B6CCC"/>
    <w:rsid w:val="005B6FCB"/>
    <w:rsid w:val="005B7303"/>
    <w:rsid w:val="005B7357"/>
    <w:rsid w:val="005B78AF"/>
    <w:rsid w:val="005B7ED5"/>
    <w:rsid w:val="005B7F7A"/>
    <w:rsid w:val="005C015A"/>
    <w:rsid w:val="005C05DF"/>
    <w:rsid w:val="005C0787"/>
    <w:rsid w:val="005C07FD"/>
    <w:rsid w:val="005C0876"/>
    <w:rsid w:val="005C09EF"/>
    <w:rsid w:val="005C0A27"/>
    <w:rsid w:val="005C0D27"/>
    <w:rsid w:val="005C0E00"/>
    <w:rsid w:val="005C10D1"/>
    <w:rsid w:val="005C1446"/>
    <w:rsid w:val="005C149F"/>
    <w:rsid w:val="005C14C3"/>
    <w:rsid w:val="005C1C74"/>
    <w:rsid w:val="005C2F92"/>
    <w:rsid w:val="005C3097"/>
    <w:rsid w:val="005C312D"/>
    <w:rsid w:val="005C3638"/>
    <w:rsid w:val="005C38CC"/>
    <w:rsid w:val="005C39C5"/>
    <w:rsid w:val="005C3ADC"/>
    <w:rsid w:val="005C4562"/>
    <w:rsid w:val="005C4932"/>
    <w:rsid w:val="005C4F4D"/>
    <w:rsid w:val="005C56F5"/>
    <w:rsid w:val="005C5AE1"/>
    <w:rsid w:val="005C6303"/>
    <w:rsid w:val="005C66F0"/>
    <w:rsid w:val="005C679E"/>
    <w:rsid w:val="005C6C43"/>
    <w:rsid w:val="005C6CA8"/>
    <w:rsid w:val="005C6E20"/>
    <w:rsid w:val="005C7015"/>
    <w:rsid w:val="005C7295"/>
    <w:rsid w:val="005C73A3"/>
    <w:rsid w:val="005D00E8"/>
    <w:rsid w:val="005D00EE"/>
    <w:rsid w:val="005D035A"/>
    <w:rsid w:val="005D1263"/>
    <w:rsid w:val="005D1585"/>
    <w:rsid w:val="005D15F5"/>
    <w:rsid w:val="005D212E"/>
    <w:rsid w:val="005D26CA"/>
    <w:rsid w:val="005D291B"/>
    <w:rsid w:val="005D2B36"/>
    <w:rsid w:val="005D2D8B"/>
    <w:rsid w:val="005D2F39"/>
    <w:rsid w:val="005D39D3"/>
    <w:rsid w:val="005D3A7F"/>
    <w:rsid w:val="005D3BF2"/>
    <w:rsid w:val="005D3D7D"/>
    <w:rsid w:val="005D3F3A"/>
    <w:rsid w:val="005D448C"/>
    <w:rsid w:val="005D4645"/>
    <w:rsid w:val="005D4884"/>
    <w:rsid w:val="005D49FB"/>
    <w:rsid w:val="005D544F"/>
    <w:rsid w:val="005D5780"/>
    <w:rsid w:val="005D66DC"/>
    <w:rsid w:val="005D69DF"/>
    <w:rsid w:val="005D6AA8"/>
    <w:rsid w:val="005D765B"/>
    <w:rsid w:val="005D7709"/>
    <w:rsid w:val="005D7771"/>
    <w:rsid w:val="005D7836"/>
    <w:rsid w:val="005D7B14"/>
    <w:rsid w:val="005D7CE5"/>
    <w:rsid w:val="005D7DF4"/>
    <w:rsid w:val="005E0D52"/>
    <w:rsid w:val="005E0E25"/>
    <w:rsid w:val="005E12F0"/>
    <w:rsid w:val="005E199F"/>
    <w:rsid w:val="005E1A3A"/>
    <w:rsid w:val="005E2B53"/>
    <w:rsid w:val="005E31B2"/>
    <w:rsid w:val="005E3B93"/>
    <w:rsid w:val="005E3CC2"/>
    <w:rsid w:val="005E3E6C"/>
    <w:rsid w:val="005E4319"/>
    <w:rsid w:val="005E44C3"/>
    <w:rsid w:val="005E4CA1"/>
    <w:rsid w:val="005E54A7"/>
    <w:rsid w:val="005E5545"/>
    <w:rsid w:val="005E555C"/>
    <w:rsid w:val="005E5597"/>
    <w:rsid w:val="005E5D85"/>
    <w:rsid w:val="005E67AC"/>
    <w:rsid w:val="005E67EB"/>
    <w:rsid w:val="005E6B24"/>
    <w:rsid w:val="005E6D25"/>
    <w:rsid w:val="005E6EF0"/>
    <w:rsid w:val="005E7497"/>
    <w:rsid w:val="005E7746"/>
    <w:rsid w:val="005F06D0"/>
    <w:rsid w:val="005F0C10"/>
    <w:rsid w:val="005F12E1"/>
    <w:rsid w:val="005F18D7"/>
    <w:rsid w:val="005F2331"/>
    <w:rsid w:val="005F28CA"/>
    <w:rsid w:val="005F2CB1"/>
    <w:rsid w:val="005F3202"/>
    <w:rsid w:val="005F329A"/>
    <w:rsid w:val="005F39EE"/>
    <w:rsid w:val="005F4502"/>
    <w:rsid w:val="005F45F2"/>
    <w:rsid w:val="005F4A48"/>
    <w:rsid w:val="005F538A"/>
    <w:rsid w:val="005F6798"/>
    <w:rsid w:val="005F68C6"/>
    <w:rsid w:val="005F699A"/>
    <w:rsid w:val="005F74E6"/>
    <w:rsid w:val="005F791A"/>
    <w:rsid w:val="005F7BC7"/>
    <w:rsid w:val="006000C0"/>
    <w:rsid w:val="006001EE"/>
    <w:rsid w:val="00600CDB"/>
    <w:rsid w:val="00600D78"/>
    <w:rsid w:val="00600ED8"/>
    <w:rsid w:val="006011D8"/>
    <w:rsid w:val="006014DF"/>
    <w:rsid w:val="00601B8B"/>
    <w:rsid w:val="00601BD7"/>
    <w:rsid w:val="00602191"/>
    <w:rsid w:val="006025BC"/>
    <w:rsid w:val="006026B6"/>
    <w:rsid w:val="0060286B"/>
    <w:rsid w:val="006028C2"/>
    <w:rsid w:val="00602926"/>
    <w:rsid w:val="00603031"/>
    <w:rsid w:val="006031AC"/>
    <w:rsid w:val="0060326F"/>
    <w:rsid w:val="00603CB3"/>
    <w:rsid w:val="0060401D"/>
    <w:rsid w:val="00604771"/>
    <w:rsid w:val="00604C90"/>
    <w:rsid w:val="00604CC5"/>
    <w:rsid w:val="00604CD2"/>
    <w:rsid w:val="0060589A"/>
    <w:rsid w:val="00605A37"/>
    <w:rsid w:val="00605DF6"/>
    <w:rsid w:val="00605E5C"/>
    <w:rsid w:val="00606315"/>
    <w:rsid w:val="0060663B"/>
    <w:rsid w:val="00607656"/>
    <w:rsid w:val="00610743"/>
    <w:rsid w:val="00610C10"/>
    <w:rsid w:val="00610ECB"/>
    <w:rsid w:val="006112AD"/>
    <w:rsid w:val="00611669"/>
    <w:rsid w:val="00611C20"/>
    <w:rsid w:val="00611E0F"/>
    <w:rsid w:val="00612058"/>
    <w:rsid w:val="006125CA"/>
    <w:rsid w:val="00612B70"/>
    <w:rsid w:val="006131DA"/>
    <w:rsid w:val="006136D8"/>
    <w:rsid w:val="006137CE"/>
    <w:rsid w:val="00613856"/>
    <w:rsid w:val="00614364"/>
    <w:rsid w:val="00614DC4"/>
    <w:rsid w:val="00614E7B"/>
    <w:rsid w:val="006158D9"/>
    <w:rsid w:val="00615C50"/>
    <w:rsid w:val="00616168"/>
    <w:rsid w:val="00616196"/>
    <w:rsid w:val="006174F8"/>
    <w:rsid w:val="0062007D"/>
    <w:rsid w:val="00620843"/>
    <w:rsid w:val="00620968"/>
    <w:rsid w:val="0062194C"/>
    <w:rsid w:val="00621C8D"/>
    <w:rsid w:val="006220E9"/>
    <w:rsid w:val="006223D7"/>
    <w:rsid w:val="006224A3"/>
    <w:rsid w:val="006227DA"/>
    <w:rsid w:val="00622CA1"/>
    <w:rsid w:val="00622E8A"/>
    <w:rsid w:val="00623644"/>
    <w:rsid w:val="006236B2"/>
    <w:rsid w:val="00623BED"/>
    <w:rsid w:val="00623C3F"/>
    <w:rsid w:val="0062419A"/>
    <w:rsid w:val="00624694"/>
    <w:rsid w:val="00624879"/>
    <w:rsid w:val="00624B10"/>
    <w:rsid w:val="00625D46"/>
    <w:rsid w:val="00625F02"/>
    <w:rsid w:val="0062629E"/>
    <w:rsid w:val="00626663"/>
    <w:rsid w:val="00627158"/>
    <w:rsid w:val="00627DF7"/>
    <w:rsid w:val="00627E5B"/>
    <w:rsid w:val="00630776"/>
    <w:rsid w:val="0063089E"/>
    <w:rsid w:val="00630A4E"/>
    <w:rsid w:val="00630DC6"/>
    <w:rsid w:val="006312E2"/>
    <w:rsid w:val="00631378"/>
    <w:rsid w:val="006313D8"/>
    <w:rsid w:val="006314B9"/>
    <w:rsid w:val="00631810"/>
    <w:rsid w:val="006318F9"/>
    <w:rsid w:val="00631B38"/>
    <w:rsid w:val="0063213E"/>
    <w:rsid w:val="00632330"/>
    <w:rsid w:val="006323B2"/>
    <w:rsid w:val="0063275C"/>
    <w:rsid w:val="00632891"/>
    <w:rsid w:val="006328E2"/>
    <w:rsid w:val="00632A09"/>
    <w:rsid w:val="00632FA4"/>
    <w:rsid w:val="006330EB"/>
    <w:rsid w:val="00633810"/>
    <w:rsid w:val="00633814"/>
    <w:rsid w:val="00633D93"/>
    <w:rsid w:val="00633E00"/>
    <w:rsid w:val="0063431A"/>
    <w:rsid w:val="006344BF"/>
    <w:rsid w:val="00635BF1"/>
    <w:rsid w:val="00635E61"/>
    <w:rsid w:val="00636226"/>
    <w:rsid w:val="00636E09"/>
    <w:rsid w:val="00637162"/>
    <w:rsid w:val="00637418"/>
    <w:rsid w:val="0063752F"/>
    <w:rsid w:val="00637889"/>
    <w:rsid w:val="00637933"/>
    <w:rsid w:val="00637E82"/>
    <w:rsid w:val="006401E7"/>
    <w:rsid w:val="00640444"/>
    <w:rsid w:val="00640964"/>
    <w:rsid w:val="00640F16"/>
    <w:rsid w:val="00641035"/>
    <w:rsid w:val="006411B8"/>
    <w:rsid w:val="00641440"/>
    <w:rsid w:val="00641E1F"/>
    <w:rsid w:val="00642001"/>
    <w:rsid w:val="00642AB9"/>
    <w:rsid w:val="00642E85"/>
    <w:rsid w:val="00642FB5"/>
    <w:rsid w:val="0064390B"/>
    <w:rsid w:val="00643BF3"/>
    <w:rsid w:val="00643C23"/>
    <w:rsid w:val="00643E69"/>
    <w:rsid w:val="00644254"/>
    <w:rsid w:val="006443EF"/>
    <w:rsid w:val="00644DC2"/>
    <w:rsid w:val="0064556F"/>
    <w:rsid w:val="00645679"/>
    <w:rsid w:val="006457CD"/>
    <w:rsid w:val="006457DD"/>
    <w:rsid w:val="00646314"/>
    <w:rsid w:val="006466AF"/>
    <w:rsid w:val="00646707"/>
    <w:rsid w:val="0064672D"/>
    <w:rsid w:val="006468D0"/>
    <w:rsid w:val="00646948"/>
    <w:rsid w:val="00646BFD"/>
    <w:rsid w:val="00646CEE"/>
    <w:rsid w:val="00646F71"/>
    <w:rsid w:val="0064722B"/>
    <w:rsid w:val="006474E4"/>
    <w:rsid w:val="00647573"/>
    <w:rsid w:val="00650288"/>
    <w:rsid w:val="0065033C"/>
    <w:rsid w:val="0065048C"/>
    <w:rsid w:val="00650E34"/>
    <w:rsid w:val="0065130D"/>
    <w:rsid w:val="00651D38"/>
    <w:rsid w:val="00651E13"/>
    <w:rsid w:val="00651FA4"/>
    <w:rsid w:val="006526EB"/>
    <w:rsid w:val="006528B8"/>
    <w:rsid w:val="006529C3"/>
    <w:rsid w:val="00652A19"/>
    <w:rsid w:val="00653CB1"/>
    <w:rsid w:val="006547F7"/>
    <w:rsid w:val="00654982"/>
    <w:rsid w:val="00654D03"/>
    <w:rsid w:val="00654D79"/>
    <w:rsid w:val="006555B9"/>
    <w:rsid w:val="006559F2"/>
    <w:rsid w:val="00655B32"/>
    <w:rsid w:val="00655D3D"/>
    <w:rsid w:val="00655FAA"/>
    <w:rsid w:val="00656064"/>
    <w:rsid w:val="00656953"/>
    <w:rsid w:val="00656BF2"/>
    <w:rsid w:val="00656F1B"/>
    <w:rsid w:val="006570C4"/>
    <w:rsid w:val="00657475"/>
    <w:rsid w:val="006576EA"/>
    <w:rsid w:val="00657B81"/>
    <w:rsid w:val="006600A3"/>
    <w:rsid w:val="006600D6"/>
    <w:rsid w:val="0066027F"/>
    <w:rsid w:val="00660329"/>
    <w:rsid w:val="00660CD5"/>
    <w:rsid w:val="00660D2D"/>
    <w:rsid w:val="00660F07"/>
    <w:rsid w:val="0066158F"/>
    <w:rsid w:val="0066189C"/>
    <w:rsid w:val="00661949"/>
    <w:rsid w:val="00661AA2"/>
    <w:rsid w:val="00661B73"/>
    <w:rsid w:val="00661BC5"/>
    <w:rsid w:val="0066210C"/>
    <w:rsid w:val="00662283"/>
    <w:rsid w:val="00662635"/>
    <w:rsid w:val="006626D1"/>
    <w:rsid w:val="006627FE"/>
    <w:rsid w:val="00662BCB"/>
    <w:rsid w:val="00662C1B"/>
    <w:rsid w:val="006633FB"/>
    <w:rsid w:val="006636CE"/>
    <w:rsid w:val="00663771"/>
    <w:rsid w:val="00663A12"/>
    <w:rsid w:val="00663AC5"/>
    <w:rsid w:val="00663DDC"/>
    <w:rsid w:val="00664E22"/>
    <w:rsid w:val="00665325"/>
    <w:rsid w:val="00665482"/>
    <w:rsid w:val="006658FC"/>
    <w:rsid w:val="00665AE7"/>
    <w:rsid w:val="00666081"/>
    <w:rsid w:val="006663EB"/>
    <w:rsid w:val="006667D2"/>
    <w:rsid w:val="00666E65"/>
    <w:rsid w:val="00667176"/>
    <w:rsid w:val="006679A9"/>
    <w:rsid w:val="00667EFC"/>
    <w:rsid w:val="00667F1E"/>
    <w:rsid w:val="00670193"/>
    <w:rsid w:val="006703AD"/>
    <w:rsid w:val="00670578"/>
    <w:rsid w:val="006707D9"/>
    <w:rsid w:val="006707EE"/>
    <w:rsid w:val="006715FD"/>
    <w:rsid w:val="00671EF6"/>
    <w:rsid w:val="00672141"/>
    <w:rsid w:val="0067222E"/>
    <w:rsid w:val="00672A92"/>
    <w:rsid w:val="00673221"/>
    <w:rsid w:val="0067349C"/>
    <w:rsid w:val="00673507"/>
    <w:rsid w:val="006748C5"/>
    <w:rsid w:val="00674B4A"/>
    <w:rsid w:val="00674BE3"/>
    <w:rsid w:val="00674C23"/>
    <w:rsid w:val="00674F21"/>
    <w:rsid w:val="006753EB"/>
    <w:rsid w:val="00675644"/>
    <w:rsid w:val="00675E7A"/>
    <w:rsid w:val="00675EBB"/>
    <w:rsid w:val="00676C86"/>
    <w:rsid w:val="00676F88"/>
    <w:rsid w:val="006773B3"/>
    <w:rsid w:val="0067744B"/>
    <w:rsid w:val="0067764A"/>
    <w:rsid w:val="00677745"/>
    <w:rsid w:val="0068041D"/>
    <w:rsid w:val="00680F08"/>
    <w:rsid w:val="006813A5"/>
    <w:rsid w:val="00682241"/>
    <w:rsid w:val="00682835"/>
    <w:rsid w:val="006830D0"/>
    <w:rsid w:val="00683CAB"/>
    <w:rsid w:val="00683F66"/>
    <w:rsid w:val="0068405A"/>
    <w:rsid w:val="0068494C"/>
    <w:rsid w:val="006851A1"/>
    <w:rsid w:val="006852BC"/>
    <w:rsid w:val="0068561E"/>
    <w:rsid w:val="006856CA"/>
    <w:rsid w:val="006857BD"/>
    <w:rsid w:val="00685908"/>
    <w:rsid w:val="0068649C"/>
    <w:rsid w:val="00686624"/>
    <w:rsid w:val="00686A55"/>
    <w:rsid w:val="00686B06"/>
    <w:rsid w:val="00686D68"/>
    <w:rsid w:val="00686DAE"/>
    <w:rsid w:val="006873FD"/>
    <w:rsid w:val="006876AE"/>
    <w:rsid w:val="00687A13"/>
    <w:rsid w:val="00687D5B"/>
    <w:rsid w:val="0069015E"/>
    <w:rsid w:val="00690343"/>
    <w:rsid w:val="006908E3"/>
    <w:rsid w:val="00690B0E"/>
    <w:rsid w:val="00691504"/>
    <w:rsid w:val="0069160F"/>
    <w:rsid w:val="00692085"/>
    <w:rsid w:val="0069232D"/>
    <w:rsid w:val="006925CA"/>
    <w:rsid w:val="00692721"/>
    <w:rsid w:val="006929B0"/>
    <w:rsid w:val="00693531"/>
    <w:rsid w:val="00693875"/>
    <w:rsid w:val="00693F19"/>
    <w:rsid w:val="00694430"/>
    <w:rsid w:val="0069469B"/>
    <w:rsid w:val="006946DC"/>
    <w:rsid w:val="00694CE4"/>
    <w:rsid w:val="00695228"/>
    <w:rsid w:val="00695582"/>
    <w:rsid w:val="006956C3"/>
    <w:rsid w:val="00695B00"/>
    <w:rsid w:val="00695FBA"/>
    <w:rsid w:val="00696308"/>
    <w:rsid w:val="0069653D"/>
    <w:rsid w:val="006967E3"/>
    <w:rsid w:val="00696AF8"/>
    <w:rsid w:val="00696DFA"/>
    <w:rsid w:val="00696E6B"/>
    <w:rsid w:val="006979E0"/>
    <w:rsid w:val="00697F7A"/>
    <w:rsid w:val="006A0062"/>
    <w:rsid w:val="006A03B8"/>
    <w:rsid w:val="006A04BC"/>
    <w:rsid w:val="006A142C"/>
    <w:rsid w:val="006A1666"/>
    <w:rsid w:val="006A18EB"/>
    <w:rsid w:val="006A1D11"/>
    <w:rsid w:val="006A1D23"/>
    <w:rsid w:val="006A1F6C"/>
    <w:rsid w:val="006A2166"/>
    <w:rsid w:val="006A2357"/>
    <w:rsid w:val="006A2639"/>
    <w:rsid w:val="006A2CBA"/>
    <w:rsid w:val="006A2EA6"/>
    <w:rsid w:val="006A3901"/>
    <w:rsid w:val="006A3BFF"/>
    <w:rsid w:val="006A3CF3"/>
    <w:rsid w:val="006A3E66"/>
    <w:rsid w:val="006A4074"/>
    <w:rsid w:val="006A40A4"/>
    <w:rsid w:val="006A40AF"/>
    <w:rsid w:val="006A458F"/>
    <w:rsid w:val="006A45B6"/>
    <w:rsid w:val="006A4D5E"/>
    <w:rsid w:val="006A59C7"/>
    <w:rsid w:val="006A5EA5"/>
    <w:rsid w:val="006A6109"/>
    <w:rsid w:val="006A62F0"/>
    <w:rsid w:val="006A64F6"/>
    <w:rsid w:val="006A6A6F"/>
    <w:rsid w:val="006A70F8"/>
    <w:rsid w:val="006A71BE"/>
    <w:rsid w:val="006A7790"/>
    <w:rsid w:val="006A7A33"/>
    <w:rsid w:val="006A7D05"/>
    <w:rsid w:val="006A7ED2"/>
    <w:rsid w:val="006A7F89"/>
    <w:rsid w:val="006A7FF6"/>
    <w:rsid w:val="006B0136"/>
    <w:rsid w:val="006B052F"/>
    <w:rsid w:val="006B06A7"/>
    <w:rsid w:val="006B0B2A"/>
    <w:rsid w:val="006B0BCB"/>
    <w:rsid w:val="006B0FAD"/>
    <w:rsid w:val="006B111D"/>
    <w:rsid w:val="006B12A8"/>
    <w:rsid w:val="006B1338"/>
    <w:rsid w:val="006B13E2"/>
    <w:rsid w:val="006B17AC"/>
    <w:rsid w:val="006B186A"/>
    <w:rsid w:val="006B18F4"/>
    <w:rsid w:val="006B1A83"/>
    <w:rsid w:val="006B1D11"/>
    <w:rsid w:val="006B23FF"/>
    <w:rsid w:val="006B25AF"/>
    <w:rsid w:val="006B2650"/>
    <w:rsid w:val="006B2A6B"/>
    <w:rsid w:val="006B2DB2"/>
    <w:rsid w:val="006B2DEC"/>
    <w:rsid w:val="006B2EAC"/>
    <w:rsid w:val="006B3188"/>
    <w:rsid w:val="006B357A"/>
    <w:rsid w:val="006B3AEF"/>
    <w:rsid w:val="006B3E85"/>
    <w:rsid w:val="006B3FCC"/>
    <w:rsid w:val="006B44A3"/>
    <w:rsid w:val="006B45B9"/>
    <w:rsid w:val="006B49BE"/>
    <w:rsid w:val="006B4D71"/>
    <w:rsid w:val="006B52DA"/>
    <w:rsid w:val="006B55F8"/>
    <w:rsid w:val="006B56E3"/>
    <w:rsid w:val="006B58BD"/>
    <w:rsid w:val="006B596C"/>
    <w:rsid w:val="006B5E0D"/>
    <w:rsid w:val="006B5E97"/>
    <w:rsid w:val="006B67A9"/>
    <w:rsid w:val="006B69E4"/>
    <w:rsid w:val="006B71AC"/>
    <w:rsid w:val="006B7733"/>
    <w:rsid w:val="006B7743"/>
    <w:rsid w:val="006B7997"/>
    <w:rsid w:val="006C0180"/>
    <w:rsid w:val="006C10CA"/>
    <w:rsid w:val="006C139B"/>
    <w:rsid w:val="006C1B98"/>
    <w:rsid w:val="006C1D1E"/>
    <w:rsid w:val="006C1FC4"/>
    <w:rsid w:val="006C21C3"/>
    <w:rsid w:val="006C22CF"/>
    <w:rsid w:val="006C2A2E"/>
    <w:rsid w:val="006C373C"/>
    <w:rsid w:val="006C394D"/>
    <w:rsid w:val="006C3E88"/>
    <w:rsid w:val="006C3EB3"/>
    <w:rsid w:val="006C4159"/>
    <w:rsid w:val="006C51B7"/>
    <w:rsid w:val="006C5362"/>
    <w:rsid w:val="006C555D"/>
    <w:rsid w:val="006C5AF4"/>
    <w:rsid w:val="006C60FD"/>
    <w:rsid w:val="006C6132"/>
    <w:rsid w:val="006C68F1"/>
    <w:rsid w:val="006C6C96"/>
    <w:rsid w:val="006C6FA0"/>
    <w:rsid w:val="006D0941"/>
    <w:rsid w:val="006D0CF9"/>
    <w:rsid w:val="006D249F"/>
    <w:rsid w:val="006D2D7A"/>
    <w:rsid w:val="006D342C"/>
    <w:rsid w:val="006D3533"/>
    <w:rsid w:val="006D35D1"/>
    <w:rsid w:val="006D36A5"/>
    <w:rsid w:val="006D42B9"/>
    <w:rsid w:val="006D446D"/>
    <w:rsid w:val="006D47CB"/>
    <w:rsid w:val="006D4CBD"/>
    <w:rsid w:val="006D561E"/>
    <w:rsid w:val="006D58FD"/>
    <w:rsid w:val="006D5A1D"/>
    <w:rsid w:val="006D5FC6"/>
    <w:rsid w:val="006D61A1"/>
    <w:rsid w:val="006D622F"/>
    <w:rsid w:val="006D6B39"/>
    <w:rsid w:val="006D6BA1"/>
    <w:rsid w:val="006D6DF3"/>
    <w:rsid w:val="006D6EFF"/>
    <w:rsid w:val="006D73A6"/>
    <w:rsid w:val="006D75BE"/>
    <w:rsid w:val="006D7750"/>
    <w:rsid w:val="006E0C69"/>
    <w:rsid w:val="006E0C9F"/>
    <w:rsid w:val="006E0E2D"/>
    <w:rsid w:val="006E0F4E"/>
    <w:rsid w:val="006E1032"/>
    <w:rsid w:val="006E12DF"/>
    <w:rsid w:val="006E16FF"/>
    <w:rsid w:val="006E1ADD"/>
    <w:rsid w:val="006E2501"/>
    <w:rsid w:val="006E2528"/>
    <w:rsid w:val="006E2863"/>
    <w:rsid w:val="006E2A50"/>
    <w:rsid w:val="006E2CC0"/>
    <w:rsid w:val="006E34EF"/>
    <w:rsid w:val="006E366B"/>
    <w:rsid w:val="006E3AFB"/>
    <w:rsid w:val="006E3BB6"/>
    <w:rsid w:val="006E3F44"/>
    <w:rsid w:val="006E3F90"/>
    <w:rsid w:val="006E4007"/>
    <w:rsid w:val="006E43B6"/>
    <w:rsid w:val="006E52B6"/>
    <w:rsid w:val="006E5AE6"/>
    <w:rsid w:val="006E5DA7"/>
    <w:rsid w:val="006E6020"/>
    <w:rsid w:val="006E6549"/>
    <w:rsid w:val="006E66FA"/>
    <w:rsid w:val="006E6829"/>
    <w:rsid w:val="006E68C3"/>
    <w:rsid w:val="006E6A90"/>
    <w:rsid w:val="006E7516"/>
    <w:rsid w:val="006E7718"/>
    <w:rsid w:val="006F0038"/>
    <w:rsid w:val="006F0187"/>
    <w:rsid w:val="006F01B8"/>
    <w:rsid w:val="006F0406"/>
    <w:rsid w:val="006F059D"/>
    <w:rsid w:val="006F176E"/>
    <w:rsid w:val="006F189F"/>
    <w:rsid w:val="006F1FB4"/>
    <w:rsid w:val="006F208A"/>
    <w:rsid w:val="006F21EF"/>
    <w:rsid w:val="006F27A4"/>
    <w:rsid w:val="006F2AC7"/>
    <w:rsid w:val="006F2D83"/>
    <w:rsid w:val="006F2DE5"/>
    <w:rsid w:val="006F3322"/>
    <w:rsid w:val="006F3811"/>
    <w:rsid w:val="006F4469"/>
    <w:rsid w:val="006F46BA"/>
    <w:rsid w:val="006F490F"/>
    <w:rsid w:val="006F4B21"/>
    <w:rsid w:val="006F528E"/>
    <w:rsid w:val="006F5555"/>
    <w:rsid w:val="006F5592"/>
    <w:rsid w:val="006F570D"/>
    <w:rsid w:val="006F5898"/>
    <w:rsid w:val="006F5CA8"/>
    <w:rsid w:val="006F64F8"/>
    <w:rsid w:val="006F69EE"/>
    <w:rsid w:val="006F73E1"/>
    <w:rsid w:val="006F76B3"/>
    <w:rsid w:val="006F7F95"/>
    <w:rsid w:val="007003B3"/>
    <w:rsid w:val="007008E2"/>
    <w:rsid w:val="00700EB7"/>
    <w:rsid w:val="007013E4"/>
    <w:rsid w:val="007017CF"/>
    <w:rsid w:val="00701908"/>
    <w:rsid w:val="00701AC8"/>
    <w:rsid w:val="00701B59"/>
    <w:rsid w:val="00701C9D"/>
    <w:rsid w:val="00701D9F"/>
    <w:rsid w:val="00702B4C"/>
    <w:rsid w:val="00702B5A"/>
    <w:rsid w:val="00702C60"/>
    <w:rsid w:val="0070322E"/>
    <w:rsid w:val="00703912"/>
    <w:rsid w:val="007039B1"/>
    <w:rsid w:val="00703B7C"/>
    <w:rsid w:val="00704375"/>
    <w:rsid w:val="0070474C"/>
    <w:rsid w:val="00704CF2"/>
    <w:rsid w:val="00705012"/>
    <w:rsid w:val="0070574B"/>
    <w:rsid w:val="00705C8B"/>
    <w:rsid w:val="00706533"/>
    <w:rsid w:val="00706A88"/>
    <w:rsid w:val="00706D6A"/>
    <w:rsid w:val="00707242"/>
    <w:rsid w:val="00707685"/>
    <w:rsid w:val="007077A1"/>
    <w:rsid w:val="00707B22"/>
    <w:rsid w:val="007101CB"/>
    <w:rsid w:val="00710254"/>
    <w:rsid w:val="00710342"/>
    <w:rsid w:val="0071043F"/>
    <w:rsid w:val="0071117A"/>
    <w:rsid w:val="00711998"/>
    <w:rsid w:val="00711B5C"/>
    <w:rsid w:val="00711D0B"/>
    <w:rsid w:val="00711EA6"/>
    <w:rsid w:val="00711F3A"/>
    <w:rsid w:val="00712044"/>
    <w:rsid w:val="007121DD"/>
    <w:rsid w:val="00712813"/>
    <w:rsid w:val="0071296D"/>
    <w:rsid w:val="00712BA1"/>
    <w:rsid w:val="00712D7F"/>
    <w:rsid w:val="00712DF5"/>
    <w:rsid w:val="0071327C"/>
    <w:rsid w:val="00713832"/>
    <w:rsid w:val="00713896"/>
    <w:rsid w:val="00714199"/>
    <w:rsid w:val="00714243"/>
    <w:rsid w:val="007148FD"/>
    <w:rsid w:val="00715153"/>
    <w:rsid w:val="00715B95"/>
    <w:rsid w:val="007163C2"/>
    <w:rsid w:val="00716519"/>
    <w:rsid w:val="0071694E"/>
    <w:rsid w:val="00716A5E"/>
    <w:rsid w:val="00716ED2"/>
    <w:rsid w:val="00717499"/>
    <w:rsid w:val="007175A0"/>
    <w:rsid w:val="007175F4"/>
    <w:rsid w:val="007177B6"/>
    <w:rsid w:val="00717B66"/>
    <w:rsid w:val="00717C49"/>
    <w:rsid w:val="00720A77"/>
    <w:rsid w:val="00720C50"/>
    <w:rsid w:val="00720C63"/>
    <w:rsid w:val="007213F5"/>
    <w:rsid w:val="007217B0"/>
    <w:rsid w:val="00721D1E"/>
    <w:rsid w:val="00721DEF"/>
    <w:rsid w:val="00721E99"/>
    <w:rsid w:val="007225D8"/>
    <w:rsid w:val="0072298D"/>
    <w:rsid w:val="00723837"/>
    <w:rsid w:val="00723A40"/>
    <w:rsid w:val="00723B5D"/>
    <w:rsid w:val="00723F7F"/>
    <w:rsid w:val="007240C1"/>
    <w:rsid w:val="00724326"/>
    <w:rsid w:val="00724D11"/>
    <w:rsid w:val="00725020"/>
    <w:rsid w:val="00725065"/>
    <w:rsid w:val="007252AE"/>
    <w:rsid w:val="007258B8"/>
    <w:rsid w:val="00725D22"/>
    <w:rsid w:val="00726171"/>
    <w:rsid w:val="0072624A"/>
    <w:rsid w:val="007266EA"/>
    <w:rsid w:val="007267BD"/>
    <w:rsid w:val="00727E6B"/>
    <w:rsid w:val="00727F67"/>
    <w:rsid w:val="00730056"/>
    <w:rsid w:val="00730359"/>
    <w:rsid w:val="0073066C"/>
    <w:rsid w:val="0073081C"/>
    <w:rsid w:val="00730D6B"/>
    <w:rsid w:val="0073126A"/>
    <w:rsid w:val="007315E7"/>
    <w:rsid w:val="0073171C"/>
    <w:rsid w:val="00731D3E"/>
    <w:rsid w:val="00732546"/>
    <w:rsid w:val="00732C35"/>
    <w:rsid w:val="00733236"/>
    <w:rsid w:val="00733428"/>
    <w:rsid w:val="00733925"/>
    <w:rsid w:val="00733992"/>
    <w:rsid w:val="00733CB7"/>
    <w:rsid w:val="00733EF4"/>
    <w:rsid w:val="0073439F"/>
    <w:rsid w:val="00734771"/>
    <w:rsid w:val="0073486D"/>
    <w:rsid w:val="00734C04"/>
    <w:rsid w:val="007353DA"/>
    <w:rsid w:val="00735804"/>
    <w:rsid w:val="00735BB9"/>
    <w:rsid w:val="00735C9D"/>
    <w:rsid w:val="00735E26"/>
    <w:rsid w:val="0073600F"/>
    <w:rsid w:val="00736595"/>
    <w:rsid w:val="00736978"/>
    <w:rsid w:val="00737112"/>
    <w:rsid w:val="007375BD"/>
    <w:rsid w:val="007378B9"/>
    <w:rsid w:val="00740179"/>
    <w:rsid w:val="0074021E"/>
    <w:rsid w:val="007402B7"/>
    <w:rsid w:val="007407A0"/>
    <w:rsid w:val="00740A3C"/>
    <w:rsid w:val="00741142"/>
    <w:rsid w:val="0074180A"/>
    <w:rsid w:val="0074236E"/>
    <w:rsid w:val="007429A6"/>
    <w:rsid w:val="00742AA7"/>
    <w:rsid w:val="007430AC"/>
    <w:rsid w:val="007433E4"/>
    <w:rsid w:val="00743720"/>
    <w:rsid w:val="00744A22"/>
    <w:rsid w:val="007456A0"/>
    <w:rsid w:val="00745B21"/>
    <w:rsid w:val="00745C3C"/>
    <w:rsid w:val="00745CC3"/>
    <w:rsid w:val="0074671A"/>
    <w:rsid w:val="00746B7B"/>
    <w:rsid w:val="00746EA6"/>
    <w:rsid w:val="007473B3"/>
    <w:rsid w:val="007476C6"/>
    <w:rsid w:val="00747718"/>
    <w:rsid w:val="00747769"/>
    <w:rsid w:val="00747FE7"/>
    <w:rsid w:val="0075009F"/>
    <w:rsid w:val="00750701"/>
    <w:rsid w:val="0075078B"/>
    <w:rsid w:val="00751092"/>
    <w:rsid w:val="00751275"/>
    <w:rsid w:val="007516F8"/>
    <w:rsid w:val="00751CD7"/>
    <w:rsid w:val="00752029"/>
    <w:rsid w:val="007524C5"/>
    <w:rsid w:val="00752558"/>
    <w:rsid w:val="00752DFA"/>
    <w:rsid w:val="00752E27"/>
    <w:rsid w:val="00752E7F"/>
    <w:rsid w:val="00753142"/>
    <w:rsid w:val="0075373E"/>
    <w:rsid w:val="00753D9C"/>
    <w:rsid w:val="00754619"/>
    <w:rsid w:val="00754AC6"/>
    <w:rsid w:val="0075529E"/>
    <w:rsid w:val="0075591C"/>
    <w:rsid w:val="00755A4A"/>
    <w:rsid w:val="00755C97"/>
    <w:rsid w:val="00755F50"/>
    <w:rsid w:val="007564E0"/>
    <w:rsid w:val="007565DB"/>
    <w:rsid w:val="00756712"/>
    <w:rsid w:val="00756909"/>
    <w:rsid w:val="007569C4"/>
    <w:rsid w:val="00756B59"/>
    <w:rsid w:val="00756BC6"/>
    <w:rsid w:val="00756F3F"/>
    <w:rsid w:val="0075752E"/>
    <w:rsid w:val="00757694"/>
    <w:rsid w:val="00757956"/>
    <w:rsid w:val="007600C9"/>
    <w:rsid w:val="0076031A"/>
    <w:rsid w:val="0076081D"/>
    <w:rsid w:val="0076088C"/>
    <w:rsid w:val="00760AE6"/>
    <w:rsid w:val="00760EA1"/>
    <w:rsid w:val="007613E4"/>
    <w:rsid w:val="007615D1"/>
    <w:rsid w:val="007619F5"/>
    <w:rsid w:val="00761E74"/>
    <w:rsid w:val="00761FE8"/>
    <w:rsid w:val="007625E1"/>
    <w:rsid w:val="00762E27"/>
    <w:rsid w:val="0076318E"/>
    <w:rsid w:val="00763377"/>
    <w:rsid w:val="007633D1"/>
    <w:rsid w:val="007633E3"/>
    <w:rsid w:val="0076346E"/>
    <w:rsid w:val="00763571"/>
    <w:rsid w:val="0076358F"/>
    <w:rsid w:val="007639CC"/>
    <w:rsid w:val="00763D1B"/>
    <w:rsid w:val="00763D87"/>
    <w:rsid w:val="00764320"/>
    <w:rsid w:val="00764855"/>
    <w:rsid w:val="00764886"/>
    <w:rsid w:val="00765148"/>
    <w:rsid w:val="007657E8"/>
    <w:rsid w:val="007658C0"/>
    <w:rsid w:val="00765EA2"/>
    <w:rsid w:val="00766143"/>
    <w:rsid w:val="0076618B"/>
    <w:rsid w:val="00766488"/>
    <w:rsid w:val="0076673B"/>
    <w:rsid w:val="00766C5E"/>
    <w:rsid w:val="00766D7C"/>
    <w:rsid w:val="00766DDC"/>
    <w:rsid w:val="00767519"/>
    <w:rsid w:val="00767E40"/>
    <w:rsid w:val="007701DE"/>
    <w:rsid w:val="00770627"/>
    <w:rsid w:val="00770CF3"/>
    <w:rsid w:val="00770D67"/>
    <w:rsid w:val="00771145"/>
    <w:rsid w:val="00771254"/>
    <w:rsid w:val="007716A5"/>
    <w:rsid w:val="00771954"/>
    <w:rsid w:val="00771EA6"/>
    <w:rsid w:val="00772869"/>
    <w:rsid w:val="00772C5B"/>
    <w:rsid w:val="00773061"/>
    <w:rsid w:val="00773AB7"/>
    <w:rsid w:val="00774282"/>
    <w:rsid w:val="00774365"/>
    <w:rsid w:val="0077444C"/>
    <w:rsid w:val="00774497"/>
    <w:rsid w:val="0077502C"/>
    <w:rsid w:val="007754D6"/>
    <w:rsid w:val="00776564"/>
    <w:rsid w:val="00776D00"/>
    <w:rsid w:val="00777712"/>
    <w:rsid w:val="00777E11"/>
    <w:rsid w:val="0078003A"/>
    <w:rsid w:val="00780316"/>
    <w:rsid w:val="0078037D"/>
    <w:rsid w:val="00780742"/>
    <w:rsid w:val="007817D6"/>
    <w:rsid w:val="00781887"/>
    <w:rsid w:val="007822E5"/>
    <w:rsid w:val="00782823"/>
    <w:rsid w:val="0078296E"/>
    <w:rsid w:val="00783325"/>
    <w:rsid w:val="007833D3"/>
    <w:rsid w:val="00783413"/>
    <w:rsid w:val="00783844"/>
    <w:rsid w:val="00783A7D"/>
    <w:rsid w:val="00783D38"/>
    <w:rsid w:val="00783FE6"/>
    <w:rsid w:val="007843DB"/>
    <w:rsid w:val="0078527F"/>
    <w:rsid w:val="00785642"/>
    <w:rsid w:val="0078590E"/>
    <w:rsid w:val="00785BF5"/>
    <w:rsid w:val="00785E1F"/>
    <w:rsid w:val="00786213"/>
    <w:rsid w:val="00786404"/>
    <w:rsid w:val="00786612"/>
    <w:rsid w:val="007867F0"/>
    <w:rsid w:val="00786947"/>
    <w:rsid w:val="00786B2A"/>
    <w:rsid w:val="007870DC"/>
    <w:rsid w:val="00787149"/>
    <w:rsid w:val="00787199"/>
    <w:rsid w:val="00787690"/>
    <w:rsid w:val="0078787A"/>
    <w:rsid w:val="007878A2"/>
    <w:rsid w:val="00787E97"/>
    <w:rsid w:val="007901F8"/>
    <w:rsid w:val="00791304"/>
    <w:rsid w:val="007913D7"/>
    <w:rsid w:val="00791534"/>
    <w:rsid w:val="00791A96"/>
    <w:rsid w:val="00791AD6"/>
    <w:rsid w:val="00792390"/>
    <w:rsid w:val="00792C54"/>
    <w:rsid w:val="00792F37"/>
    <w:rsid w:val="00793450"/>
    <w:rsid w:val="007935AB"/>
    <w:rsid w:val="00793AB4"/>
    <w:rsid w:val="00793B16"/>
    <w:rsid w:val="00793C3D"/>
    <w:rsid w:val="0079411F"/>
    <w:rsid w:val="00794231"/>
    <w:rsid w:val="007944EA"/>
    <w:rsid w:val="00794546"/>
    <w:rsid w:val="00794547"/>
    <w:rsid w:val="00794611"/>
    <w:rsid w:val="0079492B"/>
    <w:rsid w:val="007953C2"/>
    <w:rsid w:val="007958CF"/>
    <w:rsid w:val="00795949"/>
    <w:rsid w:val="00795BB8"/>
    <w:rsid w:val="00795ECB"/>
    <w:rsid w:val="00796248"/>
    <w:rsid w:val="007963A6"/>
    <w:rsid w:val="00796820"/>
    <w:rsid w:val="0079693D"/>
    <w:rsid w:val="00796C41"/>
    <w:rsid w:val="00796CFE"/>
    <w:rsid w:val="00797067"/>
    <w:rsid w:val="0079771F"/>
    <w:rsid w:val="00797964"/>
    <w:rsid w:val="00797C18"/>
    <w:rsid w:val="00797EB6"/>
    <w:rsid w:val="007A002C"/>
    <w:rsid w:val="007A0610"/>
    <w:rsid w:val="007A06C1"/>
    <w:rsid w:val="007A07F5"/>
    <w:rsid w:val="007A09B7"/>
    <w:rsid w:val="007A1048"/>
    <w:rsid w:val="007A10CE"/>
    <w:rsid w:val="007A1610"/>
    <w:rsid w:val="007A2A48"/>
    <w:rsid w:val="007A39D3"/>
    <w:rsid w:val="007A405F"/>
    <w:rsid w:val="007A43A8"/>
    <w:rsid w:val="007A46A6"/>
    <w:rsid w:val="007A4AE5"/>
    <w:rsid w:val="007A5974"/>
    <w:rsid w:val="007A5DB5"/>
    <w:rsid w:val="007A6F0C"/>
    <w:rsid w:val="007A765A"/>
    <w:rsid w:val="007A7D4A"/>
    <w:rsid w:val="007B00A7"/>
    <w:rsid w:val="007B0AB5"/>
    <w:rsid w:val="007B22C6"/>
    <w:rsid w:val="007B23E5"/>
    <w:rsid w:val="007B2604"/>
    <w:rsid w:val="007B2B0F"/>
    <w:rsid w:val="007B2D6F"/>
    <w:rsid w:val="007B3035"/>
    <w:rsid w:val="007B3414"/>
    <w:rsid w:val="007B379E"/>
    <w:rsid w:val="007B4B6F"/>
    <w:rsid w:val="007B4DC0"/>
    <w:rsid w:val="007B4E1A"/>
    <w:rsid w:val="007B57B0"/>
    <w:rsid w:val="007B5F40"/>
    <w:rsid w:val="007B6376"/>
    <w:rsid w:val="007B63F9"/>
    <w:rsid w:val="007B71CD"/>
    <w:rsid w:val="007B7A2F"/>
    <w:rsid w:val="007B7C62"/>
    <w:rsid w:val="007C027E"/>
    <w:rsid w:val="007C0365"/>
    <w:rsid w:val="007C0787"/>
    <w:rsid w:val="007C088B"/>
    <w:rsid w:val="007C0EE4"/>
    <w:rsid w:val="007C13A2"/>
    <w:rsid w:val="007C168B"/>
    <w:rsid w:val="007C19E5"/>
    <w:rsid w:val="007C1E42"/>
    <w:rsid w:val="007C1FEF"/>
    <w:rsid w:val="007C221F"/>
    <w:rsid w:val="007C25D1"/>
    <w:rsid w:val="007C29AE"/>
    <w:rsid w:val="007C29D6"/>
    <w:rsid w:val="007C2BC9"/>
    <w:rsid w:val="007C2F3D"/>
    <w:rsid w:val="007C3286"/>
    <w:rsid w:val="007C32D2"/>
    <w:rsid w:val="007C3F6B"/>
    <w:rsid w:val="007C49C6"/>
    <w:rsid w:val="007C53BC"/>
    <w:rsid w:val="007C5685"/>
    <w:rsid w:val="007C5C1F"/>
    <w:rsid w:val="007C5CAE"/>
    <w:rsid w:val="007C69B7"/>
    <w:rsid w:val="007C766F"/>
    <w:rsid w:val="007C7E0A"/>
    <w:rsid w:val="007C7E9E"/>
    <w:rsid w:val="007D00A1"/>
    <w:rsid w:val="007D08C5"/>
    <w:rsid w:val="007D0A9E"/>
    <w:rsid w:val="007D0B7C"/>
    <w:rsid w:val="007D0ED0"/>
    <w:rsid w:val="007D11F6"/>
    <w:rsid w:val="007D1BBE"/>
    <w:rsid w:val="007D1C86"/>
    <w:rsid w:val="007D1EFF"/>
    <w:rsid w:val="007D236F"/>
    <w:rsid w:val="007D26D0"/>
    <w:rsid w:val="007D2D0E"/>
    <w:rsid w:val="007D3064"/>
    <w:rsid w:val="007D35F5"/>
    <w:rsid w:val="007D371F"/>
    <w:rsid w:val="007D388A"/>
    <w:rsid w:val="007D3FC8"/>
    <w:rsid w:val="007D4108"/>
    <w:rsid w:val="007D4230"/>
    <w:rsid w:val="007D4454"/>
    <w:rsid w:val="007D4457"/>
    <w:rsid w:val="007D46C9"/>
    <w:rsid w:val="007D46DD"/>
    <w:rsid w:val="007D4B70"/>
    <w:rsid w:val="007D4CB1"/>
    <w:rsid w:val="007D51E4"/>
    <w:rsid w:val="007D528D"/>
    <w:rsid w:val="007D52F9"/>
    <w:rsid w:val="007D5C0E"/>
    <w:rsid w:val="007D61BA"/>
    <w:rsid w:val="007D6532"/>
    <w:rsid w:val="007D6AB7"/>
    <w:rsid w:val="007D6FDB"/>
    <w:rsid w:val="007D721D"/>
    <w:rsid w:val="007D7602"/>
    <w:rsid w:val="007D769E"/>
    <w:rsid w:val="007D76E8"/>
    <w:rsid w:val="007D79E0"/>
    <w:rsid w:val="007D7EBE"/>
    <w:rsid w:val="007E01B9"/>
    <w:rsid w:val="007E0481"/>
    <w:rsid w:val="007E0533"/>
    <w:rsid w:val="007E05A9"/>
    <w:rsid w:val="007E0950"/>
    <w:rsid w:val="007E0CC1"/>
    <w:rsid w:val="007E1108"/>
    <w:rsid w:val="007E1116"/>
    <w:rsid w:val="007E1C2F"/>
    <w:rsid w:val="007E1E0C"/>
    <w:rsid w:val="007E2513"/>
    <w:rsid w:val="007E258E"/>
    <w:rsid w:val="007E26AB"/>
    <w:rsid w:val="007E3399"/>
    <w:rsid w:val="007E39CB"/>
    <w:rsid w:val="007E3EDA"/>
    <w:rsid w:val="007E4A30"/>
    <w:rsid w:val="007E4B9C"/>
    <w:rsid w:val="007E4DCE"/>
    <w:rsid w:val="007E4E80"/>
    <w:rsid w:val="007E51A9"/>
    <w:rsid w:val="007E5671"/>
    <w:rsid w:val="007E570E"/>
    <w:rsid w:val="007E5781"/>
    <w:rsid w:val="007E63F4"/>
    <w:rsid w:val="007E68E4"/>
    <w:rsid w:val="007E73D5"/>
    <w:rsid w:val="007E75B0"/>
    <w:rsid w:val="007E7AED"/>
    <w:rsid w:val="007E7B00"/>
    <w:rsid w:val="007F0679"/>
    <w:rsid w:val="007F07B4"/>
    <w:rsid w:val="007F1054"/>
    <w:rsid w:val="007F1152"/>
    <w:rsid w:val="007F1347"/>
    <w:rsid w:val="007F14ED"/>
    <w:rsid w:val="007F17D7"/>
    <w:rsid w:val="007F1DB3"/>
    <w:rsid w:val="007F2650"/>
    <w:rsid w:val="007F26CC"/>
    <w:rsid w:val="007F283F"/>
    <w:rsid w:val="007F2B13"/>
    <w:rsid w:val="007F2D22"/>
    <w:rsid w:val="007F2F8D"/>
    <w:rsid w:val="007F3444"/>
    <w:rsid w:val="007F3630"/>
    <w:rsid w:val="007F3C30"/>
    <w:rsid w:val="007F43F4"/>
    <w:rsid w:val="007F44FB"/>
    <w:rsid w:val="007F4987"/>
    <w:rsid w:val="007F5396"/>
    <w:rsid w:val="007F660E"/>
    <w:rsid w:val="007F670E"/>
    <w:rsid w:val="007F6AFB"/>
    <w:rsid w:val="007F6ECC"/>
    <w:rsid w:val="007F7379"/>
    <w:rsid w:val="007F7542"/>
    <w:rsid w:val="007F77AA"/>
    <w:rsid w:val="007F7C77"/>
    <w:rsid w:val="007F7ED5"/>
    <w:rsid w:val="00800027"/>
    <w:rsid w:val="00800304"/>
    <w:rsid w:val="008003BA"/>
    <w:rsid w:val="00800551"/>
    <w:rsid w:val="008008E5"/>
    <w:rsid w:val="00800F8C"/>
    <w:rsid w:val="00800F9E"/>
    <w:rsid w:val="008011F0"/>
    <w:rsid w:val="008013EF"/>
    <w:rsid w:val="00801527"/>
    <w:rsid w:val="008017CB"/>
    <w:rsid w:val="008019F9"/>
    <w:rsid w:val="00802AB3"/>
    <w:rsid w:val="00802DE3"/>
    <w:rsid w:val="0080364F"/>
    <w:rsid w:val="0080437F"/>
    <w:rsid w:val="00804C04"/>
    <w:rsid w:val="00804F06"/>
    <w:rsid w:val="008052A9"/>
    <w:rsid w:val="00805612"/>
    <w:rsid w:val="00805FBF"/>
    <w:rsid w:val="00806082"/>
    <w:rsid w:val="00806098"/>
    <w:rsid w:val="008060DF"/>
    <w:rsid w:val="0080664B"/>
    <w:rsid w:val="0080673A"/>
    <w:rsid w:val="00807536"/>
    <w:rsid w:val="008079A0"/>
    <w:rsid w:val="00807A98"/>
    <w:rsid w:val="00807CC9"/>
    <w:rsid w:val="00807E81"/>
    <w:rsid w:val="00810161"/>
    <w:rsid w:val="008105B5"/>
    <w:rsid w:val="00811A49"/>
    <w:rsid w:val="008128F8"/>
    <w:rsid w:val="0081298B"/>
    <w:rsid w:val="008135DE"/>
    <w:rsid w:val="0081426F"/>
    <w:rsid w:val="0081456B"/>
    <w:rsid w:val="0081477F"/>
    <w:rsid w:val="00814F5D"/>
    <w:rsid w:val="0081571A"/>
    <w:rsid w:val="00815991"/>
    <w:rsid w:val="00815A56"/>
    <w:rsid w:val="00815C0D"/>
    <w:rsid w:val="0081607B"/>
    <w:rsid w:val="00816127"/>
    <w:rsid w:val="0081612E"/>
    <w:rsid w:val="0081638A"/>
    <w:rsid w:val="008167C2"/>
    <w:rsid w:val="0081687E"/>
    <w:rsid w:val="00816AD4"/>
    <w:rsid w:val="00816B8B"/>
    <w:rsid w:val="00816EB7"/>
    <w:rsid w:val="00817548"/>
    <w:rsid w:val="00817816"/>
    <w:rsid w:val="008179C9"/>
    <w:rsid w:val="008207AF"/>
    <w:rsid w:val="0082090B"/>
    <w:rsid w:val="008212E6"/>
    <w:rsid w:val="00821909"/>
    <w:rsid w:val="00821B61"/>
    <w:rsid w:val="00821C42"/>
    <w:rsid w:val="00821C9F"/>
    <w:rsid w:val="00821D07"/>
    <w:rsid w:val="00821EB4"/>
    <w:rsid w:val="00822360"/>
    <w:rsid w:val="00822478"/>
    <w:rsid w:val="0082250A"/>
    <w:rsid w:val="008226EC"/>
    <w:rsid w:val="008227CC"/>
    <w:rsid w:val="008228A0"/>
    <w:rsid w:val="008235CC"/>
    <w:rsid w:val="0082398F"/>
    <w:rsid w:val="0082407F"/>
    <w:rsid w:val="00824624"/>
    <w:rsid w:val="008246FD"/>
    <w:rsid w:val="008247F9"/>
    <w:rsid w:val="008248B4"/>
    <w:rsid w:val="00824E82"/>
    <w:rsid w:val="008257A5"/>
    <w:rsid w:val="00825FA2"/>
    <w:rsid w:val="00826592"/>
    <w:rsid w:val="00826DF1"/>
    <w:rsid w:val="00827184"/>
    <w:rsid w:val="008275AC"/>
    <w:rsid w:val="008278B0"/>
    <w:rsid w:val="0083041C"/>
    <w:rsid w:val="00830614"/>
    <w:rsid w:val="008306B5"/>
    <w:rsid w:val="008308C0"/>
    <w:rsid w:val="00831575"/>
    <w:rsid w:val="0083164D"/>
    <w:rsid w:val="008321F5"/>
    <w:rsid w:val="00832311"/>
    <w:rsid w:val="008325D6"/>
    <w:rsid w:val="0083269E"/>
    <w:rsid w:val="00832773"/>
    <w:rsid w:val="008329D1"/>
    <w:rsid w:val="00832DFF"/>
    <w:rsid w:val="008339FC"/>
    <w:rsid w:val="00833D2C"/>
    <w:rsid w:val="00833DCC"/>
    <w:rsid w:val="00833F27"/>
    <w:rsid w:val="00834209"/>
    <w:rsid w:val="00834AD2"/>
    <w:rsid w:val="00834D1D"/>
    <w:rsid w:val="00835245"/>
    <w:rsid w:val="008358E4"/>
    <w:rsid w:val="00835BBE"/>
    <w:rsid w:val="0083645E"/>
    <w:rsid w:val="00836590"/>
    <w:rsid w:val="00836C4A"/>
    <w:rsid w:val="00836E55"/>
    <w:rsid w:val="00836EFD"/>
    <w:rsid w:val="00837688"/>
    <w:rsid w:val="00837825"/>
    <w:rsid w:val="00837AFB"/>
    <w:rsid w:val="00837C68"/>
    <w:rsid w:val="00837EAE"/>
    <w:rsid w:val="0084014C"/>
    <w:rsid w:val="00840825"/>
    <w:rsid w:val="00841271"/>
    <w:rsid w:val="008413DA"/>
    <w:rsid w:val="00841D95"/>
    <w:rsid w:val="00842A12"/>
    <w:rsid w:val="00843619"/>
    <w:rsid w:val="00843D82"/>
    <w:rsid w:val="0084415C"/>
    <w:rsid w:val="00844518"/>
    <w:rsid w:val="00844AC7"/>
    <w:rsid w:val="0084517E"/>
    <w:rsid w:val="008454FA"/>
    <w:rsid w:val="0084581C"/>
    <w:rsid w:val="00845A0D"/>
    <w:rsid w:val="00845FC7"/>
    <w:rsid w:val="008461E8"/>
    <w:rsid w:val="00847173"/>
    <w:rsid w:val="008476FF"/>
    <w:rsid w:val="00847885"/>
    <w:rsid w:val="00847A5D"/>
    <w:rsid w:val="0085024C"/>
    <w:rsid w:val="00850756"/>
    <w:rsid w:val="00850772"/>
    <w:rsid w:val="00850B8D"/>
    <w:rsid w:val="00850F70"/>
    <w:rsid w:val="00851358"/>
    <w:rsid w:val="0085136C"/>
    <w:rsid w:val="0085170D"/>
    <w:rsid w:val="00851890"/>
    <w:rsid w:val="008518BE"/>
    <w:rsid w:val="00851AE8"/>
    <w:rsid w:val="008526AD"/>
    <w:rsid w:val="008527A6"/>
    <w:rsid w:val="00853611"/>
    <w:rsid w:val="00854DAC"/>
    <w:rsid w:val="00854E15"/>
    <w:rsid w:val="00854EB6"/>
    <w:rsid w:val="00855120"/>
    <w:rsid w:val="00855321"/>
    <w:rsid w:val="008554AE"/>
    <w:rsid w:val="008559BF"/>
    <w:rsid w:val="00855B65"/>
    <w:rsid w:val="00855CBD"/>
    <w:rsid w:val="00855E5B"/>
    <w:rsid w:val="00855E80"/>
    <w:rsid w:val="00856141"/>
    <w:rsid w:val="008564ED"/>
    <w:rsid w:val="00856904"/>
    <w:rsid w:val="008577C6"/>
    <w:rsid w:val="008577CA"/>
    <w:rsid w:val="00857802"/>
    <w:rsid w:val="0086038D"/>
    <w:rsid w:val="00860B40"/>
    <w:rsid w:val="00861072"/>
    <w:rsid w:val="0086134F"/>
    <w:rsid w:val="0086136B"/>
    <w:rsid w:val="00861AC6"/>
    <w:rsid w:val="00861B3D"/>
    <w:rsid w:val="00861B73"/>
    <w:rsid w:val="00861B95"/>
    <w:rsid w:val="0086214B"/>
    <w:rsid w:val="008624D6"/>
    <w:rsid w:val="0086253C"/>
    <w:rsid w:val="00862588"/>
    <w:rsid w:val="008633A0"/>
    <w:rsid w:val="00863634"/>
    <w:rsid w:val="00863739"/>
    <w:rsid w:val="00863FA6"/>
    <w:rsid w:val="0086403A"/>
    <w:rsid w:val="00864423"/>
    <w:rsid w:val="008649F4"/>
    <w:rsid w:val="00864DFE"/>
    <w:rsid w:val="00864FD2"/>
    <w:rsid w:val="008650FE"/>
    <w:rsid w:val="008659BF"/>
    <w:rsid w:val="00865F9B"/>
    <w:rsid w:val="008662F9"/>
    <w:rsid w:val="00866643"/>
    <w:rsid w:val="00866748"/>
    <w:rsid w:val="00866D85"/>
    <w:rsid w:val="00866EBD"/>
    <w:rsid w:val="00866F4A"/>
    <w:rsid w:val="008671E1"/>
    <w:rsid w:val="008674B5"/>
    <w:rsid w:val="008675E0"/>
    <w:rsid w:val="008676BB"/>
    <w:rsid w:val="00867A75"/>
    <w:rsid w:val="00867E28"/>
    <w:rsid w:val="00870063"/>
    <w:rsid w:val="00870069"/>
    <w:rsid w:val="00870924"/>
    <w:rsid w:val="00870B77"/>
    <w:rsid w:val="00870D07"/>
    <w:rsid w:val="00870FF7"/>
    <w:rsid w:val="0087101F"/>
    <w:rsid w:val="00871757"/>
    <w:rsid w:val="00871B01"/>
    <w:rsid w:val="00872C15"/>
    <w:rsid w:val="00873366"/>
    <w:rsid w:val="00873374"/>
    <w:rsid w:val="008733DB"/>
    <w:rsid w:val="00873403"/>
    <w:rsid w:val="00873521"/>
    <w:rsid w:val="00873FB7"/>
    <w:rsid w:val="008740DA"/>
    <w:rsid w:val="008741B5"/>
    <w:rsid w:val="0087449A"/>
    <w:rsid w:val="00874C08"/>
    <w:rsid w:val="00874F18"/>
    <w:rsid w:val="00875536"/>
    <w:rsid w:val="00875834"/>
    <w:rsid w:val="00875FAF"/>
    <w:rsid w:val="00876509"/>
    <w:rsid w:val="008766D3"/>
    <w:rsid w:val="008771C2"/>
    <w:rsid w:val="00877340"/>
    <w:rsid w:val="0087754A"/>
    <w:rsid w:val="00877825"/>
    <w:rsid w:val="0087792D"/>
    <w:rsid w:val="00877B51"/>
    <w:rsid w:val="00877BE7"/>
    <w:rsid w:val="00880254"/>
    <w:rsid w:val="008803B4"/>
    <w:rsid w:val="00880CD8"/>
    <w:rsid w:val="00880E4B"/>
    <w:rsid w:val="008818F4"/>
    <w:rsid w:val="00882279"/>
    <w:rsid w:val="008826EB"/>
    <w:rsid w:val="00882A69"/>
    <w:rsid w:val="00882D92"/>
    <w:rsid w:val="00882E50"/>
    <w:rsid w:val="0088365C"/>
    <w:rsid w:val="008836B1"/>
    <w:rsid w:val="008838A0"/>
    <w:rsid w:val="00883E14"/>
    <w:rsid w:val="00883EC0"/>
    <w:rsid w:val="00884165"/>
    <w:rsid w:val="00884554"/>
    <w:rsid w:val="00884910"/>
    <w:rsid w:val="008853D6"/>
    <w:rsid w:val="0088556C"/>
    <w:rsid w:val="0088561C"/>
    <w:rsid w:val="0088578D"/>
    <w:rsid w:val="00885B3E"/>
    <w:rsid w:val="00885B5C"/>
    <w:rsid w:val="00885CA4"/>
    <w:rsid w:val="00886475"/>
    <w:rsid w:val="00887352"/>
    <w:rsid w:val="00887EFE"/>
    <w:rsid w:val="008901DC"/>
    <w:rsid w:val="008905AF"/>
    <w:rsid w:val="00890830"/>
    <w:rsid w:val="008909DF"/>
    <w:rsid w:val="00890E88"/>
    <w:rsid w:val="00890FFE"/>
    <w:rsid w:val="00891153"/>
    <w:rsid w:val="00891A2E"/>
    <w:rsid w:val="00891F2F"/>
    <w:rsid w:val="00892144"/>
    <w:rsid w:val="00892189"/>
    <w:rsid w:val="008921C1"/>
    <w:rsid w:val="0089224B"/>
    <w:rsid w:val="00892402"/>
    <w:rsid w:val="00892603"/>
    <w:rsid w:val="00892AAC"/>
    <w:rsid w:val="0089333D"/>
    <w:rsid w:val="00893926"/>
    <w:rsid w:val="00893981"/>
    <w:rsid w:val="008939A9"/>
    <w:rsid w:val="00893A36"/>
    <w:rsid w:val="00893AEF"/>
    <w:rsid w:val="00893E3D"/>
    <w:rsid w:val="00893FEC"/>
    <w:rsid w:val="008941A8"/>
    <w:rsid w:val="00894799"/>
    <w:rsid w:val="00894C5F"/>
    <w:rsid w:val="00894D5C"/>
    <w:rsid w:val="00894DEF"/>
    <w:rsid w:val="008955B2"/>
    <w:rsid w:val="00895AF1"/>
    <w:rsid w:val="00895DE9"/>
    <w:rsid w:val="00895E51"/>
    <w:rsid w:val="00895F74"/>
    <w:rsid w:val="0089613B"/>
    <w:rsid w:val="0089691A"/>
    <w:rsid w:val="00896E49"/>
    <w:rsid w:val="00896FDD"/>
    <w:rsid w:val="00896FF1"/>
    <w:rsid w:val="00897362"/>
    <w:rsid w:val="008977E4"/>
    <w:rsid w:val="0089791F"/>
    <w:rsid w:val="00897A83"/>
    <w:rsid w:val="008A0079"/>
    <w:rsid w:val="008A0C93"/>
    <w:rsid w:val="008A1155"/>
    <w:rsid w:val="008A1BA7"/>
    <w:rsid w:val="008A2072"/>
    <w:rsid w:val="008A27DA"/>
    <w:rsid w:val="008A2924"/>
    <w:rsid w:val="008A2973"/>
    <w:rsid w:val="008A29CD"/>
    <w:rsid w:val="008A2CBD"/>
    <w:rsid w:val="008A2F78"/>
    <w:rsid w:val="008A3652"/>
    <w:rsid w:val="008A3A81"/>
    <w:rsid w:val="008A4102"/>
    <w:rsid w:val="008A48D9"/>
    <w:rsid w:val="008A4ADB"/>
    <w:rsid w:val="008A4F24"/>
    <w:rsid w:val="008A50FB"/>
    <w:rsid w:val="008A5887"/>
    <w:rsid w:val="008A5C76"/>
    <w:rsid w:val="008A5E66"/>
    <w:rsid w:val="008A5ED2"/>
    <w:rsid w:val="008A646A"/>
    <w:rsid w:val="008A67D3"/>
    <w:rsid w:val="008A6B2B"/>
    <w:rsid w:val="008A6C60"/>
    <w:rsid w:val="008A7323"/>
    <w:rsid w:val="008A7326"/>
    <w:rsid w:val="008A7579"/>
    <w:rsid w:val="008A77B3"/>
    <w:rsid w:val="008A79B6"/>
    <w:rsid w:val="008A7CA0"/>
    <w:rsid w:val="008B011A"/>
    <w:rsid w:val="008B01F2"/>
    <w:rsid w:val="008B047F"/>
    <w:rsid w:val="008B0498"/>
    <w:rsid w:val="008B05CC"/>
    <w:rsid w:val="008B079D"/>
    <w:rsid w:val="008B07F2"/>
    <w:rsid w:val="008B0B7B"/>
    <w:rsid w:val="008B0D92"/>
    <w:rsid w:val="008B0EF7"/>
    <w:rsid w:val="008B1738"/>
    <w:rsid w:val="008B1C81"/>
    <w:rsid w:val="008B2255"/>
    <w:rsid w:val="008B2DF2"/>
    <w:rsid w:val="008B323B"/>
    <w:rsid w:val="008B32D9"/>
    <w:rsid w:val="008B3579"/>
    <w:rsid w:val="008B3A1B"/>
    <w:rsid w:val="008B4F67"/>
    <w:rsid w:val="008B562F"/>
    <w:rsid w:val="008B6D43"/>
    <w:rsid w:val="008B6E24"/>
    <w:rsid w:val="008B705A"/>
    <w:rsid w:val="008B7110"/>
    <w:rsid w:val="008B7B89"/>
    <w:rsid w:val="008B7C41"/>
    <w:rsid w:val="008B7D3E"/>
    <w:rsid w:val="008C05BB"/>
    <w:rsid w:val="008C07C6"/>
    <w:rsid w:val="008C0A87"/>
    <w:rsid w:val="008C0D87"/>
    <w:rsid w:val="008C0E44"/>
    <w:rsid w:val="008C17EE"/>
    <w:rsid w:val="008C182F"/>
    <w:rsid w:val="008C212B"/>
    <w:rsid w:val="008C2AED"/>
    <w:rsid w:val="008C318B"/>
    <w:rsid w:val="008C32D2"/>
    <w:rsid w:val="008C35AF"/>
    <w:rsid w:val="008C37AC"/>
    <w:rsid w:val="008C3968"/>
    <w:rsid w:val="008C3CA0"/>
    <w:rsid w:val="008C4C03"/>
    <w:rsid w:val="008C529F"/>
    <w:rsid w:val="008C556E"/>
    <w:rsid w:val="008C570C"/>
    <w:rsid w:val="008C59AD"/>
    <w:rsid w:val="008C5AED"/>
    <w:rsid w:val="008C5DD3"/>
    <w:rsid w:val="008C6000"/>
    <w:rsid w:val="008C611F"/>
    <w:rsid w:val="008C659C"/>
    <w:rsid w:val="008C7B38"/>
    <w:rsid w:val="008C7D44"/>
    <w:rsid w:val="008C7FD4"/>
    <w:rsid w:val="008D01C8"/>
    <w:rsid w:val="008D0329"/>
    <w:rsid w:val="008D0CA8"/>
    <w:rsid w:val="008D17E4"/>
    <w:rsid w:val="008D1AC2"/>
    <w:rsid w:val="008D1AE6"/>
    <w:rsid w:val="008D25B6"/>
    <w:rsid w:val="008D2853"/>
    <w:rsid w:val="008D2AC4"/>
    <w:rsid w:val="008D2CA3"/>
    <w:rsid w:val="008D2CA7"/>
    <w:rsid w:val="008D2ED8"/>
    <w:rsid w:val="008D3B07"/>
    <w:rsid w:val="008D3E34"/>
    <w:rsid w:val="008D3FBB"/>
    <w:rsid w:val="008D4C58"/>
    <w:rsid w:val="008D5237"/>
    <w:rsid w:val="008D55BA"/>
    <w:rsid w:val="008D5B4A"/>
    <w:rsid w:val="008D5C3F"/>
    <w:rsid w:val="008D6C98"/>
    <w:rsid w:val="008D6E47"/>
    <w:rsid w:val="008D6F7B"/>
    <w:rsid w:val="008D6FE1"/>
    <w:rsid w:val="008D791D"/>
    <w:rsid w:val="008D7C74"/>
    <w:rsid w:val="008E0740"/>
    <w:rsid w:val="008E0953"/>
    <w:rsid w:val="008E10F9"/>
    <w:rsid w:val="008E16F7"/>
    <w:rsid w:val="008E2319"/>
    <w:rsid w:val="008E268F"/>
    <w:rsid w:val="008E2802"/>
    <w:rsid w:val="008E2E06"/>
    <w:rsid w:val="008E2E20"/>
    <w:rsid w:val="008E3B50"/>
    <w:rsid w:val="008E3D06"/>
    <w:rsid w:val="008E4458"/>
    <w:rsid w:val="008E456D"/>
    <w:rsid w:val="008E47D3"/>
    <w:rsid w:val="008E4EA1"/>
    <w:rsid w:val="008E5205"/>
    <w:rsid w:val="008E552E"/>
    <w:rsid w:val="008E5FDD"/>
    <w:rsid w:val="008E6F69"/>
    <w:rsid w:val="008E7506"/>
    <w:rsid w:val="008E75A3"/>
    <w:rsid w:val="008E7CE9"/>
    <w:rsid w:val="008E7D99"/>
    <w:rsid w:val="008F0552"/>
    <w:rsid w:val="008F0730"/>
    <w:rsid w:val="008F09D1"/>
    <w:rsid w:val="008F09DB"/>
    <w:rsid w:val="008F0B37"/>
    <w:rsid w:val="008F121A"/>
    <w:rsid w:val="008F177C"/>
    <w:rsid w:val="008F1A4F"/>
    <w:rsid w:val="008F257D"/>
    <w:rsid w:val="008F26D8"/>
    <w:rsid w:val="008F2B2F"/>
    <w:rsid w:val="008F2FAE"/>
    <w:rsid w:val="008F2FBB"/>
    <w:rsid w:val="008F314A"/>
    <w:rsid w:val="008F32B5"/>
    <w:rsid w:val="008F3426"/>
    <w:rsid w:val="008F366F"/>
    <w:rsid w:val="008F40AC"/>
    <w:rsid w:val="008F42D7"/>
    <w:rsid w:val="008F4A87"/>
    <w:rsid w:val="008F4D9A"/>
    <w:rsid w:val="008F5DB2"/>
    <w:rsid w:val="008F62CE"/>
    <w:rsid w:val="008F63EF"/>
    <w:rsid w:val="008F7C41"/>
    <w:rsid w:val="009001AA"/>
    <w:rsid w:val="00900219"/>
    <w:rsid w:val="0090076F"/>
    <w:rsid w:val="00901040"/>
    <w:rsid w:val="00901A2D"/>
    <w:rsid w:val="00901AB9"/>
    <w:rsid w:val="00901E2F"/>
    <w:rsid w:val="00901FAF"/>
    <w:rsid w:val="0090219B"/>
    <w:rsid w:val="00902D8E"/>
    <w:rsid w:val="00902F55"/>
    <w:rsid w:val="009031A5"/>
    <w:rsid w:val="009036EB"/>
    <w:rsid w:val="00903A3D"/>
    <w:rsid w:val="00903A61"/>
    <w:rsid w:val="009048B7"/>
    <w:rsid w:val="00904984"/>
    <w:rsid w:val="00904B1D"/>
    <w:rsid w:val="00905448"/>
    <w:rsid w:val="009054BB"/>
    <w:rsid w:val="00905F1D"/>
    <w:rsid w:val="00906022"/>
    <w:rsid w:val="009060A1"/>
    <w:rsid w:val="00906330"/>
    <w:rsid w:val="009068A9"/>
    <w:rsid w:val="00907197"/>
    <w:rsid w:val="009071F4"/>
    <w:rsid w:val="00907200"/>
    <w:rsid w:val="00907261"/>
    <w:rsid w:val="00907537"/>
    <w:rsid w:val="009079BE"/>
    <w:rsid w:val="00911C26"/>
    <w:rsid w:val="0091213B"/>
    <w:rsid w:val="0091218D"/>
    <w:rsid w:val="00912814"/>
    <w:rsid w:val="00912C41"/>
    <w:rsid w:val="00912D37"/>
    <w:rsid w:val="00912DA9"/>
    <w:rsid w:val="00913D03"/>
    <w:rsid w:val="00914044"/>
    <w:rsid w:val="00915098"/>
    <w:rsid w:val="00916046"/>
    <w:rsid w:val="0091618C"/>
    <w:rsid w:val="009165B0"/>
    <w:rsid w:val="0091695A"/>
    <w:rsid w:val="00917218"/>
    <w:rsid w:val="009174E7"/>
    <w:rsid w:val="00917C63"/>
    <w:rsid w:val="00917CC9"/>
    <w:rsid w:val="00917E44"/>
    <w:rsid w:val="00920403"/>
    <w:rsid w:val="00920B7D"/>
    <w:rsid w:val="009218A9"/>
    <w:rsid w:val="00922024"/>
    <w:rsid w:val="00922164"/>
    <w:rsid w:val="00922327"/>
    <w:rsid w:val="00922384"/>
    <w:rsid w:val="009230A8"/>
    <w:rsid w:val="009233A6"/>
    <w:rsid w:val="0092347E"/>
    <w:rsid w:val="009236DD"/>
    <w:rsid w:val="00923AD1"/>
    <w:rsid w:val="00923B5E"/>
    <w:rsid w:val="0092428F"/>
    <w:rsid w:val="0092453C"/>
    <w:rsid w:val="009246E2"/>
    <w:rsid w:val="00924734"/>
    <w:rsid w:val="0092539E"/>
    <w:rsid w:val="00925C40"/>
    <w:rsid w:val="0092626A"/>
    <w:rsid w:val="00927067"/>
    <w:rsid w:val="00927119"/>
    <w:rsid w:val="00927156"/>
    <w:rsid w:val="0092787F"/>
    <w:rsid w:val="00927ADD"/>
    <w:rsid w:val="00930446"/>
    <w:rsid w:val="0093051E"/>
    <w:rsid w:val="00930803"/>
    <w:rsid w:val="009310E0"/>
    <w:rsid w:val="0093149F"/>
    <w:rsid w:val="00931B32"/>
    <w:rsid w:val="00931BAE"/>
    <w:rsid w:val="00931BE3"/>
    <w:rsid w:val="00932053"/>
    <w:rsid w:val="00932268"/>
    <w:rsid w:val="00932299"/>
    <w:rsid w:val="009327DF"/>
    <w:rsid w:val="00932D29"/>
    <w:rsid w:val="00933769"/>
    <w:rsid w:val="00933B0A"/>
    <w:rsid w:val="00933D3E"/>
    <w:rsid w:val="0093446C"/>
    <w:rsid w:val="00934BD9"/>
    <w:rsid w:val="00934C2D"/>
    <w:rsid w:val="00935042"/>
    <w:rsid w:val="009351ED"/>
    <w:rsid w:val="009357C2"/>
    <w:rsid w:val="00935B63"/>
    <w:rsid w:val="00935C35"/>
    <w:rsid w:val="009371C3"/>
    <w:rsid w:val="00937320"/>
    <w:rsid w:val="0093798F"/>
    <w:rsid w:val="00937D88"/>
    <w:rsid w:val="00937D89"/>
    <w:rsid w:val="0094005B"/>
    <w:rsid w:val="00940519"/>
    <w:rsid w:val="009408DB"/>
    <w:rsid w:val="009409D5"/>
    <w:rsid w:val="00940A4C"/>
    <w:rsid w:val="00941015"/>
    <w:rsid w:val="00941042"/>
    <w:rsid w:val="009420A8"/>
    <w:rsid w:val="009428DA"/>
    <w:rsid w:val="00942CFC"/>
    <w:rsid w:val="00942D41"/>
    <w:rsid w:val="00942D6E"/>
    <w:rsid w:val="00942FD0"/>
    <w:rsid w:val="00943B6F"/>
    <w:rsid w:val="00943C99"/>
    <w:rsid w:val="00943ECD"/>
    <w:rsid w:val="009445DF"/>
    <w:rsid w:val="0094480F"/>
    <w:rsid w:val="00945062"/>
    <w:rsid w:val="009450D8"/>
    <w:rsid w:val="00945AEE"/>
    <w:rsid w:val="009462C5"/>
    <w:rsid w:val="009464D0"/>
    <w:rsid w:val="0094674A"/>
    <w:rsid w:val="009469B6"/>
    <w:rsid w:val="00946C49"/>
    <w:rsid w:val="00947025"/>
    <w:rsid w:val="0094768A"/>
    <w:rsid w:val="009479A6"/>
    <w:rsid w:val="00947DCD"/>
    <w:rsid w:val="00950036"/>
    <w:rsid w:val="00950041"/>
    <w:rsid w:val="0095011B"/>
    <w:rsid w:val="00950B58"/>
    <w:rsid w:val="00950BC6"/>
    <w:rsid w:val="00950C55"/>
    <w:rsid w:val="00950F94"/>
    <w:rsid w:val="009512E0"/>
    <w:rsid w:val="009518C1"/>
    <w:rsid w:val="00951A73"/>
    <w:rsid w:val="0095205F"/>
    <w:rsid w:val="00952332"/>
    <w:rsid w:val="00952560"/>
    <w:rsid w:val="00953439"/>
    <w:rsid w:val="00953917"/>
    <w:rsid w:val="00953AFC"/>
    <w:rsid w:val="00953DDF"/>
    <w:rsid w:val="00953E19"/>
    <w:rsid w:val="00953E7F"/>
    <w:rsid w:val="00953E8A"/>
    <w:rsid w:val="00953F39"/>
    <w:rsid w:val="0095470C"/>
    <w:rsid w:val="009549A1"/>
    <w:rsid w:val="00955118"/>
    <w:rsid w:val="0095558C"/>
    <w:rsid w:val="00955B8B"/>
    <w:rsid w:val="009564FD"/>
    <w:rsid w:val="0095676B"/>
    <w:rsid w:val="00956F6D"/>
    <w:rsid w:val="00957B47"/>
    <w:rsid w:val="00957DED"/>
    <w:rsid w:val="00960118"/>
    <w:rsid w:val="0096028B"/>
    <w:rsid w:val="009607BA"/>
    <w:rsid w:val="009609F3"/>
    <w:rsid w:val="00960ABD"/>
    <w:rsid w:val="00960B81"/>
    <w:rsid w:val="0096106E"/>
    <w:rsid w:val="009613B4"/>
    <w:rsid w:val="00961465"/>
    <w:rsid w:val="009616F1"/>
    <w:rsid w:val="00961930"/>
    <w:rsid w:val="00961A6A"/>
    <w:rsid w:val="00961A8B"/>
    <w:rsid w:val="00961D7C"/>
    <w:rsid w:val="00961DE0"/>
    <w:rsid w:val="009621BD"/>
    <w:rsid w:val="0096222B"/>
    <w:rsid w:val="00962BCF"/>
    <w:rsid w:val="00962E6E"/>
    <w:rsid w:val="00963291"/>
    <w:rsid w:val="0096355B"/>
    <w:rsid w:val="0096385E"/>
    <w:rsid w:val="00963A5F"/>
    <w:rsid w:val="00963B47"/>
    <w:rsid w:val="0096400F"/>
    <w:rsid w:val="00964B78"/>
    <w:rsid w:val="00965167"/>
    <w:rsid w:val="009658D0"/>
    <w:rsid w:val="00965B33"/>
    <w:rsid w:val="0096654F"/>
    <w:rsid w:val="00966C94"/>
    <w:rsid w:val="00966F0D"/>
    <w:rsid w:val="009671C6"/>
    <w:rsid w:val="0096750A"/>
    <w:rsid w:val="0096763D"/>
    <w:rsid w:val="009676B6"/>
    <w:rsid w:val="00967B9C"/>
    <w:rsid w:val="00967BAE"/>
    <w:rsid w:val="009702DC"/>
    <w:rsid w:val="00970420"/>
    <w:rsid w:val="00970A66"/>
    <w:rsid w:val="009716D8"/>
    <w:rsid w:val="009731DE"/>
    <w:rsid w:val="00973577"/>
    <w:rsid w:val="00973742"/>
    <w:rsid w:val="00973A19"/>
    <w:rsid w:val="00973C04"/>
    <w:rsid w:val="00973FA7"/>
    <w:rsid w:val="009746F8"/>
    <w:rsid w:val="00974CBE"/>
    <w:rsid w:val="009751A4"/>
    <w:rsid w:val="009751C3"/>
    <w:rsid w:val="00975211"/>
    <w:rsid w:val="00975354"/>
    <w:rsid w:val="009758FE"/>
    <w:rsid w:val="0097592E"/>
    <w:rsid w:val="00975BC7"/>
    <w:rsid w:val="00975D03"/>
    <w:rsid w:val="00975F62"/>
    <w:rsid w:val="0097655E"/>
    <w:rsid w:val="00976AA3"/>
    <w:rsid w:val="009771D4"/>
    <w:rsid w:val="00977635"/>
    <w:rsid w:val="0097772E"/>
    <w:rsid w:val="0098003B"/>
    <w:rsid w:val="00980810"/>
    <w:rsid w:val="00981466"/>
    <w:rsid w:val="00982095"/>
    <w:rsid w:val="00982891"/>
    <w:rsid w:val="009828AB"/>
    <w:rsid w:val="00982E55"/>
    <w:rsid w:val="0098303A"/>
    <w:rsid w:val="00983403"/>
    <w:rsid w:val="0098361F"/>
    <w:rsid w:val="00983946"/>
    <w:rsid w:val="00983DBB"/>
    <w:rsid w:val="00984090"/>
    <w:rsid w:val="00984242"/>
    <w:rsid w:val="00984257"/>
    <w:rsid w:val="0098459D"/>
    <w:rsid w:val="0098479D"/>
    <w:rsid w:val="00984ACB"/>
    <w:rsid w:val="00984DE0"/>
    <w:rsid w:val="00984DEE"/>
    <w:rsid w:val="009851DD"/>
    <w:rsid w:val="0098563A"/>
    <w:rsid w:val="009859A9"/>
    <w:rsid w:val="00985DD6"/>
    <w:rsid w:val="009861F7"/>
    <w:rsid w:val="00986419"/>
    <w:rsid w:val="00986E89"/>
    <w:rsid w:val="0098737D"/>
    <w:rsid w:val="00987503"/>
    <w:rsid w:val="00987E20"/>
    <w:rsid w:val="00990721"/>
    <w:rsid w:val="009918C7"/>
    <w:rsid w:val="0099194B"/>
    <w:rsid w:val="00991E40"/>
    <w:rsid w:val="009923F1"/>
    <w:rsid w:val="0099245D"/>
    <w:rsid w:val="00992B2E"/>
    <w:rsid w:val="00992BA8"/>
    <w:rsid w:val="00993592"/>
    <w:rsid w:val="009937DE"/>
    <w:rsid w:val="0099385B"/>
    <w:rsid w:val="00993A7A"/>
    <w:rsid w:val="00993D3D"/>
    <w:rsid w:val="00993DF7"/>
    <w:rsid w:val="00993FA2"/>
    <w:rsid w:val="009942D1"/>
    <w:rsid w:val="009945DD"/>
    <w:rsid w:val="0099478C"/>
    <w:rsid w:val="00994B37"/>
    <w:rsid w:val="0099508E"/>
    <w:rsid w:val="009950C6"/>
    <w:rsid w:val="00995191"/>
    <w:rsid w:val="0099552B"/>
    <w:rsid w:val="0099576B"/>
    <w:rsid w:val="00995BA7"/>
    <w:rsid w:val="00995D63"/>
    <w:rsid w:val="00995F61"/>
    <w:rsid w:val="009960B7"/>
    <w:rsid w:val="009961AD"/>
    <w:rsid w:val="009964ED"/>
    <w:rsid w:val="00996A80"/>
    <w:rsid w:val="00996DB1"/>
    <w:rsid w:val="009972C2"/>
    <w:rsid w:val="009973C7"/>
    <w:rsid w:val="009974F5"/>
    <w:rsid w:val="00997E5A"/>
    <w:rsid w:val="009A0957"/>
    <w:rsid w:val="009A0B3C"/>
    <w:rsid w:val="009A0FEC"/>
    <w:rsid w:val="009A1085"/>
    <w:rsid w:val="009A16F2"/>
    <w:rsid w:val="009A1729"/>
    <w:rsid w:val="009A1AAD"/>
    <w:rsid w:val="009A20CB"/>
    <w:rsid w:val="009A2295"/>
    <w:rsid w:val="009A2B18"/>
    <w:rsid w:val="009A2DB9"/>
    <w:rsid w:val="009A3130"/>
    <w:rsid w:val="009A3300"/>
    <w:rsid w:val="009A342A"/>
    <w:rsid w:val="009A377F"/>
    <w:rsid w:val="009A399B"/>
    <w:rsid w:val="009A3E72"/>
    <w:rsid w:val="009A40BD"/>
    <w:rsid w:val="009A4464"/>
    <w:rsid w:val="009A47E3"/>
    <w:rsid w:val="009A486D"/>
    <w:rsid w:val="009A4CDB"/>
    <w:rsid w:val="009A5718"/>
    <w:rsid w:val="009A5B29"/>
    <w:rsid w:val="009A5F07"/>
    <w:rsid w:val="009A607E"/>
    <w:rsid w:val="009A63A4"/>
    <w:rsid w:val="009A6A90"/>
    <w:rsid w:val="009A70AF"/>
    <w:rsid w:val="009A73E0"/>
    <w:rsid w:val="009A7925"/>
    <w:rsid w:val="009A7931"/>
    <w:rsid w:val="009A7AD1"/>
    <w:rsid w:val="009B01D2"/>
    <w:rsid w:val="009B0719"/>
    <w:rsid w:val="009B09E0"/>
    <w:rsid w:val="009B0A4D"/>
    <w:rsid w:val="009B19CB"/>
    <w:rsid w:val="009B1A13"/>
    <w:rsid w:val="009B1C21"/>
    <w:rsid w:val="009B2358"/>
    <w:rsid w:val="009B254E"/>
    <w:rsid w:val="009B2855"/>
    <w:rsid w:val="009B2A6E"/>
    <w:rsid w:val="009B339B"/>
    <w:rsid w:val="009B39E3"/>
    <w:rsid w:val="009B3A91"/>
    <w:rsid w:val="009B3C22"/>
    <w:rsid w:val="009B3DB6"/>
    <w:rsid w:val="009B413F"/>
    <w:rsid w:val="009B41D9"/>
    <w:rsid w:val="009B429C"/>
    <w:rsid w:val="009B437C"/>
    <w:rsid w:val="009B4797"/>
    <w:rsid w:val="009B5159"/>
    <w:rsid w:val="009B5A96"/>
    <w:rsid w:val="009B5BF8"/>
    <w:rsid w:val="009B5C76"/>
    <w:rsid w:val="009B5C92"/>
    <w:rsid w:val="009B68FA"/>
    <w:rsid w:val="009B701C"/>
    <w:rsid w:val="009B74CD"/>
    <w:rsid w:val="009B77EC"/>
    <w:rsid w:val="009B78D0"/>
    <w:rsid w:val="009B7AC3"/>
    <w:rsid w:val="009C0506"/>
    <w:rsid w:val="009C0CEA"/>
    <w:rsid w:val="009C0F40"/>
    <w:rsid w:val="009C135B"/>
    <w:rsid w:val="009C16ED"/>
    <w:rsid w:val="009C1C54"/>
    <w:rsid w:val="009C1FAE"/>
    <w:rsid w:val="009C2327"/>
    <w:rsid w:val="009C3287"/>
    <w:rsid w:val="009C3C12"/>
    <w:rsid w:val="009C3D5F"/>
    <w:rsid w:val="009C3F31"/>
    <w:rsid w:val="009C43AD"/>
    <w:rsid w:val="009C43B2"/>
    <w:rsid w:val="009C4887"/>
    <w:rsid w:val="009C5008"/>
    <w:rsid w:val="009C56FA"/>
    <w:rsid w:val="009C610B"/>
    <w:rsid w:val="009C6720"/>
    <w:rsid w:val="009C6854"/>
    <w:rsid w:val="009C6AEE"/>
    <w:rsid w:val="009C73B4"/>
    <w:rsid w:val="009C7D01"/>
    <w:rsid w:val="009D08AB"/>
    <w:rsid w:val="009D0A79"/>
    <w:rsid w:val="009D0DC9"/>
    <w:rsid w:val="009D0E5E"/>
    <w:rsid w:val="009D1045"/>
    <w:rsid w:val="009D197F"/>
    <w:rsid w:val="009D1C74"/>
    <w:rsid w:val="009D2729"/>
    <w:rsid w:val="009D27F8"/>
    <w:rsid w:val="009D283B"/>
    <w:rsid w:val="009D3166"/>
    <w:rsid w:val="009D317C"/>
    <w:rsid w:val="009D34D2"/>
    <w:rsid w:val="009D371D"/>
    <w:rsid w:val="009D3E01"/>
    <w:rsid w:val="009D3E8F"/>
    <w:rsid w:val="009D4892"/>
    <w:rsid w:val="009D4A9A"/>
    <w:rsid w:val="009D4BAE"/>
    <w:rsid w:val="009D4BFB"/>
    <w:rsid w:val="009D4CF8"/>
    <w:rsid w:val="009D579C"/>
    <w:rsid w:val="009D5AA6"/>
    <w:rsid w:val="009D5AB1"/>
    <w:rsid w:val="009D5B7E"/>
    <w:rsid w:val="009D6100"/>
    <w:rsid w:val="009D68ED"/>
    <w:rsid w:val="009D6D08"/>
    <w:rsid w:val="009D6E0C"/>
    <w:rsid w:val="009D70A8"/>
    <w:rsid w:val="009D75CF"/>
    <w:rsid w:val="009D7603"/>
    <w:rsid w:val="009D78C3"/>
    <w:rsid w:val="009D7BC3"/>
    <w:rsid w:val="009D7D77"/>
    <w:rsid w:val="009E0102"/>
    <w:rsid w:val="009E02B1"/>
    <w:rsid w:val="009E0732"/>
    <w:rsid w:val="009E076F"/>
    <w:rsid w:val="009E08BD"/>
    <w:rsid w:val="009E0B34"/>
    <w:rsid w:val="009E0CFF"/>
    <w:rsid w:val="009E1088"/>
    <w:rsid w:val="009E10DF"/>
    <w:rsid w:val="009E1BDB"/>
    <w:rsid w:val="009E20E3"/>
    <w:rsid w:val="009E2281"/>
    <w:rsid w:val="009E2C43"/>
    <w:rsid w:val="009E2CE1"/>
    <w:rsid w:val="009E2EC4"/>
    <w:rsid w:val="009E2F7F"/>
    <w:rsid w:val="009E3739"/>
    <w:rsid w:val="009E387A"/>
    <w:rsid w:val="009E3CBE"/>
    <w:rsid w:val="009E3CD5"/>
    <w:rsid w:val="009E43BA"/>
    <w:rsid w:val="009E46B8"/>
    <w:rsid w:val="009E4739"/>
    <w:rsid w:val="009E4A97"/>
    <w:rsid w:val="009E4B8E"/>
    <w:rsid w:val="009E4F88"/>
    <w:rsid w:val="009E6116"/>
    <w:rsid w:val="009E6314"/>
    <w:rsid w:val="009E68A9"/>
    <w:rsid w:val="009E6ABD"/>
    <w:rsid w:val="009E7630"/>
    <w:rsid w:val="009E7AA3"/>
    <w:rsid w:val="009F0074"/>
    <w:rsid w:val="009F020B"/>
    <w:rsid w:val="009F0547"/>
    <w:rsid w:val="009F0550"/>
    <w:rsid w:val="009F06F7"/>
    <w:rsid w:val="009F09DC"/>
    <w:rsid w:val="009F0AEE"/>
    <w:rsid w:val="009F1061"/>
    <w:rsid w:val="009F23EA"/>
    <w:rsid w:val="009F2A4C"/>
    <w:rsid w:val="009F3114"/>
    <w:rsid w:val="009F32C0"/>
    <w:rsid w:val="009F3A4D"/>
    <w:rsid w:val="009F4060"/>
    <w:rsid w:val="009F4098"/>
    <w:rsid w:val="009F4425"/>
    <w:rsid w:val="009F4451"/>
    <w:rsid w:val="009F4778"/>
    <w:rsid w:val="009F4EA9"/>
    <w:rsid w:val="009F51F6"/>
    <w:rsid w:val="009F5296"/>
    <w:rsid w:val="009F5621"/>
    <w:rsid w:val="009F5B73"/>
    <w:rsid w:val="009F6189"/>
    <w:rsid w:val="009F6312"/>
    <w:rsid w:val="009F65D5"/>
    <w:rsid w:val="009F6ABF"/>
    <w:rsid w:val="009F6BEF"/>
    <w:rsid w:val="009F728C"/>
    <w:rsid w:val="00A002F5"/>
    <w:rsid w:val="00A0077C"/>
    <w:rsid w:val="00A00A43"/>
    <w:rsid w:val="00A01BE5"/>
    <w:rsid w:val="00A01DF1"/>
    <w:rsid w:val="00A02483"/>
    <w:rsid w:val="00A034B4"/>
    <w:rsid w:val="00A036AD"/>
    <w:rsid w:val="00A0383D"/>
    <w:rsid w:val="00A03CD7"/>
    <w:rsid w:val="00A04E2D"/>
    <w:rsid w:val="00A05442"/>
    <w:rsid w:val="00A05725"/>
    <w:rsid w:val="00A05A50"/>
    <w:rsid w:val="00A05C21"/>
    <w:rsid w:val="00A0686F"/>
    <w:rsid w:val="00A06F63"/>
    <w:rsid w:val="00A07966"/>
    <w:rsid w:val="00A07F16"/>
    <w:rsid w:val="00A10038"/>
    <w:rsid w:val="00A11A90"/>
    <w:rsid w:val="00A12A05"/>
    <w:rsid w:val="00A12E5D"/>
    <w:rsid w:val="00A13CC0"/>
    <w:rsid w:val="00A13E68"/>
    <w:rsid w:val="00A144E2"/>
    <w:rsid w:val="00A14B93"/>
    <w:rsid w:val="00A15839"/>
    <w:rsid w:val="00A15BFD"/>
    <w:rsid w:val="00A15E20"/>
    <w:rsid w:val="00A1615E"/>
    <w:rsid w:val="00A167AB"/>
    <w:rsid w:val="00A16840"/>
    <w:rsid w:val="00A168DF"/>
    <w:rsid w:val="00A169B0"/>
    <w:rsid w:val="00A169BC"/>
    <w:rsid w:val="00A16A79"/>
    <w:rsid w:val="00A16A84"/>
    <w:rsid w:val="00A17192"/>
    <w:rsid w:val="00A17936"/>
    <w:rsid w:val="00A17D6C"/>
    <w:rsid w:val="00A17E1B"/>
    <w:rsid w:val="00A17FE1"/>
    <w:rsid w:val="00A20419"/>
    <w:rsid w:val="00A214FA"/>
    <w:rsid w:val="00A21554"/>
    <w:rsid w:val="00A21EAF"/>
    <w:rsid w:val="00A222DF"/>
    <w:rsid w:val="00A223DF"/>
    <w:rsid w:val="00A227FA"/>
    <w:rsid w:val="00A228CF"/>
    <w:rsid w:val="00A22E86"/>
    <w:rsid w:val="00A22FF0"/>
    <w:rsid w:val="00A242B3"/>
    <w:rsid w:val="00A242EC"/>
    <w:rsid w:val="00A2462C"/>
    <w:rsid w:val="00A24881"/>
    <w:rsid w:val="00A24D68"/>
    <w:rsid w:val="00A25542"/>
    <w:rsid w:val="00A258CD"/>
    <w:rsid w:val="00A261AE"/>
    <w:rsid w:val="00A264BB"/>
    <w:rsid w:val="00A264C5"/>
    <w:rsid w:val="00A2683B"/>
    <w:rsid w:val="00A26C55"/>
    <w:rsid w:val="00A272AC"/>
    <w:rsid w:val="00A27368"/>
    <w:rsid w:val="00A2756F"/>
    <w:rsid w:val="00A275DC"/>
    <w:rsid w:val="00A27827"/>
    <w:rsid w:val="00A27A8F"/>
    <w:rsid w:val="00A27CD8"/>
    <w:rsid w:val="00A27FAB"/>
    <w:rsid w:val="00A3015C"/>
    <w:rsid w:val="00A30EFC"/>
    <w:rsid w:val="00A30F0C"/>
    <w:rsid w:val="00A31206"/>
    <w:rsid w:val="00A31213"/>
    <w:rsid w:val="00A31703"/>
    <w:rsid w:val="00A31A65"/>
    <w:rsid w:val="00A32335"/>
    <w:rsid w:val="00A32ADA"/>
    <w:rsid w:val="00A32F4E"/>
    <w:rsid w:val="00A33FA3"/>
    <w:rsid w:val="00A34178"/>
    <w:rsid w:val="00A34558"/>
    <w:rsid w:val="00A346B8"/>
    <w:rsid w:val="00A3495A"/>
    <w:rsid w:val="00A34CB1"/>
    <w:rsid w:val="00A34ECF"/>
    <w:rsid w:val="00A34F2D"/>
    <w:rsid w:val="00A34F3E"/>
    <w:rsid w:val="00A355DB"/>
    <w:rsid w:val="00A35928"/>
    <w:rsid w:val="00A35C73"/>
    <w:rsid w:val="00A367F8"/>
    <w:rsid w:val="00A36AB8"/>
    <w:rsid w:val="00A36C94"/>
    <w:rsid w:val="00A37198"/>
    <w:rsid w:val="00A372AE"/>
    <w:rsid w:val="00A37308"/>
    <w:rsid w:val="00A376D2"/>
    <w:rsid w:val="00A377D1"/>
    <w:rsid w:val="00A37989"/>
    <w:rsid w:val="00A37CC7"/>
    <w:rsid w:val="00A37EB0"/>
    <w:rsid w:val="00A40254"/>
    <w:rsid w:val="00A405A0"/>
    <w:rsid w:val="00A409F1"/>
    <w:rsid w:val="00A40A3F"/>
    <w:rsid w:val="00A41DC2"/>
    <w:rsid w:val="00A422C2"/>
    <w:rsid w:val="00A4235E"/>
    <w:rsid w:val="00A42704"/>
    <w:rsid w:val="00A42B86"/>
    <w:rsid w:val="00A42F46"/>
    <w:rsid w:val="00A43671"/>
    <w:rsid w:val="00A43A8A"/>
    <w:rsid w:val="00A43BF9"/>
    <w:rsid w:val="00A441D8"/>
    <w:rsid w:val="00A442AD"/>
    <w:rsid w:val="00A44429"/>
    <w:rsid w:val="00A446E2"/>
    <w:rsid w:val="00A44822"/>
    <w:rsid w:val="00A448F9"/>
    <w:rsid w:val="00A453A4"/>
    <w:rsid w:val="00A459BA"/>
    <w:rsid w:val="00A4612C"/>
    <w:rsid w:val="00A46704"/>
    <w:rsid w:val="00A46DEA"/>
    <w:rsid w:val="00A47B15"/>
    <w:rsid w:val="00A5043B"/>
    <w:rsid w:val="00A5050E"/>
    <w:rsid w:val="00A509CC"/>
    <w:rsid w:val="00A511F9"/>
    <w:rsid w:val="00A51A5D"/>
    <w:rsid w:val="00A5208E"/>
    <w:rsid w:val="00A522D6"/>
    <w:rsid w:val="00A52745"/>
    <w:rsid w:val="00A528F1"/>
    <w:rsid w:val="00A529B4"/>
    <w:rsid w:val="00A52C86"/>
    <w:rsid w:val="00A52D08"/>
    <w:rsid w:val="00A52DBF"/>
    <w:rsid w:val="00A52E64"/>
    <w:rsid w:val="00A52F58"/>
    <w:rsid w:val="00A53656"/>
    <w:rsid w:val="00A53674"/>
    <w:rsid w:val="00A53CB5"/>
    <w:rsid w:val="00A53D85"/>
    <w:rsid w:val="00A53F99"/>
    <w:rsid w:val="00A53FA9"/>
    <w:rsid w:val="00A54DD0"/>
    <w:rsid w:val="00A54FC7"/>
    <w:rsid w:val="00A550F1"/>
    <w:rsid w:val="00A551FB"/>
    <w:rsid w:val="00A55209"/>
    <w:rsid w:val="00A55291"/>
    <w:rsid w:val="00A55332"/>
    <w:rsid w:val="00A559FF"/>
    <w:rsid w:val="00A55B55"/>
    <w:rsid w:val="00A55BE6"/>
    <w:rsid w:val="00A564DA"/>
    <w:rsid w:val="00A5652E"/>
    <w:rsid w:val="00A565DC"/>
    <w:rsid w:val="00A56AB0"/>
    <w:rsid w:val="00A56AEB"/>
    <w:rsid w:val="00A56C93"/>
    <w:rsid w:val="00A56EF8"/>
    <w:rsid w:val="00A5709B"/>
    <w:rsid w:val="00A570C0"/>
    <w:rsid w:val="00A5789D"/>
    <w:rsid w:val="00A6096E"/>
    <w:rsid w:val="00A60F53"/>
    <w:rsid w:val="00A61B6E"/>
    <w:rsid w:val="00A62160"/>
    <w:rsid w:val="00A629D7"/>
    <w:rsid w:val="00A62DA9"/>
    <w:rsid w:val="00A630C7"/>
    <w:rsid w:val="00A6331E"/>
    <w:rsid w:val="00A633BC"/>
    <w:rsid w:val="00A633BF"/>
    <w:rsid w:val="00A64078"/>
    <w:rsid w:val="00A6408B"/>
    <w:rsid w:val="00A64256"/>
    <w:rsid w:val="00A64876"/>
    <w:rsid w:val="00A64AE8"/>
    <w:rsid w:val="00A64CA8"/>
    <w:rsid w:val="00A65777"/>
    <w:rsid w:val="00A6587E"/>
    <w:rsid w:val="00A65883"/>
    <w:rsid w:val="00A659D5"/>
    <w:rsid w:val="00A65DAD"/>
    <w:rsid w:val="00A661C6"/>
    <w:rsid w:val="00A666F0"/>
    <w:rsid w:val="00A66865"/>
    <w:rsid w:val="00A669E2"/>
    <w:rsid w:val="00A66A0A"/>
    <w:rsid w:val="00A66A79"/>
    <w:rsid w:val="00A66BDD"/>
    <w:rsid w:val="00A6709F"/>
    <w:rsid w:val="00A67E5D"/>
    <w:rsid w:val="00A67EED"/>
    <w:rsid w:val="00A67FAD"/>
    <w:rsid w:val="00A70384"/>
    <w:rsid w:val="00A70663"/>
    <w:rsid w:val="00A706AE"/>
    <w:rsid w:val="00A70ACA"/>
    <w:rsid w:val="00A71086"/>
    <w:rsid w:val="00A71A3B"/>
    <w:rsid w:val="00A71AC5"/>
    <w:rsid w:val="00A71B2E"/>
    <w:rsid w:val="00A71B5D"/>
    <w:rsid w:val="00A71E82"/>
    <w:rsid w:val="00A72015"/>
    <w:rsid w:val="00A72065"/>
    <w:rsid w:val="00A72534"/>
    <w:rsid w:val="00A72CCB"/>
    <w:rsid w:val="00A732DA"/>
    <w:rsid w:val="00A73451"/>
    <w:rsid w:val="00A737DC"/>
    <w:rsid w:val="00A739BA"/>
    <w:rsid w:val="00A73C36"/>
    <w:rsid w:val="00A73C6D"/>
    <w:rsid w:val="00A743C0"/>
    <w:rsid w:val="00A74BE5"/>
    <w:rsid w:val="00A74F2D"/>
    <w:rsid w:val="00A75CED"/>
    <w:rsid w:val="00A7646E"/>
    <w:rsid w:val="00A765EA"/>
    <w:rsid w:val="00A76623"/>
    <w:rsid w:val="00A76837"/>
    <w:rsid w:val="00A76A23"/>
    <w:rsid w:val="00A76C3D"/>
    <w:rsid w:val="00A76D82"/>
    <w:rsid w:val="00A7711A"/>
    <w:rsid w:val="00A772BD"/>
    <w:rsid w:val="00A77B3C"/>
    <w:rsid w:val="00A80C48"/>
    <w:rsid w:val="00A80F3C"/>
    <w:rsid w:val="00A8115F"/>
    <w:rsid w:val="00A81785"/>
    <w:rsid w:val="00A81A62"/>
    <w:rsid w:val="00A8269B"/>
    <w:rsid w:val="00A82C32"/>
    <w:rsid w:val="00A82D28"/>
    <w:rsid w:val="00A83562"/>
    <w:rsid w:val="00A835B8"/>
    <w:rsid w:val="00A8370E"/>
    <w:rsid w:val="00A83B3A"/>
    <w:rsid w:val="00A83B7F"/>
    <w:rsid w:val="00A84358"/>
    <w:rsid w:val="00A84C74"/>
    <w:rsid w:val="00A854D8"/>
    <w:rsid w:val="00A8555F"/>
    <w:rsid w:val="00A855B4"/>
    <w:rsid w:val="00A85807"/>
    <w:rsid w:val="00A859A8"/>
    <w:rsid w:val="00A85BA9"/>
    <w:rsid w:val="00A85C69"/>
    <w:rsid w:val="00A85DFA"/>
    <w:rsid w:val="00A8669C"/>
    <w:rsid w:val="00A86EC5"/>
    <w:rsid w:val="00A87A21"/>
    <w:rsid w:val="00A87AE4"/>
    <w:rsid w:val="00A87D23"/>
    <w:rsid w:val="00A87FC0"/>
    <w:rsid w:val="00A9087C"/>
    <w:rsid w:val="00A90906"/>
    <w:rsid w:val="00A90BED"/>
    <w:rsid w:val="00A911ED"/>
    <w:rsid w:val="00A918D7"/>
    <w:rsid w:val="00A91C78"/>
    <w:rsid w:val="00A92747"/>
    <w:rsid w:val="00A930AE"/>
    <w:rsid w:val="00A935F4"/>
    <w:rsid w:val="00A938E3"/>
    <w:rsid w:val="00A93AB3"/>
    <w:rsid w:val="00A93D22"/>
    <w:rsid w:val="00A94CE0"/>
    <w:rsid w:val="00A95149"/>
    <w:rsid w:val="00A951C5"/>
    <w:rsid w:val="00A954C8"/>
    <w:rsid w:val="00A95867"/>
    <w:rsid w:val="00A95EDA"/>
    <w:rsid w:val="00A96289"/>
    <w:rsid w:val="00A96408"/>
    <w:rsid w:val="00A9662A"/>
    <w:rsid w:val="00A96A04"/>
    <w:rsid w:val="00A96CAF"/>
    <w:rsid w:val="00A96D7C"/>
    <w:rsid w:val="00A96E6F"/>
    <w:rsid w:val="00A96E74"/>
    <w:rsid w:val="00A96EC4"/>
    <w:rsid w:val="00A96FF5"/>
    <w:rsid w:val="00A9717F"/>
    <w:rsid w:val="00A9735C"/>
    <w:rsid w:val="00A97762"/>
    <w:rsid w:val="00A97DAD"/>
    <w:rsid w:val="00AA00EF"/>
    <w:rsid w:val="00AA0E4D"/>
    <w:rsid w:val="00AA10F4"/>
    <w:rsid w:val="00AA12B8"/>
    <w:rsid w:val="00AA1738"/>
    <w:rsid w:val="00AA1875"/>
    <w:rsid w:val="00AA1944"/>
    <w:rsid w:val="00AA1E11"/>
    <w:rsid w:val="00AA1F19"/>
    <w:rsid w:val="00AA2133"/>
    <w:rsid w:val="00AA27E8"/>
    <w:rsid w:val="00AA2A9C"/>
    <w:rsid w:val="00AA2C03"/>
    <w:rsid w:val="00AA2C6A"/>
    <w:rsid w:val="00AA2E2F"/>
    <w:rsid w:val="00AA394C"/>
    <w:rsid w:val="00AA3BD5"/>
    <w:rsid w:val="00AA3DFF"/>
    <w:rsid w:val="00AA427A"/>
    <w:rsid w:val="00AA4302"/>
    <w:rsid w:val="00AA4382"/>
    <w:rsid w:val="00AA4BD2"/>
    <w:rsid w:val="00AA4E4B"/>
    <w:rsid w:val="00AA5295"/>
    <w:rsid w:val="00AA5A7E"/>
    <w:rsid w:val="00AA5AF1"/>
    <w:rsid w:val="00AA5F22"/>
    <w:rsid w:val="00AA65AC"/>
    <w:rsid w:val="00AA6972"/>
    <w:rsid w:val="00AA766C"/>
    <w:rsid w:val="00AA7791"/>
    <w:rsid w:val="00AA79D9"/>
    <w:rsid w:val="00AA7BF9"/>
    <w:rsid w:val="00AA7ED5"/>
    <w:rsid w:val="00AB00AD"/>
    <w:rsid w:val="00AB06CE"/>
    <w:rsid w:val="00AB14F1"/>
    <w:rsid w:val="00AB1597"/>
    <w:rsid w:val="00AB1B6F"/>
    <w:rsid w:val="00AB1C7A"/>
    <w:rsid w:val="00AB1E02"/>
    <w:rsid w:val="00AB2CEA"/>
    <w:rsid w:val="00AB30F7"/>
    <w:rsid w:val="00AB310F"/>
    <w:rsid w:val="00AB3199"/>
    <w:rsid w:val="00AB37AF"/>
    <w:rsid w:val="00AB4DFD"/>
    <w:rsid w:val="00AB53D4"/>
    <w:rsid w:val="00AB542A"/>
    <w:rsid w:val="00AB552F"/>
    <w:rsid w:val="00AB5DB1"/>
    <w:rsid w:val="00AB613B"/>
    <w:rsid w:val="00AB6663"/>
    <w:rsid w:val="00AB72FF"/>
    <w:rsid w:val="00AB7F21"/>
    <w:rsid w:val="00AC0A1E"/>
    <w:rsid w:val="00AC0B53"/>
    <w:rsid w:val="00AC253E"/>
    <w:rsid w:val="00AC2A8A"/>
    <w:rsid w:val="00AC3259"/>
    <w:rsid w:val="00AC41D9"/>
    <w:rsid w:val="00AC4601"/>
    <w:rsid w:val="00AC474B"/>
    <w:rsid w:val="00AC4F4A"/>
    <w:rsid w:val="00AC532B"/>
    <w:rsid w:val="00AC5660"/>
    <w:rsid w:val="00AC5733"/>
    <w:rsid w:val="00AC5FAC"/>
    <w:rsid w:val="00AC61AC"/>
    <w:rsid w:val="00AC61F2"/>
    <w:rsid w:val="00AC6FDE"/>
    <w:rsid w:val="00AC7739"/>
    <w:rsid w:val="00AC78F3"/>
    <w:rsid w:val="00AC7A8D"/>
    <w:rsid w:val="00AC7BFF"/>
    <w:rsid w:val="00AC7D49"/>
    <w:rsid w:val="00AC7EDA"/>
    <w:rsid w:val="00AD02D5"/>
    <w:rsid w:val="00AD0828"/>
    <w:rsid w:val="00AD0D9F"/>
    <w:rsid w:val="00AD0DC7"/>
    <w:rsid w:val="00AD0DE2"/>
    <w:rsid w:val="00AD1018"/>
    <w:rsid w:val="00AD175B"/>
    <w:rsid w:val="00AD17E2"/>
    <w:rsid w:val="00AD1A4C"/>
    <w:rsid w:val="00AD1A65"/>
    <w:rsid w:val="00AD1CEA"/>
    <w:rsid w:val="00AD1D7F"/>
    <w:rsid w:val="00AD21E9"/>
    <w:rsid w:val="00AD2354"/>
    <w:rsid w:val="00AD25C1"/>
    <w:rsid w:val="00AD2774"/>
    <w:rsid w:val="00AD317A"/>
    <w:rsid w:val="00AD33B5"/>
    <w:rsid w:val="00AD3849"/>
    <w:rsid w:val="00AD4255"/>
    <w:rsid w:val="00AD42E9"/>
    <w:rsid w:val="00AD4618"/>
    <w:rsid w:val="00AD4FBC"/>
    <w:rsid w:val="00AD5876"/>
    <w:rsid w:val="00AD60BF"/>
    <w:rsid w:val="00AD6284"/>
    <w:rsid w:val="00AD6758"/>
    <w:rsid w:val="00AD6BEC"/>
    <w:rsid w:val="00AD6EC9"/>
    <w:rsid w:val="00AD7010"/>
    <w:rsid w:val="00AD7588"/>
    <w:rsid w:val="00AD7947"/>
    <w:rsid w:val="00AD79B5"/>
    <w:rsid w:val="00AD7CB7"/>
    <w:rsid w:val="00AD7E2D"/>
    <w:rsid w:val="00AE005C"/>
    <w:rsid w:val="00AE0126"/>
    <w:rsid w:val="00AE02D3"/>
    <w:rsid w:val="00AE0851"/>
    <w:rsid w:val="00AE08A7"/>
    <w:rsid w:val="00AE0A82"/>
    <w:rsid w:val="00AE0AC7"/>
    <w:rsid w:val="00AE0D2B"/>
    <w:rsid w:val="00AE18DE"/>
    <w:rsid w:val="00AE1B58"/>
    <w:rsid w:val="00AE224D"/>
    <w:rsid w:val="00AE23BF"/>
    <w:rsid w:val="00AE28F1"/>
    <w:rsid w:val="00AE2962"/>
    <w:rsid w:val="00AE3F75"/>
    <w:rsid w:val="00AE45DB"/>
    <w:rsid w:val="00AE4BE2"/>
    <w:rsid w:val="00AE4CBC"/>
    <w:rsid w:val="00AE4E09"/>
    <w:rsid w:val="00AE4E30"/>
    <w:rsid w:val="00AE4F3B"/>
    <w:rsid w:val="00AE5678"/>
    <w:rsid w:val="00AE56FD"/>
    <w:rsid w:val="00AE571C"/>
    <w:rsid w:val="00AE5F00"/>
    <w:rsid w:val="00AE6110"/>
    <w:rsid w:val="00AE6807"/>
    <w:rsid w:val="00AE695C"/>
    <w:rsid w:val="00AE6C72"/>
    <w:rsid w:val="00AE6E63"/>
    <w:rsid w:val="00AE70E7"/>
    <w:rsid w:val="00AE7481"/>
    <w:rsid w:val="00AE74B8"/>
    <w:rsid w:val="00AE7564"/>
    <w:rsid w:val="00AF0038"/>
    <w:rsid w:val="00AF077A"/>
    <w:rsid w:val="00AF10E3"/>
    <w:rsid w:val="00AF1644"/>
    <w:rsid w:val="00AF1A06"/>
    <w:rsid w:val="00AF1BE1"/>
    <w:rsid w:val="00AF1D52"/>
    <w:rsid w:val="00AF21F6"/>
    <w:rsid w:val="00AF2251"/>
    <w:rsid w:val="00AF265B"/>
    <w:rsid w:val="00AF2C41"/>
    <w:rsid w:val="00AF39BF"/>
    <w:rsid w:val="00AF3BED"/>
    <w:rsid w:val="00AF47FD"/>
    <w:rsid w:val="00AF4D6E"/>
    <w:rsid w:val="00AF5020"/>
    <w:rsid w:val="00AF517D"/>
    <w:rsid w:val="00AF51F1"/>
    <w:rsid w:val="00AF5375"/>
    <w:rsid w:val="00AF5551"/>
    <w:rsid w:val="00AF55DA"/>
    <w:rsid w:val="00AF568E"/>
    <w:rsid w:val="00AF5A1D"/>
    <w:rsid w:val="00AF5E2B"/>
    <w:rsid w:val="00AF6313"/>
    <w:rsid w:val="00AF6656"/>
    <w:rsid w:val="00AF6C9A"/>
    <w:rsid w:val="00AF6DB4"/>
    <w:rsid w:val="00AF7DF9"/>
    <w:rsid w:val="00AF7E73"/>
    <w:rsid w:val="00B003FC"/>
    <w:rsid w:val="00B00B0B"/>
    <w:rsid w:val="00B01049"/>
    <w:rsid w:val="00B01082"/>
    <w:rsid w:val="00B01276"/>
    <w:rsid w:val="00B01A27"/>
    <w:rsid w:val="00B02215"/>
    <w:rsid w:val="00B023D1"/>
    <w:rsid w:val="00B02765"/>
    <w:rsid w:val="00B03210"/>
    <w:rsid w:val="00B039E7"/>
    <w:rsid w:val="00B03D4F"/>
    <w:rsid w:val="00B04723"/>
    <w:rsid w:val="00B04932"/>
    <w:rsid w:val="00B04C83"/>
    <w:rsid w:val="00B05226"/>
    <w:rsid w:val="00B0535C"/>
    <w:rsid w:val="00B05968"/>
    <w:rsid w:val="00B059FF"/>
    <w:rsid w:val="00B05F8A"/>
    <w:rsid w:val="00B06088"/>
    <w:rsid w:val="00B0611C"/>
    <w:rsid w:val="00B061D4"/>
    <w:rsid w:val="00B06A3C"/>
    <w:rsid w:val="00B06DCE"/>
    <w:rsid w:val="00B072D3"/>
    <w:rsid w:val="00B07910"/>
    <w:rsid w:val="00B07C77"/>
    <w:rsid w:val="00B103E0"/>
    <w:rsid w:val="00B10A1E"/>
    <w:rsid w:val="00B10A4D"/>
    <w:rsid w:val="00B10B8F"/>
    <w:rsid w:val="00B10F4D"/>
    <w:rsid w:val="00B1117D"/>
    <w:rsid w:val="00B1178A"/>
    <w:rsid w:val="00B117E9"/>
    <w:rsid w:val="00B119CF"/>
    <w:rsid w:val="00B120B4"/>
    <w:rsid w:val="00B1217B"/>
    <w:rsid w:val="00B12A46"/>
    <w:rsid w:val="00B12C00"/>
    <w:rsid w:val="00B13414"/>
    <w:rsid w:val="00B1368D"/>
    <w:rsid w:val="00B13A0B"/>
    <w:rsid w:val="00B13D06"/>
    <w:rsid w:val="00B13EE4"/>
    <w:rsid w:val="00B1436F"/>
    <w:rsid w:val="00B144E3"/>
    <w:rsid w:val="00B145EA"/>
    <w:rsid w:val="00B14ADA"/>
    <w:rsid w:val="00B14DBC"/>
    <w:rsid w:val="00B14F62"/>
    <w:rsid w:val="00B154AB"/>
    <w:rsid w:val="00B15764"/>
    <w:rsid w:val="00B15AAF"/>
    <w:rsid w:val="00B16995"/>
    <w:rsid w:val="00B169F6"/>
    <w:rsid w:val="00B16A02"/>
    <w:rsid w:val="00B16CAD"/>
    <w:rsid w:val="00B16DAF"/>
    <w:rsid w:val="00B171C4"/>
    <w:rsid w:val="00B171DA"/>
    <w:rsid w:val="00B172E9"/>
    <w:rsid w:val="00B17784"/>
    <w:rsid w:val="00B178F8"/>
    <w:rsid w:val="00B179F3"/>
    <w:rsid w:val="00B17A40"/>
    <w:rsid w:val="00B17C2E"/>
    <w:rsid w:val="00B17C7D"/>
    <w:rsid w:val="00B17E6A"/>
    <w:rsid w:val="00B2088D"/>
    <w:rsid w:val="00B20A05"/>
    <w:rsid w:val="00B21031"/>
    <w:rsid w:val="00B211DB"/>
    <w:rsid w:val="00B216BD"/>
    <w:rsid w:val="00B21EBF"/>
    <w:rsid w:val="00B2248B"/>
    <w:rsid w:val="00B23190"/>
    <w:rsid w:val="00B2330E"/>
    <w:rsid w:val="00B23408"/>
    <w:rsid w:val="00B237A1"/>
    <w:rsid w:val="00B23D1C"/>
    <w:rsid w:val="00B24BCE"/>
    <w:rsid w:val="00B256A5"/>
    <w:rsid w:val="00B256F3"/>
    <w:rsid w:val="00B25825"/>
    <w:rsid w:val="00B26268"/>
    <w:rsid w:val="00B26403"/>
    <w:rsid w:val="00B2657F"/>
    <w:rsid w:val="00B269BF"/>
    <w:rsid w:val="00B26A44"/>
    <w:rsid w:val="00B27896"/>
    <w:rsid w:val="00B27D33"/>
    <w:rsid w:val="00B27ED3"/>
    <w:rsid w:val="00B3053E"/>
    <w:rsid w:val="00B30912"/>
    <w:rsid w:val="00B30CD1"/>
    <w:rsid w:val="00B31364"/>
    <w:rsid w:val="00B314D5"/>
    <w:rsid w:val="00B3191F"/>
    <w:rsid w:val="00B32582"/>
    <w:rsid w:val="00B32722"/>
    <w:rsid w:val="00B33F98"/>
    <w:rsid w:val="00B342ED"/>
    <w:rsid w:val="00B345AC"/>
    <w:rsid w:val="00B34C0A"/>
    <w:rsid w:val="00B34C3E"/>
    <w:rsid w:val="00B35040"/>
    <w:rsid w:val="00B3564C"/>
    <w:rsid w:val="00B356C8"/>
    <w:rsid w:val="00B3586D"/>
    <w:rsid w:val="00B35A43"/>
    <w:rsid w:val="00B35C92"/>
    <w:rsid w:val="00B36967"/>
    <w:rsid w:val="00B36A7C"/>
    <w:rsid w:val="00B36F0E"/>
    <w:rsid w:val="00B3706A"/>
    <w:rsid w:val="00B3727E"/>
    <w:rsid w:val="00B37405"/>
    <w:rsid w:val="00B37685"/>
    <w:rsid w:val="00B378CC"/>
    <w:rsid w:val="00B37A29"/>
    <w:rsid w:val="00B37D59"/>
    <w:rsid w:val="00B40ED3"/>
    <w:rsid w:val="00B4117B"/>
    <w:rsid w:val="00B419BB"/>
    <w:rsid w:val="00B41C7C"/>
    <w:rsid w:val="00B4205D"/>
    <w:rsid w:val="00B42D52"/>
    <w:rsid w:val="00B43865"/>
    <w:rsid w:val="00B44BB9"/>
    <w:rsid w:val="00B44D93"/>
    <w:rsid w:val="00B44F0B"/>
    <w:rsid w:val="00B45257"/>
    <w:rsid w:val="00B45657"/>
    <w:rsid w:val="00B45888"/>
    <w:rsid w:val="00B458C3"/>
    <w:rsid w:val="00B45D51"/>
    <w:rsid w:val="00B45EF8"/>
    <w:rsid w:val="00B465EA"/>
    <w:rsid w:val="00B4660B"/>
    <w:rsid w:val="00B467D8"/>
    <w:rsid w:val="00B46E0C"/>
    <w:rsid w:val="00B472D8"/>
    <w:rsid w:val="00B475B8"/>
    <w:rsid w:val="00B475EA"/>
    <w:rsid w:val="00B47727"/>
    <w:rsid w:val="00B479CD"/>
    <w:rsid w:val="00B47AC9"/>
    <w:rsid w:val="00B47F23"/>
    <w:rsid w:val="00B51118"/>
    <w:rsid w:val="00B515C1"/>
    <w:rsid w:val="00B517D0"/>
    <w:rsid w:val="00B51942"/>
    <w:rsid w:val="00B51B5B"/>
    <w:rsid w:val="00B51C79"/>
    <w:rsid w:val="00B520EC"/>
    <w:rsid w:val="00B5299C"/>
    <w:rsid w:val="00B531B2"/>
    <w:rsid w:val="00B53344"/>
    <w:rsid w:val="00B53661"/>
    <w:rsid w:val="00B53BDF"/>
    <w:rsid w:val="00B542E1"/>
    <w:rsid w:val="00B5474D"/>
    <w:rsid w:val="00B5559B"/>
    <w:rsid w:val="00B559BD"/>
    <w:rsid w:val="00B55FE8"/>
    <w:rsid w:val="00B5611D"/>
    <w:rsid w:val="00B56EEA"/>
    <w:rsid w:val="00B57565"/>
    <w:rsid w:val="00B57654"/>
    <w:rsid w:val="00B578AF"/>
    <w:rsid w:val="00B601FC"/>
    <w:rsid w:val="00B6027F"/>
    <w:rsid w:val="00B602D4"/>
    <w:rsid w:val="00B60427"/>
    <w:rsid w:val="00B604F0"/>
    <w:rsid w:val="00B608C2"/>
    <w:rsid w:val="00B60B52"/>
    <w:rsid w:val="00B60DBD"/>
    <w:rsid w:val="00B610A1"/>
    <w:rsid w:val="00B61451"/>
    <w:rsid w:val="00B616C4"/>
    <w:rsid w:val="00B626B7"/>
    <w:rsid w:val="00B62951"/>
    <w:rsid w:val="00B63B89"/>
    <w:rsid w:val="00B64B12"/>
    <w:rsid w:val="00B64E1D"/>
    <w:rsid w:val="00B6547F"/>
    <w:rsid w:val="00B65679"/>
    <w:rsid w:val="00B667D1"/>
    <w:rsid w:val="00B66ABF"/>
    <w:rsid w:val="00B66C2C"/>
    <w:rsid w:val="00B66C7E"/>
    <w:rsid w:val="00B66C8C"/>
    <w:rsid w:val="00B66EE0"/>
    <w:rsid w:val="00B670A0"/>
    <w:rsid w:val="00B670F7"/>
    <w:rsid w:val="00B6734B"/>
    <w:rsid w:val="00B6740B"/>
    <w:rsid w:val="00B674C2"/>
    <w:rsid w:val="00B70101"/>
    <w:rsid w:val="00B706C4"/>
    <w:rsid w:val="00B70763"/>
    <w:rsid w:val="00B70E5B"/>
    <w:rsid w:val="00B7132F"/>
    <w:rsid w:val="00B713C0"/>
    <w:rsid w:val="00B714C6"/>
    <w:rsid w:val="00B71914"/>
    <w:rsid w:val="00B71AA6"/>
    <w:rsid w:val="00B71B0D"/>
    <w:rsid w:val="00B71D18"/>
    <w:rsid w:val="00B71E3D"/>
    <w:rsid w:val="00B71E7F"/>
    <w:rsid w:val="00B71F19"/>
    <w:rsid w:val="00B7214F"/>
    <w:rsid w:val="00B721C3"/>
    <w:rsid w:val="00B724B3"/>
    <w:rsid w:val="00B7290D"/>
    <w:rsid w:val="00B72980"/>
    <w:rsid w:val="00B72D4C"/>
    <w:rsid w:val="00B730BC"/>
    <w:rsid w:val="00B735F5"/>
    <w:rsid w:val="00B74E3E"/>
    <w:rsid w:val="00B75102"/>
    <w:rsid w:val="00B754D7"/>
    <w:rsid w:val="00B75657"/>
    <w:rsid w:val="00B756CB"/>
    <w:rsid w:val="00B75880"/>
    <w:rsid w:val="00B75C94"/>
    <w:rsid w:val="00B760B0"/>
    <w:rsid w:val="00B7684B"/>
    <w:rsid w:val="00B76E86"/>
    <w:rsid w:val="00B76F06"/>
    <w:rsid w:val="00B7714A"/>
    <w:rsid w:val="00B77176"/>
    <w:rsid w:val="00B77324"/>
    <w:rsid w:val="00B775A8"/>
    <w:rsid w:val="00B77E07"/>
    <w:rsid w:val="00B800C8"/>
    <w:rsid w:val="00B800D1"/>
    <w:rsid w:val="00B80106"/>
    <w:rsid w:val="00B80467"/>
    <w:rsid w:val="00B8095A"/>
    <w:rsid w:val="00B80DAE"/>
    <w:rsid w:val="00B80EA0"/>
    <w:rsid w:val="00B8151E"/>
    <w:rsid w:val="00B81786"/>
    <w:rsid w:val="00B81CC0"/>
    <w:rsid w:val="00B82506"/>
    <w:rsid w:val="00B82788"/>
    <w:rsid w:val="00B82CB7"/>
    <w:rsid w:val="00B833F2"/>
    <w:rsid w:val="00B838F9"/>
    <w:rsid w:val="00B83B1F"/>
    <w:rsid w:val="00B83B7B"/>
    <w:rsid w:val="00B83D43"/>
    <w:rsid w:val="00B83DA4"/>
    <w:rsid w:val="00B84808"/>
    <w:rsid w:val="00B84827"/>
    <w:rsid w:val="00B84CB7"/>
    <w:rsid w:val="00B84E7F"/>
    <w:rsid w:val="00B84EBC"/>
    <w:rsid w:val="00B85376"/>
    <w:rsid w:val="00B855DF"/>
    <w:rsid w:val="00B8567B"/>
    <w:rsid w:val="00B85EA3"/>
    <w:rsid w:val="00B864EE"/>
    <w:rsid w:val="00B86A0A"/>
    <w:rsid w:val="00B86EA6"/>
    <w:rsid w:val="00B87290"/>
    <w:rsid w:val="00B872D0"/>
    <w:rsid w:val="00B87988"/>
    <w:rsid w:val="00B87A57"/>
    <w:rsid w:val="00B87A8A"/>
    <w:rsid w:val="00B87B41"/>
    <w:rsid w:val="00B87C20"/>
    <w:rsid w:val="00B90369"/>
    <w:rsid w:val="00B90715"/>
    <w:rsid w:val="00B90A08"/>
    <w:rsid w:val="00B90F75"/>
    <w:rsid w:val="00B914B7"/>
    <w:rsid w:val="00B92177"/>
    <w:rsid w:val="00B923A8"/>
    <w:rsid w:val="00B92ECF"/>
    <w:rsid w:val="00B9324B"/>
    <w:rsid w:val="00B93C51"/>
    <w:rsid w:val="00B943AF"/>
    <w:rsid w:val="00B944A9"/>
    <w:rsid w:val="00B9453A"/>
    <w:rsid w:val="00B950BE"/>
    <w:rsid w:val="00B953E1"/>
    <w:rsid w:val="00B95770"/>
    <w:rsid w:val="00B95D99"/>
    <w:rsid w:val="00B95E14"/>
    <w:rsid w:val="00B96666"/>
    <w:rsid w:val="00B96830"/>
    <w:rsid w:val="00B96B4F"/>
    <w:rsid w:val="00B96CA2"/>
    <w:rsid w:val="00B96F13"/>
    <w:rsid w:val="00B9773D"/>
    <w:rsid w:val="00BA01A6"/>
    <w:rsid w:val="00BA059F"/>
    <w:rsid w:val="00BA0704"/>
    <w:rsid w:val="00BA0853"/>
    <w:rsid w:val="00BA0C1D"/>
    <w:rsid w:val="00BA0C89"/>
    <w:rsid w:val="00BA0FC2"/>
    <w:rsid w:val="00BA146E"/>
    <w:rsid w:val="00BA1A24"/>
    <w:rsid w:val="00BA1A72"/>
    <w:rsid w:val="00BA1CFA"/>
    <w:rsid w:val="00BA1D6F"/>
    <w:rsid w:val="00BA1ECD"/>
    <w:rsid w:val="00BA2184"/>
    <w:rsid w:val="00BA2AFE"/>
    <w:rsid w:val="00BA338D"/>
    <w:rsid w:val="00BA36C2"/>
    <w:rsid w:val="00BA45EA"/>
    <w:rsid w:val="00BA45EF"/>
    <w:rsid w:val="00BA4996"/>
    <w:rsid w:val="00BA4C6C"/>
    <w:rsid w:val="00BA4C73"/>
    <w:rsid w:val="00BA4D59"/>
    <w:rsid w:val="00BA4D7B"/>
    <w:rsid w:val="00BA4DD3"/>
    <w:rsid w:val="00BA52C3"/>
    <w:rsid w:val="00BA583D"/>
    <w:rsid w:val="00BA5AC7"/>
    <w:rsid w:val="00BA5F8C"/>
    <w:rsid w:val="00BA6513"/>
    <w:rsid w:val="00BA6723"/>
    <w:rsid w:val="00BA719A"/>
    <w:rsid w:val="00BA72D2"/>
    <w:rsid w:val="00BA7AA3"/>
    <w:rsid w:val="00BB01F1"/>
    <w:rsid w:val="00BB0301"/>
    <w:rsid w:val="00BB0605"/>
    <w:rsid w:val="00BB0D3B"/>
    <w:rsid w:val="00BB0E7C"/>
    <w:rsid w:val="00BB0F65"/>
    <w:rsid w:val="00BB12D0"/>
    <w:rsid w:val="00BB1B80"/>
    <w:rsid w:val="00BB1C61"/>
    <w:rsid w:val="00BB2699"/>
    <w:rsid w:val="00BB2996"/>
    <w:rsid w:val="00BB2BEE"/>
    <w:rsid w:val="00BB3515"/>
    <w:rsid w:val="00BB3844"/>
    <w:rsid w:val="00BB3E0C"/>
    <w:rsid w:val="00BB4194"/>
    <w:rsid w:val="00BB4CC1"/>
    <w:rsid w:val="00BB5068"/>
    <w:rsid w:val="00BB5440"/>
    <w:rsid w:val="00BB55C3"/>
    <w:rsid w:val="00BB5850"/>
    <w:rsid w:val="00BB5BE2"/>
    <w:rsid w:val="00BB5CB9"/>
    <w:rsid w:val="00BB5E21"/>
    <w:rsid w:val="00BB6C75"/>
    <w:rsid w:val="00BB707B"/>
    <w:rsid w:val="00BB7086"/>
    <w:rsid w:val="00BB7767"/>
    <w:rsid w:val="00BB7BD5"/>
    <w:rsid w:val="00BB7E22"/>
    <w:rsid w:val="00BC0424"/>
    <w:rsid w:val="00BC0EC3"/>
    <w:rsid w:val="00BC11C9"/>
    <w:rsid w:val="00BC12CA"/>
    <w:rsid w:val="00BC15A3"/>
    <w:rsid w:val="00BC1987"/>
    <w:rsid w:val="00BC1E6D"/>
    <w:rsid w:val="00BC2105"/>
    <w:rsid w:val="00BC29A0"/>
    <w:rsid w:val="00BC2D27"/>
    <w:rsid w:val="00BC2E86"/>
    <w:rsid w:val="00BC3685"/>
    <w:rsid w:val="00BC4648"/>
    <w:rsid w:val="00BC4B86"/>
    <w:rsid w:val="00BC574C"/>
    <w:rsid w:val="00BC5A70"/>
    <w:rsid w:val="00BC5BDD"/>
    <w:rsid w:val="00BC5CB5"/>
    <w:rsid w:val="00BC5DB2"/>
    <w:rsid w:val="00BC667D"/>
    <w:rsid w:val="00BC6E56"/>
    <w:rsid w:val="00BC728A"/>
    <w:rsid w:val="00BC7330"/>
    <w:rsid w:val="00BC73B4"/>
    <w:rsid w:val="00BC7BCB"/>
    <w:rsid w:val="00BD0927"/>
    <w:rsid w:val="00BD0AD4"/>
    <w:rsid w:val="00BD0B93"/>
    <w:rsid w:val="00BD0F71"/>
    <w:rsid w:val="00BD10A0"/>
    <w:rsid w:val="00BD11BA"/>
    <w:rsid w:val="00BD17D3"/>
    <w:rsid w:val="00BD193E"/>
    <w:rsid w:val="00BD1C37"/>
    <w:rsid w:val="00BD1E28"/>
    <w:rsid w:val="00BD1EE6"/>
    <w:rsid w:val="00BD1F61"/>
    <w:rsid w:val="00BD20E1"/>
    <w:rsid w:val="00BD254B"/>
    <w:rsid w:val="00BD29D8"/>
    <w:rsid w:val="00BD3319"/>
    <w:rsid w:val="00BD39B3"/>
    <w:rsid w:val="00BD3E02"/>
    <w:rsid w:val="00BD3F6C"/>
    <w:rsid w:val="00BD4350"/>
    <w:rsid w:val="00BD43C4"/>
    <w:rsid w:val="00BD44E5"/>
    <w:rsid w:val="00BD4D7C"/>
    <w:rsid w:val="00BD4E14"/>
    <w:rsid w:val="00BD51D4"/>
    <w:rsid w:val="00BD54C6"/>
    <w:rsid w:val="00BD5FE9"/>
    <w:rsid w:val="00BD62DC"/>
    <w:rsid w:val="00BD7174"/>
    <w:rsid w:val="00BD74D9"/>
    <w:rsid w:val="00BD775B"/>
    <w:rsid w:val="00BD79DD"/>
    <w:rsid w:val="00BE08AF"/>
    <w:rsid w:val="00BE0AC5"/>
    <w:rsid w:val="00BE0D3C"/>
    <w:rsid w:val="00BE2786"/>
    <w:rsid w:val="00BE2912"/>
    <w:rsid w:val="00BE3628"/>
    <w:rsid w:val="00BE3736"/>
    <w:rsid w:val="00BE378A"/>
    <w:rsid w:val="00BE3C01"/>
    <w:rsid w:val="00BE3F0C"/>
    <w:rsid w:val="00BE41B5"/>
    <w:rsid w:val="00BE45F5"/>
    <w:rsid w:val="00BE47D9"/>
    <w:rsid w:val="00BE49A4"/>
    <w:rsid w:val="00BE49B2"/>
    <w:rsid w:val="00BE4C33"/>
    <w:rsid w:val="00BE4F1A"/>
    <w:rsid w:val="00BE53D2"/>
    <w:rsid w:val="00BE55C8"/>
    <w:rsid w:val="00BE57E0"/>
    <w:rsid w:val="00BE5FBA"/>
    <w:rsid w:val="00BE5FCD"/>
    <w:rsid w:val="00BE60D9"/>
    <w:rsid w:val="00BE6701"/>
    <w:rsid w:val="00BE7EB2"/>
    <w:rsid w:val="00BF086B"/>
    <w:rsid w:val="00BF098A"/>
    <w:rsid w:val="00BF098C"/>
    <w:rsid w:val="00BF15A5"/>
    <w:rsid w:val="00BF1B76"/>
    <w:rsid w:val="00BF2536"/>
    <w:rsid w:val="00BF2B3C"/>
    <w:rsid w:val="00BF2E91"/>
    <w:rsid w:val="00BF2EC4"/>
    <w:rsid w:val="00BF330F"/>
    <w:rsid w:val="00BF3FE9"/>
    <w:rsid w:val="00BF43B4"/>
    <w:rsid w:val="00BF49DD"/>
    <w:rsid w:val="00BF509B"/>
    <w:rsid w:val="00BF5298"/>
    <w:rsid w:val="00BF5513"/>
    <w:rsid w:val="00BF5A04"/>
    <w:rsid w:val="00BF5AD6"/>
    <w:rsid w:val="00BF5BDD"/>
    <w:rsid w:val="00BF5BE4"/>
    <w:rsid w:val="00BF632E"/>
    <w:rsid w:val="00BF65FA"/>
    <w:rsid w:val="00BF6D2F"/>
    <w:rsid w:val="00BF7164"/>
    <w:rsid w:val="00BF77C1"/>
    <w:rsid w:val="00BF79D9"/>
    <w:rsid w:val="00BF7CEC"/>
    <w:rsid w:val="00C00C61"/>
    <w:rsid w:val="00C01FAD"/>
    <w:rsid w:val="00C02350"/>
    <w:rsid w:val="00C02403"/>
    <w:rsid w:val="00C02932"/>
    <w:rsid w:val="00C0298E"/>
    <w:rsid w:val="00C02DB5"/>
    <w:rsid w:val="00C035B9"/>
    <w:rsid w:val="00C0400E"/>
    <w:rsid w:val="00C0433C"/>
    <w:rsid w:val="00C04E41"/>
    <w:rsid w:val="00C052F5"/>
    <w:rsid w:val="00C0545C"/>
    <w:rsid w:val="00C056CA"/>
    <w:rsid w:val="00C05731"/>
    <w:rsid w:val="00C06384"/>
    <w:rsid w:val="00C075A6"/>
    <w:rsid w:val="00C0787A"/>
    <w:rsid w:val="00C07884"/>
    <w:rsid w:val="00C10426"/>
    <w:rsid w:val="00C10C77"/>
    <w:rsid w:val="00C10E9E"/>
    <w:rsid w:val="00C10EEF"/>
    <w:rsid w:val="00C11476"/>
    <w:rsid w:val="00C11719"/>
    <w:rsid w:val="00C11D8A"/>
    <w:rsid w:val="00C120FE"/>
    <w:rsid w:val="00C122E7"/>
    <w:rsid w:val="00C12739"/>
    <w:rsid w:val="00C12869"/>
    <w:rsid w:val="00C13379"/>
    <w:rsid w:val="00C13753"/>
    <w:rsid w:val="00C13DDF"/>
    <w:rsid w:val="00C13FC2"/>
    <w:rsid w:val="00C14105"/>
    <w:rsid w:val="00C14386"/>
    <w:rsid w:val="00C150EA"/>
    <w:rsid w:val="00C153AE"/>
    <w:rsid w:val="00C162DD"/>
    <w:rsid w:val="00C164E4"/>
    <w:rsid w:val="00C16790"/>
    <w:rsid w:val="00C16981"/>
    <w:rsid w:val="00C16A02"/>
    <w:rsid w:val="00C16E6E"/>
    <w:rsid w:val="00C174AF"/>
    <w:rsid w:val="00C20E87"/>
    <w:rsid w:val="00C20F9A"/>
    <w:rsid w:val="00C210A0"/>
    <w:rsid w:val="00C21AE8"/>
    <w:rsid w:val="00C21C15"/>
    <w:rsid w:val="00C2212E"/>
    <w:rsid w:val="00C22192"/>
    <w:rsid w:val="00C22414"/>
    <w:rsid w:val="00C22507"/>
    <w:rsid w:val="00C22D51"/>
    <w:rsid w:val="00C23004"/>
    <w:rsid w:val="00C230F8"/>
    <w:rsid w:val="00C2347A"/>
    <w:rsid w:val="00C23687"/>
    <w:rsid w:val="00C2390F"/>
    <w:rsid w:val="00C23D9A"/>
    <w:rsid w:val="00C23FE0"/>
    <w:rsid w:val="00C24340"/>
    <w:rsid w:val="00C244F2"/>
    <w:rsid w:val="00C24B10"/>
    <w:rsid w:val="00C250F7"/>
    <w:rsid w:val="00C256EB"/>
    <w:rsid w:val="00C257FA"/>
    <w:rsid w:val="00C2587A"/>
    <w:rsid w:val="00C25D6D"/>
    <w:rsid w:val="00C26AED"/>
    <w:rsid w:val="00C26D0A"/>
    <w:rsid w:val="00C26DCB"/>
    <w:rsid w:val="00C2727E"/>
    <w:rsid w:val="00C275DC"/>
    <w:rsid w:val="00C2782D"/>
    <w:rsid w:val="00C279EA"/>
    <w:rsid w:val="00C27A68"/>
    <w:rsid w:val="00C27E92"/>
    <w:rsid w:val="00C30170"/>
    <w:rsid w:val="00C3047F"/>
    <w:rsid w:val="00C3136B"/>
    <w:rsid w:val="00C31539"/>
    <w:rsid w:val="00C316A8"/>
    <w:rsid w:val="00C3222C"/>
    <w:rsid w:val="00C3272F"/>
    <w:rsid w:val="00C3290E"/>
    <w:rsid w:val="00C32B54"/>
    <w:rsid w:val="00C32D52"/>
    <w:rsid w:val="00C32E26"/>
    <w:rsid w:val="00C330AC"/>
    <w:rsid w:val="00C33827"/>
    <w:rsid w:val="00C33C59"/>
    <w:rsid w:val="00C33E16"/>
    <w:rsid w:val="00C33FC5"/>
    <w:rsid w:val="00C341C7"/>
    <w:rsid w:val="00C34315"/>
    <w:rsid w:val="00C343BC"/>
    <w:rsid w:val="00C348D9"/>
    <w:rsid w:val="00C348EB"/>
    <w:rsid w:val="00C34953"/>
    <w:rsid w:val="00C349FB"/>
    <w:rsid w:val="00C35607"/>
    <w:rsid w:val="00C35A8E"/>
    <w:rsid w:val="00C369B4"/>
    <w:rsid w:val="00C36AAB"/>
    <w:rsid w:val="00C36B2C"/>
    <w:rsid w:val="00C36EFC"/>
    <w:rsid w:val="00C36FD5"/>
    <w:rsid w:val="00C3717B"/>
    <w:rsid w:val="00C3764A"/>
    <w:rsid w:val="00C401DC"/>
    <w:rsid w:val="00C4043F"/>
    <w:rsid w:val="00C404FA"/>
    <w:rsid w:val="00C4074C"/>
    <w:rsid w:val="00C407BB"/>
    <w:rsid w:val="00C40803"/>
    <w:rsid w:val="00C409A7"/>
    <w:rsid w:val="00C40E32"/>
    <w:rsid w:val="00C4142D"/>
    <w:rsid w:val="00C41720"/>
    <w:rsid w:val="00C4193F"/>
    <w:rsid w:val="00C41F9D"/>
    <w:rsid w:val="00C41FCE"/>
    <w:rsid w:val="00C42232"/>
    <w:rsid w:val="00C42377"/>
    <w:rsid w:val="00C424DA"/>
    <w:rsid w:val="00C4277D"/>
    <w:rsid w:val="00C42C34"/>
    <w:rsid w:val="00C43151"/>
    <w:rsid w:val="00C4339F"/>
    <w:rsid w:val="00C43C0C"/>
    <w:rsid w:val="00C43C2B"/>
    <w:rsid w:val="00C43D34"/>
    <w:rsid w:val="00C440B9"/>
    <w:rsid w:val="00C44386"/>
    <w:rsid w:val="00C4448E"/>
    <w:rsid w:val="00C44BF0"/>
    <w:rsid w:val="00C451FD"/>
    <w:rsid w:val="00C45701"/>
    <w:rsid w:val="00C45F1C"/>
    <w:rsid w:val="00C46F4B"/>
    <w:rsid w:val="00C470E2"/>
    <w:rsid w:val="00C478B9"/>
    <w:rsid w:val="00C47F20"/>
    <w:rsid w:val="00C5011D"/>
    <w:rsid w:val="00C50171"/>
    <w:rsid w:val="00C50389"/>
    <w:rsid w:val="00C505EF"/>
    <w:rsid w:val="00C50C8D"/>
    <w:rsid w:val="00C50D22"/>
    <w:rsid w:val="00C510A6"/>
    <w:rsid w:val="00C51EC0"/>
    <w:rsid w:val="00C52928"/>
    <w:rsid w:val="00C529A3"/>
    <w:rsid w:val="00C52C68"/>
    <w:rsid w:val="00C5326E"/>
    <w:rsid w:val="00C53DAD"/>
    <w:rsid w:val="00C54190"/>
    <w:rsid w:val="00C5461C"/>
    <w:rsid w:val="00C552F9"/>
    <w:rsid w:val="00C5556B"/>
    <w:rsid w:val="00C5574F"/>
    <w:rsid w:val="00C5597D"/>
    <w:rsid w:val="00C55B5F"/>
    <w:rsid w:val="00C55BCE"/>
    <w:rsid w:val="00C56161"/>
    <w:rsid w:val="00C5650C"/>
    <w:rsid w:val="00C569CA"/>
    <w:rsid w:val="00C56B19"/>
    <w:rsid w:val="00C57888"/>
    <w:rsid w:val="00C57AAF"/>
    <w:rsid w:val="00C57BDC"/>
    <w:rsid w:val="00C60803"/>
    <w:rsid w:val="00C60C43"/>
    <w:rsid w:val="00C616F7"/>
    <w:rsid w:val="00C621D0"/>
    <w:rsid w:val="00C626A5"/>
    <w:rsid w:val="00C627A5"/>
    <w:rsid w:val="00C628D1"/>
    <w:rsid w:val="00C63099"/>
    <w:rsid w:val="00C63284"/>
    <w:rsid w:val="00C63833"/>
    <w:rsid w:val="00C638E3"/>
    <w:rsid w:val="00C63C9D"/>
    <w:rsid w:val="00C63D93"/>
    <w:rsid w:val="00C64373"/>
    <w:rsid w:val="00C64F19"/>
    <w:rsid w:val="00C65AA0"/>
    <w:rsid w:val="00C66529"/>
    <w:rsid w:val="00C667C3"/>
    <w:rsid w:val="00C6690E"/>
    <w:rsid w:val="00C6730F"/>
    <w:rsid w:val="00C67391"/>
    <w:rsid w:val="00C677FC"/>
    <w:rsid w:val="00C67CB4"/>
    <w:rsid w:val="00C70D04"/>
    <w:rsid w:val="00C710F2"/>
    <w:rsid w:val="00C71167"/>
    <w:rsid w:val="00C7147B"/>
    <w:rsid w:val="00C71EE0"/>
    <w:rsid w:val="00C71F14"/>
    <w:rsid w:val="00C724DB"/>
    <w:rsid w:val="00C72768"/>
    <w:rsid w:val="00C72CB2"/>
    <w:rsid w:val="00C732A4"/>
    <w:rsid w:val="00C737D9"/>
    <w:rsid w:val="00C73A00"/>
    <w:rsid w:val="00C73E0C"/>
    <w:rsid w:val="00C73E8C"/>
    <w:rsid w:val="00C74538"/>
    <w:rsid w:val="00C745DF"/>
    <w:rsid w:val="00C74EEB"/>
    <w:rsid w:val="00C75143"/>
    <w:rsid w:val="00C7532A"/>
    <w:rsid w:val="00C7569D"/>
    <w:rsid w:val="00C75C3C"/>
    <w:rsid w:val="00C7622D"/>
    <w:rsid w:val="00C767B8"/>
    <w:rsid w:val="00C7696A"/>
    <w:rsid w:val="00C76B6A"/>
    <w:rsid w:val="00C76F5F"/>
    <w:rsid w:val="00C76FE3"/>
    <w:rsid w:val="00C77027"/>
    <w:rsid w:val="00C778CA"/>
    <w:rsid w:val="00C77D08"/>
    <w:rsid w:val="00C77F6C"/>
    <w:rsid w:val="00C80349"/>
    <w:rsid w:val="00C809BB"/>
    <w:rsid w:val="00C80E16"/>
    <w:rsid w:val="00C81083"/>
    <w:rsid w:val="00C8137B"/>
    <w:rsid w:val="00C8166E"/>
    <w:rsid w:val="00C8171F"/>
    <w:rsid w:val="00C81C06"/>
    <w:rsid w:val="00C81C67"/>
    <w:rsid w:val="00C823F2"/>
    <w:rsid w:val="00C82629"/>
    <w:rsid w:val="00C827B7"/>
    <w:rsid w:val="00C829FC"/>
    <w:rsid w:val="00C82CE2"/>
    <w:rsid w:val="00C82CF6"/>
    <w:rsid w:val="00C82DB3"/>
    <w:rsid w:val="00C832DB"/>
    <w:rsid w:val="00C8341D"/>
    <w:rsid w:val="00C83804"/>
    <w:rsid w:val="00C8401E"/>
    <w:rsid w:val="00C844AA"/>
    <w:rsid w:val="00C84F34"/>
    <w:rsid w:val="00C8537C"/>
    <w:rsid w:val="00C8541E"/>
    <w:rsid w:val="00C85A15"/>
    <w:rsid w:val="00C85D8F"/>
    <w:rsid w:val="00C86446"/>
    <w:rsid w:val="00C864E6"/>
    <w:rsid w:val="00C86521"/>
    <w:rsid w:val="00C872F9"/>
    <w:rsid w:val="00C87C7F"/>
    <w:rsid w:val="00C87EA8"/>
    <w:rsid w:val="00C903A2"/>
    <w:rsid w:val="00C90AAB"/>
    <w:rsid w:val="00C90DD5"/>
    <w:rsid w:val="00C914F7"/>
    <w:rsid w:val="00C91745"/>
    <w:rsid w:val="00C91FBD"/>
    <w:rsid w:val="00C92971"/>
    <w:rsid w:val="00C9298B"/>
    <w:rsid w:val="00C93156"/>
    <w:rsid w:val="00C932C4"/>
    <w:rsid w:val="00C93A91"/>
    <w:rsid w:val="00C93CA8"/>
    <w:rsid w:val="00C941A2"/>
    <w:rsid w:val="00C94840"/>
    <w:rsid w:val="00C94956"/>
    <w:rsid w:val="00C94AEB"/>
    <w:rsid w:val="00C94C58"/>
    <w:rsid w:val="00C94DDF"/>
    <w:rsid w:val="00C952F4"/>
    <w:rsid w:val="00C955BC"/>
    <w:rsid w:val="00C961A7"/>
    <w:rsid w:val="00C96319"/>
    <w:rsid w:val="00C964B3"/>
    <w:rsid w:val="00C965F1"/>
    <w:rsid w:val="00C96B1D"/>
    <w:rsid w:val="00C96C05"/>
    <w:rsid w:val="00C96CB8"/>
    <w:rsid w:val="00C9783D"/>
    <w:rsid w:val="00CA01FF"/>
    <w:rsid w:val="00CA0489"/>
    <w:rsid w:val="00CA064C"/>
    <w:rsid w:val="00CA0701"/>
    <w:rsid w:val="00CA0F5D"/>
    <w:rsid w:val="00CA20CD"/>
    <w:rsid w:val="00CA2284"/>
    <w:rsid w:val="00CA2A86"/>
    <w:rsid w:val="00CA319B"/>
    <w:rsid w:val="00CA3254"/>
    <w:rsid w:val="00CA347B"/>
    <w:rsid w:val="00CA378F"/>
    <w:rsid w:val="00CA38A3"/>
    <w:rsid w:val="00CA3C10"/>
    <w:rsid w:val="00CA3ED9"/>
    <w:rsid w:val="00CA45C4"/>
    <w:rsid w:val="00CA470C"/>
    <w:rsid w:val="00CA471F"/>
    <w:rsid w:val="00CA4AB1"/>
    <w:rsid w:val="00CA55A9"/>
    <w:rsid w:val="00CA5DA1"/>
    <w:rsid w:val="00CA645E"/>
    <w:rsid w:val="00CA66A9"/>
    <w:rsid w:val="00CA6FCC"/>
    <w:rsid w:val="00CA7494"/>
    <w:rsid w:val="00CA74A9"/>
    <w:rsid w:val="00CA7AFD"/>
    <w:rsid w:val="00CA7D33"/>
    <w:rsid w:val="00CA7FF9"/>
    <w:rsid w:val="00CB00FE"/>
    <w:rsid w:val="00CB028D"/>
    <w:rsid w:val="00CB0B6A"/>
    <w:rsid w:val="00CB113E"/>
    <w:rsid w:val="00CB13A5"/>
    <w:rsid w:val="00CB2171"/>
    <w:rsid w:val="00CB253C"/>
    <w:rsid w:val="00CB2D9F"/>
    <w:rsid w:val="00CB3043"/>
    <w:rsid w:val="00CB389F"/>
    <w:rsid w:val="00CB4139"/>
    <w:rsid w:val="00CB434E"/>
    <w:rsid w:val="00CB480B"/>
    <w:rsid w:val="00CB4991"/>
    <w:rsid w:val="00CB4A34"/>
    <w:rsid w:val="00CB4BCB"/>
    <w:rsid w:val="00CB4E4F"/>
    <w:rsid w:val="00CB4F83"/>
    <w:rsid w:val="00CB531F"/>
    <w:rsid w:val="00CB5338"/>
    <w:rsid w:val="00CB59A1"/>
    <w:rsid w:val="00CB5D51"/>
    <w:rsid w:val="00CB5F1B"/>
    <w:rsid w:val="00CB63DF"/>
    <w:rsid w:val="00CB7BE0"/>
    <w:rsid w:val="00CB7D9B"/>
    <w:rsid w:val="00CC021C"/>
    <w:rsid w:val="00CC0555"/>
    <w:rsid w:val="00CC08F3"/>
    <w:rsid w:val="00CC0E7F"/>
    <w:rsid w:val="00CC1108"/>
    <w:rsid w:val="00CC1854"/>
    <w:rsid w:val="00CC185D"/>
    <w:rsid w:val="00CC1C1A"/>
    <w:rsid w:val="00CC1E1A"/>
    <w:rsid w:val="00CC29A8"/>
    <w:rsid w:val="00CC29E3"/>
    <w:rsid w:val="00CC2AA2"/>
    <w:rsid w:val="00CC3871"/>
    <w:rsid w:val="00CC4142"/>
    <w:rsid w:val="00CC4328"/>
    <w:rsid w:val="00CC49F0"/>
    <w:rsid w:val="00CC5C18"/>
    <w:rsid w:val="00CC5CFB"/>
    <w:rsid w:val="00CC617F"/>
    <w:rsid w:val="00CC6483"/>
    <w:rsid w:val="00CC6E58"/>
    <w:rsid w:val="00CC6EDC"/>
    <w:rsid w:val="00CC6F86"/>
    <w:rsid w:val="00CC74D5"/>
    <w:rsid w:val="00CC74E6"/>
    <w:rsid w:val="00CC75F8"/>
    <w:rsid w:val="00CC7876"/>
    <w:rsid w:val="00CC7F8E"/>
    <w:rsid w:val="00CD0261"/>
    <w:rsid w:val="00CD0724"/>
    <w:rsid w:val="00CD084A"/>
    <w:rsid w:val="00CD152E"/>
    <w:rsid w:val="00CD180E"/>
    <w:rsid w:val="00CD18B9"/>
    <w:rsid w:val="00CD238E"/>
    <w:rsid w:val="00CD25E6"/>
    <w:rsid w:val="00CD2663"/>
    <w:rsid w:val="00CD2CC2"/>
    <w:rsid w:val="00CD2EBF"/>
    <w:rsid w:val="00CD3226"/>
    <w:rsid w:val="00CD3432"/>
    <w:rsid w:val="00CD352A"/>
    <w:rsid w:val="00CD3AD3"/>
    <w:rsid w:val="00CD43CE"/>
    <w:rsid w:val="00CD458D"/>
    <w:rsid w:val="00CD4A63"/>
    <w:rsid w:val="00CD4CCF"/>
    <w:rsid w:val="00CD55C2"/>
    <w:rsid w:val="00CD591C"/>
    <w:rsid w:val="00CD5EC6"/>
    <w:rsid w:val="00CD695A"/>
    <w:rsid w:val="00CD6A93"/>
    <w:rsid w:val="00CD6D70"/>
    <w:rsid w:val="00CD6D9C"/>
    <w:rsid w:val="00CD72CB"/>
    <w:rsid w:val="00CD767A"/>
    <w:rsid w:val="00CD7847"/>
    <w:rsid w:val="00CD793B"/>
    <w:rsid w:val="00CD7B32"/>
    <w:rsid w:val="00CE0664"/>
    <w:rsid w:val="00CE074F"/>
    <w:rsid w:val="00CE0BA3"/>
    <w:rsid w:val="00CE0D11"/>
    <w:rsid w:val="00CE1923"/>
    <w:rsid w:val="00CE1B98"/>
    <w:rsid w:val="00CE2081"/>
    <w:rsid w:val="00CE2483"/>
    <w:rsid w:val="00CE2605"/>
    <w:rsid w:val="00CE293F"/>
    <w:rsid w:val="00CE2E65"/>
    <w:rsid w:val="00CE2F01"/>
    <w:rsid w:val="00CE306C"/>
    <w:rsid w:val="00CE3299"/>
    <w:rsid w:val="00CE3CB6"/>
    <w:rsid w:val="00CE47E2"/>
    <w:rsid w:val="00CE4CF4"/>
    <w:rsid w:val="00CE4DC4"/>
    <w:rsid w:val="00CE4E44"/>
    <w:rsid w:val="00CE5035"/>
    <w:rsid w:val="00CE51F3"/>
    <w:rsid w:val="00CE658E"/>
    <w:rsid w:val="00CE6B00"/>
    <w:rsid w:val="00CE798B"/>
    <w:rsid w:val="00CE7B3C"/>
    <w:rsid w:val="00CF0171"/>
    <w:rsid w:val="00CF0290"/>
    <w:rsid w:val="00CF048A"/>
    <w:rsid w:val="00CF065E"/>
    <w:rsid w:val="00CF0A0C"/>
    <w:rsid w:val="00CF0A36"/>
    <w:rsid w:val="00CF0C9A"/>
    <w:rsid w:val="00CF11D7"/>
    <w:rsid w:val="00CF1339"/>
    <w:rsid w:val="00CF1513"/>
    <w:rsid w:val="00CF15B0"/>
    <w:rsid w:val="00CF1D95"/>
    <w:rsid w:val="00CF2091"/>
    <w:rsid w:val="00CF20EE"/>
    <w:rsid w:val="00CF2308"/>
    <w:rsid w:val="00CF2462"/>
    <w:rsid w:val="00CF25E3"/>
    <w:rsid w:val="00CF2671"/>
    <w:rsid w:val="00CF268F"/>
    <w:rsid w:val="00CF2877"/>
    <w:rsid w:val="00CF2FB7"/>
    <w:rsid w:val="00CF3031"/>
    <w:rsid w:val="00CF3237"/>
    <w:rsid w:val="00CF35F0"/>
    <w:rsid w:val="00CF49B0"/>
    <w:rsid w:val="00CF4ABC"/>
    <w:rsid w:val="00CF4F0F"/>
    <w:rsid w:val="00CF512C"/>
    <w:rsid w:val="00CF58BE"/>
    <w:rsid w:val="00CF5F0F"/>
    <w:rsid w:val="00CF62B2"/>
    <w:rsid w:val="00CF7438"/>
    <w:rsid w:val="00CF79E0"/>
    <w:rsid w:val="00CF7C2C"/>
    <w:rsid w:val="00D00049"/>
    <w:rsid w:val="00D00604"/>
    <w:rsid w:val="00D00997"/>
    <w:rsid w:val="00D00B9B"/>
    <w:rsid w:val="00D00D11"/>
    <w:rsid w:val="00D00F93"/>
    <w:rsid w:val="00D00FD4"/>
    <w:rsid w:val="00D013E8"/>
    <w:rsid w:val="00D01649"/>
    <w:rsid w:val="00D0206E"/>
    <w:rsid w:val="00D020E1"/>
    <w:rsid w:val="00D027E2"/>
    <w:rsid w:val="00D0315E"/>
    <w:rsid w:val="00D03ACC"/>
    <w:rsid w:val="00D03F72"/>
    <w:rsid w:val="00D042E4"/>
    <w:rsid w:val="00D044F7"/>
    <w:rsid w:val="00D0452C"/>
    <w:rsid w:val="00D04B45"/>
    <w:rsid w:val="00D05B79"/>
    <w:rsid w:val="00D063BC"/>
    <w:rsid w:val="00D063CD"/>
    <w:rsid w:val="00D0640D"/>
    <w:rsid w:val="00D0693F"/>
    <w:rsid w:val="00D06B4E"/>
    <w:rsid w:val="00D06F53"/>
    <w:rsid w:val="00D070CC"/>
    <w:rsid w:val="00D07158"/>
    <w:rsid w:val="00D072AB"/>
    <w:rsid w:val="00D07453"/>
    <w:rsid w:val="00D07B33"/>
    <w:rsid w:val="00D07B8B"/>
    <w:rsid w:val="00D07C10"/>
    <w:rsid w:val="00D07E7E"/>
    <w:rsid w:val="00D100F1"/>
    <w:rsid w:val="00D10A4A"/>
    <w:rsid w:val="00D11000"/>
    <w:rsid w:val="00D11085"/>
    <w:rsid w:val="00D11296"/>
    <w:rsid w:val="00D1228F"/>
    <w:rsid w:val="00D12561"/>
    <w:rsid w:val="00D12D34"/>
    <w:rsid w:val="00D1426C"/>
    <w:rsid w:val="00D1479B"/>
    <w:rsid w:val="00D14A52"/>
    <w:rsid w:val="00D14FF4"/>
    <w:rsid w:val="00D15987"/>
    <w:rsid w:val="00D15AE3"/>
    <w:rsid w:val="00D15B71"/>
    <w:rsid w:val="00D15DBF"/>
    <w:rsid w:val="00D1643C"/>
    <w:rsid w:val="00D16738"/>
    <w:rsid w:val="00D16C71"/>
    <w:rsid w:val="00D16D47"/>
    <w:rsid w:val="00D1720A"/>
    <w:rsid w:val="00D17A5B"/>
    <w:rsid w:val="00D17FCA"/>
    <w:rsid w:val="00D20147"/>
    <w:rsid w:val="00D20F25"/>
    <w:rsid w:val="00D21298"/>
    <w:rsid w:val="00D218C3"/>
    <w:rsid w:val="00D21C88"/>
    <w:rsid w:val="00D23519"/>
    <w:rsid w:val="00D23550"/>
    <w:rsid w:val="00D23923"/>
    <w:rsid w:val="00D23D40"/>
    <w:rsid w:val="00D2416B"/>
    <w:rsid w:val="00D244BD"/>
    <w:rsid w:val="00D248E1"/>
    <w:rsid w:val="00D24A8C"/>
    <w:rsid w:val="00D24D78"/>
    <w:rsid w:val="00D24EC4"/>
    <w:rsid w:val="00D25385"/>
    <w:rsid w:val="00D254CF"/>
    <w:rsid w:val="00D25665"/>
    <w:rsid w:val="00D257CE"/>
    <w:rsid w:val="00D25AF3"/>
    <w:rsid w:val="00D262D1"/>
    <w:rsid w:val="00D26457"/>
    <w:rsid w:val="00D264C0"/>
    <w:rsid w:val="00D264CF"/>
    <w:rsid w:val="00D264D5"/>
    <w:rsid w:val="00D264DD"/>
    <w:rsid w:val="00D26F35"/>
    <w:rsid w:val="00D26F7A"/>
    <w:rsid w:val="00D27153"/>
    <w:rsid w:val="00D271DF"/>
    <w:rsid w:val="00D27345"/>
    <w:rsid w:val="00D27BF5"/>
    <w:rsid w:val="00D27FF1"/>
    <w:rsid w:val="00D30140"/>
    <w:rsid w:val="00D30737"/>
    <w:rsid w:val="00D30C3B"/>
    <w:rsid w:val="00D30CFE"/>
    <w:rsid w:val="00D313C1"/>
    <w:rsid w:val="00D31559"/>
    <w:rsid w:val="00D31585"/>
    <w:rsid w:val="00D31C48"/>
    <w:rsid w:val="00D31DEA"/>
    <w:rsid w:val="00D31E50"/>
    <w:rsid w:val="00D31FE5"/>
    <w:rsid w:val="00D3207A"/>
    <w:rsid w:val="00D32236"/>
    <w:rsid w:val="00D32A3A"/>
    <w:rsid w:val="00D33211"/>
    <w:rsid w:val="00D335F1"/>
    <w:rsid w:val="00D338A5"/>
    <w:rsid w:val="00D33A0B"/>
    <w:rsid w:val="00D33FA8"/>
    <w:rsid w:val="00D34026"/>
    <w:rsid w:val="00D341A9"/>
    <w:rsid w:val="00D34594"/>
    <w:rsid w:val="00D349FE"/>
    <w:rsid w:val="00D34CBA"/>
    <w:rsid w:val="00D34D7B"/>
    <w:rsid w:val="00D3520A"/>
    <w:rsid w:val="00D35246"/>
    <w:rsid w:val="00D35853"/>
    <w:rsid w:val="00D3669D"/>
    <w:rsid w:val="00D36DC8"/>
    <w:rsid w:val="00D36F32"/>
    <w:rsid w:val="00D400E9"/>
    <w:rsid w:val="00D405CE"/>
    <w:rsid w:val="00D406F6"/>
    <w:rsid w:val="00D40916"/>
    <w:rsid w:val="00D4098F"/>
    <w:rsid w:val="00D40A09"/>
    <w:rsid w:val="00D40FD9"/>
    <w:rsid w:val="00D419D4"/>
    <w:rsid w:val="00D434C1"/>
    <w:rsid w:val="00D440F2"/>
    <w:rsid w:val="00D444BF"/>
    <w:rsid w:val="00D4459F"/>
    <w:rsid w:val="00D44776"/>
    <w:rsid w:val="00D447A4"/>
    <w:rsid w:val="00D448C7"/>
    <w:rsid w:val="00D44C44"/>
    <w:rsid w:val="00D45C2E"/>
    <w:rsid w:val="00D45D73"/>
    <w:rsid w:val="00D4617F"/>
    <w:rsid w:val="00D463B3"/>
    <w:rsid w:val="00D4680E"/>
    <w:rsid w:val="00D469D0"/>
    <w:rsid w:val="00D46E19"/>
    <w:rsid w:val="00D4725A"/>
    <w:rsid w:val="00D47693"/>
    <w:rsid w:val="00D47933"/>
    <w:rsid w:val="00D47ADC"/>
    <w:rsid w:val="00D47BFB"/>
    <w:rsid w:val="00D50348"/>
    <w:rsid w:val="00D50F6F"/>
    <w:rsid w:val="00D512DF"/>
    <w:rsid w:val="00D51498"/>
    <w:rsid w:val="00D517F6"/>
    <w:rsid w:val="00D51A99"/>
    <w:rsid w:val="00D521FD"/>
    <w:rsid w:val="00D52450"/>
    <w:rsid w:val="00D52760"/>
    <w:rsid w:val="00D52E7D"/>
    <w:rsid w:val="00D531F8"/>
    <w:rsid w:val="00D533FF"/>
    <w:rsid w:val="00D53667"/>
    <w:rsid w:val="00D53AC2"/>
    <w:rsid w:val="00D53C26"/>
    <w:rsid w:val="00D53C62"/>
    <w:rsid w:val="00D54061"/>
    <w:rsid w:val="00D54DE9"/>
    <w:rsid w:val="00D54E0E"/>
    <w:rsid w:val="00D55304"/>
    <w:rsid w:val="00D55334"/>
    <w:rsid w:val="00D553B5"/>
    <w:rsid w:val="00D5560C"/>
    <w:rsid w:val="00D55773"/>
    <w:rsid w:val="00D55780"/>
    <w:rsid w:val="00D55AA6"/>
    <w:rsid w:val="00D55D5B"/>
    <w:rsid w:val="00D55D94"/>
    <w:rsid w:val="00D55EA8"/>
    <w:rsid w:val="00D5601B"/>
    <w:rsid w:val="00D56179"/>
    <w:rsid w:val="00D56A3A"/>
    <w:rsid w:val="00D56E59"/>
    <w:rsid w:val="00D570D7"/>
    <w:rsid w:val="00D575A0"/>
    <w:rsid w:val="00D577FA"/>
    <w:rsid w:val="00D57912"/>
    <w:rsid w:val="00D57B5C"/>
    <w:rsid w:val="00D57C57"/>
    <w:rsid w:val="00D6056D"/>
    <w:rsid w:val="00D60571"/>
    <w:rsid w:val="00D6091D"/>
    <w:rsid w:val="00D60E28"/>
    <w:rsid w:val="00D6114F"/>
    <w:rsid w:val="00D61E06"/>
    <w:rsid w:val="00D62094"/>
    <w:rsid w:val="00D62226"/>
    <w:rsid w:val="00D62E87"/>
    <w:rsid w:val="00D63086"/>
    <w:rsid w:val="00D63C5C"/>
    <w:rsid w:val="00D63C94"/>
    <w:rsid w:val="00D64C53"/>
    <w:rsid w:val="00D651D2"/>
    <w:rsid w:val="00D655C6"/>
    <w:rsid w:val="00D65B23"/>
    <w:rsid w:val="00D660A0"/>
    <w:rsid w:val="00D66758"/>
    <w:rsid w:val="00D66DD3"/>
    <w:rsid w:val="00D66EA6"/>
    <w:rsid w:val="00D6760A"/>
    <w:rsid w:val="00D67650"/>
    <w:rsid w:val="00D67713"/>
    <w:rsid w:val="00D679F4"/>
    <w:rsid w:val="00D67ABF"/>
    <w:rsid w:val="00D67CE5"/>
    <w:rsid w:val="00D70194"/>
    <w:rsid w:val="00D70670"/>
    <w:rsid w:val="00D70A1C"/>
    <w:rsid w:val="00D70A52"/>
    <w:rsid w:val="00D70A7F"/>
    <w:rsid w:val="00D71151"/>
    <w:rsid w:val="00D71A26"/>
    <w:rsid w:val="00D720A3"/>
    <w:rsid w:val="00D720A4"/>
    <w:rsid w:val="00D722A2"/>
    <w:rsid w:val="00D72545"/>
    <w:rsid w:val="00D72B72"/>
    <w:rsid w:val="00D72F1E"/>
    <w:rsid w:val="00D73160"/>
    <w:rsid w:val="00D744C1"/>
    <w:rsid w:val="00D74D64"/>
    <w:rsid w:val="00D7502B"/>
    <w:rsid w:val="00D7533B"/>
    <w:rsid w:val="00D75744"/>
    <w:rsid w:val="00D75C9D"/>
    <w:rsid w:val="00D76785"/>
    <w:rsid w:val="00D76999"/>
    <w:rsid w:val="00D76CDA"/>
    <w:rsid w:val="00D76D94"/>
    <w:rsid w:val="00D76FDA"/>
    <w:rsid w:val="00D77A57"/>
    <w:rsid w:val="00D77C08"/>
    <w:rsid w:val="00D80948"/>
    <w:rsid w:val="00D80F8F"/>
    <w:rsid w:val="00D8124C"/>
    <w:rsid w:val="00D81319"/>
    <w:rsid w:val="00D8160C"/>
    <w:rsid w:val="00D818BE"/>
    <w:rsid w:val="00D81C69"/>
    <w:rsid w:val="00D81F7B"/>
    <w:rsid w:val="00D82880"/>
    <w:rsid w:val="00D82A86"/>
    <w:rsid w:val="00D8301A"/>
    <w:rsid w:val="00D83A28"/>
    <w:rsid w:val="00D844F7"/>
    <w:rsid w:val="00D8531C"/>
    <w:rsid w:val="00D85389"/>
    <w:rsid w:val="00D859DB"/>
    <w:rsid w:val="00D862EA"/>
    <w:rsid w:val="00D87155"/>
    <w:rsid w:val="00D87397"/>
    <w:rsid w:val="00D87825"/>
    <w:rsid w:val="00D87C1A"/>
    <w:rsid w:val="00D87CB9"/>
    <w:rsid w:val="00D87CF5"/>
    <w:rsid w:val="00D87E24"/>
    <w:rsid w:val="00D90A43"/>
    <w:rsid w:val="00D90F45"/>
    <w:rsid w:val="00D9113F"/>
    <w:rsid w:val="00D91B0F"/>
    <w:rsid w:val="00D91B9E"/>
    <w:rsid w:val="00D91FF9"/>
    <w:rsid w:val="00D921DA"/>
    <w:rsid w:val="00D92604"/>
    <w:rsid w:val="00D92CD5"/>
    <w:rsid w:val="00D936DC"/>
    <w:rsid w:val="00D9480B"/>
    <w:rsid w:val="00D948ED"/>
    <w:rsid w:val="00D94C78"/>
    <w:rsid w:val="00D94EAE"/>
    <w:rsid w:val="00D951C4"/>
    <w:rsid w:val="00D95859"/>
    <w:rsid w:val="00D9600D"/>
    <w:rsid w:val="00D96547"/>
    <w:rsid w:val="00D96976"/>
    <w:rsid w:val="00D96F9A"/>
    <w:rsid w:val="00D9716D"/>
    <w:rsid w:val="00D977F0"/>
    <w:rsid w:val="00D97B75"/>
    <w:rsid w:val="00D97BFE"/>
    <w:rsid w:val="00D97C78"/>
    <w:rsid w:val="00D97F69"/>
    <w:rsid w:val="00DA0FED"/>
    <w:rsid w:val="00DA141C"/>
    <w:rsid w:val="00DA1472"/>
    <w:rsid w:val="00DA184C"/>
    <w:rsid w:val="00DA1A28"/>
    <w:rsid w:val="00DA1CC8"/>
    <w:rsid w:val="00DA2E51"/>
    <w:rsid w:val="00DA3007"/>
    <w:rsid w:val="00DA30E8"/>
    <w:rsid w:val="00DA36FF"/>
    <w:rsid w:val="00DA37A1"/>
    <w:rsid w:val="00DA37DA"/>
    <w:rsid w:val="00DA3F69"/>
    <w:rsid w:val="00DA49A2"/>
    <w:rsid w:val="00DA4EFF"/>
    <w:rsid w:val="00DA4F7B"/>
    <w:rsid w:val="00DA4F8E"/>
    <w:rsid w:val="00DA5692"/>
    <w:rsid w:val="00DA601A"/>
    <w:rsid w:val="00DA60FA"/>
    <w:rsid w:val="00DA62DB"/>
    <w:rsid w:val="00DA6420"/>
    <w:rsid w:val="00DA64A4"/>
    <w:rsid w:val="00DA64F8"/>
    <w:rsid w:val="00DA715F"/>
    <w:rsid w:val="00DA767D"/>
    <w:rsid w:val="00DB0243"/>
    <w:rsid w:val="00DB028B"/>
    <w:rsid w:val="00DB0917"/>
    <w:rsid w:val="00DB094E"/>
    <w:rsid w:val="00DB0B39"/>
    <w:rsid w:val="00DB0C21"/>
    <w:rsid w:val="00DB12D2"/>
    <w:rsid w:val="00DB161E"/>
    <w:rsid w:val="00DB1638"/>
    <w:rsid w:val="00DB187F"/>
    <w:rsid w:val="00DB25F1"/>
    <w:rsid w:val="00DB37A9"/>
    <w:rsid w:val="00DB3D57"/>
    <w:rsid w:val="00DB3E73"/>
    <w:rsid w:val="00DB4392"/>
    <w:rsid w:val="00DB44F7"/>
    <w:rsid w:val="00DB5C04"/>
    <w:rsid w:val="00DB655C"/>
    <w:rsid w:val="00DB69BE"/>
    <w:rsid w:val="00DB6D01"/>
    <w:rsid w:val="00DB6FA9"/>
    <w:rsid w:val="00DB72B4"/>
    <w:rsid w:val="00DB74C2"/>
    <w:rsid w:val="00DB75CE"/>
    <w:rsid w:val="00DB7CD6"/>
    <w:rsid w:val="00DB7CED"/>
    <w:rsid w:val="00DC0293"/>
    <w:rsid w:val="00DC06F1"/>
    <w:rsid w:val="00DC0ABE"/>
    <w:rsid w:val="00DC0E66"/>
    <w:rsid w:val="00DC1829"/>
    <w:rsid w:val="00DC202B"/>
    <w:rsid w:val="00DC2778"/>
    <w:rsid w:val="00DC3173"/>
    <w:rsid w:val="00DC3542"/>
    <w:rsid w:val="00DC36F3"/>
    <w:rsid w:val="00DC38B2"/>
    <w:rsid w:val="00DC3EB4"/>
    <w:rsid w:val="00DC3F31"/>
    <w:rsid w:val="00DC438C"/>
    <w:rsid w:val="00DC449D"/>
    <w:rsid w:val="00DC4F0A"/>
    <w:rsid w:val="00DC4FDE"/>
    <w:rsid w:val="00DC54A9"/>
    <w:rsid w:val="00DC5C1C"/>
    <w:rsid w:val="00DC5FBE"/>
    <w:rsid w:val="00DC60D6"/>
    <w:rsid w:val="00DC612A"/>
    <w:rsid w:val="00DC6230"/>
    <w:rsid w:val="00DC65B3"/>
    <w:rsid w:val="00DC6777"/>
    <w:rsid w:val="00DC6917"/>
    <w:rsid w:val="00DC7237"/>
    <w:rsid w:val="00DC79CC"/>
    <w:rsid w:val="00DC7BA7"/>
    <w:rsid w:val="00DC7C4E"/>
    <w:rsid w:val="00DC7F1A"/>
    <w:rsid w:val="00DD06C7"/>
    <w:rsid w:val="00DD1002"/>
    <w:rsid w:val="00DD106D"/>
    <w:rsid w:val="00DD1295"/>
    <w:rsid w:val="00DD190A"/>
    <w:rsid w:val="00DD1982"/>
    <w:rsid w:val="00DD199C"/>
    <w:rsid w:val="00DD1C2D"/>
    <w:rsid w:val="00DD1CDA"/>
    <w:rsid w:val="00DD206B"/>
    <w:rsid w:val="00DD2C54"/>
    <w:rsid w:val="00DD2F89"/>
    <w:rsid w:val="00DD3347"/>
    <w:rsid w:val="00DD351F"/>
    <w:rsid w:val="00DD36E0"/>
    <w:rsid w:val="00DD3838"/>
    <w:rsid w:val="00DD4355"/>
    <w:rsid w:val="00DD49B8"/>
    <w:rsid w:val="00DD4F84"/>
    <w:rsid w:val="00DD4FF9"/>
    <w:rsid w:val="00DD5182"/>
    <w:rsid w:val="00DD51A2"/>
    <w:rsid w:val="00DD5403"/>
    <w:rsid w:val="00DD5488"/>
    <w:rsid w:val="00DD582D"/>
    <w:rsid w:val="00DD5B38"/>
    <w:rsid w:val="00DD6F9A"/>
    <w:rsid w:val="00DD70CA"/>
    <w:rsid w:val="00DD70CB"/>
    <w:rsid w:val="00DD7227"/>
    <w:rsid w:val="00DD723B"/>
    <w:rsid w:val="00DD7576"/>
    <w:rsid w:val="00DD76C9"/>
    <w:rsid w:val="00DD7BF0"/>
    <w:rsid w:val="00DD7C3B"/>
    <w:rsid w:val="00DD7DBB"/>
    <w:rsid w:val="00DE02DC"/>
    <w:rsid w:val="00DE05EF"/>
    <w:rsid w:val="00DE0E61"/>
    <w:rsid w:val="00DE0F2C"/>
    <w:rsid w:val="00DE114D"/>
    <w:rsid w:val="00DE12DA"/>
    <w:rsid w:val="00DE144F"/>
    <w:rsid w:val="00DE182D"/>
    <w:rsid w:val="00DE2140"/>
    <w:rsid w:val="00DE2529"/>
    <w:rsid w:val="00DE2B71"/>
    <w:rsid w:val="00DE360D"/>
    <w:rsid w:val="00DE3C30"/>
    <w:rsid w:val="00DE3D23"/>
    <w:rsid w:val="00DE434D"/>
    <w:rsid w:val="00DE4394"/>
    <w:rsid w:val="00DE47FA"/>
    <w:rsid w:val="00DE508F"/>
    <w:rsid w:val="00DE52B1"/>
    <w:rsid w:val="00DE5635"/>
    <w:rsid w:val="00DE58C5"/>
    <w:rsid w:val="00DE598E"/>
    <w:rsid w:val="00DE6552"/>
    <w:rsid w:val="00DE6AFF"/>
    <w:rsid w:val="00DE73C5"/>
    <w:rsid w:val="00DE796B"/>
    <w:rsid w:val="00DE7D9E"/>
    <w:rsid w:val="00DF0885"/>
    <w:rsid w:val="00DF0B7F"/>
    <w:rsid w:val="00DF1009"/>
    <w:rsid w:val="00DF103D"/>
    <w:rsid w:val="00DF10ED"/>
    <w:rsid w:val="00DF126F"/>
    <w:rsid w:val="00DF23D3"/>
    <w:rsid w:val="00DF26C1"/>
    <w:rsid w:val="00DF30B3"/>
    <w:rsid w:val="00DF36D8"/>
    <w:rsid w:val="00DF381E"/>
    <w:rsid w:val="00DF3B5B"/>
    <w:rsid w:val="00DF3E31"/>
    <w:rsid w:val="00DF3E5B"/>
    <w:rsid w:val="00DF3FA3"/>
    <w:rsid w:val="00DF483D"/>
    <w:rsid w:val="00DF48F3"/>
    <w:rsid w:val="00DF4C0A"/>
    <w:rsid w:val="00DF4EAD"/>
    <w:rsid w:val="00DF5DB2"/>
    <w:rsid w:val="00DF5E8F"/>
    <w:rsid w:val="00DF5F38"/>
    <w:rsid w:val="00DF5F3B"/>
    <w:rsid w:val="00DF5F85"/>
    <w:rsid w:val="00DF620D"/>
    <w:rsid w:val="00DF633F"/>
    <w:rsid w:val="00DF652F"/>
    <w:rsid w:val="00DF675E"/>
    <w:rsid w:val="00DF67A1"/>
    <w:rsid w:val="00DF68F1"/>
    <w:rsid w:val="00DF6C7F"/>
    <w:rsid w:val="00DF72E2"/>
    <w:rsid w:val="00DF7811"/>
    <w:rsid w:val="00E002E3"/>
    <w:rsid w:val="00E003B2"/>
    <w:rsid w:val="00E0055E"/>
    <w:rsid w:val="00E00EA0"/>
    <w:rsid w:val="00E01028"/>
    <w:rsid w:val="00E011CB"/>
    <w:rsid w:val="00E0130A"/>
    <w:rsid w:val="00E014CA"/>
    <w:rsid w:val="00E01648"/>
    <w:rsid w:val="00E01BAB"/>
    <w:rsid w:val="00E01C1D"/>
    <w:rsid w:val="00E02184"/>
    <w:rsid w:val="00E026DE"/>
    <w:rsid w:val="00E02F72"/>
    <w:rsid w:val="00E03089"/>
    <w:rsid w:val="00E03677"/>
    <w:rsid w:val="00E037AD"/>
    <w:rsid w:val="00E03D7A"/>
    <w:rsid w:val="00E04170"/>
    <w:rsid w:val="00E05244"/>
    <w:rsid w:val="00E063EE"/>
    <w:rsid w:val="00E06615"/>
    <w:rsid w:val="00E06992"/>
    <w:rsid w:val="00E06E67"/>
    <w:rsid w:val="00E06F54"/>
    <w:rsid w:val="00E06F6A"/>
    <w:rsid w:val="00E073CF"/>
    <w:rsid w:val="00E0777F"/>
    <w:rsid w:val="00E07F89"/>
    <w:rsid w:val="00E10AC4"/>
    <w:rsid w:val="00E10D3B"/>
    <w:rsid w:val="00E10D9E"/>
    <w:rsid w:val="00E114CA"/>
    <w:rsid w:val="00E115C9"/>
    <w:rsid w:val="00E11719"/>
    <w:rsid w:val="00E11A00"/>
    <w:rsid w:val="00E12108"/>
    <w:rsid w:val="00E12265"/>
    <w:rsid w:val="00E122F3"/>
    <w:rsid w:val="00E12E01"/>
    <w:rsid w:val="00E12E35"/>
    <w:rsid w:val="00E1317C"/>
    <w:rsid w:val="00E133CC"/>
    <w:rsid w:val="00E139CB"/>
    <w:rsid w:val="00E13D5F"/>
    <w:rsid w:val="00E13F28"/>
    <w:rsid w:val="00E140B3"/>
    <w:rsid w:val="00E1435C"/>
    <w:rsid w:val="00E1463A"/>
    <w:rsid w:val="00E1496A"/>
    <w:rsid w:val="00E1499B"/>
    <w:rsid w:val="00E14B68"/>
    <w:rsid w:val="00E14D55"/>
    <w:rsid w:val="00E15211"/>
    <w:rsid w:val="00E15E49"/>
    <w:rsid w:val="00E16347"/>
    <w:rsid w:val="00E163EF"/>
    <w:rsid w:val="00E1643B"/>
    <w:rsid w:val="00E16CD2"/>
    <w:rsid w:val="00E16CF8"/>
    <w:rsid w:val="00E16D4A"/>
    <w:rsid w:val="00E16DD8"/>
    <w:rsid w:val="00E174C3"/>
    <w:rsid w:val="00E17552"/>
    <w:rsid w:val="00E17BA0"/>
    <w:rsid w:val="00E2037F"/>
    <w:rsid w:val="00E20431"/>
    <w:rsid w:val="00E20926"/>
    <w:rsid w:val="00E20CFE"/>
    <w:rsid w:val="00E20DF5"/>
    <w:rsid w:val="00E20F4F"/>
    <w:rsid w:val="00E2108C"/>
    <w:rsid w:val="00E21123"/>
    <w:rsid w:val="00E2170E"/>
    <w:rsid w:val="00E2174F"/>
    <w:rsid w:val="00E218CF"/>
    <w:rsid w:val="00E22075"/>
    <w:rsid w:val="00E22163"/>
    <w:rsid w:val="00E22E3F"/>
    <w:rsid w:val="00E22F78"/>
    <w:rsid w:val="00E22FBE"/>
    <w:rsid w:val="00E22FC9"/>
    <w:rsid w:val="00E236BB"/>
    <w:rsid w:val="00E23B67"/>
    <w:rsid w:val="00E23B78"/>
    <w:rsid w:val="00E23B8A"/>
    <w:rsid w:val="00E23C63"/>
    <w:rsid w:val="00E24259"/>
    <w:rsid w:val="00E243BB"/>
    <w:rsid w:val="00E24B2B"/>
    <w:rsid w:val="00E24DB0"/>
    <w:rsid w:val="00E25AFE"/>
    <w:rsid w:val="00E25FDC"/>
    <w:rsid w:val="00E27722"/>
    <w:rsid w:val="00E27AE5"/>
    <w:rsid w:val="00E27B74"/>
    <w:rsid w:val="00E27CBD"/>
    <w:rsid w:val="00E30018"/>
    <w:rsid w:val="00E30A92"/>
    <w:rsid w:val="00E30BED"/>
    <w:rsid w:val="00E31015"/>
    <w:rsid w:val="00E32130"/>
    <w:rsid w:val="00E3237F"/>
    <w:rsid w:val="00E32DBC"/>
    <w:rsid w:val="00E32DEB"/>
    <w:rsid w:val="00E32EB2"/>
    <w:rsid w:val="00E32F76"/>
    <w:rsid w:val="00E33237"/>
    <w:rsid w:val="00E336FA"/>
    <w:rsid w:val="00E33AA2"/>
    <w:rsid w:val="00E34675"/>
    <w:rsid w:val="00E34954"/>
    <w:rsid w:val="00E34A64"/>
    <w:rsid w:val="00E34FF3"/>
    <w:rsid w:val="00E35EB1"/>
    <w:rsid w:val="00E35F17"/>
    <w:rsid w:val="00E36788"/>
    <w:rsid w:val="00E36BF0"/>
    <w:rsid w:val="00E36E04"/>
    <w:rsid w:val="00E36F52"/>
    <w:rsid w:val="00E375E2"/>
    <w:rsid w:val="00E406E8"/>
    <w:rsid w:val="00E40B3C"/>
    <w:rsid w:val="00E40FA6"/>
    <w:rsid w:val="00E41275"/>
    <w:rsid w:val="00E415A3"/>
    <w:rsid w:val="00E41613"/>
    <w:rsid w:val="00E41653"/>
    <w:rsid w:val="00E41E22"/>
    <w:rsid w:val="00E41E2B"/>
    <w:rsid w:val="00E42655"/>
    <w:rsid w:val="00E4265B"/>
    <w:rsid w:val="00E42ED9"/>
    <w:rsid w:val="00E42FAA"/>
    <w:rsid w:val="00E43000"/>
    <w:rsid w:val="00E43168"/>
    <w:rsid w:val="00E4344F"/>
    <w:rsid w:val="00E44080"/>
    <w:rsid w:val="00E449CC"/>
    <w:rsid w:val="00E44B9A"/>
    <w:rsid w:val="00E45754"/>
    <w:rsid w:val="00E45755"/>
    <w:rsid w:val="00E457BF"/>
    <w:rsid w:val="00E45A12"/>
    <w:rsid w:val="00E45A69"/>
    <w:rsid w:val="00E45B00"/>
    <w:rsid w:val="00E45E40"/>
    <w:rsid w:val="00E46243"/>
    <w:rsid w:val="00E463DB"/>
    <w:rsid w:val="00E4662D"/>
    <w:rsid w:val="00E46CEA"/>
    <w:rsid w:val="00E46E49"/>
    <w:rsid w:val="00E4720B"/>
    <w:rsid w:val="00E472AD"/>
    <w:rsid w:val="00E477D0"/>
    <w:rsid w:val="00E478B0"/>
    <w:rsid w:val="00E50269"/>
    <w:rsid w:val="00E50BC0"/>
    <w:rsid w:val="00E51BDD"/>
    <w:rsid w:val="00E51D02"/>
    <w:rsid w:val="00E52680"/>
    <w:rsid w:val="00E528AE"/>
    <w:rsid w:val="00E530BD"/>
    <w:rsid w:val="00E53E92"/>
    <w:rsid w:val="00E53F39"/>
    <w:rsid w:val="00E540E5"/>
    <w:rsid w:val="00E5414A"/>
    <w:rsid w:val="00E541E6"/>
    <w:rsid w:val="00E5481A"/>
    <w:rsid w:val="00E549BF"/>
    <w:rsid w:val="00E54E83"/>
    <w:rsid w:val="00E54F34"/>
    <w:rsid w:val="00E5505A"/>
    <w:rsid w:val="00E5505C"/>
    <w:rsid w:val="00E5508A"/>
    <w:rsid w:val="00E554B5"/>
    <w:rsid w:val="00E554EC"/>
    <w:rsid w:val="00E55533"/>
    <w:rsid w:val="00E55BDC"/>
    <w:rsid w:val="00E55CDA"/>
    <w:rsid w:val="00E56BB9"/>
    <w:rsid w:val="00E5734E"/>
    <w:rsid w:val="00E57587"/>
    <w:rsid w:val="00E57AB3"/>
    <w:rsid w:val="00E57D0A"/>
    <w:rsid w:val="00E57E88"/>
    <w:rsid w:val="00E60414"/>
    <w:rsid w:val="00E6042F"/>
    <w:rsid w:val="00E6053C"/>
    <w:rsid w:val="00E6074D"/>
    <w:rsid w:val="00E60B93"/>
    <w:rsid w:val="00E60F23"/>
    <w:rsid w:val="00E619F1"/>
    <w:rsid w:val="00E61F1D"/>
    <w:rsid w:val="00E61F8F"/>
    <w:rsid w:val="00E6244B"/>
    <w:rsid w:val="00E62638"/>
    <w:rsid w:val="00E626EB"/>
    <w:rsid w:val="00E63183"/>
    <w:rsid w:val="00E631A4"/>
    <w:rsid w:val="00E63D87"/>
    <w:rsid w:val="00E647B1"/>
    <w:rsid w:val="00E647DE"/>
    <w:rsid w:val="00E64BED"/>
    <w:rsid w:val="00E65217"/>
    <w:rsid w:val="00E658FD"/>
    <w:rsid w:val="00E65DAD"/>
    <w:rsid w:val="00E666D3"/>
    <w:rsid w:val="00E66A6E"/>
    <w:rsid w:val="00E66C60"/>
    <w:rsid w:val="00E6777C"/>
    <w:rsid w:val="00E67983"/>
    <w:rsid w:val="00E67E70"/>
    <w:rsid w:val="00E70072"/>
    <w:rsid w:val="00E70975"/>
    <w:rsid w:val="00E71A64"/>
    <w:rsid w:val="00E72B04"/>
    <w:rsid w:val="00E73764"/>
    <w:rsid w:val="00E73765"/>
    <w:rsid w:val="00E73785"/>
    <w:rsid w:val="00E73960"/>
    <w:rsid w:val="00E73B89"/>
    <w:rsid w:val="00E73BB3"/>
    <w:rsid w:val="00E73D0D"/>
    <w:rsid w:val="00E742ED"/>
    <w:rsid w:val="00E74969"/>
    <w:rsid w:val="00E74F37"/>
    <w:rsid w:val="00E75152"/>
    <w:rsid w:val="00E758A1"/>
    <w:rsid w:val="00E75A41"/>
    <w:rsid w:val="00E75CBA"/>
    <w:rsid w:val="00E75D84"/>
    <w:rsid w:val="00E7670A"/>
    <w:rsid w:val="00E76ADE"/>
    <w:rsid w:val="00E76B19"/>
    <w:rsid w:val="00E76D48"/>
    <w:rsid w:val="00E76FAF"/>
    <w:rsid w:val="00E7705F"/>
    <w:rsid w:val="00E7712B"/>
    <w:rsid w:val="00E77583"/>
    <w:rsid w:val="00E77957"/>
    <w:rsid w:val="00E779D9"/>
    <w:rsid w:val="00E77F16"/>
    <w:rsid w:val="00E77FF2"/>
    <w:rsid w:val="00E80178"/>
    <w:rsid w:val="00E80C8A"/>
    <w:rsid w:val="00E81565"/>
    <w:rsid w:val="00E81EBE"/>
    <w:rsid w:val="00E8206B"/>
    <w:rsid w:val="00E824CE"/>
    <w:rsid w:val="00E82617"/>
    <w:rsid w:val="00E82903"/>
    <w:rsid w:val="00E82A00"/>
    <w:rsid w:val="00E82BA2"/>
    <w:rsid w:val="00E82BFB"/>
    <w:rsid w:val="00E8314B"/>
    <w:rsid w:val="00E835EF"/>
    <w:rsid w:val="00E83F6B"/>
    <w:rsid w:val="00E841C0"/>
    <w:rsid w:val="00E847E4"/>
    <w:rsid w:val="00E84AFE"/>
    <w:rsid w:val="00E85566"/>
    <w:rsid w:val="00E856E3"/>
    <w:rsid w:val="00E8574A"/>
    <w:rsid w:val="00E859EB"/>
    <w:rsid w:val="00E85C6A"/>
    <w:rsid w:val="00E85CBD"/>
    <w:rsid w:val="00E85D67"/>
    <w:rsid w:val="00E85F6A"/>
    <w:rsid w:val="00E86445"/>
    <w:rsid w:val="00E86EB4"/>
    <w:rsid w:val="00E86EC9"/>
    <w:rsid w:val="00E86FFC"/>
    <w:rsid w:val="00E876E8"/>
    <w:rsid w:val="00E8796D"/>
    <w:rsid w:val="00E90071"/>
    <w:rsid w:val="00E901A6"/>
    <w:rsid w:val="00E90389"/>
    <w:rsid w:val="00E90A02"/>
    <w:rsid w:val="00E90C35"/>
    <w:rsid w:val="00E919DE"/>
    <w:rsid w:val="00E92CCC"/>
    <w:rsid w:val="00E92EED"/>
    <w:rsid w:val="00E93129"/>
    <w:rsid w:val="00E93534"/>
    <w:rsid w:val="00E9357C"/>
    <w:rsid w:val="00E937EF"/>
    <w:rsid w:val="00E93A9A"/>
    <w:rsid w:val="00E93C8C"/>
    <w:rsid w:val="00E944F8"/>
    <w:rsid w:val="00E94F78"/>
    <w:rsid w:val="00E9509C"/>
    <w:rsid w:val="00E96146"/>
    <w:rsid w:val="00E961D7"/>
    <w:rsid w:val="00E963F9"/>
    <w:rsid w:val="00E966FE"/>
    <w:rsid w:val="00E96F8F"/>
    <w:rsid w:val="00E97B51"/>
    <w:rsid w:val="00EA02AD"/>
    <w:rsid w:val="00EA02B5"/>
    <w:rsid w:val="00EA0E08"/>
    <w:rsid w:val="00EA1178"/>
    <w:rsid w:val="00EA12ED"/>
    <w:rsid w:val="00EA1372"/>
    <w:rsid w:val="00EA1648"/>
    <w:rsid w:val="00EA2044"/>
    <w:rsid w:val="00EA3113"/>
    <w:rsid w:val="00EA3218"/>
    <w:rsid w:val="00EA33C9"/>
    <w:rsid w:val="00EA3452"/>
    <w:rsid w:val="00EA366B"/>
    <w:rsid w:val="00EA3A3B"/>
    <w:rsid w:val="00EA4119"/>
    <w:rsid w:val="00EA43F4"/>
    <w:rsid w:val="00EA4473"/>
    <w:rsid w:val="00EA4641"/>
    <w:rsid w:val="00EA497F"/>
    <w:rsid w:val="00EA5020"/>
    <w:rsid w:val="00EA55AF"/>
    <w:rsid w:val="00EA5C81"/>
    <w:rsid w:val="00EA5EF4"/>
    <w:rsid w:val="00EA6242"/>
    <w:rsid w:val="00EA6414"/>
    <w:rsid w:val="00EA6E87"/>
    <w:rsid w:val="00EA76C4"/>
    <w:rsid w:val="00EA797A"/>
    <w:rsid w:val="00EA7A78"/>
    <w:rsid w:val="00EB048E"/>
    <w:rsid w:val="00EB0BCE"/>
    <w:rsid w:val="00EB0DC0"/>
    <w:rsid w:val="00EB0F08"/>
    <w:rsid w:val="00EB0FEE"/>
    <w:rsid w:val="00EB10EA"/>
    <w:rsid w:val="00EB12FC"/>
    <w:rsid w:val="00EB16D6"/>
    <w:rsid w:val="00EB1726"/>
    <w:rsid w:val="00EB1FF4"/>
    <w:rsid w:val="00EB2758"/>
    <w:rsid w:val="00EB29FF"/>
    <w:rsid w:val="00EB2CA4"/>
    <w:rsid w:val="00EB2CAC"/>
    <w:rsid w:val="00EB2D09"/>
    <w:rsid w:val="00EB3436"/>
    <w:rsid w:val="00EB3EA2"/>
    <w:rsid w:val="00EB3EC0"/>
    <w:rsid w:val="00EB4749"/>
    <w:rsid w:val="00EB4E86"/>
    <w:rsid w:val="00EB52F1"/>
    <w:rsid w:val="00EB5399"/>
    <w:rsid w:val="00EB53C0"/>
    <w:rsid w:val="00EB5758"/>
    <w:rsid w:val="00EB60EF"/>
    <w:rsid w:val="00EB64B8"/>
    <w:rsid w:val="00EB6EB9"/>
    <w:rsid w:val="00EB6EFB"/>
    <w:rsid w:val="00EB705A"/>
    <w:rsid w:val="00EB77F5"/>
    <w:rsid w:val="00EC02AB"/>
    <w:rsid w:val="00EC0396"/>
    <w:rsid w:val="00EC03D8"/>
    <w:rsid w:val="00EC0765"/>
    <w:rsid w:val="00EC0CA5"/>
    <w:rsid w:val="00EC0EAF"/>
    <w:rsid w:val="00EC1062"/>
    <w:rsid w:val="00EC1122"/>
    <w:rsid w:val="00EC1BAF"/>
    <w:rsid w:val="00EC21B3"/>
    <w:rsid w:val="00EC23C5"/>
    <w:rsid w:val="00EC23D6"/>
    <w:rsid w:val="00EC2BEB"/>
    <w:rsid w:val="00EC2FE8"/>
    <w:rsid w:val="00EC39E6"/>
    <w:rsid w:val="00EC413D"/>
    <w:rsid w:val="00EC4494"/>
    <w:rsid w:val="00EC4665"/>
    <w:rsid w:val="00EC501B"/>
    <w:rsid w:val="00EC58E0"/>
    <w:rsid w:val="00EC6478"/>
    <w:rsid w:val="00EC712E"/>
    <w:rsid w:val="00EC7766"/>
    <w:rsid w:val="00EC7AEC"/>
    <w:rsid w:val="00EC7D4D"/>
    <w:rsid w:val="00EC7DCD"/>
    <w:rsid w:val="00ED080A"/>
    <w:rsid w:val="00ED09E4"/>
    <w:rsid w:val="00ED0A47"/>
    <w:rsid w:val="00ED0D71"/>
    <w:rsid w:val="00ED0F13"/>
    <w:rsid w:val="00ED1012"/>
    <w:rsid w:val="00ED14FE"/>
    <w:rsid w:val="00ED15C1"/>
    <w:rsid w:val="00ED1A08"/>
    <w:rsid w:val="00ED28C0"/>
    <w:rsid w:val="00ED2E36"/>
    <w:rsid w:val="00ED2E61"/>
    <w:rsid w:val="00ED2FE1"/>
    <w:rsid w:val="00ED34C6"/>
    <w:rsid w:val="00ED3824"/>
    <w:rsid w:val="00ED39EE"/>
    <w:rsid w:val="00ED3A81"/>
    <w:rsid w:val="00ED3C62"/>
    <w:rsid w:val="00ED3D35"/>
    <w:rsid w:val="00ED3F57"/>
    <w:rsid w:val="00ED460D"/>
    <w:rsid w:val="00ED47E6"/>
    <w:rsid w:val="00ED496A"/>
    <w:rsid w:val="00ED4B13"/>
    <w:rsid w:val="00ED4BEE"/>
    <w:rsid w:val="00ED4D48"/>
    <w:rsid w:val="00ED4F60"/>
    <w:rsid w:val="00ED538E"/>
    <w:rsid w:val="00ED5804"/>
    <w:rsid w:val="00ED5D26"/>
    <w:rsid w:val="00ED6941"/>
    <w:rsid w:val="00ED70CB"/>
    <w:rsid w:val="00ED75FE"/>
    <w:rsid w:val="00ED7641"/>
    <w:rsid w:val="00ED77AF"/>
    <w:rsid w:val="00ED7C7C"/>
    <w:rsid w:val="00EE00B6"/>
    <w:rsid w:val="00EE0326"/>
    <w:rsid w:val="00EE1184"/>
    <w:rsid w:val="00EE136D"/>
    <w:rsid w:val="00EE1517"/>
    <w:rsid w:val="00EE2028"/>
    <w:rsid w:val="00EE2104"/>
    <w:rsid w:val="00EE22FB"/>
    <w:rsid w:val="00EE2CC2"/>
    <w:rsid w:val="00EE2E8B"/>
    <w:rsid w:val="00EE32BF"/>
    <w:rsid w:val="00EE371E"/>
    <w:rsid w:val="00EE392A"/>
    <w:rsid w:val="00EE3E69"/>
    <w:rsid w:val="00EE3F28"/>
    <w:rsid w:val="00EE49A4"/>
    <w:rsid w:val="00EE4A4F"/>
    <w:rsid w:val="00EE4AB8"/>
    <w:rsid w:val="00EE4B20"/>
    <w:rsid w:val="00EE5697"/>
    <w:rsid w:val="00EE5761"/>
    <w:rsid w:val="00EE57A5"/>
    <w:rsid w:val="00EE5A2E"/>
    <w:rsid w:val="00EE5E9A"/>
    <w:rsid w:val="00EE6489"/>
    <w:rsid w:val="00EE64C2"/>
    <w:rsid w:val="00EE6990"/>
    <w:rsid w:val="00EE6D5D"/>
    <w:rsid w:val="00EE6FA7"/>
    <w:rsid w:val="00EE6FBB"/>
    <w:rsid w:val="00EE72C6"/>
    <w:rsid w:val="00EE73A8"/>
    <w:rsid w:val="00EE789C"/>
    <w:rsid w:val="00EE7991"/>
    <w:rsid w:val="00EF025D"/>
    <w:rsid w:val="00EF027D"/>
    <w:rsid w:val="00EF052B"/>
    <w:rsid w:val="00EF0909"/>
    <w:rsid w:val="00EF0C94"/>
    <w:rsid w:val="00EF0E2F"/>
    <w:rsid w:val="00EF0EB0"/>
    <w:rsid w:val="00EF16DA"/>
    <w:rsid w:val="00EF17EC"/>
    <w:rsid w:val="00EF1B3B"/>
    <w:rsid w:val="00EF262A"/>
    <w:rsid w:val="00EF27A2"/>
    <w:rsid w:val="00EF286F"/>
    <w:rsid w:val="00EF2C23"/>
    <w:rsid w:val="00EF2D0F"/>
    <w:rsid w:val="00EF36D7"/>
    <w:rsid w:val="00EF3A67"/>
    <w:rsid w:val="00EF3A74"/>
    <w:rsid w:val="00EF3C20"/>
    <w:rsid w:val="00EF3E35"/>
    <w:rsid w:val="00EF461C"/>
    <w:rsid w:val="00EF4665"/>
    <w:rsid w:val="00EF482D"/>
    <w:rsid w:val="00EF4D7C"/>
    <w:rsid w:val="00EF5043"/>
    <w:rsid w:val="00EF51DE"/>
    <w:rsid w:val="00EF5269"/>
    <w:rsid w:val="00EF5ABD"/>
    <w:rsid w:val="00EF5D37"/>
    <w:rsid w:val="00EF5D65"/>
    <w:rsid w:val="00EF6087"/>
    <w:rsid w:val="00EF6159"/>
    <w:rsid w:val="00EF61D8"/>
    <w:rsid w:val="00EF6278"/>
    <w:rsid w:val="00EF6B13"/>
    <w:rsid w:val="00EF6D43"/>
    <w:rsid w:val="00EF789C"/>
    <w:rsid w:val="00EF78A1"/>
    <w:rsid w:val="00EF798C"/>
    <w:rsid w:val="00EF7C23"/>
    <w:rsid w:val="00F00252"/>
    <w:rsid w:val="00F0052F"/>
    <w:rsid w:val="00F007FD"/>
    <w:rsid w:val="00F008AA"/>
    <w:rsid w:val="00F00DBE"/>
    <w:rsid w:val="00F018F7"/>
    <w:rsid w:val="00F0220F"/>
    <w:rsid w:val="00F024A4"/>
    <w:rsid w:val="00F025E3"/>
    <w:rsid w:val="00F027C4"/>
    <w:rsid w:val="00F02CBA"/>
    <w:rsid w:val="00F02FB1"/>
    <w:rsid w:val="00F03051"/>
    <w:rsid w:val="00F03C91"/>
    <w:rsid w:val="00F040C3"/>
    <w:rsid w:val="00F0413C"/>
    <w:rsid w:val="00F0421E"/>
    <w:rsid w:val="00F04687"/>
    <w:rsid w:val="00F04A40"/>
    <w:rsid w:val="00F04D53"/>
    <w:rsid w:val="00F0519E"/>
    <w:rsid w:val="00F05256"/>
    <w:rsid w:val="00F0583C"/>
    <w:rsid w:val="00F05CA8"/>
    <w:rsid w:val="00F06574"/>
    <w:rsid w:val="00F06BBD"/>
    <w:rsid w:val="00F06F61"/>
    <w:rsid w:val="00F0731A"/>
    <w:rsid w:val="00F076D5"/>
    <w:rsid w:val="00F0782E"/>
    <w:rsid w:val="00F07C91"/>
    <w:rsid w:val="00F07CBD"/>
    <w:rsid w:val="00F10170"/>
    <w:rsid w:val="00F102E9"/>
    <w:rsid w:val="00F103C1"/>
    <w:rsid w:val="00F106F0"/>
    <w:rsid w:val="00F107AA"/>
    <w:rsid w:val="00F10EF9"/>
    <w:rsid w:val="00F116C1"/>
    <w:rsid w:val="00F117FA"/>
    <w:rsid w:val="00F1245B"/>
    <w:rsid w:val="00F12716"/>
    <w:rsid w:val="00F1289C"/>
    <w:rsid w:val="00F12AAD"/>
    <w:rsid w:val="00F12FBC"/>
    <w:rsid w:val="00F13008"/>
    <w:rsid w:val="00F13CDC"/>
    <w:rsid w:val="00F13DBA"/>
    <w:rsid w:val="00F13E04"/>
    <w:rsid w:val="00F14112"/>
    <w:rsid w:val="00F14BDF"/>
    <w:rsid w:val="00F14CBA"/>
    <w:rsid w:val="00F14DCC"/>
    <w:rsid w:val="00F15064"/>
    <w:rsid w:val="00F1532B"/>
    <w:rsid w:val="00F1567D"/>
    <w:rsid w:val="00F15B64"/>
    <w:rsid w:val="00F160CB"/>
    <w:rsid w:val="00F1675E"/>
    <w:rsid w:val="00F167B6"/>
    <w:rsid w:val="00F16CCA"/>
    <w:rsid w:val="00F170C1"/>
    <w:rsid w:val="00F172BA"/>
    <w:rsid w:val="00F17BB0"/>
    <w:rsid w:val="00F17D76"/>
    <w:rsid w:val="00F17DFB"/>
    <w:rsid w:val="00F21096"/>
    <w:rsid w:val="00F210AA"/>
    <w:rsid w:val="00F21685"/>
    <w:rsid w:val="00F2169B"/>
    <w:rsid w:val="00F2239A"/>
    <w:rsid w:val="00F2285C"/>
    <w:rsid w:val="00F22BA2"/>
    <w:rsid w:val="00F22BDE"/>
    <w:rsid w:val="00F22DBB"/>
    <w:rsid w:val="00F231D8"/>
    <w:rsid w:val="00F233D4"/>
    <w:rsid w:val="00F2345E"/>
    <w:rsid w:val="00F237FE"/>
    <w:rsid w:val="00F23A46"/>
    <w:rsid w:val="00F23BC4"/>
    <w:rsid w:val="00F246A8"/>
    <w:rsid w:val="00F247FF"/>
    <w:rsid w:val="00F24CB5"/>
    <w:rsid w:val="00F2509B"/>
    <w:rsid w:val="00F25714"/>
    <w:rsid w:val="00F26084"/>
    <w:rsid w:val="00F2660A"/>
    <w:rsid w:val="00F26C5D"/>
    <w:rsid w:val="00F26D65"/>
    <w:rsid w:val="00F27027"/>
    <w:rsid w:val="00F27041"/>
    <w:rsid w:val="00F27080"/>
    <w:rsid w:val="00F2744F"/>
    <w:rsid w:val="00F27531"/>
    <w:rsid w:val="00F302FF"/>
    <w:rsid w:val="00F30455"/>
    <w:rsid w:val="00F30B44"/>
    <w:rsid w:val="00F30F5D"/>
    <w:rsid w:val="00F310EA"/>
    <w:rsid w:val="00F31670"/>
    <w:rsid w:val="00F31C14"/>
    <w:rsid w:val="00F31C60"/>
    <w:rsid w:val="00F31FD5"/>
    <w:rsid w:val="00F326F5"/>
    <w:rsid w:val="00F3284E"/>
    <w:rsid w:val="00F3378E"/>
    <w:rsid w:val="00F33DC5"/>
    <w:rsid w:val="00F343BC"/>
    <w:rsid w:val="00F348FC"/>
    <w:rsid w:val="00F34AD5"/>
    <w:rsid w:val="00F34C14"/>
    <w:rsid w:val="00F34EB5"/>
    <w:rsid w:val="00F3510A"/>
    <w:rsid w:val="00F3525D"/>
    <w:rsid w:val="00F356B4"/>
    <w:rsid w:val="00F35BF3"/>
    <w:rsid w:val="00F360F7"/>
    <w:rsid w:val="00F36442"/>
    <w:rsid w:val="00F36AC9"/>
    <w:rsid w:val="00F36FED"/>
    <w:rsid w:val="00F37D71"/>
    <w:rsid w:val="00F37FCF"/>
    <w:rsid w:val="00F409E4"/>
    <w:rsid w:val="00F412FC"/>
    <w:rsid w:val="00F41930"/>
    <w:rsid w:val="00F41DDA"/>
    <w:rsid w:val="00F4240E"/>
    <w:rsid w:val="00F429A4"/>
    <w:rsid w:val="00F434A1"/>
    <w:rsid w:val="00F43DFE"/>
    <w:rsid w:val="00F440DB"/>
    <w:rsid w:val="00F4455E"/>
    <w:rsid w:val="00F44641"/>
    <w:rsid w:val="00F4484B"/>
    <w:rsid w:val="00F449FB"/>
    <w:rsid w:val="00F44B16"/>
    <w:rsid w:val="00F44D6A"/>
    <w:rsid w:val="00F455D1"/>
    <w:rsid w:val="00F457F1"/>
    <w:rsid w:val="00F45916"/>
    <w:rsid w:val="00F45DB8"/>
    <w:rsid w:val="00F4645C"/>
    <w:rsid w:val="00F4657E"/>
    <w:rsid w:val="00F465D7"/>
    <w:rsid w:val="00F46E0D"/>
    <w:rsid w:val="00F46E2D"/>
    <w:rsid w:val="00F47244"/>
    <w:rsid w:val="00F4760C"/>
    <w:rsid w:val="00F47689"/>
    <w:rsid w:val="00F47B62"/>
    <w:rsid w:val="00F47C4C"/>
    <w:rsid w:val="00F47FE1"/>
    <w:rsid w:val="00F5023E"/>
    <w:rsid w:val="00F50633"/>
    <w:rsid w:val="00F5063D"/>
    <w:rsid w:val="00F508ED"/>
    <w:rsid w:val="00F50E7D"/>
    <w:rsid w:val="00F51191"/>
    <w:rsid w:val="00F518B5"/>
    <w:rsid w:val="00F51A20"/>
    <w:rsid w:val="00F51CB1"/>
    <w:rsid w:val="00F51E69"/>
    <w:rsid w:val="00F527B3"/>
    <w:rsid w:val="00F5284F"/>
    <w:rsid w:val="00F529A9"/>
    <w:rsid w:val="00F52EAF"/>
    <w:rsid w:val="00F5371A"/>
    <w:rsid w:val="00F53DC0"/>
    <w:rsid w:val="00F53F51"/>
    <w:rsid w:val="00F53FCE"/>
    <w:rsid w:val="00F5456E"/>
    <w:rsid w:val="00F54759"/>
    <w:rsid w:val="00F54D25"/>
    <w:rsid w:val="00F551E0"/>
    <w:rsid w:val="00F5539E"/>
    <w:rsid w:val="00F55568"/>
    <w:rsid w:val="00F55EB7"/>
    <w:rsid w:val="00F5623F"/>
    <w:rsid w:val="00F57047"/>
    <w:rsid w:val="00F5721E"/>
    <w:rsid w:val="00F57709"/>
    <w:rsid w:val="00F5789F"/>
    <w:rsid w:val="00F57D9F"/>
    <w:rsid w:val="00F57DF6"/>
    <w:rsid w:val="00F608A7"/>
    <w:rsid w:val="00F61075"/>
    <w:rsid w:val="00F61098"/>
    <w:rsid w:val="00F6142A"/>
    <w:rsid w:val="00F6184E"/>
    <w:rsid w:val="00F61CEF"/>
    <w:rsid w:val="00F61DE7"/>
    <w:rsid w:val="00F62A22"/>
    <w:rsid w:val="00F62CF5"/>
    <w:rsid w:val="00F63063"/>
    <w:rsid w:val="00F6374E"/>
    <w:rsid w:val="00F643A7"/>
    <w:rsid w:val="00F65072"/>
    <w:rsid w:val="00F65119"/>
    <w:rsid w:val="00F65400"/>
    <w:rsid w:val="00F658F6"/>
    <w:rsid w:val="00F659AF"/>
    <w:rsid w:val="00F65A82"/>
    <w:rsid w:val="00F66111"/>
    <w:rsid w:val="00F6617D"/>
    <w:rsid w:val="00F6661E"/>
    <w:rsid w:val="00F669F4"/>
    <w:rsid w:val="00F672D7"/>
    <w:rsid w:val="00F6774A"/>
    <w:rsid w:val="00F67DA0"/>
    <w:rsid w:val="00F70140"/>
    <w:rsid w:val="00F70412"/>
    <w:rsid w:val="00F705EA"/>
    <w:rsid w:val="00F70645"/>
    <w:rsid w:val="00F706F4"/>
    <w:rsid w:val="00F70823"/>
    <w:rsid w:val="00F7183C"/>
    <w:rsid w:val="00F7196E"/>
    <w:rsid w:val="00F72180"/>
    <w:rsid w:val="00F721D3"/>
    <w:rsid w:val="00F72AAD"/>
    <w:rsid w:val="00F72AB4"/>
    <w:rsid w:val="00F72DD9"/>
    <w:rsid w:val="00F73016"/>
    <w:rsid w:val="00F73634"/>
    <w:rsid w:val="00F73EA3"/>
    <w:rsid w:val="00F742C2"/>
    <w:rsid w:val="00F7436F"/>
    <w:rsid w:val="00F743AD"/>
    <w:rsid w:val="00F74811"/>
    <w:rsid w:val="00F7515B"/>
    <w:rsid w:val="00F7531E"/>
    <w:rsid w:val="00F75762"/>
    <w:rsid w:val="00F75843"/>
    <w:rsid w:val="00F75958"/>
    <w:rsid w:val="00F75AFF"/>
    <w:rsid w:val="00F763ED"/>
    <w:rsid w:val="00F7645E"/>
    <w:rsid w:val="00F765B1"/>
    <w:rsid w:val="00F76ED6"/>
    <w:rsid w:val="00F76F18"/>
    <w:rsid w:val="00F77244"/>
    <w:rsid w:val="00F775A1"/>
    <w:rsid w:val="00F77B62"/>
    <w:rsid w:val="00F77C7B"/>
    <w:rsid w:val="00F801BC"/>
    <w:rsid w:val="00F80590"/>
    <w:rsid w:val="00F80C23"/>
    <w:rsid w:val="00F8103B"/>
    <w:rsid w:val="00F815B6"/>
    <w:rsid w:val="00F81B02"/>
    <w:rsid w:val="00F81ECD"/>
    <w:rsid w:val="00F825E4"/>
    <w:rsid w:val="00F829CA"/>
    <w:rsid w:val="00F82A40"/>
    <w:rsid w:val="00F82A92"/>
    <w:rsid w:val="00F82C9F"/>
    <w:rsid w:val="00F82D93"/>
    <w:rsid w:val="00F831AE"/>
    <w:rsid w:val="00F831B1"/>
    <w:rsid w:val="00F83ACD"/>
    <w:rsid w:val="00F83BFD"/>
    <w:rsid w:val="00F84004"/>
    <w:rsid w:val="00F842E3"/>
    <w:rsid w:val="00F846B3"/>
    <w:rsid w:val="00F84CFE"/>
    <w:rsid w:val="00F84E2F"/>
    <w:rsid w:val="00F850D2"/>
    <w:rsid w:val="00F8525C"/>
    <w:rsid w:val="00F852EB"/>
    <w:rsid w:val="00F85364"/>
    <w:rsid w:val="00F85884"/>
    <w:rsid w:val="00F868C5"/>
    <w:rsid w:val="00F86A55"/>
    <w:rsid w:val="00F873E5"/>
    <w:rsid w:val="00F87E44"/>
    <w:rsid w:val="00F901CF"/>
    <w:rsid w:val="00F901D7"/>
    <w:rsid w:val="00F9125A"/>
    <w:rsid w:val="00F913FC"/>
    <w:rsid w:val="00F91CD2"/>
    <w:rsid w:val="00F9229F"/>
    <w:rsid w:val="00F9258D"/>
    <w:rsid w:val="00F92EF7"/>
    <w:rsid w:val="00F92F77"/>
    <w:rsid w:val="00F93182"/>
    <w:rsid w:val="00F935AF"/>
    <w:rsid w:val="00F936F0"/>
    <w:rsid w:val="00F93FDD"/>
    <w:rsid w:val="00F94031"/>
    <w:rsid w:val="00F949BF"/>
    <w:rsid w:val="00F94D3D"/>
    <w:rsid w:val="00F955CE"/>
    <w:rsid w:val="00F95FE2"/>
    <w:rsid w:val="00F9612A"/>
    <w:rsid w:val="00F96217"/>
    <w:rsid w:val="00F9642A"/>
    <w:rsid w:val="00F974DF"/>
    <w:rsid w:val="00F97ABA"/>
    <w:rsid w:val="00F97AC0"/>
    <w:rsid w:val="00F97BA5"/>
    <w:rsid w:val="00F97C08"/>
    <w:rsid w:val="00FA02AC"/>
    <w:rsid w:val="00FA0640"/>
    <w:rsid w:val="00FA08E4"/>
    <w:rsid w:val="00FA0AFD"/>
    <w:rsid w:val="00FA1241"/>
    <w:rsid w:val="00FA12B6"/>
    <w:rsid w:val="00FA1459"/>
    <w:rsid w:val="00FA1AE8"/>
    <w:rsid w:val="00FA1EDA"/>
    <w:rsid w:val="00FA2323"/>
    <w:rsid w:val="00FA2626"/>
    <w:rsid w:val="00FA27AC"/>
    <w:rsid w:val="00FA2A41"/>
    <w:rsid w:val="00FA2B4B"/>
    <w:rsid w:val="00FA2E18"/>
    <w:rsid w:val="00FA317A"/>
    <w:rsid w:val="00FA3908"/>
    <w:rsid w:val="00FA3A63"/>
    <w:rsid w:val="00FA48DA"/>
    <w:rsid w:val="00FA5068"/>
    <w:rsid w:val="00FA5421"/>
    <w:rsid w:val="00FA5932"/>
    <w:rsid w:val="00FA5EE8"/>
    <w:rsid w:val="00FA6CB3"/>
    <w:rsid w:val="00FA6CD4"/>
    <w:rsid w:val="00FA7435"/>
    <w:rsid w:val="00FA79F7"/>
    <w:rsid w:val="00FB00A6"/>
    <w:rsid w:val="00FB01C5"/>
    <w:rsid w:val="00FB047C"/>
    <w:rsid w:val="00FB10BD"/>
    <w:rsid w:val="00FB11A5"/>
    <w:rsid w:val="00FB132B"/>
    <w:rsid w:val="00FB1BE7"/>
    <w:rsid w:val="00FB1FBD"/>
    <w:rsid w:val="00FB20AE"/>
    <w:rsid w:val="00FB2512"/>
    <w:rsid w:val="00FB2866"/>
    <w:rsid w:val="00FB2ACC"/>
    <w:rsid w:val="00FB2E49"/>
    <w:rsid w:val="00FB3682"/>
    <w:rsid w:val="00FB38F9"/>
    <w:rsid w:val="00FB3B5F"/>
    <w:rsid w:val="00FB3BA4"/>
    <w:rsid w:val="00FB416D"/>
    <w:rsid w:val="00FB4D7E"/>
    <w:rsid w:val="00FB521E"/>
    <w:rsid w:val="00FB5247"/>
    <w:rsid w:val="00FB6425"/>
    <w:rsid w:val="00FB6E48"/>
    <w:rsid w:val="00FB6F25"/>
    <w:rsid w:val="00FB746D"/>
    <w:rsid w:val="00FB777D"/>
    <w:rsid w:val="00FB7B05"/>
    <w:rsid w:val="00FB7F41"/>
    <w:rsid w:val="00FB7F76"/>
    <w:rsid w:val="00FC0157"/>
    <w:rsid w:val="00FC0390"/>
    <w:rsid w:val="00FC0396"/>
    <w:rsid w:val="00FC06B9"/>
    <w:rsid w:val="00FC07AC"/>
    <w:rsid w:val="00FC109F"/>
    <w:rsid w:val="00FC17F6"/>
    <w:rsid w:val="00FC1DAB"/>
    <w:rsid w:val="00FC2635"/>
    <w:rsid w:val="00FC2FEE"/>
    <w:rsid w:val="00FC3188"/>
    <w:rsid w:val="00FC34B6"/>
    <w:rsid w:val="00FC421C"/>
    <w:rsid w:val="00FC434E"/>
    <w:rsid w:val="00FC46ED"/>
    <w:rsid w:val="00FC4779"/>
    <w:rsid w:val="00FC4790"/>
    <w:rsid w:val="00FC490B"/>
    <w:rsid w:val="00FC4CC4"/>
    <w:rsid w:val="00FC524E"/>
    <w:rsid w:val="00FC5524"/>
    <w:rsid w:val="00FC595C"/>
    <w:rsid w:val="00FC5B1C"/>
    <w:rsid w:val="00FC5F83"/>
    <w:rsid w:val="00FC617D"/>
    <w:rsid w:val="00FC630A"/>
    <w:rsid w:val="00FC6B6B"/>
    <w:rsid w:val="00FC6D2C"/>
    <w:rsid w:val="00FC6F07"/>
    <w:rsid w:val="00FC7A03"/>
    <w:rsid w:val="00FC7D5D"/>
    <w:rsid w:val="00FC7E54"/>
    <w:rsid w:val="00FD0496"/>
    <w:rsid w:val="00FD0843"/>
    <w:rsid w:val="00FD08CF"/>
    <w:rsid w:val="00FD0B22"/>
    <w:rsid w:val="00FD0EE2"/>
    <w:rsid w:val="00FD1075"/>
    <w:rsid w:val="00FD10D5"/>
    <w:rsid w:val="00FD241E"/>
    <w:rsid w:val="00FD2517"/>
    <w:rsid w:val="00FD2817"/>
    <w:rsid w:val="00FD28E1"/>
    <w:rsid w:val="00FD29D4"/>
    <w:rsid w:val="00FD34C3"/>
    <w:rsid w:val="00FD3BA7"/>
    <w:rsid w:val="00FD4086"/>
    <w:rsid w:val="00FD4190"/>
    <w:rsid w:val="00FD424A"/>
    <w:rsid w:val="00FD4443"/>
    <w:rsid w:val="00FD4D6B"/>
    <w:rsid w:val="00FD5288"/>
    <w:rsid w:val="00FD5B54"/>
    <w:rsid w:val="00FD5EBB"/>
    <w:rsid w:val="00FD6521"/>
    <w:rsid w:val="00FD79F0"/>
    <w:rsid w:val="00FD7ACD"/>
    <w:rsid w:val="00FE09A0"/>
    <w:rsid w:val="00FE1019"/>
    <w:rsid w:val="00FE1325"/>
    <w:rsid w:val="00FE2324"/>
    <w:rsid w:val="00FE25A7"/>
    <w:rsid w:val="00FE32ED"/>
    <w:rsid w:val="00FE4449"/>
    <w:rsid w:val="00FE4502"/>
    <w:rsid w:val="00FE47F5"/>
    <w:rsid w:val="00FE4AA6"/>
    <w:rsid w:val="00FE4E34"/>
    <w:rsid w:val="00FE510C"/>
    <w:rsid w:val="00FE538D"/>
    <w:rsid w:val="00FE5445"/>
    <w:rsid w:val="00FE5983"/>
    <w:rsid w:val="00FE5BE5"/>
    <w:rsid w:val="00FE5FE2"/>
    <w:rsid w:val="00FE60C9"/>
    <w:rsid w:val="00FE66D2"/>
    <w:rsid w:val="00FE740A"/>
    <w:rsid w:val="00FE74A2"/>
    <w:rsid w:val="00FE7862"/>
    <w:rsid w:val="00FE7A64"/>
    <w:rsid w:val="00FE7DDE"/>
    <w:rsid w:val="00FF00DB"/>
    <w:rsid w:val="00FF00E6"/>
    <w:rsid w:val="00FF0423"/>
    <w:rsid w:val="00FF048E"/>
    <w:rsid w:val="00FF0E36"/>
    <w:rsid w:val="00FF1433"/>
    <w:rsid w:val="00FF156F"/>
    <w:rsid w:val="00FF1A94"/>
    <w:rsid w:val="00FF1B4D"/>
    <w:rsid w:val="00FF21AE"/>
    <w:rsid w:val="00FF230B"/>
    <w:rsid w:val="00FF255F"/>
    <w:rsid w:val="00FF2681"/>
    <w:rsid w:val="00FF275E"/>
    <w:rsid w:val="00FF2FEE"/>
    <w:rsid w:val="00FF313C"/>
    <w:rsid w:val="00FF384E"/>
    <w:rsid w:val="00FF388E"/>
    <w:rsid w:val="00FF3AFD"/>
    <w:rsid w:val="00FF3D6F"/>
    <w:rsid w:val="00FF49AF"/>
    <w:rsid w:val="00FF4C87"/>
    <w:rsid w:val="00FF4FA1"/>
    <w:rsid w:val="00FF5171"/>
    <w:rsid w:val="00FF536D"/>
    <w:rsid w:val="00FF5488"/>
    <w:rsid w:val="00FF578F"/>
    <w:rsid w:val="00FF60E2"/>
    <w:rsid w:val="00FF638B"/>
    <w:rsid w:val="00FF6682"/>
    <w:rsid w:val="00FF692B"/>
    <w:rsid w:val="00FF6A6A"/>
    <w:rsid w:val="00FF70C1"/>
    <w:rsid w:val="00FF7384"/>
    <w:rsid w:val="00FF7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31527b">
      <v:stroke endarrow="open" color="#31527b" weight="1.5pt"/>
      <o:colormru v:ext="edit" colors="#99597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nhideWhenUsed="0" w:qFormat="1"/>
    <w:lsdException w:name="heading 6" w:locked="0" w:semiHidden="0" w:unhideWhenUsed="0" w:qFormat="1"/>
    <w:lsdException w:name="heading 7" w:locked="0" w:qFormat="1"/>
    <w:lsdException w:name="heading 8" w:locked="0" w:qFormat="1"/>
    <w:lsdException w:name="heading 9" w:locked="0" w:qFormat="1"/>
    <w:lsdException w:name="toc 1" w:uiPriority="39"/>
    <w:lsdException w:name="toc 2" w:uiPriority="39"/>
    <w:lsdException w:name="toc 3" w:locked="0" w:uiPriority="39"/>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locked="0"/>
    <w:lsdException w:name="annotation text" w:locked="0"/>
    <w:lsdException w:name="footer" w:uiPriority="99"/>
    <w:lsdException w:name="caption" w:locked="0" w:qFormat="1"/>
    <w:lsdException w:name="table of figures" w:locked="0" w:uiPriority="99"/>
    <w:lsdException w:name="footnote reference" w:locked="0"/>
    <w:lsdException w:name="annotation reference" w:locked="0"/>
    <w:lsdException w:name="List Number" w:semiHidden="0" w:unhideWhenUsed="0"/>
    <w:lsdException w:name="List 4" w:semiHidden="0" w:unhideWhenUsed="0"/>
    <w:lsdException w:name="List 5" w:semiHidden="0" w:unhideWhenUsed="0"/>
    <w:lsdException w:name="Title" w:locked="0" w:semiHidden="0" w:unhideWhenUsed="0"/>
    <w:lsdException w:name="Signature" w:locked="0"/>
    <w:lsdException w:name="Default Paragraph Font" w:locked="0" w:uiPriority="1"/>
    <w:lsdException w:name="Subtitle" w:semiHidden="0" w:unhideWhenUsed="0"/>
    <w:lsdException w:name="Salutation"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Document Map" w:locked="0"/>
    <w:lsdException w:name="E-mail Signature" w:locked="0"/>
    <w:lsdException w:name="HTML Top of Form" w:locked="0"/>
    <w:lsdException w:name="HTML Bottom of Form" w:locked="0"/>
    <w:lsdException w:name="Normal (Web)" w:locked="0" w:uiPriority="99"/>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semiHidden="0" w:uiPriority="59" w:unhideWhenUsed="0"/>
    <w:lsdException w:name="Placeholder Text" w:locked="0"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locked="0" w:uiPriority="39" w:qFormat="1"/>
  </w:latentStyles>
  <w:style w:type="paragraph" w:default="1" w:styleId="Normln">
    <w:name w:val="Normal"/>
    <w:hidden/>
    <w:qFormat/>
    <w:rsid w:val="00DC1829"/>
    <w:pPr>
      <w:spacing w:before="60" w:after="60"/>
      <w:jc w:val="both"/>
    </w:pPr>
  </w:style>
  <w:style w:type="paragraph" w:styleId="Nadpis1">
    <w:name w:val="heading 1"/>
    <w:basedOn w:val="Normln"/>
    <w:next w:val="Normln"/>
    <w:qFormat/>
    <w:rsid w:val="0087101F"/>
    <w:pPr>
      <w:keepNext/>
      <w:pageBreakBefore/>
      <w:numPr>
        <w:numId w:val="1"/>
      </w:numPr>
      <w:outlineLvl w:val="0"/>
    </w:pPr>
    <w:rPr>
      <w:rFonts w:cs="Arial"/>
      <w:b/>
      <w:bCs/>
      <w:kern w:val="32"/>
      <w:sz w:val="40"/>
      <w:szCs w:val="32"/>
    </w:rPr>
  </w:style>
  <w:style w:type="paragraph" w:styleId="Nadpis2">
    <w:name w:val="heading 2"/>
    <w:basedOn w:val="Normln"/>
    <w:next w:val="Normln"/>
    <w:qFormat/>
    <w:rsid w:val="00F84004"/>
    <w:pPr>
      <w:keepNext/>
      <w:numPr>
        <w:ilvl w:val="1"/>
        <w:numId w:val="1"/>
      </w:numPr>
      <w:pBdr>
        <w:bottom w:val="single" w:sz="12" w:space="1" w:color="E5DFEC"/>
      </w:pBdr>
      <w:spacing w:before="240"/>
      <w:jc w:val="left"/>
      <w:outlineLvl w:val="1"/>
    </w:pPr>
    <w:rPr>
      <w:rFonts w:cs="Arial"/>
      <w:b/>
      <w:bCs/>
      <w:iCs/>
      <w:sz w:val="28"/>
      <w:szCs w:val="28"/>
    </w:rPr>
  </w:style>
  <w:style w:type="paragraph" w:styleId="Nadpis3">
    <w:name w:val="heading 3"/>
    <w:basedOn w:val="Normln"/>
    <w:next w:val="Normln"/>
    <w:qFormat/>
    <w:rsid w:val="004317A0"/>
    <w:pPr>
      <w:keepNext/>
      <w:numPr>
        <w:ilvl w:val="2"/>
        <w:numId w:val="1"/>
      </w:numPr>
      <w:spacing w:before="120" w:after="0"/>
      <w:outlineLvl w:val="2"/>
    </w:pPr>
    <w:rPr>
      <w:rFonts w:cs="Arial"/>
      <w:b/>
      <w:bCs/>
      <w:sz w:val="24"/>
      <w:szCs w:val="26"/>
    </w:rPr>
  </w:style>
  <w:style w:type="paragraph" w:styleId="Nadpis4">
    <w:name w:val="heading 4"/>
    <w:basedOn w:val="Nadpis3"/>
    <w:next w:val="Normln"/>
    <w:qFormat/>
    <w:rsid w:val="00C3222C"/>
    <w:pPr>
      <w:numPr>
        <w:ilvl w:val="0"/>
        <w:numId w:val="0"/>
      </w:numPr>
      <w:tabs>
        <w:tab w:val="num" w:pos="864"/>
      </w:tabs>
      <w:outlineLvl w:val="3"/>
    </w:pPr>
    <w:rPr>
      <w:bCs w:val="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locked/>
    <w:rsid w:val="00175F17"/>
    <w:pPr>
      <w:tabs>
        <w:tab w:val="center" w:pos="4536"/>
        <w:tab w:val="right" w:pos="9072"/>
      </w:tabs>
    </w:pPr>
  </w:style>
  <w:style w:type="paragraph" w:styleId="Zpat">
    <w:name w:val="footer"/>
    <w:basedOn w:val="Normln"/>
    <w:link w:val="ZpatChar"/>
    <w:uiPriority w:val="99"/>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pPr>
    <w:rPr>
      <w:b/>
      <w:noProof/>
    </w:rPr>
  </w:style>
  <w:style w:type="paragraph" w:styleId="Obsah2">
    <w:name w:val="toc 2"/>
    <w:basedOn w:val="Normln"/>
    <w:next w:val="Normln"/>
    <w:autoRedefine/>
    <w:uiPriority w:val="39"/>
    <w:locked/>
    <w:rsid w:val="008060DF"/>
    <w:pPr>
      <w:tabs>
        <w:tab w:val="left" w:pos="1276"/>
        <w:tab w:val="right" w:leader="dot" w:pos="9628"/>
      </w:tabs>
      <w:ind w:left="709"/>
      <w:jc w:val="left"/>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D15AE3"/>
    <w:pPr>
      <w:tabs>
        <w:tab w:val="right" w:leader="dot" w:pos="9639"/>
      </w:tabs>
      <w:ind w:left="482" w:hanging="482"/>
    </w:pPr>
  </w:style>
  <w:style w:type="paragraph" w:customStyle="1" w:styleId="Nadpismal">
    <w:name w:val="Nadpis malý"/>
    <w:next w:val="Normln"/>
    <w:qFormat/>
    <w:rsid w:val="006813A5"/>
    <w:pPr>
      <w:keepNext/>
      <w:keepLines/>
      <w:spacing w:before="360" w:after="60"/>
      <w:jc w:val="both"/>
    </w:pPr>
    <w:rPr>
      <w:b/>
      <w:sz w:val="24"/>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pPr>
      <w:ind w:left="0" w:firstLine="0"/>
    </w:pPr>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pozn. pod čarou,Podrozdział,Footnote,Podrozdzia3"/>
    <w:basedOn w:val="Normln"/>
    <w:link w:val="TextpoznpodarouChar"/>
    <w:rsid w:val="007F3630"/>
    <w:rPr>
      <w:sz w:val="16"/>
    </w:rPr>
  </w:style>
  <w:style w:type="numbering" w:customStyle="1" w:styleId="StylSodrkami">
    <w:name w:val="Styl S odrážkami"/>
    <w:basedOn w:val="Bezseznamu"/>
    <w:rsid w:val="00866D85"/>
    <w:pPr>
      <w:numPr>
        <w:numId w:val="2"/>
      </w:numPr>
    </w:pPr>
  </w:style>
  <w:style w:type="paragraph" w:customStyle="1" w:styleId="NadpisAB">
    <w:name w:val="Nadpis AB"/>
    <w:basedOn w:val="Nadpis1"/>
    <w:rsid w:val="00D14A52"/>
    <w:pPr>
      <w:numPr>
        <w:numId w:val="3"/>
      </w:numPr>
      <w:jc w:val="left"/>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pPr>
      <w:numPr>
        <w:numId w:val="0"/>
      </w:numPr>
    </w:pPr>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pozn. pod čarou Char,Podrozdział Char,Footnote Char"/>
    <w:link w:val="Textpoznpodarou"/>
    <w:rsid w:val="007F3630"/>
    <w:rPr>
      <w:sz w:val="16"/>
    </w:rPr>
  </w:style>
  <w:style w:type="character" w:customStyle="1" w:styleId="ZhlavChar">
    <w:name w:val="Záhlaví Char"/>
    <w:link w:val="Zhlav"/>
    <w:rsid w:val="000D7324"/>
  </w:style>
  <w:style w:type="character" w:customStyle="1" w:styleId="ZpatChar">
    <w:name w:val="Zápatí Char"/>
    <w:link w:val="Zpat"/>
    <w:uiPriority w:val="99"/>
    <w:rsid w:val="000D7324"/>
  </w:style>
  <w:style w:type="paragraph" w:styleId="Odstavecseseznamem">
    <w:name w:val="List Paragraph"/>
    <w:basedOn w:val="Normln"/>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pageBreakBefore w:val="0"/>
      <w:numPr>
        <w:numId w:val="0"/>
      </w:numPr>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8060DF"/>
    <w:pPr>
      <w:tabs>
        <w:tab w:val="left" w:pos="1418"/>
        <w:tab w:val="right" w:leader="dot" w:pos="9628"/>
      </w:tabs>
      <w:ind w:left="851"/>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4"/>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0">
    <w:name w:val="Odstavec se seznamem1"/>
    <w:basedOn w:val="Normln"/>
    <w:rsid w:val="00062CD1"/>
    <w:pPr>
      <w:spacing w:after="0"/>
      <w:ind w:left="720"/>
      <w:contextualSpacing/>
      <w:jc w:val="left"/>
    </w:pPr>
    <w:rPr>
      <w:rFonts w:ascii="Times New Roman" w:hAnsi="Times New Roman"/>
      <w:sz w:val="24"/>
      <w:szCs w:val="24"/>
    </w:rPr>
  </w:style>
  <w:style w:type="paragraph" w:customStyle="1" w:styleId="Popisky">
    <w:name w:val="Popisky"/>
    <w:uiPriority w:val="99"/>
    <w:rsid w:val="00801527"/>
    <w:rPr>
      <w:rFonts w:ascii="Arial" w:hAnsi="Arial"/>
    </w:rPr>
  </w:style>
  <w:style w:type="paragraph" w:styleId="Zkladntextodsazen2">
    <w:name w:val="Body Text Indent 2"/>
    <w:basedOn w:val="Normln"/>
    <w:link w:val="Zkladntextodsazen2Char"/>
    <w:locked/>
    <w:rsid w:val="00013DB3"/>
    <w:pPr>
      <w:spacing w:line="480" w:lineRule="auto"/>
      <w:ind w:left="283"/>
      <w:jc w:val="left"/>
    </w:pPr>
    <w:rPr>
      <w:rFonts w:ascii="Times New Roman" w:hAnsi="Times New Roman"/>
      <w:sz w:val="24"/>
      <w:szCs w:val="24"/>
    </w:rPr>
  </w:style>
  <w:style w:type="character" w:customStyle="1" w:styleId="Zkladntextodsazen2Char">
    <w:name w:val="Základní text odsazený 2 Char"/>
    <w:link w:val="Zkladntextodsazen2"/>
    <w:rsid w:val="00013DB3"/>
    <w:rPr>
      <w:rFonts w:ascii="Times New Roman" w:hAnsi="Times New Roman"/>
      <w:sz w:val="24"/>
      <w:szCs w:val="24"/>
    </w:rPr>
  </w:style>
  <w:style w:type="character" w:styleId="Zvraznn">
    <w:name w:val="Emphasis"/>
    <w:uiPriority w:val="20"/>
    <w:qFormat/>
    <w:locked/>
    <w:rsid w:val="002031F5"/>
    <w:rPr>
      <w:b/>
      <w:bCs/>
      <w:i w:val="0"/>
      <w:iCs w:val="0"/>
    </w:rPr>
  </w:style>
  <w:style w:type="character" w:customStyle="1" w:styleId="st1">
    <w:name w:val="st1"/>
    <w:rsid w:val="002031F5"/>
  </w:style>
  <w:style w:type="paragraph" w:styleId="Normlnweb">
    <w:name w:val="Normal (Web)"/>
    <w:basedOn w:val="Normln"/>
    <w:uiPriority w:val="99"/>
    <w:unhideWhenUsed/>
    <w:rsid w:val="00B16A02"/>
    <w:pPr>
      <w:spacing w:before="100" w:beforeAutospacing="1" w:after="100" w:afterAutospacing="1"/>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nhideWhenUsed="0" w:qFormat="1"/>
    <w:lsdException w:name="heading 6" w:locked="0" w:semiHidden="0" w:unhideWhenUsed="0" w:qFormat="1"/>
    <w:lsdException w:name="heading 7" w:locked="0" w:qFormat="1"/>
    <w:lsdException w:name="heading 8" w:locked="0" w:qFormat="1"/>
    <w:lsdException w:name="heading 9" w:locked="0" w:qFormat="1"/>
    <w:lsdException w:name="toc 1" w:uiPriority="39"/>
    <w:lsdException w:name="toc 2" w:uiPriority="39"/>
    <w:lsdException w:name="toc 3" w:locked="0" w:uiPriority="39"/>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locked="0"/>
    <w:lsdException w:name="annotation text" w:locked="0"/>
    <w:lsdException w:name="footer" w:uiPriority="99"/>
    <w:lsdException w:name="caption" w:locked="0" w:qFormat="1"/>
    <w:lsdException w:name="table of figures" w:locked="0" w:uiPriority="99"/>
    <w:lsdException w:name="footnote reference" w:locked="0"/>
    <w:lsdException w:name="annotation reference" w:locked="0"/>
    <w:lsdException w:name="List Number" w:semiHidden="0" w:unhideWhenUsed="0"/>
    <w:lsdException w:name="List 4" w:semiHidden="0" w:unhideWhenUsed="0"/>
    <w:lsdException w:name="List 5" w:semiHidden="0" w:unhideWhenUsed="0"/>
    <w:lsdException w:name="Title" w:locked="0" w:semiHidden="0" w:unhideWhenUsed="0"/>
    <w:lsdException w:name="Signature" w:locked="0"/>
    <w:lsdException w:name="Default Paragraph Font" w:locked="0" w:uiPriority="1"/>
    <w:lsdException w:name="Subtitle" w:semiHidden="0" w:unhideWhenUsed="0"/>
    <w:lsdException w:name="Salutation"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Document Map" w:locked="0"/>
    <w:lsdException w:name="E-mail Signature" w:locked="0"/>
    <w:lsdException w:name="HTML Top of Form" w:locked="0"/>
    <w:lsdException w:name="HTML Bottom of Form" w:locked="0"/>
    <w:lsdException w:name="Normal (Web)" w:locked="0" w:uiPriority="99"/>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semiHidden="0" w:uiPriority="59" w:unhideWhenUsed="0"/>
    <w:lsdException w:name="Placeholder Text" w:locked="0"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locked="0" w:uiPriority="39" w:qFormat="1"/>
  </w:latentStyles>
  <w:style w:type="paragraph" w:default="1" w:styleId="Normln">
    <w:name w:val="Normal"/>
    <w:hidden/>
    <w:qFormat/>
    <w:rsid w:val="00DC1829"/>
    <w:pPr>
      <w:spacing w:before="60" w:after="60"/>
      <w:jc w:val="both"/>
    </w:pPr>
  </w:style>
  <w:style w:type="paragraph" w:styleId="Nadpis1">
    <w:name w:val="heading 1"/>
    <w:basedOn w:val="Normln"/>
    <w:next w:val="Normln"/>
    <w:qFormat/>
    <w:rsid w:val="0087101F"/>
    <w:pPr>
      <w:keepNext/>
      <w:pageBreakBefore/>
      <w:numPr>
        <w:numId w:val="1"/>
      </w:numPr>
      <w:outlineLvl w:val="0"/>
    </w:pPr>
    <w:rPr>
      <w:rFonts w:cs="Arial"/>
      <w:b/>
      <w:bCs/>
      <w:kern w:val="32"/>
      <w:sz w:val="40"/>
      <w:szCs w:val="32"/>
    </w:rPr>
  </w:style>
  <w:style w:type="paragraph" w:styleId="Nadpis2">
    <w:name w:val="heading 2"/>
    <w:basedOn w:val="Normln"/>
    <w:next w:val="Normln"/>
    <w:qFormat/>
    <w:rsid w:val="00F84004"/>
    <w:pPr>
      <w:keepNext/>
      <w:numPr>
        <w:ilvl w:val="1"/>
        <w:numId w:val="1"/>
      </w:numPr>
      <w:pBdr>
        <w:bottom w:val="single" w:sz="12" w:space="1" w:color="E5DFEC"/>
      </w:pBdr>
      <w:spacing w:before="240"/>
      <w:jc w:val="left"/>
      <w:outlineLvl w:val="1"/>
    </w:pPr>
    <w:rPr>
      <w:rFonts w:cs="Arial"/>
      <w:b/>
      <w:bCs/>
      <w:iCs/>
      <w:sz w:val="28"/>
      <w:szCs w:val="28"/>
    </w:rPr>
  </w:style>
  <w:style w:type="paragraph" w:styleId="Nadpis3">
    <w:name w:val="heading 3"/>
    <w:basedOn w:val="Normln"/>
    <w:next w:val="Normln"/>
    <w:qFormat/>
    <w:rsid w:val="004317A0"/>
    <w:pPr>
      <w:keepNext/>
      <w:numPr>
        <w:ilvl w:val="2"/>
        <w:numId w:val="1"/>
      </w:numPr>
      <w:spacing w:before="120" w:after="0"/>
      <w:outlineLvl w:val="2"/>
    </w:pPr>
    <w:rPr>
      <w:rFonts w:cs="Arial"/>
      <w:b/>
      <w:bCs/>
      <w:sz w:val="24"/>
      <w:szCs w:val="26"/>
    </w:rPr>
  </w:style>
  <w:style w:type="paragraph" w:styleId="Nadpis4">
    <w:name w:val="heading 4"/>
    <w:basedOn w:val="Nadpis3"/>
    <w:next w:val="Normln"/>
    <w:qFormat/>
    <w:rsid w:val="00C3222C"/>
    <w:pPr>
      <w:numPr>
        <w:ilvl w:val="0"/>
        <w:numId w:val="0"/>
      </w:numPr>
      <w:tabs>
        <w:tab w:val="num" w:pos="864"/>
      </w:tabs>
      <w:outlineLvl w:val="3"/>
    </w:pPr>
    <w:rPr>
      <w:bCs w:val="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locked/>
    <w:rsid w:val="00175F17"/>
    <w:pPr>
      <w:tabs>
        <w:tab w:val="center" w:pos="4536"/>
        <w:tab w:val="right" w:pos="9072"/>
      </w:tabs>
    </w:pPr>
  </w:style>
  <w:style w:type="paragraph" w:styleId="Zpat">
    <w:name w:val="footer"/>
    <w:basedOn w:val="Normln"/>
    <w:link w:val="ZpatChar"/>
    <w:uiPriority w:val="99"/>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pPr>
    <w:rPr>
      <w:b/>
      <w:noProof/>
    </w:rPr>
  </w:style>
  <w:style w:type="paragraph" w:styleId="Obsah2">
    <w:name w:val="toc 2"/>
    <w:basedOn w:val="Normln"/>
    <w:next w:val="Normln"/>
    <w:autoRedefine/>
    <w:uiPriority w:val="39"/>
    <w:locked/>
    <w:rsid w:val="008060DF"/>
    <w:pPr>
      <w:tabs>
        <w:tab w:val="left" w:pos="1276"/>
        <w:tab w:val="right" w:leader="dot" w:pos="9628"/>
      </w:tabs>
      <w:ind w:left="709"/>
      <w:jc w:val="left"/>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D15AE3"/>
    <w:pPr>
      <w:tabs>
        <w:tab w:val="right" w:leader="dot" w:pos="9639"/>
      </w:tabs>
      <w:ind w:left="482" w:hanging="482"/>
    </w:pPr>
  </w:style>
  <w:style w:type="paragraph" w:customStyle="1" w:styleId="Nadpismal">
    <w:name w:val="Nadpis malý"/>
    <w:next w:val="Normln"/>
    <w:qFormat/>
    <w:rsid w:val="006813A5"/>
    <w:pPr>
      <w:keepNext/>
      <w:keepLines/>
      <w:spacing w:before="360" w:after="60"/>
      <w:jc w:val="both"/>
    </w:pPr>
    <w:rPr>
      <w:b/>
      <w:sz w:val="24"/>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pPr>
      <w:ind w:left="0" w:firstLine="0"/>
    </w:pPr>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pozn. pod čarou,Podrozdział,Footnote,Podrozdzia3"/>
    <w:basedOn w:val="Normln"/>
    <w:link w:val="TextpoznpodarouChar"/>
    <w:rsid w:val="007F3630"/>
    <w:rPr>
      <w:sz w:val="16"/>
    </w:rPr>
  </w:style>
  <w:style w:type="numbering" w:customStyle="1" w:styleId="StylSodrkami">
    <w:name w:val="Styl S odrážkami"/>
    <w:basedOn w:val="Bezseznamu"/>
    <w:rsid w:val="00866D85"/>
    <w:pPr>
      <w:numPr>
        <w:numId w:val="2"/>
      </w:numPr>
    </w:pPr>
  </w:style>
  <w:style w:type="paragraph" w:customStyle="1" w:styleId="NadpisAB">
    <w:name w:val="Nadpis AB"/>
    <w:basedOn w:val="Nadpis1"/>
    <w:rsid w:val="00D14A52"/>
    <w:pPr>
      <w:numPr>
        <w:numId w:val="3"/>
      </w:numPr>
      <w:jc w:val="left"/>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pPr>
      <w:numPr>
        <w:numId w:val="0"/>
      </w:numPr>
    </w:pPr>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pozn. pod čarou Char,Podrozdział Char,Footnote Char"/>
    <w:link w:val="Textpoznpodarou"/>
    <w:rsid w:val="007F3630"/>
    <w:rPr>
      <w:sz w:val="16"/>
    </w:rPr>
  </w:style>
  <w:style w:type="character" w:customStyle="1" w:styleId="ZhlavChar">
    <w:name w:val="Záhlaví Char"/>
    <w:link w:val="Zhlav"/>
    <w:rsid w:val="000D7324"/>
  </w:style>
  <w:style w:type="character" w:customStyle="1" w:styleId="ZpatChar">
    <w:name w:val="Zápatí Char"/>
    <w:link w:val="Zpat"/>
    <w:uiPriority w:val="99"/>
    <w:rsid w:val="000D7324"/>
  </w:style>
  <w:style w:type="paragraph" w:styleId="Odstavecseseznamem">
    <w:name w:val="List Paragraph"/>
    <w:basedOn w:val="Normln"/>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pageBreakBefore w:val="0"/>
      <w:numPr>
        <w:numId w:val="0"/>
      </w:numPr>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8060DF"/>
    <w:pPr>
      <w:tabs>
        <w:tab w:val="left" w:pos="1418"/>
        <w:tab w:val="right" w:leader="dot" w:pos="9628"/>
      </w:tabs>
      <w:ind w:left="851"/>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4"/>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0">
    <w:name w:val="Odstavec se seznamem1"/>
    <w:basedOn w:val="Normln"/>
    <w:rsid w:val="00062CD1"/>
    <w:pPr>
      <w:spacing w:after="0"/>
      <w:ind w:left="720"/>
      <w:contextualSpacing/>
      <w:jc w:val="left"/>
    </w:pPr>
    <w:rPr>
      <w:rFonts w:ascii="Times New Roman" w:hAnsi="Times New Roman"/>
      <w:sz w:val="24"/>
      <w:szCs w:val="24"/>
    </w:rPr>
  </w:style>
  <w:style w:type="paragraph" w:customStyle="1" w:styleId="Popisky">
    <w:name w:val="Popisky"/>
    <w:uiPriority w:val="99"/>
    <w:rsid w:val="00801527"/>
    <w:rPr>
      <w:rFonts w:ascii="Arial" w:hAnsi="Arial"/>
    </w:rPr>
  </w:style>
  <w:style w:type="paragraph" w:styleId="Zkladntextodsazen2">
    <w:name w:val="Body Text Indent 2"/>
    <w:basedOn w:val="Normln"/>
    <w:link w:val="Zkladntextodsazen2Char"/>
    <w:locked/>
    <w:rsid w:val="00013DB3"/>
    <w:pPr>
      <w:spacing w:line="480" w:lineRule="auto"/>
      <w:ind w:left="283"/>
      <w:jc w:val="left"/>
    </w:pPr>
    <w:rPr>
      <w:rFonts w:ascii="Times New Roman" w:hAnsi="Times New Roman"/>
      <w:sz w:val="24"/>
      <w:szCs w:val="24"/>
    </w:rPr>
  </w:style>
  <w:style w:type="character" w:customStyle="1" w:styleId="Zkladntextodsazen2Char">
    <w:name w:val="Základní text odsazený 2 Char"/>
    <w:link w:val="Zkladntextodsazen2"/>
    <w:rsid w:val="00013DB3"/>
    <w:rPr>
      <w:rFonts w:ascii="Times New Roman" w:hAnsi="Times New Roman"/>
      <w:sz w:val="24"/>
      <w:szCs w:val="24"/>
    </w:rPr>
  </w:style>
  <w:style w:type="character" w:styleId="Zvraznn">
    <w:name w:val="Emphasis"/>
    <w:uiPriority w:val="20"/>
    <w:qFormat/>
    <w:locked/>
    <w:rsid w:val="002031F5"/>
    <w:rPr>
      <w:b/>
      <w:bCs/>
      <w:i w:val="0"/>
      <w:iCs w:val="0"/>
    </w:rPr>
  </w:style>
  <w:style w:type="character" w:customStyle="1" w:styleId="st1">
    <w:name w:val="st1"/>
    <w:rsid w:val="002031F5"/>
  </w:style>
  <w:style w:type="paragraph" w:styleId="Normlnweb">
    <w:name w:val="Normal (Web)"/>
    <w:basedOn w:val="Normln"/>
    <w:uiPriority w:val="99"/>
    <w:unhideWhenUsed/>
    <w:rsid w:val="00B16A02"/>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1432">
      <w:bodyDiv w:val="1"/>
      <w:marLeft w:val="0"/>
      <w:marRight w:val="0"/>
      <w:marTop w:val="0"/>
      <w:marBottom w:val="0"/>
      <w:divBdr>
        <w:top w:val="none" w:sz="0" w:space="0" w:color="auto"/>
        <w:left w:val="none" w:sz="0" w:space="0" w:color="auto"/>
        <w:bottom w:val="none" w:sz="0" w:space="0" w:color="auto"/>
        <w:right w:val="none" w:sz="0" w:space="0" w:color="auto"/>
      </w:divBdr>
    </w:div>
    <w:div w:id="61223538">
      <w:bodyDiv w:val="1"/>
      <w:marLeft w:val="0"/>
      <w:marRight w:val="0"/>
      <w:marTop w:val="0"/>
      <w:marBottom w:val="0"/>
      <w:divBdr>
        <w:top w:val="none" w:sz="0" w:space="0" w:color="auto"/>
        <w:left w:val="none" w:sz="0" w:space="0" w:color="auto"/>
        <w:bottom w:val="none" w:sz="0" w:space="0" w:color="auto"/>
        <w:right w:val="none" w:sz="0" w:space="0" w:color="auto"/>
      </w:divBdr>
    </w:div>
    <w:div w:id="66997437">
      <w:bodyDiv w:val="1"/>
      <w:marLeft w:val="0"/>
      <w:marRight w:val="0"/>
      <w:marTop w:val="0"/>
      <w:marBottom w:val="0"/>
      <w:divBdr>
        <w:top w:val="none" w:sz="0" w:space="0" w:color="auto"/>
        <w:left w:val="none" w:sz="0" w:space="0" w:color="auto"/>
        <w:bottom w:val="none" w:sz="0" w:space="0" w:color="auto"/>
        <w:right w:val="none" w:sz="0" w:space="0" w:color="auto"/>
      </w:divBdr>
    </w:div>
    <w:div w:id="116879764">
      <w:bodyDiv w:val="1"/>
      <w:marLeft w:val="0"/>
      <w:marRight w:val="0"/>
      <w:marTop w:val="0"/>
      <w:marBottom w:val="0"/>
      <w:divBdr>
        <w:top w:val="none" w:sz="0" w:space="0" w:color="auto"/>
        <w:left w:val="none" w:sz="0" w:space="0" w:color="auto"/>
        <w:bottom w:val="none" w:sz="0" w:space="0" w:color="auto"/>
        <w:right w:val="none" w:sz="0" w:space="0" w:color="auto"/>
      </w:divBdr>
    </w:div>
    <w:div w:id="122618123">
      <w:bodyDiv w:val="1"/>
      <w:marLeft w:val="0"/>
      <w:marRight w:val="0"/>
      <w:marTop w:val="0"/>
      <w:marBottom w:val="0"/>
      <w:divBdr>
        <w:top w:val="none" w:sz="0" w:space="0" w:color="auto"/>
        <w:left w:val="none" w:sz="0" w:space="0" w:color="auto"/>
        <w:bottom w:val="none" w:sz="0" w:space="0" w:color="auto"/>
        <w:right w:val="none" w:sz="0" w:space="0" w:color="auto"/>
      </w:divBdr>
    </w:div>
    <w:div w:id="139663159">
      <w:bodyDiv w:val="1"/>
      <w:marLeft w:val="0"/>
      <w:marRight w:val="0"/>
      <w:marTop w:val="0"/>
      <w:marBottom w:val="0"/>
      <w:divBdr>
        <w:top w:val="none" w:sz="0" w:space="0" w:color="auto"/>
        <w:left w:val="none" w:sz="0" w:space="0" w:color="auto"/>
        <w:bottom w:val="none" w:sz="0" w:space="0" w:color="auto"/>
        <w:right w:val="none" w:sz="0" w:space="0" w:color="auto"/>
      </w:divBdr>
    </w:div>
    <w:div w:id="232587717">
      <w:bodyDiv w:val="1"/>
      <w:marLeft w:val="0"/>
      <w:marRight w:val="0"/>
      <w:marTop w:val="0"/>
      <w:marBottom w:val="0"/>
      <w:divBdr>
        <w:top w:val="none" w:sz="0" w:space="0" w:color="auto"/>
        <w:left w:val="none" w:sz="0" w:space="0" w:color="auto"/>
        <w:bottom w:val="none" w:sz="0" w:space="0" w:color="auto"/>
        <w:right w:val="none" w:sz="0" w:space="0" w:color="auto"/>
      </w:divBdr>
    </w:div>
    <w:div w:id="250745427">
      <w:bodyDiv w:val="1"/>
      <w:marLeft w:val="0"/>
      <w:marRight w:val="0"/>
      <w:marTop w:val="0"/>
      <w:marBottom w:val="0"/>
      <w:divBdr>
        <w:top w:val="none" w:sz="0" w:space="0" w:color="auto"/>
        <w:left w:val="none" w:sz="0" w:space="0" w:color="auto"/>
        <w:bottom w:val="none" w:sz="0" w:space="0" w:color="auto"/>
        <w:right w:val="none" w:sz="0" w:space="0" w:color="auto"/>
      </w:divBdr>
    </w:div>
    <w:div w:id="280184735">
      <w:bodyDiv w:val="1"/>
      <w:marLeft w:val="0"/>
      <w:marRight w:val="0"/>
      <w:marTop w:val="0"/>
      <w:marBottom w:val="0"/>
      <w:divBdr>
        <w:top w:val="none" w:sz="0" w:space="0" w:color="auto"/>
        <w:left w:val="none" w:sz="0" w:space="0" w:color="auto"/>
        <w:bottom w:val="none" w:sz="0" w:space="0" w:color="auto"/>
        <w:right w:val="none" w:sz="0" w:space="0" w:color="auto"/>
      </w:divBdr>
    </w:div>
    <w:div w:id="299656054">
      <w:bodyDiv w:val="1"/>
      <w:marLeft w:val="0"/>
      <w:marRight w:val="0"/>
      <w:marTop w:val="0"/>
      <w:marBottom w:val="0"/>
      <w:divBdr>
        <w:top w:val="none" w:sz="0" w:space="0" w:color="auto"/>
        <w:left w:val="none" w:sz="0" w:space="0" w:color="auto"/>
        <w:bottom w:val="none" w:sz="0" w:space="0" w:color="auto"/>
        <w:right w:val="none" w:sz="0" w:space="0" w:color="auto"/>
      </w:divBdr>
    </w:div>
    <w:div w:id="317618949">
      <w:bodyDiv w:val="1"/>
      <w:marLeft w:val="0"/>
      <w:marRight w:val="0"/>
      <w:marTop w:val="0"/>
      <w:marBottom w:val="0"/>
      <w:divBdr>
        <w:top w:val="none" w:sz="0" w:space="0" w:color="auto"/>
        <w:left w:val="none" w:sz="0" w:space="0" w:color="auto"/>
        <w:bottom w:val="none" w:sz="0" w:space="0" w:color="auto"/>
        <w:right w:val="none" w:sz="0" w:space="0" w:color="auto"/>
      </w:divBdr>
    </w:div>
    <w:div w:id="351961072">
      <w:bodyDiv w:val="1"/>
      <w:marLeft w:val="0"/>
      <w:marRight w:val="0"/>
      <w:marTop w:val="0"/>
      <w:marBottom w:val="0"/>
      <w:divBdr>
        <w:top w:val="none" w:sz="0" w:space="0" w:color="auto"/>
        <w:left w:val="none" w:sz="0" w:space="0" w:color="auto"/>
        <w:bottom w:val="none" w:sz="0" w:space="0" w:color="auto"/>
        <w:right w:val="none" w:sz="0" w:space="0" w:color="auto"/>
      </w:divBdr>
    </w:div>
    <w:div w:id="369189164">
      <w:bodyDiv w:val="1"/>
      <w:marLeft w:val="0"/>
      <w:marRight w:val="0"/>
      <w:marTop w:val="0"/>
      <w:marBottom w:val="0"/>
      <w:divBdr>
        <w:top w:val="none" w:sz="0" w:space="0" w:color="auto"/>
        <w:left w:val="none" w:sz="0" w:space="0" w:color="auto"/>
        <w:bottom w:val="none" w:sz="0" w:space="0" w:color="auto"/>
        <w:right w:val="none" w:sz="0" w:space="0" w:color="auto"/>
      </w:divBdr>
    </w:div>
    <w:div w:id="399906009">
      <w:bodyDiv w:val="1"/>
      <w:marLeft w:val="0"/>
      <w:marRight w:val="0"/>
      <w:marTop w:val="0"/>
      <w:marBottom w:val="0"/>
      <w:divBdr>
        <w:top w:val="none" w:sz="0" w:space="0" w:color="auto"/>
        <w:left w:val="none" w:sz="0" w:space="0" w:color="auto"/>
        <w:bottom w:val="none" w:sz="0" w:space="0" w:color="auto"/>
        <w:right w:val="none" w:sz="0" w:space="0" w:color="auto"/>
      </w:divBdr>
    </w:div>
    <w:div w:id="406610183">
      <w:bodyDiv w:val="1"/>
      <w:marLeft w:val="0"/>
      <w:marRight w:val="0"/>
      <w:marTop w:val="0"/>
      <w:marBottom w:val="0"/>
      <w:divBdr>
        <w:top w:val="none" w:sz="0" w:space="0" w:color="auto"/>
        <w:left w:val="none" w:sz="0" w:space="0" w:color="auto"/>
        <w:bottom w:val="none" w:sz="0" w:space="0" w:color="auto"/>
        <w:right w:val="none" w:sz="0" w:space="0" w:color="auto"/>
      </w:divBdr>
    </w:div>
    <w:div w:id="517279104">
      <w:bodyDiv w:val="1"/>
      <w:marLeft w:val="0"/>
      <w:marRight w:val="0"/>
      <w:marTop w:val="0"/>
      <w:marBottom w:val="0"/>
      <w:divBdr>
        <w:top w:val="none" w:sz="0" w:space="0" w:color="auto"/>
        <w:left w:val="none" w:sz="0" w:space="0" w:color="auto"/>
        <w:bottom w:val="none" w:sz="0" w:space="0" w:color="auto"/>
        <w:right w:val="none" w:sz="0" w:space="0" w:color="auto"/>
      </w:divBdr>
    </w:div>
    <w:div w:id="524904283">
      <w:bodyDiv w:val="1"/>
      <w:marLeft w:val="0"/>
      <w:marRight w:val="0"/>
      <w:marTop w:val="0"/>
      <w:marBottom w:val="0"/>
      <w:divBdr>
        <w:top w:val="none" w:sz="0" w:space="0" w:color="auto"/>
        <w:left w:val="none" w:sz="0" w:space="0" w:color="auto"/>
        <w:bottom w:val="none" w:sz="0" w:space="0" w:color="auto"/>
        <w:right w:val="none" w:sz="0" w:space="0" w:color="auto"/>
      </w:divBdr>
    </w:div>
    <w:div w:id="583224377">
      <w:bodyDiv w:val="1"/>
      <w:marLeft w:val="0"/>
      <w:marRight w:val="0"/>
      <w:marTop w:val="0"/>
      <w:marBottom w:val="0"/>
      <w:divBdr>
        <w:top w:val="none" w:sz="0" w:space="0" w:color="auto"/>
        <w:left w:val="none" w:sz="0" w:space="0" w:color="auto"/>
        <w:bottom w:val="none" w:sz="0" w:space="0" w:color="auto"/>
        <w:right w:val="none" w:sz="0" w:space="0" w:color="auto"/>
      </w:divBdr>
    </w:div>
    <w:div w:id="589774275">
      <w:bodyDiv w:val="1"/>
      <w:marLeft w:val="0"/>
      <w:marRight w:val="0"/>
      <w:marTop w:val="0"/>
      <w:marBottom w:val="0"/>
      <w:divBdr>
        <w:top w:val="none" w:sz="0" w:space="0" w:color="auto"/>
        <w:left w:val="none" w:sz="0" w:space="0" w:color="auto"/>
        <w:bottom w:val="none" w:sz="0" w:space="0" w:color="auto"/>
        <w:right w:val="none" w:sz="0" w:space="0" w:color="auto"/>
      </w:divBdr>
    </w:div>
    <w:div w:id="608705051">
      <w:bodyDiv w:val="1"/>
      <w:marLeft w:val="0"/>
      <w:marRight w:val="0"/>
      <w:marTop w:val="0"/>
      <w:marBottom w:val="0"/>
      <w:divBdr>
        <w:top w:val="none" w:sz="0" w:space="0" w:color="auto"/>
        <w:left w:val="none" w:sz="0" w:space="0" w:color="auto"/>
        <w:bottom w:val="none" w:sz="0" w:space="0" w:color="auto"/>
        <w:right w:val="none" w:sz="0" w:space="0" w:color="auto"/>
      </w:divBdr>
    </w:div>
    <w:div w:id="609318329">
      <w:bodyDiv w:val="1"/>
      <w:marLeft w:val="0"/>
      <w:marRight w:val="0"/>
      <w:marTop w:val="0"/>
      <w:marBottom w:val="0"/>
      <w:divBdr>
        <w:top w:val="none" w:sz="0" w:space="0" w:color="auto"/>
        <w:left w:val="none" w:sz="0" w:space="0" w:color="auto"/>
        <w:bottom w:val="none" w:sz="0" w:space="0" w:color="auto"/>
        <w:right w:val="none" w:sz="0" w:space="0" w:color="auto"/>
      </w:divBdr>
    </w:div>
    <w:div w:id="618071154">
      <w:bodyDiv w:val="1"/>
      <w:marLeft w:val="0"/>
      <w:marRight w:val="0"/>
      <w:marTop w:val="0"/>
      <w:marBottom w:val="0"/>
      <w:divBdr>
        <w:top w:val="none" w:sz="0" w:space="0" w:color="auto"/>
        <w:left w:val="none" w:sz="0" w:space="0" w:color="auto"/>
        <w:bottom w:val="none" w:sz="0" w:space="0" w:color="auto"/>
        <w:right w:val="none" w:sz="0" w:space="0" w:color="auto"/>
      </w:divBdr>
    </w:div>
    <w:div w:id="622034651">
      <w:bodyDiv w:val="1"/>
      <w:marLeft w:val="0"/>
      <w:marRight w:val="0"/>
      <w:marTop w:val="0"/>
      <w:marBottom w:val="0"/>
      <w:divBdr>
        <w:top w:val="none" w:sz="0" w:space="0" w:color="auto"/>
        <w:left w:val="none" w:sz="0" w:space="0" w:color="auto"/>
        <w:bottom w:val="none" w:sz="0" w:space="0" w:color="auto"/>
        <w:right w:val="none" w:sz="0" w:space="0" w:color="auto"/>
      </w:divBdr>
    </w:div>
    <w:div w:id="643194760">
      <w:bodyDiv w:val="1"/>
      <w:marLeft w:val="0"/>
      <w:marRight w:val="0"/>
      <w:marTop w:val="0"/>
      <w:marBottom w:val="0"/>
      <w:divBdr>
        <w:top w:val="none" w:sz="0" w:space="0" w:color="auto"/>
        <w:left w:val="none" w:sz="0" w:space="0" w:color="auto"/>
        <w:bottom w:val="none" w:sz="0" w:space="0" w:color="auto"/>
        <w:right w:val="none" w:sz="0" w:space="0" w:color="auto"/>
      </w:divBdr>
    </w:div>
    <w:div w:id="660810564">
      <w:bodyDiv w:val="1"/>
      <w:marLeft w:val="0"/>
      <w:marRight w:val="0"/>
      <w:marTop w:val="0"/>
      <w:marBottom w:val="0"/>
      <w:divBdr>
        <w:top w:val="none" w:sz="0" w:space="0" w:color="auto"/>
        <w:left w:val="none" w:sz="0" w:space="0" w:color="auto"/>
        <w:bottom w:val="none" w:sz="0" w:space="0" w:color="auto"/>
        <w:right w:val="none" w:sz="0" w:space="0" w:color="auto"/>
      </w:divBdr>
    </w:div>
    <w:div w:id="669600904">
      <w:bodyDiv w:val="1"/>
      <w:marLeft w:val="0"/>
      <w:marRight w:val="0"/>
      <w:marTop w:val="0"/>
      <w:marBottom w:val="0"/>
      <w:divBdr>
        <w:top w:val="none" w:sz="0" w:space="0" w:color="auto"/>
        <w:left w:val="none" w:sz="0" w:space="0" w:color="auto"/>
        <w:bottom w:val="none" w:sz="0" w:space="0" w:color="auto"/>
        <w:right w:val="none" w:sz="0" w:space="0" w:color="auto"/>
      </w:divBdr>
    </w:div>
    <w:div w:id="679239130">
      <w:bodyDiv w:val="1"/>
      <w:marLeft w:val="0"/>
      <w:marRight w:val="0"/>
      <w:marTop w:val="0"/>
      <w:marBottom w:val="0"/>
      <w:divBdr>
        <w:top w:val="none" w:sz="0" w:space="0" w:color="auto"/>
        <w:left w:val="none" w:sz="0" w:space="0" w:color="auto"/>
        <w:bottom w:val="none" w:sz="0" w:space="0" w:color="auto"/>
        <w:right w:val="none" w:sz="0" w:space="0" w:color="auto"/>
      </w:divBdr>
    </w:div>
    <w:div w:id="737169208">
      <w:bodyDiv w:val="1"/>
      <w:marLeft w:val="0"/>
      <w:marRight w:val="0"/>
      <w:marTop w:val="0"/>
      <w:marBottom w:val="0"/>
      <w:divBdr>
        <w:top w:val="none" w:sz="0" w:space="0" w:color="auto"/>
        <w:left w:val="none" w:sz="0" w:space="0" w:color="auto"/>
        <w:bottom w:val="none" w:sz="0" w:space="0" w:color="auto"/>
        <w:right w:val="none" w:sz="0" w:space="0" w:color="auto"/>
      </w:divBdr>
    </w:div>
    <w:div w:id="744449254">
      <w:bodyDiv w:val="1"/>
      <w:marLeft w:val="0"/>
      <w:marRight w:val="0"/>
      <w:marTop w:val="0"/>
      <w:marBottom w:val="0"/>
      <w:divBdr>
        <w:top w:val="none" w:sz="0" w:space="0" w:color="auto"/>
        <w:left w:val="none" w:sz="0" w:space="0" w:color="auto"/>
        <w:bottom w:val="none" w:sz="0" w:space="0" w:color="auto"/>
        <w:right w:val="none" w:sz="0" w:space="0" w:color="auto"/>
      </w:divBdr>
    </w:div>
    <w:div w:id="760031139">
      <w:bodyDiv w:val="1"/>
      <w:marLeft w:val="0"/>
      <w:marRight w:val="0"/>
      <w:marTop w:val="0"/>
      <w:marBottom w:val="0"/>
      <w:divBdr>
        <w:top w:val="none" w:sz="0" w:space="0" w:color="auto"/>
        <w:left w:val="none" w:sz="0" w:space="0" w:color="auto"/>
        <w:bottom w:val="none" w:sz="0" w:space="0" w:color="auto"/>
        <w:right w:val="none" w:sz="0" w:space="0" w:color="auto"/>
      </w:divBdr>
    </w:div>
    <w:div w:id="760835129">
      <w:bodyDiv w:val="1"/>
      <w:marLeft w:val="0"/>
      <w:marRight w:val="0"/>
      <w:marTop w:val="0"/>
      <w:marBottom w:val="0"/>
      <w:divBdr>
        <w:top w:val="none" w:sz="0" w:space="0" w:color="auto"/>
        <w:left w:val="none" w:sz="0" w:space="0" w:color="auto"/>
        <w:bottom w:val="none" w:sz="0" w:space="0" w:color="auto"/>
        <w:right w:val="none" w:sz="0" w:space="0" w:color="auto"/>
      </w:divBdr>
    </w:div>
    <w:div w:id="776172248">
      <w:bodyDiv w:val="1"/>
      <w:marLeft w:val="0"/>
      <w:marRight w:val="0"/>
      <w:marTop w:val="0"/>
      <w:marBottom w:val="0"/>
      <w:divBdr>
        <w:top w:val="none" w:sz="0" w:space="0" w:color="auto"/>
        <w:left w:val="none" w:sz="0" w:space="0" w:color="auto"/>
        <w:bottom w:val="none" w:sz="0" w:space="0" w:color="auto"/>
        <w:right w:val="none" w:sz="0" w:space="0" w:color="auto"/>
      </w:divBdr>
    </w:div>
    <w:div w:id="778912386">
      <w:bodyDiv w:val="1"/>
      <w:marLeft w:val="0"/>
      <w:marRight w:val="0"/>
      <w:marTop w:val="0"/>
      <w:marBottom w:val="0"/>
      <w:divBdr>
        <w:top w:val="none" w:sz="0" w:space="0" w:color="auto"/>
        <w:left w:val="none" w:sz="0" w:space="0" w:color="auto"/>
        <w:bottom w:val="none" w:sz="0" w:space="0" w:color="auto"/>
        <w:right w:val="none" w:sz="0" w:space="0" w:color="auto"/>
      </w:divBdr>
    </w:div>
    <w:div w:id="790711464">
      <w:bodyDiv w:val="1"/>
      <w:marLeft w:val="0"/>
      <w:marRight w:val="0"/>
      <w:marTop w:val="0"/>
      <w:marBottom w:val="0"/>
      <w:divBdr>
        <w:top w:val="none" w:sz="0" w:space="0" w:color="auto"/>
        <w:left w:val="none" w:sz="0" w:space="0" w:color="auto"/>
        <w:bottom w:val="none" w:sz="0" w:space="0" w:color="auto"/>
        <w:right w:val="none" w:sz="0" w:space="0" w:color="auto"/>
      </w:divBdr>
    </w:div>
    <w:div w:id="798374099">
      <w:bodyDiv w:val="1"/>
      <w:marLeft w:val="0"/>
      <w:marRight w:val="0"/>
      <w:marTop w:val="0"/>
      <w:marBottom w:val="0"/>
      <w:divBdr>
        <w:top w:val="none" w:sz="0" w:space="0" w:color="auto"/>
        <w:left w:val="none" w:sz="0" w:space="0" w:color="auto"/>
        <w:bottom w:val="none" w:sz="0" w:space="0" w:color="auto"/>
        <w:right w:val="none" w:sz="0" w:space="0" w:color="auto"/>
      </w:divBdr>
    </w:div>
    <w:div w:id="826357284">
      <w:bodyDiv w:val="1"/>
      <w:marLeft w:val="0"/>
      <w:marRight w:val="0"/>
      <w:marTop w:val="0"/>
      <w:marBottom w:val="0"/>
      <w:divBdr>
        <w:top w:val="none" w:sz="0" w:space="0" w:color="auto"/>
        <w:left w:val="none" w:sz="0" w:space="0" w:color="auto"/>
        <w:bottom w:val="none" w:sz="0" w:space="0" w:color="auto"/>
        <w:right w:val="none" w:sz="0" w:space="0" w:color="auto"/>
      </w:divBdr>
    </w:div>
    <w:div w:id="941497094">
      <w:bodyDiv w:val="1"/>
      <w:marLeft w:val="0"/>
      <w:marRight w:val="0"/>
      <w:marTop w:val="0"/>
      <w:marBottom w:val="0"/>
      <w:divBdr>
        <w:top w:val="none" w:sz="0" w:space="0" w:color="auto"/>
        <w:left w:val="none" w:sz="0" w:space="0" w:color="auto"/>
        <w:bottom w:val="none" w:sz="0" w:space="0" w:color="auto"/>
        <w:right w:val="none" w:sz="0" w:space="0" w:color="auto"/>
      </w:divBdr>
    </w:div>
    <w:div w:id="961306549">
      <w:bodyDiv w:val="1"/>
      <w:marLeft w:val="0"/>
      <w:marRight w:val="0"/>
      <w:marTop w:val="0"/>
      <w:marBottom w:val="0"/>
      <w:divBdr>
        <w:top w:val="none" w:sz="0" w:space="0" w:color="auto"/>
        <w:left w:val="none" w:sz="0" w:space="0" w:color="auto"/>
        <w:bottom w:val="none" w:sz="0" w:space="0" w:color="auto"/>
        <w:right w:val="none" w:sz="0" w:space="0" w:color="auto"/>
      </w:divBdr>
    </w:div>
    <w:div w:id="998270029">
      <w:bodyDiv w:val="1"/>
      <w:marLeft w:val="0"/>
      <w:marRight w:val="0"/>
      <w:marTop w:val="0"/>
      <w:marBottom w:val="0"/>
      <w:divBdr>
        <w:top w:val="none" w:sz="0" w:space="0" w:color="auto"/>
        <w:left w:val="none" w:sz="0" w:space="0" w:color="auto"/>
        <w:bottom w:val="none" w:sz="0" w:space="0" w:color="auto"/>
        <w:right w:val="none" w:sz="0" w:space="0" w:color="auto"/>
      </w:divBdr>
    </w:div>
    <w:div w:id="1024867766">
      <w:bodyDiv w:val="1"/>
      <w:marLeft w:val="0"/>
      <w:marRight w:val="0"/>
      <w:marTop w:val="0"/>
      <w:marBottom w:val="0"/>
      <w:divBdr>
        <w:top w:val="none" w:sz="0" w:space="0" w:color="auto"/>
        <w:left w:val="none" w:sz="0" w:space="0" w:color="auto"/>
        <w:bottom w:val="none" w:sz="0" w:space="0" w:color="auto"/>
        <w:right w:val="none" w:sz="0" w:space="0" w:color="auto"/>
      </w:divBdr>
    </w:div>
    <w:div w:id="1048647201">
      <w:bodyDiv w:val="1"/>
      <w:marLeft w:val="0"/>
      <w:marRight w:val="0"/>
      <w:marTop w:val="0"/>
      <w:marBottom w:val="0"/>
      <w:divBdr>
        <w:top w:val="none" w:sz="0" w:space="0" w:color="auto"/>
        <w:left w:val="none" w:sz="0" w:space="0" w:color="auto"/>
        <w:bottom w:val="none" w:sz="0" w:space="0" w:color="auto"/>
        <w:right w:val="none" w:sz="0" w:space="0" w:color="auto"/>
      </w:divBdr>
    </w:div>
    <w:div w:id="1052266590">
      <w:bodyDiv w:val="1"/>
      <w:marLeft w:val="0"/>
      <w:marRight w:val="0"/>
      <w:marTop w:val="0"/>
      <w:marBottom w:val="0"/>
      <w:divBdr>
        <w:top w:val="none" w:sz="0" w:space="0" w:color="auto"/>
        <w:left w:val="none" w:sz="0" w:space="0" w:color="auto"/>
        <w:bottom w:val="none" w:sz="0" w:space="0" w:color="auto"/>
        <w:right w:val="none" w:sz="0" w:space="0" w:color="auto"/>
      </w:divBdr>
    </w:div>
    <w:div w:id="1117142629">
      <w:bodyDiv w:val="1"/>
      <w:marLeft w:val="0"/>
      <w:marRight w:val="0"/>
      <w:marTop w:val="0"/>
      <w:marBottom w:val="0"/>
      <w:divBdr>
        <w:top w:val="none" w:sz="0" w:space="0" w:color="auto"/>
        <w:left w:val="none" w:sz="0" w:space="0" w:color="auto"/>
        <w:bottom w:val="none" w:sz="0" w:space="0" w:color="auto"/>
        <w:right w:val="none" w:sz="0" w:space="0" w:color="auto"/>
      </w:divBdr>
    </w:div>
    <w:div w:id="1124035577">
      <w:bodyDiv w:val="1"/>
      <w:marLeft w:val="0"/>
      <w:marRight w:val="0"/>
      <w:marTop w:val="0"/>
      <w:marBottom w:val="0"/>
      <w:divBdr>
        <w:top w:val="none" w:sz="0" w:space="0" w:color="auto"/>
        <w:left w:val="none" w:sz="0" w:space="0" w:color="auto"/>
        <w:bottom w:val="none" w:sz="0" w:space="0" w:color="auto"/>
        <w:right w:val="none" w:sz="0" w:space="0" w:color="auto"/>
      </w:divBdr>
    </w:div>
    <w:div w:id="1125731547">
      <w:bodyDiv w:val="1"/>
      <w:marLeft w:val="0"/>
      <w:marRight w:val="0"/>
      <w:marTop w:val="0"/>
      <w:marBottom w:val="0"/>
      <w:divBdr>
        <w:top w:val="none" w:sz="0" w:space="0" w:color="auto"/>
        <w:left w:val="none" w:sz="0" w:space="0" w:color="auto"/>
        <w:bottom w:val="none" w:sz="0" w:space="0" w:color="auto"/>
        <w:right w:val="none" w:sz="0" w:space="0" w:color="auto"/>
      </w:divBdr>
    </w:div>
    <w:div w:id="1129786314">
      <w:bodyDiv w:val="1"/>
      <w:marLeft w:val="0"/>
      <w:marRight w:val="0"/>
      <w:marTop w:val="0"/>
      <w:marBottom w:val="0"/>
      <w:divBdr>
        <w:top w:val="none" w:sz="0" w:space="0" w:color="auto"/>
        <w:left w:val="none" w:sz="0" w:space="0" w:color="auto"/>
        <w:bottom w:val="none" w:sz="0" w:space="0" w:color="auto"/>
        <w:right w:val="none" w:sz="0" w:space="0" w:color="auto"/>
      </w:divBdr>
    </w:div>
    <w:div w:id="1238396326">
      <w:bodyDiv w:val="1"/>
      <w:marLeft w:val="0"/>
      <w:marRight w:val="0"/>
      <w:marTop w:val="0"/>
      <w:marBottom w:val="0"/>
      <w:divBdr>
        <w:top w:val="none" w:sz="0" w:space="0" w:color="auto"/>
        <w:left w:val="none" w:sz="0" w:space="0" w:color="auto"/>
        <w:bottom w:val="none" w:sz="0" w:space="0" w:color="auto"/>
        <w:right w:val="none" w:sz="0" w:space="0" w:color="auto"/>
      </w:divBdr>
    </w:div>
    <w:div w:id="1248925423">
      <w:bodyDiv w:val="1"/>
      <w:marLeft w:val="0"/>
      <w:marRight w:val="0"/>
      <w:marTop w:val="0"/>
      <w:marBottom w:val="0"/>
      <w:divBdr>
        <w:top w:val="none" w:sz="0" w:space="0" w:color="auto"/>
        <w:left w:val="none" w:sz="0" w:space="0" w:color="auto"/>
        <w:bottom w:val="none" w:sz="0" w:space="0" w:color="auto"/>
        <w:right w:val="none" w:sz="0" w:space="0" w:color="auto"/>
      </w:divBdr>
    </w:div>
    <w:div w:id="1261447947">
      <w:bodyDiv w:val="1"/>
      <w:marLeft w:val="0"/>
      <w:marRight w:val="0"/>
      <w:marTop w:val="0"/>
      <w:marBottom w:val="0"/>
      <w:divBdr>
        <w:top w:val="none" w:sz="0" w:space="0" w:color="auto"/>
        <w:left w:val="none" w:sz="0" w:space="0" w:color="auto"/>
        <w:bottom w:val="none" w:sz="0" w:space="0" w:color="auto"/>
        <w:right w:val="none" w:sz="0" w:space="0" w:color="auto"/>
      </w:divBdr>
    </w:div>
    <w:div w:id="1276594667">
      <w:bodyDiv w:val="1"/>
      <w:marLeft w:val="0"/>
      <w:marRight w:val="0"/>
      <w:marTop w:val="0"/>
      <w:marBottom w:val="0"/>
      <w:divBdr>
        <w:top w:val="none" w:sz="0" w:space="0" w:color="auto"/>
        <w:left w:val="none" w:sz="0" w:space="0" w:color="auto"/>
        <w:bottom w:val="none" w:sz="0" w:space="0" w:color="auto"/>
        <w:right w:val="none" w:sz="0" w:space="0" w:color="auto"/>
      </w:divBdr>
    </w:div>
    <w:div w:id="1371416121">
      <w:bodyDiv w:val="1"/>
      <w:marLeft w:val="0"/>
      <w:marRight w:val="0"/>
      <w:marTop w:val="0"/>
      <w:marBottom w:val="0"/>
      <w:divBdr>
        <w:top w:val="none" w:sz="0" w:space="0" w:color="auto"/>
        <w:left w:val="none" w:sz="0" w:space="0" w:color="auto"/>
        <w:bottom w:val="none" w:sz="0" w:space="0" w:color="auto"/>
        <w:right w:val="none" w:sz="0" w:space="0" w:color="auto"/>
      </w:divBdr>
    </w:div>
    <w:div w:id="1388995847">
      <w:bodyDiv w:val="1"/>
      <w:marLeft w:val="0"/>
      <w:marRight w:val="0"/>
      <w:marTop w:val="0"/>
      <w:marBottom w:val="0"/>
      <w:divBdr>
        <w:top w:val="none" w:sz="0" w:space="0" w:color="auto"/>
        <w:left w:val="none" w:sz="0" w:space="0" w:color="auto"/>
        <w:bottom w:val="none" w:sz="0" w:space="0" w:color="auto"/>
        <w:right w:val="none" w:sz="0" w:space="0" w:color="auto"/>
      </w:divBdr>
    </w:div>
    <w:div w:id="1421292295">
      <w:bodyDiv w:val="1"/>
      <w:marLeft w:val="0"/>
      <w:marRight w:val="0"/>
      <w:marTop w:val="0"/>
      <w:marBottom w:val="0"/>
      <w:divBdr>
        <w:top w:val="none" w:sz="0" w:space="0" w:color="auto"/>
        <w:left w:val="none" w:sz="0" w:space="0" w:color="auto"/>
        <w:bottom w:val="none" w:sz="0" w:space="0" w:color="auto"/>
        <w:right w:val="none" w:sz="0" w:space="0" w:color="auto"/>
      </w:divBdr>
    </w:div>
    <w:div w:id="1432776862">
      <w:bodyDiv w:val="1"/>
      <w:marLeft w:val="0"/>
      <w:marRight w:val="0"/>
      <w:marTop w:val="0"/>
      <w:marBottom w:val="0"/>
      <w:divBdr>
        <w:top w:val="none" w:sz="0" w:space="0" w:color="auto"/>
        <w:left w:val="none" w:sz="0" w:space="0" w:color="auto"/>
        <w:bottom w:val="none" w:sz="0" w:space="0" w:color="auto"/>
        <w:right w:val="none" w:sz="0" w:space="0" w:color="auto"/>
      </w:divBdr>
    </w:div>
    <w:div w:id="1442996939">
      <w:bodyDiv w:val="1"/>
      <w:marLeft w:val="0"/>
      <w:marRight w:val="0"/>
      <w:marTop w:val="0"/>
      <w:marBottom w:val="0"/>
      <w:divBdr>
        <w:top w:val="none" w:sz="0" w:space="0" w:color="auto"/>
        <w:left w:val="none" w:sz="0" w:space="0" w:color="auto"/>
        <w:bottom w:val="none" w:sz="0" w:space="0" w:color="auto"/>
        <w:right w:val="none" w:sz="0" w:space="0" w:color="auto"/>
      </w:divBdr>
    </w:div>
    <w:div w:id="1467773916">
      <w:bodyDiv w:val="1"/>
      <w:marLeft w:val="0"/>
      <w:marRight w:val="0"/>
      <w:marTop w:val="0"/>
      <w:marBottom w:val="0"/>
      <w:divBdr>
        <w:top w:val="none" w:sz="0" w:space="0" w:color="auto"/>
        <w:left w:val="none" w:sz="0" w:space="0" w:color="auto"/>
        <w:bottom w:val="none" w:sz="0" w:space="0" w:color="auto"/>
        <w:right w:val="none" w:sz="0" w:space="0" w:color="auto"/>
      </w:divBdr>
    </w:div>
    <w:div w:id="1484470118">
      <w:bodyDiv w:val="1"/>
      <w:marLeft w:val="0"/>
      <w:marRight w:val="0"/>
      <w:marTop w:val="0"/>
      <w:marBottom w:val="0"/>
      <w:divBdr>
        <w:top w:val="none" w:sz="0" w:space="0" w:color="auto"/>
        <w:left w:val="none" w:sz="0" w:space="0" w:color="auto"/>
        <w:bottom w:val="none" w:sz="0" w:space="0" w:color="auto"/>
        <w:right w:val="none" w:sz="0" w:space="0" w:color="auto"/>
      </w:divBdr>
    </w:div>
    <w:div w:id="1487237504">
      <w:bodyDiv w:val="1"/>
      <w:marLeft w:val="0"/>
      <w:marRight w:val="0"/>
      <w:marTop w:val="0"/>
      <w:marBottom w:val="0"/>
      <w:divBdr>
        <w:top w:val="none" w:sz="0" w:space="0" w:color="auto"/>
        <w:left w:val="none" w:sz="0" w:space="0" w:color="auto"/>
        <w:bottom w:val="none" w:sz="0" w:space="0" w:color="auto"/>
        <w:right w:val="none" w:sz="0" w:space="0" w:color="auto"/>
      </w:divBdr>
    </w:div>
    <w:div w:id="1518958638">
      <w:bodyDiv w:val="1"/>
      <w:marLeft w:val="0"/>
      <w:marRight w:val="0"/>
      <w:marTop w:val="0"/>
      <w:marBottom w:val="0"/>
      <w:divBdr>
        <w:top w:val="none" w:sz="0" w:space="0" w:color="auto"/>
        <w:left w:val="none" w:sz="0" w:space="0" w:color="auto"/>
        <w:bottom w:val="none" w:sz="0" w:space="0" w:color="auto"/>
        <w:right w:val="none" w:sz="0" w:space="0" w:color="auto"/>
      </w:divBdr>
    </w:div>
    <w:div w:id="1520896914">
      <w:bodyDiv w:val="1"/>
      <w:marLeft w:val="0"/>
      <w:marRight w:val="0"/>
      <w:marTop w:val="0"/>
      <w:marBottom w:val="0"/>
      <w:divBdr>
        <w:top w:val="none" w:sz="0" w:space="0" w:color="auto"/>
        <w:left w:val="none" w:sz="0" w:space="0" w:color="auto"/>
        <w:bottom w:val="none" w:sz="0" w:space="0" w:color="auto"/>
        <w:right w:val="none" w:sz="0" w:space="0" w:color="auto"/>
      </w:divBdr>
    </w:div>
    <w:div w:id="1531072094">
      <w:bodyDiv w:val="1"/>
      <w:marLeft w:val="0"/>
      <w:marRight w:val="0"/>
      <w:marTop w:val="0"/>
      <w:marBottom w:val="0"/>
      <w:divBdr>
        <w:top w:val="none" w:sz="0" w:space="0" w:color="auto"/>
        <w:left w:val="none" w:sz="0" w:space="0" w:color="auto"/>
        <w:bottom w:val="none" w:sz="0" w:space="0" w:color="auto"/>
        <w:right w:val="none" w:sz="0" w:space="0" w:color="auto"/>
      </w:divBdr>
      <w:divsChild>
        <w:div w:id="1664316129">
          <w:marLeft w:val="0"/>
          <w:marRight w:val="0"/>
          <w:marTop w:val="0"/>
          <w:marBottom w:val="0"/>
          <w:divBdr>
            <w:top w:val="none" w:sz="0" w:space="0" w:color="auto"/>
            <w:left w:val="none" w:sz="0" w:space="0" w:color="auto"/>
            <w:bottom w:val="none" w:sz="0" w:space="0" w:color="auto"/>
            <w:right w:val="none" w:sz="0" w:space="0" w:color="auto"/>
          </w:divBdr>
          <w:divsChild>
            <w:div w:id="1406494563">
              <w:marLeft w:val="0"/>
              <w:marRight w:val="0"/>
              <w:marTop w:val="0"/>
              <w:marBottom w:val="0"/>
              <w:divBdr>
                <w:top w:val="none" w:sz="0" w:space="0" w:color="auto"/>
                <w:left w:val="none" w:sz="0" w:space="0" w:color="auto"/>
                <w:bottom w:val="none" w:sz="0" w:space="0" w:color="auto"/>
                <w:right w:val="none" w:sz="0" w:space="0" w:color="auto"/>
              </w:divBdr>
              <w:divsChild>
                <w:div w:id="1876117594">
                  <w:marLeft w:val="0"/>
                  <w:marRight w:val="0"/>
                  <w:marTop w:val="0"/>
                  <w:marBottom w:val="0"/>
                  <w:divBdr>
                    <w:top w:val="none" w:sz="0" w:space="0" w:color="auto"/>
                    <w:left w:val="none" w:sz="0" w:space="0" w:color="auto"/>
                    <w:bottom w:val="none" w:sz="0" w:space="0" w:color="auto"/>
                    <w:right w:val="none" w:sz="0" w:space="0" w:color="auto"/>
                  </w:divBdr>
                  <w:divsChild>
                    <w:div w:id="1363215276">
                      <w:marLeft w:val="0"/>
                      <w:marRight w:val="0"/>
                      <w:marTop w:val="0"/>
                      <w:marBottom w:val="0"/>
                      <w:divBdr>
                        <w:top w:val="none" w:sz="0" w:space="0" w:color="auto"/>
                        <w:left w:val="none" w:sz="0" w:space="0" w:color="auto"/>
                        <w:bottom w:val="none" w:sz="0" w:space="0" w:color="auto"/>
                        <w:right w:val="none" w:sz="0" w:space="0" w:color="auto"/>
                      </w:divBdr>
                      <w:divsChild>
                        <w:div w:id="1994681327">
                          <w:marLeft w:val="0"/>
                          <w:marRight w:val="0"/>
                          <w:marTop w:val="45"/>
                          <w:marBottom w:val="0"/>
                          <w:divBdr>
                            <w:top w:val="none" w:sz="0" w:space="0" w:color="auto"/>
                            <w:left w:val="none" w:sz="0" w:space="0" w:color="auto"/>
                            <w:bottom w:val="none" w:sz="0" w:space="0" w:color="auto"/>
                            <w:right w:val="none" w:sz="0" w:space="0" w:color="auto"/>
                          </w:divBdr>
                          <w:divsChild>
                            <w:div w:id="884874659">
                              <w:marLeft w:val="0"/>
                              <w:marRight w:val="0"/>
                              <w:marTop w:val="0"/>
                              <w:marBottom w:val="0"/>
                              <w:divBdr>
                                <w:top w:val="none" w:sz="0" w:space="0" w:color="auto"/>
                                <w:left w:val="none" w:sz="0" w:space="0" w:color="auto"/>
                                <w:bottom w:val="none" w:sz="0" w:space="0" w:color="auto"/>
                                <w:right w:val="none" w:sz="0" w:space="0" w:color="auto"/>
                              </w:divBdr>
                              <w:divsChild>
                                <w:div w:id="1310555399">
                                  <w:marLeft w:val="2070"/>
                                  <w:marRight w:val="3810"/>
                                  <w:marTop w:val="0"/>
                                  <w:marBottom w:val="0"/>
                                  <w:divBdr>
                                    <w:top w:val="none" w:sz="0" w:space="0" w:color="auto"/>
                                    <w:left w:val="none" w:sz="0" w:space="0" w:color="auto"/>
                                    <w:bottom w:val="none" w:sz="0" w:space="0" w:color="auto"/>
                                    <w:right w:val="none" w:sz="0" w:space="0" w:color="auto"/>
                                  </w:divBdr>
                                  <w:divsChild>
                                    <w:div w:id="1797135350">
                                      <w:marLeft w:val="0"/>
                                      <w:marRight w:val="0"/>
                                      <w:marTop w:val="0"/>
                                      <w:marBottom w:val="0"/>
                                      <w:divBdr>
                                        <w:top w:val="none" w:sz="0" w:space="0" w:color="auto"/>
                                        <w:left w:val="none" w:sz="0" w:space="0" w:color="auto"/>
                                        <w:bottom w:val="none" w:sz="0" w:space="0" w:color="auto"/>
                                        <w:right w:val="none" w:sz="0" w:space="0" w:color="auto"/>
                                      </w:divBdr>
                                      <w:divsChild>
                                        <w:div w:id="1999454839">
                                          <w:marLeft w:val="0"/>
                                          <w:marRight w:val="0"/>
                                          <w:marTop w:val="0"/>
                                          <w:marBottom w:val="0"/>
                                          <w:divBdr>
                                            <w:top w:val="none" w:sz="0" w:space="0" w:color="auto"/>
                                            <w:left w:val="none" w:sz="0" w:space="0" w:color="auto"/>
                                            <w:bottom w:val="none" w:sz="0" w:space="0" w:color="auto"/>
                                            <w:right w:val="none" w:sz="0" w:space="0" w:color="auto"/>
                                          </w:divBdr>
                                          <w:divsChild>
                                            <w:div w:id="1261183822">
                                              <w:marLeft w:val="0"/>
                                              <w:marRight w:val="0"/>
                                              <w:marTop w:val="0"/>
                                              <w:marBottom w:val="0"/>
                                              <w:divBdr>
                                                <w:top w:val="none" w:sz="0" w:space="0" w:color="auto"/>
                                                <w:left w:val="none" w:sz="0" w:space="0" w:color="auto"/>
                                                <w:bottom w:val="none" w:sz="0" w:space="0" w:color="auto"/>
                                                <w:right w:val="none" w:sz="0" w:space="0" w:color="auto"/>
                                              </w:divBdr>
                                              <w:divsChild>
                                                <w:div w:id="578563974">
                                                  <w:marLeft w:val="0"/>
                                                  <w:marRight w:val="0"/>
                                                  <w:marTop w:val="0"/>
                                                  <w:marBottom w:val="0"/>
                                                  <w:divBdr>
                                                    <w:top w:val="none" w:sz="0" w:space="0" w:color="auto"/>
                                                    <w:left w:val="none" w:sz="0" w:space="0" w:color="auto"/>
                                                    <w:bottom w:val="none" w:sz="0" w:space="0" w:color="auto"/>
                                                    <w:right w:val="none" w:sz="0" w:space="0" w:color="auto"/>
                                                  </w:divBdr>
                                                  <w:divsChild>
                                                    <w:div w:id="816844859">
                                                      <w:marLeft w:val="0"/>
                                                      <w:marRight w:val="0"/>
                                                      <w:marTop w:val="0"/>
                                                      <w:marBottom w:val="0"/>
                                                      <w:divBdr>
                                                        <w:top w:val="none" w:sz="0" w:space="0" w:color="auto"/>
                                                        <w:left w:val="none" w:sz="0" w:space="0" w:color="auto"/>
                                                        <w:bottom w:val="none" w:sz="0" w:space="0" w:color="auto"/>
                                                        <w:right w:val="none" w:sz="0" w:space="0" w:color="auto"/>
                                                      </w:divBdr>
                                                      <w:divsChild>
                                                        <w:div w:id="15540731">
                                                          <w:marLeft w:val="0"/>
                                                          <w:marRight w:val="0"/>
                                                          <w:marTop w:val="0"/>
                                                          <w:marBottom w:val="345"/>
                                                          <w:divBdr>
                                                            <w:top w:val="none" w:sz="0" w:space="0" w:color="auto"/>
                                                            <w:left w:val="none" w:sz="0" w:space="0" w:color="auto"/>
                                                            <w:bottom w:val="none" w:sz="0" w:space="0" w:color="auto"/>
                                                            <w:right w:val="none" w:sz="0" w:space="0" w:color="auto"/>
                                                          </w:divBdr>
                                                          <w:divsChild>
                                                            <w:div w:id="95491751">
                                                              <w:marLeft w:val="0"/>
                                                              <w:marRight w:val="0"/>
                                                              <w:marTop w:val="0"/>
                                                              <w:marBottom w:val="0"/>
                                                              <w:divBdr>
                                                                <w:top w:val="none" w:sz="0" w:space="0" w:color="auto"/>
                                                                <w:left w:val="none" w:sz="0" w:space="0" w:color="auto"/>
                                                                <w:bottom w:val="none" w:sz="0" w:space="0" w:color="auto"/>
                                                                <w:right w:val="none" w:sz="0" w:space="0" w:color="auto"/>
                                                              </w:divBdr>
                                                              <w:divsChild>
                                                                <w:div w:id="1441948612">
                                                                  <w:marLeft w:val="0"/>
                                                                  <w:marRight w:val="0"/>
                                                                  <w:marTop w:val="0"/>
                                                                  <w:marBottom w:val="0"/>
                                                                  <w:divBdr>
                                                                    <w:top w:val="none" w:sz="0" w:space="0" w:color="auto"/>
                                                                    <w:left w:val="none" w:sz="0" w:space="0" w:color="auto"/>
                                                                    <w:bottom w:val="none" w:sz="0" w:space="0" w:color="auto"/>
                                                                    <w:right w:val="none" w:sz="0" w:space="0" w:color="auto"/>
                                                                  </w:divBdr>
                                                                  <w:divsChild>
                                                                    <w:div w:id="1566256243">
                                                                      <w:marLeft w:val="0"/>
                                                                      <w:marRight w:val="0"/>
                                                                      <w:marTop w:val="0"/>
                                                                      <w:marBottom w:val="0"/>
                                                                      <w:divBdr>
                                                                        <w:top w:val="none" w:sz="0" w:space="0" w:color="auto"/>
                                                                        <w:left w:val="none" w:sz="0" w:space="0" w:color="auto"/>
                                                                        <w:bottom w:val="none" w:sz="0" w:space="0" w:color="auto"/>
                                                                        <w:right w:val="none" w:sz="0" w:space="0" w:color="auto"/>
                                                                      </w:divBdr>
                                                                      <w:divsChild>
                                                                        <w:div w:id="103357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783079">
      <w:bodyDiv w:val="1"/>
      <w:marLeft w:val="0"/>
      <w:marRight w:val="0"/>
      <w:marTop w:val="0"/>
      <w:marBottom w:val="0"/>
      <w:divBdr>
        <w:top w:val="none" w:sz="0" w:space="0" w:color="auto"/>
        <w:left w:val="none" w:sz="0" w:space="0" w:color="auto"/>
        <w:bottom w:val="none" w:sz="0" w:space="0" w:color="auto"/>
        <w:right w:val="none" w:sz="0" w:space="0" w:color="auto"/>
      </w:divBdr>
    </w:div>
    <w:div w:id="1563444545">
      <w:bodyDiv w:val="1"/>
      <w:marLeft w:val="0"/>
      <w:marRight w:val="0"/>
      <w:marTop w:val="0"/>
      <w:marBottom w:val="0"/>
      <w:divBdr>
        <w:top w:val="none" w:sz="0" w:space="0" w:color="auto"/>
        <w:left w:val="none" w:sz="0" w:space="0" w:color="auto"/>
        <w:bottom w:val="none" w:sz="0" w:space="0" w:color="auto"/>
        <w:right w:val="none" w:sz="0" w:space="0" w:color="auto"/>
      </w:divBdr>
    </w:div>
    <w:div w:id="1577208212">
      <w:bodyDiv w:val="1"/>
      <w:marLeft w:val="0"/>
      <w:marRight w:val="0"/>
      <w:marTop w:val="0"/>
      <w:marBottom w:val="0"/>
      <w:divBdr>
        <w:top w:val="none" w:sz="0" w:space="0" w:color="auto"/>
        <w:left w:val="none" w:sz="0" w:space="0" w:color="auto"/>
        <w:bottom w:val="none" w:sz="0" w:space="0" w:color="auto"/>
        <w:right w:val="none" w:sz="0" w:space="0" w:color="auto"/>
      </w:divBdr>
    </w:div>
    <w:div w:id="1620184310">
      <w:bodyDiv w:val="1"/>
      <w:marLeft w:val="0"/>
      <w:marRight w:val="0"/>
      <w:marTop w:val="0"/>
      <w:marBottom w:val="0"/>
      <w:divBdr>
        <w:top w:val="none" w:sz="0" w:space="0" w:color="auto"/>
        <w:left w:val="none" w:sz="0" w:space="0" w:color="auto"/>
        <w:bottom w:val="none" w:sz="0" w:space="0" w:color="auto"/>
        <w:right w:val="none" w:sz="0" w:space="0" w:color="auto"/>
      </w:divBdr>
    </w:div>
    <w:div w:id="1622954534">
      <w:bodyDiv w:val="1"/>
      <w:marLeft w:val="0"/>
      <w:marRight w:val="0"/>
      <w:marTop w:val="0"/>
      <w:marBottom w:val="0"/>
      <w:divBdr>
        <w:top w:val="none" w:sz="0" w:space="0" w:color="auto"/>
        <w:left w:val="none" w:sz="0" w:space="0" w:color="auto"/>
        <w:bottom w:val="none" w:sz="0" w:space="0" w:color="auto"/>
        <w:right w:val="none" w:sz="0" w:space="0" w:color="auto"/>
      </w:divBdr>
    </w:div>
    <w:div w:id="1636566635">
      <w:bodyDiv w:val="1"/>
      <w:marLeft w:val="0"/>
      <w:marRight w:val="0"/>
      <w:marTop w:val="0"/>
      <w:marBottom w:val="0"/>
      <w:divBdr>
        <w:top w:val="none" w:sz="0" w:space="0" w:color="auto"/>
        <w:left w:val="none" w:sz="0" w:space="0" w:color="auto"/>
        <w:bottom w:val="none" w:sz="0" w:space="0" w:color="auto"/>
        <w:right w:val="none" w:sz="0" w:space="0" w:color="auto"/>
      </w:divBdr>
    </w:div>
    <w:div w:id="1653946772">
      <w:bodyDiv w:val="1"/>
      <w:marLeft w:val="0"/>
      <w:marRight w:val="0"/>
      <w:marTop w:val="0"/>
      <w:marBottom w:val="0"/>
      <w:divBdr>
        <w:top w:val="none" w:sz="0" w:space="0" w:color="auto"/>
        <w:left w:val="none" w:sz="0" w:space="0" w:color="auto"/>
        <w:bottom w:val="none" w:sz="0" w:space="0" w:color="auto"/>
        <w:right w:val="none" w:sz="0" w:space="0" w:color="auto"/>
      </w:divBdr>
    </w:div>
    <w:div w:id="1686905491">
      <w:bodyDiv w:val="1"/>
      <w:marLeft w:val="0"/>
      <w:marRight w:val="0"/>
      <w:marTop w:val="0"/>
      <w:marBottom w:val="0"/>
      <w:divBdr>
        <w:top w:val="none" w:sz="0" w:space="0" w:color="auto"/>
        <w:left w:val="none" w:sz="0" w:space="0" w:color="auto"/>
        <w:bottom w:val="none" w:sz="0" w:space="0" w:color="auto"/>
        <w:right w:val="none" w:sz="0" w:space="0" w:color="auto"/>
      </w:divBdr>
    </w:div>
    <w:div w:id="1725567822">
      <w:bodyDiv w:val="1"/>
      <w:marLeft w:val="0"/>
      <w:marRight w:val="0"/>
      <w:marTop w:val="0"/>
      <w:marBottom w:val="0"/>
      <w:divBdr>
        <w:top w:val="none" w:sz="0" w:space="0" w:color="auto"/>
        <w:left w:val="none" w:sz="0" w:space="0" w:color="auto"/>
        <w:bottom w:val="none" w:sz="0" w:space="0" w:color="auto"/>
        <w:right w:val="none" w:sz="0" w:space="0" w:color="auto"/>
      </w:divBdr>
    </w:div>
    <w:div w:id="1745906533">
      <w:bodyDiv w:val="1"/>
      <w:marLeft w:val="0"/>
      <w:marRight w:val="0"/>
      <w:marTop w:val="0"/>
      <w:marBottom w:val="0"/>
      <w:divBdr>
        <w:top w:val="none" w:sz="0" w:space="0" w:color="auto"/>
        <w:left w:val="none" w:sz="0" w:space="0" w:color="auto"/>
        <w:bottom w:val="none" w:sz="0" w:space="0" w:color="auto"/>
        <w:right w:val="none" w:sz="0" w:space="0" w:color="auto"/>
      </w:divBdr>
    </w:div>
    <w:div w:id="1761637681">
      <w:bodyDiv w:val="1"/>
      <w:marLeft w:val="0"/>
      <w:marRight w:val="0"/>
      <w:marTop w:val="0"/>
      <w:marBottom w:val="0"/>
      <w:divBdr>
        <w:top w:val="none" w:sz="0" w:space="0" w:color="auto"/>
        <w:left w:val="none" w:sz="0" w:space="0" w:color="auto"/>
        <w:bottom w:val="none" w:sz="0" w:space="0" w:color="auto"/>
        <w:right w:val="none" w:sz="0" w:space="0" w:color="auto"/>
      </w:divBdr>
    </w:div>
    <w:div w:id="1774401861">
      <w:bodyDiv w:val="1"/>
      <w:marLeft w:val="0"/>
      <w:marRight w:val="0"/>
      <w:marTop w:val="0"/>
      <w:marBottom w:val="0"/>
      <w:divBdr>
        <w:top w:val="none" w:sz="0" w:space="0" w:color="auto"/>
        <w:left w:val="none" w:sz="0" w:space="0" w:color="auto"/>
        <w:bottom w:val="none" w:sz="0" w:space="0" w:color="auto"/>
        <w:right w:val="none" w:sz="0" w:space="0" w:color="auto"/>
      </w:divBdr>
    </w:div>
    <w:div w:id="1810900204">
      <w:bodyDiv w:val="1"/>
      <w:marLeft w:val="0"/>
      <w:marRight w:val="0"/>
      <w:marTop w:val="0"/>
      <w:marBottom w:val="0"/>
      <w:divBdr>
        <w:top w:val="none" w:sz="0" w:space="0" w:color="auto"/>
        <w:left w:val="none" w:sz="0" w:space="0" w:color="auto"/>
        <w:bottom w:val="none" w:sz="0" w:space="0" w:color="auto"/>
        <w:right w:val="none" w:sz="0" w:space="0" w:color="auto"/>
      </w:divBdr>
    </w:div>
    <w:div w:id="1816679512">
      <w:bodyDiv w:val="1"/>
      <w:marLeft w:val="0"/>
      <w:marRight w:val="0"/>
      <w:marTop w:val="0"/>
      <w:marBottom w:val="0"/>
      <w:divBdr>
        <w:top w:val="none" w:sz="0" w:space="0" w:color="auto"/>
        <w:left w:val="none" w:sz="0" w:space="0" w:color="auto"/>
        <w:bottom w:val="none" w:sz="0" w:space="0" w:color="auto"/>
        <w:right w:val="none" w:sz="0" w:space="0" w:color="auto"/>
      </w:divBdr>
    </w:div>
    <w:div w:id="1820878128">
      <w:bodyDiv w:val="1"/>
      <w:marLeft w:val="0"/>
      <w:marRight w:val="0"/>
      <w:marTop w:val="0"/>
      <w:marBottom w:val="0"/>
      <w:divBdr>
        <w:top w:val="none" w:sz="0" w:space="0" w:color="auto"/>
        <w:left w:val="none" w:sz="0" w:space="0" w:color="auto"/>
        <w:bottom w:val="none" w:sz="0" w:space="0" w:color="auto"/>
        <w:right w:val="none" w:sz="0" w:space="0" w:color="auto"/>
      </w:divBdr>
    </w:div>
    <w:div w:id="1862816395">
      <w:bodyDiv w:val="1"/>
      <w:marLeft w:val="0"/>
      <w:marRight w:val="0"/>
      <w:marTop w:val="0"/>
      <w:marBottom w:val="0"/>
      <w:divBdr>
        <w:top w:val="none" w:sz="0" w:space="0" w:color="auto"/>
        <w:left w:val="none" w:sz="0" w:space="0" w:color="auto"/>
        <w:bottom w:val="none" w:sz="0" w:space="0" w:color="auto"/>
        <w:right w:val="none" w:sz="0" w:space="0" w:color="auto"/>
      </w:divBdr>
    </w:div>
    <w:div w:id="1866359712">
      <w:bodyDiv w:val="1"/>
      <w:marLeft w:val="0"/>
      <w:marRight w:val="0"/>
      <w:marTop w:val="0"/>
      <w:marBottom w:val="0"/>
      <w:divBdr>
        <w:top w:val="none" w:sz="0" w:space="0" w:color="auto"/>
        <w:left w:val="none" w:sz="0" w:space="0" w:color="auto"/>
        <w:bottom w:val="none" w:sz="0" w:space="0" w:color="auto"/>
        <w:right w:val="none" w:sz="0" w:space="0" w:color="auto"/>
      </w:divBdr>
    </w:div>
    <w:div w:id="1882745613">
      <w:bodyDiv w:val="1"/>
      <w:marLeft w:val="0"/>
      <w:marRight w:val="0"/>
      <w:marTop w:val="0"/>
      <w:marBottom w:val="0"/>
      <w:divBdr>
        <w:top w:val="none" w:sz="0" w:space="0" w:color="auto"/>
        <w:left w:val="none" w:sz="0" w:space="0" w:color="auto"/>
        <w:bottom w:val="none" w:sz="0" w:space="0" w:color="auto"/>
        <w:right w:val="none" w:sz="0" w:space="0" w:color="auto"/>
      </w:divBdr>
    </w:div>
    <w:div w:id="1901820510">
      <w:bodyDiv w:val="1"/>
      <w:marLeft w:val="0"/>
      <w:marRight w:val="0"/>
      <w:marTop w:val="0"/>
      <w:marBottom w:val="0"/>
      <w:divBdr>
        <w:top w:val="none" w:sz="0" w:space="0" w:color="auto"/>
        <w:left w:val="none" w:sz="0" w:space="0" w:color="auto"/>
        <w:bottom w:val="none" w:sz="0" w:space="0" w:color="auto"/>
        <w:right w:val="none" w:sz="0" w:space="0" w:color="auto"/>
      </w:divBdr>
    </w:div>
    <w:div w:id="1903515427">
      <w:bodyDiv w:val="1"/>
      <w:marLeft w:val="0"/>
      <w:marRight w:val="0"/>
      <w:marTop w:val="0"/>
      <w:marBottom w:val="0"/>
      <w:divBdr>
        <w:top w:val="none" w:sz="0" w:space="0" w:color="auto"/>
        <w:left w:val="none" w:sz="0" w:space="0" w:color="auto"/>
        <w:bottom w:val="none" w:sz="0" w:space="0" w:color="auto"/>
        <w:right w:val="none" w:sz="0" w:space="0" w:color="auto"/>
      </w:divBdr>
    </w:div>
    <w:div w:id="1903558825">
      <w:bodyDiv w:val="1"/>
      <w:marLeft w:val="0"/>
      <w:marRight w:val="0"/>
      <w:marTop w:val="0"/>
      <w:marBottom w:val="0"/>
      <w:divBdr>
        <w:top w:val="none" w:sz="0" w:space="0" w:color="auto"/>
        <w:left w:val="none" w:sz="0" w:space="0" w:color="auto"/>
        <w:bottom w:val="none" w:sz="0" w:space="0" w:color="auto"/>
        <w:right w:val="none" w:sz="0" w:space="0" w:color="auto"/>
      </w:divBdr>
    </w:div>
    <w:div w:id="1903712796">
      <w:bodyDiv w:val="1"/>
      <w:marLeft w:val="0"/>
      <w:marRight w:val="0"/>
      <w:marTop w:val="0"/>
      <w:marBottom w:val="0"/>
      <w:divBdr>
        <w:top w:val="none" w:sz="0" w:space="0" w:color="auto"/>
        <w:left w:val="none" w:sz="0" w:space="0" w:color="auto"/>
        <w:bottom w:val="none" w:sz="0" w:space="0" w:color="auto"/>
        <w:right w:val="none" w:sz="0" w:space="0" w:color="auto"/>
      </w:divBdr>
    </w:div>
    <w:div w:id="1939174631">
      <w:bodyDiv w:val="1"/>
      <w:marLeft w:val="0"/>
      <w:marRight w:val="0"/>
      <w:marTop w:val="0"/>
      <w:marBottom w:val="0"/>
      <w:divBdr>
        <w:top w:val="none" w:sz="0" w:space="0" w:color="auto"/>
        <w:left w:val="none" w:sz="0" w:space="0" w:color="auto"/>
        <w:bottom w:val="none" w:sz="0" w:space="0" w:color="auto"/>
        <w:right w:val="none" w:sz="0" w:space="0" w:color="auto"/>
      </w:divBdr>
    </w:div>
    <w:div w:id="1957058678">
      <w:bodyDiv w:val="1"/>
      <w:marLeft w:val="0"/>
      <w:marRight w:val="0"/>
      <w:marTop w:val="0"/>
      <w:marBottom w:val="0"/>
      <w:divBdr>
        <w:top w:val="none" w:sz="0" w:space="0" w:color="auto"/>
        <w:left w:val="none" w:sz="0" w:space="0" w:color="auto"/>
        <w:bottom w:val="none" w:sz="0" w:space="0" w:color="auto"/>
        <w:right w:val="none" w:sz="0" w:space="0" w:color="auto"/>
      </w:divBdr>
    </w:div>
    <w:div w:id="1994946221">
      <w:bodyDiv w:val="1"/>
      <w:marLeft w:val="0"/>
      <w:marRight w:val="0"/>
      <w:marTop w:val="0"/>
      <w:marBottom w:val="0"/>
      <w:divBdr>
        <w:top w:val="none" w:sz="0" w:space="0" w:color="auto"/>
        <w:left w:val="none" w:sz="0" w:space="0" w:color="auto"/>
        <w:bottom w:val="none" w:sz="0" w:space="0" w:color="auto"/>
        <w:right w:val="none" w:sz="0" w:space="0" w:color="auto"/>
      </w:divBdr>
    </w:div>
    <w:div w:id="1996832092">
      <w:bodyDiv w:val="1"/>
      <w:marLeft w:val="0"/>
      <w:marRight w:val="0"/>
      <w:marTop w:val="0"/>
      <w:marBottom w:val="0"/>
      <w:divBdr>
        <w:top w:val="none" w:sz="0" w:space="0" w:color="auto"/>
        <w:left w:val="none" w:sz="0" w:space="0" w:color="auto"/>
        <w:bottom w:val="none" w:sz="0" w:space="0" w:color="auto"/>
        <w:right w:val="none" w:sz="0" w:space="0" w:color="auto"/>
      </w:divBdr>
    </w:div>
    <w:div w:id="2018605796">
      <w:bodyDiv w:val="1"/>
      <w:marLeft w:val="0"/>
      <w:marRight w:val="0"/>
      <w:marTop w:val="0"/>
      <w:marBottom w:val="0"/>
      <w:divBdr>
        <w:top w:val="none" w:sz="0" w:space="0" w:color="auto"/>
        <w:left w:val="none" w:sz="0" w:space="0" w:color="auto"/>
        <w:bottom w:val="none" w:sz="0" w:space="0" w:color="auto"/>
        <w:right w:val="none" w:sz="0" w:space="0" w:color="auto"/>
      </w:divBdr>
    </w:div>
    <w:div w:id="2049986506">
      <w:bodyDiv w:val="1"/>
      <w:marLeft w:val="0"/>
      <w:marRight w:val="0"/>
      <w:marTop w:val="0"/>
      <w:marBottom w:val="0"/>
      <w:divBdr>
        <w:top w:val="none" w:sz="0" w:space="0" w:color="auto"/>
        <w:left w:val="none" w:sz="0" w:space="0" w:color="auto"/>
        <w:bottom w:val="none" w:sz="0" w:space="0" w:color="auto"/>
        <w:right w:val="none" w:sz="0" w:space="0" w:color="auto"/>
      </w:divBdr>
    </w:div>
    <w:div w:id="2083410354">
      <w:bodyDiv w:val="1"/>
      <w:marLeft w:val="0"/>
      <w:marRight w:val="0"/>
      <w:marTop w:val="0"/>
      <w:marBottom w:val="0"/>
      <w:divBdr>
        <w:top w:val="none" w:sz="0" w:space="0" w:color="auto"/>
        <w:left w:val="none" w:sz="0" w:space="0" w:color="auto"/>
        <w:bottom w:val="none" w:sz="0" w:space="0" w:color="auto"/>
        <w:right w:val="none" w:sz="0" w:space="0" w:color="auto"/>
      </w:divBdr>
    </w:div>
    <w:div w:id="2090106780">
      <w:bodyDiv w:val="1"/>
      <w:marLeft w:val="0"/>
      <w:marRight w:val="0"/>
      <w:marTop w:val="0"/>
      <w:marBottom w:val="0"/>
      <w:divBdr>
        <w:top w:val="none" w:sz="0" w:space="0" w:color="auto"/>
        <w:left w:val="none" w:sz="0" w:space="0" w:color="auto"/>
        <w:bottom w:val="none" w:sz="0" w:space="0" w:color="auto"/>
        <w:right w:val="none" w:sz="0" w:space="0" w:color="auto"/>
      </w:divBdr>
    </w:div>
    <w:div w:id="2092196111">
      <w:bodyDiv w:val="1"/>
      <w:marLeft w:val="0"/>
      <w:marRight w:val="0"/>
      <w:marTop w:val="0"/>
      <w:marBottom w:val="0"/>
      <w:divBdr>
        <w:top w:val="none" w:sz="0" w:space="0" w:color="auto"/>
        <w:left w:val="none" w:sz="0" w:space="0" w:color="auto"/>
        <w:bottom w:val="none" w:sz="0" w:space="0" w:color="auto"/>
        <w:right w:val="none" w:sz="0" w:space="0" w:color="auto"/>
      </w:divBdr>
    </w:div>
    <w:div w:id="2093966508">
      <w:bodyDiv w:val="1"/>
      <w:marLeft w:val="0"/>
      <w:marRight w:val="0"/>
      <w:marTop w:val="0"/>
      <w:marBottom w:val="0"/>
      <w:divBdr>
        <w:top w:val="none" w:sz="0" w:space="0" w:color="auto"/>
        <w:left w:val="none" w:sz="0" w:space="0" w:color="auto"/>
        <w:bottom w:val="none" w:sz="0" w:space="0" w:color="auto"/>
        <w:right w:val="none" w:sz="0" w:space="0" w:color="auto"/>
      </w:divBdr>
    </w:div>
    <w:div w:id="2095541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eg"/><Relationship Id="rId26" Type="http://schemas.openxmlformats.org/officeDocument/2006/relationships/image" Target="media/image11.emf"/><Relationship Id="rId39" Type="http://schemas.openxmlformats.org/officeDocument/2006/relationships/hyperlink" Target="aspi://module='ASPI'&amp;link='225/2017%20Sb.%2523'&amp;ucin-k-dni='30.12.9999'"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hyperlink" Target="aspi://module='ASPI'&amp;link='292/2013%20Sb.%252337'&amp;ucin-k-dni='30.12.9999'" TargetMode="External"/><Relationship Id="rId42" Type="http://schemas.openxmlformats.org/officeDocument/2006/relationships/image" Target="media/image16.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image" Target="media/image10.jpeg"/><Relationship Id="rId33" Type="http://schemas.openxmlformats.org/officeDocument/2006/relationships/hyperlink" Target="aspi://module='ASPI'&amp;link='89/2012%20Sb.%252358'&amp;ucin-k-dni='30.12.9999'" TargetMode="External"/><Relationship Id="rId38" Type="http://schemas.openxmlformats.org/officeDocument/2006/relationships/hyperlink" Target="aspi://module='ASPI'&amp;link='183/2006%20Sb.%2523'&amp;ucin-k-dni='30.12.9999'" TargetMode="Externa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image" Target="media/image5.jpeg"/><Relationship Id="rId29" Type="http://schemas.openxmlformats.org/officeDocument/2006/relationships/hyperlink" Target="aspi://module='ASPI'&amp;link='89/2012%20Sb.%252362'&amp;ucin-k-dni='30.12.9999'" TargetMode="External"/><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9.jpeg"/><Relationship Id="rId32" Type="http://schemas.openxmlformats.org/officeDocument/2006/relationships/hyperlink" Target="aspi://module='ASPI'&amp;link='40/1964%20Sb.%252310'&amp;ucin-k-dni='30.12.9999'" TargetMode="External"/><Relationship Id="rId37" Type="http://schemas.openxmlformats.org/officeDocument/2006/relationships/hyperlink" Target="aspi://module='ASPI'&amp;link='183/2006%20Sb.%252396b'&amp;ucin-k-dni='30.12.9999'" TargetMode="External"/><Relationship Id="rId40" Type="http://schemas.openxmlformats.org/officeDocument/2006/relationships/image" Target="media/image14.emf"/><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image" Target="media/image8.jpeg"/><Relationship Id="rId28" Type="http://schemas.openxmlformats.org/officeDocument/2006/relationships/hyperlink" Target="aspi://module='ASPI'&amp;link='89/2012%20Sb.%252355'&amp;ucin-k-dni='30.12.9999'" TargetMode="External"/><Relationship Id="rId36" Type="http://schemas.openxmlformats.org/officeDocument/2006/relationships/image" Target="media/image13.emf"/><Relationship Id="rId10" Type="http://schemas.openxmlformats.org/officeDocument/2006/relationships/footer" Target="footer1.xml"/><Relationship Id="rId19" Type="http://schemas.openxmlformats.org/officeDocument/2006/relationships/image" Target="media/image4.jpeg"/><Relationship Id="rId31" Type="http://schemas.openxmlformats.org/officeDocument/2006/relationships/hyperlink" Target="aspi://module='ASPI'&amp;link='40/1964%20Sb.%252310'&amp;ucin-k-dni='30.12.9999'"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hyperlink" Target="aspi://module='ASPI'&amp;link='89/2012%20Sb.%2523469'&amp;ucin-k-dni='30.12.9999'" TargetMode="External"/><Relationship Id="rId35" Type="http://schemas.openxmlformats.org/officeDocument/2006/relationships/hyperlink" Target="aspi://module='ASPI'&amp;link='89/2012%20Sb.%2523468'&amp;ucin-k-dni='30.12.9999'" TargetMode="External"/><Relationship Id="rId43" Type="http://schemas.openxmlformats.org/officeDocument/2006/relationships/image" Target="media/image17.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20B54-CCE8-48E1-89FE-885F16872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8857</Words>
  <Characters>52260</Characters>
  <Application>Microsoft Office Word</Application>
  <DocSecurity>0</DocSecurity>
  <Lines>435</Lines>
  <Paragraphs>121</Paragraphs>
  <ScaleCrop>false</ScaleCrop>
  <HeadingPairs>
    <vt:vector size="2" baseType="variant">
      <vt:variant>
        <vt:lpstr>Název</vt:lpstr>
      </vt:variant>
      <vt:variant>
        <vt:i4>1</vt:i4>
      </vt:variant>
    </vt:vector>
  </HeadingPairs>
  <TitlesOfParts>
    <vt:vector size="1" baseType="lpstr">
      <vt:lpstr>Fiskální výhled České republiky (listopad 2018)</vt:lpstr>
    </vt:vector>
  </TitlesOfParts>
  <Company>Ministerstvo financí</Company>
  <LinksUpToDate>false</LinksUpToDate>
  <CharactersWithSpaces>60996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Fiskální výhled České republiky (listopad 2018)</dc:title>
  <dc:creator>Ministerstvo financí České republiky;Odbor Hospodářská politika</dc:creator>
  <cp:keywords>fiskální politika, fiskální predikce, výhled, deficit, dluh, fiskální úsilí, fiskální impulz</cp:keywords>
  <cp:lastModifiedBy>Rucká Karla Ing.</cp:lastModifiedBy>
  <cp:revision>2</cp:revision>
  <cp:lastPrinted>2020-09-26T11:39:00Z</cp:lastPrinted>
  <dcterms:created xsi:type="dcterms:W3CDTF">2020-10-23T09:22:00Z</dcterms:created>
  <dcterms:modified xsi:type="dcterms:W3CDTF">2020-10-23T09:22:00Z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azyk">
    <vt:lpwstr>český</vt:lpwstr>
  </property>
  <property fmtid="{D5CDD505-2E9C-101B-9397-08002B2CF9AE}" pid="3" name="Odkaz">
    <vt:lpwstr>http://www.mfcr.cz/fiskalnivyhled</vt:lpwstr>
  </property>
</Properties>
</file>