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E7" w:rsidRDefault="00381BE7" w:rsidP="00381BE7">
      <w:pPr>
        <w:widowControl w:val="0"/>
        <w:autoSpaceDE w:val="0"/>
        <w:autoSpaceDN w:val="0"/>
        <w:adjustRightInd w:val="0"/>
        <w:spacing w:after="0" w:line="240" w:lineRule="auto"/>
        <w:jc w:val="right"/>
        <w:rPr>
          <w:rFonts w:ascii="Arial" w:hAnsi="Arial" w:cs="Arial"/>
          <w:b/>
          <w:sz w:val="18"/>
          <w:szCs w:val="18"/>
        </w:rPr>
      </w:pPr>
    </w:p>
    <w:p w:rsidR="00381BE7" w:rsidRPr="007231F8" w:rsidRDefault="00381BE7" w:rsidP="00381BE7">
      <w:pPr>
        <w:widowControl w:val="0"/>
        <w:autoSpaceDE w:val="0"/>
        <w:autoSpaceDN w:val="0"/>
        <w:adjustRightInd w:val="0"/>
        <w:spacing w:before="120" w:after="0" w:line="240" w:lineRule="auto"/>
        <w:jc w:val="right"/>
        <w:rPr>
          <w:rFonts w:ascii="Times New Roman" w:hAnsi="Times New Roman"/>
          <w:b/>
          <w:sz w:val="20"/>
          <w:szCs w:val="20"/>
        </w:rPr>
      </w:pPr>
      <w:r w:rsidRPr="00A369BE">
        <w:rPr>
          <w:rFonts w:ascii="Times New Roman" w:hAnsi="Times New Roman"/>
          <w:sz w:val="24"/>
          <w:szCs w:val="24"/>
        </w:rPr>
        <w:t xml:space="preserve">Příloha č. 7 k zákonu č. </w:t>
      </w:r>
      <w:proofErr w:type="gramStart"/>
      <w:r w:rsidRPr="00A369BE">
        <w:rPr>
          <w:rFonts w:ascii="Times New Roman" w:hAnsi="Times New Roman"/>
          <w:sz w:val="24"/>
          <w:szCs w:val="24"/>
        </w:rPr>
        <w:t>….. /2020</w:t>
      </w:r>
      <w:proofErr w:type="gramEnd"/>
      <w:r w:rsidRPr="00A369BE">
        <w:rPr>
          <w:rFonts w:ascii="Times New Roman" w:hAnsi="Times New Roman"/>
          <w:sz w:val="24"/>
          <w:szCs w:val="24"/>
        </w:rPr>
        <w:t xml:space="preserve"> Sb</w:t>
      </w:r>
      <w:r w:rsidRPr="007231F8">
        <w:rPr>
          <w:rFonts w:ascii="Times New Roman" w:hAnsi="Times New Roman"/>
          <w:b/>
          <w:sz w:val="20"/>
          <w:szCs w:val="20"/>
        </w:rPr>
        <w:t>.</w:t>
      </w:r>
    </w:p>
    <w:p w:rsidR="00381BE7" w:rsidRPr="007231F8" w:rsidRDefault="00381BE7" w:rsidP="00381BE7">
      <w:pPr>
        <w:widowControl w:val="0"/>
        <w:autoSpaceDE w:val="0"/>
        <w:autoSpaceDN w:val="0"/>
        <w:adjustRightInd w:val="0"/>
        <w:spacing w:after="0" w:line="240" w:lineRule="auto"/>
        <w:jc w:val="right"/>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center"/>
        <w:rPr>
          <w:rFonts w:ascii="Times New Roman" w:hAnsi="Times New Roman"/>
          <w:b/>
          <w:bCs/>
          <w:sz w:val="20"/>
          <w:szCs w:val="20"/>
        </w:rPr>
      </w:pPr>
      <w:r w:rsidRPr="007231F8">
        <w:rPr>
          <w:rFonts w:ascii="Times New Roman" w:hAnsi="Times New Roman"/>
          <w:b/>
          <w:bCs/>
          <w:sz w:val="20"/>
          <w:szCs w:val="20"/>
        </w:rPr>
        <w:t xml:space="preserve">FINANČNÍ VZTAH STÁTNÍHO ROZPOČTU K ROZPOČTU HLAVNÍHO MĚSTA PRAHY </w:t>
      </w:r>
    </w:p>
    <w:p w:rsidR="00381BE7" w:rsidRPr="007231F8" w:rsidRDefault="00381BE7" w:rsidP="00381BE7">
      <w:pPr>
        <w:widowControl w:val="0"/>
        <w:autoSpaceDE w:val="0"/>
        <w:autoSpaceDN w:val="0"/>
        <w:adjustRightInd w:val="0"/>
        <w:spacing w:after="0" w:line="240" w:lineRule="auto"/>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rPr>
          <w:rFonts w:ascii="Times New Roman" w:hAnsi="Times New Roman"/>
          <w:bCs/>
          <w:sz w:val="20"/>
          <w:szCs w:val="20"/>
        </w:rPr>
      </w:pP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
          <w:bCs/>
          <w:sz w:val="20"/>
          <w:szCs w:val="20"/>
        </w:rPr>
        <w:tab/>
      </w:r>
      <w:r w:rsidRPr="007231F8">
        <w:rPr>
          <w:rFonts w:ascii="Times New Roman" w:hAnsi="Times New Roman"/>
          <w:bCs/>
          <w:sz w:val="20"/>
          <w:szCs w:val="20"/>
        </w:rPr>
        <w:t>v Kč</w:t>
      </w:r>
    </w:p>
    <w:tbl>
      <w:tblPr>
        <w:tblStyle w:val="Mkatabulky"/>
        <w:tblW w:w="0" w:type="auto"/>
        <w:jc w:val="center"/>
        <w:tblLook w:val="04A0" w:firstRow="1" w:lastRow="0" w:firstColumn="1" w:lastColumn="0" w:noHBand="0" w:noVBand="1"/>
      </w:tblPr>
      <w:tblGrid>
        <w:gridCol w:w="3119"/>
        <w:gridCol w:w="1980"/>
        <w:gridCol w:w="1981"/>
        <w:gridCol w:w="1981"/>
      </w:tblGrid>
      <w:tr w:rsidR="00381BE7" w:rsidRPr="007231F8" w:rsidTr="0010216D">
        <w:trPr>
          <w:trHeight w:val="381"/>
          <w:jc w:val="center"/>
        </w:trPr>
        <w:tc>
          <w:tcPr>
            <w:tcW w:w="3119" w:type="dxa"/>
            <w:tcBorders>
              <w:top w:val="nil"/>
              <w:left w:val="nil"/>
              <w:bottom w:val="single" w:sz="4" w:space="0" w:color="auto"/>
              <w:right w:val="single" w:sz="4" w:space="0" w:color="auto"/>
            </w:tcBorders>
          </w:tcPr>
          <w:p w:rsidR="00381BE7" w:rsidRPr="007231F8" w:rsidRDefault="00381BE7" w:rsidP="00381BE7">
            <w:pPr>
              <w:widowControl w:val="0"/>
              <w:autoSpaceDE w:val="0"/>
              <w:autoSpaceDN w:val="0"/>
              <w:adjustRightInd w:val="0"/>
              <w:rPr>
                <w:rFonts w:ascii="Times New Roman" w:hAnsi="Times New Roman"/>
                <w:b/>
                <w:bCs/>
                <w:sz w:val="20"/>
                <w:szCs w:val="20"/>
              </w:rPr>
            </w:pPr>
          </w:p>
        </w:tc>
        <w:tc>
          <w:tcPr>
            <w:tcW w:w="1980" w:type="dxa"/>
            <w:tcBorders>
              <w:left w:val="single" w:sz="4" w:space="0" w:color="auto"/>
            </w:tcBorders>
            <w:vAlign w:val="center"/>
          </w:tcPr>
          <w:p w:rsidR="00381BE7" w:rsidRPr="007231F8" w:rsidRDefault="00381BE7" w:rsidP="00381BE7">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Praha jako obec</w:t>
            </w:r>
          </w:p>
        </w:tc>
        <w:tc>
          <w:tcPr>
            <w:tcW w:w="1981" w:type="dxa"/>
            <w:vAlign w:val="center"/>
          </w:tcPr>
          <w:p w:rsidR="00381BE7" w:rsidRPr="007231F8" w:rsidRDefault="00381BE7" w:rsidP="00381BE7">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Praha jako kraj</w:t>
            </w:r>
          </w:p>
        </w:tc>
        <w:tc>
          <w:tcPr>
            <w:tcW w:w="1981" w:type="dxa"/>
            <w:vAlign w:val="center"/>
          </w:tcPr>
          <w:p w:rsidR="00381BE7" w:rsidRPr="007231F8" w:rsidRDefault="00381BE7" w:rsidP="00381BE7">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Celkem</w:t>
            </w:r>
          </w:p>
        </w:tc>
      </w:tr>
      <w:tr w:rsidR="00381BE7" w:rsidRPr="007231F8" w:rsidTr="0010216D">
        <w:trPr>
          <w:trHeight w:val="427"/>
          <w:jc w:val="center"/>
        </w:trPr>
        <w:tc>
          <w:tcPr>
            <w:tcW w:w="3119" w:type="dxa"/>
            <w:tcBorders>
              <w:top w:val="single" w:sz="4" w:space="0" w:color="auto"/>
            </w:tcBorders>
            <w:vAlign w:val="center"/>
          </w:tcPr>
          <w:p w:rsidR="00381BE7" w:rsidRPr="007231F8" w:rsidRDefault="00381BE7" w:rsidP="007231F8">
            <w:pPr>
              <w:widowControl w:val="0"/>
              <w:autoSpaceDE w:val="0"/>
              <w:autoSpaceDN w:val="0"/>
              <w:adjustRightInd w:val="0"/>
              <w:rPr>
                <w:rFonts w:ascii="Times New Roman" w:hAnsi="Times New Roman"/>
                <w:bCs/>
                <w:sz w:val="20"/>
                <w:szCs w:val="20"/>
              </w:rPr>
            </w:pPr>
            <w:r w:rsidRPr="007231F8">
              <w:rPr>
                <w:rFonts w:ascii="Times New Roman" w:hAnsi="Times New Roman"/>
                <w:bCs/>
                <w:sz w:val="20"/>
                <w:szCs w:val="20"/>
              </w:rPr>
              <w:t>Příspěvek na výkon státní správy</w:t>
            </w:r>
          </w:p>
        </w:tc>
        <w:tc>
          <w:tcPr>
            <w:tcW w:w="1980" w:type="dxa"/>
            <w:vAlign w:val="center"/>
          </w:tcPr>
          <w:p w:rsidR="00381BE7" w:rsidRPr="007231F8" w:rsidRDefault="00381BE7" w:rsidP="0010216D">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1 121 111 369</w:t>
            </w:r>
          </w:p>
        </w:tc>
        <w:tc>
          <w:tcPr>
            <w:tcW w:w="1981" w:type="dxa"/>
            <w:vAlign w:val="center"/>
          </w:tcPr>
          <w:p w:rsidR="00381BE7" w:rsidRPr="007231F8" w:rsidRDefault="00381BE7" w:rsidP="00381BE7">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89 366 705</w:t>
            </w:r>
          </w:p>
        </w:tc>
        <w:tc>
          <w:tcPr>
            <w:tcW w:w="1981" w:type="dxa"/>
            <w:vAlign w:val="center"/>
          </w:tcPr>
          <w:p w:rsidR="00381BE7" w:rsidRPr="007231F8" w:rsidRDefault="00381BE7" w:rsidP="00381BE7">
            <w:pPr>
              <w:widowControl w:val="0"/>
              <w:autoSpaceDE w:val="0"/>
              <w:autoSpaceDN w:val="0"/>
              <w:adjustRightInd w:val="0"/>
              <w:jc w:val="center"/>
              <w:rPr>
                <w:rFonts w:ascii="Times New Roman" w:hAnsi="Times New Roman"/>
                <w:bCs/>
                <w:sz w:val="20"/>
                <w:szCs w:val="20"/>
              </w:rPr>
            </w:pPr>
            <w:r w:rsidRPr="007231F8">
              <w:rPr>
                <w:rFonts w:ascii="Times New Roman" w:hAnsi="Times New Roman"/>
                <w:bCs/>
                <w:sz w:val="20"/>
                <w:szCs w:val="20"/>
              </w:rPr>
              <w:t>1 210 478 074</w:t>
            </w:r>
          </w:p>
        </w:tc>
      </w:tr>
      <w:tr w:rsidR="00381BE7" w:rsidRPr="007231F8" w:rsidTr="007231F8">
        <w:trPr>
          <w:trHeight w:val="472"/>
          <w:jc w:val="center"/>
        </w:trPr>
        <w:tc>
          <w:tcPr>
            <w:tcW w:w="7080" w:type="dxa"/>
            <w:gridSpan w:val="3"/>
            <w:vAlign w:val="center"/>
          </w:tcPr>
          <w:p w:rsidR="00381BE7" w:rsidRPr="0010216D" w:rsidRDefault="00381BE7" w:rsidP="007231F8">
            <w:pPr>
              <w:widowControl w:val="0"/>
              <w:autoSpaceDE w:val="0"/>
              <w:autoSpaceDN w:val="0"/>
              <w:adjustRightInd w:val="0"/>
              <w:rPr>
                <w:rFonts w:ascii="Times New Roman" w:hAnsi="Times New Roman"/>
                <w:b/>
                <w:bCs/>
                <w:sz w:val="20"/>
                <w:szCs w:val="20"/>
              </w:rPr>
            </w:pPr>
            <w:r w:rsidRPr="0010216D">
              <w:rPr>
                <w:rFonts w:ascii="Times New Roman" w:hAnsi="Times New Roman"/>
                <w:b/>
                <w:bCs/>
                <w:sz w:val="20"/>
                <w:szCs w:val="20"/>
              </w:rPr>
              <w:t xml:space="preserve">Úhrn </w:t>
            </w:r>
          </w:p>
        </w:tc>
        <w:tc>
          <w:tcPr>
            <w:tcW w:w="1981" w:type="dxa"/>
            <w:vAlign w:val="center"/>
          </w:tcPr>
          <w:p w:rsidR="00381BE7" w:rsidRPr="0010216D" w:rsidRDefault="00381BE7" w:rsidP="007231F8">
            <w:pPr>
              <w:widowControl w:val="0"/>
              <w:autoSpaceDE w:val="0"/>
              <w:autoSpaceDN w:val="0"/>
              <w:adjustRightInd w:val="0"/>
              <w:jc w:val="center"/>
              <w:rPr>
                <w:rFonts w:ascii="Times New Roman" w:hAnsi="Times New Roman"/>
                <w:b/>
                <w:bCs/>
                <w:sz w:val="20"/>
                <w:szCs w:val="20"/>
              </w:rPr>
            </w:pPr>
            <w:r w:rsidRPr="0010216D">
              <w:rPr>
                <w:rFonts w:ascii="Times New Roman" w:hAnsi="Times New Roman"/>
                <w:b/>
                <w:bCs/>
                <w:sz w:val="20"/>
                <w:szCs w:val="20"/>
              </w:rPr>
              <w:t>1 210 478 100</w:t>
            </w:r>
          </w:p>
        </w:tc>
      </w:tr>
    </w:tbl>
    <w:p w:rsidR="00381BE7" w:rsidRPr="007231F8" w:rsidRDefault="00381BE7" w:rsidP="00381BE7">
      <w:pPr>
        <w:widowControl w:val="0"/>
        <w:autoSpaceDE w:val="0"/>
        <w:autoSpaceDN w:val="0"/>
        <w:adjustRightInd w:val="0"/>
        <w:spacing w:after="0" w:line="240" w:lineRule="auto"/>
        <w:rPr>
          <w:rFonts w:ascii="Times New Roman" w:hAnsi="Times New Roman"/>
          <w:b/>
          <w:bCs/>
          <w:sz w:val="20"/>
          <w:szCs w:val="20"/>
        </w:rPr>
      </w:pPr>
    </w:p>
    <w:p w:rsidR="00381BE7" w:rsidRPr="00A369BE" w:rsidRDefault="00381BE7" w:rsidP="00A369BE">
      <w:pPr>
        <w:widowControl w:val="0"/>
        <w:autoSpaceDE w:val="0"/>
        <w:autoSpaceDN w:val="0"/>
        <w:adjustRightInd w:val="0"/>
        <w:spacing w:after="0" w:line="240" w:lineRule="auto"/>
        <w:jc w:val="center"/>
        <w:rPr>
          <w:rFonts w:ascii="Times New Roman" w:hAnsi="Times New Roman"/>
          <w:b/>
          <w:bCs/>
        </w:rPr>
      </w:pPr>
      <w:r w:rsidRPr="00A369BE">
        <w:rPr>
          <w:rFonts w:ascii="Times New Roman" w:hAnsi="Times New Roman"/>
          <w:b/>
          <w:bCs/>
        </w:rPr>
        <w:t>Postup pro stanovení výše příspěvku</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Výše příspěvku na výkon státní správy pro hlavní město Prahu zahrnuje částky určené postupem stanoveným v</w:t>
      </w:r>
      <w:r w:rsidR="007231F8">
        <w:rPr>
          <w:rFonts w:ascii="Times New Roman" w:hAnsi="Times New Roman"/>
          <w:sz w:val="20"/>
          <w:szCs w:val="20"/>
        </w:rPr>
        <w:t> </w:t>
      </w:r>
      <w:r w:rsidRPr="007231F8">
        <w:rPr>
          <w:rFonts w:ascii="Times New Roman" w:hAnsi="Times New Roman"/>
          <w:sz w:val="20"/>
          <w:szCs w:val="20"/>
        </w:rPr>
        <w:t>části 1. </w:t>
      </w:r>
      <w:proofErr w:type="gramStart"/>
      <w:r w:rsidRPr="007231F8">
        <w:rPr>
          <w:rFonts w:ascii="Times New Roman" w:hAnsi="Times New Roman"/>
          <w:sz w:val="20"/>
          <w:szCs w:val="20"/>
        </w:rPr>
        <w:t>A), 1.B), 1.C), 1.D), 1.E), 1.F), 1.G), 1.H) a 2.</w:t>
      </w:r>
      <w:proofErr w:type="gramEnd"/>
      <w:r w:rsidRPr="007231F8">
        <w:rPr>
          <w:rFonts w:ascii="Times New Roman" w:hAnsi="Times New Roman"/>
          <w:sz w:val="20"/>
          <w:szCs w:val="20"/>
        </w:rPr>
        <w:t xml:space="preserve"> Takto zjištěná hodnota se zaokrouhluje na celé stokoruny podle matematických zásad. </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85385A" w:rsidRDefault="00381BE7" w:rsidP="00381BE7">
      <w:pPr>
        <w:widowControl w:val="0"/>
        <w:autoSpaceDE w:val="0"/>
        <w:autoSpaceDN w:val="0"/>
        <w:adjustRightInd w:val="0"/>
        <w:spacing w:after="0" w:line="240" w:lineRule="auto"/>
        <w:jc w:val="center"/>
        <w:rPr>
          <w:rFonts w:ascii="Times New Roman" w:hAnsi="Times New Roman"/>
          <w:b/>
          <w:bCs/>
        </w:rPr>
      </w:pPr>
      <w:r w:rsidRPr="0085385A">
        <w:rPr>
          <w:rFonts w:ascii="Times New Roman" w:hAnsi="Times New Roman"/>
          <w:b/>
          <w:bCs/>
          <w:sz w:val="24"/>
          <w:szCs w:val="24"/>
        </w:rPr>
        <w:t xml:space="preserve">1. </w:t>
      </w:r>
      <w:r w:rsidRPr="0085385A">
        <w:rPr>
          <w:rFonts w:ascii="Times New Roman" w:hAnsi="Times New Roman"/>
          <w:b/>
          <w:bCs/>
        </w:rPr>
        <w:t>Postup pro stanovení výše příspěvku na výkon státní správy hlavnímu městu Praze jako obci</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85385A"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A) </w:t>
      </w:r>
      <w:r w:rsidRPr="0085385A">
        <w:rPr>
          <w:rFonts w:ascii="Times New Roman" w:hAnsi="Times New Roman"/>
          <w:b/>
          <w:bCs/>
          <w:sz w:val="20"/>
          <w:szCs w:val="20"/>
        </w:rPr>
        <w:t xml:space="preserve">Výkon působnosti, která je svěřena orgánům obcí, orgánům obcí s pověřeným obecním úřadem a orgánům obcí s rozšířenou působností v souladu s ustanovením </w:t>
      </w:r>
      <w:hyperlink r:id="rId9" w:history="1">
        <w:r w:rsidRPr="0085385A">
          <w:rPr>
            <w:rFonts w:ascii="Times New Roman" w:hAnsi="Times New Roman"/>
            <w:b/>
            <w:bCs/>
            <w:sz w:val="20"/>
            <w:szCs w:val="20"/>
          </w:rPr>
          <w:t>§ 31 odst. 2 zákona č. 131/2000 Sb.</w:t>
        </w:r>
      </w:hyperlink>
      <w:r w:rsidRPr="0085385A">
        <w:rPr>
          <w:rFonts w:ascii="Times New Roman" w:hAnsi="Times New Roman"/>
          <w:b/>
          <w:bCs/>
          <w:sz w:val="20"/>
          <w:szCs w:val="20"/>
        </w:rPr>
        <w:t>, o</w:t>
      </w:r>
      <w:r w:rsidR="007231F8" w:rsidRPr="0085385A">
        <w:rPr>
          <w:rFonts w:ascii="Times New Roman" w:hAnsi="Times New Roman"/>
          <w:b/>
          <w:bCs/>
          <w:sz w:val="20"/>
          <w:szCs w:val="20"/>
        </w:rPr>
        <w:t> </w:t>
      </w:r>
      <w:r w:rsidRPr="0085385A">
        <w:rPr>
          <w:rFonts w:ascii="Times New Roman" w:hAnsi="Times New Roman"/>
          <w:b/>
          <w:bCs/>
          <w:sz w:val="20"/>
          <w:szCs w:val="20"/>
        </w:rPr>
        <w:t xml:space="preserve">hlavním městě Praze, ve znění pozdějších předpisů. </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Výše příspěvku se stanoví na základě pevné sazby na každých 100 obyvatel trvale bydlících v území, v němž hlavní město Praha vykonává státní správu. Příspěvek je tedy násobkem pevné sazby a jedné setiny celkového počtu obyvatel v území. Pro rok 2021 se stanovuje sazba 70 683 Kč. Meziroční změna sazby oproti roku 2020 je dána zejména důsledkem osamostatnění výkonových plateb. Výsledný příspěvek zohledňuje nárůst počtu obyvatel hlavního města Prahy dle údajů Českého statistického úřadu se stavem k 1. 1. 2020.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B) Financování vydávání občanských průkazů </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20 576 632 Kč k pokrytí financování vydávání občanských průkazů jednotlivými úřady městských částí.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Úřad městské části, kde byla podána žádost o vydání občanského průkazu, (tzv. "místo nabrání") obdrží příspěvek ve výši násobku 139 Kč za každou přijatou žádost o vydání občanského průkazu. Příspěvek nenáleží za přijatou žádost o vydání občanského průkazu s dobou vydání do pěti pracovních dnů a do 24 hodin, žádost o</w:t>
      </w:r>
      <w:r w:rsidR="0010216D">
        <w:rPr>
          <w:rFonts w:ascii="Times New Roman" w:hAnsi="Times New Roman"/>
          <w:sz w:val="20"/>
          <w:szCs w:val="20"/>
        </w:rPr>
        <w:t> </w:t>
      </w:r>
      <w:r w:rsidRPr="007231F8">
        <w:rPr>
          <w:rFonts w:ascii="Times New Roman" w:hAnsi="Times New Roman"/>
          <w:sz w:val="20"/>
          <w:szCs w:val="20"/>
        </w:rPr>
        <w:t xml:space="preserve">vydání občanského průkazu s dobou platnosti šest, tři nebo 1 měsíc.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Další příspěvek obdrží úřad městské části, který při vydání občanského průkazu provedl aktivaci jeho elektronického čipu a představil jeho funkce (tzv. "místo aktivace"). Za tento úkon obdrží příspěvek ve výši násobku 35 Kč za každou provedenou aktivaci.</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Rozhodným obdobím pro stanovení počtu podaných žádostí o vydání a počtu aktivovaných občanských průkazů, který je získaný na základě údajů příslušného informačního systému Ministerstva vnitra, je období od 1. 1. do 31. 12. 2019.</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C) Financování vydávání řidičských průkazů </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5 912 365 Kč k pokrytí financování vydávání řidičských průkazů Magistrátem hlavního města Prahy.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sz w:val="20"/>
          <w:szCs w:val="20"/>
        </w:rPr>
      </w:pPr>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Magistrát hlavního města Prahy, kde byla podána žádost o vydání řidičského průkazu, (tzv. "místo nabrání")</w:t>
      </w:r>
      <w:r w:rsidR="00554F2E">
        <w:rPr>
          <w:rFonts w:ascii="Times New Roman" w:hAnsi="Times New Roman"/>
          <w:sz w:val="20"/>
          <w:szCs w:val="20"/>
        </w:rPr>
        <w:t>,</w:t>
      </w:r>
      <w:r w:rsidRPr="007231F8">
        <w:rPr>
          <w:rFonts w:ascii="Times New Roman" w:hAnsi="Times New Roman"/>
          <w:sz w:val="20"/>
          <w:szCs w:val="20"/>
        </w:rPr>
        <w:t xml:space="preserve"> obdrží příspěvek ve výši násobku 139 Kč za přijatou žádost o vydání řidičského průkazu. Příspěvek nenáleží za přijatou žádost o vydání řidičského průkazu s dobou vydání do pěti pracovních dnů. Dále příspěvek nenáleží za </w:t>
      </w:r>
      <w:r w:rsidRPr="007231F8">
        <w:rPr>
          <w:rFonts w:ascii="Times New Roman" w:hAnsi="Times New Roman"/>
          <w:sz w:val="20"/>
          <w:szCs w:val="20"/>
        </w:rPr>
        <w:lastRenderedPageBreak/>
        <w:t>přijaté žádosti o vydání nového řidičského průkazu, u kterých byl inkasován správní poplatek. Rozhodným obdobím pro stanovení počtu podaných žádostí o vydání řidičských průkazů, který je získaný na základě údajů příslušného informačního systému Ministerstva dopravy, je období od 1. 1. do 31. 12. 2019.</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sz w:val="20"/>
          <w:szCs w:val="20"/>
        </w:rPr>
      </w:pPr>
      <w:r w:rsidRPr="007231F8">
        <w:rPr>
          <w:rFonts w:ascii="Times New Roman" w:hAnsi="Times New Roman"/>
          <w:b/>
          <w:sz w:val="20"/>
          <w:szCs w:val="20"/>
        </w:rPr>
        <w:t xml:space="preserve">D) Financování matriční agendy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b/>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42 344 198 Kč k pokrytí financování úkonů učiněných v rámci jednotlivých matričních úřadů.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sz w:val="20"/>
          <w:szCs w:val="20"/>
          <w:highlight w:val="yellow"/>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Celkový objem prostředků určených na financování matričních úřadů tvoří výkonová složka, která bude rozdělena na základě počtu sledovaných úkonů. Úřad městské části, jejíž matriční úřad provedl v rozhodném období od 1. 1. do 31. 12. 2019 úkon, obdrží za jeho provedení příspěvek. Za každý provedený zápis v knize narození, obdrží úřad městské části příspěvek ve výši 741 Kč. Za každý provedený zápis v knize manželství nebo partnerství obdrží úřad městské části nebo Magistrát hl. m. Prahy příspěvek ve výši 2964 Kč a za každý provedený zápis v knize úmrtí obdrží úřad městské části příspěvek 988 Kč. Za každý úkon určení otcovství souhlasným prohlášením rodičů obdrží úřad městské části příspěvek ve výši 247 Kč, a to za období od 1. 1. do 31. 12. 2019.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Počty zápisů vycházejí ze statistického zjišťování prováděného Českým statistickým úřadem.</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E) Financování veřejného opatrovnictví včetně souvislostí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26 901 000 Kč k pokrytí financování veřejného opatrovnictví k zabezpečení 882 </w:t>
      </w:r>
      <w:proofErr w:type="spellStart"/>
      <w:r w:rsidRPr="007231F8">
        <w:rPr>
          <w:rFonts w:ascii="Times New Roman" w:hAnsi="Times New Roman"/>
          <w:sz w:val="20"/>
          <w:szCs w:val="20"/>
        </w:rPr>
        <w:t>opatrovanců</w:t>
      </w:r>
      <w:proofErr w:type="spellEnd"/>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ind w:firstLine="567"/>
        <w:rPr>
          <w:rFonts w:ascii="Times New Roman" w:hAnsi="Times New Roman"/>
          <w:sz w:val="20"/>
          <w:szCs w:val="20"/>
        </w:rPr>
      </w:pPr>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Předmětné financování se týká opatrovnictví zletilých osob, a to jak těch, které byly omezeny ve svéprávnosti (dle </w:t>
      </w:r>
      <w:hyperlink r:id="rId10" w:history="1">
        <w:r w:rsidRPr="0010216D">
          <w:rPr>
            <w:rFonts w:ascii="Times New Roman" w:hAnsi="Times New Roman"/>
            <w:sz w:val="20"/>
            <w:szCs w:val="20"/>
          </w:rPr>
          <w:t>§ 55 zákona č. 89/2012 Sb.</w:t>
        </w:r>
      </w:hyperlink>
      <w:r w:rsidRPr="0010216D">
        <w:rPr>
          <w:rFonts w:ascii="Times New Roman" w:hAnsi="Times New Roman"/>
          <w:sz w:val="20"/>
          <w:szCs w:val="20"/>
        </w:rPr>
        <w:t xml:space="preserve">, </w:t>
      </w:r>
      <w:hyperlink r:id="rId11" w:history="1">
        <w:r w:rsidRPr="00A15107">
          <w:rPr>
            <w:rFonts w:ascii="Times New Roman" w:hAnsi="Times New Roman"/>
            <w:sz w:val="20"/>
            <w:szCs w:val="20"/>
          </w:rPr>
          <w:t>občanský zákoník</w:t>
        </w:r>
      </w:hyperlink>
      <w:r w:rsidRPr="00A15107">
        <w:rPr>
          <w:rFonts w:ascii="Times New Roman" w:hAnsi="Times New Roman"/>
          <w:sz w:val="20"/>
          <w:szCs w:val="20"/>
        </w:rPr>
        <w:t xml:space="preserve"> (dále jen „OZ“) ve</w:t>
      </w:r>
      <w:r w:rsidRPr="007166D6">
        <w:rPr>
          <w:rFonts w:ascii="Times New Roman" w:hAnsi="Times New Roman"/>
          <w:sz w:val="20"/>
          <w:szCs w:val="20"/>
        </w:rPr>
        <w:t xml:space="preserve"> </w:t>
      </w:r>
      <w:r w:rsidRPr="007231F8">
        <w:rPr>
          <w:rFonts w:ascii="Times New Roman" w:hAnsi="Times New Roman"/>
          <w:sz w:val="20"/>
          <w:szCs w:val="20"/>
        </w:rPr>
        <w:t xml:space="preserve">spojení s </w:t>
      </w:r>
      <w:hyperlink r:id="rId12" w:history="1">
        <w:r w:rsidRPr="007231F8">
          <w:rPr>
            <w:rFonts w:ascii="Times New Roman" w:hAnsi="Times New Roman"/>
            <w:sz w:val="20"/>
            <w:szCs w:val="20"/>
          </w:rPr>
          <w:t>§ 62</w:t>
        </w:r>
      </w:hyperlink>
      <w:r w:rsidRPr="007231F8">
        <w:rPr>
          <w:rFonts w:ascii="Times New Roman" w:hAnsi="Times New Roman"/>
          <w:sz w:val="20"/>
          <w:szCs w:val="20"/>
        </w:rPr>
        <w:t>), tak i těch, které omezeny nebyly (</w:t>
      </w:r>
      <w:hyperlink r:id="rId13" w:history="1">
        <w:r w:rsidRPr="007231F8">
          <w:rPr>
            <w:rFonts w:ascii="Times New Roman" w:hAnsi="Times New Roman"/>
            <w:sz w:val="20"/>
            <w:szCs w:val="20"/>
          </w:rPr>
          <w:t>§ 469 OZ</w:t>
        </w:r>
      </w:hyperlink>
      <w:r w:rsidRPr="007231F8">
        <w:rPr>
          <w:rFonts w:ascii="Times New Roman" w:hAnsi="Times New Roman"/>
          <w:sz w:val="20"/>
          <w:szCs w:val="20"/>
        </w:rPr>
        <w:t xml:space="preserve"> - špatný zdravotní stav působí obtíže při správě jmění nebo hájení práv). V těchto případech je zde pravomocný rozsudek soudu, který jmenuje městskou část veřejným opatrovníkem nikoliv jen pro jedno konkrétní řízení, ale pro komplexní výkon práv a povinností spojených s dlouhodobou omezenou schopností opatrovance zajišťovat své potřeby vlastními silami. </w:t>
      </w:r>
    </w:p>
    <w:p w:rsidR="00381BE7" w:rsidRPr="007231F8" w:rsidRDefault="00381BE7" w:rsidP="00381BE7">
      <w:pPr>
        <w:widowControl w:val="0"/>
        <w:autoSpaceDE w:val="0"/>
        <w:autoSpaceDN w:val="0"/>
        <w:adjustRightInd w:val="0"/>
        <w:spacing w:after="0" w:line="240" w:lineRule="auto"/>
        <w:ind w:firstLine="567"/>
        <w:rPr>
          <w:rFonts w:ascii="Times New Roman" w:hAnsi="Times New Roman"/>
          <w:sz w:val="20"/>
          <w:szCs w:val="20"/>
        </w:rPr>
      </w:pPr>
      <w:r w:rsidRPr="007231F8">
        <w:rPr>
          <w:rFonts w:ascii="Times New Roman" w:hAnsi="Times New Roman"/>
          <w:sz w:val="20"/>
          <w:szCs w:val="20"/>
        </w:rPr>
        <w:t xml:space="preserve"> </w:t>
      </w:r>
      <w:r w:rsidRPr="007231F8">
        <w:rPr>
          <w:rFonts w:ascii="Times New Roman" w:hAnsi="Times New Roman"/>
          <w:sz w:val="20"/>
          <w:szCs w:val="20"/>
        </w:rPr>
        <w:tab/>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Toto financování se ale netýká procesního opatrovnictví osob, u kterých není známo, kde pobývají, nebo osob neznámých, které se účastní určitého právního jednání. Netýká se taktéž ustanovení obce jako osoby určené pro provedení určitých jednotlivých právních jednání, nebo jíž je svěřena správa majetku osoby již během řízení o</w:t>
      </w:r>
      <w:r w:rsidR="002853BE">
        <w:rPr>
          <w:rFonts w:ascii="Times New Roman" w:hAnsi="Times New Roman"/>
          <w:sz w:val="20"/>
          <w:szCs w:val="20"/>
        </w:rPr>
        <w:t> </w:t>
      </w:r>
      <w:r w:rsidRPr="007231F8">
        <w:rPr>
          <w:rFonts w:ascii="Times New Roman" w:hAnsi="Times New Roman"/>
          <w:sz w:val="20"/>
          <w:szCs w:val="20"/>
        </w:rPr>
        <w:t xml:space="preserve">svéprávnosti dle </w:t>
      </w:r>
      <w:hyperlink r:id="rId14" w:history="1">
        <w:r w:rsidRPr="007231F8">
          <w:rPr>
            <w:rFonts w:ascii="Times New Roman" w:hAnsi="Times New Roman"/>
            <w:sz w:val="20"/>
            <w:szCs w:val="20"/>
          </w:rPr>
          <w:t>§ 58 OZ</w:t>
        </w:r>
      </w:hyperlink>
      <w:r w:rsidRPr="007231F8">
        <w:rPr>
          <w:rFonts w:ascii="Times New Roman" w:hAnsi="Times New Roman"/>
          <w:sz w:val="20"/>
          <w:szCs w:val="20"/>
        </w:rPr>
        <w:t xml:space="preserve">. Netýká se ani procesního opatrovnictví pro řízení o svéprávnosti, opatrovnictví či některých podpůrných opatření (dle </w:t>
      </w:r>
      <w:hyperlink r:id="rId15" w:history="1">
        <w:r w:rsidRPr="007231F8">
          <w:rPr>
            <w:rFonts w:ascii="Times New Roman" w:hAnsi="Times New Roman"/>
            <w:sz w:val="20"/>
            <w:szCs w:val="20"/>
          </w:rPr>
          <w:t>§ 37 zákona č. 292/2013 Sb.</w:t>
        </w:r>
      </w:hyperlink>
      <w:r w:rsidRPr="007231F8">
        <w:rPr>
          <w:rFonts w:ascii="Times New Roman" w:hAnsi="Times New Roman"/>
          <w:sz w:val="20"/>
          <w:szCs w:val="20"/>
        </w:rPr>
        <w:t xml:space="preserve">, o zvláštních řízeních soudních, ve znění pozdějších předpisů) či jiného procesního opatrovnictví. Financování se netýkají i případy opatrovnictví, kdy se městská část stane dočasně opatrovníkem přímo ze zákona dle </w:t>
      </w:r>
      <w:hyperlink r:id="rId16" w:history="1">
        <w:r w:rsidRPr="007231F8">
          <w:rPr>
            <w:rFonts w:ascii="Times New Roman" w:hAnsi="Times New Roman"/>
            <w:sz w:val="20"/>
            <w:szCs w:val="20"/>
          </w:rPr>
          <w:t>§ 468 OZ</w:t>
        </w:r>
      </w:hyperlink>
      <w:r w:rsidRPr="007231F8">
        <w:rPr>
          <w:rFonts w:ascii="Times New Roman" w:hAnsi="Times New Roman"/>
          <w:sz w:val="20"/>
          <w:szCs w:val="20"/>
        </w:rPr>
        <w:t xml:space="preserve">. Jedná se zde o případy, kdy zemřel dosavadní opatrovník (fyzická osoba) nebo kdy došlo k odvolání stávajícího opatrovníka bez jmenování nového (toto opatrovnictví zaniká právní mocí rozsudku o ustanovení nového opatrovníka).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V případě rozhodnutí z </w:t>
      </w:r>
      <w:r w:rsidRPr="00A15107">
        <w:rPr>
          <w:rFonts w:ascii="Times New Roman" w:hAnsi="Times New Roman"/>
          <w:sz w:val="20"/>
          <w:szCs w:val="20"/>
        </w:rPr>
        <w:t xml:space="preserve">období přede dnem nabytí účinnosti </w:t>
      </w:r>
      <w:r w:rsidR="00C82750" w:rsidRPr="00A15107">
        <w:rPr>
          <w:rFonts w:ascii="Times New Roman" w:hAnsi="Times New Roman"/>
          <w:sz w:val="20"/>
          <w:szCs w:val="20"/>
        </w:rPr>
        <w:t>OZ</w:t>
      </w:r>
      <w:r w:rsidRPr="00A15107">
        <w:rPr>
          <w:rFonts w:ascii="Times New Roman" w:hAnsi="Times New Roman"/>
          <w:sz w:val="20"/>
          <w:szCs w:val="20"/>
        </w:rPr>
        <w:t xml:space="preserve"> se financování týká rozhodnutí o omezení ve způsobilosti k právním úkonům dle </w:t>
      </w:r>
      <w:hyperlink r:id="rId17" w:history="1">
        <w:r w:rsidRPr="00A15107">
          <w:rPr>
            <w:rFonts w:ascii="Times New Roman" w:hAnsi="Times New Roman"/>
            <w:sz w:val="20"/>
            <w:szCs w:val="20"/>
          </w:rPr>
          <w:t>§ 10 odst. 2</w:t>
        </w:r>
      </w:hyperlink>
      <w:r w:rsidRPr="00A15107">
        <w:rPr>
          <w:rFonts w:ascii="Times New Roman" w:hAnsi="Times New Roman"/>
          <w:sz w:val="20"/>
          <w:szCs w:val="20"/>
        </w:rPr>
        <w:t xml:space="preserve"> a rozhodnutí o zbavení způsobilosti k právním úkonům dle </w:t>
      </w:r>
      <w:hyperlink r:id="rId18" w:history="1">
        <w:r w:rsidRPr="00A15107">
          <w:rPr>
            <w:rFonts w:ascii="Times New Roman" w:hAnsi="Times New Roman"/>
            <w:sz w:val="20"/>
            <w:szCs w:val="20"/>
          </w:rPr>
          <w:t>§ 10 odst. 1 zákona č. 40/1964 Sb.</w:t>
        </w:r>
      </w:hyperlink>
      <w:r w:rsidR="0010216D" w:rsidRPr="00A15107">
        <w:rPr>
          <w:rFonts w:ascii="Times New Roman" w:hAnsi="Times New Roman"/>
          <w:sz w:val="20"/>
          <w:szCs w:val="20"/>
        </w:rPr>
        <w:t xml:space="preserve">, </w:t>
      </w:r>
      <w:r w:rsidRPr="00A15107">
        <w:rPr>
          <w:rFonts w:ascii="Times New Roman" w:hAnsi="Times New Roman"/>
          <w:sz w:val="20"/>
          <w:szCs w:val="20"/>
        </w:rPr>
        <w:t>občanský zákoník.</w:t>
      </w:r>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Městské části jako veřejní opatrovníci obdrží násobek paušální platby na jednoho opatrovance podle jejich faktického počtu k rozhodnému dni. Tímto rozhodným dnem pro příspěvek na rok 2021 je 31. březen 2020. K</w:t>
      </w:r>
      <w:r w:rsidR="0010216D">
        <w:rPr>
          <w:rFonts w:ascii="Times New Roman" w:hAnsi="Times New Roman"/>
          <w:sz w:val="20"/>
          <w:szCs w:val="20"/>
        </w:rPr>
        <w:t> </w:t>
      </w:r>
      <w:r w:rsidRPr="007231F8">
        <w:rPr>
          <w:rFonts w:ascii="Times New Roman" w:hAnsi="Times New Roman"/>
          <w:sz w:val="20"/>
          <w:szCs w:val="20"/>
        </w:rPr>
        <w:t>tomuto rozhodnému dni bylo prostřednictvím Magistrátu hlavního města Prahy realizováno ve všech městských částech zjišťování skutečného stavu výkonu veřejného opatrovnictví. Následně byla takto Magistrátem hlavního města Prahy učiněná zjištění zveřejněna na internetových stránkách Ministerstva vnitra s</w:t>
      </w:r>
      <w:r w:rsidR="002853BE">
        <w:rPr>
          <w:rFonts w:ascii="Times New Roman" w:hAnsi="Times New Roman"/>
          <w:sz w:val="20"/>
          <w:szCs w:val="20"/>
        </w:rPr>
        <w:t> </w:t>
      </w:r>
      <w:r w:rsidRPr="007231F8">
        <w:rPr>
          <w:rFonts w:ascii="Times New Roman" w:hAnsi="Times New Roman"/>
          <w:sz w:val="20"/>
          <w:szCs w:val="20"/>
        </w:rPr>
        <w:t xml:space="preserve">cílem umožnit městským částem zjištěné skutečnosti verifikovat.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Výše zmíněná paušální platba byla pro rok 2021 stanovena ve výši 30 500 Kč na opatrovance za rok. Na změny v počtu </w:t>
      </w:r>
      <w:proofErr w:type="spellStart"/>
      <w:r w:rsidRPr="007231F8">
        <w:rPr>
          <w:rFonts w:ascii="Times New Roman" w:hAnsi="Times New Roman"/>
          <w:sz w:val="20"/>
          <w:szCs w:val="20"/>
        </w:rPr>
        <w:t>opatrovanců</w:t>
      </w:r>
      <w:proofErr w:type="spellEnd"/>
      <w:r w:rsidRPr="007231F8">
        <w:rPr>
          <w:rFonts w:ascii="Times New Roman" w:hAnsi="Times New Roman"/>
          <w:sz w:val="20"/>
          <w:szCs w:val="20"/>
        </w:rPr>
        <w:t xml:space="preserve"> v průběhu roku není brán zřetel. Jedná se pouze o živé osoby pod opatrovnictvím městských částí. Zároveň nehraje roli faktická přítomnost osoby v městské části, tedy zda osoba v rozhodném datu pobývá na jiném místě (například zdravotnické zařízení, zařízení sociálních služeb apod.), či zda jde o</w:t>
      </w:r>
      <w:r w:rsidR="0010216D">
        <w:rPr>
          <w:rFonts w:ascii="Times New Roman" w:hAnsi="Times New Roman"/>
          <w:sz w:val="20"/>
          <w:szCs w:val="20"/>
        </w:rPr>
        <w:t> </w:t>
      </w:r>
      <w:r w:rsidRPr="007231F8">
        <w:rPr>
          <w:rFonts w:ascii="Times New Roman" w:hAnsi="Times New Roman"/>
          <w:sz w:val="20"/>
          <w:szCs w:val="20"/>
        </w:rPr>
        <w:t xml:space="preserve">osobu migrující v dalších obcích.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lastRenderedPageBreak/>
        <w:t xml:space="preserve">Úřadům městských částí, vykonávajícím působnost veřejných opatrovníků, bude výše příspěvku na výkon státní správy zvýšena o částku, která odpovídá násobku faktického počtu </w:t>
      </w:r>
      <w:proofErr w:type="spellStart"/>
      <w:r w:rsidRPr="007231F8">
        <w:rPr>
          <w:rFonts w:ascii="Times New Roman" w:hAnsi="Times New Roman"/>
          <w:sz w:val="20"/>
          <w:szCs w:val="20"/>
        </w:rPr>
        <w:t>opatrovanců</w:t>
      </w:r>
      <w:proofErr w:type="spellEnd"/>
      <w:r w:rsidRPr="007231F8">
        <w:rPr>
          <w:rFonts w:ascii="Times New Roman" w:hAnsi="Times New Roman"/>
          <w:sz w:val="20"/>
          <w:szCs w:val="20"/>
        </w:rPr>
        <w:t>.</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F) Financování jednotných kontaktních míst </w:t>
      </w: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2 808 000 Kč k zabezpečení činnosti jednotných kontaktních míst Úřadu městské části Praha 1 a Úřadu městské části Praha 7. Pro Prahu 1 příspěvek činí 2 376 000 Kč za 816 zaevidovaných a následně řešených dotazů klientů a pro Prahu 7 je příspěvek ve výši 432 000 Kč za 132 zaevidovaných a následně řešených dotazů klientů.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Obecní živnostenské úřady podle ustanovení </w:t>
      </w:r>
      <w:hyperlink r:id="rId19" w:history="1">
        <w:r w:rsidRPr="007231F8">
          <w:rPr>
            <w:rFonts w:ascii="Times New Roman" w:hAnsi="Times New Roman"/>
            <w:sz w:val="20"/>
            <w:szCs w:val="20"/>
          </w:rPr>
          <w:t>§ 2 odst. 4 zákona č. 570/1991 Sb.</w:t>
        </w:r>
      </w:hyperlink>
      <w:r w:rsidRPr="007231F8">
        <w:rPr>
          <w:rFonts w:ascii="Times New Roman" w:hAnsi="Times New Roman"/>
          <w:sz w:val="20"/>
          <w:szCs w:val="20"/>
        </w:rPr>
        <w:t xml:space="preserve">, o živnostenských úřadech, ve znění pozdějších </w:t>
      </w:r>
      <w:r w:rsidRPr="00E33C08">
        <w:rPr>
          <w:rFonts w:ascii="Times New Roman" w:hAnsi="Times New Roman"/>
          <w:sz w:val="20"/>
          <w:szCs w:val="20"/>
        </w:rPr>
        <w:t xml:space="preserve">předpisů, plní </w:t>
      </w:r>
      <w:r w:rsidRPr="007231F8">
        <w:rPr>
          <w:rFonts w:ascii="Times New Roman" w:hAnsi="Times New Roman"/>
          <w:sz w:val="20"/>
          <w:szCs w:val="20"/>
        </w:rPr>
        <w:t xml:space="preserve">funkci jednotného kontaktního místa podle zákona č. </w:t>
      </w:r>
      <w:hyperlink r:id="rId20" w:history="1">
        <w:r w:rsidRPr="007231F8">
          <w:rPr>
            <w:rFonts w:ascii="Times New Roman" w:hAnsi="Times New Roman"/>
            <w:sz w:val="20"/>
            <w:szCs w:val="20"/>
          </w:rPr>
          <w:t>222/2009</w:t>
        </w:r>
      </w:hyperlink>
      <w:r w:rsidRPr="007231F8">
        <w:rPr>
          <w:rFonts w:ascii="Times New Roman" w:hAnsi="Times New Roman"/>
          <w:sz w:val="20"/>
          <w:szCs w:val="20"/>
        </w:rPr>
        <w:t>, o volném pohybu služeb, ve znění pozdějších předpisů.</w:t>
      </w:r>
      <w:r w:rsidR="00897C4F">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Výše příspěvku pro jednotlivá jednotná kontaktní místa je stanovena na základě statistik vedených v</w:t>
      </w:r>
      <w:r w:rsidR="002853BE">
        <w:rPr>
          <w:rFonts w:ascii="Times New Roman" w:hAnsi="Times New Roman"/>
          <w:sz w:val="20"/>
          <w:szCs w:val="20"/>
        </w:rPr>
        <w:t> </w:t>
      </w:r>
      <w:r w:rsidRPr="007231F8">
        <w:rPr>
          <w:rFonts w:ascii="Times New Roman" w:hAnsi="Times New Roman"/>
          <w:sz w:val="20"/>
          <w:szCs w:val="20"/>
        </w:rPr>
        <w:t>informačním systému "SINPRO", tj. zaevidovaných a následně řešených dotazů klienta bez duplicit takovéhoto dotazu za období od 1. 1. do 31. 12. 2019. Konkrétní počet zaevidovaných a následně řešených dotazů v rámci jednotného kontaktního místa je přiřazen jednomu ze stanovených rozpětí, ke kterému jsou navázány finanční prostředky. Stanovené rozpětí prvního intervalu bylo valorizováno o 4,28 % se zaokrouhlením částek na tisíce, další rozpětí jsou jeho násobky. Se zvyšujícím se počtem řešených dotazů se zvyšují navázané finanční prostředky v rámci škály stanovených intervalů podle níže uvedeného:</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2"/>
        <w:gridCol w:w="3685"/>
      </w:tblGrid>
      <w:tr w:rsidR="00381BE7" w:rsidRPr="007231F8" w:rsidTr="00381BE7">
        <w:trPr>
          <w:trHeight w:val="519"/>
        </w:trPr>
        <w:tc>
          <w:tcPr>
            <w:tcW w:w="5402" w:type="dxa"/>
            <w:shd w:val="clear" w:color="000000" w:fill="FFFFFF"/>
            <w:vAlign w:val="center"/>
            <w:hideMark/>
          </w:tcPr>
          <w:p w:rsidR="00381BE7" w:rsidRPr="007231F8" w:rsidRDefault="00381BE7" w:rsidP="00381BE7">
            <w:pPr>
              <w:spacing w:after="0" w:line="240" w:lineRule="auto"/>
              <w:jc w:val="center"/>
              <w:rPr>
                <w:rFonts w:ascii="Times New Roman" w:hAnsi="Times New Roman"/>
                <w:b/>
                <w:bCs/>
                <w:sz w:val="20"/>
                <w:szCs w:val="20"/>
              </w:rPr>
            </w:pPr>
            <w:r w:rsidRPr="007231F8">
              <w:rPr>
                <w:rFonts w:ascii="Times New Roman" w:hAnsi="Times New Roman"/>
                <w:b/>
                <w:sz w:val="20"/>
                <w:szCs w:val="20"/>
              </w:rPr>
              <w:t>Rozpětí zaevidovaných a následně řešených dotazů klientů</w:t>
            </w:r>
          </w:p>
        </w:tc>
        <w:tc>
          <w:tcPr>
            <w:tcW w:w="3685" w:type="dxa"/>
            <w:shd w:val="clear" w:color="000000" w:fill="FFFFFF"/>
            <w:vAlign w:val="center"/>
            <w:hideMark/>
          </w:tcPr>
          <w:p w:rsidR="00381BE7" w:rsidRPr="007231F8" w:rsidRDefault="00381BE7" w:rsidP="00381BE7">
            <w:pPr>
              <w:spacing w:after="0" w:line="240" w:lineRule="auto"/>
              <w:jc w:val="center"/>
              <w:rPr>
                <w:rFonts w:ascii="Times New Roman" w:hAnsi="Times New Roman"/>
                <w:b/>
                <w:bCs/>
                <w:sz w:val="20"/>
                <w:szCs w:val="20"/>
              </w:rPr>
            </w:pPr>
            <w:r w:rsidRPr="007231F8">
              <w:rPr>
                <w:rFonts w:ascii="Times New Roman" w:hAnsi="Times New Roman"/>
                <w:b/>
                <w:bCs/>
                <w:sz w:val="20"/>
                <w:szCs w:val="20"/>
              </w:rPr>
              <w:t>Výše příspěvku v Kč</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0 </w:t>
            </w:r>
            <w:r w:rsidR="00DA6B8D" w:rsidRPr="007231F8">
              <w:rPr>
                <w:rFonts w:ascii="Times New Roman" w:hAnsi="Times New Roman"/>
                <w:sz w:val="20"/>
                <w:szCs w:val="20"/>
              </w:rPr>
              <w:t>–</w:t>
            </w:r>
            <w:r w:rsidRPr="007231F8">
              <w:rPr>
                <w:rFonts w:ascii="Times New Roman" w:hAnsi="Times New Roman"/>
                <w:sz w:val="20"/>
                <w:szCs w:val="20"/>
              </w:rPr>
              <w:t xml:space="preserve"> 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72 000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26 </w:t>
            </w:r>
            <w:r w:rsidR="00DA6B8D" w:rsidRPr="007231F8">
              <w:rPr>
                <w:rFonts w:ascii="Times New Roman" w:hAnsi="Times New Roman"/>
                <w:sz w:val="20"/>
                <w:szCs w:val="20"/>
              </w:rPr>
              <w:t>–</w:t>
            </w:r>
            <w:r w:rsidRPr="007231F8">
              <w:rPr>
                <w:rFonts w:ascii="Times New Roman" w:hAnsi="Times New Roman"/>
                <w:sz w:val="20"/>
                <w:szCs w:val="20"/>
              </w:rPr>
              <w:t xml:space="preserve"> 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144 000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51 </w:t>
            </w:r>
            <w:r w:rsidR="00DA6B8D" w:rsidRPr="007231F8">
              <w:rPr>
                <w:rFonts w:ascii="Times New Roman" w:hAnsi="Times New Roman"/>
                <w:sz w:val="20"/>
                <w:szCs w:val="20"/>
              </w:rPr>
              <w:t>–</w:t>
            </w:r>
            <w:r w:rsidRPr="007231F8">
              <w:rPr>
                <w:rFonts w:ascii="Times New Roman" w:hAnsi="Times New Roman"/>
                <w:sz w:val="20"/>
                <w:szCs w:val="20"/>
              </w:rPr>
              <w:t xml:space="preserve"> 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216 000</w:t>
            </w:r>
          </w:p>
        </w:tc>
      </w:tr>
      <w:tr w:rsidR="00381BE7" w:rsidRPr="007231F8" w:rsidTr="00381BE7">
        <w:trPr>
          <w:trHeight w:val="315"/>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76 </w:t>
            </w:r>
            <w:r w:rsidR="00DA6B8D" w:rsidRPr="007231F8">
              <w:rPr>
                <w:rFonts w:ascii="Times New Roman" w:hAnsi="Times New Roman"/>
                <w:sz w:val="20"/>
                <w:szCs w:val="20"/>
              </w:rPr>
              <w:t>–</w:t>
            </w:r>
            <w:r w:rsidRPr="007231F8">
              <w:rPr>
                <w:rFonts w:ascii="Times New Roman" w:hAnsi="Times New Roman"/>
                <w:sz w:val="20"/>
                <w:szCs w:val="20"/>
              </w:rPr>
              <w:t xml:space="preserve"> 100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288 000</w:t>
            </w:r>
          </w:p>
        </w:tc>
      </w:tr>
      <w:tr w:rsidR="00381BE7" w:rsidRPr="007231F8" w:rsidTr="00381BE7">
        <w:trPr>
          <w:trHeight w:val="315"/>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101 </w:t>
            </w:r>
            <w:r w:rsidR="00DA6B8D" w:rsidRPr="007231F8">
              <w:rPr>
                <w:rFonts w:ascii="Times New Roman" w:hAnsi="Times New Roman"/>
                <w:sz w:val="20"/>
                <w:szCs w:val="20"/>
              </w:rPr>
              <w:t>–</w:t>
            </w:r>
            <w:r w:rsidRPr="007231F8">
              <w:rPr>
                <w:rFonts w:ascii="Times New Roman" w:hAnsi="Times New Roman"/>
                <w:sz w:val="20"/>
                <w:szCs w:val="20"/>
              </w:rPr>
              <w:t xml:space="preserve"> 125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360 000</w:t>
            </w:r>
          </w:p>
        </w:tc>
      </w:tr>
      <w:tr w:rsidR="00381BE7" w:rsidRPr="007231F8" w:rsidTr="00381BE7">
        <w:trPr>
          <w:trHeight w:val="315"/>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126 </w:t>
            </w:r>
            <w:r w:rsidR="00DA6B8D" w:rsidRPr="007231F8">
              <w:rPr>
                <w:rFonts w:ascii="Times New Roman" w:hAnsi="Times New Roman"/>
                <w:sz w:val="20"/>
                <w:szCs w:val="20"/>
              </w:rPr>
              <w:t>–</w:t>
            </w:r>
            <w:r w:rsidRPr="007231F8">
              <w:rPr>
                <w:rFonts w:ascii="Times New Roman" w:hAnsi="Times New Roman"/>
                <w:sz w:val="20"/>
                <w:szCs w:val="20"/>
              </w:rPr>
              <w:t xml:space="preserve"> 150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432 000</w:t>
            </w:r>
          </w:p>
        </w:tc>
      </w:tr>
      <w:tr w:rsidR="00381BE7" w:rsidRPr="007231F8" w:rsidTr="00381BE7">
        <w:trPr>
          <w:trHeight w:val="315"/>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151 </w:t>
            </w:r>
            <w:r w:rsidR="00DA6B8D" w:rsidRPr="007231F8">
              <w:rPr>
                <w:rFonts w:ascii="Times New Roman" w:hAnsi="Times New Roman"/>
                <w:sz w:val="20"/>
                <w:szCs w:val="20"/>
              </w:rPr>
              <w:t>–</w:t>
            </w:r>
            <w:r w:rsidRPr="007231F8">
              <w:rPr>
                <w:rFonts w:ascii="Times New Roman" w:hAnsi="Times New Roman"/>
                <w:sz w:val="20"/>
                <w:szCs w:val="20"/>
              </w:rPr>
              <w:t xml:space="preserve"> 175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504 000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176 </w:t>
            </w:r>
            <w:r w:rsidR="00DA6B8D" w:rsidRPr="007231F8">
              <w:rPr>
                <w:rFonts w:ascii="Times New Roman" w:hAnsi="Times New Roman"/>
                <w:sz w:val="20"/>
                <w:szCs w:val="20"/>
              </w:rPr>
              <w:t>–</w:t>
            </w:r>
            <w:r w:rsidRPr="007231F8">
              <w:rPr>
                <w:rFonts w:ascii="Times New Roman" w:hAnsi="Times New Roman"/>
                <w:sz w:val="20"/>
                <w:szCs w:val="20"/>
              </w:rPr>
              <w:t xml:space="preserve"> 200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576 000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201 </w:t>
            </w:r>
            <w:r w:rsidR="00DA6B8D" w:rsidRPr="007231F8">
              <w:rPr>
                <w:rFonts w:ascii="Times New Roman" w:hAnsi="Times New Roman"/>
                <w:sz w:val="20"/>
                <w:szCs w:val="20"/>
              </w:rPr>
              <w:t>–</w:t>
            </w:r>
            <w:r w:rsidRPr="007231F8">
              <w:rPr>
                <w:rFonts w:ascii="Times New Roman" w:hAnsi="Times New Roman"/>
                <w:sz w:val="20"/>
                <w:szCs w:val="20"/>
              </w:rPr>
              <w:t xml:space="preserve"> 225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648 000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226 </w:t>
            </w:r>
            <w:r w:rsidR="00DA6B8D" w:rsidRPr="007231F8">
              <w:rPr>
                <w:rFonts w:ascii="Times New Roman" w:hAnsi="Times New Roman"/>
                <w:sz w:val="20"/>
                <w:szCs w:val="20"/>
              </w:rPr>
              <w:t>–</w:t>
            </w:r>
            <w:r w:rsidRPr="007231F8">
              <w:rPr>
                <w:rFonts w:ascii="Times New Roman" w:hAnsi="Times New Roman"/>
                <w:sz w:val="20"/>
                <w:szCs w:val="20"/>
              </w:rPr>
              <w:t xml:space="preserve"> 250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720 000</w:t>
            </w:r>
          </w:p>
        </w:tc>
      </w:tr>
      <w:tr w:rsidR="00381BE7" w:rsidRPr="007231F8" w:rsidTr="00381BE7">
        <w:trPr>
          <w:trHeight w:val="315"/>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251 </w:t>
            </w:r>
            <w:r w:rsidR="00DA6B8D" w:rsidRPr="007231F8">
              <w:rPr>
                <w:rFonts w:ascii="Times New Roman" w:hAnsi="Times New Roman"/>
                <w:sz w:val="20"/>
                <w:szCs w:val="20"/>
              </w:rPr>
              <w:t>–</w:t>
            </w:r>
            <w:r w:rsidRPr="007231F8">
              <w:rPr>
                <w:rFonts w:ascii="Times New Roman" w:hAnsi="Times New Roman"/>
                <w:sz w:val="20"/>
                <w:szCs w:val="20"/>
              </w:rPr>
              <w:t xml:space="preserve"> 275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792 000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276 </w:t>
            </w:r>
            <w:r w:rsidR="00DA6B8D" w:rsidRPr="007231F8">
              <w:rPr>
                <w:rFonts w:ascii="Times New Roman" w:hAnsi="Times New Roman"/>
                <w:sz w:val="20"/>
                <w:szCs w:val="20"/>
              </w:rPr>
              <w:t>–</w:t>
            </w:r>
            <w:r w:rsidRPr="007231F8">
              <w:rPr>
                <w:rFonts w:ascii="Times New Roman" w:hAnsi="Times New Roman"/>
                <w:sz w:val="20"/>
                <w:szCs w:val="20"/>
              </w:rPr>
              <w:t xml:space="preserve"> 300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864 000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301 </w:t>
            </w:r>
            <w:r w:rsidR="00DA6B8D" w:rsidRPr="007231F8">
              <w:rPr>
                <w:rFonts w:ascii="Times New Roman" w:hAnsi="Times New Roman"/>
                <w:sz w:val="20"/>
                <w:szCs w:val="20"/>
              </w:rPr>
              <w:t>–</w:t>
            </w:r>
            <w:r w:rsidRPr="007231F8">
              <w:rPr>
                <w:rFonts w:ascii="Times New Roman" w:hAnsi="Times New Roman"/>
                <w:sz w:val="20"/>
                <w:szCs w:val="20"/>
              </w:rPr>
              <w:t xml:space="preserve"> 325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936 000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326 </w:t>
            </w:r>
            <w:r w:rsidR="00DA6B8D" w:rsidRPr="007231F8">
              <w:rPr>
                <w:rFonts w:ascii="Times New Roman" w:hAnsi="Times New Roman"/>
                <w:sz w:val="20"/>
                <w:szCs w:val="20"/>
              </w:rPr>
              <w:t>–</w:t>
            </w:r>
            <w:r w:rsidRPr="007231F8">
              <w:rPr>
                <w:rFonts w:ascii="Times New Roman" w:hAnsi="Times New Roman"/>
                <w:sz w:val="20"/>
                <w:szCs w:val="20"/>
              </w:rPr>
              <w:t xml:space="preserve"> 350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1 008 000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351 </w:t>
            </w:r>
            <w:r w:rsidR="00DA6B8D" w:rsidRPr="007231F8">
              <w:rPr>
                <w:rFonts w:ascii="Times New Roman" w:hAnsi="Times New Roman"/>
                <w:sz w:val="20"/>
                <w:szCs w:val="20"/>
              </w:rPr>
              <w:t>–</w:t>
            </w:r>
            <w:r w:rsidRPr="007231F8">
              <w:rPr>
                <w:rFonts w:ascii="Times New Roman" w:hAnsi="Times New Roman"/>
                <w:sz w:val="20"/>
                <w:szCs w:val="20"/>
              </w:rPr>
              <w:t xml:space="preserve"> 375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1 080 000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376 </w:t>
            </w:r>
            <w:r w:rsidR="00DA6B8D" w:rsidRPr="007231F8">
              <w:rPr>
                <w:rFonts w:ascii="Times New Roman" w:hAnsi="Times New Roman"/>
                <w:sz w:val="20"/>
                <w:szCs w:val="20"/>
              </w:rPr>
              <w:t>–</w:t>
            </w:r>
            <w:r w:rsidRPr="007231F8">
              <w:rPr>
                <w:rFonts w:ascii="Times New Roman" w:hAnsi="Times New Roman"/>
                <w:sz w:val="20"/>
                <w:szCs w:val="20"/>
              </w:rPr>
              <w:t xml:space="preserve"> 400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1 152 000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401 </w:t>
            </w:r>
            <w:r w:rsidR="00DA6B8D" w:rsidRPr="007231F8">
              <w:rPr>
                <w:rFonts w:ascii="Times New Roman" w:hAnsi="Times New Roman"/>
                <w:sz w:val="20"/>
                <w:szCs w:val="20"/>
              </w:rPr>
              <w:t>–</w:t>
            </w:r>
            <w:r w:rsidRPr="007231F8">
              <w:rPr>
                <w:rFonts w:ascii="Times New Roman" w:hAnsi="Times New Roman"/>
                <w:sz w:val="20"/>
                <w:szCs w:val="20"/>
              </w:rPr>
              <w:t xml:space="preserve"> 425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1 224 000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426 </w:t>
            </w:r>
            <w:r w:rsidR="00DA6B8D" w:rsidRPr="007231F8">
              <w:rPr>
                <w:rFonts w:ascii="Times New Roman" w:hAnsi="Times New Roman"/>
                <w:sz w:val="20"/>
                <w:szCs w:val="20"/>
              </w:rPr>
              <w:t>–</w:t>
            </w:r>
            <w:r w:rsidRPr="007231F8">
              <w:rPr>
                <w:rFonts w:ascii="Times New Roman" w:hAnsi="Times New Roman"/>
                <w:sz w:val="20"/>
                <w:szCs w:val="20"/>
              </w:rPr>
              <w:t xml:space="preserve"> 450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1 296 000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451 </w:t>
            </w:r>
            <w:r w:rsidR="00DA6B8D" w:rsidRPr="007231F8">
              <w:rPr>
                <w:rFonts w:ascii="Times New Roman" w:hAnsi="Times New Roman"/>
                <w:sz w:val="20"/>
                <w:szCs w:val="20"/>
              </w:rPr>
              <w:t>–</w:t>
            </w:r>
            <w:r w:rsidRPr="007231F8">
              <w:rPr>
                <w:rFonts w:ascii="Times New Roman" w:hAnsi="Times New Roman"/>
                <w:sz w:val="20"/>
                <w:szCs w:val="20"/>
              </w:rPr>
              <w:t xml:space="preserve"> 475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1 368 000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476 </w:t>
            </w:r>
            <w:r w:rsidR="00DA6B8D" w:rsidRPr="007231F8">
              <w:rPr>
                <w:rFonts w:ascii="Times New Roman" w:hAnsi="Times New Roman"/>
                <w:sz w:val="20"/>
                <w:szCs w:val="20"/>
              </w:rPr>
              <w:t>–</w:t>
            </w:r>
            <w:r w:rsidRPr="007231F8">
              <w:rPr>
                <w:rFonts w:ascii="Times New Roman" w:hAnsi="Times New Roman"/>
                <w:sz w:val="20"/>
                <w:szCs w:val="20"/>
              </w:rPr>
              <w:t xml:space="preserve"> 500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1 440 000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501 </w:t>
            </w:r>
            <w:r w:rsidR="00DA6B8D" w:rsidRPr="007231F8">
              <w:rPr>
                <w:rFonts w:ascii="Times New Roman" w:hAnsi="Times New Roman"/>
                <w:sz w:val="20"/>
                <w:szCs w:val="20"/>
              </w:rPr>
              <w:t>–</w:t>
            </w:r>
            <w:r w:rsidRPr="007231F8">
              <w:rPr>
                <w:rFonts w:ascii="Times New Roman" w:hAnsi="Times New Roman"/>
                <w:sz w:val="20"/>
                <w:szCs w:val="20"/>
              </w:rPr>
              <w:t xml:space="preserve"> 525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1 512 000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526 </w:t>
            </w:r>
            <w:r w:rsidR="00DA6B8D" w:rsidRPr="007231F8">
              <w:rPr>
                <w:rFonts w:ascii="Times New Roman" w:hAnsi="Times New Roman"/>
                <w:sz w:val="20"/>
                <w:szCs w:val="20"/>
              </w:rPr>
              <w:t>–</w:t>
            </w:r>
            <w:r w:rsidRPr="007231F8">
              <w:rPr>
                <w:rFonts w:ascii="Times New Roman" w:hAnsi="Times New Roman"/>
                <w:sz w:val="20"/>
                <w:szCs w:val="20"/>
              </w:rPr>
              <w:t xml:space="preserve"> 550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1 584 000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551 </w:t>
            </w:r>
            <w:r w:rsidR="00DA6B8D" w:rsidRPr="007231F8">
              <w:rPr>
                <w:rFonts w:ascii="Times New Roman" w:hAnsi="Times New Roman"/>
                <w:sz w:val="20"/>
                <w:szCs w:val="20"/>
              </w:rPr>
              <w:t>–</w:t>
            </w:r>
            <w:r w:rsidRPr="007231F8">
              <w:rPr>
                <w:rFonts w:ascii="Times New Roman" w:hAnsi="Times New Roman"/>
                <w:sz w:val="20"/>
                <w:szCs w:val="20"/>
              </w:rPr>
              <w:t xml:space="preserve"> 575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1 656 000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576 </w:t>
            </w:r>
            <w:r w:rsidR="00DA6B8D" w:rsidRPr="007231F8">
              <w:rPr>
                <w:rFonts w:ascii="Times New Roman" w:hAnsi="Times New Roman"/>
                <w:sz w:val="20"/>
                <w:szCs w:val="20"/>
              </w:rPr>
              <w:t>–</w:t>
            </w:r>
            <w:r w:rsidRPr="007231F8">
              <w:rPr>
                <w:rFonts w:ascii="Times New Roman" w:hAnsi="Times New Roman"/>
                <w:sz w:val="20"/>
                <w:szCs w:val="20"/>
              </w:rPr>
              <w:t xml:space="preserve"> 600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1 728 000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601 </w:t>
            </w:r>
            <w:r w:rsidR="00DA6B8D" w:rsidRPr="007231F8">
              <w:rPr>
                <w:rFonts w:ascii="Times New Roman" w:hAnsi="Times New Roman"/>
                <w:sz w:val="20"/>
                <w:szCs w:val="20"/>
              </w:rPr>
              <w:t>–</w:t>
            </w:r>
            <w:r w:rsidRPr="007231F8">
              <w:rPr>
                <w:rFonts w:ascii="Times New Roman" w:hAnsi="Times New Roman"/>
                <w:sz w:val="20"/>
                <w:szCs w:val="20"/>
              </w:rPr>
              <w:t xml:space="preserve"> 625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1 800 000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lastRenderedPageBreak/>
              <w:t xml:space="preserve">626 </w:t>
            </w:r>
            <w:r w:rsidR="00DA6B8D" w:rsidRPr="007231F8">
              <w:rPr>
                <w:rFonts w:ascii="Times New Roman" w:hAnsi="Times New Roman"/>
                <w:sz w:val="20"/>
                <w:szCs w:val="20"/>
              </w:rPr>
              <w:t>–</w:t>
            </w:r>
            <w:r w:rsidRPr="007231F8">
              <w:rPr>
                <w:rFonts w:ascii="Times New Roman" w:hAnsi="Times New Roman"/>
                <w:sz w:val="20"/>
                <w:szCs w:val="20"/>
              </w:rPr>
              <w:t xml:space="preserve"> 650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1 872 000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651 </w:t>
            </w:r>
            <w:r w:rsidR="00DA6B8D" w:rsidRPr="007231F8">
              <w:rPr>
                <w:rFonts w:ascii="Times New Roman" w:hAnsi="Times New Roman"/>
                <w:sz w:val="20"/>
                <w:szCs w:val="20"/>
              </w:rPr>
              <w:t>–</w:t>
            </w:r>
            <w:r w:rsidRPr="007231F8">
              <w:rPr>
                <w:rFonts w:ascii="Times New Roman" w:hAnsi="Times New Roman"/>
                <w:sz w:val="20"/>
                <w:szCs w:val="20"/>
              </w:rPr>
              <w:t xml:space="preserve"> 675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1 944 000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676 </w:t>
            </w:r>
            <w:r w:rsidR="00DA6B8D" w:rsidRPr="007231F8">
              <w:rPr>
                <w:rFonts w:ascii="Times New Roman" w:hAnsi="Times New Roman"/>
                <w:sz w:val="20"/>
                <w:szCs w:val="20"/>
              </w:rPr>
              <w:t>–</w:t>
            </w:r>
            <w:r w:rsidRPr="007231F8">
              <w:rPr>
                <w:rFonts w:ascii="Times New Roman" w:hAnsi="Times New Roman"/>
                <w:sz w:val="20"/>
                <w:szCs w:val="20"/>
              </w:rPr>
              <w:t xml:space="preserve"> 700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2 016 000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701 </w:t>
            </w:r>
            <w:r w:rsidR="00DA6B8D" w:rsidRPr="007231F8">
              <w:rPr>
                <w:rFonts w:ascii="Times New Roman" w:hAnsi="Times New Roman"/>
                <w:sz w:val="20"/>
                <w:szCs w:val="20"/>
              </w:rPr>
              <w:t>–</w:t>
            </w:r>
            <w:r w:rsidRPr="007231F8">
              <w:rPr>
                <w:rFonts w:ascii="Times New Roman" w:hAnsi="Times New Roman"/>
                <w:sz w:val="20"/>
                <w:szCs w:val="20"/>
              </w:rPr>
              <w:t xml:space="preserve"> 725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2 088 000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726 </w:t>
            </w:r>
            <w:r w:rsidR="00DA6B8D" w:rsidRPr="007231F8">
              <w:rPr>
                <w:rFonts w:ascii="Times New Roman" w:hAnsi="Times New Roman"/>
                <w:sz w:val="20"/>
                <w:szCs w:val="20"/>
              </w:rPr>
              <w:t>–</w:t>
            </w:r>
            <w:r w:rsidRPr="007231F8">
              <w:rPr>
                <w:rFonts w:ascii="Times New Roman" w:hAnsi="Times New Roman"/>
                <w:sz w:val="20"/>
                <w:szCs w:val="20"/>
              </w:rPr>
              <w:t xml:space="preserve"> 750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2 160 000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751 </w:t>
            </w:r>
            <w:r w:rsidR="00DA6B8D" w:rsidRPr="007231F8">
              <w:rPr>
                <w:rFonts w:ascii="Times New Roman" w:hAnsi="Times New Roman"/>
                <w:sz w:val="20"/>
                <w:szCs w:val="20"/>
              </w:rPr>
              <w:t>–</w:t>
            </w:r>
            <w:r w:rsidRPr="007231F8">
              <w:rPr>
                <w:rFonts w:ascii="Times New Roman" w:hAnsi="Times New Roman"/>
                <w:sz w:val="20"/>
                <w:szCs w:val="20"/>
              </w:rPr>
              <w:t xml:space="preserve"> 775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2 232 000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776 </w:t>
            </w:r>
            <w:r w:rsidR="00DA6B8D" w:rsidRPr="007231F8">
              <w:rPr>
                <w:rFonts w:ascii="Times New Roman" w:hAnsi="Times New Roman"/>
                <w:sz w:val="20"/>
                <w:szCs w:val="20"/>
              </w:rPr>
              <w:t>–</w:t>
            </w:r>
            <w:r w:rsidRPr="007231F8">
              <w:rPr>
                <w:rFonts w:ascii="Times New Roman" w:hAnsi="Times New Roman"/>
                <w:sz w:val="20"/>
                <w:szCs w:val="20"/>
              </w:rPr>
              <w:t xml:space="preserve"> 800</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2 304 000</w:t>
            </w:r>
          </w:p>
        </w:tc>
      </w:tr>
      <w:tr w:rsidR="00381BE7" w:rsidRPr="007231F8" w:rsidTr="00381BE7">
        <w:trPr>
          <w:trHeight w:val="300"/>
        </w:trPr>
        <w:tc>
          <w:tcPr>
            <w:tcW w:w="5402" w:type="dxa"/>
            <w:shd w:val="clear" w:color="auto" w:fill="auto"/>
            <w:noWrap/>
            <w:vAlign w:val="center"/>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 xml:space="preserve">801 </w:t>
            </w:r>
            <w:r w:rsidR="00DA6B8D" w:rsidRPr="007231F8">
              <w:rPr>
                <w:rFonts w:ascii="Times New Roman" w:hAnsi="Times New Roman"/>
                <w:sz w:val="20"/>
                <w:szCs w:val="20"/>
              </w:rPr>
              <w:t>–</w:t>
            </w:r>
            <w:r w:rsidRPr="007231F8">
              <w:rPr>
                <w:rFonts w:ascii="Times New Roman" w:hAnsi="Times New Roman"/>
                <w:sz w:val="20"/>
                <w:szCs w:val="20"/>
              </w:rPr>
              <w:t xml:space="preserve"> 825</w:t>
            </w:r>
          </w:p>
        </w:tc>
        <w:tc>
          <w:tcPr>
            <w:tcW w:w="3685" w:type="dxa"/>
            <w:shd w:val="clear" w:color="auto" w:fill="auto"/>
            <w:noWrap/>
          </w:tcPr>
          <w:p w:rsidR="00381BE7" w:rsidRPr="007231F8" w:rsidRDefault="00381BE7" w:rsidP="00381BE7">
            <w:pPr>
              <w:widowControl w:val="0"/>
              <w:autoSpaceDE w:val="0"/>
              <w:autoSpaceDN w:val="0"/>
              <w:adjustRightInd w:val="0"/>
              <w:spacing w:after="0"/>
              <w:jc w:val="center"/>
              <w:rPr>
                <w:rFonts w:ascii="Times New Roman" w:hAnsi="Times New Roman"/>
                <w:sz w:val="20"/>
                <w:szCs w:val="20"/>
              </w:rPr>
            </w:pPr>
            <w:r w:rsidRPr="007231F8">
              <w:rPr>
                <w:rFonts w:ascii="Times New Roman" w:hAnsi="Times New Roman"/>
                <w:sz w:val="20"/>
                <w:szCs w:val="20"/>
              </w:rPr>
              <w:t>2 376 000</w:t>
            </w:r>
          </w:p>
        </w:tc>
      </w:tr>
    </w:tbl>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ind w:firstLine="567"/>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G) Financování úřadů územního plánování </w:t>
      </w:r>
    </w:p>
    <w:p w:rsidR="00381BE7" w:rsidRPr="007231F8" w:rsidRDefault="00381BE7" w:rsidP="00381BE7">
      <w:pPr>
        <w:widowControl w:val="0"/>
        <w:autoSpaceDE w:val="0"/>
        <w:autoSpaceDN w:val="0"/>
        <w:adjustRightInd w:val="0"/>
        <w:spacing w:after="0" w:line="240" w:lineRule="auto"/>
        <w:ind w:firstLine="567"/>
        <w:rPr>
          <w:rFonts w:ascii="Times New Roman" w:hAnsi="Times New Roman"/>
          <w:sz w:val="20"/>
          <w:szCs w:val="20"/>
        </w:rPr>
      </w:pPr>
    </w:p>
    <w:p w:rsidR="00381BE7" w:rsidRPr="007166D6"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Vedle části příspěvku pro hlavní město Prahu podle </w:t>
      </w:r>
      <w:proofErr w:type="gramStart"/>
      <w:r w:rsidRPr="007231F8">
        <w:rPr>
          <w:rFonts w:ascii="Times New Roman" w:hAnsi="Times New Roman"/>
          <w:sz w:val="20"/>
          <w:szCs w:val="20"/>
        </w:rPr>
        <w:t>části 1.A), který</w:t>
      </w:r>
      <w:proofErr w:type="gramEnd"/>
      <w:r w:rsidRPr="007231F8">
        <w:rPr>
          <w:rFonts w:ascii="Times New Roman" w:hAnsi="Times New Roman"/>
          <w:sz w:val="20"/>
          <w:szCs w:val="20"/>
        </w:rPr>
        <w:t xml:space="preserve"> zahrnuje i poměrnou část příspěvku na pokrytí výkonu agendy úřadů územního plánování, v souladu s platnou právní úpravou, tj. zákonem č. 183/2006 Sb., o územním plánování a stavebním řádu (stavební zákon), ve znění pozdějších předpisů, obdrží Magistrát hlavního města Prahy další část příspěvku</w:t>
      </w:r>
      <w:r w:rsidRPr="00A15107">
        <w:rPr>
          <w:rFonts w:ascii="Times New Roman" w:hAnsi="Times New Roman"/>
          <w:sz w:val="20"/>
          <w:szCs w:val="20"/>
        </w:rPr>
        <w:t>. Agenda uvedená ve větě první byla do zákona č. 183/2006 Sb. doplněna zákonem č. 225/2017 Sb., kterým se mění zákon č. 183/2006 Sb., o územním plánování a stavebním řádu (stavební zákon), ve znění pozdějších předpisů, a další související zákony.</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12 020 052 Kč k pokrytí financování agendy úřadu územního plánování.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Magistrát hlavního města Prahy obdrží příspěvek za každé závazné stanovisko vydané v období od 1. 1. do 31.</w:t>
      </w:r>
      <w:r w:rsidR="002853BE">
        <w:rPr>
          <w:rFonts w:ascii="Times New Roman" w:hAnsi="Times New Roman"/>
          <w:sz w:val="20"/>
          <w:szCs w:val="20"/>
        </w:rPr>
        <w:t> </w:t>
      </w:r>
      <w:r w:rsidRPr="007231F8">
        <w:rPr>
          <w:rFonts w:ascii="Times New Roman" w:hAnsi="Times New Roman"/>
          <w:sz w:val="20"/>
          <w:szCs w:val="20"/>
        </w:rPr>
        <w:t xml:space="preserve">12. 2019 podle </w:t>
      </w:r>
      <w:hyperlink r:id="rId21" w:history="1">
        <w:r w:rsidRPr="007231F8">
          <w:rPr>
            <w:rFonts w:ascii="Times New Roman" w:hAnsi="Times New Roman"/>
            <w:sz w:val="20"/>
            <w:szCs w:val="20"/>
          </w:rPr>
          <w:t>§ 96b zákona č. 183/2006 Sb.</w:t>
        </w:r>
      </w:hyperlink>
      <w:r w:rsidRPr="007231F8">
        <w:rPr>
          <w:rFonts w:ascii="Times New Roman" w:hAnsi="Times New Roman"/>
          <w:sz w:val="20"/>
          <w:szCs w:val="20"/>
        </w:rPr>
        <w:t>, o územním plánování a stavebním řádu (</w:t>
      </w:r>
      <w:hyperlink r:id="rId22" w:history="1">
        <w:r w:rsidRPr="007231F8">
          <w:rPr>
            <w:rFonts w:ascii="Times New Roman" w:hAnsi="Times New Roman"/>
            <w:sz w:val="20"/>
            <w:szCs w:val="20"/>
          </w:rPr>
          <w:t>stavební zákon</w:t>
        </w:r>
      </w:hyperlink>
      <w:r w:rsidRPr="007231F8">
        <w:rPr>
          <w:rFonts w:ascii="Times New Roman" w:hAnsi="Times New Roman"/>
          <w:sz w:val="20"/>
          <w:szCs w:val="20"/>
        </w:rPr>
        <w:t xml:space="preserve">), ve znění zákona č. </w:t>
      </w:r>
      <w:hyperlink r:id="rId23" w:history="1">
        <w:r w:rsidRPr="007231F8">
          <w:rPr>
            <w:rFonts w:ascii="Times New Roman" w:hAnsi="Times New Roman"/>
            <w:sz w:val="20"/>
            <w:szCs w:val="20"/>
          </w:rPr>
          <w:t>225/2017 Sb.</w:t>
        </w:r>
      </w:hyperlink>
      <w:r w:rsidRPr="007231F8">
        <w:rPr>
          <w:rFonts w:ascii="Times New Roman" w:hAnsi="Times New Roman"/>
          <w:sz w:val="20"/>
          <w:szCs w:val="20"/>
        </w:rPr>
        <w:t xml:space="preserve"> Částka pro rok 2021 za jeden úkon činí 2706 Kč.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Počty závazných stanovisek, které nejsou samostatným rozhodnutím ve správním řízení, vycházejí ze statistického zjišťování prováděného Ministerstvem pro místní rozvoj.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r w:rsidRPr="007231F8">
        <w:rPr>
          <w:rFonts w:ascii="Times New Roman" w:hAnsi="Times New Roman"/>
          <w:sz w:val="20"/>
          <w:szCs w:val="20"/>
        </w:rPr>
        <w:t xml:space="preserve"> </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H) Financování živnostenských úřadů </w:t>
      </w:r>
    </w:p>
    <w:p w:rsidR="00381BE7" w:rsidRPr="007231F8" w:rsidRDefault="00381BE7" w:rsidP="00381BE7">
      <w:pPr>
        <w:widowControl w:val="0"/>
        <w:autoSpaceDE w:val="0"/>
        <w:autoSpaceDN w:val="0"/>
        <w:adjustRightInd w:val="0"/>
        <w:spacing w:after="0" w:line="240" w:lineRule="auto"/>
        <w:ind w:firstLine="567"/>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Vedle části příspěvku pro hlavní město Prahu podle </w:t>
      </w:r>
      <w:proofErr w:type="gramStart"/>
      <w:r w:rsidRPr="007231F8">
        <w:rPr>
          <w:rFonts w:ascii="Times New Roman" w:hAnsi="Times New Roman"/>
          <w:sz w:val="20"/>
          <w:szCs w:val="20"/>
        </w:rPr>
        <w:t>části 1.A), který</w:t>
      </w:r>
      <w:proofErr w:type="gramEnd"/>
      <w:r w:rsidRPr="007231F8">
        <w:rPr>
          <w:rFonts w:ascii="Times New Roman" w:hAnsi="Times New Roman"/>
          <w:sz w:val="20"/>
          <w:szCs w:val="20"/>
        </w:rPr>
        <w:t xml:space="preserve"> zahrnuje i poměrnou část příspěvku na pokrytí výkonu agendy živnostenských úřadů v souladu s platnou právní úpravou, tj. zákonem č. 455/1991 Sb., o</w:t>
      </w:r>
      <w:r w:rsidR="002853BE">
        <w:rPr>
          <w:rFonts w:ascii="Times New Roman" w:hAnsi="Times New Roman"/>
          <w:sz w:val="20"/>
          <w:szCs w:val="20"/>
        </w:rPr>
        <w:t> </w:t>
      </w:r>
      <w:r w:rsidRPr="007231F8">
        <w:rPr>
          <w:rFonts w:ascii="Times New Roman" w:hAnsi="Times New Roman"/>
          <w:sz w:val="20"/>
          <w:szCs w:val="20"/>
        </w:rPr>
        <w:t>živnostenském podnikání (živnostenský zákon), ve znění pozdějších předpisů, a zákonem č. 570/1991 Sb., o</w:t>
      </w:r>
      <w:r w:rsidR="002853BE">
        <w:rPr>
          <w:rFonts w:ascii="Times New Roman" w:hAnsi="Times New Roman"/>
          <w:sz w:val="20"/>
          <w:szCs w:val="20"/>
        </w:rPr>
        <w:t> </w:t>
      </w:r>
      <w:r w:rsidRPr="007231F8">
        <w:rPr>
          <w:rFonts w:ascii="Times New Roman" w:hAnsi="Times New Roman"/>
          <w:sz w:val="20"/>
          <w:szCs w:val="20"/>
        </w:rPr>
        <w:t>živnostenských úřadech, ve znění pozdějších předpisů, obdrží úřad městské části další část příspěvku.</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 xml:space="preserve">Příspěvek na výkon státní správy pro hlavní město Prahu se navyšuje o částku 74 510 410 Kč k pokrytí financování agendy živnostenských úřadů.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r w:rsidRPr="007231F8">
        <w:rPr>
          <w:rFonts w:ascii="Times New Roman" w:hAnsi="Times New Roman"/>
          <w:sz w:val="20"/>
          <w:szCs w:val="20"/>
        </w:rPr>
        <w:t>Úřad městské části obdrží příspěvek za každé avízo, tj. změnu a doplnění údajů ze základních registrů a</w:t>
      </w:r>
      <w:r w:rsidR="00A01B04">
        <w:rPr>
          <w:rFonts w:ascii="Times New Roman" w:hAnsi="Times New Roman"/>
          <w:sz w:val="20"/>
          <w:szCs w:val="20"/>
        </w:rPr>
        <w:t> </w:t>
      </w:r>
      <w:bookmarkStart w:id="0" w:name="_GoBack"/>
      <w:bookmarkEnd w:id="0"/>
      <w:r w:rsidRPr="007231F8">
        <w:rPr>
          <w:rFonts w:ascii="Times New Roman" w:hAnsi="Times New Roman"/>
          <w:sz w:val="20"/>
          <w:szCs w:val="20"/>
        </w:rPr>
        <w:t>určených informačních systémů, zpracované v období od 1. 1. do 31. 12. 2019 podle § 49, § 56 a § 60 zákona č.</w:t>
      </w:r>
      <w:r w:rsidR="002853BE">
        <w:rPr>
          <w:rFonts w:ascii="Times New Roman" w:hAnsi="Times New Roman"/>
          <w:sz w:val="20"/>
          <w:szCs w:val="20"/>
        </w:rPr>
        <w:t> </w:t>
      </w:r>
      <w:r w:rsidRPr="007231F8">
        <w:rPr>
          <w:rFonts w:ascii="Times New Roman" w:hAnsi="Times New Roman"/>
          <w:sz w:val="20"/>
          <w:szCs w:val="20"/>
        </w:rPr>
        <w:t xml:space="preserve">455/1991 Sb., o živnostenském podnikání (živnostenský zákon), ve znění pozdějších předpisů. Částka pro rok 2021 za jedno zpracované avízo činí 338 Kč. </w:t>
      </w:r>
    </w:p>
    <w:p w:rsidR="00381BE7" w:rsidRPr="007231F8" w:rsidRDefault="00381BE7" w:rsidP="00381BE7">
      <w:pPr>
        <w:widowControl w:val="0"/>
        <w:autoSpaceDE w:val="0"/>
        <w:autoSpaceDN w:val="0"/>
        <w:adjustRightInd w:val="0"/>
        <w:spacing w:after="0" w:line="240" w:lineRule="auto"/>
        <w:rPr>
          <w:rFonts w:ascii="Times New Roman" w:hAnsi="Times New Roman"/>
          <w:sz w:val="20"/>
          <w:szCs w:val="20"/>
        </w:rPr>
      </w:pPr>
    </w:p>
    <w:p w:rsidR="00381BE7" w:rsidRDefault="00381BE7" w:rsidP="00381BE7">
      <w:pPr>
        <w:widowControl w:val="0"/>
        <w:autoSpaceDE w:val="0"/>
        <w:autoSpaceDN w:val="0"/>
        <w:adjustRightInd w:val="0"/>
        <w:spacing w:after="0" w:line="240" w:lineRule="auto"/>
        <w:rPr>
          <w:rFonts w:ascii="Times New Roman" w:hAnsi="Times New Roman"/>
          <w:sz w:val="20"/>
          <w:szCs w:val="20"/>
        </w:rPr>
      </w:pPr>
      <w:r w:rsidRPr="007231F8">
        <w:rPr>
          <w:rFonts w:ascii="Times New Roman" w:hAnsi="Times New Roman"/>
          <w:sz w:val="20"/>
          <w:szCs w:val="20"/>
        </w:rPr>
        <w:t>Počty zpracovaných avíz vycházejí z živnostenského rejstříku spravovaného Ministerstvem průmyslu a obchodu.</w:t>
      </w:r>
    </w:p>
    <w:p w:rsidR="002853BE" w:rsidRPr="007231F8" w:rsidRDefault="002853BE" w:rsidP="00381BE7">
      <w:pPr>
        <w:widowControl w:val="0"/>
        <w:autoSpaceDE w:val="0"/>
        <w:autoSpaceDN w:val="0"/>
        <w:adjustRightInd w:val="0"/>
        <w:spacing w:after="0" w:line="240" w:lineRule="auto"/>
        <w:rPr>
          <w:rFonts w:ascii="Times New Roman" w:hAnsi="Times New Roman"/>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Pr="0085385A" w:rsidRDefault="00381BE7" w:rsidP="0085385A">
      <w:pPr>
        <w:widowControl w:val="0"/>
        <w:autoSpaceDE w:val="0"/>
        <w:autoSpaceDN w:val="0"/>
        <w:adjustRightInd w:val="0"/>
        <w:spacing w:after="0" w:line="240" w:lineRule="auto"/>
        <w:jc w:val="center"/>
        <w:rPr>
          <w:rFonts w:ascii="Times New Roman" w:hAnsi="Times New Roman"/>
          <w:b/>
          <w:bCs/>
        </w:rPr>
      </w:pPr>
      <w:r w:rsidRPr="007231F8">
        <w:rPr>
          <w:rFonts w:ascii="Times New Roman" w:hAnsi="Times New Roman"/>
          <w:b/>
          <w:bCs/>
          <w:sz w:val="20"/>
          <w:szCs w:val="20"/>
        </w:rPr>
        <w:t xml:space="preserve">2. </w:t>
      </w:r>
      <w:r w:rsidRPr="0085385A">
        <w:rPr>
          <w:rFonts w:ascii="Times New Roman" w:hAnsi="Times New Roman"/>
          <w:b/>
          <w:bCs/>
        </w:rPr>
        <w:t>Postup pro stanovení výše příspěvku na výkon státní správy hlavnímu městu Praze jako kraji</w:t>
      </w: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p>
    <w:p w:rsidR="00381BE7" w:rsidRPr="007231F8" w:rsidRDefault="00381BE7" w:rsidP="00381BE7">
      <w:pPr>
        <w:widowControl w:val="0"/>
        <w:autoSpaceDE w:val="0"/>
        <w:autoSpaceDN w:val="0"/>
        <w:adjustRightInd w:val="0"/>
        <w:spacing w:after="0" w:line="240" w:lineRule="auto"/>
        <w:jc w:val="both"/>
        <w:rPr>
          <w:rFonts w:ascii="Times New Roman" w:hAnsi="Times New Roman"/>
          <w:b/>
          <w:bCs/>
          <w:sz w:val="20"/>
          <w:szCs w:val="20"/>
        </w:rPr>
      </w:pPr>
      <w:r w:rsidRPr="007231F8">
        <w:rPr>
          <w:rFonts w:ascii="Times New Roman" w:hAnsi="Times New Roman"/>
          <w:b/>
          <w:bCs/>
          <w:sz w:val="20"/>
          <w:szCs w:val="20"/>
        </w:rPr>
        <w:t xml:space="preserve">Výkon působnosti, která je svěřena orgánům krajů v souladu s ustanovením </w:t>
      </w:r>
      <w:hyperlink r:id="rId24" w:history="1">
        <w:r w:rsidRPr="007231F8">
          <w:rPr>
            <w:rFonts w:ascii="Times New Roman" w:hAnsi="Times New Roman"/>
            <w:b/>
            <w:bCs/>
            <w:sz w:val="20"/>
            <w:szCs w:val="20"/>
          </w:rPr>
          <w:t>§ 31 odst. 1 zákona č.</w:t>
        </w:r>
        <w:r w:rsidR="002853BE">
          <w:rPr>
            <w:rFonts w:ascii="Times New Roman" w:hAnsi="Times New Roman"/>
            <w:b/>
            <w:bCs/>
            <w:sz w:val="20"/>
            <w:szCs w:val="20"/>
          </w:rPr>
          <w:t> </w:t>
        </w:r>
        <w:r w:rsidRPr="007231F8">
          <w:rPr>
            <w:rFonts w:ascii="Times New Roman" w:hAnsi="Times New Roman"/>
            <w:b/>
            <w:bCs/>
            <w:sz w:val="20"/>
            <w:szCs w:val="20"/>
          </w:rPr>
          <w:t>131/2000 Sb.</w:t>
        </w:r>
      </w:hyperlink>
      <w:r w:rsidRPr="007231F8">
        <w:rPr>
          <w:rFonts w:ascii="Times New Roman" w:hAnsi="Times New Roman"/>
          <w:b/>
          <w:bCs/>
          <w:sz w:val="20"/>
          <w:szCs w:val="20"/>
        </w:rPr>
        <w:t xml:space="preserve">, o hlavním městě Praze, ve znění pozdějších předpisů. </w:t>
      </w:r>
    </w:p>
    <w:p w:rsidR="00381BE7" w:rsidRPr="007231F8" w:rsidRDefault="00381BE7" w:rsidP="00381BE7">
      <w:pPr>
        <w:widowControl w:val="0"/>
        <w:autoSpaceDE w:val="0"/>
        <w:autoSpaceDN w:val="0"/>
        <w:adjustRightInd w:val="0"/>
        <w:spacing w:after="0" w:line="240" w:lineRule="auto"/>
        <w:jc w:val="both"/>
        <w:rPr>
          <w:rFonts w:ascii="Times New Roman" w:hAnsi="Times New Roman"/>
          <w:sz w:val="20"/>
          <w:szCs w:val="20"/>
        </w:rPr>
      </w:pPr>
    </w:p>
    <w:p w:rsidR="00381BE7" w:rsidRDefault="00381BE7" w:rsidP="007166D6">
      <w:pPr>
        <w:widowControl w:val="0"/>
        <w:autoSpaceDE w:val="0"/>
        <w:autoSpaceDN w:val="0"/>
        <w:adjustRightInd w:val="0"/>
        <w:spacing w:after="0" w:line="240" w:lineRule="auto"/>
        <w:jc w:val="both"/>
        <w:rPr>
          <w:rFonts w:ascii="Times New Roman" w:hAnsi="Times New Roman"/>
          <w:sz w:val="24"/>
          <w:szCs w:val="24"/>
        </w:rPr>
      </w:pPr>
      <w:r w:rsidRPr="007231F8">
        <w:rPr>
          <w:rFonts w:ascii="Times New Roman" w:hAnsi="Times New Roman"/>
          <w:sz w:val="20"/>
          <w:szCs w:val="20"/>
        </w:rPr>
        <w:t>Východiskem pro objem příspěvku na výkon státní správy pro rok 2021 je výsledná částka příspěvku pro rok 2020 navýšená o 11,59 %, což odpovídá průměrné míře valorizace u krajů pro rok 2021.</w:t>
      </w:r>
      <w:r w:rsidR="007166D6">
        <w:rPr>
          <w:rFonts w:ascii="Times New Roman" w:hAnsi="Times New Roman"/>
          <w:sz w:val="24"/>
          <w:szCs w:val="24"/>
        </w:rPr>
        <w:t xml:space="preserve"> </w:t>
      </w:r>
    </w:p>
    <w:sectPr w:rsidR="00381BE7" w:rsidSect="007166D6">
      <w:headerReference w:type="default" r:id="rId25"/>
      <w:pgSz w:w="11907" w:h="16840" w:code="9"/>
      <w:pgMar w:top="1418" w:right="1418" w:bottom="1418" w:left="1418" w:header="709" w:footer="709" w:gutter="0"/>
      <w:pgNumType w:start="66"/>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B4B" w:rsidRDefault="005A7B4B">
      <w:pPr>
        <w:spacing w:after="0" w:line="240" w:lineRule="auto"/>
      </w:pPr>
      <w:r>
        <w:separator/>
      </w:r>
    </w:p>
  </w:endnote>
  <w:endnote w:type="continuationSeparator" w:id="0">
    <w:p w:rsidR="005A7B4B" w:rsidRDefault="005A7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B4B" w:rsidRDefault="005A7B4B">
      <w:pPr>
        <w:spacing w:after="0" w:line="240" w:lineRule="auto"/>
      </w:pPr>
      <w:r>
        <w:separator/>
      </w:r>
    </w:p>
  </w:footnote>
  <w:footnote w:type="continuationSeparator" w:id="0">
    <w:p w:rsidR="005A7B4B" w:rsidRDefault="005A7B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773814"/>
      <w:docPartObj>
        <w:docPartGallery w:val="Page Numbers (Top of Page)"/>
        <w:docPartUnique/>
      </w:docPartObj>
    </w:sdtPr>
    <w:sdtEndPr/>
    <w:sdtContent>
      <w:p w:rsidR="007231F8" w:rsidRDefault="007231F8">
        <w:pPr>
          <w:pStyle w:val="Zhlav"/>
          <w:jc w:val="center"/>
        </w:pPr>
        <w:r>
          <w:fldChar w:fldCharType="begin"/>
        </w:r>
        <w:r>
          <w:instrText>PAGE   \* MERGEFORMAT</w:instrText>
        </w:r>
        <w:r>
          <w:fldChar w:fldCharType="separate"/>
        </w:r>
        <w:r w:rsidR="00A01B04">
          <w:rPr>
            <w:noProof/>
          </w:rPr>
          <w:t>69</w:t>
        </w:r>
        <w:r>
          <w:fldChar w:fldCharType="end"/>
        </w:r>
      </w:p>
    </w:sdtContent>
  </w:sdt>
  <w:p w:rsidR="007231F8" w:rsidRDefault="007231F8">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955E6"/>
    <w:multiLevelType w:val="hybridMultilevel"/>
    <w:tmpl w:val="756C107C"/>
    <w:lvl w:ilvl="0" w:tplc="19C6430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C4462D0"/>
    <w:multiLevelType w:val="hybridMultilevel"/>
    <w:tmpl w:val="06229884"/>
    <w:lvl w:ilvl="0" w:tplc="886065C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60D"/>
    <w:rsid w:val="000532F9"/>
    <w:rsid w:val="00065E05"/>
    <w:rsid w:val="00071517"/>
    <w:rsid w:val="00071CB1"/>
    <w:rsid w:val="00097484"/>
    <w:rsid w:val="000B4944"/>
    <w:rsid w:val="00100A58"/>
    <w:rsid w:val="0010216D"/>
    <w:rsid w:val="00106F12"/>
    <w:rsid w:val="00142D7F"/>
    <w:rsid w:val="00220A3A"/>
    <w:rsid w:val="00222144"/>
    <w:rsid w:val="002248F4"/>
    <w:rsid w:val="002853BE"/>
    <w:rsid w:val="00296FB2"/>
    <w:rsid w:val="002C7594"/>
    <w:rsid w:val="002F3A51"/>
    <w:rsid w:val="00315D5E"/>
    <w:rsid w:val="00381BE7"/>
    <w:rsid w:val="003B4F77"/>
    <w:rsid w:val="003D12BD"/>
    <w:rsid w:val="004A2BF1"/>
    <w:rsid w:val="0051124B"/>
    <w:rsid w:val="0051503F"/>
    <w:rsid w:val="00554F2E"/>
    <w:rsid w:val="00586892"/>
    <w:rsid w:val="005A324D"/>
    <w:rsid w:val="005A4628"/>
    <w:rsid w:val="005A564B"/>
    <w:rsid w:val="005A7024"/>
    <w:rsid w:val="005A7B4B"/>
    <w:rsid w:val="005D2C66"/>
    <w:rsid w:val="005D7007"/>
    <w:rsid w:val="006070E3"/>
    <w:rsid w:val="00624CF5"/>
    <w:rsid w:val="00666C1E"/>
    <w:rsid w:val="00684EAC"/>
    <w:rsid w:val="00692A2D"/>
    <w:rsid w:val="006C1F75"/>
    <w:rsid w:val="006E1504"/>
    <w:rsid w:val="00714A4B"/>
    <w:rsid w:val="007166D6"/>
    <w:rsid w:val="007231F8"/>
    <w:rsid w:val="0074386A"/>
    <w:rsid w:val="00770380"/>
    <w:rsid w:val="007C3EDE"/>
    <w:rsid w:val="007D68F7"/>
    <w:rsid w:val="00834EEA"/>
    <w:rsid w:val="0084066C"/>
    <w:rsid w:val="0085385A"/>
    <w:rsid w:val="00861FD5"/>
    <w:rsid w:val="00870883"/>
    <w:rsid w:val="008729B3"/>
    <w:rsid w:val="00897C4F"/>
    <w:rsid w:val="008A1018"/>
    <w:rsid w:val="008C7FF4"/>
    <w:rsid w:val="008D2D83"/>
    <w:rsid w:val="008F3303"/>
    <w:rsid w:val="00962A30"/>
    <w:rsid w:val="0099379E"/>
    <w:rsid w:val="009E79BD"/>
    <w:rsid w:val="00A01B04"/>
    <w:rsid w:val="00A03CB7"/>
    <w:rsid w:val="00A13C4D"/>
    <w:rsid w:val="00A15107"/>
    <w:rsid w:val="00A17DF4"/>
    <w:rsid w:val="00A3160D"/>
    <w:rsid w:val="00A34F49"/>
    <w:rsid w:val="00A369BE"/>
    <w:rsid w:val="00A9470A"/>
    <w:rsid w:val="00AA0E4A"/>
    <w:rsid w:val="00AC0E39"/>
    <w:rsid w:val="00AF062F"/>
    <w:rsid w:val="00B2133D"/>
    <w:rsid w:val="00B46F93"/>
    <w:rsid w:val="00B513E1"/>
    <w:rsid w:val="00B55624"/>
    <w:rsid w:val="00B60B13"/>
    <w:rsid w:val="00B976BC"/>
    <w:rsid w:val="00BA209B"/>
    <w:rsid w:val="00BC3CF4"/>
    <w:rsid w:val="00C0757D"/>
    <w:rsid w:val="00C34F6C"/>
    <w:rsid w:val="00C35E1E"/>
    <w:rsid w:val="00C442E7"/>
    <w:rsid w:val="00C44EBB"/>
    <w:rsid w:val="00C82750"/>
    <w:rsid w:val="00CD43EB"/>
    <w:rsid w:val="00CE18CF"/>
    <w:rsid w:val="00D14EF7"/>
    <w:rsid w:val="00D158F1"/>
    <w:rsid w:val="00D26773"/>
    <w:rsid w:val="00D616FD"/>
    <w:rsid w:val="00D7702F"/>
    <w:rsid w:val="00DA136E"/>
    <w:rsid w:val="00DA474A"/>
    <w:rsid w:val="00DA6B8D"/>
    <w:rsid w:val="00DB4D0E"/>
    <w:rsid w:val="00DE0C06"/>
    <w:rsid w:val="00E33C08"/>
    <w:rsid w:val="00E42DA8"/>
    <w:rsid w:val="00E93731"/>
    <w:rsid w:val="00E96813"/>
    <w:rsid w:val="00EA467E"/>
    <w:rsid w:val="00EC51B3"/>
    <w:rsid w:val="00EF2AB7"/>
    <w:rsid w:val="00F418A3"/>
    <w:rsid w:val="00F42F5A"/>
    <w:rsid w:val="00F76E26"/>
    <w:rsid w:val="00FB2329"/>
    <w:rsid w:val="00FC31F6"/>
    <w:rsid w:val="00FD23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 w:type="table" w:styleId="Mkatabulky">
    <w:name w:val="Table Grid"/>
    <w:basedOn w:val="Normlntabulka"/>
    <w:uiPriority w:val="59"/>
    <w:rsid w:val="00381BE7"/>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160D"/>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160D"/>
    <w:pPr>
      <w:tabs>
        <w:tab w:val="center" w:pos="4536"/>
        <w:tab w:val="right" w:pos="9072"/>
      </w:tabs>
    </w:pPr>
  </w:style>
  <w:style w:type="character" w:customStyle="1" w:styleId="ZhlavChar">
    <w:name w:val="Záhlaví Char"/>
    <w:basedOn w:val="Standardnpsmoodstavce"/>
    <w:link w:val="Zhlav"/>
    <w:uiPriority w:val="99"/>
    <w:rsid w:val="00A3160D"/>
    <w:rPr>
      <w:rFonts w:ascii="Calibri" w:eastAsia="Times New Roman" w:hAnsi="Calibri" w:cs="Times New Roman"/>
      <w:lang w:eastAsia="cs-CZ"/>
    </w:rPr>
  </w:style>
  <w:style w:type="paragraph" w:styleId="Zpat">
    <w:name w:val="footer"/>
    <w:basedOn w:val="Normln"/>
    <w:link w:val="ZpatChar"/>
    <w:uiPriority w:val="99"/>
    <w:unhideWhenUsed/>
    <w:rsid w:val="00A3160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60D"/>
    <w:rPr>
      <w:rFonts w:ascii="Calibri" w:eastAsia="Times New Roman" w:hAnsi="Calibri" w:cs="Times New Roman"/>
      <w:lang w:eastAsia="cs-CZ"/>
    </w:rPr>
  </w:style>
  <w:style w:type="paragraph" w:styleId="Textbubliny">
    <w:name w:val="Balloon Text"/>
    <w:basedOn w:val="Normln"/>
    <w:link w:val="TextbublinyChar"/>
    <w:uiPriority w:val="99"/>
    <w:semiHidden/>
    <w:unhideWhenUsed/>
    <w:rsid w:val="00D7702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7702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C7594"/>
    <w:rPr>
      <w:sz w:val="16"/>
      <w:szCs w:val="16"/>
    </w:rPr>
  </w:style>
  <w:style w:type="paragraph" w:styleId="Textkomente">
    <w:name w:val="annotation text"/>
    <w:basedOn w:val="Normln"/>
    <w:link w:val="TextkomenteChar"/>
    <w:uiPriority w:val="99"/>
    <w:semiHidden/>
    <w:unhideWhenUsed/>
    <w:rsid w:val="002C7594"/>
    <w:pPr>
      <w:spacing w:line="240" w:lineRule="auto"/>
    </w:pPr>
    <w:rPr>
      <w:sz w:val="20"/>
      <w:szCs w:val="20"/>
    </w:rPr>
  </w:style>
  <w:style w:type="character" w:customStyle="1" w:styleId="TextkomenteChar">
    <w:name w:val="Text komentáře Char"/>
    <w:basedOn w:val="Standardnpsmoodstavce"/>
    <w:link w:val="Textkomente"/>
    <w:uiPriority w:val="99"/>
    <w:semiHidden/>
    <w:rsid w:val="002C7594"/>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C7594"/>
    <w:rPr>
      <w:b/>
      <w:bCs/>
    </w:rPr>
  </w:style>
  <w:style w:type="character" w:customStyle="1" w:styleId="PedmtkomenteChar">
    <w:name w:val="Předmět komentáře Char"/>
    <w:basedOn w:val="TextkomenteChar"/>
    <w:link w:val="Pedmtkomente"/>
    <w:uiPriority w:val="99"/>
    <w:semiHidden/>
    <w:rsid w:val="002C7594"/>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8729B3"/>
    <w:pPr>
      <w:ind w:left="720"/>
      <w:contextualSpacing/>
    </w:pPr>
  </w:style>
  <w:style w:type="table" w:styleId="Mkatabulky">
    <w:name w:val="Table Grid"/>
    <w:basedOn w:val="Normlntabulka"/>
    <w:uiPriority w:val="59"/>
    <w:rsid w:val="00381BE7"/>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89/2012%20Sb.%2523469'&amp;ucin-k-dni='30.12.9999'" TargetMode="External"/><Relationship Id="rId18" Type="http://schemas.openxmlformats.org/officeDocument/2006/relationships/hyperlink" Target="aspi://module='ASPI'&amp;link='40/1964%20Sb.%252310'&amp;ucin-k-dni='30.12.999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spi://module='ASPI'&amp;link='183/2006%20Sb.%252396b'&amp;ucin-k-dni='30.12.9999'" TargetMode="External"/><Relationship Id="rId7" Type="http://schemas.openxmlformats.org/officeDocument/2006/relationships/footnotes" Target="footnotes.xml"/><Relationship Id="rId12" Type="http://schemas.openxmlformats.org/officeDocument/2006/relationships/hyperlink" Target="aspi://module='ASPI'&amp;link='89/2012%20Sb.%252362'&amp;ucin-k-dni='30.12.9999'" TargetMode="External"/><Relationship Id="rId17" Type="http://schemas.openxmlformats.org/officeDocument/2006/relationships/hyperlink" Target="aspi://module='ASPI'&amp;link='40/1964%20Sb.%252310'&amp;ucin-k-dni='30.12.9999'"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spi://module='ASPI'&amp;link='89/2012%20Sb.%2523468'&amp;ucin-k-dni='30.12.9999'" TargetMode="External"/><Relationship Id="rId20" Type="http://schemas.openxmlformats.org/officeDocument/2006/relationships/hyperlink" Target="aspi://module='ASPI'&amp;link='222/2009%20Sb.%2523'&amp;ucin-k-dni='30.12.999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89/2012%20Sb.%2523'&amp;ucin-k-dni='30.12.9999'" TargetMode="External"/><Relationship Id="rId24" Type="http://schemas.openxmlformats.org/officeDocument/2006/relationships/hyperlink" Target="aspi://module='ASPI'&amp;link='131/2000%20Sb.%252331'&amp;ucin-k-dni='30.12.9999'" TargetMode="External"/><Relationship Id="rId5" Type="http://schemas.openxmlformats.org/officeDocument/2006/relationships/settings" Target="settings.xml"/><Relationship Id="rId15" Type="http://schemas.openxmlformats.org/officeDocument/2006/relationships/hyperlink" Target="aspi://module='ASPI'&amp;link='292/2013%20Sb.%252337'&amp;ucin-k-dni='30.12.9999'" TargetMode="External"/><Relationship Id="rId23" Type="http://schemas.openxmlformats.org/officeDocument/2006/relationships/hyperlink" Target="aspi://module='ASPI'&amp;link='225/2017%20Sb.%2523'&amp;ucin-k-dni='30.12.9999'" TargetMode="External"/><Relationship Id="rId10" Type="http://schemas.openxmlformats.org/officeDocument/2006/relationships/hyperlink" Target="aspi://module='ASPI'&amp;link='89/2012%20Sb.%252355'&amp;ucin-k-dni='30.12.9999'" TargetMode="External"/><Relationship Id="rId19" Type="http://schemas.openxmlformats.org/officeDocument/2006/relationships/hyperlink" Target="aspi://module='ASPI'&amp;link='570/1991%20Sb.%25232'&amp;ucin-k-dni='30.12.9999'" TargetMode="External"/><Relationship Id="rId4" Type="http://schemas.microsoft.com/office/2007/relationships/stylesWithEffects" Target="stylesWithEffects.xml"/><Relationship Id="rId9" Type="http://schemas.openxmlformats.org/officeDocument/2006/relationships/hyperlink" Target="aspi://module='ASPI'&amp;link='131/2000%20Sb.%252331'&amp;ucin-k-dni='30.12.9999'" TargetMode="External"/><Relationship Id="rId14" Type="http://schemas.openxmlformats.org/officeDocument/2006/relationships/hyperlink" Target="aspi://module='ASPI'&amp;link='89/2012%20Sb.%252358'&amp;ucin-k-dni='30.12.9999'" TargetMode="External"/><Relationship Id="rId22" Type="http://schemas.openxmlformats.org/officeDocument/2006/relationships/hyperlink" Target="aspi://module='ASPI'&amp;link='183/2006%20Sb.%2523'&amp;ucin-k-dni='30.12.9999'" TargetMode="External"/><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8C09-7E01-44A3-8AD2-17E29F02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2036</Words>
  <Characters>12018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Vaníčková Eva</dc:creator>
  <cp:lastModifiedBy>Pavlíková Jaroslava Ing.</cp:lastModifiedBy>
  <cp:revision>10</cp:revision>
  <cp:lastPrinted>2020-09-28T08:33:00Z</cp:lastPrinted>
  <dcterms:created xsi:type="dcterms:W3CDTF">2020-10-02T05:31:00Z</dcterms:created>
  <dcterms:modified xsi:type="dcterms:W3CDTF">2020-10-06T06:33:00Z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-1224953196</vt:i4>
  </property>
  <property fmtid="{D5CDD505-2E9C-101B-9397-08002B2CF9AE}" pid="3" name="_NewReviewCycle">
    <vt:lpwstr/>
  </property>
  <property fmtid="{D5CDD505-2E9C-101B-9397-08002B2CF9AE}" pid="4" name="_EmailSubject">
    <vt:lpwstr>Legislativní materiály k SR 2021 do PSP - zákon, důvodová zpráva, přílohy </vt:lpwstr>
  </property>
  <property fmtid="{D5CDD505-2E9C-101B-9397-08002B2CF9AE}" pid="5" name="_AuthorEmail">
    <vt:lpwstr>Sandra.Brozova@mfcr.cz</vt:lpwstr>
  </property>
  <property fmtid="{D5CDD505-2E9C-101B-9397-08002B2CF9AE}" pid="6" name="_AuthorEmailDisplayName">
    <vt:lpwstr>Brožová Sandra JUDr. LL.M.</vt:lpwstr>
  </property>
</Properties>
</file>