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Parlament České republiky</w:t>
      </w:r>
    </w:p>
    <w:p w14:paraId="00000002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POSLANECKÁ SNĚMOVNA</w:t>
      </w:r>
    </w:p>
    <w:p w14:paraId="00000003" w14:textId="16CDCE4D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202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2</w:t>
      </w:r>
    </w:p>
    <w:p w14:paraId="00000004" w14:textId="19D19B7C" w:rsidR="004D391B" w:rsidRDefault="003424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9</w:t>
      </w:r>
      <w:r w:rsidR="007F70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 volební období</w:t>
      </w:r>
    </w:p>
    <w:p w14:paraId="00000005" w14:textId="3415C1C5" w:rsidR="004D391B" w:rsidRDefault="00611F1A">
      <w:pPr>
        <w:pBdr>
          <w:top w:val="nil"/>
          <w:left w:val="nil"/>
          <w:bottom w:val="nil"/>
          <w:right w:val="nil"/>
          <w:between w:val="nil"/>
        </w:pBdr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54</w:t>
      </w:r>
    </w:p>
    <w:p w14:paraId="00000006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USNESENÍ</w:t>
      </w:r>
    </w:p>
    <w:p w14:paraId="00000007" w14:textId="77777777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hospodářského výboru</w:t>
      </w:r>
    </w:p>
    <w:p w14:paraId="00000008" w14:textId="1011FD7C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z</w:t>
      </w:r>
      <w:r w:rsidR="00BC7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8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 schůze</w:t>
      </w:r>
    </w:p>
    <w:p w14:paraId="00000009" w14:textId="0BB6D1F5" w:rsidR="004D391B" w:rsidRDefault="007F704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ze dne </w:t>
      </w:r>
      <w:r w:rsidR="00BC7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. </w:t>
      </w:r>
      <w:r w:rsidR="00BC746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květ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202</w:t>
      </w:r>
      <w:r w:rsidR="003424D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</w:t>
      </w:r>
    </w:p>
    <w:p w14:paraId="509BD4B8" w14:textId="40B30637" w:rsidR="006C076E" w:rsidRPr="002920CA" w:rsidRDefault="006C076E" w:rsidP="00BC746C">
      <w:pPr>
        <w:pBdr>
          <w:top w:val="nil"/>
          <w:left w:val="nil"/>
          <w:bottom w:val="nil"/>
          <w:right w:val="nil"/>
          <w:between w:val="nil"/>
        </w:pBdr>
        <w:spacing w:before="60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20CA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3424D8" w:rsidRPr="002920CA">
        <w:rPr>
          <w:rFonts w:ascii="Times New Roman" w:eastAsia="Times New Roman" w:hAnsi="Times New Roman" w:cs="Times New Roman"/>
          <w:color w:val="000000"/>
          <w:sz w:val="24"/>
          <w:szCs w:val="24"/>
        </w:rPr>
        <w:t> přijetí stanoviska k dokumentům EU</w:t>
      </w:r>
    </w:p>
    <w:p w14:paraId="33E0451D" w14:textId="581C1349" w:rsidR="002920CA" w:rsidRPr="002920CA" w:rsidRDefault="002920CA" w:rsidP="002920CA">
      <w:pPr>
        <w:pStyle w:val="Odstavecseseznamem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160" w:line="240" w:lineRule="auto"/>
        <w:contextualSpacing w:val="0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920CA">
        <w:rPr>
          <w:rFonts w:ascii="Times New Roman" w:hAnsi="Times New Roman" w:cs="Times New Roman"/>
          <w:color w:val="000000"/>
          <w:sz w:val="24"/>
          <w:szCs w:val="24"/>
        </w:rPr>
        <w:t xml:space="preserve">Návrh nařízení Evropského parlamentu a Rady, kterým se mění nařízení Evropského parlamentu a Rady (EU) 2017/1938 o opatřeních na zajištění bezpečnosti dodávek zemního plynu a nařízení Evropského parlamentu a Rady (ES) č. 715/2009 </w:t>
      </w:r>
      <w:r w:rsidR="001F121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920CA">
        <w:rPr>
          <w:rFonts w:ascii="Times New Roman" w:hAnsi="Times New Roman" w:cs="Times New Roman"/>
          <w:color w:val="000000"/>
          <w:sz w:val="24"/>
          <w:szCs w:val="24"/>
        </w:rPr>
        <w:t xml:space="preserve">o podmínkách přístupu k plynárenským přepravním soustavám – </w:t>
      </w:r>
      <w:r w:rsidRPr="002920CA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2920CA">
        <w:rPr>
          <w:rFonts w:ascii="Times New Roman" w:hAnsi="Times New Roman" w:cs="Times New Roman"/>
          <w:b/>
          <w:sz w:val="24"/>
          <w:szCs w:val="24"/>
        </w:rPr>
        <w:t>406/22, COM (2022), </w:t>
      </w:r>
      <w:r w:rsidRPr="00292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135 </w:t>
      </w:r>
      <w:proofErr w:type="spellStart"/>
      <w:r w:rsidRPr="002920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final</w:t>
      </w:r>
      <w:proofErr w:type="spellEnd"/>
    </w:p>
    <w:p w14:paraId="3DC84B51" w14:textId="105F8CF7" w:rsidR="002920CA" w:rsidRPr="002920CA" w:rsidRDefault="002920CA" w:rsidP="00BC746C">
      <w:pPr>
        <w:pStyle w:val="slovanseznam"/>
        <w:numPr>
          <w:ilvl w:val="0"/>
          <w:numId w:val="3"/>
        </w:numPr>
        <w:spacing w:before="160"/>
        <w:ind w:left="714" w:hanging="357"/>
        <w:contextualSpacing w:val="0"/>
        <w:jc w:val="both"/>
        <w:rPr>
          <w:rFonts w:cs="Times New Roman"/>
          <w:szCs w:val="24"/>
        </w:rPr>
      </w:pPr>
      <w:r w:rsidRPr="002920CA">
        <w:rPr>
          <w:rFonts w:cs="Times New Roman"/>
          <w:color w:val="000000"/>
          <w:szCs w:val="24"/>
        </w:rPr>
        <w:t>Sdělení Komise Evropskému parlamentu, Evropské radě, Radě, Evropskému hospodářskému a sociálnímu výboru a Výboru regionů</w:t>
      </w:r>
      <w:r w:rsidR="001F1218">
        <w:rPr>
          <w:rFonts w:cs="Times New Roman"/>
          <w:color w:val="000000"/>
          <w:szCs w:val="24"/>
        </w:rPr>
        <w:t xml:space="preserve"> – </w:t>
      </w:r>
      <w:r w:rsidRPr="002920CA">
        <w:rPr>
          <w:rFonts w:cs="Times New Roman"/>
          <w:color w:val="000000"/>
          <w:szCs w:val="24"/>
        </w:rPr>
        <w:t xml:space="preserve">Bezpečnost dodávek </w:t>
      </w:r>
      <w:r w:rsidR="001F1218">
        <w:rPr>
          <w:rFonts w:cs="Times New Roman"/>
          <w:color w:val="000000"/>
          <w:szCs w:val="24"/>
        </w:rPr>
        <w:br/>
      </w:r>
      <w:r w:rsidRPr="002920CA">
        <w:rPr>
          <w:rFonts w:cs="Times New Roman"/>
          <w:color w:val="000000"/>
          <w:szCs w:val="24"/>
        </w:rPr>
        <w:t xml:space="preserve">a dostupné ceny energie: varianty okamžitých opatření a příprava na příští zimu </w:t>
      </w:r>
      <w:r w:rsidR="001F1218">
        <w:rPr>
          <w:rFonts w:cs="Times New Roman"/>
          <w:color w:val="000000"/>
          <w:szCs w:val="24"/>
        </w:rPr>
        <w:br/>
      </w:r>
      <w:r w:rsidRPr="002920CA">
        <w:rPr>
          <w:rFonts w:cs="Times New Roman"/>
          <w:color w:val="000000"/>
          <w:szCs w:val="24"/>
        </w:rPr>
        <w:t xml:space="preserve">– </w:t>
      </w:r>
      <w:r w:rsidRPr="002920CA">
        <w:rPr>
          <w:rFonts w:cs="Times New Roman"/>
          <w:b/>
          <w:szCs w:val="24"/>
        </w:rPr>
        <w:t>7478/22, COM (2022),</w:t>
      </w:r>
      <w:r w:rsidRPr="002920CA">
        <w:rPr>
          <w:rFonts w:cs="Times New Roman"/>
          <w:szCs w:val="24"/>
        </w:rPr>
        <w:t> </w:t>
      </w:r>
      <w:r w:rsidRPr="002920CA">
        <w:rPr>
          <w:rFonts w:cs="Times New Roman"/>
          <w:b/>
          <w:szCs w:val="24"/>
          <w:shd w:val="clear" w:color="auto" w:fill="FFFFFF"/>
        </w:rPr>
        <w:t xml:space="preserve">138 </w:t>
      </w:r>
      <w:proofErr w:type="spellStart"/>
      <w:r w:rsidRPr="002920CA">
        <w:rPr>
          <w:rFonts w:cs="Times New Roman"/>
          <w:b/>
          <w:szCs w:val="24"/>
          <w:shd w:val="clear" w:color="auto" w:fill="FFFFFF"/>
        </w:rPr>
        <w:t>final</w:t>
      </w:r>
      <w:proofErr w:type="spellEnd"/>
    </w:p>
    <w:p w14:paraId="0000000A" w14:textId="77777777" w:rsidR="004D391B" w:rsidRDefault="004D391B">
      <w:pPr>
        <w:pBdr>
          <w:top w:val="nil"/>
          <w:left w:val="nil"/>
          <w:bottom w:val="single" w:sz="4" w:space="12" w:color="000000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p w14:paraId="28D946B0" w14:textId="08742C1E" w:rsidR="003424D8" w:rsidRPr="00B52497" w:rsidRDefault="003424D8" w:rsidP="005D1327">
      <w:pPr>
        <w:pStyle w:val="Odstavecseseznamem"/>
        <w:spacing w:before="600" w:after="0" w:line="264" w:lineRule="auto"/>
        <w:ind w:left="425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497">
        <w:rPr>
          <w:rFonts w:ascii="Times New Roman" w:hAnsi="Times New Roman" w:cs="Times New Roman"/>
          <w:sz w:val="24"/>
          <w:szCs w:val="24"/>
        </w:rPr>
        <w:t xml:space="preserve">Hospodářský výbor Poslanecké sněmovny Parlamentu ČR po vyslechnutí úvodního slova náměstka ministra </w:t>
      </w:r>
      <w:r w:rsidR="00BC746C" w:rsidRPr="00B52497">
        <w:rPr>
          <w:rFonts w:ascii="Times New Roman" w:hAnsi="Times New Roman" w:cs="Times New Roman"/>
          <w:sz w:val="24"/>
          <w:szCs w:val="24"/>
        </w:rPr>
        <w:t>průmyslu a obchodu</w:t>
      </w:r>
      <w:r w:rsidR="00A737BB" w:rsidRPr="00B52497">
        <w:rPr>
          <w:rFonts w:ascii="Times New Roman" w:hAnsi="Times New Roman" w:cs="Times New Roman"/>
          <w:sz w:val="24"/>
          <w:szCs w:val="24"/>
        </w:rPr>
        <w:t xml:space="preserve"> </w:t>
      </w:r>
      <w:r w:rsidR="00B95686">
        <w:rPr>
          <w:rFonts w:ascii="Times New Roman" w:hAnsi="Times New Roman" w:cs="Times New Roman"/>
          <w:sz w:val="24"/>
          <w:szCs w:val="24"/>
        </w:rPr>
        <w:t>René Neděly</w:t>
      </w:r>
      <w:r w:rsidRPr="00B52497">
        <w:rPr>
          <w:rFonts w:ascii="Times New Roman" w:hAnsi="Times New Roman" w:cs="Times New Roman"/>
          <w:sz w:val="24"/>
          <w:szCs w:val="24"/>
        </w:rPr>
        <w:t xml:space="preserve">, zpravodajské zprávy poslance </w:t>
      </w:r>
      <w:r w:rsidR="00BC746C" w:rsidRPr="00B52497">
        <w:rPr>
          <w:rFonts w:ascii="Times New Roman" w:hAnsi="Times New Roman" w:cs="Times New Roman"/>
          <w:sz w:val="24"/>
          <w:szCs w:val="24"/>
        </w:rPr>
        <w:t xml:space="preserve">Roberta </w:t>
      </w:r>
      <w:proofErr w:type="spellStart"/>
      <w:r w:rsidR="00BC746C" w:rsidRPr="00B52497">
        <w:rPr>
          <w:rFonts w:ascii="Times New Roman" w:hAnsi="Times New Roman" w:cs="Times New Roman"/>
          <w:sz w:val="24"/>
          <w:szCs w:val="24"/>
        </w:rPr>
        <w:t>Telekyho</w:t>
      </w:r>
      <w:proofErr w:type="spellEnd"/>
      <w:r w:rsidRPr="00B52497">
        <w:rPr>
          <w:rFonts w:ascii="Times New Roman" w:hAnsi="Times New Roman" w:cs="Times New Roman"/>
          <w:sz w:val="24"/>
          <w:szCs w:val="24"/>
        </w:rPr>
        <w:t xml:space="preserve"> a po rozpravě</w:t>
      </w:r>
    </w:p>
    <w:p w14:paraId="4AE35EF3" w14:textId="0D10BED8" w:rsidR="007A1B73" w:rsidRPr="00B52497" w:rsidRDefault="00EA39AE" w:rsidP="00B95686">
      <w:pPr>
        <w:pStyle w:val="Odstavecseseznamem"/>
        <w:numPr>
          <w:ilvl w:val="0"/>
          <w:numId w:val="6"/>
        </w:numPr>
        <w:spacing w:before="480" w:after="0" w:line="264" w:lineRule="auto"/>
        <w:ind w:left="992" w:hanging="425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497">
        <w:rPr>
          <w:rFonts w:ascii="Times New Roman tučné" w:hAnsi="Times New Roman tučné" w:cs="Times New Roman"/>
          <w:b/>
          <w:spacing w:val="20"/>
          <w:sz w:val="24"/>
          <w:szCs w:val="24"/>
        </w:rPr>
        <w:t xml:space="preserve">doporučuje </w:t>
      </w:r>
      <w:r w:rsidRPr="00B52497">
        <w:rPr>
          <w:rFonts w:ascii="Times New Roman" w:hAnsi="Times New Roman" w:cs="Times New Roman"/>
          <w:sz w:val="24"/>
          <w:szCs w:val="24"/>
        </w:rPr>
        <w:t>výboru pro evropské záležitosti přijetí následujícího usnesení k dokumentům EU</w:t>
      </w:r>
      <w:r w:rsidR="007A1B73" w:rsidRPr="00B52497">
        <w:rPr>
          <w:rFonts w:ascii="Times New Roman" w:hAnsi="Times New Roman" w:cs="Times New Roman"/>
          <w:sz w:val="24"/>
          <w:szCs w:val="24"/>
        </w:rPr>
        <w:t>:</w:t>
      </w:r>
    </w:p>
    <w:p w14:paraId="5DCFA87F" w14:textId="6F25C563" w:rsidR="007A1B73" w:rsidRPr="00B52497" w:rsidRDefault="007A1B73" w:rsidP="00B95686">
      <w:pPr>
        <w:pStyle w:val="Odstavecseseznamem"/>
        <w:spacing w:before="240" w:after="240" w:line="240" w:lineRule="auto"/>
        <w:ind w:left="992"/>
        <w:contextualSpacing w:val="0"/>
        <w:jc w:val="center"/>
        <w:rPr>
          <w:rFonts w:ascii="Times New Roman" w:hAnsi="Times New Roman" w:cs="Times New Roman"/>
          <w:i/>
          <w:spacing w:val="20"/>
          <w:sz w:val="24"/>
          <w:szCs w:val="24"/>
        </w:rPr>
      </w:pPr>
      <w:r w:rsidRPr="00B52497">
        <w:rPr>
          <w:rFonts w:ascii="Times New Roman" w:hAnsi="Times New Roman" w:cs="Times New Roman"/>
          <w:i/>
          <w:spacing w:val="20"/>
          <w:sz w:val="24"/>
          <w:szCs w:val="24"/>
        </w:rPr>
        <w:t>„Výbor pro evropské záležitosti Poslanecké sněmovny Parlamentu ČR</w:t>
      </w:r>
    </w:p>
    <w:p w14:paraId="37EA2FEC" w14:textId="5E62E82A" w:rsidR="00B52497" w:rsidRPr="00D47A07" w:rsidRDefault="00B52497" w:rsidP="00D47A07">
      <w:pPr>
        <w:pStyle w:val="PStextHV"/>
        <w:tabs>
          <w:tab w:val="left" w:pos="1418"/>
        </w:tabs>
        <w:spacing w:before="240" w:after="240" w:line="264" w:lineRule="auto"/>
        <w:ind w:left="992" w:firstLine="0"/>
        <w:rPr>
          <w:i/>
          <w:spacing w:val="0"/>
          <w:shd w:val="clear" w:color="auto" w:fill="FFFFFF"/>
        </w:rPr>
      </w:pPr>
      <w:r w:rsidRPr="00D47A07">
        <w:rPr>
          <w:b/>
          <w:i/>
          <w:spacing w:val="0"/>
        </w:rPr>
        <w:t>1)</w:t>
      </w:r>
      <w:r w:rsidR="00D47A07" w:rsidRPr="00D47A07">
        <w:rPr>
          <w:b/>
          <w:i/>
          <w:spacing w:val="0"/>
        </w:rPr>
        <w:t xml:space="preserve"> </w:t>
      </w:r>
      <w:r w:rsidRPr="00D47A07">
        <w:rPr>
          <w:rFonts w:ascii="Times New Roman tučné" w:hAnsi="Times New Roman tučné"/>
          <w:b/>
          <w:i/>
          <w:spacing w:val="30"/>
        </w:rPr>
        <w:t>bere na</w:t>
      </w:r>
      <w:r w:rsidR="00B95686" w:rsidRPr="00D47A07">
        <w:rPr>
          <w:rFonts w:ascii="Times New Roman tučné" w:hAnsi="Times New Roman tučné"/>
          <w:b/>
          <w:i/>
          <w:spacing w:val="30"/>
        </w:rPr>
        <w:t xml:space="preserve"> </w:t>
      </w:r>
      <w:r w:rsidRPr="00D47A07">
        <w:rPr>
          <w:rFonts w:ascii="Times New Roman tučné" w:hAnsi="Times New Roman tučné"/>
          <w:b/>
          <w:i/>
          <w:spacing w:val="30"/>
        </w:rPr>
        <w:t>vědomí</w:t>
      </w:r>
      <w:r w:rsidRPr="00D47A07">
        <w:rPr>
          <w:b/>
          <w:i/>
          <w:spacing w:val="0"/>
        </w:rPr>
        <w:t xml:space="preserve"> </w:t>
      </w:r>
      <w:r w:rsidRPr="00D47A07">
        <w:rPr>
          <w:i/>
          <w:spacing w:val="0"/>
          <w:shd w:val="clear" w:color="auto" w:fill="FFFFFF"/>
        </w:rPr>
        <w:t xml:space="preserve">Návrh nařízení Evropského parlamentu a Rady, kterým se mění nařízení Evropského parlamentu a Rady (EU) 2017/1938 o opatřeních na zajištění bezpečnosti dodávek zemního plynu a nařízení Evropského parlamentu </w:t>
      </w:r>
      <w:r w:rsidR="00D47A07">
        <w:rPr>
          <w:i/>
          <w:spacing w:val="0"/>
          <w:shd w:val="clear" w:color="auto" w:fill="FFFFFF"/>
        </w:rPr>
        <w:br/>
      </w:r>
      <w:r w:rsidRPr="00D47A07">
        <w:rPr>
          <w:i/>
          <w:spacing w:val="0"/>
          <w:shd w:val="clear" w:color="auto" w:fill="FFFFFF"/>
        </w:rPr>
        <w:t>a Rady</w:t>
      </w:r>
      <w:r w:rsidR="00D47A07">
        <w:rPr>
          <w:i/>
          <w:spacing w:val="0"/>
          <w:shd w:val="clear" w:color="auto" w:fill="FFFFFF"/>
        </w:rPr>
        <w:t xml:space="preserve"> </w:t>
      </w:r>
      <w:r w:rsidRPr="00D47A07">
        <w:rPr>
          <w:i/>
          <w:spacing w:val="0"/>
          <w:shd w:val="clear" w:color="auto" w:fill="FFFFFF"/>
        </w:rPr>
        <w:t>(ES) č.</w:t>
      </w:r>
      <w:r w:rsidR="00D47A07" w:rsidRPr="00D47A07">
        <w:rPr>
          <w:i/>
          <w:spacing w:val="0"/>
          <w:shd w:val="clear" w:color="auto" w:fill="FFFFFF"/>
        </w:rPr>
        <w:t xml:space="preserve"> </w:t>
      </w:r>
      <w:r w:rsidRPr="00D47A07">
        <w:rPr>
          <w:i/>
          <w:spacing w:val="0"/>
          <w:shd w:val="clear" w:color="auto" w:fill="FFFFFF"/>
        </w:rPr>
        <w:t xml:space="preserve">715/2009 o podmínkách přístupu k plynárenským přepravním soustavám, </w:t>
      </w:r>
      <w:r w:rsidR="00D47A07" w:rsidRPr="00D47A07">
        <w:rPr>
          <w:b/>
          <w:i/>
          <w:spacing w:val="0"/>
          <w:shd w:val="clear" w:color="auto" w:fill="FFFFFF"/>
        </w:rPr>
        <w:t>7406/22,</w:t>
      </w:r>
      <w:r w:rsidR="00D47A07" w:rsidRPr="00D47A07">
        <w:rPr>
          <w:i/>
          <w:spacing w:val="0"/>
          <w:shd w:val="clear" w:color="auto" w:fill="FFFFFF"/>
        </w:rPr>
        <w:t xml:space="preserve"> </w:t>
      </w:r>
      <w:r w:rsidRPr="00D47A07">
        <w:rPr>
          <w:b/>
          <w:i/>
          <w:spacing w:val="0"/>
          <w:shd w:val="clear" w:color="auto" w:fill="FFFFFF"/>
        </w:rPr>
        <w:t xml:space="preserve">COM (2022) 135 </w:t>
      </w:r>
      <w:proofErr w:type="spellStart"/>
      <w:r w:rsidRPr="00D47A07">
        <w:rPr>
          <w:b/>
          <w:i/>
          <w:spacing w:val="0"/>
          <w:shd w:val="clear" w:color="auto" w:fill="FFFFFF"/>
        </w:rPr>
        <w:t>final</w:t>
      </w:r>
      <w:proofErr w:type="spellEnd"/>
      <w:r w:rsidR="00B95686" w:rsidRPr="00D47A07">
        <w:rPr>
          <w:i/>
          <w:spacing w:val="0"/>
          <w:shd w:val="clear" w:color="auto" w:fill="FFFFFF"/>
        </w:rPr>
        <w:t xml:space="preserve"> </w:t>
      </w:r>
      <w:r w:rsidRPr="00D47A07">
        <w:rPr>
          <w:i/>
          <w:spacing w:val="0"/>
          <w:shd w:val="clear" w:color="auto" w:fill="FFFFFF"/>
        </w:rPr>
        <w:t xml:space="preserve">a Sdělení Komise Evropskému parlamentu, Evropské radě, Radě, Evropskému hospodářskému a sociálnímu výboru a Výboru regionů - Bezpečnost dodávek a dostupné ceny energie: varianty okamžitých opatření a příprava na příští zimu, </w:t>
      </w:r>
      <w:r w:rsidR="00D47A07" w:rsidRPr="00D47A07">
        <w:rPr>
          <w:b/>
          <w:i/>
          <w:spacing w:val="0"/>
          <w:shd w:val="clear" w:color="auto" w:fill="FFFFFF"/>
        </w:rPr>
        <w:t xml:space="preserve">7478/22, </w:t>
      </w:r>
      <w:r w:rsidRPr="00D47A07">
        <w:rPr>
          <w:b/>
          <w:i/>
          <w:spacing w:val="0"/>
          <w:shd w:val="clear" w:color="auto" w:fill="FFFFFF"/>
        </w:rPr>
        <w:t xml:space="preserve">COM (2022) 138 </w:t>
      </w:r>
      <w:proofErr w:type="spellStart"/>
      <w:r w:rsidRPr="00D47A07">
        <w:rPr>
          <w:b/>
          <w:i/>
          <w:spacing w:val="0"/>
          <w:shd w:val="clear" w:color="auto" w:fill="FFFFFF"/>
        </w:rPr>
        <w:t>final</w:t>
      </w:r>
      <w:proofErr w:type="spellEnd"/>
      <w:r w:rsidRPr="00D47A07">
        <w:rPr>
          <w:i/>
          <w:spacing w:val="0"/>
          <w:shd w:val="clear" w:color="auto" w:fill="FFFFFF"/>
        </w:rPr>
        <w:t>;</w:t>
      </w:r>
    </w:p>
    <w:p w14:paraId="2E3D35D2" w14:textId="6E91DA3D" w:rsidR="00B52497" w:rsidRPr="00D47A07" w:rsidRDefault="00B52497" w:rsidP="00984568">
      <w:pPr>
        <w:pStyle w:val="PStextHV"/>
        <w:tabs>
          <w:tab w:val="left" w:pos="1418"/>
        </w:tabs>
        <w:spacing w:before="240" w:after="240" w:line="264" w:lineRule="auto"/>
        <w:ind w:left="993" w:firstLine="0"/>
        <w:rPr>
          <w:i/>
          <w:spacing w:val="0"/>
        </w:rPr>
      </w:pPr>
      <w:r w:rsidRPr="00D47A07">
        <w:rPr>
          <w:i/>
          <w:spacing w:val="0"/>
          <w:sz w:val="16"/>
          <w:szCs w:val="16"/>
        </w:rPr>
        <w:lastRenderedPageBreak/>
        <w:br/>
      </w:r>
      <w:r w:rsidRPr="00D47A07">
        <w:rPr>
          <w:b/>
          <w:i/>
          <w:spacing w:val="0"/>
        </w:rPr>
        <w:t>2</w:t>
      </w:r>
      <w:r w:rsidRPr="00D47A07">
        <w:rPr>
          <w:i/>
          <w:spacing w:val="0"/>
        </w:rPr>
        <w:t xml:space="preserve">) </w:t>
      </w:r>
      <w:r w:rsidRPr="00984568">
        <w:rPr>
          <w:rFonts w:ascii="Times New Roman tučné" w:hAnsi="Times New Roman tučné"/>
          <w:b/>
          <w:i/>
          <w:spacing w:val="30"/>
        </w:rPr>
        <w:t>podporuje</w:t>
      </w:r>
      <w:r w:rsidRPr="00D47A07">
        <w:rPr>
          <w:b/>
          <w:i/>
          <w:spacing w:val="0"/>
        </w:rPr>
        <w:t xml:space="preserve"> </w:t>
      </w:r>
      <w:r w:rsidRPr="00984568">
        <w:rPr>
          <w:i/>
          <w:spacing w:val="0"/>
        </w:rPr>
        <w:t>rámcové</w:t>
      </w:r>
      <w:r w:rsidRPr="00D47A07">
        <w:rPr>
          <w:i/>
          <w:spacing w:val="0"/>
        </w:rPr>
        <w:t xml:space="preserve"> pozice vlády ČR k těmto dokumentům, zejména v jejich důrazu na dodržování a respektování principu subsidiarity všech navržených opatření;</w:t>
      </w:r>
    </w:p>
    <w:p w14:paraId="7D467EE5" w14:textId="1806D4D2" w:rsidR="00B52497" w:rsidRPr="00D47A07" w:rsidRDefault="00B52497" w:rsidP="00984568">
      <w:pPr>
        <w:pStyle w:val="PStextHV"/>
        <w:tabs>
          <w:tab w:val="left" w:pos="1418"/>
        </w:tabs>
        <w:spacing w:before="240" w:after="240" w:line="264" w:lineRule="auto"/>
        <w:ind w:left="993" w:firstLine="0"/>
        <w:rPr>
          <w:i/>
          <w:spacing w:val="0"/>
        </w:rPr>
      </w:pPr>
      <w:r w:rsidRPr="00D47A07">
        <w:rPr>
          <w:b/>
          <w:i/>
          <w:spacing w:val="0"/>
        </w:rPr>
        <w:t>3)</w:t>
      </w:r>
      <w:r w:rsidRPr="00D47A07">
        <w:rPr>
          <w:i/>
          <w:spacing w:val="0"/>
        </w:rPr>
        <w:t xml:space="preserve"> </w:t>
      </w:r>
      <w:r w:rsidRPr="00984568">
        <w:rPr>
          <w:rFonts w:ascii="Times New Roman tučné" w:hAnsi="Times New Roman tučné"/>
          <w:b/>
          <w:i/>
          <w:spacing w:val="30"/>
        </w:rPr>
        <w:t>vyzývá</w:t>
      </w:r>
      <w:r w:rsidRPr="00D47A07">
        <w:rPr>
          <w:b/>
          <w:i/>
          <w:spacing w:val="0"/>
        </w:rPr>
        <w:t xml:space="preserve"> </w:t>
      </w:r>
      <w:r w:rsidRPr="00D47A07">
        <w:rPr>
          <w:i/>
          <w:spacing w:val="0"/>
        </w:rPr>
        <w:t>k</w:t>
      </w:r>
      <w:r w:rsidRPr="00D47A07">
        <w:rPr>
          <w:i/>
          <w:color w:val="auto"/>
          <w:spacing w:val="0"/>
        </w:rPr>
        <w:t xml:space="preserve"> okamžitému zahájení vtláčení plynu do zásobníků, aby se zajistila optimalizace využívání jejich kapacit;</w:t>
      </w:r>
    </w:p>
    <w:p w14:paraId="147F0D95" w14:textId="4DE2E155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spacing w:val="0"/>
        </w:rPr>
      </w:pPr>
      <w:r w:rsidRPr="00D47A07">
        <w:rPr>
          <w:b/>
          <w:i/>
          <w:spacing w:val="0"/>
        </w:rPr>
        <w:t xml:space="preserve">4) </w:t>
      </w:r>
      <w:r w:rsidRPr="00984568">
        <w:rPr>
          <w:rFonts w:ascii="Times New Roman tučné" w:hAnsi="Times New Roman tučné"/>
          <w:b/>
          <w:i/>
          <w:spacing w:val="30"/>
        </w:rPr>
        <w:t>konstatuje</w:t>
      </w:r>
      <w:r w:rsidRPr="00D47A07">
        <w:rPr>
          <w:i/>
          <w:spacing w:val="0"/>
        </w:rPr>
        <w:t xml:space="preserve">, že povinná minimální úroveň využití uskladňovací kapacity </w:t>
      </w:r>
      <w:r w:rsidR="00984568">
        <w:rPr>
          <w:i/>
          <w:spacing w:val="0"/>
        </w:rPr>
        <w:br/>
      </w:r>
      <w:r w:rsidRPr="00D47A07">
        <w:rPr>
          <w:i/>
          <w:spacing w:val="0"/>
        </w:rPr>
        <w:t>v zásobnících plynu na území členských států Unie posílí bezpečnost dodávek plynu;</w:t>
      </w:r>
    </w:p>
    <w:p w14:paraId="6938C04E" w14:textId="13EB566B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color w:val="auto"/>
          <w:spacing w:val="0"/>
        </w:rPr>
      </w:pPr>
      <w:r w:rsidRPr="00D47A07">
        <w:rPr>
          <w:b/>
          <w:i/>
          <w:color w:val="auto"/>
          <w:spacing w:val="0"/>
        </w:rPr>
        <w:t>5)</w:t>
      </w:r>
      <w:r w:rsidRPr="00D47A07">
        <w:rPr>
          <w:i/>
          <w:color w:val="auto"/>
          <w:spacing w:val="0"/>
        </w:rPr>
        <w:t xml:space="preserve"> </w:t>
      </w:r>
      <w:r w:rsidRPr="00984568">
        <w:rPr>
          <w:rFonts w:ascii="Times New Roman tučné" w:hAnsi="Times New Roman tučné"/>
          <w:b/>
          <w:i/>
          <w:color w:val="auto"/>
          <w:spacing w:val="20"/>
        </w:rPr>
        <w:t>domnívá se</w:t>
      </w:r>
      <w:r w:rsidRPr="00D47A07">
        <w:rPr>
          <w:i/>
          <w:color w:val="auto"/>
          <w:spacing w:val="0"/>
        </w:rPr>
        <w:t>, že cíle plnění zásobníků by měly být stanoveny na úrovni EU</w:t>
      </w:r>
      <w:r w:rsidRPr="00D47A07">
        <w:rPr>
          <w:i/>
          <w:spacing w:val="0"/>
        </w:rPr>
        <w:t>;</w:t>
      </w:r>
      <w:r w:rsidRPr="00D47A07">
        <w:rPr>
          <w:i/>
          <w:color w:val="auto"/>
          <w:spacing w:val="0"/>
        </w:rPr>
        <w:tab/>
      </w:r>
    </w:p>
    <w:p w14:paraId="41364C7F" w14:textId="56B532CD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color w:val="auto"/>
          <w:spacing w:val="0"/>
        </w:rPr>
      </w:pPr>
      <w:r w:rsidRPr="00D47A07">
        <w:rPr>
          <w:b/>
          <w:i/>
          <w:color w:val="auto"/>
          <w:spacing w:val="0"/>
        </w:rPr>
        <w:t xml:space="preserve">6)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upozorňuje</w:t>
      </w:r>
      <w:r w:rsidRPr="00D47A07">
        <w:rPr>
          <w:i/>
          <w:color w:val="auto"/>
          <w:spacing w:val="0"/>
        </w:rPr>
        <w:t>, že průběžný cíl naplnění kapacit zásobníků plynu pro srpen 2022 je nerealizovatelný</w:t>
      </w:r>
      <w:r w:rsidRPr="00D47A07">
        <w:rPr>
          <w:i/>
          <w:spacing w:val="0"/>
        </w:rPr>
        <w:t>;</w:t>
      </w:r>
    </w:p>
    <w:p w14:paraId="5B218E02" w14:textId="4ED76867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spacing w:val="0"/>
        </w:rPr>
      </w:pPr>
      <w:r w:rsidRPr="00D47A07">
        <w:rPr>
          <w:b/>
          <w:i/>
          <w:color w:val="auto"/>
          <w:spacing w:val="0"/>
        </w:rPr>
        <w:t>7)</w:t>
      </w:r>
      <w:r w:rsidR="00B95686" w:rsidRPr="00D47A07">
        <w:rPr>
          <w:b/>
          <w:i/>
          <w:color w:val="auto"/>
          <w:spacing w:val="0"/>
        </w:rPr>
        <w:t xml:space="preserve">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varuje</w:t>
      </w:r>
      <w:r w:rsidRPr="00D47A07">
        <w:rPr>
          <w:i/>
          <w:color w:val="auto"/>
          <w:spacing w:val="0"/>
        </w:rPr>
        <w:t xml:space="preserve"> před příliš širokým zmocněním Komise k vydávání delegovaných aktů </w:t>
      </w:r>
      <w:r w:rsidR="00EF4752">
        <w:rPr>
          <w:i/>
          <w:color w:val="auto"/>
          <w:spacing w:val="0"/>
        </w:rPr>
        <w:br/>
      </w:r>
      <w:r w:rsidRPr="00D47A07">
        <w:rPr>
          <w:i/>
          <w:color w:val="auto"/>
          <w:spacing w:val="0"/>
        </w:rPr>
        <w:t>k jednotlivým cílům naplněnosti a k trajektorii naplněnosti po roce 2023</w:t>
      </w:r>
      <w:r w:rsidRPr="00D47A07">
        <w:rPr>
          <w:i/>
          <w:spacing w:val="0"/>
        </w:rPr>
        <w:t>;</w:t>
      </w:r>
    </w:p>
    <w:p w14:paraId="3151D5D1" w14:textId="07D78241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spacing w:val="0"/>
        </w:rPr>
      </w:pPr>
      <w:r w:rsidRPr="00D47A07">
        <w:rPr>
          <w:b/>
          <w:i/>
          <w:color w:val="auto"/>
          <w:spacing w:val="0"/>
        </w:rPr>
        <w:t xml:space="preserve">8)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podporuje</w:t>
      </w:r>
      <w:r w:rsidRPr="00D47A07">
        <w:rPr>
          <w:b/>
          <w:i/>
          <w:color w:val="auto"/>
          <w:spacing w:val="0"/>
        </w:rPr>
        <w:t xml:space="preserve"> </w:t>
      </w:r>
      <w:r w:rsidRPr="00D47A07">
        <w:rPr>
          <w:i/>
          <w:color w:val="auto"/>
          <w:spacing w:val="0"/>
        </w:rPr>
        <w:t>záměr Komise zlepšit odolnost energetického systému celé EU</w:t>
      </w:r>
      <w:r w:rsidRPr="00D47A07">
        <w:rPr>
          <w:i/>
          <w:spacing w:val="0"/>
        </w:rPr>
        <w:t>;</w:t>
      </w:r>
    </w:p>
    <w:p w14:paraId="2B848CC4" w14:textId="43EA75CA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i/>
          <w:color w:val="auto"/>
          <w:spacing w:val="0"/>
        </w:rPr>
      </w:pPr>
      <w:r w:rsidRPr="00D47A07">
        <w:rPr>
          <w:b/>
          <w:i/>
          <w:color w:val="auto"/>
          <w:spacing w:val="0"/>
        </w:rPr>
        <w:t xml:space="preserve">9)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zdůrazňuje</w:t>
      </w:r>
      <w:r w:rsidRPr="00D47A07">
        <w:rPr>
          <w:i/>
          <w:color w:val="auto"/>
          <w:spacing w:val="0"/>
        </w:rPr>
        <w:t xml:space="preserve"> důležitost investic do zvyšování energetické účinnosti pro zajištění energetické bezpečnosti a stability</w:t>
      </w:r>
      <w:r w:rsidRPr="00D47A07">
        <w:rPr>
          <w:i/>
          <w:spacing w:val="0"/>
        </w:rPr>
        <w:t>;</w:t>
      </w:r>
    </w:p>
    <w:p w14:paraId="17190CE1" w14:textId="776D0F34" w:rsidR="00B52497" w:rsidRPr="00D47A07" w:rsidRDefault="00B52497" w:rsidP="00984568">
      <w:pPr>
        <w:pStyle w:val="PStextHV"/>
        <w:spacing w:before="240" w:after="240" w:line="264" w:lineRule="auto"/>
        <w:ind w:left="993" w:firstLine="0"/>
        <w:rPr>
          <w:b/>
          <w:i/>
          <w:color w:val="auto"/>
          <w:spacing w:val="0"/>
        </w:rPr>
      </w:pPr>
      <w:r w:rsidRPr="00D47A07">
        <w:rPr>
          <w:b/>
          <w:i/>
          <w:color w:val="auto"/>
          <w:spacing w:val="0"/>
        </w:rPr>
        <w:t xml:space="preserve">10)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považuje</w:t>
      </w:r>
      <w:r w:rsidRPr="00D47A07">
        <w:rPr>
          <w:i/>
          <w:color w:val="auto"/>
          <w:spacing w:val="0"/>
        </w:rPr>
        <w:t xml:space="preserve"> za zásadní hledat řešení vysokých cen energií a dopadů na obyvatele</w:t>
      </w:r>
      <w:r w:rsidRPr="00D47A07">
        <w:rPr>
          <w:i/>
          <w:spacing w:val="0"/>
        </w:rPr>
        <w:t>;</w:t>
      </w:r>
    </w:p>
    <w:p w14:paraId="370FC6C4" w14:textId="023EC6B4" w:rsidR="00B52497" w:rsidRDefault="00B52497" w:rsidP="00984568">
      <w:pPr>
        <w:pStyle w:val="PStextHV"/>
        <w:spacing w:before="240" w:after="240" w:line="264" w:lineRule="auto"/>
        <w:ind w:left="993" w:firstLine="0"/>
        <w:rPr>
          <w:i/>
        </w:rPr>
      </w:pPr>
      <w:r w:rsidRPr="00D47A07">
        <w:rPr>
          <w:b/>
          <w:i/>
          <w:color w:val="auto"/>
          <w:spacing w:val="0"/>
        </w:rPr>
        <w:t xml:space="preserve">11) </w:t>
      </w:r>
      <w:r w:rsidRPr="00984568">
        <w:rPr>
          <w:rFonts w:ascii="Times New Roman tučné" w:hAnsi="Times New Roman tučné"/>
          <w:b/>
          <w:i/>
          <w:color w:val="auto"/>
          <w:spacing w:val="30"/>
        </w:rPr>
        <w:t>upřednostňuje</w:t>
      </w:r>
      <w:r w:rsidRPr="00D47A07">
        <w:rPr>
          <w:b/>
          <w:i/>
          <w:color w:val="auto"/>
          <w:spacing w:val="0"/>
        </w:rPr>
        <w:t xml:space="preserve"> </w:t>
      </w:r>
      <w:r w:rsidRPr="00D47A07">
        <w:rPr>
          <w:i/>
          <w:color w:val="auto"/>
          <w:spacing w:val="0"/>
        </w:rPr>
        <w:t>intervenci na maloobchodní úrovni prostřednictvím daňových úlev či poukázek nad regulací velkoobchodních cen elektřin</w:t>
      </w:r>
      <w:r w:rsidRPr="00EF4752">
        <w:rPr>
          <w:i/>
          <w:color w:val="auto"/>
          <w:spacing w:val="0"/>
        </w:rPr>
        <w:t>y</w:t>
      </w:r>
      <w:r w:rsidR="00EF4752">
        <w:rPr>
          <w:i/>
          <w:color w:val="auto"/>
        </w:rPr>
        <w:t>;</w:t>
      </w:r>
    </w:p>
    <w:p w14:paraId="1F26C01C" w14:textId="4F5AA97A" w:rsidR="00EA39AE" w:rsidRPr="00EA39AE" w:rsidRDefault="00870ED8" w:rsidP="00984568">
      <w:pPr>
        <w:pStyle w:val="Odstavecseseznamem"/>
        <w:numPr>
          <w:ilvl w:val="0"/>
          <w:numId w:val="6"/>
        </w:numPr>
        <w:spacing w:before="480" w:after="0" w:line="264" w:lineRule="auto"/>
        <w:ind w:left="993" w:hanging="426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ED8">
        <w:rPr>
          <w:rFonts w:ascii="Times New Roman tučné" w:hAnsi="Times New Roman tučné" w:cs="Times New Roman"/>
          <w:b/>
          <w:spacing w:val="20"/>
          <w:sz w:val="24"/>
          <w:szCs w:val="24"/>
        </w:rPr>
        <w:t>pověřuje</w:t>
      </w:r>
      <w:r w:rsidR="00EA39AE">
        <w:rPr>
          <w:rFonts w:ascii="Times New Roman" w:hAnsi="Times New Roman" w:cs="Times New Roman"/>
          <w:sz w:val="24"/>
          <w:szCs w:val="24"/>
        </w:rPr>
        <w:t xml:space="preserve"> předsedu hospodářského výboru, aby s tímto usnesením seznámil předsedu výboru pro evropské záležitosti Poslanecké sněmovny parlamentu ČR.</w:t>
      </w:r>
    </w:p>
    <w:p w14:paraId="762B6FD4" w14:textId="303FAAE6" w:rsidR="00BF68B0" w:rsidRPr="00BF68B0" w:rsidRDefault="00BF68B0" w:rsidP="00BF68B0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</w:rPr>
      </w:pPr>
      <w:r w:rsidRPr="00BF6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BF68B0">
        <w:rPr>
          <w:rFonts w:ascii="Times New Roman" w:hAnsi="Times New Roman"/>
          <w:sz w:val="24"/>
          <w:szCs w:val="24"/>
        </w:rPr>
        <w:t>Vojtěch MUNZAR v. r.</w:t>
      </w:r>
      <w:bookmarkStart w:id="0" w:name="_GoBack"/>
      <w:bookmarkEnd w:id="0"/>
      <w:r w:rsidRPr="00BF68B0">
        <w:rPr>
          <w:rFonts w:ascii="Times New Roman" w:hAnsi="Times New Roman"/>
          <w:sz w:val="24"/>
          <w:szCs w:val="24"/>
        </w:rPr>
        <w:tab/>
      </w:r>
      <w:r w:rsidR="00062E52">
        <w:rPr>
          <w:rFonts w:ascii="Times New Roman" w:hAnsi="Times New Roman"/>
          <w:sz w:val="24"/>
          <w:szCs w:val="24"/>
        </w:rPr>
        <w:t xml:space="preserve"> </w:t>
      </w:r>
      <w:r w:rsidRPr="00BF68B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Robert</w:t>
      </w:r>
      <w:r w:rsidRPr="00BF68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TELEKY</w:t>
      </w:r>
      <w:r w:rsidRPr="00BF68B0">
        <w:rPr>
          <w:rFonts w:ascii="Times New Roman" w:hAnsi="Times New Roman"/>
          <w:sz w:val="24"/>
          <w:szCs w:val="24"/>
        </w:rPr>
        <w:t xml:space="preserve"> v. r.</w:t>
      </w:r>
    </w:p>
    <w:p w14:paraId="7B6DFCA4" w14:textId="63693D6F" w:rsidR="00BF68B0" w:rsidRPr="00BF68B0" w:rsidRDefault="00BF68B0" w:rsidP="00BF68B0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68B0">
        <w:rPr>
          <w:rFonts w:ascii="Times New Roman" w:hAnsi="Times New Roman"/>
          <w:sz w:val="24"/>
          <w:szCs w:val="24"/>
        </w:rPr>
        <w:t>ověřovatel výboru</w:t>
      </w:r>
      <w:r w:rsidRPr="00BF68B0">
        <w:rPr>
          <w:rFonts w:ascii="Times New Roman" w:hAnsi="Times New Roman"/>
          <w:sz w:val="24"/>
          <w:szCs w:val="24"/>
        </w:rPr>
        <w:tab/>
      </w:r>
      <w:r w:rsidRPr="00BF68B0">
        <w:rPr>
          <w:rFonts w:ascii="Times New Roman" w:hAnsi="Times New Roman"/>
          <w:sz w:val="24"/>
          <w:szCs w:val="24"/>
        </w:rPr>
        <w:tab/>
        <w:t>zpravodaj výboru</w:t>
      </w:r>
    </w:p>
    <w:p w14:paraId="45821DAF" w14:textId="266293DF" w:rsidR="00BF68B0" w:rsidRPr="00BF68B0" w:rsidRDefault="00BF68B0" w:rsidP="00BF68B0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ind w:left="1506"/>
        <w:rPr>
          <w:rFonts w:ascii="Times New Roman" w:hAnsi="Times New Roman"/>
          <w:sz w:val="24"/>
          <w:szCs w:val="24"/>
        </w:rPr>
      </w:pPr>
      <w:r w:rsidRPr="00BF68B0">
        <w:rPr>
          <w:rFonts w:ascii="Times New Roman" w:hAnsi="Times New Roman"/>
          <w:sz w:val="24"/>
          <w:szCs w:val="24"/>
        </w:rPr>
        <w:tab/>
        <w:t xml:space="preserve">Ivan ADAMEC v. r. </w:t>
      </w:r>
    </w:p>
    <w:p w14:paraId="0CAD9794" w14:textId="07869F87" w:rsidR="002E24DD" w:rsidRPr="00B52497" w:rsidRDefault="00B52497" w:rsidP="00B52497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1506"/>
      </w:pPr>
      <w:r>
        <w:rPr>
          <w:rFonts w:ascii="Times New Roman" w:hAnsi="Times New Roman"/>
          <w:sz w:val="24"/>
          <w:szCs w:val="24"/>
        </w:rPr>
        <w:tab/>
        <w:t>předseda výboru</w:t>
      </w:r>
    </w:p>
    <w:sectPr w:rsidR="002E24DD" w:rsidRPr="00B52497">
      <w:footerReference w:type="default" r:id="rId7"/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3315C" w14:textId="77777777" w:rsidR="009819FD" w:rsidRDefault="007F7041">
      <w:pPr>
        <w:spacing w:after="0" w:line="240" w:lineRule="auto"/>
      </w:pPr>
      <w:r>
        <w:separator/>
      </w:r>
    </w:p>
  </w:endnote>
  <w:endnote w:type="continuationSeparator" w:id="0">
    <w:p w14:paraId="0C2A6933" w14:textId="77777777" w:rsidR="009819FD" w:rsidRDefault="007F7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3" w14:textId="77777777" w:rsidR="004D391B" w:rsidRDefault="004D391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1FB26" w14:textId="77777777" w:rsidR="009819FD" w:rsidRDefault="007F7041">
      <w:pPr>
        <w:spacing w:after="0" w:line="240" w:lineRule="auto"/>
      </w:pPr>
      <w:r>
        <w:separator/>
      </w:r>
    </w:p>
  </w:footnote>
  <w:footnote w:type="continuationSeparator" w:id="0">
    <w:p w14:paraId="1276DB14" w14:textId="77777777" w:rsidR="009819FD" w:rsidRDefault="007F7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0E4F40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3"/>
        <w:position w:val="0"/>
        <w:sz w:val="24"/>
        <w:szCs w:val="0"/>
        <w:u w:val="none" w:color="000000"/>
        <w:effect w:val="none"/>
        <w:bdr w:val="none" w:sz="0" w:space="0" w:color="auto"/>
        <w:shd w:val="clear" w:color="auto" w:fill="auto"/>
        <w:vertAlign w:val="baseline"/>
        <w:em w:val="none"/>
        <w:lang w:val="cs-CZ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6452EC7"/>
    <w:multiLevelType w:val="hybridMultilevel"/>
    <w:tmpl w:val="E97A92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62747"/>
    <w:multiLevelType w:val="hybridMultilevel"/>
    <w:tmpl w:val="DC2E6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81866"/>
    <w:multiLevelType w:val="multilevel"/>
    <w:tmpl w:val="2F80C1FE"/>
    <w:lvl w:ilvl="0">
      <w:start w:val="1"/>
      <w:numFmt w:val="upperRoman"/>
      <w:lvlText w:val="%1."/>
      <w:lvlJc w:val="right"/>
      <w:pPr>
        <w:ind w:left="106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F852F7"/>
    <w:multiLevelType w:val="hybridMultilevel"/>
    <w:tmpl w:val="0C162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E478F"/>
    <w:multiLevelType w:val="hybridMultilevel"/>
    <w:tmpl w:val="30C07E2A"/>
    <w:lvl w:ilvl="0" w:tplc="04050011">
      <w:start w:val="1"/>
      <w:numFmt w:val="decimal"/>
      <w:lvlText w:val="%1)"/>
      <w:lvlJc w:val="left"/>
      <w:pPr>
        <w:ind w:left="23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0798C"/>
    <w:multiLevelType w:val="multilevel"/>
    <w:tmpl w:val="8F9E1C80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593F65"/>
    <w:multiLevelType w:val="hybridMultilevel"/>
    <w:tmpl w:val="790EB014"/>
    <w:lvl w:ilvl="0" w:tplc="04050013">
      <w:start w:val="1"/>
      <w:numFmt w:val="upperRoman"/>
      <w:lvlText w:val="%1."/>
      <w:lvlJc w:val="right"/>
      <w:pPr>
        <w:ind w:left="1866" w:hanging="360"/>
      </w:pPr>
    </w:lvl>
    <w:lvl w:ilvl="1" w:tplc="04050019" w:tentative="1">
      <w:start w:val="1"/>
      <w:numFmt w:val="lowerLetter"/>
      <w:lvlText w:val="%2."/>
      <w:lvlJc w:val="left"/>
      <w:pPr>
        <w:ind w:left="2586" w:hanging="360"/>
      </w:pPr>
    </w:lvl>
    <w:lvl w:ilvl="2" w:tplc="0405001B" w:tentative="1">
      <w:start w:val="1"/>
      <w:numFmt w:val="lowerRoman"/>
      <w:lvlText w:val="%3."/>
      <w:lvlJc w:val="right"/>
      <w:pPr>
        <w:ind w:left="3306" w:hanging="180"/>
      </w:pPr>
    </w:lvl>
    <w:lvl w:ilvl="3" w:tplc="0405000F" w:tentative="1">
      <w:start w:val="1"/>
      <w:numFmt w:val="decimal"/>
      <w:lvlText w:val="%4."/>
      <w:lvlJc w:val="left"/>
      <w:pPr>
        <w:ind w:left="4026" w:hanging="360"/>
      </w:pPr>
    </w:lvl>
    <w:lvl w:ilvl="4" w:tplc="04050019" w:tentative="1">
      <w:start w:val="1"/>
      <w:numFmt w:val="lowerLetter"/>
      <w:lvlText w:val="%5."/>
      <w:lvlJc w:val="left"/>
      <w:pPr>
        <w:ind w:left="4746" w:hanging="360"/>
      </w:pPr>
    </w:lvl>
    <w:lvl w:ilvl="5" w:tplc="0405001B" w:tentative="1">
      <w:start w:val="1"/>
      <w:numFmt w:val="lowerRoman"/>
      <w:lvlText w:val="%6."/>
      <w:lvlJc w:val="right"/>
      <w:pPr>
        <w:ind w:left="5466" w:hanging="180"/>
      </w:pPr>
    </w:lvl>
    <w:lvl w:ilvl="6" w:tplc="0405000F" w:tentative="1">
      <w:start w:val="1"/>
      <w:numFmt w:val="decimal"/>
      <w:lvlText w:val="%7."/>
      <w:lvlJc w:val="left"/>
      <w:pPr>
        <w:ind w:left="6186" w:hanging="360"/>
      </w:pPr>
    </w:lvl>
    <w:lvl w:ilvl="7" w:tplc="04050019" w:tentative="1">
      <w:start w:val="1"/>
      <w:numFmt w:val="lowerLetter"/>
      <w:lvlText w:val="%8."/>
      <w:lvlJc w:val="left"/>
      <w:pPr>
        <w:ind w:left="6906" w:hanging="360"/>
      </w:pPr>
    </w:lvl>
    <w:lvl w:ilvl="8" w:tplc="040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715F0965"/>
    <w:multiLevelType w:val="hybridMultilevel"/>
    <w:tmpl w:val="BB7C1998"/>
    <w:lvl w:ilvl="0" w:tplc="05365140">
      <w:start w:val="1"/>
      <w:numFmt w:val="upperRoman"/>
      <w:lvlText w:val="%1."/>
      <w:lvlJc w:val="righ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1B"/>
    <w:rsid w:val="00062E52"/>
    <w:rsid w:val="001F1218"/>
    <w:rsid w:val="002920CA"/>
    <w:rsid w:val="002E24DD"/>
    <w:rsid w:val="003424D8"/>
    <w:rsid w:val="003D5FF1"/>
    <w:rsid w:val="004D391B"/>
    <w:rsid w:val="005D1327"/>
    <w:rsid w:val="00611F1A"/>
    <w:rsid w:val="006432D4"/>
    <w:rsid w:val="006C076E"/>
    <w:rsid w:val="007A1B73"/>
    <w:rsid w:val="007F7041"/>
    <w:rsid w:val="00813D7D"/>
    <w:rsid w:val="0086536E"/>
    <w:rsid w:val="00870ED8"/>
    <w:rsid w:val="008C513D"/>
    <w:rsid w:val="008E12AF"/>
    <w:rsid w:val="009819FD"/>
    <w:rsid w:val="00984568"/>
    <w:rsid w:val="009F31CA"/>
    <w:rsid w:val="00A737BB"/>
    <w:rsid w:val="00AA2E11"/>
    <w:rsid w:val="00B52497"/>
    <w:rsid w:val="00B70570"/>
    <w:rsid w:val="00B95686"/>
    <w:rsid w:val="00BC746C"/>
    <w:rsid w:val="00BF68B0"/>
    <w:rsid w:val="00D47A07"/>
    <w:rsid w:val="00EA39AE"/>
    <w:rsid w:val="00ED4485"/>
    <w:rsid w:val="00EE20B8"/>
    <w:rsid w:val="00EF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908ED6"/>
  <w15:docId w15:val="{70EFD8FA-F95C-4B33-9A09-869E0821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160" w:after="0" w:line="246" w:lineRule="auto"/>
      <w:ind w:left="10" w:right="92" w:hanging="10"/>
      <w:jc w:val="both"/>
      <w:outlineLvl w:val="0"/>
    </w:pPr>
    <w:rPr>
      <w:b/>
      <w:color w:val="000000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2E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24DD"/>
  </w:style>
  <w:style w:type="paragraph" w:styleId="Zpat">
    <w:name w:val="footer"/>
    <w:basedOn w:val="Normln"/>
    <w:link w:val="ZpatChar"/>
    <w:uiPriority w:val="99"/>
    <w:unhideWhenUsed/>
    <w:rsid w:val="002E24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24DD"/>
  </w:style>
  <w:style w:type="paragraph" w:styleId="Odstavecseseznamem">
    <w:name w:val="List Paragraph"/>
    <w:basedOn w:val="Normln"/>
    <w:uiPriority w:val="34"/>
    <w:qFormat/>
    <w:rsid w:val="003424D8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3424D8"/>
    <w:pPr>
      <w:widowControl w:val="0"/>
      <w:numPr>
        <w:numId w:val="4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3424D8"/>
    <w:pPr>
      <w:jc w:val="both"/>
    </w:pPr>
  </w:style>
  <w:style w:type="paragraph" w:customStyle="1" w:styleId="PStextHV">
    <w:name w:val="PS text HV"/>
    <w:basedOn w:val="Normln"/>
    <w:qFormat/>
    <w:rsid w:val="00B52497"/>
    <w:pPr>
      <w:spacing w:before="360" w:after="360" w:line="240" w:lineRule="auto"/>
      <w:ind w:firstLine="708"/>
      <w:jc w:val="both"/>
    </w:pPr>
    <w:rPr>
      <w:rFonts w:ascii="Times New Roman" w:eastAsia="Times New Roman" w:hAnsi="Times New Roman" w:cs="Times New Roman"/>
      <w:color w:val="000000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Tůmová</dc:creator>
  <cp:lastModifiedBy>Vosatkova Dana</cp:lastModifiedBy>
  <cp:revision>2</cp:revision>
  <cp:lastPrinted>2022-05-05T10:59:00Z</cp:lastPrinted>
  <dcterms:created xsi:type="dcterms:W3CDTF">2022-05-05T10:59:00Z</dcterms:created>
  <dcterms:modified xsi:type="dcterms:W3CDTF">2022-05-05T10:59:00Z</dcterms:modified>
</cp:coreProperties>
</file>