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D30" w:rsidRDefault="00033D30" w:rsidP="00033D30">
      <w:pPr>
        <w:pStyle w:val="PS-hlavika1"/>
        <w:jc w:val="right"/>
      </w:pPr>
      <w:r>
        <w:t>PS200295060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5E304D">
      <w:pPr>
        <w:pStyle w:val="PS-slousnesen"/>
      </w:pPr>
      <w:r>
        <w:t>50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217B29">
        <w:t>9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217B29">
        <w:t>8. června</w:t>
      </w:r>
      <w:r w:rsidR="00434A11" w:rsidRPr="00887168">
        <w:t xml:space="preserve"> 2022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> dokumentu EU:</w:t>
      </w:r>
      <w:r w:rsidR="00E57BF1">
        <w:t xml:space="preserve"> Zpráva Komise Evropskému parlamentu </w:t>
      </w:r>
      <w:r w:rsidR="00217B29">
        <w:t xml:space="preserve">a Radě </w:t>
      </w:r>
      <w:r w:rsidR="00E57BF1">
        <w:t>o provádění Nástroje pro oživení a odolnost</w:t>
      </w:r>
      <w:r w:rsidR="00885B9E">
        <w:t xml:space="preserve">, </w:t>
      </w:r>
      <w:r w:rsidR="00E57BF1">
        <w:t>COM(2022</w:t>
      </w:r>
      <w:r w:rsidR="00887168" w:rsidRPr="00887168">
        <w:t xml:space="preserve">) </w:t>
      </w:r>
      <w:r w:rsidR="00E57BF1">
        <w:t>75</w:t>
      </w:r>
      <w:r w:rsidR="00411040">
        <w:t xml:space="preserve"> final, </w:t>
      </w:r>
      <w:r w:rsidR="00E57BF1">
        <w:t>6781/22</w:t>
      </w:r>
    </w:p>
    <w:p w:rsidR="003329C4" w:rsidRPr="00126566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Po 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úvodním </w:t>
      </w:r>
      <w:r w:rsidRPr="00E867F0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slov</w:t>
      </w:r>
      <w:r w:rsidR="00077E7D" w:rsidRPr="00E867F0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Pr="00E867F0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E57BF1" w:rsidRPr="00E867F0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zástupce Úřadu vlády</w:t>
      </w:r>
      <w:r w:rsidR="009228E0" w:rsidRPr="00E867F0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9228E0" w:rsidRPr="00E867F0">
        <w:rPr>
          <w:rFonts w:ascii="Times New Roman" w:hAnsi="Times New Roman"/>
          <w:sz w:val="24"/>
          <w:szCs w:val="24"/>
        </w:rPr>
        <w:t>Mgr. Ing. Václava Klusáka</w:t>
      </w:r>
      <w:r w:rsidR="00451218" w:rsidRPr="00E867F0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="0045121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zprávě posl. </w:t>
      </w:r>
      <w:r w:rsidR="00E57BF1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Mgr. </w:t>
      </w:r>
      <w:r w:rsidR="000A613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Richarda Brabce</w:t>
      </w:r>
      <w:r w:rsidR="0088716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126566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126566" w:rsidRDefault="001C4651" w:rsidP="001C4651">
      <w:pPr>
        <w:pStyle w:val="PS-uvodnodstavec"/>
        <w:spacing w:after="480"/>
        <w:ind w:firstLine="0"/>
        <w:rPr>
          <w:szCs w:val="24"/>
        </w:rPr>
      </w:pPr>
      <w:r w:rsidRPr="00126566">
        <w:rPr>
          <w:szCs w:val="24"/>
        </w:rPr>
        <w:t>výbor pro životní prostředí Poslanecké sněmovny Parlamentu ČR</w:t>
      </w:r>
    </w:p>
    <w:p w:rsidR="008B0A30" w:rsidRPr="00126566" w:rsidRDefault="005373D4" w:rsidP="005373D4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bookmarkStart w:id="0" w:name="_heading=h.gjdgxs"/>
      <w:bookmarkEnd w:id="0"/>
      <w:r w:rsidR="00DF3BB2" w:rsidRPr="00126566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r w:rsidR="00E57BF1">
        <w:rPr>
          <w:rFonts w:ascii="Times New Roman" w:hAnsi="Times New Roman"/>
          <w:sz w:val="24"/>
          <w:szCs w:val="24"/>
        </w:rPr>
        <w:t>zprávu</w:t>
      </w:r>
      <w:r w:rsidR="00E57BF1" w:rsidRPr="00E57BF1">
        <w:rPr>
          <w:rFonts w:ascii="Times New Roman" w:hAnsi="Times New Roman"/>
          <w:sz w:val="24"/>
          <w:szCs w:val="24"/>
        </w:rPr>
        <w:t xml:space="preserve"> Komise Evropskému parlamentu a Radě o provádění Nástroje pro oživení a odolnost, COM(2022) 75 final, 6781/22</w:t>
      </w:r>
      <w:r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;</w:t>
      </w:r>
    </w:p>
    <w:p w:rsidR="008D731D" w:rsidRPr="00126566" w:rsidRDefault="008D731D" w:rsidP="008D731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podporuje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217B29" w:rsidRPr="005E304D" w:rsidRDefault="005E304D" w:rsidP="00A127FC">
            <w:pPr>
              <w:pStyle w:val="PS-slovanseznam"/>
              <w:spacing w:after="0"/>
              <w:ind w:left="0" w:firstLine="0"/>
              <w:jc w:val="center"/>
            </w:pPr>
            <w:r w:rsidRPr="005E304D">
              <w:t>Klára KOCMANOVÁ</w:t>
            </w:r>
            <w:r w:rsidR="00033D30">
              <w:t xml:space="preserve"> v. r.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5E304D">
              <w:t>o</w:t>
            </w:r>
            <w:r w:rsidR="00B26768" w:rsidRPr="005E304D">
              <w:t>věřovatel</w:t>
            </w:r>
            <w:r w:rsidR="005E304D" w:rsidRPr="005E304D">
              <w:t>ka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768" w:rsidRDefault="00E57BF1" w:rsidP="00A127FC">
            <w:pPr>
              <w:pStyle w:val="PS-slovanseznam"/>
              <w:spacing w:after="0"/>
              <w:ind w:left="0" w:firstLine="0"/>
              <w:jc w:val="center"/>
            </w:pPr>
            <w:r>
              <w:t xml:space="preserve">Mgr. </w:t>
            </w:r>
            <w:r w:rsidR="000A613C">
              <w:t>Richard BRABEC</w:t>
            </w:r>
            <w:r w:rsidR="00033D30">
              <w:t xml:space="preserve"> v. r.</w:t>
            </w:r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474A0B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033D30">
              <w:t xml:space="preserve"> v. r.</w:t>
            </w:r>
            <w:bookmarkStart w:id="1" w:name="_GoBack"/>
            <w:bookmarkEnd w:id="1"/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373D4" w:rsidRDefault="005373D4" w:rsidP="00806CFD">
      <w:pPr>
        <w:rPr>
          <w:rFonts w:ascii="Times New Roman" w:hAnsi="Times New Roman"/>
          <w:sz w:val="24"/>
        </w:rPr>
      </w:pPr>
    </w:p>
    <w:p w:rsidR="00DF3BB2" w:rsidRDefault="00DF3BB2" w:rsidP="00806CFD">
      <w:pPr>
        <w:rPr>
          <w:rFonts w:ascii="Times New Roman" w:hAnsi="Times New Roman"/>
          <w:sz w:val="24"/>
        </w:rPr>
      </w:pPr>
    </w:p>
    <w:p w:rsidR="00885B9E" w:rsidRDefault="00885B9E" w:rsidP="00806CFD">
      <w:pPr>
        <w:rPr>
          <w:rFonts w:ascii="Times New Roman" w:hAnsi="Times New Roman"/>
          <w:sz w:val="24"/>
        </w:rPr>
      </w:pPr>
    </w:p>
    <w:p w:rsidR="00DF3BB2" w:rsidRDefault="003C4840" w:rsidP="00217B29">
      <w:pPr>
        <w:rPr>
          <w:rFonts w:ascii="Times New Roman" w:hAnsi="Times New Roman"/>
          <w:sz w:val="24"/>
        </w:rPr>
      </w:pPr>
      <w:r w:rsidRPr="00BB32B9">
        <w:rPr>
          <w:rFonts w:ascii="Times New Roman" w:hAnsi="Times New Roman"/>
          <w:sz w:val="24"/>
        </w:rPr>
        <w:lastRenderedPageBreak/>
        <w:t xml:space="preserve">Příloha k usnesení </w:t>
      </w:r>
      <w:r w:rsidR="00474A0B">
        <w:rPr>
          <w:rFonts w:ascii="Times New Roman" w:hAnsi="Times New Roman"/>
          <w:sz w:val="24"/>
        </w:rPr>
        <w:t>VŽP č</w:t>
      </w:r>
      <w:r w:rsidR="00474A0B" w:rsidRPr="00AF4650">
        <w:rPr>
          <w:rFonts w:ascii="Times New Roman" w:hAnsi="Times New Roman"/>
          <w:sz w:val="24"/>
        </w:rPr>
        <w:t xml:space="preserve">. </w:t>
      </w:r>
      <w:r w:rsidR="005753AC">
        <w:rPr>
          <w:rFonts w:ascii="Times New Roman" w:hAnsi="Times New Roman"/>
          <w:sz w:val="24"/>
        </w:rPr>
        <w:t>50</w:t>
      </w:r>
    </w:p>
    <w:p w:rsidR="005753AC" w:rsidRPr="008A2F43" w:rsidRDefault="005753AC" w:rsidP="005753AC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  <w:lang w:eastAsia="cs-CZ"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05AE9BF3" wp14:editId="16A17E37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753AC" w:rsidRPr="003670F2" w:rsidRDefault="005753AC" w:rsidP="005753A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753AC" w:rsidRPr="00333C99" w:rsidRDefault="005753AC" w:rsidP="005753AC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5753AC" w:rsidRPr="0035103C" w:rsidRDefault="005753AC" w:rsidP="005753A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753AC" w:rsidRPr="0035103C" w:rsidRDefault="005753AC" w:rsidP="005753A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753AC" w:rsidRPr="0035103C" w:rsidRDefault="005753AC" w:rsidP="005753A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753AC" w:rsidRPr="0035103C" w:rsidRDefault="005753AC" w:rsidP="005753A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753AC" w:rsidRPr="0035103C" w:rsidRDefault="005753AC" w:rsidP="005753A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753AC" w:rsidRPr="00333C99" w:rsidRDefault="005753AC" w:rsidP="005753AC">
                            <w:pPr>
                              <w:pStyle w:val="titulnstranaobsah"/>
                            </w:pPr>
                            <w:r w:rsidRPr="00333C99">
                              <w:t>Obsah:</w:t>
                            </w:r>
                          </w:p>
                          <w:p w:rsidR="005753AC" w:rsidRDefault="005753AC" w:rsidP="005753AC">
                            <w:pPr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  <w:p w:rsidR="005753AC" w:rsidRPr="00163205" w:rsidRDefault="005753AC" w:rsidP="005753AC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begin"/>
                            </w:r>
                            <w:r w:rsidRPr="00163205">
                              <w:rPr>
                                <w:rStyle w:val="Siln"/>
                                <w:caps/>
                                <w:color w:val="1F4E79" w:themeColor="accent1" w:themeShade="80"/>
                              </w:rPr>
                              <w:instrText xml:space="preserve"> TOC \o "1-1" \h \z \u </w:instrText>
                            </w: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separate"/>
                            </w:r>
                            <w:hyperlink w:anchor="_Toc448302188" w:history="1">
                              <w:r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Hodnocení z hlediska principu subsidiarity: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_Toc448302188 \h </w:instrTex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E867F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2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753AC" w:rsidRPr="00163205" w:rsidRDefault="00033D30" w:rsidP="005753AC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89" w:history="1">
                              <w:r w:rsidR="005753AC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753AC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753AC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Odůvodnění a předmět: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_Toc448302189 \h </w:instrTex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E867F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753AC" w:rsidRPr="00163205" w:rsidRDefault="00033D30" w:rsidP="005753AC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0" w:history="1">
                              <w:r w:rsidR="005753AC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753AC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753AC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Obsah a dopad: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_Toc448302190 \h </w:instrTex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E867F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753AC" w:rsidRPr="00163205" w:rsidRDefault="00033D30" w:rsidP="005753AC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1" w:history="1">
                              <w:r w:rsidR="005753AC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753AC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753AC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Stanovisko vlády ČR: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_Toc448302191 \h </w:instrTex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E867F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9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753AC" w:rsidRPr="00163205" w:rsidRDefault="00033D30" w:rsidP="005753AC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2" w:history="1">
                              <w:r w:rsidR="005753AC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753AC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753AC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Předpokládaný harmonogram projednávání v orgánech EU: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_Toc448302192 \h </w:instrTex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E867F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9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753AC" w:rsidRPr="00163205" w:rsidRDefault="00033D30" w:rsidP="005753AC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3" w:history="1">
                              <w:r w:rsidR="005753AC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753AC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753AC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Závěr: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_Toc448302193 \h </w:instrTex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E867F0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9</w:t>
                              </w:r>
                              <w:r w:rsidR="005753AC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753AC" w:rsidRPr="007A5C9D" w:rsidRDefault="005753AC" w:rsidP="005753AC">
                            <w:pPr>
                              <w:pStyle w:val="Obsah1"/>
                              <w:ind w:left="284" w:right="193" w:hanging="284"/>
                              <w:rPr>
                                <w:rFonts w:eastAsiaTheme="minorEastAsia" w:cstheme="minorBidi"/>
                                <w:caps/>
                                <w:noProof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end"/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begin"/>
                            </w:r>
                            <w:r w:rsidRPr="007A5C9D">
                              <w:instrText xml:space="preserve"> TOC \o "1-3" \h \z \u </w:instrText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separate"/>
                            </w:r>
                          </w:p>
                          <w:p w:rsidR="005753AC" w:rsidRPr="0035103C" w:rsidRDefault="005753AC" w:rsidP="005753AC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  <w:r w:rsidRPr="007A5C9D">
                              <w:rPr>
                                <w:b/>
                                <w:bCs/>
                                <w:color w:val="1F4E79" w:themeColor="accent1" w:themeShade="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E9BF3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5753AC" w:rsidRPr="003670F2" w:rsidRDefault="005753AC" w:rsidP="005753AC">
                      <w:pPr>
                        <w:rPr>
                          <w:color w:val="C00000"/>
                        </w:rPr>
                      </w:pPr>
                    </w:p>
                    <w:p w:rsidR="005753AC" w:rsidRPr="00333C99" w:rsidRDefault="005753AC" w:rsidP="005753AC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5753AC" w:rsidRPr="0035103C" w:rsidRDefault="005753AC" w:rsidP="005753AC">
                      <w:pPr>
                        <w:rPr>
                          <w:color w:val="C00000"/>
                        </w:rPr>
                      </w:pPr>
                    </w:p>
                    <w:p w:rsidR="005753AC" w:rsidRPr="0035103C" w:rsidRDefault="005753AC" w:rsidP="005753AC">
                      <w:pPr>
                        <w:rPr>
                          <w:color w:val="C00000"/>
                        </w:rPr>
                      </w:pPr>
                    </w:p>
                    <w:p w:rsidR="005753AC" w:rsidRPr="0035103C" w:rsidRDefault="005753AC" w:rsidP="005753AC">
                      <w:pPr>
                        <w:rPr>
                          <w:color w:val="C00000"/>
                        </w:rPr>
                      </w:pPr>
                    </w:p>
                    <w:p w:rsidR="005753AC" w:rsidRPr="0035103C" w:rsidRDefault="005753AC" w:rsidP="005753AC">
                      <w:pPr>
                        <w:rPr>
                          <w:color w:val="C00000"/>
                        </w:rPr>
                      </w:pPr>
                    </w:p>
                    <w:p w:rsidR="005753AC" w:rsidRPr="0035103C" w:rsidRDefault="005753AC" w:rsidP="005753AC">
                      <w:pPr>
                        <w:rPr>
                          <w:color w:val="C00000"/>
                        </w:rPr>
                      </w:pPr>
                    </w:p>
                    <w:p w:rsidR="005753AC" w:rsidRPr="00333C99" w:rsidRDefault="005753AC" w:rsidP="005753AC">
                      <w:pPr>
                        <w:pStyle w:val="titulnstranaobsah"/>
                      </w:pPr>
                      <w:r w:rsidRPr="00333C99">
                        <w:t>Obsah:</w:t>
                      </w:r>
                    </w:p>
                    <w:p w:rsidR="005753AC" w:rsidRDefault="005753AC" w:rsidP="005753AC">
                      <w:pPr>
                        <w:rPr>
                          <w:rFonts w:cs="Arial"/>
                          <w:color w:val="C00000"/>
                        </w:rPr>
                      </w:pPr>
                    </w:p>
                    <w:p w:rsidR="005753AC" w:rsidRPr="00163205" w:rsidRDefault="005753AC" w:rsidP="005753AC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begin"/>
                      </w:r>
                      <w:r w:rsidRPr="00163205">
                        <w:rPr>
                          <w:rStyle w:val="Siln"/>
                          <w:caps/>
                          <w:color w:val="1F4E79" w:themeColor="accent1" w:themeShade="80"/>
                        </w:rPr>
                        <w:instrText xml:space="preserve"> TOC \o "1-1" \h \z \u </w:instrText>
                      </w: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separate"/>
                      </w:r>
                      <w:hyperlink w:anchor="_Toc448302188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Hodnocení z hlediska principu subsidiarity: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_Toc448302188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E867F0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2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753AC" w:rsidRPr="00163205" w:rsidRDefault="00E867F0" w:rsidP="005753AC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89" w:history="1">
                        <w:r w:rsidR="005753AC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753AC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753AC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Odůvodnění a předmět: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_Toc448302189 \h </w:instrTex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753AC" w:rsidRPr="00163205" w:rsidRDefault="00E867F0" w:rsidP="005753AC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0" w:history="1">
                        <w:r w:rsidR="005753AC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753AC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753AC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Obsah a dopad: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_Toc448302190 \h </w:instrTex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753AC" w:rsidRPr="00163205" w:rsidRDefault="00E867F0" w:rsidP="005753AC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1" w:history="1">
                        <w:r w:rsidR="005753AC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753AC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753AC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Stanovisko vlády ČR: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_Toc448302191 \h </w:instrTex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9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753AC" w:rsidRPr="00163205" w:rsidRDefault="00E867F0" w:rsidP="005753AC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2" w:history="1">
                        <w:r w:rsidR="005753AC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753AC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753AC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Předpokládaný harmonogram projednávání v orgánech EU: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_Toc448302192 \h </w:instrTex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9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753AC" w:rsidRPr="00163205" w:rsidRDefault="00E867F0" w:rsidP="005753AC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3" w:history="1">
                        <w:r w:rsidR="005753AC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753AC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753AC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Závěr: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_Toc448302193 \h </w:instrTex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9</w:t>
                        </w:r>
                        <w:r w:rsidR="005753AC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753AC" w:rsidRPr="007A5C9D" w:rsidRDefault="005753AC" w:rsidP="005753AC">
                      <w:pPr>
                        <w:pStyle w:val="Obsah1"/>
                        <w:ind w:left="284" w:right="193" w:hanging="284"/>
                        <w:rPr>
                          <w:rFonts w:eastAsiaTheme="minorEastAsia" w:cstheme="minorBidi"/>
                          <w:caps/>
                          <w:noProof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end"/>
                      </w:r>
                      <w:r w:rsidRPr="007A5C9D">
                        <w:rPr>
                          <w:caps/>
                          <w:noProof/>
                        </w:rPr>
                        <w:fldChar w:fldCharType="begin"/>
                      </w:r>
                      <w:r w:rsidRPr="007A5C9D">
                        <w:instrText xml:space="preserve"> TOC \o "1-3" \h \z \u </w:instrText>
                      </w:r>
                      <w:r w:rsidRPr="007A5C9D">
                        <w:rPr>
                          <w:caps/>
                          <w:noProof/>
                        </w:rPr>
                        <w:fldChar w:fldCharType="separate"/>
                      </w:r>
                    </w:p>
                    <w:p w:rsidR="005753AC" w:rsidRPr="0035103C" w:rsidRDefault="005753AC" w:rsidP="005753AC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  <w:r w:rsidRPr="007A5C9D">
                        <w:rPr>
                          <w:b/>
                          <w:bCs/>
                          <w:color w:val="1F4E79" w:themeColor="accent1" w:themeShade="80"/>
                        </w:rPr>
                        <w:fldChar w:fldCharType="end"/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4C73BBA7" wp14:editId="0EF2CDF0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13D3229E" wp14:editId="25E3C43E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5753AC" w:rsidRPr="008A2F43" w:rsidTr="00F87165">
        <w:trPr>
          <w:trHeight w:val="1301"/>
        </w:trPr>
        <w:tc>
          <w:tcPr>
            <w:tcW w:w="9522" w:type="dxa"/>
            <w:shd w:val="clear" w:color="auto" w:fill="auto"/>
          </w:tcPr>
          <w:p w:rsidR="005753AC" w:rsidRPr="008A2F43" w:rsidRDefault="005753AC" w:rsidP="00F87165">
            <w:pPr>
              <w:pStyle w:val="NZEVPRCE"/>
            </w:pPr>
            <w:r>
              <w:t>Provádění Nástroje pro oživení a odolnost</w:t>
            </w:r>
          </w:p>
        </w:tc>
      </w:tr>
      <w:tr w:rsidR="005753AC" w:rsidRPr="008A2F43" w:rsidTr="00F87165">
        <w:trPr>
          <w:trHeight w:val="2115"/>
        </w:trPr>
        <w:tc>
          <w:tcPr>
            <w:tcW w:w="9522" w:type="dxa"/>
            <w:shd w:val="clear" w:color="auto" w:fill="auto"/>
          </w:tcPr>
          <w:p w:rsidR="005753AC" w:rsidRPr="008A2F43" w:rsidRDefault="005753AC" w:rsidP="00F87165">
            <w:pPr>
              <w:pStyle w:val="PODNZEVPRCE"/>
            </w:pPr>
            <w:r>
              <w:t xml:space="preserve">Informační podklad ke zprávě </w:t>
            </w:r>
            <w:r w:rsidRPr="00AD0736">
              <w:t>o provádění Nástroje pro oživení a odolnost</w:t>
            </w:r>
          </w:p>
          <w:p w:rsidR="005753AC" w:rsidRPr="008A2F43" w:rsidRDefault="005753AC" w:rsidP="00F87165">
            <w:pPr>
              <w:pStyle w:val="PODNZEVPRCE"/>
            </w:pPr>
          </w:p>
          <w:p w:rsidR="005753AC" w:rsidRPr="008A2F43" w:rsidRDefault="005753AC" w:rsidP="00F87165">
            <w:pPr>
              <w:rPr>
                <w:rFonts w:ascii="Calibri Light" w:hAnsi="Calibri Light"/>
              </w:rPr>
            </w:pPr>
          </w:p>
        </w:tc>
      </w:tr>
    </w:tbl>
    <w:p w:rsidR="005753AC" w:rsidRDefault="005753AC" w:rsidP="005753AC">
      <w:pPr>
        <w:pStyle w:val="ZHLAVTITULKY"/>
        <w:jc w:val="center"/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r>
        <w:t>ZPRÁVA</w:t>
      </w:r>
    </w:p>
    <w:p w:rsidR="005753AC" w:rsidRDefault="005753AC" w:rsidP="005753AC">
      <w:pPr>
        <w:pStyle w:val="PODNZEVPRCE"/>
        <w:jc w:val="center"/>
      </w:pPr>
      <w:r w:rsidRPr="00AD0736">
        <w:t>Zpráva Komise Evropskému parlamentu a Radě o provádění Nástroje pro oživení a odolnost</w:t>
      </w:r>
    </w:p>
    <w:p w:rsidR="005753AC" w:rsidRDefault="005753AC" w:rsidP="005753AC">
      <w:pPr>
        <w:pStyle w:val="PODNZEVPRCE"/>
        <w:jc w:val="center"/>
      </w:pPr>
      <w:r>
        <w:t>COM(2022) 75 final, kód Rady 6781/22</w:t>
      </w:r>
    </w:p>
    <w:p w:rsidR="005753AC" w:rsidRDefault="005753AC" w:rsidP="005753AC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5753AC" w:rsidRDefault="005753AC" w:rsidP="005753AC">
      <w:pPr>
        <w:jc w:val="both"/>
        <w:rPr>
          <w:rStyle w:val="Siln"/>
        </w:rPr>
      </w:pPr>
    </w:p>
    <w:p w:rsidR="005753AC" w:rsidRPr="00C90F55" w:rsidRDefault="005753AC" w:rsidP="005753A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4"/>
      <w:r w:rsidRPr="00C90F55">
        <w:rPr>
          <w:b/>
        </w:rPr>
        <w:t>Právní základ:</w:t>
      </w:r>
      <w:bookmarkEnd w:id="8"/>
    </w:p>
    <w:p w:rsidR="005753AC" w:rsidRPr="0048126F" w:rsidRDefault="005753AC" w:rsidP="005753AC">
      <w:pPr>
        <w:spacing w:after="240"/>
        <w:jc w:val="both"/>
      </w:pPr>
      <w:r w:rsidRPr="0048126F">
        <w:t>Dokument informační povahy.</w:t>
      </w:r>
    </w:p>
    <w:p w:rsidR="005753AC" w:rsidRPr="00373906" w:rsidRDefault="005753AC" w:rsidP="005753A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5"/>
      <w:r w:rsidRPr="00373906">
        <w:rPr>
          <w:b/>
        </w:rPr>
        <w:t>Datum zaslání Poslanecké sněmovně prostřednictvím VEZ:</w:t>
      </w:r>
      <w:bookmarkEnd w:id="9"/>
    </w:p>
    <w:p w:rsidR="005753AC" w:rsidRPr="0048126F" w:rsidRDefault="005753AC" w:rsidP="005753AC">
      <w:pPr>
        <w:spacing w:after="240"/>
        <w:jc w:val="both"/>
      </w:pPr>
      <w:r>
        <w:t>8. 3. 2022</w:t>
      </w:r>
    </w:p>
    <w:p w:rsidR="005753AC" w:rsidRPr="00373906" w:rsidRDefault="005753AC" w:rsidP="005753A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6"/>
      <w:r w:rsidRPr="00373906">
        <w:rPr>
          <w:b/>
        </w:rPr>
        <w:t>Datum projednání ve VEZ:</w:t>
      </w:r>
      <w:bookmarkEnd w:id="10"/>
    </w:p>
    <w:p w:rsidR="005753AC" w:rsidRPr="0048126F" w:rsidRDefault="005753AC" w:rsidP="005753AC">
      <w:pPr>
        <w:spacing w:after="240"/>
        <w:jc w:val="both"/>
      </w:pPr>
      <w:r>
        <w:t>9. 3. 2022</w:t>
      </w:r>
      <w:r w:rsidRPr="0048126F">
        <w:t xml:space="preserve"> (1. kolo)</w:t>
      </w:r>
    </w:p>
    <w:p w:rsidR="005753AC" w:rsidRPr="00373906" w:rsidRDefault="005753AC" w:rsidP="005753A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7"/>
      <w:r w:rsidRPr="00373906">
        <w:rPr>
          <w:b/>
        </w:rPr>
        <w:t>Procedura:</w:t>
      </w:r>
      <w:bookmarkEnd w:id="11"/>
    </w:p>
    <w:p w:rsidR="005753AC" w:rsidRPr="0048126F" w:rsidRDefault="005753AC" w:rsidP="005753AC">
      <w:pPr>
        <w:spacing w:after="240"/>
        <w:jc w:val="both"/>
      </w:pPr>
      <w:r w:rsidRPr="0048126F">
        <w:t xml:space="preserve">Není projednáváno legislativním postupem, jedná se o dokument nelegislativní povahy, který nepodléhá schválení v Radě a Evropském </w:t>
      </w:r>
      <w:r>
        <w:t>p</w:t>
      </w:r>
      <w:r w:rsidRPr="0048126F">
        <w:t xml:space="preserve">arlamentu. Procedura je ukončena jeho přijetím a předložením těmto institucím. </w:t>
      </w:r>
    </w:p>
    <w:p w:rsidR="005753AC" w:rsidRPr="00373906" w:rsidRDefault="005753AC" w:rsidP="005753A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2" w:name="_Toc445380608"/>
      <w:r w:rsidRPr="00373906">
        <w:rPr>
          <w:b/>
        </w:rPr>
        <w:t>Předběžné stanovisko vlády (dle § 109a odst. 1 jednacího řádu PS):</w:t>
      </w:r>
      <w:bookmarkEnd w:id="12"/>
    </w:p>
    <w:p w:rsidR="005753AC" w:rsidRPr="0048126F" w:rsidRDefault="005753AC" w:rsidP="005753AC">
      <w:pPr>
        <w:spacing w:after="240"/>
        <w:jc w:val="both"/>
      </w:pPr>
      <w:r w:rsidRPr="0048126F">
        <w:t xml:space="preserve">Datované dnem </w:t>
      </w:r>
      <w:r>
        <w:t>28</w:t>
      </w:r>
      <w:r w:rsidRPr="0048126F">
        <w:t xml:space="preserve">. </w:t>
      </w:r>
      <w:r>
        <w:t>března</w:t>
      </w:r>
      <w:r w:rsidRPr="0048126F">
        <w:t xml:space="preserve"> 20</w:t>
      </w:r>
      <w:r>
        <w:t>22</w:t>
      </w:r>
      <w:r w:rsidRPr="0048126F">
        <w:t>, doručené do v</w:t>
      </w:r>
      <w:r>
        <w:t xml:space="preserve">ýboru pro evropské záležitosti </w:t>
      </w:r>
      <w:r w:rsidRPr="0048126F">
        <w:t xml:space="preserve">dne </w:t>
      </w:r>
      <w:r>
        <w:t>29</w:t>
      </w:r>
      <w:r w:rsidRPr="0048126F">
        <w:t xml:space="preserve">. </w:t>
      </w:r>
      <w:r>
        <w:t>března</w:t>
      </w:r>
      <w:r w:rsidRPr="0048126F">
        <w:t xml:space="preserve"> 20</w:t>
      </w:r>
      <w:r>
        <w:t>22</w:t>
      </w:r>
      <w:r w:rsidRPr="0048126F">
        <w:t xml:space="preserve"> prostřednictvím systému ISAP.</w:t>
      </w:r>
    </w:p>
    <w:p w:rsidR="005753AC" w:rsidRPr="0048126F" w:rsidRDefault="005753AC" w:rsidP="005753A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3" w:name="_Toc445380609"/>
      <w:bookmarkStart w:id="14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3"/>
      <w:bookmarkEnd w:id="14"/>
    </w:p>
    <w:p w:rsidR="005753AC" w:rsidRPr="0048126F" w:rsidRDefault="005753AC" w:rsidP="005753AC">
      <w:pPr>
        <w:spacing w:after="240"/>
        <w:jc w:val="both"/>
      </w:pPr>
      <w:r w:rsidRPr="001C13DA">
        <w:t>Hodnocení z hlediska principu subsidiarity se neuplatní, jedná se o dokument informační povahy.</w:t>
      </w:r>
    </w:p>
    <w:p w:rsidR="005753AC" w:rsidRPr="0048126F" w:rsidRDefault="005753AC" w:rsidP="00E462A4">
      <w:bookmarkStart w:id="15" w:name="_Toc445380610"/>
      <w:bookmarkStart w:id="16" w:name="_Toc448302189"/>
      <w:r>
        <w:br w:type="page"/>
      </w:r>
      <w:r w:rsidRPr="0048126F">
        <w:lastRenderedPageBreak/>
        <w:t>Odůvodnění a předmět:</w:t>
      </w:r>
      <w:bookmarkEnd w:id="15"/>
      <w:bookmarkEnd w:id="16"/>
    </w:p>
    <w:p w:rsidR="005753AC" w:rsidRDefault="00033D30" w:rsidP="005753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240"/>
        <w:jc w:val="both"/>
      </w:pPr>
      <w:hyperlink r:id="rId10" w:history="1">
        <w:r w:rsidR="005753AC" w:rsidRPr="00013ACF">
          <w:rPr>
            <w:rStyle w:val="Hypertextovodkaz"/>
          </w:rPr>
          <w:t xml:space="preserve">Zpráva </w:t>
        </w:r>
        <w:r w:rsidR="005753AC">
          <w:rPr>
            <w:rStyle w:val="Hypertextovodkaz"/>
          </w:rPr>
          <w:t>K</w:t>
        </w:r>
        <w:r w:rsidR="005753AC" w:rsidRPr="00013ACF">
          <w:rPr>
            <w:rStyle w:val="Hypertextovodkaz"/>
          </w:rPr>
          <w:t>omise Evropskému parlamentu a Radě o provádění Nástroje pro oživení a odolnost</w:t>
        </w:r>
      </w:hyperlink>
      <w:r w:rsidR="005753AC">
        <w:t xml:space="preserve"> je první výroční zprávou hodnotící provádění Nástroje pro oživení a odolnost</w:t>
      </w:r>
      <w:r w:rsidR="005753AC">
        <w:rPr>
          <w:rStyle w:val="Znakapoznpodarou"/>
        </w:rPr>
        <w:footnoteReference w:id="1"/>
      </w:r>
      <w:r w:rsidR="005753AC">
        <w:t xml:space="preserve"> (dále jen „</w:t>
      </w:r>
      <w:r w:rsidR="005753AC" w:rsidRPr="000749D0">
        <w:rPr>
          <w:b/>
        </w:rPr>
        <w:t>RRF</w:t>
      </w:r>
      <w:r w:rsidR="005753AC">
        <w:t xml:space="preserve">“) zřízeného </w:t>
      </w:r>
      <w:hyperlink r:id="rId11" w:history="1">
        <w:r w:rsidR="005753AC" w:rsidRPr="004B5721">
          <w:rPr>
            <w:rStyle w:val="Hypertextovodkaz"/>
          </w:rPr>
          <w:t>nařízením (EU) 2021/241</w:t>
        </w:r>
      </w:hyperlink>
      <w:r w:rsidR="005753AC">
        <w:t>, který je ústředním prvkem iniciativy „Next Generation EU“ (dále jen „</w:t>
      </w:r>
      <w:r w:rsidR="005753AC" w:rsidRPr="00B329A9">
        <w:rPr>
          <w:b/>
        </w:rPr>
        <w:t>NGEU</w:t>
      </w:r>
      <w:r w:rsidR="005753AC">
        <w:t xml:space="preserve">“). RRF poskytne do roku 2026 členským státům prostředky ve výši 672,5 mld. EUR ve formě grantů a půjček na podporu </w:t>
      </w:r>
      <w:r w:rsidR="005753AC" w:rsidRPr="006C6487">
        <w:t xml:space="preserve">jejich </w:t>
      </w:r>
      <w:r w:rsidR="005753AC">
        <w:t>opatření vedoucích</w:t>
      </w:r>
      <w:r w:rsidR="005753AC" w:rsidRPr="006C6487">
        <w:t xml:space="preserve"> ke zmírnění dopadů pandemie </w:t>
      </w:r>
      <w:r w:rsidR="005753AC">
        <w:t xml:space="preserve">covidu-19 </w:t>
      </w:r>
      <w:r w:rsidR="005753AC" w:rsidRPr="006C6487">
        <w:t>a zvýšení udržitelnosti, odolnosti a připravenosti evropských ekonomik a společností na výzvy a příležitosti spojené se zelenou a digitální transformací.</w:t>
      </w:r>
      <w:r w:rsidR="005753AC" w:rsidRPr="000749D0">
        <w:rPr>
          <w:color w:val="FF0000"/>
        </w:rPr>
        <w:t xml:space="preserve"> </w:t>
      </w:r>
    </w:p>
    <w:p w:rsidR="005753AC" w:rsidRPr="002A1183" w:rsidRDefault="005753AC" w:rsidP="005753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240"/>
        <w:jc w:val="both"/>
      </w:pPr>
      <w:r>
        <w:t xml:space="preserve">Provádění nástroje je rok po jeho zřízení na dobré cestě. Většina států již předložila své plány pro oživení a odolnost, z nichž bylo celkem 22 kladně posouzeno Komisí a následně přijato Radou. Na podporu členských států a Unie bylo dosud vyplaceno 66,6 mld. EUR, z toho 56,6 mld. EUR formou předběžného financování.  První platba ve výši 10 mld. EUR byla obdobně jako všechny budoucí platby vyplacena na základě provádění investic a reforem, jejichž cílem je reagovat na výzvy, jimž členské státy čelí. RRF </w:t>
      </w:r>
      <w:r w:rsidRPr="003A409A">
        <w:t>má</w:t>
      </w:r>
      <w:r>
        <w:t xml:space="preserve"> také přidanou hodnotu, která přináší pozitivní vedlejší účinky, podporuje hospodářskou konvergenci a provádění projektů pro více zemí, které mají pro EU klíčový význam, a prokazuje „adicionalitu“ finančních prostředků EU.  </w:t>
      </w:r>
    </w:p>
    <w:p w:rsidR="005753AC" w:rsidRPr="00EA161C" w:rsidRDefault="005753AC" w:rsidP="005753AC">
      <w:pPr>
        <w:spacing w:after="120"/>
        <w:jc w:val="both"/>
      </w:pPr>
      <w:r w:rsidRPr="00EA161C">
        <w:t xml:space="preserve">V červenci 2020 </w:t>
      </w:r>
      <w:r>
        <w:t xml:space="preserve">schválila Evropská rada </w:t>
      </w:r>
      <w:r w:rsidRPr="00EA161C">
        <w:t>na mimořádném zasedání v Bruselu finální podoba plánu hospodářské obnovy po pandemii covid</w:t>
      </w:r>
      <w:r>
        <w:t>u</w:t>
      </w:r>
      <w:r w:rsidRPr="00EA161C">
        <w:t>-19 „Next Generation EU“</w:t>
      </w:r>
      <w:r>
        <w:t xml:space="preserve"> (NGEU)</w:t>
      </w:r>
      <w:r w:rsidRPr="00EA161C">
        <w:t xml:space="preserve">. Ústředním bodem tohoto plánu je Nástroj pro oživení a odolnost </w:t>
      </w:r>
      <w:r>
        <w:t>(Recovery and resilience facility, RRF) s </w:t>
      </w:r>
      <w:r w:rsidRPr="00EA161C">
        <w:t>finančními prostředky ve výši 672,5 mld. EUR (312,5 mld. EUR v grantech a 360 mld. EUR</w:t>
      </w:r>
      <w:r>
        <w:t xml:space="preserve"> v </w:t>
      </w:r>
      <w:r w:rsidRPr="00EA161C">
        <w:t xml:space="preserve">půjčkách). Členské státy EU mohou o tyto prostředky zažádat prostřednictvím národního plánu obnovy </w:t>
      </w:r>
      <w:r>
        <w:t xml:space="preserve">a odolnosti </w:t>
      </w:r>
      <w:r w:rsidRPr="00EA161C">
        <w:t xml:space="preserve">(dále také „NPO“ nebo „národní plán“), který musí splňovat povinná kritéria daná </w:t>
      </w:r>
      <w:hyperlink r:id="rId12" w:history="1">
        <w:r w:rsidRPr="00EA161C">
          <w:rPr>
            <w:rStyle w:val="Hypertextovodkaz"/>
          </w:rPr>
          <w:t>nařízením č. 2021/241 o Nástroji pro oživení a odolnost</w:t>
        </w:r>
      </w:hyperlink>
      <w:r>
        <w:t xml:space="preserve"> (dále jen „</w:t>
      </w:r>
      <w:r w:rsidRPr="00EA161C">
        <w:rPr>
          <w:b/>
        </w:rPr>
        <w:t>nařízení o RRF</w:t>
      </w:r>
      <w:r>
        <w:t>“)</w:t>
      </w:r>
      <w:r w:rsidRPr="00EA161C">
        <w:t>.</w:t>
      </w:r>
    </w:p>
    <w:p w:rsidR="005753AC" w:rsidRPr="00EA161C" w:rsidRDefault="005753AC" w:rsidP="005753AC">
      <w:pPr>
        <w:spacing w:after="120"/>
        <w:jc w:val="both"/>
        <w:rPr>
          <w:rFonts w:cstheme="majorHAnsi"/>
          <w:szCs w:val="24"/>
        </w:rPr>
      </w:pPr>
      <w:r w:rsidRPr="00EA161C">
        <w:rPr>
          <w:rFonts w:cstheme="majorHAnsi"/>
          <w:szCs w:val="24"/>
        </w:rPr>
        <w:t xml:space="preserve">Aby měly členské státy přístup k těmto prostředkům, musely </w:t>
      </w:r>
      <w:r>
        <w:rPr>
          <w:rFonts w:cstheme="majorHAnsi"/>
          <w:szCs w:val="24"/>
        </w:rPr>
        <w:t xml:space="preserve">v souladu s povinnými kritérii stanovenými </w:t>
      </w:r>
      <w:hyperlink r:id="rId13" w:history="1">
        <w:r w:rsidRPr="00332C38">
          <w:rPr>
            <w:rStyle w:val="Hypertextovodkaz"/>
            <w:rFonts w:cstheme="majorHAnsi"/>
            <w:szCs w:val="24"/>
          </w:rPr>
          <w:t>nařízením o RRF</w:t>
        </w:r>
      </w:hyperlink>
      <w:r>
        <w:rPr>
          <w:rFonts w:cstheme="majorHAnsi"/>
          <w:szCs w:val="24"/>
        </w:rPr>
        <w:t xml:space="preserve"> a </w:t>
      </w:r>
      <w:hyperlink r:id="rId14" w:history="1">
        <w:r w:rsidRPr="00332C38">
          <w:rPr>
            <w:rStyle w:val="Hypertextovodkaz"/>
            <w:rFonts w:cstheme="majorHAnsi"/>
            <w:szCs w:val="24"/>
          </w:rPr>
          <w:t>pokyny pro NPO</w:t>
        </w:r>
      </w:hyperlink>
      <w:r>
        <w:rPr>
          <w:rFonts w:cstheme="majorHAnsi"/>
          <w:szCs w:val="24"/>
        </w:rPr>
        <w:t xml:space="preserve"> </w:t>
      </w:r>
      <w:r w:rsidRPr="00EA161C">
        <w:rPr>
          <w:rFonts w:cstheme="majorHAnsi"/>
          <w:szCs w:val="24"/>
        </w:rPr>
        <w:t>připravit národní plány pro oživení a odolnost</w:t>
      </w:r>
      <w:r>
        <w:rPr>
          <w:rFonts w:cstheme="majorHAnsi"/>
          <w:szCs w:val="24"/>
        </w:rPr>
        <w:t xml:space="preserve">, </w:t>
      </w:r>
      <w:r w:rsidRPr="00EA161C">
        <w:rPr>
          <w:rFonts w:cstheme="majorHAnsi"/>
          <w:szCs w:val="24"/>
        </w:rPr>
        <w:t>které stanoví vnitrostátní program reforem a investic, které mají být provedeny do dne 31. srpna 2026. Nařízení</w:t>
      </w:r>
      <w:r>
        <w:rPr>
          <w:rFonts w:cstheme="majorHAnsi"/>
          <w:szCs w:val="24"/>
        </w:rPr>
        <w:t xml:space="preserve"> o RRF</w:t>
      </w:r>
      <w:r w:rsidRPr="00EA161C">
        <w:rPr>
          <w:rFonts w:cstheme="majorHAnsi"/>
          <w:szCs w:val="24"/>
        </w:rPr>
        <w:t xml:space="preserve"> vstoupilo v platnost dne 19. února 2021. Členské státy začaly své národní plány </w:t>
      </w:r>
      <w:r>
        <w:rPr>
          <w:rFonts w:cstheme="majorHAnsi"/>
          <w:szCs w:val="24"/>
        </w:rPr>
        <w:t>obnovy</w:t>
      </w:r>
      <w:r w:rsidRPr="00EA161C">
        <w:rPr>
          <w:rFonts w:cstheme="majorHAnsi"/>
          <w:szCs w:val="24"/>
        </w:rPr>
        <w:t xml:space="preserve"> a odolnost</w:t>
      </w:r>
      <w:r>
        <w:rPr>
          <w:rFonts w:cstheme="majorHAnsi"/>
          <w:szCs w:val="24"/>
        </w:rPr>
        <w:t>i</w:t>
      </w:r>
      <w:r w:rsidRPr="00EA161C">
        <w:rPr>
          <w:rFonts w:cstheme="majorHAnsi"/>
          <w:szCs w:val="24"/>
        </w:rPr>
        <w:t xml:space="preserve"> předkládat v dubnu 2021. Komise dosud oficiálně obdržela 26 </w:t>
      </w:r>
      <w:r>
        <w:rPr>
          <w:rFonts w:cstheme="majorHAnsi"/>
          <w:szCs w:val="24"/>
        </w:rPr>
        <w:t>národních plánů</w:t>
      </w:r>
      <w:r w:rsidRPr="00EA161C">
        <w:rPr>
          <w:rFonts w:cstheme="majorHAnsi"/>
          <w:szCs w:val="24"/>
        </w:rPr>
        <w:t xml:space="preserve">, z nichž </w:t>
      </w:r>
      <w:r>
        <w:rPr>
          <w:rFonts w:cstheme="majorHAnsi"/>
          <w:szCs w:val="24"/>
        </w:rPr>
        <w:t xml:space="preserve">22 </w:t>
      </w:r>
      <w:r w:rsidRPr="00EA161C">
        <w:rPr>
          <w:rFonts w:cstheme="majorHAnsi"/>
          <w:szCs w:val="24"/>
        </w:rPr>
        <w:t>bylo dosud posouzeno Komisí a přijato Radou</w:t>
      </w:r>
      <w:r>
        <w:rPr>
          <w:rStyle w:val="Znakapoznpodarou"/>
          <w:rFonts w:cstheme="majorHAnsi"/>
          <w:szCs w:val="24"/>
        </w:rPr>
        <w:footnoteReference w:id="2"/>
      </w:r>
      <w:r w:rsidRPr="00EA161C">
        <w:rPr>
          <w:rFonts w:cstheme="majorHAnsi"/>
          <w:szCs w:val="24"/>
        </w:rPr>
        <w:t xml:space="preserve">. </w:t>
      </w:r>
    </w:p>
    <w:p w:rsidR="005753AC" w:rsidRDefault="005753AC" w:rsidP="005753AC">
      <w:pPr>
        <w:jc w:val="both"/>
      </w:pPr>
      <w:r w:rsidRPr="00842DA6">
        <w:rPr>
          <w:rStyle w:val="Hypertextovodkaz"/>
        </w:rPr>
        <w:t>Zpráva</w:t>
      </w:r>
      <w:r>
        <w:t xml:space="preserve"> je první výroční zprávou hodnotící provádění Nástroje pro oživení a odolnost a poskytuje přehled o současném stavu provádění a o přijatých plánech a také podrobně popisuje příspěvek RRF k cílům v klimatické a digitální oblasti. Dále posuzuje výkonnost nástroje a popisuje zavedené mechanismy na ochranu finančních zájmů EU. </w:t>
      </w:r>
    </w:p>
    <w:p w:rsidR="005753AC" w:rsidRPr="0048126F" w:rsidRDefault="005753AC" w:rsidP="005753A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 w:hanging="357"/>
        <w:jc w:val="left"/>
      </w:pPr>
      <w:bookmarkStart w:id="17" w:name="_Toc445380611"/>
      <w:bookmarkStart w:id="18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7"/>
      <w:bookmarkEnd w:id="18"/>
    </w:p>
    <w:p w:rsidR="005753AC" w:rsidRDefault="005753AC" w:rsidP="005753AC">
      <w:pPr>
        <w:spacing w:after="120"/>
        <w:jc w:val="both"/>
      </w:pPr>
      <w:r>
        <w:t xml:space="preserve">Většina států předložila své plány pro oživení a odolnost do léta 2021. Dosud </w:t>
      </w:r>
      <w:r w:rsidRPr="00F340DB">
        <w:rPr>
          <w:b/>
        </w:rPr>
        <w:t>Komise oficiálně obdržela celkem 26 plánů pro oživení a odolnost</w:t>
      </w:r>
      <w:r>
        <w:t xml:space="preserve">, předložen nebyl pouze plán </w:t>
      </w:r>
      <w:r w:rsidRPr="002542C2">
        <w:t>Nizozemska</w:t>
      </w:r>
      <w:r>
        <w:t xml:space="preserve">. Komise všechny plány urychleně posoudila dle 11 kritérií stanovených v čl. 19 odst. 3 </w:t>
      </w:r>
      <w:hyperlink r:id="rId15" w:history="1">
        <w:r>
          <w:rPr>
            <w:rStyle w:val="Hypertextovodkaz"/>
          </w:rPr>
          <w:t>nařízení o RRF</w:t>
        </w:r>
      </w:hyperlink>
      <w:r>
        <w:t xml:space="preserve">, přičemž s členskými státy zůstávala v úzkém kontaktu za účelem provedení komplexního hodnocení. </w:t>
      </w:r>
      <w:r w:rsidRPr="00F340DB">
        <w:rPr>
          <w:b/>
        </w:rPr>
        <w:t xml:space="preserve">Kladné hodnocení bylo </w:t>
      </w:r>
      <w:r>
        <w:rPr>
          <w:b/>
        </w:rPr>
        <w:t>dle zprávy</w:t>
      </w:r>
      <w:r w:rsidRPr="00F340DB">
        <w:rPr>
          <w:b/>
        </w:rPr>
        <w:t xml:space="preserve"> Komisí uděleno 22 plánům</w:t>
      </w:r>
      <w:r>
        <w:t xml:space="preserve">, k nimž Komise předložila návrhy prováděcího rozhodnutí Rady spolu s pracovním dokumentem analyzujícím obsah příslušného plánu. Radou byla tato kladná hodnocení schválena a po přijetí plánů uzavřela Komise s příslušnými členskými státy </w:t>
      </w:r>
      <w:r>
        <w:lastRenderedPageBreak/>
        <w:t xml:space="preserve">dohodu o financování, případně dohodu o půjčce. Schváleny dosud nejsou plány Polska, Maďarska, Švédska a Bulharska. </w:t>
      </w:r>
    </w:p>
    <w:p w:rsidR="005753AC" w:rsidRDefault="005753AC" w:rsidP="005753AC">
      <w:pPr>
        <w:spacing w:after="120"/>
        <w:jc w:val="both"/>
      </w:pPr>
      <w:r>
        <w:t xml:space="preserve">V souladu s čl. 13 odst. 1 </w:t>
      </w:r>
      <w:hyperlink r:id="rId16" w:history="1">
        <w:r>
          <w:rPr>
            <w:rStyle w:val="Hypertextovodkaz"/>
          </w:rPr>
          <w:t>nařízení o RRF</w:t>
        </w:r>
      </w:hyperlink>
      <w:r>
        <w:t xml:space="preserve"> mohly státy do konce roku 2021 obdržet </w:t>
      </w:r>
      <w:r w:rsidRPr="00F340DB">
        <w:rPr>
          <w:b/>
        </w:rPr>
        <w:t>předběžné financování</w:t>
      </w:r>
      <w:r>
        <w:t xml:space="preserve"> ve výši až 13 % finančního příspěvku a půjčky. Až na Irsko, které o předběžné prostředky nezažádalo, obdrželo toto financování všech 21 států, kterým byl plán schválen, </w:t>
      </w:r>
      <w:r w:rsidRPr="00F340DB">
        <w:rPr>
          <w:b/>
        </w:rPr>
        <w:t>v celkové výši 56,6 miliardy EUR</w:t>
      </w:r>
      <w:r>
        <w:t>.</w:t>
      </w:r>
    </w:p>
    <w:p w:rsidR="005753AC" w:rsidRDefault="005753AC" w:rsidP="005753AC">
      <w:pPr>
        <w:spacing w:after="120"/>
        <w:jc w:val="both"/>
      </w:pPr>
      <w:r>
        <w:t xml:space="preserve">S každým z 22 dotčených států projednala Komise provozní ujednání, která blíže upřesňují způsoby sledování a spolupráce a zahrnují základní aspekty provádění. Podpis provozních ujednání je vyžadován pro možnost žádostí o platby. Ke dni předložení zprávy bylo </w:t>
      </w:r>
      <w:r w:rsidRPr="005B6E6E">
        <w:rPr>
          <w:b/>
        </w:rPr>
        <w:t>uzavřeno osm provozních ujednání</w:t>
      </w:r>
      <w:r>
        <w:t xml:space="preserve"> (Španělsko, Francie, Slovensko, Řecko, Itálie, Portugalsko, Chorvatsko, Lotyšsko).</w:t>
      </w:r>
    </w:p>
    <w:p w:rsidR="005753AC" w:rsidRDefault="005753AC" w:rsidP="005753AC">
      <w:pPr>
        <w:spacing w:after="120"/>
        <w:jc w:val="both"/>
      </w:pPr>
      <w:r>
        <w:t xml:space="preserve">Komise dosud obdržela </w:t>
      </w:r>
      <w:r w:rsidRPr="00EA4EDE">
        <w:rPr>
          <w:b/>
        </w:rPr>
        <w:t>pět žádostí o platbu</w:t>
      </w:r>
      <w:r>
        <w:t xml:space="preserve"> (Španělsko, Francie, Řecko, Itálie, Portugalsko), z nichž byla prozatím vyplacena jedna. V prosinci 2021 byl </w:t>
      </w:r>
      <w:r w:rsidRPr="00E552A1">
        <w:rPr>
          <w:b/>
        </w:rPr>
        <w:t>Španělsku vyplacen finanční příspěvek ve výši 10 mld. EUR</w:t>
      </w:r>
      <w:r>
        <w:t xml:space="preserve"> na základě splnění milníků a cílů, mezi něž patří důležitá opatření jako např. zákon o změně klimatu a transformaci energetiky, reforma podpory minimálního příjmu ad. Tento příklad ukazuje, že RRF má již teď hmatatelné dopady.</w:t>
      </w:r>
    </w:p>
    <w:p w:rsidR="005753AC" w:rsidRDefault="005753AC" w:rsidP="005753AC">
      <w:pPr>
        <w:spacing w:after="120"/>
        <w:jc w:val="both"/>
      </w:pPr>
      <w:r>
        <w:t>Vzhledem k tomu, že RRF už vstoupil do fáze provádění, nabývá na důležitosti</w:t>
      </w:r>
      <w:r w:rsidRPr="003E4615">
        <w:rPr>
          <w:b/>
        </w:rPr>
        <w:t xml:space="preserve"> kontrolní</w:t>
      </w:r>
      <w:r>
        <w:t xml:space="preserve"> </w:t>
      </w:r>
      <w:r>
        <w:rPr>
          <w:b/>
        </w:rPr>
        <w:t xml:space="preserve">rámec </w:t>
      </w:r>
      <w:r w:rsidRPr="002548B2">
        <w:rPr>
          <w:b/>
        </w:rPr>
        <w:t>provádění N</w:t>
      </w:r>
      <w:r>
        <w:rPr>
          <w:b/>
        </w:rPr>
        <w:t>PO</w:t>
      </w:r>
      <w:r>
        <w:t xml:space="preserve">. Dne 2. prosince 2021 byly doplněny některé požadavky na podávání zpráv členskými státy ve dvou aktech. </w:t>
      </w:r>
      <w:hyperlink r:id="rId17" w:history="1">
        <w:r w:rsidRPr="00492CBC">
          <w:rPr>
            <w:rStyle w:val="Hypertextovodkaz"/>
          </w:rPr>
          <w:t>Nařízení Komise v přenesené pravomoci (EU) 2021/2106</w:t>
        </w:r>
      </w:hyperlink>
      <w:r>
        <w:t xml:space="preserve"> stanovuje společné ukazatele pro podávání zpráv o pokroku, které mají státy předkládat dvakrát ročně (do dubna a poloviny října), </w:t>
      </w:r>
      <w:hyperlink r:id="rId18" w:history="1">
        <w:r w:rsidRPr="00363D35">
          <w:rPr>
            <w:rStyle w:val="Hypertextovodkaz"/>
          </w:rPr>
          <w:t>nařízení Komise v přenesené pravomoci (EU) 2021/2105</w:t>
        </w:r>
      </w:hyperlink>
      <w:r>
        <w:t xml:space="preserve"> pak stanovuje metodiku pro vykazování sociálních výdajů v NRRP. </w:t>
      </w:r>
      <w:r>
        <w:rPr>
          <w:sz w:val="23"/>
          <w:szCs w:val="23"/>
        </w:rPr>
        <w:t xml:space="preserve">Členské státy musí také dvakrát ročně (v únoru a srpnu) podávat zprávy o stanovených společných ukazatelích. Pro tyto účely </w:t>
      </w:r>
      <w:r>
        <w:t xml:space="preserve">zřídila Komise informační systém FENIX umožňující členským státům poskytovat příslušné informace o provádění plánů. Přezkum informací z prvních pololetních zpráv poukazuje na náležité plnění milníků a cílů. O transparentní vykazování výkonnosti RRF se stará také veřejná online platforma </w:t>
      </w:r>
      <w:hyperlink r:id="rId19" w:history="1">
        <w:r w:rsidRPr="00F80566">
          <w:rPr>
            <w:rStyle w:val="Hypertextovodkaz"/>
          </w:rPr>
          <w:t>Recovery and Resilience Scoreboard</w:t>
        </w:r>
      </w:hyperlink>
      <w:r>
        <w:t xml:space="preserve"> zavedená Komisí.</w:t>
      </w:r>
    </w:p>
    <w:p w:rsidR="005753AC" w:rsidRDefault="005753AC" w:rsidP="005753AC">
      <w:pPr>
        <w:spacing w:after="120"/>
        <w:jc w:val="both"/>
      </w:pPr>
      <w:r>
        <w:t xml:space="preserve">Pro provádění RRF se </w:t>
      </w:r>
      <w:r w:rsidRPr="00C62510">
        <w:rPr>
          <w:b/>
        </w:rPr>
        <w:t>Komise ujala nové role aktivního emitenta na kapitálovém trhu</w:t>
      </w:r>
      <w:r>
        <w:t xml:space="preserve">. Komise si může v období 2021–2026 </w:t>
      </w:r>
      <w:r w:rsidRPr="00C62510">
        <w:rPr>
          <w:b/>
        </w:rPr>
        <w:t>půjčit až 806,9 mld. EUR</w:t>
      </w:r>
      <w:r>
        <w:t xml:space="preserve">, z čehož až 150 mld. EUR ročně tvoří emise dluhopisů a až 250 mld. EUR zelené dluhopisy. Dosud prostřednictvím dluhopisů Komise získala dlouhodobé financování ve výši 78,5 mld. EUR a prostřednictvím pokladničních poukázek EU krátkodobé financování ve výši 33 mld. EUR. Dosud byla Komise schopna financovat příchozí žádosti v rámci RRF velmi rychle. </w:t>
      </w:r>
    </w:p>
    <w:p w:rsidR="005753AC" w:rsidRPr="009F30E0" w:rsidRDefault="005753AC" w:rsidP="005753AC">
      <w:pPr>
        <w:rPr>
          <w:u w:val="single"/>
        </w:rPr>
      </w:pPr>
      <w:r w:rsidRPr="009F30E0">
        <w:rPr>
          <w:b/>
          <w:u w:val="single"/>
        </w:rPr>
        <w:t>Příspěvky nástroje k jednotlivým pilířům</w:t>
      </w:r>
    </w:p>
    <w:p w:rsidR="005753AC" w:rsidRDefault="005753AC" w:rsidP="005753AC">
      <w:pPr>
        <w:spacing w:after="120"/>
        <w:jc w:val="both"/>
      </w:pPr>
      <w:r>
        <w:t xml:space="preserve">Schválených 22 plánů pro oživení a odolnost má přiděleno celkem </w:t>
      </w:r>
      <w:r w:rsidRPr="00C62510">
        <w:rPr>
          <w:b/>
        </w:rPr>
        <w:t>291 mld. EUR ve formě grantů a 154 mld. EUR ve formě půjček</w:t>
      </w:r>
      <w:r>
        <w:t xml:space="preserve"> (pro Kypr, Řecko, Itálii, Portugalsko, Rumunsko a Slovinsko). Tyto plány obsahují cca </w:t>
      </w:r>
      <w:r w:rsidRPr="00C62510">
        <w:rPr>
          <w:b/>
        </w:rPr>
        <w:t>1/3 reforem a 2/3 investic a celkem 5 155 milníků a cílů</w:t>
      </w:r>
      <w:r>
        <w:t xml:space="preserve">, které mají být splněny do roku 2026. Podíl finančních prostředků k jednotlivým pilířům je vyhodnocován dle metodiky pro podávání zpráv o příspěvku každého plánu k šesti pilířům RRF. Nejvíce prostředků jde primárně na zelenou transformaci a digitální transformaci, což je ovlivněno nařízením o RRF, které od členských států v jejich plánech požadovalo přidělení minimálně 37 % celkových prostředků na opatření přispívající k cílům v oblasti klimatu a minimálně 20 % na digitální cíle. </w:t>
      </w:r>
    </w:p>
    <w:p w:rsidR="005753AC" w:rsidRDefault="005753AC" w:rsidP="005753AC">
      <w:pPr>
        <w:rPr>
          <w:u w:val="single"/>
        </w:rPr>
      </w:pPr>
      <w:r>
        <w:rPr>
          <w:u w:val="single"/>
        </w:rPr>
        <w:br w:type="page"/>
      </w:r>
    </w:p>
    <w:p w:rsidR="005753AC" w:rsidRPr="009F30E0" w:rsidRDefault="005753AC" w:rsidP="005753AC">
      <w:pPr>
        <w:rPr>
          <w:u w:val="single"/>
        </w:rPr>
      </w:pPr>
      <w:r w:rsidRPr="009F30E0">
        <w:rPr>
          <w:u w:val="single"/>
        </w:rPr>
        <w:lastRenderedPageBreak/>
        <w:t>Pilíř 1: Zelená transformace</w:t>
      </w:r>
    </w:p>
    <w:p w:rsidR="005753AC" w:rsidRDefault="005753AC" w:rsidP="005753AC">
      <w:pPr>
        <w:spacing w:after="120"/>
        <w:jc w:val="both"/>
      </w:pPr>
      <w:r>
        <w:t>Celkové výdaje na oblast klimatu v přijatých plánech dosahují výše 177,4 mld. EUR, což tvoří cca 40 % celkových prostředků přidělených na plány. Dodatečné výdaje na ochranu životního prostředí (tj. investice s koeficientem 40 % nebo 100 % v environmentální oblasti, které nejsou zahrnuty v příspěvku v oblasti klimatu) jsou pak 16,3 mld. EUR. RRF by měl pomoci dosažení klimatických cílů EU.</w:t>
      </w:r>
      <w:r>
        <w:rPr>
          <w:rStyle w:val="Znakapoznpodarou"/>
        </w:rPr>
        <w:footnoteReference w:id="3"/>
      </w:r>
      <w:r w:rsidRPr="00DC610B">
        <w:t xml:space="preserve"> </w:t>
      </w:r>
      <w:r>
        <w:t>Vyplácení prostředků v rámci RRF bude vázáno na dodržování zásady „významně nepoškozovat“</w:t>
      </w:r>
      <w:r>
        <w:rPr>
          <w:rStyle w:val="Znakapoznpodarou"/>
        </w:rPr>
        <w:footnoteReference w:id="4"/>
      </w:r>
      <w:r>
        <w:t xml:space="preserve"> dle prováděcího rozhodnutí Rady, kterým se schvalují vnitrostátní plány pro oživení a odolnost. </w:t>
      </w:r>
    </w:p>
    <w:p w:rsidR="005753AC" w:rsidRDefault="005753AC" w:rsidP="005753AC">
      <w:pPr>
        <w:spacing w:after="120"/>
        <w:jc w:val="both"/>
      </w:pPr>
      <w:r>
        <w:t xml:space="preserve">Opatření v jednotlivých plánech pro oživení a odolnost pokrývají celou řadu oblastí. Největší podíl celkových výdajů na tento pilíř (32 %; 71,3 mld. EUR) představuje </w:t>
      </w:r>
      <w:r w:rsidRPr="00B01E49">
        <w:rPr>
          <w:b/>
          <w:i/>
        </w:rPr>
        <w:t>udržitelná mobilita</w:t>
      </w:r>
      <w:r>
        <w:t xml:space="preserve">, zaměřená hlavně na modernizaci a rozšíření železniční infrastruktury, zlepšení udržitelnosti silniční dopravy, ale také ekologizaci vodní a letecké dopravy. Další významnou oblastí je </w:t>
      </w:r>
      <w:r w:rsidRPr="00B01E49">
        <w:rPr>
          <w:b/>
          <w:i/>
        </w:rPr>
        <w:t>energetická účinnost</w:t>
      </w:r>
      <w:r>
        <w:t xml:space="preserve"> (29 % celkových výdajů pilíře; 64,4 mld. EUR), která se se věnuje především budovám a dekarbonizaci výrobních procesů v různých odvětvích. Výdaje v rámci pilíře zelené transformace jdou dále na </w:t>
      </w:r>
      <w:r w:rsidRPr="004C0248">
        <w:rPr>
          <w:b/>
          <w:i/>
        </w:rPr>
        <w:t>obnovitelné energie a sítě</w:t>
      </w:r>
      <w:r>
        <w:t xml:space="preserve"> (12 %; 26,7 mld. EUR), přibližně ze dvou třetin na technologie obnovitelných zdrojů a z jedné třetiny na investice do energetických sítí a infrastruktury. Z 22 plánů jich 15 zahrnuje opatření zaměřená na vodík, mnohé pak obsahují také reformy politického rámce na podporu obnovitelné energie a zvláštní reformy zaměřené na zefektivnění účinného fungování trhů s elektřinou a rozvoj nových OZE. Menší část výdajů (7 %; 13,4 mld. EUR) je věnována </w:t>
      </w:r>
      <w:r w:rsidRPr="008330B4">
        <w:rPr>
          <w:b/>
          <w:i/>
        </w:rPr>
        <w:t>dalším investicím souvisejícími s klimatem</w:t>
      </w:r>
      <w:r>
        <w:t xml:space="preserve"> – výzkum, vývoj a inovace, zelené dovednosti a zelená pracovní místa a dekarbonizace průmyslu. Plány se také zabývají přizpůsobením se změně klimatu (6 % celkových výdajů pilíře; 12,5 mld. EUR), a to především zmírňováním povodňových rizik, obhospodařováním lesů a prevencí požárů. Zbývající výdaje na pilíř zelené transformace (13 %; 28,8 mld. EUR) připadají na: </w:t>
      </w:r>
      <w:r w:rsidRPr="00B16F46">
        <w:rPr>
          <w:b/>
          <w:i/>
        </w:rPr>
        <w:t>biologickou rozmanitost</w:t>
      </w:r>
      <w:r>
        <w:t xml:space="preserve">, </w:t>
      </w:r>
      <w:r w:rsidRPr="00B16F46">
        <w:rPr>
          <w:b/>
          <w:i/>
        </w:rPr>
        <w:t>oběhové hospodářství</w:t>
      </w:r>
      <w:r>
        <w:t xml:space="preserve">, </w:t>
      </w:r>
      <w:r w:rsidRPr="00B16F46">
        <w:rPr>
          <w:b/>
          <w:i/>
        </w:rPr>
        <w:t>udržitelné zásobování vodou</w:t>
      </w:r>
      <w:r>
        <w:t xml:space="preserve"> a </w:t>
      </w:r>
      <w:r w:rsidRPr="00B16F46">
        <w:rPr>
          <w:b/>
          <w:i/>
        </w:rPr>
        <w:t>prevenci a omezování znečištění</w:t>
      </w:r>
      <w:r>
        <w:t xml:space="preserve">. 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t>Pilíř 2: Digitální transformace</w:t>
      </w:r>
    </w:p>
    <w:p w:rsidR="005753AC" w:rsidRDefault="005753AC" w:rsidP="005753AC">
      <w:pPr>
        <w:spacing w:after="120"/>
        <w:jc w:val="both"/>
      </w:pPr>
      <w:r>
        <w:t xml:space="preserve">Celkové výdaje na digitální oblast v přijatých plánech jsou 117 mld. EUR, což tvoří cca 26 % celkových přidělených prostředků. Podíl tohoto pilíře je největší v plánech Rakouska a Německa. </w:t>
      </w:r>
    </w:p>
    <w:p w:rsidR="005753AC" w:rsidRDefault="005753AC" w:rsidP="005753AC">
      <w:pPr>
        <w:spacing w:after="120"/>
        <w:jc w:val="both"/>
      </w:pPr>
      <w:r>
        <w:t xml:space="preserve">Obdobně jako první pilíř je i pilíř digitální transformace zaměřen na vícero oblastí. V dosud přijatých plánech tvoří největší část výdajů v rámci tohoto pilíře (36 %; 47 mld. EUR) </w:t>
      </w:r>
      <w:r w:rsidRPr="00400379">
        <w:rPr>
          <w:b/>
          <w:i/>
        </w:rPr>
        <w:t>elektronická veřejná správa a digitální veřejné služby</w:t>
      </w:r>
      <w:r>
        <w:t xml:space="preserve"> s investicemi zaměřenými na začlenění pokročilých technologií (např. vládní cloud) do vládních procesů, posílení veřejného sektoru v oblasti kybernetické bezpečnosti či digitalizaci vnitrostátních systémů zdravotní péče. Další velkou oblastí pilíře je </w:t>
      </w:r>
      <w:r w:rsidRPr="00F70BA5">
        <w:rPr>
          <w:b/>
          <w:i/>
        </w:rPr>
        <w:t>lidský kapitál v oblasti digitalizace</w:t>
      </w:r>
      <w:r>
        <w:t xml:space="preserve"> (20 % celkových výdajů pilíře; 26 mld. EUR) obsahující opatření ke zvýšení úrovně digitálních dovedností, a stejnou část výdajů v tomto pilíři tvoří </w:t>
      </w:r>
      <w:r w:rsidRPr="00F057BB">
        <w:rPr>
          <w:b/>
          <w:i/>
        </w:rPr>
        <w:t>digitalizace podniků</w:t>
      </w:r>
      <w:r>
        <w:t xml:space="preserve"> zaměřující se na klíčové reformy, mimo jiné např. reformy zjednodušující administrativní postupy pro podniky a vytváření základu digitálního podnikatelského prostředí, a investice na podporu začleňování pokročilých digitálních technologií do výrobních procesů podniků (např. automatizace, umělá inteligence). Další prostředky budou v rámci pilíře vynaloženy na </w:t>
      </w:r>
      <w:r w:rsidRPr="00C9684D">
        <w:rPr>
          <w:b/>
          <w:i/>
        </w:rPr>
        <w:t>digitální výzkum a vývoj, digitální kapacity a zavádění pokročilých technologií</w:t>
      </w:r>
      <w:r>
        <w:t xml:space="preserve"> (14 %; 18 mld. EUR), a to hlavně na investice do činností v oblasti výzkumu, vývoje a inovací (např. mikroelektronika, cloud, kybernetická bezpečnost, umělá inteligence). Zbytek </w:t>
      </w:r>
      <w:r>
        <w:lastRenderedPageBreak/>
        <w:t xml:space="preserve">výdajů v rámci pilíře je určen na </w:t>
      </w:r>
      <w:r w:rsidRPr="00F057BB">
        <w:rPr>
          <w:b/>
          <w:i/>
        </w:rPr>
        <w:t>konektivitu</w:t>
      </w:r>
      <w:r>
        <w:t xml:space="preserve"> (10 %; 13 mld. EUR), která zahrnuje velkou škálu opatření s cílem zavedení sítí s velmi vysokou kapacitou či investice do instalace optické infrastruktury. 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t>Pilíř 3: Inteligentní a udržitelný růst podporující začlenění</w:t>
      </w:r>
    </w:p>
    <w:p w:rsidR="005753AC" w:rsidRDefault="005753AC" w:rsidP="005753AC">
      <w:pPr>
        <w:spacing w:after="120"/>
        <w:jc w:val="both"/>
      </w:pPr>
      <w:r>
        <w:t xml:space="preserve">Současných 22 plánů pro oživení a odolnost obsahuje k pilíři inteligentního a udržitelného růstu podporujícího začlenění opatření v celkové hodnotě cca 223 mld. EUR. Opatření se týkají velmi různorodých oblastí od podpory malých a středních podniků přes výzkum a inovace po investice na podporu inteligentního a udržitelného růstu. Největší podíl výdajů v rámci tohoto pilíře jde na </w:t>
      </w:r>
      <w:r w:rsidRPr="00B84227">
        <w:rPr>
          <w:b/>
          <w:i/>
        </w:rPr>
        <w:t>renovaci budov a výstavbu</w:t>
      </w:r>
      <w:r>
        <w:t xml:space="preserve">. Další oblastí, která se v plánech objevuje, je </w:t>
      </w:r>
      <w:r w:rsidRPr="003A3A2A">
        <w:rPr>
          <w:b/>
          <w:i/>
        </w:rPr>
        <w:t>p</w:t>
      </w:r>
      <w:r>
        <w:rPr>
          <w:b/>
          <w:i/>
        </w:rPr>
        <w:t>odpora malých a </w:t>
      </w:r>
      <w:r w:rsidRPr="003A3A2A">
        <w:rPr>
          <w:b/>
          <w:i/>
        </w:rPr>
        <w:t>středních podniků</w:t>
      </w:r>
      <w:r>
        <w:t xml:space="preserve"> (dále jen „MSP“; 22 % celkových výdajů pilíře; 44 mld. EUR), jíž se věnuje 19 z 22 plánů. Jde o opatření pokrývající různorodá témata od zlepšení podnikatelského prostředí a přístupu k veřejným zakázkám až po digitalizaci MSP a jejich environmentální udržitelnost. Další významná část výdajů připadá na </w:t>
      </w:r>
      <w:r w:rsidRPr="00B84227">
        <w:rPr>
          <w:b/>
          <w:i/>
        </w:rPr>
        <w:t>výzkum, vývoj a inovace</w:t>
      </w:r>
      <w:r>
        <w:t xml:space="preserve"> (44 mld. EUR</w:t>
      </w:r>
      <w:r>
        <w:rPr>
          <w:rStyle w:val="Znakapoznpodarou"/>
        </w:rPr>
        <w:footnoteReference w:id="5"/>
      </w:r>
      <w:r>
        <w:t xml:space="preserve">), a to na investice a reformy, které mohou mít skutečný transformační dopad na rozvoj výzkumného a inovačního systému členských států nebo které snižují administrativní zátěž. Většina plánů zahrnuje také opatření ke zlepšení </w:t>
      </w:r>
      <w:r w:rsidRPr="00306ED4">
        <w:rPr>
          <w:b/>
          <w:i/>
        </w:rPr>
        <w:t>podnikatelského prostředí</w:t>
      </w:r>
      <w:r>
        <w:t xml:space="preserve"> (8,5 % celkových výdajů pilíře; 17,2 mld. EUR), hlavně pomocí ulehčení podnikání snížením byrokratické zátěže, liberalizace regulace podnikání a odstranění omezení ve vysoce regulovaných povoláních. Výdaje jdou v rámci tohoto pilíře také na </w:t>
      </w:r>
      <w:r w:rsidRPr="00306ED4">
        <w:rPr>
          <w:b/>
          <w:i/>
        </w:rPr>
        <w:t>konkurenceschopnost</w:t>
      </w:r>
      <w:r>
        <w:t xml:space="preserve">, </w:t>
      </w:r>
      <w:r w:rsidRPr="00306ED4">
        <w:rPr>
          <w:b/>
          <w:i/>
        </w:rPr>
        <w:t>industrializaci a reindustrializaci</w:t>
      </w:r>
      <w:r>
        <w:t xml:space="preserve">, </w:t>
      </w:r>
      <w:r w:rsidRPr="00306ED4">
        <w:rPr>
          <w:b/>
          <w:i/>
        </w:rPr>
        <w:t>podnikatelskou infrastrukturu</w:t>
      </w:r>
      <w:r>
        <w:t xml:space="preserve">, </w:t>
      </w:r>
      <w:r w:rsidRPr="00306ED4">
        <w:rPr>
          <w:b/>
          <w:i/>
        </w:rPr>
        <w:t>kulturní odvětví</w:t>
      </w:r>
      <w:r>
        <w:t xml:space="preserve">, </w:t>
      </w:r>
      <w:r w:rsidRPr="00306ED4">
        <w:rPr>
          <w:b/>
          <w:i/>
        </w:rPr>
        <w:t>změnu předpisů</w:t>
      </w:r>
      <w:r>
        <w:t xml:space="preserve"> v rámci pilíře, </w:t>
      </w:r>
      <w:r w:rsidRPr="00306ED4">
        <w:rPr>
          <w:b/>
          <w:i/>
        </w:rPr>
        <w:t>podporu velkých podniků</w:t>
      </w:r>
      <w:r>
        <w:t xml:space="preserve"> a </w:t>
      </w:r>
      <w:r w:rsidRPr="00306ED4">
        <w:rPr>
          <w:b/>
          <w:i/>
        </w:rPr>
        <w:t>nadnárodní spolupráci</w:t>
      </w:r>
      <w:r>
        <w:t xml:space="preserve">. 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t>Pilíř 4: Sociální a územní soudržnost</w:t>
      </w:r>
    </w:p>
    <w:p w:rsidR="005753AC" w:rsidRDefault="005753AC" w:rsidP="005753AC">
      <w:pPr>
        <w:spacing w:after="120"/>
        <w:jc w:val="both"/>
      </w:pPr>
      <w:r>
        <w:t xml:space="preserve">Výdaje na tento pilíř jsou odhadovány ve výši 193 mld. EUR. Více než polovinu těchto výdajů (72 %) představují </w:t>
      </w:r>
      <w:r w:rsidRPr="00D315C5">
        <w:rPr>
          <w:b/>
          <w:i/>
        </w:rPr>
        <w:t>investice do infrastruktury</w:t>
      </w:r>
      <w:r>
        <w:t xml:space="preserve">, včetně rozvoje venkovských a odlehlých oblastí. Jde o opatření na podporu zemědělství, zlepšení infrastruktur, které mohou posílit hospodářství a konkurenceschopnost, poskytování služeb s přímým dopadem na kvalitu každodenního života, ale také opatření pro lepší využívání přírodních zdrojů a ochranu životního prostředí. Výdaje na sociální soudržnost jsou pak téměř rovnoměrně rozděleny mezi </w:t>
      </w:r>
      <w:r w:rsidRPr="009E2A5E">
        <w:rPr>
          <w:b/>
          <w:i/>
        </w:rPr>
        <w:t>opatření přispívající k zaměstnanosti a dovednostem</w:t>
      </w:r>
      <w:r>
        <w:t xml:space="preserve"> (podpora zaměstnanosti a tvorba pracovních míst pro jiné cílové skupiny než mládež, modernizace institucí trhu práce a vzdělávání dospělých) a </w:t>
      </w:r>
      <w:r w:rsidRPr="009E2A5E">
        <w:rPr>
          <w:b/>
          <w:i/>
        </w:rPr>
        <w:t>sociální politiky</w:t>
      </w:r>
      <w:r>
        <w:t xml:space="preserve"> (sociální ochrana a bydlení). 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t xml:space="preserve">Pilíř 5: </w:t>
      </w:r>
      <w:r>
        <w:rPr>
          <w:u w:val="single"/>
        </w:rPr>
        <w:t>Odolnost z</w:t>
      </w:r>
      <w:r w:rsidRPr="000D41B8">
        <w:rPr>
          <w:u w:val="single"/>
        </w:rPr>
        <w:t>dravotnictví a hospodářská, sociální a institucionální odolnost</w:t>
      </w:r>
      <w:r>
        <w:rPr>
          <w:u w:val="single"/>
        </w:rPr>
        <w:t>;</w:t>
      </w:r>
      <w:r w:rsidRPr="000D41B8">
        <w:rPr>
          <w:u w:val="single"/>
        </w:rPr>
        <w:t xml:space="preserve"> s cílem mimo jiné zvyšovat připravenost a schopnost reakce na krize</w:t>
      </w:r>
    </w:p>
    <w:p w:rsidR="005753AC" w:rsidRDefault="005753AC" w:rsidP="005753AC">
      <w:pPr>
        <w:spacing w:after="120"/>
        <w:jc w:val="both"/>
      </w:pPr>
      <w:r>
        <w:t xml:space="preserve">Doposud přijaté plány obsahují v rámci tohoto pilíře opatření s celkovou hodnotou ve výši 78 mld. EUR. Největší podíl výdajů v rámci pilíře (49,15 %; 37 mld. EUR) připadá na </w:t>
      </w:r>
      <w:r w:rsidRPr="001A7EFD">
        <w:rPr>
          <w:b/>
          <w:i/>
        </w:rPr>
        <w:t>zdravotní péči</w:t>
      </w:r>
      <w:r>
        <w:t xml:space="preserve">, její odolnost, udržitelnost, přiměřenost, dostupnost, přístupnost a kvalitu, včetně digitalizace a infrastruktury. Jedná se především o zlepšení primární péče a prevence, zejména ve venkovských a znevýhodněných oblastech, a digitalizaci vnitrostátních systémů zdravotní péče. Druhý největší podíl výdajů je plánovaný na </w:t>
      </w:r>
      <w:r w:rsidRPr="007D36B6">
        <w:rPr>
          <w:b/>
          <w:i/>
        </w:rPr>
        <w:t>efektivnost veřejné správy a vnitrostátních systémů</w:t>
      </w:r>
      <w:r>
        <w:t xml:space="preserve">, včetně minimalizace administrativní zátěže. Dalšími oblastmi jsou </w:t>
      </w:r>
      <w:r w:rsidRPr="007D36B6">
        <w:rPr>
          <w:b/>
          <w:i/>
        </w:rPr>
        <w:t>připravenost na krize</w:t>
      </w:r>
      <w:r>
        <w:t xml:space="preserve">, </w:t>
      </w:r>
      <w:r w:rsidRPr="007D36B6">
        <w:rPr>
          <w:b/>
          <w:i/>
        </w:rPr>
        <w:t>dlouhodobá péče</w:t>
      </w:r>
      <w:r>
        <w:t xml:space="preserve">, </w:t>
      </w:r>
      <w:r w:rsidRPr="007D36B6">
        <w:rPr>
          <w:b/>
          <w:i/>
        </w:rPr>
        <w:t>účinnost justičních systémů</w:t>
      </w:r>
      <w:r>
        <w:t xml:space="preserve"> (hlavně v italském plánu), </w:t>
      </w:r>
      <w:r w:rsidRPr="007D36B6">
        <w:rPr>
          <w:b/>
          <w:i/>
        </w:rPr>
        <w:t>strategická autonomie</w:t>
      </w:r>
      <w:r>
        <w:t xml:space="preserve">, </w:t>
      </w:r>
      <w:r w:rsidRPr="007D36B6">
        <w:rPr>
          <w:b/>
          <w:i/>
        </w:rPr>
        <w:t>daňová opatření</w:t>
      </w:r>
      <w:r>
        <w:t xml:space="preserve"> (environmentální daně), </w:t>
      </w:r>
      <w:r w:rsidRPr="007D36B6">
        <w:rPr>
          <w:b/>
          <w:i/>
        </w:rPr>
        <w:t>schopnost reagovat na krize</w:t>
      </w:r>
      <w:r>
        <w:t xml:space="preserve">, </w:t>
      </w:r>
      <w:r w:rsidRPr="007D36B6">
        <w:rPr>
          <w:b/>
          <w:i/>
        </w:rPr>
        <w:t>kontinuita činnosti a veřejných služeb v případě krize</w:t>
      </w:r>
      <w:r>
        <w:t xml:space="preserve">, </w:t>
      </w:r>
      <w:r w:rsidRPr="007D36B6">
        <w:rPr>
          <w:b/>
          <w:i/>
        </w:rPr>
        <w:t>fiskální politika a fiskální řízení</w:t>
      </w:r>
      <w:r>
        <w:t xml:space="preserve">, </w:t>
      </w:r>
      <w:r w:rsidRPr="007D36B6">
        <w:rPr>
          <w:b/>
          <w:i/>
        </w:rPr>
        <w:t>předcházení podvodům</w:t>
      </w:r>
      <w:r>
        <w:t xml:space="preserve"> a </w:t>
      </w:r>
      <w:r w:rsidRPr="007D36B6">
        <w:rPr>
          <w:b/>
          <w:i/>
        </w:rPr>
        <w:t>dohled zaměřený na boj proti praní peněz</w:t>
      </w:r>
      <w:r>
        <w:rPr>
          <w:b/>
          <w:i/>
        </w:rPr>
        <w:t xml:space="preserve"> </w:t>
      </w:r>
      <w:r>
        <w:t xml:space="preserve">(většinou jde o reformy), </w:t>
      </w:r>
      <w:r w:rsidRPr="007D36B6">
        <w:rPr>
          <w:b/>
          <w:i/>
        </w:rPr>
        <w:t>reformy finančního sektoru</w:t>
      </w:r>
      <w:r>
        <w:t xml:space="preserve"> a </w:t>
      </w:r>
      <w:r w:rsidRPr="007D36B6">
        <w:rPr>
          <w:b/>
          <w:i/>
        </w:rPr>
        <w:t>reformy v oblasti právního státu</w:t>
      </w:r>
      <w:r>
        <w:t xml:space="preserve">. 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lastRenderedPageBreak/>
        <w:t>Pilíř 6: Politiky pro příští generaci, děti a mládež, jako je vzdělávání a dovednosti</w:t>
      </w:r>
    </w:p>
    <w:p w:rsidR="005753AC" w:rsidRDefault="005753AC" w:rsidP="005753AC">
      <w:pPr>
        <w:spacing w:after="120"/>
        <w:jc w:val="both"/>
      </w:pPr>
      <w:r>
        <w:t>Na opatření související s tímto pilířem připadá celková částka 49 mld. EUR, tj. 11 % celkového rozpočtu 22 plánů pro oživení a odolnost. Největší část výdajů v rámci pilíře (38,26 mld. EUR) se týká opatření souvisejících s </w:t>
      </w:r>
      <w:r w:rsidRPr="00666CBE">
        <w:rPr>
          <w:b/>
          <w:i/>
        </w:rPr>
        <w:t>všeobecným základním a středním vzděláváním, počátečním odborným vzděláváním a přípravou a vysokoškolským vzděláváním</w:t>
      </w:r>
      <w:r>
        <w:t xml:space="preserve"> (např. podpora zlepšení kvality a inkluzivnosti ve všeobecném školním vzdělávání či podpora transformace vysokoškolského vzdělávání). Menší část výdajů (7 mld. EUR) tvoří investice a reformy týkající se </w:t>
      </w:r>
      <w:r w:rsidRPr="00666CBE">
        <w:rPr>
          <w:b/>
          <w:i/>
        </w:rPr>
        <w:t>předškolního vzdělávání a péče</w:t>
      </w:r>
      <w:r>
        <w:t xml:space="preserve">, a to zejména u znevýhodněných skupin. Většina plánů se také zabývá zlepšením energetické účinnosti nebo budováním nových zařízení na všech úrovních vzdělávání či digitálním vzděláváním. Nejmenší část výdajů v rámci pilíře (cca 6 mld. EUR) tvoří opatření na </w:t>
      </w:r>
      <w:r w:rsidRPr="00666CBE">
        <w:rPr>
          <w:b/>
          <w:i/>
        </w:rPr>
        <w:t>podporu zaměstnanosti mladých lidí</w:t>
      </w:r>
      <w:r>
        <w:t xml:space="preserve">. 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t>Vlastní bezpečnostní hodnocení</w:t>
      </w:r>
    </w:p>
    <w:p w:rsidR="005753AC" w:rsidRDefault="005753AC" w:rsidP="005753AC">
      <w:pPr>
        <w:jc w:val="both"/>
      </w:pPr>
      <w:r>
        <w:t xml:space="preserve">Státy jsou na základě nařízení o RRF požádány o </w:t>
      </w:r>
      <w:r w:rsidRPr="00DD6F2C">
        <w:t>zahrnutí vlastního bezpečnostního hodnocení,</w:t>
      </w:r>
      <w:r>
        <w:t xml:space="preserve"> u </w:t>
      </w:r>
      <w:r w:rsidRPr="00DD6F2C">
        <w:t>investic do digitálních kapacit a konektivity</w:t>
      </w:r>
      <w:r>
        <w:t xml:space="preserve">, do svých národních plánů. Toto hodnocení poskytlo 14 z 22 států (Česko, Finsko, Francie, Chorvatsko, Itálie, Kypr, Litva, Lotyšsko, Malta, Portugalsko, Rumunsko, Řecko, Slovinsko a Španělsko), které se zabývaly investicemi do telekomunikačních a digitálních infrastruktur a služeb podporujících modernizaci veřejné správy a veřejných služeb (např. vládní cloudy). Mnohé z plánů počítají s následnými opatřeními během prováděcí fáze s cílem zajistit řádné zohlednění bezpečnostních aspektů. </w:t>
      </w:r>
    </w:p>
    <w:p w:rsidR="005753AC" w:rsidRPr="000D41B8" w:rsidRDefault="005753AC" w:rsidP="005753AC">
      <w:pPr>
        <w:spacing w:after="120"/>
        <w:rPr>
          <w:u w:val="single"/>
        </w:rPr>
      </w:pPr>
      <w:r w:rsidRPr="000D41B8">
        <w:rPr>
          <w:b/>
          <w:u w:val="single"/>
        </w:rPr>
        <w:t>Prováděcí rámec RRF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t>Příspěvek RRF k provádění reforem a dalších politik EU</w:t>
      </w:r>
    </w:p>
    <w:p w:rsidR="005753AC" w:rsidRDefault="005753AC" w:rsidP="005753AC">
      <w:pPr>
        <w:spacing w:after="120"/>
        <w:jc w:val="both"/>
      </w:pPr>
      <w:r>
        <w:t xml:space="preserve">Pro RRF je typický závazek členských států k reformám, které představují téměř třetinu všech opatření obsažených v národních plánech. Reformy se týkají všech šesti pilířů, nejvíce však pilíře 5 týkajícího se zdravotnictví a odolnosti, po kterém následuje pilíř 3 týkající se inteligentního a udržitelného růstu podporujícího začlenění. Menší počet reforem je plánován pro sociální a územní soudržnost a zelenou a digitální transformaci. Nejméně reforem se pak nachází v pilíři politiky pro příští generaci, děti a mládež. Reformy navržené v plánech mají přispět k účinnému řešení výzev stanovených v doporučeních pro jednotlivé členské státy v rámci evropského semestru v letech 2019 a 2020. </w:t>
      </w:r>
    </w:p>
    <w:p w:rsidR="005753AC" w:rsidRDefault="005753AC" w:rsidP="005753AC">
      <w:pPr>
        <w:spacing w:after="120"/>
        <w:jc w:val="both"/>
      </w:pPr>
      <w:r>
        <w:t xml:space="preserve">U opatření obsažených v jednotlivých plánech se očekává značný a </w:t>
      </w:r>
      <w:r w:rsidRPr="00DD6F2C">
        <w:rPr>
          <w:b/>
        </w:rPr>
        <w:t>trvalý pozitivní dopad na celkový HDP EU</w:t>
      </w:r>
      <w:r>
        <w:t>, přičemž provádění plánů má i pozitivní vedlejší účinky v důsledku rostoucí poptávky v rámci integrovaného hospodářství EU. Vzhledem k tomu, že klíč pro přidělování prostředků z RRF kalkuluje s tím, že státy nejvíce postižené pandemií covidu-19 mají často slabší hospodářské struktury a čelí přísnějším rozpočtovým omezením, podporuje RRF návrat EU k hospodářské konvergenci. Dle odhadů by největší nárůst HDP měly zaznamenat státy s podprůměrným HDP na obyvatele.</w:t>
      </w:r>
    </w:p>
    <w:p w:rsidR="005753AC" w:rsidRDefault="005753AC" w:rsidP="005753AC">
      <w:pPr>
        <w:spacing w:after="120"/>
        <w:jc w:val="both"/>
      </w:pPr>
      <w:r>
        <w:t>RRF podporuje v </w:t>
      </w:r>
      <w:r w:rsidRPr="00DD6F2C">
        <w:rPr>
          <w:b/>
        </w:rPr>
        <w:t>sociální oblasti</w:t>
      </w:r>
      <w:r>
        <w:t xml:space="preserve"> jak opatření, která mají čelit bezprostředním dopadům krize způsobené pandemií covidu-19, tak střednědobá opatření, jež přispívají k dalšímu provádění evropského pilíře sociálních práv (zaměstnanost a další sociální ukazatele). Prozatím je však příliš brzy na to, aby se pozitivní účinek v ukazatelích promítl. </w:t>
      </w:r>
    </w:p>
    <w:p w:rsidR="005753AC" w:rsidRDefault="005753AC" w:rsidP="005753AC">
      <w:pPr>
        <w:spacing w:after="120"/>
        <w:jc w:val="both"/>
      </w:pPr>
      <w:r>
        <w:t xml:space="preserve">Investice a reformy obsažené v plánech také přispějí k cílům politické, klimatické a digitální agendy Unie v souvislosti s </w:t>
      </w:r>
      <w:r w:rsidRPr="00DD6F2C">
        <w:rPr>
          <w:b/>
        </w:rPr>
        <w:t>odolností</w:t>
      </w:r>
      <w:r>
        <w:t>. RRF bude v následujících letech hlavním prvkem procesu dohledu v rámci evropského semestru.</w:t>
      </w:r>
    </w:p>
    <w:p w:rsidR="005753AC" w:rsidRDefault="005753AC" w:rsidP="005753AC">
      <w:pPr>
        <w:rPr>
          <w:u w:val="single"/>
        </w:rPr>
      </w:pPr>
      <w:r>
        <w:rPr>
          <w:u w:val="single"/>
        </w:rPr>
        <w:br w:type="page"/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lastRenderedPageBreak/>
        <w:t>Příspěvek RRF k projektům pro více zemí</w:t>
      </w:r>
    </w:p>
    <w:p w:rsidR="005753AC" w:rsidRDefault="005753AC" w:rsidP="005753AC">
      <w:pPr>
        <w:spacing w:after="120"/>
        <w:jc w:val="both"/>
      </w:pPr>
      <w:r>
        <w:t xml:space="preserve">RRF podporuje účast členských států na přeshraničních projektech. Komise hrála důležitou roli během přípravné fáze, kdy aktivně podněcovala členské státy k účasti na klíčových projektech pro více zemí. V pilíři </w:t>
      </w:r>
      <w:r w:rsidRPr="00825207">
        <w:rPr>
          <w:b/>
          <w:i/>
        </w:rPr>
        <w:t>zelené transformace</w:t>
      </w:r>
      <w:r>
        <w:t xml:space="preserve"> jde o projekty v oblasti vodíku, elektrického propojovacího vedení a zavedení evropského systému řízení železničního provozu (ERTMS) a železničních koridorů TEN-T. V pilíři </w:t>
      </w:r>
      <w:r w:rsidRPr="00825207">
        <w:rPr>
          <w:b/>
          <w:i/>
        </w:rPr>
        <w:t>digitální transformace</w:t>
      </w:r>
      <w:r>
        <w:t xml:space="preserve"> se jedná o mikroelektroniku, evropská centra pro digitální inovace, koridory 5G, cloud, kvantovou komunikační infrastrukturu, vysoce výkonnou výpočetní techniku, propojenou veřejnou správu a další. 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t>Provádění RRF a zapojení všech příslušných zúčastněných stran</w:t>
      </w:r>
    </w:p>
    <w:p w:rsidR="005753AC" w:rsidRDefault="005753AC" w:rsidP="005753AC">
      <w:pPr>
        <w:spacing w:after="120"/>
        <w:jc w:val="both"/>
      </w:pPr>
      <w:r>
        <w:t xml:space="preserve">Přístup ke </w:t>
      </w:r>
      <w:r w:rsidRPr="00DD6F2C">
        <w:rPr>
          <w:b/>
        </w:rPr>
        <w:t>konzultacím se sociálními partnery a místními a regionálními orgány</w:t>
      </w:r>
      <w:r>
        <w:t xml:space="preserve"> byl ponechán na každém státu, Komise ovšem pravidelně zdůrazňuje jejich význam ve všech fázích provádění plánů. Konzultace a zapojení zainteresovaných stran se v jednotlivých členských státech značně lišilo a často bylo při zpětné vazbě Komisi uváděno, že se strany domnívají, že měly do příprav být zahrnuty více. </w:t>
      </w:r>
    </w:p>
    <w:p w:rsidR="005753AC" w:rsidRDefault="005753AC" w:rsidP="005753AC">
      <w:pPr>
        <w:spacing w:after="120"/>
        <w:jc w:val="both"/>
      </w:pPr>
      <w:r w:rsidRPr="00DD6F2C">
        <w:rPr>
          <w:b/>
        </w:rPr>
        <w:t>Komise</w:t>
      </w:r>
      <w:r>
        <w:t xml:space="preserve"> po celou dobu provádění RRF úzce </w:t>
      </w:r>
      <w:r w:rsidRPr="00DD6F2C">
        <w:rPr>
          <w:b/>
        </w:rPr>
        <w:t>spolupracuje s Evropským parlamentem i Radou</w:t>
      </w:r>
      <w:r>
        <w:t xml:space="preserve"> a stará se o transparentní tok informací. S Parlamentem Komise projednávala horizontální témata týkající se RRF již v roce 2021 a provádění RRF je jak s Parlamentem, tak s Radou projednáváno v rámci posíleného interinstituciálního dialogu na evropské úrovni. Komise také zavedla postup pro sdílení přehledu předběžných zjištění týkajících se uspokojivého plnění příslušných milníků a cílů. </w:t>
      </w:r>
    </w:p>
    <w:p w:rsidR="005753AC" w:rsidRDefault="005753AC" w:rsidP="005753AC">
      <w:pPr>
        <w:spacing w:after="120"/>
        <w:jc w:val="both"/>
      </w:pPr>
      <w:r>
        <w:t xml:space="preserve">V rámci RRF uvádějí příjemci finanční podpory její </w:t>
      </w:r>
      <w:r w:rsidRPr="00DD6F2C">
        <w:rPr>
          <w:b/>
        </w:rPr>
        <w:t>původ</w:t>
      </w:r>
      <w:r>
        <w:t xml:space="preserve"> a zajišťují </w:t>
      </w:r>
      <w:r w:rsidRPr="00DD6F2C">
        <w:rPr>
          <w:b/>
        </w:rPr>
        <w:t>zviditelnění finančních prostředků Unie</w:t>
      </w:r>
      <w:r>
        <w:t xml:space="preserve">; členské státy založily vnitrostátní internetové stránky a zveřejnily své plány. Požadavky na viditelnost a komunikaci vztahující se na finanční prostředky EU zapracovaly členské státy do svých národních plánů, kde uvedly nástin svých komunikačních strategií. S cílem ještě více zviditelnit RRF a spolupracovat s členskými státy, rozšířila Komise </w:t>
      </w:r>
      <w:r w:rsidRPr="00DD6F2C">
        <w:rPr>
          <w:b/>
        </w:rPr>
        <w:t>síť INFORM EU</w:t>
      </w:r>
      <w:r>
        <w:rPr>
          <w:rStyle w:val="Znakapoznpodarou"/>
        </w:rPr>
        <w:footnoteReference w:id="6"/>
      </w:r>
      <w:r>
        <w:t xml:space="preserve"> o komunikátory RRF. Důležitou roli při podpoře spolupráce v oblasti komunikace a zvyšování viditelnosti RRF mají také úředníci odpovědní za evropský semestr vyslaní do zastoupení Komise.</w:t>
      </w:r>
    </w:p>
    <w:p w:rsidR="005753AC" w:rsidRDefault="005753AC" w:rsidP="005753AC">
      <w:pPr>
        <w:spacing w:after="120"/>
        <w:jc w:val="both"/>
      </w:pPr>
      <w:r>
        <w:t xml:space="preserve">Při provádění plánů požádaly některé členské státy o </w:t>
      </w:r>
      <w:r w:rsidRPr="002C7F3E">
        <w:rPr>
          <w:b/>
        </w:rPr>
        <w:t>technickou podporu</w:t>
      </w:r>
      <w:r>
        <w:t xml:space="preserve"> v rámci Nástroje pro technickou podporu poskytujícího podporu při budování kapacit zavedeného Komisí. V roce 2021 navíc Chorvatsko, Kypr, Rumunsko a Řecko zařadili do svých plánů pro oživení a odolnost dodatečnou technickou podporu pro provádění opatření. 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t>Kontrolní systém a ochrana finančních zájmů Unie</w:t>
      </w:r>
    </w:p>
    <w:p w:rsidR="005753AC" w:rsidRDefault="005753AC" w:rsidP="005753AC">
      <w:pPr>
        <w:spacing w:after="120"/>
        <w:jc w:val="both"/>
      </w:pPr>
      <w:r>
        <w:t xml:space="preserve">RRF je nástroj založený na výkonnosti, platby členským státům jsou vypláceny za splněné milníky a cíle stanovené v jednotlivých plánech. V roce 2021 zavedla Komise </w:t>
      </w:r>
      <w:hyperlink r:id="rId20" w:history="1">
        <w:r>
          <w:rPr>
            <w:rStyle w:val="Hypertextovodkaz"/>
            <w:b/>
          </w:rPr>
          <w:t>rámec pro monitorování a </w:t>
        </w:r>
        <w:r w:rsidRPr="002C7F3E">
          <w:rPr>
            <w:rStyle w:val="Hypertextovodkaz"/>
            <w:b/>
          </w:rPr>
          <w:t>kontrolu RRF</w:t>
        </w:r>
      </w:hyperlink>
      <w:r>
        <w:t xml:space="preserve"> a zvláštní kontrolní a auditní strategie, stejně jako důkladné interní postupy zajišťující účelné kontroly ex ante a ex post. Vnitrostátní kontrolní systémy jsou navíc detailně stanoveny v jednotlivých národních plánech podle čl. 22 odst. 1 </w:t>
      </w:r>
      <w:hyperlink r:id="rId21" w:history="1">
        <w:r w:rsidRPr="002C7F3E">
          <w:rPr>
            <w:rStyle w:val="Hypertextovodkaz"/>
          </w:rPr>
          <w:t>nařízení o RRF</w:t>
        </w:r>
      </w:hyperlink>
      <w:r>
        <w:t xml:space="preserve">. Dle posouzení Komise má všech 22 plánů odpovídající kontrolní systém, u 16 však i přesto požádala o dodatečná nápravná opatření k odstranění nedostatků. </w:t>
      </w:r>
    </w:p>
    <w:p w:rsidR="005753AC" w:rsidRDefault="005753AC" w:rsidP="005753AC">
      <w:pPr>
        <w:spacing w:after="120"/>
        <w:jc w:val="both"/>
      </w:pPr>
      <w:r>
        <w:lastRenderedPageBreak/>
        <w:t xml:space="preserve">Komise přezkoumává prohlášení řídícího subjektu a shrnutí auditů poskytnuté členskými státy s každou žádostí o platbu (aktuálně v pěti státech, které požádaly o platbu – Španělsko, Francie, Řecko, Itálie a Portugalsko) a provádí ex post audity splněných milníků a cílů. </w:t>
      </w:r>
    </w:p>
    <w:p w:rsidR="005753AC" w:rsidRPr="000D41B8" w:rsidRDefault="005753AC" w:rsidP="005753AC">
      <w:pPr>
        <w:rPr>
          <w:u w:val="single"/>
        </w:rPr>
      </w:pPr>
      <w:r w:rsidRPr="000D41B8">
        <w:rPr>
          <w:u w:val="single"/>
        </w:rPr>
        <w:t xml:space="preserve">Doplňkovost s ostatními finančními prostředky EU </w:t>
      </w:r>
    </w:p>
    <w:p w:rsidR="005753AC" w:rsidRDefault="00033D30" w:rsidP="005753AC">
      <w:pPr>
        <w:jc w:val="both"/>
      </w:pPr>
      <w:hyperlink r:id="rId22" w:history="1">
        <w:r w:rsidR="005753AC" w:rsidRPr="002C7F3E">
          <w:rPr>
            <w:rStyle w:val="Hypertextovodkaz"/>
          </w:rPr>
          <w:t>Nařízení o RRF</w:t>
        </w:r>
      </w:hyperlink>
      <w:r w:rsidR="005753AC">
        <w:t xml:space="preserve"> a </w:t>
      </w:r>
      <w:hyperlink r:id="rId23" w:history="1">
        <w:r w:rsidR="005753AC" w:rsidRPr="00827F82">
          <w:rPr>
            <w:rStyle w:val="Hypertextovodkaz"/>
          </w:rPr>
          <w:t>pokyny</w:t>
        </w:r>
      </w:hyperlink>
      <w:hyperlink r:id="rId24" w:history="1">
        <w:r w:rsidR="005753AC" w:rsidRPr="00827F82">
          <w:rPr>
            <w:rStyle w:val="Hypertextovodkaz"/>
          </w:rPr>
          <w:t xml:space="preserve"> Komise</w:t>
        </w:r>
      </w:hyperlink>
      <w:r w:rsidR="005753AC">
        <w:t xml:space="preserve"> stanovily zásady, kterými se členské státy mají řídit, aby nedocházelo k </w:t>
      </w:r>
      <w:r w:rsidR="005753AC" w:rsidRPr="002C7F3E">
        <w:rPr>
          <w:b/>
        </w:rPr>
        <w:t>dvojímu financování</w:t>
      </w:r>
      <w:r w:rsidR="005753AC">
        <w:t xml:space="preserve"> stejných nákladů z RRF a jiných fondů EU. Těmito zásadami se členské státy řídí. Během fáze přípravy plánů poskytla Komise podporu s cílem určit na úrovni Unie vhodné nástroje k vytvoření synergií s opatřeními financovanými v rámci RRF. Během fáze provádění jsou pak členské státy povinny sledovat a zajistit, že nedochází k dvojímu financování. Komise také zajišťuje, aby RRF doplňoval fondy politiky soudržnosti v rámci programování na období 2021–2027.</w:t>
      </w:r>
    </w:p>
    <w:p w:rsidR="005753AC" w:rsidRDefault="005753AC" w:rsidP="005753A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 w:hanging="357"/>
        <w:jc w:val="left"/>
      </w:pPr>
      <w:bookmarkStart w:id="19" w:name="_Toc445380612"/>
      <w:bookmarkStart w:id="20" w:name="_Toc448302191"/>
      <w:r w:rsidRPr="0048126F">
        <w:t>Stanovisko vlády ČR:</w:t>
      </w:r>
      <w:bookmarkEnd w:id="19"/>
      <w:bookmarkEnd w:id="20"/>
    </w:p>
    <w:p w:rsidR="005753AC" w:rsidRDefault="005753AC" w:rsidP="005753AC">
      <w:pPr>
        <w:jc w:val="both"/>
      </w:pPr>
      <w:r>
        <w:t xml:space="preserve">Vláda ČR považuje efektivní implementaci RRF za zásadní pro hospodářskou a sociální obnovu EU po pandemii covidu-19. Vládu ČR těší pokroky ostatních členských států a souhlasí s úpravami evropského semestru s ohledem na správu RRF. Také vítá podporu Komise v souvislosti s prováděním opatření národních plánů. </w:t>
      </w:r>
    </w:p>
    <w:p w:rsidR="005753AC" w:rsidRPr="00714F68" w:rsidRDefault="005753AC" w:rsidP="005753A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 w:hanging="357"/>
        <w:jc w:val="left"/>
      </w:pPr>
      <w:bookmarkStart w:id="21" w:name="_Toc445380613"/>
      <w:bookmarkStart w:id="22" w:name="_Toc448302192"/>
      <w:r w:rsidRPr="0048126F">
        <w:t>Předpokládaný harmonogram projednávání v orgánech EU:</w:t>
      </w:r>
      <w:bookmarkEnd w:id="21"/>
      <w:bookmarkEnd w:id="22"/>
    </w:p>
    <w:p w:rsidR="005753AC" w:rsidRDefault="005753AC" w:rsidP="005753AC">
      <w:pPr>
        <w:spacing w:after="240"/>
        <w:jc w:val="both"/>
      </w:pPr>
      <w:r>
        <w:t>Dokumenty se nachází v přípravné fázi Evropského parlamentu. Odpovědným výborem je rozpočtový výbor (BUDG). O stanovisko byly požádány výbor pro hospodářské a měnové záležitosti (ECON), výbor pro práva žen a rovnost pohlaví (FEMM), výbor pro životní prostředí, veřejné zdraví a bezpečnost potravin (ENVI), výbor pro průmysl, výzkum a energetiku (ITRE), výbor pro dopravu a cestovní ruch (TRAN),</w:t>
      </w:r>
      <w:r w:rsidRPr="00C16230">
        <w:t xml:space="preserve"> </w:t>
      </w:r>
      <w:r>
        <w:t>výbor pro regionální rozvoj (REGI), výbor pro ústavní záležitosti (AFCO) a výbor pro zaměstnanost a sociální věci (EMPL).</w:t>
      </w:r>
      <w:r w:rsidRPr="00C16230">
        <w:t xml:space="preserve"> </w:t>
      </w:r>
      <w:r>
        <w:t xml:space="preserve">Projednávání se nachází v přípravné fázi a jeho průběh je možné sledovat </w:t>
      </w:r>
      <w:hyperlink r:id="rId25" w:history="1">
        <w:r w:rsidRPr="00F15E82">
          <w:rPr>
            <w:rStyle w:val="Hypertextovodkaz"/>
          </w:rPr>
          <w:t>zde</w:t>
        </w:r>
      </w:hyperlink>
      <w:r>
        <w:t>.</w:t>
      </w:r>
    </w:p>
    <w:p w:rsidR="005753AC" w:rsidRPr="0048126F" w:rsidRDefault="005753AC" w:rsidP="005753A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23" w:name="_Toc445380614"/>
      <w:bookmarkStart w:id="24" w:name="_Toc448302193"/>
      <w:r w:rsidRPr="00134640">
        <w:t>Závěr</w:t>
      </w:r>
      <w:r w:rsidRPr="0048126F">
        <w:t>:</w:t>
      </w:r>
      <w:bookmarkEnd w:id="23"/>
      <w:bookmarkEnd w:id="24"/>
    </w:p>
    <w:p w:rsidR="005753AC" w:rsidRDefault="005753AC" w:rsidP="005753AC">
      <w:r>
        <w:t>Návrh usnesení, který předkládá zpravodaj, je uveden v příloze.</w:t>
      </w:r>
    </w:p>
    <w:p w:rsidR="005753AC" w:rsidRPr="0048126F" w:rsidRDefault="005753AC" w:rsidP="005753AC">
      <w:pPr>
        <w:jc w:val="both"/>
        <w:rPr>
          <w:rFonts w:ascii="Times New Roman" w:hAnsi="Times New Roman"/>
        </w:rPr>
      </w:pPr>
    </w:p>
    <w:p w:rsidR="005753AC" w:rsidRPr="00D0781F" w:rsidRDefault="005753AC" w:rsidP="005753AC"/>
    <w:p w:rsidR="005753AC" w:rsidRPr="00B15DEA" w:rsidRDefault="005753AC" w:rsidP="005753AC">
      <w:pPr>
        <w:jc w:val="both"/>
      </w:pPr>
      <w:r>
        <w:t>Zpracovala</w:t>
      </w:r>
      <w:r w:rsidRPr="00B15DEA">
        <w:t xml:space="preserve"> </w:t>
      </w:r>
      <w:r>
        <w:t>Ing. Klára Jankovská</w:t>
      </w:r>
      <w:r w:rsidRPr="00B15DEA">
        <w:t>, 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5753AC" w:rsidRPr="00B15DEA" w:rsidRDefault="005753AC" w:rsidP="00217B29"/>
    <w:p w:rsidR="00DF3BB2" w:rsidRDefault="00DF3BB2" w:rsidP="00806CFD">
      <w:pPr>
        <w:rPr>
          <w:rFonts w:ascii="Times New Roman" w:hAnsi="Times New Roman"/>
          <w:sz w:val="24"/>
        </w:rPr>
      </w:pPr>
    </w:p>
    <w:sectPr w:rsidR="00DF3BB2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  <w:footnote w:id="1">
    <w:p w:rsidR="005753AC" w:rsidRDefault="005753AC" w:rsidP="005753AC">
      <w:pPr>
        <w:pStyle w:val="Textpoznpodarou"/>
      </w:pPr>
      <w:r>
        <w:rPr>
          <w:rStyle w:val="Znakapoznpodarou"/>
        </w:rPr>
        <w:footnoteRef/>
      </w:r>
      <w:r>
        <w:t xml:space="preserve"> Jak vyžaduje čl. 31 nařízení o Nástroji pro oživení a odolnost.</w:t>
      </w:r>
    </w:p>
  </w:footnote>
  <w:footnote w:id="2">
    <w:p w:rsidR="005753AC" w:rsidRDefault="005753AC" w:rsidP="005753A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Belgie, Česká republika, Dánsko, Estonsko, Finsko, Francie, Chorvatsko, Irsko, Itálie, Kypr, Litva, Lotyšsko, Lucembursko, Malta, Německo, Portugalsko, Rakousko, Rumunsko, Řecko, Slovensko, Slovinsko, Španělsko.  </w:t>
      </w:r>
    </w:p>
  </w:footnote>
  <w:footnote w:id="3">
    <w:p w:rsidR="005753AC" w:rsidRPr="00C82434" w:rsidRDefault="005753AC" w:rsidP="005753A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Cíle EU týkající se snížení čistých emisí skleníkových plynů do roku 2030 alespoň o 55 % (Fit for 55) a dosažení klimatické neutrality do roku 2050. </w:t>
      </w:r>
    </w:p>
  </w:footnote>
  <w:footnote w:id="4">
    <w:p w:rsidR="005753AC" w:rsidRDefault="005753AC" w:rsidP="005753A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Žádné opatření by nemělo vést k významnému poškození některého ze šesti environmentálních cílů (zmírňování změny klimatu, přizpůsobování se změně klimatu, udržitelné využívání a ochrana vodních a mořských zdrojů, přechod na oběhové hospodářství, prevence a omezování znečištění a ochrana a obnova biologické rozmanitosti a ekosystémů) ve smyslu cl. 17 nařízení o taxonomii.</w:t>
      </w:r>
    </w:p>
  </w:footnote>
  <w:footnote w:id="5">
    <w:p w:rsidR="005753AC" w:rsidRDefault="005753AC" w:rsidP="005753AC">
      <w:pPr>
        <w:pStyle w:val="Textpoznpodarou"/>
      </w:pPr>
      <w:r>
        <w:rPr>
          <w:rStyle w:val="Znakapoznpodarou"/>
        </w:rPr>
        <w:footnoteRef/>
      </w:r>
      <w:r>
        <w:t xml:space="preserve"> Toto číslo zahrnuje opatření na výzkum, vývoj a inovace obecně, nejen v rámci tohoto pilíře. </w:t>
      </w:r>
    </w:p>
  </w:footnote>
  <w:footnote w:id="6">
    <w:p w:rsidR="005753AC" w:rsidRDefault="005753AC" w:rsidP="005753A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05C67">
        <w:t xml:space="preserve">Síť INFORM EU je celounijní síť komunikačních pracovníků odpovědných za informování o investicích EU a členských </w:t>
      </w:r>
      <w:r>
        <w:t>států v rámci sdíleného řízení. Součástí</w:t>
      </w:r>
      <w:r w:rsidRPr="00305C67">
        <w:t xml:space="preserve"> jsou Evropský fond pro regionální rozvoj (EFRR), Fond pro spravedlivou transformaci (FST) a Fond soudržnosti (FS); Evropský sociální fond (ESF+); Azylový, migrační a integrační fond (AMIF), Nástroj pro finanční podporu správy hranic a vízové politiky a Fond pro vnitřní bezpečnost (ISF); Evropský námořní, rybářský a akvakulturní fond. Síť navíc pokrývá i Nástroj pro oživení a odolnost.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2FD6008"/>
    <w:multiLevelType w:val="hybridMultilevel"/>
    <w:tmpl w:val="E09203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6"/>
  </w:num>
  <w:num w:numId="4">
    <w:abstractNumId w:val="12"/>
  </w:num>
  <w:num w:numId="5">
    <w:abstractNumId w:val="0"/>
  </w:num>
  <w:num w:numId="6">
    <w:abstractNumId w:val="14"/>
  </w:num>
  <w:num w:numId="7">
    <w:abstractNumId w:val="15"/>
  </w:num>
  <w:num w:numId="8">
    <w:abstractNumId w:val="10"/>
  </w:num>
  <w:num w:numId="9">
    <w:abstractNumId w:val="17"/>
  </w:num>
  <w:num w:numId="10">
    <w:abstractNumId w:val="28"/>
  </w:num>
  <w:num w:numId="11">
    <w:abstractNumId w:val="24"/>
  </w:num>
  <w:num w:numId="12">
    <w:abstractNumId w:val="18"/>
  </w:num>
  <w:num w:numId="13">
    <w:abstractNumId w:val="23"/>
  </w:num>
  <w:num w:numId="14">
    <w:abstractNumId w:val="6"/>
  </w:num>
  <w:num w:numId="15">
    <w:abstractNumId w:val="20"/>
  </w:num>
  <w:num w:numId="16">
    <w:abstractNumId w:val="2"/>
  </w:num>
  <w:num w:numId="17">
    <w:abstractNumId w:val="3"/>
  </w:num>
  <w:num w:numId="18">
    <w:abstractNumId w:val="27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9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33D30"/>
    <w:rsid w:val="00041825"/>
    <w:rsid w:val="000435F4"/>
    <w:rsid w:val="00061FAE"/>
    <w:rsid w:val="00077E7D"/>
    <w:rsid w:val="000807A3"/>
    <w:rsid w:val="00092605"/>
    <w:rsid w:val="000A613C"/>
    <w:rsid w:val="000A6AB9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B0B56"/>
    <w:rsid w:val="001C4651"/>
    <w:rsid w:val="001C5B87"/>
    <w:rsid w:val="001D79C9"/>
    <w:rsid w:val="001E578B"/>
    <w:rsid w:val="00216821"/>
    <w:rsid w:val="00217B29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1040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503C0B"/>
    <w:rsid w:val="00513223"/>
    <w:rsid w:val="005254AE"/>
    <w:rsid w:val="00531130"/>
    <w:rsid w:val="005373D4"/>
    <w:rsid w:val="00537E15"/>
    <w:rsid w:val="00543B97"/>
    <w:rsid w:val="00555EC9"/>
    <w:rsid w:val="005753AC"/>
    <w:rsid w:val="0058397D"/>
    <w:rsid w:val="005C054E"/>
    <w:rsid w:val="005D07D7"/>
    <w:rsid w:val="005D41E3"/>
    <w:rsid w:val="005D6318"/>
    <w:rsid w:val="005E304D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D09E1"/>
    <w:rsid w:val="007E71D7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228E0"/>
    <w:rsid w:val="009532CA"/>
    <w:rsid w:val="009608C9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C0B3E"/>
    <w:rsid w:val="00AD71A8"/>
    <w:rsid w:val="00AE1CD6"/>
    <w:rsid w:val="00AF4650"/>
    <w:rsid w:val="00AF701F"/>
    <w:rsid w:val="00B23CE4"/>
    <w:rsid w:val="00B26768"/>
    <w:rsid w:val="00B57ED6"/>
    <w:rsid w:val="00B75E03"/>
    <w:rsid w:val="00B77E2B"/>
    <w:rsid w:val="00B8615E"/>
    <w:rsid w:val="00B9799C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00A4"/>
    <w:rsid w:val="00DA53EA"/>
    <w:rsid w:val="00DC37AF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462A4"/>
    <w:rsid w:val="00E57BF1"/>
    <w:rsid w:val="00E57F34"/>
    <w:rsid w:val="00E6411C"/>
    <w:rsid w:val="00E6426C"/>
    <w:rsid w:val="00E867F0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BAB0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gal-content/CS/TXT/PDF/?uri=CELEX:32021R0241&amp;from=CS" TargetMode="External"/><Relationship Id="rId18" Type="http://schemas.openxmlformats.org/officeDocument/2006/relationships/hyperlink" Target="https://eur-lex.europa.eu/legal-content/CS/TXT/PDF/?uri=CELEX:32021R2105&amp;from=EN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ur-lex.europa.eu/legal-content/CS/TXT/PDF/?uri=CELEX:32021R0241&amp;from=C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CS/TXT/PDF/?uri=CELEX:32021R0241&amp;from=CS" TargetMode="External"/><Relationship Id="rId17" Type="http://schemas.openxmlformats.org/officeDocument/2006/relationships/hyperlink" Target="https://eur-lex.europa.eu/legal-content/CS/TXT/PDF/?uri=CELEX:32021R2106&amp;from=EN" TargetMode="External"/><Relationship Id="rId25" Type="http://schemas.openxmlformats.org/officeDocument/2006/relationships/hyperlink" Target="https://oeil.secure.europarl.europa.eu/oeil/popups/ficheprocedure.do?reference=COM(2022)0075&amp;l=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CS/TXT/?uri=celex%3A32021R0241" TargetMode="External"/><Relationship Id="rId20" Type="http://schemas.openxmlformats.org/officeDocument/2006/relationships/hyperlink" Target="https://eur-lex.europa.eu/legal-content/CS/TXT/HTML/?uri=CELEX:52021IP0288&amp;from=E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CS/TXT/PDF/?uri=CELEX:32021R0241&amp;from=CS" TargetMode="External"/><Relationship Id="rId24" Type="http://schemas.openxmlformats.org/officeDocument/2006/relationships/hyperlink" Target="https://ec.europa.eu/info/sites/default/files/document_travail_service_part2_v3_en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CS/TXT/?uri=celex%3A32021R0241" TargetMode="External"/><Relationship Id="rId23" Type="http://schemas.openxmlformats.org/officeDocument/2006/relationships/hyperlink" Target="https://ec.europa.eu/info/sites/default/files/document_travail_service_part1_v2_en.pdf" TargetMode="External"/><Relationship Id="rId10" Type="http://schemas.openxmlformats.org/officeDocument/2006/relationships/hyperlink" Target="https://eur-lex.europa.eu/legal-content/CS/TXT/HTML/?uri=CELEX:52022DC0075&amp;from=EN" TargetMode="External"/><Relationship Id="rId19" Type="http://schemas.openxmlformats.org/officeDocument/2006/relationships/hyperlink" Target="https://ec.europa.eu/economy_finance/recovery-and-resilience-scoreboard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c.europa.eu/info/sites/default/files/document_travail_service_part1_v2_en.pdf" TargetMode="External"/><Relationship Id="rId22" Type="http://schemas.openxmlformats.org/officeDocument/2006/relationships/hyperlink" Target="https://eur-lex.europa.eu/legal-content/CS/TXT/PDF/?uri=CELEX:32021R0241&amp;from=C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961A3-8409-4004-A94E-192EFF49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3899</Words>
  <Characters>23007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40</cp:revision>
  <cp:lastPrinted>2022-06-07T12:00:00Z</cp:lastPrinted>
  <dcterms:created xsi:type="dcterms:W3CDTF">2022-02-18T09:58:00Z</dcterms:created>
  <dcterms:modified xsi:type="dcterms:W3CDTF">2022-06-08T14:18:00Z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