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392" w:rsidRDefault="00EB6392" w:rsidP="00EB6392">
      <w:pPr>
        <w:pStyle w:val="PS-hlavika1"/>
        <w:jc w:val="right"/>
      </w:pPr>
      <w:r>
        <w:t>PS200295058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527E5D">
      <w:pPr>
        <w:pStyle w:val="PS-slousnesen"/>
      </w:pPr>
      <w:r>
        <w:t>48</w:t>
      </w:r>
      <w:r w:rsidR="00912EB4" w:rsidRPr="00887168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 xml:space="preserve">z </w:t>
      </w:r>
      <w:r w:rsidR="00217B29">
        <w:t>9</w:t>
      </w:r>
      <w:r w:rsidR="001625BA" w:rsidRPr="00887168">
        <w:t>. schůze</w:t>
      </w:r>
    </w:p>
    <w:p w:rsidR="00EE65B0" w:rsidRPr="00E026BA" w:rsidRDefault="001426DE">
      <w:pPr>
        <w:pStyle w:val="PS-hlavika1"/>
      </w:pPr>
      <w:r w:rsidRPr="00887168">
        <w:t xml:space="preserve">dne </w:t>
      </w:r>
      <w:r w:rsidR="00217B29">
        <w:t>8. června</w:t>
      </w:r>
      <w:r w:rsidR="00434A11" w:rsidRPr="00887168">
        <w:t xml:space="preserve"> 2022</w:t>
      </w:r>
    </w:p>
    <w:p w:rsidR="00887168" w:rsidRPr="00887168" w:rsidRDefault="00F63B05" w:rsidP="00887168">
      <w:pPr>
        <w:pStyle w:val="PS-pedmtusnesen"/>
      </w:pPr>
      <w:r>
        <w:t>k</w:t>
      </w:r>
      <w:r w:rsidR="00B57ED6">
        <w:t> dokumentu EU:</w:t>
      </w:r>
      <w:r w:rsidR="00217B29">
        <w:t xml:space="preserve"> Zpráva Komise EP a Radě – Pokrok v oblasti konkurenceschopnosti technologií čisté energie</w:t>
      </w:r>
      <w:r w:rsidR="00885B9E">
        <w:t>, COM(2021</w:t>
      </w:r>
      <w:r w:rsidR="00887168" w:rsidRPr="00887168">
        <w:t xml:space="preserve">) </w:t>
      </w:r>
      <w:r w:rsidR="00217B29">
        <w:t>952</w:t>
      </w:r>
      <w:r w:rsidR="00411040">
        <w:t xml:space="preserve"> final, 1</w:t>
      </w:r>
      <w:r w:rsidR="00217B29">
        <w:t>3236</w:t>
      </w:r>
      <w:r w:rsidR="00885B9E">
        <w:t>/21</w:t>
      </w:r>
    </w:p>
    <w:p w:rsidR="003329C4" w:rsidRPr="00126566" w:rsidRDefault="003329C4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  <w:r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Po </w:t>
      </w:r>
      <w:r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zpravodajské zprávě posl. </w:t>
      </w:r>
      <w:r w:rsidR="00220D4D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Ing. Jany Krutákové</w:t>
      </w:r>
      <w:r w:rsidR="00887168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a p</w:t>
      </w:r>
      <w:r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o rozpravě</w:t>
      </w:r>
    </w:p>
    <w:p w:rsidR="00D86EF4" w:rsidRPr="00126566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1C4651" w:rsidRPr="00126566" w:rsidRDefault="001C4651" w:rsidP="001C4651">
      <w:pPr>
        <w:pStyle w:val="PS-uvodnodstavec"/>
        <w:spacing w:after="480"/>
        <w:ind w:firstLine="0"/>
        <w:rPr>
          <w:szCs w:val="24"/>
        </w:rPr>
      </w:pPr>
      <w:r w:rsidRPr="00126566">
        <w:rPr>
          <w:szCs w:val="24"/>
        </w:rPr>
        <w:t>výbor pro životní prostředí Poslanecké sněmovny Parlamentu ČR</w:t>
      </w:r>
    </w:p>
    <w:p w:rsidR="008B0A30" w:rsidRPr="00126566" w:rsidRDefault="005373D4" w:rsidP="005373D4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shd w:val="clear" w:color="auto" w:fill="FFFF00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bere na vědomí</w:t>
      </w:r>
      <w:bookmarkStart w:id="0" w:name="_heading=h.gjdgxs"/>
      <w:bookmarkEnd w:id="0"/>
      <w:r w:rsidR="00DF3BB2" w:rsidRPr="00126566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</w:t>
      </w:r>
      <w:r w:rsidR="00217B29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>zprávu Komise</w:t>
      </w:r>
      <w:r w:rsidR="00474A0B"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 EP a </w:t>
      </w:r>
      <w:r w:rsidR="00217B29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Radě – Pokrok v oblasti konkurenceschopnosti technologií čisté energie</w:t>
      </w:r>
      <w:r w:rsidR="00885B9E"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, COM(2021</w:t>
      </w:r>
      <w:r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) </w:t>
      </w:r>
      <w:r w:rsidR="00217B29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952</w:t>
      </w:r>
      <w:r w:rsidR="00411040"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 final, 1</w:t>
      </w:r>
      <w:r w:rsidR="00217B29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3236</w:t>
      </w:r>
      <w:r w:rsidR="00885B9E"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/21</w:t>
      </w:r>
      <w:r w:rsidRPr="00126566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;</w:t>
      </w:r>
    </w:p>
    <w:p w:rsidR="008D731D" w:rsidRPr="00126566" w:rsidRDefault="008D731D" w:rsidP="008D731D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2"/>
          <w:sz w:val="24"/>
          <w:szCs w:val="24"/>
          <w:shd w:val="clear" w:color="auto" w:fill="FFFF00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podporuje </w:t>
      </w:r>
      <w:r w:rsidRPr="00126566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stanovisko vlády, které je obsaženo v rámcové pozici;</w:t>
      </w:r>
    </w:p>
    <w:p w:rsidR="00ED21E0" w:rsidRPr="00126566" w:rsidRDefault="00ED21E0" w:rsidP="00474A0B">
      <w:pPr>
        <w:widowControl w:val="0"/>
        <w:numPr>
          <w:ilvl w:val="0"/>
          <w:numId w:val="24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pověřuje</w:t>
      </w:r>
      <w:r w:rsidRPr="00126566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 předsedu výboru pro evropské záležitosti.</w:t>
      </w: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B26768" w:rsidTr="00A127FC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217B29" w:rsidRDefault="00217B29" w:rsidP="00A127FC">
            <w:pPr>
              <w:pStyle w:val="PS-slovanseznam"/>
              <w:spacing w:after="0"/>
              <w:ind w:left="0" w:firstLine="0"/>
              <w:jc w:val="center"/>
              <w:rPr>
                <w:highlight w:val="yellow"/>
              </w:rPr>
            </w:pPr>
          </w:p>
          <w:p w:rsidR="00220D4D" w:rsidRDefault="00220D4D" w:rsidP="00A127FC">
            <w:pPr>
              <w:pStyle w:val="PS-slovanseznam"/>
              <w:spacing w:after="0"/>
              <w:ind w:left="0" w:firstLine="0"/>
              <w:jc w:val="center"/>
              <w:rPr>
                <w:highlight w:val="yellow"/>
              </w:rPr>
            </w:pPr>
          </w:p>
          <w:p w:rsidR="00220D4D" w:rsidRPr="00527E5D" w:rsidRDefault="00527E5D" w:rsidP="00A127FC">
            <w:pPr>
              <w:pStyle w:val="PS-slovanseznam"/>
              <w:spacing w:after="0"/>
              <w:ind w:left="0" w:firstLine="0"/>
              <w:jc w:val="center"/>
            </w:pPr>
            <w:r w:rsidRPr="00527E5D">
              <w:t>Klára KOCMANOVÁ</w:t>
            </w:r>
            <w:r w:rsidR="00EB6392">
              <w:t xml:space="preserve"> v. r.</w:t>
            </w:r>
          </w:p>
          <w:p w:rsidR="005373D4" w:rsidRDefault="005373D4" w:rsidP="00220D4D">
            <w:pPr>
              <w:pStyle w:val="PS-slovanseznam"/>
              <w:spacing w:after="0"/>
              <w:ind w:left="0" w:firstLine="0"/>
              <w:jc w:val="center"/>
            </w:pPr>
            <w:r w:rsidRPr="00527E5D">
              <w:t>o</w:t>
            </w:r>
            <w:r w:rsidR="00B26768" w:rsidRPr="00527E5D">
              <w:t>věřovatel</w:t>
            </w:r>
            <w:r w:rsidR="00527E5D" w:rsidRPr="00527E5D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20D4D" w:rsidRDefault="00220D4D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220D4D" w:rsidRDefault="00220D4D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5D71D9" w:rsidRDefault="00220D4D" w:rsidP="00A127FC">
            <w:pPr>
              <w:pStyle w:val="PS-slovanseznam"/>
              <w:spacing w:after="0"/>
              <w:ind w:left="0" w:firstLine="0"/>
              <w:jc w:val="center"/>
            </w:pPr>
            <w:r>
              <w:t>Ing. Jana KRUTÁKOVÁ</w:t>
            </w:r>
            <w:r w:rsidR="00EB6392">
              <w:t xml:space="preserve"> v. r.</w:t>
            </w:r>
            <w:bookmarkStart w:id="1" w:name="_GoBack"/>
            <w:bookmarkEnd w:id="1"/>
          </w:p>
          <w:p w:rsidR="005373D4" w:rsidRDefault="00220D4D" w:rsidP="00220D4D">
            <w:pPr>
              <w:pStyle w:val="PS-slovanseznam"/>
              <w:spacing w:after="0"/>
              <w:ind w:left="0" w:firstLine="0"/>
              <w:jc w:val="center"/>
            </w:pPr>
            <w:r>
              <w:t>zp</w:t>
            </w:r>
            <w:r w:rsidR="00885B9E" w:rsidRPr="00220D4D">
              <w:t>ravodaj</w:t>
            </w:r>
            <w:r>
              <w:t>ka a předsedkyně</w:t>
            </w:r>
          </w:p>
        </w:tc>
      </w:tr>
    </w:tbl>
    <w:p w:rsidR="005373D4" w:rsidRDefault="005373D4" w:rsidP="00806CFD">
      <w:pPr>
        <w:rPr>
          <w:rFonts w:ascii="Times New Roman" w:hAnsi="Times New Roman"/>
          <w:sz w:val="24"/>
        </w:rPr>
      </w:pPr>
    </w:p>
    <w:p w:rsidR="00220D4D" w:rsidRDefault="00220D4D" w:rsidP="00806CFD">
      <w:pPr>
        <w:rPr>
          <w:rFonts w:ascii="Times New Roman" w:hAnsi="Times New Roman"/>
          <w:sz w:val="24"/>
        </w:rPr>
      </w:pPr>
    </w:p>
    <w:p w:rsidR="00DF3BB2" w:rsidRDefault="00DF3BB2" w:rsidP="00806CFD">
      <w:pPr>
        <w:rPr>
          <w:rFonts w:ascii="Times New Roman" w:hAnsi="Times New Roman"/>
          <w:sz w:val="24"/>
        </w:rPr>
      </w:pPr>
    </w:p>
    <w:p w:rsidR="00885B9E" w:rsidRDefault="00885B9E" w:rsidP="00806CFD">
      <w:pPr>
        <w:rPr>
          <w:rFonts w:ascii="Times New Roman" w:hAnsi="Times New Roman"/>
          <w:sz w:val="24"/>
        </w:rPr>
      </w:pPr>
    </w:p>
    <w:p w:rsidR="00220D4D" w:rsidRDefault="00220D4D" w:rsidP="00806CFD">
      <w:pPr>
        <w:rPr>
          <w:rFonts w:ascii="Times New Roman" w:hAnsi="Times New Roman"/>
          <w:sz w:val="24"/>
        </w:rPr>
      </w:pPr>
    </w:p>
    <w:p w:rsidR="00DF3BB2" w:rsidRDefault="003C4840" w:rsidP="00217B29">
      <w:pPr>
        <w:rPr>
          <w:rFonts w:ascii="Times New Roman" w:hAnsi="Times New Roman"/>
          <w:sz w:val="24"/>
        </w:rPr>
      </w:pPr>
      <w:r w:rsidRPr="00BB32B9">
        <w:rPr>
          <w:rFonts w:ascii="Times New Roman" w:hAnsi="Times New Roman"/>
          <w:sz w:val="24"/>
        </w:rPr>
        <w:lastRenderedPageBreak/>
        <w:t xml:space="preserve">Příloha k usnesení </w:t>
      </w:r>
      <w:r w:rsidR="00474A0B">
        <w:rPr>
          <w:rFonts w:ascii="Times New Roman" w:hAnsi="Times New Roman"/>
          <w:sz w:val="24"/>
        </w:rPr>
        <w:t>VŽP č</w:t>
      </w:r>
      <w:r w:rsidR="00474A0B" w:rsidRPr="00AF4650">
        <w:rPr>
          <w:rFonts w:ascii="Times New Roman" w:hAnsi="Times New Roman"/>
          <w:sz w:val="24"/>
        </w:rPr>
        <w:t xml:space="preserve">. </w:t>
      </w:r>
      <w:r w:rsidR="004C7EFD">
        <w:rPr>
          <w:rFonts w:ascii="Times New Roman" w:hAnsi="Times New Roman"/>
          <w:sz w:val="24"/>
        </w:rPr>
        <w:t>48</w:t>
      </w:r>
    </w:p>
    <w:p w:rsidR="004C7EFD" w:rsidRPr="008A2F43" w:rsidRDefault="004C7EFD" w:rsidP="004C7EFD">
      <w:pPr>
        <w:rPr>
          <w:rFonts w:ascii="Calibri Light" w:hAnsi="Calibri Light" w:cs="Arial"/>
          <w:color w:val="0070C0"/>
        </w:rPr>
      </w:pPr>
      <w:r w:rsidRPr="008A2F43">
        <w:rPr>
          <w:rFonts w:ascii="Calibri Light" w:hAnsi="Calibri Light"/>
          <w:noProof/>
          <w:lang w:eastAsia="cs-CZ"/>
        </w:rPr>
        <mc:AlternateContent>
          <mc:Choice Requires="wps">
            <w:drawing>
              <wp:anchor distT="182880" distB="182880" distL="182880" distR="182880" simplePos="0" relativeHeight="251659264" behindDoc="0" locked="0" layoutInCell="1" allowOverlap="1" wp14:anchorId="56BDDAB4" wp14:editId="4C7C0CDF">
                <wp:simplePos x="0" y="0"/>
                <wp:positionH relativeFrom="page">
                  <wp:posOffset>4800600</wp:posOffset>
                </wp:positionH>
                <wp:positionV relativeFrom="margin">
                  <wp:posOffset>108586</wp:posOffset>
                </wp:positionV>
                <wp:extent cx="2240280" cy="1085850"/>
                <wp:effectExtent l="0" t="0" r="7620" b="0"/>
                <wp:wrapNone/>
                <wp:docPr id="6" name="Obdélník s jedním ustřiženým rohe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0280" cy="1085850"/>
                        </a:xfrm>
                        <a:custGeom>
                          <a:avLst/>
                          <a:gdLst>
                            <a:gd name="T0" fmla="*/ 0 w 2240352"/>
                            <a:gd name="T1" fmla="*/ 0 h 9004899"/>
                            <a:gd name="T2" fmla="*/ 1866953 w 2240352"/>
                            <a:gd name="T3" fmla="*/ 0 h 9004899"/>
                            <a:gd name="T4" fmla="*/ 2240352 w 2240352"/>
                            <a:gd name="T5" fmla="*/ 373399 h 9004899"/>
                            <a:gd name="T6" fmla="*/ 2240352 w 2240352"/>
                            <a:gd name="T7" fmla="*/ 9004899 h 9004899"/>
                            <a:gd name="T8" fmla="*/ 0 w 2240352"/>
                            <a:gd name="T9" fmla="*/ 9004899 h 9004899"/>
                            <a:gd name="T10" fmla="*/ 0 w 2240352"/>
                            <a:gd name="T11" fmla="*/ 0 h 9004899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2240352"/>
                            <a:gd name="T19" fmla="*/ 0 h 9004899"/>
                            <a:gd name="T20" fmla="*/ 2240352 w 2240352"/>
                            <a:gd name="T21" fmla="*/ 9004899 h 9004899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240352" h="9004899">
                              <a:moveTo>
                                <a:pt x="0" y="0"/>
                              </a:moveTo>
                              <a:lnTo>
                                <a:pt x="1866953" y="0"/>
                              </a:lnTo>
                              <a:lnTo>
                                <a:pt x="2240352" y="373399"/>
                              </a:lnTo>
                              <a:lnTo>
                                <a:pt x="2240352" y="9004899"/>
                              </a:lnTo>
                              <a:lnTo>
                                <a:pt x="0" y="9004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4C7EFD" w:rsidRPr="003670F2" w:rsidRDefault="004C7EFD" w:rsidP="004C7EFD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4C7EFD" w:rsidRPr="00333C99" w:rsidRDefault="004C7EFD" w:rsidP="004C7EFD">
                            <w:pPr>
                              <w:pStyle w:val="ZHLAVTITULKY"/>
                            </w:pPr>
                            <w:r>
                              <w:t>DOKUMENTY EU</w:t>
                            </w:r>
                          </w:p>
                          <w:p w:rsidR="004C7EFD" w:rsidRPr="0035103C" w:rsidRDefault="004C7EFD" w:rsidP="004C7EFD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4C7EFD" w:rsidRPr="0035103C" w:rsidRDefault="004C7EFD" w:rsidP="004C7EFD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4C7EFD" w:rsidRPr="0035103C" w:rsidRDefault="004C7EFD" w:rsidP="004C7EFD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4C7EFD" w:rsidRPr="0035103C" w:rsidRDefault="004C7EFD" w:rsidP="004C7EFD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4C7EFD" w:rsidRPr="0035103C" w:rsidRDefault="004C7EFD" w:rsidP="004C7EFD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4C7EFD" w:rsidRPr="00333C99" w:rsidRDefault="004C7EFD" w:rsidP="004C7EFD">
                            <w:pPr>
                              <w:pStyle w:val="titulnstranaobsah"/>
                            </w:pPr>
                            <w:r w:rsidRPr="00333C99">
                              <w:t>Obsah:</w:t>
                            </w:r>
                          </w:p>
                          <w:p w:rsidR="004C7EFD" w:rsidRDefault="004C7EFD" w:rsidP="004C7EFD">
                            <w:pPr>
                              <w:rPr>
                                <w:rFonts w:cs="Arial"/>
                                <w:color w:val="C00000"/>
                              </w:rPr>
                            </w:pPr>
                          </w:p>
                          <w:p w:rsidR="004C7EFD" w:rsidRPr="00163205" w:rsidRDefault="004C7EFD" w:rsidP="004C7EFD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begin"/>
                            </w:r>
                            <w:r w:rsidRPr="00163205">
                              <w:rPr>
                                <w:rStyle w:val="Siln"/>
                                <w:caps/>
                                <w:color w:val="1F4E79" w:themeColor="accent1" w:themeShade="80"/>
                              </w:rPr>
                              <w:instrText xml:space="preserve"> TOC \o "1-1" \h \z \u </w:instrText>
                            </w: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separate"/>
                            </w:r>
                            <w:hyperlink w:anchor="_Toc448302188" w:history="1">
                              <w:r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Hodnocení z hlediska principu subsidiarity:</w: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_Toc448302188 \h </w:instrTex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1</w: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4C7EFD" w:rsidRPr="00163205" w:rsidRDefault="00EB6392" w:rsidP="004C7EFD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89" w:history="1">
                              <w:r w:rsidR="004C7EFD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4C7EFD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4C7EFD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Odůvodnění a předmět:</w:t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_Toc448302189 \h </w:instrText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4C7EFD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2</w:t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4C7EFD" w:rsidRPr="00163205" w:rsidRDefault="00EB6392" w:rsidP="004C7EFD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0" w:history="1">
                              <w:r w:rsidR="004C7EFD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4C7EFD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4C7EFD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Obsah a dopad:</w:t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_Toc448302190 \h </w:instrText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4C7EFD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2</w:t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4C7EFD" w:rsidRPr="00163205" w:rsidRDefault="00EB6392" w:rsidP="004C7EFD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1" w:history="1">
                              <w:r w:rsidR="004C7EFD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4C7EFD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4C7EFD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Stanovisko vlády ČR:</w:t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_Toc448302191 \h </w:instrText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4C7EFD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4C7EFD" w:rsidRPr="00163205" w:rsidRDefault="00EB6392" w:rsidP="004C7EFD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2" w:history="1">
                              <w:r w:rsidR="004C7EFD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4C7EFD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4C7EFD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Předpokládaný harmonogram projednávání v orgánech EU:</w:t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_Toc448302192 \h </w:instrText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4C7EFD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4C7EFD" w:rsidRPr="00163205" w:rsidRDefault="00EB6392" w:rsidP="004C7EFD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3" w:history="1">
                              <w:r w:rsidR="004C7EFD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4C7EFD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4C7EFD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Závěr:</w:t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_Toc448302193 \h </w:instrText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4C7EFD">
                                <w:rPr>
                                  <w:bCs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Chyba! Záložka není definována.</w:t>
                              </w:r>
                              <w:r w:rsidR="004C7EFD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4C7EFD" w:rsidRPr="007A5C9D" w:rsidRDefault="004C7EFD" w:rsidP="004C7EFD">
                            <w:pPr>
                              <w:pStyle w:val="Obsah1"/>
                              <w:ind w:left="284" w:right="193" w:hanging="284"/>
                              <w:rPr>
                                <w:rFonts w:eastAsiaTheme="minorEastAsia" w:cstheme="minorBidi"/>
                                <w:caps/>
                                <w:noProof/>
                                <w:sz w:val="22"/>
                                <w:szCs w:val="22"/>
                              </w:rPr>
                            </w:pP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end"/>
                            </w:r>
                            <w:r w:rsidRPr="007A5C9D">
                              <w:rPr>
                                <w:caps/>
                                <w:noProof/>
                              </w:rPr>
                              <w:fldChar w:fldCharType="begin"/>
                            </w:r>
                            <w:r w:rsidRPr="007A5C9D">
                              <w:instrText xml:space="preserve"> TOC \o "1-3" \h \z \u </w:instrText>
                            </w:r>
                            <w:r w:rsidRPr="007A5C9D">
                              <w:rPr>
                                <w:caps/>
                                <w:noProof/>
                              </w:rPr>
                              <w:fldChar w:fldCharType="separate"/>
                            </w:r>
                          </w:p>
                          <w:p w:rsidR="004C7EFD" w:rsidRPr="0035103C" w:rsidRDefault="004C7EFD" w:rsidP="004C7EFD">
                            <w:pPr>
                              <w:tabs>
                                <w:tab w:val="center" w:pos="2835"/>
                                <w:tab w:val="center" w:pos="2977"/>
                              </w:tabs>
                              <w:ind w:left="284" w:right="193" w:hanging="284"/>
                              <w:rPr>
                                <w:rFonts w:cs="Arial"/>
                                <w:color w:val="C00000"/>
                              </w:rPr>
                            </w:pPr>
                            <w:r w:rsidRPr="007A5C9D">
                              <w:rPr>
                                <w:b/>
                                <w:bCs/>
                                <w:color w:val="1F4E79" w:themeColor="accent1" w:themeShade="8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228600" tIns="91440" rIns="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DDAB4" id="Obdélník s jedním ustřiženým rohem 118" o:spid="_x0000_s1026" style="position:absolute;margin-left:378pt;margin-top:8.55pt;width:176.4pt;height:85.5pt;z-index:251659264;visibility:visible;mso-wrap-style:square;mso-width-percent:0;mso-height-percent:0;mso-wrap-distance-left:14.4pt;mso-wrap-distance-top:14.4pt;mso-wrap-distance-right:14.4pt;mso-wrap-distance-bottom:14.4pt;mso-position-horizontal:absolute;mso-position-horizontal-relative:page;mso-position-vertical:absolute;mso-position-vertical-relative:margin;mso-width-percent:0;mso-height-percent:0;mso-width-relative:margin;mso-height-relative:margin;v-text-anchor:top" coordsize="2240352,900489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U8cjAMAACYKAAAOAAAAZHJzL2Uyb0RvYy54bWysVkuO2zgQ3QfIHQguB5jWz3LbRquDIEEG&#10;AfIDojkALVGWJhKpkHTLnZtkl20WOUJmMY3ca6ooyU25Y3cjiBYSP0+PxXqsKl482TU1ueJKV1Ik&#10;NDjzKeEik3klNgn9O33x54ISbZjIWS0FT+g11/TJ5eNHF1274qEsZZ1zRYBE6FXXJrQ0pl15ns5K&#10;3jB9JlsuYLKQqmEGumrj5Yp1wN7UXuj7c6+TKm+VzLjWMPq8n6SXlr8oeGbeFoXmhtQJBduMfSv7&#10;XuPbu7xgq41ibVllgxnsF6xoWCVg0T3Vc2YY2arqDlVTZUpqWZizTDaeLIoq43YPsJvAP9jN+5K1&#10;3O4FnKPbvZv076PN3ly9U6TKEzqnRLAGJHq7zm++1uLm2wei//vyD8+h2ZCtNj8+Vz/+5eLme0OU&#10;BH1IECzQgV2rV8Dzvn2n0AW6fSWzDxomvMkMdjRgyLp7LXNYiG2NtE7bFarBP8EdZGe1ud5rw3eG&#10;ZDAYhjM/XICEGcwF/iJexFY9j63G3zOw8S8uLRW7eqVNL24OLStNPmwwBZaiqUHnPzzik44gdxSH&#10;w2HYw4IJrCRL358tlstDWOjAgsV8voyj45yRA/bJUc6ZAxusO84ZO+DoPIqWy+PEoPJ+6/cSnzvg&#10;YfPHmSHQ98wnnLp0YPdyBg9V6oFSBa5WPpn78JB5HEfzQ1GDqVCnkK5WpzldoU4jXZlOI12NTiMf&#10;KFDgKnTiiIauNvcepdBV6Ke6QyBvxlBl5Ri92U4M4QstwrCqpKAixnMrNWYLjGZICWmAEgIJ4HDW&#10;gUcTOBwBhEdH4bMJHNRFeHwUHk/gIBzCz4/C5xM4aIJwm1N+avv5BI7xgPhgstn+x8FNCkoeFrsU&#10;cjOWuxT1hIKXol5Q8lJQwubFlhn0svUkNEnX51jMg6RM6JjscL6RVzyVFmkOEjSsfTtbCxc15EJr&#10;8ZiqR8T4bS3fmH9xb30CG9w3wsbvXfhoZq/9iBu/Pb532sORh8ZmtdS8XwCdZk/Z3nvofKfuCPmi&#10;qmvr4Nqew/0AAPsRqGj96bblEStiX0LNbr2DH7FMrmV+DYVSyf6+AvcraJRSfaKkg7tKQvXHLVOc&#10;kvqlgMtAGC4gQYHctrcMZjPoKNtB0d1RJjLgSaihEEzYfGagB6htq6pNCcsE9sQJ+RSqc1FhDbV2&#10;9iYNHbiMWC8MFye87bh9i7q93l3+DwAA//8DAFBLAwQUAAYACAAAACEAnznPT+EAAAALAQAADwAA&#10;AGRycy9kb3ducmV2LnhtbEyPT0vDQBDF74LfYRnBm91EsA1pNkWkgiBWrbZeN9kxG9w/YXfTRj+9&#10;05Pe5vEeb96vWk3WsAOG2HsnIJ9lwNC1XvWuE/D+dn9VAItJOiWNdyjgGyOs6vOzSpbKH90rHrap&#10;Y1TiYikF6JSGkvPYarQyzvyAjrxPH6xMJEPHVZBHKreGX2fZnFvZO/qg5YB3Gtuv7WgFPOxewuPH&#10;5mff7McnbvTzOo2btRCXF9PtEljCKf2F4TSfpkNNmxo/OhWZEbC4mRNLImORAzsF8qwgmIauosiB&#10;1xX/z1D/AgAA//8DAFBLAQItABQABgAIAAAAIQC2gziS/gAAAOEBAAATAAAAAAAAAAAAAAAAAAAA&#10;AABbQ29udGVudF9UeXBlc10ueG1sUEsBAi0AFAAGAAgAAAAhADj9If/WAAAAlAEAAAsAAAAAAAAA&#10;AAAAAAAALwEAAF9yZWxzLy5yZWxzUEsBAi0AFAAGAAgAAAAhAKTtTxyMAwAAJgoAAA4AAAAAAAAA&#10;AAAAAAAALgIAAGRycy9lMm9Eb2MueG1sUEsBAi0AFAAGAAgAAAAhAJ85z0/hAAAACwEAAA8AAAAA&#10;AAAAAAAAAAAA5gUAAGRycy9kb3ducmV2LnhtbFBLBQYAAAAABAAEAPMAAAD0BgAAAAA=&#10;" adj="-11796480,,5400" path="m,l1866953,r373399,373399l2240352,9004899,,9004899,,xe" filled="f" stroked="f">
                <v:stroke joinstyle="miter"/>
                <v:formulas/>
                <v:path arrowok="t" o:connecttype="custom" o:connectlocs="0,0;1866893,0;2240280,45026;2240280,1085850;0,1085850;0,0" o:connectangles="0,0,0,0,0,0" textboxrect="0,0,2240352,9004899"/>
                <v:textbox inset="18pt,7.2pt,0,7.2pt">
                  <w:txbxContent>
                    <w:p w:rsidR="004C7EFD" w:rsidRPr="003670F2" w:rsidRDefault="004C7EFD" w:rsidP="004C7EFD">
                      <w:pPr>
                        <w:rPr>
                          <w:color w:val="C00000"/>
                        </w:rPr>
                      </w:pPr>
                    </w:p>
                    <w:p w:rsidR="004C7EFD" w:rsidRPr="00333C99" w:rsidRDefault="004C7EFD" w:rsidP="004C7EFD">
                      <w:pPr>
                        <w:pStyle w:val="ZHLAVTITULKY"/>
                      </w:pPr>
                      <w:r>
                        <w:t>DOKUMENTY EU</w:t>
                      </w:r>
                    </w:p>
                    <w:p w:rsidR="004C7EFD" w:rsidRPr="0035103C" w:rsidRDefault="004C7EFD" w:rsidP="004C7EFD">
                      <w:pPr>
                        <w:rPr>
                          <w:color w:val="C00000"/>
                        </w:rPr>
                      </w:pPr>
                    </w:p>
                    <w:p w:rsidR="004C7EFD" w:rsidRPr="0035103C" w:rsidRDefault="004C7EFD" w:rsidP="004C7EFD">
                      <w:pPr>
                        <w:rPr>
                          <w:color w:val="C00000"/>
                        </w:rPr>
                      </w:pPr>
                    </w:p>
                    <w:p w:rsidR="004C7EFD" w:rsidRPr="0035103C" w:rsidRDefault="004C7EFD" w:rsidP="004C7EFD">
                      <w:pPr>
                        <w:rPr>
                          <w:color w:val="C00000"/>
                        </w:rPr>
                      </w:pPr>
                    </w:p>
                    <w:p w:rsidR="004C7EFD" w:rsidRPr="0035103C" w:rsidRDefault="004C7EFD" w:rsidP="004C7EFD">
                      <w:pPr>
                        <w:rPr>
                          <w:color w:val="C00000"/>
                        </w:rPr>
                      </w:pPr>
                    </w:p>
                    <w:p w:rsidR="004C7EFD" w:rsidRPr="0035103C" w:rsidRDefault="004C7EFD" w:rsidP="004C7EFD">
                      <w:pPr>
                        <w:rPr>
                          <w:color w:val="C00000"/>
                        </w:rPr>
                      </w:pPr>
                    </w:p>
                    <w:p w:rsidR="004C7EFD" w:rsidRPr="00333C99" w:rsidRDefault="004C7EFD" w:rsidP="004C7EFD">
                      <w:pPr>
                        <w:pStyle w:val="titulnstranaobsah"/>
                      </w:pPr>
                      <w:r w:rsidRPr="00333C99">
                        <w:t>Obsah:</w:t>
                      </w:r>
                    </w:p>
                    <w:p w:rsidR="004C7EFD" w:rsidRDefault="004C7EFD" w:rsidP="004C7EFD">
                      <w:pPr>
                        <w:rPr>
                          <w:rFonts w:cs="Arial"/>
                          <w:color w:val="C00000"/>
                        </w:rPr>
                      </w:pPr>
                    </w:p>
                    <w:p w:rsidR="004C7EFD" w:rsidRPr="00163205" w:rsidRDefault="004C7EFD" w:rsidP="004C7EFD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begin"/>
                      </w:r>
                      <w:r w:rsidRPr="00163205">
                        <w:rPr>
                          <w:rStyle w:val="Siln"/>
                          <w:caps/>
                          <w:color w:val="1F4E79" w:themeColor="accent1" w:themeShade="80"/>
                        </w:rPr>
                        <w:instrText xml:space="preserve"> TOC \o "1-1" \h \z \u </w:instrText>
                      </w: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separate"/>
                      </w:r>
                      <w:hyperlink w:anchor="_Toc448302188" w:history="1">
                        <w:r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Hodnocení z hlediska principu subsidiarity: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_Toc448302188 \h </w:instrTex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1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4C7EFD" w:rsidRPr="00163205" w:rsidRDefault="004C7EFD" w:rsidP="004C7EFD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89" w:history="1">
                        <w:r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Odůvodnění a předmět: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_Toc448302189 \h </w:instrTex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2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4C7EFD" w:rsidRPr="00163205" w:rsidRDefault="004C7EFD" w:rsidP="004C7EFD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0" w:history="1">
                        <w:r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Obsah a dopad: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_Toc448302190 \h </w:instrTex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2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4C7EFD" w:rsidRPr="00163205" w:rsidRDefault="004C7EFD" w:rsidP="004C7EFD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1" w:history="1">
                        <w:r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Stanovisko vlády ČR: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_Toc448302191 \h </w:instrTex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4C7EFD" w:rsidRPr="00163205" w:rsidRDefault="004C7EFD" w:rsidP="004C7EFD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2" w:history="1">
                        <w:r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Předpokládaný harmonogram projednávání v orgánech EU: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_Toc448302192 \h </w:instrTex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4C7EFD" w:rsidRPr="00163205" w:rsidRDefault="004C7EFD" w:rsidP="004C7EFD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3" w:history="1">
                        <w:r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Závěr: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_Toc448302193 \h </w:instrTex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Cs w:val="0"/>
                            <w:noProof/>
                            <w:webHidden/>
                            <w:color w:val="1F4E79" w:themeColor="accent1" w:themeShade="80"/>
                          </w:rPr>
                          <w:t>Chyba! Záložka není definována.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4C7EFD" w:rsidRPr="007A5C9D" w:rsidRDefault="004C7EFD" w:rsidP="004C7EFD">
                      <w:pPr>
                        <w:pStyle w:val="Obsah1"/>
                        <w:ind w:left="284" w:right="193" w:hanging="284"/>
                        <w:rPr>
                          <w:rFonts w:eastAsiaTheme="minorEastAsia" w:cstheme="minorBidi"/>
                          <w:caps/>
                          <w:noProof/>
                          <w:sz w:val="22"/>
                          <w:szCs w:val="22"/>
                        </w:rPr>
                      </w:pP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end"/>
                      </w:r>
                      <w:r w:rsidRPr="007A5C9D">
                        <w:rPr>
                          <w:caps/>
                          <w:noProof/>
                        </w:rPr>
                        <w:fldChar w:fldCharType="begin"/>
                      </w:r>
                      <w:r w:rsidRPr="007A5C9D">
                        <w:instrText xml:space="preserve"> TOC \o "1-3" \h \z \u </w:instrText>
                      </w:r>
                      <w:r w:rsidRPr="007A5C9D">
                        <w:rPr>
                          <w:caps/>
                          <w:noProof/>
                        </w:rPr>
                        <w:fldChar w:fldCharType="separate"/>
                      </w:r>
                    </w:p>
                    <w:p w:rsidR="004C7EFD" w:rsidRPr="0035103C" w:rsidRDefault="004C7EFD" w:rsidP="004C7EFD">
                      <w:pPr>
                        <w:tabs>
                          <w:tab w:val="center" w:pos="2835"/>
                          <w:tab w:val="center" w:pos="2977"/>
                        </w:tabs>
                        <w:ind w:left="284" w:right="193" w:hanging="284"/>
                        <w:rPr>
                          <w:rFonts w:cs="Arial"/>
                          <w:color w:val="C00000"/>
                        </w:rPr>
                      </w:pPr>
                      <w:r w:rsidRPr="007A5C9D">
                        <w:rPr>
                          <w:b/>
                          <w:bCs/>
                          <w:color w:val="1F4E79" w:themeColor="accent1" w:themeShade="80"/>
                        </w:rPr>
                        <w:fldChar w:fldCharType="end"/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4E06ACEA" wp14:editId="7124680B">
            <wp:extent cx="6210935" cy="1087120"/>
            <wp:effectExtent l="0" t="0" r="0" b="0"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1CB86270" wp14:editId="68A520A7">
            <wp:extent cx="6210935" cy="69215"/>
            <wp:effectExtent l="0" t="0" r="0" b="0"/>
            <wp:docPr id="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</w:p>
    <w:tbl>
      <w:tblPr>
        <w:tblW w:w="9522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4C7EFD" w:rsidRPr="008A2F43" w:rsidTr="003D22C2">
        <w:trPr>
          <w:trHeight w:val="1301"/>
        </w:trPr>
        <w:tc>
          <w:tcPr>
            <w:tcW w:w="9522" w:type="dxa"/>
            <w:shd w:val="clear" w:color="auto" w:fill="auto"/>
          </w:tcPr>
          <w:p w:rsidR="004C7EFD" w:rsidRPr="008A2F43" w:rsidRDefault="004C7EFD" w:rsidP="003D22C2">
            <w:pPr>
              <w:pStyle w:val="NZEVPRCE"/>
            </w:pPr>
            <w:r w:rsidRPr="00927A33">
              <w:t>Pokrok v oblasti konkurenceschopnosti technologií čisté energie</w:t>
            </w:r>
          </w:p>
        </w:tc>
      </w:tr>
      <w:tr w:rsidR="004C7EFD" w:rsidRPr="008A2F43" w:rsidTr="003D22C2">
        <w:trPr>
          <w:trHeight w:val="2115"/>
        </w:trPr>
        <w:tc>
          <w:tcPr>
            <w:tcW w:w="9522" w:type="dxa"/>
            <w:shd w:val="clear" w:color="auto" w:fill="auto"/>
          </w:tcPr>
          <w:p w:rsidR="004C7EFD" w:rsidRPr="008A2F43" w:rsidRDefault="004C7EFD" w:rsidP="003D22C2">
            <w:pPr>
              <w:pStyle w:val="PODNZEVPRCE"/>
            </w:pPr>
            <w:r>
              <w:t xml:space="preserve">Informační podklad ke zprávě </w:t>
            </w:r>
            <w:r w:rsidRPr="00927A33">
              <w:t>Pokrok v oblasti konkurenceschopnosti technologií čisté energie</w:t>
            </w:r>
          </w:p>
          <w:p w:rsidR="004C7EFD" w:rsidRPr="008A2F43" w:rsidRDefault="004C7EFD" w:rsidP="003D22C2">
            <w:pPr>
              <w:pStyle w:val="PODNZEVPRCE"/>
            </w:pPr>
          </w:p>
          <w:p w:rsidR="004C7EFD" w:rsidRPr="008A2F43" w:rsidRDefault="004C7EFD" w:rsidP="003D22C2">
            <w:pPr>
              <w:rPr>
                <w:rFonts w:ascii="Calibri Light" w:hAnsi="Calibri Light"/>
              </w:rPr>
            </w:pPr>
          </w:p>
        </w:tc>
      </w:tr>
    </w:tbl>
    <w:p w:rsidR="004C7EFD" w:rsidRDefault="004C7EFD" w:rsidP="004C7EFD">
      <w:pPr>
        <w:pStyle w:val="ZHLAVTITULKY"/>
        <w:jc w:val="center"/>
      </w:pPr>
      <w:bookmarkStart w:id="2" w:name="_Toc102889783"/>
      <w:bookmarkStart w:id="3" w:name="_Toc102890434"/>
      <w:bookmarkStart w:id="4" w:name="_Toc102962509"/>
      <w:bookmarkStart w:id="5" w:name="_Toc102963703"/>
      <w:bookmarkStart w:id="6" w:name="_Toc104024348"/>
      <w:bookmarkStart w:id="7" w:name="_Toc442363945"/>
      <w:r>
        <w:t>ZPRÁVA</w:t>
      </w:r>
    </w:p>
    <w:p w:rsidR="004C7EFD" w:rsidRDefault="004C7EFD" w:rsidP="004C7EFD">
      <w:pPr>
        <w:pStyle w:val="PODNZEVPRCE"/>
        <w:jc w:val="center"/>
      </w:pPr>
      <w:r>
        <w:t>Zpráva Komise Evropskému parlamentu a Radě - Pokrok v oblasti konkurenceschopnosti technologií čisté energie</w:t>
      </w:r>
    </w:p>
    <w:p w:rsidR="004C7EFD" w:rsidRDefault="004C7EFD" w:rsidP="004C7EFD">
      <w:pPr>
        <w:pStyle w:val="PODNZEVPRCE"/>
        <w:jc w:val="center"/>
      </w:pPr>
      <w:r>
        <w:t>COM(2021) 952 final, číslo Rady 13236/21</w:t>
      </w:r>
    </w:p>
    <w:p w:rsidR="004C7EFD" w:rsidRDefault="004C7EFD" w:rsidP="004C7EFD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4C7EFD" w:rsidRDefault="004C7EFD" w:rsidP="004C7EFD">
      <w:pPr>
        <w:jc w:val="both"/>
        <w:rPr>
          <w:rStyle w:val="Siln"/>
        </w:rPr>
      </w:pPr>
    </w:p>
    <w:p w:rsidR="004C7EFD" w:rsidRPr="00C90F55" w:rsidRDefault="004C7EFD" w:rsidP="004C7EFD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8" w:name="_Toc445380604"/>
      <w:r w:rsidRPr="00C90F55">
        <w:rPr>
          <w:b/>
        </w:rPr>
        <w:t>Právní základ:</w:t>
      </w:r>
      <w:bookmarkEnd w:id="8"/>
    </w:p>
    <w:p w:rsidR="004C7EFD" w:rsidRDefault="004C7EFD" w:rsidP="004C7EFD">
      <w:pPr>
        <w:jc w:val="both"/>
      </w:pPr>
      <w:r w:rsidRPr="0048126F">
        <w:t>Dokument informační povahy.</w:t>
      </w:r>
    </w:p>
    <w:p w:rsidR="004C7EFD" w:rsidRPr="0048126F" w:rsidRDefault="004C7EFD" w:rsidP="004C7EFD">
      <w:pPr>
        <w:jc w:val="both"/>
      </w:pPr>
    </w:p>
    <w:p w:rsidR="004C7EFD" w:rsidRPr="00373906" w:rsidRDefault="004C7EFD" w:rsidP="004C7EFD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9" w:name="_Toc445380605"/>
      <w:r w:rsidRPr="00373906">
        <w:rPr>
          <w:b/>
        </w:rPr>
        <w:t>Datum zaslání Poslanecké sněmovně prostřednictvím VEZ:</w:t>
      </w:r>
      <w:bookmarkEnd w:id="9"/>
    </w:p>
    <w:p w:rsidR="004C7EFD" w:rsidRDefault="004C7EFD" w:rsidP="004C7EFD">
      <w:pPr>
        <w:jc w:val="both"/>
      </w:pPr>
      <w:r>
        <w:t>15. 12. 2021</w:t>
      </w:r>
    </w:p>
    <w:p w:rsidR="004C7EFD" w:rsidRPr="0048126F" w:rsidRDefault="004C7EFD" w:rsidP="004C7EFD">
      <w:pPr>
        <w:jc w:val="both"/>
      </w:pPr>
    </w:p>
    <w:p w:rsidR="004C7EFD" w:rsidRPr="00373906" w:rsidRDefault="004C7EFD" w:rsidP="004C7EFD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0" w:name="_Toc445380606"/>
      <w:r w:rsidRPr="00373906">
        <w:rPr>
          <w:b/>
        </w:rPr>
        <w:t>Datum projednání ve VEZ:</w:t>
      </w:r>
      <w:bookmarkEnd w:id="10"/>
    </w:p>
    <w:p w:rsidR="004C7EFD" w:rsidRDefault="004C7EFD" w:rsidP="004C7EFD">
      <w:pPr>
        <w:jc w:val="both"/>
      </w:pPr>
      <w:r>
        <w:t>18. 1. 2022</w:t>
      </w:r>
      <w:r w:rsidRPr="0048126F">
        <w:t xml:space="preserve"> (1. kolo)</w:t>
      </w:r>
    </w:p>
    <w:p w:rsidR="004C7EFD" w:rsidRPr="0048126F" w:rsidRDefault="004C7EFD" w:rsidP="004C7EFD">
      <w:pPr>
        <w:jc w:val="both"/>
      </w:pPr>
    </w:p>
    <w:p w:rsidR="004C7EFD" w:rsidRPr="00373906" w:rsidRDefault="004C7EFD" w:rsidP="004C7EFD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1" w:name="_Toc445380607"/>
      <w:r w:rsidRPr="00373906">
        <w:rPr>
          <w:b/>
        </w:rPr>
        <w:t>Procedura:</w:t>
      </w:r>
      <w:bookmarkEnd w:id="11"/>
    </w:p>
    <w:p w:rsidR="004C7EFD" w:rsidRPr="00BB436D" w:rsidRDefault="004C7EFD" w:rsidP="004C7EFD">
      <w:pPr>
        <w:jc w:val="both"/>
      </w:pPr>
      <w:r w:rsidRPr="0048126F">
        <w:t xml:space="preserve">Není projednáváno legislativním postupem, jedná se o dokument nelegislativní povahy, který nepodléhá schválení v Radě a Evropském </w:t>
      </w:r>
      <w:r>
        <w:t>p</w:t>
      </w:r>
      <w:r w:rsidRPr="0048126F">
        <w:t>arlamentu. Proced</w:t>
      </w:r>
      <w:r>
        <w:t>ura je ukončena jeho přijetím a </w:t>
      </w:r>
      <w:r w:rsidRPr="0048126F">
        <w:t xml:space="preserve">předložením těmto institucím. </w:t>
      </w:r>
    </w:p>
    <w:p w:rsidR="004C7EFD" w:rsidRPr="0048126F" w:rsidRDefault="004C7EFD" w:rsidP="004C7EFD">
      <w:pPr>
        <w:jc w:val="both"/>
      </w:pPr>
    </w:p>
    <w:p w:rsidR="004C7EFD" w:rsidRPr="00373906" w:rsidRDefault="004C7EFD" w:rsidP="004C7EFD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2" w:name="_Toc445380608"/>
      <w:r w:rsidRPr="00373906">
        <w:rPr>
          <w:b/>
        </w:rPr>
        <w:lastRenderedPageBreak/>
        <w:t>Předběžné stanovisko vlády (dle § 109a odst. 1 jednacího řádu PS):</w:t>
      </w:r>
      <w:bookmarkEnd w:id="12"/>
    </w:p>
    <w:p w:rsidR="004C7EFD" w:rsidRPr="0048126F" w:rsidRDefault="004C7EFD" w:rsidP="004C7EFD">
      <w:pPr>
        <w:jc w:val="both"/>
      </w:pPr>
      <w:r w:rsidRPr="0048126F">
        <w:t xml:space="preserve">Datované dnem </w:t>
      </w:r>
      <w:r>
        <w:t>28</w:t>
      </w:r>
      <w:r w:rsidRPr="0048126F">
        <w:t xml:space="preserve">. </w:t>
      </w:r>
      <w:r>
        <w:t>3.</w:t>
      </w:r>
      <w:r w:rsidRPr="0048126F">
        <w:t xml:space="preserve"> 20</w:t>
      </w:r>
      <w:r>
        <w:t>22</w:t>
      </w:r>
      <w:r w:rsidRPr="0048126F">
        <w:t>, doručené do v</w:t>
      </w:r>
      <w:r>
        <w:t xml:space="preserve">ýboru pro evropské záležitosti </w:t>
      </w:r>
      <w:r w:rsidRPr="0048126F">
        <w:t xml:space="preserve">dne </w:t>
      </w:r>
      <w:r>
        <w:t>29</w:t>
      </w:r>
      <w:r w:rsidRPr="0048126F">
        <w:t xml:space="preserve">. </w:t>
      </w:r>
      <w:r>
        <w:t>3.</w:t>
      </w:r>
      <w:r w:rsidRPr="0048126F">
        <w:t xml:space="preserve"> 20</w:t>
      </w:r>
      <w:r>
        <w:t>22</w:t>
      </w:r>
      <w:r w:rsidRPr="0048126F">
        <w:t xml:space="preserve"> prostřednictvím systému ISAP.</w:t>
      </w:r>
    </w:p>
    <w:p w:rsidR="004C7EFD" w:rsidRPr="0048126F" w:rsidRDefault="004C7EFD" w:rsidP="004C7EFD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3" w:name="_Toc445380609"/>
      <w:bookmarkStart w:id="14" w:name="_Toc448302188"/>
      <w:r w:rsidRPr="0048126F">
        <w:t>Hodnocení z hlediska principu</w:t>
      </w:r>
      <w:r w:rsidRPr="00D4776C">
        <w:rPr>
          <w:rStyle w:val="Nadpis1Char"/>
        </w:rPr>
        <w:t xml:space="preserve"> </w:t>
      </w:r>
      <w:r w:rsidRPr="0048126F">
        <w:t>subsidiarity:</w:t>
      </w:r>
      <w:bookmarkEnd w:id="13"/>
      <w:bookmarkEnd w:id="14"/>
    </w:p>
    <w:p w:rsidR="004C7EFD" w:rsidRDefault="004C7EFD" w:rsidP="004C7EFD">
      <w:pPr>
        <w:jc w:val="both"/>
      </w:pPr>
      <w:r w:rsidRPr="001C13DA">
        <w:t>Hodnocení z hlediska principu subsidiarity se neuplatní, jedná se o dokument informační povahy.</w:t>
      </w:r>
    </w:p>
    <w:p w:rsidR="004C7EFD" w:rsidRDefault="004C7EFD" w:rsidP="004C7EFD">
      <w:pPr>
        <w:pStyle w:val="Nadpis1"/>
        <w:numPr>
          <w:ilvl w:val="0"/>
          <w:numId w:val="25"/>
        </w:numPr>
        <w:tabs>
          <w:tab w:val="clear" w:pos="4513"/>
        </w:tabs>
        <w:suppressAutoHyphens w:val="0"/>
        <w:ind w:left="0" w:hanging="357"/>
        <w:jc w:val="left"/>
      </w:pPr>
      <w:bookmarkStart w:id="15" w:name="_Toc445380610"/>
      <w:bookmarkStart w:id="16" w:name="_Toc448302189"/>
      <w:r w:rsidRPr="0048126F">
        <w:t>Odůvodnění a předmět:</w:t>
      </w:r>
      <w:bookmarkEnd w:id="15"/>
      <w:bookmarkEnd w:id="16"/>
    </w:p>
    <w:p w:rsidR="004C7EFD" w:rsidRDefault="004C7EFD" w:rsidP="004C7E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/>
        <w:jc w:val="both"/>
      </w:pPr>
      <w:r w:rsidRPr="002603AB">
        <w:rPr>
          <w:szCs w:val="24"/>
        </w:rPr>
        <w:t xml:space="preserve">Zpráva Komise </w:t>
      </w:r>
      <w:hyperlink r:id="rId10" w:history="1">
        <w:r w:rsidRPr="002603AB">
          <w:rPr>
            <w:rStyle w:val="Hypertextovodkaz"/>
            <w:szCs w:val="24"/>
          </w:rPr>
          <w:t>Pokrok v oblasti konkurenceschopnosti technologií čisté energie</w:t>
        </w:r>
      </w:hyperlink>
      <w:r w:rsidRPr="002603AB">
        <w:rPr>
          <w:szCs w:val="24"/>
        </w:rPr>
        <w:t xml:space="preserve"> </w:t>
      </w:r>
      <w:r w:rsidRPr="007C142C">
        <w:rPr>
          <w:szCs w:val="24"/>
        </w:rPr>
        <w:t>(dále jen „</w:t>
      </w:r>
      <w:r>
        <w:rPr>
          <w:szCs w:val="24"/>
        </w:rPr>
        <w:t>zpráva“</w:t>
      </w:r>
      <w:r w:rsidRPr="007C142C">
        <w:rPr>
          <w:szCs w:val="24"/>
        </w:rPr>
        <w:t xml:space="preserve">) </w:t>
      </w:r>
      <w:r w:rsidRPr="002603AB">
        <w:rPr>
          <w:szCs w:val="24"/>
        </w:rPr>
        <w:t>sleduje současný a předpokládaný stav jednotlivých technologií v oblasti čisté energie a umožňuje pochopit, jak daný systém čisté energie přispívá k dosažení klimatické neutrality EU do roku 2050</w:t>
      </w:r>
      <w:r w:rsidRPr="008B7A3C">
        <w:rPr>
          <w:szCs w:val="24"/>
        </w:rPr>
        <w:t>.</w:t>
      </w:r>
    </w:p>
    <w:p w:rsidR="004C7EFD" w:rsidRDefault="004C7EFD" w:rsidP="004C7EFD">
      <w:pPr>
        <w:widowControl w:val="0"/>
        <w:spacing w:after="120"/>
        <w:jc w:val="both"/>
      </w:pPr>
      <w:r>
        <w:t>V pořadí druhá zpráva,</w:t>
      </w:r>
      <w:r>
        <w:rPr>
          <w:rStyle w:val="Znakapoznpodarou"/>
        </w:rPr>
        <w:footnoteReference w:id="1"/>
      </w:r>
      <w:r>
        <w:t xml:space="preserve"> která se věnuje pokroku v oblasti konkurenceschopnosti čisté energie, je vydána na základě </w:t>
      </w:r>
      <w:r w:rsidRPr="002603AB">
        <w:t xml:space="preserve">čl. 35 odst. 1 písm. m) </w:t>
      </w:r>
      <w:hyperlink r:id="rId11" w:history="1">
        <w:r w:rsidRPr="002603AB">
          <w:rPr>
            <w:rStyle w:val="Hypertextovodkaz"/>
          </w:rPr>
          <w:t>nařízení o správě energetické unie a opatření v oblasti klimatu</w:t>
        </w:r>
      </w:hyperlink>
      <w:r>
        <w:t xml:space="preserve"> jako doprovodná zpráva ke </w:t>
      </w:r>
      <w:hyperlink r:id="rId12" w:history="1">
        <w:r w:rsidRPr="002603AB">
          <w:rPr>
            <w:rStyle w:val="Hypertextovodkaz"/>
          </w:rPr>
          <w:t>Zprávě o stavu energetické unie</w:t>
        </w:r>
      </w:hyperlink>
      <w:r>
        <w:t xml:space="preserve">.  </w:t>
      </w:r>
    </w:p>
    <w:p w:rsidR="004C7EFD" w:rsidRDefault="004C7EFD" w:rsidP="004C7EFD">
      <w:pPr>
        <w:widowControl w:val="0"/>
        <w:spacing w:after="120"/>
        <w:jc w:val="both"/>
      </w:pPr>
      <w:r>
        <w:t>Sledování technologického pokroku v oblasti systému čisté energie</w:t>
      </w:r>
      <w:r w:rsidRPr="00BD49D8">
        <w:t xml:space="preserve"> má zásadní význam pro dosažení cíl</w:t>
      </w:r>
      <w:r>
        <w:t>ů</w:t>
      </w:r>
      <w:r w:rsidRPr="00BD49D8">
        <w:t xml:space="preserve"> EU v oblasti klimatu a energetiky do roku 2050</w:t>
      </w:r>
      <w:r>
        <w:t>. Komise v roce 2019</w:t>
      </w:r>
      <w:r w:rsidRPr="00B93027">
        <w:t xml:space="preserve"> ve sdělení </w:t>
      </w:r>
      <w:hyperlink r:id="rId13" w:history="1">
        <w:r w:rsidRPr="00B93027">
          <w:rPr>
            <w:rStyle w:val="Hypertextovodkaz"/>
          </w:rPr>
          <w:t>Zelená dohoda pro Evropu</w:t>
        </w:r>
      </w:hyperlink>
      <w:r>
        <w:t xml:space="preserve"> oznámila cíl </w:t>
      </w:r>
      <w:r w:rsidRPr="00155A47">
        <w:t xml:space="preserve">do roku 2050 dosáhnout klimatické neutrality. </w:t>
      </w:r>
      <w:r>
        <w:t>Cíl s</w:t>
      </w:r>
      <w:r w:rsidRPr="00155A47">
        <w:t>nížení čistých emisí skleníkových plynů do roku 2030 alespo</w:t>
      </w:r>
      <w:r>
        <w:t>ň o 55 % ve srovnání s úrovní z </w:t>
      </w:r>
      <w:r w:rsidRPr="00155A47">
        <w:t>roku 1990</w:t>
      </w:r>
      <w:r>
        <w:t xml:space="preserve"> a c</w:t>
      </w:r>
      <w:r w:rsidRPr="00155A47">
        <w:t>íl dosáhnout do roku 2050 klimatické neutrality </w:t>
      </w:r>
      <w:r>
        <w:t>byly následně kodifikovány v červnu roku 2021 v </w:t>
      </w:r>
      <w:hyperlink r:id="rId14" w:history="1">
        <w:r w:rsidRPr="00155A47">
          <w:rPr>
            <w:rStyle w:val="Hypertextovodkaz"/>
          </w:rPr>
          <w:t>Evropském právním rámci pro klima</w:t>
        </w:r>
      </w:hyperlink>
      <w:r>
        <w:t>.</w:t>
      </w:r>
    </w:p>
    <w:p w:rsidR="004C7EFD" w:rsidRDefault="004C7EFD" w:rsidP="004C7EFD">
      <w:pPr>
        <w:widowControl w:val="0"/>
        <w:spacing w:after="120"/>
        <w:jc w:val="both"/>
      </w:pPr>
      <w:r>
        <w:t>Komise následně 14. července 2021 představila balíček legislativních návrhů v oblasti klimatu (také nazývaný</w:t>
      </w:r>
      <w:r w:rsidRPr="00FC009D">
        <w:t xml:space="preserve"> jako balíček Fit for 55) </w:t>
      </w:r>
      <w:r>
        <w:t>s cílem dosáhnout splnění snížení emisí skleníkových plynů v EU do roku 2030 o 55 % (oproti roku 1990).</w:t>
      </w:r>
    </w:p>
    <w:p w:rsidR="004C7EFD" w:rsidRDefault="00EB6392" w:rsidP="004C7EFD">
      <w:pPr>
        <w:widowControl w:val="0"/>
        <w:jc w:val="both"/>
      </w:pPr>
      <w:hyperlink r:id="rId15" w:history="1">
        <w:r w:rsidR="004C7EFD" w:rsidRPr="00E46808">
          <w:rPr>
            <w:rStyle w:val="Hypertextovodkaz"/>
          </w:rPr>
          <w:t>Balíček Fit for 55</w:t>
        </w:r>
      </w:hyperlink>
      <w:r w:rsidR="004C7EFD">
        <w:t xml:space="preserve"> se skládá z návrhů změn stávajících legislativních předpisů (které jsou nyní nastaveny na dosažení cíle snížení emisí o 40 % do roku 2030) i z návrhů úplně nových legislativních předpisů a několika doprovodných sdělení. </w:t>
      </w:r>
      <w:r w:rsidR="004C7EFD" w:rsidRPr="0044419F">
        <w:t xml:space="preserve">Na balíček Fit for 55 navázala Komise v prosinci 2021 dalšími návrhy. </w:t>
      </w:r>
      <w:r w:rsidR="004C7EFD">
        <w:t>J</w:t>
      </w:r>
      <w:r w:rsidR="004C7EFD" w:rsidRPr="0044419F">
        <w:t>edná</w:t>
      </w:r>
      <w:r w:rsidR="004C7EFD">
        <w:t xml:space="preserve"> se například</w:t>
      </w:r>
      <w:r w:rsidR="004C7EFD" w:rsidRPr="0044419F">
        <w:t xml:space="preserve"> o opatření pro trhy s vodíkem a dekarbonizovaným plynem (</w:t>
      </w:r>
      <w:hyperlink r:id="rId16" w:history="1">
        <w:r w:rsidR="004C7EFD" w:rsidRPr="0044419F">
          <w:rPr>
            <w:rStyle w:val="Hypertextovodkaz"/>
          </w:rPr>
          <w:t>nařízení</w:t>
        </w:r>
      </w:hyperlink>
      <w:r w:rsidR="004C7EFD" w:rsidRPr="0044419F">
        <w:t xml:space="preserve"> a </w:t>
      </w:r>
      <w:hyperlink r:id="rId17" w:history="1">
        <w:r w:rsidR="004C7EFD" w:rsidRPr="0044419F">
          <w:rPr>
            <w:rStyle w:val="Hypertextovodkaz"/>
          </w:rPr>
          <w:t>směrnice</w:t>
        </w:r>
      </w:hyperlink>
      <w:r w:rsidR="004C7EFD" w:rsidRPr="0044419F">
        <w:t>), kter</w:t>
      </w:r>
      <w:r w:rsidR="004C7EFD">
        <w:t>á</w:t>
      </w:r>
      <w:r w:rsidR="004C7EFD" w:rsidRPr="0044419F">
        <w:t xml:space="preserve"> mají vytvořit podmínky pro přechod z využívání fosilního zemního plynu na obnovitelné a nízkouhlíkové plyny, zejména biometan a vodík. </w:t>
      </w:r>
    </w:p>
    <w:p w:rsidR="004C7EFD" w:rsidRPr="0048126F" w:rsidRDefault="004C7EFD" w:rsidP="004C7EFD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7" w:name="_Toc445380611"/>
      <w:bookmarkStart w:id="18" w:name="_Toc448302190"/>
      <w:r w:rsidRPr="0048126F">
        <w:t xml:space="preserve">Obsah a </w:t>
      </w:r>
      <w:r w:rsidRPr="00134640">
        <w:t>dopad</w:t>
      </w:r>
      <w:r w:rsidRPr="0048126F">
        <w:t>:</w:t>
      </w:r>
      <w:bookmarkEnd w:id="17"/>
      <w:bookmarkEnd w:id="18"/>
    </w:p>
    <w:p w:rsidR="004C7EFD" w:rsidRDefault="004C7EFD" w:rsidP="004C7EFD">
      <w:pPr>
        <w:spacing w:after="120"/>
        <w:jc w:val="both"/>
      </w:pPr>
      <w:r>
        <w:t xml:space="preserve">Nejprve se Komise věnuje </w:t>
      </w:r>
      <w:r w:rsidRPr="00BD49D8">
        <w:rPr>
          <w:b/>
        </w:rPr>
        <w:t>celkové konkurenceschopnost</w:t>
      </w:r>
      <w:r>
        <w:rPr>
          <w:b/>
        </w:rPr>
        <w:t>i</w:t>
      </w:r>
      <w:r w:rsidRPr="00BD49D8">
        <w:rPr>
          <w:b/>
        </w:rPr>
        <w:t xml:space="preserve"> odvětví čisté energie EU</w:t>
      </w:r>
      <w:r>
        <w:rPr>
          <w:b/>
        </w:rPr>
        <w:t>.</w:t>
      </w:r>
      <w:r>
        <w:t xml:space="preserve"> Shrnuje </w:t>
      </w:r>
      <w:r>
        <w:rPr>
          <w:b/>
        </w:rPr>
        <w:t>nejnovější</w:t>
      </w:r>
      <w:r w:rsidRPr="00694524">
        <w:rPr>
          <w:b/>
        </w:rPr>
        <w:t xml:space="preserve"> v</w:t>
      </w:r>
      <w:r>
        <w:rPr>
          <w:b/>
        </w:rPr>
        <w:t>ývoj</w:t>
      </w:r>
      <w:r>
        <w:t xml:space="preserve"> (resp. nejnovější ve vztahu k datu vydání zprávy 26. 10. 2021); v tomto kontextu se věnuje dopadům koronavirové pandemie, možnostem lidského kapitálu a rozvoji dovedností. V souvislosti s rostoucími cenami energií Komise ve zprávě poukazuje na důležitost existence integrovaného a </w:t>
      </w:r>
      <w:r w:rsidRPr="00694524">
        <w:t>dobře fungující</w:t>
      </w:r>
      <w:r>
        <w:t>ho</w:t>
      </w:r>
      <w:r w:rsidRPr="00694524">
        <w:t xml:space="preserve"> trh</w:t>
      </w:r>
      <w:r>
        <w:t>u</w:t>
      </w:r>
      <w:r w:rsidRPr="00694524">
        <w:t xml:space="preserve"> s energií v</w:t>
      </w:r>
      <w:r>
        <w:t> </w:t>
      </w:r>
      <w:r w:rsidRPr="00694524">
        <w:t>EU</w:t>
      </w:r>
      <w:r>
        <w:t xml:space="preserve">. </w:t>
      </w:r>
    </w:p>
    <w:p w:rsidR="004C7EFD" w:rsidRDefault="004C7EFD" w:rsidP="004C7EFD">
      <w:pPr>
        <w:spacing w:after="120"/>
        <w:jc w:val="both"/>
      </w:pPr>
      <w:r>
        <w:t xml:space="preserve">Komise se dále obecně zabývá </w:t>
      </w:r>
      <w:r w:rsidRPr="00A24476">
        <w:rPr>
          <w:b/>
        </w:rPr>
        <w:t>t</w:t>
      </w:r>
      <w:r>
        <w:rPr>
          <w:b/>
        </w:rPr>
        <w:t xml:space="preserve">rendy </w:t>
      </w:r>
      <w:r w:rsidRPr="00A24476">
        <w:rPr>
          <w:b/>
        </w:rPr>
        <w:t>ve vývoji a inovacích</w:t>
      </w:r>
      <w:r>
        <w:t>. Komise například poukazuje, že p</w:t>
      </w:r>
      <w:r w:rsidRPr="00A24476">
        <w:t>o hospodářské krizi v roce 2008 se veřejné i</w:t>
      </w:r>
      <w:r>
        <w:t>nvestice do výzkumu a inovací</w:t>
      </w:r>
      <w:r w:rsidRPr="00A24476">
        <w:t xml:space="preserve"> na půl desetiletí s</w:t>
      </w:r>
      <w:r>
        <w:t>nížily a </w:t>
      </w:r>
      <w:r w:rsidRPr="00A24476">
        <w:t>známky oživení z</w:t>
      </w:r>
      <w:r>
        <w:t xml:space="preserve">ačaly vykazovat až po roce 2016. </w:t>
      </w:r>
      <w:r w:rsidRPr="00A24476">
        <w:t>Od té doby</w:t>
      </w:r>
      <w:r>
        <w:t xml:space="preserve"> investovaly členské státy EU v </w:t>
      </w:r>
      <w:r w:rsidRPr="00A24476">
        <w:t>průměru 3,5 miliardy EUR ročně, avšak tyto výdaje jsou stále nižší než výdaje za</w:t>
      </w:r>
      <w:r>
        <w:t xml:space="preserve">znamenané před deseti lety. </w:t>
      </w:r>
    </w:p>
    <w:p w:rsidR="004C7EFD" w:rsidRDefault="004C7EFD" w:rsidP="004C7EFD">
      <w:pPr>
        <w:spacing w:after="120"/>
        <w:jc w:val="both"/>
      </w:pPr>
      <w:r>
        <w:t xml:space="preserve">Dále se Komise v této části </w:t>
      </w:r>
      <w:r w:rsidRPr="00694524">
        <w:rPr>
          <w:b/>
        </w:rPr>
        <w:t>věnuje struktuře financování čistých technologií v EU</w:t>
      </w:r>
      <w:r>
        <w:t xml:space="preserve">. Komise poukazuje na vzrůstající atraktivitu klimatických technologií pro investice rizikového kapitálu, ale zároveň zdůrazňuje, že </w:t>
      </w:r>
      <w:r w:rsidRPr="00A24476">
        <w:t xml:space="preserve">klíčový význam pro odstranění rizika spojeného </w:t>
      </w:r>
      <w:r>
        <w:t>s </w:t>
      </w:r>
      <w:r w:rsidRPr="00A24476">
        <w:t xml:space="preserve">vývojovou fází a </w:t>
      </w:r>
      <w:r>
        <w:t xml:space="preserve">pro </w:t>
      </w:r>
      <w:r w:rsidRPr="00A24476">
        <w:t>zavádění nových technologií ve větším rozsahu</w:t>
      </w:r>
      <w:r>
        <w:t xml:space="preserve"> mají </w:t>
      </w:r>
      <w:r w:rsidRPr="00A24476">
        <w:t xml:space="preserve">vládní opatření </w:t>
      </w:r>
      <w:r>
        <w:t xml:space="preserve">s cílem dále stimulovat účast </w:t>
      </w:r>
      <w:r w:rsidRPr="00A24476">
        <w:t>soukromého sektoru</w:t>
      </w:r>
      <w:r>
        <w:t xml:space="preserve">. </w:t>
      </w:r>
    </w:p>
    <w:p w:rsidR="004C7EFD" w:rsidRDefault="004C7EFD" w:rsidP="004C7EFD">
      <w:pPr>
        <w:spacing w:after="120"/>
        <w:jc w:val="both"/>
      </w:pPr>
      <w:r>
        <w:lastRenderedPageBreak/>
        <w:t xml:space="preserve">V další kapitole se pak již Komise konkrétně věnuje </w:t>
      </w:r>
      <w:r w:rsidRPr="001B3126">
        <w:rPr>
          <w:b/>
        </w:rPr>
        <w:t>jednotlivým klíčovým technologiím a řešením</w:t>
      </w:r>
      <w:r>
        <w:t>. Mezi vybrané technologie patří v</w:t>
      </w:r>
      <w:r w:rsidRPr="001B3126">
        <w:t>ětrná energie</w:t>
      </w:r>
      <w:r>
        <w:t>, s</w:t>
      </w:r>
      <w:r w:rsidRPr="001B3126">
        <w:t>olární fotovoltaika</w:t>
      </w:r>
      <w:r>
        <w:t>, t</w:t>
      </w:r>
      <w:r w:rsidRPr="001B3126">
        <w:t>epelná čerpadla pro stavebnictví</w:t>
      </w:r>
      <w:r>
        <w:t>, b</w:t>
      </w:r>
      <w:r w:rsidRPr="001B3126">
        <w:t>aterie</w:t>
      </w:r>
      <w:r>
        <w:t>, v</w:t>
      </w:r>
      <w:r w:rsidRPr="001B3126">
        <w:t>ýroba vodíku z obnovitelných zdrojů pomocí elektrolýzy</w:t>
      </w:r>
      <w:r>
        <w:t>, i</w:t>
      </w:r>
      <w:r w:rsidRPr="001B3126">
        <w:t>nteligentní sítě</w:t>
      </w:r>
      <w:r>
        <w:t xml:space="preserve"> a p</w:t>
      </w:r>
      <w:r w:rsidRPr="001B3126">
        <w:t>aliva z obnovitelných zdrojů pro letectví a lodní dopravu</w:t>
      </w:r>
      <w:r>
        <w:t xml:space="preserve">. U každé z těchto technologií Komise provádí technologickou analýzu, dále analýzu hodnotového řetězce a analýzu globálního trhu. </w:t>
      </w:r>
    </w:p>
    <w:p w:rsidR="004C7EFD" w:rsidRDefault="004C7EFD" w:rsidP="004C7EFD">
      <w:pPr>
        <w:spacing w:after="120"/>
        <w:jc w:val="both"/>
      </w:pPr>
      <w:r>
        <w:t xml:space="preserve">Jako příklad lze uvést odvětví </w:t>
      </w:r>
      <w:r w:rsidRPr="0057143E">
        <w:rPr>
          <w:b/>
        </w:rPr>
        <w:t>solární fotovoltaiky</w:t>
      </w:r>
      <w:r>
        <w:t xml:space="preserve">. Komise zde konstatuje, že toto odvětví zažívá velký růst díky zrychlenému vývoji technologií nebo </w:t>
      </w:r>
      <w:r w:rsidRPr="00C927B4">
        <w:t>zavádění rozsáhlých nízk</w:t>
      </w:r>
      <w:r>
        <w:t>onákladových výrobních zařízení.</w:t>
      </w:r>
      <w:r w:rsidRPr="0044153A">
        <w:t xml:space="preserve"> </w:t>
      </w:r>
      <w:r>
        <w:t xml:space="preserve">Komise dále konstatuje, že </w:t>
      </w:r>
      <w:r w:rsidRPr="0044153A">
        <w:t>EU má celosvětové vedoucí postavení v řadě částí foto</w:t>
      </w:r>
      <w:r>
        <w:t>voltaického hodnotového řetězce, například</w:t>
      </w:r>
      <w:r w:rsidRPr="0044153A">
        <w:t xml:space="preserve"> ve výrobě polykrystalického křemíku</w:t>
      </w:r>
      <w:r>
        <w:t>. Komise také poukazuje, že od</w:t>
      </w:r>
      <w:r w:rsidRPr="0044153A">
        <w:t xml:space="preserve"> roku 2016 se vzhledem k nárůstu instalací fotovoltaických systémů začal opět zvyšovat schodek obchodu EU v oblasti dovozu solárních modulů</w:t>
      </w:r>
      <w:r>
        <w:t xml:space="preserve">. Komise také zdůrazňuje důležitost energetických společenství, která umožní spotřebitelům aktivně se účastnit trhu s energiemi. </w:t>
      </w:r>
    </w:p>
    <w:p w:rsidR="004C7EFD" w:rsidRDefault="004C7EFD" w:rsidP="004C7EFD">
      <w:pPr>
        <w:spacing w:after="120"/>
        <w:jc w:val="both"/>
      </w:pPr>
      <w:r>
        <w:t xml:space="preserve">U </w:t>
      </w:r>
      <w:r w:rsidRPr="00B90F14">
        <w:rPr>
          <w:b/>
        </w:rPr>
        <w:t>tepelných čerpadel</w:t>
      </w:r>
      <w:r>
        <w:t xml:space="preserve"> Komise uvádí, že v</w:t>
      </w:r>
      <w:r w:rsidRPr="00B90F14">
        <w:t xml:space="preserve">ýroba tepla pomocí tepelných čerpadel v EU v posledních pěti letech roste tempem 11,5 % ročně. Tento trend se bude </w:t>
      </w:r>
      <w:r>
        <w:t>dle Komise dále zvyšovat</w:t>
      </w:r>
      <w:r w:rsidRPr="00B90F14">
        <w:t>, protože elektrifikace vytápění bude klíčovým faktorem přispívajícím k cestě odvětví stavebnictví ke klimatické neutralitě.</w:t>
      </w:r>
      <w:r>
        <w:t xml:space="preserve"> Komise dále například konstatuje, že </w:t>
      </w:r>
      <w:r w:rsidRPr="00B90F14">
        <w:rPr>
          <w:b/>
        </w:rPr>
        <w:t>obnovitelný vodík</w:t>
      </w:r>
      <w:r w:rsidRPr="00B90F14">
        <w:t xml:space="preserve"> získávaný elektrolýzou vody má potenciál dekarbonizovat těžko elektrifikovatelná odvětví a odvětví, v nichž je obtížné snižovat emise, jako je pr</w:t>
      </w:r>
      <w:r>
        <w:t>ůmysl a těžká nákladní doprava. Komise také mimo jiné poukazuje na vzrůstající trend z</w:t>
      </w:r>
      <w:r w:rsidRPr="00B90F14">
        <w:t xml:space="preserve">avádění technologií </w:t>
      </w:r>
      <w:r w:rsidRPr="00B90F14">
        <w:rPr>
          <w:b/>
        </w:rPr>
        <w:t>inteligentních sítí</w:t>
      </w:r>
      <w:r>
        <w:t xml:space="preserve"> (</w:t>
      </w:r>
      <w:r w:rsidRPr="00B90F14">
        <w:t>automatizace distribuční sítě, inteligentní měření spotřeby, domácí systémy pro hospodaření s energií a inteligen</w:t>
      </w:r>
      <w:r>
        <w:t xml:space="preserve">tní nabíjení elektromobilů). Komise dále například konstatuje, že </w:t>
      </w:r>
      <w:r w:rsidRPr="00B90F14">
        <w:rPr>
          <w:b/>
        </w:rPr>
        <w:t xml:space="preserve">paliva z obnovitelných zdrojů </w:t>
      </w:r>
      <w:r w:rsidRPr="00B90F14">
        <w:t>včetně vyspělých biopaliv a syntetických</w:t>
      </w:r>
      <w:r>
        <w:t xml:space="preserve"> paliv z obnovitelných zdrojů</w:t>
      </w:r>
      <w:r w:rsidRPr="00B90F14">
        <w:t xml:space="preserve"> představují jediné řešení dekarbonizace odvětví letecké a lodní dopravy v krátkodobém horizontu, které se vyskytuje na trhu</w:t>
      </w:r>
      <w:r>
        <w:t>.</w:t>
      </w:r>
    </w:p>
    <w:p w:rsidR="004C7EFD" w:rsidRDefault="004C7EFD" w:rsidP="004C7EFD">
      <w:pPr>
        <w:jc w:val="both"/>
      </w:pPr>
      <w:r>
        <w:t>V závěru Komise mimo jiné zdůrazňuje důležitost energetické nezávislosti a konstatuje, že pro její dosažení je důležité prosazovat opatření uvedená v Zelené dohodě pro Evropu a zvyšovat podíl čisté energie. Komise také poukazuje, že s</w:t>
      </w:r>
      <w:r w:rsidRPr="001B3126">
        <w:t>ouběžně s podporou výzkumu</w:t>
      </w:r>
      <w:r>
        <w:t xml:space="preserve"> a</w:t>
      </w:r>
      <w:r w:rsidRPr="001B3126">
        <w:t xml:space="preserve"> inovací a zaváděním čistých energetických řešení na trh musí </w:t>
      </w:r>
      <w:r>
        <w:t>E</w:t>
      </w:r>
      <w:r w:rsidRPr="001B3126">
        <w:t>U zajistit spolehlivý, udržitelný a nenarušovaný přístup k</w:t>
      </w:r>
      <w:r>
        <w:t> </w:t>
      </w:r>
      <w:r w:rsidRPr="001B3126">
        <w:t>surovinám</w:t>
      </w:r>
      <w:r>
        <w:t xml:space="preserve">, důležité je </w:t>
      </w:r>
      <w:r w:rsidRPr="001B3126">
        <w:t>účinné využívání zdrojů, oběhovost a udržitelné získávání domácích vstupních materiálů.</w:t>
      </w:r>
    </w:p>
    <w:p w:rsidR="004C7EFD" w:rsidRPr="00B56933" w:rsidRDefault="004C7EFD" w:rsidP="004C7EFD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9" w:name="_Toc445380612"/>
      <w:bookmarkStart w:id="20" w:name="_Toc448302191"/>
      <w:r w:rsidRPr="00B56933">
        <w:t>Stanovisko vlády ČR:</w:t>
      </w:r>
      <w:bookmarkEnd w:id="19"/>
      <w:bookmarkEnd w:id="20"/>
    </w:p>
    <w:p w:rsidR="004C7EFD" w:rsidRDefault="004C7EFD" w:rsidP="004C7EFD">
      <w:pPr>
        <w:jc w:val="both"/>
      </w:pPr>
      <w:r w:rsidRPr="00B56933">
        <w:t>Vláda zprávu Komise vítá a konstatuje, že její obsah je dobrým přehledem pro oblast čistých technologií. Vláda</w:t>
      </w:r>
      <w:r>
        <w:t xml:space="preserve"> poukazuje, že posilování energetické</w:t>
      </w:r>
      <w:r w:rsidRPr="0057143E">
        <w:t xml:space="preserve"> nezávislost</w:t>
      </w:r>
      <w:r>
        <w:t>i, zejména na dovozech z </w:t>
      </w:r>
      <w:r w:rsidRPr="0057143E">
        <w:t xml:space="preserve">nestabilních zemí, a </w:t>
      </w:r>
      <w:r>
        <w:t>budování</w:t>
      </w:r>
      <w:r w:rsidRPr="0057143E">
        <w:t xml:space="preserve"> kapacity v oblasti domácích, zejména obnovit</w:t>
      </w:r>
      <w:r>
        <w:t>elných, zdrojů, ještě více nabylo</w:t>
      </w:r>
      <w:r w:rsidRPr="0057143E">
        <w:t xml:space="preserve"> na významu po ruské invazi na Ukrajinu.</w:t>
      </w:r>
    </w:p>
    <w:p w:rsidR="004C7EFD" w:rsidRPr="0048126F" w:rsidRDefault="004C7EFD" w:rsidP="004C7EFD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21" w:name="_Toc445380613"/>
      <w:bookmarkStart w:id="22" w:name="_Toc448302192"/>
      <w:r w:rsidRPr="0048126F">
        <w:t>Předpokládaný harmonogram projednávání v orgánech EU:</w:t>
      </w:r>
      <w:bookmarkEnd w:id="21"/>
      <w:bookmarkEnd w:id="22"/>
    </w:p>
    <w:p w:rsidR="004C7EFD" w:rsidRDefault="004C7EFD" w:rsidP="004C7EFD">
      <w:pPr>
        <w:spacing w:after="120"/>
        <w:jc w:val="both"/>
      </w:pPr>
      <w:r>
        <w:t>Zpráva byla dne 26</w:t>
      </w:r>
      <w:r w:rsidRPr="007C0C58">
        <w:t>.</w:t>
      </w:r>
      <w:r>
        <w:t xml:space="preserve"> 10.</w:t>
      </w:r>
      <w:r w:rsidRPr="007C0C58">
        <w:t xml:space="preserve"> 2021 předána Radě a Evropskému parlamentu.</w:t>
      </w:r>
    </w:p>
    <w:p w:rsidR="004C7EFD" w:rsidRDefault="004C7EFD" w:rsidP="004C7EFD">
      <w:pPr>
        <w:spacing w:after="120"/>
        <w:jc w:val="both"/>
      </w:pPr>
    </w:p>
    <w:p w:rsidR="004C7EFD" w:rsidRPr="00D0781F" w:rsidRDefault="004C7EFD" w:rsidP="004C7EFD"/>
    <w:p w:rsidR="004C7EFD" w:rsidRPr="00B15DEA" w:rsidRDefault="004C7EFD" w:rsidP="004C7EFD">
      <w:pPr>
        <w:jc w:val="both"/>
      </w:pPr>
      <w:r>
        <w:t>Z</w:t>
      </w:r>
      <w:r w:rsidRPr="00B15DEA">
        <w:t xml:space="preserve">pracovala </w:t>
      </w:r>
      <w:r>
        <w:t>Mgr. Tereza Gajdová</w:t>
      </w:r>
      <w:r w:rsidRPr="00B15DEA">
        <w:t>, odborná konzultantka Parlamentního institutu Kanceláře PS PČR.</w:t>
      </w:r>
      <w:bookmarkEnd w:id="2"/>
      <w:bookmarkEnd w:id="3"/>
      <w:bookmarkEnd w:id="4"/>
      <w:bookmarkEnd w:id="5"/>
      <w:bookmarkEnd w:id="6"/>
      <w:bookmarkEnd w:id="7"/>
    </w:p>
    <w:p w:rsidR="004C7EFD" w:rsidRPr="00B15DEA" w:rsidRDefault="004C7EFD" w:rsidP="00217B29"/>
    <w:p w:rsidR="00DF3BB2" w:rsidRDefault="00DF3BB2" w:rsidP="00806CFD">
      <w:pPr>
        <w:rPr>
          <w:rFonts w:ascii="Times New Roman" w:hAnsi="Times New Roman"/>
          <w:sz w:val="24"/>
        </w:rPr>
      </w:pPr>
    </w:p>
    <w:sectPr w:rsidR="00DF3BB2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  <w:footnote w:id="1">
    <w:p w:rsidR="004C7EFD" w:rsidRDefault="004C7EFD" w:rsidP="004C7EF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2603AB">
        <w:t xml:space="preserve">První zpráva o pokroku v oblasti konkurenceschopnosti čisté energie </w:t>
      </w:r>
      <w:r>
        <w:t xml:space="preserve">byla zpráva COM(2020) 953 final, dostupná zde: </w:t>
      </w:r>
      <w:hyperlink r:id="rId1" w:history="1">
        <w:r w:rsidRPr="00F12E0A">
          <w:rPr>
            <w:rStyle w:val="Hypertextovodkaz"/>
          </w:rPr>
          <w:t>https://eur-lex.europa.eu/legal-content/CS/TXT/?uri=CELEX:52020DC0953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C3236"/>
    <w:multiLevelType w:val="hybridMultilevel"/>
    <w:tmpl w:val="419A377C"/>
    <w:lvl w:ilvl="0" w:tplc="23B8ADB4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 w15:restartNumberingAfterBreak="0">
    <w:nsid w:val="1EA83A57"/>
    <w:multiLevelType w:val="hybridMultilevel"/>
    <w:tmpl w:val="CB1450D2"/>
    <w:lvl w:ilvl="0" w:tplc="7E64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2FD6008"/>
    <w:multiLevelType w:val="hybridMultilevel"/>
    <w:tmpl w:val="E09203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6"/>
  </w:num>
  <w:num w:numId="4">
    <w:abstractNumId w:val="12"/>
  </w:num>
  <w:num w:numId="5">
    <w:abstractNumId w:val="0"/>
  </w:num>
  <w:num w:numId="6">
    <w:abstractNumId w:val="14"/>
  </w:num>
  <w:num w:numId="7">
    <w:abstractNumId w:val="15"/>
  </w:num>
  <w:num w:numId="8">
    <w:abstractNumId w:val="10"/>
  </w:num>
  <w:num w:numId="9">
    <w:abstractNumId w:val="17"/>
  </w:num>
  <w:num w:numId="10">
    <w:abstractNumId w:val="28"/>
  </w:num>
  <w:num w:numId="11">
    <w:abstractNumId w:val="24"/>
  </w:num>
  <w:num w:numId="12">
    <w:abstractNumId w:val="18"/>
  </w:num>
  <w:num w:numId="13">
    <w:abstractNumId w:val="23"/>
  </w:num>
  <w:num w:numId="14">
    <w:abstractNumId w:val="6"/>
  </w:num>
  <w:num w:numId="15">
    <w:abstractNumId w:val="20"/>
  </w:num>
  <w:num w:numId="16">
    <w:abstractNumId w:val="2"/>
  </w:num>
  <w:num w:numId="17">
    <w:abstractNumId w:val="3"/>
  </w:num>
  <w:num w:numId="18">
    <w:abstractNumId w:val="27"/>
  </w:num>
  <w:num w:numId="19">
    <w:abstractNumId w:val="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1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9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13F1C"/>
    <w:rsid w:val="0002401D"/>
    <w:rsid w:val="00041825"/>
    <w:rsid w:val="000435F4"/>
    <w:rsid w:val="00061FAE"/>
    <w:rsid w:val="00077E7D"/>
    <w:rsid w:val="000807A3"/>
    <w:rsid w:val="00092605"/>
    <w:rsid w:val="000A6AB9"/>
    <w:rsid w:val="000E2EBE"/>
    <w:rsid w:val="000F096B"/>
    <w:rsid w:val="000F7C41"/>
    <w:rsid w:val="00126566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B0B56"/>
    <w:rsid w:val="001C4651"/>
    <w:rsid w:val="001C5B87"/>
    <w:rsid w:val="001D79C9"/>
    <w:rsid w:val="001E578B"/>
    <w:rsid w:val="00216821"/>
    <w:rsid w:val="00217B29"/>
    <w:rsid w:val="00220D4D"/>
    <w:rsid w:val="002601E5"/>
    <w:rsid w:val="002650E6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763DC"/>
    <w:rsid w:val="0038206C"/>
    <w:rsid w:val="0038487B"/>
    <w:rsid w:val="00387E1C"/>
    <w:rsid w:val="00390A7A"/>
    <w:rsid w:val="0039620C"/>
    <w:rsid w:val="003C4840"/>
    <w:rsid w:val="003D0C66"/>
    <w:rsid w:val="003D1B05"/>
    <w:rsid w:val="004109E4"/>
    <w:rsid w:val="00411040"/>
    <w:rsid w:val="0041401D"/>
    <w:rsid w:val="00434A11"/>
    <w:rsid w:val="00435608"/>
    <w:rsid w:val="00436533"/>
    <w:rsid w:val="00451218"/>
    <w:rsid w:val="00451C36"/>
    <w:rsid w:val="00464DA7"/>
    <w:rsid w:val="004653E7"/>
    <w:rsid w:val="00474A0B"/>
    <w:rsid w:val="004B1695"/>
    <w:rsid w:val="004C3484"/>
    <w:rsid w:val="004C3CDF"/>
    <w:rsid w:val="004C7EFD"/>
    <w:rsid w:val="004E2BA6"/>
    <w:rsid w:val="00503C0B"/>
    <w:rsid w:val="00513223"/>
    <w:rsid w:val="005254AE"/>
    <w:rsid w:val="00527E5D"/>
    <w:rsid w:val="00531130"/>
    <w:rsid w:val="005373D4"/>
    <w:rsid w:val="00537E15"/>
    <w:rsid w:val="00543B97"/>
    <w:rsid w:val="00555EC9"/>
    <w:rsid w:val="0058397D"/>
    <w:rsid w:val="005C054E"/>
    <w:rsid w:val="005D07D7"/>
    <w:rsid w:val="005D41E3"/>
    <w:rsid w:val="005D6318"/>
    <w:rsid w:val="005D71D9"/>
    <w:rsid w:val="005E41AB"/>
    <w:rsid w:val="005F7A2B"/>
    <w:rsid w:val="005F7E82"/>
    <w:rsid w:val="006020AF"/>
    <w:rsid w:val="006137FB"/>
    <w:rsid w:val="006300DD"/>
    <w:rsid w:val="006447D1"/>
    <w:rsid w:val="006518B7"/>
    <w:rsid w:val="00675452"/>
    <w:rsid w:val="0067644A"/>
    <w:rsid w:val="006A63D3"/>
    <w:rsid w:val="006B7661"/>
    <w:rsid w:val="006C7FB2"/>
    <w:rsid w:val="00703C41"/>
    <w:rsid w:val="00710A0E"/>
    <w:rsid w:val="00711113"/>
    <w:rsid w:val="007121B2"/>
    <w:rsid w:val="00745C58"/>
    <w:rsid w:val="007570A2"/>
    <w:rsid w:val="007706FD"/>
    <w:rsid w:val="007D09E1"/>
    <w:rsid w:val="007E71D7"/>
    <w:rsid w:val="00806CFD"/>
    <w:rsid w:val="00811F5C"/>
    <w:rsid w:val="008275C7"/>
    <w:rsid w:val="00830838"/>
    <w:rsid w:val="0083478E"/>
    <w:rsid w:val="008547C9"/>
    <w:rsid w:val="00855797"/>
    <w:rsid w:val="00877D5E"/>
    <w:rsid w:val="00881204"/>
    <w:rsid w:val="00885B9E"/>
    <w:rsid w:val="00886500"/>
    <w:rsid w:val="00887168"/>
    <w:rsid w:val="008912A9"/>
    <w:rsid w:val="00897B1B"/>
    <w:rsid w:val="00897CCB"/>
    <w:rsid w:val="008B0A30"/>
    <w:rsid w:val="008B7AA3"/>
    <w:rsid w:val="008D1488"/>
    <w:rsid w:val="008D731D"/>
    <w:rsid w:val="008E0029"/>
    <w:rsid w:val="008E715C"/>
    <w:rsid w:val="009040E6"/>
    <w:rsid w:val="00912EB4"/>
    <w:rsid w:val="009532CA"/>
    <w:rsid w:val="009608C9"/>
    <w:rsid w:val="00977660"/>
    <w:rsid w:val="009919D2"/>
    <w:rsid w:val="009931B8"/>
    <w:rsid w:val="009B0440"/>
    <w:rsid w:val="00A04947"/>
    <w:rsid w:val="00A05479"/>
    <w:rsid w:val="00A102F3"/>
    <w:rsid w:val="00A63D7A"/>
    <w:rsid w:val="00A72A64"/>
    <w:rsid w:val="00AC0B3E"/>
    <w:rsid w:val="00AD71A8"/>
    <w:rsid w:val="00AE1CD6"/>
    <w:rsid w:val="00AF4650"/>
    <w:rsid w:val="00AF701F"/>
    <w:rsid w:val="00B23CE4"/>
    <w:rsid w:val="00B26768"/>
    <w:rsid w:val="00B57ED6"/>
    <w:rsid w:val="00B75E03"/>
    <w:rsid w:val="00B77E2B"/>
    <w:rsid w:val="00B8615E"/>
    <w:rsid w:val="00B9799C"/>
    <w:rsid w:val="00BA46AD"/>
    <w:rsid w:val="00BB32B9"/>
    <w:rsid w:val="00BB4B95"/>
    <w:rsid w:val="00BC2C44"/>
    <w:rsid w:val="00BD0AEB"/>
    <w:rsid w:val="00BF0735"/>
    <w:rsid w:val="00BF211D"/>
    <w:rsid w:val="00BF69EA"/>
    <w:rsid w:val="00C030E4"/>
    <w:rsid w:val="00C04DCD"/>
    <w:rsid w:val="00C1658C"/>
    <w:rsid w:val="00C41859"/>
    <w:rsid w:val="00C933C9"/>
    <w:rsid w:val="00CA746E"/>
    <w:rsid w:val="00CB152C"/>
    <w:rsid w:val="00CE71AF"/>
    <w:rsid w:val="00D1438B"/>
    <w:rsid w:val="00D324DF"/>
    <w:rsid w:val="00D86EF4"/>
    <w:rsid w:val="00D942B1"/>
    <w:rsid w:val="00D97A2E"/>
    <w:rsid w:val="00DA00A4"/>
    <w:rsid w:val="00DA53EA"/>
    <w:rsid w:val="00DC37AF"/>
    <w:rsid w:val="00DF3BB2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57F34"/>
    <w:rsid w:val="00E6411C"/>
    <w:rsid w:val="00E6426C"/>
    <w:rsid w:val="00E9189F"/>
    <w:rsid w:val="00EB4938"/>
    <w:rsid w:val="00EB6392"/>
    <w:rsid w:val="00EC5F47"/>
    <w:rsid w:val="00EC65B6"/>
    <w:rsid w:val="00ED21E0"/>
    <w:rsid w:val="00EE65B0"/>
    <w:rsid w:val="00F03DE5"/>
    <w:rsid w:val="00F057A1"/>
    <w:rsid w:val="00F15604"/>
    <w:rsid w:val="00F33D86"/>
    <w:rsid w:val="00F4281D"/>
    <w:rsid w:val="00F51DA3"/>
    <w:rsid w:val="00F53B6C"/>
    <w:rsid w:val="00F56BCF"/>
    <w:rsid w:val="00F628C1"/>
    <w:rsid w:val="00F63B05"/>
    <w:rsid w:val="00F63F13"/>
    <w:rsid w:val="00F81ED3"/>
    <w:rsid w:val="00F85028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84B0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ur-lex.europa.eu/legal-content/EN/ALL/?uri=COM:2019:640:FI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CS/TXT/?uri=CELEX:52021DC0950" TargetMode="External"/><Relationship Id="rId17" Type="http://schemas.openxmlformats.org/officeDocument/2006/relationships/hyperlink" Target="https://eur-lex.europa.eu/legal-content/CS/TXT/?uri=COM:2021:803:FI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ur-lex.europa.eu/legal-content/CS/TXT/?qid=1639665806476&amp;uri=COM%3A2021%3A804%3AFI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CS/TXT/?uri=CELEX:02018R1999-202107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c.europa.eu/info/strategy/priorities-2019-2024/european-green-deal/delivering-european-green-deal_en" TargetMode="External"/><Relationship Id="rId10" Type="http://schemas.openxmlformats.org/officeDocument/2006/relationships/hyperlink" Target="https://eur-lex.europa.eu/legal-content/CS/TXT/?uri=CELEX:52021DC095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ur-lex.europa.eu/legal-content/CS/TXT/PDF/?uri=CELEX:32021R1119&amp;from=EN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TXT/?uri=CELEX:52020DC0953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5244D-85E8-40A9-B614-D2B75C50D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1305</Words>
  <Characters>7702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Katerina Novakova</cp:lastModifiedBy>
  <cp:revision>38</cp:revision>
  <cp:lastPrinted>2022-03-30T06:22:00Z</cp:lastPrinted>
  <dcterms:created xsi:type="dcterms:W3CDTF">2022-02-18T09:58:00Z</dcterms:created>
  <dcterms:modified xsi:type="dcterms:W3CDTF">2022-06-08T14:15:00Z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