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612" w:rsidRDefault="00925612" w:rsidP="00925612">
      <w:pPr>
        <w:pStyle w:val="PS-hlavika1"/>
        <w:jc w:val="right"/>
      </w:pPr>
      <w:r>
        <w:t>PS200295059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22</w:t>
      </w:r>
    </w:p>
    <w:p w:rsidR="00EE65B0" w:rsidRPr="00887168" w:rsidRDefault="00434A11">
      <w:pPr>
        <w:pStyle w:val="PS-hlavika1"/>
      </w:pPr>
      <w:r w:rsidRPr="00887168">
        <w:t>9</w:t>
      </w:r>
      <w:r w:rsidR="001625BA" w:rsidRPr="00887168">
        <w:t>. volební období</w:t>
      </w:r>
    </w:p>
    <w:p w:rsidR="00EE65B0" w:rsidRPr="00887168" w:rsidRDefault="0022080A">
      <w:pPr>
        <w:pStyle w:val="PS-slousnesen"/>
      </w:pPr>
      <w:r>
        <w:t>49</w:t>
      </w:r>
      <w:r w:rsidR="00912EB4" w:rsidRPr="00887168">
        <w:t>.</w:t>
      </w:r>
    </w:p>
    <w:p w:rsidR="00EE65B0" w:rsidRPr="00887168" w:rsidRDefault="001625BA">
      <w:pPr>
        <w:pStyle w:val="PS-hlavika3"/>
      </w:pPr>
      <w:r w:rsidRPr="00887168">
        <w:t>USNESENÍ</w:t>
      </w:r>
    </w:p>
    <w:p w:rsidR="00EE65B0" w:rsidRPr="00887168" w:rsidRDefault="001625BA">
      <w:pPr>
        <w:pStyle w:val="PS-hlavika1"/>
      </w:pPr>
      <w:r w:rsidRPr="00887168">
        <w:t>výboru pro životní prostředí</w:t>
      </w:r>
    </w:p>
    <w:p w:rsidR="00EE65B0" w:rsidRPr="00887168" w:rsidRDefault="00D86EF4">
      <w:pPr>
        <w:pStyle w:val="PS-hlavika1"/>
      </w:pPr>
      <w:r w:rsidRPr="00887168">
        <w:t xml:space="preserve">z </w:t>
      </w:r>
      <w:r w:rsidR="00217B29">
        <w:t>9</w:t>
      </w:r>
      <w:r w:rsidR="001625BA" w:rsidRPr="00887168">
        <w:t>. schůze</w:t>
      </w:r>
    </w:p>
    <w:p w:rsidR="00EE65B0" w:rsidRPr="00E026BA" w:rsidRDefault="001426DE">
      <w:pPr>
        <w:pStyle w:val="PS-hlavika1"/>
      </w:pPr>
      <w:r w:rsidRPr="00887168">
        <w:t xml:space="preserve">dne </w:t>
      </w:r>
      <w:r w:rsidR="00217B29">
        <w:t>8. června</w:t>
      </w:r>
      <w:r w:rsidR="00434A11" w:rsidRPr="00887168">
        <w:t xml:space="preserve"> 2022</w:t>
      </w:r>
    </w:p>
    <w:p w:rsidR="00887168" w:rsidRPr="00887168" w:rsidRDefault="00F63B05" w:rsidP="00887168">
      <w:pPr>
        <w:pStyle w:val="PS-pedmtusnesen"/>
      </w:pPr>
      <w:r>
        <w:t>k</w:t>
      </w:r>
      <w:r w:rsidR="00B57ED6">
        <w:t> dokumentu EU:</w:t>
      </w:r>
      <w:r w:rsidR="001C3AFA">
        <w:t xml:space="preserve"> Zpráva Komise EP, Radě, Evropskému hospodářskému a sociálnímu výboru a Výboru regionů – Zpráva o stavu energetické unie 2021 – Příspěvky k realizaci Zelené dohody pro Evropu a oživení Unie (podle nařízení (EU) 2018/1999 o správě energetické unie a opatření v oblasti klimatu)</w:t>
      </w:r>
      <w:r w:rsidR="00885B9E">
        <w:t>, COM(2021</w:t>
      </w:r>
      <w:r w:rsidR="00887168" w:rsidRPr="00887168">
        <w:t xml:space="preserve">) </w:t>
      </w:r>
      <w:r w:rsidR="001C3AFA">
        <w:t>950</w:t>
      </w:r>
      <w:r w:rsidR="00411040">
        <w:t xml:space="preserve"> final, 1</w:t>
      </w:r>
      <w:r w:rsidR="001C3AFA">
        <w:t>3557</w:t>
      </w:r>
      <w:r w:rsidR="00885B9E">
        <w:t>/21</w:t>
      </w:r>
    </w:p>
    <w:p w:rsidR="003329C4" w:rsidRPr="00126566" w:rsidRDefault="003329C4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  <w:r w:rsidRPr="002E2EFB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Po </w:t>
      </w:r>
      <w:r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úvodním slov</w:t>
      </w:r>
      <w:r w:rsidR="00077E7D"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ě</w:t>
      </w:r>
      <w:r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</w:t>
      </w:r>
      <w:r w:rsidR="008D1488" w:rsidRPr="009950A9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náměst</w:t>
      </w:r>
      <w:r w:rsidR="006A63D3" w:rsidRPr="009950A9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ka ministra </w:t>
      </w:r>
      <w:r w:rsidR="002650E6" w:rsidRPr="009950A9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průmyslu a obchodu Ing. et Ing. Reného Neděly</w:t>
      </w:r>
      <w:r w:rsidR="00451218"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, </w:t>
      </w:r>
      <w:r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zpravodajské zprávě posl. </w:t>
      </w:r>
      <w:r w:rsidR="00B56C8C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Ing. Evy Fialové</w:t>
      </w:r>
      <w:r w:rsidR="00887168"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a p</w:t>
      </w:r>
      <w:r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o rozpravě</w:t>
      </w:r>
    </w:p>
    <w:p w:rsidR="00D86EF4" w:rsidRPr="00126566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</w:p>
    <w:p w:rsidR="001C4651" w:rsidRPr="00126566" w:rsidRDefault="001C4651" w:rsidP="001C4651">
      <w:pPr>
        <w:pStyle w:val="PS-uvodnodstavec"/>
        <w:spacing w:after="480"/>
        <w:ind w:firstLine="0"/>
        <w:rPr>
          <w:szCs w:val="24"/>
        </w:rPr>
      </w:pPr>
      <w:r w:rsidRPr="00126566">
        <w:rPr>
          <w:szCs w:val="24"/>
        </w:rPr>
        <w:t>výbor pro životní prostředí Poslanecké sněmovny Parlamentu ČR</w:t>
      </w:r>
    </w:p>
    <w:p w:rsidR="008B0A30" w:rsidRPr="00126566" w:rsidRDefault="005373D4" w:rsidP="005373D4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shd w:val="clear" w:color="auto" w:fill="FFFF00"/>
          <w:lang w:eastAsia="hi-IN" w:bidi="hi-IN"/>
        </w:rPr>
      </w:pPr>
      <w:r w:rsidRPr="00126566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bere na vědomí</w:t>
      </w:r>
      <w:bookmarkStart w:id="0" w:name="_heading=h.gjdgxs"/>
      <w:bookmarkEnd w:id="0"/>
      <w:r w:rsidR="00DF3BB2" w:rsidRPr="00126566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 xml:space="preserve"> </w:t>
      </w:r>
      <w:r w:rsidR="00217B29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>zprávu Komise</w:t>
      </w:r>
      <w:r w:rsidR="00474A0B" w:rsidRPr="00126566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="00B56C8C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EP, Radě, Evropskému hospodářskému a sociálnímu výboru a Výboru regionů – Zpráva o stavu energetické unie 2021 – Příspěvky k realizaci Zelené dohody pro Evropu a oživení unie (podle nařízení (EU) 2018/1999 o správě energetické unie a opatření v oblasti klimatu)</w:t>
      </w:r>
      <w:r w:rsidR="00885B9E" w:rsidRPr="00126566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, COM(2021</w:t>
      </w:r>
      <w:r w:rsidRPr="00126566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 xml:space="preserve">) </w:t>
      </w:r>
      <w:r w:rsidR="00B56C8C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950</w:t>
      </w:r>
      <w:r w:rsidR="00411040" w:rsidRPr="00126566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 xml:space="preserve"> final, 1</w:t>
      </w:r>
      <w:r w:rsidR="00B56C8C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3557</w:t>
      </w:r>
      <w:r w:rsidR="00885B9E" w:rsidRPr="00126566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/21</w:t>
      </w:r>
      <w:r w:rsidRPr="00126566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;</w:t>
      </w:r>
    </w:p>
    <w:p w:rsidR="00ED21E0" w:rsidRPr="00126566" w:rsidRDefault="00ED21E0" w:rsidP="00474A0B">
      <w:pPr>
        <w:widowControl w:val="0"/>
        <w:numPr>
          <w:ilvl w:val="0"/>
          <w:numId w:val="24"/>
        </w:numPr>
        <w:suppressAutoHyphens/>
        <w:spacing w:after="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</w:pPr>
      <w:r w:rsidRPr="00126566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pověřuje</w:t>
      </w:r>
      <w:r w:rsidRPr="00126566">
        <w:rPr>
          <w:rFonts w:ascii="Times New Roman" w:eastAsia="SimSun" w:hAnsi="Times New Roman"/>
          <w:b/>
          <w:color w:val="auto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předsedkyni výboru, aby o tomto usnesení informovala předsedu výboru pro evropské záležitosti.</w:t>
      </w: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38487B" w:rsidRDefault="0038487B" w:rsidP="00806CFD">
      <w:pPr>
        <w:rPr>
          <w:rFonts w:ascii="Times New Roman" w:hAnsi="Times New Roman"/>
          <w:sz w:val="24"/>
        </w:rPr>
      </w:pPr>
    </w:p>
    <w:p w:rsidR="0038487B" w:rsidRDefault="0038487B" w:rsidP="00806CFD">
      <w:pPr>
        <w:rPr>
          <w:rFonts w:ascii="Times New Roman" w:hAnsi="Times New Roman"/>
          <w:sz w:val="24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B26768" w:rsidTr="00A127FC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217B29" w:rsidRPr="0022080A" w:rsidRDefault="0022080A" w:rsidP="00A127FC">
            <w:pPr>
              <w:pStyle w:val="PS-slovanseznam"/>
              <w:spacing w:after="0"/>
              <w:ind w:left="0" w:firstLine="0"/>
              <w:jc w:val="center"/>
            </w:pPr>
            <w:r w:rsidRPr="0022080A">
              <w:t>Klára KOCMANOVÁ</w:t>
            </w:r>
            <w:r w:rsidR="00925612">
              <w:t xml:space="preserve"> v. r.</w:t>
            </w:r>
          </w:p>
          <w:p w:rsidR="00B26768" w:rsidRDefault="005373D4" w:rsidP="00A127FC">
            <w:pPr>
              <w:pStyle w:val="PS-slovanseznam"/>
              <w:spacing w:after="0"/>
              <w:ind w:left="0" w:firstLine="0"/>
              <w:jc w:val="center"/>
            </w:pPr>
            <w:r w:rsidRPr="0022080A">
              <w:t>o</w:t>
            </w:r>
            <w:r w:rsidR="00B26768" w:rsidRPr="0022080A">
              <w:t>věřovatel</w:t>
            </w:r>
            <w:r w:rsidR="0022080A" w:rsidRPr="0022080A">
              <w:t>ka</w:t>
            </w:r>
          </w:p>
          <w:p w:rsidR="005373D4" w:rsidRDefault="005373D4" w:rsidP="00A127FC">
            <w:pPr>
              <w:pStyle w:val="PS-slovanseznam"/>
              <w:spacing w:after="0"/>
              <w:ind w:left="0" w:firstLine="0"/>
              <w:jc w:val="center"/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768" w:rsidRDefault="00B56C8C" w:rsidP="00A127FC">
            <w:pPr>
              <w:pStyle w:val="PS-slovanseznam"/>
              <w:spacing w:after="0"/>
              <w:ind w:left="0" w:firstLine="0"/>
              <w:jc w:val="center"/>
            </w:pPr>
            <w:r>
              <w:t>Ing. Eva FIALOVÁ</w:t>
            </w:r>
            <w:r w:rsidR="00925612">
              <w:t xml:space="preserve"> v. r.</w:t>
            </w:r>
          </w:p>
          <w:p w:rsidR="00B26768" w:rsidRDefault="00885B9E" w:rsidP="00A127FC">
            <w:pPr>
              <w:pStyle w:val="PS-slovanseznam"/>
              <w:spacing w:after="0"/>
              <w:ind w:left="0" w:firstLine="0"/>
              <w:jc w:val="center"/>
            </w:pPr>
            <w:r>
              <w:t>zpravodaj</w:t>
            </w:r>
            <w:r w:rsidR="00B56C8C">
              <w:t>ka</w:t>
            </w:r>
          </w:p>
          <w:p w:rsidR="00B26768" w:rsidRDefault="00B26768" w:rsidP="00A127FC">
            <w:pPr>
              <w:pStyle w:val="PS-slovanseznam"/>
              <w:spacing w:after="0"/>
              <w:ind w:left="0" w:firstLine="0"/>
            </w:pPr>
          </w:p>
          <w:p w:rsidR="00B26768" w:rsidRDefault="00B26768" w:rsidP="00A127FC">
            <w:pPr>
              <w:pStyle w:val="PS-slovanseznam"/>
              <w:spacing w:after="0"/>
              <w:ind w:left="0" w:firstLine="0"/>
            </w:pPr>
          </w:p>
          <w:p w:rsidR="005373D4" w:rsidRDefault="005373D4" w:rsidP="00A127FC">
            <w:pPr>
              <w:pStyle w:val="PS-slovanseznam"/>
              <w:spacing w:after="0"/>
              <w:ind w:left="0" w:firstLine="0"/>
            </w:pPr>
          </w:p>
        </w:tc>
      </w:tr>
      <w:tr w:rsidR="00B26768" w:rsidTr="00A127FC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6768" w:rsidRDefault="00474A0B" w:rsidP="00A127FC">
            <w:pPr>
              <w:pStyle w:val="PS-slovanseznam"/>
              <w:spacing w:after="0"/>
              <w:ind w:left="0" w:firstLine="0"/>
              <w:jc w:val="center"/>
            </w:pPr>
            <w:r>
              <w:t>Ing. Jana KRUTÁKOVÁ</w:t>
            </w:r>
            <w:r w:rsidR="00925612">
              <w:t xml:space="preserve"> v. r.</w:t>
            </w:r>
            <w:bookmarkStart w:id="1" w:name="_GoBack"/>
            <w:bookmarkEnd w:id="1"/>
          </w:p>
          <w:p w:rsidR="00B26768" w:rsidRDefault="00B26768" w:rsidP="00A127FC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:rsidR="008133E2" w:rsidRDefault="008133E2" w:rsidP="00217B29">
      <w:pPr>
        <w:rPr>
          <w:rFonts w:ascii="Times New Roman" w:hAnsi="Times New Roman"/>
          <w:sz w:val="24"/>
        </w:rPr>
      </w:pPr>
    </w:p>
    <w:p w:rsidR="00DF3BB2" w:rsidRDefault="003C4840" w:rsidP="00217B29">
      <w:pPr>
        <w:rPr>
          <w:rFonts w:ascii="Times New Roman" w:hAnsi="Times New Roman"/>
          <w:sz w:val="24"/>
        </w:rPr>
      </w:pPr>
      <w:r w:rsidRPr="00BB32B9">
        <w:rPr>
          <w:rFonts w:ascii="Times New Roman" w:hAnsi="Times New Roman"/>
          <w:sz w:val="24"/>
        </w:rPr>
        <w:lastRenderedPageBreak/>
        <w:t xml:space="preserve">Příloha k usnesení </w:t>
      </w:r>
      <w:r w:rsidR="00474A0B">
        <w:rPr>
          <w:rFonts w:ascii="Times New Roman" w:hAnsi="Times New Roman"/>
          <w:sz w:val="24"/>
        </w:rPr>
        <w:t>VŽP č</w:t>
      </w:r>
      <w:r w:rsidR="00474A0B" w:rsidRPr="00AF4650">
        <w:rPr>
          <w:rFonts w:ascii="Times New Roman" w:hAnsi="Times New Roman"/>
          <w:sz w:val="24"/>
        </w:rPr>
        <w:t xml:space="preserve">. </w:t>
      </w:r>
      <w:r w:rsidR="00963DA6">
        <w:rPr>
          <w:rFonts w:ascii="Times New Roman" w:hAnsi="Times New Roman"/>
          <w:sz w:val="24"/>
        </w:rPr>
        <w:t>49</w:t>
      </w:r>
    </w:p>
    <w:p w:rsidR="006E3540" w:rsidRPr="008A2F43" w:rsidRDefault="006E3540" w:rsidP="006E3540">
      <w:pPr>
        <w:rPr>
          <w:rFonts w:ascii="Calibri Light" w:hAnsi="Calibri Light" w:cs="Arial"/>
          <w:color w:val="0070C0"/>
        </w:rPr>
      </w:pPr>
      <w:r w:rsidRPr="008A2F43">
        <w:rPr>
          <w:rFonts w:ascii="Calibri Light" w:hAnsi="Calibri Light"/>
          <w:noProof/>
          <w:lang w:eastAsia="cs-CZ"/>
        </w:rPr>
        <mc:AlternateContent>
          <mc:Choice Requires="wps">
            <w:drawing>
              <wp:anchor distT="182880" distB="182880" distL="182880" distR="182880" simplePos="0" relativeHeight="251659264" behindDoc="0" locked="0" layoutInCell="1" allowOverlap="1" wp14:anchorId="1443F492" wp14:editId="0E0A3106">
                <wp:simplePos x="0" y="0"/>
                <wp:positionH relativeFrom="page">
                  <wp:posOffset>4800600</wp:posOffset>
                </wp:positionH>
                <wp:positionV relativeFrom="margin">
                  <wp:posOffset>108586</wp:posOffset>
                </wp:positionV>
                <wp:extent cx="2240280" cy="1085850"/>
                <wp:effectExtent l="0" t="0" r="7620" b="0"/>
                <wp:wrapNone/>
                <wp:docPr id="6" name="Obdélník s jedním ustřiženým rohem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40280" cy="1085850"/>
                        </a:xfrm>
                        <a:custGeom>
                          <a:avLst/>
                          <a:gdLst>
                            <a:gd name="T0" fmla="*/ 0 w 2240352"/>
                            <a:gd name="T1" fmla="*/ 0 h 9004899"/>
                            <a:gd name="T2" fmla="*/ 1866953 w 2240352"/>
                            <a:gd name="T3" fmla="*/ 0 h 9004899"/>
                            <a:gd name="T4" fmla="*/ 2240352 w 2240352"/>
                            <a:gd name="T5" fmla="*/ 373399 h 9004899"/>
                            <a:gd name="T6" fmla="*/ 2240352 w 2240352"/>
                            <a:gd name="T7" fmla="*/ 9004899 h 9004899"/>
                            <a:gd name="T8" fmla="*/ 0 w 2240352"/>
                            <a:gd name="T9" fmla="*/ 9004899 h 9004899"/>
                            <a:gd name="T10" fmla="*/ 0 w 2240352"/>
                            <a:gd name="T11" fmla="*/ 0 h 9004899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2240352"/>
                            <a:gd name="T19" fmla="*/ 0 h 9004899"/>
                            <a:gd name="T20" fmla="*/ 2240352 w 2240352"/>
                            <a:gd name="T21" fmla="*/ 9004899 h 9004899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240352" h="9004899">
                              <a:moveTo>
                                <a:pt x="0" y="0"/>
                              </a:moveTo>
                              <a:lnTo>
                                <a:pt x="1866953" y="0"/>
                              </a:lnTo>
                              <a:lnTo>
                                <a:pt x="2240352" y="373399"/>
                              </a:lnTo>
                              <a:lnTo>
                                <a:pt x="2240352" y="9004899"/>
                              </a:lnTo>
                              <a:lnTo>
                                <a:pt x="0" y="9004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6E3540" w:rsidRPr="003670F2" w:rsidRDefault="006E3540" w:rsidP="006E3540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6E3540" w:rsidRPr="00333C99" w:rsidRDefault="006E3540" w:rsidP="006E3540">
                            <w:pPr>
                              <w:pStyle w:val="ZHLAVTITULKY"/>
                            </w:pPr>
                            <w:r>
                              <w:t>DOKUMENTY EU</w:t>
                            </w:r>
                          </w:p>
                          <w:p w:rsidR="006E3540" w:rsidRPr="0035103C" w:rsidRDefault="006E3540" w:rsidP="006E3540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6E3540" w:rsidRPr="0035103C" w:rsidRDefault="006E3540" w:rsidP="006E3540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6E3540" w:rsidRPr="0035103C" w:rsidRDefault="006E3540" w:rsidP="006E3540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6E3540" w:rsidRPr="0035103C" w:rsidRDefault="006E3540" w:rsidP="006E3540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6E3540" w:rsidRPr="0035103C" w:rsidRDefault="006E3540" w:rsidP="006E3540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6E3540" w:rsidRPr="00333C99" w:rsidRDefault="006E3540" w:rsidP="006E3540">
                            <w:pPr>
                              <w:pStyle w:val="titulnstranaobsah"/>
                            </w:pPr>
                            <w:r w:rsidRPr="00333C99">
                              <w:t>Obsah:</w:t>
                            </w:r>
                          </w:p>
                          <w:p w:rsidR="006E3540" w:rsidRDefault="006E3540" w:rsidP="006E3540">
                            <w:pPr>
                              <w:rPr>
                                <w:rFonts w:cs="Arial"/>
                                <w:color w:val="C00000"/>
                              </w:rPr>
                            </w:pPr>
                          </w:p>
                          <w:p w:rsidR="006E3540" w:rsidRPr="00163205" w:rsidRDefault="006E3540" w:rsidP="006E3540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r w:rsidRPr="00163205">
                              <w:rPr>
                                <w:rStyle w:val="Siln"/>
                                <w:bCs/>
                                <w:caps/>
                                <w:color w:val="1F4E79" w:themeColor="accent1" w:themeShade="80"/>
                              </w:rPr>
                              <w:fldChar w:fldCharType="begin"/>
                            </w:r>
                            <w:r w:rsidRPr="00163205">
                              <w:rPr>
                                <w:rStyle w:val="Siln"/>
                                <w:caps/>
                                <w:color w:val="1F4E79" w:themeColor="accent1" w:themeShade="80"/>
                              </w:rPr>
                              <w:instrText xml:space="preserve"> TOC \o "1-1" \h \z \u </w:instrText>
                            </w:r>
                            <w:r w:rsidRPr="00163205">
                              <w:rPr>
                                <w:rStyle w:val="Siln"/>
                                <w:bCs/>
                                <w:caps/>
                                <w:color w:val="1F4E79" w:themeColor="accent1" w:themeShade="80"/>
                              </w:rPr>
                              <w:fldChar w:fldCharType="separate"/>
                            </w:r>
                            <w:hyperlink w:anchor="_Toc448302188" w:history="1">
                              <w:r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Hodnocení z hlediska principu subsidiarity:</w:t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_Toc448302188 \h </w:instrText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3</w:t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6E3540" w:rsidRPr="00163205" w:rsidRDefault="00925612" w:rsidP="006E3540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89" w:history="1">
                              <w:r w:rsidR="006E3540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6E3540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6E3540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Odůvodnění a předmět:</w:t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_Toc448302189 \h </w:instrText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6E3540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3</w:t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6E3540" w:rsidRPr="00163205" w:rsidRDefault="00925612" w:rsidP="006E3540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90" w:history="1">
                              <w:r w:rsidR="006E3540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6E3540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6E3540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Obsah a dopad:</w:t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_Toc448302190 \h </w:instrText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6E3540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3</w:t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6E3540" w:rsidRPr="00163205" w:rsidRDefault="00925612" w:rsidP="006E3540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91" w:history="1">
                              <w:r w:rsidR="006E3540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6E3540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6E3540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Stanovisko vlády ČR:</w:t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_Toc448302191 \h </w:instrText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6E3540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3</w:t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6E3540" w:rsidRPr="00163205" w:rsidRDefault="00925612" w:rsidP="006E3540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92" w:history="1">
                              <w:r w:rsidR="006E3540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6E3540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6E3540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Předpokládaný harmonogram projednávání v orgánech EU:</w:t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_Toc448302192 \h </w:instrText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6E3540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3</w:t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6E3540" w:rsidRPr="00163205" w:rsidRDefault="00925612" w:rsidP="006E3540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93" w:history="1">
                              <w:r w:rsidR="006E3540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6E3540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6E3540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Závěr:</w:t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_Toc448302193 \h </w:instrText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6E3540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4</w:t>
                              </w:r>
                              <w:r w:rsidR="006E3540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6E3540" w:rsidRPr="007A5C9D" w:rsidRDefault="006E3540" w:rsidP="006E3540">
                            <w:pPr>
                              <w:pStyle w:val="Obsah1"/>
                              <w:ind w:left="284" w:right="193" w:hanging="284"/>
                              <w:rPr>
                                <w:rFonts w:eastAsiaTheme="minorEastAsia" w:cstheme="minorBidi"/>
                                <w:caps/>
                                <w:noProof/>
                                <w:sz w:val="22"/>
                                <w:szCs w:val="22"/>
                              </w:rPr>
                            </w:pPr>
                            <w:r w:rsidRPr="00163205">
                              <w:rPr>
                                <w:rStyle w:val="Siln"/>
                                <w:bCs/>
                                <w:caps/>
                                <w:color w:val="1F4E79" w:themeColor="accent1" w:themeShade="80"/>
                              </w:rPr>
                              <w:fldChar w:fldCharType="end"/>
                            </w:r>
                            <w:r w:rsidRPr="007A5C9D">
                              <w:rPr>
                                <w:caps/>
                                <w:noProof/>
                              </w:rPr>
                              <w:fldChar w:fldCharType="begin"/>
                            </w:r>
                            <w:r w:rsidRPr="007A5C9D">
                              <w:instrText xml:space="preserve"> TOC \o "1-3" \h \z \u </w:instrText>
                            </w:r>
                            <w:r w:rsidRPr="007A5C9D">
                              <w:rPr>
                                <w:caps/>
                                <w:noProof/>
                              </w:rPr>
                              <w:fldChar w:fldCharType="separate"/>
                            </w:r>
                          </w:p>
                          <w:p w:rsidR="006E3540" w:rsidRPr="0035103C" w:rsidRDefault="006E3540" w:rsidP="006E3540">
                            <w:pPr>
                              <w:tabs>
                                <w:tab w:val="center" w:pos="2835"/>
                                <w:tab w:val="center" w:pos="2977"/>
                              </w:tabs>
                              <w:ind w:left="284" w:right="193" w:hanging="284"/>
                              <w:rPr>
                                <w:rFonts w:cs="Arial"/>
                                <w:color w:val="C00000"/>
                              </w:rPr>
                            </w:pPr>
                            <w:r w:rsidRPr="007A5C9D">
                              <w:rPr>
                                <w:b/>
                                <w:bCs/>
                                <w:color w:val="1F4E79" w:themeColor="accent1" w:themeShade="8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228600" tIns="91440" rIns="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3F492" id="Obdélník s jedním ustřiženým rohem 118" o:spid="_x0000_s1026" style="position:absolute;margin-left:378pt;margin-top:8.55pt;width:176.4pt;height:85.5pt;z-index:251659264;visibility:visible;mso-wrap-style:square;mso-width-percent:0;mso-height-percent:0;mso-wrap-distance-left:14.4pt;mso-wrap-distance-top:14.4pt;mso-wrap-distance-right:14.4pt;mso-wrap-distance-bottom:14.4pt;mso-position-horizontal:absolute;mso-position-horizontal-relative:page;mso-position-vertical:absolute;mso-position-vertical-relative:margin;mso-width-percent:0;mso-height-percent:0;mso-width-relative:margin;mso-height-relative:margin;v-text-anchor:top" coordsize="2240352,900489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" adj="-11796480,,5400" path="m,l1866953,r373399,373399l2240352,9004899,,9004899,,xe" filled="f" stroked="f">
                <v:stroke joinstyle="miter"/>
                <v:formulas/>
                <v:path arrowok="t" o:connecttype="custom" o:connectlocs="0,0;1866893,0;2240280,45026;2240280,1085850;0,1085850;0,0" o:connectangles="0,0,0,0,0,0" textboxrect="0,0,2240352,9004899"/>
                <v:textbox inset="18pt,7.2pt,0,7.2pt">
                  <w:txbxContent>
                    <w:p w:rsidR="006E3540" w:rsidRPr="003670F2" w:rsidRDefault="006E3540" w:rsidP="006E3540">
                      <w:pPr>
                        <w:rPr>
                          <w:color w:val="C00000"/>
                        </w:rPr>
                      </w:pPr>
                    </w:p>
                    <w:p w:rsidR="006E3540" w:rsidRPr="00333C99" w:rsidRDefault="006E3540" w:rsidP="006E3540">
                      <w:pPr>
                        <w:pStyle w:val="ZHLAVTITULKY"/>
                      </w:pPr>
                      <w:r>
                        <w:t>DOKUMENTY EU</w:t>
                      </w:r>
                    </w:p>
                    <w:p w:rsidR="006E3540" w:rsidRPr="0035103C" w:rsidRDefault="006E3540" w:rsidP="006E3540">
                      <w:pPr>
                        <w:rPr>
                          <w:color w:val="C00000"/>
                        </w:rPr>
                      </w:pPr>
                    </w:p>
                    <w:p w:rsidR="006E3540" w:rsidRPr="0035103C" w:rsidRDefault="006E3540" w:rsidP="006E3540">
                      <w:pPr>
                        <w:rPr>
                          <w:color w:val="C00000"/>
                        </w:rPr>
                      </w:pPr>
                    </w:p>
                    <w:p w:rsidR="006E3540" w:rsidRPr="0035103C" w:rsidRDefault="006E3540" w:rsidP="006E3540">
                      <w:pPr>
                        <w:rPr>
                          <w:color w:val="C00000"/>
                        </w:rPr>
                      </w:pPr>
                    </w:p>
                    <w:p w:rsidR="006E3540" w:rsidRPr="0035103C" w:rsidRDefault="006E3540" w:rsidP="006E3540">
                      <w:pPr>
                        <w:rPr>
                          <w:color w:val="C00000"/>
                        </w:rPr>
                      </w:pPr>
                    </w:p>
                    <w:p w:rsidR="006E3540" w:rsidRPr="0035103C" w:rsidRDefault="006E3540" w:rsidP="006E3540">
                      <w:pPr>
                        <w:rPr>
                          <w:color w:val="C00000"/>
                        </w:rPr>
                      </w:pPr>
                    </w:p>
                    <w:p w:rsidR="006E3540" w:rsidRPr="00333C99" w:rsidRDefault="006E3540" w:rsidP="006E3540">
                      <w:pPr>
                        <w:pStyle w:val="titulnstranaobsah"/>
                      </w:pPr>
                      <w:r w:rsidRPr="00333C99">
                        <w:t>Obsah:</w:t>
                      </w:r>
                    </w:p>
                    <w:p w:rsidR="006E3540" w:rsidRDefault="006E3540" w:rsidP="006E3540">
                      <w:pPr>
                        <w:rPr>
                          <w:rFonts w:cs="Arial"/>
                          <w:color w:val="C00000"/>
                        </w:rPr>
                      </w:pPr>
                    </w:p>
                    <w:p w:rsidR="006E3540" w:rsidRPr="00163205" w:rsidRDefault="006E3540" w:rsidP="006E3540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r w:rsidRPr="00163205">
                        <w:rPr>
                          <w:rStyle w:val="Siln"/>
                          <w:bCs/>
                          <w:caps/>
                          <w:color w:val="1F4E79" w:themeColor="accent1" w:themeShade="80"/>
                        </w:rPr>
                        <w:fldChar w:fldCharType="begin"/>
                      </w:r>
                      <w:r w:rsidRPr="00163205">
                        <w:rPr>
                          <w:rStyle w:val="Siln"/>
                          <w:caps/>
                          <w:color w:val="1F4E79" w:themeColor="accent1" w:themeShade="80"/>
                        </w:rPr>
                        <w:instrText xml:space="preserve"> TOC \o "1-1" \h \z \u </w:instrText>
                      </w:r>
                      <w:r w:rsidRPr="00163205">
                        <w:rPr>
                          <w:rStyle w:val="Siln"/>
                          <w:bCs/>
                          <w:caps/>
                          <w:color w:val="1F4E79" w:themeColor="accent1" w:themeShade="80"/>
                        </w:rPr>
                        <w:fldChar w:fldCharType="separate"/>
                      </w:r>
                      <w:hyperlink w:anchor="_Toc448302188" w:history="1">
                        <w:r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Hodnocení z hlediska principu subsidiarity: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_Toc448302188 \h </w:instrTex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3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6E3540" w:rsidRPr="00163205" w:rsidRDefault="006E3540" w:rsidP="006E3540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89" w:history="1">
                        <w:r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Odůvodnění a předmět: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_Toc448302189 \h </w:instrTex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3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6E3540" w:rsidRPr="00163205" w:rsidRDefault="006E3540" w:rsidP="006E3540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90" w:history="1">
                        <w:r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Obsah a dopad: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_Toc448302190 \h </w:instrTex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3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6E3540" w:rsidRPr="00163205" w:rsidRDefault="006E3540" w:rsidP="006E3540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91" w:history="1">
                        <w:r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Stanovisko vlády ČR: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_Toc448302191 \h </w:instrTex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3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6E3540" w:rsidRPr="00163205" w:rsidRDefault="006E3540" w:rsidP="006E3540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92" w:history="1">
                        <w:r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Předpokládaný harmonogram projednávání v orgánech EU: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_Toc448302192 \h </w:instrTex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3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6E3540" w:rsidRPr="00163205" w:rsidRDefault="006E3540" w:rsidP="006E3540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93" w:history="1">
                        <w:r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Závěr: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_Toc448302193 \h </w:instrTex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4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6E3540" w:rsidRPr="007A5C9D" w:rsidRDefault="006E3540" w:rsidP="006E3540">
                      <w:pPr>
                        <w:pStyle w:val="Obsah1"/>
                        <w:ind w:left="284" w:right="193" w:hanging="284"/>
                        <w:rPr>
                          <w:rFonts w:eastAsiaTheme="minorEastAsia" w:cstheme="minorBidi"/>
                          <w:caps/>
                          <w:noProof/>
                          <w:sz w:val="22"/>
                          <w:szCs w:val="22"/>
                        </w:rPr>
                      </w:pPr>
                      <w:r w:rsidRPr="00163205">
                        <w:rPr>
                          <w:rStyle w:val="Siln"/>
                          <w:bCs/>
                          <w:caps/>
                          <w:color w:val="1F4E79" w:themeColor="accent1" w:themeShade="80"/>
                        </w:rPr>
                        <w:fldChar w:fldCharType="end"/>
                      </w:r>
                      <w:r w:rsidRPr="007A5C9D">
                        <w:rPr>
                          <w:caps/>
                          <w:noProof/>
                        </w:rPr>
                        <w:fldChar w:fldCharType="begin"/>
                      </w:r>
                      <w:r w:rsidRPr="007A5C9D">
                        <w:instrText xml:space="preserve"> TOC \o "1-3" \h \z \u </w:instrText>
                      </w:r>
                      <w:r w:rsidRPr="007A5C9D">
                        <w:rPr>
                          <w:caps/>
                          <w:noProof/>
                        </w:rPr>
                        <w:fldChar w:fldCharType="separate"/>
                      </w:r>
                    </w:p>
                    <w:p w:rsidR="006E3540" w:rsidRPr="0035103C" w:rsidRDefault="006E3540" w:rsidP="006E3540">
                      <w:pPr>
                        <w:tabs>
                          <w:tab w:val="center" w:pos="2835"/>
                          <w:tab w:val="center" w:pos="2977"/>
                        </w:tabs>
                        <w:ind w:left="284" w:right="193" w:hanging="284"/>
                        <w:rPr>
                          <w:rFonts w:cs="Arial"/>
                          <w:color w:val="C00000"/>
                        </w:rPr>
                      </w:pPr>
                      <w:r w:rsidRPr="007A5C9D">
                        <w:rPr>
                          <w:b/>
                          <w:bCs/>
                          <w:color w:val="1F4E79" w:themeColor="accent1" w:themeShade="80"/>
                        </w:rPr>
                        <w:fldChar w:fldCharType="end"/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8A2F43">
        <w:rPr>
          <w:rFonts w:ascii="Calibri Light" w:hAnsi="Calibri Light" w:cs="Arial"/>
          <w:noProof/>
          <w:color w:val="0070C0"/>
          <w:lang w:eastAsia="cs-CZ"/>
        </w:rPr>
        <w:drawing>
          <wp:inline distT="0" distB="0" distL="0" distR="0" wp14:anchorId="38077E8F" wp14:editId="128F0374">
            <wp:extent cx="6210935" cy="1087120"/>
            <wp:effectExtent l="0" t="0" r="0" b="0"/>
            <wp:docPr id="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10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2F43">
        <w:rPr>
          <w:rFonts w:ascii="Calibri Light" w:hAnsi="Calibri Light" w:cs="Arial"/>
          <w:noProof/>
          <w:color w:val="0070C0"/>
          <w:lang w:eastAsia="cs-CZ"/>
        </w:rPr>
        <w:drawing>
          <wp:inline distT="0" distB="0" distL="0" distR="0" wp14:anchorId="138421E8" wp14:editId="4F156D90">
            <wp:extent cx="6210935" cy="69215"/>
            <wp:effectExtent l="0" t="0" r="0" b="0"/>
            <wp:docPr id="2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6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2F43">
        <w:rPr>
          <w:rFonts w:ascii="Calibri Light" w:hAnsi="Calibri Light" w:cs="Arial"/>
          <w:color w:val="0070C0"/>
        </w:rPr>
        <w:tab/>
      </w:r>
      <w:r w:rsidRPr="008A2F43">
        <w:rPr>
          <w:rFonts w:ascii="Calibri Light" w:hAnsi="Calibri Light" w:cs="Arial"/>
          <w:color w:val="0070C0"/>
        </w:rPr>
        <w:tab/>
      </w:r>
      <w:r w:rsidRPr="008A2F43">
        <w:rPr>
          <w:rFonts w:ascii="Calibri Light" w:hAnsi="Calibri Light" w:cs="Arial"/>
          <w:color w:val="0070C0"/>
        </w:rPr>
        <w:tab/>
      </w:r>
    </w:p>
    <w:tbl>
      <w:tblPr>
        <w:tblW w:w="9522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6E3540" w:rsidRPr="008A2F43" w:rsidTr="0004602D">
        <w:trPr>
          <w:trHeight w:val="1301"/>
        </w:trPr>
        <w:tc>
          <w:tcPr>
            <w:tcW w:w="9522" w:type="dxa"/>
            <w:shd w:val="clear" w:color="auto" w:fill="auto"/>
          </w:tcPr>
          <w:p w:rsidR="006E3540" w:rsidRPr="008A2F43" w:rsidRDefault="006E3540" w:rsidP="0004602D">
            <w:pPr>
              <w:pStyle w:val="NZEVPRCE"/>
            </w:pPr>
            <w:r w:rsidRPr="00C0135A">
              <w:t>Zpráva o stavu energetické unie 2021</w:t>
            </w:r>
          </w:p>
        </w:tc>
      </w:tr>
      <w:tr w:rsidR="006E3540" w:rsidRPr="008A2F43" w:rsidTr="0004602D">
        <w:trPr>
          <w:trHeight w:val="2115"/>
        </w:trPr>
        <w:tc>
          <w:tcPr>
            <w:tcW w:w="9522" w:type="dxa"/>
            <w:shd w:val="clear" w:color="auto" w:fill="auto"/>
          </w:tcPr>
          <w:p w:rsidR="006E3540" w:rsidRPr="008A2F43" w:rsidRDefault="006E3540" w:rsidP="0004602D">
            <w:pPr>
              <w:pStyle w:val="PODNZEVPRCE"/>
            </w:pPr>
            <w:r>
              <w:t xml:space="preserve">Informační podklad ke Zprávě </w:t>
            </w:r>
            <w:r w:rsidRPr="00C0135A">
              <w:t>o stavu energetické unie 2021 – Příspěvky k realizaci Zelené dohody pro Evropu a oživení Unie</w:t>
            </w:r>
          </w:p>
          <w:p w:rsidR="006E3540" w:rsidRPr="008A2F43" w:rsidRDefault="006E3540" w:rsidP="0004602D">
            <w:pPr>
              <w:pStyle w:val="PODNZEVPRCE"/>
            </w:pPr>
          </w:p>
          <w:p w:rsidR="006E3540" w:rsidRPr="008A2F43" w:rsidRDefault="006E3540" w:rsidP="0004602D">
            <w:pPr>
              <w:rPr>
                <w:rFonts w:ascii="Calibri Light" w:hAnsi="Calibri Light"/>
              </w:rPr>
            </w:pPr>
          </w:p>
        </w:tc>
      </w:tr>
    </w:tbl>
    <w:p w:rsidR="006E3540" w:rsidRDefault="006E3540" w:rsidP="006E3540">
      <w:pPr>
        <w:pStyle w:val="ZHLAVTITULKY"/>
        <w:jc w:val="center"/>
      </w:pPr>
      <w:bookmarkStart w:id="2" w:name="_Toc102889783"/>
      <w:bookmarkStart w:id="3" w:name="_Toc102890434"/>
      <w:bookmarkStart w:id="4" w:name="_Toc102962509"/>
      <w:bookmarkStart w:id="5" w:name="_Toc102963703"/>
      <w:bookmarkStart w:id="6" w:name="_Toc104024348"/>
      <w:bookmarkStart w:id="7" w:name="_Toc442363945"/>
      <w:r>
        <w:t>ZPRÁVA</w:t>
      </w:r>
    </w:p>
    <w:p w:rsidR="006E3540" w:rsidRDefault="006E3540" w:rsidP="006E3540">
      <w:pPr>
        <w:pStyle w:val="PODNZEVPRCE"/>
        <w:jc w:val="center"/>
      </w:pPr>
      <w:r>
        <w:t>Zpráva Komise Evropskému parlamentu, Radě, Evropskému hospodářskému a sociálnímu výboru a Výboru regionů - Zpráva o stavu energetické unie 2021 – Příspěvky k realizaci Zelené dohody pro Evropu a oživení Unie (podle nařízení (EU) 2018/1999 o správě energetické unie a opatření v oblasti klimatu)</w:t>
      </w:r>
    </w:p>
    <w:p w:rsidR="006E3540" w:rsidRDefault="006E3540" w:rsidP="006E3540">
      <w:pPr>
        <w:pStyle w:val="PODNZEVPRCE"/>
        <w:jc w:val="center"/>
      </w:pPr>
      <w:r>
        <w:t>COM(2021) 950 final, kód Rady 13557/21</w:t>
      </w:r>
    </w:p>
    <w:p w:rsidR="006E3540" w:rsidRDefault="006E3540" w:rsidP="006E3540">
      <w:pPr>
        <w:jc w:val="both"/>
        <w:rPr>
          <w:rStyle w:val="Siln"/>
          <w:rFonts w:asciiTheme="minorHAnsi" w:hAnsiTheme="minorHAnsi"/>
          <w:b w:val="0"/>
          <w:bCs w:val="0"/>
          <w:caps/>
          <w:sz w:val="20"/>
        </w:rPr>
      </w:pPr>
    </w:p>
    <w:p w:rsidR="006E3540" w:rsidRDefault="006E3540" w:rsidP="006E3540">
      <w:pPr>
        <w:jc w:val="both"/>
        <w:rPr>
          <w:rStyle w:val="Siln"/>
        </w:rPr>
      </w:pPr>
    </w:p>
    <w:p w:rsidR="006E3540" w:rsidRPr="00C90F55" w:rsidRDefault="006E3540" w:rsidP="006E3540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8" w:name="_Toc445380604"/>
      <w:r w:rsidRPr="00C90F55">
        <w:rPr>
          <w:b/>
        </w:rPr>
        <w:t>Právní základ:</w:t>
      </w:r>
      <w:bookmarkEnd w:id="8"/>
    </w:p>
    <w:p w:rsidR="006E3540" w:rsidRDefault="006E3540" w:rsidP="006E3540">
      <w:pPr>
        <w:jc w:val="both"/>
      </w:pPr>
      <w:r w:rsidRPr="0048126F">
        <w:t>Dokument informační povahy.</w:t>
      </w:r>
    </w:p>
    <w:p w:rsidR="006E3540" w:rsidRPr="0048126F" w:rsidRDefault="006E3540" w:rsidP="006E3540">
      <w:pPr>
        <w:jc w:val="both"/>
      </w:pPr>
    </w:p>
    <w:p w:rsidR="006E3540" w:rsidRPr="00373906" w:rsidRDefault="006E3540" w:rsidP="006E3540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9" w:name="_Toc445380605"/>
      <w:r w:rsidRPr="00373906">
        <w:rPr>
          <w:b/>
        </w:rPr>
        <w:t>Datum zaslání Poslanecké sněmovně prostřednictvím VEZ:</w:t>
      </w:r>
      <w:bookmarkEnd w:id="9"/>
    </w:p>
    <w:p w:rsidR="006E3540" w:rsidRDefault="006E3540" w:rsidP="006E3540">
      <w:pPr>
        <w:jc w:val="both"/>
      </w:pPr>
      <w:r>
        <w:t>8. 12. 2021</w:t>
      </w:r>
    </w:p>
    <w:p w:rsidR="006E3540" w:rsidRPr="0048126F" w:rsidRDefault="006E3540" w:rsidP="006E3540">
      <w:pPr>
        <w:jc w:val="both"/>
      </w:pPr>
    </w:p>
    <w:p w:rsidR="006E3540" w:rsidRPr="00373906" w:rsidRDefault="006E3540" w:rsidP="006E3540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0" w:name="_Toc445380606"/>
      <w:r w:rsidRPr="00373906">
        <w:rPr>
          <w:b/>
        </w:rPr>
        <w:t>Datum projednání ve VEZ:</w:t>
      </w:r>
      <w:bookmarkEnd w:id="10"/>
    </w:p>
    <w:p w:rsidR="006E3540" w:rsidRDefault="006E3540" w:rsidP="006E3540">
      <w:pPr>
        <w:jc w:val="both"/>
      </w:pPr>
      <w:r>
        <w:t>18. 1. 2022</w:t>
      </w:r>
      <w:r w:rsidRPr="0048126F">
        <w:t xml:space="preserve"> (1. kolo)</w:t>
      </w:r>
    </w:p>
    <w:p w:rsidR="006E3540" w:rsidRPr="00373906" w:rsidRDefault="006E3540" w:rsidP="006E3540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1" w:name="_Toc445380607"/>
      <w:r w:rsidRPr="00373906">
        <w:rPr>
          <w:b/>
        </w:rPr>
        <w:t>Procedura:</w:t>
      </w:r>
      <w:bookmarkEnd w:id="11"/>
    </w:p>
    <w:p w:rsidR="006E3540" w:rsidRPr="00BB436D" w:rsidRDefault="006E3540" w:rsidP="006E3540">
      <w:pPr>
        <w:jc w:val="both"/>
      </w:pPr>
      <w:r w:rsidRPr="0048126F">
        <w:t xml:space="preserve">Není projednáváno legislativním postupem, jedná se o dokument nelegislativní povahy, který nepodléhá schválení v Radě a Evropském </w:t>
      </w:r>
      <w:r>
        <w:t>p</w:t>
      </w:r>
      <w:r w:rsidRPr="0048126F">
        <w:t xml:space="preserve">arlamentu. Procedura je ukončena jeho přijetím a předložením těmto institucím. </w:t>
      </w:r>
    </w:p>
    <w:p w:rsidR="006E3540" w:rsidRPr="0048126F" w:rsidRDefault="006E3540" w:rsidP="006E3540">
      <w:pPr>
        <w:jc w:val="both"/>
      </w:pPr>
    </w:p>
    <w:p w:rsidR="006E3540" w:rsidRPr="00373906" w:rsidRDefault="006E3540" w:rsidP="006E3540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2" w:name="_Toc445380608"/>
      <w:r w:rsidRPr="00373906">
        <w:rPr>
          <w:b/>
        </w:rPr>
        <w:lastRenderedPageBreak/>
        <w:t>Předběžné stanovisko vlády (dle § 109a odst. 1 jednacího řádu PS):</w:t>
      </w:r>
      <w:bookmarkEnd w:id="12"/>
    </w:p>
    <w:p w:rsidR="006E3540" w:rsidRPr="0048126F" w:rsidRDefault="006E3540" w:rsidP="006E3540">
      <w:pPr>
        <w:jc w:val="both"/>
      </w:pPr>
      <w:r w:rsidRPr="0048126F">
        <w:t xml:space="preserve">Datované dnem </w:t>
      </w:r>
      <w:r>
        <w:t>28. března</w:t>
      </w:r>
      <w:r w:rsidRPr="0048126F">
        <w:t xml:space="preserve"> 20</w:t>
      </w:r>
      <w:r>
        <w:t>22</w:t>
      </w:r>
      <w:r w:rsidRPr="0048126F">
        <w:t>, doručené do v</w:t>
      </w:r>
      <w:r>
        <w:t xml:space="preserve">ýboru pro evropské záležitosti </w:t>
      </w:r>
      <w:r w:rsidRPr="0048126F">
        <w:t xml:space="preserve">dne </w:t>
      </w:r>
      <w:r>
        <w:t>30</w:t>
      </w:r>
      <w:r w:rsidRPr="0048126F">
        <w:t xml:space="preserve">. </w:t>
      </w:r>
      <w:r>
        <w:t>března</w:t>
      </w:r>
      <w:r w:rsidRPr="0048126F">
        <w:t xml:space="preserve"> 20</w:t>
      </w:r>
      <w:r>
        <w:t>22</w:t>
      </w:r>
      <w:r w:rsidRPr="0048126F">
        <w:t xml:space="preserve"> prostřednictvím systému ISAP.</w:t>
      </w:r>
    </w:p>
    <w:p w:rsidR="006E3540" w:rsidRPr="0048126F" w:rsidRDefault="006E3540" w:rsidP="006E3540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3" w:name="_Toc445380609"/>
      <w:bookmarkStart w:id="14" w:name="_Toc448302188"/>
      <w:r w:rsidRPr="0048126F">
        <w:t>Hodnocení z hlediska principu</w:t>
      </w:r>
      <w:r w:rsidRPr="00D4776C">
        <w:rPr>
          <w:rStyle w:val="Nadpis1Char"/>
        </w:rPr>
        <w:t xml:space="preserve"> </w:t>
      </w:r>
      <w:r w:rsidRPr="0048126F">
        <w:t>subsidiarity:</w:t>
      </w:r>
      <w:bookmarkEnd w:id="13"/>
      <w:bookmarkEnd w:id="14"/>
    </w:p>
    <w:p w:rsidR="006E3540" w:rsidRDefault="006E3540" w:rsidP="006E3540">
      <w:pPr>
        <w:jc w:val="both"/>
      </w:pPr>
      <w:r w:rsidRPr="001C13DA">
        <w:t>Hodnocení z hlediska principu subsidiarity se neuplatní, jedná se o dokument informační povahy.</w:t>
      </w:r>
    </w:p>
    <w:p w:rsidR="006E3540" w:rsidRPr="0048126F" w:rsidRDefault="006E3540" w:rsidP="006E3540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5" w:name="_Toc445380610"/>
      <w:bookmarkStart w:id="16" w:name="_Toc448302189"/>
      <w:r w:rsidRPr="0048126F">
        <w:t>Odůvodnění a předmět:</w:t>
      </w:r>
      <w:bookmarkEnd w:id="15"/>
      <w:bookmarkEnd w:id="16"/>
    </w:p>
    <w:p w:rsidR="006E3540" w:rsidRDefault="006E3540" w:rsidP="006E3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/>
        <w:jc w:val="both"/>
      </w:pPr>
      <w:r>
        <w:t xml:space="preserve">Ve </w:t>
      </w:r>
      <w:hyperlink r:id="rId10" w:history="1">
        <w:r w:rsidRPr="00D93FAA">
          <w:rPr>
            <w:rStyle w:val="Hypertextovodkaz"/>
          </w:rPr>
          <w:t>Zprávě o stavu energetické unie za rok 2021</w:t>
        </w:r>
      </w:hyperlink>
      <w:r>
        <w:t xml:space="preserve"> (dále jen „zpráva“) Evropská komise </w:t>
      </w:r>
      <w:r w:rsidRPr="005D6312">
        <w:t>každoročně hodnotí pokrok, jehož bylo dosaženo při provádění evropských politik v oblasti ener</w:t>
      </w:r>
      <w:r>
        <w:t>getiky a klimatu, a to zejména</w:t>
      </w:r>
      <w:r w:rsidRPr="005D6312">
        <w:t xml:space="preserve"> </w:t>
      </w:r>
      <w:r w:rsidRPr="005D6312">
        <w:rPr>
          <w:b/>
        </w:rPr>
        <w:t>pokrok v oblasti energetické unie a jejích pěti pilířů: dekarbonizace, včetně obnovitelných zdrojů energie, energetické účinnosti, vnitřního trhu s energií, bezpečnosti dodávek a výzkumu, inovací a konkurenceschopnosti</w:t>
      </w:r>
      <w:r w:rsidRPr="005D6312">
        <w:t>.</w:t>
      </w:r>
      <w:r w:rsidRPr="00D93FAA">
        <w:t xml:space="preserve"> </w:t>
      </w:r>
      <w:r w:rsidRPr="005D6312">
        <w:t>Ve druhém roce provádění Zelené dohody pro Evropu zpráva poskytuje přehled o politikách EU v oblasti energetiky a klimatu a o jejich pokroku při dosahování cílů EU v oblasti klimatu pro roky 2030 a</w:t>
      </w:r>
      <w:r>
        <w:t xml:space="preserve">ž 2050 </w:t>
      </w:r>
      <w:r w:rsidRPr="005D6312">
        <w:t>na pozadí začínajícího hospodářského oživení po pandemii</w:t>
      </w:r>
      <w:r>
        <w:t xml:space="preserve"> a</w:t>
      </w:r>
      <w:r w:rsidRPr="005D6312">
        <w:t xml:space="preserve"> zvyšování cen energií v EU (a celosvětově).</w:t>
      </w:r>
    </w:p>
    <w:p w:rsidR="006E3540" w:rsidRPr="00D93FAA" w:rsidRDefault="006E3540" w:rsidP="006E3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/>
        <w:jc w:val="both"/>
      </w:pPr>
      <w:r>
        <w:t xml:space="preserve">Dochází k závěru, že </w:t>
      </w:r>
      <w:r w:rsidRPr="00D93FAA">
        <w:rPr>
          <w:b/>
        </w:rPr>
        <w:t>přestože byla zaznamenána řada povzbudivých trendů, k dosažení cíle, jímž je snížení čistých emisí alespoň o 55 % do roku 2030 a dosažení klimatické neutrality do roku 2050, bude nutné vynaložit větší úsilí</w:t>
      </w:r>
      <w:r w:rsidRPr="00D93FAA">
        <w:t xml:space="preserve">. Kromě toho bude nutné </w:t>
      </w:r>
      <w:r>
        <w:t xml:space="preserve">v roce 2022 </w:t>
      </w:r>
      <w:r w:rsidRPr="00D93FAA">
        <w:t xml:space="preserve">pečlivě analyzovat údaje, aby bylo možné zjistit dlouhodobější trendy v období po pandemii </w:t>
      </w:r>
      <w:r>
        <w:t>covidu</w:t>
      </w:r>
      <w:r w:rsidRPr="00D93FAA">
        <w:t>-19.</w:t>
      </w:r>
    </w:p>
    <w:p w:rsidR="006E3540" w:rsidRPr="00D93FAA" w:rsidRDefault="006E3540" w:rsidP="006E3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/>
        <w:jc w:val="both"/>
      </w:pPr>
      <w:r w:rsidRPr="00D93FAA">
        <w:t xml:space="preserve">Ze zprávy vyplývá, že </w:t>
      </w:r>
      <w:r w:rsidRPr="00D93FAA">
        <w:rPr>
          <w:b/>
        </w:rPr>
        <w:t>energie z obnovitelných zdrojů byly v roce 2020 v EU poprvé významnějším zdrojem energie než fosilní paliva</w:t>
      </w:r>
      <w:r w:rsidRPr="00D93FAA">
        <w:t>. Vyrobilo se z nich 38 % elektřiny, zatímco fosilní paliva byla zdrojem pro 37 % výroby elektrické energie. K</w:t>
      </w:r>
      <w:r>
        <w:t>e dni vydání zprávy (tj. 26. října 2021) devět</w:t>
      </w:r>
      <w:r w:rsidRPr="00D93FAA">
        <w:t xml:space="preserve"> členských států EU ukončilo výrobu elektřiny z uhlí, </w:t>
      </w:r>
      <w:r>
        <w:t>třináct</w:t>
      </w:r>
      <w:r w:rsidRPr="00D93FAA">
        <w:t xml:space="preserve"> států se zavázalo k jejímu postupnému ukončení do stanoveného data a </w:t>
      </w:r>
      <w:r>
        <w:t>čtyři</w:t>
      </w:r>
      <w:r w:rsidRPr="00D93FAA">
        <w:t xml:space="preserve"> státy zvažují možné harmonogramy. Ve srovnání s rokem 2019 </w:t>
      </w:r>
      <w:r w:rsidRPr="00D93FAA">
        <w:rPr>
          <w:b/>
        </w:rPr>
        <w:t>klesly emise skleníkových plynů v EU-27 v roce 2020 téměř o 10 %.</w:t>
      </w:r>
      <w:r w:rsidRPr="00D93FAA">
        <w:t xml:space="preserve"> Jedná se o nebývalý pokles v důsledku pandemie </w:t>
      </w:r>
      <w:r>
        <w:t>covidu</w:t>
      </w:r>
      <w:r w:rsidRPr="00D93FAA">
        <w:t>-19. Ve srovnání s rokem 1990 to představuje celkové snížení emisí o</w:t>
      </w:r>
      <w:r>
        <w:t> </w:t>
      </w:r>
      <w:r w:rsidRPr="00D93FAA">
        <w:t>31 %.</w:t>
      </w:r>
    </w:p>
    <w:p w:rsidR="006E3540" w:rsidRPr="00D93FAA" w:rsidRDefault="006E3540" w:rsidP="006E3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/>
        <w:jc w:val="both"/>
      </w:pPr>
      <w:r w:rsidRPr="00D93FAA">
        <w:rPr>
          <w:b/>
        </w:rPr>
        <w:t>Spotřeba primární energie se v loňském roce snížila o 1,9 % a konečná spotřeba energie o 0,6 %.</w:t>
      </w:r>
      <w:r w:rsidRPr="00D93FAA">
        <w:t xml:space="preserve"> Obě čísla se však nacházejí nad trajektorií potřebnou ke splnění cílů EU pro roky 2020 a 2030. Dotace na fosilní paliva se v roce 2020 mírně snížily v důsledku celkově nižší spotřeby energie. Dotace na energii z obnovitelných zdrojů i dotace na energetickou účinnost se v roce 2020 zvýšily.</w:t>
      </w:r>
    </w:p>
    <w:p w:rsidR="006E3540" w:rsidRDefault="006E3540" w:rsidP="006E3540">
      <w:pPr>
        <w:spacing w:after="120"/>
        <w:jc w:val="both"/>
      </w:pPr>
      <w:r>
        <w:t>Zpráva vycházela (1) z přímého sběru dat ze zdrojů členských států a (2) z informací obsažených ve vnitrostátních plánech v oblasti energetiky a klimatu (NECP) a odhalila významné nedostatky ve vykazování údajů v NECP předložených členskými státy.  Komise upozorňuje, že k číselným údajům za rok 2020 obsaženým ve zprávě je nutné přistupovat opatrně, protože některé členské státy nemohly poskytnout stejné informace nebo informace ve stejné kvalitě jako v předchozích letech, neboť pro přípravu souborů údajů a zpráv za rok 2020 neměly dostatek zdrojů, zejména kvůli koronavirové pandemii.</w:t>
      </w:r>
    </w:p>
    <w:p w:rsidR="006E3540" w:rsidRDefault="006E3540" w:rsidP="006E3540">
      <w:pPr>
        <w:spacing w:after="120"/>
        <w:jc w:val="both"/>
      </w:pPr>
      <w:r>
        <w:t xml:space="preserve">Zprávu doplňuje </w:t>
      </w:r>
      <w:hyperlink r:id="rId11" w:history="1">
        <w:r w:rsidRPr="00653F2B">
          <w:rPr>
            <w:rStyle w:val="Hypertextovodkaz"/>
          </w:rPr>
          <w:t>příloha</w:t>
        </w:r>
      </w:hyperlink>
      <w:r>
        <w:t xml:space="preserve"> obsahující širší soubor dat, na nichž je zpráva založena.</w:t>
      </w:r>
    </w:p>
    <w:p w:rsidR="006E3540" w:rsidRPr="00697043" w:rsidRDefault="006E3540" w:rsidP="006E3540">
      <w:pPr>
        <w:spacing w:after="120"/>
        <w:jc w:val="both"/>
        <w:rPr>
          <w:b/>
        </w:rPr>
      </w:pPr>
      <w:r w:rsidRPr="00697043">
        <w:rPr>
          <w:b/>
        </w:rPr>
        <w:t>Hlavní zprávu doprovází p</w:t>
      </w:r>
      <w:r>
        <w:rPr>
          <w:b/>
        </w:rPr>
        <w:t>ět vzájemně souvisejících zpráv:</w:t>
      </w:r>
    </w:p>
    <w:p w:rsidR="006E3540" w:rsidRPr="00697043" w:rsidRDefault="00925612" w:rsidP="006E3540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cstheme="majorHAnsi"/>
          <w:color w:val="000000"/>
          <w:szCs w:val="24"/>
        </w:rPr>
      </w:pPr>
      <w:hyperlink r:id="rId12" w:history="1">
        <w:r w:rsidR="006E3540" w:rsidRPr="00697043">
          <w:rPr>
            <w:rStyle w:val="Hypertextovodkaz"/>
            <w:rFonts w:cstheme="majorHAnsi"/>
            <w:color w:val="004494"/>
            <w:szCs w:val="24"/>
          </w:rPr>
          <w:t>Příloha o energetických dotacích v EU</w:t>
        </w:r>
      </w:hyperlink>
      <w:r w:rsidR="006E3540">
        <w:rPr>
          <w:rFonts w:cstheme="majorHAnsi"/>
          <w:color w:val="000000"/>
          <w:szCs w:val="24"/>
        </w:rPr>
        <w:t>:</w:t>
      </w:r>
      <w:r w:rsidR="006E3540" w:rsidRPr="00697043">
        <w:rPr>
          <w:rFonts w:cstheme="majorHAnsi"/>
          <w:color w:val="000000"/>
          <w:szCs w:val="24"/>
        </w:rPr>
        <w:t xml:space="preserve"> Dotace na fosilní paliva se v roce 2020 snížily především v důsledku klesající poptávky po energii v souvislosti s pandemií </w:t>
      </w:r>
      <w:r w:rsidR="006E3540">
        <w:rPr>
          <w:rFonts w:cstheme="majorHAnsi"/>
          <w:color w:val="000000"/>
          <w:szCs w:val="24"/>
        </w:rPr>
        <w:t>covidu</w:t>
      </w:r>
      <w:r w:rsidR="006E3540" w:rsidRPr="00697043">
        <w:rPr>
          <w:rFonts w:cstheme="majorHAnsi"/>
          <w:color w:val="000000"/>
          <w:szCs w:val="24"/>
        </w:rPr>
        <w:t>-19</w:t>
      </w:r>
      <w:r w:rsidR="006E3540">
        <w:rPr>
          <w:rFonts w:cstheme="majorHAnsi"/>
          <w:color w:val="000000"/>
          <w:szCs w:val="24"/>
        </w:rPr>
        <w:t>. D</w:t>
      </w:r>
      <w:r w:rsidR="006E3540" w:rsidRPr="00697043">
        <w:rPr>
          <w:rFonts w:cstheme="majorHAnsi"/>
          <w:color w:val="000000"/>
          <w:szCs w:val="24"/>
        </w:rPr>
        <w:t xml:space="preserve">otace na fosilní paliva v EU </w:t>
      </w:r>
      <w:r w:rsidR="006E3540">
        <w:rPr>
          <w:rFonts w:cstheme="majorHAnsi"/>
          <w:color w:val="000000"/>
          <w:szCs w:val="24"/>
        </w:rPr>
        <w:t>by se měly snižovat</w:t>
      </w:r>
      <w:r w:rsidR="006E3540" w:rsidRPr="00697043">
        <w:rPr>
          <w:rFonts w:cstheme="majorHAnsi"/>
          <w:color w:val="000000"/>
          <w:szCs w:val="24"/>
        </w:rPr>
        <w:t xml:space="preserve"> i v</w:t>
      </w:r>
      <w:r w:rsidR="006E3540">
        <w:rPr>
          <w:rFonts w:cstheme="majorHAnsi"/>
          <w:color w:val="000000"/>
          <w:szCs w:val="24"/>
        </w:rPr>
        <w:t> </w:t>
      </w:r>
      <w:r w:rsidR="006E3540" w:rsidRPr="00697043">
        <w:rPr>
          <w:rFonts w:cstheme="majorHAnsi"/>
          <w:color w:val="000000"/>
          <w:szCs w:val="24"/>
        </w:rPr>
        <w:t>budoucnu</w:t>
      </w:r>
      <w:r w:rsidR="006E3540">
        <w:rPr>
          <w:rFonts w:cstheme="majorHAnsi"/>
          <w:color w:val="000000"/>
          <w:szCs w:val="24"/>
        </w:rPr>
        <w:t xml:space="preserve">, </w:t>
      </w:r>
      <w:r w:rsidR="006E3540" w:rsidRPr="00697043">
        <w:rPr>
          <w:rFonts w:cstheme="majorHAnsi"/>
          <w:color w:val="000000"/>
          <w:szCs w:val="24"/>
        </w:rPr>
        <w:t>aby nedošlo k</w:t>
      </w:r>
      <w:r w:rsidR="006E3540">
        <w:rPr>
          <w:rFonts w:cstheme="majorHAnsi"/>
          <w:color w:val="000000"/>
          <w:szCs w:val="24"/>
        </w:rPr>
        <w:t xml:space="preserve"> jejich </w:t>
      </w:r>
      <w:r w:rsidR="006E3540" w:rsidRPr="00697043">
        <w:rPr>
          <w:rFonts w:cstheme="majorHAnsi"/>
          <w:color w:val="000000"/>
          <w:szCs w:val="24"/>
        </w:rPr>
        <w:t>novému nárůstu v souvislosti s všeobecným hospodářským oživením a rostoucí poptávkou po energii.</w:t>
      </w:r>
    </w:p>
    <w:p w:rsidR="006E3540" w:rsidRPr="00697043" w:rsidRDefault="00925612" w:rsidP="006E3540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cstheme="majorHAnsi"/>
          <w:color w:val="000000"/>
          <w:szCs w:val="24"/>
        </w:rPr>
      </w:pPr>
      <w:hyperlink r:id="rId13" w:history="1">
        <w:r w:rsidR="006E3540" w:rsidRPr="00697043">
          <w:rPr>
            <w:rStyle w:val="Hypertextovodkaz"/>
            <w:rFonts w:cstheme="majorHAnsi"/>
            <w:color w:val="004494"/>
            <w:szCs w:val="24"/>
          </w:rPr>
          <w:t>Pokrok v konkurenceschopnosti technologií čisté energie</w:t>
        </w:r>
      </w:hyperlink>
      <w:r w:rsidR="006E3540" w:rsidRPr="00697043">
        <w:rPr>
          <w:rFonts w:cstheme="majorHAnsi"/>
          <w:color w:val="000000"/>
          <w:szCs w:val="24"/>
        </w:rPr>
        <w:t xml:space="preserve"> posuzuje ekosystém čisté energie, od výzkumu a inovací až po zavádění. Pokrok hodnotí na základě klíčových ukazatelů </w:t>
      </w:r>
      <w:r w:rsidR="006E3540" w:rsidRPr="00697043">
        <w:rPr>
          <w:rFonts w:cstheme="majorHAnsi"/>
          <w:color w:val="000000"/>
          <w:szCs w:val="24"/>
        </w:rPr>
        <w:lastRenderedPageBreak/>
        <w:t xml:space="preserve">konkurenceschopnosti. </w:t>
      </w:r>
      <w:r w:rsidR="006E3540">
        <w:rPr>
          <w:rFonts w:cstheme="majorHAnsi"/>
          <w:color w:val="000000"/>
          <w:szCs w:val="24"/>
        </w:rPr>
        <w:t>Ze z</w:t>
      </w:r>
      <w:r w:rsidR="006E3540" w:rsidRPr="00697043">
        <w:rPr>
          <w:rFonts w:cstheme="majorHAnsi"/>
          <w:color w:val="000000"/>
          <w:szCs w:val="24"/>
        </w:rPr>
        <w:t>práv</w:t>
      </w:r>
      <w:r w:rsidR="006E3540">
        <w:rPr>
          <w:rFonts w:cstheme="majorHAnsi"/>
          <w:color w:val="000000"/>
          <w:szCs w:val="24"/>
        </w:rPr>
        <w:t>y vyplývá</w:t>
      </w:r>
      <w:r w:rsidR="006E3540" w:rsidRPr="00697043">
        <w:rPr>
          <w:rFonts w:cstheme="majorHAnsi"/>
          <w:color w:val="000000"/>
          <w:szCs w:val="24"/>
        </w:rPr>
        <w:t>, že i když je EU ve výzkumu čisté energie stále na předním místě, musí do výzkumu a inovací ještě více investovat a musí překlenout propast mezi inovacemi a trhem.</w:t>
      </w:r>
    </w:p>
    <w:p w:rsidR="006E3540" w:rsidRPr="00697043" w:rsidRDefault="00925612" w:rsidP="006E3540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cstheme="majorHAnsi"/>
          <w:color w:val="000000"/>
          <w:szCs w:val="24"/>
        </w:rPr>
      </w:pPr>
      <w:hyperlink r:id="rId14" w:history="1">
        <w:r w:rsidR="006E3540" w:rsidRPr="00697043">
          <w:rPr>
            <w:rStyle w:val="Hypertextovodkaz"/>
            <w:rFonts w:cstheme="majorHAnsi"/>
            <w:color w:val="004494"/>
            <w:szCs w:val="24"/>
          </w:rPr>
          <w:t>Zpráva o pokroku v oblasti klimatu</w:t>
        </w:r>
      </w:hyperlink>
      <w:r w:rsidR="006E3540">
        <w:rPr>
          <w:rFonts w:cstheme="majorHAnsi"/>
          <w:color w:val="000000"/>
          <w:szCs w:val="24"/>
        </w:rPr>
        <w:t xml:space="preserve"> </w:t>
      </w:r>
      <w:r w:rsidR="006E3540" w:rsidRPr="00697043">
        <w:rPr>
          <w:rFonts w:cstheme="majorHAnsi"/>
          <w:color w:val="000000"/>
          <w:szCs w:val="24"/>
        </w:rPr>
        <w:t xml:space="preserve">popisuje pokrok, kterého EU a její členské státy dosáhly při </w:t>
      </w:r>
      <w:r w:rsidR="006E3540">
        <w:rPr>
          <w:rFonts w:cstheme="majorHAnsi"/>
          <w:color w:val="000000"/>
          <w:szCs w:val="24"/>
        </w:rPr>
        <w:t>plnění</w:t>
      </w:r>
      <w:r w:rsidR="006E3540" w:rsidRPr="00697043">
        <w:rPr>
          <w:rFonts w:cstheme="majorHAnsi"/>
          <w:color w:val="000000"/>
          <w:szCs w:val="24"/>
        </w:rPr>
        <w:t xml:space="preserve"> svých cílů snižování emisí skleníkových plynů, a informuje o nejnovějším vývoji politiky EU v oblasti klimatu. Zpráva vychází z údajů, které členské státy předložily podle </w:t>
      </w:r>
      <w:hyperlink r:id="rId15" w:history="1">
        <w:r w:rsidR="006E3540" w:rsidRPr="00697043">
          <w:rPr>
            <w:rStyle w:val="Hypertextovodkaz"/>
            <w:rFonts w:cstheme="majorHAnsi"/>
            <w:color w:val="004494"/>
            <w:szCs w:val="24"/>
          </w:rPr>
          <w:t>nařízení EU o správě energetické unie a opatření v oblasti klimatu</w:t>
        </w:r>
      </w:hyperlink>
      <w:r w:rsidR="006E3540" w:rsidRPr="00697043">
        <w:rPr>
          <w:rFonts w:cstheme="majorHAnsi"/>
          <w:color w:val="000000"/>
          <w:szCs w:val="24"/>
        </w:rPr>
        <w:t>.</w:t>
      </w:r>
    </w:p>
    <w:p w:rsidR="006E3540" w:rsidRPr="00697043" w:rsidRDefault="00925612" w:rsidP="006E3540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cstheme="majorHAnsi"/>
          <w:color w:val="000000"/>
          <w:szCs w:val="24"/>
        </w:rPr>
      </w:pPr>
      <w:hyperlink r:id="rId16" w:history="1">
        <w:r w:rsidR="006E3540" w:rsidRPr="00697043">
          <w:rPr>
            <w:rStyle w:val="Hypertextovodkaz"/>
            <w:rFonts w:cstheme="majorHAnsi"/>
            <w:bCs/>
            <w:color w:val="004494"/>
            <w:szCs w:val="24"/>
          </w:rPr>
          <w:t>Zpráva o trhu s uhlíkem</w:t>
        </w:r>
      </w:hyperlink>
      <w:r w:rsidR="006E3540" w:rsidRPr="00697043">
        <w:rPr>
          <w:rFonts w:cstheme="majorHAnsi"/>
          <w:color w:val="000000"/>
          <w:szCs w:val="24"/>
        </w:rPr>
        <w:t> popisuje vývoj ve fungování evropského trhu s uhlíkem, včetně dražeb, bezplatných povolenek, ověřených emisí, vyrovnávání nabídky a poptávky, dohledu nad trhem a infrastruktury systému EU ETS a dodržování předpisů.</w:t>
      </w:r>
    </w:p>
    <w:p w:rsidR="006E3540" w:rsidRPr="00697043" w:rsidRDefault="00925612" w:rsidP="006E3540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cstheme="majorHAnsi"/>
          <w:color w:val="000000"/>
          <w:szCs w:val="24"/>
        </w:rPr>
      </w:pPr>
      <w:hyperlink r:id="rId17" w:history="1">
        <w:r w:rsidR="006E3540" w:rsidRPr="00697043">
          <w:rPr>
            <w:rStyle w:val="Hypertextovodkaz"/>
            <w:rFonts w:cstheme="majorHAnsi"/>
            <w:bCs/>
            <w:color w:val="004494"/>
            <w:szCs w:val="24"/>
          </w:rPr>
          <w:t>Zpráva o kvalitě paliv</w:t>
        </w:r>
      </w:hyperlink>
      <w:r w:rsidR="006E3540" w:rsidRPr="00697043">
        <w:rPr>
          <w:rFonts w:cstheme="majorHAnsi"/>
          <w:color w:val="000000"/>
          <w:szCs w:val="24"/>
        </w:rPr>
        <w:t> poskytuje informace o pokroku, jehož bylo dosaženo při snižování intenzity emisí skleníkových plynů u paliv používaných v silniční dopravě a o kvalitě a složení paliv nabízených v EU. Zpráva shrnuje situaci nahlášenou členskými státy podle článku 7a a čl. 8 odst. 3 </w:t>
      </w:r>
      <w:hyperlink r:id="rId18" w:history="1">
        <w:r w:rsidR="006E3540" w:rsidRPr="00697043">
          <w:rPr>
            <w:rStyle w:val="Hypertextovodkaz"/>
            <w:rFonts w:cstheme="majorHAnsi"/>
            <w:color w:val="004494"/>
            <w:szCs w:val="24"/>
          </w:rPr>
          <w:t>směrnice o jakosti paliv</w:t>
        </w:r>
      </w:hyperlink>
      <w:r w:rsidR="006E3540">
        <w:rPr>
          <w:rFonts w:cstheme="majorHAnsi"/>
          <w:color w:val="000000"/>
          <w:szCs w:val="24"/>
        </w:rPr>
        <w:t>.</w:t>
      </w:r>
    </w:p>
    <w:p w:rsidR="006E3540" w:rsidRPr="0048126F" w:rsidRDefault="006E3540" w:rsidP="006E3540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7" w:name="_Toc445380611"/>
      <w:bookmarkStart w:id="18" w:name="_Toc448302190"/>
      <w:r w:rsidRPr="0048126F">
        <w:t xml:space="preserve">Obsah a </w:t>
      </w:r>
      <w:r w:rsidRPr="00134640">
        <w:t>dopad</w:t>
      </w:r>
      <w:r w:rsidRPr="0048126F">
        <w:t>:</w:t>
      </w:r>
      <w:bookmarkEnd w:id="17"/>
      <w:bookmarkEnd w:id="18"/>
    </w:p>
    <w:p w:rsidR="006E3540" w:rsidRDefault="006E3540" w:rsidP="006E3540">
      <w:pPr>
        <w:spacing w:after="120"/>
        <w:jc w:val="both"/>
      </w:pPr>
      <w:r>
        <w:t xml:space="preserve">Pokud jde o </w:t>
      </w:r>
      <w:r w:rsidRPr="005D6312">
        <w:rPr>
          <w:b/>
        </w:rPr>
        <w:t>plnění cílů v oblasti změny klimatu</w:t>
      </w:r>
      <w:r>
        <w:rPr>
          <w:b/>
        </w:rPr>
        <w:t xml:space="preserve">, </w:t>
      </w:r>
      <w:r>
        <w:t>uvádí Evropská komise, že v</w:t>
      </w:r>
      <w:r w:rsidRPr="005D6312">
        <w:t xml:space="preserve"> březnu 2021 přijala EU evropský právní rámec pro klima, čímž se její cíl snížit do roku 2030 emise skleníkových plynů alespoň o 55 % a do roku 2050 dosáhnout klimatické neutrality stal právně závazným. Dne 14.</w:t>
      </w:r>
      <w:r>
        <w:t> </w:t>
      </w:r>
      <w:r w:rsidRPr="005D6312">
        <w:t xml:space="preserve">července 2021 předložila Komise vzájemně propojený balíček návrhů pro všechna hospodářská odvětví s cílem nasměrovat Evropu na cestu ke klimatické neutralitě. Tato opatření kombinují zpřísnění stávajícího systému EU pro obchodování s emisemi a nový systém obchodování s emisemi pro dopravu a budovy s ambicióznějšími cíli a regulačními normami pro energii z obnovitelných zdrojů, energetickou účinnost, rychlejší zavádění nízkoemisních druhů dopravy a infrastruktury a paliv na jejich podporu, sladění daňových politik s cíli Zelené dohody pro Evropu, opatření pro předcházení úniku uhlíku a nástroje k zachování a rozšíření přírodních úložišť uhlíku. </w:t>
      </w:r>
      <w:r>
        <w:t>P</w:t>
      </w:r>
      <w:r w:rsidRPr="005D6312">
        <w:t>ři provádění Zelené dohody pro Evropu a transformac</w:t>
      </w:r>
      <w:r>
        <w:t>i</w:t>
      </w:r>
      <w:r w:rsidRPr="005D6312">
        <w:t xml:space="preserve"> energetiky v celé Unii</w:t>
      </w:r>
      <w:r>
        <w:t xml:space="preserve"> poskytuje podporu členským státům rozpočet EU, a to zejména prostřednictvím N</w:t>
      </w:r>
      <w:r w:rsidRPr="005D6312">
        <w:t>ástroj</w:t>
      </w:r>
      <w:r>
        <w:t>e</w:t>
      </w:r>
      <w:r w:rsidRPr="005D6312">
        <w:t xml:space="preserve"> </w:t>
      </w:r>
      <w:r>
        <w:t>pro oživení a odolnost, Evropského</w:t>
      </w:r>
      <w:r w:rsidRPr="005D6312">
        <w:t xml:space="preserve"> fond</w:t>
      </w:r>
      <w:r>
        <w:t>u</w:t>
      </w:r>
      <w:r w:rsidRPr="005D6312">
        <w:t xml:space="preserve"> pro regionální rozvoj, Fond</w:t>
      </w:r>
      <w:r>
        <w:t>u soudržnosti, mechanismu</w:t>
      </w:r>
      <w:r w:rsidRPr="005D6312">
        <w:t xml:space="preserve"> pro spravedlivou transformaci a program</w:t>
      </w:r>
      <w:r>
        <w:t>u</w:t>
      </w:r>
      <w:r w:rsidRPr="005D6312">
        <w:t xml:space="preserve"> Horizont Evropa.</w:t>
      </w:r>
    </w:p>
    <w:p w:rsidR="006E3540" w:rsidRDefault="006E3540" w:rsidP="006E3540">
      <w:pPr>
        <w:spacing w:after="120"/>
        <w:jc w:val="both"/>
      </w:pPr>
      <w:r>
        <w:t xml:space="preserve">Pokud jde o </w:t>
      </w:r>
      <w:r w:rsidRPr="00B75B0E">
        <w:rPr>
          <w:b/>
        </w:rPr>
        <w:t>podporu oživení a odolnosti</w:t>
      </w:r>
      <w:r>
        <w:t>, Komise zdůrazňuje, že i</w:t>
      </w:r>
      <w:r w:rsidRPr="00F209D9">
        <w:t xml:space="preserve">nvestice do transformace energetického systému představují investice do budoucnosti Evropy, její strategické autonomie a konkurenceschopnosti. Je nezbytné dosáhnout klimatické neutrality a zároveň reagovat na dopady </w:t>
      </w:r>
      <w:r>
        <w:t xml:space="preserve">koronavirové </w:t>
      </w:r>
      <w:r w:rsidRPr="00F209D9">
        <w:t xml:space="preserve">krize. </w:t>
      </w:r>
      <w:r w:rsidRPr="00BF1A65">
        <w:rPr>
          <w:b/>
        </w:rPr>
        <w:t>Nástroj pro oživení a odolnost</w:t>
      </w:r>
      <w:r w:rsidRPr="00F209D9">
        <w:t xml:space="preserve"> je klíčovým a ústředním prvkem iniciativy NextGenerationEU, z něhož bude poskytnuto </w:t>
      </w:r>
      <w:r w:rsidRPr="00BF1A65">
        <w:rPr>
          <w:b/>
        </w:rPr>
        <w:t>až 800 miliard EUR</w:t>
      </w:r>
      <w:r w:rsidRPr="00F209D9">
        <w:t xml:space="preserve"> (v běžných cenách) na financování investic a reforem v celé EU. Klade zvláštní důraz na podporu ekologické a digitální transformace. </w:t>
      </w:r>
      <w:r w:rsidRPr="00BF1A65">
        <w:rPr>
          <w:b/>
        </w:rPr>
        <w:t>V plánech pro oživení a odolnost předložených členskými státy, v nichž jsou stanoveny investice a reformy, které budou financovány z Nástroje pro oživení a odolnost, bude alespoň 37 % celkových výdajů věnováno na opatření na podporu cílů v oblasti klimatu</w:t>
      </w:r>
      <w:r w:rsidRPr="00F209D9">
        <w:t>.</w:t>
      </w:r>
    </w:p>
    <w:p w:rsidR="006E3540" w:rsidRDefault="006E3540" w:rsidP="006E3540">
      <w:pPr>
        <w:spacing w:after="120"/>
        <w:jc w:val="both"/>
      </w:pPr>
      <w:r>
        <w:t xml:space="preserve">Pokud jde o pokrok v prvním pilíři energetické unie, tj. </w:t>
      </w:r>
      <w:r w:rsidRPr="00BF1A65">
        <w:rPr>
          <w:b/>
        </w:rPr>
        <w:t>dekarbonizaci</w:t>
      </w:r>
      <w:r>
        <w:t>, Evropská komise uvádí, že v </w:t>
      </w:r>
      <w:r w:rsidRPr="00BF1A65">
        <w:t xml:space="preserve">roce 2020 dosáhly emise skleníkových plynů nejnižší úrovně za 30 let, přičemž klesly o 31 % oproti roku 1990 a o 10 % ve srovnání s rokem 2019. Ještě před </w:t>
      </w:r>
      <w:r>
        <w:t xml:space="preserve">koronavirovou </w:t>
      </w:r>
      <w:r w:rsidRPr="00BF1A65">
        <w:t xml:space="preserve">krizí překročila EU svůj cíl </w:t>
      </w:r>
      <w:hyperlink r:id="rId19" w:history="1">
        <w:r w:rsidRPr="00BF1A65">
          <w:rPr>
            <w:rStyle w:val="Hypertextovodkaz"/>
          </w:rPr>
          <w:t>Rámcové úmluvy Organizace spojených národů o změně klimatu</w:t>
        </w:r>
      </w:hyperlink>
      <w:r w:rsidRPr="00BF1A65">
        <w:t xml:space="preserve"> (UNFCCC) snížit do roku 2020 emise skleníkových plynů o 20 %. V roce 2019 snížila EU své emise o 24 % ve srovnání s</w:t>
      </w:r>
      <w:r>
        <w:t> </w:t>
      </w:r>
      <w:r w:rsidRPr="00BF1A65">
        <w:t xml:space="preserve">úrovněmi z roku 1990. Z prognóz předložených členskými státy v roce 2021 vyplývá, že při zachování stávajících opatření dojde do roku 2030 k 34% snížení čistých emisí skleníkových plynů a s dodatečnými opatřeními k 41% snížení, což ukazuje, že </w:t>
      </w:r>
      <w:r w:rsidRPr="00BF1A65">
        <w:rPr>
          <w:b/>
        </w:rPr>
        <w:t>k dosažení cíle snížení emisí skleníkových plynů o nejméně 55 % stanoveného v evropském právním rámci pro klima bude zapotřebí větší úsilí</w:t>
      </w:r>
      <w:r w:rsidRPr="00BF1A65">
        <w:t xml:space="preserve">. Ze zprávy o trhu s uhlíkem z roku 2021 </w:t>
      </w:r>
      <w:r>
        <w:t xml:space="preserve">podle Evropské komise </w:t>
      </w:r>
      <w:r w:rsidRPr="00BF1A65">
        <w:t xml:space="preserve">vyplývá, že systém EU pro obchodování s emisemi (EU ETS) významně přispěl ke splnění cíle EU v oblasti snižování emisí do roku 2020. Od zavedení systému EU ETS v roce 2005 </w:t>
      </w:r>
      <w:r w:rsidRPr="00BF1A65">
        <w:lastRenderedPageBreak/>
        <w:t>poklesly emise z výroby elektřiny a tepla, jakož i energeticky náročných průmyslových odvětví přibližně o 43 %.</w:t>
      </w:r>
      <w:r>
        <w:t xml:space="preserve"> </w:t>
      </w:r>
    </w:p>
    <w:p w:rsidR="006E3540" w:rsidRDefault="006E3540" w:rsidP="006E3540">
      <w:pPr>
        <w:spacing w:after="120"/>
        <w:jc w:val="both"/>
      </w:pPr>
      <w:r>
        <w:t xml:space="preserve">Pokud jde o </w:t>
      </w:r>
      <w:r w:rsidRPr="00BF1A65">
        <w:rPr>
          <w:b/>
        </w:rPr>
        <w:t>obnovitelné zdroje energie</w:t>
      </w:r>
      <w:r>
        <w:t>, podle nejnovějších dostupných</w:t>
      </w:r>
      <w:r w:rsidRPr="00BF1A65">
        <w:t xml:space="preserve"> údaj</w:t>
      </w:r>
      <w:r>
        <w:t>ů</w:t>
      </w:r>
      <w:r w:rsidRPr="00BF1A65">
        <w:t xml:space="preserve"> z roku 2019 </w:t>
      </w:r>
      <w:r>
        <w:t xml:space="preserve">byly </w:t>
      </w:r>
      <w:r w:rsidRPr="00BF1A65">
        <w:t>EU jako celek a většina členských států jednotlivě na dobré cestě k dosažení cílů v oblasti energie z</w:t>
      </w:r>
      <w:r>
        <w:t> </w:t>
      </w:r>
      <w:r w:rsidRPr="00BF1A65">
        <w:t xml:space="preserve">obnovitelných zdrojů do roku 2020, a to částečně díky tomu, že v posledních letech poklesly ceny klíčových technologií, jako je </w:t>
      </w:r>
      <w:r>
        <w:t xml:space="preserve">technologie pro výrobu </w:t>
      </w:r>
      <w:r w:rsidRPr="00BF1A65">
        <w:t>větrn</w:t>
      </w:r>
      <w:r>
        <w:t>é energie</w:t>
      </w:r>
      <w:r w:rsidRPr="00BF1A65">
        <w:t xml:space="preserve"> a solární </w:t>
      </w:r>
      <w:r>
        <w:t>fotovoltaika</w:t>
      </w:r>
      <w:r w:rsidRPr="00BF1A65">
        <w:t xml:space="preserve">. Zdá se však, že u některých států existuje riziko, že svůj vnitrostátní závazný cíl nesplní, aniž by musely využít statistických převodů. </w:t>
      </w:r>
      <w:r w:rsidRPr="00BF1A65">
        <w:rPr>
          <w:b/>
        </w:rPr>
        <w:t>Pokud jde o celkový cíl EU pro rok 2020 (20,6 %), EU již v roce 2019 dosáhla 19,7% podílu spotřeby energie</w:t>
      </w:r>
      <w:r w:rsidRPr="00BF1A65">
        <w:t xml:space="preserve"> </w:t>
      </w:r>
      <w:r w:rsidRPr="00950568">
        <w:rPr>
          <w:b/>
        </w:rPr>
        <w:t>z obnovitelných zdrojů</w:t>
      </w:r>
      <w:r w:rsidRPr="00BF1A65">
        <w:t xml:space="preserve">; při výrobě elektřiny činí tento podíl 34,1%, u vytápění a chlazení 22,1 % v odvětví dopravy 8,9 %. Komise příští rok posoudí, zda byly splněny cíle energetické účinnosti pro rok 2020. V zájmu podpory dalšího využívání obnovitelných zdrojů energie </w:t>
      </w:r>
      <w:r w:rsidRPr="00950568">
        <w:rPr>
          <w:b/>
        </w:rPr>
        <w:t>navrhla Komise zvýšit stávající závazný cíl EU pro rok 2030 v oblasti obnovitelných zdrojů energie ze současných nejméně 32 % na nejméně 40 % podílu energie z obnovitelných zdrojů na hrubé konečné spotřebě</w:t>
      </w:r>
      <w:r w:rsidRPr="00BF1A65">
        <w:t xml:space="preserve"> a současně navrhuje ucelený rámec pro zavádění energie z obnovitelných zdrojů, který by se </w:t>
      </w:r>
      <w:r w:rsidRPr="00950568">
        <w:rPr>
          <w:b/>
        </w:rPr>
        <w:t>vztahoval na všechna odvětví hospodářství</w:t>
      </w:r>
      <w:r w:rsidRPr="00BF1A65">
        <w:t>. Komise rovněž předloží návrhy na urychlení povolovacího postupu, který je jednou z hlavních překážek bránících rychlejší instalaci zařízení k využívání energie z obnovitelných zdrojů v celé EU.</w:t>
      </w:r>
    </w:p>
    <w:p w:rsidR="006E3540" w:rsidRDefault="006E3540" w:rsidP="006E3540">
      <w:pPr>
        <w:spacing w:after="120"/>
        <w:jc w:val="both"/>
      </w:pPr>
      <w:r>
        <w:t xml:space="preserve">Pokud jde o oblast </w:t>
      </w:r>
      <w:r w:rsidRPr="008A5829">
        <w:rPr>
          <w:b/>
        </w:rPr>
        <w:t>energetické účinnosti</w:t>
      </w:r>
      <w:r>
        <w:t xml:space="preserve">, </w:t>
      </w:r>
      <w:r w:rsidRPr="008A5829">
        <w:rPr>
          <w:b/>
        </w:rPr>
        <w:t>navrhla Komise jako součást balíčku předpisů v rámci Zelené dohody pro Evropu z července 2021 zvýšit cíle v oblasti energetické účinnosti na úrovni EU a učinit je závaznými, aby se zajistilo celkové snížení konečné spotřeby energie do roku 2030 o 36</w:t>
      </w:r>
      <w:r>
        <w:rPr>
          <w:b/>
        </w:rPr>
        <w:t> </w:t>
      </w:r>
      <w:r w:rsidRPr="008A5829">
        <w:rPr>
          <w:b/>
        </w:rPr>
        <w:t>% a snížení spotřeby primární energie o 39 %</w:t>
      </w:r>
      <w:r w:rsidRPr="00950568">
        <w:t xml:space="preserve">. Komise </w:t>
      </w:r>
      <w:r>
        <w:t>tento rok</w:t>
      </w:r>
      <w:r w:rsidRPr="00950568">
        <w:t xml:space="preserve"> posoudí, zda bylo cílů v oblasti energetické účinnosti do roku 2020 dosaženo. V roce 2019 se spotřeba primární energie již druhým rokem po sobě snížila. Byla o 1,8 % nižší než v roce 2018, i když stále 1,8 % nad lineární trajektorií k dosažení cíle v oblasti energetické účinnosti do roku 2020. </w:t>
      </w:r>
      <w:r w:rsidRPr="008A5829">
        <w:rPr>
          <w:b/>
        </w:rPr>
        <w:t>Konečná spotřeba energie se v roce 2019 poprvé za šest let snížila, avšak vzhledem k nahromaděnému rozdílu nebyl roční pokles o 0,6 % v roce 2019 dostatečný: skutečná spotřeba byla o 2,3 % vyšší než lineární trajektorie k dosažení cíle pro rok 2020</w:t>
      </w:r>
      <w:r w:rsidRPr="00950568">
        <w:t>.</w:t>
      </w:r>
    </w:p>
    <w:p w:rsidR="006E3540" w:rsidRDefault="006E3540" w:rsidP="006E3540">
      <w:pPr>
        <w:spacing w:after="120"/>
        <w:jc w:val="both"/>
      </w:pPr>
      <w:r>
        <w:t xml:space="preserve">Pokud jde o </w:t>
      </w:r>
      <w:r w:rsidRPr="00741456">
        <w:rPr>
          <w:b/>
        </w:rPr>
        <w:t>odolnost</w:t>
      </w:r>
      <w:r w:rsidRPr="00D03DA9">
        <w:t xml:space="preserve"> energetického systému EU</w:t>
      </w:r>
      <w:r>
        <w:t>, Komise se domnívá, že</w:t>
      </w:r>
      <w:r w:rsidRPr="00D03DA9">
        <w:t xml:space="preserve"> byla prokázána v</w:t>
      </w:r>
      <w:r>
        <w:t> </w:t>
      </w:r>
      <w:r w:rsidRPr="00D03DA9">
        <w:t xml:space="preserve">souvislosti s onemocněním </w:t>
      </w:r>
      <w:r>
        <w:t>covid</w:t>
      </w:r>
      <w:r w:rsidRPr="00D03DA9">
        <w:t xml:space="preserve">-19. </w:t>
      </w:r>
      <w:r>
        <w:t>Konstatuje však, že n</w:t>
      </w:r>
      <w:r w:rsidRPr="00D03DA9">
        <w:t>a úrovni čle</w:t>
      </w:r>
      <w:r>
        <w:t>nských států i na úrovni EU je nutné</w:t>
      </w:r>
      <w:r w:rsidRPr="00D03DA9">
        <w:t xml:space="preserve"> trvale zajistit účinnou připravenost na možné otřesy. To je důležité i v souvislosti se zvýšenou závislostí na čisté energii, která v roce 2019 dosáhla 60,6 %, což je nejvyšší úroveň za posledních 30 let.</w:t>
      </w:r>
      <w:r>
        <w:t xml:space="preserve"> </w:t>
      </w:r>
      <w:r w:rsidRPr="00D03DA9">
        <w:t>Odvětvové evropské koordinační skupiny (pro elektřinu, plyn a ropu) hrály v</w:t>
      </w:r>
      <w:r>
        <w:t> </w:t>
      </w:r>
      <w:r w:rsidRPr="00D03DA9">
        <w:t xml:space="preserve">letech 2020 a 2021 důležitou úlohu při sledování bezpečnosti dodávek, např. tím, že řešily dopad zpoždění v údržbě elektráren v důsledku opatření souvisejících s onemocněním </w:t>
      </w:r>
      <w:r>
        <w:t>covid</w:t>
      </w:r>
      <w:r w:rsidRPr="00D03DA9">
        <w:t>-19 a diskutovaly o možných reakcích na povětrnostní extrémy. Pokračující zlepšování propojenosti elektrických a plynárenských sítí rovněž posílilo regionální spolupráci a bezpečnost dodávek na úrovni EU, členských států a regionů.</w:t>
      </w:r>
    </w:p>
    <w:p w:rsidR="006E3540" w:rsidRDefault="006E3540" w:rsidP="006E3540">
      <w:pPr>
        <w:spacing w:after="120"/>
        <w:jc w:val="both"/>
      </w:pPr>
      <w:r>
        <w:t xml:space="preserve">Pokud jde o </w:t>
      </w:r>
      <w:r w:rsidRPr="002516FC">
        <w:rPr>
          <w:b/>
        </w:rPr>
        <w:t>pokrok v oblasti posilování vnitřních trhů s elektřinou a plynem</w:t>
      </w:r>
      <w:r>
        <w:t xml:space="preserve">, byl podle hodnocení Komise značný; přesto je třeba usilovat </w:t>
      </w:r>
      <w:r w:rsidRPr="00827BF4">
        <w:t xml:space="preserve">o další integraci trhů. Provedení </w:t>
      </w:r>
      <w:hyperlink r:id="rId20" w:history="1">
        <w:r w:rsidRPr="002516FC">
          <w:rPr>
            <w:rStyle w:val="Hypertextovodkaz"/>
          </w:rPr>
          <w:t>směrnice o elektřině</w:t>
        </w:r>
      </w:hyperlink>
      <w:r w:rsidRPr="00827BF4">
        <w:t xml:space="preserve"> do vnitrostátního práva vytvořilo nové příležitosti pro společnosti a spotřebitele k účasti na trzích s</w:t>
      </w:r>
      <w:r>
        <w:t> </w:t>
      </w:r>
      <w:r w:rsidRPr="00827BF4">
        <w:t>elektřinou, například přizpůsobením jejich poptávky s cílem pomoci zmírnit přetížení sítě nebo vyvážit poptávku a nabídku.</w:t>
      </w:r>
      <w:r>
        <w:t xml:space="preserve"> </w:t>
      </w:r>
      <w:r w:rsidRPr="00827BF4">
        <w:t xml:space="preserve">Zároveň bylo dosaženo významného pokroku při harmonizaci vnitrostátních pravidel pro obchodování s energií a provozování soustavy. </w:t>
      </w:r>
      <w:r w:rsidRPr="00827BF4">
        <w:rPr>
          <w:b/>
        </w:rPr>
        <w:t>Více než 98,6 % spotřeby elektrické energie v EU je propojeno</w:t>
      </w:r>
      <w:r w:rsidRPr="00827BF4">
        <w:t>.</w:t>
      </w:r>
      <w:r>
        <w:t xml:space="preserve"> </w:t>
      </w:r>
      <w:r w:rsidRPr="00827BF4">
        <w:t>Objemy obchodu v plynárenských uzlech v roce 2019 vzrostly na historicky nejvyšší úroveň. Tento trend pokračoval i v roce 2020, kdy k</w:t>
      </w:r>
      <w:r>
        <w:t>oronavirová k</w:t>
      </w:r>
      <w:r w:rsidRPr="00827BF4">
        <w:t xml:space="preserve">rize dále podněcovala obchodní činnost a poptávku po plynu. </w:t>
      </w:r>
      <w:r w:rsidRPr="00827BF4">
        <w:rPr>
          <w:b/>
        </w:rPr>
        <w:t>Propojování trhů ve všech časových rámcích přes vnitřní hranice, včetně vyrovnávání v reálném čase, by vytvořilo další přínosy ve výši více než 1,5 miliardy EUR ročně</w:t>
      </w:r>
      <w:r w:rsidRPr="00827BF4">
        <w:t xml:space="preserve"> a snížilo by potřebu záložních elektráren na fosilní paliva, čímž by se značně snížily emise </w:t>
      </w:r>
      <w:r w:rsidRPr="00827BF4">
        <w:lastRenderedPageBreak/>
        <w:t xml:space="preserve">skleníkových plynů. </w:t>
      </w:r>
      <w:r>
        <w:t>Komise poukazuje na to, že</w:t>
      </w:r>
      <w:r w:rsidRPr="00827BF4">
        <w:t xml:space="preserve"> opožděné nebo neúplné provádění stávajícího acquis, včetně kodexů sítě, je překážkou pro zlepšení velkoobchodního trhu.</w:t>
      </w:r>
    </w:p>
    <w:p w:rsidR="006E3540" w:rsidRDefault="006E3540" w:rsidP="006E3540">
      <w:pPr>
        <w:spacing w:after="120"/>
        <w:jc w:val="both"/>
      </w:pPr>
      <w:r>
        <w:t xml:space="preserve">V této souvislosti Komise poukazuje na </w:t>
      </w:r>
      <w:r w:rsidRPr="002516FC">
        <w:rPr>
          <w:b/>
        </w:rPr>
        <w:t>nutnost postupného ukončení dotací na fosilní paliva</w:t>
      </w:r>
      <w:r>
        <w:t xml:space="preserve">. </w:t>
      </w:r>
      <w:r w:rsidRPr="002516FC">
        <w:t xml:space="preserve">Celkové energetické dotace v EU dosáhly v roce 2019 výše 176 miliard EUR. Postupné vyřazování uhlí z výroby elektřiny bylo v mnoha členských státech podporováno dotacemi na uzavření elektráren. Na energii z obnovitelných zdrojů byly poskytnuty dotace v celkové výši 78 miliard EUR, což je o 8 % více než v roce 2015. Dotace na energetickou účinnost nadále rostly, a to na 16 miliard EUR v roce 2019 a 17 miliard EUR v roce 2020, tedy téměř o 50 % od roku 2015. Mírný pokles dotací na fosilní paliva z 56 miliard EUR v roce 2019 na 52 miliard EUR v roce 2020 byl způsoben klesající spotřebou v důsledku omezení souvisejících s onemocněním </w:t>
      </w:r>
      <w:r>
        <w:t xml:space="preserve">covid-19. </w:t>
      </w:r>
      <w:r w:rsidRPr="002516FC">
        <w:rPr>
          <w:b/>
        </w:rPr>
        <w:t>Dotace na fosilní paliva se od roku 2015 zvýšily v 11 členských státech</w:t>
      </w:r>
      <w:r w:rsidRPr="002516FC">
        <w:t>. Pokud členské státy nepřijmou opatření, lze očekávat, že s oživením hospodářské činnosti dojde k obnovení dotací na fosilní paliva. Krokem k</w:t>
      </w:r>
      <w:r>
        <w:t> </w:t>
      </w:r>
      <w:r w:rsidRPr="002516FC">
        <w:t>postupnému ukončování dotací na fosilní paliva je prováděcí akt pro podávání zpráv o pokroku při provádění vnitrostátních plánů v oblasti energetiky a klimatu, kter</w:t>
      </w:r>
      <w:r>
        <w:t>ý</w:t>
      </w:r>
      <w:r w:rsidRPr="002516FC">
        <w:t xml:space="preserve"> Komise hodlá přijmout v</w:t>
      </w:r>
      <w:r>
        <w:t> </w:t>
      </w:r>
      <w:r w:rsidRPr="002516FC">
        <w:t>roce 2022 a kter</w:t>
      </w:r>
      <w:r>
        <w:t>ý</w:t>
      </w:r>
      <w:r w:rsidRPr="002516FC">
        <w:t xml:space="preserve"> zajistí jednotnější postupy podávání zpráv o postupném ukončování dotací na energii, zejména na fosilní paliva, ve všech členských státech.</w:t>
      </w:r>
    </w:p>
    <w:p w:rsidR="006E3540" w:rsidRDefault="006E3540" w:rsidP="006E3540">
      <w:pPr>
        <w:spacing w:after="120"/>
        <w:jc w:val="both"/>
      </w:pPr>
      <w:r>
        <w:t xml:space="preserve">Pokud jde o </w:t>
      </w:r>
      <w:r w:rsidRPr="009C5DCA">
        <w:rPr>
          <w:b/>
        </w:rPr>
        <w:t>pokrok v oblasti konkurenceschopnosti</w:t>
      </w:r>
      <w:r>
        <w:t xml:space="preserve">, na jednu stranu má podle Komise </w:t>
      </w:r>
      <w:r w:rsidRPr="002516FC">
        <w:t>EU</w:t>
      </w:r>
      <w:r>
        <w:t xml:space="preserve"> sice</w:t>
      </w:r>
      <w:r w:rsidRPr="002516FC">
        <w:t xml:space="preserve"> dobré postavení, pokud jde o podíly na světovém trhu v určitých segmentech hodnotového řetězce v oblasti čistých technologií, </w:t>
      </w:r>
      <w:r>
        <w:t xml:space="preserve">na druhou stranu by </w:t>
      </w:r>
      <w:r w:rsidRPr="002516FC">
        <w:t xml:space="preserve">vyšší investice do výzkumu a vývoje a další úsilí v oblasti přenosu technologií zajistily, že EU využije příležitosti energetického přechodu k posílení své konkurenceschopnosti v odvětví čisté energie. </w:t>
      </w:r>
      <w:r w:rsidRPr="009C5DCA">
        <w:rPr>
          <w:b/>
        </w:rPr>
        <w:t>EU je světovým lídrem v odvětví větrné energie</w:t>
      </w:r>
      <w:r w:rsidRPr="002516FC">
        <w:t xml:space="preserve">, avšak konkurence je stále tvrdá. Pokud jde o solární fotovoltaiku, má </w:t>
      </w:r>
      <w:r w:rsidRPr="009C5DCA">
        <w:rPr>
          <w:b/>
        </w:rPr>
        <w:t>EU na trhu výroby fotovoltaických článků a modulů relativně malý podíl</w:t>
      </w:r>
      <w:r w:rsidRPr="002516FC">
        <w:t>. Udržuje si však špičkové postavení v</w:t>
      </w:r>
      <w:r>
        <w:t> </w:t>
      </w:r>
      <w:r w:rsidRPr="002516FC">
        <w:t xml:space="preserve">jiných částech hodnotového řetězce, včetně výzkumu a vývoje. Odvětví tepelných čerpadel, obnovitelných paliv, inteligentních sítí, baterií a vodíku z obnovitelných zdrojů v EU mají dobré předpoklady k tomu, aby bylo možné těžit z rostoucí budoucí poptávky vyplývající z rozšíření relevantních trhů vycházejících z příslušných politik. </w:t>
      </w:r>
      <w:r>
        <w:t xml:space="preserve">Podle Komise </w:t>
      </w:r>
      <w:r w:rsidRPr="009C5DCA">
        <w:rPr>
          <w:b/>
        </w:rPr>
        <w:t>EU zůstává na prvním místě v</w:t>
      </w:r>
      <w:r>
        <w:rPr>
          <w:b/>
        </w:rPr>
        <w:t> </w:t>
      </w:r>
      <w:r w:rsidRPr="009C5DCA">
        <w:rPr>
          <w:b/>
        </w:rPr>
        <w:t>oblasti výzkumu čisté energie</w:t>
      </w:r>
      <w:r w:rsidRPr="002516FC">
        <w:t xml:space="preserve">. Na celosvětové úrovni má ve srovnání s jinými velkými ekonomikami větší podíl ekologických vynálezů v technologiích přispívajících ke zmírňování změny klimatu. </w:t>
      </w:r>
      <w:r w:rsidRPr="009C5DCA">
        <w:rPr>
          <w:b/>
        </w:rPr>
        <w:t xml:space="preserve">Míra veřejných investic EU do čistých technologií, které jsou potřebné pro dekarbonizaci, je nicméně v rámci hlavních ekonomik nejnižší. </w:t>
      </w:r>
    </w:p>
    <w:p w:rsidR="006E3540" w:rsidRPr="009C5DCA" w:rsidRDefault="006E3540" w:rsidP="006E3540">
      <w:pPr>
        <w:spacing w:after="120"/>
        <w:jc w:val="both"/>
      </w:pPr>
      <w:r>
        <w:t xml:space="preserve">Pokud jde o </w:t>
      </w:r>
      <w:r w:rsidRPr="0014553F">
        <w:rPr>
          <w:b/>
        </w:rPr>
        <w:t>pokrok v diplomatické činnosti v oblasti energetiky a klimatu</w:t>
      </w:r>
      <w:r>
        <w:t>, je evidentní, že činí-li p</w:t>
      </w:r>
      <w:r w:rsidRPr="009C5DCA">
        <w:t xml:space="preserve">odíl EU na celosvětových </w:t>
      </w:r>
      <w:r>
        <w:t>emisích skleníkových plynů pouze 8 %, je m</w:t>
      </w:r>
      <w:r w:rsidRPr="009C5DCA">
        <w:t>ezinárodní spolupráce v</w:t>
      </w:r>
      <w:r>
        <w:t> platformách</w:t>
      </w:r>
      <w:r w:rsidRPr="009C5DCA">
        <w:t>, jako je např. Rámcová úmluva Organizace spojených národů o změně klimatu, dialog OSN na vysoké úrovni o energetice, skupina G20</w:t>
      </w:r>
      <w:r>
        <w:t xml:space="preserve"> a Energetické společenství</w:t>
      </w:r>
      <w:r w:rsidRPr="009C5DCA">
        <w:t xml:space="preserve"> pro účinná opatření v oblasti klimatu a pro plné využití potenciálu snižování emisí skleníkových plynů nezbytná. EU a její členské státy významně přispívají ke splnění cíle „100 miliard USD ročně“ na podporu opatření v oblasti klimatu v rozvojových zemích. </w:t>
      </w:r>
      <w:r w:rsidRPr="0014553F">
        <w:rPr>
          <w:b/>
        </w:rPr>
        <w:t>V současné době poskytují přibližně jednu třetinu všech mezinárodních veřejných finančních prostředků na opatření v oblasti klimatu, přičemž podstatná část je určena na přizpůsobení se změně klimatu</w:t>
      </w:r>
      <w:r>
        <w:t xml:space="preserve">. </w:t>
      </w:r>
      <w:r w:rsidRPr="009C5DCA">
        <w:t>V průběhu roku 2021 vedla EU diskusi o transformaci energetiky rovněž na mnohostranných fórech, jako je dialog OSN na vysoké úrovni. EU úzce spolupracuje se skupinami G7 a G20 s cílem dosáhnout do roku 2050 nulových čistých emisí skleníkových plynů a postupně ukončit mezinárodní financování výroby energie z uhlí a dotace na ni. Dvoustranná a regionální spolupráce EU v</w:t>
      </w:r>
      <w:r>
        <w:t> </w:t>
      </w:r>
      <w:r w:rsidRPr="009C5DCA">
        <w:t>oblasti energetiky s mezinárodními partnery se i nadále zaměřuje na systematickou podporu přechodu na nízkoemisní ekonomiky odolné vůči změně klimatu a na zajištění energetické bezpečnosti a konkurenceschopnosti. Příkladem tohoto přístupu je obnovení spolupráce mezi EU a USA v oblasti energetiky a Zelená aliance mezi EU a Japonskem z května 2021. Komise v současné době pracuje na strategii EU pro mezinárodní angažovanost v oblasti energetiky s cílem předložit konkrétní návrhy účinných opatření navazujících na diplomacii v oblasti klimatu a energetiky.</w:t>
      </w:r>
    </w:p>
    <w:p w:rsidR="006E3540" w:rsidRDefault="006E3540" w:rsidP="006E3540">
      <w:pPr>
        <w:spacing w:after="120"/>
        <w:jc w:val="both"/>
      </w:pPr>
      <w:r>
        <w:lastRenderedPageBreak/>
        <w:t>V poslední části zprávy Komise detailně vypočítává a hodnotí přínosy Zelené dohody pro Evropu, mezi něž patří:</w:t>
      </w:r>
    </w:p>
    <w:p w:rsidR="006E3540" w:rsidRPr="0067632E" w:rsidRDefault="006E3540" w:rsidP="006E3540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120" w:line="254" w:lineRule="auto"/>
        <w:contextualSpacing w:val="0"/>
        <w:jc w:val="both"/>
        <w:textAlignment w:val="baseline"/>
      </w:pPr>
      <w:r w:rsidRPr="00865890">
        <w:rPr>
          <w:b/>
        </w:rPr>
        <w:t>Kvalita ovzduší a další dopady na životní prostředí</w:t>
      </w:r>
      <w:r>
        <w:t xml:space="preserve">: </w:t>
      </w:r>
      <w:r w:rsidRPr="0067632E">
        <w:rPr>
          <w:rFonts w:eastAsia="Arial" w:cstheme="minorHAnsi"/>
          <w:szCs w:val="24"/>
        </w:rPr>
        <w:t>Díky zvyšování energetické účinnosti, nahrazování fosilních paliv, rozvoji obnovitelných zdrojů energie nebo přechodu k čistším druhům dopravy se snižuje znečištění ovzduší.</w:t>
      </w:r>
    </w:p>
    <w:p w:rsidR="006E3540" w:rsidRDefault="006E3540" w:rsidP="006E3540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120" w:line="254" w:lineRule="auto"/>
        <w:contextualSpacing w:val="0"/>
        <w:jc w:val="both"/>
        <w:textAlignment w:val="baseline"/>
      </w:pPr>
      <w:r w:rsidRPr="00865890">
        <w:rPr>
          <w:b/>
        </w:rPr>
        <w:t>Pracovní místa a růst</w:t>
      </w:r>
      <w:r>
        <w:t>: Přímá zaměstnanost v odvětví čisté energie v roce 2018 činila 1,7 milionu pracovních míst</w:t>
      </w:r>
      <w:r w:rsidRPr="0067632E">
        <w:t xml:space="preserve"> </w:t>
      </w:r>
      <w:r>
        <w:t>na plný úvazek s průměrným ročním růstem 2 %, což je dvakrát vyšší míra, než jakou v období 2010-2018 vykazovala celá ekonomika (1 %).</w:t>
      </w:r>
    </w:p>
    <w:p w:rsidR="006E3540" w:rsidRDefault="006E3540" w:rsidP="006E3540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contextualSpacing w:val="0"/>
        <w:jc w:val="both"/>
        <w:textAlignment w:val="baseline"/>
      </w:pPr>
      <w:r w:rsidRPr="00865890">
        <w:rPr>
          <w:b/>
        </w:rPr>
        <w:t>Prioritní volba spotřebitelů</w:t>
      </w:r>
      <w:r>
        <w:t>: Klíčovou úlohu při přechodu k integrovanějšímu energetickému systému založenému na obnovitelných zdrojích budou hrát aktivní spotřebitelé a angažovaní „prozumenti“ (tzn. samospotřebitelé energie z obnovitelných zdrojů), při čemž klíčová je podpora pro zranitelné spotřebitele a podniky.</w:t>
      </w:r>
    </w:p>
    <w:p w:rsidR="006E3540" w:rsidRDefault="006E3540" w:rsidP="006E3540">
      <w:pPr>
        <w:pStyle w:val="Odstavecseseznamem"/>
        <w:spacing w:after="0"/>
      </w:pPr>
    </w:p>
    <w:p w:rsidR="006E3540" w:rsidRPr="0048126F" w:rsidRDefault="006E3540" w:rsidP="006E3540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9" w:name="_Toc445380612"/>
      <w:bookmarkStart w:id="20" w:name="_Toc448302191"/>
      <w:r w:rsidRPr="0048126F">
        <w:t>Stanovisko vlády ČR:</w:t>
      </w:r>
      <w:bookmarkEnd w:id="19"/>
      <w:bookmarkEnd w:id="20"/>
    </w:p>
    <w:p w:rsidR="006E3540" w:rsidRDefault="006E3540" w:rsidP="006E3540">
      <w:pPr>
        <w:spacing w:after="120"/>
        <w:jc w:val="both"/>
      </w:pPr>
      <w:r>
        <w:t>Rámcová pozice vlády pouze uvádí, že ČR bere zprávu na vědomí.</w:t>
      </w:r>
    </w:p>
    <w:p w:rsidR="006E3540" w:rsidRPr="00D0781F" w:rsidRDefault="006E3540" w:rsidP="006E3540"/>
    <w:p w:rsidR="006E3540" w:rsidRPr="00B15DEA" w:rsidRDefault="006E3540" w:rsidP="006E3540">
      <w:pPr>
        <w:jc w:val="both"/>
      </w:pPr>
      <w:r>
        <w:t>Z</w:t>
      </w:r>
      <w:r w:rsidRPr="00B15DEA">
        <w:t xml:space="preserve">pracovala </w:t>
      </w:r>
      <w:r>
        <w:t>JUDr. Jana Francová</w:t>
      </w:r>
      <w:r w:rsidRPr="00B15DEA">
        <w:t>, odborná konzultantka Parlamentního institutu Kanceláře PS PČR.</w:t>
      </w:r>
      <w:bookmarkEnd w:id="2"/>
      <w:bookmarkEnd w:id="3"/>
      <w:bookmarkEnd w:id="4"/>
      <w:bookmarkEnd w:id="5"/>
      <w:bookmarkEnd w:id="6"/>
      <w:bookmarkEnd w:id="7"/>
    </w:p>
    <w:p w:rsidR="00963DA6" w:rsidRPr="00B15DEA" w:rsidRDefault="00963DA6" w:rsidP="00217B29"/>
    <w:p w:rsidR="00DF3BB2" w:rsidRDefault="00DF3BB2" w:rsidP="00806CFD">
      <w:pPr>
        <w:rPr>
          <w:rFonts w:ascii="Times New Roman" w:hAnsi="Times New Roman"/>
          <w:sz w:val="24"/>
        </w:rPr>
      </w:pPr>
    </w:p>
    <w:sectPr w:rsidR="00DF3BB2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26A39D1"/>
    <w:multiLevelType w:val="multilevel"/>
    <w:tmpl w:val="B8529282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C3236"/>
    <w:multiLevelType w:val="hybridMultilevel"/>
    <w:tmpl w:val="419A377C"/>
    <w:lvl w:ilvl="0" w:tplc="23B8ADB4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816981"/>
    <w:multiLevelType w:val="multilevel"/>
    <w:tmpl w:val="A4306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9" w15:restartNumberingAfterBreak="0">
    <w:nsid w:val="1EA83A57"/>
    <w:multiLevelType w:val="hybridMultilevel"/>
    <w:tmpl w:val="CB1450D2"/>
    <w:lvl w:ilvl="0" w:tplc="7E64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1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4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5D2BDF"/>
    <w:multiLevelType w:val="hybridMultilevel"/>
    <w:tmpl w:val="B1C43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B431D6"/>
    <w:multiLevelType w:val="hybridMultilevel"/>
    <w:tmpl w:val="842A9E2A"/>
    <w:lvl w:ilvl="0" w:tplc="20327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F51B28"/>
    <w:multiLevelType w:val="hybridMultilevel"/>
    <w:tmpl w:val="0714F1D6"/>
    <w:lvl w:ilvl="0" w:tplc="BFD60960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2FD6008"/>
    <w:multiLevelType w:val="hybridMultilevel"/>
    <w:tmpl w:val="E09203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27"/>
  </w:num>
  <w:num w:numId="4">
    <w:abstractNumId w:val="13"/>
  </w:num>
  <w:num w:numId="5">
    <w:abstractNumId w:val="0"/>
  </w:num>
  <w:num w:numId="6">
    <w:abstractNumId w:val="15"/>
  </w:num>
  <w:num w:numId="7">
    <w:abstractNumId w:val="16"/>
  </w:num>
  <w:num w:numId="8">
    <w:abstractNumId w:val="11"/>
  </w:num>
  <w:num w:numId="9">
    <w:abstractNumId w:val="18"/>
  </w:num>
  <w:num w:numId="10">
    <w:abstractNumId w:val="29"/>
  </w:num>
  <w:num w:numId="11">
    <w:abstractNumId w:val="25"/>
  </w:num>
  <w:num w:numId="12">
    <w:abstractNumId w:val="19"/>
  </w:num>
  <w:num w:numId="13">
    <w:abstractNumId w:val="24"/>
  </w:num>
  <w:num w:numId="14">
    <w:abstractNumId w:val="6"/>
  </w:num>
  <w:num w:numId="15">
    <w:abstractNumId w:val="21"/>
  </w:num>
  <w:num w:numId="16">
    <w:abstractNumId w:val="2"/>
  </w:num>
  <w:num w:numId="17">
    <w:abstractNumId w:val="3"/>
  </w:num>
  <w:num w:numId="18">
    <w:abstractNumId w:val="28"/>
  </w:num>
  <w:num w:numId="19">
    <w:abstractNumId w:val="4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20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3B4F"/>
    <w:rsid w:val="00013F1C"/>
    <w:rsid w:val="0002401D"/>
    <w:rsid w:val="00041825"/>
    <w:rsid w:val="000435F4"/>
    <w:rsid w:val="00061FAE"/>
    <w:rsid w:val="00077E7D"/>
    <w:rsid w:val="000807A3"/>
    <w:rsid w:val="00092605"/>
    <w:rsid w:val="000A6AB9"/>
    <w:rsid w:val="000E2EBE"/>
    <w:rsid w:val="000F096B"/>
    <w:rsid w:val="000F7C41"/>
    <w:rsid w:val="00126566"/>
    <w:rsid w:val="001426DE"/>
    <w:rsid w:val="001468FA"/>
    <w:rsid w:val="00156F43"/>
    <w:rsid w:val="00157CB8"/>
    <w:rsid w:val="001625BA"/>
    <w:rsid w:val="001642B0"/>
    <w:rsid w:val="00167C49"/>
    <w:rsid w:val="001816FB"/>
    <w:rsid w:val="001A019C"/>
    <w:rsid w:val="001B0B56"/>
    <w:rsid w:val="001C3AFA"/>
    <w:rsid w:val="001C4651"/>
    <w:rsid w:val="001C5B87"/>
    <w:rsid w:val="001D79C9"/>
    <w:rsid w:val="001E578B"/>
    <w:rsid w:val="00216821"/>
    <w:rsid w:val="00217B29"/>
    <w:rsid w:val="0022080A"/>
    <w:rsid w:val="002601E5"/>
    <w:rsid w:val="002650E6"/>
    <w:rsid w:val="00270B75"/>
    <w:rsid w:val="00282B37"/>
    <w:rsid w:val="002B4BE8"/>
    <w:rsid w:val="002C464C"/>
    <w:rsid w:val="002D4FEB"/>
    <w:rsid w:val="002E2EFB"/>
    <w:rsid w:val="002E3429"/>
    <w:rsid w:val="002E3C24"/>
    <w:rsid w:val="002E5FAE"/>
    <w:rsid w:val="00312DA4"/>
    <w:rsid w:val="0032533C"/>
    <w:rsid w:val="003329C4"/>
    <w:rsid w:val="00344880"/>
    <w:rsid w:val="0038206C"/>
    <w:rsid w:val="0038487B"/>
    <w:rsid w:val="00387E1C"/>
    <w:rsid w:val="00390A7A"/>
    <w:rsid w:val="0039620C"/>
    <w:rsid w:val="003C4840"/>
    <w:rsid w:val="003D0C66"/>
    <w:rsid w:val="003D1B05"/>
    <w:rsid w:val="004109E4"/>
    <w:rsid w:val="00411040"/>
    <w:rsid w:val="0041401D"/>
    <w:rsid w:val="00434A11"/>
    <w:rsid w:val="00435608"/>
    <w:rsid w:val="00436533"/>
    <w:rsid w:val="00451218"/>
    <w:rsid w:val="00451C36"/>
    <w:rsid w:val="00464DA7"/>
    <w:rsid w:val="004653E7"/>
    <w:rsid w:val="00474A0B"/>
    <w:rsid w:val="004B1695"/>
    <w:rsid w:val="004C3484"/>
    <w:rsid w:val="004C3CDF"/>
    <w:rsid w:val="004E2BA6"/>
    <w:rsid w:val="00503C0B"/>
    <w:rsid w:val="00513223"/>
    <w:rsid w:val="005254AE"/>
    <w:rsid w:val="00531130"/>
    <w:rsid w:val="005373D4"/>
    <w:rsid w:val="00537E15"/>
    <w:rsid w:val="00543B97"/>
    <w:rsid w:val="00555EC9"/>
    <w:rsid w:val="0058397D"/>
    <w:rsid w:val="005C054E"/>
    <w:rsid w:val="005D07D7"/>
    <w:rsid w:val="005D41E3"/>
    <w:rsid w:val="005D6318"/>
    <w:rsid w:val="005E41AB"/>
    <w:rsid w:val="005F7A2B"/>
    <w:rsid w:val="005F7E82"/>
    <w:rsid w:val="006020AF"/>
    <w:rsid w:val="006137FB"/>
    <w:rsid w:val="006300DD"/>
    <w:rsid w:val="006447D1"/>
    <w:rsid w:val="006518B7"/>
    <w:rsid w:val="00675452"/>
    <w:rsid w:val="0067644A"/>
    <w:rsid w:val="006A63D3"/>
    <w:rsid w:val="006B7661"/>
    <w:rsid w:val="006C7FB2"/>
    <w:rsid w:val="006E3540"/>
    <w:rsid w:val="00703C41"/>
    <w:rsid w:val="00710A0E"/>
    <w:rsid w:val="00711113"/>
    <w:rsid w:val="007121B2"/>
    <w:rsid w:val="00745C58"/>
    <w:rsid w:val="007570A2"/>
    <w:rsid w:val="007706FD"/>
    <w:rsid w:val="007D09E1"/>
    <w:rsid w:val="007E71D7"/>
    <w:rsid w:val="00806CFD"/>
    <w:rsid w:val="00811F5C"/>
    <w:rsid w:val="008133E2"/>
    <w:rsid w:val="008275C7"/>
    <w:rsid w:val="00830838"/>
    <w:rsid w:val="0083478E"/>
    <w:rsid w:val="008547C9"/>
    <w:rsid w:val="00855797"/>
    <w:rsid w:val="00877D5E"/>
    <w:rsid w:val="00881204"/>
    <w:rsid w:val="00885B9E"/>
    <w:rsid w:val="00886500"/>
    <w:rsid w:val="00887168"/>
    <w:rsid w:val="008912A9"/>
    <w:rsid w:val="00897B1B"/>
    <w:rsid w:val="00897CCB"/>
    <w:rsid w:val="008B0A30"/>
    <w:rsid w:val="008B7AA3"/>
    <w:rsid w:val="008D1488"/>
    <w:rsid w:val="008D731D"/>
    <w:rsid w:val="008E0029"/>
    <w:rsid w:val="008E715C"/>
    <w:rsid w:val="009040E6"/>
    <w:rsid w:val="00912EB4"/>
    <w:rsid w:val="00925612"/>
    <w:rsid w:val="009532CA"/>
    <w:rsid w:val="009608C9"/>
    <w:rsid w:val="00963DA6"/>
    <w:rsid w:val="00977660"/>
    <w:rsid w:val="009919D2"/>
    <w:rsid w:val="009931B8"/>
    <w:rsid w:val="009950A9"/>
    <w:rsid w:val="009B0440"/>
    <w:rsid w:val="00A04947"/>
    <w:rsid w:val="00A05479"/>
    <w:rsid w:val="00A102F3"/>
    <w:rsid w:val="00A63D7A"/>
    <w:rsid w:val="00A72A64"/>
    <w:rsid w:val="00AC0B3E"/>
    <w:rsid w:val="00AD71A8"/>
    <w:rsid w:val="00AE1CD6"/>
    <w:rsid w:val="00AF4650"/>
    <w:rsid w:val="00AF701F"/>
    <w:rsid w:val="00B23CE4"/>
    <w:rsid w:val="00B26768"/>
    <w:rsid w:val="00B56C8C"/>
    <w:rsid w:val="00B57ED6"/>
    <w:rsid w:val="00B75E03"/>
    <w:rsid w:val="00B77E2B"/>
    <w:rsid w:val="00B8615E"/>
    <w:rsid w:val="00B9799C"/>
    <w:rsid w:val="00BA46AD"/>
    <w:rsid w:val="00BB32B9"/>
    <w:rsid w:val="00BB4B95"/>
    <w:rsid w:val="00BC2C44"/>
    <w:rsid w:val="00BD0AEB"/>
    <w:rsid w:val="00BF0735"/>
    <w:rsid w:val="00BF211D"/>
    <w:rsid w:val="00BF69EA"/>
    <w:rsid w:val="00C030E4"/>
    <w:rsid w:val="00C04DCD"/>
    <w:rsid w:val="00C1658C"/>
    <w:rsid w:val="00C41859"/>
    <w:rsid w:val="00C933C9"/>
    <w:rsid w:val="00CA746E"/>
    <w:rsid w:val="00CB152C"/>
    <w:rsid w:val="00CE71AF"/>
    <w:rsid w:val="00D1438B"/>
    <w:rsid w:val="00D324DF"/>
    <w:rsid w:val="00D86EF4"/>
    <w:rsid w:val="00D942B1"/>
    <w:rsid w:val="00D97A2E"/>
    <w:rsid w:val="00DA00A4"/>
    <w:rsid w:val="00DA53EA"/>
    <w:rsid w:val="00DC37AF"/>
    <w:rsid w:val="00DF3BB2"/>
    <w:rsid w:val="00E026BA"/>
    <w:rsid w:val="00E07438"/>
    <w:rsid w:val="00E101E0"/>
    <w:rsid w:val="00E239AD"/>
    <w:rsid w:val="00E26A18"/>
    <w:rsid w:val="00E318F6"/>
    <w:rsid w:val="00E3286A"/>
    <w:rsid w:val="00E33704"/>
    <w:rsid w:val="00E355C4"/>
    <w:rsid w:val="00E40F62"/>
    <w:rsid w:val="00E45802"/>
    <w:rsid w:val="00E57F34"/>
    <w:rsid w:val="00E6411C"/>
    <w:rsid w:val="00E6426C"/>
    <w:rsid w:val="00E9189F"/>
    <w:rsid w:val="00EB4938"/>
    <w:rsid w:val="00EC5F47"/>
    <w:rsid w:val="00EC65B6"/>
    <w:rsid w:val="00ED21E0"/>
    <w:rsid w:val="00EE65B0"/>
    <w:rsid w:val="00F03DE5"/>
    <w:rsid w:val="00F057A1"/>
    <w:rsid w:val="00F15604"/>
    <w:rsid w:val="00F33D86"/>
    <w:rsid w:val="00F4281D"/>
    <w:rsid w:val="00F51DA3"/>
    <w:rsid w:val="00F53B6C"/>
    <w:rsid w:val="00F56BCF"/>
    <w:rsid w:val="00F628C1"/>
    <w:rsid w:val="00F63B05"/>
    <w:rsid w:val="00F63F13"/>
    <w:rsid w:val="00F81ED3"/>
    <w:rsid w:val="00F85028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59F1A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c.europa.eu/energy/sites/default/files/progress_on_the_competitiveness_of_clean_energy_technologies.pdf" TargetMode="External"/><Relationship Id="rId18" Type="http://schemas.openxmlformats.org/officeDocument/2006/relationships/hyperlink" Target="https://eur-lex.europa.eu/legal-content/EN/TXT/?uri=CELEX%3A01998L0070-20181224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c.europa.eu/energy/sites/default/files/annex_to_the_state_of_the_energy_union_report_on_energy_subsidies_in_the_eu.pdf" TargetMode="External"/><Relationship Id="rId17" Type="http://schemas.openxmlformats.org/officeDocument/2006/relationships/hyperlink" Target="https://ec.europa.eu/clima/document/download/c940f24b-030c-4731-8b8b-2a1901d064c2_e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c.europa.eu/clima/document/download/abe3f38e-b4d0-4c4b-9459-9f05d618b493_en" TargetMode="External"/><Relationship Id="rId20" Type="http://schemas.openxmlformats.org/officeDocument/2006/relationships/hyperlink" Target="https://eur-lex.europa.eu/legal-content/cs/TXT/?uri=CELEX:32019L094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resource.html?uri=cellar:67d54e0f-363d-11ec-bd8e-01aa75ed71a1.0019.02/DOC_2&amp;format=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ur-lex.europa.eu/legal-content/CS/TXT/?uri=CELEX%3A02018R1999-20210729" TargetMode="External"/><Relationship Id="rId10" Type="http://schemas.openxmlformats.org/officeDocument/2006/relationships/hyperlink" Target="https://eur-lex.europa.eu/legal-content/CS/TXT/?uri=CELEX:52021DC0950" TargetMode="External"/><Relationship Id="rId19" Type="http://schemas.openxmlformats.org/officeDocument/2006/relationships/hyperlink" Target="https://eur-lex.europa.eu/legal-content/CS/ALL/?uri=CELEX:21994A0207(02)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c.europa.eu/clima/document/download/cc21a745-d691-4028-bb0f-7527d115587c_e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8124A-7A78-4181-A192-1F21603B3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7</Pages>
  <Words>3109</Words>
  <Characters>18344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Katerina Novakova</cp:lastModifiedBy>
  <cp:revision>40</cp:revision>
  <cp:lastPrinted>2022-06-07T11:57:00Z</cp:lastPrinted>
  <dcterms:created xsi:type="dcterms:W3CDTF">2022-02-18T09:58:00Z</dcterms:created>
  <dcterms:modified xsi:type="dcterms:W3CDTF">2022-06-08T14:16:00Z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