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A9E" w:rsidRDefault="00084A9E" w:rsidP="00084A9E">
      <w:pPr>
        <w:pStyle w:val="PS-hlavika1"/>
        <w:jc w:val="right"/>
      </w:pPr>
      <w:r>
        <w:t>PS200294993</w:t>
      </w:r>
      <w:bookmarkStart w:id="0" w:name="_GoBack"/>
      <w:bookmarkEnd w:id="0"/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F33D86">
      <w:pPr>
        <w:pStyle w:val="PS-hlavika2"/>
      </w:pPr>
      <w:r>
        <w:t>20</w:t>
      </w:r>
      <w:r w:rsidR="00434A11">
        <w:t>22</w:t>
      </w:r>
    </w:p>
    <w:p w:rsidR="00EE65B0" w:rsidRPr="00887168" w:rsidRDefault="00434A11">
      <w:pPr>
        <w:pStyle w:val="PS-hlavika1"/>
      </w:pPr>
      <w:r w:rsidRPr="00887168">
        <w:t>9</w:t>
      </w:r>
      <w:r w:rsidR="001625BA" w:rsidRPr="00887168">
        <w:t>. volební období</w:t>
      </w:r>
    </w:p>
    <w:p w:rsidR="00EE65B0" w:rsidRPr="00887168" w:rsidRDefault="00A7456C">
      <w:pPr>
        <w:pStyle w:val="PS-slousnesen"/>
      </w:pPr>
      <w:r>
        <w:t>31</w:t>
      </w:r>
      <w:r w:rsidR="00912EB4" w:rsidRPr="00887168">
        <w:t>.</w:t>
      </w:r>
    </w:p>
    <w:p w:rsidR="00EE65B0" w:rsidRPr="00887168" w:rsidRDefault="001625BA">
      <w:pPr>
        <w:pStyle w:val="PS-hlavika3"/>
      </w:pPr>
      <w:r w:rsidRPr="00887168">
        <w:t>USNESENÍ</w:t>
      </w:r>
    </w:p>
    <w:p w:rsidR="00EE65B0" w:rsidRPr="00887168" w:rsidRDefault="001625BA">
      <w:pPr>
        <w:pStyle w:val="PS-hlavika1"/>
      </w:pPr>
      <w:r w:rsidRPr="00887168">
        <w:t>výboru pro životní prostředí</w:t>
      </w:r>
    </w:p>
    <w:p w:rsidR="00EE65B0" w:rsidRPr="00887168" w:rsidRDefault="00D86EF4">
      <w:pPr>
        <w:pStyle w:val="PS-hlavika1"/>
      </w:pPr>
      <w:r w:rsidRPr="00887168">
        <w:t xml:space="preserve">z </w:t>
      </w:r>
      <w:r w:rsidR="00474A0B">
        <w:t>6</w:t>
      </w:r>
      <w:r w:rsidR="001625BA" w:rsidRPr="00887168">
        <w:t>. schůze</w:t>
      </w:r>
    </w:p>
    <w:p w:rsidR="00EE65B0" w:rsidRPr="00E026BA" w:rsidRDefault="001426DE">
      <w:pPr>
        <w:pStyle w:val="PS-hlavika1"/>
      </w:pPr>
      <w:r w:rsidRPr="00887168">
        <w:t xml:space="preserve">dne </w:t>
      </w:r>
      <w:r w:rsidR="00474A0B">
        <w:t>30</w:t>
      </w:r>
      <w:r w:rsidR="008D1488">
        <w:t>. března</w:t>
      </w:r>
      <w:r w:rsidR="00434A11" w:rsidRPr="00887168">
        <w:t xml:space="preserve"> 2022</w:t>
      </w:r>
    </w:p>
    <w:p w:rsidR="00887168" w:rsidRPr="00887168" w:rsidRDefault="00F63B05" w:rsidP="00887168">
      <w:pPr>
        <w:pStyle w:val="PS-pedmtusnesen"/>
      </w:pPr>
      <w:r>
        <w:t>k</w:t>
      </w:r>
      <w:r w:rsidR="00B57ED6">
        <w:t xml:space="preserve"> dokumentu EU: </w:t>
      </w:r>
      <w:r w:rsidR="00474A0B">
        <w:t>Návrh nařízení EP a Rady o snižování emisí metanu</w:t>
      </w:r>
      <w:r w:rsidR="00885B9E">
        <w:t xml:space="preserve"> </w:t>
      </w:r>
      <w:r w:rsidR="00474A0B">
        <w:t>v odvětví energetiky a o změně nařízení (EU) 2019/942</w:t>
      </w:r>
      <w:r w:rsidR="00885B9E">
        <w:t>, COM(2021</w:t>
      </w:r>
      <w:r w:rsidR="00887168" w:rsidRPr="00887168">
        <w:t xml:space="preserve">) </w:t>
      </w:r>
      <w:r w:rsidR="00474A0B">
        <w:t>805 final, 15063</w:t>
      </w:r>
      <w:r w:rsidR="00885B9E">
        <w:t>/21</w:t>
      </w:r>
    </w:p>
    <w:p w:rsidR="003329C4" w:rsidRPr="0073345C" w:rsidRDefault="003329C4" w:rsidP="003329C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</w:pPr>
      <w:r w:rsidRPr="0073345C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Po úvodním slov</w:t>
      </w:r>
      <w:r w:rsidR="00077E7D" w:rsidRPr="0073345C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ě</w:t>
      </w:r>
      <w:r w:rsidRPr="0073345C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 </w:t>
      </w:r>
      <w:r w:rsidR="008D1488" w:rsidRPr="0073345C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náměst</w:t>
      </w:r>
      <w:r w:rsidR="006A63D3" w:rsidRPr="0073345C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ka ministra </w:t>
      </w:r>
      <w:r w:rsidR="00474A0B" w:rsidRPr="0073345C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průmyslu a obchodu </w:t>
      </w:r>
      <w:r w:rsidR="00B3655F" w:rsidRPr="0073345C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Ing. </w:t>
      </w:r>
      <w:r w:rsidR="00B3655F" w:rsidRPr="00C84AB0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et Ing. Reného Neděly,</w:t>
      </w:r>
      <w:r w:rsidR="00451218" w:rsidRPr="0073345C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 </w:t>
      </w:r>
      <w:r w:rsidRPr="0073345C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zpravodajské zprávě posl. </w:t>
      </w:r>
      <w:r w:rsidR="001A019C" w:rsidRPr="0073345C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Ing. </w:t>
      </w:r>
      <w:r w:rsidR="00474A0B" w:rsidRPr="0073345C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Václava Krále</w:t>
      </w:r>
      <w:r w:rsidR="00887168" w:rsidRPr="0073345C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 a p</w:t>
      </w:r>
      <w:r w:rsidRPr="0073345C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o rozpravě</w:t>
      </w:r>
    </w:p>
    <w:p w:rsidR="00D86EF4" w:rsidRPr="0073345C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</w:pPr>
    </w:p>
    <w:p w:rsidR="001C4651" w:rsidRPr="0073345C" w:rsidRDefault="001C4651" w:rsidP="001C4651">
      <w:pPr>
        <w:pStyle w:val="PS-uvodnodstavec"/>
        <w:spacing w:after="480"/>
        <w:ind w:firstLine="0"/>
        <w:rPr>
          <w:szCs w:val="24"/>
        </w:rPr>
      </w:pPr>
      <w:r w:rsidRPr="0073345C">
        <w:rPr>
          <w:szCs w:val="24"/>
        </w:rPr>
        <w:t>výbor pro životní prostředí Poslanecké sněmovny Parlamentu ČR</w:t>
      </w:r>
    </w:p>
    <w:p w:rsidR="008B0A30" w:rsidRPr="0073345C" w:rsidRDefault="005373D4" w:rsidP="0073345C">
      <w:pPr>
        <w:widowControl w:val="0"/>
        <w:numPr>
          <w:ilvl w:val="0"/>
          <w:numId w:val="24"/>
        </w:numPr>
        <w:suppressAutoHyphens/>
        <w:spacing w:after="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shd w:val="clear" w:color="auto" w:fill="FFFF00"/>
          <w:lang w:eastAsia="hi-IN" w:bidi="hi-IN"/>
        </w:rPr>
      </w:pPr>
      <w:r w:rsidRPr="004752CA">
        <w:rPr>
          <w:rStyle w:val="proloenChar"/>
          <w:b/>
        </w:rPr>
        <w:t>bere na vědomí</w:t>
      </w:r>
      <w:r w:rsidRPr="0073345C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 xml:space="preserve"> </w:t>
      </w:r>
      <w:bookmarkStart w:id="1" w:name="_heading=h.gjdgxs"/>
      <w:bookmarkEnd w:id="1"/>
      <w:r w:rsidR="00474A0B" w:rsidRPr="0073345C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Návrh nařízení EP a Rady o snižování emisí metanu v odvětví energetiky a o změně nařízení (EU) 2019/942</w:t>
      </w:r>
      <w:r w:rsidR="00885B9E" w:rsidRPr="0073345C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, COM(2021</w:t>
      </w:r>
      <w:r w:rsidRPr="0073345C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 xml:space="preserve">) </w:t>
      </w:r>
      <w:r w:rsidR="00474A0B" w:rsidRPr="0073345C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805 final, 15063</w:t>
      </w:r>
      <w:r w:rsidR="00885B9E" w:rsidRPr="0073345C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/21</w:t>
      </w:r>
      <w:r w:rsidRPr="0073345C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;</w:t>
      </w:r>
    </w:p>
    <w:p w:rsidR="0073345C" w:rsidRDefault="0073345C" w:rsidP="0073345C">
      <w:pPr>
        <w:pStyle w:val="Odstavecseseznamem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73345C">
        <w:rPr>
          <w:rStyle w:val="proloenChar"/>
          <w:b/>
        </w:rPr>
        <w:t>podporuje</w:t>
      </w:r>
      <w:r w:rsidRPr="0073345C">
        <w:rPr>
          <w:rFonts w:ascii="Times New Roman" w:hAnsi="Times New Roman"/>
          <w:sz w:val="24"/>
          <w:szCs w:val="24"/>
        </w:rPr>
        <w:t xml:space="preserve"> pozici vlády ČR, která návrh nařízení obecně akceptuje, má ale zásadní výhrady k některým ustanovením;</w:t>
      </w:r>
    </w:p>
    <w:p w:rsidR="0073345C" w:rsidRPr="0073345C" w:rsidRDefault="0073345C" w:rsidP="0073345C">
      <w:pPr>
        <w:pStyle w:val="Odstavecseseznamem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73345C">
        <w:rPr>
          <w:rStyle w:val="proloenChar"/>
          <w:b/>
        </w:rPr>
        <w:t>konstatuje</w:t>
      </w:r>
      <w:r w:rsidRPr="0073345C">
        <w:rPr>
          <w:rFonts w:ascii="Times New Roman" w:hAnsi="Times New Roman"/>
          <w:sz w:val="24"/>
          <w:szCs w:val="24"/>
        </w:rPr>
        <w:t>, že řada subjektů působících v energetickém sektoru v České republice na detekci a snižování emisí metanu již pracuje prostřednictvím povinných i dobrovolných programů;</w:t>
      </w:r>
    </w:p>
    <w:p w:rsidR="0073345C" w:rsidRPr="0073345C" w:rsidRDefault="0073345C" w:rsidP="0073345C">
      <w:pPr>
        <w:pStyle w:val="Odstavecseseznamem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73345C">
        <w:rPr>
          <w:rStyle w:val="proloenChar"/>
          <w:b/>
        </w:rPr>
        <w:t xml:space="preserve">požaduje, </w:t>
      </w:r>
      <w:r w:rsidRPr="0073345C">
        <w:rPr>
          <w:rFonts w:ascii="Times New Roman" w:hAnsi="Times New Roman"/>
          <w:sz w:val="24"/>
          <w:szCs w:val="24"/>
        </w:rPr>
        <w:t>aby se nařízení striktně vztahovalo pouze na oblast působnosti explicitně uvedenou v článku 1. Takto specifikované oblasti působnosti je nutné důsledně uzpůsobit obsah všech článků nařízení, aby nebyl možný implicitní výklad, že se nařízení týká</w:t>
      </w:r>
      <w:r>
        <w:rPr>
          <w:rFonts w:ascii="Times New Roman" w:hAnsi="Times New Roman"/>
          <w:sz w:val="24"/>
          <w:szCs w:val="24"/>
        </w:rPr>
        <w:t xml:space="preserve"> i zařízení konečných zákazníků;</w:t>
      </w:r>
    </w:p>
    <w:p w:rsidR="0073345C" w:rsidRPr="0073345C" w:rsidRDefault="0073345C" w:rsidP="0073345C">
      <w:pPr>
        <w:pStyle w:val="Odstavecseseznamem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73345C">
        <w:rPr>
          <w:rStyle w:val="proloenChar"/>
          <w:b/>
        </w:rPr>
        <w:t>navrhuje</w:t>
      </w:r>
      <w:r w:rsidRPr="0073345C">
        <w:rPr>
          <w:rFonts w:ascii="Times New Roman" w:hAnsi="Times New Roman"/>
          <w:sz w:val="24"/>
          <w:szCs w:val="24"/>
        </w:rPr>
        <w:t xml:space="preserve"> upravit harmonogram pro zavádění povinností týkajících se reportingu emisí tak, aby dotčení provozovatelé měli dostatek času na přípravu a realizaci stanovených opatření, včetně zajištění nezbytných úprav IT systémů nebo nákupu vybavení či služeb</w:t>
      </w:r>
      <w:r>
        <w:rPr>
          <w:rFonts w:ascii="Times New Roman" w:hAnsi="Times New Roman"/>
          <w:sz w:val="24"/>
          <w:szCs w:val="24"/>
        </w:rPr>
        <w:t>;</w:t>
      </w:r>
    </w:p>
    <w:p w:rsidR="0073345C" w:rsidRPr="0073345C" w:rsidRDefault="0073345C" w:rsidP="0073345C">
      <w:pPr>
        <w:pStyle w:val="Odstavecseseznamem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73345C">
        <w:rPr>
          <w:rStyle w:val="proloenChar"/>
          <w:b/>
        </w:rPr>
        <w:t>považuje</w:t>
      </w:r>
      <w:r w:rsidRPr="0073345C">
        <w:rPr>
          <w:rFonts w:ascii="Times New Roman" w:hAnsi="Times New Roman"/>
          <w:sz w:val="24"/>
          <w:szCs w:val="24"/>
        </w:rPr>
        <w:t xml:space="preserve"> navrženou frekvenci kontrol úniků metanu v ropném a plynárenském sektoru každé tři měsíce jednotně pro všechny druhy a povahy zařízení, bez rozlišení jejich tlakové úrovně, významu a zejména jejich technického stavu (čl. 14) za nepřiměřenou. Jednalo by se o návrat zpět k systému preventivní údržby, který je překonaný a značně neefektivní. Frekvenci detekce úniků metanu určují provozovatelé na základě technického stavu majetku, četnosti poruch a řady dalších sledovaných parametrů. To umožňuje provádět častěji kontroly na zařízeních, která jsou v horším technickém stavu a tím se nákladově efektivním způsobem minimalizují únik</w:t>
      </w:r>
      <w:r>
        <w:rPr>
          <w:rFonts w:ascii="Times New Roman" w:hAnsi="Times New Roman"/>
          <w:sz w:val="24"/>
          <w:szCs w:val="24"/>
        </w:rPr>
        <w:t>y metanu;</w:t>
      </w:r>
    </w:p>
    <w:p w:rsidR="0073345C" w:rsidRPr="0073345C" w:rsidRDefault="0073345C" w:rsidP="0073345C">
      <w:pPr>
        <w:pStyle w:val="Odstavecseseznamem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73345C">
        <w:rPr>
          <w:rStyle w:val="proloenChar"/>
          <w:b/>
        </w:rPr>
        <w:lastRenderedPageBreak/>
        <w:t>nesouhlasí</w:t>
      </w:r>
      <w:r w:rsidRPr="0073345C">
        <w:rPr>
          <w:rFonts w:ascii="Arial" w:eastAsia="Arial" w:hAnsi="Arial" w:cs="Arial"/>
          <w:b/>
          <w:bCs/>
          <w:color w:val="000000" w:themeColor="text1"/>
          <w:lang w:val="cs"/>
        </w:rPr>
        <w:t xml:space="preserve"> </w:t>
      </w:r>
      <w:r w:rsidRPr="0073345C">
        <w:rPr>
          <w:rFonts w:ascii="Times New Roman" w:hAnsi="Times New Roman"/>
          <w:sz w:val="24"/>
          <w:szCs w:val="24"/>
        </w:rPr>
        <w:t xml:space="preserve">s povinností instalovat zařízení pro měření na všech neaktivních vrtech. Pro měření emisí metanu by na vrtu muselo být instalováno elektrické čidlo/čidla a zdroj energie, což zvyšuje nebezpečí výbuchu a ohrožuje bezpečnost osob provádějících měření a údržbu zařízení pro měření metanu </w:t>
      </w:r>
      <w:r>
        <w:rPr>
          <w:rFonts w:ascii="Times New Roman" w:hAnsi="Times New Roman"/>
          <w:sz w:val="24"/>
          <w:szCs w:val="24"/>
        </w:rPr>
        <w:t>(článek 18);</w:t>
      </w:r>
    </w:p>
    <w:p w:rsidR="0073345C" w:rsidRPr="0073345C" w:rsidRDefault="0073345C" w:rsidP="0073345C">
      <w:pPr>
        <w:pStyle w:val="Odstavecseseznamem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73345C">
        <w:rPr>
          <w:rStyle w:val="proloenChar"/>
          <w:b/>
        </w:rPr>
        <w:t>upozor</w:t>
      </w:r>
      <w:r w:rsidRPr="00BF244F">
        <w:rPr>
          <w:rStyle w:val="proloenChar"/>
          <w:b/>
        </w:rPr>
        <w:t>ňu</w:t>
      </w:r>
      <w:r w:rsidRPr="0073345C">
        <w:rPr>
          <w:rStyle w:val="proloenChar"/>
          <w:b/>
        </w:rPr>
        <w:t>j</w:t>
      </w:r>
      <w:r w:rsidRPr="00BF244F">
        <w:rPr>
          <w:rStyle w:val="proloenChar"/>
          <w:b/>
        </w:rPr>
        <w:t>e</w:t>
      </w:r>
      <w:r w:rsidRPr="0073345C">
        <w:rPr>
          <w:rFonts w:ascii="Times New Roman" w:hAnsi="Times New Roman"/>
          <w:sz w:val="24"/>
          <w:szCs w:val="24"/>
        </w:rPr>
        <w:t>, že praktické zkušenosti z provozu povrchových dolů ukazují, že přímé měření emisí plynů z těžby případně úpravy uhlí je díky proměnlivým atmosférickým podmínkám prakticky nemožné a jejich výsledná kvantifikace metodicky neuchopitelná (čl. 20).</w:t>
      </w:r>
      <w:r w:rsidRPr="0073345C">
        <w:rPr>
          <w:rFonts w:ascii="Arial" w:eastAsia="Arial" w:hAnsi="Arial" w:cs="Arial"/>
          <w:b/>
          <w:bCs/>
        </w:rPr>
        <w:t xml:space="preserve"> </w:t>
      </w:r>
      <w:r w:rsidRPr="0073345C">
        <w:rPr>
          <w:rFonts w:ascii="Times New Roman" w:hAnsi="Times New Roman"/>
          <w:sz w:val="24"/>
          <w:szCs w:val="24"/>
        </w:rPr>
        <w:t>Četnost čtvrtletního stanovení emisních faktorů provozovatelem dolu je</w:t>
      </w:r>
      <w:r>
        <w:rPr>
          <w:rFonts w:ascii="Times New Roman" w:hAnsi="Times New Roman"/>
          <w:sz w:val="24"/>
          <w:szCs w:val="24"/>
        </w:rPr>
        <w:t xml:space="preserve"> z provozního hlediska nereálná;</w:t>
      </w:r>
    </w:p>
    <w:p w:rsidR="0073345C" w:rsidRPr="0073345C" w:rsidRDefault="0073345C" w:rsidP="0073345C">
      <w:pPr>
        <w:pStyle w:val="Odstavecseseznamem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73345C">
        <w:rPr>
          <w:rStyle w:val="proloenChar"/>
          <w:b/>
        </w:rPr>
        <w:t>domnívá se</w:t>
      </w:r>
      <w:r w:rsidRPr="0073345C">
        <w:rPr>
          <w:rFonts w:ascii="Times New Roman" w:hAnsi="Times New Roman"/>
          <w:sz w:val="24"/>
          <w:szCs w:val="24"/>
        </w:rPr>
        <w:t xml:space="preserve">, že do textu nařízení by měl být zahrnut důlní plyn a měla by být rozšířena zmírňující opatření v tom smyslu, že pokud to jeho kvalitativní parametry umožní, bude moci být důlní plyn využíván na místě nebo uváděn na trh a </w:t>
      </w:r>
      <w:r>
        <w:rPr>
          <w:rFonts w:ascii="Times New Roman" w:hAnsi="Times New Roman"/>
          <w:sz w:val="24"/>
          <w:szCs w:val="24"/>
        </w:rPr>
        <w:t>toto nebude považováno za emise;</w:t>
      </w:r>
    </w:p>
    <w:p w:rsidR="0073345C" w:rsidRPr="0073345C" w:rsidRDefault="0073345C" w:rsidP="0073345C">
      <w:pPr>
        <w:pStyle w:val="Odstavecseseznamem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73345C">
        <w:rPr>
          <w:rStyle w:val="proloenChar"/>
          <w:b/>
        </w:rPr>
        <w:t>dospěl k názoru,</w:t>
      </w:r>
      <w:r w:rsidRPr="0073345C">
        <w:rPr>
          <w:rFonts w:ascii="Times New Roman" w:hAnsi="Times New Roman"/>
          <w:sz w:val="24"/>
          <w:szCs w:val="24"/>
        </w:rPr>
        <w:t xml:space="preserve"> že návrh nařízení Evropského parlamentu a Rady o snižování emisí metanu v energetice a o změně nařízení (EU) 2019/942 je v rozporu se zásadou subsidiarity ve smyslu čl. 5 odst. 3 Smlouvy o Evropské unii z následujících důvodů:</w:t>
      </w:r>
    </w:p>
    <w:p w:rsidR="0073345C" w:rsidRPr="0073345C" w:rsidRDefault="0073345C" w:rsidP="0073345C">
      <w:pPr>
        <w:pStyle w:val="Odstavecseseznamem"/>
        <w:numPr>
          <w:ilvl w:val="1"/>
          <w:numId w:val="31"/>
        </w:numPr>
        <w:ind w:left="590"/>
        <w:jc w:val="both"/>
        <w:rPr>
          <w:rFonts w:ascii="Times New Roman" w:hAnsi="Times New Roman"/>
          <w:sz w:val="24"/>
          <w:szCs w:val="24"/>
        </w:rPr>
      </w:pPr>
      <w:r w:rsidRPr="0073345C">
        <w:rPr>
          <w:rFonts w:ascii="Times New Roman" w:hAnsi="Times New Roman"/>
          <w:sz w:val="24"/>
          <w:szCs w:val="24"/>
        </w:rPr>
        <w:t>Evropská komise nepředložila studie dopadů na jednotlivé členské státy, čímž neumožnila národním parlamentům plně posoudit všechny důsledky návrhu i z hlediska dodržení zásady subsidiarity;</w:t>
      </w:r>
    </w:p>
    <w:p w:rsidR="008D731D" w:rsidRPr="0073345C" w:rsidRDefault="0073345C" w:rsidP="0073345C">
      <w:pPr>
        <w:pStyle w:val="Odstavecseseznamem"/>
        <w:numPr>
          <w:ilvl w:val="1"/>
          <w:numId w:val="31"/>
        </w:numPr>
        <w:ind w:left="590"/>
        <w:jc w:val="both"/>
        <w:rPr>
          <w:rFonts w:ascii="Times New Roman" w:hAnsi="Times New Roman"/>
          <w:sz w:val="24"/>
          <w:szCs w:val="24"/>
        </w:rPr>
      </w:pPr>
      <w:r w:rsidRPr="0073345C">
        <w:rPr>
          <w:rFonts w:ascii="Times New Roman" w:hAnsi="Times New Roman"/>
          <w:sz w:val="24"/>
          <w:szCs w:val="24"/>
        </w:rPr>
        <w:t>v důsledku toho Komise nedoložila, že navrhované řešení v čl. 14, 18, 20 jsou reálně dosažitelné v přiměřeném čase a za přiměřených nákladů pro jednotlivé členské státy, a neprokázala tak skutečnou přidanou hodnotu zvoleného způsobu jednání na úrovni EU;</w:t>
      </w:r>
    </w:p>
    <w:p w:rsidR="00ED21E0" w:rsidRPr="0073345C" w:rsidRDefault="00ED21E0" w:rsidP="0073345C">
      <w:pPr>
        <w:widowControl w:val="0"/>
        <w:numPr>
          <w:ilvl w:val="0"/>
          <w:numId w:val="24"/>
        </w:numPr>
        <w:suppressAutoHyphens/>
        <w:spacing w:after="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</w:pPr>
      <w:r w:rsidRPr="0073345C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pověřuje</w:t>
      </w:r>
      <w:r w:rsidRPr="0073345C">
        <w:rPr>
          <w:rFonts w:ascii="Times New Roman" w:eastAsia="SimSun" w:hAnsi="Times New Roman"/>
          <w:b/>
          <w:color w:val="auto"/>
          <w:kern w:val="1"/>
          <w:sz w:val="24"/>
          <w:szCs w:val="24"/>
          <w:lang w:eastAsia="hi-IN" w:bidi="hi-IN"/>
        </w:rPr>
        <w:t xml:space="preserve"> </w:t>
      </w:r>
      <w:r w:rsidRPr="0073345C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předsedkyni výboru, aby o tomto usnesení informovala předsedu výboru pro evropské záležitosti.</w:t>
      </w:r>
    </w:p>
    <w:p w:rsidR="00E07438" w:rsidRDefault="00E07438" w:rsidP="00806CFD">
      <w:pPr>
        <w:rPr>
          <w:rFonts w:ascii="Times New Roman" w:hAnsi="Times New Roman"/>
          <w:sz w:val="24"/>
        </w:rPr>
      </w:pPr>
    </w:p>
    <w:p w:rsidR="00E07438" w:rsidRDefault="00E07438" w:rsidP="00806CFD">
      <w:pPr>
        <w:rPr>
          <w:rFonts w:ascii="Times New Roman" w:hAnsi="Times New Roman"/>
          <w:sz w:val="24"/>
        </w:rPr>
      </w:pPr>
    </w:p>
    <w:p w:rsidR="00E07438" w:rsidRDefault="00E07438" w:rsidP="00806CFD">
      <w:pPr>
        <w:rPr>
          <w:rFonts w:ascii="Times New Roman" w:hAnsi="Times New Roman"/>
          <w:sz w:val="24"/>
        </w:rPr>
      </w:pPr>
    </w:p>
    <w:p w:rsidR="0038487B" w:rsidRDefault="0038487B" w:rsidP="00806CFD">
      <w:pPr>
        <w:rPr>
          <w:rFonts w:ascii="Times New Roman" w:hAnsi="Times New Roman"/>
          <w:sz w:val="24"/>
        </w:rPr>
      </w:pPr>
    </w:p>
    <w:p w:rsidR="0038487B" w:rsidRDefault="0038487B" w:rsidP="00806CFD">
      <w:pPr>
        <w:rPr>
          <w:rFonts w:ascii="Times New Roman" w:hAnsi="Times New Roman"/>
          <w:sz w:val="24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B26768" w:rsidTr="00A127FC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474A0B" w:rsidRDefault="00A7456C" w:rsidP="00A127FC">
            <w:pPr>
              <w:pStyle w:val="PS-slovanseznam"/>
              <w:spacing w:after="0"/>
              <w:ind w:left="0" w:firstLine="0"/>
              <w:jc w:val="center"/>
            </w:pPr>
            <w:r>
              <w:t>Ing. Josef BERNARD</w:t>
            </w:r>
            <w:r w:rsidR="005025FC">
              <w:t xml:space="preserve"> v. r.</w:t>
            </w:r>
          </w:p>
          <w:p w:rsidR="00B26768" w:rsidRDefault="005373D4" w:rsidP="00A127FC">
            <w:pPr>
              <w:pStyle w:val="PS-slovanseznam"/>
              <w:spacing w:after="0"/>
              <w:ind w:left="0" w:firstLine="0"/>
              <w:jc w:val="center"/>
            </w:pPr>
            <w:r w:rsidRPr="00A7456C">
              <w:t>o</w:t>
            </w:r>
            <w:r w:rsidR="00B26768" w:rsidRPr="00A7456C">
              <w:t>věřovatel</w:t>
            </w:r>
          </w:p>
          <w:p w:rsidR="005373D4" w:rsidRDefault="005373D4" w:rsidP="00A127FC">
            <w:pPr>
              <w:pStyle w:val="PS-slovanseznam"/>
              <w:spacing w:after="0"/>
              <w:ind w:left="0" w:firstLine="0"/>
              <w:jc w:val="center"/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768" w:rsidRDefault="00B26768" w:rsidP="00A127FC">
            <w:pPr>
              <w:pStyle w:val="PS-slovanseznam"/>
              <w:spacing w:after="0"/>
              <w:ind w:left="0" w:firstLine="0"/>
              <w:jc w:val="center"/>
            </w:pPr>
            <w:r>
              <w:t xml:space="preserve">Ing. </w:t>
            </w:r>
            <w:r w:rsidR="00474A0B">
              <w:t>Václav KRÁL</w:t>
            </w:r>
            <w:r w:rsidR="005025FC">
              <w:t xml:space="preserve"> v. r.</w:t>
            </w:r>
          </w:p>
          <w:p w:rsidR="00B26768" w:rsidRDefault="00885B9E" w:rsidP="00A127FC">
            <w:pPr>
              <w:pStyle w:val="PS-slovanseznam"/>
              <w:spacing w:after="0"/>
              <w:ind w:left="0" w:firstLine="0"/>
              <w:jc w:val="center"/>
            </w:pPr>
            <w:r>
              <w:t>zpravodaj</w:t>
            </w:r>
          </w:p>
          <w:p w:rsidR="00B26768" w:rsidRDefault="00B26768" w:rsidP="00A127FC">
            <w:pPr>
              <w:pStyle w:val="PS-slovanseznam"/>
              <w:spacing w:after="0"/>
              <w:ind w:left="0" w:firstLine="0"/>
            </w:pPr>
          </w:p>
          <w:p w:rsidR="00B26768" w:rsidRDefault="00B26768" w:rsidP="00A127FC">
            <w:pPr>
              <w:pStyle w:val="PS-slovanseznam"/>
              <w:spacing w:after="0"/>
              <w:ind w:left="0" w:firstLine="0"/>
            </w:pPr>
          </w:p>
          <w:p w:rsidR="005373D4" w:rsidRDefault="005373D4" w:rsidP="00A127FC">
            <w:pPr>
              <w:pStyle w:val="PS-slovanseznam"/>
              <w:spacing w:after="0"/>
              <w:ind w:left="0" w:firstLine="0"/>
            </w:pPr>
          </w:p>
        </w:tc>
      </w:tr>
      <w:tr w:rsidR="00B26768" w:rsidTr="00A127FC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6768" w:rsidRDefault="00474A0B" w:rsidP="00A127FC">
            <w:pPr>
              <w:pStyle w:val="PS-slovanseznam"/>
              <w:spacing w:after="0"/>
              <w:ind w:left="0" w:firstLine="0"/>
              <w:jc w:val="center"/>
            </w:pPr>
            <w:r>
              <w:t>Ing. Jana KRUTÁKOVÁ</w:t>
            </w:r>
            <w:r w:rsidR="005025FC">
              <w:t xml:space="preserve"> v. r.</w:t>
            </w:r>
          </w:p>
          <w:p w:rsidR="00B26768" w:rsidRDefault="00B26768" w:rsidP="00A127FC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</w:tc>
      </w:tr>
    </w:tbl>
    <w:p w:rsidR="005373D4" w:rsidRDefault="005373D4" w:rsidP="00806CFD">
      <w:pPr>
        <w:rPr>
          <w:rFonts w:ascii="Times New Roman" w:hAnsi="Times New Roman"/>
          <w:sz w:val="24"/>
        </w:rPr>
      </w:pPr>
    </w:p>
    <w:p w:rsidR="00885B9E" w:rsidRDefault="00885B9E" w:rsidP="00806CFD">
      <w:pPr>
        <w:rPr>
          <w:rFonts w:ascii="Times New Roman" w:hAnsi="Times New Roman"/>
          <w:sz w:val="24"/>
        </w:rPr>
      </w:pPr>
    </w:p>
    <w:p w:rsidR="0073345C" w:rsidRDefault="0073345C" w:rsidP="00806CFD">
      <w:pPr>
        <w:rPr>
          <w:rFonts w:ascii="Times New Roman" w:hAnsi="Times New Roman"/>
          <w:sz w:val="24"/>
        </w:rPr>
      </w:pPr>
    </w:p>
    <w:p w:rsidR="00BF244F" w:rsidRDefault="00BF244F" w:rsidP="00806CFD">
      <w:pPr>
        <w:rPr>
          <w:rFonts w:ascii="Times New Roman" w:hAnsi="Times New Roman"/>
          <w:sz w:val="24"/>
        </w:rPr>
      </w:pPr>
    </w:p>
    <w:p w:rsidR="00F628C1" w:rsidRDefault="00F628C1" w:rsidP="00806CFD">
      <w:pPr>
        <w:rPr>
          <w:rFonts w:ascii="Times New Roman" w:hAnsi="Times New Roman"/>
          <w:sz w:val="24"/>
        </w:rPr>
      </w:pPr>
    </w:p>
    <w:p w:rsidR="003C4840" w:rsidRDefault="003C4840" w:rsidP="00806CFD">
      <w:pPr>
        <w:rPr>
          <w:rFonts w:ascii="Times New Roman" w:hAnsi="Times New Roman"/>
          <w:sz w:val="24"/>
        </w:rPr>
      </w:pPr>
      <w:r w:rsidRPr="00BB32B9">
        <w:rPr>
          <w:rFonts w:ascii="Times New Roman" w:hAnsi="Times New Roman"/>
          <w:sz w:val="24"/>
        </w:rPr>
        <w:lastRenderedPageBreak/>
        <w:t xml:space="preserve">Příloha k usnesení </w:t>
      </w:r>
      <w:r w:rsidR="00474A0B" w:rsidRPr="00A7456C">
        <w:rPr>
          <w:rFonts w:ascii="Times New Roman" w:hAnsi="Times New Roman"/>
          <w:sz w:val="24"/>
        </w:rPr>
        <w:t>VŽP č. 31</w:t>
      </w:r>
    </w:p>
    <w:p w:rsidR="0073345C" w:rsidRPr="008A2F43" w:rsidRDefault="0073345C" w:rsidP="0073345C">
      <w:pPr>
        <w:rPr>
          <w:rFonts w:ascii="Calibri Light" w:hAnsi="Calibri Light" w:cs="Arial"/>
          <w:color w:val="0070C0"/>
        </w:rPr>
      </w:pPr>
      <w:r w:rsidRPr="008A2F43">
        <w:rPr>
          <w:rFonts w:ascii="Calibri Light" w:hAnsi="Calibri Light"/>
          <w:noProof/>
          <w:lang w:eastAsia="cs-CZ"/>
        </w:rPr>
        <mc:AlternateContent>
          <mc:Choice Requires="wps">
            <w:drawing>
              <wp:anchor distT="182880" distB="182880" distL="182880" distR="182880" simplePos="0" relativeHeight="251659264" behindDoc="0" locked="0" layoutInCell="1" allowOverlap="1" wp14:anchorId="46ABC7FC" wp14:editId="4723EE28">
                <wp:simplePos x="0" y="0"/>
                <wp:positionH relativeFrom="page">
                  <wp:posOffset>4800600</wp:posOffset>
                </wp:positionH>
                <wp:positionV relativeFrom="margin">
                  <wp:posOffset>108586</wp:posOffset>
                </wp:positionV>
                <wp:extent cx="2240280" cy="1085850"/>
                <wp:effectExtent l="0" t="0" r="7620" b="0"/>
                <wp:wrapNone/>
                <wp:docPr id="6" name="Obdélník s jedním ustřiženým rohem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40280" cy="1085850"/>
                        </a:xfrm>
                        <a:custGeom>
                          <a:avLst/>
                          <a:gdLst>
                            <a:gd name="T0" fmla="*/ 0 w 2240352"/>
                            <a:gd name="T1" fmla="*/ 0 h 9004899"/>
                            <a:gd name="T2" fmla="*/ 1866953 w 2240352"/>
                            <a:gd name="T3" fmla="*/ 0 h 9004899"/>
                            <a:gd name="T4" fmla="*/ 2240352 w 2240352"/>
                            <a:gd name="T5" fmla="*/ 373399 h 9004899"/>
                            <a:gd name="T6" fmla="*/ 2240352 w 2240352"/>
                            <a:gd name="T7" fmla="*/ 9004899 h 9004899"/>
                            <a:gd name="T8" fmla="*/ 0 w 2240352"/>
                            <a:gd name="T9" fmla="*/ 9004899 h 9004899"/>
                            <a:gd name="T10" fmla="*/ 0 w 2240352"/>
                            <a:gd name="T11" fmla="*/ 0 h 9004899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2240352"/>
                            <a:gd name="T19" fmla="*/ 0 h 9004899"/>
                            <a:gd name="T20" fmla="*/ 2240352 w 2240352"/>
                            <a:gd name="T21" fmla="*/ 9004899 h 9004899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2240352" h="9004899">
                              <a:moveTo>
                                <a:pt x="0" y="0"/>
                              </a:moveTo>
                              <a:lnTo>
                                <a:pt x="1866953" y="0"/>
                              </a:lnTo>
                              <a:lnTo>
                                <a:pt x="2240352" y="373399"/>
                              </a:lnTo>
                              <a:lnTo>
                                <a:pt x="2240352" y="9004899"/>
                              </a:lnTo>
                              <a:lnTo>
                                <a:pt x="0" y="9004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73345C" w:rsidRPr="003670F2" w:rsidRDefault="0073345C" w:rsidP="0073345C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73345C" w:rsidRPr="00333C99" w:rsidRDefault="0073345C" w:rsidP="0073345C">
                            <w:pPr>
                              <w:pStyle w:val="ZHLAVTITULKY"/>
                            </w:pPr>
                            <w:r>
                              <w:t>DOKUMENTY EU</w:t>
                            </w:r>
                          </w:p>
                          <w:p w:rsidR="0073345C" w:rsidRPr="0035103C" w:rsidRDefault="0073345C" w:rsidP="0073345C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73345C" w:rsidRPr="0035103C" w:rsidRDefault="0073345C" w:rsidP="0073345C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73345C" w:rsidRPr="0035103C" w:rsidRDefault="0073345C" w:rsidP="0073345C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73345C" w:rsidRPr="0035103C" w:rsidRDefault="0073345C" w:rsidP="0073345C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73345C" w:rsidRPr="0035103C" w:rsidRDefault="0073345C" w:rsidP="0073345C">
                            <w:pPr>
                              <w:tabs>
                                <w:tab w:val="center" w:pos="2835"/>
                                <w:tab w:val="center" w:pos="2977"/>
                              </w:tabs>
                              <w:ind w:left="284" w:right="193" w:hanging="284"/>
                              <w:rPr>
                                <w:rFonts w:cs="Arial"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228600" tIns="91440" rIns="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BC7FC" id="Obdélník s jedním ustřiženým rohem 118" o:spid="_x0000_s1026" style="position:absolute;margin-left:378pt;margin-top:8.55pt;width:176.4pt;height:85.5pt;z-index:251659264;visibility:visible;mso-wrap-style:square;mso-width-percent:0;mso-height-percent:0;mso-wrap-distance-left:14.4pt;mso-wrap-distance-top:14.4pt;mso-wrap-distance-right:14.4pt;mso-wrap-distance-bottom:14.4pt;mso-position-horizontal:absolute;mso-position-horizontal-relative:page;mso-position-vertical:absolute;mso-position-vertical-relative:margin;mso-width-percent:0;mso-height-percent:0;mso-width-relative:margin;mso-height-relative:margin;v-text-anchor:top" coordsize="2240352,900489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U8cjAMAACYKAAAOAAAAZHJzL2Uyb0RvYy54bWysVkuO2zgQ3QfIHQguB5jWz3LbRquDIEEG&#10;AfIDojkALVGWJhKpkHTLnZtkl20WOUJmMY3ca6ooyU25Y3cjiBYSP0+PxXqsKl482TU1ueJKV1Ik&#10;NDjzKeEik3klNgn9O33x54ISbZjIWS0FT+g11/TJ5eNHF1274qEsZZ1zRYBE6FXXJrQ0pl15ns5K&#10;3jB9JlsuYLKQqmEGumrj5Yp1wN7UXuj7c6+TKm+VzLjWMPq8n6SXlr8oeGbeFoXmhtQJBduMfSv7&#10;XuPbu7xgq41ibVllgxnsF6xoWCVg0T3Vc2YY2arqDlVTZUpqWZizTDaeLIoq43YPsJvAP9jN+5K1&#10;3O4FnKPbvZv076PN3ly9U6TKEzqnRLAGJHq7zm++1uLm2wei//vyD8+h2ZCtNj8+Vz/+5eLme0OU&#10;BH1IECzQgV2rV8Dzvn2n0AW6fSWzDxomvMkMdjRgyLp7LXNYiG2NtE7bFarBP8EdZGe1ud5rw3eG&#10;ZDAYhjM/XICEGcwF/iJexFY9j63G3zOw8S8uLRW7eqVNL24OLStNPmwwBZaiqUHnPzzik44gdxSH&#10;w2HYw4IJrCRL358tlstDWOjAgsV8voyj45yRA/bJUc6ZAxusO84ZO+DoPIqWy+PEoPJ+6/cSnzvg&#10;YfPHmSHQ98wnnLp0YPdyBg9V6oFSBa5WPpn78JB5HEfzQ1GDqVCnkK5WpzldoU4jXZlOI12NTiMf&#10;KFDgKnTiiIauNvcepdBV6Ke6QyBvxlBl5Ri92U4M4QstwrCqpKAixnMrNWYLjGZICWmAEgIJ4HDW&#10;gUcTOBwBhEdH4bMJHNRFeHwUHk/gIBzCz4/C5xM4aIJwm1N+avv5BI7xgPhgstn+x8FNCkoeFrsU&#10;cjOWuxT1hIKXol5Q8lJQwubFlhn0svUkNEnX51jMg6RM6JjscL6RVzyVFmkOEjSsfTtbCxc15EJr&#10;8ZiqR8T4bS3fmH9xb30CG9w3wsbvXfhoZq/9iBu/Pb532sORh8ZmtdS8XwCdZk/Z3nvofKfuCPmi&#10;qmvr4Nqew/0AAPsRqGj96bblEStiX0LNbr2DH7FMrmV+DYVSyf6+AvcraJRSfaKkg7tKQvXHLVOc&#10;kvqlgMtAGC4gQYHctrcMZjPoKNtB0d1RJjLgSaihEEzYfGagB6htq6pNCcsE9sQJ+RSqc1FhDbV2&#10;9iYNHbiMWC8MFye87bh9i7q93l3+DwAA//8DAFBLAwQUAAYACAAAACEAnznPT+EAAAALAQAADwAA&#10;AGRycy9kb3ducmV2LnhtbEyPT0vDQBDF74LfYRnBm91EsA1pNkWkgiBWrbZeN9kxG9w/YXfTRj+9&#10;05Pe5vEeb96vWk3WsAOG2HsnIJ9lwNC1XvWuE/D+dn9VAItJOiWNdyjgGyOs6vOzSpbKH90rHrap&#10;Y1TiYikF6JSGkvPYarQyzvyAjrxPH6xMJEPHVZBHKreGX2fZnFvZO/qg5YB3Gtuv7WgFPOxewuPH&#10;5mff7McnbvTzOo2btRCXF9PtEljCKf2F4TSfpkNNmxo/OhWZEbC4mRNLImORAzsF8qwgmIauosiB&#10;1xX/z1D/AgAA//8DAFBLAQItABQABgAIAAAAIQC2gziS/gAAAOEBAAATAAAAAAAAAAAAAAAAAAAA&#10;AABbQ29udGVudF9UeXBlc10ueG1sUEsBAi0AFAAGAAgAAAAhADj9If/WAAAAlAEAAAsAAAAAAAAA&#10;AAAAAAAALwEAAF9yZWxzLy5yZWxzUEsBAi0AFAAGAAgAAAAhAKTtTxyMAwAAJgoAAA4AAAAAAAAA&#10;AAAAAAAALgIAAGRycy9lMm9Eb2MueG1sUEsBAi0AFAAGAAgAAAAhAJ85z0/hAAAACwEAAA8AAAAA&#10;AAAAAAAAAAAA5gUAAGRycy9kb3ducmV2LnhtbFBLBQYAAAAABAAEAPMAAAD0BgAAAAA=&#10;" adj="-11796480,,5400" path="m,l1866953,r373399,373399l2240352,9004899,,9004899,,xe" filled="f" stroked="f">
                <v:stroke joinstyle="miter"/>
                <v:formulas/>
                <v:path arrowok="t" o:connecttype="custom" o:connectlocs="0,0;1866893,0;2240280,45026;2240280,1085850;0,1085850;0,0" o:connectangles="0,0,0,0,0,0" textboxrect="0,0,2240352,9004899"/>
                <v:textbox inset="18pt,7.2pt,0,7.2pt">
                  <w:txbxContent>
                    <w:p w:rsidR="0073345C" w:rsidRPr="003670F2" w:rsidRDefault="0073345C" w:rsidP="0073345C">
                      <w:pPr>
                        <w:rPr>
                          <w:color w:val="C00000"/>
                        </w:rPr>
                      </w:pPr>
                    </w:p>
                    <w:p w:rsidR="0073345C" w:rsidRPr="00333C99" w:rsidRDefault="0073345C" w:rsidP="0073345C">
                      <w:pPr>
                        <w:pStyle w:val="ZHLAVTITULKY"/>
                      </w:pPr>
                      <w:r>
                        <w:t>DOKUMENTY EU</w:t>
                      </w:r>
                    </w:p>
                    <w:p w:rsidR="0073345C" w:rsidRPr="0035103C" w:rsidRDefault="0073345C" w:rsidP="0073345C">
                      <w:pPr>
                        <w:rPr>
                          <w:color w:val="C00000"/>
                        </w:rPr>
                      </w:pPr>
                    </w:p>
                    <w:p w:rsidR="0073345C" w:rsidRPr="0035103C" w:rsidRDefault="0073345C" w:rsidP="0073345C">
                      <w:pPr>
                        <w:rPr>
                          <w:color w:val="C00000"/>
                        </w:rPr>
                      </w:pPr>
                    </w:p>
                    <w:p w:rsidR="0073345C" w:rsidRPr="0035103C" w:rsidRDefault="0073345C" w:rsidP="0073345C">
                      <w:pPr>
                        <w:rPr>
                          <w:color w:val="C00000"/>
                        </w:rPr>
                      </w:pPr>
                    </w:p>
                    <w:p w:rsidR="0073345C" w:rsidRPr="0035103C" w:rsidRDefault="0073345C" w:rsidP="0073345C">
                      <w:pPr>
                        <w:rPr>
                          <w:color w:val="C00000"/>
                        </w:rPr>
                      </w:pPr>
                    </w:p>
                    <w:p w:rsidR="0073345C" w:rsidRPr="0035103C" w:rsidRDefault="0073345C" w:rsidP="0073345C">
                      <w:pPr>
                        <w:tabs>
                          <w:tab w:val="center" w:pos="2835"/>
                          <w:tab w:val="center" w:pos="2977"/>
                        </w:tabs>
                        <w:ind w:left="284" w:right="193" w:hanging="284"/>
                        <w:rPr>
                          <w:rFonts w:cs="Arial"/>
                          <w:color w:val="C00000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8A2F43">
        <w:rPr>
          <w:rFonts w:ascii="Calibri Light" w:hAnsi="Calibri Light" w:cs="Arial"/>
          <w:noProof/>
          <w:color w:val="0070C0"/>
          <w:lang w:eastAsia="cs-CZ"/>
        </w:rPr>
        <w:drawing>
          <wp:inline distT="0" distB="0" distL="0" distR="0" wp14:anchorId="487445AE" wp14:editId="2FA1F330">
            <wp:extent cx="6210935" cy="1087120"/>
            <wp:effectExtent l="0" t="0" r="0" b="0"/>
            <wp:docPr id="1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108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2F43">
        <w:rPr>
          <w:rFonts w:ascii="Calibri Light" w:hAnsi="Calibri Light" w:cs="Arial"/>
          <w:noProof/>
          <w:color w:val="0070C0"/>
          <w:lang w:eastAsia="cs-CZ"/>
        </w:rPr>
        <w:drawing>
          <wp:inline distT="0" distB="0" distL="0" distR="0" wp14:anchorId="72FB3D25" wp14:editId="2B65A3F0">
            <wp:extent cx="6210935" cy="69215"/>
            <wp:effectExtent l="0" t="0" r="0" b="0"/>
            <wp:docPr id="2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6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2F43">
        <w:rPr>
          <w:rFonts w:ascii="Calibri Light" w:hAnsi="Calibri Light" w:cs="Arial"/>
          <w:color w:val="0070C0"/>
        </w:rPr>
        <w:tab/>
      </w:r>
      <w:r w:rsidRPr="008A2F43">
        <w:rPr>
          <w:rFonts w:ascii="Calibri Light" w:hAnsi="Calibri Light" w:cs="Arial"/>
          <w:color w:val="0070C0"/>
        </w:rPr>
        <w:tab/>
      </w:r>
      <w:r w:rsidRPr="008A2F43">
        <w:rPr>
          <w:rFonts w:ascii="Calibri Light" w:hAnsi="Calibri Light" w:cs="Arial"/>
          <w:color w:val="0070C0"/>
        </w:rPr>
        <w:tab/>
      </w: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73345C" w:rsidRPr="008A2F43" w:rsidTr="00CE598A">
        <w:tc>
          <w:tcPr>
            <w:tcW w:w="9498" w:type="dxa"/>
            <w:shd w:val="clear" w:color="auto" w:fill="auto"/>
          </w:tcPr>
          <w:p w:rsidR="0073345C" w:rsidRPr="008A2F43" w:rsidRDefault="0073345C" w:rsidP="00CE598A">
            <w:pPr>
              <w:pStyle w:val="NZEVPRCE"/>
            </w:pPr>
            <w:r>
              <w:t>Fit for 55 II.</w:t>
            </w:r>
          </w:p>
        </w:tc>
      </w:tr>
      <w:tr w:rsidR="0073345C" w:rsidRPr="008A2F43" w:rsidTr="00CE598A">
        <w:tc>
          <w:tcPr>
            <w:tcW w:w="9498" w:type="dxa"/>
            <w:shd w:val="clear" w:color="auto" w:fill="auto"/>
          </w:tcPr>
          <w:p w:rsidR="0073345C" w:rsidRDefault="0073345C" w:rsidP="00CE598A">
            <w:pPr>
              <w:pStyle w:val="PODNZEVPRCE"/>
              <w:jc w:val="both"/>
            </w:pPr>
            <w:r>
              <w:t>Informační podklad k:</w:t>
            </w:r>
          </w:p>
          <w:p w:rsidR="0073345C" w:rsidRDefault="0073345C" w:rsidP="0073345C">
            <w:pPr>
              <w:pStyle w:val="PODNZEVPRCE"/>
              <w:numPr>
                <w:ilvl w:val="0"/>
                <w:numId w:val="32"/>
              </w:numPr>
              <w:jc w:val="both"/>
            </w:pPr>
            <w:r>
              <w:t>návrhu směrnice o energetické náročnosti budov;</w:t>
            </w:r>
          </w:p>
          <w:p w:rsidR="0073345C" w:rsidRDefault="0073345C" w:rsidP="0073345C">
            <w:pPr>
              <w:pStyle w:val="PODNZEVPRCE"/>
              <w:numPr>
                <w:ilvl w:val="0"/>
                <w:numId w:val="32"/>
              </w:numPr>
              <w:jc w:val="both"/>
            </w:pPr>
            <w:r>
              <w:t xml:space="preserve">návrhu nařízení </w:t>
            </w:r>
            <w:r w:rsidRPr="008A0293">
              <w:t>o snižování emisí metanu v odvětví energetiky</w:t>
            </w:r>
            <w:r>
              <w:t>;</w:t>
            </w:r>
          </w:p>
          <w:p w:rsidR="0073345C" w:rsidRDefault="0073345C" w:rsidP="0073345C">
            <w:pPr>
              <w:pStyle w:val="PODNZEVPRCE"/>
              <w:numPr>
                <w:ilvl w:val="0"/>
                <w:numId w:val="32"/>
              </w:numPr>
              <w:jc w:val="both"/>
            </w:pPr>
            <w:r>
              <w:t xml:space="preserve">návrhu nařízení </w:t>
            </w:r>
            <w:r w:rsidRPr="008A0293">
              <w:t xml:space="preserve">o vnitřním trhu </w:t>
            </w:r>
            <w:r>
              <w:t>s plyny z obnovitelných zdrojů, se zemním plynem a s vodíkem a</w:t>
            </w:r>
          </w:p>
          <w:p w:rsidR="0073345C" w:rsidRPr="008A2F43" w:rsidRDefault="0073345C" w:rsidP="0073345C">
            <w:pPr>
              <w:pStyle w:val="PODNZEVPRCE"/>
              <w:numPr>
                <w:ilvl w:val="0"/>
                <w:numId w:val="32"/>
              </w:numPr>
              <w:jc w:val="both"/>
            </w:pPr>
            <w:r>
              <w:t xml:space="preserve">návrhu směrnice </w:t>
            </w:r>
            <w:r w:rsidRPr="008A0293">
              <w:t xml:space="preserve">o společných pravidlech pro vnitřní trh </w:t>
            </w:r>
            <w:r>
              <w:t> s plyny z obnovitelných zdrojů, se zemním plynem a s vodíkem</w:t>
            </w:r>
          </w:p>
          <w:p w:rsidR="0073345C" w:rsidRDefault="0073345C" w:rsidP="00CE598A">
            <w:pPr>
              <w:jc w:val="both"/>
              <w:rPr>
                <w:rFonts w:ascii="Calibri Light" w:hAnsi="Calibri Light"/>
              </w:rPr>
            </w:pPr>
          </w:p>
          <w:p w:rsidR="0073345C" w:rsidRPr="008A2F43" w:rsidRDefault="0073345C" w:rsidP="00CE598A">
            <w:pPr>
              <w:rPr>
                <w:rFonts w:ascii="Calibri Light" w:hAnsi="Calibri Light"/>
              </w:rPr>
            </w:pPr>
          </w:p>
        </w:tc>
      </w:tr>
    </w:tbl>
    <w:p w:rsidR="0073345C" w:rsidRDefault="0073345C" w:rsidP="0073345C">
      <w:pPr>
        <w:pStyle w:val="ZHLAVTITULKY"/>
        <w:jc w:val="center"/>
      </w:pPr>
      <w:bookmarkStart w:id="2" w:name="_Toc102889783"/>
      <w:bookmarkStart w:id="3" w:name="_Toc102890434"/>
      <w:bookmarkStart w:id="4" w:name="_Toc102962509"/>
      <w:bookmarkStart w:id="5" w:name="_Toc102963703"/>
      <w:bookmarkStart w:id="6" w:name="_Toc104024348"/>
      <w:bookmarkStart w:id="7" w:name="_Toc442363945"/>
      <w:r>
        <w:t>NÁVRH SMĚRNICE</w:t>
      </w:r>
    </w:p>
    <w:p w:rsidR="0073345C" w:rsidRDefault="0073345C" w:rsidP="0073345C">
      <w:pPr>
        <w:pStyle w:val="PODNZEVPRCE"/>
        <w:jc w:val="center"/>
      </w:pPr>
      <w:r w:rsidRPr="008A0293">
        <w:t>Návrh směrnice Evropského parlamentu a Rady o energetické náročnosti budov (přepracované znění)</w:t>
      </w:r>
    </w:p>
    <w:p w:rsidR="0073345C" w:rsidRDefault="0073345C" w:rsidP="0073345C">
      <w:pPr>
        <w:pStyle w:val="PODNZEVPRCE"/>
        <w:jc w:val="center"/>
      </w:pPr>
      <w:r>
        <w:t>COM(2021) 802 final, kód Rady 15088/21</w:t>
      </w:r>
    </w:p>
    <w:p w:rsidR="0073345C" w:rsidRDefault="0073345C" w:rsidP="0073345C">
      <w:pPr>
        <w:pStyle w:val="PODNZEVPRCE"/>
        <w:jc w:val="center"/>
      </w:pPr>
      <w:r>
        <w:t xml:space="preserve">Interinstitucionální spis </w:t>
      </w:r>
      <w:r w:rsidRPr="00044485">
        <w:t>2021/0426/COD</w:t>
      </w:r>
    </w:p>
    <w:p w:rsidR="0073345C" w:rsidRDefault="0073345C" w:rsidP="0073345C">
      <w:pPr>
        <w:pStyle w:val="ZHLAVTITULKY"/>
        <w:jc w:val="center"/>
      </w:pPr>
    </w:p>
    <w:p w:rsidR="0073345C" w:rsidRDefault="0073345C" w:rsidP="0073345C">
      <w:pPr>
        <w:pStyle w:val="ZHLAVTITULKY"/>
        <w:jc w:val="center"/>
      </w:pPr>
      <w:r>
        <w:t>NÁVRH NAŘÍZENÍ</w:t>
      </w:r>
    </w:p>
    <w:p w:rsidR="0073345C" w:rsidRDefault="0073345C" w:rsidP="0073345C">
      <w:pPr>
        <w:pStyle w:val="PODNZEVPRCE"/>
        <w:jc w:val="center"/>
      </w:pPr>
      <w:r w:rsidRPr="008A0293">
        <w:t>Návrh nařízení Evropského parlamentu a Rady o snižování emisí metanu v odvětví energetiky a o změně nařízení (EU) 2019/942</w:t>
      </w:r>
    </w:p>
    <w:p w:rsidR="0073345C" w:rsidRDefault="0073345C" w:rsidP="0073345C">
      <w:pPr>
        <w:pStyle w:val="PODNZEVPRCE"/>
        <w:jc w:val="center"/>
      </w:pPr>
      <w:r>
        <w:t>COM(2021) 805 final, kód Rady 15063/21</w:t>
      </w:r>
    </w:p>
    <w:p w:rsidR="0073345C" w:rsidRDefault="0073345C" w:rsidP="0073345C">
      <w:pPr>
        <w:pStyle w:val="PODNZEVPRCE"/>
        <w:jc w:val="center"/>
      </w:pPr>
      <w:r>
        <w:t xml:space="preserve">Interinstitucionální spis </w:t>
      </w:r>
      <w:r w:rsidRPr="00044485">
        <w:t>2021/0423/COD</w:t>
      </w:r>
    </w:p>
    <w:p w:rsidR="0073345C" w:rsidRDefault="0073345C" w:rsidP="0073345C">
      <w:pPr>
        <w:jc w:val="both"/>
        <w:rPr>
          <w:rStyle w:val="Siln"/>
          <w:rFonts w:asciiTheme="minorHAnsi" w:hAnsiTheme="minorHAnsi"/>
          <w:b w:val="0"/>
          <w:bCs w:val="0"/>
          <w:caps/>
          <w:sz w:val="20"/>
        </w:rPr>
      </w:pPr>
    </w:p>
    <w:p w:rsidR="0073345C" w:rsidRDefault="0073345C" w:rsidP="0073345C">
      <w:pPr>
        <w:jc w:val="both"/>
        <w:rPr>
          <w:rStyle w:val="Siln"/>
          <w:rFonts w:asciiTheme="minorHAnsi" w:hAnsiTheme="minorHAnsi"/>
          <w:b w:val="0"/>
          <w:bCs w:val="0"/>
          <w:caps/>
          <w:sz w:val="20"/>
        </w:rPr>
      </w:pPr>
    </w:p>
    <w:p w:rsidR="0073345C" w:rsidRDefault="0073345C" w:rsidP="0073345C">
      <w:pPr>
        <w:pStyle w:val="ZHLAVTITULKY"/>
        <w:jc w:val="center"/>
      </w:pPr>
      <w:r>
        <w:t>NÁVRH NAŘÍZENÍ</w:t>
      </w:r>
    </w:p>
    <w:p w:rsidR="0073345C" w:rsidRDefault="0073345C" w:rsidP="0073345C">
      <w:pPr>
        <w:pStyle w:val="PODNZEVPRCE"/>
        <w:jc w:val="center"/>
      </w:pPr>
      <w:r w:rsidRPr="0059240C">
        <w:t>Návrh nařízení Evropského parlamentu a</w:t>
      </w:r>
      <w:r>
        <w:t xml:space="preserve"> Rady o vnitřním trhu s plyny z </w:t>
      </w:r>
      <w:r w:rsidRPr="0059240C">
        <w:t>obnovitelných zdrojů, se zemním plynem a s vodíkem (přepracované znění)</w:t>
      </w:r>
    </w:p>
    <w:p w:rsidR="0073345C" w:rsidRDefault="0073345C" w:rsidP="0073345C">
      <w:pPr>
        <w:pStyle w:val="PODNZEVPRCE"/>
        <w:jc w:val="center"/>
      </w:pPr>
      <w:r>
        <w:t>COM(2021) 804 final, kód Rady 15096/21</w:t>
      </w:r>
    </w:p>
    <w:p w:rsidR="0073345C" w:rsidRDefault="0073345C" w:rsidP="0073345C">
      <w:pPr>
        <w:pStyle w:val="PODNZEVPRCE"/>
        <w:jc w:val="center"/>
      </w:pPr>
      <w:r>
        <w:t xml:space="preserve">Interinstitucionální spis </w:t>
      </w:r>
      <w:r w:rsidRPr="005F6D99">
        <w:t>2021/0424/COD</w:t>
      </w:r>
    </w:p>
    <w:p w:rsidR="0073345C" w:rsidRDefault="0073345C" w:rsidP="0073345C">
      <w:pPr>
        <w:jc w:val="both"/>
        <w:rPr>
          <w:rStyle w:val="Siln"/>
          <w:rFonts w:asciiTheme="minorHAnsi" w:hAnsiTheme="minorHAnsi"/>
          <w:b w:val="0"/>
          <w:bCs w:val="0"/>
          <w:caps/>
          <w:sz w:val="20"/>
        </w:rPr>
      </w:pPr>
    </w:p>
    <w:p w:rsidR="0073345C" w:rsidRDefault="0073345C" w:rsidP="0073345C">
      <w:pPr>
        <w:pStyle w:val="ZHLAVTITULKY"/>
        <w:jc w:val="center"/>
      </w:pPr>
      <w:r>
        <w:lastRenderedPageBreak/>
        <w:t>NÁVRH NAŘÍZENÍ/SMĚRNICE</w:t>
      </w:r>
    </w:p>
    <w:p w:rsidR="0073345C" w:rsidRDefault="0073345C" w:rsidP="0073345C">
      <w:pPr>
        <w:pStyle w:val="PODNZEVPRCE"/>
        <w:jc w:val="center"/>
      </w:pPr>
      <w:r w:rsidRPr="0059240C">
        <w:t>Návrh směrnice Evropského parlamentu a Rady o společných pravidlech pro vnitřní trh s plyny z obnovitelných zdrojů, se zemním plynem a s vodíkem</w:t>
      </w:r>
    </w:p>
    <w:p w:rsidR="0073345C" w:rsidRDefault="0073345C" w:rsidP="0073345C">
      <w:pPr>
        <w:pStyle w:val="PODNZEVPRCE"/>
        <w:jc w:val="center"/>
      </w:pPr>
      <w:r>
        <w:t>COM(2021) 803 final, kód Rady 15111/21</w:t>
      </w:r>
    </w:p>
    <w:p w:rsidR="0073345C" w:rsidRDefault="0073345C" w:rsidP="0073345C">
      <w:pPr>
        <w:pStyle w:val="PODNZEVPRCE"/>
        <w:jc w:val="center"/>
      </w:pPr>
      <w:r>
        <w:t xml:space="preserve">Interinstitucionální spis </w:t>
      </w:r>
      <w:r w:rsidRPr="005F6D99">
        <w:t>2021/0425/COD</w:t>
      </w:r>
    </w:p>
    <w:p w:rsidR="0073345C" w:rsidRDefault="0073345C" w:rsidP="0073345C">
      <w:pPr>
        <w:jc w:val="both"/>
        <w:rPr>
          <w:rStyle w:val="Siln"/>
          <w:rFonts w:asciiTheme="minorHAnsi" w:hAnsiTheme="minorHAnsi"/>
          <w:b w:val="0"/>
          <w:bCs w:val="0"/>
          <w:caps/>
          <w:sz w:val="20"/>
        </w:rPr>
      </w:pPr>
    </w:p>
    <w:p w:rsidR="0073345C" w:rsidRDefault="0073345C" w:rsidP="0073345C">
      <w:pPr>
        <w:jc w:val="both"/>
        <w:rPr>
          <w:rStyle w:val="Siln"/>
        </w:rPr>
      </w:pPr>
    </w:p>
    <w:p w:rsidR="0073345C" w:rsidRPr="00C90F55" w:rsidRDefault="0073345C" w:rsidP="0073345C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8" w:name="_Toc445380604"/>
      <w:r w:rsidRPr="00C90F55">
        <w:rPr>
          <w:b/>
        </w:rPr>
        <w:t>Právní základ:</w:t>
      </w:r>
      <w:bookmarkEnd w:id="8"/>
    </w:p>
    <w:p w:rsidR="0073345C" w:rsidRDefault="0073345C" w:rsidP="0073345C">
      <w:pPr>
        <w:jc w:val="both"/>
      </w:pPr>
      <w:r>
        <w:t>Článek 194 odst. 2 Smlouvy o fungování Evropské unie</w:t>
      </w:r>
      <w:r w:rsidRPr="0048126F">
        <w:t>.</w:t>
      </w:r>
    </w:p>
    <w:p w:rsidR="0073345C" w:rsidRPr="0048126F" w:rsidRDefault="0073345C" w:rsidP="0073345C">
      <w:pPr>
        <w:jc w:val="both"/>
      </w:pPr>
    </w:p>
    <w:p w:rsidR="0073345C" w:rsidRPr="00373906" w:rsidRDefault="0073345C" w:rsidP="0073345C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9" w:name="_Toc445380605"/>
      <w:r w:rsidRPr="00373906">
        <w:rPr>
          <w:b/>
        </w:rPr>
        <w:t>Datum zaslání Poslanecké sněmovně prostřednictvím VEZ:</w:t>
      </w:r>
      <w:bookmarkEnd w:id="9"/>
    </w:p>
    <w:p w:rsidR="0073345C" w:rsidRDefault="0073345C" w:rsidP="0073345C">
      <w:pPr>
        <w:jc w:val="both"/>
      </w:pPr>
      <w:r>
        <w:t>15. a 16. 12. 2021</w:t>
      </w:r>
    </w:p>
    <w:p w:rsidR="0073345C" w:rsidRPr="0048126F" w:rsidRDefault="0073345C" w:rsidP="0073345C">
      <w:pPr>
        <w:jc w:val="both"/>
      </w:pPr>
    </w:p>
    <w:p w:rsidR="0073345C" w:rsidRPr="00373906" w:rsidRDefault="0073345C" w:rsidP="0073345C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10" w:name="_Toc445380606"/>
      <w:r w:rsidRPr="00373906">
        <w:rPr>
          <w:b/>
        </w:rPr>
        <w:t>Datum projednání ve VEZ:</w:t>
      </w:r>
      <w:bookmarkEnd w:id="10"/>
    </w:p>
    <w:p w:rsidR="0073345C" w:rsidRDefault="0073345C" w:rsidP="0073345C">
      <w:pPr>
        <w:jc w:val="both"/>
      </w:pPr>
      <w:r>
        <w:t>18. 1. 2022</w:t>
      </w:r>
      <w:r w:rsidRPr="0048126F">
        <w:t xml:space="preserve"> (1. kolo)</w:t>
      </w:r>
    </w:p>
    <w:p w:rsidR="0073345C" w:rsidRPr="0048126F" w:rsidRDefault="0073345C" w:rsidP="0073345C">
      <w:pPr>
        <w:jc w:val="both"/>
      </w:pPr>
    </w:p>
    <w:p w:rsidR="0073345C" w:rsidRPr="00373906" w:rsidRDefault="0073345C" w:rsidP="0073345C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11" w:name="_Toc445380607"/>
      <w:r w:rsidRPr="00373906">
        <w:rPr>
          <w:b/>
        </w:rPr>
        <w:t>Procedura:</w:t>
      </w:r>
      <w:bookmarkEnd w:id="11"/>
    </w:p>
    <w:p w:rsidR="0073345C" w:rsidRDefault="0073345C" w:rsidP="0073345C">
      <w:pPr>
        <w:jc w:val="both"/>
      </w:pPr>
      <w:r>
        <w:t>Řádný legislativní postup.</w:t>
      </w:r>
    </w:p>
    <w:p w:rsidR="0073345C" w:rsidRPr="0048126F" w:rsidRDefault="0073345C" w:rsidP="0073345C">
      <w:pPr>
        <w:jc w:val="both"/>
      </w:pPr>
    </w:p>
    <w:p w:rsidR="0073345C" w:rsidRPr="00373906" w:rsidRDefault="0073345C" w:rsidP="0073345C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12" w:name="_Toc445380608"/>
      <w:r w:rsidRPr="00373906">
        <w:rPr>
          <w:b/>
        </w:rPr>
        <w:t>Předběžn</w:t>
      </w:r>
      <w:r>
        <w:rPr>
          <w:b/>
        </w:rPr>
        <w:t>á</w:t>
      </w:r>
      <w:r w:rsidRPr="00373906">
        <w:rPr>
          <w:b/>
        </w:rPr>
        <w:t xml:space="preserve"> stanovisk</w:t>
      </w:r>
      <w:r>
        <w:rPr>
          <w:b/>
        </w:rPr>
        <w:t>a</w:t>
      </w:r>
      <w:r w:rsidRPr="00373906">
        <w:rPr>
          <w:b/>
        </w:rPr>
        <w:t xml:space="preserve"> vlády (dle § 109a odst. 1 jednacího řádu PS):</w:t>
      </w:r>
      <w:bookmarkEnd w:id="12"/>
    </w:p>
    <w:p w:rsidR="0073345C" w:rsidRPr="0048126F" w:rsidRDefault="0073345C" w:rsidP="0073345C">
      <w:pPr>
        <w:jc w:val="both"/>
      </w:pPr>
      <w:r w:rsidRPr="0048126F">
        <w:t>Datovan</w:t>
      </w:r>
      <w:r>
        <w:t>á</w:t>
      </w:r>
      <w:r w:rsidRPr="0048126F">
        <w:t xml:space="preserve"> dnem </w:t>
      </w:r>
      <w:r>
        <w:t>14</w:t>
      </w:r>
      <w:r w:rsidRPr="0048126F">
        <w:t xml:space="preserve">. </w:t>
      </w:r>
      <w:r>
        <w:t>2.</w:t>
      </w:r>
      <w:r w:rsidRPr="0048126F">
        <w:t xml:space="preserve"> 20</w:t>
      </w:r>
      <w:r>
        <w:t>22 (kromě stanoviska vlády k návrhu</w:t>
      </w:r>
      <w:r w:rsidRPr="003B26DD">
        <w:t xml:space="preserve"> s</w:t>
      </w:r>
      <w:r>
        <w:t>měrnice Evropského parlamentu a </w:t>
      </w:r>
      <w:r w:rsidRPr="003B26DD">
        <w:t>Rady o energetické náročnosti budov</w:t>
      </w:r>
      <w:r>
        <w:t>, to je datováno 8. 2. 2022)</w:t>
      </w:r>
      <w:r w:rsidRPr="0048126F">
        <w:t>, doručen</w:t>
      </w:r>
      <w:r>
        <w:t>á</w:t>
      </w:r>
      <w:r w:rsidRPr="0048126F">
        <w:t xml:space="preserve"> do v</w:t>
      </w:r>
      <w:r>
        <w:t xml:space="preserve">ýboru pro evropské záležitosti </w:t>
      </w:r>
      <w:r w:rsidRPr="0048126F">
        <w:t xml:space="preserve">dne </w:t>
      </w:r>
      <w:r>
        <w:t>23</w:t>
      </w:r>
      <w:r w:rsidRPr="0048126F">
        <w:t xml:space="preserve">. </w:t>
      </w:r>
      <w:r>
        <w:t xml:space="preserve">2. </w:t>
      </w:r>
      <w:r w:rsidRPr="0048126F">
        <w:t>20</w:t>
      </w:r>
      <w:r>
        <w:t>22</w:t>
      </w:r>
      <w:r w:rsidRPr="0048126F">
        <w:t xml:space="preserve"> prostřednictvím systému ISAP.</w:t>
      </w:r>
    </w:p>
    <w:p w:rsidR="0073345C" w:rsidRPr="0048126F" w:rsidRDefault="0073345C" w:rsidP="0073345C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13" w:name="_Toc445380609"/>
      <w:bookmarkStart w:id="14" w:name="_Toc448302188"/>
      <w:r w:rsidRPr="0048126F">
        <w:t>Hodnocení z hlediska principu</w:t>
      </w:r>
      <w:r w:rsidRPr="00D4776C">
        <w:rPr>
          <w:rStyle w:val="Nadpis1Char"/>
        </w:rPr>
        <w:t xml:space="preserve"> </w:t>
      </w:r>
      <w:r w:rsidRPr="0048126F">
        <w:t>subsidiarity:</w:t>
      </w:r>
      <w:bookmarkEnd w:id="13"/>
      <w:bookmarkEnd w:id="14"/>
    </w:p>
    <w:p w:rsidR="0073345C" w:rsidRDefault="0073345C" w:rsidP="0073345C">
      <w:pPr>
        <w:jc w:val="both"/>
      </w:pPr>
      <w:r>
        <w:t>Bude doplněno po jednání výboru</w:t>
      </w:r>
      <w:r w:rsidRPr="001C13DA">
        <w:t>.</w:t>
      </w:r>
    </w:p>
    <w:p w:rsidR="0073345C" w:rsidRPr="0048126F" w:rsidRDefault="0073345C" w:rsidP="0073345C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15" w:name="_Toc445380610"/>
      <w:bookmarkStart w:id="16" w:name="_Toc448302189"/>
      <w:r w:rsidRPr="0048126F">
        <w:t>Odůvodnění a předmět:</w:t>
      </w:r>
      <w:bookmarkEnd w:id="15"/>
      <w:bookmarkEnd w:id="16"/>
    </w:p>
    <w:p w:rsidR="0073345C" w:rsidRDefault="00084A9E" w:rsidP="00733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120"/>
        <w:jc w:val="both"/>
        <w:rPr>
          <w:szCs w:val="24"/>
        </w:rPr>
      </w:pPr>
      <w:hyperlink r:id="rId10" w:history="1">
        <w:r w:rsidR="0073345C" w:rsidRPr="00B67F0E">
          <w:rPr>
            <w:rStyle w:val="Hypertextovodkaz"/>
            <w:szCs w:val="24"/>
          </w:rPr>
          <w:t>Návrh směrnice Evropského parlamentu a Rady o energetické náročnosti budov</w:t>
        </w:r>
      </w:hyperlink>
      <w:r w:rsidR="0073345C">
        <w:rPr>
          <w:szCs w:val="24"/>
        </w:rPr>
        <w:t xml:space="preserve"> (přepracované znění – dále jen „návrh směrnice o energetické náročnosti budov“) se zaměřuje na</w:t>
      </w:r>
      <w:r w:rsidR="0073345C" w:rsidRPr="00B67F0E">
        <w:rPr>
          <w:szCs w:val="24"/>
        </w:rPr>
        <w:t xml:space="preserve"> snížení e</w:t>
      </w:r>
      <w:r w:rsidR="0073345C">
        <w:rPr>
          <w:szCs w:val="24"/>
        </w:rPr>
        <w:t xml:space="preserve">misí skleníkových plynů z budov, snížení </w:t>
      </w:r>
      <w:r w:rsidR="0073345C" w:rsidRPr="00B67F0E">
        <w:rPr>
          <w:szCs w:val="24"/>
        </w:rPr>
        <w:t xml:space="preserve">konečné spotřeby energie do roku 2030 a stanovení dlouhodobé vize pro budovy k dosažení klimatické neutrality v celé EU do roku 2050. </w:t>
      </w:r>
    </w:p>
    <w:p w:rsidR="0073345C" w:rsidRDefault="00084A9E" w:rsidP="00733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120"/>
        <w:jc w:val="both"/>
        <w:rPr>
          <w:szCs w:val="24"/>
        </w:rPr>
      </w:pPr>
      <w:hyperlink r:id="rId11" w:history="1">
        <w:r w:rsidR="0073345C" w:rsidRPr="00626821">
          <w:rPr>
            <w:rStyle w:val="Hypertextovodkaz"/>
            <w:szCs w:val="24"/>
          </w:rPr>
          <w:t xml:space="preserve">Návrh nařízení Evropského parlamentu a Rady o snižování emisí </w:t>
        </w:r>
        <w:r w:rsidR="0073345C">
          <w:rPr>
            <w:rStyle w:val="Hypertextovodkaz"/>
            <w:szCs w:val="24"/>
          </w:rPr>
          <w:t>metanu v odvětví energetiky a o </w:t>
        </w:r>
        <w:r w:rsidR="0073345C" w:rsidRPr="00626821">
          <w:rPr>
            <w:rStyle w:val="Hypertextovodkaz"/>
            <w:szCs w:val="24"/>
          </w:rPr>
          <w:t>změně nařízení (EU) 2019/942</w:t>
        </w:r>
      </w:hyperlink>
      <w:r w:rsidR="0073345C">
        <w:rPr>
          <w:szCs w:val="24"/>
        </w:rPr>
        <w:t xml:space="preserve"> (dále jen „návrh nařízení o snižování emisí metanu“) obsahuje soubor opatření, která mají zajistit snížení emisí metanu. Stanovuje </w:t>
      </w:r>
      <w:r w:rsidR="0073345C" w:rsidRPr="00443E62">
        <w:rPr>
          <w:szCs w:val="24"/>
        </w:rPr>
        <w:t>pravidla pro přesné měření, vykazování a ověřování emisí metanu v odvětví energetiky v Unii, jakož i pro snižování těchto emisí</w:t>
      </w:r>
      <w:r w:rsidR="0073345C">
        <w:rPr>
          <w:szCs w:val="24"/>
        </w:rPr>
        <w:t>. Tento návrh také stanovuje</w:t>
      </w:r>
      <w:r w:rsidR="0073345C" w:rsidRPr="00443E62">
        <w:rPr>
          <w:szCs w:val="24"/>
        </w:rPr>
        <w:t xml:space="preserve"> pravidla pro nástroje zajišťující</w:t>
      </w:r>
      <w:r w:rsidR="0073345C">
        <w:rPr>
          <w:szCs w:val="24"/>
        </w:rPr>
        <w:t xml:space="preserve"> transparentnost emisí metanu z </w:t>
      </w:r>
      <w:r w:rsidR="0073345C" w:rsidRPr="00443E62">
        <w:rPr>
          <w:szCs w:val="24"/>
        </w:rPr>
        <w:t>dovozu fosilní energie do Unie</w:t>
      </w:r>
      <w:r w:rsidR="0073345C">
        <w:rPr>
          <w:szCs w:val="24"/>
        </w:rPr>
        <w:t>.</w:t>
      </w:r>
    </w:p>
    <w:p w:rsidR="0073345C" w:rsidRDefault="00084A9E" w:rsidP="00733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120"/>
        <w:jc w:val="both"/>
        <w:rPr>
          <w:szCs w:val="24"/>
        </w:rPr>
      </w:pPr>
      <w:hyperlink r:id="rId12" w:history="1">
        <w:r w:rsidR="0073345C" w:rsidRPr="001E2875">
          <w:rPr>
            <w:rStyle w:val="Hypertextovodkaz"/>
            <w:szCs w:val="24"/>
          </w:rPr>
          <w:t>Návrh nařízení Evropského parlamentu a Rady o vnitřním trhu s plyny z obnovitelných zdrojů, se zemním plynem a s vodíkem</w:t>
        </w:r>
      </w:hyperlink>
      <w:r w:rsidR="0073345C" w:rsidRPr="001E2875">
        <w:rPr>
          <w:szCs w:val="24"/>
        </w:rPr>
        <w:t xml:space="preserve"> (přepracované znění</w:t>
      </w:r>
      <w:r w:rsidR="0073345C">
        <w:rPr>
          <w:szCs w:val="24"/>
        </w:rPr>
        <w:t xml:space="preserve"> – dále jen „návrh nařízení o vnitřním trhu s plyny“) a </w:t>
      </w:r>
      <w:hyperlink r:id="rId13" w:history="1">
        <w:r w:rsidR="0073345C" w:rsidRPr="00DD3042">
          <w:rPr>
            <w:rStyle w:val="Hypertextovodkaz"/>
            <w:szCs w:val="24"/>
          </w:rPr>
          <w:t>návrh směrnice Evropského parlamentu a Rady o společných pravidlech pro vnitřní trh s plyny z obnovitelných zdrojů, se zemním plynem a s vodíkem</w:t>
        </w:r>
      </w:hyperlink>
      <w:r w:rsidR="0073345C">
        <w:rPr>
          <w:szCs w:val="24"/>
        </w:rPr>
        <w:t xml:space="preserve"> (dále jen „návrh směrnice o pravidlech pro </w:t>
      </w:r>
      <w:r w:rsidR="0073345C">
        <w:rPr>
          <w:szCs w:val="24"/>
        </w:rPr>
        <w:lastRenderedPageBreak/>
        <w:t xml:space="preserve">vnitřní trh s plyny“) vytvářejí </w:t>
      </w:r>
      <w:r w:rsidR="0073345C" w:rsidRPr="0005454F">
        <w:rPr>
          <w:szCs w:val="24"/>
        </w:rPr>
        <w:t xml:space="preserve">podmínky pro přechod z využívání fosilního zemního plynu na obnovitelné a nízkouhlíkové plyny, zejména biometan a vodík, </w:t>
      </w:r>
      <w:r w:rsidR="0073345C">
        <w:rPr>
          <w:szCs w:val="24"/>
        </w:rPr>
        <w:t>čímž by měly</w:t>
      </w:r>
      <w:r w:rsidR="0073345C" w:rsidRPr="0005454F">
        <w:rPr>
          <w:szCs w:val="24"/>
        </w:rPr>
        <w:t xml:space="preserve"> </w:t>
      </w:r>
      <w:r w:rsidR="0073345C">
        <w:rPr>
          <w:szCs w:val="24"/>
        </w:rPr>
        <w:t>zajistit</w:t>
      </w:r>
      <w:r w:rsidR="0073345C" w:rsidRPr="0005454F">
        <w:rPr>
          <w:szCs w:val="24"/>
        </w:rPr>
        <w:t xml:space="preserve"> vyšší odolnost celé plynárenské soustavy.</w:t>
      </w:r>
    </w:p>
    <w:p w:rsidR="0073345C" w:rsidRDefault="0073345C" w:rsidP="0073345C">
      <w:pPr>
        <w:spacing w:after="120"/>
        <w:jc w:val="both"/>
      </w:pPr>
      <w:r>
        <w:t>Komise v roce 2019</w:t>
      </w:r>
      <w:r w:rsidRPr="00B93027">
        <w:t xml:space="preserve"> ve sdělení </w:t>
      </w:r>
      <w:hyperlink r:id="rId14" w:history="1">
        <w:r w:rsidRPr="00B93027">
          <w:rPr>
            <w:rStyle w:val="Hypertextovodkaz"/>
          </w:rPr>
          <w:t>Zelená dohoda pro Evropu</w:t>
        </w:r>
      </w:hyperlink>
      <w:r>
        <w:t xml:space="preserve"> oznámila cíl </w:t>
      </w:r>
      <w:r w:rsidRPr="00155A47">
        <w:t xml:space="preserve">do roku 2050 dosáhnout klimatické neutrality. </w:t>
      </w:r>
      <w:r>
        <w:t>Cíl s</w:t>
      </w:r>
      <w:r w:rsidRPr="00155A47">
        <w:t>nížení čistých emisí skleníkových plynů do roku 2030 alespo</w:t>
      </w:r>
      <w:r>
        <w:t>ň o 55 % ve srovnání s úrovní z </w:t>
      </w:r>
      <w:r w:rsidRPr="00155A47">
        <w:t>roku 1990</w:t>
      </w:r>
      <w:r>
        <w:t xml:space="preserve"> a c</w:t>
      </w:r>
      <w:r w:rsidRPr="00155A47">
        <w:t>íl dosáhnout do roku 2050 klimatické neutrality </w:t>
      </w:r>
      <w:r>
        <w:t>byly následně kodifikovány v červnu roku 2021 v </w:t>
      </w:r>
      <w:hyperlink r:id="rId15" w:history="1">
        <w:r w:rsidRPr="00155A47">
          <w:rPr>
            <w:rStyle w:val="Hypertextovodkaz"/>
          </w:rPr>
          <w:t>Evropském právním rámci pro klima</w:t>
        </w:r>
      </w:hyperlink>
      <w:r>
        <w:t xml:space="preserve">. Za účelem realizace Zelené dohody pro Evropu představila Komise v červenci roku 2021 sérii návrhů v rámci balíčku </w:t>
      </w:r>
      <w:hyperlink r:id="rId16" w:history="1">
        <w:r w:rsidRPr="00F108E0">
          <w:rPr>
            <w:rStyle w:val="Hypertextovodkaz"/>
          </w:rPr>
          <w:t>„Fit for 55“</w:t>
        </w:r>
      </w:hyperlink>
      <w:r>
        <w:t xml:space="preserve">. </w:t>
      </w:r>
    </w:p>
    <w:p w:rsidR="0073345C" w:rsidRDefault="0073345C" w:rsidP="0073345C">
      <w:pPr>
        <w:spacing w:after="120"/>
        <w:jc w:val="both"/>
      </w:pPr>
      <w:r>
        <w:t xml:space="preserve">Ústředními </w:t>
      </w:r>
      <w:r w:rsidRPr="00560898">
        <w:t>body balíčku</w:t>
      </w:r>
      <w:r>
        <w:t xml:space="preserve"> </w:t>
      </w:r>
      <w:r w:rsidRPr="00560898">
        <w:t xml:space="preserve">Fit for 55 </w:t>
      </w:r>
      <w:r>
        <w:t>jsou</w:t>
      </w:r>
      <w:r w:rsidRPr="00560898">
        <w:t xml:space="preserve"> rozšíření a posílení systému EU ETS, navržení uhlíkového cla, zdanění leteckého paliva, navýšení cílů pro podíl obnovitelných zdrojů energie a pro energetickou účinnost, nová pravidla pro emise z osobních automobilů a dodávek či zřízení sociálního klimatického fondu.</w:t>
      </w:r>
      <w:r>
        <w:t xml:space="preserve"> Níže uvedené návrhy tyto dříve zveřejněné návrhy doplňují. </w:t>
      </w:r>
    </w:p>
    <w:p w:rsidR="0073345C" w:rsidRDefault="0073345C" w:rsidP="0073345C">
      <w:pPr>
        <w:spacing w:after="120"/>
        <w:jc w:val="both"/>
      </w:pPr>
      <w:r>
        <w:t xml:space="preserve">Problematika </w:t>
      </w:r>
      <w:r w:rsidRPr="00A95B8B">
        <w:rPr>
          <w:b/>
        </w:rPr>
        <w:t>energetické náročnosti budov</w:t>
      </w:r>
      <w:r>
        <w:t xml:space="preserve"> je v současnosti upravena </w:t>
      </w:r>
      <w:hyperlink r:id="rId17" w:history="1">
        <w:r w:rsidRPr="00657F20">
          <w:rPr>
            <w:rStyle w:val="Hypertextovodkaz"/>
          </w:rPr>
          <w:t>směrnicí Evropského parlamentu a Rady 2010/31/EU ze dne 19. května 2010 o energetické náročnosti budov</w:t>
        </w:r>
      </w:hyperlink>
      <w:r>
        <w:t xml:space="preserve">, která byla následně v roce 2018 změněna </w:t>
      </w:r>
      <w:hyperlink r:id="rId18" w:history="1">
        <w:r w:rsidRPr="00657F20">
          <w:rPr>
            <w:rStyle w:val="Hypertextovodkaz"/>
          </w:rPr>
          <w:t>směrnicí</w:t>
        </w:r>
      </w:hyperlink>
      <w:r>
        <w:rPr>
          <w:rStyle w:val="Znakapoznpodarou"/>
        </w:rPr>
        <w:footnoteReference w:id="1"/>
      </w:r>
      <w:r w:rsidRPr="00657F20">
        <w:t xml:space="preserve"> </w:t>
      </w:r>
      <w:r>
        <w:t xml:space="preserve">a </w:t>
      </w:r>
      <w:hyperlink r:id="rId19" w:history="1">
        <w:r w:rsidRPr="00657F20">
          <w:rPr>
            <w:rStyle w:val="Hypertextovodkaz"/>
          </w:rPr>
          <w:t>nařízením</w:t>
        </w:r>
      </w:hyperlink>
      <w:r>
        <w:t>.</w:t>
      </w:r>
      <w:r>
        <w:rPr>
          <w:rStyle w:val="Znakapoznpodarou"/>
        </w:rPr>
        <w:footnoteReference w:id="2"/>
      </w:r>
      <w:r>
        <w:t xml:space="preserve"> Nyní předložený návrh směrnice o energetické náročnosti budov by měl aktuálně platnou úpravu zcela nahradit. </w:t>
      </w:r>
      <w:r w:rsidRPr="0050413A">
        <w:t xml:space="preserve">Návrh je </w:t>
      </w:r>
      <w:r>
        <w:t xml:space="preserve">dle Komise </w:t>
      </w:r>
      <w:r w:rsidRPr="0050413A">
        <w:t>důležitý, protože na budovy připadá 40 % spotře</w:t>
      </w:r>
      <w:r>
        <w:t>bované energie a 36 % přímých a </w:t>
      </w:r>
      <w:r w:rsidRPr="0050413A">
        <w:t xml:space="preserve">nepřímých emisí skleníkových plynů souvisejících s energií. </w:t>
      </w:r>
      <w:r w:rsidRPr="00D6354D">
        <w:rPr>
          <w:b/>
        </w:rPr>
        <w:t>Vytápění, chlazení a příprava teplé vody představují v EU 80 % energie, kterou domácnosti spotřebovávají.</w:t>
      </w:r>
      <w:r>
        <w:t xml:space="preserve"> Dle Komise je</w:t>
      </w:r>
      <w:r w:rsidRPr="0050413A">
        <w:t xml:space="preserve"> </w:t>
      </w:r>
      <w:r>
        <w:t xml:space="preserve">proto </w:t>
      </w:r>
      <w:r w:rsidRPr="0050413A">
        <w:t xml:space="preserve">třeba renovovat budovy v EU, aby byly energeticky účinnější a méně závislé na fosilních palivech. </w:t>
      </w:r>
      <w:r>
        <w:t xml:space="preserve">Návrh revize směrnice o energetické náročnosti budov navazuje na strategii Komise z října roku 2020 </w:t>
      </w:r>
      <w:hyperlink r:id="rId20" w:history="1">
        <w:r w:rsidRPr="001C075C">
          <w:rPr>
            <w:rStyle w:val="Hypertextovodkaz"/>
          </w:rPr>
          <w:t>Renovační vlna pro Evropu</w:t>
        </w:r>
      </w:hyperlink>
      <w:r>
        <w:t xml:space="preserve">. Cílem této strategie je mimo jiné </w:t>
      </w:r>
      <w:r w:rsidRPr="001C075C">
        <w:t>do roku 2030 alespoň zdvojnásobit roční míru renovací budov.</w:t>
      </w:r>
    </w:p>
    <w:p w:rsidR="0073345C" w:rsidRDefault="0073345C" w:rsidP="0073345C">
      <w:pPr>
        <w:spacing w:after="120"/>
        <w:jc w:val="both"/>
      </w:pPr>
      <w:r w:rsidRPr="000F5915">
        <w:rPr>
          <w:b/>
        </w:rPr>
        <w:t>Návrh nařízení o snižování emisí metanu</w:t>
      </w:r>
      <w:r>
        <w:t xml:space="preserve"> vychází ze </w:t>
      </w:r>
      <w:hyperlink r:id="rId21" w:history="1">
        <w:r w:rsidRPr="00F108E0">
          <w:rPr>
            <w:rStyle w:val="Hypertextovodkaz"/>
          </w:rPr>
          <w:t>sdělení Komise o strategii EU ke snížení emisí metanu</w:t>
        </w:r>
      </w:hyperlink>
      <w:r>
        <w:t xml:space="preserve">, které bylo vydáno v říjnu roku 2020. Dle tohoto sdělení </w:t>
      </w:r>
      <w:r w:rsidRPr="00EB3094">
        <w:t>pochází</w:t>
      </w:r>
      <w:r>
        <w:t xml:space="preserve"> v EU</w:t>
      </w:r>
      <w:r w:rsidRPr="00EB3094">
        <w:t xml:space="preserve"> 53 % antropogenních emisí metanu ze zemědělství, 26 % z odpadů a 19 % </w:t>
      </w:r>
      <w:r>
        <w:t xml:space="preserve">právě </w:t>
      </w:r>
      <w:r w:rsidRPr="00EB3094">
        <w:t>z</w:t>
      </w:r>
      <w:r>
        <w:t> </w:t>
      </w:r>
      <w:r w:rsidRPr="00EB3094">
        <w:t>energetiky</w:t>
      </w:r>
      <w:r>
        <w:t xml:space="preserve">. </w:t>
      </w:r>
      <w:r w:rsidRPr="00443E62">
        <w:t xml:space="preserve">Metan, který je hlavní složkou zemního plynu, je po oxidu uhličitém druhým nejvýznamnějším skleníkovým plynem z pohledu celkového působení na změnu klimatu a zapříčiňuje přibližně třetinu současného oteplování klimatu. </w:t>
      </w:r>
      <w:r>
        <w:t xml:space="preserve">Snížení emisí se řeší také na celosvětové úrovni. Ke snížení emisi metanu se v rámci </w:t>
      </w:r>
      <w:hyperlink r:id="rId22" w:history="1">
        <w:r w:rsidRPr="00EA02BB">
          <w:rPr>
            <w:rStyle w:val="Hypertextovodkaz"/>
          </w:rPr>
          <w:t>Global Methane Pledge</w:t>
        </w:r>
      </w:hyperlink>
      <w:r>
        <w:t xml:space="preserve"> přihlásilo na Konferenci</w:t>
      </w:r>
      <w:r w:rsidRPr="00EA02BB">
        <w:t xml:space="preserve"> OSN o změně klimatu (COP26)</w:t>
      </w:r>
      <w:r>
        <w:t xml:space="preserve"> v listopadu 2021 přes 100 států, konkrétně se přihlásily</w:t>
      </w:r>
      <w:r w:rsidRPr="00EA02BB">
        <w:t xml:space="preserve"> k cíli snížit do roku 2030 úniky metanu do atmosféry o 30 % oproti roku 2020.</w:t>
      </w:r>
    </w:p>
    <w:p w:rsidR="0073345C" w:rsidRDefault="0073345C" w:rsidP="0073345C">
      <w:pPr>
        <w:spacing w:after="120"/>
        <w:jc w:val="both"/>
      </w:pPr>
      <w:r w:rsidRPr="00D6354D">
        <w:t>Navrhované</w:t>
      </w:r>
      <w:r w:rsidRPr="005046DA">
        <w:rPr>
          <w:b/>
        </w:rPr>
        <w:t xml:space="preserve"> nařízení o vnitřním trhu s plyny</w:t>
      </w:r>
      <w:r>
        <w:t xml:space="preserve"> by mělo nahradit stávající </w:t>
      </w:r>
      <w:hyperlink r:id="rId23" w:history="1">
        <w:r w:rsidRPr="005046DA">
          <w:rPr>
            <w:rStyle w:val="Hypertextovodkaz"/>
          </w:rPr>
          <w:t>nařízení Evropského parlamentu a Rady (ES) č. 715/2009 ze dne 13. července 2009 o podmínkách přístupu k</w:t>
        </w:r>
        <w:r>
          <w:rPr>
            <w:rStyle w:val="Hypertextovodkaz"/>
          </w:rPr>
          <w:t> </w:t>
        </w:r>
        <w:r w:rsidRPr="005046DA">
          <w:rPr>
            <w:rStyle w:val="Hypertextovodkaz"/>
          </w:rPr>
          <w:t>plynárenským přepravním soustavám</w:t>
        </w:r>
      </w:hyperlink>
      <w:r>
        <w:t xml:space="preserve">. </w:t>
      </w:r>
      <w:r w:rsidRPr="00AF5CD4">
        <w:rPr>
          <w:b/>
        </w:rPr>
        <w:t>Směrnice o společných pravidlech pro vnitřní trh s plyny</w:t>
      </w:r>
      <w:r>
        <w:t xml:space="preserve"> by měla </w:t>
      </w:r>
      <w:hyperlink r:id="rId24" w:history="1">
        <w:r>
          <w:rPr>
            <w:rStyle w:val="Hypertextovodkaz"/>
          </w:rPr>
          <w:t>směrnici Evropského parlamentu a Rady 2009/73/ES ze dne 13. července 2009 o společných pravidlech pro vnitřní trh se zemním plynem</w:t>
        </w:r>
      </w:hyperlink>
      <w:r>
        <w:t>.</w:t>
      </w:r>
      <w:r w:rsidRPr="006B14E7">
        <w:t xml:space="preserve"> </w:t>
      </w:r>
      <w:r>
        <w:t>Oba nyní platné předpisy, tedy nařízení a směrnice, byly v minulosti několikrát novelizovány, proto bylo přistoupeno k jejich přepracování. Tento balíček</w:t>
      </w:r>
      <w:r w:rsidRPr="00AF5CD4">
        <w:t xml:space="preserve"> opatření pro trhy s vodíkem a dekarbonizovaným plynem</w:t>
      </w:r>
      <w:r>
        <w:t xml:space="preserve"> by měl dle Komise umožnit, aby</w:t>
      </w:r>
      <w:r w:rsidRPr="0053515A">
        <w:t xml:space="preserve"> se na trhu dekarbonizovala spotřeba plynu</w:t>
      </w:r>
      <w:r>
        <w:t>.</w:t>
      </w:r>
      <w:r w:rsidRPr="0053515A">
        <w:t xml:space="preserve"> </w:t>
      </w:r>
      <w:r>
        <w:t>Zároveň jsou předkládána politická opatření nezbytná k </w:t>
      </w:r>
      <w:r w:rsidRPr="0053515A">
        <w:t>tomu, aby se mohl podporovat vznik optimální a special</w:t>
      </w:r>
      <w:r>
        <w:t>izované infrastruktury, jakož i </w:t>
      </w:r>
      <w:r w:rsidRPr="0053515A">
        <w:t>účinných trhů.</w:t>
      </w:r>
      <w:r>
        <w:t xml:space="preserve"> Za </w:t>
      </w:r>
      <w:r w:rsidRPr="00D6354D">
        <w:rPr>
          <w:b/>
        </w:rPr>
        <w:t>obnovitelné plyny</w:t>
      </w:r>
      <w:r w:rsidRPr="00AF5CD4">
        <w:t xml:space="preserve"> </w:t>
      </w:r>
      <w:r>
        <w:t>je možné označit</w:t>
      </w:r>
      <w:r w:rsidRPr="00AF5CD4">
        <w:t xml:space="preserve"> plyny vyráběné z biomasy (včetně biometanu) a vodík vyrobený z obnovitelných zdrojů. </w:t>
      </w:r>
      <w:r>
        <w:t xml:space="preserve">Za </w:t>
      </w:r>
      <w:r w:rsidRPr="00D6354D">
        <w:rPr>
          <w:b/>
        </w:rPr>
        <w:lastRenderedPageBreak/>
        <w:t>nízkouhlíkové plyn</w:t>
      </w:r>
      <w:r w:rsidRPr="00AF5CD4">
        <w:t xml:space="preserve">y </w:t>
      </w:r>
      <w:r>
        <w:t>je možné označit</w:t>
      </w:r>
      <w:r w:rsidRPr="00AF5CD4">
        <w:t xml:space="preserve"> plyny, které produkují během celého sv</w:t>
      </w:r>
      <w:r>
        <w:t>ého životního cyklu minimálně o </w:t>
      </w:r>
      <w:r w:rsidRPr="00AF5CD4">
        <w:t>70 % méně emisí skleníkových plynů než zemní plyn, tedy plyn fosilního původu.</w:t>
      </w:r>
      <w:r>
        <w:rPr>
          <w:rStyle w:val="Znakapoznpodarou"/>
        </w:rPr>
        <w:footnoteReference w:id="3"/>
      </w:r>
    </w:p>
    <w:p w:rsidR="0073345C" w:rsidRDefault="0073345C" w:rsidP="0073345C">
      <w:pPr>
        <w:jc w:val="both"/>
      </w:pPr>
    </w:p>
    <w:p w:rsidR="0073345C" w:rsidRPr="0048126F" w:rsidRDefault="0073345C" w:rsidP="0073345C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17" w:name="_Toc445380611"/>
      <w:bookmarkStart w:id="18" w:name="_Toc448302190"/>
      <w:r w:rsidRPr="0048126F">
        <w:t xml:space="preserve">Obsah a </w:t>
      </w:r>
      <w:r w:rsidRPr="00134640">
        <w:t>dopad</w:t>
      </w:r>
      <w:r w:rsidRPr="0048126F">
        <w:t>:</w:t>
      </w:r>
      <w:bookmarkEnd w:id="17"/>
      <w:bookmarkEnd w:id="18"/>
    </w:p>
    <w:p w:rsidR="0073345C" w:rsidRDefault="00084A9E" w:rsidP="0073345C">
      <w:pPr>
        <w:spacing w:after="120"/>
        <w:rPr>
          <w:rStyle w:val="Hypertextovodkaz"/>
          <w:szCs w:val="24"/>
        </w:rPr>
      </w:pPr>
      <w:hyperlink r:id="rId25" w:history="1">
        <w:r w:rsidR="0073345C" w:rsidRPr="00B67F0E">
          <w:rPr>
            <w:rStyle w:val="Hypertextovodkaz"/>
            <w:szCs w:val="24"/>
          </w:rPr>
          <w:t>Návrh směrnice o energetické náročnosti budov</w:t>
        </w:r>
      </w:hyperlink>
    </w:p>
    <w:p w:rsidR="0073345C" w:rsidRDefault="0073345C" w:rsidP="0073345C">
      <w:pPr>
        <w:spacing w:after="120"/>
        <w:jc w:val="both"/>
      </w:pPr>
      <w:r>
        <w:t xml:space="preserve">Oproti současné právní úpravě jsou v návrhu směrnice nově přidány některé definice. Jedná se například o definici </w:t>
      </w:r>
      <w:r w:rsidRPr="00280328">
        <w:rPr>
          <w:b/>
        </w:rPr>
        <w:t xml:space="preserve">budovy s nulovými emisemi </w:t>
      </w:r>
      <w:r>
        <w:t xml:space="preserve">(čl. 2). Dle návrhu směrnice budou muset členské státy vypracovat </w:t>
      </w:r>
      <w:r w:rsidRPr="00DE3454">
        <w:rPr>
          <w:b/>
        </w:rPr>
        <w:t>vnitrostátní plány renovace budov</w:t>
      </w:r>
      <w:r>
        <w:t>, tak</w:t>
      </w:r>
      <w:r w:rsidRPr="008C25B9">
        <w:t xml:space="preserve"> aby nejpozději v roce </w:t>
      </w:r>
      <w:r w:rsidRPr="008C25B9">
        <w:rPr>
          <w:u w:val="single"/>
        </w:rPr>
        <w:t>2050 disponovaly energeticky vysoce účinným fondem budov bez emisí uhlíku</w:t>
      </w:r>
      <w:r>
        <w:rPr>
          <w:b/>
        </w:rPr>
        <w:t xml:space="preserve"> </w:t>
      </w:r>
      <w:r>
        <w:t xml:space="preserve">(čl. 3). </w:t>
      </w:r>
    </w:p>
    <w:p w:rsidR="0073345C" w:rsidRDefault="0073345C" w:rsidP="0073345C">
      <w:pPr>
        <w:spacing w:after="120"/>
        <w:jc w:val="both"/>
      </w:pPr>
      <w:r>
        <w:t xml:space="preserve">Čl. 7 návrhu upravuje pravidla pro </w:t>
      </w:r>
      <w:r>
        <w:rPr>
          <w:b/>
        </w:rPr>
        <w:t>nové budovy</w:t>
      </w:r>
      <w:r>
        <w:t xml:space="preserve">. Všechny nové budovy, které budou postaveny od roku 2030, budou muset být stavěny jako budovy s nulovými emisemi. Nové budovy, které užívají nebo vlastní orgány veřejné moci, budou muset být jako nulově emisní budovy stavěny už od roku 2027. </w:t>
      </w:r>
    </w:p>
    <w:p w:rsidR="0073345C" w:rsidRDefault="0073345C" w:rsidP="0073345C">
      <w:pPr>
        <w:spacing w:after="120"/>
        <w:jc w:val="both"/>
      </w:pPr>
      <w:r>
        <w:t xml:space="preserve">Pravidla jsou upravena i pro </w:t>
      </w:r>
      <w:r w:rsidRPr="00280328">
        <w:rPr>
          <w:b/>
        </w:rPr>
        <w:t>již postavené budovy</w:t>
      </w:r>
      <w:r>
        <w:t>. Budovy ve vlastnictví veřejných orgánů a nerezidenční budovy budou muset do roku 2027 dosáhnout alespoň třídy energetické náročnosti F a do roku 2030 třídy E. U obytných budov jsou cíle posunuty o tři roky (alespoň třída F do roku 2030 a třída E do roku 2033).</w:t>
      </w:r>
    </w:p>
    <w:p w:rsidR="0073345C" w:rsidRDefault="0073345C" w:rsidP="0073345C">
      <w:pPr>
        <w:spacing w:after="120"/>
        <w:jc w:val="both"/>
      </w:pPr>
      <w:r>
        <w:t xml:space="preserve">Dále budou upravena </w:t>
      </w:r>
      <w:r w:rsidRPr="009C7102">
        <w:rPr>
          <w:b/>
        </w:rPr>
        <w:t>pravidla pro infrastrukturu pro udržitelnou mobilitu</w:t>
      </w:r>
      <w:r>
        <w:t xml:space="preserve">. Dle čl. 12 je například nově rozšířena povinnost instalace dobíjecích stanic u některých budov, zároveň je také pro některé budovy nově zavedena povinnost instalace kabeláže pro možnou budoucí instalaci dobíjecích stanic pro elektromobily. </w:t>
      </w:r>
    </w:p>
    <w:p w:rsidR="0073345C" w:rsidRDefault="0073345C" w:rsidP="0073345C">
      <w:pPr>
        <w:spacing w:after="120"/>
        <w:jc w:val="both"/>
      </w:pPr>
      <w:r>
        <w:t xml:space="preserve">V návrhu směrnice je nově uvedeno ustanovení ohledně </w:t>
      </w:r>
      <w:r w:rsidRPr="00CD4160">
        <w:rPr>
          <w:b/>
        </w:rPr>
        <w:t>výměny údajů</w:t>
      </w:r>
      <w:r>
        <w:t xml:space="preserve"> (čl. 14) Členské státy by měly zajistit, aby vlastníci, nájemci a správci budov měli přímý přístup k údajům svých systémů budov. </w:t>
      </w:r>
    </w:p>
    <w:p w:rsidR="0073345C" w:rsidRDefault="0073345C" w:rsidP="0073345C">
      <w:pPr>
        <w:spacing w:after="120"/>
        <w:jc w:val="both"/>
      </w:pPr>
      <w:r>
        <w:t xml:space="preserve">Nově návrh také podrobněji upravuje </w:t>
      </w:r>
      <w:r w:rsidRPr="00E941F4">
        <w:rPr>
          <w:b/>
        </w:rPr>
        <w:t>poskytování finančních pobídek</w:t>
      </w:r>
      <w:r>
        <w:t xml:space="preserve"> (čl. 15). </w:t>
      </w:r>
      <w:r w:rsidRPr="00CB7867">
        <w:t xml:space="preserve">Členské státy </w:t>
      </w:r>
      <w:r>
        <w:t>by dle tohoto článku měly zajistit</w:t>
      </w:r>
      <w:r w:rsidRPr="00CB7867">
        <w:t xml:space="preserve"> odpovídající financování, podpůrná opatření a další nástroje schopné řešit překážky trhu a stimulovat nezbytné inve</w:t>
      </w:r>
      <w:r>
        <w:t>stice do energetických renovací v souladu s </w:t>
      </w:r>
      <w:r w:rsidRPr="00DD5C66">
        <w:t>vnitrostátním plánem renovace budov a za účelem transfor</w:t>
      </w:r>
      <w:r>
        <w:t>mace fondu budov na budovy s </w:t>
      </w:r>
      <w:r w:rsidRPr="00DD5C66">
        <w:t>nulovými emisemi do roku 2050.</w:t>
      </w:r>
      <w:r>
        <w:t xml:space="preserve"> </w:t>
      </w:r>
      <w:r w:rsidRPr="00E941F4">
        <w:t>Členské státy</w:t>
      </w:r>
      <w:r>
        <w:t xml:space="preserve"> by měly, mimo jiné, podporovat </w:t>
      </w:r>
      <w:r w:rsidRPr="00E941F4">
        <w:t>prostřednictvím vyšší finanční, fiskální, administrativní a technické podpory</w:t>
      </w:r>
      <w:r>
        <w:t xml:space="preserve"> </w:t>
      </w:r>
      <w:r w:rsidRPr="00E941F4">
        <w:t>renovace</w:t>
      </w:r>
      <w:r>
        <w:t xml:space="preserve">, které </w:t>
      </w:r>
      <w:r w:rsidRPr="00E941F4">
        <w:t xml:space="preserve">vedou k celkovému snížení spotřeby </w:t>
      </w:r>
      <w:r>
        <w:t>primární energie alespoň o 30 %</w:t>
      </w:r>
      <w:r w:rsidRPr="00E941F4">
        <w:t>.</w:t>
      </w:r>
      <w:r>
        <w:t xml:space="preserve"> </w:t>
      </w:r>
      <w:r w:rsidRPr="00280328">
        <w:rPr>
          <w:u w:val="single"/>
        </w:rPr>
        <w:t>Finanční</w:t>
      </w:r>
      <w:r>
        <w:rPr>
          <w:u w:val="single"/>
        </w:rPr>
        <w:t xml:space="preserve"> pobídky</w:t>
      </w:r>
      <w:r w:rsidRPr="00280328">
        <w:rPr>
          <w:u w:val="single"/>
        </w:rPr>
        <w:t xml:space="preserve"> na instalaci kotlů na fosilní paliva nebudou moci být členskými státy poskytovány po 1. lednu 2027</w:t>
      </w:r>
      <w:r>
        <w:t>.</w:t>
      </w:r>
    </w:p>
    <w:p w:rsidR="0073345C" w:rsidRDefault="0073345C" w:rsidP="0073345C">
      <w:pPr>
        <w:spacing w:after="120"/>
        <w:jc w:val="both"/>
      </w:pPr>
      <w:r>
        <w:t xml:space="preserve">Následně se návrh směrnice věnuje </w:t>
      </w:r>
      <w:r w:rsidRPr="00E27F84">
        <w:rPr>
          <w:b/>
        </w:rPr>
        <w:t>certifikátům (průkazům) energetické náročnosti budov</w:t>
      </w:r>
      <w:r>
        <w:t xml:space="preserve"> (čl. 16-18). Nově bude podoba certifikátů v rámci EU harmonizována.</w:t>
      </w:r>
      <w:r w:rsidRPr="00E27F84">
        <w:t xml:space="preserve"> </w:t>
      </w:r>
    </w:p>
    <w:p w:rsidR="0073345C" w:rsidRDefault="0073345C" w:rsidP="0073345C">
      <w:pPr>
        <w:spacing w:after="120"/>
        <w:jc w:val="both"/>
      </w:pPr>
      <w:r>
        <w:t>Do konce roku</w:t>
      </w:r>
      <w:r w:rsidRPr="00E27F84">
        <w:t xml:space="preserve"> 2025</w:t>
      </w:r>
      <w:r>
        <w:t xml:space="preserve"> musí členské státy </w:t>
      </w:r>
      <w:r w:rsidRPr="00D77BDA">
        <w:rPr>
          <w:u w:val="single"/>
        </w:rPr>
        <w:t>vydávat certifikáty energetické náročnosti v souladu se vzorem stanoveným v příloze V návrhu směrnice</w:t>
      </w:r>
      <w:r w:rsidRPr="00E27F84">
        <w:t>.</w:t>
      </w:r>
      <w:r>
        <w:t xml:space="preserve"> Dle tohoto vzoru bude certifikát uvádět</w:t>
      </w:r>
      <w:r w:rsidRPr="00E27F84">
        <w:t xml:space="preserve"> třídu energetické náročnosti budovy na uzavřené stupnici používající písmena od A do G. Písmeno A </w:t>
      </w:r>
      <w:r>
        <w:t>bude odpovídat budovám s </w:t>
      </w:r>
      <w:r w:rsidRPr="00E27F84">
        <w:t xml:space="preserve">nulovými emisemi a písmeno G </w:t>
      </w:r>
      <w:r>
        <w:t>bude odpovídat</w:t>
      </w:r>
      <w:r w:rsidRPr="00E27F84">
        <w:t xml:space="preserve"> </w:t>
      </w:r>
      <w:r>
        <w:t>15 % energeticky nejnáročnějších</w:t>
      </w:r>
      <w:r w:rsidRPr="00E27F84">
        <w:t xml:space="preserve"> budov ve vnitrostátním fondu budov v době zavedení stupnice. Členské státy </w:t>
      </w:r>
      <w:r>
        <w:t xml:space="preserve">budou muset zajistit, aby u zbývajících tříd energetické náročnosti </w:t>
      </w:r>
      <w:r w:rsidRPr="00E27F84">
        <w:t xml:space="preserve">(B až F) byly ukazatele energetické náročnosti pro jednotlivé třídy rovnoměrně rozděleny do pásem. </w:t>
      </w:r>
      <w:r>
        <w:t xml:space="preserve"> U budov s třídou energetické náročnosti D-G je nově platnost certifikátu pouze pět let, u ostatních tříd zůstává platnost deset let, stejně jako u stávající úpravy.</w:t>
      </w:r>
    </w:p>
    <w:p w:rsidR="0073345C" w:rsidRDefault="0073345C" w:rsidP="0073345C">
      <w:pPr>
        <w:spacing w:after="120"/>
        <w:jc w:val="both"/>
      </w:pPr>
      <w:r>
        <w:lastRenderedPageBreak/>
        <w:t xml:space="preserve">Dojde k rozšíření budov, u kterých se certifikát vydává, nově budou certifikát muset mít například i budovy procházející větší renovací (čl. 17). </w:t>
      </w:r>
      <w:r w:rsidRPr="00843D11">
        <w:t xml:space="preserve">Každý členský stát </w:t>
      </w:r>
      <w:r>
        <w:t xml:space="preserve">bude také dle návrhu muset zřídit </w:t>
      </w:r>
      <w:r w:rsidRPr="00843D11">
        <w:t>vnitrostátní databázi energetické náročnosti budov</w:t>
      </w:r>
      <w:r>
        <w:t xml:space="preserve"> (čl. 19).</w:t>
      </w:r>
    </w:p>
    <w:p w:rsidR="0073345C" w:rsidRDefault="0073345C" w:rsidP="0073345C">
      <w:pPr>
        <w:spacing w:after="120"/>
        <w:jc w:val="both"/>
      </w:pPr>
      <w:r>
        <w:t xml:space="preserve">U povinnosti přijmout opatření zajišťující </w:t>
      </w:r>
      <w:r w:rsidRPr="00591615">
        <w:rPr>
          <w:b/>
        </w:rPr>
        <w:t>informování vlastníků a nájemců budov</w:t>
      </w:r>
      <w:r>
        <w:t xml:space="preserve"> (čl. 26) je nově výslovně zdůrazněno </w:t>
      </w:r>
      <w:r w:rsidRPr="009C7102">
        <w:t>poskytování individualizovaných informací zranitelným domácnostem</w:t>
      </w:r>
      <w:r>
        <w:t xml:space="preserve">. </w:t>
      </w:r>
    </w:p>
    <w:p w:rsidR="0073345C" w:rsidRDefault="0073345C" w:rsidP="0073345C">
      <w:pPr>
        <w:jc w:val="both"/>
        <w:rPr>
          <w:i/>
          <w:u w:val="single"/>
        </w:rPr>
      </w:pPr>
      <w:r w:rsidRPr="00290008">
        <w:rPr>
          <w:i/>
          <w:u w:val="single"/>
        </w:rPr>
        <w:t>Dopad na státní rozpočet a právní řád ČR:</w:t>
      </w:r>
    </w:p>
    <w:p w:rsidR="0073345C" w:rsidRDefault="0073345C" w:rsidP="0073345C">
      <w:pPr>
        <w:jc w:val="both"/>
      </w:pPr>
      <w:r>
        <w:t xml:space="preserve">Konkrétní dopady na státní rozpočet nelze určit, lze očekávat významné náklady v souvislosti s poskytováním finančních pobídek na podporu renovací. Z hlediska dopadu na právní řád lze očekávat změny </w:t>
      </w:r>
      <w:r w:rsidRPr="007309B0">
        <w:t>zákona č. 406/2000 Sb., o hospodaření energií</w:t>
      </w:r>
      <w:r>
        <w:t xml:space="preserve">, ve znění pozdějších předpisů, </w:t>
      </w:r>
      <w:r w:rsidRPr="007309B0">
        <w:t>zákon</w:t>
      </w:r>
      <w:r>
        <w:t xml:space="preserve">a </w:t>
      </w:r>
      <w:r w:rsidRPr="007309B0">
        <w:t xml:space="preserve">č. 283/2021 </w:t>
      </w:r>
      <w:r>
        <w:t xml:space="preserve">Sb., </w:t>
      </w:r>
      <w:r w:rsidRPr="007309B0">
        <w:t>stavební zákon</w:t>
      </w:r>
      <w:r>
        <w:t xml:space="preserve"> a dalších souvisejících předpisů. </w:t>
      </w:r>
    </w:p>
    <w:p w:rsidR="0073345C" w:rsidRDefault="0073345C" w:rsidP="0073345C">
      <w:pPr>
        <w:jc w:val="both"/>
      </w:pPr>
    </w:p>
    <w:p w:rsidR="0073345C" w:rsidRDefault="00084A9E" w:rsidP="0073345C">
      <w:hyperlink r:id="rId26" w:history="1">
        <w:r w:rsidR="0073345C" w:rsidRPr="00EB3094">
          <w:rPr>
            <w:rStyle w:val="Hypertextovodkaz"/>
          </w:rPr>
          <w:t>Návrh nařízení o snižování emisí metanu</w:t>
        </w:r>
      </w:hyperlink>
    </w:p>
    <w:p w:rsidR="0073345C" w:rsidRDefault="0073345C" w:rsidP="0073345C">
      <w:pPr>
        <w:spacing w:after="120"/>
        <w:jc w:val="both"/>
      </w:pPr>
      <w:r w:rsidRPr="00BD5119">
        <w:t xml:space="preserve">Návrh tohoto nařízení </w:t>
      </w:r>
      <w:r>
        <w:t xml:space="preserve">se </w:t>
      </w:r>
      <w:r w:rsidRPr="00BD5119">
        <w:t>vztahuje na:</w:t>
      </w:r>
      <w:r>
        <w:t xml:space="preserve"> </w:t>
      </w:r>
    </w:p>
    <w:p w:rsidR="0073345C" w:rsidRDefault="0073345C" w:rsidP="0073345C">
      <w:pPr>
        <w:pStyle w:val="Odstavecseseznamem"/>
        <w:keepNext/>
        <w:keepLines/>
        <w:numPr>
          <w:ilvl w:val="0"/>
          <w:numId w:val="33"/>
        </w:numPr>
        <w:suppressAutoHyphens/>
        <w:autoSpaceDN w:val="0"/>
        <w:spacing w:after="120" w:line="254" w:lineRule="auto"/>
        <w:contextualSpacing w:val="0"/>
        <w:jc w:val="both"/>
        <w:textAlignment w:val="baseline"/>
      </w:pPr>
      <w:r w:rsidRPr="00734FB6">
        <w:t xml:space="preserve">průzkum a těžbu ropy a fosilního plynu, sběr a zpracování fosilního plynu; </w:t>
      </w:r>
    </w:p>
    <w:p w:rsidR="0073345C" w:rsidRDefault="0073345C" w:rsidP="0073345C">
      <w:pPr>
        <w:pStyle w:val="Odstavecseseznamem"/>
        <w:keepNext/>
        <w:keepLines/>
        <w:numPr>
          <w:ilvl w:val="0"/>
          <w:numId w:val="33"/>
        </w:numPr>
        <w:suppressAutoHyphens/>
        <w:autoSpaceDN w:val="0"/>
        <w:spacing w:after="120" w:line="254" w:lineRule="auto"/>
        <w:contextualSpacing w:val="0"/>
        <w:jc w:val="both"/>
        <w:textAlignment w:val="baseline"/>
      </w:pPr>
      <w:r w:rsidRPr="00734FB6">
        <w:t>terminály pro přepravu, distribuci, podzemní skladování a zkapalněný plyn (LNG) provozované s fosilním a/nebo obnovitelným (bio- nebo syntetickým) metanem;</w:t>
      </w:r>
      <w:r w:rsidRPr="00734FB6">
        <w:tab/>
      </w:r>
    </w:p>
    <w:p w:rsidR="0073345C" w:rsidRPr="00734FB6" w:rsidRDefault="0073345C" w:rsidP="0073345C">
      <w:pPr>
        <w:pStyle w:val="Odstavecseseznamem"/>
        <w:keepNext/>
        <w:keepLines/>
        <w:numPr>
          <w:ilvl w:val="0"/>
          <w:numId w:val="33"/>
        </w:numPr>
        <w:suppressAutoHyphens/>
        <w:autoSpaceDN w:val="0"/>
        <w:spacing w:after="120" w:line="254" w:lineRule="auto"/>
        <w:contextualSpacing w:val="0"/>
        <w:jc w:val="both"/>
        <w:textAlignment w:val="baseline"/>
      </w:pPr>
      <w:r w:rsidRPr="00734FB6">
        <w:t>aktivní hlubinné a povrchové uhelné doly, uzavřené a opuštěné hlubinné uhelné doly</w:t>
      </w:r>
      <w:r>
        <w:t>.</w:t>
      </w:r>
    </w:p>
    <w:p w:rsidR="0073345C" w:rsidRPr="00265EB1" w:rsidRDefault="0073345C" w:rsidP="0073345C">
      <w:pPr>
        <w:spacing w:after="120"/>
        <w:jc w:val="both"/>
      </w:pPr>
      <w:r w:rsidRPr="00265EB1">
        <w:t>Členské státy by měly</w:t>
      </w:r>
      <w:r>
        <w:t xml:space="preserve"> dle návrhu</w:t>
      </w:r>
      <w:r w:rsidRPr="00265EB1">
        <w:t xml:space="preserve"> určit alespoň jeden </w:t>
      </w:r>
      <w:r w:rsidRPr="00BD107F">
        <w:rPr>
          <w:b/>
        </w:rPr>
        <w:t>příslušný orgán</w:t>
      </w:r>
      <w:r w:rsidRPr="00265EB1">
        <w:t xml:space="preserve">, který bude dohlížet na dodržování povinností stanovených v tomto nařízení, přičemž nařízení </w:t>
      </w:r>
      <w:r>
        <w:t>opravňuje</w:t>
      </w:r>
      <w:r w:rsidRPr="00265EB1">
        <w:t xml:space="preserve"> Komisi </w:t>
      </w:r>
      <w:r>
        <w:t>k </w:t>
      </w:r>
      <w:r w:rsidRPr="00265EB1">
        <w:t xml:space="preserve">vytvořené veřejné sítě těchto orgánů s cílem podpořit úzkou spolupráci a výměnu informací mezi jednotlivými úřady. Hlavním mechanismem samotné </w:t>
      </w:r>
      <w:r w:rsidRPr="00CE001E">
        <w:rPr>
          <w:b/>
        </w:rPr>
        <w:t>pravidelné kontroly</w:t>
      </w:r>
      <w:r w:rsidRPr="00265EB1">
        <w:t xml:space="preserve"> by měly být inspekce zahrnující kontrolu dokumentace a záznamů, měření emisí a kontrol na místě. Proti porušení tohoto nařízení by </w:t>
      </w:r>
      <w:r>
        <w:t xml:space="preserve">měly </w:t>
      </w:r>
      <w:r w:rsidRPr="00265EB1">
        <w:t>být právnické nebo fyzické osoby oprávněny podat příslušným org</w:t>
      </w:r>
      <w:r>
        <w:t>ánům řádně odůvodněné stížnosti (čl. 6 a 7</w:t>
      </w:r>
      <w:r w:rsidRPr="000B3E03">
        <w:t>). Dále</w:t>
      </w:r>
      <w:r>
        <w:t xml:space="preserve"> návrh</w:t>
      </w:r>
      <w:r w:rsidRPr="000B3E03">
        <w:t xml:space="preserve"> nařízení vymezuje činnost ověřovatelů, kteří posuzují shodu zpráv o emisích, které jim provozovatelé předkládají v souladu s tímto nařízením. Ověřovatelé by měli být nezávislí a akreditov</w:t>
      </w:r>
      <w:r>
        <w:t>a</w:t>
      </w:r>
      <w:r w:rsidRPr="000B3E03">
        <w:t>ní vnitrostátním akreditačním orgánem (čl. 8-9).</w:t>
      </w:r>
    </w:p>
    <w:p w:rsidR="0073345C" w:rsidRDefault="0073345C" w:rsidP="0073345C">
      <w:pPr>
        <w:spacing w:after="120"/>
        <w:jc w:val="both"/>
      </w:pPr>
      <w:r>
        <w:t>Návrh nařízení se postupně věnuje nejprve emisím</w:t>
      </w:r>
      <w:r w:rsidRPr="001D0316">
        <w:t xml:space="preserve"> metanu v odvětvích ropy a zemního plynu</w:t>
      </w:r>
      <w:r>
        <w:t>, dále emisím</w:t>
      </w:r>
      <w:r w:rsidRPr="001D0316">
        <w:t xml:space="preserve"> metanu v uhelném průmyslu</w:t>
      </w:r>
      <w:r>
        <w:t xml:space="preserve"> a nakonec emisím</w:t>
      </w:r>
      <w:r w:rsidRPr="001D0316">
        <w:t xml:space="preserve"> metanu vznikající</w:t>
      </w:r>
      <w:r>
        <w:t>m</w:t>
      </w:r>
      <w:r w:rsidRPr="001D0316">
        <w:t xml:space="preserve"> mimo Unii</w:t>
      </w:r>
      <w:r>
        <w:t>.</w:t>
      </w:r>
    </w:p>
    <w:p w:rsidR="0073345C" w:rsidRDefault="0073345C" w:rsidP="0073345C">
      <w:pPr>
        <w:spacing w:after="120"/>
        <w:jc w:val="both"/>
      </w:pPr>
      <w:r>
        <w:t xml:space="preserve">Za účelem snižování </w:t>
      </w:r>
      <w:r w:rsidRPr="00DF431C">
        <w:rPr>
          <w:b/>
        </w:rPr>
        <w:t>emisí metanu v odvětvích ropy a zemního plynu</w:t>
      </w:r>
      <w:r w:rsidRPr="00DF431C">
        <w:t xml:space="preserve"> </w:t>
      </w:r>
      <w:r>
        <w:t>je zavedena povinnost sledování a vykazování emisí metanu a zakotvena obecná povinnost zmírňování emisí; provozovatelé mají také povinnost zjišťovat a opravovat netěsnosti (čl. 11-14). R</w:t>
      </w:r>
      <w:r w:rsidRPr="001F4719">
        <w:t xml:space="preserve">utinní spalování je </w:t>
      </w:r>
      <w:r>
        <w:t>zakázáno, jiné spalování a odvětrávání je zakázáno s výjimkou vymezených případů, které musí být vykazovány (čl. 15-17).</w:t>
      </w:r>
    </w:p>
    <w:p w:rsidR="0073345C" w:rsidRDefault="0073345C" w:rsidP="0073345C">
      <w:pPr>
        <w:spacing w:after="120"/>
        <w:jc w:val="both"/>
      </w:pPr>
      <w:r>
        <w:t xml:space="preserve">V případě </w:t>
      </w:r>
      <w:r w:rsidRPr="00B07819">
        <w:rPr>
          <w:b/>
        </w:rPr>
        <w:t>emisí metanu v uhelném průmyslu</w:t>
      </w:r>
      <w:r>
        <w:t xml:space="preserve"> jsou nejprve v návrhu upravena pravidla pro aktivní uhelné doly (ať už povrchové, nebo hlubinné), další povinnosti jsou pak dodány pro aktivní hlubinné doly a pro uzavřené a opuštěné hlubinné doly. </w:t>
      </w:r>
    </w:p>
    <w:p w:rsidR="0073345C" w:rsidRPr="003E5D5E" w:rsidRDefault="0073345C" w:rsidP="0073345C">
      <w:pPr>
        <w:spacing w:after="120"/>
        <w:jc w:val="both"/>
      </w:pPr>
      <w:r>
        <w:t>P</w:t>
      </w:r>
      <w:r w:rsidRPr="00265EB1">
        <w:t>rovozovatelům</w:t>
      </w:r>
      <w:r>
        <w:t xml:space="preserve"> všech</w:t>
      </w:r>
      <w:r w:rsidRPr="00265EB1">
        <w:t xml:space="preserve"> </w:t>
      </w:r>
      <w:r w:rsidRPr="00715979">
        <w:rPr>
          <w:b/>
        </w:rPr>
        <w:t>aktivních dolů</w:t>
      </w:r>
      <w:r>
        <w:rPr>
          <w:b/>
        </w:rPr>
        <w:t xml:space="preserve"> </w:t>
      </w:r>
      <w:r>
        <w:t xml:space="preserve">je uložena povinnost vykazování a sledování emisí metanu. (čl. 19-20). U </w:t>
      </w:r>
      <w:r w:rsidRPr="003E5D5E">
        <w:rPr>
          <w:b/>
        </w:rPr>
        <w:t>aktivních hlubinných dolů</w:t>
      </w:r>
      <w:r>
        <w:rPr>
          <w:b/>
        </w:rPr>
        <w:t xml:space="preserve"> </w:t>
      </w:r>
      <w:r>
        <w:t>jsou uvedena další zmírňující opatření – jedná se o zákaz odvětrávání a spalování metanu v určených případech. Je zakotvena také povinnost v</w:t>
      </w:r>
      <w:r w:rsidRPr="003E5D5E">
        <w:t>ykazování</w:t>
      </w:r>
      <w:r>
        <w:t xml:space="preserve"> určitých</w:t>
      </w:r>
      <w:r w:rsidRPr="003E5D5E">
        <w:t xml:space="preserve"> případů odvětrávání a spalování</w:t>
      </w:r>
      <w:r>
        <w:t xml:space="preserve"> (čl. 21-23).</w:t>
      </w:r>
    </w:p>
    <w:p w:rsidR="0073345C" w:rsidRPr="00265EB1" w:rsidRDefault="0073345C" w:rsidP="0073345C">
      <w:pPr>
        <w:spacing w:after="120"/>
        <w:jc w:val="both"/>
      </w:pPr>
      <w:r>
        <w:t xml:space="preserve">U </w:t>
      </w:r>
      <w:r w:rsidRPr="00715979">
        <w:rPr>
          <w:b/>
        </w:rPr>
        <w:t>uzavřených a opuštěných hlubinných uhelných dolů</w:t>
      </w:r>
      <w:r>
        <w:t xml:space="preserve"> návrh</w:t>
      </w:r>
      <w:r w:rsidRPr="00715979">
        <w:t xml:space="preserve"> </w:t>
      </w:r>
      <w:r>
        <w:t>n</w:t>
      </w:r>
      <w:r w:rsidRPr="00265EB1">
        <w:t xml:space="preserve">ařízení ukládá členským státům povinnost vypracování soupisu uzavřených a opuštěných </w:t>
      </w:r>
      <w:r w:rsidRPr="00715979">
        <w:t>uhelných zařízení,</w:t>
      </w:r>
      <w:r w:rsidRPr="00265EB1">
        <w:t xml:space="preserve"> ve kterých zároveň ukládá povinnost instalovat zařízení na měření emisí metanu.</w:t>
      </w:r>
      <w:r>
        <w:t xml:space="preserve"> Členské státy jsou dále povinny</w:t>
      </w:r>
      <w:r w:rsidRPr="00265EB1">
        <w:t xml:space="preserve"> vypracovat </w:t>
      </w:r>
      <w:r w:rsidRPr="00265EB1">
        <w:lastRenderedPageBreak/>
        <w:t>vlastní plán zmírňování emisí s přihlédnutím k daným omezením a k technické prov</w:t>
      </w:r>
      <w:r>
        <w:t>editelnosti u těchto typů dolů (čl. 24-26).</w:t>
      </w:r>
    </w:p>
    <w:p w:rsidR="0073345C" w:rsidRDefault="0073345C" w:rsidP="0073345C">
      <w:pPr>
        <w:spacing w:after="120"/>
        <w:jc w:val="both"/>
      </w:pPr>
      <w:r>
        <w:t xml:space="preserve">U </w:t>
      </w:r>
      <w:r w:rsidRPr="00DF431C">
        <w:rPr>
          <w:b/>
        </w:rPr>
        <w:t>emisí metanu vznikajících mimo Unii</w:t>
      </w:r>
      <w:r w:rsidRPr="00265EB1">
        <w:t xml:space="preserve"> nařízení zavádí </w:t>
      </w:r>
      <w:r w:rsidRPr="000B3E03">
        <w:t>informační povinnosti dovozců fosilních paliv</w:t>
      </w:r>
      <w:r>
        <w:t xml:space="preserve"> (čl. 27). Komise by měla také zřídit databázi, která bude shromažďovat informace poskytnuté na základě tohoto nařízení (čl. 28). Komise by měla také zřídit nástroj pro celosvětové </w:t>
      </w:r>
      <w:r w:rsidRPr="001D0316">
        <w:t>monitorování producentů metanu</w:t>
      </w:r>
      <w:r>
        <w:t xml:space="preserve"> (čl. 29).</w:t>
      </w:r>
    </w:p>
    <w:p w:rsidR="0073345C" w:rsidRDefault="0073345C" w:rsidP="0073345C">
      <w:pPr>
        <w:spacing w:after="120"/>
        <w:jc w:val="both"/>
      </w:pPr>
      <w:r w:rsidRPr="00265EB1">
        <w:t>Členské státy by dle</w:t>
      </w:r>
      <w:r>
        <w:t xml:space="preserve"> návrhu</w:t>
      </w:r>
      <w:r w:rsidRPr="00265EB1">
        <w:t xml:space="preserve"> nařízení měly</w:t>
      </w:r>
      <w:r>
        <w:t xml:space="preserve"> také</w:t>
      </w:r>
      <w:r w:rsidRPr="00265EB1">
        <w:t xml:space="preserve"> zajistit, aby za porušení tohoto nařízení byly ukládány účinné, přiměřené a odrazující sankce, které mohou zahrnovat pokuty a penále</w:t>
      </w:r>
      <w:r>
        <w:t xml:space="preserve"> (čl. 30)</w:t>
      </w:r>
      <w:r w:rsidRPr="00265EB1">
        <w:t>.</w:t>
      </w:r>
    </w:p>
    <w:p w:rsidR="0073345C" w:rsidRDefault="0073345C" w:rsidP="0073345C">
      <w:pPr>
        <w:jc w:val="both"/>
        <w:rPr>
          <w:i/>
          <w:u w:val="single"/>
        </w:rPr>
      </w:pPr>
      <w:r>
        <w:rPr>
          <w:i/>
          <w:u w:val="single"/>
        </w:rPr>
        <w:t>Dopad na státní rozpočet a právní řád ČR:</w:t>
      </w:r>
    </w:p>
    <w:p w:rsidR="0073345C" w:rsidRDefault="0073345C" w:rsidP="0073345C">
      <w:pPr>
        <w:jc w:val="both"/>
      </w:pPr>
      <w:r>
        <w:t xml:space="preserve">U nařízení o snižování emisí metanu lze očekávat dopad na státní rozpočet, konkrétní výši nicméně není možné přesně určit. Lze očekávat dopad na právní řád, konkrétně například na </w:t>
      </w:r>
      <w:r w:rsidRPr="0016380B">
        <w:t>zákon č. 458/2000 Sb</w:t>
      </w:r>
      <w:r>
        <w:t>., energetický zákon</w:t>
      </w:r>
      <w:r w:rsidRPr="0016380B">
        <w:t xml:space="preserve"> </w:t>
      </w:r>
      <w:r>
        <w:t>nebo na z</w:t>
      </w:r>
      <w:r w:rsidRPr="0016380B">
        <w:t>ákon č. 44/1988 Sb.</w:t>
      </w:r>
      <w:r>
        <w:t xml:space="preserve">, </w:t>
      </w:r>
      <w:r w:rsidRPr="0016380B">
        <w:t>o ochraně a využití nerostného bohatství (horní zákon)</w:t>
      </w:r>
      <w:r>
        <w:t xml:space="preserve">. </w:t>
      </w:r>
    </w:p>
    <w:p w:rsidR="0073345C" w:rsidRDefault="0073345C" w:rsidP="0073345C">
      <w:pPr>
        <w:jc w:val="both"/>
      </w:pPr>
    </w:p>
    <w:p w:rsidR="0073345C" w:rsidRDefault="00084A9E" w:rsidP="0073345C">
      <w:pPr>
        <w:jc w:val="both"/>
        <w:rPr>
          <w:rStyle w:val="Hypertextovodkaz"/>
          <w:szCs w:val="24"/>
        </w:rPr>
      </w:pPr>
      <w:hyperlink r:id="rId27" w:history="1">
        <w:r w:rsidR="0073345C" w:rsidRPr="001E2875">
          <w:rPr>
            <w:rStyle w:val="Hypertextovodkaz"/>
            <w:szCs w:val="24"/>
          </w:rPr>
          <w:t xml:space="preserve">Návrh nařízení o vnitřním trhu s plyny </w:t>
        </w:r>
      </w:hyperlink>
    </w:p>
    <w:p w:rsidR="0073345C" w:rsidRDefault="0073345C" w:rsidP="0073345C">
      <w:pPr>
        <w:spacing w:after="120"/>
        <w:jc w:val="both"/>
        <w:rPr>
          <w:rStyle w:val="Hypertextovodkaz"/>
          <w:color w:val="auto"/>
          <w:szCs w:val="24"/>
        </w:rPr>
      </w:pPr>
      <w:r>
        <w:rPr>
          <w:rStyle w:val="Hypertextovodkaz"/>
          <w:color w:val="auto"/>
          <w:szCs w:val="24"/>
        </w:rPr>
        <w:t xml:space="preserve">V úvodu jsou stanoveny cíle návrhu nařízení o vnitřním trhu s plyny. Základním cílem návrhu nařízení je </w:t>
      </w:r>
      <w:r w:rsidRPr="000316A8">
        <w:rPr>
          <w:rStyle w:val="Hypertextovodkaz"/>
          <w:color w:val="auto"/>
          <w:szCs w:val="24"/>
        </w:rPr>
        <w:t>stanovení nediskriminačních pravidel pro podmínky přístupu k plynárenským</w:t>
      </w:r>
      <w:r>
        <w:rPr>
          <w:rStyle w:val="Hypertextovodkaz"/>
          <w:color w:val="auto"/>
          <w:szCs w:val="24"/>
        </w:rPr>
        <w:t xml:space="preserve"> a </w:t>
      </w:r>
      <w:r w:rsidRPr="000316A8">
        <w:rPr>
          <w:rStyle w:val="Hypertextovodkaz"/>
          <w:color w:val="auto"/>
          <w:szCs w:val="24"/>
        </w:rPr>
        <w:t>vodíkovým soustavám</w:t>
      </w:r>
      <w:r>
        <w:rPr>
          <w:rStyle w:val="Hypertextovodkaz"/>
          <w:color w:val="auto"/>
          <w:szCs w:val="24"/>
        </w:rPr>
        <w:t xml:space="preserve">, </w:t>
      </w:r>
      <w:r w:rsidRPr="000316A8">
        <w:rPr>
          <w:rStyle w:val="Hypertextovodkaz"/>
          <w:color w:val="auto"/>
          <w:szCs w:val="24"/>
        </w:rPr>
        <w:t>usnadnění vytvoření velkoobchodního trhu s vysokou úrovní bezpečnosti dodávek plynů a stanovení mechanismů pro harmonizaci pravide</w:t>
      </w:r>
      <w:r w:rsidRPr="00571A53">
        <w:rPr>
          <w:rStyle w:val="Hypertextovodkaz"/>
          <w:color w:val="auto"/>
          <w:szCs w:val="24"/>
        </w:rPr>
        <w:t>l pro přístup k síti v rámci přeshraničního obchodu s</w:t>
      </w:r>
      <w:r>
        <w:rPr>
          <w:rStyle w:val="Hypertextovodkaz"/>
          <w:color w:val="auto"/>
          <w:szCs w:val="24"/>
        </w:rPr>
        <w:t> </w:t>
      </w:r>
      <w:r w:rsidRPr="00571A53">
        <w:rPr>
          <w:rStyle w:val="Hypertextovodkaz"/>
          <w:color w:val="auto"/>
          <w:szCs w:val="24"/>
        </w:rPr>
        <w:t>plyny</w:t>
      </w:r>
      <w:r>
        <w:rPr>
          <w:rStyle w:val="Hypertextovodkaz"/>
          <w:color w:val="auto"/>
          <w:szCs w:val="24"/>
        </w:rPr>
        <w:t xml:space="preserve"> (čl. 1). Oproti současné právní úpravě</w:t>
      </w:r>
      <w:r>
        <w:rPr>
          <w:rStyle w:val="Znakapoznpodarou"/>
          <w:szCs w:val="24"/>
        </w:rPr>
        <w:footnoteReference w:id="4"/>
      </w:r>
      <w:r>
        <w:rPr>
          <w:rStyle w:val="Hypertextovodkaz"/>
          <w:color w:val="auto"/>
          <w:szCs w:val="24"/>
        </w:rPr>
        <w:t xml:space="preserve"> jsou cíle rozšířeny tak, aby zahrnovaly i vodíkovou soustavu.</w:t>
      </w:r>
    </w:p>
    <w:p w:rsidR="0073345C" w:rsidRDefault="0073345C" w:rsidP="0073345C">
      <w:pPr>
        <w:spacing w:after="120"/>
        <w:jc w:val="both"/>
        <w:rPr>
          <w:rStyle w:val="Hypertextovodkaz"/>
          <w:color w:val="auto"/>
          <w:szCs w:val="24"/>
        </w:rPr>
      </w:pPr>
      <w:r>
        <w:rPr>
          <w:rStyle w:val="Hypertextovodkaz"/>
          <w:color w:val="auto"/>
          <w:szCs w:val="24"/>
        </w:rPr>
        <w:t xml:space="preserve">Následně jsou v návrhu nařízení stanovena </w:t>
      </w:r>
      <w:r w:rsidRPr="000316A8">
        <w:rPr>
          <w:rStyle w:val="Hypertextovodkaz"/>
          <w:b/>
          <w:color w:val="auto"/>
          <w:szCs w:val="24"/>
        </w:rPr>
        <w:t>obecná pravidla pro soustavy zemního plynu a vodíkové soustavy</w:t>
      </w:r>
      <w:r>
        <w:rPr>
          <w:rStyle w:val="Hypertextovodkaz"/>
          <w:color w:val="auto"/>
          <w:szCs w:val="24"/>
        </w:rPr>
        <w:t xml:space="preserve">. </w:t>
      </w:r>
      <w:r w:rsidRPr="00EF2755">
        <w:rPr>
          <w:rStyle w:val="Hypertextovodkaz"/>
          <w:color w:val="auto"/>
          <w:szCs w:val="24"/>
        </w:rPr>
        <w:t>Nejprve jsou upraveny obecné zásady, dále je zde</w:t>
      </w:r>
      <w:r>
        <w:rPr>
          <w:rStyle w:val="Hypertextovodkaz"/>
          <w:color w:val="auto"/>
          <w:szCs w:val="24"/>
        </w:rPr>
        <w:t xml:space="preserve"> mimo jiné</w:t>
      </w:r>
      <w:r w:rsidRPr="00EF2755">
        <w:rPr>
          <w:rStyle w:val="Hypertextovodkaz"/>
          <w:color w:val="auto"/>
          <w:szCs w:val="24"/>
        </w:rPr>
        <w:t xml:space="preserve"> zakotven požadavek na </w:t>
      </w:r>
      <w:r>
        <w:rPr>
          <w:rStyle w:val="Hypertextovodkaz"/>
          <w:color w:val="auto"/>
          <w:szCs w:val="24"/>
        </w:rPr>
        <w:t xml:space="preserve">oddělení regulačních bází aktiv, </w:t>
      </w:r>
      <w:r w:rsidRPr="00EF2755">
        <w:rPr>
          <w:rStyle w:val="Hypertextovodkaz"/>
          <w:color w:val="auto"/>
          <w:szCs w:val="24"/>
        </w:rPr>
        <w:t>což znamená, že pokud provozovatel poskytuje regulované služby v oblasti plynu, vodíku a/nebo elektřiny, musí splnit požadavek na o</w:t>
      </w:r>
      <w:r>
        <w:rPr>
          <w:rStyle w:val="Hypertextovodkaz"/>
          <w:color w:val="auto"/>
          <w:szCs w:val="24"/>
        </w:rPr>
        <w:t>ddělení účetnictví (čl. 3-4). D</w:t>
      </w:r>
      <w:r w:rsidRPr="00EF2755">
        <w:rPr>
          <w:rStyle w:val="Hypertextovodkaz"/>
          <w:color w:val="auto"/>
          <w:szCs w:val="24"/>
        </w:rPr>
        <w:t xml:space="preserve">ále jsou zde upravena pravidla pro přístup třetích stran, </w:t>
      </w:r>
      <w:r>
        <w:rPr>
          <w:rStyle w:val="Hypertextovodkaz"/>
          <w:color w:val="auto"/>
          <w:szCs w:val="24"/>
        </w:rPr>
        <w:t xml:space="preserve">nově je přidán čl. 6, který se věnuje </w:t>
      </w:r>
      <w:r w:rsidRPr="00B40C51">
        <w:rPr>
          <w:rStyle w:val="Hypertextovodkaz"/>
          <w:b/>
          <w:color w:val="auto"/>
          <w:szCs w:val="24"/>
        </w:rPr>
        <w:t>přístup</w:t>
      </w:r>
      <w:r>
        <w:rPr>
          <w:rStyle w:val="Hypertextovodkaz"/>
          <w:b/>
          <w:color w:val="auto"/>
          <w:szCs w:val="24"/>
        </w:rPr>
        <w:t>u</w:t>
      </w:r>
      <w:r w:rsidRPr="00B40C51">
        <w:rPr>
          <w:rStyle w:val="Hypertextovodkaz"/>
          <w:b/>
          <w:color w:val="auto"/>
          <w:szCs w:val="24"/>
        </w:rPr>
        <w:t xml:space="preserve"> třetích stran, pokud jde o provozovatele vodíkové soustavy</w:t>
      </w:r>
      <w:r>
        <w:rPr>
          <w:rStyle w:val="Hypertextovodkaz"/>
          <w:color w:val="auto"/>
          <w:szCs w:val="24"/>
        </w:rPr>
        <w:t xml:space="preserve">. </w:t>
      </w:r>
      <w:r w:rsidRPr="003158D5">
        <w:rPr>
          <w:rStyle w:val="Hypertextovodkaz"/>
          <w:color w:val="auto"/>
          <w:szCs w:val="24"/>
        </w:rPr>
        <w:t xml:space="preserve">Provozovatelé vodíkových sítí </w:t>
      </w:r>
      <w:r>
        <w:rPr>
          <w:rStyle w:val="Hypertextovodkaz"/>
          <w:color w:val="auto"/>
          <w:szCs w:val="24"/>
        </w:rPr>
        <w:t>by měli zajistit</w:t>
      </w:r>
      <w:r w:rsidRPr="003158D5">
        <w:rPr>
          <w:rStyle w:val="Hypertextovodkaz"/>
          <w:color w:val="auto"/>
          <w:szCs w:val="24"/>
        </w:rPr>
        <w:t xml:space="preserve"> nediskriminační nabídku služeb všem </w:t>
      </w:r>
      <w:r>
        <w:rPr>
          <w:rStyle w:val="Hypertextovodkaz"/>
          <w:color w:val="auto"/>
          <w:szCs w:val="24"/>
        </w:rPr>
        <w:t>uživatelům sítě, je zde určena maximální délka smluv o kapacitě (15 let, resp. 20 let pro infrastrukturu dokončenou po vstupu směrnice v platnost), z</w:t>
      </w:r>
      <w:r w:rsidRPr="00B40C51">
        <w:rPr>
          <w:rStyle w:val="Hypertextovodkaz"/>
          <w:color w:val="auto"/>
          <w:szCs w:val="24"/>
        </w:rPr>
        <w:t xml:space="preserve">a přístup k vodíkovým sítím v propojovacích bodech mezi členskými státy </w:t>
      </w:r>
      <w:r>
        <w:rPr>
          <w:rStyle w:val="Hypertextovodkaz"/>
          <w:color w:val="auto"/>
          <w:szCs w:val="24"/>
        </w:rPr>
        <w:t>by se neměly účtovat žádné</w:t>
      </w:r>
      <w:r w:rsidRPr="00B40C51">
        <w:rPr>
          <w:rStyle w:val="Hypertextovodkaz"/>
          <w:color w:val="auto"/>
          <w:szCs w:val="24"/>
        </w:rPr>
        <w:t xml:space="preserve"> sazby</w:t>
      </w:r>
      <w:r>
        <w:rPr>
          <w:rStyle w:val="Hypertextovodkaz"/>
          <w:color w:val="auto"/>
          <w:szCs w:val="24"/>
        </w:rPr>
        <w:t xml:space="preserve">. </w:t>
      </w:r>
    </w:p>
    <w:p w:rsidR="0073345C" w:rsidRPr="00EF2755" w:rsidRDefault="0073345C" w:rsidP="0073345C">
      <w:pPr>
        <w:spacing w:after="120"/>
        <w:jc w:val="both"/>
        <w:rPr>
          <w:rStyle w:val="Hypertextovodkaz"/>
          <w:color w:val="auto"/>
          <w:szCs w:val="24"/>
        </w:rPr>
      </w:pPr>
      <w:r>
        <w:rPr>
          <w:rStyle w:val="Hypertextovodkaz"/>
          <w:color w:val="auto"/>
          <w:szCs w:val="24"/>
        </w:rPr>
        <w:t xml:space="preserve">Následně se návrh věnuje </w:t>
      </w:r>
      <w:r w:rsidRPr="006349D3">
        <w:rPr>
          <w:rStyle w:val="Hypertextovodkaz"/>
          <w:b/>
          <w:color w:val="auto"/>
          <w:szCs w:val="24"/>
        </w:rPr>
        <w:t>přístupu k</w:t>
      </w:r>
      <w:r>
        <w:rPr>
          <w:rStyle w:val="Hypertextovodkaz"/>
          <w:b/>
          <w:color w:val="auto"/>
          <w:szCs w:val="24"/>
        </w:rPr>
        <w:t> </w:t>
      </w:r>
      <w:r w:rsidRPr="006349D3">
        <w:rPr>
          <w:rStyle w:val="Hypertextovodkaz"/>
          <w:b/>
          <w:color w:val="auto"/>
          <w:szCs w:val="24"/>
        </w:rPr>
        <w:t>síti</w:t>
      </w:r>
      <w:r>
        <w:rPr>
          <w:rStyle w:val="Hypertextovodkaz"/>
          <w:color w:val="auto"/>
          <w:szCs w:val="24"/>
        </w:rPr>
        <w:t xml:space="preserve">. Ustanovení o sazbám za přístup k sítím z velké části odpovídá stávající právní úpravě (čl. 15). Nově jsou zde upraveny významné </w:t>
      </w:r>
      <w:r w:rsidRPr="00EF2755">
        <w:rPr>
          <w:rStyle w:val="Hypertextovodkaz"/>
          <w:color w:val="auto"/>
          <w:szCs w:val="24"/>
        </w:rPr>
        <w:t>s</w:t>
      </w:r>
      <w:r>
        <w:rPr>
          <w:rStyle w:val="Hypertextovodkaz"/>
          <w:color w:val="auto"/>
          <w:szCs w:val="24"/>
        </w:rPr>
        <w:t>levy ze sazeb na plyny z </w:t>
      </w:r>
      <w:r w:rsidRPr="00EF2755">
        <w:rPr>
          <w:rStyle w:val="Hypertextovodkaz"/>
          <w:color w:val="auto"/>
          <w:szCs w:val="24"/>
        </w:rPr>
        <w:t>obnovitelných zdrojů a nízkouhlíkové plyny</w:t>
      </w:r>
      <w:r>
        <w:rPr>
          <w:rStyle w:val="Hypertextovodkaz"/>
          <w:color w:val="auto"/>
          <w:szCs w:val="24"/>
        </w:rPr>
        <w:t xml:space="preserve"> (čl. 16). </w:t>
      </w:r>
    </w:p>
    <w:p w:rsidR="0073345C" w:rsidRDefault="0073345C" w:rsidP="0073345C">
      <w:pPr>
        <w:spacing w:after="120"/>
        <w:jc w:val="both"/>
        <w:rPr>
          <w:rStyle w:val="Hypertextovodkaz"/>
          <w:color w:val="auto"/>
          <w:szCs w:val="24"/>
        </w:rPr>
      </w:pPr>
      <w:r>
        <w:rPr>
          <w:rStyle w:val="Hypertextovodkaz"/>
          <w:color w:val="auto"/>
          <w:szCs w:val="24"/>
        </w:rPr>
        <w:t xml:space="preserve">Dále se návrh věnuje </w:t>
      </w:r>
      <w:r w:rsidRPr="00BD4EAE">
        <w:rPr>
          <w:rStyle w:val="Hypertextovodkaz"/>
          <w:b/>
          <w:color w:val="auto"/>
          <w:szCs w:val="24"/>
        </w:rPr>
        <w:t>provozu přepravních soustav, skladovacích zařízení, zařízení LNG a vodíkových terminálů</w:t>
      </w:r>
      <w:r w:rsidRPr="00BD4EAE">
        <w:rPr>
          <w:rStyle w:val="Hypertextovodkaz"/>
          <w:color w:val="auto"/>
          <w:szCs w:val="24"/>
        </w:rPr>
        <w:t xml:space="preserve">. </w:t>
      </w:r>
      <w:r>
        <w:rPr>
          <w:rStyle w:val="Hypertextovodkaz"/>
          <w:color w:val="auto"/>
          <w:szCs w:val="24"/>
        </w:rPr>
        <w:t>Pro provozovatele</w:t>
      </w:r>
      <w:r w:rsidRPr="00BD4EAE">
        <w:rPr>
          <w:rStyle w:val="Hypertextovodkaz"/>
          <w:color w:val="auto"/>
          <w:szCs w:val="24"/>
        </w:rPr>
        <w:t xml:space="preserve"> přepravních soustav </w:t>
      </w:r>
      <w:r>
        <w:rPr>
          <w:rStyle w:val="Hypertextovodkaz"/>
          <w:color w:val="auto"/>
          <w:szCs w:val="24"/>
        </w:rPr>
        <w:t>je zde stanovena například povinnost zajistit</w:t>
      </w:r>
      <w:r w:rsidRPr="00BD4EAE">
        <w:rPr>
          <w:rStyle w:val="Hypertextovodkaz"/>
          <w:color w:val="auto"/>
          <w:szCs w:val="24"/>
        </w:rPr>
        <w:t xml:space="preserve"> pevnou kapacitu pro přístup zařízení pro výrobu</w:t>
      </w:r>
      <w:r>
        <w:rPr>
          <w:rStyle w:val="Hypertextovodkaz"/>
          <w:color w:val="auto"/>
          <w:szCs w:val="24"/>
        </w:rPr>
        <w:t xml:space="preserve"> plynů z obnovitelných zdrojů a </w:t>
      </w:r>
      <w:r w:rsidRPr="00BD4EAE">
        <w:rPr>
          <w:rStyle w:val="Hypertextovodkaz"/>
          <w:color w:val="auto"/>
          <w:szCs w:val="24"/>
        </w:rPr>
        <w:t>nízkouhlíkov</w:t>
      </w:r>
      <w:r>
        <w:rPr>
          <w:rStyle w:val="Hypertextovodkaz"/>
          <w:color w:val="auto"/>
          <w:szCs w:val="24"/>
        </w:rPr>
        <w:t xml:space="preserve">ých plynů připojených k jejich </w:t>
      </w:r>
      <w:r w:rsidRPr="00BD4EAE">
        <w:rPr>
          <w:rStyle w:val="Hypertextovodkaz"/>
          <w:color w:val="auto"/>
          <w:szCs w:val="24"/>
        </w:rPr>
        <w:t>síti.</w:t>
      </w:r>
      <w:r>
        <w:rPr>
          <w:rStyle w:val="Hypertextovodkaz"/>
          <w:color w:val="auto"/>
          <w:szCs w:val="24"/>
        </w:rPr>
        <w:t xml:space="preserve"> Dále je pro provozovatele přepravních soustav zakotvena povinnost spolupracovat</w:t>
      </w:r>
      <w:r w:rsidRPr="00BD4EAE">
        <w:rPr>
          <w:rStyle w:val="Hypertextovodkaz"/>
          <w:color w:val="auto"/>
          <w:szCs w:val="24"/>
        </w:rPr>
        <w:t>, aby se zabránilo omezením přeshraničních toků v důsledku rozdílů v kvalitě plynu v propojovacích bodech mezi členskými státy Unie</w:t>
      </w:r>
      <w:r>
        <w:rPr>
          <w:rStyle w:val="Hypertextovodkaz"/>
          <w:color w:val="auto"/>
          <w:szCs w:val="24"/>
        </w:rPr>
        <w:t xml:space="preserve">. Dále je stanoveno, </w:t>
      </w:r>
      <w:r w:rsidRPr="00BD4EAE">
        <w:rPr>
          <w:rStyle w:val="Hypertextovodkaz"/>
          <w:color w:val="auto"/>
          <w:szCs w:val="24"/>
        </w:rPr>
        <w:t xml:space="preserve">že </w:t>
      </w:r>
      <w:r w:rsidRPr="00837067">
        <w:rPr>
          <w:rStyle w:val="Hypertextovodkaz"/>
          <w:color w:val="auto"/>
          <w:szCs w:val="24"/>
        </w:rPr>
        <w:t xml:space="preserve">provozovatelé přepravních soustav budou od 1. října 2025 přijímat na propojovacích bodech mezi členskými státy plyn s </w:t>
      </w:r>
      <w:r w:rsidRPr="00837067">
        <w:rPr>
          <w:rStyle w:val="Hypertextovodkaz"/>
          <w:color w:val="auto"/>
          <w:szCs w:val="24"/>
        </w:rPr>
        <w:lastRenderedPageBreak/>
        <w:t>objemovým obsahem vodíku do 5 %</w:t>
      </w:r>
      <w:r>
        <w:rPr>
          <w:rStyle w:val="Hypertextovodkaz"/>
          <w:color w:val="auto"/>
          <w:szCs w:val="24"/>
        </w:rPr>
        <w:t xml:space="preserve"> (čl. 18-20)</w:t>
      </w:r>
      <w:r w:rsidRPr="00BD4EAE">
        <w:rPr>
          <w:rStyle w:val="Hypertextovodkaz"/>
          <w:color w:val="auto"/>
          <w:szCs w:val="24"/>
        </w:rPr>
        <w:t>.</w:t>
      </w:r>
      <w:r>
        <w:rPr>
          <w:rStyle w:val="Hypertextovodkaz"/>
          <w:color w:val="auto"/>
          <w:szCs w:val="24"/>
        </w:rPr>
        <w:t xml:space="preserve"> Následně je v této části upraveno například fungování Evropské sítě </w:t>
      </w:r>
      <w:r w:rsidRPr="006349D3">
        <w:rPr>
          <w:rStyle w:val="Hypertextovodkaz"/>
          <w:color w:val="auto"/>
          <w:szCs w:val="24"/>
        </w:rPr>
        <w:t>provozovatelů plynárenských přepravních soustav</w:t>
      </w:r>
      <w:r>
        <w:rPr>
          <w:rStyle w:val="Hypertextovodkaz"/>
          <w:color w:val="auto"/>
          <w:szCs w:val="24"/>
        </w:rPr>
        <w:t xml:space="preserve"> (čl. 21-29).</w:t>
      </w:r>
    </w:p>
    <w:p w:rsidR="0073345C" w:rsidRDefault="0073345C" w:rsidP="0073345C">
      <w:pPr>
        <w:spacing w:after="120"/>
        <w:jc w:val="both"/>
        <w:rPr>
          <w:rStyle w:val="Hypertextovodkaz"/>
          <w:color w:val="auto"/>
          <w:szCs w:val="24"/>
        </w:rPr>
      </w:pPr>
      <w:r>
        <w:rPr>
          <w:rStyle w:val="Hypertextovodkaz"/>
          <w:color w:val="auto"/>
          <w:szCs w:val="24"/>
        </w:rPr>
        <w:t xml:space="preserve">V další části návrhu nařízení jsou upravena pravidla pro </w:t>
      </w:r>
      <w:r w:rsidRPr="00DB6930">
        <w:rPr>
          <w:rStyle w:val="Hypertextovodkaz"/>
          <w:b/>
          <w:color w:val="auto"/>
          <w:szCs w:val="24"/>
        </w:rPr>
        <w:t>provoz distribuční soustavy</w:t>
      </w:r>
      <w:r>
        <w:rPr>
          <w:rStyle w:val="Hypertextovodkaz"/>
          <w:color w:val="auto"/>
          <w:szCs w:val="24"/>
        </w:rPr>
        <w:t xml:space="preserve">.  </w:t>
      </w:r>
      <w:r w:rsidRPr="00DB6930">
        <w:rPr>
          <w:rStyle w:val="Hypertextovodkaz"/>
          <w:color w:val="auto"/>
          <w:szCs w:val="24"/>
        </w:rPr>
        <w:t xml:space="preserve">Provozovatelé distribučních soustav </w:t>
      </w:r>
      <w:r>
        <w:rPr>
          <w:rStyle w:val="Hypertextovodkaz"/>
          <w:color w:val="auto"/>
          <w:szCs w:val="24"/>
        </w:rPr>
        <w:t>budou muset zajistit</w:t>
      </w:r>
      <w:r w:rsidRPr="00DB6930">
        <w:rPr>
          <w:rStyle w:val="Hypertextovodkaz"/>
          <w:color w:val="auto"/>
          <w:szCs w:val="24"/>
        </w:rPr>
        <w:t xml:space="preserve"> pevnou kap</w:t>
      </w:r>
      <w:r>
        <w:rPr>
          <w:rStyle w:val="Hypertextovodkaz"/>
          <w:color w:val="auto"/>
          <w:szCs w:val="24"/>
        </w:rPr>
        <w:t xml:space="preserve">acitu pro přístup zařízení pro </w:t>
      </w:r>
      <w:r w:rsidRPr="00DB6930">
        <w:rPr>
          <w:rStyle w:val="Hypertextovodkaz"/>
          <w:color w:val="auto"/>
          <w:szCs w:val="24"/>
        </w:rPr>
        <w:t>výrobu plynů z obnovitelných zdrojů a nízkouhlíkov</w:t>
      </w:r>
      <w:r>
        <w:rPr>
          <w:rStyle w:val="Hypertextovodkaz"/>
          <w:color w:val="auto"/>
          <w:szCs w:val="24"/>
        </w:rPr>
        <w:t xml:space="preserve">ých plynů připojených k jejich </w:t>
      </w:r>
      <w:r w:rsidRPr="00DB6930">
        <w:rPr>
          <w:rStyle w:val="Hypertextovodkaz"/>
          <w:color w:val="auto"/>
          <w:szCs w:val="24"/>
        </w:rPr>
        <w:t>síti.</w:t>
      </w:r>
      <w:r>
        <w:rPr>
          <w:rStyle w:val="Hypertextovodkaz"/>
          <w:color w:val="auto"/>
          <w:szCs w:val="24"/>
        </w:rPr>
        <w:t xml:space="preserve"> Dále jsou zde uvedena </w:t>
      </w:r>
      <w:r w:rsidRPr="00DB6930">
        <w:rPr>
          <w:rStyle w:val="Hypertextovodkaz"/>
          <w:color w:val="auto"/>
          <w:szCs w:val="24"/>
        </w:rPr>
        <w:t>ustanovení o spolupráci mezi provozo</w:t>
      </w:r>
      <w:r>
        <w:rPr>
          <w:rStyle w:val="Hypertextovodkaz"/>
          <w:color w:val="auto"/>
          <w:szCs w:val="24"/>
        </w:rPr>
        <w:t xml:space="preserve">vateli distribučních soustav a </w:t>
      </w:r>
      <w:r w:rsidRPr="00DB6930">
        <w:rPr>
          <w:rStyle w:val="Hypertextovodkaz"/>
          <w:color w:val="auto"/>
          <w:szCs w:val="24"/>
        </w:rPr>
        <w:t>p</w:t>
      </w:r>
      <w:r>
        <w:rPr>
          <w:rStyle w:val="Hypertextovodkaz"/>
          <w:color w:val="auto"/>
          <w:szCs w:val="24"/>
        </w:rPr>
        <w:t xml:space="preserve">rovozovateli přepravních soustav a požadavky na transparentnost. Následně je stanoveno, že </w:t>
      </w:r>
      <w:r>
        <w:t>p</w:t>
      </w:r>
      <w:r w:rsidRPr="00DB6930">
        <w:rPr>
          <w:rStyle w:val="Hypertextovodkaz"/>
          <w:color w:val="auto"/>
          <w:szCs w:val="24"/>
        </w:rPr>
        <w:t xml:space="preserve">rovozovatelé distribučních soustav provozující soustavu zemního plynu </w:t>
      </w:r>
      <w:r>
        <w:rPr>
          <w:rStyle w:val="Hypertextovodkaz"/>
          <w:color w:val="auto"/>
          <w:szCs w:val="24"/>
        </w:rPr>
        <w:t>mají</w:t>
      </w:r>
      <w:r w:rsidRPr="00DB6930">
        <w:rPr>
          <w:rStyle w:val="Hypertextovodkaz"/>
          <w:color w:val="auto"/>
          <w:szCs w:val="24"/>
        </w:rPr>
        <w:t xml:space="preserve"> na úrovni Unie </w:t>
      </w:r>
      <w:r>
        <w:rPr>
          <w:rStyle w:val="Hypertextovodkaz"/>
          <w:color w:val="auto"/>
          <w:szCs w:val="24"/>
        </w:rPr>
        <w:t xml:space="preserve">spolupracovat </w:t>
      </w:r>
      <w:r w:rsidRPr="00DB6930">
        <w:rPr>
          <w:rStyle w:val="Hypertextovodkaz"/>
          <w:color w:val="auto"/>
          <w:szCs w:val="24"/>
        </w:rPr>
        <w:t>prostřednictvím Evropského subjektu pro provo</w:t>
      </w:r>
      <w:r>
        <w:rPr>
          <w:rStyle w:val="Hypertextovodkaz"/>
          <w:color w:val="auto"/>
          <w:szCs w:val="24"/>
        </w:rPr>
        <w:t xml:space="preserve">zovatele distribučních soustav </w:t>
      </w:r>
      <w:r w:rsidRPr="00DB6930">
        <w:rPr>
          <w:rStyle w:val="Hypertextovodkaz"/>
          <w:color w:val="auto"/>
          <w:szCs w:val="24"/>
        </w:rPr>
        <w:t xml:space="preserve">zřízeného v souladu </w:t>
      </w:r>
      <w:hyperlink r:id="rId28" w:history="1">
        <w:r w:rsidRPr="003C44A3">
          <w:rPr>
            <w:rStyle w:val="Hypertextovodkaz"/>
            <w:szCs w:val="24"/>
          </w:rPr>
          <w:t>nařízením</w:t>
        </w:r>
      </w:hyperlink>
      <w:r>
        <w:rPr>
          <w:rStyle w:val="Hypertextovodkaz"/>
          <w:color w:val="auto"/>
          <w:szCs w:val="24"/>
        </w:rPr>
        <w:t xml:space="preserve"> o vnitřním trhu s elektřinou (čl. 33-38).</w:t>
      </w:r>
      <w:r>
        <w:rPr>
          <w:rStyle w:val="Znakapoznpodarou"/>
          <w:szCs w:val="24"/>
        </w:rPr>
        <w:footnoteReference w:id="5"/>
      </w:r>
    </w:p>
    <w:p w:rsidR="0073345C" w:rsidRPr="000E580B" w:rsidRDefault="0073345C" w:rsidP="0073345C">
      <w:pPr>
        <w:spacing w:after="120"/>
        <w:jc w:val="both"/>
        <w:rPr>
          <w:rStyle w:val="Hypertextovodkaz"/>
          <w:color w:val="auto"/>
          <w:szCs w:val="24"/>
        </w:rPr>
      </w:pPr>
      <w:r>
        <w:rPr>
          <w:rStyle w:val="Hypertextovodkaz"/>
          <w:color w:val="auto"/>
          <w:szCs w:val="24"/>
        </w:rPr>
        <w:t xml:space="preserve">Dále jsou v návrhu upravena </w:t>
      </w:r>
      <w:r w:rsidRPr="000E580B">
        <w:rPr>
          <w:rStyle w:val="Hypertextovodkaz"/>
          <w:b/>
          <w:color w:val="auto"/>
          <w:szCs w:val="24"/>
        </w:rPr>
        <w:t>pravidla pro vodíkové sítě</w:t>
      </w:r>
      <w:r>
        <w:rPr>
          <w:rStyle w:val="Hypertextovodkaz"/>
          <w:color w:val="auto"/>
          <w:szCs w:val="24"/>
        </w:rPr>
        <w:t>. Řeší se zde přeshraniční koordinace</w:t>
      </w:r>
      <w:r w:rsidRPr="00615CAF">
        <w:rPr>
          <w:rStyle w:val="Hypertextovodkaz"/>
          <w:color w:val="auto"/>
          <w:szCs w:val="24"/>
        </w:rPr>
        <w:t>, pokud jde o kvalitu vodík</w:t>
      </w:r>
      <w:r>
        <w:rPr>
          <w:rStyle w:val="Hypertextovodkaz"/>
          <w:color w:val="auto"/>
          <w:szCs w:val="24"/>
        </w:rPr>
        <w:t>u. Rovněž je upraveno fungování Evropské sítě provozovatelů vodíkových sítí a její úkoly. Následně je upraven d</w:t>
      </w:r>
      <w:r w:rsidRPr="00615CAF">
        <w:rPr>
          <w:rStyle w:val="Hypertextovodkaz"/>
          <w:color w:val="auto"/>
          <w:szCs w:val="24"/>
        </w:rPr>
        <w:t xml:space="preserve">esetiletý plán </w:t>
      </w:r>
      <w:r>
        <w:rPr>
          <w:rStyle w:val="Hypertextovodkaz"/>
          <w:color w:val="auto"/>
          <w:szCs w:val="24"/>
        </w:rPr>
        <w:t xml:space="preserve">rozvoje vodíkové sítě, </w:t>
      </w:r>
      <w:r w:rsidRPr="00615CAF">
        <w:rPr>
          <w:rStyle w:val="Hypertextovodkaz"/>
          <w:color w:val="auto"/>
          <w:szCs w:val="24"/>
        </w:rPr>
        <w:t>sle</w:t>
      </w:r>
      <w:r>
        <w:rPr>
          <w:rStyle w:val="Hypertextovodkaz"/>
          <w:color w:val="auto"/>
          <w:szCs w:val="24"/>
        </w:rPr>
        <w:t>dování prováděné agenturou ACER (</w:t>
      </w:r>
      <w:r w:rsidRPr="00615CAF">
        <w:rPr>
          <w:rStyle w:val="Hypertextovodkaz"/>
          <w:color w:val="auto"/>
          <w:szCs w:val="24"/>
        </w:rPr>
        <w:t>Agentura pro spolupráci energetických regulačních orgánů</w:t>
      </w:r>
      <w:r>
        <w:rPr>
          <w:rStyle w:val="Hypertextovodkaz"/>
          <w:color w:val="auto"/>
          <w:szCs w:val="24"/>
        </w:rPr>
        <w:t>)</w:t>
      </w:r>
      <w:r w:rsidRPr="00615CAF">
        <w:rPr>
          <w:rStyle w:val="Hypertextovodkaz"/>
          <w:color w:val="auto"/>
          <w:szCs w:val="24"/>
        </w:rPr>
        <w:t xml:space="preserve"> </w:t>
      </w:r>
      <w:r>
        <w:rPr>
          <w:rStyle w:val="Hypertextovodkaz"/>
          <w:color w:val="auto"/>
          <w:szCs w:val="24"/>
        </w:rPr>
        <w:t xml:space="preserve">nebo požadavky na transparentnost, </w:t>
      </w:r>
      <w:r w:rsidRPr="00615CAF">
        <w:rPr>
          <w:rStyle w:val="Hypertextovodkaz"/>
          <w:color w:val="auto"/>
          <w:szCs w:val="24"/>
        </w:rPr>
        <w:t>pokud jde o provozovatele vodíkových sítí</w:t>
      </w:r>
      <w:r>
        <w:rPr>
          <w:rStyle w:val="Hypertextovodkaz"/>
          <w:color w:val="auto"/>
          <w:szCs w:val="24"/>
        </w:rPr>
        <w:t xml:space="preserve"> (čl. 39-51).</w:t>
      </w:r>
    </w:p>
    <w:p w:rsidR="0073345C" w:rsidRDefault="0073345C" w:rsidP="0073345C">
      <w:pPr>
        <w:spacing w:after="120"/>
        <w:jc w:val="both"/>
        <w:rPr>
          <w:rStyle w:val="Hypertextovodkaz"/>
          <w:color w:val="auto"/>
          <w:szCs w:val="24"/>
        </w:rPr>
      </w:pPr>
      <w:r>
        <w:rPr>
          <w:rStyle w:val="Hypertextovodkaz"/>
          <w:color w:val="auto"/>
          <w:szCs w:val="24"/>
        </w:rPr>
        <w:t xml:space="preserve">Následně se návrh nařízení zabývá </w:t>
      </w:r>
      <w:r w:rsidRPr="00F95A32">
        <w:rPr>
          <w:rStyle w:val="Hypertextovodkaz"/>
          <w:b/>
          <w:color w:val="auto"/>
          <w:szCs w:val="24"/>
        </w:rPr>
        <w:t>kodexy sítě</w:t>
      </w:r>
      <w:r>
        <w:rPr>
          <w:rStyle w:val="Hypertextovodkaz"/>
          <w:color w:val="auto"/>
          <w:szCs w:val="24"/>
        </w:rPr>
        <w:t xml:space="preserve">. Návrh upravuje pravidla pro přijímání kodexů sítě a rámcových </w:t>
      </w:r>
      <w:r w:rsidRPr="00E85F3D">
        <w:rPr>
          <w:rStyle w:val="Hypertextovodkaz"/>
          <w:color w:val="auto"/>
          <w:szCs w:val="24"/>
        </w:rPr>
        <w:t xml:space="preserve">pokynů, zavedení kodexů sítě, </w:t>
      </w:r>
      <w:r>
        <w:rPr>
          <w:rStyle w:val="Hypertextovodkaz"/>
          <w:color w:val="auto"/>
          <w:szCs w:val="24"/>
        </w:rPr>
        <w:t xml:space="preserve">změnu kodexů sítě, rámcové pokyny, </w:t>
      </w:r>
      <w:r w:rsidRPr="00E85F3D">
        <w:rPr>
          <w:rStyle w:val="Hypertextovodkaz"/>
          <w:color w:val="auto"/>
          <w:szCs w:val="24"/>
        </w:rPr>
        <w:t>poskytování informací a důvěrnost údajů a sankce</w:t>
      </w:r>
      <w:r>
        <w:rPr>
          <w:rStyle w:val="Hypertextovodkaz"/>
          <w:color w:val="auto"/>
          <w:szCs w:val="24"/>
        </w:rPr>
        <w:t xml:space="preserve"> (čl. 52-59)</w:t>
      </w:r>
      <w:r w:rsidRPr="00E85F3D">
        <w:rPr>
          <w:rStyle w:val="Hypertextovodkaz"/>
          <w:color w:val="auto"/>
          <w:szCs w:val="24"/>
        </w:rPr>
        <w:t xml:space="preserve">. </w:t>
      </w:r>
      <w:r>
        <w:rPr>
          <w:rStyle w:val="Hypertextovodkaz"/>
          <w:color w:val="auto"/>
          <w:szCs w:val="24"/>
        </w:rPr>
        <w:t xml:space="preserve">V rámci těchto ustanovení je Komise zmocněna </w:t>
      </w:r>
      <w:r w:rsidRPr="00F95A32">
        <w:rPr>
          <w:rStyle w:val="Hypertextovodkaz"/>
          <w:color w:val="auto"/>
          <w:szCs w:val="24"/>
        </w:rPr>
        <w:t>přijímat prováděcí akty ne</w:t>
      </w:r>
      <w:r>
        <w:rPr>
          <w:rStyle w:val="Hypertextovodkaz"/>
          <w:color w:val="auto"/>
          <w:szCs w:val="24"/>
        </w:rPr>
        <w:t xml:space="preserve">bo akty v přenesené pravomoci ve vymezených oblastech. </w:t>
      </w:r>
    </w:p>
    <w:p w:rsidR="0073345C" w:rsidRDefault="0073345C" w:rsidP="0073345C">
      <w:pPr>
        <w:spacing w:after="120"/>
        <w:jc w:val="both"/>
        <w:rPr>
          <w:rStyle w:val="Hypertextovodkaz"/>
          <w:color w:val="auto"/>
          <w:szCs w:val="24"/>
        </w:rPr>
      </w:pPr>
      <w:r>
        <w:rPr>
          <w:rStyle w:val="Hypertextovodkaz"/>
          <w:color w:val="auto"/>
          <w:szCs w:val="24"/>
        </w:rPr>
        <w:t xml:space="preserve">V závěrečné části jsou mimo jiné zakotvena pravidla pro možné vyjmutí významných vodíkových a plynárenských infrastruktur z působnosti nařízení (čl. 60). Součástí návrhu je v článku 67 také návrh na změnu </w:t>
      </w:r>
      <w:hyperlink r:id="rId29" w:history="1">
        <w:r w:rsidRPr="00A656D9">
          <w:rPr>
            <w:rStyle w:val="Hypertextovodkaz"/>
            <w:szCs w:val="24"/>
          </w:rPr>
          <w:t>nařízení o opatřeních na zajištění bezpečnosti dodávek zemního plynu</w:t>
        </w:r>
      </w:hyperlink>
      <w:r>
        <w:rPr>
          <w:rStyle w:val="Znakapoznpodarou"/>
          <w:szCs w:val="24"/>
        </w:rPr>
        <w:footnoteReference w:id="6"/>
      </w:r>
    </w:p>
    <w:p w:rsidR="0073345C" w:rsidRDefault="0073345C" w:rsidP="0073345C">
      <w:pPr>
        <w:jc w:val="both"/>
        <w:rPr>
          <w:i/>
          <w:u w:val="single"/>
        </w:rPr>
      </w:pPr>
      <w:r w:rsidRPr="00290008">
        <w:rPr>
          <w:i/>
          <w:u w:val="single"/>
        </w:rPr>
        <w:t>Dopad na státní rozpočet a právní řád ČR:</w:t>
      </w:r>
    </w:p>
    <w:p w:rsidR="0073345C" w:rsidRDefault="0073345C" w:rsidP="0073345C">
      <w:pPr>
        <w:jc w:val="both"/>
      </w:pPr>
      <w:r>
        <w:t>Nepředpokládá se významnější dopad na státní rozpočet. Z hlediska dopadu na právní řád lze očekávat nutnost změny zákona č. 458/2000 Sb., e</w:t>
      </w:r>
      <w:r w:rsidRPr="002E55C8">
        <w:t>nergetický zákon</w:t>
      </w:r>
      <w:r>
        <w:t xml:space="preserve"> a souvisejících předpisů.</w:t>
      </w:r>
    </w:p>
    <w:p w:rsidR="0073345C" w:rsidRDefault="0073345C" w:rsidP="0073345C">
      <w:pPr>
        <w:jc w:val="both"/>
      </w:pPr>
    </w:p>
    <w:p w:rsidR="0073345C" w:rsidRDefault="00084A9E" w:rsidP="0073345C">
      <w:pPr>
        <w:jc w:val="both"/>
        <w:rPr>
          <w:rStyle w:val="Hypertextovodkaz"/>
          <w:szCs w:val="24"/>
        </w:rPr>
      </w:pPr>
      <w:hyperlink r:id="rId30" w:history="1">
        <w:r w:rsidR="0073345C" w:rsidRPr="00712BDD">
          <w:rPr>
            <w:rStyle w:val="Hypertextovodkaz"/>
            <w:szCs w:val="24"/>
          </w:rPr>
          <w:t>Návrh směrnice o společných pravidlech pro vnitřní trh s plyny</w:t>
        </w:r>
      </w:hyperlink>
    </w:p>
    <w:p w:rsidR="0073345C" w:rsidRDefault="0073345C" w:rsidP="0073345C">
      <w:pPr>
        <w:spacing w:after="120"/>
        <w:jc w:val="both"/>
      </w:pPr>
      <w:r>
        <w:t xml:space="preserve">V úvodu jsou stanoveny cíle návrhu směrnice </w:t>
      </w:r>
      <w:r w:rsidRPr="00712BDD">
        <w:t>o společných pravidlech pro vnitřní trh</w:t>
      </w:r>
      <w:r>
        <w:t xml:space="preserve"> s plyny  - vytvoření</w:t>
      </w:r>
      <w:r w:rsidRPr="00FA6746">
        <w:t xml:space="preserve"> pravidel pro p</w:t>
      </w:r>
      <w:r>
        <w:t>řepravu, distribuci, dodávky a </w:t>
      </w:r>
      <w:r w:rsidRPr="00FA6746">
        <w:t>skladování plynů prostř</w:t>
      </w:r>
      <w:r>
        <w:t>ednictvím soustavy zemního plynu</w:t>
      </w:r>
      <w:r w:rsidRPr="00FA6746">
        <w:t xml:space="preserve"> </w:t>
      </w:r>
      <w:r>
        <w:t xml:space="preserve">a nově také </w:t>
      </w:r>
      <w:r w:rsidRPr="00832371">
        <w:rPr>
          <w:u w:val="single"/>
        </w:rPr>
        <w:t>pravidel pro přepravu, dodávky a skladování vodíku pomocí vodíkové soustavy</w:t>
      </w:r>
      <w:r w:rsidRPr="00FA6746">
        <w:t xml:space="preserve">. </w:t>
      </w:r>
    </w:p>
    <w:p w:rsidR="0073345C" w:rsidRDefault="0073345C" w:rsidP="0073345C">
      <w:pPr>
        <w:spacing w:after="120"/>
        <w:jc w:val="both"/>
      </w:pPr>
      <w:r>
        <w:t xml:space="preserve">Dále jsou v návrhu stanovena </w:t>
      </w:r>
      <w:r w:rsidRPr="006D4F42">
        <w:rPr>
          <w:b/>
        </w:rPr>
        <w:t>obecná pravidla organizace trhu</w:t>
      </w:r>
      <w:r>
        <w:t>. Cílem by mělo být vytvoření k</w:t>
      </w:r>
      <w:r w:rsidRPr="006D4F42">
        <w:t>onkurenční</w:t>
      </w:r>
      <w:r>
        <w:t>ho</w:t>
      </w:r>
      <w:r w:rsidRPr="006D4F42">
        <w:t>, na spotřebitele zaměřené</w:t>
      </w:r>
      <w:r>
        <w:t>ho</w:t>
      </w:r>
      <w:r w:rsidRPr="006D4F42">
        <w:t>, pružné</w:t>
      </w:r>
      <w:r>
        <w:t>ho</w:t>
      </w:r>
      <w:r w:rsidRPr="006D4F42">
        <w:t xml:space="preserve"> a nediskriminační</w:t>
      </w:r>
      <w:r>
        <w:t>ho trhu</w:t>
      </w:r>
      <w:r w:rsidRPr="006D4F42">
        <w:t xml:space="preserve"> s</w:t>
      </w:r>
      <w:r>
        <w:t> </w:t>
      </w:r>
      <w:r w:rsidRPr="006D4F42">
        <w:t>plynem</w:t>
      </w:r>
      <w:r>
        <w:t xml:space="preserve"> (čl. 3).  Návrh také obsahuje pravidla pro</w:t>
      </w:r>
      <w:r w:rsidRPr="007438D0">
        <w:t xml:space="preserve"> </w:t>
      </w:r>
      <w:r>
        <w:t xml:space="preserve">tržní ceny za dodávky plynu. </w:t>
      </w:r>
      <w:r w:rsidRPr="007438D0">
        <w:t>Dodavatelé mohou volně stanovit cenu, za niž dod</w:t>
      </w:r>
      <w:r>
        <w:t xml:space="preserve">ávají plyny zákazníkům, členské státy musí nicméně </w:t>
      </w:r>
      <w:r w:rsidRPr="007438D0">
        <w:t>přijmou</w:t>
      </w:r>
      <w:r>
        <w:t>t vhodná opatření k </w:t>
      </w:r>
      <w:r w:rsidRPr="007438D0">
        <w:t>zajištění ú</w:t>
      </w:r>
      <w:r>
        <w:t xml:space="preserve">činné hospodářské soutěže mezi </w:t>
      </w:r>
      <w:r w:rsidRPr="007438D0">
        <w:t>dodavateli</w:t>
      </w:r>
      <w:r>
        <w:t xml:space="preserve"> (čl. 4)</w:t>
      </w:r>
      <w:r w:rsidRPr="007438D0">
        <w:t>.</w:t>
      </w:r>
      <w:r>
        <w:t xml:space="preserve"> Jsou zde stanovena také pravidla c</w:t>
      </w:r>
      <w:r w:rsidRPr="006D4F42">
        <w:t>ertifikace obnovitelných a nízkouhlíkových paliv</w:t>
      </w:r>
      <w:r>
        <w:t xml:space="preserve"> (čl. 8). Cílem certifikace je zajistit, </w:t>
      </w:r>
      <w:r w:rsidRPr="006D4F42">
        <w:t>aby úspory emisí skleníko</w:t>
      </w:r>
      <w:r>
        <w:t xml:space="preserve">vých plynů dosažené používáním </w:t>
      </w:r>
      <w:r w:rsidRPr="006D4F42">
        <w:t>nízkouhlíkových paliv a nízkouhlíkového vodíku dosahovaly alespoň 70 %</w:t>
      </w:r>
      <w:r>
        <w:t>.</w:t>
      </w:r>
    </w:p>
    <w:p w:rsidR="0073345C" w:rsidRDefault="0073345C" w:rsidP="0073345C">
      <w:pPr>
        <w:spacing w:after="120"/>
        <w:jc w:val="both"/>
      </w:pPr>
      <w:r>
        <w:t xml:space="preserve">Následně se návrh věnuje </w:t>
      </w:r>
      <w:r w:rsidRPr="00FA6746">
        <w:rPr>
          <w:b/>
        </w:rPr>
        <w:t>posílení postavení spotřebitelů</w:t>
      </w:r>
      <w:r>
        <w:t xml:space="preserve">. Je zde stanoven soubor </w:t>
      </w:r>
      <w:r w:rsidRPr="00ED0CC8">
        <w:t>práv spotřebitelů</w:t>
      </w:r>
      <w:r>
        <w:t xml:space="preserve"> - </w:t>
      </w:r>
      <w:r w:rsidRPr="00ED0CC8">
        <w:t>základní smluvní práva</w:t>
      </w:r>
      <w:r>
        <w:t>, právo</w:t>
      </w:r>
      <w:r w:rsidRPr="00ED0CC8">
        <w:t xml:space="preserve"> na změnu dodavatele a </w:t>
      </w:r>
      <w:r>
        <w:t xml:space="preserve">pravidla pro </w:t>
      </w:r>
      <w:r w:rsidRPr="00ED0CC8">
        <w:t>poplatky so</w:t>
      </w:r>
      <w:r>
        <w:t>uvisející s </w:t>
      </w:r>
      <w:r w:rsidRPr="00ED0CC8">
        <w:t xml:space="preserve">touto změnou, </w:t>
      </w:r>
      <w:r>
        <w:t xml:space="preserve">dále také pravidla </w:t>
      </w:r>
      <w:r w:rsidRPr="00ED0CC8">
        <w:t xml:space="preserve">týkající se srovnávacích nástrojů, aktivních zákazníků a občanských energetických </w:t>
      </w:r>
      <w:r w:rsidRPr="00ED0CC8">
        <w:lastRenderedPageBreak/>
        <w:t>společenství</w:t>
      </w:r>
      <w:r>
        <w:t xml:space="preserve"> (čl. 10-14)</w:t>
      </w:r>
      <w:r w:rsidRPr="00ED0CC8">
        <w:t xml:space="preserve">. </w:t>
      </w:r>
      <w:r>
        <w:t>Návrh o</w:t>
      </w:r>
      <w:r w:rsidRPr="00ED0CC8">
        <w:t xml:space="preserve">bsahuje </w:t>
      </w:r>
      <w:r>
        <w:t>také ustanovení o vyúčtování, inteligentním a </w:t>
      </w:r>
      <w:r w:rsidRPr="00ED0CC8">
        <w:t xml:space="preserve">běžném měření a </w:t>
      </w:r>
      <w:r>
        <w:t>správě údajů (čl. 15-21).</w:t>
      </w:r>
    </w:p>
    <w:p w:rsidR="0073345C" w:rsidRDefault="0073345C" w:rsidP="0073345C">
      <w:pPr>
        <w:spacing w:after="120"/>
        <w:jc w:val="both"/>
      </w:pPr>
      <w:r>
        <w:t xml:space="preserve">Poté návrh upravuje </w:t>
      </w:r>
      <w:r w:rsidRPr="00DD5D29">
        <w:rPr>
          <w:b/>
        </w:rPr>
        <w:t>přístup třetích osob k</w:t>
      </w:r>
      <w:r>
        <w:rPr>
          <w:b/>
        </w:rPr>
        <w:t> </w:t>
      </w:r>
      <w:r w:rsidRPr="00DD5D29">
        <w:rPr>
          <w:b/>
        </w:rPr>
        <w:t>infrastruktuře</w:t>
      </w:r>
      <w:r>
        <w:t>. Nejprve je upraven přístup k infrastruktuře zemního plynu – nově je stanoveno, že č</w:t>
      </w:r>
      <w:r w:rsidRPr="00F339CB">
        <w:t xml:space="preserve">lenské státy </w:t>
      </w:r>
      <w:r>
        <w:t>mají umožnit přístup na trh a k </w:t>
      </w:r>
      <w:r w:rsidRPr="00F339CB">
        <w:t xml:space="preserve">infrastruktuře pro </w:t>
      </w:r>
      <w:r>
        <w:t xml:space="preserve">plyny z obnovitelných zdrojů a </w:t>
      </w:r>
      <w:r w:rsidRPr="00F339CB">
        <w:t>nízkouhlíkové plyny</w:t>
      </w:r>
      <w:r>
        <w:t xml:space="preserve"> (čl. 26). Dále se nově uvádí, že </w:t>
      </w:r>
      <w:r w:rsidRPr="000D7AE5">
        <w:t xml:space="preserve">nemohou být uzavřeny žádné dlouhodobé smlouvy o dodávkách fosilního plynu bez omezování emisí, jejichž doba platnosti by překračovala konec roku 2049 </w:t>
      </w:r>
      <w:r>
        <w:t>(čl. 27).</w:t>
      </w:r>
    </w:p>
    <w:p w:rsidR="0073345C" w:rsidRDefault="0073345C" w:rsidP="0073345C">
      <w:pPr>
        <w:spacing w:after="120"/>
        <w:jc w:val="both"/>
      </w:pPr>
      <w:r>
        <w:t xml:space="preserve">Nově je zakotven </w:t>
      </w:r>
      <w:r w:rsidRPr="006209F8">
        <w:rPr>
          <w:b/>
        </w:rPr>
        <w:t>přístup třetích stran k vodíkové infrastruktuře</w:t>
      </w:r>
      <w:r>
        <w:t>. Pravidla se liší pro období před rokem 2030 - č</w:t>
      </w:r>
      <w:r w:rsidRPr="00460477">
        <w:t>lenské státy by mohly na přechodnou dobu do konce roku 2030 používat i sjednaný přístup k vodíkovým sítím</w:t>
      </w:r>
      <w:r>
        <w:t>, následně bude muset být přístup regulovaný (čl. 31).</w:t>
      </w:r>
    </w:p>
    <w:p w:rsidR="0073345C" w:rsidRPr="006209F8" w:rsidRDefault="0073345C" w:rsidP="0073345C">
      <w:pPr>
        <w:spacing w:after="120"/>
        <w:jc w:val="both"/>
      </w:pPr>
      <w:r>
        <w:t xml:space="preserve">Následně jsou zde upravena pravidla </w:t>
      </w:r>
      <w:r w:rsidRPr="006209F8">
        <w:rPr>
          <w:b/>
        </w:rPr>
        <w:t>pro odepření přístupu</w:t>
      </w:r>
      <w:r>
        <w:t xml:space="preserve"> nebo připojení k plynárenské nebo vodíkové soustavě (čl. 34). Přístup k soustavě pro plyny z obnovitelných zdrojů a nízkouhlíkové plyny může být odepřen pouze v omezeném množství případů.</w:t>
      </w:r>
    </w:p>
    <w:p w:rsidR="0073345C" w:rsidRDefault="0073345C" w:rsidP="0073345C">
      <w:pPr>
        <w:spacing w:after="120"/>
        <w:jc w:val="both"/>
      </w:pPr>
      <w:r>
        <w:t xml:space="preserve">V další části se návrh věnuje pravidlům vztahujícím se na </w:t>
      </w:r>
      <w:r w:rsidRPr="006209F8">
        <w:rPr>
          <w:b/>
        </w:rPr>
        <w:t>provozovatele přepravních soustav, skladovacích zařízení a soustav zemního plynu</w:t>
      </w:r>
      <w:r>
        <w:t>. Oproti stávající úpravě je nově doplněna například povinnost provozovatelů přepravních soustav spolupracovat s provozovateli distribučních soustav s cílem zajistit účinnou účast účastníků trhu připojených k síti na trhu (čl. 35). Dále je například navrhováno, že provozovatel přepravní soustavy bude muset zavést a zveřejnit transparentní a účinné postupy pro nediskriminační připojení nových zařízení na výrobu (těžbu) plynů z obnovitelných zdrojů a nízkouhlíkových plynů (čl. 37).</w:t>
      </w:r>
    </w:p>
    <w:p w:rsidR="0073345C" w:rsidRDefault="0073345C" w:rsidP="0073345C">
      <w:pPr>
        <w:spacing w:after="120"/>
        <w:jc w:val="both"/>
      </w:pPr>
      <w:r>
        <w:t xml:space="preserve">Z hlediska provozu </w:t>
      </w:r>
      <w:r w:rsidRPr="008D461D">
        <w:rPr>
          <w:b/>
        </w:rPr>
        <w:t>distribuční soustavy zemního plynu</w:t>
      </w:r>
      <w:r>
        <w:t xml:space="preserve"> návrh z velké části přebírá stávající právní úpravu. Nově je zakotvena například povinnost pro distribuční soustavy zveřejňovat transparentní a účinné postupy nediskriminačního připojení nových zařízení na výrobu (těžbu) plynů z obnovitelných zdrojů a nízkouhlíkových plynů (čl. 41).</w:t>
      </w:r>
    </w:p>
    <w:p w:rsidR="0073345C" w:rsidRPr="008D461D" w:rsidRDefault="0073345C" w:rsidP="0073345C">
      <w:pPr>
        <w:spacing w:after="120"/>
        <w:jc w:val="both"/>
      </w:pPr>
      <w:r>
        <w:t xml:space="preserve">Nově jsou upravena pravidla týkající se </w:t>
      </w:r>
      <w:r w:rsidRPr="008D461D">
        <w:rPr>
          <w:b/>
        </w:rPr>
        <w:t xml:space="preserve">provozování vodíkové </w:t>
      </w:r>
      <w:r w:rsidRPr="002129CF">
        <w:rPr>
          <w:b/>
        </w:rPr>
        <w:t>infrastruktury</w:t>
      </w:r>
      <w:r>
        <w:t>. Jsou zde stanoveny</w:t>
      </w:r>
      <w:r w:rsidRPr="008D461D">
        <w:t xml:space="preserve"> zejména úkoly provozovatelů vodíkových sítí</w:t>
      </w:r>
      <w:r>
        <w:t xml:space="preserve"> a</w:t>
      </w:r>
      <w:r w:rsidRPr="008D461D">
        <w:t xml:space="preserve"> provozovatelů</w:t>
      </w:r>
      <w:r>
        <w:t xml:space="preserve"> </w:t>
      </w:r>
      <w:r w:rsidRPr="008D461D">
        <w:t xml:space="preserve">skladovacích zařízení a terminálů, </w:t>
      </w:r>
      <w:r>
        <w:t>dále jsou zde vymezena</w:t>
      </w:r>
      <w:r w:rsidRPr="008D461D">
        <w:t xml:space="preserve"> ustanovení o stávajících vodíkových sítích</w:t>
      </w:r>
      <w:r>
        <w:t xml:space="preserve">, o </w:t>
      </w:r>
      <w:r w:rsidRPr="008D461D">
        <w:t>zeměpisně vymezených vodíkových sítích</w:t>
      </w:r>
      <w:r>
        <w:t>, o </w:t>
      </w:r>
      <w:r w:rsidRPr="008D461D">
        <w:t xml:space="preserve">propojovacích </w:t>
      </w:r>
      <w:r>
        <w:t xml:space="preserve">vedeních se třetími zeměmi a o </w:t>
      </w:r>
      <w:r w:rsidRPr="008D461D">
        <w:t>důvě</w:t>
      </w:r>
      <w:r>
        <w:t>rnosti z hlediska provozovatelů (čl. 46-50).</w:t>
      </w:r>
    </w:p>
    <w:p w:rsidR="0073345C" w:rsidRDefault="0073345C" w:rsidP="0073345C">
      <w:pPr>
        <w:spacing w:after="120"/>
        <w:jc w:val="both"/>
      </w:pPr>
      <w:r>
        <w:t xml:space="preserve">Dále se návrh zabývá </w:t>
      </w:r>
      <w:r w:rsidRPr="006A39D8">
        <w:rPr>
          <w:b/>
        </w:rPr>
        <w:t>integrovaným plánováním sítí</w:t>
      </w:r>
      <w:r>
        <w:t>. Z hlediska provozovatelů přepravních sítí je nově upravena například povinnost předkládat</w:t>
      </w:r>
      <w:r w:rsidRPr="006A39D8">
        <w:t xml:space="preserve"> desetiletý plán roz</w:t>
      </w:r>
      <w:r>
        <w:t>voje sítě založený na nabídce a </w:t>
      </w:r>
      <w:r w:rsidRPr="006A39D8">
        <w:t>poptávce</w:t>
      </w:r>
      <w:r>
        <w:t xml:space="preserve"> každé dva roky - namísto každého roku (čl. 51). Nově jsou zakotvena pravidla pro podávání zpráv o vývoji vodíkových sítí (čl. 52) a pravidla pro f</w:t>
      </w:r>
      <w:r w:rsidRPr="006A39D8">
        <w:t>inancování přeshraniční vodíkové infrastruktury</w:t>
      </w:r>
      <w:r>
        <w:t xml:space="preserve"> (čl. 53).</w:t>
      </w:r>
    </w:p>
    <w:p w:rsidR="0073345C" w:rsidRPr="00586A75" w:rsidRDefault="0073345C" w:rsidP="0073345C">
      <w:pPr>
        <w:spacing w:after="120"/>
        <w:jc w:val="both"/>
      </w:pPr>
      <w:r>
        <w:t xml:space="preserve">Posléze se návrh věnuje </w:t>
      </w:r>
      <w:r w:rsidRPr="006A39D8">
        <w:rPr>
          <w:b/>
        </w:rPr>
        <w:t>oddělení provozovatelů přepravních soustav</w:t>
      </w:r>
      <w:r>
        <w:t xml:space="preserve">. Části týkající se </w:t>
      </w:r>
      <w:r w:rsidRPr="00586A75">
        <w:t xml:space="preserve">oddělení vlastnictví, </w:t>
      </w:r>
      <w:r>
        <w:t>nezávislých provozovatelů soustav a nezávislých provozovatelů</w:t>
      </w:r>
      <w:r w:rsidRPr="00586A75">
        <w:t xml:space="preserve"> přepravní soustavy</w:t>
      </w:r>
      <w:r>
        <w:t xml:space="preserve"> (čl. 54-61) a také </w:t>
      </w:r>
      <w:r w:rsidRPr="00A627A3">
        <w:t>certifikace</w:t>
      </w:r>
      <w:r>
        <w:t xml:space="preserve"> a oddělení účetnictví (čl. 65-69) až na úpravy, spojené zejména s rozšířením na oblast vodíku, korespondují se stávající úpravou.  Nově je upravena část věnující se </w:t>
      </w:r>
      <w:r w:rsidRPr="00586A75">
        <w:rPr>
          <w:b/>
        </w:rPr>
        <w:t>oddělení provozovatelů vodíkových sítí</w:t>
      </w:r>
      <w:r>
        <w:t>. Mimo jiné se v návrhu uvádí, že je-li provozovatel vodíkové sítě součástí podniku působícího v oblasti přepravy nebo distribuce zemního plynu nebo elektřiny, musí být nezávislý, přinejmenším pokud jde o jeho právní formu (čl. 63).</w:t>
      </w:r>
    </w:p>
    <w:p w:rsidR="0073345C" w:rsidRDefault="0073345C" w:rsidP="0073345C">
      <w:pPr>
        <w:spacing w:after="120"/>
        <w:jc w:val="both"/>
      </w:pPr>
      <w:r>
        <w:t>Dále se návrh věnuje regulačním orgánům. Oproti stávající úpravě jsou mimo jiné rozšířeny povinnosti a pravomoci regulačních orgánů (čl. 72).</w:t>
      </w:r>
    </w:p>
    <w:p w:rsidR="0073345C" w:rsidRDefault="0073345C" w:rsidP="0073345C">
      <w:pPr>
        <w:jc w:val="both"/>
        <w:rPr>
          <w:i/>
          <w:u w:val="single"/>
        </w:rPr>
      </w:pPr>
      <w:r w:rsidRPr="00290008">
        <w:rPr>
          <w:i/>
          <w:u w:val="single"/>
        </w:rPr>
        <w:t>Dopad na státní rozpočet a právní řád ČR:</w:t>
      </w:r>
    </w:p>
    <w:p w:rsidR="0073345C" w:rsidRDefault="0073345C" w:rsidP="0073345C">
      <w:pPr>
        <w:jc w:val="both"/>
      </w:pPr>
      <w:r>
        <w:t>Nepředpokládá se významnější dopad na státní rozpočet. Z hlediska dopadu na právní řád lze očekávat nutnost změny zákona č. 458/2000 Sb., e</w:t>
      </w:r>
      <w:r w:rsidRPr="002E55C8">
        <w:t>nergetický zákon</w:t>
      </w:r>
      <w:r>
        <w:t xml:space="preserve"> a souvisejících předpisů.</w:t>
      </w:r>
    </w:p>
    <w:p w:rsidR="0073345C" w:rsidRPr="0048126F" w:rsidRDefault="0073345C" w:rsidP="0073345C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19" w:name="_Toc445380612"/>
      <w:bookmarkStart w:id="20" w:name="_Toc448302191"/>
      <w:r w:rsidRPr="0048126F">
        <w:lastRenderedPageBreak/>
        <w:t>Stanovisko vlády ČR:</w:t>
      </w:r>
      <w:bookmarkEnd w:id="19"/>
      <w:bookmarkEnd w:id="20"/>
    </w:p>
    <w:p w:rsidR="0073345C" w:rsidRDefault="0073345C" w:rsidP="0073345C">
      <w:pPr>
        <w:spacing w:after="120"/>
        <w:jc w:val="both"/>
        <w:rPr>
          <w:szCs w:val="24"/>
        </w:rPr>
      </w:pPr>
      <w:r>
        <w:t xml:space="preserve">Vláda </w:t>
      </w:r>
      <w:r>
        <w:rPr>
          <w:b/>
        </w:rPr>
        <w:t>návrh</w:t>
      </w:r>
      <w:r w:rsidRPr="007309B0">
        <w:rPr>
          <w:b/>
        </w:rPr>
        <w:t xml:space="preserve"> </w:t>
      </w:r>
      <w:r w:rsidRPr="007309B0">
        <w:rPr>
          <w:b/>
          <w:szCs w:val="24"/>
        </w:rPr>
        <w:t>směrnice o energetické náročnosti budov</w:t>
      </w:r>
      <w:r>
        <w:rPr>
          <w:b/>
          <w:szCs w:val="24"/>
        </w:rPr>
        <w:t xml:space="preserve"> </w:t>
      </w:r>
      <w:r w:rsidRPr="00B907F5">
        <w:rPr>
          <w:szCs w:val="24"/>
        </w:rPr>
        <w:t>považuje za důležitou součást legislativního balíčku Fit for 55</w:t>
      </w:r>
      <w:r>
        <w:rPr>
          <w:szCs w:val="24"/>
        </w:rPr>
        <w:t xml:space="preserve">, nicméně upozorňuje, že se jedná už o druhou revizi v relativně krátkém časovém úseku. Vláda proto ve svém stanovisku </w:t>
      </w:r>
      <w:r w:rsidRPr="00B907F5">
        <w:rPr>
          <w:szCs w:val="24"/>
        </w:rPr>
        <w:t>zdůrazňuje nutnost zachování nák</w:t>
      </w:r>
      <w:r>
        <w:rPr>
          <w:szCs w:val="24"/>
        </w:rPr>
        <w:t>ladové efektivity a technické a </w:t>
      </w:r>
      <w:r w:rsidRPr="00B907F5">
        <w:rPr>
          <w:szCs w:val="24"/>
        </w:rPr>
        <w:t>praktické proveditelnosti navrhovaných opatření, přičemž považuje splnění některých opatření v nastoleném horizontu za nerealistické.</w:t>
      </w:r>
      <w:r>
        <w:rPr>
          <w:szCs w:val="24"/>
        </w:rPr>
        <w:t xml:space="preserve"> Například u čl. 7, který upravuje standardy pro nové budovy, vláda </w:t>
      </w:r>
      <w:r w:rsidRPr="00B907F5">
        <w:rPr>
          <w:szCs w:val="24"/>
        </w:rPr>
        <w:t xml:space="preserve">upozorňuje, že stavebně-energetický sektor nedokáže reagovat na změny okamžitě a změna přístupu u výstavby budov potřebuje delší lhůtu než </w:t>
      </w:r>
      <w:r>
        <w:rPr>
          <w:szCs w:val="24"/>
        </w:rPr>
        <w:t>ve směrnici navrhovaných</w:t>
      </w:r>
      <w:r w:rsidRPr="00B907F5">
        <w:rPr>
          <w:szCs w:val="24"/>
        </w:rPr>
        <w:t xml:space="preserve"> 5 let</w:t>
      </w:r>
      <w:r>
        <w:rPr>
          <w:szCs w:val="24"/>
        </w:rPr>
        <w:t>.</w:t>
      </w:r>
      <w:r w:rsidRPr="00B907F5">
        <w:rPr>
          <w:szCs w:val="24"/>
        </w:rPr>
        <w:t xml:space="preserve"> </w:t>
      </w:r>
      <w:r>
        <w:rPr>
          <w:szCs w:val="24"/>
        </w:rPr>
        <w:t xml:space="preserve">Vláda nesouhlasí například také se zákazem poskytování finanční podpory pro instalaci kotlů na fosilní paliva od roku 2027. </w:t>
      </w:r>
    </w:p>
    <w:p w:rsidR="0073345C" w:rsidRDefault="0073345C" w:rsidP="0073345C">
      <w:pPr>
        <w:spacing w:after="120"/>
        <w:jc w:val="both"/>
        <w:rPr>
          <w:szCs w:val="24"/>
        </w:rPr>
      </w:pPr>
      <w:r w:rsidRPr="00363B40">
        <w:rPr>
          <w:szCs w:val="24"/>
        </w:rPr>
        <w:t>K</w:t>
      </w:r>
      <w:r>
        <w:rPr>
          <w:b/>
          <w:szCs w:val="24"/>
        </w:rPr>
        <w:t xml:space="preserve"> n</w:t>
      </w:r>
      <w:r w:rsidRPr="008B30E9">
        <w:rPr>
          <w:b/>
          <w:szCs w:val="24"/>
        </w:rPr>
        <w:t>ávrh</w:t>
      </w:r>
      <w:r>
        <w:rPr>
          <w:b/>
          <w:szCs w:val="24"/>
        </w:rPr>
        <w:t>u</w:t>
      </w:r>
      <w:r w:rsidRPr="008B30E9">
        <w:rPr>
          <w:b/>
          <w:szCs w:val="24"/>
        </w:rPr>
        <w:t xml:space="preserve"> nařízení o snižování emisí metanu</w:t>
      </w:r>
      <w:r>
        <w:rPr>
          <w:szCs w:val="24"/>
        </w:rPr>
        <w:t xml:space="preserve"> se vláda vyjádřila tak, že </w:t>
      </w:r>
      <w:r w:rsidRPr="008B30E9">
        <w:rPr>
          <w:szCs w:val="24"/>
        </w:rPr>
        <w:t>obecně vítá snahy o</w:t>
      </w:r>
      <w:r>
        <w:rPr>
          <w:szCs w:val="24"/>
        </w:rPr>
        <w:t> </w:t>
      </w:r>
      <w:r w:rsidRPr="008B30E9">
        <w:rPr>
          <w:szCs w:val="24"/>
        </w:rPr>
        <w:t>snižování emisí skleníkových plynů a postupnou dekarbonizaci energetického sektoru</w:t>
      </w:r>
      <w:r>
        <w:rPr>
          <w:szCs w:val="24"/>
        </w:rPr>
        <w:t>, k některým ustanovení má ovšem výhrady</w:t>
      </w:r>
      <w:r w:rsidRPr="008B30E9">
        <w:rPr>
          <w:szCs w:val="24"/>
        </w:rPr>
        <w:t>.</w:t>
      </w:r>
      <w:r>
        <w:rPr>
          <w:szCs w:val="24"/>
        </w:rPr>
        <w:t xml:space="preserve"> Vláda například poukazuje na to, že p</w:t>
      </w:r>
      <w:r w:rsidRPr="008B30E9">
        <w:rPr>
          <w:szCs w:val="24"/>
        </w:rPr>
        <w:t>rovozovatelům by měl být umožněn dostatečný čas na přípravu a realizaci všech souvisejících opatření podle tohoto naříz</w:t>
      </w:r>
      <w:r>
        <w:rPr>
          <w:szCs w:val="24"/>
        </w:rPr>
        <w:t>ení. Za nepřiměřenou považuje dále vláda například n</w:t>
      </w:r>
      <w:r w:rsidRPr="008B30E9">
        <w:rPr>
          <w:szCs w:val="24"/>
        </w:rPr>
        <w:t>avrženou</w:t>
      </w:r>
      <w:r>
        <w:rPr>
          <w:szCs w:val="24"/>
        </w:rPr>
        <w:t xml:space="preserve"> jednotnou tříměsíční</w:t>
      </w:r>
      <w:r w:rsidRPr="008B30E9">
        <w:rPr>
          <w:szCs w:val="24"/>
        </w:rPr>
        <w:t xml:space="preserve"> frekvenci kontrol úniků metanu </w:t>
      </w:r>
      <w:r>
        <w:rPr>
          <w:szCs w:val="24"/>
        </w:rPr>
        <w:t xml:space="preserve">v ropném a plynárenském sektoru. V </w:t>
      </w:r>
      <w:r w:rsidRPr="008B30E9">
        <w:rPr>
          <w:szCs w:val="24"/>
        </w:rPr>
        <w:t>některých případech</w:t>
      </w:r>
      <w:r>
        <w:rPr>
          <w:szCs w:val="24"/>
        </w:rPr>
        <w:t xml:space="preserve"> vláda považuje za nutné jasněji vymezit definice. </w:t>
      </w:r>
    </w:p>
    <w:p w:rsidR="0073345C" w:rsidRPr="00E85F3D" w:rsidRDefault="0073345C" w:rsidP="0073345C">
      <w:pPr>
        <w:spacing w:after="120"/>
        <w:jc w:val="both"/>
        <w:rPr>
          <w:szCs w:val="24"/>
        </w:rPr>
      </w:pPr>
      <w:r w:rsidRPr="00E85F3D">
        <w:rPr>
          <w:b/>
          <w:szCs w:val="24"/>
        </w:rPr>
        <w:t>Návrh nařízení o vnitřním trhu s</w:t>
      </w:r>
      <w:r>
        <w:rPr>
          <w:b/>
          <w:szCs w:val="24"/>
        </w:rPr>
        <w:t> </w:t>
      </w:r>
      <w:r w:rsidRPr="00E85F3D">
        <w:rPr>
          <w:b/>
          <w:szCs w:val="24"/>
        </w:rPr>
        <w:t>plyny</w:t>
      </w:r>
      <w:r>
        <w:rPr>
          <w:szCs w:val="24"/>
        </w:rPr>
        <w:t xml:space="preserve"> vláda</w:t>
      </w:r>
      <w:r w:rsidRPr="00837067">
        <w:rPr>
          <w:szCs w:val="24"/>
        </w:rPr>
        <w:t xml:space="preserve"> obecně akceptuje, má ale zásadní výhrady k některým ustanovením, respektive změnám, které nařízení ve velkém rozsahu přináší.</w:t>
      </w:r>
      <w:r>
        <w:rPr>
          <w:szCs w:val="24"/>
        </w:rPr>
        <w:t xml:space="preserve"> Vláda například nepovažuje za vhodná některá ustanovení týkající se </w:t>
      </w:r>
      <w:r w:rsidRPr="00B40C51">
        <w:rPr>
          <w:szCs w:val="24"/>
        </w:rPr>
        <w:t>přístup</w:t>
      </w:r>
      <w:r>
        <w:rPr>
          <w:szCs w:val="24"/>
        </w:rPr>
        <w:t>u třetích stran, pokud jde o </w:t>
      </w:r>
      <w:r w:rsidRPr="00B40C51">
        <w:rPr>
          <w:szCs w:val="24"/>
        </w:rPr>
        <w:t>provozovatele vodíkové soustavy</w:t>
      </w:r>
      <w:r>
        <w:rPr>
          <w:szCs w:val="24"/>
        </w:rPr>
        <w:t xml:space="preserve">. Vláda také nesouhlasí s některými parametry nastavení slev </w:t>
      </w:r>
      <w:r w:rsidRPr="00EF2755">
        <w:rPr>
          <w:szCs w:val="24"/>
        </w:rPr>
        <w:t>ze sazeb na plyny z obnovitelných zdrojů a nízkouhlíkové plyny</w:t>
      </w:r>
      <w:r>
        <w:rPr>
          <w:szCs w:val="24"/>
        </w:rPr>
        <w:t xml:space="preserve">. Vláda má rovněž výhrady k vytvoření Evropské sítě </w:t>
      </w:r>
      <w:r w:rsidRPr="00615CAF">
        <w:rPr>
          <w:szCs w:val="24"/>
        </w:rPr>
        <w:t>provozovatelů vodíkových sítí</w:t>
      </w:r>
      <w:r>
        <w:rPr>
          <w:szCs w:val="24"/>
        </w:rPr>
        <w:t xml:space="preserve">. V rámci navrhované úpravy pro kodexy sítě má vláda mimo jiné výhrady k rozšiřování pravomocí Komise k přijímání aktů v přenesené působnosti. Vláda má výhrady také k navrhovaným změnám v nařízení </w:t>
      </w:r>
      <w:r w:rsidRPr="00E85F3D">
        <w:rPr>
          <w:szCs w:val="24"/>
        </w:rPr>
        <w:t>o opatřeních na zajištění bezpečnosti dodávek zemního plynu</w:t>
      </w:r>
      <w:r>
        <w:rPr>
          <w:szCs w:val="24"/>
        </w:rPr>
        <w:t>.</w:t>
      </w:r>
    </w:p>
    <w:p w:rsidR="0073345C" w:rsidRDefault="0073345C" w:rsidP="0073345C">
      <w:pPr>
        <w:jc w:val="both"/>
      </w:pPr>
      <w:r>
        <w:rPr>
          <w:b/>
        </w:rPr>
        <w:t>N</w:t>
      </w:r>
      <w:r w:rsidRPr="00177FEE">
        <w:rPr>
          <w:b/>
        </w:rPr>
        <w:t>ávrh směrnice o pravidlech pro vnitřní trh s</w:t>
      </w:r>
      <w:r>
        <w:rPr>
          <w:b/>
        </w:rPr>
        <w:t> </w:t>
      </w:r>
      <w:r w:rsidRPr="00177FEE">
        <w:rPr>
          <w:b/>
        </w:rPr>
        <w:t>plyny</w:t>
      </w:r>
      <w:r>
        <w:rPr>
          <w:b/>
        </w:rPr>
        <w:t xml:space="preserve"> </w:t>
      </w:r>
      <w:r w:rsidRPr="00177FEE">
        <w:t xml:space="preserve">vláda obecně akceptuje, má ale zásadní výhrady k některým ustanovením, respektive změnám, které </w:t>
      </w:r>
      <w:r>
        <w:t>by návrh směrnice přinesl. Vláda považuje za neopodstatněné u</w:t>
      </w:r>
      <w:r w:rsidRPr="00177FEE">
        <w:t>platňování rozdílných a příliš restriktivních požadavků na soustavu pro zemní plyn a vodíkovou soustavu.</w:t>
      </w:r>
      <w:r>
        <w:t xml:space="preserve"> Vláda má výhrady například k čl. 62 a 63 upravujícím </w:t>
      </w:r>
      <w:r w:rsidRPr="00BA0DCC">
        <w:t>oddělení provozovatelů vodíkových sít</w:t>
      </w:r>
      <w:r>
        <w:t xml:space="preserve">í. Dále má vláda připomínky například k nastavení k </w:t>
      </w:r>
      <w:r w:rsidRPr="00BA0DCC">
        <w:t>pravidel pro financování vodíkové infrastruktury</w:t>
      </w:r>
      <w:r>
        <w:t>.</w:t>
      </w:r>
    </w:p>
    <w:p w:rsidR="0073345C" w:rsidRPr="0048126F" w:rsidRDefault="0073345C" w:rsidP="0073345C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21" w:name="_Toc445380613"/>
      <w:bookmarkStart w:id="22" w:name="_Toc448302192"/>
      <w:r w:rsidRPr="0048126F">
        <w:t>Předpokládaný harmonogram projednávání v orgánech EU:</w:t>
      </w:r>
      <w:bookmarkEnd w:id="21"/>
      <w:bookmarkEnd w:id="22"/>
    </w:p>
    <w:p w:rsidR="0073345C" w:rsidRDefault="0073345C" w:rsidP="0073345C">
      <w:pPr>
        <w:spacing w:after="120"/>
        <w:jc w:val="both"/>
      </w:pPr>
      <w:r>
        <w:t xml:space="preserve">Všechny návrhy jsou </w:t>
      </w:r>
      <w:r w:rsidRPr="00EB3094">
        <w:t>momentálně projednáván</w:t>
      </w:r>
      <w:r>
        <w:t>y</w:t>
      </w:r>
      <w:r w:rsidRPr="00EB3094">
        <w:t xml:space="preserve"> v přípravných orgánech Rady. V </w:t>
      </w:r>
      <w:r w:rsidRPr="003373E5">
        <w:t>Evropském parlamentu</w:t>
      </w:r>
      <w:r w:rsidRPr="00EB3094">
        <w:t xml:space="preserve"> je k projednání</w:t>
      </w:r>
      <w:r w:rsidRPr="001A7B33">
        <w:t xml:space="preserve"> </w:t>
      </w:r>
      <w:hyperlink r:id="rId31" w:history="1">
        <w:r w:rsidRPr="001A7B33">
          <w:rPr>
            <w:rStyle w:val="Hypertextovodkaz"/>
          </w:rPr>
          <w:t>návrhu směrnice o energetické náročnosti budov</w:t>
        </w:r>
      </w:hyperlink>
      <w:r>
        <w:t xml:space="preserve"> příslušný </w:t>
      </w:r>
      <w:r w:rsidRPr="001A7B33">
        <w:t>Výbor pro průmysl, výzkum a energetiku</w:t>
      </w:r>
      <w:r>
        <w:t xml:space="preserve">, k vypracování stanoviska jsou pověřeny </w:t>
      </w:r>
      <w:r w:rsidRPr="00EB3094">
        <w:t>Výbor pro životní prostředí veřejné zdraví</w:t>
      </w:r>
      <w:r>
        <w:t xml:space="preserve"> a bezpečnost potravin, Rozpočtový výbor, </w:t>
      </w:r>
      <w:r w:rsidRPr="001A7B33">
        <w:t>Výbor pro dopravu a cestovní ruch</w:t>
      </w:r>
      <w:r>
        <w:t xml:space="preserve"> a </w:t>
      </w:r>
      <w:r w:rsidRPr="001A7B33">
        <w:t>Výbor pro právní záležitosti</w:t>
      </w:r>
      <w:r>
        <w:t>. K projednání</w:t>
      </w:r>
      <w:r w:rsidRPr="00EB3094">
        <w:t xml:space="preserve"> </w:t>
      </w:r>
      <w:hyperlink r:id="rId32" w:history="1">
        <w:r w:rsidRPr="003373E5">
          <w:rPr>
            <w:rStyle w:val="Hypertextovodkaz"/>
          </w:rPr>
          <w:t>návrhu nařízení o snižování emisí metanu</w:t>
        </w:r>
      </w:hyperlink>
      <w:r w:rsidRPr="00C71BED">
        <w:t xml:space="preserve"> </w:t>
      </w:r>
      <w:r>
        <w:t xml:space="preserve">je </w:t>
      </w:r>
      <w:r w:rsidRPr="00EB3094">
        <w:t>příslušný Výbor pro životní prostředí, veřejné zdraví a bezpečnost potravin</w:t>
      </w:r>
      <w:r>
        <w:t>, p</w:t>
      </w:r>
      <w:r w:rsidRPr="00EB3094">
        <w:t>ověřeny k vypracování stanoviska jsou</w:t>
      </w:r>
      <w:r>
        <w:t xml:space="preserve"> </w:t>
      </w:r>
      <w:r w:rsidRPr="00262C48">
        <w:t xml:space="preserve">Výbor pro zemědělství a rozvoj venkova </w:t>
      </w:r>
      <w:r>
        <w:t>a </w:t>
      </w:r>
      <w:r w:rsidRPr="0046098B">
        <w:t>Výbor pro průmysl, výzkum a energetiku</w:t>
      </w:r>
      <w:r>
        <w:t xml:space="preserve">. </w:t>
      </w:r>
    </w:p>
    <w:p w:rsidR="0073345C" w:rsidRPr="00262C48" w:rsidRDefault="0073345C" w:rsidP="0073345C">
      <w:pPr>
        <w:spacing w:after="120"/>
        <w:jc w:val="both"/>
        <w:rPr>
          <w:szCs w:val="24"/>
        </w:rPr>
      </w:pPr>
      <w:r>
        <w:t>K projednání </w:t>
      </w:r>
      <w:hyperlink r:id="rId33" w:history="1">
        <w:r w:rsidRPr="00262C48">
          <w:rPr>
            <w:rStyle w:val="Hypertextovodkaz"/>
            <w:szCs w:val="24"/>
          </w:rPr>
          <w:t>návrhu nařízení o vnitřním trhu s plyny</w:t>
        </w:r>
      </w:hyperlink>
      <w:r>
        <w:rPr>
          <w:szCs w:val="24"/>
        </w:rPr>
        <w:t xml:space="preserve"> je příslušný </w:t>
      </w:r>
      <w:r>
        <w:t>Výbor pro průmysl, výzkum a </w:t>
      </w:r>
      <w:r w:rsidRPr="001A7B33">
        <w:t>energetiku</w:t>
      </w:r>
      <w:r>
        <w:t xml:space="preserve">, vypracovávat stanoviska budou </w:t>
      </w:r>
      <w:r w:rsidRPr="00262C48">
        <w:t>Výbor pro zemědělství a rozvoj venkova</w:t>
      </w:r>
      <w:r>
        <w:t xml:space="preserve"> a </w:t>
      </w:r>
      <w:r w:rsidRPr="001A7B33">
        <w:t>Výbor pro právní záležitosti</w:t>
      </w:r>
      <w:r>
        <w:t>. K projednání</w:t>
      </w:r>
      <w:r>
        <w:rPr>
          <w:szCs w:val="24"/>
        </w:rPr>
        <w:t> </w:t>
      </w:r>
      <w:hyperlink r:id="rId34" w:history="1">
        <w:r w:rsidRPr="00262C48">
          <w:rPr>
            <w:rStyle w:val="Hypertextovodkaz"/>
            <w:szCs w:val="24"/>
          </w:rPr>
          <w:t>návrhu směrnice o pravidlech pro vnitřní trh s plyny</w:t>
        </w:r>
      </w:hyperlink>
      <w:r>
        <w:rPr>
          <w:szCs w:val="24"/>
        </w:rPr>
        <w:t xml:space="preserve"> je příslušný </w:t>
      </w:r>
      <w:r>
        <w:t>Výbor pro průmysl, výzkum a </w:t>
      </w:r>
      <w:r w:rsidRPr="001A7B33">
        <w:t>energetiku</w:t>
      </w:r>
      <w:r>
        <w:rPr>
          <w:szCs w:val="24"/>
        </w:rPr>
        <w:t xml:space="preserve">, stanovisko bude vypracovávat </w:t>
      </w:r>
      <w:r w:rsidRPr="00262C48">
        <w:rPr>
          <w:szCs w:val="24"/>
        </w:rPr>
        <w:t xml:space="preserve">Výbor pro </w:t>
      </w:r>
      <w:r>
        <w:rPr>
          <w:szCs w:val="24"/>
        </w:rPr>
        <w:t>vnitřní trh a </w:t>
      </w:r>
      <w:r w:rsidRPr="00262C48">
        <w:rPr>
          <w:szCs w:val="24"/>
        </w:rPr>
        <w:t>ochranu spotřebitelů</w:t>
      </w:r>
      <w:r>
        <w:rPr>
          <w:szCs w:val="24"/>
        </w:rPr>
        <w:t xml:space="preserve">, </w:t>
      </w:r>
      <w:r w:rsidRPr="00262C48">
        <w:rPr>
          <w:szCs w:val="24"/>
        </w:rPr>
        <w:t>Výbor pro zemědělství a rozvoj venkova</w:t>
      </w:r>
      <w:r>
        <w:rPr>
          <w:szCs w:val="24"/>
        </w:rPr>
        <w:t xml:space="preserve">, </w:t>
      </w:r>
      <w:r w:rsidRPr="00262C48">
        <w:rPr>
          <w:szCs w:val="24"/>
        </w:rPr>
        <w:t>Výbor pro občanské svobody, spravedlnost a vnitřní věci</w:t>
      </w:r>
      <w:r>
        <w:rPr>
          <w:szCs w:val="24"/>
        </w:rPr>
        <w:t xml:space="preserve"> a </w:t>
      </w:r>
      <w:r w:rsidRPr="00262C48">
        <w:rPr>
          <w:szCs w:val="24"/>
        </w:rPr>
        <w:t>Výbor pro právní záležitosti</w:t>
      </w:r>
      <w:r>
        <w:rPr>
          <w:szCs w:val="24"/>
        </w:rPr>
        <w:t xml:space="preserve">. </w:t>
      </w:r>
    </w:p>
    <w:p w:rsidR="0073345C" w:rsidRPr="004752CA" w:rsidRDefault="0073345C" w:rsidP="004752CA">
      <w:pPr>
        <w:jc w:val="both"/>
      </w:pPr>
      <w:r>
        <w:t>Z</w:t>
      </w:r>
      <w:r w:rsidRPr="00B15DEA">
        <w:t xml:space="preserve">pracovala </w:t>
      </w:r>
      <w:r>
        <w:t>Mgr. Tereza Gajdová</w:t>
      </w:r>
      <w:r w:rsidRPr="00B15DEA">
        <w:t>, odborná konzultantka Parlamentního institutu Kanceláře PS PČR.</w:t>
      </w:r>
      <w:bookmarkEnd w:id="2"/>
      <w:bookmarkEnd w:id="3"/>
      <w:bookmarkEnd w:id="4"/>
      <w:bookmarkEnd w:id="5"/>
      <w:bookmarkEnd w:id="6"/>
      <w:bookmarkEnd w:id="7"/>
    </w:p>
    <w:sectPr w:rsidR="0073345C" w:rsidRPr="004752CA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01F" w:rsidRDefault="00AF701F" w:rsidP="00AF701F">
      <w:pPr>
        <w:spacing w:after="0" w:line="240" w:lineRule="auto"/>
      </w:pPr>
      <w:r>
        <w:separator/>
      </w:r>
    </w:p>
  </w:endnote>
  <w:end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01F" w:rsidRDefault="00AF701F" w:rsidP="00AF701F">
      <w:pPr>
        <w:spacing w:after="0" w:line="240" w:lineRule="auto"/>
      </w:pPr>
      <w:r>
        <w:separator/>
      </w:r>
    </w:p>
  </w:footnote>
  <w:foot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footnote>
  <w:footnote w:id="1">
    <w:p w:rsidR="0073345C" w:rsidRDefault="0073345C" w:rsidP="0073345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57F20">
        <w:t>Směrnice Evropského parlamentu a Rady (EU) 2018/844 ze dne 30. května 2018, kterou se mění směrnice 2010/31/EU o energetické náročnosti budov a směrnice 2012/27/EU o energetické účinnosti</w:t>
      </w:r>
      <w:r>
        <w:t>.</w:t>
      </w:r>
    </w:p>
  </w:footnote>
  <w:footnote w:id="2">
    <w:p w:rsidR="0073345C" w:rsidRDefault="0073345C" w:rsidP="0073345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57F20">
        <w:t>Nařízení Evropského parlamentu a Rady (EU) 2018/1999 ze dne 11. prosince 2018 o správě energetické unie a opatření v oblasti klimatu, kterým se mění nařízení Evropského parlamentu a Rady (ES) č. 663/2009 a (ES) č. 715/2009, směrnice Evropského parlamentu a Rady 94/22/ES, 98/70/ES, 2009/31/ES, 2009/73/ES, 2010/31/EU, 2012/27/EU a 2013/30/EU, směrnice Rady 2009/119/ES a (EU) 2015/652 a zrušuje nařízení Evropského parlamentu a Rady</w:t>
      </w:r>
      <w:r>
        <w:t>.</w:t>
      </w:r>
    </w:p>
  </w:footnote>
  <w:footnote w:id="3">
    <w:p w:rsidR="0073345C" w:rsidRDefault="0073345C" w:rsidP="0073345C">
      <w:pPr>
        <w:pStyle w:val="Textpoznpodarou"/>
      </w:pPr>
      <w:r>
        <w:rPr>
          <w:rStyle w:val="Znakapoznpodarou"/>
        </w:rPr>
        <w:footnoteRef/>
      </w:r>
      <w:r>
        <w:t xml:space="preserve"> Viz také tisková zpráva Komise: </w:t>
      </w:r>
      <w:hyperlink r:id="rId1" w:history="1">
        <w:r w:rsidRPr="00A32119">
          <w:rPr>
            <w:rStyle w:val="Hypertextovodkaz"/>
          </w:rPr>
          <w:t>https://ec.europa.eu/commission/presscorner/detail/cs/QANDA_21_6685</w:t>
        </w:r>
      </w:hyperlink>
      <w:r>
        <w:rPr>
          <w:rStyle w:val="Hypertextovodkaz"/>
        </w:rPr>
        <w:t>.</w:t>
      </w:r>
      <w:r>
        <w:t xml:space="preserve"> </w:t>
      </w:r>
    </w:p>
  </w:footnote>
  <w:footnote w:id="4">
    <w:p w:rsidR="0073345C" w:rsidRDefault="0073345C" w:rsidP="0073345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A46FE9">
        <w:t>Nařízení Evropského parlamentu a Rady (ES) č. 715/2009 ze dne 13. července 2009 o podmínkách přístupu k</w:t>
      </w:r>
      <w:r>
        <w:t> </w:t>
      </w:r>
      <w:r w:rsidRPr="00A46FE9">
        <w:t>plynárenským přepravním soustavám a o zrušení nařízení (ES) č. 1775/2005</w:t>
      </w:r>
    </w:p>
  </w:footnote>
  <w:footnote w:id="5">
    <w:p w:rsidR="0073345C" w:rsidRDefault="0073345C" w:rsidP="0073345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3C44A3">
        <w:t>Nařízení Evropského parlamentu a Rady (EU) 2019/943 ze dne 5. června 2019 o vnitřním trhu s elektřinou</w:t>
      </w:r>
    </w:p>
  </w:footnote>
  <w:footnote w:id="6">
    <w:p w:rsidR="0073345C" w:rsidRDefault="0073345C" w:rsidP="0073345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A656D9">
        <w:t>Nařízení Evropského parlamentu a Rady (EU) 2017/1938 ze dne 25. října 2017 o opatřeních na zajištění bezpečnosti dodávek zemního plynu a o zrušení nařízení (EU) č. 994/201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26A39D1"/>
    <w:multiLevelType w:val="multilevel"/>
    <w:tmpl w:val="B8529282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03602FA3"/>
    <w:multiLevelType w:val="hybridMultilevel"/>
    <w:tmpl w:val="847CF8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E2E70"/>
    <w:multiLevelType w:val="hybridMultilevel"/>
    <w:tmpl w:val="C91020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FD88093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B50C0"/>
    <w:multiLevelType w:val="hybridMultilevel"/>
    <w:tmpl w:val="A17C8D1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A7488"/>
    <w:multiLevelType w:val="hybridMultilevel"/>
    <w:tmpl w:val="26120AD8"/>
    <w:lvl w:ilvl="0" w:tplc="BB44B070">
      <w:start w:val="1"/>
      <w:numFmt w:val="upperRoman"/>
      <w:lvlText w:val="%1."/>
      <w:lvlJc w:val="left"/>
      <w:pPr>
        <w:ind w:left="157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EC3236"/>
    <w:multiLevelType w:val="hybridMultilevel"/>
    <w:tmpl w:val="419A377C"/>
    <w:lvl w:ilvl="0" w:tplc="23B8ADB4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77F62"/>
    <w:multiLevelType w:val="hybridMultilevel"/>
    <w:tmpl w:val="BC78D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60982"/>
    <w:multiLevelType w:val="multilevel"/>
    <w:tmpl w:val="E39C9C4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9" w15:restartNumberingAfterBreak="0">
    <w:nsid w:val="1EA83A57"/>
    <w:multiLevelType w:val="hybridMultilevel"/>
    <w:tmpl w:val="CB1450D2"/>
    <w:lvl w:ilvl="0" w:tplc="7E642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1" w15:restartNumberingAfterBreak="0">
    <w:nsid w:val="2AC21FAC"/>
    <w:multiLevelType w:val="multilevel"/>
    <w:tmpl w:val="4D4E131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F0418"/>
    <w:multiLevelType w:val="hybridMultilevel"/>
    <w:tmpl w:val="CEE4BBF6"/>
    <w:lvl w:ilvl="0" w:tplc="04050013">
      <w:start w:val="1"/>
      <w:numFmt w:val="upperRoman"/>
      <w:lvlText w:val="%1."/>
      <w:lvlJc w:val="righ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4" w15:restartNumberingAfterBreak="0">
    <w:nsid w:val="32411480"/>
    <w:multiLevelType w:val="hybridMultilevel"/>
    <w:tmpl w:val="6A22056A"/>
    <w:lvl w:ilvl="0" w:tplc="BB44B0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7648976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5D2BDF"/>
    <w:multiLevelType w:val="hybridMultilevel"/>
    <w:tmpl w:val="B1C433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606D83"/>
    <w:multiLevelType w:val="singleLevel"/>
    <w:tmpl w:val="A6660ED0"/>
    <w:lvl w:ilvl="0">
      <w:start w:val="1"/>
      <w:numFmt w:val="decimal"/>
      <w:pStyle w:val="stt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A4878E0"/>
    <w:multiLevelType w:val="hybridMultilevel"/>
    <w:tmpl w:val="A7E48346"/>
    <w:lvl w:ilvl="0" w:tplc="0F7A27D0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B431D6"/>
    <w:multiLevelType w:val="hybridMultilevel"/>
    <w:tmpl w:val="842A9E2A"/>
    <w:lvl w:ilvl="0" w:tplc="20327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44632F"/>
    <w:multiLevelType w:val="hybridMultilevel"/>
    <w:tmpl w:val="BF3E2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F51B28"/>
    <w:multiLevelType w:val="hybridMultilevel"/>
    <w:tmpl w:val="0714F1D6"/>
    <w:lvl w:ilvl="0" w:tplc="BFD60960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2FD6008"/>
    <w:multiLevelType w:val="hybridMultilevel"/>
    <w:tmpl w:val="340ADA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BE64E4"/>
    <w:multiLevelType w:val="hybridMultilevel"/>
    <w:tmpl w:val="9A8EB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0376BA"/>
    <w:multiLevelType w:val="hybridMultilevel"/>
    <w:tmpl w:val="096CC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631B6A"/>
    <w:multiLevelType w:val="hybridMultilevel"/>
    <w:tmpl w:val="DFBA87CA"/>
    <w:lvl w:ilvl="0" w:tplc="BC42C1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8617913"/>
    <w:multiLevelType w:val="hybridMultilevel"/>
    <w:tmpl w:val="450E81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28"/>
  </w:num>
  <w:num w:numId="4">
    <w:abstractNumId w:val="13"/>
  </w:num>
  <w:num w:numId="5">
    <w:abstractNumId w:val="0"/>
  </w:num>
  <w:num w:numId="6">
    <w:abstractNumId w:val="16"/>
  </w:num>
  <w:num w:numId="7">
    <w:abstractNumId w:val="17"/>
  </w:num>
  <w:num w:numId="8">
    <w:abstractNumId w:val="11"/>
  </w:num>
  <w:num w:numId="9">
    <w:abstractNumId w:val="19"/>
  </w:num>
  <w:num w:numId="10">
    <w:abstractNumId w:val="30"/>
  </w:num>
  <w:num w:numId="11">
    <w:abstractNumId w:val="26"/>
  </w:num>
  <w:num w:numId="12">
    <w:abstractNumId w:val="20"/>
  </w:num>
  <w:num w:numId="13">
    <w:abstractNumId w:val="25"/>
  </w:num>
  <w:num w:numId="14">
    <w:abstractNumId w:val="7"/>
  </w:num>
  <w:num w:numId="15">
    <w:abstractNumId w:val="22"/>
  </w:num>
  <w:num w:numId="16">
    <w:abstractNumId w:val="2"/>
  </w:num>
  <w:num w:numId="17">
    <w:abstractNumId w:val="3"/>
  </w:num>
  <w:num w:numId="18">
    <w:abstractNumId w:val="29"/>
  </w:num>
  <w:num w:numId="19">
    <w:abstractNumId w:val="4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12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21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3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14"/>
  </w:num>
  <w:num w:numId="32">
    <w:abstractNumId w:val="9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13B4F"/>
    <w:rsid w:val="00013F1C"/>
    <w:rsid w:val="0002401D"/>
    <w:rsid w:val="00041825"/>
    <w:rsid w:val="000435F4"/>
    <w:rsid w:val="00061FAE"/>
    <w:rsid w:val="00077E7D"/>
    <w:rsid w:val="000807A3"/>
    <w:rsid w:val="00084A9E"/>
    <w:rsid w:val="00092605"/>
    <w:rsid w:val="000A6AB9"/>
    <w:rsid w:val="000F096B"/>
    <w:rsid w:val="000F7C41"/>
    <w:rsid w:val="001426DE"/>
    <w:rsid w:val="001468FA"/>
    <w:rsid w:val="00156F43"/>
    <w:rsid w:val="00157CB8"/>
    <w:rsid w:val="001625BA"/>
    <w:rsid w:val="001642B0"/>
    <w:rsid w:val="00167C49"/>
    <w:rsid w:val="001816FB"/>
    <w:rsid w:val="001A019C"/>
    <w:rsid w:val="001B0B56"/>
    <w:rsid w:val="001C4651"/>
    <w:rsid w:val="001C5B87"/>
    <w:rsid w:val="001D79C9"/>
    <w:rsid w:val="001E578B"/>
    <w:rsid w:val="00216821"/>
    <w:rsid w:val="002601E5"/>
    <w:rsid w:val="00270B75"/>
    <w:rsid w:val="00282B37"/>
    <w:rsid w:val="002B4BE8"/>
    <w:rsid w:val="002C464C"/>
    <w:rsid w:val="002D4FEB"/>
    <w:rsid w:val="002E2EFB"/>
    <w:rsid w:val="002E3429"/>
    <w:rsid w:val="002E3C24"/>
    <w:rsid w:val="002E5FAE"/>
    <w:rsid w:val="00312DA4"/>
    <w:rsid w:val="0032533C"/>
    <w:rsid w:val="003329C4"/>
    <w:rsid w:val="00344880"/>
    <w:rsid w:val="0038206C"/>
    <w:rsid w:val="0038487B"/>
    <w:rsid w:val="00387E1C"/>
    <w:rsid w:val="00390A7A"/>
    <w:rsid w:val="0039620C"/>
    <w:rsid w:val="003C4840"/>
    <w:rsid w:val="003D0C66"/>
    <w:rsid w:val="003D1B05"/>
    <w:rsid w:val="004109E4"/>
    <w:rsid w:val="0041401D"/>
    <w:rsid w:val="00434A11"/>
    <w:rsid w:val="00435608"/>
    <w:rsid w:val="00436533"/>
    <w:rsid w:val="00451218"/>
    <w:rsid w:val="00451C36"/>
    <w:rsid w:val="00464DA7"/>
    <w:rsid w:val="004653E7"/>
    <w:rsid w:val="00474A0B"/>
    <w:rsid w:val="004752CA"/>
    <w:rsid w:val="004B1695"/>
    <w:rsid w:val="004C3484"/>
    <w:rsid w:val="004C3CDF"/>
    <w:rsid w:val="004E2BA6"/>
    <w:rsid w:val="005025FC"/>
    <w:rsid w:val="00503C0B"/>
    <w:rsid w:val="00513223"/>
    <w:rsid w:val="005254AE"/>
    <w:rsid w:val="00531130"/>
    <w:rsid w:val="005373D4"/>
    <w:rsid w:val="00537E15"/>
    <w:rsid w:val="00543B97"/>
    <w:rsid w:val="00555EC9"/>
    <w:rsid w:val="0058397D"/>
    <w:rsid w:val="005C054E"/>
    <w:rsid w:val="005D07D7"/>
    <w:rsid w:val="005D41E3"/>
    <w:rsid w:val="005D6318"/>
    <w:rsid w:val="005E41AB"/>
    <w:rsid w:val="005F7A2B"/>
    <w:rsid w:val="005F7E82"/>
    <w:rsid w:val="006020AF"/>
    <w:rsid w:val="006137FB"/>
    <w:rsid w:val="006300DD"/>
    <w:rsid w:val="006447D1"/>
    <w:rsid w:val="006518B7"/>
    <w:rsid w:val="00675452"/>
    <w:rsid w:val="0067644A"/>
    <w:rsid w:val="006A63D3"/>
    <w:rsid w:val="006B7661"/>
    <w:rsid w:val="006C7FB2"/>
    <w:rsid w:val="00703C41"/>
    <w:rsid w:val="00710A0E"/>
    <w:rsid w:val="00711113"/>
    <w:rsid w:val="007121B2"/>
    <w:rsid w:val="0073345C"/>
    <w:rsid w:val="00745C58"/>
    <w:rsid w:val="007570A2"/>
    <w:rsid w:val="007706FD"/>
    <w:rsid w:val="007D09E1"/>
    <w:rsid w:val="007E71D7"/>
    <w:rsid w:val="00806CFD"/>
    <w:rsid w:val="00811F5C"/>
    <w:rsid w:val="008275C7"/>
    <w:rsid w:val="00830838"/>
    <w:rsid w:val="0083478E"/>
    <w:rsid w:val="008547C9"/>
    <w:rsid w:val="00855797"/>
    <w:rsid w:val="00877D5E"/>
    <w:rsid w:val="00881204"/>
    <w:rsid w:val="00885B9E"/>
    <w:rsid w:val="00886500"/>
    <w:rsid w:val="00887168"/>
    <w:rsid w:val="008912A9"/>
    <w:rsid w:val="00897B1B"/>
    <w:rsid w:val="00897CCB"/>
    <w:rsid w:val="008B0A30"/>
    <w:rsid w:val="008B7AA3"/>
    <w:rsid w:val="008D1488"/>
    <w:rsid w:val="008D731D"/>
    <w:rsid w:val="008E0029"/>
    <w:rsid w:val="008E715C"/>
    <w:rsid w:val="009040E6"/>
    <w:rsid w:val="00912EB4"/>
    <w:rsid w:val="009532CA"/>
    <w:rsid w:val="009608C9"/>
    <w:rsid w:val="00977660"/>
    <w:rsid w:val="009919D2"/>
    <w:rsid w:val="009931B8"/>
    <w:rsid w:val="009B0440"/>
    <w:rsid w:val="009D3B70"/>
    <w:rsid w:val="00A04947"/>
    <w:rsid w:val="00A05479"/>
    <w:rsid w:val="00A102F3"/>
    <w:rsid w:val="00A63D7A"/>
    <w:rsid w:val="00A72A64"/>
    <w:rsid w:val="00A7456C"/>
    <w:rsid w:val="00AC0B3E"/>
    <w:rsid w:val="00AD71A8"/>
    <w:rsid w:val="00AE1CD6"/>
    <w:rsid w:val="00AF701F"/>
    <w:rsid w:val="00B23CE4"/>
    <w:rsid w:val="00B26768"/>
    <w:rsid w:val="00B3655F"/>
    <w:rsid w:val="00B57ED6"/>
    <w:rsid w:val="00B75E03"/>
    <w:rsid w:val="00B77E2B"/>
    <w:rsid w:val="00B85E3E"/>
    <w:rsid w:val="00B8615E"/>
    <w:rsid w:val="00BA46AD"/>
    <w:rsid w:val="00BB32B9"/>
    <w:rsid w:val="00BB4B95"/>
    <w:rsid w:val="00BC2C44"/>
    <w:rsid w:val="00BD0AEB"/>
    <w:rsid w:val="00BF0735"/>
    <w:rsid w:val="00BF211D"/>
    <w:rsid w:val="00BF244F"/>
    <w:rsid w:val="00BF69EA"/>
    <w:rsid w:val="00C030E4"/>
    <w:rsid w:val="00C04DCD"/>
    <w:rsid w:val="00C1658C"/>
    <w:rsid w:val="00C41859"/>
    <w:rsid w:val="00C84AB0"/>
    <w:rsid w:val="00C933C9"/>
    <w:rsid w:val="00CA746E"/>
    <w:rsid w:val="00CB152C"/>
    <w:rsid w:val="00CE71AF"/>
    <w:rsid w:val="00D1438B"/>
    <w:rsid w:val="00D324DF"/>
    <w:rsid w:val="00D86EF4"/>
    <w:rsid w:val="00D942B1"/>
    <w:rsid w:val="00D97A2E"/>
    <w:rsid w:val="00DA53EA"/>
    <w:rsid w:val="00DC37AF"/>
    <w:rsid w:val="00E026BA"/>
    <w:rsid w:val="00E07438"/>
    <w:rsid w:val="00E101E0"/>
    <w:rsid w:val="00E239AD"/>
    <w:rsid w:val="00E26A18"/>
    <w:rsid w:val="00E318F6"/>
    <w:rsid w:val="00E3286A"/>
    <w:rsid w:val="00E33704"/>
    <w:rsid w:val="00E355C4"/>
    <w:rsid w:val="00E40F62"/>
    <w:rsid w:val="00E45802"/>
    <w:rsid w:val="00E57F34"/>
    <w:rsid w:val="00E6411C"/>
    <w:rsid w:val="00E6426C"/>
    <w:rsid w:val="00E9189F"/>
    <w:rsid w:val="00EB4938"/>
    <w:rsid w:val="00EC5F47"/>
    <w:rsid w:val="00EC65B6"/>
    <w:rsid w:val="00ED21E0"/>
    <w:rsid w:val="00EE65B0"/>
    <w:rsid w:val="00F03DE5"/>
    <w:rsid w:val="00F057A1"/>
    <w:rsid w:val="00F15604"/>
    <w:rsid w:val="00F33D86"/>
    <w:rsid w:val="00F4281D"/>
    <w:rsid w:val="00F51DA3"/>
    <w:rsid w:val="00F53B6C"/>
    <w:rsid w:val="00F56BCF"/>
    <w:rsid w:val="00F628C1"/>
    <w:rsid w:val="00F63B05"/>
    <w:rsid w:val="00F63F13"/>
    <w:rsid w:val="00F81ED3"/>
    <w:rsid w:val="00F85028"/>
    <w:rsid w:val="00FF0729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6B484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ty">
    <w:name w:val="státy"/>
    <w:basedOn w:val="Normln"/>
    <w:rsid w:val="00AF701F"/>
    <w:pPr>
      <w:numPr>
        <w:numId w:val="9"/>
      </w:numPr>
      <w:spacing w:after="0" w:line="240" w:lineRule="auto"/>
      <w:jc w:val="both"/>
    </w:pPr>
    <w:rPr>
      <w:rFonts w:asciiTheme="majorHAnsi" w:eastAsia="Times New Roman" w:hAnsiTheme="majorHAnsi"/>
      <w:b/>
      <w:color w:val="auto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F701F"/>
    <w:pPr>
      <w:tabs>
        <w:tab w:val="right" w:leader="dot" w:pos="9344"/>
      </w:tabs>
      <w:spacing w:before="120" w:after="120" w:line="240" w:lineRule="auto"/>
      <w:ind w:left="567" w:hanging="567"/>
    </w:pPr>
    <w:rPr>
      <w:rFonts w:asciiTheme="minorHAnsi" w:eastAsia="Times New Roman" w:hAnsiTheme="minorHAnsi"/>
      <w:b/>
      <w:bCs/>
      <w:color w:val="auto"/>
      <w:sz w:val="20"/>
      <w:szCs w:val="20"/>
      <w:lang w:eastAsia="cs-CZ"/>
    </w:rPr>
  </w:style>
  <w:style w:type="character" w:styleId="Znakapoznpodarou">
    <w:name w:val="footnote reference"/>
    <w:uiPriority w:val="99"/>
    <w:rsid w:val="00AF701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AF701F"/>
    <w:pPr>
      <w:spacing w:after="0" w:line="240" w:lineRule="auto"/>
    </w:pPr>
    <w:rPr>
      <w:rFonts w:asciiTheme="majorHAnsi" w:eastAsia="Times New Roman" w:hAnsiTheme="majorHAnsi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701F"/>
    <w:rPr>
      <w:rFonts w:asciiTheme="majorHAnsi" w:eastAsia="Times New Roman" w:hAnsiTheme="majorHAnsi"/>
    </w:rPr>
  </w:style>
  <w:style w:type="character" w:styleId="Hypertextovodkaz">
    <w:name w:val="Hyperlink"/>
    <w:uiPriority w:val="99"/>
    <w:rsid w:val="00AF701F"/>
    <w:rPr>
      <w:color w:val="0000FF"/>
      <w:u w:val="single"/>
    </w:rPr>
  </w:style>
  <w:style w:type="paragraph" w:customStyle="1" w:styleId="NZEVPRCE">
    <w:name w:val="NÁZEV PRÁCE"/>
    <w:basedOn w:val="Normln"/>
    <w:qFormat/>
    <w:rsid w:val="00AF701F"/>
    <w:pPr>
      <w:spacing w:before="240" w:after="240" w:line="240" w:lineRule="auto"/>
      <w:ind w:right="176"/>
    </w:pPr>
    <w:rPr>
      <w:rFonts w:ascii="Calibri Light" w:hAnsi="Calibri Light" w:cs="Arial"/>
      <w:b/>
      <w:color w:val="1F4E79" w:themeColor="accent1" w:themeShade="80"/>
      <w:sz w:val="44"/>
      <w:szCs w:val="36"/>
    </w:rPr>
  </w:style>
  <w:style w:type="paragraph" w:customStyle="1" w:styleId="PODNZEVPRCE">
    <w:name w:val="PODNÁZEV PRÁCE"/>
    <w:basedOn w:val="Normln"/>
    <w:qFormat/>
    <w:rsid w:val="00AF701F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paragraph" w:customStyle="1" w:styleId="titulnstranaobsah">
    <w:name w:val="titulní strana obsah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4"/>
      <w:szCs w:val="20"/>
      <w:lang w:eastAsia="cs-CZ"/>
    </w:rPr>
  </w:style>
  <w:style w:type="character" w:styleId="Siln">
    <w:name w:val="Strong"/>
    <w:uiPriority w:val="22"/>
    <w:qFormat/>
    <w:rsid w:val="00AF70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ur-lex.europa.eu/legal-content/CS/TXT/?uri=COM:2021:803:FIN" TargetMode="External"/><Relationship Id="rId18" Type="http://schemas.openxmlformats.org/officeDocument/2006/relationships/hyperlink" Target="https://eur-lex.europa.eu/legal-content/CS/TXT/?uri=celex%3A32018L0844" TargetMode="External"/><Relationship Id="rId26" Type="http://schemas.openxmlformats.org/officeDocument/2006/relationships/hyperlink" Target="https://eur-lex.europa.eu/legal-content/CS/TXT/?uri=CELEX:52021PC0805" TargetMode="External"/><Relationship Id="rId3" Type="http://schemas.openxmlformats.org/officeDocument/2006/relationships/styles" Target="styles.xml"/><Relationship Id="rId21" Type="http://schemas.openxmlformats.org/officeDocument/2006/relationships/hyperlink" Target="https://eur-lex.europa.eu/legal-content/CS/TXT/?uri=CELEX:52020DC0663" TargetMode="External"/><Relationship Id="rId34" Type="http://schemas.openxmlformats.org/officeDocument/2006/relationships/hyperlink" Target="https://oeil.secure.europarl.europa.eu/oeil/popups/ficheprocedure.do?reference=2021/0425(COD)&amp;l=en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ur-lex.europa.eu/legal-content/CS/TXT/?uri=COM:2021:804:FIN" TargetMode="External"/><Relationship Id="rId17" Type="http://schemas.openxmlformats.org/officeDocument/2006/relationships/hyperlink" Target="https://eur-lex.europa.eu/eli/dir/2010/31" TargetMode="External"/><Relationship Id="rId25" Type="http://schemas.openxmlformats.org/officeDocument/2006/relationships/hyperlink" Target="https://eur-lex.europa.eu/legal-content/CS/TXT/?uri=CELEX:52021PC0802" TargetMode="External"/><Relationship Id="rId33" Type="http://schemas.openxmlformats.org/officeDocument/2006/relationships/hyperlink" Target="https://oeil.secure.europarl.europa.eu/oeil/popups/ficheprocedure.do?reference=2021/0424(COD)&amp;l=e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ur-lex.europa.eu/legal-content/EN/TXT/?uri=CELEX:52021DC0550" TargetMode="External"/><Relationship Id="rId20" Type="http://schemas.openxmlformats.org/officeDocument/2006/relationships/hyperlink" Target="https://eur-lex.europa.eu/legal-content/CS/TXT/?uri=CELEX:52020DC0662" TargetMode="External"/><Relationship Id="rId29" Type="http://schemas.openxmlformats.org/officeDocument/2006/relationships/hyperlink" Target="https://eur-lex.europa.eu/legal-content/CS/ALL/?uri=CELEX:32017R193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-lex.europa.eu/legal-content/CS/TXT/?uri=CELEX:52021PC0805" TargetMode="External"/><Relationship Id="rId24" Type="http://schemas.openxmlformats.org/officeDocument/2006/relationships/hyperlink" Target="https://eur-lex.europa.eu/legal-content/CS/TXT/?uri=CELEX%3A02009L0073-20190523" TargetMode="External"/><Relationship Id="rId32" Type="http://schemas.openxmlformats.org/officeDocument/2006/relationships/hyperlink" Target="https://oeil.secure.europarl.europa.eu/oeil/popups/ficheprocedure.do?reference=2021/0423(COD)&amp;l=e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ur-lex.europa.eu/legal-content/CS/TXT/PDF/?uri=CELEX:32021R1119&amp;from=EN" TargetMode="External"/><Relationship Id="rId23" Type="http://schemas.openxmlformats.org/officeDocument/2006/relationships/hyperlink" Target="https://eur-lex.europa.eu/legal-content/CS/TXT/?uri=CELEX:02009R0715-20181224" TargetMode="External"/><Relationship Id="rId28" Type="http://schemas.openxmlformats.org/officeDocument/2006/relationships/hyperlink" Target="https://eur-lex.europa.eu/legal-content/CS/TXT/?uri=CELEX:32019R0943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eur-lex.europa.eu/legal-content/CS/TXT/?uri=CELEX:52021PC0802" TargetMode="External"/><Relationship Id="rId19" Type="http://schemas.openxmlformats.org/officeDocument/2006/relationships/hyperlink" Target="https://eur-lex.europa.eu/legal-content/CS/TXT/?uri=celex:32018R1999" TargetMode="External"/><Relationship Id="rId31" Type="http://schemas.openxmlformats.org/officeDocument/2006/relationships/hyperlink" Target="https://oeil.secure.europarl.europa.eu/oeil/popups/ficheprocedure.do?reference=2021/0426(COD)&amp;l=e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ur-lex.europa.eu/legal-content/EN/ALL/?uri=COM:2019:640:FIN" TargetMode="External"/><Relationship Id="rId22" Type="http://schemas.openxmlformats.org/officeDocument/2006/relationships/hyperlink" Target="https://www.globalmethanepledge.org/" TargetMode="External"/><Relationship Id="rId27" Type="http://schemas.openxmlformats.org/officeDocument/2006/relationships/hyperlink" Target="https://eur-lex.europa.eu/legal-content/CS/TXT/?uri=COM:2021:804:FIN" TargetMode="External"/><Relationship Id="rId30" Type="http://schemas.openxmlformats.org/officeDocument/2006/relationships/hyperlink" Target="https://eur-lex.europa.eu/legal-content/CS/TXT/?uri=COM:2021:803:FIN" TargetMode="External"/><Relationship Id="rId35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c.europa.eu/commission/presscorner/detail/cs/QANDA_21_6685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7DA67-F0F2-4162-A3CE-34941DF35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11</Pages>
  <Words>5048</Words>
  <Characters>29789</Characters>
  <Application>Microsoft Office Word</Application>
  <DocSecurity>0</DocSecurity>
  <Lines>248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Katerina Novakova</cp:lastModifiedBy>
  <cp:revision>31</cp:revision>
  <cp:lastPrinted>2022-03-30T06:34:00Z</cp:lastPrinted>
  <dcterms:created xsi:type="dcterms:W3CDTF">2022-02-18T09:58:00Z</dcterms:created>
  <dcterms:modified xsi:type="dcterms:W3CDTF">2022-03-30T16:01:00Z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