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4D391B" w:rsidRDefault="007F7041">
      <w:p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Parlament České republiky</w:t>
      </w:r>
    </w:p>
    <w:p w14:paraId="00000002" w14:textId="77777777" w:rsidR="004D391B" w:rsidRDefault="007F704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36"/>
          <w:szCs w:val="36"/>
        </w:rPr>
        <w:t>POSLANECKÁ SNĚMOVNA</w:t>
      </w:r>
    </w:p>
    <w:p w14:paraId="00000003" w14:textId="16CDCE4D" w:rsidR="004D391B" w:rsidRDefault="007F704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36"/>
          <w:szCs w:val="36"/>
        </w:rPr>
        <w:t>202</w:t>
      </w:r>
      <w:r w:rsidR="003424D8">
        <w:rPr>
          <w:rFonts w:ascii="Times New Roman" w:eastAsia="Times New Roman" w:hAnsi="Times New Roman" w:cs="Times New Roman"/>
          <w:b/>
          <w:i/>
          <w:color w:val="000000"/>
          <w:sz w:val="36"/>
          <w:szCs w:val="36"/>
        </w:rPr>
        <w:t>2</w:t>
      </w:r>
    </w:p>
    <w:p w14:paraId="00000004" w14:textId="19D19B7C" w:rsidR="004D391B" w:rsidRDefault="003424D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9</w:t>
      </w:r>
      <w:r w:rsidR="007F704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. volební období</w:t>
      </w:r>
    </w:p>
    <w:p w14:paraId="00000005" w14:textId="5E6AABDE" w:rsidR="004D391B" w:rsidRDefault="00870ED8">
      <w:pPr>
        <w:pBdr>
          <w:top w:val="nil"/>
          <w:left w:val="nil"/>
          <w:bottom w:val="nil"/>
          <w:right w:val="nil"/>
          <w:between w:val="nil"/>
        </w:pBdr>
        <w:spacing w:before="360" w:after="36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35</w:t>
      </w:r>
    </w:p>
    <w:p w14:paraId="00000006" w14:textId="77777777" w:rsidR="004D391B" w:rsidRDefault="007F704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</w:rPr>
        <w:t>USNESENÍ</w:t>
      </w:r>
    </w:p>
    <w:p w14:paraId="00000007" w14:textId="77777777" w:rsidR="004D391B" w:rsidRDefault="007F704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hospodářského výboru</w:t>
      </w:r>
    </w:p>
    <w:p w14:paraId="00000008" w14:textId="6E0B1851" w:rsidR="004D391B" w:rsidRDefault="007F704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z 5. schůze</w:t>
      </w:r>
    </w:p>
    <w:p w14:paraId="00000009" w14:textId="2F836BE6" w:rsidR="004D391B" w:rsidRDefault="007F7041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ze dne </w:t>
      </w:r>
      <w:r w:rsidR="00ED448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10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. </w:t>
      </w:r>
      <w:r w:rsidR="003424D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března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202</w:t>
      </w:r>
      <w:r w:rsidR="003424D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2</w:t>
      </w:r>
    </w:p>
    <w:p w14:paraId="509BD4B8" w14:textId="4A5BCD78" w:rsidR="006C076E" w:rsidRDefault="006C076E" w:rsidP="00EA39A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C076E">
        <w:rPr>
          <w:rFonts w:ascii="Times New Roman" w:eastAsia="Times New Roman" w:hAnsi="Times New Roman" w:cs="Times New Roman"/>
          <w:color w:val="000000"/>
          <w:sz w:val="24"/>
          <w:szCs w:val="24"/>
        </w:rPr>
        <w:t>k</w:t>
      </w:r>
      <w:r w:rsidR="003424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přijetí stanoviska k dokumentům EU </w:t>
      </w:r>
      <w:r w:rsidR="003424D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– „balíč</w:t>
      </w:r>
      <w:r w:rsidR="00EA39A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e</w:t>
      </w:r>
      <w:r w:rsidR="003424D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k</w:t>
      </w:r>
      <w:r w:rsidR="00EA39A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udržitelné</w:t>
      </w:r>
      <w:r w:rsidR="003424D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mobility“</w:t>
      </w:r>
    </w:p>
    <w:p w14:paraId="0D041B25" w14:textId="77777777" w:rsidR="003424D8" w:rsidRPr="00401DBF" w:rsidRDefault="003424D8" w:rsidP="00EA39AE">
      <w:pPr>
        <w:pStyle w:val="PSbodprogramu"/>
        <w:numPr>
          <w:ilvl w:val="0"/>
          <w:numId w:val="3"/>
        </w:numPr>
        <w:spacing w:before="60"/>
        <w:ind w:left="992" w:hanging="425"/>
        <w:contextualSpacing w:val="0"/>
        <w:rPr>
          <w:b/>
          <w:shd w:val="clear" w:color="auto" w:fill="FFFFFF"/>
        </w:rPr>
      </w:pPr>
      <w:r>
        <w:rPr>
          <w:shd w:val="clear" w:color="auto" w:fill="FFFFFF"/>
        </w:rPr>
        <w:t xml:space="preserve">Návrh nařízení Evropského parlamentu a Rady o hlavních směrech Unie pro rozvoj transevropské dopravní sítě, kterým se mění nařízení (EU) 2021/1153 a nařízení (EU) č. 913/2010 a ruší nařízení (EU) 1315/2013 </w:t>
      </w:r>
      <w:r w:rsidRPr="00FB2F8C">
        <w:rPr>
          <w:b/>
          <w:shd w:val="clear" w:color="auto" w:fill="FFFFFF"/>
        </w:rPr>
        <w:t>– 15109/21, COM (2021) 812 final</w:t>
      </w:r>
    </w:p>
    <w:p w14:paraId="71920945" w14:textId="77777777" w:rsidR="003424D8" w:rsidRPr="00401DBF" w:rsidRDefault="003424D8" w:rsidP="00EA39AE">
      <w:pPr>
        <w:pStyle w:val="PSbodprogramu"/>
        <w:numPr>
          <w:ilvl w:val="0"/>
          <w:numId w:val="3"/>
        </w:numPr>
        <w:spacing w:before="60"/>
        <w:ind w:left="992" w:hanging="425"/>
        <w:contextualSpacing w:val="0"/>
        <w:rPr>
          <w:b/>
          <w:shd w:val="clear" w:color="auto" w:fill="FFFFFF"/>
        </w:rPr>
      </w:pPr>
      <w:r>
        <w:rPr>
          <w:shd w:val="clear" w:color="auto" w:fill="FFFFFF"/>
        </w:rPr>
        <w:t xml:space="preserve">Návrh směrnice Evropského parlamentu a Rady, kterou se mění směrnice 2010/40/EU o rámci pro zavedení inteligentních dopravních systémů v oblasti silniční dopravy a pro rozhraní s jinými druhy dopravy </w:t>
      </w:r>
      <w:r w:rsidRPr="00FB2F8C">
        <w:rPr>
          <w:b/>
          <w:shd w:val="clear" w:color="auto" w:fill="FFFFFF"/>
        </w:rPr>
        <w:t xml:space="preserve">– </w:t>
      </w:r>
      <w:r>
        <w:rPr>
          <w:b/>
          <w:shd w:val="clear" w:color="auto" w:fill="FFFFFF"/>
        </w:rPr>
        <w:t>15114/21, COM (2021) 813 final</w:t>
      </w:r>
    </w:p>
    <w:p w14:paraId="0A7A8A11" w14:textId="3D4A21AA" w:rsidR="003424D8" w:rsidRPr="00401DBF" w:rsidRDefault="003424D8" w:rsidP="00EA39AE">
      <w:pPr>
        <w:pStyle w:val="PSbodprogramu"/>
        <w:numPr>
          <w:ilvl w:val="0"/>
          <w:numId w:val="3"/>
        </w:numPr>
        <w:spacing w:before="60"/>
        <w:ind w:left="992" w:hanging="425"/>
        <w:contextualSpacing w:val="0"/>
        <w:rPr>
          <w:b/>
          <w:shd w:val="clear" w:color="auto" w:fill="FFFFFF"/>
        </w:rPr>
      </w:pPr>
      <w:r>
        <w:t>Sdělení Komise Evropskému parlamentu a Radě o rozšíření transevropské dopravní sítě</w:t>
      </w:r>
      <w:r w:rsidR="00EA39AE">
        <w:t xml:space="preserve"> </w:t>
      </w:r>
      <w:r>
        <w:t>(TEN-T) do sousedících třetích zemí</w:t>
      </w:r>
      <w:r w:rsidRPr="00FB2F8C">
        <w:rPr>
          <w:b/>
          <w:shd w:val="clear" w:color="auto" w:fill="FFFFFF"/>
        </w:rPr>
        <w:t xml:space="preserve"> – </w:t>
      </w:r>
      <w:r>
        <w:rPr>
          <w:b/>
          <w:shd w:val="clear" w:color="auto" w:fill="FFFFFF"/>
        </w:rPr>
        <w:t>15019/21, COM (2021) 820 final</w:t>
      </w:r>
    </w:p>
    <w:p w14:paraId="1A0F542B" w14:textId="77777777" w:rsidR="003424D8" w:rsidRPr="00401DBF" w:rsidRDefault="003424D8" w:rsidP="00EA39AE">
      <w:pPr>
        <w:pStyle w:val="PSbodprogramu"/>
        <w:numPr>
          <w:ilvl w:val="0"/>
          <w:numId w:val="3"/>
        </w:numPr>
        <w:spacing w:before="60"/>
        <w:ind w:left="992" w:hanging="425"/>
        <w:contextualSpacing w:val="0"/>
        <w:rPr>
          <w:b/>
          <w:shd w:val="clear" w:color="auto" w:fill="FFFFFF"/>
        </w:rPr>
      </w:pPr>
      <w:r>
        <w:t>Sdělení Komise Evropskému parlamentu, Radě, Evropskému hospodářskému a sociálnímu výboru a Výboru regionů - Nový rámec EU pro městskou mobilitu</w:t>
      </w:r>
      <w:r w:rsidRPr="00FB2F8C">
        <w:rPr>
          <w:b/>
          <w:shd w:val="clear" w:color="auto" w:fill="FFFFFF"/>
        </w:rPr>
        <w:t xml:space="preserve"> – </w:t>
      </w:r>
      <w:r>
        <w:rPr>
          <w:b/>
          <w:shd w:val="clear" w:color="auto" w:fill="FFFFFF"/>
        </w:rPr>
        <w:t>15100/21, COM (2021) 811 final</w:t>
      </w:r>
    </w:p>
    <w:p w14:paraId="591CAC9E" w14:textId="77777777" w:rsidR="003424D8" w:rsidRPr="00401DBF" w:rsidRDefault="003424D8" w:rsidP="00EA39AE">
      <w:pPr>
        <w:pStyle w:val="PSbodprogramu"/>
        <w:numPr>
          <w:ilvl w:val="0"/>
          <w:numId w:val="3"/>
        </w:numPr>
        <w:spacing w:before="60"/>
        <w:ind w:left="992" w:hanging="425"/>
        <w:contextualSpacing w:val="0"/>
        <w:rPr>
          <w:b/>
          <w:shd w:val="clear" w:color="auto" w:fill="FFFFFF"/>
        </w:rPr>
      </w:pPr>
      <w:r>
        <w:t>Sdělení Komise Evropskému parlamentu a Radě - Akční plán na podporu dálkové a přeshraniční osobní železniční dopravy</w:t>
      </w:r>
      <w:r w:rsidRPr="00FB2F8C">
        <w:rPr>
          <w:b/>
          <w:shd w:val="clear" w:color="auto" w:fill="FFFFFF"/>
        </w:rPr>
        <w:t xml:space="preserve"> – 15</w:t>
      </w:r>
      <w:r>
        <w:rPr>
          <w:b/>
          <w:shd w:val="clear" w:color="auto" w:fill="FFFFFF"/>
        </w:rPr>
        <w:t>146</w:t>
      </w:r>
      <w:r w:rsidRPr="00FB2F8C">
        <w:rPr>
          <w:b/>
          <w:shd w:val="clear" w:color="auto" w:fill="FFFFFF"/>
        </w:rPr>
        <w:t>/21, COM (2021) 81</w:t>
      </w:r>
      <w:r>
        <w:rPr>
          <w:b/>
          <w:shd w:val="clear" w:color="auto" w:fill="FFFFFF"/>
        </w:rPr>
        <w:t>0</w:t>
      </w:r>
      <w:r w:rsidRPr="00FB2F8C">
        <w:rPr>
          <w:b/>
          <w:shd w:val="clear" w:color="auto" w:fill="FFFFFF"/>
        </w:rPr>
        <w:t xml:space="preserve"> final</w:t>
      </w:r>
    </w:p>
    <w:p w14:paraId="0000000A" w14:textId="77777777" w:rsidR="004D391B" w:rsidRDefault="004D391B">
      <w:pPr>
        <w:pBdr>
          <w:top w:val="nil"/>
          <w:left w:val="nil"/>
          <w:bottom w:val="single" w:sz="4" w:space="12" w:color="000000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"/>
          <w:szCs w:val="2"/>
        </w:rPr>
      </w:pPr>
    </w:p>
    <w:p w14:paraId="28D946B0" w14:textId="1D1ABE4E" w:rsidR="003424D8" w:rsidRDefault="003424D8" w:rsidP="003424D8">
      <w:pPr>
        <w:pStyle w:val="Odstavecseseznamem"/>
        <w:spacing w:before="480" w:after="0" w:line="264" w:lineRule="auto"/>
        <w:ind w:left="426" w:firstLine="56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24D8">
        <w:rPr>
          <w:rFonts w:ascii="Times New Roman" w:hAnsi="Times New Roman" w:cs="Times New Roman"/>
          <w:sz w:val="24"/>
          <w:szCs w:val="24"/>
        </w:rPr>
        <w:t xml:space="preserve">Hospodářský výbor Poslanecké sněmovny Parlamentu ČR po vyslechnutí úvodního slova náměstka ministra </w:t>
      </w:r>
      <w:r>
        <w:rPr>
          <w:rFonts w:ascii="Times New Roman" w:hAnsi="Times New Roman" w:cs="Times New Roman"/>
          <w:sz w:val="24"/>
          <w:szCs w:val="24"/>
        </w:rPr>
        <w:t>dopravy</w:t>
      </w:r>
      <w:r w:rsidR="00A737BB">
        <w:rPr>
          <w:rFonts w:ascii="Times New Roman" w:hAnsi="Times New Roman" w:cs="Times New Roman"/>
          <w:sz w:val="24"/>
          <w:szCs w:val="24"/>
        </w:rPr>
        <w:t xml:space="preserve"> Jakuba Kopřivy</w:t>
      </w:r>
      <w:r w:rsidRPr="003424D8">
        <w:rPr>
          <w:rFonts w:ascii="Times New Roman" w:hAnsi="Times New Roman" w:cs="Times New Roman"/>
          <w:sz w:val="24"/>
          <w:szCs w:val="24"/>
        </w:rPr>
        <w:t>, zpravodajské zprávy poslance Ondřeje Lochmana a po rozpravě</w:t>
      </w:r>
    </w:p>
    <w:p w14:paraId="4AE35EF3" w14:textId="77777777" w:rsidR="007A1B73" w:rsidRPr="007A1B73" w:rsidRDefault="00EA39AE" w:rsidP="00EA39AE">
      <w:pPr>
        <w:pStyle w:val="Odstavecseseznamem"/>
        <w:numPr>
          <w:ilvl w:val="0"/>
          <w:numId w:val="6"/>
        </w:numPr>
        <w:spacing w:before="480" w:after="0" w:line="264" w:lineRule="auto"/>
        <w:ind w:left="993" w:hanging="426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 tučné" w:hAnsi="Times New Roman tučné" w:cs="Times New Roman"/>
          <w:b/>
          <w:spacing w:val="20"/>
          <w:sz w:val="24"/>
          <w:szCs w:val="24"/>
        </w:rPr>
        <w:t xml:space="preserve">doporučuje </w:t>
      </w:r>
      <w:r>
        <w:rPr>
          <w:rFonts w:ascii="Times New Roman" w:hAnsi="Times New Roman" w:cs="Times New Roman"/>
          <w:sz w:val="24"/>
          <w:szCs w:val="24"/>
        </w:rPr>
        <w:t>výboru pro evropské záležitosti přijetí následujícího usnesení k dokumentům EU, jež jsou součástí tzv. balíčku pro udržitelnou mobilitu</w:t>
      </w:r>
      <w:r w:rsidR="007A1B73">
        <w:rPr>
          <w:rFonts w:ascii="Times New Roman" w:hAnsi="Times New Roman" w:cs="Times New Roman"/>
          <w:sz w:val="24"/>
          <w:szCs w:val="24"/>
        </w:rPr>
        <w:t>:</w:t>
      </w:r>
    </w:p>
    <w:p w14:paraId="5DCFA87F" w14:textId="320E51DE" w:rsidR="007A1B73" w:rsidRPr="00813D7D" w:rsidRDefault="007A1B73" w:rsidP="00813D7D">
      <w:pPr>
        <w:pStyle w:val="Odstavecseseznamem"/>
        <w:spacing w:before="240" w:after="0" w:line="240" w:lineRule="auto"/>
        <w:ind w:left="992" w:hanging="992"/>
        <w:contextualSpacing w:val="0"/>
        <w:jc w:val="center"/>
        <w:rPr>
          <w:rFonts w:ascii="Times New Roman" w:hAnsi="Times New Roman" w:cs="Times New Roman"/>
          <w:i/>
          <w:spacing w:val="20"/>
          <w:sz w:val="24"/>
          <w:szCs w:val="24"/>
        </w:rPr>
      </w:pPr>
      <w:r w:rsidRPr="00813D7D">
        <w:rPr>
          <w:rFonts w:ascii="Times New Roman" w:hAnsi="Times New Roman" w:cs="Times New Roman"/>
          <w:i/>
          <w:spacing w:val="20"/>
          <w:sz w:val="24"/>
          <w:szCs w:val="24"/>
        </w:rPr>
        <w:t>„Výbor pro evropské záležitosti Poslanecké sněmovny Parlamentu ČR</w:t>
      </w:r>
    </w:p>
    <w:p w14:paraId="1E02D2B6" w14:textId="51623692" w:rsidR="00EA39AE" w:rsidRPr="00813D7D" w:rsidRDefault="007A1B73" w:rsidP="008C513D">
      <w:pPr>
        <w:pStyle w:val="Odstavecseseznamem"/>
        <w:numPr>
          <w:ilvl w:val="0"/>
          <w:numId w:val="7"/>
        </w:numPr>
        <w:spacing w:before="240" w:after="0" w:line="264" w:lineRule="auto"/>
        <w:ind w:left="1276" w:hanging="284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13D7D">
        <w:rPr>
          <w:rFonts w:ascii="Times New Roman tučné" w:hAnsi="Times New Roman tučné" w:cs="Times New Roman"/>
          <w:b/>
          <w:i/>
          <w:spacing w:val="20"/>
          <w:sz w:val="24"/>
          <w:szCs w:val="24"/>
        </w:rPr>
        <w:t>bere na vědomí</w:t>
      </w:r>
      <w:r w:rsidRPr="00813D7D">
        <w:rPr>
          <w:rFonts w:ascii="Times New Roman" w:hAnsi="Times New Roman" w:cs="Times New Roman"/>
          <w:i/>
          <w:sz w:val="24"/>
          <w:szCs w:val="24"/>
        </w:rPr>
        <w:t xml:space="preserve"> dokumenty EU, jež jsou součástí tzv. balíčku pro udržitelnou </w:t>
      </w:r>
    </w:p>
    <w:p w14:paraId="3FD45FC6" w14:textId="13525CBA" w:rsidR="007A1B73" w:rsidRPr="00813D7D" w:rsidRDefault="007A1B73" w:rsidP="00813D7D">
      <w:pPr>
        <w:pStyle w:val="Odstavecseseznamem"/>
        <w:spacing w:after="0" w:line="264" w:lineRule="auto"/>
        <w:ind w:left="1276" w:hanging="1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13D7D">
        <w:rPr>
          <w:rFonts w:ascii="Times New Roman" w:hAnsi="Times New Roman" w:cs="Times New Roman"/>
          <w:i/>
          <w:sz w:val="24"/>
          <w:szCs w:val="24"/>
        </w:rPr>
        <w:t>mobilitu;</w:t>
      </w:r>
    </w:p>
    <w:p w14:paraId="4A399967" w14:textId="40E7C335" w:rsidR="007A1B73" w:rsidRPr="00813D7D" w:rsidRDefault="007A1B73" w:rsidP="007A1B73">
      <w:pPr>
        <w:pStyle w:val="Odstavecseseznamem"/>
        <w:numPr>
          <w:ilvl w:val="0"/>
          <w:numId w:val="7"/>
        </w:numPr>
        <w:spacing w:before="240" w:after="0" w:line="240" w:lineRule="auto"/>
        <w:ind w:left="1276" w:hanging="283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13D7D">
        <w:rPr>
          <w:rFonts w:ascii="Times New Roman tučné" w:hAnsi="Times New Roman tučné" w:cs="Times New Roman"/>
          <w:b/>
          <w:i/>
          <w:spacing w:val="20"/>
          <w:sz w:val="24"/>
          <w:szCs w:val="24"/>
        </w:rPr>
        <w:t>podporuje</w:t>
      </w:r>
      <w:r w:rsidRPr="00813D7D">
        <w:rPr>
          <w:rFonts w:ascii="Times New Roman" w:hAnsi="Times New Roman" w:cs="Times New Roman"/>
          <w:i/>
          <w:sz w:val="24"/>
          <w:szCs w:val="24"/>
        </w:rPr>
        <w:t xml:space="preserve"> rámcové pozice vlády ČR k těmto dokumentům, zejména v jejich důrazu na dodržování a respektování principu solidarity všech navržených opatření;</w:t>
      </w:r>
    </w:p>
    <w:p w14:paraId="766C26BB" w14:textId="77777777" w:rsidR="00813D7D" w:rsidRPr="00813D7D" w:rsidRDefault="007A1B73" w:rsidP="007A1B73">
      <w:pPr>
        <w:pStyle w:val="Odstavecseseznamem"/>
        <w:numPr>
          <w:ilvl w:val="0"/>
          <w:numId w:val="7"/>
        </w:numPr>
        <w:spacing w:before="240" w:after="0" w:line="240" w:lineRule="auto"/>
        <w:ind w:left="1276" w:hanging="283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13D7D">
        <w:rPr>
          <w:rFonts w:ascii="Times New Roman tučné" w:hAnsi="Times New Roman tučné" w:cs="Times New Roman"/>
          <w:b/>
          <w:i/>
          <w:spacing w:val="20"/>
          <w:sz w:val="24"/>
          <w:szCs w:val="24"/>
        </w:rPr>
        <w:lastRenderedPageBreak/>
        <w:t>vyjadřuje</w:t>
      </w:r>
      <w:r w:rsidR="00813D7D" w:rsidRPr="00813D7D">
        <w:rPr>
          <w:rFonts w:ascii="Times New Roman" w:hAnsi="Times New Roman" w:cs="Times New Roman"/>
          <w:i/>
          <w:sz w:val="24"/>
          <w:szCs w:val="24"/>
        </w:rPr>
        <w:t xml:space="preserve"> podporu Evropské komisi v jejím úsilí o zkvalitnění dopravní infrastruktury v rámci EU a o zlepšení dopravního propojení Unie se státy západního Balkánu a Východního partnerství;</w:t>
      </w:r>
    </w:p>
    <w:p w14:paraId="1B395910" w14:textId="77777777" w:rsidR="00813D7D" w:rsidRPr="00813D7D" w:rsidRDefault="00813D7D" w:rsidP="007A1B73">
      <w:pPr>
        <w:pStyle w:val="Odstavecseseznamem"/>
        <w:numPr>
          <w:ilvl w:val="0"/>
          <w:numId w:val="7"/>
        </w:numPr>
        <w:spacing w:before="240" w:after="0" w:line="240" w:lineRule="auto"/>
        <w:ind w:left="1276" w:hanging="283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13D7D">
        <w:rPr>
          <w:rFonts w:ascii="Times New Roman tučné" w:hAnsi="Times New Roman tučné" w:cs="Times New Roman"/>
          <w:b/>
          <w:i/>
          <w:spacing w:val="20"/>
          <w:sz w:val="24"/>
          <w:szCs w:val="24"/>
        </w:rPr>
        <w:t>podporuje</w:t>
      </w:r>
      <w:r w:rsidRPr="00813D7D">
        <w:rPr>
          <w:rFonts w:ascii="Times New Roman" w:hAnsi="Times New Roman" w:cs="Times New Roman"/>
          <w:i/>
          <w:sz w:val="24"/>
          <w:szCs w:val="24"/>
        </w:rPr>
        <w:t xml:space="preserve"> snahy o odbourávání překážek v oblasti telekomunikací se zeměmi Východního partnerství včetně problematiky roamingu a interoperability sítí a infrastruktury 5G;</w:t>
      </w:r>
    </w:p>
    <w:p w14:paraId="4CA9EA0E" w14:textId="77777777" w:rsidR="00813D7D" w:rsidRPr="00813D7D" w:rsidRDefault="00813D7D" w:rsidP="007A1B73">
      <w:pPr>
        <w:pStyle w:val="Odstavecseseznamem"/>
        <w:numPr>
          <w:ilvl w:val="0"/>
          <w:numId w:val="7"/>
        </w:numPr>
        <w:spacing w:before="240" w:after="0" w:line="240" w:lineRule="auto"/>
        <w:ind w:left="1276" w:hanging="283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13D7D">
        <w:rPr>
          <w:rFonts w:ascii="Times New Roman tučné" w:hAnsi="Times New Roman tučné" w:cs="Times New Roman"/>
          <w:b/>
          <w:i/>
          <w:spacing w:val="20"/>
          <w:sz w:val="24"/>
          <w:szCs w:val="24"/>
        </w:rPr>
        <w:t>varuje</w:t>
      </w:r>
      <w:r w:rsidRPr="00813D7D">
        <w:rPr>
          <w:rFonts w:ascii="Times New Roman" w:hAnsi="Times New Roman" w:cs="Times New Roman"/>
          <w:i/>
          <w:sz w:val="24"/>
          <w:szCs w:val="24"/>
        </w:rPr>
        <w:t xml:space="preserve"> před nadměrnou administrativní zátěží, kterou by zamýšlené iniciativy Komise mohly způsobovat dotčeným městům, ačkoliv považuje udržitelnou městskou mobilitu za národní prioritu politiky soudržnosti;</w:t>
      </w:r>
    </w:p>
    <w:p w14:paraId="16F55BE0" w14:textId="77777777" w:rsidR="00813D7D" w:rsidRPr="00813D7D" w:rsidRDefault="00813D7D" w:rsidP="007A1B73">
      <w:pPr>
        <w:pStyle w:val="Odstavecseseznamem"/>
        <w:numPr>
          <w:ilvl w:val="0"/>
          <w:numId w:val="7"/>
        </w:numPr>
        <w:spacing w:before="240" w:after="0" w:line="240" w:lineRule="auto"/>
        <w:ind w:left="1276" w:hanging="283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13D7D">
        <w:rPr>
          <w:rFonts w:ascii="Times New Roman tučné" w:hAnsi="Times New Roman tučné" w:cs="Times New Roman"/>
          <w:b/>
          <w:i/>
          <w:spacing w:val="20"/>
          <w:sz w:val="24"/>
          <w:szCs w:val="24"/>
        </w:rPr>
        <w:t>upozorňuje</w:t>
      </w:r>
      <w:r w:rsidRPr="00813D7D">
        <w:rPr>
          <w:rFonts w:ascii="Times New Roman" w:hAnsi="Times New Roman" w:cs="Times New Roman"/>
          <w:i/>
          <w:sz w:val="24"/>
          <w:szCs w:val="24"/>
        </w:rPr>
        <w:t xml:space="preserve"> na možné znevýhodnění regionálních spádových oblastí nedosahujících hranice 100 000 obyvatel v napojení na dopravní sítě;</w:t>
      </w:r>
    </w:p>
    <w:p w14:paraId="16389D73" w14:textId="147D9D75" w:rsidR="007A1B73" w:rsidRPr="00813D7D" w:rsidRDefault="00813D7D" w:rsidP="007A1B73">
      <w:pPr>
        <w:pStyle w:val="Odstavecseseznamem"/>
        <w:numPr>
          <w:ilvl w:val="0"/>
          <w:numId w:val="7"/>
        </w:numPr>
        <w:spacing w:before="240" w:after="0" w:line="240" w:lineRule="auto"/>
        <w:ind w:left="1276" w:hanging="283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13D7D">
        <w:rPr>
          <w:rFonts w:ascii="Times New Roman tučné" w:hAnsi="Times New Roman tučné" w:cs="Times New Roman"/>
          <w:b/>
          <w:i/>
          <w:spacing w:val="20"/>
          <w:sz w:val="24"/>
          <w:szCs w:val="24"/>
        </w:rPr>
        <w:t>navrhuje</w:t>
      </w:r>
      <w:r w:rsidRPr="00813D7D">
        <w:rPr>
          <w:rFonts w:ascii="Times New Roman" w:hAnsi="Times New Roman" w:cs="Times New Roman"/>
          <w:i/>
          <w:sz w:val="24"/>
          <w:szCs w:val="24"/>
        </w:rPr>
        <w:t xml:space="preserve"> využití kritéria metropolitních oblastí (vymezeno v rámci ITI).“.</w:t>
      </w:r>
      <w:r w:rsidR="007A1B73" w:rsidRPr="00813D7D">
        <w:rPr>
          <w:rFonts w:ascii="Times New Roman tučné" w:hAnsi="Times New Roman tučné" w:cs="Times New Roman"/>
          <w:b/>
          <w:i/>
          <w:spacing w:val="20"/>
          <w:sz w:val="24"/>
          <w:szCs w:val="24"/>
        </w:rPr>
        <w:t xml:space="preserve"> </w:t>
      </w:r>
    </w:p>
    <w:p w14:paraId="1F26C01C" w14:textId="4F5AA97A" w:rsidR="00EA39AE" w:rsidRPr="00EA39AE" w:rsidRDefault="00870ED8" w:rsidP="00EA39AE">
      <w:pPr>
        <w:pStyle w:val="Odstavecseseznamem"/>
        <w:numPr>
          <w:ilvl w:val="0"/>
          <w:numId w:val="6"/>
        </w:numPr>
        <w:spacing w:before="480" w:after="0" w:line="264" w:lineRule="auto"/>
        <w:ind w:left="993" w:hanging="426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0ED8">
        <w:rPr>
          <w:rFonts w:ascii="Times New Roman tučné" w:hAnsi="Times New Roman tučné" w:cs="Times New Roman"/>
          <w:b/>
          <w:spacing w:val="20"/>
          <w:sz w:val="24"/>
          <w:szCs w:val="24"/>
        </w:rPr>
        <w:t>pověřuje</w:t>
      </w:r>
      <w:r w:rsidR="00EA39AE">
        <w:rPr>
          <w:rFonts w:ascii="Times New Roman" w:hAnsi="Times New Roman" w:cs="Times New Roman"/>
          <w:sz w:val="24"/>
          <w:szCs w:val="24"/>
        </w:rPr>
        <w:t xml:space="preserve"> předsedu hospodářského výboru, aby s tímto usnesením seznámil předsedu výboru pro evropské záležitosti Poslanecké sněmovny parlamentu ČR.</w:t>
      </w:r>
    </w:p>
    <w:p w14:paraId="24B1DACE" w14:textId="74AE5E4A" w:rsidR="002E24DD" w:rsidRPr="00524661" w:rsidRDefault="006C076E" w:rsidP="008C513D">
      <w:pPr>
        <w:tabs>
          <w:tab w:val="center" w:pos="1418"/>
          <w:tab w:val="center" w:pos="4536"/>
          <w:tab w:val="center" w:pos="7655"/>
        </w:tabs>
        <w:spacing w:before="2760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EA39AE">
        <w:rPr>
          <w:rFonts w:ascii="Times New Roman" w:hAnsi="Times New Roman"/>
          <w:sz w:val="24"/>
          <w:szCs w:val="24"/>
        </w:rPr>
        <w:t>Marek NOVÁK</w:t>
      </w:r>
      <w:r w:rsidR="00870ED8">
        <w:rPr>
          <w:rFonts w:ascii="Times New Roman" w:hAnsi="Times New Roman"/>
          <w:sz w:val="24"/>
          <w:szCs w:val="24"/>
        </w:rPr>
        <w:t xml:space="preserve"> v. r.</w:t>
      </w:r>
      <w:r w:rsidR="002E24DD" w:rsidRPr="00524661">
        <w:rPr>
          <w:rFonts w:ascii="Times New Roman" w:hAnsi="Times New Roman"/>
          <w:sz w:val="24"/>
          <w:szCs w:val="24"/>
        </w:rPr>
        <w:tab/>
      </w:r>
      <w:r w:rsidR="002E24DD" w:rsidRPr="00524661">
        <w:rPr>
          <w:rFonts w:ascii="Times New Roman" w:hAnsi="Times New Roman"/>
          <w:sz w:val="24"/>
          <w:szCs w:val="24"/>
        </w:rPr>
        <w:tab/>
      </w:r>
      <w:r w:rsidR="00EA39AE">
        <w:rPr>
          <w:rFonts w:ascii="Times New Roman" w:hAnsi="Times New Roman"/>
          <w:sz w:val="24"/>
          <w:szCs w:val="24"/>
        </w:rPr>
        <w:t>Ivan ADAMEC</w:t>
      </w:r>
      <w:r w:rsidR="00870ED8">
        <w:rPr>
          <w:rFonts w:ascii="Times New Roman" w:hAnsi="Times New Roman"/>
          <w:sz w:val="24"/>
          <w:szCs w:val="24"/>
        </w:rPr>
        <w:t xml:space="preserve"> v. r.</w:t>
      </w:r>
      <w:bookmarkStart w:id="0" w:name="_GoBack"/>
      <w:bookmarkEnd w:id="0"/>
    </w:p>
    <w:p w14:paraId="0CAD9794" w14:textId="60CFE63A" w:rsidR="002E24DD" w:rsidRDefault="002E24DD" w:rsidP="00AA2E11">
      <w:pPr>
        <w:tabs>
          <w:tab w:val="center" w:pos="1418"/>
          <w:tab w:val="center" w:pos="4536"/>
          <w:tab w:val="center" w:pos="7655"/>
        </w:tabs>
        <w:spacing w:after="48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ověřovatel výboru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předseda </w:t>
      </w:r>
      <w:r w:rsidRPr="00524661">
        <w:rPr>
          <w:rFonts w:ascii="Times New Roman" w:hAnsi="Times New Roman"/>
          <w:sz w:val="24"/>
          <w:szCs w:val="24"/>
        </w:rPr>
        <w:t>výboru</w:t>
      </w:r>
    </w:p>
    <w:sectPr w:rsidR="002E24D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43315C" w14:textId="77777777" w:rsidR="009819FD" w:rsidRDefault="007F7041">
      <w:pPr>
        <w:spacing w:after="0" w:line="240" w:lineRule="auto"/>
      </w:pPr>
      <w:r>
        <w:separator/>
      </w:r>
    </w:p>
  </w:endnote>
  <w:endnote w:type="continuationSeparator" w:id="0">
    <w:p w14:paraId="0C2A6933" w14:textId="77777777" w:rsidR="009819FD" w:rsidRDefault="007F70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 tučné">
    <w:panose1 w:val="02020803070505020304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1B0D33" w14:textId="77777777" w:rsidR="002E24DD" w:rsidRDefault="002E24D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23" w14:textId="77777777" w:rsidR="004D391B" w:rsidRDefault="004D391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1DC895" w14:textId="77777777" w:rsidR="002E24DD" w:rsidRDefault="002E24D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51FB26" w14:textId="77777777" w:rsidR="009819FD" w:rsidRDefault="007F7041">
      <w:pPr>
        <w:spacing w:after="0" w:line="240" w:lineRule="auto"/>
      </w:pPr>
      <w:r>
        <w:separator/>
      </w:r>
    </w:p>
  </w:footnote>
  <w:footnote w:type="continuationSeparator" w:id="0">
    <w:p w14:paraId="1276DB14" w14:textId="77777777" w:rsidR="009819FD" w:rsidRDefault="007F70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12F1BC" w14:textId="45013DC2" w:rsidR="002E24DD" w:rsidRDefault="002E24D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533B45" w14:textId="5BAB1337" w:rsidR="002E24DD" w:rsidRDefault="002E24D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500937" w14:textId="7DA1D8A5" w:rsidR="002E24DD" w:rsidRDefault="002E24D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30E4F40C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auto"/>
        <w:spacing w:val="0"/>
        <w:w w:val="100"/>
        <w:kern w:val="3"/>
        <w:position w:val="0"/>
        <w:sz w:val="24"/>
        <w:szCs w:val="0"/>
        <w:u w:val="none" w:color="000000"/>
        <w:effect w:val="none"/>
        <w:bdr w:val="none" w:sz="0" w:space="0" w:color="auto"/>
        <w:shd w:val="clear" w:color="auto" w:fill="auto"/>
        <w:vertAlign w:val="baseline"/>
        <w:em w:val="none"/>
        <w:lang w:val="cs-CZ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</w:abstractNum>
  <w:abstractNum w:abstractNumId="1" w15:restartNumberingAfterBreak="0">
    <w:nsid w:val="1EE62747"/>
    <w:multiLevelType w:val="hybridMultilevel"/>
    <w:tmpl w:val="DC2E6E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481866"/>
    <w:multiLevelType w:val="multilevel"/>
    <w:tmpl w:val="2F80C1FE"/>
    <w:lvl w:ilvl="0">
      <w:start w:val="1"/>
      <w:numFmt w:val="upperRoman"/>
      <w:lvlText w:val="%1."/>
      <w:lvlJc w:val="right"/>
      <w:pPr>
        <w:ind w:left="1069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4F852F7"/>
    <w:multiLevelType w:val="hybridMultilevel"/>
    <w:tmpl w:val="0C162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5E478F"/>
    <w:multiLevelType w:val="hybridMultilevel"/>
    <w:tmpl w:val="30C07E2A"/>
    <w:lvl w:ilvl="0" w:tplc="04050011">
      <w:start w:val="1"/>
      <w:numFmt w:val="decimal"/>
      <w:lvlText w:val="%1)"/>
      <w:lvlJc w:val="left"/>
      <w:pPr>
        <w:ind w:left="23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70798C"/>
    <w:multiLevelType w:val="multilevel"/>
    <w:tmpl w:val="8F9E1C80"/>
    <w:lvl w:ilvl="0">
      <w:start w:val="1"/>
      <w:numFmt w:val="decimal"/>
      <w:lvlText w:val="%1."/>
      <w:lvlJc w:val="left"/>
      <w:pPr>
        <w:ind w:left="1069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D593F65"/>
    <w:multiLevelType w:val="hybridMultilevel"/>
    <w:tmpl w:val="790EB014"/>
    <w:lvl w:ilvl="0" w:tplc="04050013">
      <w:start w:val="1"/>
      <w:numFmt w:val="upperRoman"/>
      <w:lvlText w:val="%1."/>
      <w:lvlJc w:val="right"/>
      <w:pPr>
        <w:ind w:left="1866" w:hanging="360"/>
      </w:pPr>
    </w:lvl>
    <w:lvl w:ilvl="1" w:tplc="04050019" w:tentative="1">
      <w:start w:val="1"/>
      <w:numFmt w:val="lowerLetter"/>
      <w:lvlText w:val="%2."/>
      <w:lvlJc w:val="left"/>
      <w:pPr>
        <w:ind w:left="2586" w:hanging="360"/>
      </w:pPr>
    </w:lvl>
    <w:lvl w:ilvl="2" w:tplc="0405001B" w:tentative="1">
      <w:start w:val="1"/>
      <w:numFmt w:val="lowerRoman"/>
      <w:lvlText w:val="%3."/>
      <w:lvlJc w:val="right"/>
      <w:pPr>
        <w:ind w:left="3306" w:hanging="180"/>
      </w:pPr>
    </w:lvl>
    <w:lvl w:ilvl="3" w:tplc="0405000F" w:tentative="1">
      <w:start w:val="1"/>
      <w:numFmt w:val="decimal"/>
      <w:lvlText w:val="%4."/>
      <w:lvlJc w:val="left"/>
      <w:pPr>
        <w:ind w:left="4026" w:hanging="360"/>
      </w:pPr>
    </w:lvl>
    <w:lvl w:ilvl="4" w:tplc="04050019" w:tentative="1">
      <w:start w:val="1"/>
      <w:numFmt w:val="lowerLetter"/>
      <w:lvlText w:val="%5."/>
      <w:lvlJc w:val="left"/>
      <w:pPr>
        <w:ind w:left="4746" w:hanging="360"/>
      </w:pPr>
    </w:lvl>
    <w:lvl w:ilvl="5" w:tplc="0405001B" w:tentative="1">
      <w:start w:val="1"/>
      <w:numFmt w:val="lowerRoman"/>
      <w:lvlText w:val="%6."/>
      <w:lvlJc w:val="right"/>
      <w:pPr>
        <w:ind w:left="5466" w:hanging="180"/>
      </w:pPr>
    </w:lvl>
    <w:lvl w:ilvl="6" w:tplc="0405000F" w:tentative="1">
      <w:start w:val="1"/>
      <w:numFmt w:val="decimal"/>
      <w:lvlText w:val="%7."/>
      <w:lvlJc w:val="left"/>
      <w:pPr>
        <w:ind w:left="6186" w:hanging="360"/>
      </w:pPr>
    </w:lvl>
    <w:lvl w:ilvl="7" w:tplc="04050019" w:tentative="1">
      <w:start w:val="1"/>
      <w:numFmt w:val="lowerLetter"/>
      <w:lvlText w:val="%8."/>
      <w:lvlJc w:val="left"/>
      <w:pPr>
        <w:ind w:left="6906" w:hanging="360"/>
      </w:pPr>
    </w:lvl>
    <w:lvl w:ilvl="8" w:tplc="0405001B" w:tentative="1">
      <w:start w:val="1"/>
      <w:numFmt w:val="lowerRoman"/>
      <w:lvlText w:val="%9."/>
      <w:lvlJc w:val="right"/>
      <w:pPr>
        <w:ind w:left="7626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91B"/>
    <w:rsid w:val="002E24DD"/>
    <w:rsid w:val="003424D8"/>
    <w:rsid w:val="003D5FF1"/>
    <w:rsid w:val="004D391B"/>
    <w:rsid w:val="006C076E"/>
    <w:rsid w:val="007A1B73"/>
    <w:rsid w:val="007F7041"/>
    <w:rsid w:val="00813D7D"/>
    <w:rsid w:val="0086536E"/>
    <w:rsid w:val="00870ED8"/>
    <w:rsid w:val="008C513D"/>
    <w:rsid w:val="008E12AF"/>
    <w:rsid w:val="009819FD"/>
    <w:rsid w:val="009F31CA"/>
    <w:rsid w:val="00A737BB"/>
    <w:rsid w:val="00AA2E11"/>
    <w:rsid w:val="00EA39AE"/>
    <w:rsid w:val="00ED4485"/>
    <w:rsid w:val="00EE2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B908ED6"/>
  <w15:docId w15:val="{70EFD8FA-F95C-4B33-9A09-869E0821B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160" w:after="0" w:line="246" w:lineRule="auto"/>
      <w:ind w:left="10" w:right="92" w:hanging="10"/>
      <w:jc w:val="both"/>
      <w:outlineLvl w:val="0"/>
    </w:pPr>
    <w:rPr>
      <w:b/>
      <w:color w:val="000000"/>
      <w:sz w:val="28"/>
      <w:szCs w:val="2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Zhlav">
    <w:name w:val="header"/>
    <w:basedOn w:val="Normln"/>
    <w:link w:val="ZhlavChar"/>
    <w:uiPriority w:val="99"/>
    <w:unhideWhenUsed/>
    <w:rsid w:val="002E24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E24DD"/>
  </w:style>
  <w:style w:type="paragraph" w:styleId="Zpat">
    <w:name w:val="footer"/>
    <w:basedOn w:val="Normln"/>
    <w:link w:val="ZpatChar"/>
    <w:uiPriority w:val="99"/>
    <w:unhideWhenUsed/>
    <w:rsid w:val="002E24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E24DD"/>
  </w:style>
  <w:style w:type="paragraph" w:styleId="Odstavecseseznamem">
    <w:name w:val="List Paragraph"/>
    <w:basedOn w:val="Normln"/>
    <w:uiPriority w:val="34"/>
    <w:qFormat/>
    <w:rsid w:val="003424D8"/>
    <w:pPr>
      <w:ind w:left="720"/>
      <w:contextualSpacing/>
    </w:pPr>
  </w:style>
  <w:style w:type="paragraph" w:styleId="slovanseznam">
    <w:name w:val="List Number"/>
    <w:basedOn w:val="Normln"/>
    <w:uiPriority w:val="99"/>
    <w:unhideWhenUsed/>
    <w:rsid w:val="003424D8"/>
    <w:pPr>
      <w:widowControl w:val="0"/>
      <w:numPr>
        <w:numId w:val="4"/>
      </w:numPr>
      <w:suppressAutoHyphens/>
      <w:autoSpaceDN w:val="0"/>
      <w:spacing w:after="0" w:line="240" w:lineRule="auto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customStyle="1" w:styleId="PSbodprogramu">
    <w:name w:val="PS bod programu"/>
    <w:basedOn w:val="slovanseznam"/>
    <w:next w:val="Normln"/>
    <w:rsid w:val="003424D8"/>
    <w:pPr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405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Kateřina Tůmová</dc:creator>
  <cp:lastModifiedBy>Kateřina Tumová</cp:lastModifiedBy>
  <cp:revision>6</cp:revision>
  <cp:lastPrinted>2022-03-10T07:23:00Z</cp:lastPrinted>
  <dcterms:created xsi:type="dcterms:W3CDTF">2022-02-28T06:51:00Z</dcterms:created>
  <dcterms:modified xsi:type="dcterms:W3CDTF">2022-03-10T07:24:00Z</dcterms:modified>
</cp:coreProperties>
</file>