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329E" w:rsidRDefault="0096329E" w:rsidP="0096329E">
      <w:pPr>
        <w:pStyle w:val="PS-hlavika1"/>
        <w:jc w:val="right"/>
      </w:pPr>
      <w:r>
        <w:t>PS200294962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926EF6">
      <w:pPr>
        <w:pStyle w:val="PS-slousnesen"/>
      </w:pPr>
      <w:r>
        <w:t>25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8D1488">
        <w:t>5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8D1488">
        <w:t>9. března</w:t>
      </w:r>
      <w:r w:rsidR="00434A11" w:rsidRPr="00887168">
        <w:t xml:space="preserve"> 2022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 xml:space="preserve"> dokumentu EU: </w:t>
      </w:r>
      <w:r w:rsidR="00885B9E">
        <w:t>Zpráva Komise Radě a Evropskému parlamentu o provádění směrnice 2010/75/EU o průmyslových emisích, COM(2021</w:t>
      </w:r>
      <w:r w:rsidR="00887168" w:rsidRPr="00887168">
        <w:t xml:space="preserve">) </w:t>
      </w:r>
      <w:r w:rsidR="00885B9E">
        <w:t>793 final, 15040/21</w:t>
      </w:r>
    </w:p>
    <w:p w:rsidR="003329C4" w:rsidRPr="00312DA4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Po úvodním slov</w:t>
      </w:r>
      <w:r w:rsidR="00077E7D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8D1488" w:rsidRPr="000417E9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náměstka ministryně životního prostředí </w:t>
      </w:r>
      <w:r w:rsidR="000417E9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Ing. Vladimíra Many, LL.M.</w:t>
      </w:r>
      <w:r w:rsidR="00451218" w:rsidRPr="000417E9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="0045121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</w:t>
      </w: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zprávě posl. </w:t>
      </w:r>
      <w:r w:rsidR="001A019C"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Ing. </w:t>
      </w:r>
      <w:r w:rsidR="00885B9E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Václava Krále</w:t>
      </w:r>
      <w:r w:rsidR="0088716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312DA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B26768" w:rsidRDefault="001C4651" w:rsidP="001C4651">
      <w:pPr>
        <w:pStyle w:val="PS-uvodnodstavec"/>
        <w:spacing w:after="480"/>
        <w:ind w:firstLine="0"/>
        <w:rPr>
          <w:szCs w:val="24"/>
        </w:rPr>
      </w:pPr>
      <w:r w:rsidRPr="00B26768">
        <w:rPr>
          <w:szCs w:val="24"/>
        </w:rPr>
        <w:t>výbor pro životní prostředí Poslanecké sněmovny Parlamentu ČR</w:t>
      </w:r>
    </w:p>
    <w:p w:rsidR="008B0A30" w:rsidRPr="00F373CB" w:rsidRDefault="005373D4" w:rsidP="005373D4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B26768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bere na vědomí</w:t>
      </w:r>
      <w:r w:rsidRPr="00B26768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bookmarkStart w:id="0" w:name="_heading=h.gjdgxs"/>
      <w:bookmarkEnd w:id="0"/>
      <w:r w:rsidR="00885B9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Zprávu Komise Radě a Evropskému parlamentu o provádění směrnice 2010/75/EU o průmyslových emisích, COM(2021</w:t>
      </w:r>
      <w:r w:rsidRPr="00B26768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) </w:t>
      </w:r>
      <w:r w:rsidR="00885B9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793 final, 15040/21</w:t>
      </w:r>
      <w:r w:rsidRPr="00B26768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;</w:t>
      </w:r>
    </w:p>
    <w:p w:rsidR="00F373CB" w:rsidRPr="00C50740" w:rsidRDefault="00F373CB" w:rsidP="005373D4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F373CB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podporuje </w:t>
      </w:r>
      <w:r w:rsidRPr="00F373CB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pozici;</w:t>
      </w:r>
    </w:p>
    <w:p w:rsidR="00C50740" w:rsidRPr="00C50740" w:rsidRDefault="00C50740" w:rsidP="005373D4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doporučuje </w:t>
      </w:r>
      <w:r w:rsidR="007C5900" w:rsidRPr="007C590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Evropské komisi</w:t>
      </w:r>
      <w:r w:rsidR="007C5900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C5074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posu</w:t>
      </w:r>
      <w:r w:rsidR="007C590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zovat dopady za</w:t>
      </w:r>
      <w:r w:rsidRPr="00C5074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váděných směrnic na základě</w:t>
      </w:r>
      <w:r w:rsidRPr="007C590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="007C5900" w:rsidRPr="007C590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aktuálních a úplných dat a při zohlednění ekonomických cyklů;</w:t>
      </w:r>
    </w:p>
    <w:p w:rsidR="00ED21E0" w:rsidRPr="00B26768" w:rsidRDefault="00ED21E0" w:rsidP="000417E9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B26768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pověřuje</w:t>
      </w:r>
      <w:r w:rsidRPr="00B26768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B26768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8D1488" w:rsidRPr="00926EF6" w:rsidRDefault="00926EF6" w:rsidP="00A127FC">
            <w:pPr>
              <w:pStyle w:val="PS-slovanseznam"/>
              <w:spacing w:after="0"/>
              <w:ind w:left="0" w:firstLine="0"/>
              <w:jc w:val="center"/>
            </w:pPr>
            <w:r w:rsidRPr="00926EF6">
              <w:t>Klára KOCMANOVÁ</w:t>
            </w:r>
            <w:r w:rsidR="0096329E">
              <w:t xml:space="preserve"> v. r.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926EF6">
              <w:t>o</w:t>
            </w:r>
            <w:r w:rsidR="00B26768" w:rsidRPr="00926EF6">
              <w:t>věřovatel</w:t>
            </w:r>
            <w:r w:rsidR="00926EF6" w:rsidRPr="00926EF6">
              <w:t>ka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</w:t>
            </w:r>
            <w:r w:rsidR="00885B9E">
              <w:t>Václav KRÁL</w:t>
            </w:r>
            <w:r w:rsidR="0096329E">
              <w:t xml:space="preserve"> v. r.</w:t>
            </w:r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96329E">
              <w:t xml:space="preserve"> v. r.</w:t>
            </w:r>
            <w:bookmarkStart w:id="1" w:name="_GoBack"/>
            <w:bookmarkEnd w:id="1"/>
            <w:r>
              <w:t xml:space="preserve"> 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373D4" w:rsidRDefault="005373D4" w:rsidP="00806CFD">
      <w:pPr>
        <w:rPr>
          <w:rFonts w:ascii="Times New Roman" w:hAnsi="Times New Roman"/>
          <w:sz w:val="24"/>
        </w:rPr>
      </w:pPr>
    </w:p>
    <w:p w:rsidR="003C4840" w:rsidRDefault="003C4840" w:rsidP="00806CF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Příloha k usnesení </w:t>
      </w:r>
      <w:r w:rsidR="00E355C4" w:rsidRPr="00AA4C97">
        <w:rPr>
          <w:rFonts w:ascii="Times New Roman" w:hAnsi="Times New Roman"/>
          <w:sz w:val="24"/>
        </w:rPr>
        <w:t>VŽP č. 2</w:t>
      </w:r>
      <w:r w:rsidR="00885B9E" w:rsidRPr="00AA4C97">
        <w:rPr>
          <w:rFonts w:ascii="Times New Roman" w:hAnsi="Times New Roman"/>
          <w:sz w:val="24"/>
        </w:rPr>
        <w:t>5</w:t>
      </w:r>
    </w:p>
    <w:p w:rsidR="00511697" w:rsidRPr="008A2F43" w:rsidRDefault="00511697" w:rsidP="00511697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  <w:lang w:eastAsia="cs-CZ"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59E0E504" wp14:editId="23BE9DA0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11697" w:rsidRPr="003670F2" w:rsidRDefault="00511697" w:rsidP="0051169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11697" w:rsidRPr="00333C99" w:rsidRDefault="00511697" w:rsidP="00511697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511697" w:rsidRPr="0035103C" w:rsidRDefault="00511697" w:rsidP="0051169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11697" w:rsidRPr="0035103C" w:rsidRDefault="00511697" w:rsidP="0051169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11697" w:rsidRPr="0035103C" w:rsidRDefault="00511697" w:rsidP="0051169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11697" w:rsidRPr="0035103C" w:rsidRDefault="00511697" w:rsidP="0051169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11697" w:rsidRPr="0035103C" w:rsidRDefault="00511697" w:rsidP="00511697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11697" w:rsidRPr="00333C99" w:rsidRDefault="00511697" w:rsidP="00511697">
                            <w:pPr>
                              <w:pStyle w:val="titulnstranaobsah"/>
                            </w:pPr>
                            <w:r w:rsidRPr="00333C99">
                              <w:t>Obsah:</w:t>
                            </w:r>
                          </w:p>
                          <w:p w:rsidR="00511697" w:rsidRDefault="00511697" w:rsidP="00511697">
                            <w:pPr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  <w:p w:rsidR="00511697" w:rsidRPr="00163205" w:rsidRDefault="00511697" w:rsidP="00511697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begin"/>
                            </w:r>
                            <w:r w:rsidRPr="00163205">
                              <w:rPr>
                                <w:rStyle w:val="Siln"/>
                                <w:caps/>
                                <w:color w:val="1F4E79" w:themeColor="accent1" w:themeShade="80"/>
                              </w:rPr>
                              <w:instrText xml:space="preserve"> TOC \o "1-1" \h \z \u </w:instrText>
                            </w: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separate"/>
                            </w:r>
                            <w:hyperlink w:anchor="_Toc448302188" w:history="1">
                              <w:r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Hodnocení z hlediska principu subsidiarity: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_Toc448302188 \h </w:instrTex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F373CB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11697" w:rsidRPr="00163205" w:rsidRDefault="0096329E" w:rsidP="00511697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89" w:history="1">
                              <w:r w:rsidR="00511697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11697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11697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Odůvodnění a předmět: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_Toc448302189 \h </w:instrTex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F373CB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11697" w:rsidRPr="00163205" w:rsidRDefault="0096329E" w:rsidP="00511697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0" w:history="1">
                              <w:r w:rsidR="00511697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11697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11697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Obsah a dopad: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_Toc448302190 \h </w:instrTex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F373CB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11697" w:rsidRPr="00163205" w:rsidRDefault="0096329E" w:rsidP="00511697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1" w:history="1">
                              <w:r w:rsidR="00511697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11697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11697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Stanovisko vlády ČR: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_Toc448302191 \h </w:instrTex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F373CB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4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11697" w:rsidRPr="00163205" w:rsidRDefault="0096329E" w:rsidP="00511697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2" w:history="1">
                              <w:r w:rsidR="00511697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11697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11697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Předpokládaný harmonogram projednávání v orgánech EU: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_Toc448302192 \h </w:instrTex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F373CB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4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11697" w:rsidRPr="00163205" w:rsidRDefault="0096329E" w:rsidP="00511697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3" w:history="1">
                              <w:r w:rsidR="00511697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11697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11697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Závěr: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_Toc448302193 \h </w:instrTex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F373CB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4</w:t>
                              </w:r>
                              <w:r w:rsidR="00511697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11697" w:rsidRPr="007A5C9D" w:rsidRDefault="00511697" w:rsidP="00511697">
                            <w:pPr>
                              <w:pStyle w:val="Obsah1"/>
                              <w:ind w:left="284" w:right="193" w:hanging="284"/>
                              <w:rPr>
                                <w:rFonts w:eastAsiaTheme="minorEastAsia" w:cstheme="minorBidi"/>
                                <w:caps/>
                                <w:noProof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end"/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begin"/>
                            </w:r>
                            <w:r w:rsidRPr="007A5C9D">
                              <w:instrText xml:space="preserve"> TOC \o "1-3" \h \z \u </w:instrText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separate"/>
                            </w:r>
                          </w:p>
                          <w:p w:rsidR="00511697" w:rsidRPr="0035103C" w:rsidRDefault="00511697" w:rsidP="00511697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  <w:r w:rsidRPr="007A5C9D">
                              <w:rPr>
                                <w:b/>
                                <w:bCs/>
                                <w:color w:val="1F4E79" w:themeColor="accent1" w:themeShade="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E0E504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511697" w:rsidRPr="003670F2" w:rsidRDefault="00511697" w:rsidP="00511697">
                      <w:pPr>
                        <w:rPr>
                          <w:color w:val="C00000"/>
                        </w:rPr>
                      </w:pPr>
                    </w:p>
                    <w:p w:rsidR="00511697" w:rsidRPr="00333C99" w:rsidRDefault="00511697" w:rsidP="00511697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511697" w:rsidRPr="0035103C" w:rsidRDefault="00511697" w:rsidP="00511697">
                      <w:pPr>
                        <w:rPr>
                          <w:color w:val="C00000"/>
                        </w:rPr>
                      </w:pPr>
                    </w:p>
                    <w:p w:rsidR="00511697" w:rsidRPr="0035103C" w:rsidRDefault="00511697" w:rsidP="00511697">
                      <w:pPr>
                        <w:rPr>
                          <w:color w:val="C00000"/>
                        </w:rPr>
                      </w:pPr>
                    </w:p>
                    <w:p w:rsidR="00511697" w:rsidRPr="0035103C" w:rsidRDefault="00511697" w:rsidP="00511697">
                      <w:pPr>
                        <w:rPr>
                          <w:color w:val="C00000"/>
                        </w:rPr>
                      </w:pPr>
                    </w:p>
                    <w:p w:rsidR="00511697" w:rsidRPr="0035103C" w:rsidRDefault="00511697" w:rsidP="00511697">
                      <w:pPr>
                        <w:rPr>
                          <w:color w:val="C00000"/>
                        </w:rPr>
                      </w:pPr>
                    </w:p>
                    <w:p w:rsidR="00511697" w:rsidRPr="0035103C" w:rsidRDefault="00511697" w:rsidP="00511697">
                      <w:pPr>
                        <w:rPr>
                          <w:color w:val="C00000"/>
                        </w:rPr>
                      </w:pPr>
                    </w:p>
                    <w:p w:rsidR="00511697" w:rsidRPr="00333C99" w:rsidRDefault="00511697" w:rsidP="00511697">
                      <w:pPr>
                        <w:pStyle w:val="titulnstranaobsah"/>
                      </w:pPr>
                      <w:r w:rsidRPr="00333C99">
                        <w:t>Obsah:</w:t>
                      </w:r>
                    </w:p>
                    <w:p w:rsidR="00511697" w:rsidRDefault="00511697" w:rsidP="00511697">
                      <w:pPr>
                        <w:rPr>
                          <w:rFonts w:cs="Arial"/>
                          <w:color w:val="C00000"/>
                        </w:rPr>
                      </w:pPr>
                    </w:p>
                    <w:p w:rsidR="00511697" w:rsidRPr="00163205" w:rsidRDefault="00511697" w:rsidP="00511697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begin"/>
                      </w:r>
                      <w:r w:rsidRPr="00163205">
                        <w:rPr>
                          <w:rStyle w:val="Siln"/>
                          <w:caps/>
                          <w:color w:val="1F4E79" w:themeColor="accent1" w:themeShade="80"/>
                        </w:rPr>
                        <w:instrText xml:space="preserve"> TOC \o "1-1" \h \z \u </w:instrText>
                      </w: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separate"/>
                      </w:r>
                      <w:hyperlink w:anchor="_Toc448302188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Hodnocení z hlediska principu subsidiarity: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_Toc448302188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F373CB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11697" w:rsidRPr="00163205" w:rsidRDefault="00F373CB" w:rsidP="00511697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89" w:history="1">
                        <w:r w:rsidR="00511697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11697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11697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Odůvodnění a předmět: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_Toc448302189 \h </w:instrTex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11697" w:rsidRPr="00163205" w:rsidRDefault="00F373CB" w:rsidP="00511697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0" w:history="1">
                        <w:r w:rsidR="00511697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11697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11697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Obsah a dopad: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_Toc448302190 \h </w:instrTex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11697" w:rsidRPr="00163205" w:rsidRDefault="00F373CB" w:rsidP="00511697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1" w:history="1">
                        <w:r w:rsidR="00511697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11697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11697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Stanovisko vlády ČR: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_Toc448302191 \h </w:instrTex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4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11697" w:rsidRPr="00163205" w:rsidRDefault="00F373CB" w:rsidP="00511697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2" w:history="1">
                        <w:r w:rsidR="00511697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11697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11697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Předpokládaný harmonogram projednávání v orgánech EU: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_Toc448302192 \h </w:instrTex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4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11697" w:rsidRPr="00163205" w:rsidRDefault="00F373CB" w:rsidP="00511697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3" w:history="1">
                        <w:r w:rsidR="00511697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11697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11697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Závěr: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_Toc448302193 \h </w:instrTex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4</w:t>
                        </w:r>
                        <w:r w:rsidR="00511697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11697" w:rsidRPr="007A5C9D" w:rsidRDefault="00511697" w:rsidP="00511697">
                      <w:pPr>
                        <w:pStyle w:val="Obsah1"/>
                        <w:ind w:left="284" w:right="193" w:hanging="284"/>
                        <w:rPr>
                          <w:rFonts w:eastAsiaTheme="minorEastAsia" w:cstheme="minorBidi"/>
                          <w:caps/>
                          <w:noProof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end"/>
                      </w:r>
                      <w:r w:rsidRPr="007A5C9D">
                        <w:rPr>
                          <w:caps/>
                          <w:noProof/>
                        </w:rPr>
                        <w:fldChar w:fldCharType="begin"/>
                      </w:r>
                      <w:r w:rsidRPr="007A5C9D">
                        <w:instrText xml:space="preserve"> TOC \o "1-3" \h \z \u </w:instrText>
                      </w:r>
                      <w:r w:rsidRPr="007A5C9D">
                        <w:rPr>
                          <w:caps/>
                          <w:noProof/>
                        </w:rPr>
                        <w:fldChar w:fldCharType="separate"/>
                      </w:r>
                    </w:p>
                    <w:p w:rsidR="00511697" w:rsidRPr="0035103C" w:rsidRDefault="00511697" w:rsidP="00511697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  <w:r w:rsidRPr="007A5C9D">
                        <w:rPr>
                          <w:b/>
                          <w:bCs/>
                          <w:color w:val="1F4E79" w:themeColor="accent1" w:themeShade="80"/>
                        </w:rPr>
                        <w:fldChar w:fldCharType="end"/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62B1CE6D" wp14:editId="5A491A7E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418A2705" wp14:editId="6C07BD16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511697" w:rsidRPr="008A2F43" w:rsidTr="00DA01B1">
        <w:trPr>
          <w:trHeight w:val="1301"/>
        </w:trPr>
        <w:tc>
          <w:tcPr>
            <w:tcW w:w="9522" w:type="dxa"/>
            <w:shd w:val="clear" w:color="auto" w:fill="auto"/>
          </w:tcPr>
          <w:p w:rsidR="00511697" w:rsidRPr="008A2F43" w:rsidRDefault="00511697" w:rsidP="00DA01B1">
            <w:pPr>
              <w:pStyle w:val="NZEVPRCE"/>
            </w:pPr>
            <w:r>
              <w:t>Provádění směrnice o průmyslových emisích</w:t>
            </w:r>
          </w:p>
        </w:tc>
      </w:tr>
      <w:tr w:rsidR="00511697" w:rsidRPr="008A2F43" w:rsidTr="00DA01B1">
        <w:trPr>
          <w:trHeight w:val="2115"/>
        </w:trPr>
        <w:tc>
          <w:tcPr>
            <w:tcW w:w="9522" w:type="dxa"/>
            <w:shd w:val="clear" w:color="auto" w:fill="auto"/>
          </w:tcPr>
          <w:p w:rsidR="00511697" w:rsidRPr="008A2F43" w:rsidRDefault="00511697" w:rsidP="00DA01B1">
            <w:pPr>
              <w:pStyle w:val="PODNZEVPRCE"/>
            </w:pPr>
            <w:r>
              <w:t xml:space="preserve">Informační podklad ke zprávě </w:t>
            </w:r>
            <w:r w:rsidRPr="007822F7">
              <w:t>o provádění směrnice 2010/75/EU o průmyslových emisích</w:t>
            </w:r>
          </w:p>
          <w:p w:rsidR="00511697" w:rsidRPr="008A2F43" w:rsidRDefault="00511697" w:rsidP="00DA01B1">
            <w:pPr>
              <w:pStyle w:val="PODNZEVPRCE"/>
            </w:pPr>
          </w:p>
          <w:p w:rsidR="00511697" w:rsidRPr="008A2F43" w:rsidRDefault="00511697" w:rsidP="00DA01B1">
            <w:pPr>
              <w:rPr>
                <w:rFonts w:ascii="Calibri Light" w:hAnsi="Calibri Light"/>
              </w:rPr>
            </w:pPr>
          </w:p>
        </w:tc>
      </w:tr>
    </w:tbl>
    <w:p w:rsidR="00511697" w:rsidRDefault="00511697" w:rsidP="00511697">
      <w:pPr>
        <w:pStyle w:val="ZHLAVTITULKY"/>
        <w:jc w:val="center"/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r>
        <w:t>ZPRÁVA</w:t>
      </w:r>
    </w:p>
    <w:p w:rsidR="00511697" w:rsidRDefault="00511697" w:rsidP="00511697">
      <w:pPr>
        <w:pStyle w:val="PODNZEVPRCE"/>
        <w:jc w:val="center"/>
      </w:pPr>
      <w:r w:rsidRPr="007822F7">
        <w:t>Zpráva Komise Radě a Evropskému parlamentu o provádění směrnice 2010/75/EU o průmyslových emisích</w:t>
      </w:r>
    </w:p>
    <w:p w:rsidR="00511697" w:rsidRDefault="00511697" w:rsidP="00511697">
      <w:pPr>
        <w:pStyle w:val="PODNZEVPRCE"/>
        <w:jc w:val="center"/>
      </w:pPr>
      <w:r>
        <w:t>COM(2021) 793 final, kód Rady 15040/21</w:t>
      </w:r>
    </w:p>
    <w:p w:rsidR="00511697" w:rsidRDefault="00511697" w:rsidP="00511697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511697" w:rsidRDefault="00511697" w:rsidP="00511697">
      <w:pPr>
        <w:jc w:val="both"/>
        <w:rPr>
          <w:rStyle w:val="Siln"/>
        </w:rPr>
      </w:pPr>
    </w:p>
    <w:p w:rsidR="00511697" w:rsidRPr="00C90F55" w:rsidRDefault="00511697" w:rsidP="00511697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4"/>
      <w:r w:rsidRPr="00C90F55">
        <w:rPr>
          <w:b/>
        </w:rPr>
        <w:t>Právní základ:</w:t>
      </w:r>
      <w:bookmarkEnd w:id="8"/>
    </w:p>
    <w:p w:rsidR="00511697" w:rsidRDefault="00511697" w:rsidP="00511697">
      <w:pPr>
        <w:jc w:val="both"/>
      </w:pPr>
      <w:r w:rsidRPr="0048126F">
        <w:t>Dokument informační povahy.</w:t>
      </w:r>
    </w:p>
    <w:p w:rsidR="00511697" w:rsidRPr="0048126F" w:rsidRDefault="00511697" w:rsidP="00511697">
      <w:pPr>
        <w:jc w:val="both"/>
      </w:pPr>
    </w:p>
    <w:p w:rsidR="00511697" w:rsidRPr="00373906" w:rsidRDefault="00511697" w:rsidP="00511697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5"/>
      <w:r w:rsidRPr="00373906">
        <w:rPr>
          <w:b/>
        </w:rPr>
        <w:t>Datum zaslání Poslanecké sněmovně prostřednictvím VEZ:</w:t>
      </w:r>
      <w:bookmarkEnd w:id="9"/>
    </w:p>
    <w:p w:rsidR="00511697" w:rsidRDefault="00511697" w:rsidP="00511697">
      <w:pPr>
        <w:jc w:val="both"/>
      </w:pPr>
      <w:r>
        <w:t>15. 12. 2021</w:t>
      </w:r>
    </w:p>
    <w:p w:rsidR="00511697" w:rsidRPr="0048126F" w:rsidRDefault="00511697" w:rsidP="00511697">
      <w:pPr>
        <w:jc w:val="both"/>
      </w:pPr>
    </w:p>
    <w:p w:rsidR="00511697" w:rsidRPr="00373906" w:rsidRDefault="00511697" w:rsidP="00511697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6"/>
      <w:r w:rsidRPr="00373906">
        <w:rPr>
          <w:b/>
        </w:rPr>
        <w:t>Datum projednání ve VEZ:</w:t>
      </w:r>
      <w:bookmarkEnd w:id="10"/>
    </w:p>
    <w:p w:rsidR="00511697" w:rsidRDefault="00511697" w:rsidP="00511697">
      <w:pPr>
        <w:jc w:val="both"/>
      </w:pPr>
      <w:r>
        <w:t>18. 1. 2022</w:t>
      </w:r>
      <w:r w:rsidRPr="0048126F">
        <w:t xml:space="preserve"> (1. kolo)</w:t>
      </w:r>
    </w:p>
    <w:p w:rsidR="00511697" w:rsidRPr="0048126F" w:rsidRDefault="00511697" w:rsidP="00511697">
      <w:pPr>
        <w:jc w:val="both"/>
      </w:pPr>
    </w:p>
    <w:p w:rsidR="00511697" w:rsidRPr="00373906" w:rsidRDefault="00511697" w:rsidP="00511697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7"/>
      <w:r w:rsidRPr="00373906">
        <w:rPr>
          <w:b/>
        </w:rPr>
        <w:t>Procedura:</w:t>
      </w:r>
      <w:bookmarkEnd w:id="11"/>
    </w:p>
    <w:p w:rsidR="00511697" w:rsidRPr="00BB436D" w:rsidRDefault="00511697" w:rsidP="00511697">
      <w:pPr>
        <w:jc w:val="both"/>
      </w:pPr>
      <w:r w:rsidRPr="0048126F">
        <w:t xml:space="preserve">Není projednáváno legislativním postupem, jedná se o dokument nelegislativní povahy, který nepodléhá schválení v Radě a Evropském </w:t>
      </w:r>
      <w:r>
        <w:t>p</w:t>
      </w:r>
      <w:r w:rsidRPr="0048126F">
        <w:t xml:space="preserve">arlamentu. Procedura je ukončena jeho přijetím a předložením těmto institucím. </w:t>
      </w:r>
    </w:p>
    <w:p w:rsidR="00511697" w:rsidRPr="0048126F" w:rsidRDefault="00511697" w:rsidP="00511697">
      <w:pPr>
        <w:jc w:val="both"/>
      </w:pPr>
    </w:p>
    <w:p w:rsidR="00511697" w:rsidRPr="00373906" w:rsidRDefault="00511697" w:rsidP="00511697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2" w:name="_Toc445380608"/>
      <w:r w:rsidRPr="00373906">
        <w:rPr>
          <w:b/>
        </w:rPr>
        <w:lastRenderedPageBreak/>
        <w:t>Předběžné stanovisko vlády (dle § 109a odst. 1 jednacího řádu PS):</w:t>
      </w:r>
      <w:bookmarkEnd w:id="12"/>
    </w:p>
    <w:p w:rsidR="00511697" w:rsidRPr="0048126F" w:rsidRDefault="00511697" w:rsidP="00511697">
      <w:pPr>
        <w:jc w:val="both"/>
      </w:pPr>
      <w:r w:rsidRPr="0048126F">
        <w:t xml:space="preserve">Datované dnem </w:t>
      </w:r>
      <w:r>
        <w:t>4</w:t>
      </w:r>
      <w:r w:rsidRPr="0048126F">
        <w:t xml:space="preserve">. </w:t>
      </w:r>
      <w:r>
        <w:t>2.</w:t>
      </w:r>
      <w:r w:rsidRPr="0048126F">
        <w:t xml:space="preserve"> 20</w:t>
      </w:r>
      <w:r>
        <w:t>22</w:t>
      </w:r>
      <w:r w:rsidRPr="0048126F">
        <w:t>, doručené do v</w:t>
      </w:r>
      <w:r>
        <w:t xml:space="preserve">ýboru pro evropské záležitosti </w:t>
      </w:r>
      <w:r w:rsidRPr="0048126F">
        <w:t xml:space="preserve">dne </w:t>
      </w:r>
      <w:r>
        <w:t>9</w:t>
      </w:r>
      <w:r w:rsidRPr="0048126F">
        <w:t xml:space="preserve">. </w:t>
      </w:r>
      <w:r>
        <w:t>2.</w:t>
      </w:r>
      <w:r w:rsidRPr="0048126F">
        <w:t xml:space="preserve"> 20</w:t>
      </w:r>
      <w:r>
        <w:t>22</w:t>
      </w:r>
      <w:r w:rsidRPr="0048126F">
        <w:t xml:space="preserve"> prostřednictvím systému ISAP.</w:t>
      </w:r>
    </w:p>
    <w:p w:rsidR="00511697" w:rsidRPr="0048126F" w:rsidRDefault="00511697" w:rsidP="00511697">
      <w:pPr>
        <w:jc w:val="both"/>
      </w:pPr>
    </w:p>
    <w:p w:rsidR="00511697" w:rsidRPr="0048126F" w:rsidRDefault="00511697" w:rsidP="00511697">
      <w:pPr>
        <w:pStyle w:val="Nadpis1"/>
        <w:keepNext w:val="0"/>
        <w:tabs>
          <w:tab w:val="clear" w:pos="4513"/>
        </w:tabs>
        <w:suppressAutoHyphens w:val="0"/>
        <w:ind w:left="0" w:hanging="360"/>
        <w:jc w:val="left"/>
      </w:pPr>
      <w:bookmarkStart w:id="13" w:name="_Toc445380609"/>
      <w:bookmarkStart w:id="14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3"/>
      <w:bookmarkEnd w:id="14"/>
    </w:p>
    <w:p w:rsidR="00511697" w:rsidRDefault="00511697" w:rsidP="00511697">
      <w:pPr>
        <w:jc w:val="both"/>
      </w:pPr>
      <w:r w:rsidRPr="001C13DA">
        <w:t>Hodnocení z hlediska principu subsidiarity se neuplatní, jedná se o dokument informační povahy.</w:t>
      </w:r>
    </w:p>
    <w:p w:rsidR="00511697" w:rsidRPr="0048126F" w:rsidRDefault="00511697" w:rsidP="00511697">
      <w:pPr>
        <w:pStyle w:val="Nadpis1"/>
        <w:tabs>
          <w:tab w:val="clear" w:pos="4513"/>
        </w:tabs>
        <w:suppressAutoHyphens w:val="0"/>
        <w:ind w:left="0" w:hanging="357"/>
        <w:jc w:val="left"/>
      </w:pPr>
      <w:bookmarkStart w:id="15" w:name="_Toc445380610"/>
      <w:bookmarkStart w:id="16" w:name="_Toc448302189"/>
      <w:r w:rsidRPr="0048126F">
        <w:t>Odůvodnění a předmět:</w:t>
      </w:r>
      <w:bookmarkEnd w:id="15"/>
      <w:bookmarkEnd w:id="16"/>
    </w:p>
    <w:p w:rsidR="00511697" w:rsidRDefault="0096329E" w:rsidP="0051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</w:pPr>
      <w:hyperlink r:id="rId10" w:history="1">
        <w:r w:rsidR="00511697" w:rsidRPr="008B7A3C">
          <w:rPr>
            <w:rStyle w:val="Hypertextovodkaz"/>
            <w:szCs w:val="24"/>
          </w:rPr>
          <w:t>Zpráva Komise o provádění směrnice 2010/75/EU o průmyslových emisích</w:t>
        </w:r>
      </w:hyperlink>
      <w:r w:rsidR="00511697" w:rsidRPr="007C142C">
        <w:rPr>
          <w:szCs w:val="24"/>
        </w:rPr>
        <w:t xml:space="preserve"> (dále jen „</w:t>
      </w:r>
      <w:r w:rsidR="00511697">
        <w:rPr>
          <w:szCs w:val="24"/>
        </w:rPr>
        <w:t>zpráva“</w:t>
      </w:r>
      <w:r w:rsidR="00511697" w:rsidRPr="007C142C">
        <w:rPr>
          <w:szCs w:val="24"/>
        </w:rPr>
        <w:t xml:space="preserve">) </w:t>
      </w:r>
      <w:r w:rsidR="00511697" w:rsidRPr="008B7A3C">
        <w:rPr>
          <w:szCs w:val="24"/>
        </w:rPr>
        <w:t>shrnuje údaje shromážděné členskými stát</w:t>
      </w:r>
      <w:r w:rsidR="00511697">
        <w:rPr>
          <w:szCs w:val="24"/>
        </w:rPr>
        <w:t>y v období provádění 2013–2018, dále</w:t>
      </w:r>
      <w:r w:rsidR="00511697" w:rsidRPr="008B7A3C">
        <w:rPr>
          <w:szCs w:val="24"/>
        </w:rPr>
        <w:t xml:space="preserve"> zahrnuje </w:t>
      </w:r>
      <w:r w:rsidR="00511697">
        <w:rPr>
          <w:szCs w:val="24"/>
        </w:rPr>
        <w:t>pokrok</w:t>
      </w:r>
      <w:r w:rsidR="00511697" w:rsidRPr="008B7A3C">
        <w:rPr>
          <w:szCs w:val="24"/>
        </w:rPr>
        <w:t xml:space="preserve"> učiněný od vylepšení systému podávání zpráv</w:t>
      </w:r>
      <w:r w:rsidR="00511697">
        <w:rPr>
          <w:szCs w:val="24"/>
        </w:rPr>
        <w:t xml:space="preserve"> členských států</w:t>
      </w:r>
      <w:r w:rsidR="00511697" w:rsidRPr="008B7A3C">
        <w:rPr>
          <w:szCs w:val="24"/>
        </w:rPr>
        <w:t xml:space="preserve"> v r</w:t>
      </w:r>
      <w:r w:rsidR="00511697">
        <w:rPr>
          <w:szCs w:val="24"/>
        </w:rPr>
        <w:t xml:space="preserve">oce 2018 a shrnuje </w:t>
      </w:r>
      <w:r w:rsidR="00511697" w:rsidRPr="008B7A3C">
        <w:rPr>
          <w:szCs w:val="24"/>
        </w:rPr>
        <w:t>posouzení směrnice o pr</w:t>
      </w:r>
      <w:r w:rsidR="00511697">
        <w:rPr>
          <w:szCs w:val="24"/>
        </w:rPr>
        <w:t>ůmyslových emisích provedené v roce 2020</w:t>
      </w:r>
      <w:r w:rsidR="00511697" w:rsidRPr="008B7A3C">
        <w:rPr>
          <w:szCs w:val="24"/>
        </w:rPr>
        <w:t>. Zpráva také popisuje další opatření na úrovni EU, která byla vykonána na podporu provádění směrnice o průmyslových emisích.</w:t>
      </w:r>
    </w:p>
    <w:p w:rsidR="00511697" w:rsidRDefault="0096329E" w:rsidP="00511697">
      <w:pPr>
        <w:spacing w:after="120"/>
        <w:jc w:val="both"/>
      </w:pPr>
      <w:hyperlink r:id="rId11" w:history="1">
        <w:r w:rsidR="00511697" w:rsidRPr="00AE1A48">
          <w:rPr>
            <w:rStyle w:val="Hypertextovodkaz"/>
          </w:rPr>
          <w:t>Směrnice Evropského parlamentu a Rady 2010/75/EU ze dne 24. listopadu 2010 o průmyslových emisích</w:t>
        </w:r>
      </w:hyperlink>
      <w:r w:rsidR="00511697">
        <w:t xml:space="preserve"> (dále jen „směrnice“) stanovuje</w:t>
      </w:r>
      <w:r w:rsidR="00511697" w:rsidRPr="00AE1A48">
        <w:t xml:space="preserve"> pravidla, která </w:t>
      </w:r>
      <w:r w:rsidR="00511697">
        <w:t>regulují emise vytvářené průmyslovými zařízeními</w:t>
      </w:r>
      <w:r w:rsidR="00511697" w:rsidRPr="00AE1A48">
        <w:t xml:space="preserve"> v </w:t>
      </w:r>
      <w:r w:rsidR="00511697">
        <w:t>rámci</w:t>
      </w:r>
      <w:r w:rsidR="00511697" w:rsidRPr="00AE1A48">
        <w:t xml:space="preserve"> EU</w:t>
      </w:r>
      <w:r w:rsidR="00511697">
        <w:t xml:space="preserve">. </w:t>
      </w:r>
      <w:r w:rsidR="00511697" w:rsidRPr="00AE1A48">
        <w:t xml:space="preserve">Zařízení </w:t>
      </w:r>
      <w:r w:rsidR="00511697">
        <w:t>je možné</w:t>
      </w:r>
      <w:r w:rsidR="00511697" w:rsidRPr="00AE1A48">
        <w:t xml:space="preserve"> provozovat</w:t>
      </w:r>
      <w:r w:rsidR="00511697">
        <w:t xml:space="preserve">, </w:t>
      </w:r>
      <w:r w:rsidR="00511697" w:rsidRPr="00AE1A48">
        <w:t xml:space="preserve">jen </w:t>
      </w:r>
      <w:r w:rsidR="00511697">
        <w:t xml:space="preserve">pokud získají povolení a dodržují dané podmínky. Podmínky </w:t>
      </w:r>
      <w:r w:rsidR="00511697" w:rsidRPr="00AE1A48">
        <w:t xml:space="preserve">povolení vycházejí ze závěrů o </w:t>
      </w:r>
      <w:r w:rsidR="00511697">
        <w:t>nejlepších dostupných technikách (BAT)</w:t>
      </w:r>
      <w:r w:rsidR="00511697" w:rsidRPr="00AE1A48">
        <w:t xml:space="preserve"> přijatých Evropskou komisí.</w:t>
      </w:r>
      <w:r w:rsidR="00511697">
        <w:t xml:space="preserve"> Čl. 73 směrnice </w:t>
      </w:r>
      <w:r w:rsidR="00511697" w:rsidRPr="0056618F">
        <w:t xml:space="preserve">ukládá </w:t>
      </w:r>
      <w:r w:rsidR="00511697">
        <w:t xml:space="preserve">Komisi </w:t>
      </w:r>
      <w:r w:rsidR="00511697" w:rsidRPr="0056618F">
        <w:t>povinnost každé tři roky předložit Radě a Evropskému parlamentu zprávu obsahující posouzení uplatňování této směrnice</w:t>
      </w:r>
      <w:r w:rsidR="00511697">
        <w:t>.</w:t>
      </w:r>
    </w:p>
    <w:p w:rsidR="00511697" w:rsidRPr="00962417" w:rsidRDefault="00511697" w:rsidP="0051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  <w:rPr>
          <w:b/>
          <w:i/>
        </w:rPr>
      </w:pPr>
      <w:r w:rsidRPr="00962417">
        <w:rPr>
          <w:b/>
          <w:i/>
        </w:rPr>
        <w:t>Poznámka PI:</w:t>
      </w:r>
    </w:p>
    <w:p w:rsidR="00511697" w:rsidRDefault="00511697" w:rsidP="0051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</w:pPr>
      <w:r>
        <w:t xml:space="preserve">Směrnici čeká revize. V návaznosti na sdělení </w:t>
      </w:r>
      <w:hyperlink r:id="rId12" w:history="1">
        <w:r w:rsidRPr="00B93027">
          <w:rPr>
            <w:rStyle w:val="Hypertextovodkaz"/>
          </w:rPr>
          <w:t>Zelená dohoda pro Evropu</w:t>
        </w:r>
      </w:hyperlink>
      <w:r w:rsidRPr="00962417">
        <w:rPr>
          <w:rStyle w:val="Hypertextovodkaz"/>
        </w:rPr>
        <w:t xml:space="preserve"> </w:t>
      </w:r>
      <w:r>
        <w:t xml:space="preserve">Komise tuto revizi avizovala v </w:t>
      </w:r>
      <w:hyperlink r:id="rId13" w:history="1">
        <w:r w:rsidRPr="008F1EE7">
          <w:rPr>
            <w:rStyle w:val="Hypertextovodkaz"/>
          </w:rPr>
          <w:t>Akční</w:t>
        </w:r>
        <w:r>
          <w:rPr>
            <w:rStyle w:val="Hypertextovodkaz"/>
          </w:rPr>
          <w:t>m</w:t>
        </w:r>
        <w:r w:rsidRPr="008F1EE7">
          <w:rPr>
            <w:rStyle w:val="Hypertextovodkaz"/>
          </w:rPr>
          <w:t xml:space="preserve"> plán</w:t>
        </w:r>
        <w:r>
          <w:rPr>
            <w:rStyle w:val="Hypertextovodkaz"/>
          </w:rPr>
          <w:t>u</w:t>
        </w:r>
        <w:r w:rsidRPr="008F1EE7">
          <w:rPr>
            <w:rStyle w:val="Hypertextovodkaz"/>
          </w:rPr>
          <w:t xml:space="preserve"> EU: „Vstříc nulovému znečištění ovzduší, vod a půdy“</w:t>
        </w:r>
      </w:hyperlink>
      <w:r>
        <w:t>. Zveřejnění návrhu revize směrnice lze očekávat v prvním</w:t>
      </w:r>
      <w:r w:rsidRPr="002B7C0B">
        <w:t xml:space="preserve"> čtvrtletí roku 2022.</w:t>
      </w:r>
    </w:p>
    <w:p w:rsidR="00511697" w:rsidRDefault="00511697" w:rsidP="005116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1" w:themeFillTint="33"/>
        <w:jc w:val="both"/>
      </w:pPr>
    </w:p>
    <w:p w:rsidR="00511697" w:rsidRPr="0048126F" w:rsidRDefault="00511697" w:rsidP="00511697">
      <w:pPr>
        <w:pStyle w:val="Nadpis1"/>
        <w:keepNext w:val="0"/>
        <w:tabs>
          <w:tab w:val="clear" w:pos="4513"/>
        </w:tabs>
        <w:suppressAutoHyphens w:val="0"/>
        <w:ind w:left="0" w:hanging="360"/>
        <w:jc w:val="left"/>
      </w:pPr>
      <w:bookmarkStart w:id="17" w:name="_Toc445380611"/>
      <w:bookmarkStart w:id="18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7"/>
      <w:bookmarkEnd w:id="18"/>
    </w:p>
    <w:p w:rsidR="00511697" w:rsidRDefault="00511697" w:rsidP="00511697">
      <w:pPr>
        <w:spacing w:after="120"/>
        <w:jc w:val="both"/>
      </w:pPr>
      <w:r>
        <w:t xml:space="preserve">Zpráva se nejprve zabývá zlepšením systému podávání zpráv o provádění směrnice členskými státy. Následně se Komise věnuje provádění směrnice v období </w:t>
      </w:r>
      <w:r w:rsidRPr="003B7E8A">
        <w:t>2013–2018</w:t>
      </w:r>
      <w:r>
        <w:t xml:space="preserve"> v členských státech.  Zabývá se například množstvím povolených zařízení, uplatňováním donucovacích opatření nebo přístupem veřejnosti k informacím. Ve zprávě mimo jiné Komise konstatuje, že </w:t>
      </w:r>
      <w:r w:rsidRPr="00150D87">
        <w:rPr>
          <w:u w:val="single"/>
        </w:rPr>
        <w:t>za rok 2018 byly předloženy informace o 51 917 zařízeních</w:t>
      </w:r>
      <w:r>
        <w:t xml:space="preserve">. Jedná se o </w:t>
      </w:r>
      <w:r w:rsidRPr="003B7E8A">
        <w:t>9% nárůst v počtu zařízení od roku 2015.</w:t>
      </w:r>
      <w:r>
        <w:t xml:space="preserve"> </w:t>
      </w:r>
      <w:r w:rsidRPr="003B7E8A">
        <w:t xml:space="preserve">Největší počet zařízení </w:t>
      </w:r>
      <w:r>
        <w:t>byl</w:t>
      </w:r>
      <w:r w:rsidRPr="003B7E8A">
        <w:t xml:space="preserve"> hlášen v odvětví intenz</w:t>
      </w:r>
      <w:r>
        <w:t xml:space="preserve">ivního chovu drůbeže a prasat, toto odvětví tvoří </w:t>
      </w:r>
      <w:r w:rsidRPr="003B7E8A">
        <w:t>39 % všech zařízení.</w:t>
      </w:r>
      <w:r>
        <w:t xml:space="preserve"> Česká republika byla zmíněna v souvislosti s udělováním výjimek dle </w:t>
      </w:r>
      <w:r w:rsidRPr="008F361F">
        <w:t>čl. 15 odst. 4 směrnice</w:t>
      </w:r>
      <w:r>
        <w:t xml:space="preserve">. Dle tohoto článku může </w:t>
      </w:r>
      <w:r w:rsidRPr="006A667C">
        <w:t>příslušný orgán v konkrétních případech stanovit mírnější mezní hodnoty emisí</w:t>
      </w:r>
      <w:r>
        <w:t>. Česká republika byla zmíněna jako jeden ze států, který udělil výjimek nejvíce.</w:t>
      </w:r>
    </w:p>
    <w:p w:rsidR="00511697" w:rsidRDefault="00511697" w:rsidP="00511697">
      <w:pPr>
        <w:spacing w:after="120"/>
        <w:jc w:val="both"/>
      </w:pPr>
      <w:r>
        <w:t xml:space="preserve">Komise také shrnuje opatření, která činí na úrovní EU pro podporu provádění směrnice. Mezi tato opatření řadí </w:t>
      </w:r>
      <w:r w:rsidRPr="003B7E8A">
        <w:rPr>
          <w:u w:val="single"/>
        </w:rPr>
        <w:t>zveřejňování závěrů o nejlepších dostupných technikách</w:t>
      </w:r>
      <w:r>
        <w:t xml:space="preserve"> a dále také podporu užívání nejlepších dostupných technik v zemích mimo EU.</w:t>
      </w:r>
    </w:p>
    <w:p w:rsidR="00511697" w:rsidRDefault="00511697" w:rsidP="00511697">
      <w:pPr>
        <w:spacing w:after="120"/>
        <w:jc w:val="both"/>
      </w:pPr>
      <w:r>
        <w:t xml:space="preserve">Komise ve zprávě také shrnula hlavní zjištění vyplývající z </w:t>
      </w:r>
      <w:hyperlink r:id="rId14" w:history="1">
        <w:r w:rsidRPr="004B19F6">
          <w:rPr>
            <w:rStyle w:val="Hypertextovodkaz"/>
          </w:rPr>
          <w:t>Hodnocení směrnice o průmyslových emisích</w:t>
        </w:r>
      </w:hyperlink>
      <w:r>
        <w:t>, které bylo provedeno v září roku 2020. Mezi zjištění z tohoto hodnocení dle zprávy patří, že s</w:t>
      </w:r>
      <w:r w:rsidRPr="004B19F6">
        <w:t xml:space="preserve">měrnice </w:t>
      </w:r>
      <w:r w:rsidRPr="004B19F6">
        <w:rPr>
          <w:u w:val="single"/>
        </w:rPr>
        <w:t>účinně snižuje dopady průmyslových odvětví</w:t>
      </w:r>
      <w:r w:rsidRPr="004B19F6">
        <w:t>, která spadají do její působnosti, na životní prostředí a omezuje narušování hospodářské soutěže v EU.</w:t>
      </w:r>
    </w:p>
    <w:p w:rsidR="00511697" w:rsidRDefault="00511697" w:rsidP="00511697">
      <w:pPr>
        <w:jc w:val="both"/>
      </w:pPr>
      <w:r>
        <w:t xml:space="preserve">Nakonec zprávy Komise uvádí několik </w:t>
      </w:r>
      <w:r w:rsidRPr="004B19F6">
        <w:rPr>
          <w:b/>
        </w:rPr>
        <w:t>závěrů</w:t>
      </w:r>
      <w:r>
        <w:t xml:space="preserve">. Komise konstatuje, že </w:t>
      </w:r>
      <w:r w:rsidRPr="004B19F6">
        <w:t>monitoruje</w:t>
      </w:r>
      <w:r>
        <w:t xml:space="preserve"> stav po skončení několika </w:t>
      </w:r>
      <w:r w:rsidRPr="004B19F6">
        <w:rPr>
          <w:u w:val="single"/>
        </w:rPr>
        <w:t>výjimek uvedených ve směrnici pro velká spalovací zařízení</w:t>
      </w:r>
      <w:r w:rsidRPr="004B19F6">
        <w:t xml:space="preserve">, </w:t>
      </w:r>
      <w:r>
        <w:t>aby zjistila</w:t>
      </w:r>
      <w:r w:rsidRPr="004B19F6">
        <w:t xml:space="preserve">, </w:t>
      </w:r>
      <w:r>
        <w:t>zda</w:t>
      </w:r>
      <w:r w:rsidRPr="004B19F6">
        <w:t xml:space="preserve"> jsou tato zařízení v souladu s mezními hodnotami emisí. </w:t>
      </w:r>
      <w:r>
        <w:t>Komise také poukazuje na to, že s</w:t>
      </w:r>
      <w:r w:rsidRPr="004F2756">
        <w:t xml:space="preserve">tále existují problémy při </w:t>
      </w:r>
      <w:r w:rsidRPr="004F2756">
        <w:lastRenderedPageBreak/>
        <w:t>provádění</w:t>
      </w:r>
      <w:r>
        <w:t xml:space="preserve"> směrnice</w:t>
      </w:r>
      <w:r w:rsidRPr="004F2756">
        <w:t xml:space="preserve">, které se týkají například </w:t>
      </w:r>
      <w:r w:rsidRPr="004B19F6">
        <w:rPr>
          <w:u w:val="single"/>
        </w:rPr>
        <w:t>předkládání základních zpráv provozovateli zařízení</w:t>
      </w:r>
      <w:r w:rsidRPr="004F2756">
        <w:t>.</w:t>
      </w:r>
      <w:r>
        <w:t xml:space="preserve"> Dále poukazuje na to, že z hlediska </w:t>
      </w:r>
      <w:r w:rsidRPr="004B19F6">
        <w:rPr>
          <w:u w:val="single"/>
        </w:rPr>
        <w:t>přístupnosti dokumentace k povolením</w:t>
      </w:r>
      <w:r>
        <w:t xml:space="preserve"> se mnoho členských států ještě může zlepšovat. Také konstatuje, že n</w:t>
      </w:r>
      <w:r w:rsidRPr="004F2756">
        <w:t xml:space="preserve">ový systém podávání zpráv do rejstříku EU </w:t>
      </w:r>
      <w:r>
        <w:t>výrazně zjednodušil a zlepšil podávání zpráv.</w:t>
      </w:r>
    </w:p>
    <w:p w:rsidR="00511697" w:rsidRPr="0048126F" w:rsidRDefault="00511697" w:rsidP="00511697">
      <w:pPr>
        <w:pStyle w:val="Nadpis1"/>
        <w:tabs>
          <w:tab w:val="clear" w:pos="4513"/>
        </w:tabs>
        <w:suppressAutoHyphens w:val="0"/>
        <w:ind w:left="0" w:hanging="357"/>
        <w:jc w:val="left"/>
      </w:pPr>
      <w:bookmarkStart w:id="19" w:name="_Toc445380612"/>
      <w:bookmarkStart w:id="20" w:name="_Toc448302191"/>
      <w:r w:rsidRPr="0048126F">
        <w:t>Stanovisko vlády ČR:</w:t>
      </w:r>
      <w:bookmarkEnd w:id="19"/>
      <w:bookmarkEnd w:id="20"/>
    </w:p>
    <w:p w:rsidR="00511697" w:rsidRDefault="00511697" w:rsidP="00511697">
      <w:pPr>
        <w:jc w:val="both"/>
      </w:pPr>
      <w:r>
        <w:t xml:space="preserve">Vláda se stejně jako Komise domnívá, že situace v rámci velkých spalovacích zařízení je složitá. Dále vláda poukazuje na to, že v oblasti </w:t>
      </w:r>
      <w:r w:rsidRPr="004570EE">
        <w:t>přístupnosti dat veřejnosti</w:t>
      </w:r>
      <w:r>
        <w:t xml:space="preserve"> dle</w:t>
      </w:r>
      <w:r w:rsidRPr="004570EE">
        <w:t xml:space="preserve"> </w:t>
      </w:r>
      <w:r>
        <w:t>směrnice</w:t>
      </w:r>
      <w:r w:rsidRPr="004570EE">
        <w:t xml:space="preserve"> je Česká republika dlouhodobě považována za jednu ze vzorových zemí.</w:t>
      </w:r>
    </w:p>
    <w:p w:rsidR="00511697" w:rsidRDefault="00511697" w:rsidP="00511697">
      <w:pPr>
        <w:jc w:val="both"/>
      </w:pPr>
    </w:p>
    <w:p w:rsidR="00511697" w:rsidRPr="0048126F" w:rsidRDefault="00511697" w:rsidP="00511697">
      <w:pPr>
        <w:pStyle w:val="Nadpis1"/>
        <w:tabs>
          <w:tab w:val="clear" w:pos="4513"/>
        </w:tabs>
        <w:suppressAutoHyphens w:val="0"/>
        <w:ind w:left="0" w:hanging="357"/>
        <w:jc w:val="left"/>
      </w:pPr>
      <w:bookmarkStart w:id="21" w:name="_Toc445380613"/>
      <w:bookmarkStart w:id="22" w:name="_Toc448302192"/>
      <w:r w:rsidRPr="0048126F">
        <w:t>Předpokládaný harmonogram projednávání v orgánech EU:</w:t>
      </w:r>
      <w:bookmarkEnd w:id="21"/>
      <w:bookmarkEnd w:id="22"/>
    </w:p>
    <w:p w:rsidR="00511697" w:rsidRDefault="00511697" w:rsidP="00511697">
      <w:pPr>
        <w:spacing w:after="120"/>
        <w:jc w:val="both"/>
      </w:pPr>
      <w:r>
        <w:t xml:space="preserve">Zpráva byla dne 14. 12. 2021 předána </w:t>
      </w:r>
      <w:r w:rsidRPr="006E3DDF">
        <w:t>Radě a Evropskému parlamentu</w:t>
      </w:r>
      <w:r>
        <w:t>.</w:t>
      </w:r>
    </w:p>
    <w:p w:rsidR="00511697" w:rsidRPr="0048126F" w:rsidRDefault="00511697" w:rsidP="00511697">
      <w:pPr>
        <w:pStyle w:val="Nadpis1"/>
        <w:keepNext w:val="0"/>
        <w:tabs>
          <w:tab w:val="clear" w:pos="4513"/>
        </w:tabs>
        <w:suppressAutoHyphens w:val="0"/>
        <w:ind w:left="0" w:hanging="360"/>
        <w:jc w:val="left"/>
      </w:pPr>
      <w:bookmarkStart w:id="23" w:name="_Toc445380614"/>
      <w:bookmarkStart w:id="24" w:name="_Toc448302193"/>
      <w:r w:rsidRPr="00134640">
        <w:t>Závěr</w:t>
      </w:r>
      <w:r w:rsidRPr="0048126F">
        <w:t>:</w:t>
      </w:r>
      <w:bookmarkEnd w:id="23"/>
      <w:bookmarkEnd w:id="24"/>
    </w:p>
    <w:p w:rsidR="00511697" w:rsidRDefault="00511697" w:rsidP="00511697">
      <w:r>
        <w:t>Návrh usnesení, který předkládá zpravodaj, je uveden v příloze.</w:t>
      </w:r>
    </w:p>
    <w:p w:rsidR="00511697" w:rsidRPr="00B15DEA" w:rsidRDefault="00511697" w:rsidP="00511697">
      <w:pPr>
        <w:jc w:val="both"/>
      </w:pPr>
      <w:r>
        <w:t>Zpracovala Mgr. Tereza Gajdová, odborná konzultantka</w:t>
      </w:r>
      <w:r w:rsidRPr="00B15DEA">
        <w:t xml:space="preserve">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511697" w:rsidRDefault="00511697" w:rsidP="00806CFD">
      <w:pPr>
        <w:rPr>
          <w:rFonts w:ascii="Times New Roman" w:hAnsi="Times New Roman"/>
          <w:sz w:val="24"/>
        </w:rPr>
      </w:pPr>
    </w:p>
    <w:sectPr w:rsidR="00511697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8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1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2FD6008"/>
    <w:multiLevelType w:val="hybridMultilevel"/>
    <w:tmpl w:val="E09203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24"/>
  </w:num>
  <w:num w:numId="4">
    <w:abstractNumId w:val="10"/>
  </w:num>
  <w:num w:numId="5">
    <w:abstractNumId w:val="0"/>
  </w:num>
  <w:num w:numId="6">
    <w:abstractNumId w:val="12"/>
  </w:num>
  <w:num w:numId="7">
    <w:abstractNumId w:val="13"/>
  </w:num>
  <w:num w:numId="8">
    <w:abstractNumId w:val="8"/>
  </w:num>
  <w:num w:numId="9">
    <w:abstractNumId w:val="15"/>
  </w:num>
  <w:num w:numId="10">
    <w:abstractNumId w:val="26"/>
  </w:num>
  <w:num w:numId="11">
    <w:abstractNumId w:val="22"/>
  </w:num>
  <w:num w:numId="12">
    <w:abstractNumId w:val="16"/>
  </w:num>
  <w:num w:numId="13">
    <w:abstractNumId w:val="21"/>
  </w:num>
  <w:num w:numId="14">
    <w:abstractNumId w:val="5"/>
  </w:num>
  <w:num w:numId="15">
    <w:abstractNumId w:val="18"/>
  </w:num>
  <w:num w:numId="16">
    <w:abstractNumId w:val="2"/>
  </w:num>
  <w:num w:numId="17">
    <w:abstractNumId w:val="3"/>
  </w:num>
  <w:num w:numId="18">
    <w:abstractNumId w:val="25"/>
  </w:num>
  <w:num w:numId="19">
    <w:abstractNumId w:val="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9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0"/>
  </w:num>
  <w:num w:numId="25">
    <w:abstractNumId w:val="1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417E9"/>
    <w:rsid w:val="00041825"/>
    <w:rsid w:val="000435F4"/>
    <w:rsid w:val="00061FAE"/>
    <w:rsid w:val="00077E7D"/>
    <w:rsid w:val="000807A3"/>
    <w:rsid w:val="00092605"/>
    <w:rsid w:val="000A6AB9"/>
    <w:rsid w:val="000F096B"/>
    <w:rsid w:val="000F7C41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C4651"/>
    <w:rsid w:val="001C5B87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401D"/>
    <w:rsid w:val="00434A11"/>
    <w:rsid w:val="00435608"/>
    <w:rsid w:val="00436533"/>
    <w:rsid w:val="00451218"/>
    <w:rsid w:val="00451C36"/>
    <w:rsid w:val="00464DA7"/>
    <w:rsid w:val="004653E7"/>
    <w:rsid w:val="004B1695"/>
    <w:rsid w:val="004C3CDF"/>
    <w:rsid w:val="004E2BA6"/>
    <w:rsid w:val="00503C0B"/>
    <w:rsid w:val="00511697"/>
    <w:rsid w:val="00513223"/>
    <w:rsid w:val="005254AE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C5900"/>
    <w:rsid w:val="007D09E1"/>
    <w:rsid w:val="007E71D7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E0029"/>
    <w:rsid w:val="008E715C"/>
    <w:rsid w:val="009040E6"/>
    <w:rsid w:val="00912EB4"/>
    <w:rsid w:val="00926EF6"/>
    <w:rsid w:val="009532CA"/>
    <w:rsid w:val="009608C9"/>
    <w:rsid w:val="0096329E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A4C97"/>
    <w:rsid w:val="00AC0B3E"/>
    <w:rsid w:val="00AD71A8"/>
    <w:rsid w:val="00AE1CD6"/>
    <w:rsid w:val="00AF701F"/>
    <w:rsid w:val="00B23CE4"/>
    <w:rsid w:val="00B26768"/>
    <w:rsid w:val="00B57ED6"/>
    <w:rsid w:val="00B75E03"/>
    <w:rsid w:val="00B77E2B"/>
    <w:rsid w:val="00B8615E"/>
    <w:rsid w:val="00BA46AD"/>
    <w:rsid w:val="00BB4B95"/>
    <w:rsid w:val="00BC2C44"/>
    <w:rsid w:val="00BD0AEB"/>
    <w:rsid w:val="00BF0735"/>
    <w:rsid w:val="00BF211D"/>
    <w:rsid w:val="00C030E4"/>
    <w:rsid w:val="00C04DCD"/>
    <w:rsid w:val="00C1658C"/>
    <w:rsid w:val="00C41859"/>
    <w:rsid w:val="00C50740"/>
    <w:rsid w:val="00C933C9"/>
    <w:rsid w:val="00CA746E"/>
    <w:rsid w:val="00CB152C"/>
    <w:rsid w:val="00CB4014"/>
    <w:rsid w:val="00CE71AF"/>
    <w:rsid w:val="00D1438B"/>
    <w:rsid w:val="00D324DF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411C"/>
    <w:rsid w:val="00E6426C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373CB"/>
    <w:rsid w:val="00F4281D"/>
    <w:rsid w:val="00F51DA3"/>
    <w:rsid w:val="00F53B6C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B8281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gal-content/CS/TXT/?uri=CELEX:52021DC040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EN/ALL/?uri=COM:2019:640:FI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CS/TXT/?uri=celex:32010L0075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ur-lex.europa.eu/legal-content/CS/TXT/?uri=CELEX:52021DC079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ur-lex.europa.eu/LexUriServ/LexUriServ.do?uri=SWD:2020:0181:FIN:EN: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802059-71F8-46E7-BDA1-A16239CE8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4</Pages>
  <Words>936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21</cp:revision>
  <cp:lastPrinted>2022-03-09T09:10:00Z</cp:lastPrinted>
  <dcterms:created xsi:type="dcterms:W3CDTF">2022-02-18T09:58:00Z</dcterms:created>
  <dcterms:modified xsi:type="dcterms:W3CDTF">2022-03-09T15:22:00Z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