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A1" w:rsidRDefault="00D608A1" w:rsidP="00F26FF1">
      <w:pPr>
        <w:pStyle w:val="SRNadpisseituprozpat"/>
        <w:spacing w:before="1440"/>
      </w:pPr>
    </w:p>
    <w:p w:rsidR="00D90223" w:rsidRPr="00B31CD9" w:rsidRDefault="00D608A1" w:rsidP="00B31CD9">
      <w:pPr>
        <w:pStyle w:val="SRNadpisseituprozpat"/>
      </w:pPr>
      <w:r>
        <w:t>STŘEDNĚDOBÝ VÝHLED STÁTNÍHO ROZPOČTU</w:t>
      </w:r>
      <w:r w:rsidR="00972950">
        <w:br/>
      </w:r>
      <w:r>
        <w:t>NA LÉTA</w:t>
      </w:r>
      <w:r w:rsidR="00D90223">
        <w:t xml:space="preserve"> 202</w:t>
      </w:r>
      <w:r w:rsidR="006F4B4B">
        <w:t>3</w:t>
      </w:r>
      <w:r w:rsidR="00D90223">
        <w:t xml:space="preserve"> a 202</w:t>
      </w:r>
      <w:r w:rsidR="006F4B4B">
        <w:t>4</w:t>
      </w:r>
    </w:p>
    <w:p w:rsidR="00080131" w:rsidRPr="00080131" w:rsidRDefault="00080131" w:rsidP="00080131"/>
    <w:p w:rsidR="00985180" w:rsidRPr="00910CAC" w:rsidRDefault="00985180" w:rsidP="00910CAC">
      <w:pPr>
        <w:sectPr w:rsidR="00985180" w:rsidRPr="00910CAC" w:rsidSect="00FF5023">
          <w:type w:val="continuous"/>
          <w:pgSz w:w="11906" w:h="16838" w:code="9"/>
          <w:pgMar w:top="1134" w:right="1134" w:bottom="1418" w:left="1134" w:header="709" w:footer="709" w:gutter="0"/>
          <w:cols w:space="709"/>
          <w:docGrid w:linePitch="360"/>
        </w:sectPr>
      </w:pPr>
    </w:p>
    <w:p w:rsidR="00D608A1" w:rsidRPr="00D608A1" w:rsidRDefault="00D608A1" w:rsidP="00D608A1">
      <w:pPr>
        <w:pStyle w:val="Obsah"/>
        <w:jc w:val="right"/>
        <w:rPr>
          <w:b w:val="0"/>
          <w:sz w:val="20"/>
        </w:rPr>
      </w:pPr>
      <w:r w:rsidRPr="00D608A1">
        <w:rPr>
          <w:b w:val="0"/>
          <w:sz w:val="20"/>
        </w:rPr>
        <w:lastRenderedPageBreak/>
        <w:t>Čj.: MF-18777/2021/1104-62</w:t>
      </w:r>
    </w:p>
    <w:p w:rsidR="00CA0006" w:rsidRPr="00013F50" w:rsidRDefault="00013F50" w:rsidP="00CC02F3">
      <w:pPr>
        <w:pStyle w:val="Obsah"/>
      </w:pPr>
      <w:r w:rsidRPr="00013F50">
        <w:t>Obsah</w:t>
      </w:r>
    </w:p>
    <w:p w:rsidR="00952AE4" w:rsidRDefault="00452381">
      <w:pPr>
        <w:pStyle w:val="Obsah1"/>
        <w:rPr>
          <w:rFonts w:asciiTheme="minorHAnsi" w:eastAsiaTheme="minorEastAsia" w:hAnsiTheme="minorHAnsi" w:cstheme="minorBidi"/>
          <w:b w:val="0"/>
          <w:sz w:val="22"/>
          <w:szCs w:val="22"/>
        </w:rPr>
      </w:pPr>
      <w:r>
        <w:fldChar w:fldCharType="begin"/>
      </w:r>
      <w:r>
        <w:instrText xml:space="preserve"> TOC \f \h \z \t "SR_Nadpis malý;1;Styl Nadpis 1 bez čísla;1;SR_Nadpis AB;1;Úvod;1;SR_Nadpis 1;1;SR_Nadpis 2;2;SR_Nadpis 3;3" </w:instrText>
      </w:r>
      <w:r>
        <w:fldChar w:fldCharType="separate"/>
      </w:r>
      <w:hyperlink w:anchor="_Toc83882801" w:history="1">
        <w:r w:rsidR="00952AE4" w:rsidRPr="007B2104">
          <w:rPr>
            <w:rStyle w:val="Hypertextovodkaz"/>
          </w:rPr>
          <w:t>A</w:t>
        </w:r>
        <w:r w:rsidR="00952AE4">
          <w:rPr>
            <w:rFonts w:asciiTheme="minorHAnsi" w:eastAsiaTheme="minorEastAsia" w:hAnsiTheme="minorHAnsi" w:cstheme="minorBidi"/>
            <w:b w:val="0"/>
            <w:sz w:val="22"/>
            <w:szCs w:val="22"/>
          </w:rPr>
          <w:tab/>
        </w:r>
        <w:r w:rsidR="00952AE4" w:rsidRPr="007B2104">
          <w:rPr>
            <w:rStyle w:val="Hypertextovodkaz"/>
          </w:rPr>
          <w:t>Makroekonomický rámec na léta 2023 – 2024</w:t>
        </w:r>
        <w:r w:rsidR="00952AE4">
          <w:rPr>
            <w:webHidden/>
          </w:rPr>
          <w:tab/>
        </w:r>
        <w:r w:rsidR="00952AE4">
          <w:rPr>
            <w:webHidden/>
          </w:rPr>
          <w:fldChar w:fldCharType="begin"/>
        </w:r>
        <w:r w:rsidR="00952AE4">
          <w:rPr>
            <w:webHidden/>
          </w:rPr>
          <w:instrText xml:space="preserve"> PAGEREF _Toc83882801 \h </w:instrText>
        </w:r>
        <w:r w:rsidR="00952AE4">
          <w:rPr>
            <w:webHidden/>
          </w:rPr>
        </w:r>
        <w:r w:rsidR="00952AE4">
          <w:rPr>
            <w:webHidden/>
          </w:rPr>
          <w:fldChar w:fldCharType="separate"/>
        </w:r>
        <w:r w:rsidR="00D51DCA">
          <w:rPr>
            <w:webHidden/>
          </w:rPr>
          <w:t>6</w:t>
        </w:r>
        <w:r w:rsidR="00952AE4">
          <w:rPr>
            <w:webHidden/>
          </w:rPr>
          <w:fldChar w:fldCharType="end"/>
        </w:r>
      </w:hyperlink>
    </w:p>
    <w:p w:rsidR="00952AE4" w:rsidRDefault="00D51DCA">
      <w:pPr>
        <w:pStyle w:val="Obsah1"/>
        <w:rPr>
          <w:rFonts w:asciiTheme="minorHAnsi" w:eastAsiaTheme="minorEastAsia" w:hAnsiTheme="minorHAnsi" w:cstheme="minorBidi"/>
          <w:b w:val="0"/>
          <w:sz w:val="22"/>
          <w:szCs w:val="22"/>
        </w:rPr>
      </w:pPr>
      <w:hyperlink w:anchor="_Toc83882802" w:history="1">
        <w:r w:rsidR="00952AE4" w:rsidRPr="007B2104">
          <w:rPr>
            <w:rStyle w:val="Hypertextovodkaz"/>
          </w:rPr>
          <w:t>1</w:t>
        </w:r>
        <w:r w:rsidR="00952AE4">
          <w:rPr>
            <w:rFonts w:asciiTheme="minorHAnsi" w:eastAsiaTheme="minorEastAsia" w:hAnsiTheme="minorHAnsi" w:cstheme="minorBidi"/>
            <w:b w:val="0"/>
            <w:sz w:val="22"/>
            <w:szCs w:val="22"/>
          </w:rPr>
          <w:tab/>
        </w:r>
        <w:r w:rsidR="00952AE4" w:rsidRPr="007B2104">
          <w:rPr>
            <w:rStyle w:val="Hypertextovodkaz"/>
          </w:rPr>
          <w:t>Shrnutí makroekonomického rámce</w:t>
        </w:r>
        <w:r w:rsidR="00952AE4">
          <w:rPr>
            <w:webHidden/>
          </w:rPr>
          <w:tab/>
        </w:r>
        <w:r w:rsidR="00952AE4">
          <w:rPr>
            <w:webHidden/>
          </w:rPr>
          <w:fldChar w:fldCharType="begin"/>
        </w:r>
        <w:r w:rsidR="00952AE4">
          <w:rPr>
            <w:webHidden/>
          </w:rPr>
          <w:instrText xml:space="preserve"> PAGEREF _Toc83882802 \h </w:instrText>
        </w:r>
        <w:r w:rsidR="00952AE4">
          <w:rPr>
            <w:webHidden/>
          </w:rPr>
        </w:r>
        <w:r w:rsidR="00952AE4">
          <w:rPr>
            <w:webHidden/>
          </w:rPr>
          <w:fldChar w:fldCharType="separate"/>
        </w:r>
        <w:r>
          <w:rPr>
            <w:webHidden/>
          </w:rPr>
          <w:t>6</w:t>
        </w:r>
        <w:r w:rsidR="00952AE4">
          <w:rPr>
            <w:webHidden/>
          </w:rPr>
          <w:fldChar w:fldCharType="end"/>
        </w:r>
      </w:hyperlink>
    </w:p>
    <w:p w:rsidR="00952AE4" w:rsidRDefault="00D51DCA">
      <w:pPr>
        <w:pStyle w:val="Obsah1"/>
        <w:rPr>
          <w:rFonts w:asciiTheme="minorHAnsi" w:eastAsiaTheme="minorEastAsia" w:hAnsiTheme="minorHAnsi" w:cstheme="minorBidi"/>
          <w:b w:val="0"/>
          <w:sz w:val="22"/>
          <w:szCs w:val="22"/>
        </w:rPr>
      </w:pPr>
      <w:hyperlink w:anchor="_Toc83882803" w:history="1">
        <w:r w:rsidR="00952AE4" w:rsidRPr="007B2104">
          <w:rPr>
            <w:rStyle w:val="Hypertextovodkaz"/>
          </w:rPr>
          <w:t>2</w:t>
        </w:r>
        <w:r w:rsidR="00952AE4">
          <w:rPr>
            <w:rFonts w:asciiTheme="minorHAnsi" w:eastAsiaTheme="minorEastAsia" w:hAnsiTheme="minorHAnsi" w:cstheme="minorBidi"/>
            <w:b w:val="0"/>
            <w:sz w:val="22"/>
            <w:szCs w:val="22"/>
          </w:rPr>
          <w:tab/>
        </w:r>
        <w:r w:rsidR="00952AE4" w:rsidRPr="007B2104">
          <w:rPr>
            <w:rStyle w:val="Hypertextovodkaz"/>
          </w:rPr>
          <w:t>Makroekonomický rámec</w:t>
        </w:r>
        <w:r w:rsidR="00952AE4">
          <w:rPr>
            <w:webHidden/>
          </w:rPr>
          <w:tab/>
        </w:r>
        <w:r w:rsidR="00952AE4">
          <w:rPr>
            <w:webHidden/>
          </w:rPr>
          <w:fldChar w:fldCharType="begin"/>
        </w:r>
        <w:r w:rsidR="00952AE4">
          <w:rPr>
            <w:webHidden/>
          </w:rPr>
          <w:instrText xml:space="preserve"> PAGEREF _Toc83882803 \h </w:instrText>
        </w:r>
        <w:r w:rsidR="00952AE4">
          <w:rPr>
            <w:webHidden/>
          </w:rPr>
        </w:r>
        <w:r w:rsidR="00952AE4">
          <w:rPr>
            <w:webHidden/>
          </w:rPr>
          <w:fldChar w:fldCharType="separate"/>
        </w:r>
        <w:r>
          <w:rPr>
            <w:webHidden/>
          </w:rPr>
          <w:t>7</w:t>
        </w:r>
        <w:r w:rsidR="00952AE4">
          <w:rPr>
            <w:webHidden/>
          </w:rPr>
          <w:fldChar w:fldCharType="end"/>
        </w:r>
      </w:hyperlink>
    </w:p>
    <w:p w:rsidR="00952AE4" w:rsidRDefault="00D51DCA">
      <w:pPr>
        <w:pStyle w:val="Obsah2"/>
        <w:rPr>
          <w:rFonts w:asciiTheme="minorHAnsi" w:eastAsiaTheme="minorEastAsia" w:hAnsiTheme="minorHAnsi" w:cstheme="minorBidi"/>
          <w:noProof/>
          <w:sz w:val="22"/>
          <w:szCs w:val="22"/>
        </w:rPr>
      </w:pPr>
      <w:hyperlink w:anchor="_Toc83882804" w:history="1">
        <w:r w:rsidR="00952AE4" w:rsidRPr="007B2104">
          <w:rPr>
            <w:rStyle w:val="Hypertextovodkaz"/>
            <w:noProof/>
          </w:rPr>
          <w:t>2.1</w:t>
        </w:r>
        <w:r w:rsidR="00952AE4">
          <w:rPr>
            <w:rFonts w:asciiTheme="minorHAnsi" w:eastAsiaTheme="minorEastAsia" w:hAnsiTheme="minorHAnsi" w:cstheme="minorBidi"/>
            <w:noProof/>
            <w:sz w:val="22"/>
            <w:szCs w:val="22"/>
          </w:rPr>
          <w:tab/>
        </w:r>
        <w:r w:rsidR="00952AE4" w:rsidRPr="007B2104">
          <w:rPr>
            <w:rStyle w:val="Hypertextovodkaz"/>
            <w:noProof/>
          </w:rPr>
          <w:t>Předpoklady budoucího vývoje</w:t>
        </w:r>
        <w:r w:rsidR="00952AE4">
          <w:rPr>
            <w:noProof/>
            <w:webHidden/>
          </w:rPr>
          <w:tab/>
        </w:r>
        <w:r w:rsidR="00952AE4">
          <w:rPr>
            <w:noProof/>
            <w:webHidden/>
          </w:rPr>
          <w:fldChar w:fldCharType="begin"/>
        </w:r>
        <w:r w:rsidR="00952AE4">
          <w:rPr>
            <w:noProof/>
            <w:webHidden/>
          </w:rPr>
          <w:instrText xml:space="preserve"> PAGEREF _Toc83882804 \h </w:instrText>
        </w:r>
        <w:r w:rsidR="00952AE4">
          <w:rPr>
            <w:noProof/>
            <w:webHidden/>
          </w:rPr>
        </w:r>
        <w:r w:rsidR="00952AE4">
          <w:rPr>
            <w:noProof/>
            <w:webHidden/>
          </w:rPr>
          <w:fldChar w:fldCharType="separate"/>
        </w:r>
        <w:r>
          <w:rPr>
            <w:noProof/>
            <w:webHidden/>
          </w:rPr>
          <w:t>7</w:t>
        </w:r>
        <w:r w:rsidR="00952AE4">
          <w:rPr>
            <w:noProof/>
            <w:webHidden/>
          </w:rPr>
          <w:fldChar w:fldCharType="end"/>
        </w:r>
      </w:hyperlink>
    </w:p>
    <w:p w:rsidR="00952AE4" w:rsidRDefault="00D51DCA">
      <w:pPr>
        <w:pStyle w:val="Obsah3"/>
        <w:tabs>
          <w:tab w:val="left" w:pos="1320"/>
          <w:tab w:val="right" w:leader="dot" w:pos="9628"/>
        </w:tabs>
        <w:rPr>
          <w:rFonts w:asciiTheme="minorHAnsi" w:eastAsiaTheme="minorEastAsia" w:hAnsiTheme="minorHAnsi" w:cstheme="minorBidi"/>
          <w:noProof/>
          <w:sz w:val="22"/>
          <w:szCs w:val="22"/>
        </w:rPr>
      </w:pPr>
      <w:hyperlink w:anchor="_Toc83882805" w:history="1">
        <w:r w:rsidR="00952AE4" w:rsidRPr="007B2104">
          <w:rPr>
            <w:rStyle w:val="Hypertextovodkaz"/>
            <w:noProof/>
            <w14:scene3d>
              <w14:camera w14:prst="orthographicFront"/>
              <w14:lightRig w14:rig="threePt" w14:dir="t">
                <w14:rot w14:lat="0" w14:lon="0" w14:rev="0"/>
              </w14:lightRig>
            </w14:scene3d>
          </w:rPr>
          <w:t>2.1.1</w:t>
        </w:r>
        <w:r w:rsidR="00952AE4">
          <w:rPr>
            <w:rFonts w:asciiTheme="minorHAnsi" w:eastAsiaTheme="minorEastAsia" w:hAnsiTheme="minorHAnsi" w:cstheme="minorBidi"/>
            <w:noProof/>
            <w:sz w:val="22"/>
            <w:szCs w:val="22"/>
          </w:rPr>
          <w:tab/>
        </w:r>
        <w:r w:rsidR="00952AE4" w:rsidRPr="007B2104">
          <w:rPr>
            <w:rStyle w:val="Hypertextovodkaz"/>
            <w:noProof/>
          </w:rPr>
          <w:t>Vnější prostředí</w:t>
        </w:r>
        <w:r w:rsidR="00952AE4">
          <w:rPr>
            <w:noProof/>
            <w:webHidden/>
          </w:rPr>
          <w:tab/>
        </w:r>
        <w:r w:rsidR="00952AE4">
          <w:rPr>
            <w:noProof/>
            <w:webHidden/>
          </w:rPr>
          <w:fldChar w:fldCharType="begin"/>
        </w:r>
        <w:r w:rsidR="00952AE4">
          <w:rPr>
            <w:noProof/>
            <w:webHidden/>
          </w:rPr>
          <w:instrText xml:space="preserve"> PAGEREF _Toc83882805 \h </w:instrText>
        </w:r>
        <w:r w:rsidR="00952AE4">
          <w:rPr>
            <w:noProof/>
            <w:webHidden/>
          </w:rPr>
        </w:r>
        <w:r w:rsidR="00952AE4">
          <w:rPr>
            <w:noProof/>
            <w:webHidden/>
          </w:rPr>
          <w:fldChar w:fldCharType="separate"/>
        </w:r>
        <w:r>
          <w:rPr>
            <w:noProof/>
            <w:webHidden/>
          </w:rPr>
          <w:t>7</w:t>
        </w:r>
        <w:r w:rsidR="00952AE4">
          <w:rPr>
            <w:noProof/>
            <w:webHidden/>
          </w:rPr>
          <w:fldChar w:fldCharType="end"/>
        </w:r>
      </w:hyperlink>
    </w:p>
    <w:p w:rsidR="00952AE4" w:rsidRDefault="00D51DCA">
      <w:pPr>
        <w:pStyle w:val="Obsah3"/>
        <w:tabs>
          <w:tab w:val="left" w:pos="1320"/>
          <w:tab w:val="right" w:leader="dot" w:pos="9628"/>
        </w:tabs>
        <w:rPr>
          <w:rFonts w:asciiTheme="minorHAnsi" w:eastAsiaTheme="minorEastAsia" w:hAnsiTheme="minorHAnsi" w:cstheme="minorBidi"/>
          <w:noProof/>
          <w:sz w:val="22"/>
          <w:szCs w:val="22"/>
        </w:rPr>
      </w:pPr>
      <w:hyperlink w:anchor="_Toc83882806" w:history="1">
        <w:r w:rsidR="00952AE4" w:rsidRPr="007B2104">
          <w:rPr>
            <w:rStyle w:val="Hypertextovodkaz"/>
            <w:noProof/>
            <w14:scene3d>
              <w14:camera w14:prst="orthographicFront"/>
              <w14:lightRig w14:rig="threePt" w14:dir="t">
                <w14:rot w14:lat="0" w14:lon="0" w14:rev="0"/>
              </w14:lightRig>
            </w14:scene3d>
          </w:rPr>
          <w:t>2.1.2</w:t>
        </w:r>
        <w:r w:rsidR="00952AE4">
          <w:rPr>
            <w:rFonts w:asciiTheme="minorHAnsi" w:eastAsiaTheme="minorEastAsia" w:hAnsiTheme="minorHAnsi" w:cstheme="minorBidi"/>
            <w:noProof/>
            <w:sz w:val="22"/>
            <w:szCs w:val="22"/>
          </w:rPr>
          <w:tab/>
        </w:r>
        <w:r w:rsidR="00952AE4" w:rsidRPr="007B2104">
          <w:rPr>
            <w:rStyle w:val="Hypertextovodkaz"/>
            <w:noProof/>
          </w:rPr>
          <w:t>Cena ropy</w:t>
        </w:r>
        <w:r w:rsidR="00952AE4">
          <w:rPr>
            <w:noProof/>
            <w:webHidden/>
          </w:rPr>
          <w:tab/>
        </w:r>
        <w:r w:rsidR="00952AE4">
          <w:rPr>
            <w:noProof/>
            <w:webHidden/>
          </w:rPr>
          <w:fldChar w:fldCharType="begin"/>
        </w:r>
        <w:r w:rsidR="00952AE4">
          <w:rPr>
            <w:noProof/>
            <w:webHidden/>
          </w:rPr>
          <w:instrText xml:space="preserve"> PAGEREF _Toc83882806 \h </w:instrText>
        </w:r>
        <w:r w:rsidR="00952AE4">
          <w:rPr>
            <w:noProof/>
            <w:webHidden/>
          </w:rPr>
        </w:r>
        <w:r w:rsidR="00952AE4">
          <w:rPr>
            <w:noProof/>
            <w:webHidden/>
          </w:rPr>
          <w:fldChar w:fldCharType="separate"/>
        </w:r>
        <w:r>
          <w:rPr>
            <w:noProof/>
            <w:webHidden/>
          </w:rPr>
          <w:t>8</w:t>
        </w:r>
        <w:r w:rsidR="00952AE4">
          <w:rPr>
            <w:noProof/>
            <w:webHidden/>
          </w:rPr>
          <w:fldChar w:fldCharType="end"/>
        </w:r>
      </w:hyperlink>
    </w:p>
    <w:p w:rsidR="00952AE4" w:rsidRDefault="00D51DCA">
      <w:pPr>
        <w:pStyle w:val="Obsah3"/>
        <w:tabs>
          <w:tab w:val="left" w:pos="1320"/>
          <w:tab w:val="right" w:leader="dot" w:pos="9628"/>
        </w:tabs>
        <w:rPr>
          <w:rFonts w:asciiTheme="minorHAnsi" w:eastAsiaTheme="minorEastAsia" w:hAnsiTheme="minorHAnsi" w:cstheme="minorBidi"/>
          <w:noProof/>
          <w:sz w:val="22"/>
          <w:szCs w:val="22"/>
        </w:rPr>
      </w:pPr>
      <w:hyperlink w:anchor="_Toc83882807" w:history="1">
        <w:r w:rsidR="00952AE4" w:rsidRPr="007B2104">
          <w:rPr>
            <w:rStyle w:val="Hypertextovodkaz"/>
            <w:noProof/>
            <w14:scene3d>
              <w14:camera w14:prst="orthographicFront"/>
              <w14:lightRig w14:rig="threePt" w14:dir="t">
                <w14:rot w14:lat="0" w14:lon="0" w14:rev="0"/>
              </w14:lightRig>
            </w14:scene3d>
          </w:rPr>
          <w:t>2.1.3</w:t>
        </w:r>
        <w:r w:rsidR="00952AE4">
          <w:rPr>
            <w:rFonts w:asciiTheme="minorHAnsi" w:eastAsiaTheme="minorEastAsia" w:hAnsiTheme="minorHAnsi" w:cstheme="minorBidi"/>
            <w:noProof/>
            <w:sz w:val="22"/>
            <w:szCs w:val="22"/>
          </w:rPr>
          <w:tab/>
        </w:r>
        <w:r w:rsidR="00952AE4" w:rsidRPr="007B2104">
          <w:rPr>
            <w:rStyle w:val="Hypertextovodkaz"/>
            <w:noProof/>
          </w:rPr>
          <w:t>Měnová politika a měnové kurzy</w:t>
        </w:r>
        <w:r w:rsidR="00952AE4">
          <w:rPr>
            <w:noProof/>
            <w:webHidden/>
          </w:rPr>
          <w:tab/>
        </w:r>
        <w:r w:rsidR="00952AE4">
          <w:rPr>
            <w:noProof/>
            <w:webHidden/>
          </w:rPr>
          <w:fldChar w:fldCharType="begin"/>
        </w:r>
        <w:r w:rsidR="00952AE4">
          <w:rPr>
            <w:noProof/>
            <w:webHidden/>
          </w:rPr>
          <w:instrText xml:space="preserve"> PAGEREF _Toc83882807 \h </w:instrText>
        </w:r>
        <w:r w:rsidR="00952AE4">
          <w:rPr>
            <w:noProof/>
            <w:webHidden/>
          </w:rPr>
        </w:r>
        <w:r w:rsidR="00952AE4">
          <w:rPr>
            <w:noProof/>
            <w:webHidden/>
          </w:rPr>
          <w:fldChar w:fldCharType="separate"/>
        </w:r>
        <w:r>
          <w:rPr>
            <w:noProof/>
            <w:webHidden/>
          </w:rPr>
          <w:t>8</w:t>
        </w:r>
        <w:r w:rsidR="00952AE4">
          <w:rPr>
            <w:noProof/>
            <w:webHidden/>
          </w:rPr>
          <w:fldChar w:fldCharType="end"/>
        </w:r>
      </w:hyperlink>
    </w:p>
    <w:p w:rsidR="00952AE4" w:rsidRDefault="00D51DCA">
      <w:pPr>
        <w:pStyle w:val="Obsah2"/>
        <w:rPr>
          <w:rFonts w:asciiTheme="minorHAnsi" w:eastAsiaTheme="minorEastAsia" w:hAnsiTheme="minorHAnsi" w:cstheme="minorBidi"/>
          <w:noProof/>
          <w:sz w:val="22"/>
          <w:szCs w:val="22"/>
        </w:rPr>
      </w:pPr>
      <w:hyperlink w:anchor="_Toc83882808" w:history="1">
        <w:r w:rsidR="00952AE4" w:rsidRPr="007B2104">
          <w:rPr>
            <w:rStyle w:val="Hypertextovodkaz"/>
            <w:noProof/>
          </w:rPr>
          <w:t>2.2</w:t>
        </w:r>
        <w:r w:rsidR="00952AE4">
          <w:rPr>
            <w:rFonts w:asciiTheme="minorHAnsi" w:eastAsiaTheme="minorEastAsia" w:hAnsiTheme="minorHAnsi" w:cstheme="minorBidi"/>
            <w:noProof/>
            <w:sz w:val="22"/>
            <w:szCs w:val="22"/>
          </w:rPr>
          <w:tab/>
        </w:r>
        <w:r w:rsidR="00952AE4" w:rsidRPr="007B2104">
          <w:rPr>
            <w:rStyle w:val="Hypertextovodkaz"/>
            <w:noProof/>
          </w:rPr>
          <w:t>Makroekonomický vývoj v České republice</w:t>
        </w:r>
        <w:r w:rsidR="00952AE4">
          <w:rPr>
            <w:noProof/>
            <w:webHidden/>
          </w:rPr>
          <w:tab/>
        </w:r>
        <w:r w:rsidR="00952AE4">
          <w:rPr>
            <w:noProof/>
            <w:webHidden/>
          </w:rPr>
          <w:fldChar w:fldCharType="begin"/>
        </w:r>
        <w:r w:rsidR="00952AE4">
          <w:rPr>
            <w:noProof/>
            <w:webHidden/>
          </w:rPr>
          <w:instrText xml:space="preserve"> PAGEREF _Toc83882808 \h </w:instrText>
        </w:r>
        <w:r w:rsidR="00952AE4">
          <w:rPr>
            <w:noProof/>
            <w:webHidden/>
          </w:rPr>
        </w:r>
        <w:r w:rsidR="00952AE4">
          <w:rPr>
            <w:noProof/>
            <w:webHidden/>
          </w:rPr>
          <w:fldChar w:fldCharType="separate"/>
        </w:r>
        <w:r>
          <w:rPr>
            <w:noProof/>
            <w:webHidden/>
          </w:rPr>
          <w:t>9</w:t>
        </w:r>
        <w:r w:rsidR="00952AE4">
          <w:rPr>
            <w:noProof/>
            <w:webHidden/>
          </w:rPr>
          <w:fldChar w:fldCharType="end"/>
        </w:r>
      </w:hyperlink>
    </w:p>
    <w:p w:rsidR="00952AE4" w:rsidRDefault="00D51DCA">
      <w:pPr>
        <w:pStyle w:val="Obsah3"/>
        <w:tabs>
          <w:tab w:val="left" w:pos="1320"/>
          <w:tab w:val="right" w:leader="dot" w:pos="9628"/>
        </w:tabs>
        <w:rPr>
          <w:rFonts w:asciiTheme="minorHAnsi" w:eastAsiaTheme="minorEastAsia" w:hAnsiTheme="minorHAnsi" w:cstheme="minorBidi"/>
          <w:noProof/>
          <w:sz w:val="22"/>
          <w:szCs w:val="22"/>
        </w:rPr>
      </w:pPr>
      <w:hyperlink w:anchor="_Toc83882809" w:history="1">
        <w:r w:rsidR="00952AE4" w:rsidRPr="007B2104">
          <w:rPr>
            <w:rStyle w:val="Hypertextovodkaz"/>
            <w:noProof/>
            <w14:scene3d>
              <w14:camera w14:prst="orthographicFront"/>
              <w14:lightRig w14:rig="threePt" w14:dir="t">
                <w14:rot w14:lat="0" w14:lon="0" w14:rev="0"/>
              </w14:lightRig>
            </w14:scene3d>
          </w:rPr>
          <w:t>2.2.1</w:t>
        </w:r>
        <w:r w:rsidR="00952AE4">
          <w:rPr>
            <w:rFonts w:asciiTheme="minorHAnsi" w:eastAsiaTheme="minorEastAsia" w:hAnsiTheme="minorHAnsi" w:cstheme="minorBidi"/>
            <w:noProof/>
            <w:sz w:val="22"/>
            <w:szCs w:val="22"/>
          </w:rPr>
          <w:tab/>
        </w:r>
        <w:r w:rsidR="00952AE4" w:rsidRPr="007B2104">
          <w:rPr>
            <w:rStyle w:val="Hypertextovodkaz"/>
            <w:noProof/>
          </w:rPr>
          <w:t>Ekonomický výkon</w:t>
        </w:r>
        <w:r w:rsidR="00952AE4">
          <w:rPr>
            <w:noProof/>
            <w:webHidden/>
          </w:rPr>
          <w:tab/>
        </w:r>
        <w:r w:rsidR="00952AE4">
          <w:rPr>
            <w:noProof/>
            <w:webHidden/>
          </w:rPr>
          <w:fldChar w:fldCharType="begin"/>
        </w:r>
        <w:r w:rsidR="00952AE4">
          <w:rPr>
            <w:noProof/>
            <w:webHidden/>
          </w:rPr>
          <w:instrText xml:space="preserve"> PAGEREF _Toc83882809 \h </w:instrText>
        </w:r>
        <w:r w:rsidR="00952AE4">
          <w:rPr>
            <w:noProof/>
            <w:webHidden/>
          </w:rPr>
        </w:r>
        <w:r w:rsidR="00952AE4">
          <w:rPr>
            <w:noProof/>
            <w:webHidden/>
          </w:rPr>
          <w:fldChar w:fldCharType="separate"/>
        </w:r>
        <w:r>
          <w:rPr>
            <w:noProof/>
            <w:webHidden/>
          </w:rPr>
          <w:t>9</w:t>
        </w:r>
        <w:r w:rsidR="00952AE4">
          <w:rPr>
            <w:noProof/>
            <w:webHidden/>
          </w:rPr>
          <w:fldChar w:fldCharType="end"/>
        </w:r>
      </w:hyperlink>
    </w:p>
    <w:p w:rsidR="00952AE4" w:rsidRDefault="00D51DCA">
      <w:pPr>
        <w:pStyle w:val="Obsah3"/>
        <w:tabs>
          <w:tab w:val="left" w:pos="1320"/>
          <w:tab w:val="right" w:leader="dot" w:pos="9628"/>
        </w:tabs>
        <w:rPr>
          <w:rFonts w:asciiTheme="minorHAnsi" w:eastAsiaTheme="minorEastAsia" w:hAnsiTheme="minorHAnsi" w:cstheme="minorBidi"/>
          <w:noProof/>
          <w:sz w:val="22"/>
          <w:szCs w:val="22"/>
        </w:rPr>
      </w:pPr>
      <w:hyperlink w:anchor="_Toc83882810" w:history="1">
        <w:r w:rsidR="00952AE4" w:rsidRPr="007B2104">
          <w:rPr>
            <w:rStyle w:val="Hypertextovodkaz"/>
            <w:noProof/>
            <w14:scene3d>
              <w14:camera w14:prst="orthographicFront"/>
              <w14:lightRig w14:rig="threePt" w14:dir="t">
                <w14:rot w14:lat="0" w14:lon="0" w14:rev="0"/>
              </w14:lightRig>
            </w14:scene3d>
          </w:rPr>
          <w:t>2.2.2</w:t>
        </w:r>
        <w:r w:rsidR="00952AE4">
          <w:rPr>
            <w:rFonts w:asciiTheme="minorHAnsi" w:eastAsiaTheme="minorEastAsia" w:hAnsiTheme="minorHAnsi" w:cstheme="minorBidi"/>
            <w:noProof/>
            <w:sz w:val="22"/>
            <w:szCs w:val="22"/>
          </w:rPr>
          <w:tab/>
        </w:r>
        <w:r w:rsidR="00952AE4" w:rsidRPr="007B2104">
          <w:rPr>
            <w:rStyle w:val="Hypertextovodkaz"/>
            <w:noProof/>
          </w:rPr>
          <w:t>Spotřebitelské ceny</w:t>
        </w:r>
        <w:r w:rsidR="00952AE4">
          <w:rPr>
            <w:noProof/>
            <w:webHidden/>
          </w:rPr>
          <w:tab/>
        </w:r>
        <w:r w:rsidR="00952AE4">
          <w:rPr>
            <w:noProof/>
            <w:webHidden/>
          </w:rPr>
          <w:fldChar w:fldCharType="begin"/>
        </w:r>
        <w:r w:rsidR="00952AE4">
          <w:rPr>
            <w:noProof/>
            <w:webHidden/>
          </w:rPr>
          <w:instrText xml:space="preserve"> PAGEREF _Toc83882810 \h </w:instrText>
        </w:r>
        <w:r w:rsidR="00952AE4">
          <w:rPr>
            <w:noProof/>
            <w:webHidden/>
          </w:rPr>
        </w:r>
        <w:r w:rsidR="00952AE4">
          <w:rPr>
            <w:noProof/>
            <w:webHidden/>
          </w:rPr>
          <w:fldChar w:fldCharType="separate"/>
        </w:r>
        <w:r>
          <w:rPr>
            <w:noProof/>
            <w:webHidden/>
          </w:rPr>
          <w:t>10</w:t>
        </w:r>
        <w:r w:rsidR="00952AE4">
          <w:rPr>
            <w:noProof/>
            <w:webHidden/>
          </w:rPr>
          <w:fldChar w:fldCharType="end"/>
        </w:r>
      </w:hyperlink>
    </w:p>
    <w:p w:rsidR="00952AE4" w:rsidRDefault="00D51DCA">
      <w:pPr>
        <w:pStyle w:val="Obsah3"/>
        <w:tabs>
          <w:tab w:val="left" w:pos="1320"/>
          <w:tab w:val="right" w:leader="dot" w:pos="9628"/>
        </w:tabs>
        <w:rPr>
          <w:rFonts w:asciiTheme="minorHAnsi" w:eastAsiaTheme="minorEastAsia" w:hAnsiTheme="minorHAnsi" w:cstheme="minorBidi"/>
          <w:noProof/>
          <w:sz w:val="22"/>
          <w:szCs w:val="22"/>
        </w:rPr>
      </w:pPr>
      <w:hyperlink w:anchor="_Toc83882811" w:history="1">
        <w:r w:rsidR="00952AE4" w:rsidRPr="007B2104">
          <w:rPr>
            <w:rStyle w:val="Hypertextovodkaz"/>
            <w:noProof/>
            <w14:scene3d>
              <w14:camera w14:prst="orthographicFront"/>
              <w14:lightRig w14:rig="threePt" w14:dir="t">
                <w14:rot w14:lat="0" w14:lon="0" w14:rev="0"/>
              </w14:lightRig>
            </w14:scene3d>
          </w:rPr>
          <w:t>2.2.3</w:t>
        </w:r>
        <w:r w:rsidR="00952AE4">
          <w:rPr>
            <w:rFonts w:asciiTheme="minorHAnsi" w:eastAsiaTheme="minorEastAsia" w:hAnsiTheme="minorHAnsi" w:cstheme="minorBidi"/>
            <w:noProof/>
            <w:sz w:val="22"/>
            <w:szCs w:val="22"/>
          </w:rPr>
          <w:tab/>
        </w:r>
        <w:r w:rsidR="00952AE4" w:rsidRPr="007B2104">
          <w:rPr>
            <w:rStyle w:val="Hypertextovodkaz"/>
            <w:noProof/>
          </w:rPr>
          <w:t>Trh práce</w:t>
        </w:r>
        <w:r w:rsidR="00952AE4">
          <w:rPr>
            <w:noProof/>
            <w:webHidden/>
          </w:rPr>
          <w:tab/>
        </w:r>
        <w:r w:rsidR="00952AE4">
          <w:rPr>
            <w:noProof/>
            <w:webHidden/>
          </w:rPr>
          <w:fldChar w:fldCharType="begin"/>
        </w:r>
        <w:r w:rsidR="00952AE4">
          <w:rPr>
            <w:noProof/>
            <w:webHidden/>
          </w:rPr>
          <w:instrText xml:space="preserve"> PAGEREF _Toc83882811 \h </w:instrText>
        </w:r>
        <w:r w:rsidR="00952AE4">
          <w:rPr>
            <w:noProof/>
            <w:webHidden/>
          </w:rPr>
        </w:r>
        <w:r w:rsidR="00952AE4">
          <w:rPr>
            <w:noProof/>
            <w:webHidden/>
          </w:rPr>
          <w:fldChar w:fldCharType="separate"/>
        </w:r>
        <w:r>
          <w:rPr>
            <w:noProof/>
            <w:webHidden/>
          </w:rPr>
          <w:t>10</w:t>
        </w:r>
        <w:r w:rsidR="00952AE4">
          <w:rPr>
            <w:noProof/>
            <w:webHidden/>
          </w:rPr>
          <w:fldChar w:fldCharType="end"/>
        </w:r>
      </w:hyperlink>
    </w:p>
    <w:p w:rsidR="00952AE4" w:rsidRDefault="00D51DCA">
      <w:pPr>
        <w:pStyle w:val="Obsah3"/>
        <w:tabs>
          <w:tab w:val="left" w:pos="1320"/>
          <w:tab w:val="right" w:leader="dot" w:pos="9628"/>
        </w:tabs>
        <w:rPr>
          <w:rFonts w:asciiTheme="minorHAnsi" w:eastAsiaTheme="minorEastAsia" w:hAnsiTheme="minorHAnsi" w:cstheme="minorBidi"/>
          <w:noProof/>
          <w:sz w:val="22"/>
          <w:szCs w:val="22"/>
        </w:rPr>
      </w:pPr>
      <w:hyperlink w:anchor="_Toc83882812" w:history="1">
        <w:r w:rsidR="00952AE4" w:rsidRPr="007B2104">
          <w:rPr>
            <w:rStyle w:val="Hypertextovodkaz"/>
            <w:noProof/>
            <w14:scene3d>
              <w14:camera w14:prst="orthographicFront"/>
              <w14:lightRig w14:rig="threePt" w14:dir="t">
                <w14:rot w14:lat="0" w14:lon="0" w14:rev="0"/>
              </w14:lightRig>
            </w14:scene3d>
          </w:rPr>
          <w:t>2.2.4</w:t>
        </w:r>
        <w:r w:rsidR="00952AE4">
          <w:rPr>
            <w:rFonts w:asciiTheme="minorHAnsi" w:eastAsiaTheme="minorEastAsia" w:hAnsiTheme="minorHAnsi" w:cstheme="minorBidi"/>
            <w:noProof/>
            <w:sz w:val="22"/>
            <w:szCs w:val="22"/>
          </w:rPr>
          <w:tab/>
        </w:r>
        <w:r w:rsidR="00952AE4" w:rsidRPr="007B2104">
          <w:rPr>
            <w:rStyle w:val="Hypertextovodkaz"/>
            <w:noProof/>
          </w:rPr>
          <w:t>Vztahy k zahraničí</w:t>
        </w:r>
        <w:r w:rsidR="00952AE4">
          <w:rPr>
            <w:noProof/>
            <w:webHidden/>
          </w:rPr>
          <w:tab/>
        </w:r>
        <w:r w:rsidR="00952AE4">
          <w:rPr>
            <w:noProof/>
            <w:webHidden/>
          </w:rPr>
          <w:fldChar w:fldCharType="begin"/>
        </w:r>
        <w:r w:rsidR="00952AE4">
          <w:rPr>
            <w:noProof/>
            <w:webHidden/>
          </w:rPr>
          <w:instrText xml:space="preserve"> PAGEREF _Toc83882812 \h </w:instrText>
        </w:r>
        <w:r w:rsidR="00952AE4">
          <w:rPr>
            <w:noProof/>
            <w:webHidden/>
          </w:rPr>
        </w:r>
        <w:r w:rsidR="00952AE4">
          <w:rPr>
            <w:noProof/>
            <w:webHidden/>
          </w:rPr>
          <w:fldChar w:fldCharType="separate"/>
        </w:r>
        <w:r>
          <w:rPr>
            <w:noProof/>
            <w:webHidden/>
          </w:rPr>
          <w:t>11</w:t>
        </w:r>
        <w:r w:rsidR="00952AE4">
          <w:rPr>
            <w:noProof/>
            <w:webHidden/>
          </w:rPr>
          <w:fldChar w:fldCharType="end"/>
        </w:r>
      </w:hyperlink>
    </w:p>
    <w:p w:rsidR="00952AE4" w:rsidRDefault="00D51DCA">
      <w:pPr>
        <w:pStyle w:val="Obsah2"/>
        <w:rPr>
          <w:rFonts w:asciiTheme="minorHAnsi" w:eastAsiaTheme="minorEastAsia" w:hAnsiTheme="minorHAnsi" w:cstheme="minorBidi"/>
          <w:noProof/>
          <w:sz w:val="22"/>
          <w:szCs w:val="22"/>
        </w:rPr>
      </w:pPr>
      <w:hyperlink w:anchor="_Toc83882813" w:history="1">
        <w:r w:rsidR="00952AE4" w:rsidRPr="007B2104">
          <w:rPr>
            <w:rStyle w:val="Hypertextovodkaz"/>
            <w:noProof/>
          </w:rPr>
          <w:t>2.3</w:t>
        </w:r>
        <w:r w:rsidR="00952AE4">
          <w:rPr>
            <w:rFonts w:asciiTheme="minorHAnsi" w:eastAsiaTheme="minorEastAsia" w:hAnsiTheme="minorHAnsi" w:cstheme="minorBidi"/>
            <w:noProof/>
            <w:sz w:val="22"/>
            <w:szCs w:val="22"/>
          </w:rPr>
          <w:tab/>
        </w:r>
        <w:r w:rsidR="00952AE4" w:rsidRPr="007B2104">
          <w:rPr>
            <w:rStyle w:val="Hypertextovodkaz"/>
            <w:noProof/>
          </w:rPr>
          <w:t>Nezávislé ověření makroekonomického rámce</w:t>
        </w:r>
        <w:r w:rsidR="00952AE4">
          <w:rPr>
            <w:noProof/>
            <w:webHidden/>
          </w:rPr>
          <w:tab/>
        </w:r>
        <w:r w:rsidR="00952AE4">
          <w:rPr>
            <w:noProof/>
            <w:webHidden/>
          </w:rPr>
          <w:fldChar w:fldCharType="begin"/>
        </w:r>
        <w:r w:rsidR="00952AE4">
          <w:rPr>
            <w:noProof/>
            <w:webHidden/>
          </w:rPr>
          <w:instrText xml:space="preserve"> PAGEREF _Toc83882813 \h </w:instrText>
        </w:r>
        <w:r w:rsidR="00952AE4">
          <w:rPr>
            <w:noProof/>
            <w:webHidden/>
          </w:rPr>
        </w:r>
        <w:r w:rsidR="00952AE4">
          <w:rPr>
            <w:noProof/>
            <w:webHidden/>
          </w:rPr>
          <w:fldChar w:fldCharType="separate"/>
        </w:r>
        <w:r>
          <w:rPr>
            <w:noProof/>
            <w:webHidden/>
          </w:rPr>
          <w:t>12</w:t>
        </w:r>
        <w:r w:rsidR="00952AE4">
          <w:rPr>
            <w:noProof/>
            <w:webHidden/>
          </w:rPr>
          <w:fldChar w:fldCharType="end"/>
        </w:r>
      </w:hyperlink>
    </w:p>
    <w:p w:rsidR="00952AE4" w:rsidRDefault="00D51DCA">
      <w:pPr>
        <w:pStyle w:val="Obsah3"/>
        <w:tabs>
          <w:tab w:val="left" w:pos="1320"/>
          <w:tab w:val="right" w:leader="dot" w:pos="9628"/>
        </w:tabs>
        <w:rPr>
          <w:rFonts w:asciiTheme="minorHAnsi" w:eastAsiaTheme="minorEastAsia" w:hAnsiTheme="minorHAnsi" w:cstheme="minorBidi"/>
          <w:noProof/>
          <w:sz w:val="22"/>
          <w:szCs w:val="22"/>
        </w:rPr>
      </w:pPr>
      <w:hyperlink w:anchor="_Toc83882814" w:history="1">
        <w:r w:rsidR="00952AE4" w:rsidRPr="007B2104">
          <w:rPr>
            <w:rStyle w:val="Hypertextovodkaz"/>
            <w:noProof/>
            <w14:scene3d>
              <w14:camera w14:prst="orthographicFront"/>
              <w14:lightRig w14:rig="threePt" w14:dir="t">
                <w14:rot w14:lat="0" w14:lon="0" w14:rev="0"/>
              </w14:lightRig>
            </w14:scene3d>
          </w:rPr>
          <w:t>2.3.1</w:t>
        </w:r>
        <w:r w:rsidR="00952AE4">
          <w:rPr>
            <w:rFonts w:asciiTheme="minorHAnsi" w:eastAsiaTheme="minorEastAsia" w:hAnsiTheme="minorHAnsi" w:cstheme="minorBidi"/>
            <w:noProof/>
            <w:sz w:val="22"/>
            <w:szCs w:val="22"/>
          </w:rPr>
          <w:tab/>
        </w:r>
        <w:r w:rsidR="00952AE4" w:rsidRPr="007B2104">
          <w:rPr>
            <w:rStyle w:val="Hypertextovodkaz"/>
            <w:noProof/>
          </w:rPr>
          <w:t>Zhodnocení Výborem pro rozpočtové prognózy</w:t>
        </w:r>
        <w:r w:rsidR="00952AE4">
          <w:rPr>
            <w:noProof/>
            <w:webHidden/>
          </w:rPr>
          <w:tab/>
        </w:r>
        <w:r w:rsidR="00952AE4">
          <w:rPr>
            <w:noProof/>
            <w:webHidden/>
          </w:rPr>
          <w:fldChar w:fldCharType="begin"/>
        </w:r>
        <w:r w:rsidR="00952AE4">
          <w:rPr>
            <w:noProof/>
            <w:webHidden/>
          </w:rPr>
          <w:instrText xml:space="preserve"> PAGEREF _Toc83882814 \h </w:instrText>
        </w:r>
        <w:r w:rsidR="00952AE4">
          <w:rPr>
            <w:noProof/>
            <w:webHidden/>
          </w:rPr>
        </w:r>
        <w:r w:rsidR="00952AE4">
          <w:rPr>
            <w:noProof/>
            <w:webHidden/>
          </w:rPr>
          <w:fldChar w:fldCharType="separate"/>
        </w:r>
        <w:r>
          <w:rPr>
            <w:noProof/>
            <w:webHidden/>
          </w:rPr>
          <w:t>12</w:t>
        </w:r>
        <w:r w:rsidR="00952AE4">
          <w:rPr>
            <w:noProof/>
            <w:webHidden/>
          </w:rPr>
          <w:fldChar w:fldCharType="end"/>
        </w:r>
      </w:hyperlink>
    </w:p>
    <w:p w:rsidR="00952AE4" w:rsidRDefault="00D51DCA">
      <w:pPr>
        <w:pStyle w:val="Obsah3"/>
        <w:tabs>
          <w:tab w:val="left" w:pos="1320"/>
          <w:tab w:val="right" w:leader="dot" w:pos="9628"/>
        </w:tabs>
        <w:rPr>
          <w:rFonts w:asciiTheme="minorHAnsi" w:eastAsiaTheme="minorEastAsia" w:hAnsiTheme="minorHAnsi" w:cstheme="minorBidi"/>
          <w:noProof/>
          <w:sz w:val="22"/>
          <w:szCs w:val="22"/>
        </w:rPr>
      </w:pPr>
      <w:hyperlink w:anchor="_Toc83882815" w:history="1">
        <w:r w:rsidR="00952AE4" w:rsidRPr="007B2104">
          <w:rPr>
            <w:rStyle w:val="Hypertextovodkaz"/>
            <w:noProof/>
            <w14:scene3d>
              <w14:camera w14:prst="orthographicFront"/>
              <w14:lightRig w14:rig="threePt" w14:dir="t">
                <w14:rot w14:lat="0" w14:lon="0" w14:rev="0"/>
              </w14:lightRig>
            </w14:scene3d>
          </w:rPr>
          <w:t>2.3.2</w:t>
        </w:r>
        <w:r w:rsidR="00952AE4">
          <w:rPr>
            <w:rFonts w:asciiTheme="minorHAnsi" w:eastAsiaTheme="minorEastAsia" w:hAnsiTheme="minorHAnsi" w:cstheme="minorBidi"/>
            <w:noProof/>
            <w:sz w:val="22"/>
            <w:szCs w:val="22"/>
          </w:rPr>
          <w:tab/>
        </w:r>
        <w:r w:rsidR="00952AE4" w:rsidRPr="007B2104">
          <w:rPr>
            <w:rStyle w:val="Hypertextovodkaz"/>
            <w:noProof/>
          </w:rPr>
          <w:t>Monitoring prognóz</w:t>
        </w:r>
        <w:r w:rsidR="00952AE4">
          <w:rPr>
            <w:noProof/>
            <w:webHidden/>
          </w:rPr>
          <w:tab/>
        </w:r>
        <w:r w:rsidR="00952AE4">
          <w:rPr>
            <w:noProof/>
            <w:webHidden/>
          </w:rPr>
          <w:fldChar w:fldCharType="begin"/>
        </w:r>
        <w:r w:rsidR="00952AE4">
          <w:rPr>
            <w:noProof/>
            <w:webHidden/>
          </w:rPr>
          <w:instrText xml:space="preserve"> PAGEREF _Toc83882815 \h </w:instrText>
        </w:r>
        <w:r w:rsidR="00952AE4">
          <w:rPr>
            <w:noProof/>
            <w:webHidden/>
          </w:rPr>
        </w:r>
        <w:r w:rsidR="00952AE4">
          <w:rPr>
            <w:noProof/>
            <w:webHidden/>
          </w:rPr>
          <w:fldChar w:fldCharType="separate"/>
        </w:r>
        <w:r>
          <w:rPr>
            <w:noProof/>
            <w:webHidden/>
          </w:rPr>
          <w:t>12</w:t>
        </w:r>
        <w:r w:rsidR="00952AE4">
          <w:rPr>
            <w:noProof/>
            <w:webHidden/>
          </w:rPr>
          <w:fldChar w:fldCharType="end"/>
        </w:r>
      </w:hyperlink>
    </w:p>
    <w:p w:rsidR="00952AE4" w:rsidRDefault="00D51DCA">
      <w:pPr>
        <w:pStyle w:val="Obsah1"/>
        <w:rPr>
          <w:rFonts w:asciiTheme="minorHAnsi" w:eastAsiaTheme="minorEastAsia" w:hAnsiTheme="minorHAnsi" w:cstheme="minorBidi"/>
          <w:b w:val="0"/>
          <w:sz w:val="22"/>
          <w:szCs w:val="22"/>
        </w:rPr>
      </w:pPr>
      <w:hyperlink w:anchor="_Toc83882816" w:history="1">
        <w:r w:rsidR="00952AE4" w:rsidRPr="007B2104">
          <w:rPr>
            <w:rStyle w:val="Hypertextovodkaz"/>
          </w:rPr>
          <w:t>3</w:t>
        </w:r>
        <w:r w:rsidR="00952AE4">
          <w:rPr>
            <w:rFonts w:asciiTheme="minorHAnsi" w:eastAsiaTheme="minorEastAsia" w:hAnsiTheme="minorHAnsi" w:cstheme="minorBidi"/>
            <w:b w:val="0"/>
            <w:sz w:val="22"/>
            <w:szCs w:val="22"/>
          </w:rPr>
          <w:tab/>
        </w:r>
        <w:r w:rsidR="00952AE4" w:rsidRPr="007B2104">
          <w:rPr>
            <w:rStyle w:val="Hypertextovodkaz"/>
          </w:rPr>
          <w:t>Fiskální politika a veřejné finance</w:t>
        </w:r>
        <w:r w:rsidR="00952AE4">
          <w:rPr>
            <w:webHidden/>
          </w:rPr>
          <w:tab/>
        </w:r>
        <w:r w:rsidR="00952AE4">
          <w:rPr>
            <w:webHidden/>
          </w:rPr>
          <w:fldChar w:fldCharType="begin"/>
        </w:r>
        <w:r w:rsidR="00952AE4">
          <w:rPr>
            <w:webHidden/>
          </w:rPr>
          <w:instrText xml:space="preserve"> PAGEREF _Toc83882816 \h </w:instrText>
        </w:r>
        <w:r w:rsidR="00952AE4">
          <w:rPr>
            <w:webHidden/>
          </w:rPr>
        </w:r>
        <w:r w:rsidR="00952AE4">
          <w:rPr>
            <w:webHidden/>
          </w:rPr>
          <w:fldChar w:fldCharType="separate"/>
        </w:r>
        <w:r>
          <w:rPr>
            <w:webHidden/>
          </w:rPr>
          <w:t>12</w:t>
        </w:r>
        <w:r w:rsidR="00952AE4">
          <w:rPr>
            <w:webHidden/>
          </w:rPr>
          <w:fldChar w:fldCharType="end"/>
        </w:r>
      </w:hyperlink>
    </w:p>
    <w:p w:rsidR="00952AE4" w:rsidRDefault="00D51DCA">
      <w:pPr>
        <w:pStyle w:val="Obsah2"/>
        <w:rPr>
          <w:rFonts w:asciiTheme="minorHAnsi" w:eastAsiaTheme="minorEastAsia" w:hAnsiTheme="minorHAnsi" w:cstheme="minorBidi"/>
          <w:noProof/>
          <w:sz w:val="22"/>
          <w:szCs w:val="22"/>
        </w:rPr>
      </w:pPr>
      <w:hyperlink w:anchor="_Toc83882817" w:history="1">
        <w:r w:rsidR="00952AE4" w:rsidRPr="007B2104">
          <w:rPr>
            <w:rStyle w:val="Hypertextovodkaz"/>
            <w:noProof/>
          </w:rPr>
          <w:t>3.1</w:t>
        </w:r>
        <w:r w:rsidR="00952AE4">
          <w:rPr>
            <w:rFonts w:asciiTheme="minorHAnsi" w:eastAsiaTheme="minorEastAsia" w:hAnsiTheme="minorHAnsi" w:cstheme="minorBidi"/>
            <w:noProof/>
            <w:sz w:val="22"/>
            <w:szCs w:val="22"/>
          </w:rPr>
          <w:tab/>
        </w:r>
        <w:r w:rsidR="00952AE4" w:rsidRPr="007B2104">
          <w:rPr>
            <w:rStyle w:val="Hypertextovodkaz"/>
            <w:noProof/>
          </w:rPr>
          <w:t>Očekávané hospodaření sektoru vládních institucí v roce 2021</w:t>
        </w:r>
        <w:r w:rsidR="00952AE4">
          <w:rPr>
            <w:noProof/>
            <w:webHidden/>
          </w:rPr>
          <w:tab/>
        </w:r>
        <w:r w:rsidR="00952AE4">
          <w:rPr>
            <w:noProof/>
            <w:webHidden/>
          </w:rPr>
          <w:fldChar w:fldCharType="begin"/>
        </w:r>
        <w:r w:rsidR="00952AE4">
          <w:rPr>
            <w:noProof/>
            <w:webHidden/>
          </w:rPr>
          <w:instrText xml:space="preserve"> PAGEREF _Toc83882817 \h </w:instrText>
        </w:r>
        <w:r w:rsidR="00952AE4">
          <w:rPr>
            <w:noProof/>
            <w:webHidden/>
          </w:rPr>
        </w:r>
        <w:r w:rsidR="00952AE4">
          <w:rPr>
            <w:noProof/>
            <w:webHidden/>
          </w:rPr>
          <w:fldChar w:fldCharType="separate"/>
        </w:r>
        <w:r>
          <w:rPr>
            <w:noProof/>
            <w:webHidden/>
          </w:rPr>
          <w:t>13</w:t>
        </w:r>
        <w:r w:rsidR="00952AE4">
          <w:rPr>
            <w:noProof/>
            <w:webHidden/>
          </w:rPr>
          <w:fldChar w:fldCharType="end"/>
        </w:r>
      </w:hyperlink>
    </w:p>
    <w:p w:rsidR="00952AE4" w:rsidRDefault="00D51DCA">
      <w:pPr>
        <w:pStyle w:val="Obsah2"/>
        <w:rPr>
          <w:rFonts w:asciiTheme="minorHAnsi" w:eastAsiaTheme="minorEastAsia" w:hAnsiTheme="minorHAnsi" w:cstheme="minorBidi"/>
          <w:noProof/>
          <w:sz w:val="22"/>
          <w:szCs w:val="22"/>
        </w:rPr>
      </w:pPr>
      <w:hyperlink w:anchor="_Toc83882818" w:history="1">
        <w:r w:rsidR="00952AE4" w:rsidRPr="007B2104">
          <w:rPr>
            <w:rStyle w:val="Hypertextovodkaz"/>
            <w:noProof/>
          </w:rPr>
          <w:t>3.2</w:t>
        </w:r>
        <w:r w:rsidR="00952AE4">
          <w:rPr>
            <w:rFonts w:asciiTheme="minorHAnsi" w:eastAsiaTheme="minorEastAsia" w:hAnsiTheme="minorHAnsi" w:cstheme="minorBidi"/>
            <w:noProof/>
            <w:sz w:val="22"/>
            <w:szCs w:val="22"/>
          </w:rPr>
          <w:tab/>
        </w:r>
        <w:r w:rsidR="00952AE4" w:rsidRPr="007B2104">
          <w:rPr>
            <w:rStyle w:val="Hypertextovodkaz"/>
            <w:noProof/>
          </w:rPr>
          <w:t>Predikce hospodaření sektoru vládních institucí v roce 2022</w:t>
        </w:r>
        <w:r w:rsidR="00952AE4">
          <w:rPr>
            <w:noProof/>
            <w:webHidden/>
          </w:rPr>
          <w:tab/>
        </w:r>
        <w:r w:rsidR="00952AE4">
          <w:rPr>
            <w:noProof/>
            <w:webHidden/>
          </w:rPr>
          <w:fldChar w:fldCharType="begin"/>
        </w:r>
        <w:r w:rsidR="00952AE4">
          <w:rPr>
            <w:noProof/>
            <w:webHidden/>
          </w:rPr>
          <w:instrText xml:space="preserve"> PAGEREF _Toc83882818 \h </w:instrText>
        </w:r>
        <w:r w:rsidR="00952AE4">
          <w:rPr>
            <w:noProof/>
            <w:webHidden/>
          </w:rPr>
        </w:r>
        <w:r w:rsidR="00952AE4">
          <w:rPr>
            <w:noProof/>
            <w:webHidden/>
          </w:rPr>
          <w:fldChar w:fldCharType="separate"/>
        </w:r>
        <w:r>
          <w:rPr>
            <w:noProof/>
            <w:webHidden/>
          </w:rPr>
          <w:t>14</w:t>
        </w:r>
        <w:r w:rsidR="00952AE4">
          <w:rPr>
            <w:noProof/>
            <w:webHidden/>
          </w:rPr>
          <w:fldChar w:fldCharType="end"/>
        </w:r>
      </w:hyperlink>
    </w:p>
    <w:p w:rsidR="00952AE4" w:rsidRDefault="00D51DCA">
      <w:pPr>
        <w:pStyle w:val="Obsah2"/>
        <w:rPr>
          <w:rFonts w:asciiTheme="minorHAnsi" w:eastAsiaTheme="minorEastAsia" w:hAnsiTheme="minorHAnsi" w:cstheme="minorBidi"/>
          <w:noProof/>
          <w:sz w:val="22"/>
          <w:szCs w:val="22"/>
        </w:rPr>
      </w:pPr>
      <w:hyperlink w:anchor="_Toc83882819" w:history="1">
        <w:r w:rsidR="00952AE4" w:rsidRPr="007B2104">
          <w:rPr>
            <w:rStyle w:val="Hypertextovodkaz"/>
            <w:noProof/>
          </w:rPr>
          <w:t>3.3</w:t>
        </w:r>
        <w:r w:rsidR="00952AE4">
          <w:rPr>
            <w:rFonts w:asciiTheme="minorHAnsi" w:eastAsiaTheme="minorEastAsia" w:hAnsiTheme="minorHAnsi" w:cstheme="minorBidi"/>
            <w:noProof/>
            <w:sz w:val="22"/>
            <w:szCs w:val="22"/>
          </w:rPr>
          <w:tab/>
        </w:r>
        <w:r w:rsidR="00952AE4" w:rsidRPr="007B2104">
          <w:rPr>
            <w:rStyle w:val="Hypertextovodkaz"/>
            <w:noProof/>
          </w:rPr>
          <w:t>Výhled hospodaření sektoru vládních institucí v letech 2023 a 2024</w:t>
        </w:r>
        <w:r w:rsidR="00952AE4">
          <w:rPr>
            <w:noProof/>
            <w:webHidden/>
          </w:rPr>
          <w:tab/>
        </w:r>
        <w:r w:rsidR="00952AE4">
          <w:rPr>
            <w:noProof/>
            <w:webHidden/>
          </w:rPr>
          <w:fldChar w:fldCharType="begin"/>
        </w:r>
        <w:r w:rsidR="00952AE4">
          <w:rPr>
            <w:noProof/>
            <w:webHidden/>
          </w:rPr>
          <w:instrText xml:space="preserve"> PAGEREF _Toc83882819 \h </w:instrText>
        </w:r>
        <w:r w:rsidR="00952AE4">
          <w:rPr>
            <w:noProof/>
            <w:webHidden/>
          </w:rPr>
        </w:r>
        <w:r w:rsidR="00952AE4">
          <w:rPr>
            <w:noProof/>
            <w:webHidden/>
          </w:rPr>
          <w:fldChar w:fldCharType="separate"/>
        </w:r>
        <w:r>
          <w:rPr>
            <w:noProof/>
            <w:webHidden/>
          </w:rPr>
          <w:t>15</w:t>
        </w:r>
        <w:r w:rsidR="00952AE4">
          <w:rPr>
            <w:noProof/>
            <w:webHidden/>
          </w:rPr>
          <w:fldChar w:fldCharType="end"/>
        </w:r>
      </w:hyperlink>
    </w:p>
    <w:p w:rsidR="00952AE4" w:rsidRDefault="00D51DCA">
      <w:pPr>
        <w:pStyle w:val="Obsah1"/>
        <w:rPr>
          <w:rFonts w:asciiTheme="minorHAnsi" w:eastAsiaTheme="minorEastAsia" w:hAnsiTheme="minorHAnsi" w:cstheme="minorBidi"/>
          <w:b w:val="0"/>
          <w:sz w:val="22"/>
          <w:szCs w:val="22"/>
        </w:rPr>
      </w:pPr>
      <w:hyperlink w:anchor="_Toc83882820" w:history="1">
        <w:r w:rsidR="00952AE4" w:rsidRPr="007B2104">
          <w:rPr>
            <w:rStyle w:val="Hypertextovodkaz"/>
          </w:rPr>
          <w:t>4</w:t>
        </w:r>
        <w:r w:rsidR="00952AE4">
          <w:rPr>
            <w:rFonts w:asciiTheme="minorHAnsi" w:eastAsiaTheme="minorEastAsia" w:hAnsiTheme="minorHAnsi" w:cstheme="minorBidi"/>
            <w:b w:val="0"/>
            <w:sz w:val="22"/>
            <w:szCs w:val="22"/>
          </w:rPr>
          <w:tab/>
        </w:r>
        <w:r w:rsidR="00952AE4" w:rsidRPr="007B2104">
          <w:rPr>
            <w:rStyle w:val="Hypertextovodkaz"/>
          </w:rPr>
          <w:t>Citlivostní analýza</w:t>
        </w:r>
        <w:r w:rsidR="00952AE4">
          <w:rPr>
            <w:webHidden/>
          </w:rPr>
          <w:tab/>
        </w:r>
        <w:r w:rsidR="00952AE4">
          <w:rPr>
            <w:webHidden/>
          </w:rPr>
          <w:fldChar w:fldCharType="begin"/>
        </w:r>
        <w:r w:rsidR="00952AE4">
          <w:rPr>
            <w:webHidden/>
          </w:rPr>
          <w:instrText xml:space="preserve"> PAGEREF _Toc83882820 \h </w:instrText>
        </w:r>
        <w:r w:rsidR="00952AE4">
          <w:rPr>
            <w:webHidden/>
          </w:rPr>
        </w:r>
        <w:r w:rsidR="00952AE4">
          <w:rPr>
            <w:webHidden/>
          </w:rPr>
          <w:fldChar w:fldCharType="separate"/>
        </w:r>
        <w:r>
          <w:rPr>
            <w:webHidden/>
          </w:rPr>
          <w:t>16</w:t>
        </w:r>
        <w:r w:rsidR="00952AE4">
          <w:rPr>
            <w:webHidden/>
          </w:rPr>
          <w:fldChar w:fldCharType="end"/>
        </w:r>
      </w:hyperlink>
    </w:p>
    <w:p w:rsidR="00952AE4" w:rsidRDefault="00D51DCA">
      <w:pPr>
        <w:pStyle w:val="Obsah2"/>
        <w:rPr>
          <w:rFonts w:asciiTheme="minorHAnsi" w:eastAsiaTheme="minorEastAsia" w:hAnsiTheme="minorHAnsi" w:cstheme="minorBidi"/>
          <w:noProof/>
          <w:sz w:val="22"/>
          <w:szCs w:val="22"/>
        </w:rPr>
      </w:pPr>
      <w:hyperlink w:anchor="_Toc83882821" w:history="1">
        <w:r w:rsidR="00952AE4" w:rsidRPr="007B2104">
          <w:rPr>
            <w:rStyle w:val="Hypertextovodkaz"/>
            <w:noProof/>
          </w:rPr>
          <w:t>4.1</w:t>
        </w:r>
        <w:r w:rsidR="00952AE4">
          <w:rPr>
            <w:rFonts w:asciiTheme="minorHAnsi" w:eastAsiaTheme="minorEastAsia" w:hAnsiTheme="minorHAnsi" w:cstheme="minorBidi"/>
            <w:noProof/>
            <w:sz w:val="22"/>
            <w:szCs w:val="22"/>
          </w:rPr>
          <w:tab/>
        </w:r>
        <w:r w:rsidR="00952AE4" w:rsidRPr="007B2104">
          <w:rPr>
            <w:rStyle w:val="Hypertextovodkaz"/>
            <w:noProof/>
          </w:rPr>
          <w:t>Pomalejší ekonomický růst v EU v roce 2022</w:t>
        </w:r>
        <w:r w:rsidR="00952AE4">
          <w:rPr>
            <w:noProof/>
            <w:webHidden/>
          </w:rPr>
          <w:tab/>
        </w:r>
        <w:r w:rsidR="00952AE4">
          <w:rPr>
            <w:noProof/>
            <w:webHidden/>
          </w:rPr>
          <w:fldChar w:fldCharType="begin"/>
        </w:r>
        <w:r w:rsidR="00952AE4">
          <w:rPr>
            <w:noProof/>
            <w:webHidden/>
          </w:rPr>
          <w:instrText xml:space="preserve"> PAGEREF _Toc83882821 \h </w:instrText>
        </w:r>
        <w:r w:rsidR="00952AE4">
          <w:rPr>
            <w:noProof/>
            <w:webHidden/>
          </w:rPr>
        </w:r>
        <w:r w:rsidR="00952AE4">
          <w:rPr>
            <w:noProof/>
            <w:webHidden/>
          </w:rPr>
          <w:fldChar w:fldCharType="separate"/>
        </w:r>
        <w:r>
          <w:rPr>
            <w:noProof/>
            <w:webHidden/>
          </w:rPr>
          <w:t>16</w:t>
        </w:r>
        <w:r w:rsidR="00952AE4">
          <w:rPr>
            <w:noProof/>
            <w:webHidden/>
          </w:rPr>
          <w:fldChar w:fldCharType="end"/>
        </w:r>
      </w:hyperlink>
    </w:p>
    <w:p w:rsidR="00952AE4" w:rsidRDefault="00D51DCA">
      <w:pPr>
        <w:pStyle w:val="Obsah2"/>
        <w:rPr>
          <w:rFonts w:asciiTheme="minorHAnsi" w:eastAsiaTheme="minorEastAsia" w:hAnsiTheme="minorHAnsi" w:cstheme="minorBidi"/>
          <w:noProof/>
          <w:sz w:val="22"/>
          <w:szCs w:val="22"/>
        </w:rPr>
      </w:pPr>
      <w:hyperlink w:anchor="_Toc83882822" w:history="1">
        <w:r w:rsidR="00952AE4" w:rsidRPr="007B2104">
          <w:rPr>
            <w:rStyle w:val="Hypertextovodkaz"/>
            <w:noProof/>
          </w:rPr>
          <w:t>4.2</w:t>
        </w:r>
        <w:r w:rsidR="00952AE4">
          <w:rPr>
            <w:rFonts w:asciiTheme="minorHAnsi" w:eastAsiaTheme="minorEastAsia" w:hAnsiTheme="minorHAnsi" w:cstheme="minorBidi"/>
            <w:noProof/>
            <w:sz w:val="22"/>
            <w:szCs w:val="22"/>
          </w:rPr>
          <w:tab/>
        </w:r>
        <w:r w:rsidR="00952AE4" w:rsidRPr="007B2104">
          <w:rPr>
            <w:rStyle w:val="Hypertextovodkaz"/>
            <w:noProof/>
          </w:rPr>
          <w:t>Nárůst domácí úrokové míry</w:t>
        </w:r>
        <w:r w:rsidR="00952AE4">
          <w:rPr>
            <w:noProof/>
            <w:webHidden/>
          </w:rPr>
          <w:tab/>
        </w:r>
        <w:r w:rsidR="00952AE4">
          <w:rPr>
            <w:noProof/>
            <w:webHidden/>
          </w:rPr>
          <w:fldChar w:fldCharType="begin"/>
        </w:r>
        <w:r w:rsidR="00952AE4">
          <w:rPr>
            <w:noProof/>
            <w:webHidden/>
          </w:rPr>
          <w:instrText xml:space="preserve"> PAGEREF _Toc83882822 \h </w:instrText>
        </w:r>
        <w:r w:rsidR="00952AE4">
          <w:rPr>
            <w:noProof/>
            <w:webHidden/>
          </w:rPr>
        </w:r>
        <w:r w:rsidR="00952AE4">
          <w:rPr>
            <w:noProof/>
            <w:webHidden/>
          </w:rPr>
          <w:fldChar w:fldCharType="separate"/>
        </w:r>
        <w:r>
          <w:rPr>
            <w:noProof/>
            <w:webHidden/>
          </w:rPr>
          <w:t>17</w:t>
        </w:r>
        <w:r w:rsidR="00952AE4">
          <w:rPr>
            <w:noProof/>
            <w:webHidden/>
          </w:rPr>
          <w:fldChar w:fldCharType="end"/>
        </w:r>
      </w:hyperlink>
    </w:p>
    <w:p w:rsidR="00952AE4" w:rsidRDefault="00D51DCA">
      <w:pPr>
        <w:pStyle w:val="Obsah2"/>
        <w:rPr>
          <w:rFonts w:asciiTheme="minorHAnsi" w:eastAsiaTheme="minorEastAsia" w:hAnsiTheme="minorHAnsi" w:cstheme="minorBidi"/>
          <w:noProof/>
          <w:sz w:val="22"/>
          <w:szCs w:val="22"/>
        </w:rPr>
      </w:pPr>
      <w:hyperlink w:anchor="_Toc83882823" w:history="1">
        <w:r w:rsidR="00952AE4" w:rsidRPr="007B2104">
          <w:rPr>
            <w:rStyle w:val="Hypertextovodkaz"/>
            <w:noProof/>
          </w:rPr>
          <w:t>4.3</w:t>
        </w:r>
        <w:r w:rsidR="00952AE4">
          <w:rPr>
            <w:rFonts w:asciiTheme="minorHAnsi" w:eastAsiaTheme="minorEastAsia" w:hAnsiTheme="minorHAnsi" w:cstheme="minorBidi"/>
            <w:noProof/>
            <w:sz w:val="22"/>
            <w:szCs w:val="22"/>
          </w:rPr>
          <w:tab/>
        </w:r>
        <w:r w:rsidR="00952AE4" w:rsidRPr="007B2104">
          <w:rPr>
            <w:rStyle w:val="Hypertextovodkaz"/>
            <w:noProof/>
          </w:rPr>
          <w:t>Zhoršení epidemické situace v ČR</w:t>
        </w:r>
        <w:r w:rsidR="00952AE4">
          <w:rPr>
            <w:noProof/>
            <w:webHidden/>
          </w:rPr>
          <w:tab/>
        </w:r>
        <w:r w:rsidR="00952AE4">
          <w:rPr>
            <w:noProof/>
            <w:webHidden/>
          </w:rPr>
          <w:fldChar w:fldCharType="begin"/>
        </w:r>
        <w:r w:rsidR="00952AE4">
          <w:rPr>
            <w:noProof/>
            <w:webHidden/>
          </w:rPr>
          <w:instrText xml:space="preserve"> PAGEREF _Toc83882823 \h </w:instrText>
        </w:r>
        <w:r w:rsidR="00952AE4">
          <w:rPr>
            <w:noProof/>
            <w:webHidden/>
          </w:rPr>
        </w:r>
        <w:r w:rsidR="00952AE4">
          <w:rPr>
            <w:noProof/>
            <w:webHidden/>
          </w:rPr>
          <w:fldChar w:fldCharType="separate"/>
        </w:r>
        <w:r>
          <w:rPr>
            <w:noProof/>
            <w:webHidden/>
          </w:rPr>
          <w:t>18</w:t>
        </w:r>
        <w:r w:rsidR="00952AE4">
          <w:rPr>
            <w:noProof/>
            <w:webHidden/>
          </w:rPr>
          <w:fldChar w:fldCharType="end"/>
        </w:r>
      </w:hyperlink>
    </w:p>
    <w:p w:rsidR="00952AE4" w:rsidRDefault="00D51DCA">
      <w:pPr>
        <w:pStyle w:val="Obsah1"/>
        <w:rPr>
          <w:rFonts w:asciiTheme="minorHAnsi" w:eastAsiaTheme="minorEastAsia" w:hAnsiTheme="minorHAnsi" w:cstheme="minorBidi"/>
          <w:b w:val="0"/>
          <w:sz w:val="22"/>
          <w:szCs w:val="22"/>
        </w:rPr>
      </w:pPr>
      <w:hyperlink w:anchor="_Toc83882824" w:history="1">
        <w:r w:rsidR="00952AE4" w:rsidRPr="007B2104">
          <w:rPr>
            <w:rStyle w:val="Hypertextovodkaz"/>
          </w:rPr>
          <w:t>B</w:t>
        </w:r>
        <w:r w:rsidR="00952AE4">
          <w:rPr>
            <w:rFonts w:asciiTheme="minorHAnsi" w:eastAsiaTheme="minorEastAsia" w:hAnsiTheme="minorHAnsi" w:cstheme="minorBidi"/>
            <w:b w:val="0"/>
            <w:sz w:val="22"/>
            <w:szCs w:val="22"/>
          </w:rPr>
          <w:tab/>
        </w:r>
        <w:r w:rsidR="00952AE4" w:rsidRPr="007B2104">
          <w:rPr>
            <w:rStyle w:val="Hypertextovodkaz"/>
          </w:rPr>
          <w:t>Výdajový rámec a jeho úprava</w:t>
        </w:r>
        <w:r w:rsidR="00952AE4">
          <w:rPr>
            <w:webHidden/>
          </w:rPr>
          <w:tab/>
        </w:r>
        <w:r w:rsidR="00952AE4">
          <w:rPr>
            <w:webHidden/>
          </w:rPr>
          <w:fldChar w:fldCharType="begin"/>
        </w:r>
        <w:r w:rsidR="00952AE4">
          <w:rPr>
            <w:webHidden/>
          </w:rPr>
          <w:instrText xml:space="preserve"> PAGEREF _Toc83882824 \h </w:instrText>
        </w:r>
        <w:r w:rsidR="00952AE4">
          <w:rPr>
            <w:webHidden/>
          </w:rPr>
        </w:r>
        <w:r w:rsidR="00952AE4">
          <w:rPr>
            <w:webHidden/>
          </w:rPr>
          <w:fldChar w:fldCharType="separate"/>
        </w:r>
        <w:r>
          <w:rPr>
            <w:webHidden/>
          </w:rPr>
          <w:t>20</w:t>
        </w:r>
        <w:r w:rsidR="00952AE4">
          <w:rPr>
            <w:webHidden/>
          </w:rPr>
          <w:fldChar w:fldCharType="end"/>
        </w:r>
      </w:hyperlink>
    </w:p>
    <w:p w:rsidR="00952AE4" w:rsidRDefault="00D51DCA">
      <w:pPr>
        <w:pStyle w:val="Obsah1"/>
        <w:rPr>
          <w:rFonts w:asciiTheme="minorHAnsi" w:eastAsiaTheme="minorEastAsia" w:hAnsiTheme="minorHAnsi" w:cstheme="minorBidi"/>
          <w:b w:val="0"/>
          <w:sz w:val="22"/>
          <w:szCs w:val="22"/>
        </w:rPr>
      </w:pPr>
      <w:hyperlink w:anchor="_Toc83882825" w:history="1">
        <w:r w:rsidR="00952AE4" w:rsidRPr="007B2104">
          <w:rPr>
            <w:rStyle w:val="Hypertextovodkaz"/>
          </w:rPr>
          <w:t>5</w:t>
        </w:r>
        <w:r w:rsidR="00952AE4">
          <w:rPr>
            <w:rFonts w:asciiTheme="minorHAnsi" w:eastAsiaTheme="minorEastAsia" w:hAnsiTheme="minorHAnsi" w:cstheme="minorBidi"/>
            <w:b w:val="0"/>
            <w:sz w:val="22"/>
            <w:szCs w:val="22"/>
          </w:rPr>
          <w:tab/>
        </w:r>
        <w:r w:rsidR="00952AE4" w:rsidRPr="007B2104">
          <w:rPr>
            <w:rStyle w:val="Hypertextovodkaz"/>
          </w:rPr>
          <w:t>Výdajový rámec na rok 2022 až 2024</w:t>
        </w:r>
        <w:r w:rsidR="00952AE4">
          <w:rPr>
            <w:webHidden/>
          </w:rPr>
          <w:tab/>
        </w:r>
        <w:r w:rsidR="00952AE4">
          <w:rPr>
            <w:webHidden/>
          </w:rPr>
          <w:fldChar w:fldCharType="begin"/>
        </w:r>
        <w:r w:rsidR="00952AE4">
          <w:rPr>
            <w:webHidden/>
          </w:rPr>
          <w:instrText xml:space="preserve"> PAGEREF _Toc83882825 \h </w:instrText>
        </w:r>
        <w:r w:rsidR="00952AE4">
          <w:rPr>
            <w:webHidden/>
          </w:rPr>
        </w:r>
        <w:r w:rsidR="00952AE4">
          <w:rPr>
            <w:webHidden/>
          </w:rPr>
          <w:fldChar w:fldCharType="separate"/>
        </w:r>
        <w:r>
          <w:rPr>
            <w:webHidden/>
          </w:rPr>
          <w:t>20</w:t>
        </w:r>
        <w:r w:rsidR="00952AE4">
          <w:rPr>
            <w:webHidden/>
          </w:rPr>
          <w:fldChar w:fldCharType="end"/>
        </w:r>
      </w:hyperlink>
    </w:p>
    <w:p w:rsidR="00952AE4" w:rsidRDefault="00D51DCA">
      <w:pPr>
        <w:pStyle w:val="Obsah1"/>
        <w:rPr>
          <w:rFonts w:asciiTheme="minorHAnsi" w:eastAsiaTheme="minorEastAsia" w:hAnsiTheme="minorHAnsi" w:cstheme="minorBidi"/>
          <w:b w:val="0"/>
          <w:sz w:val="22"/>
          <w:szCs w:val="22"/>
        </w:rPr>
      </w:pPr>
      <w:hyperlink w:anchor="_Toc83882826" w:history="1">
        <w:r w:rsidR="00952AE4" w:rsidRPr="007B2104">
          <w:rPr>
            <w:rStyle w:val="Hypertextovodkaz"/>
          </w:rPr>
          <w:t>6</w:t>
        </w:r>
        <w:r w:rsidR="00952AE4">
          <w:rPr>
            <w:rFonts w:asciiTheme="minorHAnsi" w:eastAsiaTheme="minorEastAsia" w:hAnsiTheme="minorHAnsi" w:cstheme="minorBidi"/>
            <w:b w:val="0"/>
            <w:sz w:val="22"/>
            <w:szCs w:val="22"/>
          </w:rPr>
          <w:tab/>
        </w:r>
        <w:r w:rsidR="00952AE4" w:rsidRPr="007B2104">
          <w:rPr>
            <w:rStyle w:val="Hypertextovodkaz"/>
          </w:rPr>
          <w:t>Odvození výdajových rámců</w:t>
        </w:r>
        <w:r w:rsidR="00952AE4">
          <w:rPr>
            <w:webHidden/>
          </w:rPr>
          <w:tab/>
        </w:r>
        <w:r w:rsidR="00952AE4">
          <w:rPr>
            <w:webHidden/>
          </w:rPr>
          <w:fldChar w:fldCharType="begin"/>
        </w:r>
        <w:r w:rsidR="00952AE4">
          <w:rPr>
            <w:webHidden/>
          </w:rPr>
          <w:instrText xml:space="preserve"> PAGEREF _Toc83882826 \h </w:instrText>
        </w:r>
        <w:r w:rsidR="00952AE4">
          <w:rPr>
            <w:webHidden/>
          </w:rPr>
        </w:r>
        <w:r w:rsidR="00952AE4">
          <w:rPr>
            <w:webHidden/>
          </w:rPr>
          <w:fldChar w:fldCharType="separate"/>
        </w:r>
        <w:r>
          <w:rPr>
            <w:webHidden/>
          </w:rPr>
          <w:t>20</w:t>
        </w:r>
        <w:r w:rsidR="00952AE4">
          <w:rPr>
            <w:webHidden/>
          </w:rPr>
          <w:fldChar w:fldCharType="end"/>
        </w:r>
      </w:hyperlink>
    </w:p>
    <w:p w:rsidR="00952AE4" w:rsidRDefault="00D51DCA">
      <w:pPr>
        <w:pStyle w:val="Obsah2"/>
        <w:rPr>
          <w:rFonts w:asciiTheme="minorHAnsi" w:eastAsiaTheme="minorEastAsia" w:hAnsiTheme="minorHAnsi" w:cstheme="minorBidi"/>
          <w:noProof/>
          <w:sz w:val="22"/>
          <w:szCs w:val="22"/>
        </w:rPr>
      </w:pPr>
      <w:hyperlink w:anchor="_Toc83882827" w:history="1">
        <w:r w:rsidR="00952AE4" w:rsidRPr="007B2104">
          <w:rPr>
            <w:rStyle w:val="Hypertextovodkaz"/>
            <w:noProof/>
          </w:rPr>
          <w:t>6.1</w:t>
        </w:r>
        <w:r w:rsidR="00952AE4">
          <w:rPr>
            <w:rFonts w:asciiTheme="minorHAnsi" w:eastAsiaTheme="minorEastAsia" w:hAnsiTheme="minorHAnsi" w:cstheme="minorBidi"/>
            <w:noProof/>
            <w:sz w:val="22"/>
            <w:szCs w:val="22"/>
          </w:rPr>
          <w:tab/>
        </w:r>
        <w:r w:rsidR="00952AE4" w:rsidRPr="007B2104">
          <w:rPr>
            <w:rStyle w:val="Hypertextovodkaz"/>
            <w:noProof/>
          </w:rPr>
          <w:t>Soulad návrhu střednědobého výhledu na léta 2023 a 2024 s výdajovým rámcem</w:t>
        </w:r>
        <w:r w:rsidR="00952AE4">
          <w:rPr>
            <w:noProof/>
            <w:webHidden/>
          </w:rPr>
          <w:tab/>
        </w:r>
        <w:r w:rsidR="00952AE4">
          <w:rPr>
            <w:noProof/>
            <w:webHidden/>
          </w:rPr>
          <w:fldChar w:fldCharType="begin"/>
        </w:r>
        <w:r w:rsidR="00952AE4">
          <w:rPr>
            <w:noProof/>
            <w:webHidden/>
          </w:rPr>
          <w:instrText xml:space="preserve"> PAGEREF _Toc83882827 \h </w:instrText>
        </w:r>
        <w:r w:rsidR="00952AE4">
          <w:rPr>
            <w:noProof/>
            <w:webHidden/>
          </w:rPr>
        </w:r>
        <w:r w:rsidR="00952AE4">
          <w:rPr>
            <w:noProof/>
            <w:webHidden/>
          </w:rPr>
          <w:fldChar w:fldCharType="separate"/>
        </w:r>
        <w:r>
          <w:rPr>
            <w:noProof/>
            <w:webHidden/>
          </w:rPr>
          <w:t>23</w:t>
        </w:r>
        <w:r w:rsidR="00952AE4">
          <w:rPr>
            <w:noProof/>
            <w:webHidden/>
          </w:rPr>
          <w:fldChar w:fldCharType="end"/>
        </w:r>
      </w:hyperlink>
    </w:p>
    <w:p w:rsidR="00952AE4" w:rsidRDefault="00D51DCA">
      <w:pPr>
        <w:pStyle w:val="Obsah1"/>
        <w:rPr>
          <w:rFonts w:asciiTheme="minorHAnsi" w:eastAsiaTheme="minorEastAsia" w:hAnsiTheme="minorHAnsi" w:cstheme="minorBidi"/>
          <w:b w:val="0"/>
          <w:sz w:val="22"/>
          <w:szCs w:val="22"/>
        </w:rPr>
      </w:pPr>
      <w:hyperlink w:anchor="_Toc83882828" w:history="1">
        <w:r w:rsidR="00952AE4" w:rsidRPr="007B2104">
          <w:rPr>
            <w:rStyle w:val="Hypertextovodkaz"/>
          </w:rPr>
          <w:t>C</w:t>
        </w:r>
        <w:r w:rsidR="00952AE4">
          <w:rPr>
            <w:rFonts w:asciiTheme="minorHAnsi" w:eastAsiaTheme="minorEastAsia" w:hAnsiTheme="minorHAnsi" w:cstheme="minorBidi"/>
            <w:b w:val="0"/>
            <w:sz w:val="22"/>
            <w:szCs w:val="22"/>
          </w:rPr>
          <w:tab/>
        </w:r>
        <w:r w:rsidR="00952AE4" w:rsidRPr="007B2104">
          <w:rPr>
            <w:rStyle w:val="Hypertextovodkaz"/>
          </w:rPr>
          <w:t>Vývoj základních ukazatelů střednědobého výhledu v letech 2023 – 2024</w:t>
        </w:r>
        <w:r w:rsidR="00952AE4">
          <w:rPr>
            <w:webHidden/>
          </w:rPr>
          <w:tab/>
        </w:r>
        <w:r w:rsidR="00952AE4">
          <w:rPr>
            <w:webHidden/>
          </w:rPr>
          <w:fldChar w:fldCharType="begin"/>
        </w:r>
        <w:r w:rsidR="00952AE4">
          <w:rPr>
            <w:webHidden/>
          </w:rPr>
          <w:instrText xml:space="preserve"> PAGEREF _Toc83882828 \h </w:instrText>
        </w:r>
        <w:r w:rsidR="00952AE4">
          <w:rPr>
            <w:webHidden/>
          </w:rPr>
        </w:r>
        <w:r w:rsidR="00952AE4">
          <w:rPr>
            <w:webHidden/>
          </w:rPr>
          <w:fldChar w:fldCharType="separate"/>
        </w:r>
        <w:r>
          <w:rPr>
            <w:webHidden/>
          </w:rPr>
          <w:t>24</w:t>
        </w:r>
        <w:r w:rsidR="00952AE4">
          <w:rPr>
            <w:webHidden/>
          </w:rPr>
          <w:fldChar w:fldCharType="end"/>
        </w:r>
      </w:hyperlink>
    </w:p>
    <w:p w:rsidR="00952AE4" w:rsidRDefault="00D51DCA">
      <w:pPr>
        <w:pStyle w:val="Obsah1"/>
        <w:rPr>
          <w:rFonts w:asciiTheme="minorHAnsi" w:eastAsiaTheme="minorEastAsia" w:hAnsiTheme="minorHAnsi" w:cstheme="minorBidi"/>
          <w:b w:val="0"/>
          <w:sz w:val="22"/>
          <w:szCs w:val="22"/>
        </w:rPr>
      </w:pPr>
      <w:hyperlink w:anchor="_Toc83882829" w:history="1">
        <w:r w:rsidR="00952AE4" w:rsidRPr="007B2104">
          <w:rPr>
            <w:rStyle w:val="Hypertextovodkaz"/>
          </w:rPr>
          <w:t>7</w:t>
        </w:r>
        <w:r w:rsidR="00952AE4">
          <w:rPr>
            <w:rFonts w:asciiTheme="minorHAnsi" w:eastAsiaTheme="minorEastAsia" w:hAnsiTheme="minorHAnsi" w:cstheme="minorBidi"/>
            <w:b w:val="0"/>
            <w:sz w:val="22"/>
            <w:szCs w:val="22"/>
          </w:rPr>
          <w:tab/>
        </w:r>
        <w:r w:rsidR="00952AE4" w:rsidRPr="007B2104">
          <w:rPr>
            <w:rStyle w:val="Hypertextovodkaz"/>
          </w:rPr>
          <w:t>Základní ukazatele státního rozpočtu ve střednědobém výhledu</w:t>
        </w:r>
        <w:r w:rsidR="00952AE4">
          <w:rPr>
            <w:webHidden/>
          </w:rPr>
          <w:tab/>
        </w:r>
        <w:r w:rsidR="00952AE4">
          <w:rPr>
            <w:webHidden/>
          </w:rPr>
          <w:fldChar w:fldCharType="begin"/>
        </w:r>
        <w:r w:rsidR="00952AE4">
          <w:rPr>
            <w:webHidden/>
          </w:rPr>
          <w:instrText xml:space="preserve"> PAGEREF _Toc83882829 \h </w:instrText>
        </w:r>
        <w:r w:rsidR="00952AE4">
          <w:rPr>
            <w:webHidden/>
          </w:rPr>
        </w:r>
        <w:r w:rsidR="00952AE4">
          <w:rPr>
            <w:webHidden/>
          </w:rPr>
          <w:fldChar w:fldCharType="separate"/>
        </w:r>
        <w:r>
          <w:rPr>
            <w:webHidden/>
          </w:rPr>
          <w:t>24</w:t>
        </w:r>
        <w:r w:rsidR="00952AE4">
          <w:rPr>
            <w:webHidden/>
          </w:rPr>
          <w:fldChar w:fldCharType="end"/>
        </w:r>
      </w:hyperlink>
    </w:p>
    <w:p w:rsidR="00952AE4" w:rsidRDefault="00D51DCA">
      <w:pPr>
        <w:pStyle w:val="Obsah2"/>
        <w:rPr>
          <w:rFonts w:asciiTheme="minorHAnsi" w:eastAsiaTheme="minorEastAsia" w:hAnsiTheme="minorHAnsi" w:cstheme="minorBidi"/>
          <w:noProof/>
          <w:sz w:val="22"/>
          <w:szCs w:val="22"/>
        </w:rPr>
      </w:pPr>
      <w:hyperlink w:anchor="_Toc83882830" w:history="1">
        <w:r w:rsidR="00952AE4" w:rsidRPr="007B2104">
          <w:rPr>
            <w:rStyle w:val="Hypertextovodkaz"/>
            <w:noProof/>
          </w:rPr>
          <w:t>7.1</w:t>
        </w:r>
        <w:r w:rsidR="00952AE4">
          <w:rPr>
            <w:rFonts w:asciiTheme="minorHAnsi" w:eastAsiaTheme="minorEastAsia" w:hAnsiTheme="minorHAnsi" w:cstheme="minorBidi"/>
            <w:noProof/>
            <w:sz w:val="22"/>
            <w:szCs w:val="22"/>
          </w:rPr>
          <w:tab/>
        </w:r>
        <w:r w:rsidR="00952AE4" w:rsidRPr="007B2104">
          <w:rPr>
            <w:rStyle w:val="Hypertextovodkaz"/>
            <w:noProof/>
          </w:rPr>
          <w:t>Východiska zpracování střednědobého výhledu</w:t>
        </w:r>
        <w:r w:rsidR="00952AE4">
          <w:rPr>
            <w:noProof/>
            <w:webHidden/>
          </w:rPr>
          <w:tab/>
        </w:r>
        <w:r w:rsidR="00952AE4">
          <w:rPr>
            <w:noProof/>
            <w:webHidden/>
          </w:rPr>
          <w:fldChar w:fldCharType="begin"/>
        </w:r>
        <w:r w:rsidR="00952AE4">
          <w:rPr>
            <w:noProof/>
            <w:webHidden/>
          </w:rPr>
          <w:instrText xml:space="preserve"> PAGEREF _Toc83882830 \h </w:instrText>
        </w:r>
        <w:r w:rsidR="00952AE4">
          <w:rPr>
            <w:noProof/>
            <w:webHidden/>
          </w:rPr>
        </w:r>
        <w:r w:rsidR="00952AE4">
          <w:rPr>
            <w:noProof/>
            <w:webHidden/>
          </w:rPr>
          <w:fldChar w:fldCharType="separate"/>
        </w:r>
        <w:r>
          <w:rPr>
            <w:noProof/>
            <w:webHidden/>
          </w:rPr>
          <w:t>24</w:t>
        </w:r>
        <w:r w:rsidR="00952AE4">
          <w:rPr>
            <w:noProof/>
            <w:webHidden/>
          </w:rPr>
          <w:fldChar w:fldCharType="end"/>
        </w:r>
      </w:hyperlink>
    </w:p>
    <w:p w:rsidR="00952AE4" w:rsidRDefault="00D51DCA">
      <w:pPr>
        <w:pStyle w:val="Obsah2"/>
        <w:rPr>
          <w:rFonts w:asciiTheme="minorHAnsi" w:eastAsiaTheme="minorEastAsia" w:hAnsiTheme="minorHAnsi" w:cstheme="minorBidi"/>
          <w:noProof/>
          <w:sz w:val="22"/>
          <w:szCs w:val="22"/>
        </w:rPr>
      </w:pPr>
      <w:hyperlink w:anchor="_Toc83882831" w:history="1">
        <w:r w:rsidR="00952AE4" w:rsidRPr="007B2104">
          <w:rPr>
            <w:rStyle w:val="Hypertextovodkaz"/>
            <w:noProof/>
          </w:rPr>
          <w:t>7.2</w:t>
        </w:r>
        <w:r w:rsidR="00952AE4">
          <w:rPr>
            <w:rFonts w:asciiTheme="minorHAnsi" w:eastAsiaTheme="minorEastAsia" w:hAnsiTheme="minorHAnsi" w:cstheme="minorBidi"/>
            <w:noProof/>
            <w:sz w:val="22"/>
            <w:szCs w:val="22"/>
          </w:rPr>
          <w:tab/>
        </w:r>
        <w:r w:rsidR="00952AE4" w:rsidRPr="007B2104">
          <w:rPr>
            <w:rStyle w:val="Hypertextovodkaz"/>
            <w:noProof/>
          </w:rPr>
          <w:t>Predikce příjmů</w:t>
        </w:r>
        <w:r w:rsidR="00952AE4">
          <w:rPr>
            <w:noProof/>
            <w:webHidden/>
          </w:rPr>
          <w:tab/>
        </w:r>
        <w:r w:rsidR="00952AE4">
          <w:rPr>
            <w:noProof/>
            <w:webHidden/>
          </w:rPr>
          <w:fldChar w:fldCharType="begin"/>
        </w:r>
        <w:r w:rsidR="00952AE4">
          <w:rPr>
            <w:noProof/>
            <w:webHidden/>
          </w:rPr>
          <w:instrText xml:space="preserve"> PAGEREF _Toc83882831 \h </w:instrText>
        </w:r>
        <w:r w:rsidR="00952AE4">
          <w:rPr>
            <w:noProof/>
            <w:webHidden/>
          </w:rPr>
        </w:r>
        <w:r w:rsidR="00952AE4">
          <w:rPr>
            <w:noProof/>
            <w:webHidden/>
          </w:rPr>
          <w:fldChar w:fldCharType="separate"/>
        </w:r>
        <w:r>
          <w:rPr>
            <w:noProof/>
            <w:webHidden/>
          </w:rPr>
          <w:t>24</w:t>
        </w:r>
        <w:r w:rsidR="00952AE4">
          <w:rPr>
            <w:noProof/>
            <w:webHidden/>
          </w:rPr>
          <w:fldChar w:fldCharType="end"/>
        </w:r>
      </w:hyperlink>
    </w:p>
    <w:p w:rsidR="00952AE4" w:rsidRDefault="00D51DCA">
      <w:pPr>
        <w:pStyle w:val="Obsah3"/>
        <w:tabs>
          <w:tab w:val="left" w:pos="1320"/>
          <w:tab w:val="right" w:leader="dot" w:pos="9628"/>
        </w:tabs>
        <w:rPr>
          <w:rFonts w:asciiTheme="minorHAnsi" w:eastAsiaTheme="minorEastAsia" w:hAnsiTheme="minorHAnsi" w:cstheme="minorBidi"/>
          <w:noProof/>
          <w:sz w:val="22"/>
          <w:szCs w:val="22"/>
        </w:rPr>
      </w:pPr>
      <w:hyperlink w:anchor="_Toc83882832" w:history="1">
        <w:r w:rsidR="00952AE4" w:rsidRPr="007B2104">
          <w:rPr>
            <w:rStyle w:val="Hypertextovodkaz"/>
            <w:noProof/>
            <w14:scene3d>
              <w14:camera w14:prst="orthographicFront"/>
              <w14:lightRig w14:rig="threePt" w14:dir="t">
                <w14:rot w14:lat="0" w14:lon="0" w14:rev="0"/>
              </w14:lightRig>
            </w14:scene3d>
          </w:rPr>
          <w:t>7.2.1</w:t>
        </w:r>
        <w:r w:rsidR="00952AE4">
          <w:rPr>
            <w:rFonts w:asciiTheme="minorHAnsi" w:eastAsiaTheme="minorEastAsia" w:hAnsiTheme="minorHAnsi" w:cstheme="minorBidi"/>
            <w:noProof/>
            <w:sz w:val="22"/>
            <w:szCs w:val="22"/>
          </w:rPr>
          <w:tab/>
        </w:r>
        <w:r w:rsidR="00952AE4" w:rsidRPr="007B2104">
          <w:rPr>
            <w:rStyle w:val="Hypertextovodkaz"/>
            <w:noProof/>
          </w:rPr>
          <w:t>Daňové příjmy státního rozpočtu</w:t>
        </w:r>
        <w:r w:rsidR="00952AE4">
          <w:rPr>
            <w:noProof/>
            <w:webHidden/>
          </w:rPr>
          <w:tab/>
        </w:r>
        <w:r w:rsidR="00952AE4">
          <w:rPr>
            <w:noProof/>
            <w:webHidden/>
          </w:rPr>
          <w:fldChar w:fldCharType="begin"/>
        </w:r>
        <w:r w:rsidR="00952AE4">
          <w:rPr>
            <w:noProof/>
            <w:webHidden/>
          </w:rPr>
          <w:instrText xml:space="preserve"> PAGEREF _Toc83882832 \h </w:instrText>
        </w:r>
        <w:r w:rsidR="00952AE4">
          <w:rPr>
            <w:noProof/>
            <w:webHidden/>
          </w:rPr>
        </w:r>
        <w:r w:rsidR="00952AE4">
          <w:rPr>
            <w:noProof/>
            <w:webHidden/>
          </w:rPr>
          <w:fldChar w:fldCharType="separate"/>
        </w:r>
        <w:r>
          <w:rPr>
            <w:noProof/>
            <w:webHidden/>
          </w:rPr>
          <w:t>25</w:t>
        </w:r>
        <w:r w:rsidR="00952AE4">
          <w:rPr>
            <w:noProof/>
            <w:webHidden/>
          </w:rPr>
          <w:fldChar w:fldCharType="end"/>
        </w:r>
      </w:hyperlink>
    </w:p>
    <w:p w:rsidR="00952AE4" w:rsidRDefault="00D51DCA">
      <w:pPr>
        <w:pStyle w:val="Obsah3"/>
        <w:tabs>
          <w:tab w:val="left" w:pos="1320"/>
          <w:tab w:val="right" w:leader="dot" w:pos="9628"/>
        </w:tabs>
        <w:rPr>
          <w:rFonts w:asciiTheme="minorHAnsi" w:eastAsiaTheme="minorEastAsia" w:hAnsiTheme="minorHAnsi" w:cstheme="minorBidi"/>
          <w:noProof/>
          <w:sz w:val="22"/>
          <w:szCs w:val="22"/>
        </w:rPr>
      </w:pPr>
      <w:hyperlink w:anchor="_Toc83882833" w:history="1">
        <w:r w:rsidR="00952AE4" w:rsidRPr="007B2104">
          <w:rPr>
            <w:rStyle w:val="Hypertextovodkaz"/>
            <w:noProof/>
            <w14:scene3d>
              <w14:camera w14:prst="orthographicFront"/>
              <w14:lightRig w14:rig="threePt" w14:dir="t">
                <w14:rot w14:lat="0" w14:lon="0" w14:rev="0"/>
              </w14:lightRig>
            </w14:scene3d>
          </w:rPr>
          <w:t>7.2.2</w:t>
        </w:r>
        <w:r w:rsidR="00952AE4">
          <w:rPr>
            <w:rFonts w:asciiTheme="minorHAnsi" w:eastAsiaTheme="minorEastAsia" w:hAnsiTheme="minorHAnsi" w:cstheme="minorBidi"/>
            <w:noProof/>
            <w:sz w:val="22"/>
            <w:szCs w:val="22"/>
          </w:rPr>
          <w:tab/>
        </w:r>
        <w:r w:rsidR="00952AE4" w:rsidRPr="007B2104">
          <w:rPr>
            <w:rStyle w:val="Hypertextovodkaz"/>
            <w:noProof/>
          </w:rPr>
          <w:t>Příjmy z pojistného na sociální zabezpečení a příspěvku na státní politiku zaměstnanosti</w:t>
        </w:r>
        <w:r w:rsidR="00952AE4">
          <w:rPr>
            <w:noProof/>
            <w:webHidden/>
          </w:rPr>
          <w:tab/>
        </w:r>
        <w:r w:rsidR="00952AE4">
          <w:rPr>
            <w:noProof/>
            <w:webHidden/>
          </w:rPr>
          <w:fldChar w:fldCharType="begin"/>
        </w:r>
        <w:r w:rsidR="00952AE4">
          <w:rPr>
            <w:noProof/>
            <w:webHidden/>
          </w:rPr>
          <w:instrText xml:space="preserve"> PAGEREF _Toc83882833 \h </w:instrText>
        </w:r>
        <w:r w:rsidR="00952AE4">
          <w:rPr>
            <w:noProof/>
            <w:webHidden/>
          </w:rPr>
        </w:r>
        <w:r w:rsidR="00952AE4">
          <w:rPr>
            <w:noProof/>
            <w:webHidden/>
          </w:rPr>
          <w:fldChar w:fldCharType="separate"/>
        </w:r>
        <w:r>
          <w:rPr>
            <w:noProof/>
            <w:webHidden/>
          </w:rPr>
          <w:t>28</w:t>
        </w:r>
        <w:r w:rsidR="00952AE4">
          <w:rPr>
            <w:noProof/>
            <w:webHidden/>
          </w:rPr>
          <w:fldChar w:fldCharType="end"/>
        </w:r>
      </w:hyperlink>
    </w:p>
    <w:p w:rsidR="00952AE4" w:rsidRDefault="00D51DCA">
      <w:pPr>
        <w:pStyle w:val="Obsah3"/>
        <w:tabs>
          <w:tab w:val="left" w:pos="1320"/>
          <w:tab w:val="right" w:leader="dot" w:pos="9628"/>
        </w:tabs>
        <w:rPr>
          <w:rFonts w:asciiTheme="minorHAnsi" w:eastAsiaTheme="minorEastAsia" w:hAnsiTheme="minorHAnsi" w:cstheme="minorBidi"/>
          <w:noProof/>
          <w:sz w:val="22"/>
          <w:szCs w:val="22"/>
        </w:rPr>
      </w:pPr>
      <w:hyperlink w:anchor="_Toc83882834" w:history="1">
        <w:r w:rsidR="00952AE4" w:rsidRPr="007B2104">
          <w:rPr>
            <w:rStyle w:val="Hypertextovodkaz"/>
            <w:noProof/>
            <w14:scene3d>
              <w14:camera w14:prst="orthographicFront"/>
              <w14:lightRig w14:rig="threePt" w14:dir="t">
                <w14:rot w14:lat="0" w14:lon="0" w14:rev="0"/>
              </w14:lightRig>
            </w14:scene3d>
          </w:rPr>
          <w:t>7.2.3</w:t>
        </w:r>
        <w:r w:rsidR="00952AE4">
          <w:rPr>
            <w:rFonts w:asciiTheme="minorHAnsi" w:eastAsiaTheme="minorEastAsia" w:hAnsiTheme="minorHAnsi" w:cstheme="minorBidi"/>
            <w:noProof/>
            <w:sz w:val="22"/>
            <w:szCs w:val="22"/>
          </w:rPr>
          <w:tab/>
        </w:r>
        <w:r w:rsidR="00952AE4" w:rsidRPr="007B2104">
          <w:rPr>
            <w:rStyle w:val="Hypertextovodkaz"/>
            <w:noProof/>
          </w:rPr>
          <w:t>Nedaňové příjmy, kapitálové příjmy a přijaté transfery</w:t>
        </w:r>
        <w:r w:rsidR="00952AE4">
          <w:rPr>
            <w:noProof/>
            <w:webHidden/>
          </w:rPr>
          <w:tab/>
        </w:r>
        <w:r w:rsidR="00952AE4">
          <w:rPr>
            <w:noProof/>
            <w:webHidden/>
          </w:rPr>
          <w:fldChar w:fldCharType="begin"/>
        </w:r>
        <w:r w:rsidR="00952AE4">
          <w:rPr>
            <w:noProof/>
            <w:webHidden/>
          </w:rPr>
          <w:instrText xml:space="preserve"> PAGEREF _Toc83882834 \h </w:instrText>
        </w:r>
        <w:r w:rsidR="00952AE4">
          <w:rPr>
            <w:noProof/>
            <w:webHidden/>
          </w:rPr>
        </w:r>
        <w:r w:rsidR="00952AE4">
          <w:rPr>
            <w:noProof/>
            <w:webHidden/>
          </w:rPr>
          <w:fldChar w:fldCharType="separate"/>
        </w:r>
        <w:r>
          <w:rPr>
            <w:noProof/>
            <w:webHidden/>
          </w:rPr>
          <w:t>28</w:t>
        </w:r>
        <w:r w:rsidR="00952AE4">
          <w:rPr>
            <w:noProof/>
            <w:webHidden/>
          </w:rPr>
          <w:fldChar w:fldCharType="end"/>
        </w:r>
      </w:hyperlink>
    </w:p>
    <w:p w:rsidR="00952AE4" w:rsidRDefault="00D51DCA">
      <w:pPr>
        <w:pStyle w:val="Obsah2"/>
        <w:rPr>
          <w:rFonts w:asciiTheme="minorHAnsi" w:eastAsiaTheme="minorEastAsia" w:hAnsiTheme="minorHAnsi" w:cstheme="minorBidi"/>
          <w:noProof/>
          <w:sz w:val="22"/>
          <w:szCs w:val="22"/>
        </w:rPr>
      </w:pPr>
      <w:hyperlink w:anchor="_Toc83882835" w:history="1">
        <w:r w:rsidR="00952AE4" w:rsidRPr="007B2104">
          <w:rPr>
            <w:rStyle w:val="Hypertextovodkaz"/>
            <w:noProof/>
          </w:rPr>
          <w:t>7.3</w:t>
        </w:r>
        <w:r w:rsidR="00952AE4">
          <w:rPr>
            <w:rFonts w:asciiTheme="minorHAnsi" w:eastAsiaTheme="minorEastAsia" w:hAnsiTheme="minorHAnsi" w:cstheme="minorBidi"/>
            <w:noProof/>
            <w:sz w:val="22"/>
            <w:szCs w:val="22"/>
          </w:rPr>
          <w:tab/>
        </w:r>
        <w:r w:rsidR="00952AE4" w:rsidRPr="007B2104">
          <w:rPr>
            <w:rStyle w:val="Hypertextovodkaz"/>
            <w:noProof/>
          </w:rPr>
          <w:t>Predikce výdajů</w:t>
        </w:r>
        <w:r w:rsidR="00952AE4">
          <w:rPr>
            <w:noProof/>
            <w:webHidden/>
          </w:rPr>
          <w:tab/>
        </w:r>
        <w:r w:rsidR="00952AE4">
          <w:rPr>
            <w:noProof/>
            <w:webHidden/>
          </w:rPr>
          <w:fldChar w:fldCharType="begin"/>
        </w:r>
        <w:r w:rsidR="00952AE4">
          <w:rPr>
            <w:noProof/>
            <w:webHidden/>
          </w:rPr>
          <w:instrText xml:space="preserve"> PAGEREF _Toc83882835 \h </w:instrText>
        </w:r>
        <w:r w:rsidR="00952AE4">
          <w:rPr>
            <w:noProof/>
            <w:webHidden/>
          </w:rPr>
        </w:r>
        <w:r w:rsidR="00952AE4">
          <w:rPr>
            <w:noProof/>
            <w:webHidden/>
          </w:rPr>
          <w:fldChar w:fldCharType="separate"/>
        </w:r>
        <w:r>
          <w:rPr>
            <w:noProof/>
            <w:webHidden/>
          </w:rPr>
          <w:t>29</w:t>
        </w:r>
        <w:r w:rsidR="00952AE4">
          <w:rPr>
            <w:noProof/>
            <w:webHidden/>
          </w:rPr>
          <w:fldChar w:fldCharType="end"/>
        </w:r>
      </w:hyperlink>
    </w:p>
    <w:p w:rsidR="00952AE4" w:rsidRDefault="00D51DCA">
      <w:pPr>
        <w:pStyle w:val="Obsah3"/>
        <w:tabs>
          <w:tab w:val="left" w:pos="1320"/>
          <w:tab w:val="right" w:leader="dot" w:pos="9628"/>
        </w:tabs>
        <w:rPr>
          <w:rFonts w:asciiTheme="minorHAnsi" w:eastAsiaTheme="minorEastAsia" w:hAnsiTheme="minorHAnsi" w:cstheme="minorBidi"/>
          <w:noProof/>
          <w:sz w:val="22"/>
          <w:szCs w:val="22"/>
        </w:rPr>
      </w:pPr>
      <w:hyperlink w:anchor="_Toc83882836" w:history="1">
        <w:r w:rsidR="00952AE4" w:rsidRPr="007B2104">
          <w:rPr>
            <w:rStyle w:val="Hypertextovodkaz"/>
            <w:noProof/>
            <w14:scene3d>
              <w14:camera w14:prst="orthographicFront"/>
              <w14:lightRig w14:rig="threePt" w14:dir="t">
                <w14:rot w14:lat="0" w14:lon="0" w14:rev="0"/>
              </w14:lightRig>
            </w14:scene3d>
          </w:rPr>
          <w:t>7.3.1</w:t>
        </w:r>
        <w:r w:rsidR="00952AE4">
          <w:rPr>
            <w:rFonts w:asciiTheme="minorHAnsi" w:eastAsiaTheme="minorEastAsia" w:hAnsiTheme="minorHAnsi" w:cstheme="minorBidi"/>
            <w:noProof/>
            <w:sz w:val="22"/>
            <w:szCs w:val="22"/>
          </w:rPr>
          <w:tab/>
        </w:r>
        <w:r w:rsidR="00952AE4" w:rsidRPr="007B2104">
          <w:rPr>
            <w:rStyle w:val="Hypertextovodkaz"/>
            <w:noProof/>
          </w:rPr>
          <w:t>Mandatorní výdaje státního rozpočtu</w:t>
        </w:r>
        <w:r w:rsidR="00952AE4">
          <w:rPr>
            <w:noProof/>
            <w:webHidden/>
          </w:rPr>
          <w:tab/>
        </w:r>
        <w:r w:rsidR="00952AE4">
          <w:rPr>
            <w:noProof/>
            <w:webHidden/>
          </w:rPr>
          <w:fldChar w:fldCharType="begin"/>
        </w:r>
        <w:r w:rsidR="00952AE4">
          <w:rPr>
            <w:noProof/>
            <w:webHidden/>
          </w:rPr>
          <w:instrText xml:space="preserve"> PAGEREF _Toc83882836 \h </w:instrText>
        </w:r>
        <w:r w:rsidR="00952AE4">
          <w:rPr>
            <w:noProof/>
            <w:webHidden/>
          </w:rPr>
        </w:r>
        <w:r w:rsidR="00952AE4">
          <w:rPr>
            <w:noProof/>
            <w:webHidden/>
          </w:rPr>
          <w:fldChar w:fldCharType="separate"/>
        </w:r>
        <w:r>
          <w:rPr>
            <w:noProof/>
            <w:webHidden/>
          </w:rPr>
          <w:t>29</w:t>
        </w:r>
        <w:r w:rsidR="00952AE4">
          <w:rPr>
            <w:noProof/>
            <w:webHidden/>
          </w:rPr>
          <w:fldChar w:fldCharType="end"/>
        </w:r>
      </w:hyperlink>
    </w:p>
    <w:p w:rsidR="00952AE4" w:rsidRDefault="00D51DCA">
      <w:pPr>
        <w:pStyle w:val="Obsah3"/>
        <w:tabs>
          <w:tab w:val="left" w:pos="1320"/>
          <w:tab w:val="right" w:leader="dot" w:pos="9628"/>
        </w:tabs>
        <w:rPr>
          <w:rFonts w:asciiTheme="minorHAnsi" w:eastAsiaTheme="minorEastAsia" w:hAnsiTheme="minorHAnsi" w:cstheme="minorBidi"/>
          <w:noProof/>
          <w:sz w:val="22"/>
          <w:szCs w:val="22"/>
        </w:rPr>
      </w:pPr>
      <w:hyperlink w:anchor="_Toc83882837" w:history="1">
        <w:r w:rsidR="00952AE4" w:rsidRPr="007B2104">
          <w:rPr>
            <w:rStyle w:val="Hypertextovodkaz"/>
            <w:noProof/>
            <w14:scene3d>
              <w14:camera w14:prst="orthographicFront"/>
              <w14:lightRig w14:rig="threePt" w14:dir="t">
                <w14:rot w14:lat="0" w14:lon="0" w14:rev="0"/>
              </w14:lightRig>
            </w14:scene3d>
          </w:rPr>
          <w:t>7.3.2</w:t>
        </w:r>
        <w:r w:rsidR="00952AE4">
          <w:rPr>
            <w:rFonts w:asciiTheme="minorHAnsi" w:eastAsiaTheme="minorEastAsia" w:hAnsiTheme="minorHAnsi" w:cstheme="minorBidi"/>
            <w:noProof/>
            <w:sz w:val="22"/>
            <w:szCs w:val="22"/>
          </w:rPr>
          <w:tab/>
        </w:r>
        <w:r w:rsidR="00952AE4" w:rsidRPr="007B2104">
          <w:rPr>
            <w:rStyle w:val="Hypertextovodkaz"/>
            <w:noProof/>
          </w:rPr>
          <w:t>Mandatorní sociální výdaje</w:t>
        </w:r>
        <w:r w:rsidR="00952AE4">
          <w:rPr>
            <w:noProof/>
            <w:webHidden/>
          </w:rPr>
          <w:tab/>
        </w:r>
        <w:r w:rsidR="00952AE4">
          <w:rPr>
            <w:noProof/>
            <w:webHidden/>
          </w:rPr>
          <w:fldChar w:fldCharType="begin"/>
        </w:r>
        <w:r w:rsidR="00952AE4">
          <w:rPr>
            <w:noProof/>
            <w:webHidden/>
          </w:rPr>
          <w:instrText xml:space="preserve"> PAGEREF _Toc83882837 \h </w:instrText>
        </w:r>
        <w:r w:rsidR="00952AE4">
          <w:rPr>
            <w:noProof/>
            <w:webHidden/>
          </w:rPr>
        </w:r>
        <w:r w:rsidR="00952AE4">
          <w:rPr>
            <w:noProof/>
            <w:webHidden/>
          </w:rPr>
          <w:fldChar w:fldCharType="separate"/>
        </w:r>
        <w:r>
          <w:rPr>
            <w:noProof/>
            <w:webHidden/>
          </w:rPr>
          <w:t>31</w:t>
        </w:r>
        <w:r w:rsidR="00952AE4">
          <w:rPr>
            <w:noProof/>
            <w:webHidden/>
          </w:rPr>
          <w:fldChar w:fldCharType="end"/>
        </w:r>
      </w:hyperlink>
    </w:p>
    <w:p w:rsidR="00952AE4" w:rsidRDefault="00D51DCA">
      <w:pPr>
        <w:pStyle w:val="Obsah3"/>
        <w:tabs>
          <w:tab w:val="left" w:pos="1320"/>
          <w:tab w:val="right" w:leader="dot" w:pos="9628"/>
        </w:tabs>
        <w:rPr>
          <w:rFonts w:asciiTheme="minorHAnsi" w:eastAsiaTheme="minorEastAsia" w:hAnsiTheme="minorHAnsi" w:cstheme="minorBidi"/>
          <w:noProof/>
          <w:sz w:val="22"/>
          <w:szCs w:val="22"/>
        </w:rPr>
      </w:pPr>
      <w:hyperlink w:anchor="_Toc83882838" w:history="1">
        <w:r w:rsidR="00952AE4" w:rsidRPr="007B2104">
          <w:rPr>
            <w:rStyle w:val="Hypertextovodkaz"/>
            <w:noProof/>
            <w14:scene3d>
              <w14:camera w14:prst="orthographicFront"/>
              <w14:lightRig w14:rig="threePt" w14:dir="t">
                <w14:rot w14:lat="0" w14:lon="0" w14:rev="0"/>
              </w14:lightRig>
            </w14:scene3d>
          </w:rPr>
          <w:t>7.3.3</w:t>
        </w:r>
        <w:r w:rsidR="00952AE4">
          <w:rPr>
            <w:rFonts w:asciiTheme="minorHAnsi" w:eastAsiaTheme="minorEastAsia" w:hAnsiTheme="minorHAnsi" w:cstheme="minorBidi"/>
            <w:noProof/>
            <w:sz w:val="22"/>
            <w:szCs w:val="22"/>
          </w:rPr>
          <w:tab/>
        </w:r>
        <w:r w:rsidR="00952AE4" w:rsidRPr="007B2104">
          <w:rPr>
            <w:rStyle w:val="Hypertextovodkaz"/>
            <w:noProof/>
          </w:rPr>
          <w:t>Výdaje na platy a ostatní platby za provedenou práci</w:t>
        </w:r>
        <w:r w:rsidR="00952AE4">
          <w:rPr>
            <w:noProof/>
            <w:webHidden/>
          </w:rPr>
          <w:tab/>
        </w:r>
        <w:r w:rsidR="00952AE4">
          <w:rPr>
            <w:noProof/>
            <w:webHidden/>
          </w:rPr>
          <w:fldChar w:fldCharType="begin"/>
        </w:r>
        <w:r w:rsidR="00952AE4">
          <w:rPr>
            <w:noProof/>
            <w:webHidden/>
          </w:rPr>
          <w:instrText xml:space="preserve"> PAGEREF _Toc83882838 \h </w:instrText>
        </w:r>
        <w:r w:rsidR="00952AE4">
          <w:rPr>
            <w:noProof/>
            <w:webHidden/>
          </w:rPr>
        </w:r>
        <w:r w:rsidR="00952AE4">
          <w:rPr>
            <w:noProof/>
            <w:webHidden/>
          </w:rPr>
          <w:fldChar w:fldCharType="separate"/>
        </w:r>
        <w:r>
          <w:rPr>
            <w:noProof/>
            <w:webHidden/>
          </w:rPr>
          <w:t>33</w:t>
        </w:r>
        <w:r w:rsidR="00952AE4">
          <w:rPr>
            <w:noProof/>
            <w:webHidden/>
          </w:rPr>
          <w:fldChar w:fldCharType="end"/>
        </w:r>
      </w:hyperlink>
    </w:p>
    <w:p w:rsidR="00952AE4" w:rsidRDefault="00D51DCA">
      <w:pPr>
        <w:pStyle w:val="Obsah3"/>
        <w:tabs>
          <w:tab w:val="left" w:pos="1320"/>
          <w:tab w:val="right" w:leader="dot" w:pos="9628"/>
        </w:tabs>
        <w:rPr>
          <w:rFonts w:asciiTheme="minorHAnsi" w:eastAsiaTheme="minorEastAsia" w:hAnsiTheme="minorHAnsi" w:cstheme="minorBidi"/>
          <w:noProof/>
          <w:sz w:val="22"/>
          <w:szCs w:val="22"/>
        </w:rPr>
      </w:pPr>
      <w:hyperlink w:anchor="_Toc83882839" w:history="1">
        <w:r w:rsidR="00952AE4" w:rsidRPr="007B2104">
          <w:rPr>
            <w:rStyle w:val="Hypertextovodkaz"/>
            <w:noProof/>
            <w14:scene3d>
              <w14:camera w14:prst="orthographicFront"/>
              <w14:lightRig w14:rig="threePt" w14:dir="t">
                <w14:rot w14:lat="0" w14:lon="0" w14:rev="0"/>
              </w14:lightRig>
            </w14:scene3d>
          </w:rPr>
          <w:t>7.3.4</w:t>
        </w:r>
        <w:r w:rsidR="00952AE4">
          <w:rPr>
            <w:rFonts w:asciiTheme="minorHAnsi" w:eastAsiaTheme="minorEastAsia" w:hAnsiTheme="minorHAnsi" w:cstheme="minorBidi"/>
            <w:noProof/>
            <w:sz w:val="22"/>
            <w:szCs w:val="22"/>
          </w:rPr>
          <w:tab/>
        </w:r>
        <w:r w:rsidR="00952AE4" w:rsidRPr="007B2104">
          <w:rPr>
            <w:rStyle w:val="Hypertextovodkaz"/>
            <w:noProof/>
          </w:rPr>
          <w:t>Odvody vlastních zdrojů do rozpočtu EU</w:t>
        </w:r>
        <w:r w:rsidR="00952AE4">
          <w:rPr>
            <w:noProof/>
            <w:webHidden/>
          </w:rPr>
          <w:tab/>
        </w:r>
        <w:r w:rsidR="00952AE4">
          <w:rPr>
            <w:noProof/>
            <w:webHidden/>
          </w:rPr>
          <w:fldChar w:fldCharType="begin"/>
        </w:r>
        <w:r w:rsidR="00952AE4">
          <w:rPr>
            <w:noProof/>
            <w:webHidden/>
          </w:rPr>
          <w:instrText xml:space="preserve"> PAGEREF _Toc83882839 \h </w:instrText>
        </w:r>
        <w:r w:rsidR="00952AE4">
          <w:rPr>
            <w:noProof/>
            <w:webHidden/>
          </w:rPr>
        </w:r>
        <w:r w:rsidR="00952AE4">
          <w:rPr>
            <w:noProof/>
            <w:webHidden/>
          </w:rPr>
          <w:fldChar w:fldCharType="separate"/>
        </w:r>
        <w:r>
          <w:rPr>
            <w:noProof/>
            <w:webHidden/>
          </w:rPr>
          <w:t>35</w:t>
        </w:r>
        <w:r w:rsidR="00952AE4">
          <w:rPr>
            <w:noProof/>
            <w:webHidden/>
          </w:rPr>
          <w:fldChar w:fldCharType="end"/>
        </w:r>
      </w:hyperlink>
    </w:p>
    <w:p w:rsidR="00952AE4" w:rsidRDefault="00D51DCA">
      <w:pPr>
        <w:pStyle w:val="Obsah3"/>
        <w:tabs>
          <w:tab w:val="left" w:pos="1320"/>
          <w:tab w:val="right" w:leader="dot" w:pos="9628"/>
        </w:tabs>
        <w:rPr>
          <w:rFonts w:asciiTheme="minorHAnsi" w:eastAsiaTheme="minorEastAsia" w:hAnsiTheme="minorHAnsi" w:cstheme="minorBidi"/>
          <w:noProof/>
          <w:sz w:val="22"/>
          <w:szCs w:val="22"/>
        </w:rPr>
      </w:pPr>
      <w:hyperlink w:anchor="_Toc83882840" w:history="1">
        <w:r w:rsidR="00952AE4" w:rsidRPr="007B2104">
          <w:rPr>
            <w:rStyle w:val="Hypertextovodkaz"/>
            <w:noProof/>
            <w14:scene3d>
              <w14:camera w14:prst="orthographicFront"/>
              <w14:lightRig w14:rig="threePt" w14:dir="t">
                <w14:rot w14:lat="0" w14:lon="0" w14:rev="0"/>
              </w14:lightRig>
            </w14:scene3d>
          </w:rPr>
          <w:t>7.3.5</w:t>
        </w:r>
        <w:r w:rsidR="00952AE4">
          <w:rPr>
            <w:rFonts w:asciiTheme="minorHAnsi" w:eastAsiaTheme="minorEastAsia" w:hAnsiTheme="minorHAnsi" w:cstheme="minorBidi"/>
            <w:noProof/>
            <w:sz w:val="22"/>
            <w:szCs w:val="22"/>
          </w:rPr>
          <w:tab/>
        </w:r>
        <w:r w:rsidR="00952AE4" w:rsidRPr="007B2104">
          <w:rPr>
            <w:rStyle w:val="Hypertextovodkaz"/>
            <w:noProof/>
          </w:rPr>
          <w:t>Výdaje na výzkum, vývoj a inovace</w:t>
        </w:r>
        <w:r w:rsidR="00952AE4">
          <w:rPr>
            <w:noProof/>
            <w:webHidden/>
          </w:rPr>
          <w:tab/>
        </w:r>
        <w:r w:rsidR="00952AE4">
          <w:rPr>
            <w:noProof/>
            <w:webHidden/>
          </w:rPr>
          <w:fldChar w:fldCharType="begin"/>
        </w:r>
        <w:r w:rsidR="00952AE4">
          <w:rPr>
            <w:noProof/>
            <w:webHidden/>
          </w:rPr>
          <w:instrText xml:space="preserve"> PAGEREF _Toc83882840 \h </w:instrText>
        </w:r>
        <w:r w:rsidR="00952AE4">
          <w:rPr>
            <w:noProof/>
            <w:webHidden/>
          </w:rPr>
        </w:r>
        <w:r w:rsidR="00952AE4">
          <w:rPr>
            <w:noProof/>
            <w:webHidden/>
          </w:rPr>
          <w:fldChar w:fldCharType="separate"/>
        </w:r>
        <w:r>
          <w:rPr>
            <w:noProof/>
            <w:webHidden/>
          </w:rPr>
          <w:t>36</w:t>
        </w:r>
        <w:r w:rsidR="00952AE4">
          <w:rPr>
            <w:noProof/>
            <w:webHidden/>
          </w:rPr>
          <w:fldChar w:fldCharType="end"/>
        </w:r>
      </w:hyperlink>
    </w:p>
    <w:p w:rsidR="00952AE4" w:rsidRDefault="00D51DCA">
      <w:pPr>
        <w:pStyle w:val="Obsah3"/>
        <w:tabs>
          <w:tab w:val="left" w:pos="1320"/>
          <w:tab w:val="right" w:leader="dot" w:pos="9628"/>
        </w:tabs>
        <w:rPr>
          <w:rFonts w:asciiTheme="minorHAnsi" w:eastAsiaTheme="minorEastAsia" w:hAnsiTheme="minorHAnsi" w:cstheme="minorBidi"/>
          <w:noProof/>
          <w:sz w:val="22"/>
          <w:szCs w:val="22"/>
        </w:rPr>
      </w:pPr>
      <w:hyperlink w:anchor="_Toc83882841" w:history="1">
        <w:r w:rsidR="00952AE4" w:rsidRPr="007B2104">
          <w:rPr>
            <w:rStyle w:val="Hypertextovodkaz"/>
            <w:noProof/>
            <w14:scene3d>
              <w14:camera w14:prst="orthographicFront"/>
              <w14:lightRig w14:rig="threePt" w14:dir="t">
                <w14:rot w14:lat="0" w14:lon="0" w14:rev="0"/>
              </w14:lightRig>
            </w14:scene3d>
          </w:rPr>
          <w:t>7.3.6</w:t>
        </w:r>
        <w:r w:rsidR="00952AE4">
          <w:rPr>
            <w:rFonts w:asciiTheme="minorHAnsi" w:eastAsiaTheme="minorEastAsia" w:hAnsiTheme="minorHAnsi" w:cstheme="minorBidi"/>
            <w:noProof/>
            <w:sz w:val="22"/>
            <w:szCs w:val="22"/>
          </w:rPr>
          <w:tab/>
        </w:r>
        <w:r w:rsidR="00952AE4" w:rsidRPr="007B2104">
          <w:rPr>
            <w:rStyle w:val="Hypertextovodkaz"/>
            <w:noProof/>
          </w:rPr>
          <w:t>Výdaje na zahraniční rozvojovou spolupráci a humanitární pomoc</w:t>
        </w:r>
        <w:r w:rsidR="00952AE4">
          <w:rPr>
            <w:noProof/>
            <w:webHidden/>
          </w:rPr>
          <w:tab/>
        </w:r>
        <w:r w:rsidR="00952AE4">
          <w:rPr>
            <w:noProof/>
            <w:webHidden/>
          </w:rPr>
          <w:fldChar w:fldCharType="begin"/>
        </w:r>
        <w:r w:rsidR="00952AE4">
          <w:rPr>
            <w:noProof/>
            <w:webHidden/>
          </w:rPr>
          <w:instrText xml:space="preserve"> PAGEREF _Toc83882841 \h </w:instrText>
        </w:r>
        <w:r w:rsidR="00952AE4">
          <w:rPr>
            <w:noProof/>
            <w:webHidden/>
          </w:rPr>
        </w:r>
        <w:r w:rsidR="00952AE4">
          <w:rPr>
            <w:noProof/>
            <w:webHidden/>
          </w:rPr>
          <w:fldChar w:fldCharType="separate"/>
        </w:r>
        <w:r>
          <w:rPr>
            <w:noProof/>
            <w:webHidden/>
          </w:rPr>
          <w:t>36</w:t>
        </w:r>
        <w:r w:rsidR="00952AE4">
          <w:rPr>
            <w:noProof/>
            <w:webHidden/>
          </w:rPr>
          <w:fldChar w:fldCharType="end"/>
        </w:r>
      </w:hyperlink>
    </w:p>
    <w:p w:rsidR="00952AE4" w:rsidRDefault="00D51DCA">
      <w:pPr>
        <w:pStyle w:val="Obsah3"/>
        <w:tabs>
          <w:tab w:val="left" w:pos="1320"/>
          <w:tab w:val="right" w:leader="dot" w:pos="9628"/>
        </w:tabs>
        <w:rPr>
          <w:rFonts w:asciiTheme="minorHAnsi" w:eastAsiaTheme="minorEastAsia" w:hAnsiTheme="minorHAnsi" w:cstheme="minorBidi"/>
          <w:noProof/>
          <w:sz w:val="22"/>
          <w:szCs w:val="22"/>
        </w:rPr>
      </w:pPr>
      <w:hyperlink w:anchor="_Toc83882842" w:history="1">
        <w:r w:rsidR="00952AE4" w:rsidRPr="007B2104">
          <w:rPr>
            <w:rStyle w:val="Hypertextovodkaz"/>
            <w:noProof/>
            <w14:scene3d>
              <w14:camera w14:prst="orthographicFront"/>
              <w14:lightRig w14:rig="threePt" w14:dir="t">
                <w14:rot w14:lat="0" w14:lon="0" w14:rev="0"/>
              </w14:lightRig>
            </w14:scene3d>
          </w:rPr>
          <w:t>7.3.7</w:t>
        </w:r>
        <w:r w:rsidR="00952AE4">
          <w:rPr>
            <w:rFonts w:asciiTheme="minorHAnsi" w:eastAsiaTheme="minorEastAsia" w:hAnsiTheme="minorHAnsi" w:cstheme="minorBidi"/>
            <w:noProof/>
            <w:sz w:val="22"/>
            <w:szCs w:val="22"/>
          </w:rPr>
          <w:tab/>
        </w:r>
        <w:r w:rsidR="00952AE4" w:rsidRPr="007B2104">
          <w:rPr>
            <w:rStyle w:val="Hypertextovodkaz"/>
            <w:noProof/>
          </w:rPr>
          <w:t>Výdaje na obranu</w:t>
        </w:r>
        <w:r w:rsidR="00952AE4">
          <w:rPr>
            <w:noProof/>
            <w:webHidden/>
          </w:rPr>
          <w:tab/>
        </w:r>
        <w:r w:rsidR="00952AE4">
          <w:rPr>
            <w:noProof/>
            <w:webHidden/>
          </w:rPr>
          <w:fldChar w:fldCharType="begin"/>
        </w:r>
        <w:r w:rsidR="00952AE4">
          <w:rPr>
            <w:noProof/>
            <w:webHidden/>
          </w:rPr>
          <w:instrText xml:space="preserve"> PAGEREF _Toc83882842 \h </w:instrText>
        </w:r>
        <w:r w:rsidR="00952AE4">
          <w:rPr>
            <w:noProof/>
            <w:webHidden/>
          </w:rPr>
        </w:r>
        <w:r w:rsidR="00952AE4">
          <w:rPr>
            <w:noProof/>
            <w:webHidden/>
          </w:rPr>
          <w:fldChar w:fldCharType="separate"/>
        </w:r>
        <w:r>
          <w:rPr>
            <w:noProof/>
            <w:webHidden/>
          </w:rPr>
          <w:t>36</w:t>
        </w:r>
        <w:r w:rsidR="00952AE4">
          <w:rPr>
            <w:noProof/>
            <w:webHidden/>
          </w:rPr>
          <w:fldChar w:fldCharType="end"/>
        </w:r>
      </w:hyperlink>
    </w:p>
    <w:p w:rsidR="00952AE4" w:rsidRDefault="00D51DCA">
      <w:pPr>
        <w:pStyle w:val="Obsah2"/>
        <w:rPr>
          <w:rFonts w:asciiTheme="minorHAnsi" w:eastAsiaTheme="minorEastAsia" w:hAnsiTheme="minorHAnsi" w:cstheme="minorBidi"/>
          <w:noProof/>
          <w:sz w:val="22"/>
          <w:szCs w:val="22"/>
        </w:rPr>
      </w:pPr>
      <w:hyperlink w:anchor="_Toc83882843" w:history="1">
        <w:r w:rsidR="00952AE4" w:rsidRPr="007B2104">
          <w:rPr>
            <w:rStyle w:val="Hypertextovodkaz"/>
            <w:noProof/>
          </w:rPr>
          <w:t>7.4</w:t>
        </w:r>
        <w:r w:rsidR="00952AE4">
          <w:rPr>
            <w:rFonts w:asciiTheme="minorHAnsi" w:eastAsiaTheme="minorEastAsia" w:hAnsiTheme="minorHAnsi" w:cstheme="minorBidi"/>
            <w:noProof/>
            <w:sz w:val="22"/>
            <w:szCs w:val="22"/>
          </w:rPr>
          <w:tab/>
        </w:r>
        <w:r w:rsidR="00952AE4" w:rsidRPr="007B2104">
          <w:rPr>
            <w:rStyle w:val="Hypertextovodkaz"/>
            <w:noProof/>
          </w:rPr>
          <w:t>Předpokládaný způsob financování deficitu</w:t>
        </w:r>
        <w:r w:rsidR="00952AE4">
          <w:rPr>
            <w:noProof/>
            <w:webHidden/>
          </w:rPr>
          <w:tab/>
        </w:r>
        <w:r w:rsidR="00952AE4">
          <w:rPr>
            <w:noProof/>
            <w:webHidden/>
          </w:rPr>
          <w:fldChar w:fldCharType="begin"/>
        </w:r>
        <w:r w:rsidR="00952AE4">
          <w:rPr>
            <w:noProof/>
            <w:webHidden/>
          </w:rPr>
          <w:instrText xml:space="preserve"> PAGEREF _Toc83882843 \h </w:instrText>
        </w:r>
        <w:r w:rsidR="00952AE4">
          <w:rPr>
            <w:noProof/>
            <w:webHidden/>
          </w:rPr>
        </w:r>
        <w:r w:rsidR="00952AE4">
          <w:rPr>
            <w:noProof/>
            <w:webHidden/>
          </w:rPr>
          <w:fldChar w:fldCharType="separate"/>
        </w:r>
        <w:r>
          <w:rPr>
            <w:noProof/>
            <w:webHidden/>
          </w:rPr>
          <w:t>37</w:t>
        </w:r>
        <w:r w:rsidR="00952AE4">
          <w:rPr>
            <w:noProof/>
            <w:webHidden/>
          </w:rPr>
          <w:fldChar w:fldCharType="end"/>
        </w:r>
      </w:hyperlink>
    </w:p>
    <w:p w:rsidR="00952AE4" w:rsidRDefault="00D51DCA">
      <w:pPr>
        <w:pStyle w:val="Obsah1"/>
        <w:rPr>
          <w:rFonts w:asciiTheme="minorHAnsi" w:eastAsiaTheme="minorEastAsia" w:hAnsiTheme="minorHAnsi" w:cstheme="minorBidi"/>
          <w:b w:val="0"/>
          <w:sz w:val="22"/>
          <w:szCs w:val="22"/>
        </w:rPr>
      </w:pPr>
      <w:hyperlink w:anchor="_Toc83882844" w:history="1">
        <w:r w:rsidR="00952AE4" w:rsidRPr="007B2104">
          <w:rPr>
            <w:rStyle w:val="Hypertextovodkaz"/>
          </w:rPr>
          <w:t>8</w:t>
        </w:r>
        <w:r w:rsidR="00952AE4">
          <w:rPr>
            <w:rFonts w:asciiTheme="minorHAnsi" w:eastAsiaTheme="minorEastAsia" w:hAnsiTheme="minorHAnsi" w:cstheme="minorBidi"/>
            <w:b w:val="0"/>
            <w:sz w:val="22"/>
            <w:szCs w:val="22"/>
          </w:rPr>
          <w:tab/>
        </w:r>
        <w:r w:rsidR="00952AE4" w:rsidRPr="007B2104">
          <w:rPr>
            <w:rStyle w:val="Hypertextovodkaz"/>
          </w:rPr>
          <w:t>Základní ukazatele státních fondů ve střednědobém výhledu</w:t>
        </w:r>
        <w:r w:rsidR="00952AE4">
          <w:rPr>
            <w:webHidden/>
          </w:rPr>
          <w:tab/>
        </w:r>
        <w:r w:rsidR="00952AE4">
          <w:rPr>
            <w:webHidden/>
          </w:rPr>
          <w:fldChar w:fldCharType="begin"/>
        </w:r>
        <w:r w:rsidR="00952AE4">
          <w:rPr>
            <w:webHidden/>
          </w:rPr>
          <w:instrText xml:space="preserve"> PAGEREF _Toc83882844 \h </w:instrText>
        </w:r>
        <w:r w:rsidR="00952AE4">
          <w:rPr>
            <w:webHidden/>
          </w:rPr>
        </w:r>
        <w:r w:rsidR="00952AE4">
          <w:rPr>
            <w:webHidden/>
          </w:rPr>
          <w:fldChar w:fldCharType="separate"/>
        </w:r>
        <w:r>
          <w:rPr>
            <w:webHidden/>
          </w:rPr>
          <w:t>38</w:t>
        </w:r>
        <w:r w:rsidR="00952AE4">
          <w:rPr>
            <w:webHidden/>
          </w:rPr>
          <w:fldChar w:fldCharType="end"/>
        </w:r>
      </w:hyperlink>
    </w:p>
    <w:p w:rsidR="00952AE4" w:rsidRDefault="00D51DCA">
      <w:pPr>
        <w:pStyle w:val="Obsah2"/>
        <w:rPr>
          <w:rFonts w:asciiTheme="minorHAnsi" w:eastAsiaTheme="minorEastAsia" w:hAnsiTheme="minorHAnsi" w:cstheme="minorBidi"/>
          <w:noProof/>
          <w:sz w:val="22"/>
          <w:szCs w:val="22"/>
        </w:rPr>
      </w:pPr>
      <w:hyperlink w:anchor="_Toc83882845" w:history="1">
        <w:r w:rsidR="00952AE4" w:rsidRPr="007B2104">
          <w:rPr>
            <w:rStyle w:val="Hypertextovodkaz"/>
            <w:noProof/>
          </w:rPr>
          <w:t>8.1</w:t>
        </w:r>
        <w:r w:rsidR="00952AE4">
          <w:rPr>
            <w:rFonts w:asciiTheme="minorHAnsi" w:eastAsiaTheme="minorEastAsia" w:hAnsiTheme="minorHAnsi" w:cstheme="minorBidi"/>
            <w:noProof/>
            <w:sz w:val="22"/>
            <w:szCs w:val="22"/>
          </w:rPr>
          <w:tab/>
        </w:r>
        <w:r w:rsidR="00952AE4" w:rsidRPr="007B2104">
          <w:rPr>
            <w:rStyle w:val="Hypertextovodkaz"/>
            <w:noProof/>
          </w:rPr>
          <w:t>Státní fond dopravní infrastruktury</w:t>
        </w:r>
        <w:r w:rsidR="00952AE4">
          <w:rPr>
            <w:noProof/>
            <w:webHidden/>
          </w:rPr>
          <w:tab/>
        </w:r>
        <w:r w:rsidR="00952AE4">
          <w:rPr>
            <w:noProof/>
            <w:webHidden/>
          </w:rPr>
          <w:fldChar w:fldCharType="begin"/>
        </w:r>
        <w:r w:rsidR="00952AE4">
          <w:rPr>
            <w:noProof/>
            <w:webHidden/>
          </w:rPr>
          <w:instrText xml:space="preserve"> PAGEREF _Toc83882845 \h </w:instrText>
        </w:r>
        <w:r w:rsidR="00952AE4">
          <w:rPr>
            <w:noProof/>
            <w:webHidden/>
          </w:rPr>
        </w:r>
        <w:r w:rsidR="00952AE4">
          <w:rPr>
            <w:noProof/>
            <w:webHidden/>
          </w:rPr>
          <w:fldChar w:fldCharType="separate"/>
        </w:r>
        <w:r>
          <w:rPr>
            <w:noProof/>
            <w:webHidden/>
          </w:rPr>
          <w:t>38</w:t>
        </w:r>
        <w:r w:rsidR="00952AE4">
          <w:rPr>
            <w:noProof/>
            <w:webHidden/>
          </w:rPr>
          <w:fldChar w:fldCharType="end"/>
        </w:r>
      </w:hyperlink>
    </w:p>
    <w:p w:rsidR="00952AE4" w:rsidRDefault="00D51DCA">
      <w:pPr>
        <w:pStyle w:val="Obsah2"/>
        <w:rPr>
          <w:rFonts w:asciiTheme="minorHAnsi" w:eastAsiaTheme="minorEastAsia" w:hAnsiTheme="minorHAnsi" w:cstheme="minorBidi"/>
          <w:noProof/>
          <w:sz w:val="22"/>
          <w:szCs w:val="22"/>
        </w:rPr>
      </w:pPr>
      <w:hyperlink w:anchor="_Toc83882846" w:history="1">
        <w:r w:rsidR="00952AE4" w:rsidRPr="007B2104">
          <w:rPr>
            <w:rStyle w:val="Hypertextovodkaz"/>
            <w:noProof/>
          </w:rPr>
          <w:t>8.2</w:t>
        </w:r>
        <w:r w:rsidR="00952AE4">
          <w:rPr>
            <w:rFonts w:asciiTheme="minorHAnsi" w:eastAsiaTheme="minorEastAsia" w:hAnsiTheme="minorHAnsi" w:cstheme="minorBidi"/>
            <w:noProof/>
            <w:sz w:val="22"/>
            <w:szCs w:val="22"/>
          </w:rPr>
          <w:tab/>
        </w:r>
        <w:r w:rsidR="00952AE4" w:rsidRPr="007B2104">
          <w:rPr>
            <w:rStyle w:val="Hypertextovodkaz"/>
            <w:noProof/>
          </w:rPr>
          <w:t>Státní zemědělský intervenční fond</w:t>
        </w:r>
        <w:r w:rsidR="00952AE4">
          <w:rPr>
            <w:noProof/>
            <w:webHidden/>
          </w:rPr>
          <w:tab/>
        </w:r>
        <w:r w:rsidR="00952AE4">
          <w:rPr>
            <w:noProof/>
            <w:webHidden/>
          </w:rPr>
          <w:fldChar w:fldCharType="begin"/>
        </w:r>
        <w:r w:rsidR="00952AE4">
          <w:rPr>
            <w:noProof/>
            <w:webHidden/>
          </w:rPr>
          <w:instrText xml:space="preserve"> PAGEREF _Toc83882846 \h </w:instrText>
        </w:r>
        <w:r w:rsidR="00952AE4">
          <w:rPr>
            <w:noProof/>
            <w:webHidden/>
          </w:rPr>
        </w:r>
        <w:r w:rsidR="00952AE4">
          <w:rPr>
            <w:noProof/>
            <w:webHidden/>
          </w:rPr>
          <w:fldChar w:fldCharType="separate"/>
        </w:r>
        <w:r>
          <w:rPr>
            <w:noProof/>
            <w:webHidden/>
          </w:rPr>
          <w:t>38</w:t>
        </w:r>
        <w:r w:rsidR="00952AE4">
          <w:rPr>
            <w:noProof/>
            <w:webHidden/>
          </w:rPr>
          <w:fldChar w:fldCharType="end"/>
        </w:r>
      </w:hyperlink>
    </w:p>
    <w:p w:rsidR="00952AE4" w:rsidRDefault="00D51DCA">
      <w:pPr>
        <w:pStyle w:val="Obsah2"/>
        <w:rPr>
          <w:rFonts w:asciiTheme="minorHAnsi" w:eastAsiaTheme="minorEastAsia" w:hAnsiTheme="minorHAnsi" w:cstheme="minorBidi"/>
          <w:noProof/>
          <w:sz w:val="22"/>
          <w:szCs w:val="22"/>
        </w:rPr>
      </w:pPr>
      <w:hyperlink w:anchor="_Toc83882847" w:history="1">
        <w:r w:rsidR="00952AE4" w:rsidRPr="007B2104">
          <w:rPr>
            <w:rStyle w:val="Hypertextovodkaz"/>
            <w:noProof/>
          </w:rPr>
          <w:t>8.3</w:t>
        </w:r>
        <w:r w:rsidR="00952AE4">
          <w:rPr>
            <w:rFonts w:asciiTheme="minorHAnsi" w:eastAsiaTheme="minorEastAsia" w:hAnsiTheme="minorHAnsi" w:cstheme="minorBidi"/>
            <w:noProof/>
            <w:sz w:val="22"/>
            <w:szCs w:val="22"/>
          </w:rPr>
          <w:tab/>
        </w:r>
        <w:r w:rsidR="00952AE4" w:rsidRPr="007B2104">
          <w:rPr>
            <w:rStyle w:val="Hypertextovodkaz"/>
            <w:noProof/>
          </w:rPr>
          <w:t>Státní fond kinematografie</w:t>
        </w:r>
        <w:r w:rsidR="00952AE4">
          <w:rPr>
            <w:noProof/>
            <w:webHidden/>
          </w:rPr>
          <w:tab/>
        </w:r>
        <w:r w:rsidR="00952AE4">
          <w:rPr>
            <w:noProof/>
            <w:webHidden/>
          </w:rPr>
          <w:fldChar w:fldCharType="begin"/>
        </w:r>
        <w:r w:rsidR="00952AE4">
          <w:rPr>
            <w:noProof/>
            <w:webHidden/>
          </w:rPr>
          <w:instrText xml:space="preserve"> PAGEREF _Toc83882847 \h </w:instrText>
        </w:r>
        <w:r w:rsidR="00952AE4">
          <w:rPr>
            <w:noProof/>
            <w:webHidden/>
          </w:rPr>
        </w:r>
        <w:r w:rsidR="00952AE4">
          <w:rPr>
            <w:noProof/>
            <w:webHidden/>
          </w:rPr>
          <w:fldChar w:fldCharType="separate"/>
        </w:r>
        <w:r>
          <w:rPr>
            <w:noProof/>
            <w:webHidden/>
          </w:rPr>
          <w:t>39</w:t>
        </w:r>
        <w:r w:rsidR="00952AE4">
          <w:rPr>
            <w:noProof/>
            <w:webHidden/>
          </w:rPr>
          <w:fldChar w:fldCharType="end"/>
        </w:r>
      </w:hyperlink>
    </w:p>
    <w:p w:rsidR="00952AE4" w:rsidRDefault="00D51DCA">
      <w:pPr>
        <w:pStyle w:val="Obsah2"/>
        <w:rPr>
          <w:rFonts w:asciiTheme="minorHAnsi" w:eastAsiaTheme="minorEastAsia" w:hAnsiTheme="minorHAnsi" w:cstheme="minorBidi"/>
          <w:noProof/>
          <w:sz w:val="22"/>
          <w:szCs w:val="22"/>
        </w:rPr>
      </w:pPr>
      <w:hyperlink w:anchor="_Toc83882848" w:history="1">
        <w:r w:rsidR="00952AE4" w:rsidRPr="007B2104">
          <w:rPr>
            <w:rStyle w:val="Hypertextovodkaz"/>
            <w:noProof/>
          </w:rPr>
          <w:t>8.4</w:t>
        </w:r>
        <w:r w:rsidR="00952AE4">
          <w:rPr>
            <w:rFonts w:asciiTheme="minorHAnsi" w:eastAsiaTheme="minorEastAsia" w:hAnsiTheme="minorHAnsi" w:cstheme="minorBidi"/>
            <w:noProof/>
            <w:sz w:val="22"/>
            <w:szCs w:val="22"/>
          </w:rPr>
          <w:tab/>
        </w:r>
        <w:r w:rsidR="00952AE4" w:rsidRPr="007B2104">
          <w:rPr>
            <w:rStyle w:val="Hypertextovodkaz"/>
            <w:noProof/>
          </w:rPr>
          <w:t>Státní fond kultury České republiky</w:t>
        </w:r>
        <w:r w:rsidR="00952AE4">
          <w:rPr>
            <w:noProof/>
            <w:webHidden/>
          </w:rPr>
          <w:tab/>
        </w:r>
        <w:r w:rsidR="00952AE4">
          <w:rPr>
            <w:noProof/>
            <w:webHidden/>
          </w:rPr>
          <w:fldChar w:fldCharType="begin"/>
        </w:r>
        <w:r w:rsidR="00952AE4">
          <w:rPr>
            <w:noProof/>
            <w:webHidden/>
          </w:rPr>
          <w:instrText xml:space="preserve"> PAGEREF _Toc83882848 \h </w:instrText>
        </w:r>
        <w:r w:rsidR="00952AE4">
          <w:rPr>
            <w:noProof/>
            <w:webHidden/>
          </w:rPr>
        </w:r>
        <w:r w:rsidR="00952AE4">
          <w:rPr>
            <w:noProof/>
            <w:webHidden/>
          </w:rPr>
          <w:fldChar w:fldCharType="separate"/>
        </w:r>
        <w:r>
          <w:rPr>
            <w:noProof/>
            <w:webHidden/>
          </w:rPr>
          <w:t>39</w:t>
        </w:r>
        <w:r w:rsidR="00952AE4">
          <w:rPr>
            <w:noProof/>
            <w:webHidden/>
          </w:rPr>
          <w:fldChar w:fldCharType="end"/>
        </w:r>
      </w:hyperlink>
    </w:p>
    <w:p w:rsidR="00952AE4" w:rsidRDefault="00D51DCA">
      <w:pPr>
        <w:pStyle w:val="Obsah2"/>
        <w:rPr>
          <w:rFonts w:asciiTheme="minorHAnsi" w:eastAsiaTheme="minorEastAsia" w:hAnsiTheme="minorHAnsi" w:cstheme="minorBidi"/>
          <w:noProof/>
          <w:sz w:val="22"/>
          <w:szCs w:val="22"/>
        </w:rPr>
      </w:pPr>
      <w:hyperlink w:anchor="_Toc83882849" w:history="1">
        <w:r w:rsidR="00952AE4" w:rsidRPr="007B2104">
          <w:rPr>
            <w:rStyle w:val="Hypertextovodkaz"/>
            <w:noProof/>
          </w:rPr>
          <w:t>8.5</w:t>
        </w:r>
        <w:r w:rsidR="00952AE4">
          <w:rPr>
            <w:rFonts w:asciiTheme="minorHAnsi" w:eastAsiaTheme="minorEastAsia" w:hAnsiTheme="minorHAnsi" w:cstheme="minorBidi"/>
            <w:noProof/>
            <w:sz w:val="22"/>
            <w:szCs w:val="22"/>
          </w:rPr>
          <w:tab/>
        </w:r>
        <w:r w:rsidR="00952AE4" w:rsidRPr="007B2104">
          <w:rPr>
            <w:rStyle w:val="Hypertextovodkaz"/>
            <w:noProof/>
          </w:rPr>
          <w:t>Státní fond podpory investic</w:t>
        </w:r>
        <w:r w:rsidR="00952AE4">
          <w:rPr>
            <w:noProof/>
            <w:webHidden/>
          </w:rPr>
          <w:tab/>
        </w:r>
        <w:r w:rsidR="00952AE4">
          <w:rPr>
            <w:noProof/>
            <w:webHidden/>
          </w:rPr>
          <w:fldChar w:fldCharType="begin"/>
        </w:r>
        <w:r w:rsidR="00952AE4">
          <w:rPr>
            <w:noProof/>
            <w:webHidden/>
          </w:rPr>
          <w:instrText xml:space="preserve"> PAGEREF _Toc83882849 \h </w:instrText>
        </w:r>
        <w:r w:rsidR="00952AE4">
          <w:rPr>
            <w:noProof/>
            <w:webHidden/>
          </w:rPr>
        </w:r>
        <w:r w:rsidR="00952AE4">
          <w:rPr>
            <w:noProof/>
            <w:webHidden/>
          </w:rPr>
          <w:fldChar w:fldCharType="separate"/>
        </w:r>
        <w:r>
          <w:rPr>
            <w:noProof/>
            <w:webHidden/>
          </w:rPr>
          <w:t>39</w:t>
        </w:r>
        <w:r w:rsidR="00952AE4">
          <w:rPr>
            <w:noProof/>
            <w:webHidden/>
          </w:rPr>
          <w:fldChar w:fldCharType="end"/>
        </w:r>
      </w:hyperlink>
    </w:p>
    <w:p w:rsidR="00952AE4" w:rsidRDefault="00D51DCA">
      <w:pPr>
        <w:pStyle w:val="Obsah2"/>
        <w:rPr>
          <w:rFonts w:asciiTheme="minorHAnsi" w:eastAsiaTheme="minorEastAsia" w:hAnsiTheme="minorHAnsi" w:cstheme="minorBidi"/>
          <w:noProof/>
          <w:sz w:val="22"/>
          <w:szCs w:val="22"/>
        </w:rPr>
      </w:pPr>
      <w:hyperlink w:anchor="_Toc83882850" w:history="1">
        <w:r w:rsidR="00952AE4" w:rsidRPr="007B2104">
          <w:rPr>
            <w:rStyle w:val="Hypertextovodkaz"/>
            <w:noProof/>
          </w:rPr>
          <w:t>8.6</w:t>
        </w:r>
        <w:r w:rsidR="00952AE4">
          <w:rPr>
            <w:rFonts w:asciiTheme="minorHAnsi" w:eastAsiaTheme="minorEastAsia" w:hAnsiTheme="minorHAnsi" w:cstheme="minorBidi"/>
            <w:noProof/>
            <w:sz w:val="22"/>
            <w:szCs w:val="22"/>
          </w:rPr>
          <w:tab/>
        </w:r>
        <w:r w:rsidR="00952AE4" w:rsidRPr="007B2104">
          <w:rPr>
            <w:rStyle w:val="Hypertextovodkaz"/>
            <w:noProof/>
          </w:rPr>
          <w:t>Státní fond životního prostředí České republiky</w:t>
        </w:r>
        <w:r w:rsidR="00952AE4">
          <w:rPr>
            <w:noProof/>
            <w:webHidden/>
          </w:rPr>
          <w:tab/>
        </w:r>
        <w:r w:rsidR="00952AE4">
          <w:rPr>
            <w:noProof/>
            <w:webHidden/>
          </w:rPr>
          <w:fldChar w:fldCharType="begin"/>
        </w:r>
        <w:r w:rsidR="00952AE4">
          <w:rPr>
            <w:noProof/>
            <w:webHidden/>
          </w:rPr>
          <w:instrText xml:space="preserve"> PAGEREF _Toc83882850 \h </w:instrText>
        </w:r>
        <w:r w:rsidR="00952AE4">
          <w:rPr>
            <w:noProof/>
            <w:webHidden/>
          </w:rPr>
        </w:r>
        <w:r w:rsidR="00952AE4">
          <w:rPr>
            <w:noProof/>
            <w:webHidden/>
          </w:rPr>
          <w:fldChar w:fldCharType="separate"/>
        </w:r>
        <w:r>
          <w:rPr>
            <w:noProof/>
            <w:webHidden/>
          </w:rPr>
          <w:t>40</w:t>
        </w:r>
        <w:r w:rsidR="00952AE4">
          <w:rPr>
            <w:noProof/>
            <w:webHidden/>
          </w:rPr>
          <w:fldChar w:fldCharType="end"/>
        </w:r>
      </w:hyperlink>
    </w:p>
    <w:p w:rsidR="00952AE4" w:rsidRDefault="00D51DCA">
      <w:pPr>
        <w:pStyle w:val="Obsah2"/>
        <w:rPr>
          <w:rFonts w:asciiTheme="minorHAnsi" w:eastAsiaTheme="minorEastAsia" w:hAnsiTheme="minorHAnsi" w:cstheme="minorBidi"/>
          <w:noProof/>
          <w:sz w:val="22"/>
          <w:szCs w:val="22"/>
        </w:rPr>
      </w:pPr>
      <w:hyperlink w:anchor="_Toc83882851" w:history="1">
        <w:r w:rsidR="00952AE4" w:rsidRPr="007B2104">
          <w:rPr>
            <w:rStyle w:val="Hypertextovodkaz"/>
            <w:noProof/>
          </w:rPr>
          <w:t>8.7</w:t>
        </w:r>
        <w:r w:rsidR="00952AE4">
          <w:rPr>
            <w:rFonts w:asciiTheme="minorHAnsi" w:eastAsiaTheme="minorEastAsia" w:hAnsiTheme="minorHAnsi" w:cstheme="minorBidi"/>
            <w:noProof/>
            <w:sz w:val="22"/>
            <w:szCs w:val="22"/>
          </w:rPr>
          <w:tab/>
        </w:r>
        <w:r w:rsidR="00952AE4" w:rsidRPr="007B2104">
          <w:rPr>
            <w:rStyle w:val="Hypertextovodkaz"/>
            <w:noProof/>
          </w:rPr>
          <w:t>Úhrnná bilance státních fondů</w:t>
        </w:r>
        <w:r w:rsidR="00952AE4">
          <w:rPr>
            <w:noProof/>
            <w:webHidden/>
          </w:rPr>
          <w:tab/>
        </w:r>
        <w:r w:rsidR="00952AE4">
          <w:rPr>
            <w:noProof/>
            <w:webHidden/>
          </w:rPr>
          <w:fldChar w:fldCharType="begin"/>
        </w:r>
        <w:r w:rsidR="00952AE4">
          <w:rPr>
            <w:noProof/>
            <w:webHidden/>
          </w:rPr>
          <w:instrText xml:space="preserve"> PAGEREF _Toc83882851 \h </w:instrText>
        </w:r>
        <w:r w:rsidR="00952AE4">
          <w:rPr>
            <w:noProof/>
            <w:webHidden/>
          </w:rPr>
        </w:r>
        <w:r w:rsidR="00952AE4">
          <w:rPr>
            <w:noProof/>
            <w:webHidden/>
          </w:rPr>
          <w:fldChar w:fldCharType="separate"/>
        </w:r>
        <w:r>
          <w:rPr>
            <w:noProof/>
            <w:webHidden/>
          </w:rPr>
          <w:t>40</w:t>
        </w:r>
        <w:r w:rsidR="00952AE4">
          <w:rPr>
            <w:noProof/>
            <w:webHidden/>
          </w:rPr>
          <w:fldChar w:fldCharType="end"/>
        </w:r>
      </w:hyperlink>
    </w:p>
    <w:p w:rsidR="00952AE4" w:rsidRDefault="00D51DCA">
      <w:pPr>
        <w:pStyle w:val="Obsah1"/>
        <w:rPr>
          <w:rFonts w:asciiTheme="minorHAnsi" w:eastAsiaTheme="minorEastAsia" w:hAnsiTheme="minorHAnsi" w:cstheme="minorBidi"/>
          <w:b w:val="0"/>
          <w:sz w:val="22"/>
          <w:szCs w:val="22"/>
        </w:rPr>
      </w:pPr>
      <w:hyperlink w:anchor="_Toc83882852" w:history="1">
        <w:r w:rsidR="00952AE4" w:rsidRPr="007B2104">
          <w:rPr>
            <w:rStyle w:val="Hypertextovodkaz"/>
          </w:rPr>
          <w:t>D</w:t>
        </w:r>
        <w:r w:rsidR="00952AE4">
          <w:rPr>
            <w:rFonts w:asciiTheme="minorHAnsi" w:eastAsiaTheme="minorEastAsia" w:hAnsiTheme="minorHAnsi" w:cstheme="minorBidi"/>
            <w:b w:val="0"/>
            <w:sz w:val="22"/>
            <w:szCs w:val="22"/>
          </w:rPr>
          <w:tab/>
        </w:r>
        <w:r w:rsidR="00952AE4" w:rsidRPr="007B2104">
          <w:rPr>
            <w:rStyle w:val="Hypertextovodkaz"/>
          </w:rPr>
          <w:t>Další vybrané údaje střednědobého výhledu na léta 2023 a 2024</w:t>
        </w:r>
        <w:r w:rsidR="00952AE4">
          <w:rPr>
            <w:webHidden/>
          </w:rPr>
          <w:tab/>
        </w:r>
        <w:r w:rsidR="00952AE4">
          <w:rPr>
            <w:webHidden/>
          </w:rPr>
          <w:fldChar w:fldCharType="begin"/>
        </w:r>
        <w:r w:rsidR="00952AE4">
          <w:rPr>
            <w:webHidden/>
          </w:rPr>
          <w:instrText xml:space="preserve"> PAGEREF _Toc83882852 \h </w:instrText>
        </w:r>
        <w:r w:rsidR="00952AE4">
          <w:rPr>
            <w:webHidden/>
          </w:rPr>
        </w:r>
        <w:r w:rsidR="00952AE4">
          <w:rPr>
            <w:webHidden/>
          </w:rPr>
          <w:fldChar w:fldCharType="separate"/>
        </w:r>
        <w:r>
          <w:rPr>
            <w:webHidden/>
          </w:rPr>
          <w:t>42</w:t>
        </w:r>
        <w:r w:rsidR="00952AE4">
          <w:rPr>
            <w:webHidden/>
          </w:rPr>
          <w:fldChar w:fldCharType="end"/>
        </w:r>
      </w:hyperlink>
    </w:p>
    <w:p w:rsidR="00952AE4" w:rsidRDefault="00D51DCA">
      <w:pPr>
        <w:pStyle w:val="Obsah1"/>
        <w:rPr>
          <w:rFonts w:asciiTheme="minorHAnsi" w:eastAsiaTheme="minorEastAsia" w:hAnsiTheme="minorHAnsi" w:cstheme="minorBidi"/>
          <w:b w:val="0"/>
          <w:sz w:val="22"/>
          <w:szCs w:val="22"/>
        </w:rPr>
      </w:pPr>
      <w:hyperlink w:anchor="_Toc83882853" w:history="1">
        <w:r w:rsidR="00952AE4" w:rsidRPr="007B2104">
          <w:rPr>
            <w:rStyle w:val="Hypertextovodkaz"/>
          </w:rPr>
          <w:t>9</w:t>
        </w:r>
        <w:r w:rsidR="00952AE4">
          <w:rPr>
            <w:rFonts w:asciiTheme="minorHAnsi" w:eastAsiaTheme="minorEastAsia" w:hAnsiTheme="minorHAnsi" w:cstheme="minorBidi"/>
            <w:b w:val="0"/>
            <w:sz w:val="22"/>
            <w:szCs w:val="22"/>
          </w:rPr>
          <w:tab/>
        </w:r>
        <w:r w:rsidR="00952AE4" w:rsidRPr="007B2104">
          <w:rPr>
            <w:rStyle w:val="Hypertextovodkaz"/>
          </w:rPr>
          <w:t>Výdaje na programy nebo projekty spolufinancované z rozpočtu Evropské unie v letech 2023 – 2024</w:t>
        </w:r>
        <w:r w:rsidR="00952AE4">
          <w:rPr>
            <w:webHidden/>
          </w:rPr>
          <w:tab/>
        </w:r>
        <w:r w:rsidR="00952AE4">
          <w:rPr>
            <w:webHidden/>
          </w:rPr>
          <w:fldChar w:fldCharType="begin"/>
        </w:r>
        <w:r w:rsidR="00952AE4">
          <w:rPr>
            <w:webHidden/>
          </w:rPr>
          <w:instrText xml:space="preserve"> PAGEREF _Toc83882853 \h </w:instrText>
        </w:r>
        <w:r w:rsidR="00952AE4">
          <w:rPr>
            <w:webHidden/>
          </w:rPr>
        </w:r>
        <w:r w:rsidR="00952AE4">
          <w:rPr>
            <w:webHidden/>
          </w:rPr>
          <w:fldChar w:fldCharType="separate"/>
        </w:r>
        <w:r>
          <w:rPr>
            <w:webHidden/>
          </w:rPr>
          <w:t>42</w:t>
        </w:r>
        <w:r w:rsidR="00952AE4">
          <w:rPr>
            <w:webHidden/>
          </w:rPr>
          <w:fldChar w:fldCharType="end"/>
        </w:r>
      </w:hyperlink>
    </w:p>
    <w:p w:rsidR="00952AE4" w:rsidRDefault="00D51DCA">
      <w:pPr>
        <w:pStyle w:val="Obsah2"/>
        <w:rPr>
          <w:rFonts w:asciiTheme="minorHAnsi" w:eastAsiaTheme="minorEastAsia" w:hAnsiTheme="minorHAnsi" w:cstheme="minorBidi"/>
          <w:noProof/>
          <w:sz w:val="22"/>
          <w:szCs w:val="22"/>
        </w:rPr>
      </w:pPr>
      <w:hyperlink w:anchor="_Toc83882854" w:history="1">
        <w:r w:rsidR="00952AE4" w:rsidRPr="007B2104">
          <w:rPr>
            <w:rStyle w:val="Hypertextovodkaz"/>
            <w:noProof/>
          </w:rPr>
          <w:t>9.1</w:t>
        </w:r>
        <w:r w:rsidR="00952AE4">
          <w:rPr>
            <w:rFonts w:asciiTheme="minorHAnsi" w:eastAsiaTheme="minorEastAsia" w:hAnsiTheme="minorHAnsi" w:cstheme="minorBidi"/>
            <w:noProof/>
            <w:sz w:val="22"/>
            <w:szCs w:val="22"/>
          </w:rPr>
          <w:tab/>
        </w:r>
        <w:r w:rsidR="00952AE4" w:rsidRPr="007B2104">
          <w:rPr>
            <w:rStyle w:val="Hypertextovodkaz"/>
            <w:noProof/>
          </w:rPr>
          <w:t>Výdaje na operační programy programového období 2007-2013</w:t>
        </w:r>
        <w:r w:rsidR="00952AE4">
          <w:rPr>
            <w:noProof/>
            <w:webHidden/>
          </w:rPr>
          <w:tab/>
        </w:r>
        <w:r w:rsidR="00952AE4">
          <w:rPr>
            <w:noProof/>
            <w:webHidden/>
          </w:rPr>
          <w:fldChar w:fldCharType="begin"/>
        </w:r>
        <w:r w:rsidR="00952AE4">
          <w:rPr>
            <w:noProof/>
            <w:webHidden/>
          </w:rPr>
          <w:instrText xml:space="preserve"> PAGEREF _Toc83882854 \h </w:instrText>
        </w:r>
        <w:r w:rsidR="00952AE4">
          <w:rPr>
            <w:noProof/>
            <w:webHidden/>
          </w:rPr>
        </w:r>
        <w:r w:rsidR="00952AE4">
          <w:rPr>
            <w:noProof/>
            <w:webHidden/>
          </w:rPr>
          <w:fldChar w:fldCharType="separate"/>
        </w:r>
        <w:r>
          <w:rPr>
            <w:noProof/>
            <w:webHidden/>
          </w:rPr>
          <w:t>42</w:t>
        </w:r>
        <w:r w:rsidR="00952AE4">
          <w:rPr>
            <w:noProof/>
            <w:webHidden/>
          </w:rPr>
          <w:fldChar w:fldCharType="end"/>
        </w:r>
      </w:hyperlink>
    </w:p>
    <w:p w:rsidR="00952AE4" w:rsidRDefault="00D51DCA">
      <w:pPr>
        <w:pStyle w:val="Obsah2"/>
        <w:rPr>
          <w:rFonts w:asciiTheme="minorHAnsi" w:eastAsiaTheme="minorEastAsia" w:hAnsiTheme="minorHAnsi" w:cstheme="minorBidi"/>
          <w:noProof/>
          <w:sz w:val="22"/>
          <w:szCs w:val="22"/>
        </w:rPr>
      </w:pPr>
      <w:hyperlink w:anchor="_Toc83882855" w:history="1">
        <w:r w:rsidR="00952AE4" w:rsidRPr="007B2104">
          <w:rPr>
            <w:rStyle w:val="Hypertextovodkaz"/>
            <w:noProof/>
          </w:rPr>
          <w:t>9.2</w:t>
        </w:r>
        <w:r w:rsidR="00952AE4">
          <w:rPr>
            <w:rFonts w:asciiTheme="minorHAnsi" w:eastAsiaTheme="minorEastAsia" w:hAnsiTheme="minorHAnsi" w:cstheme="minorBidi"/>
            <w:noProof/>
            <w:sz w:val="22"/>
            <w:szCs w:val="22"/>
          </w:rPr>
          <w:tab/>
        </w:r>
        <w:r w:rsidR="00952AE4" w:rsidRPr="007B2104">
          <w:rPr>
            <w:rStyle w:val="Hypertextovodkaz"/>
            <w:noProof/>
          </w:rPr>
          <w:t>Výdaje na operační programy programového období 2014-2020</w:t>
        </w:r>
        <w:r w:rsidR="00952AE4">
          <w:rPr>
            <w:noProof/>
            <w:webHidden/>
          </w:rPr>
          <w:tab/>
        </w:r>
        <w:r w:rsidR="00952AE4">
          <w:rPr>
            <w:noProof/>
            <w:webHidden/>
          </w:rPr>
          <w:fldChar w:fldCharType="begin"/>
        </w:r>
        <w:r w:rsidR="00952AE4">
          <w:rPr>
            <w:noProof/>
            <w:webHidden/>
          </w:rPr>
          <w:instrText xml:space="preserve"> PAGEREF _Toc83882855 \h </w:instrText>
        </w:r>
        <w:r w:rsidR="00952AE4">
          <w:rPr>
            <w:noProof/>
            <w:webHidden/>
          </w:rPr>
        </w:r>
        <w:r w:rsidR="00952AE4">
          <w:rPr>
            <w:noProof/>
            <w:webHidden/>
          </w:rPr>
          <w:fldChar w:fldCharType="separate"/>
        </w:r>
        <w:r>
          <w:rPr>
            <w:noProof/>
            <w:webHidden/>
          </w:rPr>
          <w:t>42</w:t>
        </w:r>
        <w:r w:rsidR="00952AE4">
          <w:rPr>
            <w:noProof/>
            <w:webHidden/>
          </w:rPr>
          <w:fldChar w:fldCharType="end"/>
        </w:r>
      </w:hyperlink>
    </w:p>
    <w:p w:rsidR="00952AE4" w:rsidRDefault="00D51DCA">
      <w:pPr>
        <w:pStyle w:val="Obsah2"/>
        <w:rPr>
          <w:rFonts w:asciiTheme="minorHAnsi" w:eastAsiaTheme="minorEastAsia" w:hAnsiTheme="minorHAnsi" w:cstheme="minorBidi"/>
          <w:noProof/>
          <w:sz w:val="22"/>
          <w:szCs w:val="22"/>
        </w:rPr>
      </w:pPr>
      <w:hyperlink w:anchor="_Toc83882856" w:history="1">
        <w:r w:rsidR="00952AE4" w:rsidRPr="007B2104">
          <w:rPr>
            <w:rStyle w:val="Hypertextovodkaz"/>
            <w:noProof/>
          </w:rPr>
          <w:t>9.3</w:t>
        </w:r>
        <w:r w:rsidR="00952AE4">
          <w:rPr>
            <w:rFonts w:asciiTheme="minorHAnsi" w:eastAsiaTheme="minorEastAsia" w:hAnsiTheme="minorHAnsi" w:cstheme="minorBidi"/>
            <w:noProof/>
            <w:sz w:val="22"/>
            <w:szCs w:val="22"/>
          </w:rPr>
          <w:tab/>
        </w:r>
        <w:r w:rsidR="00952AE4" w:rsidRPr="007B2104">
          <w:rPr>
            <w:rStyle w:val="Hypertextovodkaz"/>
            <w:noProof/>
          </w:rPr>
          <w:t>Výdaje na operační programy programového období 2021-2027</w:t>
        </w:r>
        <w:r w:rsidR="00952AE4">
          <w:rPr>
            <w:noProof/>
            <w:webHidden/>
          </w:rPr>
          <w:tab/>
        </w:r>
        <w:r w:rsidR="00952AE4">
          <w:rPr>
            <w:noProof/>
            <w:webHidden/>
          </w:rPr>
          <w:fldChar w:fldCharType="begin"/>
        </w:r>
        <w:r w:rsidR="00952AE4">
          <w:rPr>
            <w:noProof/>
            <w:webHidden/>
          </w:rPr>
          <w:instrText xml:space="preserve"> PAGEREF _Toc83882856 \h </w:instrText>
        </w:r>
        <w:r w:rsidR="00952AE4">
          <w:rPr>
            <w:noProof/>
            <w:webHidden/>
          </w:rPr>
        </w:r>
        <w:r w:rsidR="00952AE4">
          <w:rPr>
            <w:noProof/>
            <w:webHidden/>
          </w:rPr>
          <w:fldChar w:fldCharType="separate"/>
        </w:r>
        <w:r>
          <w:rPr>
            <w:noProof/>
            <w:webHidden/>
          </w:rPr>
          <w:t>42</w:t>
        </w:r>
        <w:r w:rsidR="00952AE4">
          <w:rPr>
            <w:noProof/>
            <w:webHidden/>
          </w:rPr>
          <w:fldChar w:fldCharType="end"/>
        </w:r>
      </w:hyperlink>
    </w:p>
    <w:p w:rsidR="00952AE4" w:rsidRDefault="00D51DCA">
      <w:pPr>
        <w:pStyle w:val="Obsah2"/>
        <w:rPr>
          <w:rFonts w:asciiTheme="minorHAnsi" w:eastAsiaTheme="minorEastAsia" w:hAnsiTheme="minorHAnsi" w:cstheme="minorBidi"/>
          <w:noProof/>
          <w:sz w:val="22"/>
          <w:szCs w:val="22"/>
        </w:rPr>
      </w:pPr>
      <w:hyperlink w:anchor="_Toc83882857" w:history="1">
        <w:r w:rsidR="00952AE4" w:rsidRPr="007B2104">
          <w:rPr>
            <w:rStyle w:val="Hypertextovodkaz"/>
            <w:noProof/>
          </w:rPr>
          <w:t>9.4</w:t>
        </w:r>
        <w:r w:rsidR="00952AE4">
          <w:rPr>
            <w:rFonts w:asciiTheme="minorHAnsi" w:eastAsiaTheme="minorEastAsia" w:hAnsiTheme="minorHAnsi" w:cstheme="minorBidi"/>
            <w:noProof/>
            <w:sz w:val="22"/>
            <w:szCs w:val="22"/>
          </w:rPr>
          <w:tab/>
        </w:r>
        <w:r w:rsidR="00952AE4" w:rsidRPr="007B2104">
          <w:rPr>
            <w:rStyle w:val="Hypertextovodkaz"/>
            <w:noProof/>
          </w:rPr>
          <w:t>Výdaje na nové programy v období 2021-2027</w:t>
        </w:r>
        <w:r w:rsidR="00952AE4">
          <w:rPr>
            <w:noProof/>
            <w:webHidden/>
          </w:rPr>
          <w:tab/>
        </w:r>
        <w:r w:rsidR="00952AE4">
          <w:rPr>
            <w:noProof/>
            <w:webHidden/>
          </w:rPr>
          <w:fldChar w:fldCharType="begin"/>
        </w:r>
        <w:r w:rsidR="00952AE4">
          <w:rPr>
            <w:noProof/>
            <w:webHidden/>
          </w:rPr>
          <w:instrText xml:space="preserve"> PAGEREF _Toc83882857 \h </w:instrText>
        </w:r>
        <w:r w:rsidR="00952AE4">
          <w:rPr>
            <w:noProof/>
            <w:webHidden/>
          </w:rPr>
        </w:r>
        <w:r w:rsidR="00952AE4">
          <w:rPr>
            <w:noProof/>
            <w:webHidden/>
          </w:rPr>
          <w:fldChar w:fldCharType="separate"/>
        </w:r>
        <w:r>
          <w:rPr>
            <w:noProof/>
            <w:webHidden/>
          </w:rPr>
          <w:t>43</w:t>
        </w:r>
        <w:r w:rsidR="00952AE4">
          <w:rPr>
            <w:noProof/>
            <w:webHidden/>
          </w:rPr>
          <w:fldChar w:fldCharType="end"/>
        </w:r>
      </w:hyperlink>
    </w:p>
    <w:p w:rsidR="00952AE4" w:rsidRDefault="00D51DCA">
      <w:pPr>
        <w:pStyle w:val="Obsah2"/>
        <w:rPr>
          <w:rFonts w:asciiTheme="minorHAnsi" w:eastAsiaTheme="minorEastAsia" w:hAnsiTheme="minorHAnsi" w:cstheme="minorBidi"/>
          <w:noProof/>
          <w:sz w:val="22"/>
          <w:szCs w:val="22"/>
        </w:rPr>
      </w:pPr>
      <w:hyperlink w:anchor="_Toc83882858" w:history="1">
        <w:r w:rsidR="00952AE4" w:rsidRPr="007B2104">
          <w:rPr>
            <w:rStyle w:val="Hypertextovodkaz"/>
            <w:noProof/>
          </w:rPr>
          <w:t>9.5</w:t>
        </w:r>
        <w:r w:rsidR="00952AE4">
          <w:rPr>
            <w:rFonts w:asciiTheme="minorHAnsi" w:eastAsiaTheme="minorEastAsia" w:hAnsiTheme="minorHAnsi" w:cstheme="minorBidi"/>
            <w:noProof/>
            <w:sz w:val="22"/>
            <w:szCs w:val="22"/>
          </w:rPr>
          <w:tab/>
        </w:r>
        <w:r w:rsidR="00952AE4" w:rsidRPr="007B2104">
          <w:rPr>
            <w:rStyle w:val="Hypertextovodkaz"/>
            <w:noProof/>
          </w:rPr>
          <w:t>Výdaje na Společnou zemědělskou politiku 2014-2020</w:t>
        </w:r>
        <w:r w:rsidR="00952AE4">
          <w:rPr>
            <w:noProof/>
            <w:webHidden/>
          </w:rPr>
          <w:tab/>
        </w:r>
        <w:r w:rsidR="00952AE4">
          <w:rPr>
            <w:noProof/>
            <w:webHidden/>
          </w:rPr>
          <w:fldChar w:fldCharType="begin"/>
        </w:r>
        <w:r w:rsidR="00952AE4">
          <w:rPr>
            <w:noProof/>
            <w:webHidden/>
          </w:rPr>
          <w:instrText xml:space="preserve"> PAGEREF _Toc83882858 \h </w:instrText>
        </w:r>
        <w:r w:rsidR="00952AE4">
          <w:rPr>
            <w:noProof/>
            <w:webHidden/>
          </w:rPr>
        </w:r>
        <w:r w:rsidR="00952AE4">
          <w:rPr>
            <w:noProof/>
            <w:webHidden/>
          </w:rPr>
          <w:fldChar w:fldCharType="separate"/>
        </w:r>
        <w:r>
          <w:rPr>
            <w:noProof/>
            <w:webHidden/>
          </w:rPr>
          <w:t>43</w:t>
        </w:r>
        <w:r w:rsidR="00952AE4">
          <w:rPr>
            <w:noProof/>
            <w:webHidden/>
          </w:rPr>
          <w:fldChar w:fldCharType="end"/>
        </w:r>
      </w:hyperlink>
    </w:p>
    <w:p w:rsidR="00952AE4" w:rsidRDefault="00D51DCA">
      <w:pPr>
        <w:pStyle w:val="Obsah2"/>
        <w:rPr>
          <w:rFonts w:asciiTheme="minorHAnsi" w:eastAsiaTheme="minorEastAsia" w:hAnsiTheme="minorHAnsi" w:cstheme="minorBidi"/>
          <w:noProof/>
          <w:sz w:val="22"/>
          <w:szCs w:val="22"/>
        </w:rPr>
      </w:pPr>
      <w:hyperlink w:anchor="_Toc83882859" w:history="1">
        <w:r w:rsidR="00952AE4" w:rsidRPr="007B2104">
          <w:rPr>
            <w:rStyle w:val="Hypertextovodkaz"/>
            <w:noProof/>
          </w:rPr>
          <w:t>9.6</w:t>
        </w:r>
        <w:r w:rsidR="00952AE4">
          <w:rPr>
            <w:rFonts w:asciiTheme="minorHAnsi" w:eastAsiaTheme="minorEastAsia" w:hAnsiTheme="minorHAnsi" w:cstheme="minorBidi"/>
            <w:noProof/>
            <w:sz w:val="22"/>
            <w:szCs w:val="22"/>
          </w:rPr>
          <w:tab/>
        </w:r>
        <w:r w:rsidR="00952AE4" w:rsidRPr="007B2104">
          <w:rPr>
            <w:rStyle w:val="Hypertextovodkaz"/>
            <w:noProof/>
          </w:rPr>
          <w:t>Výdaje na Společnou zemědělskou politiku v období 2021-2027</w:t>
        </w:r>
        <w:r w:rsidR="00952AE4">
          <w:rPr>
            <w:noProof/>
            <w:webHidden/>
          </w:rPr>
          <w:tab/>
        </w:r>
        <w:r w:rsidR="00952AE4">
          <w:rPr>
            <w:noProof/>
            <w:webHidden/>
          </w:rPr>
          <w:fldChar w:fldCharType="begin"/>
        </w:r>
        <w:r w:rsidR="00952AE4">
          <w:rPr>
            <w:noProof/>
            <w:webHidden/>
          </w:rPr>
          <w:instrText xml:space="preserve"> PAGEREF _Toc83882859 \h </w:instrText>
        </w:r>
        <w:r w:rsidR="00952AE4">
          <w:rPr>
            <w:noProof/>
            <w:webHidden/>
          </w:rPr>
        </w:r>
        <w:r w:rsidR="00952AE4">
          <w:rPr>
            <w:noProof/>
            <w:webHidden/>
          </w:rPr>
          <w:fldChar w:fldCharType="separate"/>
        </w:r>
        <w:r>
          <w:rPr>
            <w:noProof/>
            <w:webHidden/>
          </w:rPr>
          <w:t>43</w:t>
        </w:r>
        <w:r w:rsidR="00952AE4">
          <w:rPr>
            <w:noProof/>
            <w:webHidden/>
          </w:rPr>
          <w:fldChar w:fldCharType="end"/>
        </w:r>
      </w:hyperlink>
    </w:p>
    <w:p w:rsidR="00952AE4" w:rsidRDefault="00D51DCA">
      <w:pPr>
        <w:pStyle w:val="Obsah1"/>
        <w:rPr>
          <w:rFonts w:asciiTheme="minorHAnsi" w:eastAsiaTheme="minorEastAsia" w:hAnsiTheme="minorHAnsi" w:cstheme="minorBidi"/>
          <w:b w:val="0"/>
          <w:sz w:val="22"/>
          <w:szCs w:val="22"/>
        </w:rPr>
      </w:pPr>
      <w:hyperlink w:anchor="_Toc83882860" w:history="1">
        <w:r w:rsidR="00952AE4" w:rsidRPr="007B2104">
          <w:rPr>
            <w:rStyle w:val="Hypertextovodkaz"/>
          </w:rPr>
          <w:t>10</w:t>
        </w:r>
        <w:r w:rsidR="00952AE4">
          <w:rPr>
            <w:rFonts w:asciiTheme="minorHAnsi" w:eastAsiaTheme="minorEastAsia" w:hAnsiTheme="minorHAnsi" w:cstheme="minorBidi"/>
            <w:b w:val="0"/>
            <w:sz w:val="22"/>
            <w:szCs w:val="22"/>
          </w:rPr>
          <w:tab/>
        </w:r>
        <w:r w:rsidR="00952AE4" w:rsidRPr="007B2104">
          <w:rPr>
            <w:rStyle w:val="Hypertextovodkaz"/>
          </w:rPr>
          <w:t>Výdaje na finanční mechanismy EHP/Norska 2023 </w:t>
        </w:r>
        <w:r w:rsidR="00952AE4" w:rsidRPr="007B2104">
          <w:rPr>
            <w:rStyle w:val="Hypertextovodkaz"/>
          </w:rPr>
          <w:noBreakHyphen/>
          <w:t> 2024</w:t>
        </w:r>
        <w:r w:rsidR="00952AE4">
          <w:rPr>
            <w:webHidden/>
          </w:rPr>
          <w:tab/>
        </w:r>
        <w:r w:rsidR="00952AE4">
          <w:rPr>
            <w:webHidden/>
          </w:rPr>
          <w:fldChar w:fldCharType="begin"/>
        </w:r>
        <w:r w:rsidR="00952AE4">
          <w:rPr>
            <w:webHidden/>
          </w:rPr>
          <w:instrText xml:space="preserve"> PAGEREF _Toc83882860 \h </w:instrText>
        </w:r>
        <w:r w:rsidR="00952AE4">
          <w:rPr>
            <w:webHidden/>
          </w:rPr>
        </w:r>
        <w:r w:rsidR="00952AE4">
          <w:rPr>
            <w:webHidden/>
          </w:rPr>
          <w:fldChar w:fldCharType="separate"/>
        </w:r>
        <w:r>
          <w:rPr>
            <w:webHidden/>
          </w:rPr>
          <w:t>45</w:t>
        </w:r>
        <w:r w:rsidR="00952AE4">
          <w:rPr>
            <w:webHidden/>
          </w:rPr>
          <w:fldChar w:fldCharType="end"/>
        </w:r>
      </w:hyperlink>
    </w:p>
    <w:p w:rsidR="00952AE4" w:rsidRDefault="00D51DCA">
      <w:pPr>
        <w:pStyle w:val="Obsah1"/>
        <w:rPr>
          <w:rFonts w:asciiTheme="minorHAnsi" w:eastAsiaTheme="minorEastAsia" w:hAnsiTheme="minorHAnsi" w:cstheme="minorBidi"/>
          <w:b w:val="0"/>
          <w:sz w:val="22"/>
          <w:szCs w:val="22"/>
        </w:rPr>
      </w:pPr>
      <w:hyperlink w:anchor="_Toc83882861" w:history="1">
        <w:r w:rsidR="00952AE4" w:rsidRPr="007B2104">
          <w:rPr>
            <w:rStyle w:val="Hypertextovodkaz"/>
          </w:rPr>
          <w:t>11</w:t>
        </w:r>
        <w:r w:rsidR="00952AE4">
          <w:rPr>
            <w:rFonts w:asciiTheme="minorHAnsi" w:eastAsiaTheme="minorEastAsia" w:hAnsiTheme="minorHAnsi" w:cstheme="minorBidi"/>
            <w:b w:val="0"/>
            <w:sz w:val="22"/>
            <w:szCs w:val="22"/>
          </w:rPr>
          <w:tab/>
        </w:r>
        <w:r w:rsidR="00952AE4" w:rsidRPr="007B2104">
          <w:rPr>
            <w:rStyle w:val="Hypertextovodkaz"/>
          </w:rPr>
          <w:t>Výdaje na programy, u nichž výši účasti státního rozpočtu na jejich financování schválila vláda</w:t>
        </w:r>
        <w:r w:rsidR="00952AE4">
          <w:rPr>
            <w:webHidden/>
          </w:rPr>
          <w:tab/>
        </w:r>
        <w:r w:rsidR="00952AE4">
          <w:rPr>
            <w:webHidden/>
          </w:rPr>
          <w:fldChar w:fldCharType="begin"/>
        </w:r>
        <w:r w:rsidR="00952AE4">
          <w:rPr>
            <w:webHidden/>
          </w:rPr>
          <w:instrText xml:space="preserve"> PAGEREF _Toc83882861 \h </w:instrText>
        </w:r>
        <w:r w:rsidR="00952AE4">
          <w:rPr>
            <w:webHidden/>
          </w:rPr>
        </w:r>
        <w:r w:rsidR="00952AE4">
          <w:rPr>
            <w:webHidden/>
          </w:rPr>
          <w:fldChar w:fldCharType="separate"/>
        </w:r>
        <w:r>
          <w:rPr>
            <w:webHidden/>
          </w:rPr>
          <w:t>46</w:t>
        </w:r>
        <w:r w:rsidR="00952AE4">
          <w:rPr>
            <w:webHidden/>
          </w:rPr>
          <w:fldChar w:fldCharType="end"/>
        </w:r>
      </w:hyperlink>
    </w:p>
    <w:p w:rsidR="00952AE4" w:rsidRDefault="00D51DCA">
      <w:pPr>
        <w:pStyle w:val="Obsah1"/>
        <w:rPr>
          <w:rFonts w:asciiTheme="minorHAnsi" w:eastAsiaTheme="minorEastAsia" w:hAnsiTheme="minorHAnsi" w:cstheme="minorBidi"/>
          <w:b w:val="0"/>
          <w:sz w:val="22"/>
          <w:szCs w:val="22"/>
        </w:rPr>
      </w:pPr>
      <w:hyperlink w:anchor="_Toc83882862" w:history="1">
        <w:r w:rsidR="00952AE4" w:rsidRPr="007B2104">
          <w:rPr>
            <w:rStyle w:val="Hypertextovodkaz"/>
          </w:rPr>
          <w:t>12</w:t>
        </w:r>
        <w:r w:rsidR="00952AE4">
          <w:rPr>
            <w:rFonts w:asciiTheme="minorHAnsi" w:eastAsiaTheme="minorEastAsia" w:hAnsiTheme="minorHAnsi" w:cstheme="minorBidi"/>
            <w:b w:val="0"/>
            <w:sz w:val="22"/>
            <w:szCs w:val="22"/>
          </w:rPr>
          <w:tab/>
        </w:r>
        <w:r w:rsidR="00952AE4" w:rsidRPr="007B2104">
          <w:rPr>
            <w:rStyle w:val="Hypertextovodkaz"/>
          </w:rPr>
          <w:t>Přehled závazků fyzických a právnických osob, za které se zaručily jménem státu jeho organizační složky</w:t>
        </w:r>
        <w:r w:rsidR="00952AE4">
          <w:rPr>
            <w:webHidden/>
          </w:rPr>
          <w:tab/>
        </w:r>
        <w:r w:rsidR="00952AE4">
          <w:rPr>
            <w:webHidden/>
          </w:rPr>
          <w:fldChar w:fldCharType="begin"/>
        </w:r>
        <w:r w:rsidR="00952AE4">
          <w:rPr>
            <w:webHidden/>
          </w:rPr>
          <w:instrText xml:space="preserve"> PAGEREF _Toc83882862 \h </w:instrText>
        </w:r>
        <w:r w:rsidR="00952AE4">
          <w:rPr>
            <w:webHidden/>
          </w:rPr>
        </w:r>
        <w:r w:rsidR="00952AE4">
          <w:rPr>
            <w:webHidden/>
          </w:rPr>
          <w:fldChar w:fldCharType="separate"/>
        </w:r>
        <w:r>
          <w:rPr>
            <w:webHidden/>
          </w:rPr>
          <w:t>47</w:t>
        </w:r>
        <w:r w:rsidR="00952AE4">
          <w:rPr>
            <w:webHidden/>
          </w:rPr>
          <w:fldChar w:fldCharType="end"/>
        </w:r>
      </w:hyperlink>
    </w:p>
    <w:p w:rsidR="00952AE4" w:rsidRDefault="00D51DCA">
      <w:pPr>
        <w:pStyle w:val="Obsah1"/>
        <w:rPr>
          <w:rFonts w:asciiTheme="minorHAnsi" w:eastAsiaTheme="minorEastAsia" w:hAnsiTheme="minorHAnsi" w:cstheme="minorBidi"/>
          <w:b w:val="0"/>
          <w:sz w:val="22"/>
          <w:szCs w:val="22"/>
        </w:rPr>
      </w:pPr>
      <w:hyperlink w:anchor="_Toc83882863" w:history="1">
        <w:r w:rsidR="00952AE4" w:rsidRPr="007B2104">
          <w:rPr>
            <w:rStyle w:val="Hypertextovodkaz"/>
          </w:rPr>
          <w:t>13</w:t>
        </w:r>
        <w:r w:rsidR="00952AE4">
          <w:rPr>
            <w:rFonts w:asciiTheme="minorHAnsi" w:eastAsiaTheme="minorEastAsia" w:hAnsiTheme="minorHAnsi" w:cstheme="minorBidi"/>
            <w:b w:val="0"/>
            <w:sz w:val="22"/>
            <w:szCs w:val="22"/>
          </w:rPr>
          <w:tab/>
        </w:r>
        <w:r w:rsidR="00952AE4" w:rsidRPr="007B2104">
          <w:rPr>
            <w:rStyle w:val="Hypertextovodkaz"/>
          </w:rPr>
          <w:t>Vývoj státního dluhu, příjmů a výdajů kapitoly Státní dluh</w:t>
        </w:r>
        <w:r w:rsidR="00952AE4">
          <w:rPr>
            <w:webHidden/>
          </w:rPr>
          <w:tab/>
        </w:r>
        <w:r w:rsidR="00952AE4">
          <w:rPr>
            <w:webHidden/>
          </w:rPr>
          <w:fldChar w:fldCharType="begin"/>
        </w:r>
        <w:r w:rsidR="00952AE4">
          <w:rPr>
            <w:webHidden/>
          </w:rPr>
          <w:instrText xml:space="preserve"> PAGEREF _Toc83882863 \h </w:instrText>
        </w:r>
        <w:r w:rsidR="00952AE4">
          <w:rPr>
            <w:webHidden/>
          </w:rPr>
        </w:r>
        <w:r w:rsidR="00952AE4">
          <w:rPr>
            <w:webHidden/>
          </w:rPr>
          <w:fldChar w:fldCharType="separate"/>
        </w:r>
        <w:r>
          <w:rPr>
            <w:webHidden/>
          </w:rPr>
          <w:t>48</w:t>
        </w:r>
        <w:r w:rsidR="00952AE4">
          <w:rPr>
            <w:webHidden/>
          </w:rPr>
          <w:fldChar w:fldCharType="end"/>
        </w:r>
      </w:hyperlink>
    </w:p>
    <w:p w:rsidR="00952AE4" w:rsidRDefault="00D51DCA">
      <w:pPr>
        <w:pStyle w:val="Obsah1"/>
        <w:rPr>
          <w:rFonts w:asciiTheme="minorHAnsi" w:eastAsiaTheme="minorEastAsia" w:hAnsiTheme="minorHAnsi" w:cstheme="minorBidi"/>
          <w:b w:val="0"/>
          <w:sz w:val="22"/>
          <w:szCs w:val="22"/>
        </w:rPr>
      </w:pPr>
      <w:hyperlink w:anchor="_Toc83882864" w:history="1">
        <w:r w:rsidR="00952AE4" w:rsidRPr="007B2104">
          <w:rPr>
            <w:rStyle w:val="Hypertextovodkaz"/>
          </w:rPr>
          <w:t>14</w:t>
        </w:r>
        <w:r w:rsidR="00952AE4">
          <w:rPr>
            <w:rFonts w:asciiTheme="minorHAnsi" w:eastAsiaTheme="minorEastAsia" w:hAnsiTheme="minorHAnsi" w:cstheme="minorBidi"/>
            <w:b w:val="0"/>
            <w:sz w:val="22"/>
            <w:szCs w:val="22"/>
          </w:rPr>
          <w:tab/>
        </w:r>
        <w:r w:rsidR="00952AE4" w:rsidRPr="007B2104">
          <w:rPr>
            <w:rStyle w:val="Hypertextovodkaz"/>
          </w:rPr>
          <w:t>Závazky státu vyplývající z víceletých významných veřejných zakázek a z koncesních smluv</w:t>
        </w:r>
        <w:r w:rsidR="00952AE4">
          <w:rPr>
            <w:webHidden/>
          </w:rPr>
          <w:tab/>
        </w:r>
        <w:r w:rsidR="00952AE4">
          <w:rPr>
            <w:webHidden/>
          </w:rPr>
          <w:fldChar w:fldCharType="begin"/>
        </w:r>
        <w:r w:rsidR="00952AE4">
          <w:rPr>
            <w:webHidden/>
          </w:rPr>
          <w:instrText xml:space="preserve"> PAGEREF _Toc83882864 \h </w:instrText>
        </w:r>
        <w:r w:rsidR="00952AE4">
          <w:rPr>
            <w:webHidden/>
          </w:rPr>
        </w:r>
        <w:r w:rsidR="00952AE4">
          <w:rPr>
            <w:webHidden/>
          </w:rPr>
          <w:fldChar w:fldCharType="separate"/>
        </w:r>
        <w:r>
          <w:rPr>
            <w:webHidden/>
          </w:rPr>
          <w:t>50</w:t>
        </w:r>
        <w:r w:rsidR="00952AE4">
          <w:rPr>
            <w:webHidden/>
          </w:rPr>
          <w:fldChar w:fldCharType="end"/>
        </w:r>
      </w:hyperlink>
    </w:p>
    <w:p w:rsidR="00952AE4" w:rsidRDefault="00D51DCA">
      <w:pPr>
        <w:pStyle w:val="Obsah1"/>
        <w:rPr>
          <w:rFonts w:asciiTheme="minorHAnsi" w:eastAsiaTheme="minorEastAsia" w:hAnsiTheme="minorHAnsi" w:cstheme="minorBidi"/>
          <w:b w:val="0"/>
          <w:sz w:val="22"/>
          <w:szCs w:val="22"/>
        </w:rPr>
      </w:pPr>
      <w:hyperlink w:anchor="_Toc83882865" w:history="1">
        <w:r w:rsidR="00952AE4" w:rsidRPr="007B2104">
          <w:rPr>
            <w:rStyle w:val="Hypertextovodkaz"/>
          </w:rPr>
          <w:t>E</w:t>
        </w:r>
        <w:r w:rsidR="00952AE4">
          <w:rPr>
            <w:rFonts w:asciiTheme="minorHAnsi" w:eastAsiaTheme="minorEastAsia" w:hAnsiTheme="minorHAnsi" w:cstheme="minorBidi"/>
            <w:b w:val="0"/>
            <w:sz w:val="22"/>
            <w:szCs w:val="22"/>
          </w:rPr>
          <w:tab/>
        </w:r>
        <w:r w:rsidR="00952AE4" w:rsidRPr="007B2104">
          <w:rPr>
            <w:rStyle w:val="Hypertextovodkaz"/>
          </w:rPr>
          <w:t>Tabulková část</w:t>
        </w:r>
        <w:r w:rsidR="00952AE4">
          <w:rPr>
            <w:webHidden/>
          </w:rPr>
          <w:tab/>
        </w:r>
        <w:r w:rsidR="00952AE4">
          <w:rPr>
            <w:webHidden/>
          </w:rPr>
          <w:fldChar w:fldCharType="begin"/>
        </w:r>
        <w:r w:rsidR="00952AE4">
          <w:rPr>
            <w:webHidden/>
          </w:rPr>
          <w:instrText xml:space="preserve"> PAGEREF _Toc83882865 \h </w:instrText>
        </w:r>
        <w:r w:rsidR="00952AE4">
          <w:rPr>
            <w:webHidden/>
          </w:rPr>
        </w:r>
        <w:r w:rsidR="00952AE4">
          <w:rPr>
            <w:webHidden/>
          </w:rPr>
          <w:fldChar w:fldCharType="separate"/>
        </w:r>
        <w:r>
          <w:rPr>
            <w:webHidden/>
          </w:rPr>
          <w:t>51</w:t>
        </w:r>
        <w:r w:rsidR="00952AE4">
          <w:rPr>
            <w:webHidden/>
          </w:rPr>
          <w:fldChar w:fldCharType="end"/>
        </w:r>
      </w:hyperlink>
    </w:p>
    <w:p w:rsidR="00702948" w:rsidRDefault="00452381" w:rsidP="00013F50">
      <w:pPr>
        <w:sectPr w:rsidR="00702948" w:rsidSect="00952AE4">
          <w:footerReference w:type="default" r:id="rId9"/>
          <w:footerReference w:type="first" r:id="rId10"/>
          <w:pgSz w:w="11906" w:h="16838" w:code="9"/>
          <w:pgMar w:top="1134" w:right="1134" w:bottom="1418" w:left="1134" w:header="709" w:footer="709" w:gutter="0"/>
          <w:pgNumType w:start="1"/>
          <w:cols w:space="709"/>
          <w:docGrid w:linePitch="360"/>
        </w:sectPr>
      </w:pPr>
      <w:r>
        <w:fldChar w:fldCharType="end"/>
      </w:r>
    </w:p>
    <w:p w:rsidR="00702948" w:rsidRDefault="008E1569" w:rsidP="00702948">
      <w:pPr>
        <w:pStyle w:val="Obsah"/>
      </w:pPr>
      <w:r>
        <w:lastRenderedPageBreak/>
        <w:t>Seznam tabulek</w:t>
      </w:r>
    </w:p>
    <w:p w:rsidR="00952AE4" w:rsidRDefault="008E1569">
      <w:pPr>
        <w:pStyle w:val="Seznamobrzk"/>
        <w:rPr>
          <w:rFonts w:asciiTheme="minorHAnsi" w:eastAsiaTheme="minorEastAsia" w:hAnsiTheme="minorHAnsi" w:cstheme="minorBidi"/>
          <w:noProof/>
          <w:sz w:val="22"/>
          <w:szCs w:val="22"/>
        </w:rPr>
      </w:pPr>
      <w:r>
        <w:fldChar w:fldCharType="begin"/>
      </w:r>
      <w:r>
        <w:instrText xml:space="preserve"> TOC \h \z \c "Tabulka" </w:instrText>
      </w:r>
      <w:r>
        <w:fldChar w:fldCharType="separate"/>
      </w:r>
      <w:hyperlink w:anchor="_Toc83882866" w:history="1">
        <w:r w:rsidR="00952AE4" w:rsidRPr="00AF20F9">
          <w:rPr>
            <w:rStyle w:val="Hypertextovodkaz"/>
            <w:noProof/>
          </w:rPr>
          <w:t>Tabulka 1 Predikce základních makroekonomických indikátorů</w:t>
        </w:r>
        <w:r w:rsidR="00952AE4">
          <w:rPr>
            <w:noProof/>
            <w:webHidden/>
          </w:rPr>
          <w:tab/>
        </w:r>
        <w:r w:rsidR="00952AE4">
          <w:rPr>
            <w:noProof/>
            <w:webHidden/>
          </w:rPr>
          <w:fldChar w:fldCharType="begin"/>
        </w:r>
        <w:r w:rsidR="00952AE4">
          <w:rPr>
            <w:noProof/>
            <w:webHidden/>
          </w:rPr>
          <w:instrText xml:space="preserve"> PAGEREF _Toc83882866 \h </w:instrText>
        </w:r>
        <w:r w:rsidR="00952AE4">
          <w:rPr>
            <w:noProof/>
            <w:webHidden/>
          </w:rPr>
        </w:r>
        <w:r w:rsidR="00952AE4">
          <w:rPr>
            <w:noProof/>
            <w:webHidden/>
          </w:rPr>
          <w:fldChar w:fldCharType="separate"/>
        </w:r>
        <w:r w:rsidR="00D51DCA">
          <w:rPr>
            <w:noProof/>
            <w:webHidden/>
          </w:rPr>
          <w:t>6</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867" w:history="1">
        <w:r w:rsidR="00952AE4" w:rsidRPr="00AF20F9">
          <w:rPr>
            <w:rStyle w:val="Hypertextovodkaz"/>
            <w:noProof/>
          </w:rPr>
          <w:t>Tabulka 2: Ověření makroekonomického rámce nezávislými prognózami</w:t>
        </w:r>
        <w:r w:rsidR="00952AE4">
          <w:rPr>
            <w:noProof/>
            <w:webHidden/>
          </w:rPr>
          <w:tab/>
        </w:r>
        <w:r w:rsidR="00952AE4">
          <w:rPr>
            <w:noProof/>
            <w:webHidden/>
          </w:rPr>
          <w:fldChar w:fldCharType="begin"/>
        </w:r>
        <w:r w:rsidR="00952AE4">
          <w:rPr>
            <w:noProof/>
            <w:webHidden/>
          </w:rPr>
          <w:instrText xml:space="preserve"> PAGEREF _Toc83882867 \h </w:instrText>
        </w:r>
        <w:r w:rsidR="00952AE4">
          <w:rPr>
            <w:noProof/>
            <w:webHidden/>
          </w:rPr>
        </w:r>
        <w:r w:rsidR="00952AE4">
          <w:rPr>
            <w:noProof/>
            <w:webHidden/>
          </w:rPr>
          <w:fldChar w:fldCharType="separate"/>
        </w:r>
        <w:r>
          <w:rPr>
            <w:noProof/>
            <w:webHidden/>
          </w:rPr>
          <w:t>12</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868" w:history="1">
        <w:r w:rsidR="00952AE4" w:rsidRPr="00AF20F9">
          <w:rPr>
            <w:rStyle w:val="Hypertextovodkaz"/>
            <w:noProof/>
          </w:rPr>
          <w:t>Tabulka 3: Saldo a dluh sektoru vládních institucí</w:t>
        </w:r>
        <w:r w:rsidR="00952AE4">
          <w:rPr>
            <w:noProof/>
            <w:webHidden/>
          </w:rPr>
          <w:tab/>
        </w:r>
        <w:r w:rsidR="00952AE4">
          <w:rPr>
            <w:noProof/>
            <w:webHidden/>
          </w:rPr>
          <w:fldChar w:fldCharType="begin"/>
        </w:r>
        <w:r w:rsidR="00952AE4">
          <w:rPr>
            <w:noProof/>
            <w:webHidden/>
          </w:rPr>
          <w:instrText xml:space="preserve"> PAGEREF _Toc83882868 \h </w:instrText>
        </w:r>
        <w:r w:rsidR="00952AE4">
          <w:rPr>
            <w:noProof/>
            <w:webHidden/>
          </w:rPr>
        </w:r>
        <w:r w:rsidR="00952AE4">
          <w:rPr>
            <w:noProof/>
            <w:webHidden/>
          </w:rPr>
          <w:fldChar w:fldCharType="separate"/>
        </w:r>
        <w:r>
          <w:rPr>
            <w:noProof/>
            <w:webHidden/>
          </w:rPr>
          <w:t>13</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869" w:history="1">
        <w:r w:rsidR="00952AE4" w:rsidRPr="00AF20F9">
          <w:rPr>
            <w:rStyle w:val="Hypertextovodkaz"/>
            <w:noProof/>
          </w:rPr>
          <w:t>Tabulka 4: Scénář I. – pomalejší růst v EU v roce 2022</w:t>
        </w:r>
        <w:r w:rsidR="00952AE4">
          <w:rPr>
            <w:noProof/>
            <w:webHidden/>
          </w:rPr>
          <w:tab/>
        </w:r>
        <w:r w:rsidR="00952AE4">
          <w:rPr>
            <w:noProof/>
            <w:webHidden/>
          </w:rPr>
          <w:fldChar w:fldCharType="begin"/>
        </w:r>
        <w:r w:rsidR="00952AE4">
          <w:rPr>
            <w:noProof/>
            <w:webHidden/>
          </w:rPr>
          <w:instrText xml:space="preserve"> PAGEREF _Toc83882869 \h </w:instrText>
        </w:r>
        <w:r w:rsidR="00952AE4">
          <w:rPr>
            <w:noProof/>
            <w:webHidden/>
          </w:rPr>
        </w:r>
        <w:r w:rsidR="00952AE4">
          <w:rPr>
            <w:noProof/>
            <w:webHidden/>
          </w:rPr>
          <w:fldChar w:fldCharType="separate"/>
        </w:r>
        <w:r>
          <w:rPr>
            <w:noProof/>
            <w:webHidden/>
          </w:rPr>
          <w:t>17</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870" w:history="1">
        <w:r w:rsidR="00952AE4" w:rsidRPr="00AF20F9">
          <w:rPr>
            <w:rStyle w:val="Hypertextovodkaz"/>
            <w:noProof/>
          </w:rPr>
          <w:t>Tabulka 5: Scénář II. – vyšší úrokové sazby</w:t>
        </w:r>
        <w:r w:rsidR="00952AE4">
          <w:rPr>
            <w:noProof/>
            <w:webHidden/>
          </w:rPr>
          <w:tab/>
        </w:r>
        <w:r w:rsidR="00952AE4">
          <w:rPr>
            <w:noProof/>
            <w:webHidden/>
          </w:rPr>
          <w:fldChar w:fldCharType="begin"/>
        </w:r>
        <w:r w:rsidR="00952AE4">
          <w:rPr>
            <w:noProof/>
            <w:webHidden/>
          </w:rPr>
          <w:instrText xml:space="preserve"> PAGEREF _Toc83882870 \h </w:instrText>
        </w:r>
        <w:r w:rsidR="00952AE4">
          <w:rPr>
            <w:noProof/>
            <w:webHidden/>
          </w:rPr>
        </w:r>
        <w:r w:rsidR="00952AE4">
          <w:rPr>
            <w:noProof/>
            <w:webHidden/>
          </w:rPr>
          <w:fldChar w:fldCharType="separate"/>
        </w:r>
        <w:r>
          <w:rPr>
            <w:noProof/>
            <w:webHidden/>
          </w:rPr>
          <w:t>18</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871" w:history="1">
        <w:r w:rsidR="00952AE4" w:rsidRPr="00AF20F9">
          <w:rPr>
            <w:rStyle w:val="Hypertextovodkaz"/>
            <w:noProof/>
          </w:rPr>
          <w:t>Tabulka 6: Scénář III. – zhoršení epidemické situace v ČR</w:t>
        </w:r>
        <w:r w:rsidR="00952AE4">
          <w:rPr>
            <w:noProof/>
            <w:webHidden/>
          </w:rPr>
          <w:tab/>
        </w:r>
        <w:r w:rsidR="00952AE4">
          <w:rPr>
            <w:noProof/>
            <w:webHidden/>
          </w:rPr>
          <w:fldChar w:fldCharType="begin"/>
        </w:r>
        <w:r w:rsidR="00952AE4">
          <w:rPr>
            <w:noProof/>
            <w:webHidden/>
          </w:rPr>
          <w:instrText xml:space="preserve"> PAGEREF _Toc83882871 \h </w:instrText>
        </w:r>
        <w:r w:rsidR="00952AE4">
          <w:rPr>
            <w:noProof/>
            <w:webHidden/>
          </w:rPr>
        </w:r>
        <w:r w:rsidR="00952AE4">
          <w:rPr>
            <w:noProof/>
            <w:webHidden/>
          </w:rPr>
          <w:fldChar w:fldCharType="separate"/>
        </w:r>
        <w:r>
          <w:rPr>
            <w:noProof/>
            <w:webHidden/>
          </w:rPr>
          <w:t>19</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872" w:history="1">
        <w:r w:rsidR="00952AE4" w:rsidRPr="00AF20F9">
          <w:rPr>
            <w:rStyle w:val="Hypertextovodkaz"/>
            <w:noProof/>
          </w:rPr>
          <w:t xml:space="preserve">Tabulka 7 Odvození celkových výdajů sektoru vládních institucí </w:t>
        </w:r>
        <w:r w:rsidR="00952AE4" w:rsidRPr="00AF20F9">
          <w:rPr>
            <w:rStyle w:val="Hypertextovodkaz"/>
            <w:i/>
            <w:noProof/>
          </w:rPr>
          <w:t>(v mld. Kč)</w:t>
        </w:r>
        <w:r w:rsidR="00952AE4">
          <w:rPr>
            <w:noProof/>
            <w:webHidden/>
          </w:rPr>
          <w:tab/>
        </w:r>
        <w:r w:rsidR="00952AE4">
          <w:rPr>
            <w:noProof/>
            <w:webHidden/>
          </w:rPr>
          <w:fldChar w:fldCharType="begin"/>
        </w:r>
        <w:r w:rsidR="00952AE4">
          <w:rPr>
            <w:noProof/>
            <w:webHidden/>
          </w:rPr>
          <w:instrText xml:space="preserve"> PAGEREF _Toc83882872 \h </w:instrText>
        </w:r>
        <w:r w:rsidR="00952AE4">
          <w:rPr>
            <w:noProof/>
            <w:webHidden/>
          </w:rPr>
        </w:r>
        <w:r w:rsidR="00952AE4">
          <w:rPr>
            <w:noProof/>
            <w:webHidden/>
          </w:rPr>
          <w:fldChar w:fldCharType="separate"/>
        </w:r>
        <w:r>
          <w:rPr>
            <w:noProof/>
            <w:webHidden/>
          </w:rPr>
          <w:t>22</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873" w:history="1">
        <w:r w:rsidR="00952AE4" w:rsidRPr="00AF20F9">
          <w:rPr>
            <w:rStyle w:val="Hypertextovodkaz"/>
            <w:noProof/>
          </w:rPr>
          <w:t xml:space="preserve">Tabulka 8 Odvození výdajových rámců státního rozpočtu a státní fondů </w:t>
        </w:r>
        <w:r w:rsidR="00952AE4" w:rsidRPr="00AF20F9">
          <w:rPr>
            <w:rStyle w:val="Hypertextovodkaz"/>
            <w:i/>
            <w:noProof/>
          </w:rPr>
          <w:t>(v mld. Kč)</w:t>
        </w:r>
        <w:r w:rsidR="00952AE4">
          <w:rPr>
            <w:noProof/>
            <w:webHidden/>
          </w:rPr>
          <w:tab/>
        </w:r>
        <w:r w:rsidR="00952AE4">
          <w:rPr>
            <w:noProof/>
            <w:webHidden/>
          </w:rPr>
          <w:fldChar w:fldCharType="begin"/>
        </w:r>
        <w:r w:rsidR="00952AE4">
          <w:rPr>
            <w:noProof/>
            <w:webHidden/>
          </w:rPr>
          <w:instrText xml:space="preserve"> PAGEREF _Toc83882873 \h </w:instrText>
        </w:r>
        <w:r w:rsidR="00952AE4">
          <w:rPr>
            <w:noProof/>
            <w:webHidden/>
          </w:rPr>
        </w:r>
        <w:r w:rsidR="00952AE4">
          <w:rPr>
            <w:noProof/>
            <w:webHidden/>
          </w:rPr>
          <w:fldChar w:fldCharType="separate"/>
        </w:r>
        <w:r>
          <w:rPr>
            <w:noProof/>
            <w:webHidden/>
          </w:rPr>
          <w:t>22</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874" w:history="1">
        <w:r w:rsidR="00952AE4" w:rsidRPr="00AF20F9">
          <w:rPr>
            <w:rStyle w:val="Hypertextovodkaz"/>
            <w:noProof/>
          </w:rPr>
          <w:t xml:space="preserve">Tabulka 9 Úprava sald z akruální metodiky národních účtů na metodiku hotovostní </w:t>
        </w:r>
        <w:r w:rsidR="00952AE4" w:rsidRPr="00AF20F9">
          <w:rPr>
            <w:rStyle w:val="Hypertextovodkaz"/>
            <w:i/>
            <w:noProof/>
          </w:rPr>
          <w:t>(v mld. Kč)</w:t>
        </w:r>
        <w:r w:rsidR="00952AE4">
          <w:rPr>
            <w:noProof/>
            <w:webHidden/>
          </w:rPr>
          <w:tab/>
        </w:r>
        <w:r w:rsidR="00952AE4">
          <w:rPr>
            <w:noProof/>
            <w:webHidden/>
          </w:rPr>
          <w:fldChar w:fldCharType="begin"/>
        </w:r>
        <w:r w:rsidR="00952AE4">
          <w:rPr>
            <w:noProof/>
            <w:webHidden/>
          </w:rPr>
          <w:instrText xml:space="preserve"> PAGEREF _Toc83882874 \h </w:instrText>
        </w:r>
        <w:r w:rsidR="00952AE4">
          <w:rPr>
            <w:noProof/>
            <w:webHidden/>
          </w:rPr>
        </w:r>
        <w:r w:rsidR="00952AE4">
          <w:rPr>
            <w:noProof/>
            <w:webHidden/>
          </w:rPr>
          <w:fldChar w:fldCharType="separate"/>
        </w:r>
        <w:r>
          <w:rPr>
            <w:noProof/>
            <w:webHidden/>
          </w:rPr>
          <w:t>22</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875" w:history="1">
        <w:r w:rsidR="00952AE4" w:rsidRPr="00AF20F9">
          <w:rPr>
            <w:rStyle w:val="Hypertextovodkaz"/>
            <w:noProof/>
          </w:rPr>
          <w:t xml:space="preserve">Tabulka 10 Shrnutí predikce celkových konsolidovaných příjmů státního rozpočtu a státních fondů </w:t>
        </w:r>
        <w:r w:rsidR="00952AE4" w:rsidRPr="00AF20F9">
          <w:rPr>
            <w:rStyle w:val="Hypertextovodkaz"/>
            <w:i/>
            <w:noProof/>
          </w:rPr>
          <w:t>(v mld. Kč)</w:t>
        </w:r>
        <w:r w:rsidR="00952AE4">
          <w:rPr>
            <w:noProof/>
            <w:webHidden/>
          </w:rPr>
          <w:tab/>
        </w:r>
        <w:r w:rsidR="00952AE4">
          <w:rPr>
            <w:noProof/>
            <w:webHidden/>
          </w:rPr>
          <w:fldChar w:fldCharType="begin"/>
        </w:r>
        <w:r w:rsidR="00952AE4">
          <w:rPr>
            <w:noProof/>
            <w:webHidden/>
          </w:rPr>
          <w:instrText xml:space="preserve"> PAGEREF _Toc83882875 \h </w:instrText>
        </w:r>
        <w:r w:rsidR="00952AE4">
          <w:rPr>
            <w:noProof/>
            <w:webHidden/>
          </w:rPr>
        </w:r>
        <w:r w:rsidR="00952AE4">
          <w:rPr>
            <w:noProof/>
            <w:webHidden/>
          </w:rPr>
          <w:fldChar w:fldCharType="separate"/>
        </w:r>
        <w:r>
          <w:rPr>
            <w:noProof/>
            <w:webHidden/>
          </w:rPr>
          <w:t>22</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876" w:history="1">
        <w:r w:rsidR="00952AE4" w:rsidRPr="00AF20F9">
          <w:rPr>
            <w:rStyle w:val="Hypertextovodkaz"/>
            <w:noProof/>
          </w:rPr>
          <w:t xml:space="preserve">Tabulka 11 Celkové příjmy, celkové výdaje a saldo státního rozpočtu v letech 2017 – 2024 </w:t>
        </w:r>
        <w:r w:rsidR="00952AE4" w:rsidRPr="00AF20F9">
          <w:rPr>
            <w:rStyle w:val="Hypertextovodkaz"/>
            <w:i/>
            <w:noProof/>
          </w:rPr>
          <w:t>(v mld. Kč)</w:t>
        </w:r>
        <w:r w:rsidR="00952AE4">
          <w:rPr>
            <w:noProof/>
            <w:webHidden/>
          </w:rPr>
          <w:tab/>
        </w:r>
        <w:r w:rsidR="00952AE4">
          <w:rPr>
            <w:noProof/>
            <w:webHidden/>
          </w:rPr>
          <w:fldChar w:fldCharType="begin"/>
        </w:r>
        <w:r w:rsidR="00952AE4">
          <w:rPr>
            <w:noProof/>
            <w:webHidden/>
          </w:rPr>
          <w:instrText xml:space="preserve"> PAGEREF _Toc83882876 \h </w:instrText>
        </w:r>
        <w:r w:rsidR="00952AE4">
          <w:rPr>
            <w:noProof/>
            <w:webHidden/>
          </w:rPr>
        </w:r>
        <w:r w:rsidR="00952AE4">
          <w:rPr>
            <w:noProof/>
            <w:webHidden/>
          </w:rPr>
          <w:fldChar w:fldCharType="separate"/>
        </w:r>
        <w:r>
          <w:rPr>
            <w:noProof/>
            <w:webHidden/>
          </w:rPr>
          <w:t>24</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877" w:history="1">
        <w:r w:rsidR="00952AE4" w:rsidRPr="00AF20F9">
          <w:rPr>
            <w:rStyle w:val="Hypertextovodkaz"/>
            <w:noProof/>
          </w:rPr>
          <w:t xml:space="preserve">Tabulka 12 Vývoj příjmů státního rozpočtu v letech 2017 – 2024 </w:t>
        </w:r>
        <w:r w:rsidR="00952AE4" w:rsidRPr="00AF20F9">
          <w:rPr>
            <w:rStyle w:val="Hypertextovodkaz"/>
            <w:i/>
            <w:noProof/>
          </w:rPr>
          <w:t>(v mld. Kč)</w:t>
        </w:r>
        <w:r w:rsidR="00952AE4">
          <w:rPr>
            <w:noProof/>
            <w:webHidden/>
          </w:rPr>
          <w:tab/>
        </w:r>
        <w:r w:rsidR="00952AE4">
          <w:rPr>
            <w:noProof/>
            <w:webHidden/>
          </w:rPr>
          <w:fldChar w:fldCharType="begin"/>
        </w:r>
        <w:r w:rsidR="00952AE4">
          <w:rPr>
            <w:noProof/>
            <w:webHidden/>
          </w:rPr>
          <w:instrText xml:space="preserve"> PAGEREF _Toc83882877 \h </w:instrText>
        </w:r>
        <w:r w:rsidR="00952AE4">
          <w:rPr>
            <w:noProof/>
            <w:webHidden/>
          </w:rPr>
        </w:r>
        <w:r w:rsidR="00952AE4">
          <w:rPr>
            <w:noProof/>
            <w:webHidden/>
          </w:rPr>
          <w:fldChar w:fldCharType="separate"/>
        </w:r>
        <w:r>
          <w:rPr>
            <w:noProof/>
            <w:webHidden/>
          </w:rPr>
          <w:t>24</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878" w:history="1">
        <w:r w:rsidR="00952AE4" w:rsidRPr="00AF20F9">
          <w:rPr>
            <w:rStyle w:val="Hypertextovodkaz"/>
            <w:noProof/>
          </w:rPr>
          <w:t xml:space="preserve">Tabulka 13 Vývoj daňové kvóty dle rozpočtové skladby v ČR v letech 2014 – 2024 </w:t>
        </w:r>
        <w:r w:rsidR="00952AE4" w:rsidRPr="00AF20F9">
          <w:rPr>
            <w:rStyle w:val="Hypertextovodkaz"/>
            <w:i/>
            <w:noProof/>
          </w:rPr>
          <w:t>(v %)</w:t>
        </w:r>
        <w:r w:rsidR="00952AE4">
          <w:rPr>
            <w:noProof/>
            <w:webHidden/>
          </w:rPr>
          <w:tab/>
        </w:r>
        <w:r w:rsidR="00952AE4">
          <w:rPr>
            <w:noProof/>
            <w:webHidden/>
          </w:rPr>
          <w:fldChar w:fldCharType="begin"/>
        </w:r>
        <w:r w:rsidR="00952AE4">
          <w:rPr>
            <w:noProof/>
            <w:webHidden/>
          </w:rPr>
          <w:instrText xml:space="preserve"> PAGEREF _Toc83882878 \h </w:instrText>
        </w:r>
        <w:r w:rsidR="00952AE4">
          <w:rPr>
            <w:noProof/>
            <w:webHidden/>
          </w:rPr>
        </w:r>
        <w:r w:rsidR="00952AE4">
          <w:rPr>
            <w:noProof/>
            <w:webHidden/>
          </w:rPr>
          <w:fldChar w:fldCharType="separate"/>
        </w:r>
        <w:r>
          <w:rPr>
            <w:noProof/>
            <w:webHidden/>
          </w:rPr>
          <w:t>25</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879" w:history="1">
        <w:r w:rsidR="00952AE4" w:rsidRPr="00AF20F9">
          <w:rPr>
            <w:rStyle w:val="Hypertextovodkaz"/>
            <w:noProof/>
          </w:rPr>
          <w:t xml:space="preserve">Tabulka 14 Vývoj daňových příjmů v letech 2017 – 2024 </w:t>
        </w:r>
        <w:r w:rsidR="00952AE4" w:rsidRPr="00AF20F9">
          <w:rPr>
            <w:rStyle w:val="Hypertextovodkaz"/>
            <w:i/>
            <w:noProof/>
          </w:rPr>
          <w:t>(v mld. Kč)</w:t>
        </w:r>
        <w:r w:rsidR="00952AE4">
          <w:rPr>
            <w:noProof/>
            <w:webHidden/>
          </w:rPr>
          <w:tab/>
        </w:r>
        <w:r w:rsidR="00952AE4">
          <w:rPr>
            <w:noProof/>
            <w:webHidden/>
          </w:rPr>
          <w:fldChar w:fldCharType="begin"/>
        </w:r>
        <w:r w:rsidR="00952AE4">
          <w:rPr>
            <w:noProof/>
            <w:webHidden/>
          </w:rPr>
          <w:instrText xml:space="preserve"> PAGEREF _Toc83882879 \h </w:instrText>
        </w:r>
        <w:r w:rsidR="00952AE4">
          <w:rPr>
            <w:noProof/>
            <w:webHidden/>
          </w:rPr>
        </w:r>
        <w:r w:rsidR="00952AE4">
          <w:rPr>
            <w:noProof/>
            <w:webHidden/>
          </w:rPr>
          <w:fldChar w:fldCharType="separate"/>
        </w:r>
        <w:r>
          <w:rPr>
            <w:noProof/>
            <w:webHidden/>
          </w:rPr>
          <w:t>25</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880" w:history="1">
        <w:r w:rsidR="00952AE4" w:rsidRPr="00AF20F9">
          <w:rPr>
            <w:rStyle w:val="Hypertextovodkaz"/>
            <w:noProof/>
          </w:rPr>
          <w:t xml:space="preserve">Tabulka 15 Příjmy z pojistného v letech 2017 – 2024 </w:t>
        </w:r>
        <w:r w:rsidR="00952AE4" w:rsidRPr="00AF20F9">
          <w:rPr>
            <w:rStyle w:val="Hypertextovodkaz"/>
            <w:i/>
            <w:noProof/>
          </w:rPr>
          <w:t>(v mld. Kč)</w:t>
        </w:r>
        <w:r w:rsidR="00952AE4">
          <w:rPr>
            <w:noProof/>
            <w:webHidden/>
          </w:rPr>
          <w:tab/>
        </w:r>
        <w:r w:rsidR="00952AE4">
          <w:rPr>
            <w:noProof/>
            <w:webHidden/>
          </w:rPr>
          <w:fldChar w:fldCharType="begin"/>
        </w:r>
        <w:r w:rsidR="00952AE4">
          <w:rPr>
            <w:noProof/>
            <w:webHidden/>
          </w:rPr>
          <w:instrText xml:space="preserve"> PAGEREF _Toc83882880 \h </w:instrText>
        </w:r>
        <w:r w:rsidR="00952AE4">
          <w:rPr>
            <w:noProof/>
            <w:webHidden/>
          </w:rPr>
        </w:r>
        <w:r w:rsidR="00952AE4">
          <w:rPr>
            <w:noProof/>
            <w:webHidden/>
          </w:rPr>
          <w:fldChar w:fldCharType="separate"/>
        </w:r>
        <w:r>
          <w:rPr>
            <w:noProof/>
            <w:webHidden/>
          </w:rPr>
          <w:t>28</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881" w:history="1">
        <w:r w:rsidR="00952AE4" w:rsidRPr="00AF20F9">
          <w:rPr>
            <w:rStyle w:val="Hypertextovodkaz"/>
            <w:noProof/>
          </w:rPr>
          <w:t xml:space="preserve">Tabulka 16 Nedaňové příjmy, kapitálové příjmy a přijaté transfery v letech 2017 – 2024 </w:t>
        </w:r>
        <w:r w:rsidR="00952AE4" w:rsidRPr="00AF20F9">
          <w:rPr>
            <w:rStyle w:val="Hypertextovodkaz"/>
            <w:i/>
            <w:noProof/>
          </w:rPr>
          <w:t>(v mil. Kč)</w:t>
        </w:r>
        <w:r w:rsidR="00952AE4">
          <w:rPr>
            <w:noProof/>
            <w:webHidden/>
          </w:rPr>
          <w:tab/>
        </w:r>
        <w:r w:rsidR="00952AE4">
          <w:rPr>
            <w:noProof/>
            <w:webHidden/>
          </w:rPr>
          <w:fldChar w:fldCharType="begin"/>
        </w:r>
        <w:r w:rsidR="00952AE4">
          <w:rPr>
            <w:noProof/>
            <w:webHidden/>
          </w:rPr>
          <w:instrText xml:space="preserve"> PAGEREF _Toc83882881 \h </w:instrText>
        </w:r>
        <w:r w:rsidR="00952AE4">
          <w:rPr>
            <w:noProof/>
            <w:webHidden/>
          </w:rPr>
        </w:r>
        <w:r w:rsidR="00952AE4">
          <w:rPr>
            <w:noProof/>
            <w:webHidden/>
          </w:rPr>
          <w:fldChar w:fldCharType="separate"/>
        </w:r>
        <w:r>
          <w:rPr>
            <w:noProof/>
            <w:webHidden/>
          </w:rPr>
          <w:t>28</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882" w:history="1">
        <w:r w:rsidR="00952AE4" w:rsidRPr="00AF20F9">
          <w:rPr>
            <w:rStyle w:val="Hypertextovodkaz"/>
            <w:noProof/>
          </w:rPr>
          <w:t xml:space="preserve">Tabulka 17 Vývoj celkových výdajů v letech 2017 – 2024 </w:t>
        </w:r>
        <w:r w:rsidR="00952AE4" w:rsidRPr="00AF20F9">
          <w:rPr>
            <w:rStyle w:val="Hypertextovodkaz"/>
            <w:i/>
            <w:noProof/>
          </w:rPr>
          <w:t>(v mld. Kč)</w:t>
        </w:r>
        <w:r w:rsidR="00952AE4">
          <w:rPr>
            <w:noProof/>
            <w:webHidden/>
          </w:rPr>
          <w:tab/>
        </w:r>
        <w:r w:rsidR="00952AE4">
          <w:rPr>
            <w:noProof/>
            <w:webHidden/>
          </w:rPr>
          <w:fldChar w:fldCharType="begin"/>
        </w:r>
        <w:r w:rsidR="00952AE4">
          <w:rPr>
            <w:noProof/>
            <w:webHidden/>
          </w:rPr>
          <w:instrText xml:space="preserve"> PAGEREF _Toc83882882 \h </w:instrText>
        </w:r>
        <w:r w:rsidR="00952AE4">
          <w:rPr>
            <w:noProof/>
            <w:webHidden/>
          </w:rPr>
        </w:r>
        <w:r w:rsidR="00952AE4">
          <w:rPr>
            <w:noProof/>
            <w:webHidden/>
          </w:rPr>
          <w:fldChar w:fldCharType="separate"/>
        </w:r>
        <w:r>
          <w:rPr>
            <w:noProof/>
            <w:webHidden/>
          </w:rPr>
          <w:t>29</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883" w:history="1">
        <w:r w:rsidR="00952AE4" w:rsidRPr="00AF20F9">
          <w:rPr>
            <w:rStyle w:val="Hypertextovodkaz"/>
            <w:noProof/>
          </w:rPr>
          <w:t xml:space="preserve">Tabulka 18 Podíl mandatorních výdajů celkem a quasi MV na celkových výdajích SR v letech 2011-2024 </w:t>
        </w:r>
        <w:r w:rsidR="00952AE4" w:rsidRPr="00AF20F9">
          <w:rPr>
            <w:rStyle w:val="Hypertextovodkaz"/>
            <w:i/>
            <w:noProof/>
          </w:rPr>
          <w:t>(v mld. Kč)</w:t>
        </w:r>
        <w:r w:rsidR="00952AE4">
          <w:rPr>
            <w:noProof/>
            <w:webHidden/>
          </w:rPr>
          <w:tab/>
        </w:r>
        <w:r w:rsidR="00952AE4">
          <w:rPr>
            <w:noProof/>
            <w:webHidden/>
          </w:rPr>
          <w:fldChar w:fldCharType="begin"/>
        </w:r>
        <w:r w:rsidR="00952AE4">
          <w:rPr>
            <w:noProof/>
            <w:webHidden/>
          </w:rPr>
          <w:instrText xml:space="preserve"> PAGEREF _Toc83882883 \h </w:instrText>
        </w:r>
        <w:r w:rsidR="00952AE4">
          <w:rPr>
            <w:noProof/>
            <w:webHidden/>
          </w:rPr>
        </w:r>
        <w:r w:rsidR="00952AE4">
          <w:rPr>
            <w:noProof/>
            <w:webHidden/>
          </w:rPr>
          <w:fldChar w:fldCharType="separate"/>
        </w:r>
        <w:r>
          <w:rPr>
            <w:noProof/>
            <w:webHidden/>
          </w:rPr>
          <w:t>30</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884" w:history="1">
        <w:r w:rsidR="00952AE4" w:rsidRPr="00AF20F9">
          <w:rPr>
            <w:rStyle w:val="Hypertextovodkaz"/>
            <w:noProof/>
          </w:rPr>
          <w:t>Tabulka 19 Podíl mandatorních výdajů celkem a quasi mandatorních výdajů na HDP a příjmech státního rozpočtu</w:t>
        </w:r>
        <w:r w:rsidR="00952AE4">
          <w:rPr>
            <w:noProof/>
            <w:webHidden/>
          </w:rPr>
          <w:tab/>
        </w:r>
        <w:r w:rsidR="00952AE4">
          <w:rPr>
            <w:noProof/>
            <w:webHidden/>
          </w:rPr>
          <w:fldChar w:fldCharType="begin"/>
        </w:r>
        <w:r w:rsidR="00952AE4">
          <w:rPr>
            <w:noProof/>
            <w:webHidden/>
          </w:rPr>
          <w:instrText xml:space="preserve"> PAGEREF _Toc83882884 \h </w:instrText>
        </w:r>
        <w:r w:rsidR="00952AE4">
          <w:rPr>
            <w:noProof/>
            <w:webHidden/>
          </w:rPr>
        </w:r>
        <w:r w:rsidR="00952AE4">
          <w:rPr>
            <w:noProof/>
            <w:webHidden/>
          </w:rPr>
          <w:fldChar w:fldCharType="separate"/>
        </w:r>
        <w:r>
          <w:rPr>
            <w:noProof/>
            <w:webHidden/>
          </w:rPr>
          <w:t>30</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885" w:history="1">
        <w:r w:rsidR="00952AE4" w:rsidRPr="00AF20F9">
          <w:rPr>
            <w:rStyle w:val="Hypertextovodkaz"/>
            <w:noProof/>
          </w:rPr>
          <w:t>Tabulka 20 Přehled výhledu sociálních mandatorních výdajů podle jednotlivých výdajových segmentů v letech 2017 </w:t>
        </w:r>
        <w:r w:rsidR="00952AE4" w:rsidRPr="00AF20F9">
          <w:rPr>
            <w:rStyle w:val="Hypertextovodkaz"/>
            <w:noProof/>
          </w:rPr>
          <w:noBreakHyphen/>
          <w:t xml:space="preserve"> 2024 </w:t>
        </w:r>
        <w:r w:rsidR="00952AE4" w:rsidRPr="00AF20F9">
          <w:rPr>
            <w:rStyle w:val="Hypertextovodkaz"/>
            <w:i/>
            <w:noProof/>
          </w:rPr>
          <w:t>(v mil. Kč)</w:t>
        </w:r>
        <w:r w:rsidR="00952AE4">
          <w:rPr>
            <w:noProof/>
            <w:webHidden/>
          </w:rPr>
          <w:tab/>
        </w:r>
        <w:r w:rsidR="00952AE4">
          <w:rPr>
            <w:noProof/>
            <w:webHidden/>
          </w:rPr>
          <w:fldChar w:fldCharType="begin"/>
        </w:r>
        <w:r w:rsidR="00952AE4">
          <w:rPr>
            <w:noProof/>
            <w:webHidden/>
          </w:rPr>
          <w:instrText xml:space="preserve"> PAGEREF _Toc83882885 \h </w:instrText>
        </w:r>
        <w:r w:rsidR="00952AE4">
          <w:rPr>
            <w:noProof/>
            <w:webHidden/>
          </w:rPr>
        </w:r>
        <w:r w:rsidR="00952AE4">
          <w:rPr>
            <w:noProof/>
            <w:webHidden/>
          </w:rPr>
          <w:fldChar w:fldCharType="separate"/>
        </w:r>
        <w:r>
          <w:rPr>
            <w:noProof/>
            <w:webHidden/>
          </w:rPr>
          <w:t>32</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886" w:history="1">
        <w:r w:rsidR="00952AE4" w:rsidRPr="00AF20F9">
          <w:rPr>
            <w:rStyle w:val="Hypertextovodkaz"/>
            <w:noProof/>
          </w:rPr>
          <w:t>Tabulka 21 Vývoj objemu prostředků na platy a ostatní platby za provedenou práci, počtu míst a průměrných platů v OSS a PO v letech 2017 – 2024</w:t>
        </w:r>
        <w:r w:rsidR="00952AE4">
          <w:rPr>
            <w:noProof/>
            <w:webHidden/>
          </w:rPr>
          <w:tab/>
        </w:r>
        <w:r w:rsidR="00952AE4">
          <w:rPr>
            <w:noProof/>
            <w:webHidden/>
          </w:rPr>
          <w:fldChar w:fldCharType="begin"/>
        </w:r>
        <w:r w:rsidR="00952AE4">
          <w:rPr>
            <w:noProof/>
            <w:webHidden/>
          </w:rPr>
          <w:instrText xml:space="preserve"> PAGEREF _Toc83882886 \h </w:instrText>
        </w:r>
        <w:r w:rsidR="00952AE4">
          <w:rPr>
            <w:noProof/>
            <w:webHidden/>
          </w:rPr>
        </w:r>
        <w:r w:rsidR="00952AE4">
          <w:rPr>
            <w:noProof/>
            <w:webHidden/>
          </w:rPr>
          <w:fldChar w:fldCharType="separate"/>
        </w:r>
        <w:r>
          <w:rPr>
            <w:noProof/>
            <w:webHidden/>
          </w:rPr>
          <w:t>35</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887" w:history="1">
        <w:r w:rsidR="00952AE4" w:rsidRPr="00AF20F9">
          <w:rPr>
            <w:rStyle w:val="Hypertextovodkaz"/>
            <w:noProof/>
          </w:rPr>
          <w:t xml:space="preserve">Tabulka 22 Odvody vlastních zdrojů EU v letech 2017 – 2024 </w:t>
        </w:r>
        <w:r w:rsidR="00952AE4" w:rsidRPr="00AF20F9">
          <w:rPr>
            <w:rStyle w:val="Hypertextovodkaz"/>
            <w:i/>
            <w:noProof/>
          </w:rPr>
          <w:t>(v mld. Kč)</w:t>
        </w:r>
        <w:r w:rsidR="00952AE4">
          <w:rPr>
            <w:noProof/>
            <w:webHidden/>
          </w:rPr>
          <w:tab/>
        </w:r>
        <w:r w:rsidR="00952AE4">
          <w:rPr>
            <w:noProof/>
            <w:webHidden/>
          </w:rPr>
          <w:fldChar w:fldCharType="begin"/>
        </w:r>
        <w:r w:rsidR="00952AE4">
          <w:rPr>
            <w:noProof/>
            <w:webHidden/>
          </w:rPr>
          <w:instrText xml:space="preserve"> PAGEREF _Toc83882887 \h </w:instrText>
        </w:r>
        <w:r w:rsidR="00952AE4">
          <w:rPr>
            <w:noProof/>
            <w:webHidden/>
          </w:rPr>
        </w:r>
        <w:r w:rsidR="00952AE4">
          <w:rPr>
            <w:noProof/>
            <w:webHidden/>
          </w:rPr>
          <w:fldChar w:fldCharType="separate"/>
        </w:r>
        <w:r>
          <w:rPr>
            <w:noProof/>
            <w:webHidden/>
          </w:rPr>
          <w:t>35</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888" w:history="1">
        <w:r w:rsidR="00952AE4" w:rsidRPr="00AF20F9">
          <w:rPr>
            <w:rStyle w:val="Hypertextovodkaz"/>
            <w:noProof/>
          </w:rPr>
          <w:t xml:space="preserve">Tabulka 23 Výdaje na výzkum, vývoj a inovace v letech 2017 – 2024 </w:t>
        </w:r>
        <w:r w:rsidR="00952AE4" w:rsidRPr="00AF20F9">
          <w:rPr>
            <w:rStyle w:val="Hypertextovodkaz"/>
            <w:i/>
            <w:noProof/>
          </w:rPr>
          <w:t>(v mld. Kč)</w:t>
        </w:r>
        <w:r w:rsidR="00952AE4">
          <w:rPr>
            <w:noProof/>
            <w:webHidden/>
          </w:rPr>
          <w:tab/>
        </w:r>
        <w:r w:rsidR="00952AE4">
          <w:rPr>
            <w:noProof/>
            <w:webHidden/>
          </w:rPr>
          <w:fldChar w:fldCharType="begin"/>
        </w:r>
        <w:r w:rsidR="00952AE4">
          <w:rPr>
            <w:noProof/>
            <w:webHidden/>
          </w:rPr>
          <w:instrText xml:space="preserve"> PAGEREF _Toc83882888 \h </w:instrText>
        </w:r>
        <w:r w:rsidR="00952AE4">
          <w:rPr>
            <w:noProof/>
            <w:webHidden/>
          </w:rPr>
        </w:r>
        <w:r w:rsidR="00952AE4">
          <w:rPr>
            <w:noProof/>
            <w:webHidden/>
          </w:rPr>
          <w:fldChar w:fldCharType="separate"/>
        </w:r>
        <w:r>
          <w:rPr>
            <w:noProof/>
            <w:webHidden/>
          </w:rPr>
          <w:t>36</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889" w:history="1">
        <w:r w:rsidR="00952AE4" w:rsidRPr="00AF20F9">
          <w:rPr>
            <w:rStyle w:val="Hypertextovodkaz"/>
            <w:noProof/>
          </w:rPr>
          <w:t xml:space="preserve">Tabulka 24 Výdaje na zahrační rozvojovou spolupráci a humanitární pomoc v letech 2017 – 2024 </w:t>
        </w:r>
        <w:r w:rsidR="00952AE4" w:rsidRPr="00AF20F9">
          <w:rPr>
            <w:rStyle w:val="Hypertextovodkaz"/>
            <w:i/>
            <w:noProof/>
          </w:rPr>
          <w:t>(v mil. Kč)</w:t>
        </w:r>
        <w:r w:rsidR="00952AE4">
          <w:rPr>
            <w:noProof/>
            <w:webHidden/>
          </w:rPr>
          <w:tab/>
        </w:r>
        <w:r w:rsidR="00952AE4">
          <w:rPr>
            <w:noProof/>
            <w:webHidden/>
          </w:rPr>
          <w:fldChar w:fldCharType="begin"/>
        </w:r>
        <w:r w:rsidR="00952AE4">
          <w:rPr>
            <w:noProof/>
            <w:webHidden/>
          </w:rPr>
          <w:instrText xml:space="preserve"> PAGEREF _Toc83882889 \h </w:instrText>
        </w:r>
        <w:r w:rsidR="00952AE4">
          <w:rPr>
            <w:noProof/>
            <w:webHidden/>
          </w:rPr>
        </w:r>
        <w:r w:rsidR="00952AE4">
          <w:rPr>
            <w:noProof/>
            <w:webHidden/>
          </w:rPr>
          <w:fldChar w:fldCharType="separate"/>
        </w:r>
        <w:r>
          <w:rPr>
            <w:noProof/>
            <w:webHidden/>
          </w:rPr>
          <w:t>36</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890" w:history="1">
        <w:r w:rsidR="00952AE4" w:rsidRPr="00AF20F9">
          <w:rPr>
            <w:rStyle w:val="Hypertextovodkaz"/>
            <w:noProof/>
          </w:rPr>
          <w:t xml:space="preserve">Tabulka 25 Výdaje na obranu v letech 2017 – 2024 </w:t>
        </w:r>
        <w:r w:rsidR="00952AE4" w:rsidRPr="00AF20F9">
          <w:rPr>
            <w:rStyle w:val="Hypertextovodkaz"/>
            <w:i/>
            <w:noProof/>
          </w:rPr>
          <w:t>(v mld. Kč)</w:t>
        </w:r>
        <w:r w:rsidR="00952AE4">
          <w:rPr>
            <w:noProof/>
            <w:webHidden/>
          </w:rPr>
          <w:tab/>
        </w:r>
        <w:r w:rsidR="00952AE4">
          <w:rPr>
            <w:noProof/>
            <w:webHidden/>
          </w:rPr>
          <w:fldChar w:fldCharType="begin"/>
        </w:r>
        <w:r w:rsidR="00952AE4">
          <w:rPr>
            <w:noProof/>
            <w:webHidden/>
          </w:rPr>
          <w:instrText xml:space="preserve"> PAGEREF _Toc83882890 \h </w:instrText>
        </w:r>
        <w:r w:rsidR="00952AE4">
          <w:rPr>
            <w:noProof/>
            <w:webHidden/>
          </w:rPr>
        </w:r>
        <w:r w:rsidR="00952AE4">
          <w:rPr>
            <w:noProof/>
            <w:webHidden/>
          </w:rPr>
          <w:fldChar w:fldCharType="separate"/>
        </w:r>
        <w:r>
          <w:rPr>
            <w:noProof/>
            <w:webHidden/>
          </w:rPr>
          <w:t>37</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891" w:history="1">
        <w:r w:rsidR="00952AE4" w:rsidRPr="00AF20F9">
          <w:rPr>
            <w:rStyle w:val="Hypertextovodkaz"/>
            <w:noProof/>
          </w:rPr>
          <w:t xml:space="preserve">Tabulka 26 Státní fond dopravní infrastruktury v letech 2022 – 2024 </w:t>
        </w:r>
        <w:r w:rsidR="00952AE4" w:rsidRPr="00AF20F9">
          <w:rPr>
            <w:rStyle w:val="Hypertextovodkaz"/>
            <w:i/>
            <w:noProof/>
          </w:rPr>
          <w:t>(v Kč)</w:t>
        </w:r>
        <w:r w:rsidR="00952AE4">
          <w:rPr>
            <w:noProof/>
            <w:webHidden/>
          </w:rPr>
          <w:tab/>
        </w:r>
        <w:r w:rsidR="00952AE4">
          <w:rPr>
            <w:noProof/>
            <w:webHidden/>
          </w:rPr>
          <w:fldChar w:fldCharType="begin"/>
        </w:r>
        <w:r w:rsidR="00952AE4">
          <w:rPr>
            <w:noProof/>
            <w:webHidden/>
          </w:rPr>
          <w:instrText xml:space="preserve"> PAGEREF _Toc83882891 \h </w:instrText>
        </w:r>
        <w:r w:rsidR="00952AE4">
          <w:rPr>
            <w:noProof/>
            <w:webHidden/>
          </w:rPr>
        </w:r>
        <w:r w:rsidR="00952AE4">
          <w:rPr>
            <w:noProof/>
            <w:webHidden/>
          </w:rPr>
          <w:fldChar w:fldCharType="separate"/>
        </w:r>
        <w:r>
          <w:rPr>
            <w:noProof/>
            <w:webHidden/>
          </w:rPr>
          <w:t>38</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892" w:history="1">
        <w:r w:rsidR="00952AE4" w:rsidRPr="00AF20F9">
          <w:rPr>
            <w:rStyle w:val="Hypertextovodkaz"/>
            <w:noProof/>
          </w:rPr>
          <w:t xml:space="preserve">Tabulka 27 Státní zemědělský intervenční fond v letech 2022 – 2024 </w:t>
        </w:r>
        <w:r w:rsidR="00952AE4" w:rsidRPr="00AF20F9">
          <w:rPr>
            <w:rStyle w:val="Hypertextovodkaz"/>
            <w:i/>
            <w:noProof/>
          </w:rPr>
          <w:t>(v Kč)</w:t>
        </w:r>
        <w:r w:rsidR="00952AE4">
          <w:rPr>
            <w:noProof/>
            <w:webHidden/>
          </w:rPr>
          <w:tab/>
        </w:r>
        <w:r w:rsidR="00952AE4">
          <w:rPr>
            <w:noProof/>
            <w:webHidden/>
          </w:rPr>
          <w:fldChar w:fldCharType="begin"/>
        </w:r>
        <w:r w:rsidR="00952AE4">
          <w:rPr>
            <w:noProof/>
            <w:webHidden/>
          </w:rPr>
          <w:instrText xml:space="preserve"> PAGEREF _Toc83882892 \h </w:instrText>
        </w:r>
        <w:r w:rsidR="00952AE4">
          <w:rPr>
            <w:noProof/>
            <w:webHidden/>
          </w:rPr>
        </w:r>
        <w:r w:rsidR="00952AE4">
          <w:rPr>
            <w:noProof/>
            <w:webHidden/>
          </w:rPr>
          <w:fldChar w:fldCharType="separate"/>
        </w:r>
        <w:r>
          <w:rPr>
            <w:noProof/>
            <w:webHidden/>
          </w:rPr>
          <w:t>39</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893" w:history="1">
        <w:r w:rsidR="00952AE4" w:rsidRPr="00AF20F9">
          <w:rPr>
            <w:rStyle w:val="Hypertextovodkaz"/>
            <w:noProof/>
          </w:rPr>
          <w:t xml:space="preserve">Tabulka 28 Státní fond kinematografie v letech 2022 – 2024 </w:t>
        </w:r>
        <w:r w:rsidR="00952AE4" w:rsidRPr="00AF20F9">
          <w:rPr>
            <w:rStyle w:val="Hypertextovodkaz"/>
            <w:i/>
            <w:noProof/>
          </w:rPr>
          <w:t>(v Kč)</w:t>
        </w:r>
        <w:r w:rsidR="00952AE4">
          <w:rPr>
            <w:noProof/>
            <w:webHidden/>
          </w:rPr>
          <w:tab/>
        </w:r>
        <w:r w:rsidR="00952AE4">
          <w:rPr>
            <w:noProof/>
            <w:webHidden/>
          </w:rPr>
          <w:fldChar w:fldCharType="begin"/>
        </w:r>
        <w:r w:rsidR="00952AE4">
          <w:rPr>
            <w:noProof/>
            <w:webHidden/>
          </w:rPr>
          <w:instrText xml:space="preserve"> PAGEREF _Toc83882893 \h </w:instrText>
        </w:r>
        <w:r w:rsidR="00952AE4">
          <w:rPr>
            <w:noProof/>
            <w:webHidden/>
          </w:rPr>
        </w:r>
        <w:r w:rsidR="00952AE4">
          <w:rPr>
            <w:noProof/>
            <w:webHidden/>
          </w:rPr>
          <w:fldChar w:fldCharType="separate"/>
        </w:r>
        <w:r>
          <w:rPr>
            <w:noProof/>
            <w:webHidden/>
          </w:rPr>
          <w:t>39</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894" w:history="1">
        <w:r w:rsidR="00952AE4" w:rsidRPr="00AF20F9">
          <w:rPr>
            <w:rStyle w:val="Hypertextovodkaz"/>
            <w:noProof/>
          </w:rPr>
          <w:t xml:space="preserve">Tabulka 29 Státní fond kultury ČR v letech 2022 – 2024 </w:t>
        </w:r>
        <w:r w:rsidR="00952AE4" w:rsidRPr="00AF20F9">
          <w:rPr>
            <w:rStyle w:val="Hypertextovodkaz"/>
            <w:i/>
            <w:noProof/>
          </w:rPr>
          <w:t>(v Kč)</w:t>
        </w:r>
        <w:r w:rsidR="00952AE4">
          <w:rPr>
            <w:noProof/>
            <w:webHidden/>
          </w:rPr>
          <w:tab/>
        </w:r>
        <w:r w:rsidR="00952AE4">
          <w:rPr>
            <w:noProof/>
            <w:webHidden/>
          </w:rPr>
          <w:fldChar w:fldCharType="begin"/>
        </w:r>
        <w:r w:rsidR="00952AE4">
          <w:rPr>
            <w:noProof/>
            <w:webHidden/>
          </w:rPr>
          <w:instrText xml:space="preserve"> PAGEREF _Toc83882894 \h </w:instrText>
        </w:r>
        <w:r w:rsidR="00952AE4">
          <w:rPr>
            <w:noProof/>
            <w:webHidden/>
          </w:rPr>
        </w:r>
        <w:r w:rsidR="00952AE4">
          <w:rPr>
            <w:noProof/>
            <w:webHidden/>
          </w:rPr>
          <w:fldChar w:fldCharType="separate"/>
        </w:r>
        <w:r>
          <w:rPr>
            <w:noProof/>
            <w:webHidden/>
          </w:rPr>
          <w:t>39</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895" w:history="1">
        <w:r w:rsidR="00952AE4" w:rsidRPr="00AF20F9">
          <w:rPr>
            <w:rStyle w:val="Hypertextovodkaz"/>
            <w:noProof/>
          </w:rPr>
          <w:t xml:space="preserve">Tabulka 30 Státní fond podpory investic v letech 2022 – 2024 </w:t>
        </w:r>
        <w:r w:rsidR="00952AE4" w:rsidRPr="00AF20F9">
          <w:rPr>
            <w:rStyle w:val="Hypertextovodkaz"/>
            <w:i/>
            <w:noProof/>
          </w:rPr>
          <w:t>(v Kč)</w:t>
        </w:r>
        <w:r w:rsidR="00952AE4">
          <w:rPr>
            <w:noProof/>
            <w:webHidden/>
          </w:rPr>
          <w:tab/>
        </w:r>
        <w:r w:rsidR="00952AE4">
          <w:rPr>
            <w:noProof/>
            <w:webHidden/>
          </w:rPr>
          <w:fldChar w:fldCharType="begin"/>
        </w:r>
        <w:r w:rsidR="00952AE4">
          <w:rPr>
            <w:noProof/>
            <w:webHidden/>
          </w:rPr>
          <w:instrText xml:space="preserve"> PAGEREF _Toc83882895 \h </w:instrText>
        </w:r>
        <w:r w:rsidR="00952AE4">
          <w:rPr>
            <w:noProof/>
            <w:webHidden/>
          </w:rPr>
        </w:r>
        <w:r w:rsidR="00952AE4">
          <w:rPr>
            <w:noProof/>
            <w:webHidden/>
          </w:rPr>
          <w:fldChar w:fldCharType="separate"/>
        </w:r>
        <w:r>
          <w:rPr>
            <w:noProof/>
            <w:webHidden/>
          </w:rPr>
          <w:t>40</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896" w:history="1">
        <w:r w:rsidR="00952AE4" w:rsidRPr="00AF20F9">
          <w:rPr>
            <w:rStyle w:val="Hypertextovodkaz"/>
            <w:noProof/>
          </w:rPr>
          <w:t xml:space="preserve">Tabulka 31 Státní fond životního prostředí ČR v letech 2022 – 2024 </w:t>
        </w:r>
        <w:r w:rsidR="00952AE4" w:rsidRPr="00AF20F9">
          <w:rPr>
            <w:rStyle w:val="Hypertextovodkaz"/>
            <w:i/>
            <w:noProof/>
          </w:rPr>
          <w:t>(v Kč)</w:t>
        </w:r>
        <w:r w:rsidR="00952AE4">
          <w:rPr>
            <w:noProof/>
            <w:webHidden/>
          </w:rPr>
          <w:tab/>
        </w:r>
        <w:r w:rsidR="00952AE4">
          <w:rPr>
            <w:noProof/>
            <w:webHidden/>
          </w:rPr>
          <w:fldChar w:fldCharType="begin"/>
        </w:r>
        <w:r w:rsidR="00952AE4">
          <w:rPr>
            <w:noProof/>
            <w:webHidden/>
          </w:rPr>
          <w:instrText xml:space="preserve"> PAGEREF _Toc83882896 \h </w:instrText>
        </w:r>
        <w:r w:rsidR="00952AE4">
          <w:rPr>
            <w:noProof/>
            <w:webHidden/>
          </w:rPr>
        </w:r>
        <w:r w:rsidR="00952AE4">
          <w:rPr>
            <w:noProof/>
            <w:webHidden/>
          </w:rPr>
          <w:fldChar w:fldCharType="separate"/>
        </w:r>
        <w:r>
          <w:rPr>
            <w:noProof/>
            <w:webHidden/>
          </w:rPr>
          <w:t>40</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897" w:history="1">
        <w:r w:rsidR="00952AE4" w:rsidRPr="00AF20F9">
          <w:rPr>
            <w:rStyle w:val="Hypertextovodkaz"/>
            <w:noProof/>
          </w:rPr>
          <w:t xml:space="preserve">Tabulka 32 Úhrnná bilance státních fondů v letech 2022 – 2024 </w:t>
        </w:r>
        <w:r w:rsidR="00952AE4" w:rsidRPr="00AF20F9">
          <w:rPr>
            <w:rStyle w:val="Hypertextovodkaz"/>
            <w:i/>
            <w:noProof/>
          </w:rPr>
          <w:t>(v Kč)</w:t>
        </w:r>
        <w:r w:rsidR="00952AE4">
          <w:rPr>
            <w:noProof/>
            <w:webHidden/>
          </w:rPr>
          <w:tab/>
        </w:r>
        <w:r w:rsidR="00952AE4">
          <w:rPr>
            <w:noProof/>
            <w:webHidden/>
          </w:rPr>
          <w:fldChar w:fldCharType="begin"/>
        </w:r>
        <w:r w:rsidR="00952AE4">
          <w:rPr>
            <w:noProof/>
            <w:webHidden/>
          </w:rPr>
          <w:instrText xml:space="preserve"> PAGEREF _Toc83882897 \h </w:instrText>
        </w:r>
        <w:r w:rsidR="00952AE4">
          <w:rPr>
            <w:noProof/>
            <w:webHidden/>
          </w:rPr>
        </w:r>
        <w:r w:rsidR="00952AE4">
          <w:rPr>
            <w:noProof/>
            <w:webHidden/>
          </w:rPr>
          <w:fldChar w:fldCharType="separate"/>
        </w:r>
        <w:r>
          <w:rPr>
            <w:noProof/>
            <w:webHidden/>
          </w:rPr>
          <w:t>41</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898" w:history="1">
        <w:r w:rsidR="00952AE4" w:rsidRPr="00AF20F9">
          <w:rPr>
            <w:rStyle w:val="Hypertextovodkaz"/>
            <w:noProof/>
          </w:rPr>
          <w:t xml:space="preserve">Tabulka 33 Odhad skutečných výdajů SR na předfinancování politik EU v letech 2023 – 2024 </w:t>
        </w:r>
        <w:r w:rsidR="00952AE4" w:rsidRPr="00AF20F9">
          <w:rPr>
            <w:rStyle w:val="Hypertextovodkaz"/>
            <w:i/>
            <w:noProof/>
          </w:rPr>
          <w:t>(v mil. Kč)</w:t>
        </w:r>
        <w:r w:rsidR="00952AE4">
          <w:rPr>
            <w:noProof/>
            <w:webHidden/>
          </w:rPr>
          <w:tab/>
        </w:r>
        <w:r w:rsidR="00952AE4">
          <w:rPr>
            <w:noProof/>
            <w:webHidden/>
          </w:rPr>
          <w:fldChar w:fldCharType="begin"/>
        </w:r>
        <w:r w:rsidR="00952AE4">
          <w:rPr>
            <w:noProof/>
            <w:webHidden/>
          </w:rPr>
          <w:instrText xml:space="preserve"> PAGEREF _Toc83882898 \h </w:instrText>
        </w:r>
        <w:r w:rsidR="00952AE4">
          <w:rPr>
            <w:noProof/>
            <w:webHidden/>
          </w:rPr>
        </w:r>
        <w:r w:rsidR="00952AE4">
          <w:rPr>
            <w:noProof/>
            <w:webHidden/>
          </w:rPr>
          <w:fldChar w:fldCharType="separate"/>
        </w:r>
        <w:r>
          <w:rPr>
            <w:noProof/>
            <w:webHidden/>
          </w:rPr>
          <w:t>44</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899" w:history="1">
        <w:r w:rsidR="00952AE4" w:rsidRPr="00AF20F9">
          <w:rPr>
            <w:rStyle w:val="Hypertextovodkaz"/>
            <w:noProof/>
          </w:rPr>
          <w:t xml:space="preserve">Tabulka 34 Výdaje na programy v letech 2022 – 2024 </w:t>
        </w:r>
        <w:r w:rsidR="00952AE4" w:rsidRPr="00AF20F9">
          <w:rPr>
            <w:rStyle w:val="Hypertextovodkaz"/>
            <w:i/>
            <w:noProof/>
          </w:rPr>
          <w:t>(v mil. Kč)</w:t>
        </w:r>
        <w:r w:rsidR="00952AE4">
          <w:rPr>
            <w:noProof/>
            <w:webHidden/>
          </w:rPr>
          <w:tab/>
        </w:r>
        <w:r w:rsidR="00952AE4">
          <w:rPr>
            <w:noProof/>
            <w:webHidden/>
          </w:rPr>
          <w:fldChar w:fldCharType="begin"/>
        </w:r>
        <w:r w:rsidR="00952AE4">
          <w:rPr>
            <w:noProof/>
            <w:webHidden/>
          </w:rPr>
          <w:instrText xml:space="preserve"> PAGEREF _Toc83882899 \h </w:instrText>
        </w:r>
        <w:r w:rsidR="00952AE4">
          <w:rPr>
            <w:noProof/>
            <w:webHidden/>
          </w:rPr>
        </w:r>
        <w:r w:rsidR="00952AE4">
          <w:rPr>
            <w:noProof/>
            <w:webHidden/>
          </w:rPr>
          <w:fldChar w:fldCharType="separate"/>
        </w:r>
        <w:r>
          <w:rPr>
            <w:noProof/>
            <w:webHidden/>
          </w:rPr>
          <w:t>46</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900" w:history="1">
        <w:r w:rsidR="00952AE4" w:rsidRPr="00AF20F9">
          <w:rPr>
            <w:rStyle w:val="Hypertextovodkaz"/>
            <w:noProof/>
          </w:rPr>
          <w:t>Tabulka 35 Vývoj státního dluhu a jeho podíl na HDP v letech 2007 – 2024</w:t>
        </w:r>
        <w:r w:rsidR="00952AE4">
          <w:rPr>
            <w:noProof/>
            <w:webHidden/>
          </w:rPr>
          <w:tab/>
        </w:r>
        <w:r w:rsidR="00952AE4">
          <w:rPr>
            <w:noProof/>
            <w:webHidden/>
          </w:rPr>
          <w:fldChar w:fldCharType="begin"/>
        </w:r>
        <w:r w:rsidR="00952AE4">
          <w:rPr>
            <w:noProof/>
            <w:webHidden/>
          </w:rPr>
          <w:instrText xml:space="preserve"> PAGEREF _Toc83882900 \h </w:instrText>
        </w:r>
        <w:r w:rsidR="00952AE4">
          <w:rPr>
            <w:noProof/>
            <w:webHidden/>
          </w:rPr>
        </w:r>
        <w:r w:rsidR="00952AE4">
          <w:rPr>
            <w:noProof/>
            <w:webHidden/>
          </w:rPr>
          <w:fldChar w:fldCharType="separate"/>
        </w:r>
        <w:r>
          <w:rPr>
            <w:noProof/>
            <w:webHidden/>
          </w:rPr>
          <w:t>48</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901" w:history="1">
        <w:r w:rsidR="00952AE4" w:rsidRPr="00AF20F9">
          <w:rPr>
            <w:rStyle w:val="Hypertextovodkaz"/>
            <w:noProof/>
          </w:rPr>
          <w:t xml:space="preserve">Tabulka 36 Základní ukazatele státního rozpočtu v kapitole Státní dluh v letech 2017 – 2024 </w:t>
        </w:r>
        <w:r w:rsidR="00952AE4" w:rsidRPr="00AF20F9">
          <w:rPr>
            <w:rStyle w:val="Hypertextovodkaz"/>
            <w:i/>
            <w:noProof/>
          </w:rPr>
          <w:t>(v mil. Kč)</w:t>
        </w:r>
        <w:r w:rsidR="00952AE4">
          <w:rPr>
            <w:noProof/>
            <w:webHidden/>
          </w:rPr>
          <w:tab/>
        </w:r>
        <w:r w:rsidR="00952AE4">
          <w:rPr>
            <w:noProof/>
            <w:webHidden/>
          </w:rPr>
          <w:fldChar w:fldCharType="begin"/>
        </w:r>
        <w:r w:rsidR="00952AE4">
          <w:rPr>
            <w:noProof/>
            <w:webHidden/>
          </w:rPr>
          <w:instrText xml:space="preserve"> PAGEREF _Toc83882901 \h </w:instrText>
        </w:r>
        <w:r w:rsidR="00952AE4">
          <w:rPr>
            <w:noProof/>
            <w:webHidden/>
          </w:rPr>
        </w:r>
        <w:r w:rsidR="00952AE4">
          <w:rPr>
            <w:noProof/>
            <w:webHidden/>
          </w:rPr>
          <w:fldChar w:fldCharType="separate"/>
        </w:r>
        <w:r>
          <w:rPr>
            <w:noProof/>
            <w:webHidden/>
          </w:rPr>
          <w:t>49</w:t>
        </w:r>
        <w:r w:rsidR="00952AE4">
          <w:rPr>
            <w:noProof/>
            <w:webHidden/>
          </w:rPr>
          <w:fldChar w:fldCharType="end"/>
        </w:r>
      </w:hyperlink>
    </w:p>
    <w:p w:rsidR="008E1569" w:rsidRDefault="008E1569" w:rsidP="008E1569">
      <w:pPr>
        <w:sectPr w:rsidR="008E1569" w:rsidSect="00FF5023">
          <w:pgSz w:w="11906" w:h="16838" w:code="9"/>
          <w:pgMar w:top="1134" w:right="1134" w:bottom="1418" w:left="1134" w:header="709" w:footer="709" w:gutter="0"/>
          <w:cols w:space="709"/>
          <w:docGrid w:linePitch="360"/>
        </w:sectPr>
      </w:pPr>
      <w:r>
        <w:fldChar w:fldCharType="end"/>
      </w:r>
    </w:p>
    <w:p w:rsidR="008E1569" w:rsidRDefault="008E1569" w:rsidP="008E1569">
      <w:pPr>
        <w:pStyle w:val="Obsah"/>
      </w:pPr>
      <w:r>
        <w:lastRenderedPageBreak/>
        <w:t>Seznam grafů</w:t>
      </w:r>
    </w:p>
    <w:p w:rsidR="00952AE4" w:rsidRDefault="008E1569">
      <w:pPr>
        <w:pStyle w:val="Seznamobrzk"/>
        <w:rPr>
          <w:rFonts w:asciiTheme="minorHAnsi" w:eastAsiaTheme="minorEastAsia" w:hAnsiTheme="minorHAnsi" w:cstheme="minorBidi"/>
          <w:noProof/>
          <w:sz w:val="22"/>
          <w:szCs w:val="22"/>
        </w:rPr>
      </w:pPr>
      <w:r>
        <w:fldChar w:fldCharType="begin"/>
      </w:r>
      <w:r>
        <w:instrText xml:space="preserve"> TOC \h \z \c "Graf" </w:instrText>
      </w:r>
      <w:r>
        <w:fldChar w:fldCharType="separate"/>
      </w:r>
      <w:hyperlink w:anchor="_Toc83882902" w:history="1">
        <w:r w:rsidR="00952AE4" w:rsidRPr="00CD14EB">
          <w:rPr>
            <w:rStyle w:val="Hypertextovodkaz"/>
            <w:noProof/>
          </w:rPr>
          <w:t xml:space="preserve">Graf 1 Reálný hrubý domácí produkt eurozóny </w:t>
        </w:r>
        <w:r w:rsidR="00952AE4" w:rsidRPr="00CD14EB">
          <w:rPr>
            <w:rStyle w:val="Hypertextovodkaz"/>
            <w:i/>
            <w:noProof/>
          </w:rPr>
          <w:t>(růst proti předchozímu roku v %)</w:t>
        </w:r>
        <w:r w:rsidR="00952AE4">
          <w:rPr>
            <w:noProof/>
            <w:webHidden/>
          </w:rPr>
          <w:tab/>
        </w:r>
        <w:r w:rsidR="00952AE4">
          <w:rPr>
            <w:noProof/>
            <w:webHidden/>
          </w:rPr>
          <w:fldChar w:fldCharType="begin"/>
        </w:r>
        <w:r w:rsidR="00952AE4">
          <w:rPr>
            <w:noProof/>
            <w:webHidden/>
          </w:rPr>
          <w:instrText xml:space="preserve"> PAGEREF _Toc83882902 \h </w:instrText>
        </w:r>
        <w:r w:rsidR="00952AE4">
          <w:rPr>
            <w:noProof/>
            <w:webHidden/>
          </w:rPr>
        </w:r>
        <w:r w:rsidR="00952AE4">
          <w:rPr>
            <w:noProof/>
            <w:webHidden/>
          </w:rPr>
          <w:fldChar w:fldCharType="separate"/>
        </w:r>
        <w:r w:rsidR="00D51DCA">
          <w:rPr>
            <w:noProof/>
            <w:webHidden/>
          </w:rPr>
          <w:t>7</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903" w:history="1">
        <w:r w:rsidR="00952AE4" w:rsidRPr="00CD14EB">
          <w:rPr>
            <w:rStyle w:val="Hypertextovodkaz"/>
            <w:noProof/>
          </w:rPr>
          <w:t xml:space="preserve">Graf 2 Cena ropy Brent </w:t>
        </w:r>
        <w:r w:rsidR="00952AE4" w:rsidRPr="00CD14EB">
          <w:rPr>
            <w:rStyle w:val="Hypertextovodkaz"/>
            <w:i/>
            <w:noProof/>
          </w:rPr>
          <w:t>(USD/barel)</w:t>
        </w:r>
        <w:r w:rsidR="00952AE4">
          <w:rPr>
            <w:noProof/>
            <w:webHidden/>
          </w:rPr>
          <w:tab/>
        </w:r>
        <w:r w:rsidR="00952AE4">
          <w:rPr>
            <w:noProof/>
            <w:webHidden/>
          </w:rPr>
          <w:fldChar w:fldCharType="begin"/>
        </w:r>
        <w:r w:rsidR="00952AE4">
          <w:rPr>
            <w:noProof/>
            <w:webHidden/>
          </w:rPr>
          <w:instrText xml:space="preserve"> PAGEREF _Toc83882903 \h </w:instrText>
        </w:r>
        <w:r w:rsidR="00952AE4">
          <w:rPr>
            <w:noProof/>
            <w:webHidden/>
          </w:rPr>
        </w:r>
        <w:r w:rsidR="00952AE4">
          <w:rPr>
            <w:noProof/>
            <w:webHidden/>
          </w:rPr>
          <w:fldChar w:fldCharType="separate"/>
        </w:r>
        <w:r>
          <w:rPr>
            <w:noProof/>
            <w:webHidden/>
          </w:rPr>
          <w:t>8</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904" w:history="1">
        <w:r w:rsidR="00952AE4" w:rsidRPr="00CD14EB">
          <w:rPr>
            <w:rStyle w:val="Hypertextovodkaz"/>
            <w:noProof/>
          </w:rPr>
          <w:t xml:space="preserve">Graf 3 Měnový kurz CZK/EUR </w:t>
        </w:r>
        <w:r w:rsidR="00952AE4" w:rsidRPr="00CD14EB">
          <w:rPr>
            <w:rStyle w:val="Hypertextovodkaz"/>
            <w:i/>
            <w:noProof/>
          </w:rPr>
          <w:t>(průměr roku)</w:t>
        </w:r>
        <w:r w:rsidR="00952AE4">
          <w:rPr>
            <w:noProof/>
            <w:webHidden/>
          </w:rPr>
          <w:tab/>
        </w:r>
        <w:r w:rsidR="00952AE4">
          <w:rPr>
            <w:noProof/>
            <w:webHidden/>
          </w:rPr>
          <w:fldChar w:fldCharType="begin"/>
        </w:r>
        <w:r w:rsidR="00952AE4">
          <w:rPr>
            <w:noProof/>
            <w:webHidden/>
          </w:rPr>
          <w:instrText xml:space="preserve"> PAGEREF _Toc83882904 \h </w:instrText>
        </w:r>
        <w:r w:rsidR="00952AE4">
          <w:rPr>
            <w:noProof/>
            <w:webHidden/>
          </w:rPr>
        </w:r>
        <w:r w:rsidR="00952AE4">
          <w:rPr>
            <w:noProof/>
            <w:webHidden/>
          </w:rPr>
          <w:fldChar w:fldCharType="separate"/>
        </w:r>
        <w:r>
          <w:rPr>
            <w:noProof/>
            <w:webHidden/>
          </w:rPr>
          <w:t>8</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905" w:history="1">
        <w:r w:rsidR="00952AE4" w:rsidRPr="00CD14EB">
          <w:rPr>
            <w:rStyle w:val="Hypertextovodkaz"/>
            <w:noProof/>
          </w:rPr>
          <w:t xml:space="preserve">Graf 4 Reálný hrubý domácí produkt </w:t>
        </w:r>
        <w:r w:rsidR="00952AE4" w:rsidRPr="00CD14EB">
          <w:rPr>
            <w:rStyle w:val="Hypertextovodkaz"/>
            <w:i/>
            <w:noProof/>
          </w:rPr>
          <w:t>(růst proti předchozímu roku v %)</w:t>
        </w:r>
        <w:r w:rsidR="00952AE4">
          <w:rPr>
            <w:noProof/>
            <w:webHidden/>
          </w:rPr>
          <w:tab/>
        </w:r>
        <w:r w:rsidR="00952AE4">
          <w:rPr>
            <w:noProof/>
            <w:webHidden/>
          </w:rPr>
          <w:fldChar w:fldCharType="begin"/>
        </w:r>
        <w:r w:rsidR="00952AE4">
          <w:rPr>
            <w:noProof/>
            <w:webHidden/>
          </w:rPr>
          <w:instrText xml:space="preserve"> PAGEREF _Toc83882905 \h </w:instrText>
        </w:r>
        <w:r w:rsidR="00952AE4">
          <w:rPr>
            <w:noProof/>
            <w:webHidden/>
          </w:rPr>
        </w:r>
        <w:r w:rsidR="00952AE4">
          <w:rPr>
            <w:noProof/>
            <w:webHidden/>
          </w:rPr>
          <w:fldChar w:fldCharType="separate"/>
        </w:r>
        <w:r>
          <w:rPr>
            <w:noProof/>
            <w:webHidden/>
          </w:rPr>
          <w:t>9</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906" w:history="1">
        <w:r w:rsidR="00952AE4" w:rsidRPr="00CD14EB">
          <w:rPr>
            <w:rStyle w:val="Hypertextovodkaz"/>
            <w:noProof/>
          </w:rPr>
          <w:t xml:space="preserve">Graf 5 Spotřebitelské ceny </w:t>
        </w:r>
        <w:r w:rsidR="00952AE4" w:rsidRPr="00CD14EB">
          <w:rPr>
            <w:rStyle w:val="Hypertextovodkaz"/>
            <w:i/>
            <w:noProof/>
          </w:rPr>
          <w:t>(průměrná míra inflace v %)</w:t>
        </w:r>
        <w:r w:rsidR="00952AE4">
          <w:rPr>
            <w:noProof/>
            <w:webHidden/>
          </w:rPr>
          <w:tab/>
        </w:r>
        <w:r w:rsidR="00952AE4">
          <w:rPr>
            <w:noProof/>
            <w:webHidden/>
          </w:rPr>
          <w:fldChar w:fldCharType="begin"/>
        </w:r>
        <w:r w:rsidR="00952AE4">
          <w:rPr>
            <w:noProof/>
            <w:webHidden/>
          </w:rPr>
          <w:instrText xml:space="preserve"> PAGEREF _Toc83882906 \h </w:instrText>
        </w:r>
        <w:r w:rsidR="00952AE4">
          <w:rPr>
            <w:noProof/>
            <w:webHidden/>
          </w:rPr>
        </w:r>
        <w:r w:rsidR="00952AE4">
          <w:rPr>
            <w:noProof/>
            <w:webHidden/>
          </w:rPr>
          <w:fldChar w:fldCharType="separate"/>
        </w:r>
        <w:r>
          <w:rPr>
            <w:noProof/>
            <w:webHidden/>
          </w:rPr>
          <w:t>10</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907" w:history="1">
        <w:r w:rsidR="00952AE4" w:rsidRPr="00CD14EB">
          <w:rPr>
            <w:rStyle w:val="Hypertextovodkaz"/>
            <w:noProof/>
          </w:rPr>
          <w:t xml:space="preserve">Graf 6 Zaměstnanost </w:t>
        </w:r>
        <w:r w:rsidR="00952AE4" w:rsidRPr="00CD14EB">
          <w:rPr>
            <w:rStyle w:val="Hypertextovodkaz"/>
            <w:i/>
            <w:noProof/>
          </w:rPr>
          <w:t>(růst proti předchozímu roku v %)</w:t>
        </w:r>
        <w:r w:rsidR="00952AE4">
          <w:rPr>
            <w:noProof/>
            <w:webHidden/>
          </w:rPr>
          <w:tab/>
        </w:r>
        <w:r w:rsidR="00952AE4">
          <w:rPr>
            <w:noProof/>
            <w:webHidden/>
          </w:rPr>
          <w:fldChar w:fldCharType="begin"/>
        </w:r>
        <w:r w:rsidR="00952AE4">
          <w:rPr>
            <w:noProof/>
            <w:webHidden/>
          </w:rPr>
          <w:instrText xml:space="preserve"> PAGEREF _Toc83882907 \h </w:instrText>
        </w:r>
        <w:r w:rsidR="00952AE4">
          <w:rPr>
            <w:noProof/>
            <w:webHidden/>
          </w:rPr>
        </w:r>
        <w:r w:rsidR="00952AE4">
          <w:rPr>
            <w:noProof/>
            <w:webHidden/>
          </w:rPr>
          <w:fldChar w:fldCharType="separate"/>
        </w:r>
        <w:r>
          <w:rPr>
            <w:noProof/>
            <w:webHidden/>
          </w:rPr>
          <w:t>10</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908" w:history="1">
        <w:r w:rsidR="00952AE4" w:rsidRPr="00CD14EB">
          <w:rPr>
            <w:rStyle w:val="Hypertextovodkaz"/>
            <w:noProof/>
          </w:rPr>
          <w:t xml:space="preserve">Graf 7 Míra nezaměstnanosti </w:t>
        </w:r>
        <w:r w:rsidR="00952AE4" w:rsidRPr="00CD14EB">
          <w:rPr>
            <w:rStyle w:val="Hypertextovodkaz"/>
            <w:i/>
            <w:noProof/>
          </w:rPr>
          <w:t>(v % pracovní síly)</w:t>
        </w:r>
        <w:r w:rsidR="00952AE4">
          <w:rPr>
            <w:noProof/>
            <w:webHidden/>
          </w:rPr>
          <w:tab/>
        </w:r>
        <w:r w:rsidR="00952AE4">
          <w:rPr>
            <w:noProof/>
            <w:webHidden/>
          </w:rPr>
          <w:fldChar w:fldCharType="begin"/>
        </w:r>
        <w:r w:rsidR="00952AE4">
          <w:rPr>
            <w:noProof/>
            <w:webHidden/>
          </w:rPr>
          <w:instrText xml:space="preserve"> PAGEREF _Toc83882908 \h </w:instrText>
        </w:r>
        <w:r w:rsidR="00952AE4">
          <w:rPr>
            <w:noProof/>
            <w:webHidden/>
          </w:rPr>
        </w:r>
        <w:r w:rsidR="00952AE4">
          <w:rPr>
            <w:noProof/>
            <w:webHidden/>
          </w:rPr>
          <w:fldChar w:fldCharType="separate"/>
        </w:r>
        <w:r>
          <w:rPr>
            <w:noProof/>
            <w:webHidden/>
          </w:rPr>
          <w:t>11</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909" w:history="1">
        <w:r w:rsidR="00952AE4" w:rsidRPr="00CD14EB">
          <w:rPr>
            <w:rStyle w:val="Hypertextovodkaz"/>
            <w:noProof/>
          </w:rPr>
          <w:t xml:space="preserve">Graf 8 Objem mezd a platů </w:t>
        </w:r>
        <w:r w:rsidR="00952AE4" w:rsidRPr="00CD14EB">
          <w:rPr>
            <w:rStyle w:val="Hypertextovodkaz"/>
            <w:i/>
            <w:noProof/>
          </w:rPr>
          <w:t>(domácí koncept, růst proti předchozímu roku v %)</w:t>
        </w:r>
        <w:r w:rsidR="00952AE4">
          <w:rPr>
            <w:noProof/>
            <w:webHidden/>
          </w:rPr>
          <w:tab/>
        </w:r>
        <w:r w:rsidR="00952AE4">
          <w:rPr>
            <w:noProof/>
            <w:webHidden/>
          </w:rPr>
          <w:fldChar w:fldCharType="begin"/>
        </w:r>
        <w:r w:rsidR="00952AE4">
          <w:rPr>
            <w:noProof/>
            <w:webHidden/>
          </w:rPr>
          <w:instrText xml:space="preserve"> PAGEREF _Toc83882909 \h </w:instrText>
        </w:r>
        <w:r w:rsidR="00952AE4">
          <w:rPr>
            <w:noProof/>
            <w:webHidden/>
          </w:rPr>
        </w:r>
        <w:r w:rsidR="00952AE4">
          <w:rPr>
            <w:noProof/>
            <w:webHidden/>
          </w:rPr>
          <w:fldChar w:fldCharType="separate"/>
        </w:r>
        <w:r>
          <w:rPr>
            <w:noProof/>
            <w:webHidden/>
          </w:rPr>
          <w:t>11</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910" w:history="1">
        <w:r w:rsidR="00952AE4" w:rsidRPr="00CD14EB">
          <w:rPr>
            <w:rStyle w:val="Hypertextovodkaz"/>
            <w:noProof/>
          </w:rPr>
          <w:t xml:space="preserve">Graf 9 Saldo běžného účtu platební bilance </w:t>
        </w:r>
        <w:r w:rsidR="00952AE4" w:rsidRPr="00CD14EB">
          <w:rPr>
            <w:rStyle w:val="Hypertextovodkaz"/>
            <w:i/>
            <w:noProof/>
          </w:rPr>
          <w:t>(v % HDP)</w:t>
        </w:r>
        <w:r w:rsidR="00952AE4">
          <w:rPr>
            <w:noProof/>
            <w:webHidden/>
          </w:rPr>
          <w:tab/>
        </w:r>
        <w:r w:rsidR="00952AE4">
          <w:rPr>
            <w:noProof/>
            <w:webHidden/>
          </w:rPr>
          <w:fldChar w:fldCharType="begin"/>
        </w:r>
        <w:r w:rsidR="00952AE4">
          <w:rPr>
            <w:noProof/>
            <w:webHidden/>
          </w:rPr>
          <w:instrText xml:space="preserve"> PAGEREF _Toc83882910 \h </w:instrText>
        </w:r>
        <w:r w:rsidR="00952AE4">
          <w:rPr>
            <w:noProof/>
            <w:webHidden/>
          </w:rPr>
        </w:r>
        <w:r w:rsidR="00952AE4">
          <w:rPr>
            <w:noProof/>
            <w:webHidden/>
          </w:rPr>
          <w:fldChar w:fldCharType="separate"/>
        </w:r>
        <w:r>
          <w:rPr>
            <w:noProof/>
            <w:webHidden/>
          </w:rPr>
          <w:t>12</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911" w:history="1">
        <w:r w:rsidR="00952AE4" w:rsidRPr="00CD14EB">
          <w:rPr>
            <w:rStyle w:val="Hypertextovodkaz"/>
            <w:noProof/>
          </w:rPr>
          <w:t xml:space="preserve">Graf 10: Saldo veřejných financí </w:t>
        </w:r>
        <w:r w:rsidR="00952AE4" w:rsidRPr="00CD14EB">
          <w:rPr>
            <w:rStyle w:val="Hypertextovodkaz"/>
            <w:i/>
            <w:noProof/>
          </w:rPr>
          <w:t>(saldo sektoru vládních institucí, v % HDP)</w:t>
        </w:r>
        <w:r w:rsidR="00952AE4">
          <w:rPr>
            <w:noProof/>
            <w:webHidden/>
          </w:rPr>
          <w:tab/>
        </w:r>
        <w:r w:rsidR="00952AE4">
          <w:rPr>
            <w:noProof/>
            <w:webHidden/>
          </w:rPr>
          <w:fldChar w:fldCharType="begin"/>
        </w:r>
        <w:r w:rsidR="00952AE4">
          <w:rPr>
            <w:noProof/>
            <w:webHidden/>
          </w:rPr>
          <w:instrText xml:space="preserve"> PAGEREF _Toc83882911 \h </w:instrText>
        </w:r>
        <w:r w:rsidR="00952AE4">
          <w:rPr>
            <w:noProof/>
            <w:webHidden/>
          </w:rPr>
        </w:r>
        <w:r w:rsidR="00952AE4">
          <w:rPr>
            <w:noProof/>
            <w:webHidden/>
          </w:rPr>
          <w:fldChar w:fldCharType="separate"/>
        </w:r>
        <w:r>
          <w:rPr>
            <w:noProof/>
            <w:webHidden/>
          </w:rPr>
          <w:t>16</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912" w:history="1">
        <w:r w:rsidR="00952AE4" w:rsidRPr="00CD14EB">
          <w:rPr>
            <w:rStyle w:val="Hypertextovodkaz"/>
            <w:noProof/>
          </w:rPr>
          <w:t xml:space="preserve">Graf 11 Vývoj základních ukazatelů státního rozpočtu v letech 2011 – 2024 </w:t>
        </w:r>
        <w:r w:rsidR="00952AE4" w:rsidRPr="00CD14EB">
          <w:rPr>
            <w:rStyle w:val="Hypertextovodkaz"/>
            <w:i/>
            <w:noProof/>
          </w:rPr>
          <w:t>(v mld. Kč)</w:t>
        </w:r>
        <w:r w:rsidR="00952AE4">
          <w:rPr>
            <w:noProof/>
            <w:webHidden/>
          </w:rPr>
          <w:tab/>
        </w:r>
        <w:r w:rsidR="00952AE4">
          <w:rPr>
            <w:noProof/>
            <w:webHidden/>
          </w:rPr>
          <w:fldChar w:fldCharType="begin"/>
        </w:r>
        <w:r w:rsidR="00952AE4">
          <w:rPr>
            <w:noProof/>
            <w:webHidden/>
          </w:rPr>
          <w:instrText xml:space="preserve"> PAGEREF _Toc83882912 \h </w:instrText>
        </w:r>
        <w:r w:rsidR="00952AE4">
          <w:rPr>
            <w:noProof/>
            <w:webHidden/>
          </w:rPr>
        </w:r>
        <w:r w:rsidR="00952AE4">
          <w:rPr>
            <w:noProof/>
            <w:webHidden/>
          </w:rPr>
          <w:fldChar w:fldCharType="separate"/>
        </w:r>
        <w:r>
          <w:rPr>
            <w:noProof/>
            <w:webHidden/>
          </w:rPr>
          <w:t>29</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913" w:history="1">
        <w:r w:rsidR="00952AE4" w:rsidRPr="00CD14EB">
          <w:rPr>
            <w:rStyle w:val="Hypertextovodkaz"/>
            <w:noProof/>
          </w:rPr>
          <w:t xml:space="preserve">Graf 12 Vývoj podílu mandatorních výdajů a quasi mandatorních výdajů na celkových výdajích 2011-2024 </w:t>
        </w:r>
        <w:r w:rsidR="00952AE4" w:rsidRPr="00CD14EB">
          <w:rPr>
            <w:rStyle w:val="Hypertextovodkaz"/>
            <w:i/>
            <w:noProof/>
          </w:rPr>
          <w:t>(v %)</w:t>
        </w:r>
        <w:r w:rsidR="00952AE4">
          <w:rPr>
            <w:noProof/>
            <w:webHidden/>
          </w:rPr>
          <w:tab/>
        </w:r>
        <w:r w:rsidR="00952AE4">
          <w:rPr>
            <w:noProof/>
            <w:webHidden/>
          </w:rPr>
          <w:fldChar w:fldCharType="begin"/>
        </w:r>
        <w:r w:rsidR="00952AE4">
          <w:rPr>
            <w:noProof/>
            <w:webHidden/>
          </w:rPr>
          <w:instrText xml:space="preserve"> PAGEREF _Toc83882913 \h </w:instrText>
        </w:r>
        <w:r w:rsidR="00952AE4">
          <w:rPr>
            <w:noProof/>
            <w:webHidden/>
          </w:rPr>
        </w:r>
        <w:r w:rsidR="00952AE4">
          <w:rPr>
            <w:noProof/>
            <w:webHidden/>
          </w:rPr>
          <w:fldChar w:fldCharType="separate"/>
        </w:r>
        <w:r>
          <w:rPr>
            <w:noProof/>
            <w:webHidden/>
          </w:rPr>
          <w:t>30</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914" w:history="1">
        <w:r w:rsidR="00952AE4" w:rsidRPr="00CD14EB">
          <w:rPr>
            <w:rStyle w:val="Hypertextovodkaz"/>
            <w:noProof/>
          </w:rPr>
          <w:t>Graf 13 Podíl mandatorních výdajů celkem a quasi mandatorních výdajů na HDP a příjmech státního rozpočtu</w:t>
        </w:r>
        <w:r w:rsidR="00952AE4">
          <w:rPr>
            <w:noProof/>
            <w:webHidden/>
          </w:rPr>
          <w:tab/>
        </w:r>
        <w:r w:rsidR="00952AE4">
          <w:rPr>
            <w:noProof/>
            <w:webHidden/>
          </w:rPr>
          <w:fldChar w:fldCharType="begin"/>
        </w:r>
        <w:r w:rsidR="00952AE4">
          <w:rPr>
            <w:noProof/>
            <w:webHidden/>
          </w:rPr>
          <w:instrText xml:space="preserve"> PAGEREF _Toc83882914 \h </w:instrText>
        </w:r>
        <w:r w:rsidR="00952AE4">
          <w:rPr>
            <w:noProof/>
            <w:webHidden/>
          </w:rPr>
        </w:r>
        <w:r w:rsidR="00952AE4">
          <w:rPr>
            <w:noProof/>
            <w:webHidden/>
          </w:rPr>
          <w:fldChar w:fldCharType="separate"/>
        </w:r>
        <w:r>
          <w:rPr>
            <w:noProof/>
            <w:webHidden/>
          </w:rPr>
          <w:t>31</w:t>
        </w:r>
        <w:r w:rsidR="00952AE4">
          <w:rPr>
            <w:noProof/>
            <w:webHidden/>
          </w:rPr>
          <w:fldChar w:fldCharType="end"/>
        </w:r>
      </w:hyperlink>
    </w:p>
    <w:p w:rsidR="00952AE4" w:rsidRDefault="00D51DCA">
      <w:pPr>
        <w:pStyle w:val="Seznamobrzk"/>
        <w:rPr>
          <w:rFonts w:asciiTheme="minorHAnsi" w:eastAsiaTheme="minorEastAsia" w:hAnsiTheme="minorHAnsi" w:cstheme="minorBidi"/>
          <w:noProof/>
          <w:sz w:val="22"/>
          <w:szCs w:val="22"/>
        </w:rPr>
      </w:pPr>
      <w:hyperlink w:anchor="_Toc83882915" w:history="1">
        <w:r w:rsidR="00952AE4" w:rsidRPr="00CD14EB">
          <w:rPr>
            <w:rStyle w:val="Hypertextovodkaz"/>
            <w:noProof/>
          </w:rPr>
          <w:t>Graf 14 Vývoj státního dluhu a jeho střednědobý výhled v letech 2007 - 2024</w:t>
        </w:r>
        <w:r w:rsidR="00952AE4">
          <w:rPr>
            <w:noProof/>
            <w:webHidden/>
          </w:rPr>
          <w:tab/>
        </w:r>
        <w:r w:rsidR="00952AE4">
          <w:rPr>
            <w:noProof/>
            <w:webHidden/>
          </w:rPr>
          <w:fldChar w:fldCharType="begin"/>
        </w:r>
        <w:r w:rsidR="00952AE4">
          <w:rPr>
            <w:noProof/>
            <w:webHidden/>
          </w:rPr>
          <w:instrText xml:space="preserve"> PAGEREF _Toc83882915 \h </w:instrText>
        </w:r>
        <w:r w:rsidR="00952AE4">
          <w:rPr>
            <w:noProof/>
            <w:webHidden/>
          </w:rPr>
        </w:r>
        <w:r w:rsidR="00952AE4">
          <w:rPr>
            <w:noProof/>
            <w:webHidden/>
          </w:rPr>
          <w:fldChar w:fldCharType="separate"/>
        </w:r>
        <w:r>
          <w:rPr>
            <w:noProof/>
            <w:webHidden/>
          </w:rPr>
          <w:t>48</w:t>
        </w:r>
        <w:r w:rsidR="00952AE4">
          <w:rPr>
            <w:noProof/>
            <w:webHidden/>
          </w:rPr>
          <w:fldChar w:fldCharType="end"/>
        </w:r>
      </w:hyperlink>
    </w:p>
    <w:p w:rsidR="00702948" w:rsidRDefault="008E1569" w:rsidP="00013F50">
      <w:r>
        <w:fldChar w:fldCharType="end"/>
      </w:r>
    </w:p>
    <w:p w:rsidR="008E1569" w:rsidRDefault="008E1569" w:rsidP="00013F50"/>
    <w:p w:rsidR="00702948" w:rsidRDefault="00702948" w:rsidP="00013F50">
      <w:pPr>
        <w:sectPr w:rsidR="00702948" w:rsidSect="00FF5023">
          <w:pgSz w:w="11906" w:h="16838" w:code="9"/>
          <w:pgMar w:top="1134" w:right="1134" w:bottom="1418" w:left="1134" w:header="709" w:footer="709" w:gutter="0"/>
          <w:cols w:space="709"/>
          <w:docGrid w:linePitch="360"/>
        </w:sectPr>
      </w:pPr>
    </w:p>
    <w:p w:rsidR="001A64A9" w:rsidRPr="00AF6FB1" w:rsidRDefault="001A64A9" w:rsidP="00B47F77">
      <w:pPr>
        <w:pStyle w:val="Nadpis1"/>
      </w:pPr>
      <w:bookmarkStart w:id="0" w:name="_Toc52369374"/>
      <w:bookmarkStart w:id="1" w:name="_Toc238787314"/>
      <w:bookmarkStart w:id="2" w:name="_Toc239042728"/>
      <w:bookmarkStart w:id="3" w:name="_Toc239056357"/>
      <w:bookmarkStart w:id="4" w:name="_Toc239056395"/>
      <w:bookmarkStart w:id="5" w:name="_Toc525714681"/>
      <w:bookmarkStart w:id="6" w:name="_Toc5956941"/>
      <w:r w:rsidRPr="00AF6FB1">
        <w:lastRenderedPageBreak/>
        <w:t>Úvod</w:t>
      </w:r>
      <w:bookmarkEnd w:id="0"/>
    </w:p>
    <w:p w:rsidR="00285859" w:rsidRDefault="00285859" w:rsidP="00285859">
      <w:pPr>
        <w:sectPr w:rsidR="00285859" w:rsidSect="00A373CE">
          <w:footerReference w:type="first" r:id="rId11"/>
          <w:pgSz w:w="11906" w:h="16838" w:code="9"/>
          <w:pgMar w:top="1134" w:right="1134" w:bottom="1418" w:left="1134" w:header="709" w:footer="709" w:gutter="0"/>
          <w:cols w:space="709"/>
          <w:docGrid w:linePitch="360"/>
        </w:sectPr>
      </w:pPr>
    </w:p>
    <w:p w:rsidR="00285859" w:rsidRDefault="00B12FC5" w:rsidP="00B31CD9">
      <w:pPr>
        <w:pStyle w:val="SRTextnomal"/>
      </w:pPr>
      <w:r>
        <w:lastRenderedPageBreak/>
        <w:t>Zákon o rozpočtových pravidlech ukládá vládě předložit Poslanecké sněmovně na vědomí střednědobý výhled.</w:t>
      </w:r>
    </w:p>
    <w:p w:rsidR="00CA0006" w:rsidRDefault="00285859" w:rsidP="00B31CD9">
      <w:pPr>
        <w:pStyle w:val="SRTextnomal"/>
      </w:pPr>
      <w:r>
        <w:t>Střednědobý výhled se zpracovává zároveň s návrhem státního rozpočtu na příslušný rok a jeho obsah tvoří př</w:t>
      </w:r>
      <w:r>
        <w:t>í</w:t>
      </w:r>
      <w:r>
        <w:t xml:space="preserve">jmy a výdaje státního rozpočtu a státních fondů </w:t>
      </w:r>
      <w:r>
        <w:lastRenderedPageBreak/>
        <w:t>na</w:t>
      </w:r>
      <w:r w:rsidR="00EB25E0">
        <w:t> </w:t>
      </w:r>
      <w:r>
        <w:t>dvouleté období následující po roce, na který je s</w:t>
      </w:r>
      <w:r>
        <w:t>e</w:t>
      </w:r>
      <w:r>
        <w:t>stavován a zpracováván návrh státního rozpočtu. Výhled poskytuje přehled o klíčových aspektech budoucího v</w:t>
      </w:r>
      <w:r>
        <w:t>ý</w:t>
      </w:r>
      <w:r>
        <w:t>voje ve fiskální oblasti.</w:t>
      </w:r>
    </w:p>
    <w:p w:rsidR="00CA0006" w:rsidRDefault="00CA0006" w:rsidP="00B31CD9">
      <w:pPr>
        <w:pStyle w:val="SRTextnomal"/>
        <w:sectPr w:rsidR="00CA0006" w:rsidSect="00CA0006">
          <w:headerReference w:type="default" r:id="rId12"/>
          <w:footerReference w:type="even" r:id="rId13"/>
          <w:type w:val="continuous"/>
          <w:pgSz w:w="11906" w:h="16838" w:code="9"/>
          <w:pgMar w:top="1134" w:right="1134" w:bottom="1418" w:left="1134" w:header="709" w:footer="709" w:gutter="0"/>
          <w:cols w:num="2" w:space="397"/>
          <w:docGrid w:linePitch="360"/>
        </w:sectPr>
      </w:pPr>
    </w:p>
    <w:p w:rsidR="00CA0006" w:rsidRDefault="00CA0006" w:rsidP="00285859">
      <w:pPr>
        <w:sectPr w:rsidR="00CA0006" w:rsidSect="00CA0006">
          <w:type w:val="continuous"/>
          <w:pgSz w:w="11906" w:h="16838" w:code="9"/>
          <w:pgMar w:top="1134" w:right="1134" w:bottom="1418" w:left="1134" w:header="709" w:footer="709" w:gutter="0"/>
          <w:cols w:num="2" w:space="397"/>
          <w:docGrid w:linePitch="360"/>
        </w:sectPr>
      </w:pPr>
    </w:p>
    <w:p w:rsidR="00F95AB4" w:rsidRPr="00B93A7A" w:rsidRDefault="001A64A9" w:rsidP="00294399">
      <w:pPr>
        <w:pStyle w:val="SRNadpisAB"/>
      </w:pPr>
      <w:bookmarkStart w:id="7" w:name="_Toc52369375"/>
      <w:bookmarkStart w:id="8" w:name="_Toc83882801"/>
      <w:bookmarkEnd w:id="1"/>
      <w:bookmarkEnd w:id="2"/>
      <w:bookmarkEnd w:id="3"/>
      <w:bookmarkEnd w:id="4"/>
      <w:bookmarkEnd w:id="5"/>
      <w:bookmarkEnd w:id="6"/>
      <w:r w:rsidRPr="00B93A7A">
        <w:lastRenderedPageBreak/>
        <w:t>Makroekonomický ráme</w:t>
      </w:r>
      <w:r w:rsidR="007D1B83" w:rsidRPr="00B93A7A">
        <w:t>c</w:t>
      </w:r>
      <w:r w:rsidRPr="00B93A7A">
        <w:t xml:space="preserve"> na léta 202</w:t>
      </w:r>
      <w:r w:rsidR="001F55B5" w:rsidRPr="00B93A7A">
        <w:t>3</w:t>
      </w:r>
      <w:r w:rsidRPr="00B93A7A">
        <w:t xml:space="preserve"> </w:t>
      </w:r>
      <w:r w:rsidR="00F95AB4" w:rsidRPr="00B93A7A">
        <w:t>–</w:t>
      </w:r>
      <w:r w:rsidRPr="00B93A7A">
        <w:t xml:space="preserve"> 202</w:t>
      </w:r>
      <w:r w:rsidR="001F55B5" w:rsidRPr="00B93A7A">
        <w:t>4</w:t>
      </w:r>
      <w:bookmarkEnd w:id="7"/>
      <w:bookmarkEnd w:id="8"/>
    </w:p>
    <w:p w:rsidR="00222624" w:rsidRPr="00B93A7A" w:rsidRDefault="00222624" w:rsidP="005A27EF">
      <w:pPr>
        <w:pStyle w:val="SRNadpis1"/>
      </w:pPr>
      <w:bookmarkStart w:id="9" w:name="_Toc83882802"/>
      <w:r w:rsidRPr="00B93A7A">
        <w:t>Shrnutí makroekonomického rámce</w:t>
      </w:r>
      <w:bookmarkEnd w:id="9"/>
    </w:p>
    <w:p w:rsidR="00222624" w:rsidRDefault="00222624" w:rsidP="00222624">
      <w:pPr>
        <w:sectPr w:rsidR="00222624" w:rsidSect="00276DFA">
          <w:type w:val="continuous"/>
          <w:pgSz w:w="11906" w:h="16838" w:code="9"/>
          <w:pgMar w:top="1134" w:right="1134" w:bottom="1418" w:left="1134" w:header="709" w:footer="709" w:gutter="0"/>
          <w:cols w:space="709"/>
          <w:docGrid w:linePitch="360"/>
        </w:sectPr>
      </w:pPr>
      <w:bookmarkStart w:id="10" w:name="_Toc14695474"/>
      <w:bookmarkStart w:id="11" w:name="_Toc81233994"/>
    </w:p>
    <w:p w:rsidR="00222624" w:rsidRDefault="00222624" w:rsidP="00702948">
      <w:pPr>
        <w:pStyle w:val="SRTextnomal"/>
      </w:pPr>
      <w:r w:rsidRPr="008F140B">
        <w:lastRenderedPageBreak/>
        <w:t xml:space="preserve">Makroekonomický rámec </w:t>
      </w:r>
      <w:r>
        <w:t xml:space="preserve">střednědobého </w:t>
      </w:r>
      <w:r w:rsidRPr="008F140B">
        <w:t xml:space="preserve">výhledu státního rozpočtu byl dne </w:t>
      </w:r>
      <w:r>
        <w:t>30</w:t>
      </w:r>
      <w:r w:rsidRPr="008F140B">
        <w:t>.</w:t>
      </w:r>
      <w:r>
        <w:t> srpna</w:t>
      </w:r>
      <w:r w:rsidRPr="008F140B">
        <w:t xml:space="preserve"> 20</w:t>
      </w:r>
      <w:r>
        <w:t>21,</w:t>
      </w:r>
      <w:r w:rsidRPr="008F140B">
        <w:t xml:space="preserve"> v souladu se zákonem č.</w:t>
      </w:r>
      <w:r>
        <w:t> </w:t>
      </w:r>
      <w:r w:rsidRPr="008F140B">
        <w:t>23/2017 Sb. o</w:t>
      </w:r>
      <w:r>
        <w:t> </w:t>
      </w:r>
      <w:r w:rsidRPr="008F140B">
        <w:t xml:space="preserve">pravidlech </w:t>
      </w:r>
      <w:r w:rsidRPr="00703196">
        <w:t>rozpočtové o</w:t>
      </w:r>
      <w:r w:rsidRPr="00703196">
        <w:t>d</w:t>
      </w:r>
      <w:r w:rsidRPr="00703196">
        <w:t xml:space="preserve">povědnosti, ve znění pozdějších předpisů, posouzen Výborem pro rozpočtové prognózy a vyhodnocen jako </w:t>
      </w:r>
      <w:r w:rsidRPr="00703196">
        <w:rPr>
          <w:b/>
        </w:rPr>
        <w:t>realistický</w:t>
      </w:r>
      <w:r w:rsidRPr="00703196">
        <w:t>. Scénář makroekonomického rámce byl rovněž porovnán s prognózami relevantních institucí zabývajících se předpovídáním budoucího</w:t>
      </w:r>
      <w:r w:rsidRPr="00F06376">
        <w:t xml:space="preserve"> vývoje české ekonomiky.</w:t>
      </w:r>
      <w:r>
        <w:t xml:space="preserve"> V některých případech sice vybočuje z intervalu sledovaných prognóz, to je však patrně d</w:t>
      </w:r>
      <w:r>
        <w:t>á</w:t>
      </w:r>
      <w:r>
        <w:t>no rozdílnými daty zpracování jednotlivých predikcí, a tedy i odlišnými informacemi, z nichž prognózy v</w:t>
      </w:r>
      <w:r>
        <w:t>y</w:t>
      </w:r>
      <w:r>
        <w:t>cházejí.</w:t>
      </w:r>
    </w:p>
    <w:p w:rsidR="00222624" w:rsidRDefault="00222624" w:rsidP="00702948">
      <w:pPr>
        <w:pStyle w:val="SRTextnomal"/>
      </w:pPr>
      <w:r w:rsidRPr="00BE6E13">
        <w:rPr>
          <w:b/>
        </w:rPr>
        <w:t>Fiskální politika</w:t>
      </w:r>
      <w:r w:rsidRPr="00BE6E13">
        <w:t xml:space="preserve"> se řídí mantinely danými zákonem o pravidlech rozpočtové odpovědnosti. Ten definuje </w:t>
      </w:r>
      <w:r>
        <w:t>tr</w:t>
      </w:r>
      <w:r>
        <w:t>a</w:t>
      </w:r>
      <w:r>
        <w:t xml:space="preserve">jektorii </w:t>
      </w:r>
      <w:r w:rsidRPr="00BE6E13">
        <w:t>postup</w:t>
      </w:r>
      <w:r>
        <w:t>né</w:t>
      </w:r>
      <w:r w:rsidRPr="00BE6E13">
        <w:t xml:space="preserve"> konsolidac</w:t>
      </w:r>
      <w:r>
        <w:t>e</w:t>
      </w:r>
      <w:r w:rsidRPr="00BE6E13">
        <w:t xml:space="preserve"> veřejných financí až do </w:t>
      </w:r>
      <w:r>
        <w:t xml:space="preserve">opětovného </w:t>
      </w:r>
      <w:r w:rsidRPr="00BE6E13">
        <w:t>dosažení střednědobého rozpočtového c</w:t>
      </w:r>
      <w:r w:rsidRPr="00BE6E13">
        <w:t>í</w:t>
      </w:r>
      <w:r w:rsidRPr="00BE6E13">
        <w:t xml:space="preserve">le. </w:t>
      </w:r>
      <w:r>
        <w:t>Pohledem strukturálního salda je proto fiskální pol</w:t>
      </w:r>
      <w:r>
        <w:t>i</w:t>
      </w:r>
      <w:r>
        <w:t>tika pro následující roky nastavena restriktivně</w:t>
      </w:r>
      <w:r w:rsidRPr="00BE6E13">
        <w:t>.</w:t>
      </w:r>
      <w:r>
        <w:t xml:space="preserve"> Naopak </w:t>
      </w:r>
      <w:r>
        <w:rPr>
          <w:b/>
        </w:rPr>
        <w:t>m</w:t>
      </w:r>
      <w:r w:rsidRPr="00034DC0">
        <w:rPr>
          <w:b/>
        </w:rPr>
        <w:t>ěnové podmínky</w:t>
      </w:r>
      <w:r>
        <w:t xml:space="preserve"> by na ekonomiku díky úr</w:t>
      </w:r>
      <w:r>
        <w:t>o</w:t>
      </w:r>
      <w:r>
        <w:t>kové složce měly letos a v roce 2022 působit stimula</w:t>
      </w:r>
      <w:r>
        <w:t>č</w:t>
      </w:r>
      <w:r>
        <w:t>ně, byť v postupně se snižující míře. V dalších letech by již jejich vliv měl být téměř neutrální.</w:t>
      </w:r>
    </w:p>
    <w:p w:rsidR="00222624" w:rsidRDefault="00222624" w:rsidP="00702948">
      <w:pPr>
        <w:pStyle w:val="SRTextnomal"/>
      </w:pPr>
      <w:r>
        <w:t>Česká ekonomika na konci roku 2020 a v 1. čtvrtletí 2021 prokazovala mimořádnou odolnost vůči nepřízn</w:t>
      </w:r>
      <w:r>
        <w:t>i</w:t>
      </w:r>
      <w:r>
        <w:t>vé epidemické situaci. Ve 2. čtvrtletí 2021 hrubý d</w:t>
      </w:r>
      <w:r>
        <w:t>o</w:t>
      </w:r>
      <w:r>
        <w:t xml:space="preserve">mácí produkt mírně vzrostl, čemuž napomohlo uvolnění protiepidemických omezení, hospodářskou </w:t>
      </w:r>
      <w:r>
        <w:lastRenderedPageBreak/>
        <w:t>aktivitu však brzdily problémy v globálních dodavate</w:t>
      </w:r>
      <w:r>
        <w:t>l</w:t>
      </w:r>
      <w:r>
        <w:t>ských řetězcích. Od 3. čtvrtletí 2021 by ekonomika m</w:t>
      </w:r>
      <w:r>
        <w:t>ě</w:t>
      </w:r>
      <w:r>
        <w:t>la výrazněji oživovat, předchozí šok do agregátní poptávky i nabídky by tak měl být postupně kompe</w:t>
      </w:r>
      <w:r>
        <w:t>n</w:t>
      </w:r>
      <w:r>
        <w:t>zován.</w:t>
      </w:r>
    </w:p>
    <w:p w:rsidR="00222624" w:rsidRDefault="00222624" w:rsidP="00702948">
      <w:pPr>
        <w:pStyle w:val="SRTextnomal"/>
      </w:pPr>
      <w:r>
        <w:t xml:space="preserve">Dopad epidemie na </w:t>
      </w:r>
      <w:r w:rsidRPr="009F2E79">
        <w:rPr>
          <w:b/>
        </w:rPr>
        <w:t>trh práce</w:t>
      </w:r>
      <w:r>
        <w:t xml:space="preserve"> byl citelně ztlumen vlá</w:t>
      </w:r>
      <w:r>
        <w:t>d</w:t>
      </w:r>
      <w:r>
        <w:t>ními podpůrnými programy. Navzdory jejich ukončení v průběhu 2. čtvrtletí 2021 však míra nezaměstnanosti vlivem hospodářského oživení začala postupně klesat.</w:t>
      </w:r>
    </w:p>
    <w:p w:rsidR="00222624" w:rsidRDefault="00222624" w:rsidP="00702948">
      <w:pPr>
        <w:pStyle w:val="SRTextnomal"/>
      </w:pPr>
      <w:r>
        <w:t xml:space="preserve">Meziroční </w:t>
      </w:r>
      <w:r w:rsidRPr="00E84457">
        <w:rPr>
          <w:b/>
        </w:rPr>
        <w:t>inflace</w:t>
      </w:r>
      <w:r>
        <w:t xml:space="preserve"> se v červenci 2021 dostala nad horní hranici tolerančního pásma okolo 2% cíle České n</w:t>
      </w:r>
      <w:r>
        <w:t>á</w:t>
      </w:r>
      <w:r>
        <w:t>rodní banky a v 2. polovině letošního roku by měla d</w:t>
      </w:r>
      <w:r>
        <w:t>á</w:t>
      </w:r>
      <w:r>
        <w:t xml:space="preserve">le </w:t>
      </w:r>
      <w:r w:rsidRPr="00E84457">
        <w:rPr>
          <w:spacing w:val="-1"/>
        </w:rPr>
        <w:t>zrychlovat. Vy</w:t>
      </w:r>
      <w:r>
        <w:rPr>
          <w:spacing w:val="-1"/>
        </w:rPr>
        <w:t>šší</w:t>
      </w:r>
      <w:r w:rsidRPr="00E84457">
        <w:rPr>
          <w:spacing w:val="-1"/>
        </w:rPr>
        <w:t xml:space="preserve"> dynamika spotřebitelských cen odráží</w:t>
      </w:r>
      <w:r>
        <w:t xml:space="preserve"> frikce na straně nabídky a výrazný růst ceny r</w:t>
      </w:r>
      <w:r>
        <w:t>o</w:t>
      </w:r>
      <w:r>
        <w:t>py i jiných komodit.</w:t>
      </w:r>
    </w:p>
    <w:p w:rsidR="00222624" w:rsidRDefault="00222624" w:rsidP="00702948">
      <w:pPr>
        <w:pStyle w:val="SRTextnomal"/>
      </w:pPr>
      <w:r w:rsidRPr="00575C6F">
        <w:t xml:space="preserve">V </w:t>
      </w:r>
      <w:r w:rsidRPr="00575C6F">
        <w:rPr>
          <w:b/>
        </w:rPr>
        <w:t>makroekonomickém rámci</w:t>
      </w:r>
      <w:r w:rsidRPr="00575C6F">
        <w:t xml:space="preserve"> rozpočtového výhledu je očekáván postupn</w:t>
      </w:r>
      <w:r>
        <w:t>ý</w:t>
      </w:r>
      <w:r w:rsidRPr="00575C6F">
        <w:t xml:space="preserve"> </w:t>
      </w:r>
      <w:r>
        <w:t>nárůst hospodářs</w:t>
      </w:r>
      <w:r w:rsidRPr="00575C6F">
        <w:t xml:space="preserve">kého </w:t>
      </w:r>
      <w:r>
        <w:t>výkonu</w:t>
      </w:r>
      <w:r w:rsidRPr="00575C6F">
        <w:t xml:space="preserve">. </w:t>
      </w:r>
      <w:r>
        <w:t>M</w:t>
      </w:r>
      <w:r w:rsidRPr="00575C6F">
        <w:t>í</w:t>
      </w:r>
      <w:r w:rsidRPr="00575C6F">
        <w:t xml:space="preserve">ra inflace by </w:t>
      </w:r>
      <w:r>
        <w:t>měla být dočasně zvýšená, v horizontu výhledu by se již měla pohybovat v blízkosti inflačního cíle</w:t>
      </w:r>
      <w:r w:rsidRPr="00575C6F">
        <w:t xml:space="preserve">. </w:t>
      </w:r>
      <w:r>
        <w:t>Na trhu práce by díky ekonomickému růstu mělo docházet k pozvolnému zvyšování zaměstnanosti a poklesu míry nezaměstnanosti. Mzdový růst by měl zůstat umírněný. Přebytek na běžném</w:t>
      </w:r>
      <w:r w:rsidRPr="00575C6F">
        <w:t xml:space="preserve"> účt</w:t>
      </w:r>
      <w:r>
        <w:t>u</w:t>
      </w:r>
      <w:r w:rsidRPr="00575C6F">
        <w:t xml:space="preserve"> platební b</w:t>
      </w:r>
      <w:r w:rsidRPr="00575C6F">
        <w:t>i</w:t>
      </w:r>
      <w:r w:rsidRPr="00575C6F">
        <w:t xml:space="preserve">lance by měl </w:t>
      </w:r>
      <w:r>
        <w:t>postupně klesat, v letech 2023–24 by běžný účet mohl být téměř vyrovnaný</w:t>
      </w:r>
      <w:r w:rsidRPr="00575C6F">
        <w:t>.</w:t>
      </w:r>
    </w:p>
    <w:p w:rsidR="00222624" w:rsidRPr="00E663E3" w:rsidRDefault="00222624" w:rsidP="00222624"/>
    <w:p w:rsidR="00222624" w:rsidRPr="00E663E3" w:rsidRDefault="00222624" w:rsidP="00222624">
      <w:pPr>
        <w:sectPr w:rsidR="00222624" w:rsidRPr="00E663E3" w:rsidSect="00222624">
          <w:headerReference w:type="default" r:id="rId14"/>
          <w:footerReference w:type="even" r:id="rId15"/>
          <w:footerReference w:type="default" r:id="rId16"/>
          <w:type w:val="continuous"/>
          <w:pgSz w:w="11906" w:h="16838" w:code="9"/>
          <w:pgMar w:top="1134" w:right="1134" w:bottom="1418" w:left="1134" w:header="709" w:footer="709" w:gutter="0"/>
          <w:pgNumType w:start="1"/>
          <w:cols w:num="2" w:space="709"/>
          <w:docGrid w:linePitch="360"/>
        </w:sectPr>
      </w:pPr>
    </w:p>
    <w:p w:rsidR="005B222E" w:rsidRDefault="005B222E" w:rsidP="00497B37">
      <w:pPr>
        <w:pStyle w:val="SRtitulek1"/>
      </w:pPr>
      <w:bookmarkStart w:id="12" w:name="_Toc83882866"/>
      <w:r>
        <w:lastRenderedPageBreak/>
        <w:t xml:space="preserve">Tabulka </w:t>
      </w:r>
      <w:r w:rsidR="00D51DCA">
        <w:fldChar w:fldCharType="begin"/>
      </w:r>
      <w:r w:rsidR="00D51DCA">
        <w:instrText xml:space="preserve"> SEQ Tabulka \* ARABIC </w:instrText>
      </w:r>
      <w:r w:rsidR="00D51DCA">
        <w:fldChar w:fldCharType="separate"/>
      </w:r>
      <w:r w:rsidR="00D51DCA">
        <w:rPr>
          <w:noProof/>
        </w:rPr>
        <w:t>1</w:t>
      </w:r>
      <w:r w:rsidR="00D51DCA">
        <w:rPr>
          <w:noProof/>
        </w:rPr>
        <w:fldChar w:fldCharType="end"/>
      </w:r>
      <w:r>
        <w:t xml:space="preserve"> </w:t>
      </w:r>
      <w:r w:rsidRPr="00383A1A">
        <w:t xml:space="preserve">Predikce základních </w:t>
      </w:r>
      <w:r w:rsidRPr="006266E6">
        <w:t>makroekonomických</w:t>
      </w:r>
      <w:r w:rsidRPr="00383A1A">
        <w:t xml:space="preserve"> </w:t>
      </w:r>
      <w:r w:rsidRPr="00497B37">
        <w:t>indikátorů</w:t>
      </w:r>
      <w:bookmarkEnd w:id="12"/>
    </w:p>
    <w:p w:rsidR="00222624" w:rsidRDefault="00222624" w:rsidP="00222624">
      <w:pPr>
        <w:spacing w:after="0"/>
        <w:rPr>
          <w:noProof/>
        </w:rPr>
      </w:pPr>
      <w:r w:rsidRPr="0078082F">
        <w:rPr>
          <w:noProof/>
        </w:rPr>
        <w:drawing>
          <wp:inline distT="0" distB="0" distL="0" distR="0" wp14:anchorId="28D0C646" wp14:editId="6C532F76">
            <wp:extent cx="5669280" cy="3132373"/>
            <wp:effectExtent l="0" t="0" r="7620" b="0"/>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69434" cy="3132458"/>
                    </a:xfrm>
                    <a:prstGeom prst="rect">
                      <a:avLst/>
                    </a:prstGeom>
                    <a:noFill/>
                    <a:ln>
                      <a:noFill/>
                    </a:ln>
                  </pic:spPr>
                </pic:pic>
              </a:graphicData>
            </a:graphic>
          </wp:inline>
        </w:drawing>
      </w:r>
    </w:p>
    <w:p w:rsidR="00222624" w:rsidRDefault="00222624" w:rsidP="00222624">
      <w:pPr>
        <w:pStyle w:val="Zdrojpodtabulkounebografem"/>
      </w:pPr>
      <w:r w:rsidRPr="00B87A57">
        <w:t xml:space="preserve">Zdroj: </w:t>
      </w:r>
      <w:r w:rsidRPr="00383A1A">
        <w:t>MF</w:t>
      </w:r>
      <w:r>
        <w:t> ČR</w:t>
      </w:r>
      <w:r w:rsidRPr="00383A1A">
        <w:t>: Makroekonomická predikce ČR</w:t>
      </w:r>
      <w:r>
        <w:t xml:space="preserve"> (srpen 2021)</w:t>
      </w:r>
      <w:r w:rsidRPr="0058437E">
        <w:t>.</w:t>
      </w:r>
    </w:p>
    <w:p w:rsidR="00222624" w:rsidRDefault="00222624" w:rsidP="00222624">
      <w:pPr>
        <w:sectPr w:rsidR="00222624" w:rsidSect="00276DFA">
          <w:type w:val="continuous"/>
          <w:pgSz w:w="11906" w:h="16838" w:code="9"/>
          <w:pgMar w:top="1134" w:right="1134" w:bottom="1418" w:left="1134" w:header="709" w:footer="709" w:gutter="0"/>
          <w:cols w:space="709"/>
          <w:docGrid w:linePitch="360"/>
        </w:sectPr>
      </w:pPr>
    </w:p>
    <w:p w:rsidR="00222624" w:rsidRDefault="00222624" w:rsidP="005A27EF">
      <w:pPr>
        <w:pStyle w:val="SRNadpis1"/>
      </w:pPr>
      <w:bookmarkStart w:id="13" w:name="_Toc83882803"/>
      <w:r>
        <w:lastRenderedPageBreak/>
        <w:t>Makroekonomický rámec</w:t>
      </w:r>
      <w:bookmarkEnd w:id="13"/>
    </w:p>
    <w:p w:rsidR="00222624" w:rsidRDefault="00222624" w:rsidP="00222624">
      <w:pPr>
        <w:sectPr w:rsidR="00222624" w:rsidSect="00952AE4">
          <w:type w:val="continuous"/>
          <w:pgSz w:w="11906" w:h="16838" w:code="9"/>
          <w:pgMar w:top="1134" w:right="1134" w:bottom="1418" w:left="1134" w:header="709" w:footer="709" w:gutter="0"/>
          <w:pgNumType w:start="7"/>
          <w:cols w:space="709"/>
          <w:docGrid w:linePitch="360"/>
        </w:sectPr>
      </w:pPr>
    </w:p>
    <w:p w:rsidR="00222624" w:rsidRDefault="00222624" w:rsidP="00702948">
      <w:pPr>
        <w:pStyle w:val="SRTextnomal"/>
      </w:pPr>
      <w:r w:rsidRPr="008F140B">
        <w:lastRenderedPageBreak/>
        <w:t>Makroekonomický rámec střednědobého výhledu státního rozpočtu na roky 202</w:t>
      </w:r>
      <w:r>
        <w:t>3</w:t>
      </w:r>
      <w:r w:rsidRPr="008F140B">
        <w:t xml:space="preserve"> a 202</w:t>
      </w:r>
      <w:r>
        <w:t>4</w:t>
      </w:r>
      <w:r w:rsidRPr="008F140B">
        <w:t xml:space="preserve"> vychází </w:t>
      </w:r>
      <w:r>
        <w:t xml:space="preserve">z </w:t>
      </w:r>
      <w:r w:rsidRPr="008F140B">
        <w:t>Ma</w:t>
      </w:r>
      <w:r w:rsidRPr="008F140B">
        <w:t>k</w:t>
      </w:r>
      <w:r w:rsidRPr="008F140B">
        <w:t>roekonomické predikce Ministerstva financí</w:t>
      </w:r>
      <w:r>
        <w:t xml:space="preserve"> ze srpna 2021.</w:t>
      </w:r>
      <w:r w:rsidRPr="008F140B">
        <w:t xml:space="preserve"> </w:t>
      </w:r>
      <w:r>
        <w:t>N</w:t>
      </w:r>
      <w:r w:rsidRPr="008F140B">
        <w:t xml:space="preserve">avazuje na </w:t>
      </w:r>
      <w:r w:rsidRPr="008A468F">
        <w:t xml:space="preserve">makroekonomický rámec státního </w:t>
      </w:r>
      <w:r w:rsidRPr="00B93A7A">
        <w:t xml:space="preserve">rozpočtu na rok 2022 </w:t>
      </w:r>
      <w:r w:rsidRPr="00EE2C7A">
        <w:t xml:space="preserve">(část </w:t>
      </w:r>
      <w:r w:rsidR="00E5427F" w:rsidRPr="00EE2C7A">
        <w:t>A</w:t>
      </w:r>
      <w:r w:rsidRPr="00EE2C7A">
        <w:t>. rozpočtové dokument</w:t>
      </w:r>
      <w:r w:rsidRPr="00EE2C7A">
        <w:t>a</w:t>
      </w:r>
      <w:r w:rsidRPr="00EE2C7A">
        <w:t>ce).</w:t>
      </w:r>
    </w:p>
    <w:p w:rsidR="00222624" w:rsidRDefault="00222624" w:rsidP="00702948">
      <w:pPr>
        <w:pStyle w:val="SRTextnomal"/>
      </w:pPr>
      <w:r>
        <w:t>Pandemie koronaviru, p</w:t>
      </w:r>
      <w:r w:rsidRPr="00B5718A">
        <w:t>řij</w:t>
      </w:r>
      <w:r>
        <w:t>atá</w:t>
      </w:r>
      <w:r w:rsidRPr="00B5718A">
        <w:t xml:space="preserve"> </w:t>
      </w:r>
      <w:r>
        <w:t xml:space="preserve">protiepidemická </w:t>
      </w:r>
      <w:r w:rsidRPr="00B5718A">
        <w:t>opatř</w:t>
      </w:r>
      <w:r w:rsidRPr="00B5718A">
        <w:t>e</w:t>
      </w:r>
      <w:r w:rsidRPr="00B5718A">
        <w:t>ní a</w:t>
      </w:r>
      <w:r>
        <w:t> </w:t>
      </w:r>
      <w:r w:rsidRPr="00B5718A">
        <w:t>jejich doprovodné efekty</w:t>
      </w:r>
      <w:r>
        <w:t xml:space="preserve"> v roce 2020 způsobily hluboký pokles české a světové</w:t>
      </w:r>
      <w:r w:rsidRPr="009E24EE">
        <w:t xml:space="preserve"> ekonomik</w:t>
      </w:r>
      <w:r>
        <w:t>y. P</w:t>
      </w:r>
      <w:r w:rsidRPr="006F16B1">
        <w:t>o dos</w:t>
      </w:r>
      <w:r w:rsidRPr="006F16B1">
        <w:t>a</w:t>
      </w:r>
      <w:r w:rsidRPr="006F16B1">
        <w:t>žení vrcholu hospodářského cyklu v roce 2019</w:t>
      </w:r>
      <w:r>
        <w:t xml:space="preserve"> se tak česká ekonomika </w:t>
      </w:r>
      <w:r w:rsidRPr="006F16B1">
        <w:t>propadla do hluboce záporné mez</w:t>
      </w:r>
      <w:r w:rsidRPr="006F16B1">
        <w:t>e</w:t>
      </w:r>
      <w:r w:rsidRPr="006F16B1">
        <w:t>ry výstupu.</w:t>
      </w:r>
      <w:r>
        <w:t xml:space="preserve"> Ta by se však díky </w:t>
      </w:r>
      <w:r w:rsidRPr="006F16B1">
        <w:t>hospodářské</w:t>
      </w:r>
      <w:r>
        <w:t>mu</w:t>
      </w:r>
      <w:r w:rsidRPr="006F16B1">
        <w:t xml:space="preserve"> oživení měla </w:t>
      </w:r>
      <w:r>
        <w:t xml:space="preserve">ještě letos </w:t>
      </w:r>
      <w:r w:rsidRPr="006F16B1">
        <w:t>uzav</w:t>
      </w:r>
      <w:r>
        <w:t>řít a posléze dosahovat kladných hodnot do 2 % potenciálního produktu.</w:t>
      </w:r>
    </w:p>
    <w:p w:rsidR="00222624" w:rsidRDefault="00222624" w:rsidP="00702948">
      <w:pPr>
        <w:pStyle w:val="SRTextnomal"/>
      </w:pPr>
      <w:r>
        <w:t xml:space="preserve">Budoucí vývoj stále zůstává zatížen množstvím </w:t>
      </w:r>
      <w:r w:rsidRPr="00562DCA">
        <w:rPr>
          <w:b/>
        </w:rPr>
        <w:t>rizik</w:t>
      </w:r>
      <w:r>
        <w:t xml:space="preserve">, jež v úhrnu považujeme v podstatě za </w:t>
      </w:r>
      <w:r w:rsidRPr="00562DCA">
        <w:rPr>
          <w:b/>
        </w:rPr>
        <w:t>vyrovnaná</w:t>
      </w:r>
      <w:r>
        <w:t xml:space="preserve">. Pro ČR i ostatní ekonomiky je hlavním rizikem vývoj </w:t>
      </w:r>
      <w:r w:rsidRPr="00875863">
        <w:rPr>
          <w:b/>
        </w:rPr>
        <w:t>ep</w:t>
      </w:r>
      <w:r w:rsidRPr="00875863">
        <w:rPr>
          <w:b/>
        </w:rPr>
        <w:t>i</w:t>
      </w:r>
      <w:r w:rsidRPr="00875863">
        <w:rPr>
          <w:b/>
        </w:rPr>
        <w:t>demické situace</w:t>
      </w:r>
      <w:r>
        <w:t xml:space="preserve">. Makroekonomický rámec vychází z předpokladu, že významné protiepidemické restrikce již díky pokračujícímu očkování obyvatel proti COVID-19 a vysokému počtu osob, které toto onemocnění prodělaly, nebude nutné zavést. </w:t>
      </w:r>
      <w:r>
        <w:rPr>
          <w:spacing w:val="-1"/>
        </w:rPr>
        <w:t>Riziko ovšem předst</w:t>
      </w:r>
      <w:r>
        <w:rPr>
          <w:spacing w:val="-1"/>
        </w:rPr>
        <w:t>a</w:t>
      </w:r>
      <w:r>
        <w:rPr>
          <w:spacing w:val="-1"/>
        </w:rPr>
        <w:t xml:space="preserve">vuje vznik a šíření nových mutací koronaviru, proti nimž by dostupné vakcíny mohly být méně účinné. </w:t>
      </w:r>
      <w:r>
        <w:t>Počítáme také s tím, že negativní dopad pandemie na globální dodavatelské řetězce bude spíše krátkodobý.</w:t>
      </w:r>
    </w:p>
    <w:p w:rsidR="00222624" w:rsidRDefault="00222624" w:rsidP="00702948">
      <w:pPr>
        <w:pStyle w:val="SRTextnomal"/>
      </w:pPr>
      <w:r>
        <w:lastRenderedPageBreak/>
        <w:t xml:space="preserve">Mezi </w:t>
      </w:r>
      <w:r w:rsidRPr="00112E99">
        <w:rPr>
          <w:b/>
        </w:rPr>
        <w:t>negativní vnitřní rizika</w:t>
      </w:r>
      <w:r>
        <w:t xml:space="preserve"> dále patří nesoulad </w:t>
      </w:r>
      <w:r w:rsidRPr="001D2DCE">
        <w:t>p</w:t>
      </w:r>
      <w:r w:rsidRPr="001D2DCE">
        <w:t>o</w:t>
      </w:r>
      <w:r w:rsidRPr="001D2DCE">
        <w:t>ptávky a nabídky na trhu práce v kontextu možných strukturálních změn v</w:t>
      </w:r>
      <w:r>
        <w:t> </w:t>
      </w:r>
      <w:r w:rsidRPr="001D2DCE">
        <w:t>ekonomice</w:t>
      </w:r>
      <w:r>
        <w:t xml:space="preserve">, </w:t>
      </w:r>
      <w:r w:rsidRPr="001D2DCE">
        <w:t>vývoj v automobil</w:t>
      </w:r>
      <w:r w:rsidRPr="001D2DCE">
        <w:t>o</w:t>
      </w:r>
      <w:r w:rsidRPr="001D2DCE">
        <w:t>vém průmyslu a nadhodnocení cen rezidenčních n</w:t>
      </w:r>
      <w:r w:rsidRPr="001D2DCE">
        <w:t>e</w:t>
      </w:r>
      <w:r w:rsidRPr="001D2DCE">
        <w:t>movitostí.</w:t>
      </w:r>
    </w:p>
    <w:p w:rsidR="00222624" w:rsidRDefault="00222624" w:rsidP="00702948">
      <w:pPr>
        <w:pStyle w:val="SRTextnomal"/>
      </w:pPr>
      <w:r>
        <w:t>Ve středním a dlouhodobém horizontu bude s ohl</w:t>
      </w:r>
      <w:r>
        <w:t>e</w:t>
      </w:r>
      <w:r>
        <w:t>dem na demografický vývoj nadále klíčové, aby doch</w:t>
      </w:r>
      <w:r>
        <w:t>á</w:t>
      </w:r>
      <w:r>
        <w:t xml:space="preserve">zelo ke zvyšování produktivity práce. Problémy na trhu práce by mohly podpořit </w:t>
      </w:r>
      <w:r w:rsidRPr="007F492A">
        <w:rPr>
          <w:b/>
        </w:rPr>
        <w:t>dynamiku mezd</w:t>
      </w:r>
      <w:r>
        <w:t xml:space="preserve"> a zároveň podnítit </w:t>
      </w:r>
      <w:r w:rsidRPr="001D2DCE">
        <w:rPr>
          <w:b/>
        </w:rPr>
        <w:t>investice</w:t>
      </w:r>
      <w:r>
        <w:t xml:space="preserve"> do automatizace, robotizace a dig</w:t>
      </w:r>
      <w:r>
        <w:t>i</w:t>
      </w:r>
      <w:r>
        <w:t>tálních technologií. Průměrná mzda a tvorba hrubého fixního kapitálu by tak proti scénáři makroekonomi</w:t>
      </w:r>
      <w:r>
        <w:t>c</w:t>
      </w:r>
      <w:r>
        <w:t>kého rámce mohly růst rychleji. Významným impulzem pro zvyšování produktivity by vzhledem k vysokému zapojení českých firem do globálních dodavatelských řetězců byl také jejich posun do pozic s vyšší přidanou hodnotou.</w:t>
      </w:r>
    </w:p>
    <w:p w:rsidR="00222624" w:rsidRDefault="00222624" w:rsidP="00702948">
      <w:pPr>
        <w:pStyle w:val="SRTextnomal"/>
      </w:pPr>
      <w:r>
        <w:t>Hluboký propad reálného HDP v roce 2020 byl do značné míry determinován poklesem spotřeby d</w:t>
      </w:r>
      <w:r>
        <w:t>o</w:t>
      </w:r>
      <w:r>
        <w:t>mácností. Vlivem bezprecedentního nárůstu míry úspor došlo k silné akumulaci finančních aktiv před</w:t>
      </w:r>
      <w:r>
        <w:t>e</w:t>
      </w:r>
      <w:r>
        <w:t>vším ve formě oběživa a vkladů. Tyto prostředky by přitom alespoň zčásti domácnosti mohly využít k f</w:t>
      </w:r>
      <w:r>
        <w:t>i</w:t>
      </w:r>
      <w:r>
        <w:t xml:space="preserve">nancování </w:t>
      </w:r>
      <w:r w:rsidRPr="001D2DCE">
        <w:rPr>
          <w:b/>
        </w:rPr>
        <w:t>odložené spotřeby</w:t>
      </w:r>
      <w:r>
        <w:t>. Oživení spotřeby d</w:t>
      </w:r>
      <w:r>
        <w:t>o</w:t>
      </w:r>
      <w:r>
        <w:t>mácností by díky tomu mohlo být ve srovnání se scénářem makroekonomického rámce mnohem d</w:t>
      </w:r>
      <w:r>
        <w:t>y</w:t>
      </w:r>
      <w:r>
        <w:t>namičtější.</w:t>
      </w:r>
    </w:p>
    <w:p w:rsidR="00222624" w:rsidRPr="00A53081" w:rsidRDefault="00222624" w:rsidP="00222624">
      <w:pPr>
        <w:sectPr w:rsidR="00222624" w:rsidRPr="00A53081" w:rsidSect="00222624">
          <w:type w:val="continuous"/>
          <w:pgSz w:w="11906" w:h="16838" w:code="9"/>
          <w:pgMar w:top="1134" w:right="1134" w:bottom="1418" w:left="1134" w:header="709" w:footer="709" w:gutter="0"/>
          <w:cols w:num="2" w:space="709"/>
          <w:docGrid w:linePitch="360"/>
        </w:sectPr>
      </w:pPr>
    </w:p>
    <w:p w:rsidR="00B47F77" w:rsidRDefault="00B47F77" w:rsidP="005A27EF">
      <w:pPr>
        <w:pStyle w:val="SRNadpis2"/>
      </w:pPr>
      <w:bookmarkStart w:id="14" w:name="_Toc83882804"/>
      <w:r>
        <w:lastRenderedPageBreak/>
        <w:t>Předpoklady budoucího vývoje</w:t>
      </w:r>
      <w:bookmarkEnd w:id="10"/>
      <w:bookmarkEnd w:id="11"/>
      <w:bookmarkEnd w:id="14"/>
    </w:p>
    <w:p w:rsidR="00B47F77" w:rsidRDefault="00B47F77" w:rsidP="00B47F77">
      <w:pPr>
        <w:sectPr w:rsidR="00B47F77" w:rsidSect="00276DFA">
          <w:type w:val="continuous"/>
          <w:pgSz w:w="11906" w:h="16838" w:code="9"/>
          <w:pgMar w:top="1134" w:right="1134" w:bottom="1418" w:left="1134" w:header="709" w:footer="709" w:gutter="0"/>
          <w:cols w:space="709"/>
          <w:docGrid w:linePitch="360"/>
        </w:sectPr>
      </w:pPr>
    </w:p>
    <w:p w:rsidR="00B47F77" w:rsidRDefault="00B47F77" w:rsidP="00276DFA">
      <w:pPr>
        <w:pStyle w:val="SRNadpis3"/>
      </w:pPr>
      <w:bookmarkStart w:id="15" w:name="_Toc525714685"/>
      <w:bookmarkStart w:id="16" w:name="_Toc83882805"/>
      <w:r>
        <w:lastRenderedPageBreak/>
        <w:t>Vnější prostředí</w:t>
      </w:r>
      <w:bookmarkEnd w:id="15"/>
      <w:bookmarkEnd w:id="16"/>
    </w:p>
    <w:p w:rsidR="00B47F77" w:rsidRDefault="00B47F77" w:rsidP="00702948">
      <w:pPr>
        <w:pStyle w:val="SRTextnomal"/>
      </w:pPr>
      <w:r w:rsidRPr="00707E07">
        <w:t xml:space="preserve">V roce 2020 </w:t>
      </w:r>
      <w:r>
        <w:t>došlo</w:t>
      </w:r>
      <w:r>
        <w:rPr>
          <w:b/>
        </w:rPr>
        <w:t xml:space="preserve"> </w:t>
      </w:r>
      <w:r>
        <w:t xml:space="preserve">v důsledku pandemie onemocnění COVID-19 k hlubokému propadu </w:t>
      </w:r>
      <w:r w:rsidRPr="007E1BDF">
        <w:rPr>
          <w:b/>
        </w:rPr>
        <w:t>světové ekonomiky</w:t>
      </w:r>
      <w:r>
        <w:t>. Vzhledem k pokroku v očkování, postupnému z</w:t>
      </w:r>
      <w:r w:rsidRPr="001A122A">
        <w:t>mírňov</w:t>
      </w:r>
      <w:r w:rsidRPr="001A122A">
        <w:t>á</w:t>
      </w:r>
      <w:r w:rsidRPr="001A122A">
        <w:t>ní protiepid</w:t>
      </w:r>
      <w:r>
        <w:t>emických opatření a mimořádně uvolněným fiskálním i měnovým politikám dochází ke zlepšování v</w:t>
      </w:r>
      <w:r>
        <w:t>y</w:t>
      </w:r>
      <w:r>
        <w:t>hlídek jejího růstu. Přestože významným rizikem zůstává vývoj pandemie a účinnost vakcín proti novým mutacím koronaviru, očekáváme růst globální ekonomiky o 5,8 % v roce 2021 a o 4,5 % v roce 2022.</w:t>
      </w:r>
    </w:p>
    <w:p w:rsidR="00B47F77" w:rsidRDefault="00B47F77" w:rsidP="00702948">
      <w:pPr>
        <w:pStyle w:val="SRTextnomal"/>
      </w:pPr>
      <w:r>
        <w:t xml:space="preserve">Epidemická situace se ve </w:t>
      </w:r>
      <w:r w:rsidRPr="001A11E0">
        <w:rPr>
          <w:b/>
        </w:rPr>
        <w:t>Spojených státech amerických</w:t>
      </w:r>
      <w:r>
        <w:t xml:space="preserve"> od počátku letošního roku pozvolna zlepšovala, od če</w:t>
      </w:r>
      <w:r>
        <w:t>r</w:t>
      </w:r>
      <w:r>
        <w:t>vence ale počet nových případů opět stoupá. Díky uvo</w:t>
      </w:r>
      <w:r>
        <w:t>l</w:t>
      </w:r>
      <w:r>
        <w:t xml:space="preserve">ňování opatření proti šíření </w:t>
      </w:r>
      <w:r w:rsidRPr="00702948">
        <w:t>koronaviru</w:t>
      </w:r>
      <w:r>
        <w:t>, realizaci odložené spotřeby domácností a masivním stimulům americká ekonomika silně oživuje. Pozitivně se vyvíjí i s</w:t>
      </w:r>
      <w:r>
        <w:t>i</w:t>
      </w:r>
      <w:r>
        <w:t>tuace na trhu práce. Obavy však vzbuzuje prudce zryc</w:t>
      </w:r>
      <w:r>
        <w:t>h</w:t>
      </w:r>
      <w:r>
        <w:t>lující inflace, která v červnu 2021 dosáhla nejvyšší úrovně od srpna 2008. Navzdory tomu Federální rezer</w:t>
      </w:r>
      <w:r>
        <w:t>v</w:t>
      </w:r>
      <w:r>
        <w:t xml:space="preserve">ní systém drží svou hlavní úrokovou sazbu v pásmu 0,00–0,25 % a pokračuje v rozsáhlých nákupech aktiv. Ekonomika </w:t>
      </w:r>
      <w:r w:rsidRPr="0046638E">
        <w:t>Spojených stát</w:t>
      </w:r>
      <w:r>
        <w:t>ů</w:t>
      </w:r>
      <w:r w:rsidRPr="0046638E">
        <w:t xml:space="preserve"> amerických </w:t>
      </w:r>
      <w:r>
        <w:t xml:space="preserve">by v letošním </w:t>
      </w:r>
      <w:r>
        <w:lastRenderedPageBreak/>
        <w:t xml:space="preserve">roce mohla vzrůst o 6,7 %, </w:t>
      </w:r>
      <w:r w:rsidR="0068144B">
        <w:t xml:space="preserve">v </w:t>
      </w:r>
      <w:r>
        <w:t>roce 2022 by vlivem vysoké srovnávací základny a postupného odeznívání efektů fi</w:t>
      </w:r>
      <w:r>
        <w:t>s</w:t>
      </w:r>
      <w:r>
        <w:t>kálního stimulu mohla zpomalit na 3,9 %.</w:t>
      </w:r>
    </w:p>
    <w:p w:rsidR="005B222E" w:rsidRDefault="005B222E" w:rsidP="00497B37">
      <w:pPr>
        <w:pStyle w:val="SRtitulek1"/>
      </w:pPr>
      <w:bookmarkStart w:id="17" w:name="_Toc83882902"/>
      <w:r>
        <w:t xml:space="preserve">Graf </w:t>
      </w:r>
      <w:r w:rsidR="00D51DCA">
        <w:fldChar w:fldCharType="begin"/>
      </w:r>
      <w:r w:rsidR="00D51DCA">
        <w:instrText xml:space="preserve"> SEQ Graf \* ARABIC </w:instrText>
      </w:r>
      <w:r w:rsidR="00D51DCA">
        <w:fldChar w:fldCharType="separate"/>
      </w:r>
      <w:r w:rsidR="00D51DCA">
        <w:rPr>
          <w:noProof/>
        </w:rPr>
        <w:t>1</w:t>
      </w:r>
      <w:r w:rsidR="00D51DCA">
        <w:rPr>
          <w:noProof/>
        </w:rPr>
        <w:fldChar w:fldCharType="end"/>
      </w:r>
      <w:r>
        <w:t xml:space="preserve"> Reálný hrubý domácí produkt eurozóny</w:t>
      </w:r>
      <w:r w:rsidR="006266E6">
        <w:t xml:space="preserve"> </w:t>
      </w:r>
      <w:r w:rsidRPr="0029662A">
        <w:rPr>
          <w:i/>
        </w:rPr>
        <w:t>(růst proti předchozímu roku v %)</w:t>
      </w:r>
      <w:bookmarkEnd w:id="17"/>
    </w:p>
    <w:p w:rsidR="00B47F77" w:rsidRDefault="00B47F77" w:rsidP="00B47F77">
      <w:pPr>
        <w:pStyle w:val="Zdrojpodtabulkounebografem"/>
        <w:spacing w:after="120"/>
      </w:pPr>
      <w:r w:rsidRPr="0078082F">
        <w:rPr>
          <w:noProof/>
        </w:rPr>
        <w:drawing>
          <wp:inline distT="0" distB="0" distL="0" distR="0" wp14:anchorId="4E50BF5F" wp14:editId="0ACA82F2">
            <wp:extent cx="2933700" cy="1755421"/>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933700" cy="1755421"/>
                    </a:xfrm>
                    <a:prstGeom prst="rect">
                      <a:avLst/>
                    </a:prstGeom>
                    <a:noFill/>
                    <a:ln>
                      <a:noFill/>
                    </a:ln>
                  </pic:spPr>
                </pic:pic>
              </a:graphicData>
            </a:graphic>
          </wp:inline>
        </w:drawing>
      </w:r>
      <w:r w:rsidRPr="00C407BB">
        <w:t>Zdroj:</w:t>
      </w:r>
      <w:r>
        <w:t xml:space="preserve"> Eurostat. Výpočty a predikce MF ČR.</w:t>
      </w:r>
    </w:p>
    <w:p w:rsidR="00B47F77" w:rsidRDefault="00B47F77" w:rsidP="00702948">
      <w:pPr>
        <w:pStyle w:val="SRTextnomal"/>
      </w:pPr>
      <w:r>
        <w:t>Uzávěry ekonomik a restriktivní protiepidemická opa</w:t>
      </w:r>
      <w:r>
        <w:t>t</w:t>
      </w:r>
      <w:r>
        <w:t xml:space="preserve">ření vedly k citelnému snížení hospodářského výkonu </w:t>
      </w:r>
      <w:r w:rsidRPr="00393923">
        <w:rPr>
          <w:b/>
          <w:spacing w:val="-1"/>
        </w:rPr>
        <w:t>eurozóny</w:t>
      </w:r>
      <w:r w:rsidRPr="00393923">
        <w:rPr>
          <w:spacing w:val="-1"/>
        </w:rPr>
        <w:t xml:space="preserve">. Negativní </w:t>
      </w:r>
      <w:r>
        <w:rPr>
          <w:spacing w:val="-1"/>
        </w:rPr>
        <w:t xml:space="preserve">dopady </w:t>
      </w:r>
      <w:r w:rsidRPr="00393923">
        <w:rPr>
          <w:spacing w:val="-1"/>
        </w:rPr>
        <w:t xml:space="preserve">na trh práce </w:t>
      </w:r>
      <w:r>
        <w:rPr>
          <w:spacing w:val="-1"/>
        </w:rPr>
        <w:t xml:space="preserve">tlumily </w:t>
      </w:r>
      <w:r>
        <w:t>vládní programy na podporu udržení zaměstnanosti, nez</w:t>
      </w:r>
      <w:r>
        <w:t>a</w:t>
      </w:r>
      <w:r>
        <w:t>městnanost tak vzrostla pouze mírně</w:t>
      </w:r>
      <w:r w:rsidRPr="005C11A6">
        <w:t>.</w:t>
      </w:r>
      <w:r>
        <w:t xml:space="preserve"> V 2. čtvrtletí 2021 </w:t>
      </w:r>
      <w:r>
        <w:lastRenderedPageBreak/>
        <w:t>došlo v souvislosti s pokrokem v očkování a lepšící se epidemickou situací k oživení ekonomické aktivity. Ind</w:t>
      </w:r>
      <w:r>
        <w:t>e</w:t>
      </w:r>
      <w:r>
        <w:t>xy nákupních manažerů dosahovaly nebývale vysokých hodnot. Evropská centrální banka ponechala hlavní ref</w:t>
      </w:r>
      <w:r>
        <w:t>i</w:t>
      </w:r>
      <w:r>
        <w:t xml:space="preserve">nanční </w:t>
      </w:r>
      <w:r>
        <w:rPr>
          <w:spacing w:val="-1"/>
        </w:rPr>
        <w:t>sazbu</w:t>
      </w:r>
      <w:r w:rsidRPr="00393923">
        <w:rPr>
          <w:spacing w:val="-1"/>
        </w:rPr>
        <w:t xml:space="preserve"> beze změny </w:t>
      </w:r>
      <w:r>
        <w:rPr>
          <w:spacing w:val="-1"/>
        </w:rPr>
        <w:t xml:space="preserve">na nulové hodnotě </w:t>
      </w:r>
      <w:r w:rsidRPr="00393923">
        <w:rPr>
          <w:spacing w:val="-1"/>
        </w:rPr>
        <w:t>a pokrač</w:t>
      </w:r>
      <w:r w:rsidRPr="00393923">
        <w:rPr>
          <w:spacing w:val="-1"/>
        </w:rPr>
        <w:t>o</w:t>
      </w:r>
      <w:r w:rsidRPr="00393923">
        <w:rPr>
          <w:spacing w:val="-1"/>
        </w:rPr>
        <w:t xml:space="preserve">vala v nákupech aktiv v </w:t>
      </w:r>
      <w:r>
        <w:t>rámci nouzového pandemického programu. V návaznosti na nedávné přehodnocení své měnové strategie zavedla symetrický střednědobý i</w:t>
      </w:r>
      <w:r>
        <w:t>n</w:t>
      </w:r>
      <w:r>
        <w:t xml:space="preserve">flační cíl na úrovni 2 %. </w:t>
      </w:r>
    </w:p>
    <w:p w:rsidR="00B47F77" w:rsidRDefault="00B47F77" w:rsidP="00702948">
      <w:pPr>
        <w:pStyle w:val="SRTextnomal"/>
      </w:pPr>
      <w:r>
        <w:t>Šíření nakažlivější mutace koronaviru, sílící inflační tlaky, problémy v dodavatelských řetězcích a strukturální změny v automobilovém průmyslu představují hlavní r</w:t>
      </w:r>
      <w:r>
        <w:t>i</w:t>
      </w:r>
      <w:r>
        <w:t>zika budoucího vývoje ekonomiky eurozóny. Naopak p</w:t>
      </w:r>
      <w:r>
        <w:t>o</w:t>
      </w:r>
      <w:r>
        <w:t>zitivně by k jejímu růstu mohlo přispět zejména oživení spotřeby domácností a realizace národních plánů obn</w:t>
      </w:r>
      <w:r>
        <w:t>o</w:t>
      </w:r>
      <w:r>
        <w:t>vy. Ekonomický výkon eurozóny by se v roce 2021 mohl zvýšit o 4,9 %, v roce 2022 by růst mohl zpomalit na 4,3 %. V letech 2023 a 2024 by měl dále zvolňovat na úroveň dosahovanou před pandemií.</w:t>
      </w:r>
    </w:p>
    <w:p w:rsidR="00B47F77" w:rsidRPr="002B1D10" w:rsidRDefault="00B47F77" w:rsidP="00276DFA">
      <w:pPr>
        <w:pStyle w:val="SRNadpis3"/>
      </w:pPr>
      <w:bookmarkStart w:id="18" w:name="_Toc83882806"/>
      <w:r w:rsidRPr="002B1D10">
        <w:t>Cena ropy</w:t>
      </w:r>
      <w:bookmarkEnd w:id="18"/>
    </w:p>
    <w:p w:rsidR="00B47F77" w:rsidRDefault="00B47F77" w:rsidP="00702948">
      <w:pPr>
        <w:pStyle w:val="SRTextnomal"/>
      </w:pPr>
      <w:r w:rsidRPr="002958FA">
        <w:t xml:space="preserve">V 1. pololetí 2020 došlo </w:t>
      </w:r>
      <w:r>
        <w:t>ve spojitosti s propadem globá</w:t>
      </w:r>
      <w:r>
        <w:t>l</w:t>
      </w:r>
      <w:r>
        <w:t xml:space="preserve">ní ekonomické aktivity </w:t>
      </w:r>
      <w:r w:rsidRPr="002958FA">
        <w:t>k razantnímu poklesu poptávky</w:t>
      </w:r>
      <w:r>
        <w:t xml:space="preserve"> po ropě</w:t>
      </w:r>
      <w:r w:rsidRPr="002958FA">
        <w:t xml:space="preserve">. </w:t>
      </w:r>
      <w:r>
        <w:t>V</w:t>
      </w:r>
      <w:r w:rsidRPr="002958FA">
        <w:t xml:space="preserve"> reakci na </w:t>
      </w:r>
      <w:r>
        <w:t xml:space="preserve">to </w:t>
      </w:r>
      <w:r w:rsidRPr="002958FA">
        <w:t xml:space="preserve">se Organizace zemí vyvážejících ropu a některé další státy dohodly na </w:t>
      </w:r>
      <w:r>
        <w:t>výrazném</w:t>
      </w:r>
      <w:r w:rsidRPr="002958FA">
        <w:t xml:space="preserve"> omezení produkce přibližně v rozs</w:t>
      </w:r>
      <w:r>
        <w:t>ahu desetiny světové těžby</w:t>
      </w:r>
      <w:r w:rsidRPr="002958FA">
        <w:t>.</w:t>
      </w:r>
      <w:r>
        <w:t xml:space="preserve"> </w:t>
      </w:r>
      <w:r w:rsidRPr="00EB514C">
        <w:t>T</w:t>
      </w:r>
      <w:r w:rsidRPr="00EB514C">
        <w:t>o</w:t>
      </w:r>
      <w:r w:rsidRPr="00EB514C">
        <w:t xml:space="preserve">to omezení </w:t>
      </w:r>
      <w:r>
        <w:t>bylo následně</w:t>
      </w:r>
      <w:r w:rsidRPr="00EB514C">
        <w:t xml:space="preserve"> postupně uvolňováno</w:t>
      </w:r>
      <w:r>
        <w:t>. I přes stanovení těžebních limitů však v 1. pololetí 2020 došlo k enormnímu nárůstu zásob vytěžené ropy a propadu j</w:t>
      </w:r>
      <w:r>
        <w:t>e</w:t>
      </w:r>
      <w:r>
        <w:t>jí ceny. V ročním průměru tak byla cena ropy Brent v roce 2020 nejnižší od roku 2004 a jen mírně přesáhla 40 USD/barel.</w:t>
      </w:r>
    </w:p>
    <w:p w:rsidR="00B47F77" w:rsidRDefault="00B47F77" w:rsidP="00B47F77">
      <w:r>
        <w:t>Podle odhadů Energetické informační správy Spojených států od poloviny roku 2020 do poloviny roku 2021 kl</w:t>
      </w:r>
      <w:r>
        <w:t>e</w:t>
      </w:r>
      <w:r>
        <w:t>saly zásoby vytěžené ropy. Cena ropy Brent se v tomto období postupně vrátila na předkrizovou úroveň. Těže</w:t>
      </w:r>
      <w:r>
        <w:t>b</w:t>
      </w:r>
      <w:r>
        <w:t>ní limity stanovené Organizací</w:t>
      </w:r>
      <w:r w:rsidRPr="00255013">
        <w:t xml:space="preserve"> zemí vyvážejících ropu a</w:t>
      </w:r>
      <w:r>
        <w:t> některými</w:t>
      </w:r>
      <w:r w:rsidRPr="00255013">
        <w:t xml:space="preserve"> další</w:t>
      </w:r>
      <w:r>
        <w:t>mi</w:t>
      </w:r>
      <w:r w:rsidRPr="00255013">
        <w:t xml:space="preserve"> státy</w:t>
      </w:r>
      <w:r>
        <w:t xml:space="preserve"> jsou dále uvolňovány. </w:t>
      </w:r>
      <w:r w:rsidRPr="00CE752D">
        <w:t>Na te</w:t>
      </w:r>
      <w:r w:rsidRPr="00CE752D">
        <w:t>r</w:t>
      </w:r>
      <w:r w:rsidRPr="00CE752D">
        <w:t xml:space="preserve">mínovém trhu panuje situace, kdy se </w:t>
      </w:r>
      <w:r>
        <w:t>ropa</w:t>
      </w:r>
      <w:r w:rsidRPr="00CE752D">
        <w:t xml:space="preserve"> </w:t>
      </w:r>
      <w:r>
        <w:t>s pozdějším dodáním obchoduje levněji než ropa s dřívějším dod</w:t>
      </w:r>
      <w:r>
        <w:t>á</w:t>
      </w:r>
      <w:r>
        <w:t>ním</w:t>
      </w:r>
      <w:r w:rsidRPr="00CE752D">
        <w:t>.</w:t>
      </w:r>
    </w:p>
    <w:p w:rsidR="00F131A1" w:rsidRDefault="00F131A1" w:rsidP="00497B37">
      <w:pPr>
        <w:pStyle w:val="SRtitulek1"/>
      </w:pPr>
      <w:bookmarkStart w:id="19" w:name="_Toc83882903"/>
      <w:r>
        <w:t xml:space="preserve">Graf </w:t>
      </w:r>
      <w:r w:rsidR="00D51DCA">
        <w:fldChar w:fldCharType="begin"/>
      </w:r>
      <w:r w:rsidR="00D51DCA">
        <w:instrText xml:space="preserve"> SEQ Graf \* ARABIC </w:instrText>
      </w:r>
      <w:r w:rsidR="00D51DCA">
        <w:fldChar w:fldCharType="separate"/>
      </w:r>
      <w:r w:rsidR="00D51DCA">
        <w:rPr>
          <w:noProof/>
        </w:rPr>
        <w:t>2</w:t>
      </w:r>
      <w:r w:rsidR="00D51DCA">
        <w:rPr>
          <w:noProof/>
        </w:rPr>
        <w:fldChar w:fldCharType="end"/>
      </w:r>
      <w:r>
        <w:t xml:space="preserve"> Cena ropy Brent </w:t>
      </w:r>
      <w:r w:rsidRPr="0029662A">
        <w:rPr>
          <w:i/>
        </w:rPr>
        <w:t>(USD/barel)</w:t>
      </w:r>
      <w:bookmarkEnd w:id="19"/>
    </w:p>
    <w:p w:rsidR="00B47F77" w:rsidRPr="00C407BB" w:rsidRDefault="00B47F77" w:rsidP="00B47F77">
      <w:pPr>
        <w:pStyle w:val="Zdrojpodtabulkounebografem"/>
        <w:spacing w:after="120"/>
      </w:pPr>
      <w:r w:rsidRPr="0078082F">
        <w:rPr>
          <w:noProof/>
        </w:rPr>
        <w:drawing>
          <wp:inline distT="0" distB="0" distL="0" distR="0" wp14:anchorId="160E32D1" wp14:editId="39C0388B">
            <wp:extent cx="2933700" cy="1755421"/>
            <wp:effectExtent l="0" t="0" r="0" b="0"/>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933700" cy="1755421"/>
                    </a:xfrm>
                    <a:prstGeom prst="rect">
                      <a:avLst/>
                    </a:prstGeom>
                    <a:noFill/>
                    <a:ln>
                      <a:noFill/>
                    </a:ln>
                  </pic:spPr>
                </pic:pic>
              </a:graphicData>
            </a:graphic>
          </wp:inline>
        </w:drawing>
      </w:r>
      <w:r w:rsidRPr="005F3E29">
        <w:t>Zdroj: U. S.</w:t>
      </w:r>
      <w:r>
        <w:t xml:space="preserve"> </w:t>
      </w:r>
      <w:r w:rsidRPr="00145DF9">
        <w:rPr>
          <w:lang w:val="en-US"/>
        </w:rPr>
        <w:t>Energy Information Administration</w:t>
      </w:r>
      <w:r w:rsidRPr="005F3E29">
        <w:t xml:space="preserve">. </w:t>
      </w:r>
      <w:r>
        <w:t>P</w:t>
      </w:r>
      <w:r w:rsidRPr="005F3E29">
        <w:t>redikce MF ČR.</w:t>
      </w:r>
    </w:p>
    <w:p w:rsidR="00B47F77" w:rsidRPr="00494F1D" w:rsidRDefault="00B47F77" w:rsidP="00702948">
      <w:pPr>
        <w:pStyle w:val="SRTextnomal"/>
        <w:rPr>
          <w:highlight w:val="yellow"/>
        </w:rPr>
      </w:pPr>
      <w:r w:rsidRPr="00FA0BD0">
        <w:lastRenderedPageBreak/>
        <w:t>Předpokládáme, že za celý rok 2021 dosáhne cena ropy Brent v průměru 69 USD/barel, čímž se meziročně zvýší o 64 %. V souladu s klesající křivkou cen kontraktů fut</w:t>
      </w:r>
      <w:r w:rsidRPr="00FA0BD0">
        <w:t>u</w:t>
      </w:r>
      <w:r w:rsidRPr="00FA0BD0">
        <w:t>res počítáme s postupným poklesem ceny ropy na 61 USD/barel v roce 2024.</w:t>
      </w:r>
    </w:p>
    <w:p w:rsidR="00B47F77" w:rsidRDefault="00B47F77" w:rsidP="00276DFA">
      <w:pPr>
        <w:pStyle w:val="SRNadpis3"/>
      </w:pPr>
      <w:bookmarkStart w:id="20" w:name="_Toc83882807"/>
      <w:r>
        <w:t>Měnová politika a měnové kurzy</w:t>
      </w:r>
      <w:bookmarkEnd w:id="20"/>
    </w:p>
    <w:p w:rsidR="00B47F77" w:rsidRDefault="00B47F77" w:rsidP="00702948">
      <w:pPr>
        <w:pStyle w:val="SRTextnomal"/>
      </w:pPr>
      <w:r>
        <w:t>Česká národní banka</w:t>
      </w:r>
      <w:r w:rsidRPr="000746B7">
        <w:t xml:space="preserve"> </w:t>
      </w:r>
      <w:r>
        <w:t xml:space="preserve">letos již dvakrát zvýšila </w:t>
      </w:r>
      <w:r w:rsidRPr="007E1BDF">
        <w:rPr>
          <w:b/>
        </w:rPr>
        <w:t>dvout</w:t>
      </w:r>
      <w:r w:rsidRPr="007E1BDF">
        <w:rPr>
          <w:b/>
        </w:rPr>
        <w:t>ý</w:t>
      </w:r>
      <w:r w:rsidRPr="007E1BDF">
        <w:rPr>
          <w:b/>
        </w:rPr>
        <w:t>denní repo sazbu</w:t>
      </w:r>
      <w:r>
        <w:t xml:space="preserve"> z původních 0,25 % na aktuálních 0,75 %. </w:t>
      </w:r>
      <w:r w:rsidRPr="007820ED">
        <w:t xml:space="preserve">Důvodem </w:t>
      </w:r>
      <w:r>
        <w:t>zpřísňování měnové politiky jsou</w:t>
      </w:r>
      <w:r w:rsidRPr="007820ED">
        <w:t xml:space="preserve"> zejména sílící inflační tlaky z</w:t>
      </w:r>
      <w:r>
        <w:t> </w:t>
      </w:r>
      <w:r w:rsidRPr="007820ED">
        <w:t>domácí i zahraniční ekon</w:t>
      </w:r>
      <w:r w:rsidRPr="007820ED">
        <w:t>o</w:t>
      </w:r>
      <w:r w:rsidRPr="007820ED">
        <w:t>miky v podmínkách postupně se zotavujícího hospodá</w:t>
      </w:r>
      <w:r w:rsidRPr="007820ED">
        <w:t>ř</w:t>
      </w:r>
      <w:r w:rsidRPr="007820ED">
        <w:t>ství po ukončení většiny protiepidemických opatření.</w:t>
      </w:r>
      <w:r>
        <w:t xml:space="preserve"> V souladu s deklarovanou pozicí České národní banky scénář makroekonomického rámce státního rozpočtu předpokládá, že k postupnému zvyšování sazeb bude docházet nejen ve zbývající části roku 2021, ale i v roce 2022. Poté by již měnově-politické sazby měly zůstat b</w:t>
      </w:r>
      <w:r>
        <w:t>e</w:t>
      </w:r>
      <w:r>
        <w:t>ze změny.</w:t>
      </w:r>
    </w:p>
    <w:p w:rsidR="00B47F77" w:rsidRDefault="00B47F77" w:rsidP="00994F41">
      <w:pPr>
        <w:pStyle w:val="SRTextnomal"/>
      </w:pPr>
      <w:r>
        <w:t>Vzhledem k predikci inflace by přesto měly reálné úr</w:t>
      </w:r>
      <w:r>
        <w:t>o</w:t>
      </w:r>
      <w:r>
        <w:t xml:space="preserve">kové sazby působit na ekonomiku letos i v příštím roce stimulačně, byť v postupně se </w:t>
      </w:r>
      <w:r w:rsidRPr="00994F41">
        <w:t>snižující</w:t>
      </w:r>
      <w:r>
        <w:t xml:space="preserve"> míře. Kurzová složka měnových podmínek by v celém horizontu měla být prakticky neutrální.</w:t>
      </w:r>
    </w:p>
    <w:p w:rsidR="00B47F77" w:rsidRDefault="00B47F77" w:rsidP="00994F41">
      <w:pPr>
        <w:pStyle w:val="SRTextnomal"/>
      </w:pPr>
      <w:r w:rsidRPr="000D52FF">
        <w:rPr>
          <w:b/>
        </w:rPr>
        <w:t>Měnový kurz</w:t>
      </w:r>
      <w:r w:rsidRPr="00C56EC1">
        <w:t xml:space="preserve"> koruny vůči euru </w:t>
      </w:r>
      <w:r>
        <w:t xml:space="preserve">během prvních sedmi měsíců roku 2021 v průměru dosahoval 25,8 CZK/EUR, nicméně </w:t>
      </w:r>
      <w:r w:rsidRPr="002626C5">
        <w:t>vlivem výrazně proměnlivého sentimentu na mezinárodních finančních trzích</w:t>
      </w:r>
      <w:r>
        <w:t xml:space="preserve"> byl poměrně volatilní</w:t>
      </w:r>
      <w:r w:rsidRPr="002626C5">
        <w:t>.</w:t>
      </w:r>
    </w:p>
    <w:p w:rsidR="006266E6" w:rsidRDefault="006266E6" w:rsidP="00497B37">
      <w:pPr>
        <w:pStyle w:val="SRtitulek1"/>
      </w:pPr>
      <w:bookmarkStart w:id="21" w:name="_Toc83882904"/>
      <w:r>
        <w:t xml:space="preserve">Graf </w:t>
      </w:r>
      <w:r w:rsidR="00D51DCA">
        <w:fldChar w:fldCharType="begin"/>
      </w:r>
      <w:r w:rsidR="00D51DCA">
        <w:instrText xml:space="preserve"> SEQ Graf \* ARABIC </w:instrText>
      </w:r>
      <w:r w:rsidR="00D51DCA">
        <w:fldChar w:fldCharType="separate"/>
      </w:r>
      <w:r w:rsidR="00D51DCA">
        <w:rPr>
          <w:noProof/>
        </w:rPr>
        <w:t>3</w:t>
      </w:r>
      <w:r w:rsidR="00D51DCA">
        <w:rPr>
          <w:noProof/>
        </w:rPr>
        <w:fldChar w:fldCharType="end"/>
      </w:r>
      <w:r>
        <w:t xml:space="preserve"> Měnový kurz CZK/EUR </w:t>
      </w:r>
      <w:r w:rsidRPr="0029662A">
        <w:rPr>
          <w:i/>
        </w:rPr>
        <w:t>(průměr roku)</w:t>
      </w:r>
      <w:bookmarkEnd w:id="21"/>
    </w:p>
    <w:p w:rsidR="00B47F77" w:rsidRPr="002A09DF" w:rsidRDefault="00B47F77" w:rsidP="00B47F77">
      <w:pPr>
        <w:rPr>
          <w:i/>
          <w:sz w:val="16"/>
          <w:szCs w:val="16"/>
        </w:rPr>
      </w:pPr>
      <w:r w:rsidRPr="0078082F">
        <w:rPr>
          <w:noProof/>
        </w:rPr>
        <w:drawing>
          <wp:inline distT="0" distB="0" distL="0" distR="0" wp14:anchorId="1E460450" wp14:editId="7F204667">
            <wp:extent cx="2933700" cy="1755421"/>
            <wp:effectExtent l="0" t="0" r="0" b="0"/>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933700" cy="1755421"/>
                    </a:xfrm>
                    <a:prstGeom prst="rect">
                      <a:avLst/>
                    </a:prstGeom>
                    <a:noFill/>
                    <a:ln>
                      <a:noFill/>
                    </a:ln>
                  </pic:spPr>
                </pic:pic>
              </a:graphicData>
            </a:graphic>
          </wp:inline>
        </w:drawing>
      </w:r>
      <w:r w:rsidRPr="002A09DF">
        <w:rPr>
          <w:i/>
          <w:sz w:val="16"/>
          <w:szCs w:val="16"/>
        </w:rPr>
        <w:t>Zdroj: ČNB. Výpočty a predikce MF ČR.</w:t>
      </w:r>
    </w:p>
    <w:p w:rsidR="00B47F77" w:rsidRDefault="00B47F77" w:rsidP="00994F41">
      <w:pPr>
        <w:pStyle w:val="SRTextnomal"/>
      </w:pPr>
      <w:r>
        <w:t>V celém horizontu makroekonomického rámce předp</w:t>
      </w:r>
      <w:r>
        <w:t>o</w:t>
      </w:r>
      <w:r>
        <w:t>kládáme pozvolné posilování měnového kurzu. To by zpočátku mělo odrážet narůstající kladný úrokový dif</w:t>
      </w:r>
      <w:r>
        <w:t>e</w:t>
      </w:r>
      <w:r>
        <w:t>renciál a zlepšení globálního sentimentu v návaznosti na stabilizaci epidemické situace, později by měla přispět i obnovená reálná konvergence české ekonomiky k e</w:t>
      </w:r>
      <w:r>
        <w:t>u</w:t>
      </w:r>
      <w:r>
        <w:t>rozóně. V průměru by se koruna měla letos obchodovat za 25,7 CZK/EUR, koncem roku 2024 by se kurz měl p</w:t>
      </w:r>
      <w:r>
        <w:t>o</w:t>
      </w:r>
      <w:r>
        <w:t>hybovat kolem 24,5 CZK/EUR.</w:t>
      </w:r>
    </w:p>
    <w:p w:rsidR="00B47F77" w:rsidRPr="0006144B" w:rsidRDefault="00B47F77" w:rsidP="00B47F77">
      <w:pPr>
        <w:rPr>
          <w:i/>
          <w:iCs/>
          <w:color w:val="000000"/>
          <w:sz w:val="16"/>
          <w:szCs w:val="16"/>
        </w:rPr>
        <w:sectPr w:rsidR="00B47F77" w:rsidRPr="0006144B" w:rsidSect="00E8195E">
          <w:type w:val="continuous"/>
          <w:pgSz w:w="11906" w:h="16838" w:code="9"/>
          <w:pgMar w:top="1134" w:right="1134" w:bottom="1418" w:left="1134" w:header="709" w:footer="709" w:gutter="0"/>
          <w:cols w:num="2" w:space="397"/>
          <w:docGrid w:linePitch="360"/>
        </w:sectPr>
      </w:pPr>
    </w:p>
    <w:p w:rsidR="00B47F77" w:rsidRDefault="00B47F77" w:rsidP="005A27EF">
      <w:pPr>
        <w:pStyle w:val="SRNadpis2"/>
      </w:pPr>
      <w:bookmarkStart w:id="22" w:name="_Toc14695475"/>
      <w:bookmarkStart w:id="23" w:name="_Toc81233995"/>
      <w:bookmarkStart w:id="24" w:name="_Toc83882808"/>
      <w:r>
        <w:lastRenderedPageBreak/>
        <w:t>Makroekonomický vývoj v České republice</w:t>
      </w:r>
      <w:bookmarkEnd w:id="22"/>
      <w:bookmarkEnd w:id="23"/>
      <w:bookmarkEnd w:id="24"/>
    </w:p>
    <w:p w:rsidR="00B47F77" w:rsidRDefault="00B47F77" w:rsidP="00B47F77">
      <w:pPr>
        <w:sectPr w:rsidR="00B47F77" w:rsidSect="00E8195E">
          <w:type w:val="continuous"/>
          <w:pgSz w:w="11906" w:h="16838" w:code="9"/>
          <w:pgMar w:top="1134" w:right="1134" w:bottom="1418" w:left="1134" w:header="709" w:footer="709" w:gutter="0"/>
          <w:cols w:space="709"/>
          <w:docGrid w:linePitch="360"/>
        </w:sectPr>
      </w:pPr>
    </w:p>
    <w:p w:rsidR="00B47F77" w:rsidRDefault="00B47F77" w:rsidP="00276DFA">
      <w:pPr>
        <w:pStyle w:val="SRNadpis3"/>
      </w:pPr>
      <w:bookmarkStart w:id="25" w:name="_Toc83882809"/>
      <w:r>
        <w:lastRenderedPageBreak/>
        <w:t>Ekonomický výkon</w:t>
      </w:r>
      <w:bookmarkEnd w:id="25"/>
    </w:p>
    <w:p w:rsidR="00B47F77" w:rsidRDefault="00B47F77" w:rsidP="00994F41">
      <w:pPr>
        <w:pStyle w:val="SRTextnomal"/>
      </w:pPr>
      <w:r>
        <w:t>Navzdory velmi nepříznivé epidemické situaci a restri</w:t>
      </w:r>
      <w:r>
        <w:t>k</w:t>
      </w:r>
      <w:r>
        <w:t>cím v celé řadě oblastí zaznamenala česká ekonomika v 1. čtvrtletí 2021 mezičtvrtletní pokles</w:t>
      </w:r>
      <w:r w:rsidRPr="0075216D">
        <w:t xml:space="preserve"> </w:t>
      </w:r>
      <w:r>
        <w:t>jen o 0,3 %. M</w:t>
      </w:r>
      <w:r>
        <w:t>e</w:t>
      </w:r>
      <w:r>
        <w:t>ziročně se hrubý domácí produkt snížil o 2,6 %, přičemž negativní dopad utlumené spotřeby domácností, om</w:t>
      </w:r>
      <w:r>
        <w:t>e</w:t>
      </w:r>
      <w:r>
        <w:t>zených investic do fixního kapitálu a záporného příspě</w:t>
      </w:r>
      <w:r>
        <w:t>v</w:t>
      </w:r>
      <w:r>
        <w:t>ku salda zahraničního obchodu zmírnily vyšší výdaje</w:t>
      </w:r>
      <w:r w:rsidRPr="004F3000">
        <w:t xml:space="preserve"> vládních institucí na konečnou spotřebu a nárůst zásob.</w:t>
      </w:r>
      <w:r>
        <w:t xml:space="preserve"> Ve 2. čtvrtletí 2021 podle předběžného odhadu ekon</w:t>
      </w:r>
      <w:r>
        <w:t>o</w:t>
      </w:r>
      <w:r>
        <w:t>mika mezičtvrtletně vzrostla o 0,6 %.</w:t>
      </w:r>
    </w:p>
    <w:p w:rsidR="006266E6" w:rsidRDefault="006266E6" w:rsidP="00497B37">
      <w:pPr>
        <w:pStyle w:val="SRtitulek1"/>
      </w:pPr>
      <w:bookmarkStart w:id="26" w:name="_Toc83882905"/>
      <w:r>
        <w:t xml:space="preserve">Graf </w:t>
      </w:r>
      <w:r w:rsidR="00D51DCA">
        <w:fldChar w:fldCharType="begin"/>
      </w:r>
      <w:r w:rsidR="00D51DCA">
        <w:instrText xml:space="preserve"> SEQ Graf \* ARABIC </w:instrText>
      </w:r>
      <w:r w:rsidR="00D51DCA">
        <w:fldChar w:fldCharType="separate"/>
      </w:r>
      <w:r w:rsidR="00D51DCA">
        <w:rPr>
          <w:noProof/>
        </w:rPr>
        <w:t>4</w:t>
      </w:r>
      <w:r w:rsidR="00D51DCA">
        <w:rPr>
          <w:noProof/>
        </w:rPr>
        <w:fldChar w:fldCharType="end"/>
      </w:r>
      <w:r>
        <w:t xml:space="preserve"> </w:t>
      </w:r>
      <w:r w:rsidRPr="0006144B">
        <w:t>Reálný hrubý domácí produkt</w:t>
      </w:r>
      <w:r>
        <w:t xml:space="preserve"> </w:t>
      </w:r>
      <w:r w:rsidRPr="0029662A">
        <w:rPr>
          <w:i/>
        </w:rPr>
        <w:t>(růst proti pře</w:t>
      </w:r>
      <w:r w:rsidRPr="0029662A">
        <w:rPr>
          <w:i/>
        </w:rPr>
        <w:t>d</w:t>
      </w:r>
      <w:r w:rsidRPr="0029662A">
        <w:rPr>
          <w:i/>
        </w:rPr>
        <w:t>chozímu roku v %)</w:t>
      </w:r>
      <w:bookmarkEnd w:id="26"/>
    </w:p>
    <w:p w:rsidR="00B47F77" w:rsidRDefault="00B47F77" w:rsidP="00B47F77">
      <w:pPr>
        <w:rPr>
          <w:i/>
          <w:iCs/>
          <w:color w:val="000000"/>
          <w:sz w:val="16"/>
          <w:szCs w:val="16"/>
        </w:rPr>
      </w:pPr>
      <w:r w:rsidRPr="001B2DA9">
        <w:rPr>
          <w:noProof/>
        </w:rPr>
        <w:drawing>
          <wp:inline distT="0" distB="0" distL="0" distR="0" wp14:anchorId="1439D95A" wp14:editId="0A5415F5">
            <wp:extent cx="2933700" cy="1755421"/>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933700" cy="1755421"/>
                    </a:xfrm>
                    <a:prstGeom prst="rect">
                      <a:avLst/>
                    </a:prstGeom>
                    <a:noFill/>
                    <a:ln>
                      <a:noFill/>
                    </a:ln>
                  </pic:spPr>
                </pic:pic>
              </a:graphicData>
            </a:graphic>
          </wp:inline>
        </w:drawing>
      </w:r>
      <w:r w:rsidRPr="005F3E29">
        <w:rPr>
          <w:i/>
          <w:sz w:val="16"/>
          <w:szCs w:val="16"/>
        </w:rPr>
        <w:t>Zdroj:</w:t>
      </w:r>
      <w:r w:rsidRPr="005F3E29">
        <w:rPr>
          <w:i/>
          <w:iCs/>
          <w:color w:val="000000"/>
          <w:sz w:val="16"/>
          <w:szCs w:val="16"/>
        </w:rPr>
        <w:t xml:space="preserve"> ČSÚ.</w:t>
      </w:r>
      <w:r w:rsidRPr="0006144B">
        <w:rPr>
          <w:i/>
          <w:iCs/>
          <w:color w:val="000000"/>
          <w:sz w:val="16"/>
          <w:szCs w:val="16"/>
        </w:rPr>
        <w:t xml:space="preserve"> Výpočty a predikce MF ČR.</w:t>
      </w:r>
    </w:p>
    <w:p w:rsidR="00B47F77" w:rsidRDefault="00B47F77" w:rsidP="00994F41">
      <w:pPr>
        <w:pStyle w:val="SRTextnomal"/>
      </w:pPr>
      <w:r>
        <w:t>Hospodářská aktivita by měla od 3. čtvrtletí 2021 výra</w:t>
      </w:r>
      <w:r>
        <w:t>z</w:t>
      </w:r>
      <w:r>
        <w:t xml:space="preserve">něji oživovat a postupně kompenzovat předchozí šok do agregátní poptávky i nabídky. </w:t>
      </w:r>
      <w:r w:rsidRPr="00DD5BD2">
        <w:rPr>
          <w:b/>
        </w:rPr>
        <w:t>H</w:t>
      </w:r>
      <w:r>
        <w:rPr>
          <w:b/>
        </w:rPr>
        <w:t>rubý domácí produkt</w:t>
      </w:r>
      <w:r>
        <w:t xml:space="preserve"> by se tak letos mohl zvýšit </w:t>
      </w:r>
      <w:r w:rsidRPr="00B16AAA">
        <w:t xml:space="preserve">o </w:t>
      </w:r>
      <w:r>
        <w:t>3,2 %.</w:t>
      </w:r>
      <w:r w:rsidRPr="00B16AAA">
        <w:t xml:space="preserve"> </w:t>
      </w:r>
      <w:r>
        <w:t>V</w:t>
      </w:r>
      <w:r w:rsidRPr="00B16AAA">
        <w:t> roce 202</w:t>
      </w:r>
      <w:r>
        <w:t>2</w:t>
      </w:r>
      <w:r w:rsidRPr="00B16AAA">
        <w:t xml:space="preserve"> by </w:t>
      </w:r>
      <w:r>
        <w:t>růst mohl zrychlit na 4,2</w:t>
      </w:r>
      <w:r w:rsidRPr="00B16AAA">
        <w:t> %</w:t>
      </w:r>
      <w:r>
        <w:t>, v dalších letech by se jeho tempo mohlo pohybovat poblíž 2 %.</w:t>
      </w:r>
    </w:p>
    <w:p w:rsidR="00B47F77" w:rsidRPr="006343E0" w:rsidRDefault="00B47F77" w:rsidP="00994F41">
      <w:pPr>
        <w:pStyle w:val="SRTextnomal"/>
      </w:pPr>
      <w:r w:rsidRPr="00DD5BD2">
        <w:rPr>
          <w:b/>
        </w:rPr>
        <w:t>Spotřeb</w:t>
      </w:r>
      <w:r>
        <w:rPr>
          <w:b/>
        </w:rPr>
        <w:t>u</w:t>
      </w:r>
      <w:r>
        <w:t xml:space="preserve"> </w:t>
      </w:r>
      <w:r w:rsidRPr="00DD5BD2">
        <w:rPr>
          <w:b/>
        </w:rPr>
        <w:t>domácností</w:t>
      </w:r>
      <w:r>
        <w:t xml:space="preserve"> v roce 2021 pozitivně ovlivní</w:t>
      </w:r>
      <w:r w:rsidRPr="004E45FE">
        <w:t xml:space="preserve"> </w:t>
      </w:r>
      <w:r>
        <w:t>růst</w:t>
      </w:r>
      <w:r w:rsidRPr="004E45FE">
        <w:t xml:space="preserve"> reálného disponibilního důchodu</w:t>
      </w:r>
      <w:r>
        <w:t>, v jehož dynamice se kromě snížení efektivního zdanění mezd, platů a do urč</w:t>
      </w:r>
      <w:r>
        <w:t>i</w:t>
      </w:r>
      <w:r>
        <w:t>té míry i příjmů sebezaměstnaných kladně promítne ř</w:t>
      </w:r>
      <w:r>
        <w:t>a</w:t>
      </w:r>
      <w:r>
        <w:t xml:space="preserve">da podpůrných fiskálních programů. Vzhledem k </w:t>
      </w:r>
      <w:r w:rsidRPr="004E45FE">
        <w:t xml:space="preserve">očekávanému oživení spotřebních výdajů </w:t>
      </w:r>
      <w:r>
        <w:t xml:space="preserve">od 2. čtvrtletí 2021 by </w:t>
      </w:r>
      <w:r w:rsidRPr="00191FA1">
        <w:t xml:space="preserve">reálná spotřeba domácností </w:t>
      </w:r>
      <w:r>
        <w:t>za celý rok 2021 mohla vzrůst o 2,3</w:t>
      </w:r>
      <w:r w:rsidRPr="00191FA1">
        <w:t> %</w:t>
      </w:r>
      <w:r>
        <w:t>. V roce 2022 by ji při stagnaci reá</w:t>
      </w:r>
      <w:r>
        <w:t>l</w:t>
      </w:r>
      <w:r>
        <w:t>ného disponibilního důchodu mělo podpořit citelné sn</w:t>
      </w:r>
      <w:r>
        <w:t>í</w:t>
      </w:r>
      <w:r>
        <w:t>žení míry úspor, která by přesto měla setrvat na úrovních výrazně převyšujících dlouhodobý průměr. Pr</w:t>
      </w:r>
      <w:r>
        <w:t>o</w:t>
      </w:r>
      <w:r>
        <w:t xml:space="preserve">jeví se také statistický efekt silného oživení spotřeby v 2. polovině letošního roku. </w:t>
      </w:r>
      <w:r w:rsidRPr="00C704C3">
        <w:rPr>
          <w:spacing w:val="-2"/>
        </w:rPr>
        <w:t xml:space="preserve">Spotřeba domácností by tak mohla vzrůst o 5,5 %. V </w:t>
      </w:r>
      <w:r>
        <w:t>dalších letech by se při postupné akceleraci růstu výdělků měla zvyšovat přibližně o 2 %.</w:t>
      </w:r>
    </w:p>
    <w:p w:rsidR="00B47F77" w:rsidRPr="006343E0" w:rsidRDefault="00B47F77" w:rsidP="00994F41">
      <w:pPr>
        <w:pStyle w:val="SRTextnomal"/>
      </w:pPr>
      <w:r w:rsidRPr="004176FB">
        <w:t xml:space="preserve">Očekáváme, že </w:t>
      </w:r>
      <w:r>
        <w:t xml:space="preserve">se </w:t>
      </w:r>
      <w:r w:rsidRPr="00134756">
        <w:rPr>
          <w:b/>
        </w:rPr>
        <w:t>spotřeba sektoru vládních institucí</w:t>
      </w:r>
      <w:r>
        <w:t xml:space="preserve"> v roce 2021 zvýší o 2,4</w:t>
      </w:r>
      <w:r w:rsidRPr="004176FB">
        <w:t xml:space="preserve"> % </w:t>
      </w:r>
      <w:r>
        <w:t>a v roce 2022 dojde ke zpom</w:t>
      </w:r>
      <w:r>
        <w:t>a</w:t>
      </w:r>
      <w:r>
        <w:t>lení na 0,4</w:t>
      </w:r>
      <w:r w:rsidRPr="004176FB">
        <w:t xml:space="preserve"> %. Mezi hlavní faktory </w:t>
      </w:r>
      <w:r>
        <w:t>růstu v roce 2021 m</w:t>
      </w:r>
      <w:r>
        <w:t>ů</w:t>
      </w:r>
      <w:r>
        <w:t>že</w:t>
      </w:r>
      <w:r w:rsidRPr="004176FB">
        <w:t xml:space="preserve"> </w:t>
      </w:r>
      <w:r>
        <w:t xml:space="preserve">stále </w:t>
      </w:r>
      <w:r w:rsidRPr="004176FB">
        <w:t xml:space="preserve">patřit </w:t>
      </w:r>
      <w:r w:rsidRPr="005A4AFE">
        <w:t xml:space="preserve">navýšení objemů nákupů z důvodu </w:t>
      </w:r>
      <w:r>
        <w:lastRenderedPageBreak/>
        <w:t>epidemie a rovněž růst zaměstnanosti v některých čá</w:t>
      </w:r>
      <w:r>
        <w:t>s</w:t>
      </w:r>
      <w:r>
        <w:t>tech veřejného sektoru.</w:t>
      </w:r>
      <w:r w:rsidRPr="005A4AFE">
        <w:t xml:space="preserve"> </w:t>
      </w:r>
      <w:r w:rsidRPr="004176FB">
        <w:t xml:space="preserve">Přes </w:t>
      </w:r>
      <w:r>
        <w:t>úspory v </w:t>
      </w:r>
      <w:r w:rsidRPr="004176FB">
        <w:t>rámci centrálních úřadů státní správy se počítá s</w:t>
      </w:r>
      <w:r>
        <w:t xml:space="preserve"> </w:t>
      </w:r>
      <w:r w:rsidRPr="004176FB">
        <w:t>personálním navýšením ve</w:t>
      </w:r>
      <w:r>
        <w:t xml:space="preserve"> </w:t>
      </w:r>
      <w:r w:rsidRPr="004176FB">
        <w:t>školství a</w:t>
      </w:r>
      <w:r>
        <w:t xml:space="preserve"> </w:t>
      </w:r>
      <w:r w:rsidRPr="004176FB">
        <w:t>u</w:t>
      </w:r>
      <w:r>
        <w:t xml:space="preserve"> </w:t>
      </w:r>
      <w:r w:rsidRPr="004176FB">
        <w:t>ozbrojených složek</w:t>
      </w:r>
      <w:r w:rsidRPr="0085288F">
        <w:t>.</w:t>
      </w:r>
      <w:r w:rsidRPr="005A4AFE">
        <w:t xml:space="preserve"> </w:t>
      </w:r>
      <w:r w:rsidRPr="0085288F">
        <w:t>Dynamiku může po</w:t>
      </w:r>
      <w:r w:rsidRPr="0085288F">
        <w:t>d</w:t>
      </w:r>
      <w:r w:rsidRPr="0085288F">
        <w:t xml:space="preserve">pořit i růst výdajů na </w:t>
      </w:r>
      <w:r>
        <w:t>nákup zboží a </w:t>
      </w:r>
      <w:r w:rsidRPr="0085288F">
        <w:t>služeb za přispění běžných dotací z fondů EU.</w:t>
      </w:r>
      <w:r>
        <w:t xml:space="preserve"> O</w:t>
      </w:r>
      <w:r w:rsidRPr="005A4AFE">
        <w:t xml:space="preserve">čekávaný pokles </w:t>
      </w:r>
      <w:r>
        <w:t>tempa</w:t>
      </w:r>
      <w:r w:rsidRPr="005A4AFE">
        <w:t xml:space="preserve"> </w:t>
      </w:r>
      <w:r>
        <w:t>v roce 2022 souvisí s</w:t>
      </w:r>
      <w:r w:rsidRPr="005A4AFE">
        <w:t xml:space="preserve"> odeznění</w:t>
      </w:r>
      <w:r>
        <w:t>m</w:t>
      </w:r>
      <w:r w:rsidRPr="005A4AFE">
        <w:t xml:space="preserve"> přechodných faktorů</w:t>
      </w:r>
      <w:r>
        <w:t xml:space="preserve"> týkajících se řešení epidemie</w:t>
      </w:r>
      <w:r w:rsidRPr="005A4AFE">
        <w:t>.</w:t>
      </w:r>
      <w:r>
        <w:t xml:space="preserve"> V nominálním vyjádření by měla dynamika nejprve zpomalit – z 6,9 % v roce 2021 na 2,1 % v roce 2022 – následně by mohlo docházet k mírné akceleraci těsně pod 3 % v roce 2024.</w:t>
      </w:r>
    </w:p>
    <w:p w:rsidR="00B47F77" w:rsidRDefault="00B47F77" w:rsidP="00994F41">
      <w:pPr>
        <w:pStyle w:val="SRTextnomal"/>
      </w:pPr>
      <w:r w:rsidRPr="00A17460">
        <w:rPr>
          <w:b/>
        </w:rPr>
        <w:t>Tvorba hrubého fixního kapitálu</w:t>
      </w:r>
      <w:r>
        <w:t xml:space="preserve"> by v roce 2021 měla díky hospodářskému růstu v zahraničí, uvolněným m</w:t>
      </w:r>
      <w:r>
        <w:t>ě</w:t>
      </w:r>
      <w:r>
        <w:t>novým podmínkám, nadprůměrně využitým výrobním kapacitám v průmyslu i mimořádným odpisům hmotn</w:t>
      </w:r>
      <w:r>
        <w:t>é</w:t>
      </w:r>
      <w:r>
        <w:t xml:space="preserve">ho majetku začít oživovat. K růstu by měla přispět také investiční aktivita sektoru vládních institucí podpořená </w:t>
      </w:r>
      <w:r w:rsidRPr="00191FA1">
        <w:t>realizací projektů spolufinancovaných fondy EU</w:t>
      </w:r>
      <w:r>
        <w:t>.</w:t>
      </w:r>
      <w:r w:rsidRPr="00A957C9">
        <w:t xml:space="preserve"> </w:t>
      </w:r>
      <w:r>
        <w:t>Počá</w:t>
      </w:r>
      <w:r>
        <w:t>t</w:t>
      </w:r>
      <w:r>
        <w:t>kem roku 2021 dynamiku investic tlumila přijatá restri</w:t>
      </w:r>
      <w:r>
        <w:t>k</w:t>
      </w:r>
      <w:r>
        <w:t>tivní opatření a s nimi spojené nejistoty, ty by ale v dalších čtvrtletích měly odeznít. Tempo soukromých i</w:t>
      </w:r>
      <w:r>
        <w:t>n</w:t>
      </w:r>
      <w:r>
        <w:t xml:space="preserve">vestic by se tak mělo citelně zvýšit. </w:t>
      </w:r>
      <w:r w:rsidRPr="00191FA1">
        <w:t>Výhled pro rok 2023 zahrnuje nákup vojenských vr</w:t>
      </w:r>
      <w:r>
        <w:t>tulníků</w:t>
      </w:r>
      <w:r w:rsidRPr="00191FA1">
        <w:t xml:space="preserve">, který se zároveň </w:t>
      </w:r>
      <w:r>
        <w:t xml:space="preserve">plně </w:t>
      </w:r>
      <w:r w:rsidRPr="00191FA1">
        <w:t>promítne v dovozu zboží. Tvo</w:t>
      </w:r>
      <w:r>
        <w:t>rba hrubého fixního kapitálu by se v roce 2021</w:t>
      </w:r>
      <w:r w:rsidRPr="00191FA1">
        <w:t xml:space="preserve"> mohla </w:t>
      </w:r>
      <w:r>
        <w:t>zvýšit o 6,0</w:t>
      </w:r>
      <w:r w:rsidRPr="00191FA1">
        <w:t> %</w:t>
      </w:r>
      <w:r>
        <w:t>, pro roky 2022 a 2023 je predikován růst mírně pod hranicí 5 %</w:t>
      </w:r>
      <w:r w:rsidRPr="00191FA1">
        <w:t>.</w:t>
      </w:r>
      <w:r>
        <w:t xml:space="preserve"> </w:t>
      </w:r>
    </w:p>
    <w:p w:rsidR="00B47F77" w:rsidRDefault="00B47F77" w:rsidP="00994F41">
      <w:pPr>
        <w:pStyle w:val="SRTextnomal"/>
      </w:pPr>
      <w:r w:rsidRPr="006C7438">
        <w:rPr>
          <w:b/>
        </w:rPr>
        <w:t>Vývoz zboží a služeb</w:t>
      </w:r>
      <w:r>
        <w:t xml:space="preserve"> by se měl letos výhradně vlivem růstu exportních trhů zvýšit o 8,5</w:t>
      </w:r>
      <w:r w:rsidRPr="00191FA1">
        <w:t> %</w:t>
      </w:r>
      <w:r>
        <w:t>.</w:t>
      </w:r>
      <w:r w:rsidRPr="00191FA1">
        <w:t xml:space="preserve"> </w:t>
      </w:r>
      <w:r>
        <w:t>Pro rok 2022 poč</w:t>
      </w:r>
      <w:r>
        <w:t>í</w:t>
      </w:r>
      <w:r>
        <w:t>táme se zpomalením na 6,6 %, které by mělo vyplývat z nižšího tempa růstu dovozní náročnosti obchodních partnerů. Exportní výkonnost (tedy konkurencescho</w:t>
      </w:r>
      <w:r>
        <w:t>p</w:t>
      </w:r>
      <w:r>
        <w:t xml:space="preserve">nost českých firem na zahraničních trzích) bude letos brzdit posilování kurzu koruny vůči euru a prohlubující se problémy automobilek s nedostatkem komponent vedoucí k </w:t>
      </w:r>
      <w:r w:rsidRPr="0016569A">
        <w:rPr>
          <w:spacing w:val="-1"/>
        </w:rPr>
        <w:t xml:space="preserve">nuceným odstávkám výroby. </w:t>
      </w:r>
      <w:r>
        <w:rPr>
          <w:spacing w:val="-1"/>
        </w:rPr>
        <w:t xml:space="preserve">V roce </w:t>
      </w:r>
      <w:r w:rsidRPr="0016569A">
        <w:rPr>
          <w:spacing w:val="-1"/>
        </w:rPr>
        <w:t xml:space="preserve">2022 </w:t>
      </w:r>
      <w:r>
        <w:rPr>
          <w:spacing w:val="-1"/>
        </w:rPr>
        <w:t xml:space="preserve">by se však exportní výkonnost měla mírně zvýšit, a to </w:t>
      </w:r>
      <w:r w:rsidRPr="0016569A">
        <w:rPr>
          <w:spacing w:val="-1"/>
        </w:rPr>
        <w:t>v</w:t>
      </w:r>
      <w:r>
        <w:rPr>
          <w:spacing w:val="-1"/>
        </w:rPr>
        <w:t xml:space="preserve"> </w:t>
      </w:r>
      <w:r w:rsidRPr="0016569A">
        <w:rPr>
          <w:spacing w:val="-1"/>
        </w:rPr>
        <w:t>souvi</w:t>
      </w:r>
      <w:r w:rsidRPr="0016569A">
        <w:rPr>
          <w:spacing w:val="-1"/>
        </w:rPr>
        <w:t>s</w:t>
      </w:r>
      <w:r w:rsidRPr="0016569A">
        <w:rPr>
          <w:spacing w:val="-1"/>
        </w:rPr>
        <w:t xml:space="preserve">losti s </w:t>
      </w:r>
      <w:r w:rsidRPr="00A00BBE">
        <w:rPr>
          <w:spacing w:val="-1"/>
        </w:rPr>
        <w:t>předpokládaným odezněním obtíží v dodavate</w:t>
      </w:r>
      <w:r w:rsidRPr="00A00BBE">
        <w:rPr>
          <w:spacing w:val="-1"/>
        </w:rPr>
        <w:t>l</w:t>
      </w:r>
      <w:r w:rsidRPr="00A00BBE">
        <w:rPr>
          <w:spacing w:val="-1"/>
        </w:rPr>
        <w:t>ských řetěz</w:t>
      </w:r>
      <w:r>
        <w:t>cích hlavně v segmentu motorových vozidel. V dalších letech by měl růst vývozu zboží a služeb p</w:t>
      </w:r>
      <w:r>
        <w:t>o</w:t>
      </w:r>
      <w:r>
        <w:t>stupně zpomalovat s tím, jak bude zvolňovat hospodá</w:t>
      </w:r>
      <w:r>
        <w:t>ř</w:t>
      </w:r>
      <w:r>
        <w:t>ský růst v zahraničí.</w:t>
      </w:r>
    </w:p>
    <w:p w:rsidR="00B47F77" w:rsidRDefault="00B47F77" w:rsidP="00994F41">
      <w:pPr>
        <w:pStyle w:val="SRTextnomal"/>
      </w:pPr>
      <w:r>
        <w:t>Dynamika vývozu a </w:t>
      </w:r>
      <w:r w:rsidRPr="00191FA1">
        <w:t xml:space="preserve">dovozně náročné investiční poptávky se pak </w:t>
      </w:r>
      <w:r>
        <w:t>promítá v </w:t>
      </w:r>
      <w:r w:rsidRPr="00191FA1">
        <w:t xml:space="preserve">tempu </w:t>
      </w:r>
      <w:r w:rsidRPr="00AF4C44">
        <w:rPr>
          <w:b/>
        </w:rPr>
        <w:t>dovozu zboží a služeb</w:t>
      </w:r>
      <w:r w:rsidRPr="00AF4C44">
        <w:t>.</w:t>
      </w:r>
      <w:r>
        <w:t xml:space="preserve"> Ten by v roce 2021</w:t>
      </w:r>
      <w:r w:rsidRPr="00191FA1">
        <w:t xml:space="preserve"> </w:t>
      </w:r>
      <w:r>
        <w:t>mohl vzrůst o 10,4</w:t>
      </w:r>
      <w:r w:rsidRPr="00191FA1">
        <w:t> %</w:t>
      </w:r>
      <w:r>
        <w:t>. Očekávané zpomalení na 6,7</w:t>
      </w:r>
      <w:r w:rsidRPr="00191FA1">
        <w:t> %</w:t>
      </w:r>
      <w:r>
        <w:t xml:space="preserve"> v roce 2022 by mělo reflektovat výrazně nižší tempo tvorby hrubého kapitálu, stejně jako snížení d</w:t>
      </w:r>
      <w:r>
        <w:t>y</w:t>
      </w:r>
      <w:r>
        <w:t>namiky exportu</w:t>
      </w:r>
      <w:r w:rsidRPr="00191FA1">
        <w:t>.</w:t>
      </w:r>
      <w:r>
        <w:t xml:space="preserve"> Pro roky 2023 a 2024 makroekonomi</w:t>
      </w:r>
      <w:r>
        <w:t>c</w:t>
      </w:r>
      <w:r>
        <w:t>ký rámec počítá s růstem dovozu o 6,0 %, resp. o 2,8 %.</w:t>
      </w:r>
    </w:p>
    <w:p w:rsidR="00B47F77" w:rsidRPr="006343E0" w:rsidRDefault="00B47F77" w:rsidP="00994F41">
      <w:pPr>
        <w:pStyle w:val="SRTextnomal"/>
      </w:pPr>
      <w:r w:rsidRPr="00191FA1">
        <w:t xml:space="preserve">Česká ekonomika se </w:t>
      </w:r>
      <w:r>
        <w:t xml:space="preserve">v roce 2020 vlivem epidemie a opatření proti jejímu šíření propadla do </w:t>
      </w:r>
      <w:r w:rsidRPr="006B238B">
        <w:t>hluboce záporné</w:t>
      </w:r>
      <w:r w:rsidRPr="00C6577B">
        <w:rPr>
          <w:b/>
          <w:spacing w:val="-1"/>
        </w:rPr>
        <w:t xml:space="preserve"> mezery výstupu</w:t>
      </w:r>
      <w:r w:rsidRPr="00EA54DF">
        <w:rPr>
          <w:spacing w:val="-1"/>
        </w:rPr>
        <w:t>.</w:t>
      </w:r>
      <w:r w:rsidRPr="00191FA1">
        <w:t xml:space="preserve"> </w:t>
      </w:r>
      <w:r>
        <w:t xml:space="preserve">Reálná hrubá přidaná hodnota ve 2. čtvrtletí 2020 zaostala o téměř 9 % za svou potenciální úrovní, což bylo zdaleka nejvíce v historii samostatné ČR. </w:t>
      </w:r>
      <w:r>
        <w:lastRenderedPageBreak/>
        <w:t xml:space="preserve">Za celý rok 2020 ale záporná produkční mezera dosáhla </w:t>
      </w:r>
      <w:r>
        <w:rPr>
          <w:rFonts w:cs="Calibri"/>
        </w:rPr>
        <w:t>−</w:t>
      </w:r>
      <w:r>
        <w:t xml:space="preserve">3,1 %, a v celoročním vyjádření tak </w:t>
      </w:r>
      <w:r w:rsidRPr="006B238B">
        <w:rPr>
          <w:spacing w:val="-1"/>
        </w:rPr>
        <w:t>byla srovnatelná s</w:t>
      </w:r>
      <w:r>
        <w:rPr>
          <w:spacing w:val="-1"/>
        </w:rPr>
        <w:t> </w:t>
      </w:r>
      <w:r w:rsidRPr="006B238B">
        <w:rPr>
          <w:spacing w:val="-1"/>
        </w:rPr>
        <w:t>recesemi v letech 2009 a 2013. V</w:t>
      </w:r>
      <w:r>
        <w:t xml:space="preserve"> průběhu 2. pololetí 2021 by se měla uzavřít a posléze dosahovat kladných hodnot pod 2 %.</w:t>
      </w:r>
    </w:p>
    <w:p w:rsidR="00B47F77" w:rsidRDefault="00B47F77" w:rsidP="00994F41">
      <w:pPr>
        <w:pStyle w:val="SRTextnomal"/>
      </w:pPr>
      <w:r w:rsidRPr="006343E0">
        <w:t xml:space="preserve">Růst </w:t>
      </w:r>
      <w:r w:rsidRPr="006D5542">
        <w:rPr>
          <w:b/>
        </w:rPr>
        <w:t>nominálního HDP</w:t>
      </w:r>
      <w:r w:rsidRPr="006343E0">
        <w:t xml:space="preserve"> je dán vývojem reálného ekon</w:t>
      </w:r>
      <w:r w:rsidRPr="006343E0">
        <w:t>o</w:t>
      </w:r>
      <w:r w:rsidRPr="006343E0">
        <w:t xml:space="preserve">mického výkonu a cenové složky HDP. </w:t>
      </w:r>
      <w:r>
        <w:t>V roce 2021</w:t>
      </w:r>
      <w:r w:rsidRPr="00191FA1">
        <w:t xml:space="preserve"> b</w:t>
      </w:r>
      <w:r>
        <w:t>y se deflátor HDP mohl zvýšit o 2,9</w:t>
      </w:r>
      <w:r w:rsidRPr="00191FA1">
        <w:t> %</w:t>
      </w:r>
      <w:r>
        <w:t>. Výrazný pokles dyn</w:t>
      </w:r>
      <w:r>
        <w:t>a</w:t>
      </w:r>
      <w:r>
        <w:t>miky proti roku 2020 bude dán především vývojem směnných relací, jež letos ovlivní silný nárůst ceny ropy, a v menší míře i nižším příspěvkem deflátoru hrubých domácích výdajů. V roce 2022 by se růst deflátoru HDP mohl dále zpomalit na 2,1</w:t>
      </w:r>
      <w:r w:rsidRPr="00191FA1">
        <w:t> %</w:t>
      </w:r>
      <w:r>
        <w:t>. V rámci deflátoru hrubých domácích výdajů bude pomalejší růst deflátoru spotřeby sektoru vládních institucí (způsobený zejména sníženou dynamikou platů) částečně kompenzován rychlejším zvyšováním spotřebitelských cen (viz níže). Směnné rel</w:t>
      </w:r>
      <w:r>
        <w:t>a</w:t>
      </w:r>
      <w:r>
        <w:t>ce by se měly mírně zhoršit a jejich příspěvek by tak měl být o 0,5 p. b. nižší než v roce 2021. V letech výhledu by deflátor HDP mohl růst obdobným tempem jako v roce 2022. Ve výsledku by měl tedy růst nominálního HDP v tomto a příštím roce mírně převýšit 6 %, poté by se nominální HDP mohl zvyšovat o 4,0 % ročně.</w:t>
      </w:r>
    </w:p>
    <w:p w:rsidR="00B47F77" w:rsidRDefault="00B47F77" w:rsidP="00276DFA">
      <w:pPr>
        <w:pStyle w:val="SRNadpis3"/>
      </w:pPr>
      <w:bookmarkStart w:id="27" w:name="_Toc83882810"/>
      <w:r>
        <w:t>Spotřebitelské ceny</w:t>
      </w:r>
      <w:bookmarkEnd w:id="27"/>
    </w:p>
    <w:p w:rsidR="00B47F77" w:rsidRDefault="00B47F77" w:rsidP="00994F41">
      <w:pPr>
        <w:pStyle w:val="SRTextnomal"/>
      </w:pPr>
      <w:r>
        <w:t xml:space="preserve">V roce 2020 přesáhla průměrná míra inflace 3 %. Nad 2% inflačním cílem se meziroční růst </w:t>
      </w:r>
      <w:r w:rsidRPr="000D264A">
        <w:rPr>
          <w:b/>
        </w:rPr>
        <w:t>spotřebitelských cen</w:t>
      </w:r>
      <w:r>
        <w:t xml:space="preserve"> pohyboval i v 1. pololetí 2021. K jejich růstu přispíval zejména vývoj v oddílu alkoholické nápoje, tabák, kde bylo zdražení tabákových výrobků podpořeno zvýšením spotřební daně, a v oddílu doprava, v němž rychle rostly ceny pohonných hmot a automobilů. Hlavními proi</w:t>
      </w:r>
      <w:r>
        <w:t>n</w:t>
      </w:r>
      <w:r>
        <w:t>flačními faktory v roce 2021 patrně budou frikce na straně nabídky a výrazný růst ceny ropy i jiných komodit. Administrativní opatření by k průměrné míře inflace r</w:t>
      </w:r>
      <w:r>
        <w:t>o</w:t>
      </w:r>
      <w:r>
        <w:t>ku 2021 měla přispět jen mírně, inflace tedy bude dom</w:t>
      </w:r>
      <w:r>
        <w:t>i</w:t>
      </w:r>
      <w:r>
        <w:t>nantně dána tržními vlivy. Ve směru nižší inflace by měl působit pokles jednotkových nákladů práce a do určité míry také nejspíš ještě záporná produkční mezera. Inflaci by mělo tlumit i posilování české koruny k oběma hla</w:t>
      </w:r>
      <w:r>
        <w:t>v</w:t>
      </w:r>
      <w:r>
        <w:t>ním světovým měnám.</w:t>
      </w:r>
    </w:p>
    <w:p w:rsidR="00B47F77" w:rsidRDefault="00B47F77" w:rsidP="00994F41">
      <w:pPr>
        <w:pStyle w:val="SRTextnomal"/>
      </w:pPr>
      <w:r>
        <w:t>V roce 2022 by se do vývoje spotřebitelských cen měl výrazněji promítnout růst regulovaných cen. Mezi nimi bude zřejmě nejpodstatnější zvýšení ceny elektřiny a zemního plynu. Cena ropy by v roce 2022 měla téměř stagnovat, což by mělo snížit nabídkový tlak na růst sp</w:t>
      </w:r>
      <w:r>
        <w:t>o</w:t>
      </w:r>
      <w:r>
        <w:t>třebitelských cen. Naopak poptávkové faktory by měly působit ve směru vyšší inflace, jelikož produkční mezera by již měla být kladná a spotřeba domácností by měla značně oživit. Pokles jednotkových nákladů práce by měl nadále tlačit na snížení inflace, slabě by se v tomto sm</w:t>
      </w:r>
      <w:r>
        <w:t>ě</w:t>
      </w:r>
      <w:r>
        <w:t xml:space="preserve">ru mohlo projevit i posilování české koruny k oběma hlavním světovým měnám. </w:t>
      </w:r>
      <w:r w:rsidRPr="00174E55">
        <w:t>Predikce počítá s</w:t>
      </w:r>
      <w:r>
        <w:t> </w:t>
      </w:r>
      <w:r w:rsidRPr="00174E55">
        <w:t>dalším zv</w:t>
      </w:r>
      <w:r w:rsidRPr="00174E55">
        <w:t>y</w:t>
      </w:r>
      <w:r w:rsidRPr="00174E55">
        <w:t>šováním spotřební daně z</w:t>
      </w:r>
      <w:r>
        <w:t> </w:t>
      </w:r>
      <w:r w:rsidRPr="00174E55">
        <w:t>tabák</w:t>
      </w:r>
      <w:r>
        <w:t>ových výrobků</w:t>
      </w:r>
      <w:r w:rsidRPr="00174E55">
        <w:t xml:space="preserve"> v letech 202</w:t>
      </w:r>
      <w:r>
        <w:t>2 a</w:t>
      </w:r>
      <w:r w:rsidRPr="00174E55">
        <w:t xml:space="preserve"> 2023, které by ovšem mělo inflaci podpořit jen velmi mírně.</w:t>
      </w:r>
    </w:p>
    <w:p w:rsidR="00B47F77" w:rsidRDefault="00B47F77" w:rsidP="00994F41">
      <w:pPr>
        <w:pStyle w:val="SRTextnomal"/>
      </w:pPr>
      <w:r w:rsidRPr="000431E7">
        <w:lastRenderedPageBreak/>
        <w:t>Průměrná míra inflace by měla v roce 202</w:t>
      </w:r>
      <w:r>
        <w:t>1</w:t>
      </w:r>
      <w:r w:rsidRPr="000431E7">
        <w:t xml:space="preserve"> </w:t>
      </w:r>
      <w:r>
        <w:t>dosáhnout 3,2 </w:t>
      </w:r>
      <w:r w:rsidRPr="000431E7">
        <w:t>% a v roce 202</w:t>
      </w:r>
      <w:r>
        <w:t>2</w:t>
      </w:r>
      <w:r w:rsidRPr="000431E7">
        <w:t xml:space="preserve"> </w:t>
      </w:r>
      <w:r>
        <w:t>ještě zrychlit na 3</w:t>
      </w:r>
      <w:r w:rsidRPr="000431E7">
        <w:t>,</w:t>
      </w:r>
      <w:r>
        <w:t>5 </w:t>
      </w:r>
      <w:r w:rsidRPr="000431E7">
        <w:t>%. V letech 202</w:t>
      </w:r>
      <w:r>
        <w:t>3</w:t>
      </w:r>
      <w:r w:rsidRPr="000431E7">
        <w:t xml:space="preserve"> a 202</w:t>
      </w:r>
      <w:r>
        <w:t>4</w:t>
      </w:r>
      <w:r w:rsidRPr="000431E7">
        <w:t xml:space="preserve"> by se </w:t>
      </w:r>
      <w:r>
        <w:t xml:space="preserve">průměrná </w:t>
      </w:r>
      <w:r w:rsidRPr="000431E7">
        <w:t xml:space="preserve">míra inflace mohla </w:t>
      </w:r>
      <w:r>
        <w:t>snižovat</w:t>
      </w:r>
      <w:r w:rsidRPr="000431E7">
        <w:t xml:space="preserve"> </w:t>
      </w:r>
      <w:r>
        <w:t>k</w:t>
      </w:r>
      <w:r w:rsidRPr="000431E7">
        <w:t xml:space="preserve"> 2% inflačním</w:t>
      </w:r>
      <w:r>
        <w:t>u</w:t>
      </w:r>
      <w:r w:rsidRPr="000431E7">
        <w:t xml:space="preserve"> cíli České národní banky.</w:t>
      </w:r>
    </w:p>
    <w:p w:rsidR="000F5257" w:rsidRDefault="000F5257" w:rsidP="00497B37">
      <w:pPr>
        <w:pStyle w:val="SRtitulek1"/>
      </w:pPr>
      <w:bookmarkStart w:id="28" w:name="_Toc83882906"/>
      <w:r>
        <w:t xml:space="preserve">Graf </w:t>
      </w:r>
      <w:r w:rsidR="00D51DCA">
        <w:fldChar w:fldCharType="begin"/>
      </w:r>
      <w:r w:rsidR="00D51DCA">
        <w:instrText xml:space="preserve"> SEQ Graf \* ARABIC </w:instrText>
      </w:r>
      <w:r w:rsidR="00D51DCA">
        <w:fldChar w:fldCharType="separate"/>
      </w:r>
      <w:r w:rsidR="00D51DCA">
        <w:rPr>
          <w:noProof/>
        </w:rPr>
        <w:t>5</w:t>
      </w:r>
      <w:r w:rsidR="00D51DCA">
        <w:rPr>
          <w:noProof/>
        </w:rPr>
        <w:fldChar w:fldCharType="end"/>
      </w:r>
      <w:r w:rsidR="007576CB" w:rsidRPr="007576CB">
        <w:t xml:space="preserve"> </w:t>
      </w:r>
      <w:r w:rsidR="007576CB">
        <w:t xml:space="preserve">Spotřebitelské ceny </w:t>
      </w:r>
      <w:r w:rsidR="007576CB" w:rsidRPr="007576CB">
        <w:rPr>
          <w:i/>
        </w:rPr>
        <w:t>(průměrná míra inflace v %)</w:t>
      </w:r>
      <w:bookmarkEnd w:id="28"/>
    </w:p>
    <w:p w:rsidR="00B47F77" w:rsidRDefault="00B47F77" w:rsidP="00B47F77">
      <w:r w:rsidRPr="0078082F">
        <w:rPr>
          <w:noProof/>
        </w:rPr>
        <w:drawing>
          <wp:inline distT="0" distB="0" distL="0" distR="0" wp14:anchorId="56DB1DB0" wp14:editId="2F0EBFEE">
            <wp:extent cx="2933700" cy="1755421"/>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933700" cy="1755421"/>
                    </a:xfrm>
                    <a:prstGeom prst="rect">
                      <a:avLst/>
                    </a:prstGeom>
                    <a:noFill/>
                    <a:ln>
                      <a:noFill/>
                    </a:ln>
                  </pic:spPr>
                </pic:pic>
              </a:graphicData>
            </a:graphic>
          </wp:inline>
        </w:drawing>
      </w:r>
      <w:r w:rsidRPr="005F3E29">
        <w:rPr>
          <w:i/>
          <w:sz w:val="16"/>
          <w:szCs w:val="16"/>
        </w:rPr>
        <w:t>Zdroj:</w:t>
      </w:r>
      <w:r w:rsidRPr="005F3E29">
        <w:rPr>
          <w:i/>
          <w:iCs/>
          <w:color w:val="000000"/>
          <w:sz w:val="16"/>
          <w:szCs w:val="16"/>
        </w:rPr>
        <w:t xml:space="preserve"> ČSÚ</w:t>
      </w:r>
      <w:r w:rsidRPr="0006144B">
        <w:rPr>
          <w:i/>
          <w:iCs/>
          <w:color w:val="000000"/>
          <w:sz w:val="16"/>
          <w:szCs w:val="16"/>
        </w:rPr>
        <w:t>. Výpočty a predikce MF ČR.</w:t>
      </w:r>
    </w:p>
    <w:p w:rsidR="00B47F77" w:rsidRDefault="00B47F77" w:rsidP="00276DFA">
      <w:pPr>
        <w:pStyle w:val="SRNadpis3"/>
      </w:pPr>
      <w:bookmarkStart w:id="29" w:name="_Toc83882811"/>
      <w:r>
        <w:t>Trh práce</w:t>
      </w:r>
      <w:bookmarkEnd w:id="29"/>
    </w:p>
    <w:p w:rsidR="00B47F77" w:rsidRDefault="00B47F77" w:rsidP="00994F41">
      <w:pPr>
        <w:pStyle w:val="SRTextnomal"/>
      </w:pPr>
      <w:r>
        <w:t>Negativní dopad ekonomické recese na trh práce byl v</w:t>
      </w:r>
      <w:r>
        <w:t>ý</w:t>
      </w:r>
      <w:r>
        <w:t>razně tlumen fiskálními stimulačními opatřeními (zejména programem Antivirus a kompenzačním bon</w:t>
      </w:r>
      <w:r>
        <w:t>u</w:t>
      </w:r>
      <w:r>
        <w:t>sem). Navzdory ukončení</w:t>
      </w:r>
      <w:r w:rsidRPr="000D6E25">
        <w:t xml:space="preserve"> </w:t>
      </w:r>
      <w:r>
        <w:t>většiny z nich ale nedošlo k nárůstu</w:t>
      </w:r>
      <w:r w:rsidRPr="00191FA1">
        <w:t xml:space="preserve"> </w:t>
      </w:r>
      <w:r w:rsidRPr="00377B24">
        <w:t>nezaměstnanosti</w:t>
      </w:r>
      <w:r>
        <w:t>. Zřejmě převážil efekt uvo</w:t>
      </w:r>
      <w:r>
        <w:t>l</w:t>
      </w:r>
      <w:r>
        <w:t>ňování protiepidemických omezení a vliv silné poptávky po práci v některých odvětvích, především v průmyslu.</w:t>
      </w:r>
    </w:p>
    <w:p w:rsidR="007576CB" w:rsidRDefault="007576CB" w:rsidP="00497B37">
      <w:pPr>
        <w:pStyle w:val="SRtitulek1"/>
      </w:pPr>
      <w:bookmarkStart w:id="30" w:name="_Toc83882907"/>
      <w:r>
        <w:t xml:space="preserve">Graf </w:t>
      </w:r>
      <w:r w:rsidR="00D51DCA">
        <w:fldChar w:fldCharType="begin"/>
      </w:r>
      <w:r w:rsidR="00D51DCA">
        <w:instrText xml:space="preserve"> SEQ Graf \* ARABIC </w:instrText>
      </w:r>
      <w:r w:rsidR="00D51DCA">
        <w:fldChar w:fldCharType="separate"/>
      </w:r>
      <w:r w:rsidR="00D51DCA">
        <w:rPr>
          <w:noProof/>
        </w:rPr>
        <w:t>6</w:t>
      </w:r>
      <w:r w:rsidR="00D51DCA">
        <w:rPr>
          <w:noProof/>
        </w:rPr>
        <w:fldChar w:fldCharType="end"/>
      </w:r>
      <w:r w:rsidRPr="007576CB">
        <w:t xml:space="preserve"> </w:t>
      </w:r>
      <w:r>
        <w:t>Zaměstnanost</w:t>
      </w:r>
      <w:r w:rsidRPr="007576CB">
        <w:t xml:space="preserve"> </w:t>
      </w:r>
      <w:r w:rsidRPr="007576CB">
        <w:rPr>
          <w:i/>
        </w:rPr>
        <w:t>(růst proti předchozímu roku v %)</w:t>
      </w:r>
      <w:bookmarkEnd w:id="30"/>
    </w:p>
    <w:p w:rsidR="00B47F77" w:rsidRPr="005F3E29" w:rsidRDefault="00B47F77" w:rsidP="00B47F77">
      <w:pPr>
        <w:spacing w:after="0"/>
        <w:rPr>
          <w:i/>
          <w:iCs/>
          <w:color w:val="000000"/>
          <w:sz w:val="16"/>
          <w:szCs w:val="16"/>
        </w:rPr>
      </w:pPr>
      <w:r w:rsidRPr="0078082F">
        <w:rPr>
          <w:noProof/>
        </w:rPr>
        <w:drawing>
          <wp:inline distT="0" distB="0" distL="0" distR="0" wp14:anchorId="63E5E2E1" wp14:editId="053DAE47">
            <wp:extent cx="2933700" cy="1755421"/>
            <wp:effectExtent l="0" t="0" r="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933700" cy="1755421"/>
                    </a:xfrm>
                    <a:prstGeom prst="rect">
                      <a:avLst/>
                    </a:prstGeom>
                    <a:noFill/>
                    <a:ln>
                      <a:noFill/>
                    </a:ln>
                  </pic:spPr>
                </pic:pic>
              </a:graphicData>
            </a:graphic>
          </wp:inline>
        </w:drawing>
      </w:r>
    </w:p>
    <w:p w:rsidR="00B47F77" w:rsidRDefault="00B47F77" w:rsidP="00B47F77">
      <w:r w:rsidRPr="005F3E29">
        <w:rPr>
          <w:i/>
          <w:sz w:val="16"/>
          <w:szCs w:val="16"/>
        </w:rPr>
        <w:t>Zdroj:</w:t>
      </w:r>
      <w:r w:rsidRPr="005F3E29">
        <w:rPr>
          <w:i/>
          <w:iCs/>
          <w:color w:val="000000"/>
          <w:sz w:val="16"/>
          <w:szCs w:val="16"/>
        </w:rPr>
        <w:t xml:space="preserve"> ČSÚ. Výpočty </w:t>
      </w:r>
      <w:r w:rsidRPr="0006144B">
        <w:rPr>
          <w:i/>
          <w:iCs/>
          <w:color w:val="000000"/>
          <w:sz w:val="16"/>
          <w:szCs w:val="16"/>
        </w:rPr>
        <w:t>a predikce MF ČR.</w:t>
      </w:r>
    </w:p>
    <w:p w:rsidR="00B47F77" w:rsidRDefault="00B47F77" w:rsidP="00994F41">
      <w:pPr>
        <w:pStyle w:val="SRTextnomal"/>
        <w:rPr>
          <w:b/>
        </w:rPr>
      </w:pPr>
      <w:r>
        <w:t xml:space="preserve">Postupně doznívající efekty ekonomického propadu a setrvačnost na trhu práce by se v letošním roce měly </w:t>
      </w:r>
      <w:r w:rsidRPr="009477D4">
        <w:rPr>
          <w:spacing w:val="-2"/>
        </w:rPr>
        <w:t xml:space="preserve">promítnout v meziročním poklesu </w:t>
      </w:r>
      <w:r w:rsidRPr="009477D4">
        <w:rPr>
          <w:b/>
          <w:spacing w:val="-2"/>
        </w:rPr>
        <w:t>zaměstnanosti</w:t>
      </w:r>
      <w:r w:rsidRPr="009477D4">
        <w:rPr>
          <w:spacing w:val="-2"/>
        </w:rPr>
        <w:t>. V</w:t>
      </w:r>
      <w:r>
        <w:t xml:space="preserve"> pří</w:t>
      </w:r>
      <w:r>
        <w:t>š</w:t>
      </w:r>
      <w:r>
        <w:t xml:space="preserve">tím roce by se naopak obnovená poptávka po práci měla </w:t>
      </w:r>
      <w:r w:rsidRPr="009477D4">
        <w:t>projevit</w:t>
      </w:r>
      <w:r>
        <w:t xml:space="preserve"> vyšším počtem zaměstnaných, dynamika však bude limitována dlouhodobým nedostatkem disponibi</w:t>
      </w:r>
      <w:r>
        <w:t>l</w:t>
      </w:r>
      <w:r>
        <w:t>ních pracovníků v některých profesích. Nabídka práce by v horizontu makroekonomického rámce měla být po</w:t>
      </w:r>
      <w:r>
        <w:t>d</w:t>
      </w:r>
      <w:r>
        <w:t>pořena zvyšováním statutárního věku odchodu do d</w:t>
      </w:r>
      <w:r>
        <w:t>ů</w:t>
      </w:r>
      <w:r>
        <w:t xml:space="preserve">chodu a v menší míře také významným podílem </w:t>
      </w:r>
      <w:r w:rsidRPr="00FF2001">
        <w:t>věkových skupin s přirozeně vysokou mírou ekonomické aktivity</w:t>
      </w:r>
      <w:r>
        <w:t xml:space="preserve">. V letošním roce by tak </w:t>
      </w:r>
      <w:r w:rsidRPr="00DB2219">
        <w:t>zaměstnanost</w:t>
      </w:r>
      <w:r>
        <w:t xml:space="preserve"> mohla klesnout o 1,0 %. V roce 2022 by mohla vzrůst o 0,4 % a nepatrně se zvyšovat i v letech 2023–2024.</w:t>
      </w:r>
      <w:r w:rsidRPr="00E465C4">
        <w:rPr>
          <w:b/>
        </w:rPr>
        <w:t xml:space="preserve"> </w:t>
      </w:r>
    </w:p>
    <w:p w:rsidR="00B47F77" w:rsidRDefault="00B47F77" w:rsidP="00994F41">
      <w:pPr>
        <w:pStyle w:val="SRTextnomal"/>
      </w:pPr>
      <w:r w:rsidRPr="00F15452">
        <w:rPr>
          <w:b/>
        </w:rPr>
        <w:lastRenderedPageBreak/>
        <w:t>Míra nezaměstnanosti</w:t>
      </w:r>
      <w:r>
        <w:t xml:space="preserve"> (v metodice Výběrového šetření pracovní sil) zůstává v mezinárodním i historickém ko</w:t>
      </w:r>
      <w:r>
        <w:t>n</w:t>
      </w:r>
      <w:r>
        <w:t>textu i přes určité zvýšení vlivem epidemie velmi nízká. Prostor pro její nárůst nadále limituje vysoký počet vo</w:t>
      </w:r>
      <w:r>
        <w:t>l</w:t>
      </w:r>
      <w:r>
        <w:t>ných pracovních míst a zaměstnaných cizinců.</w:t>
      </w:r>
    </w:p>
    <w:p w:rsidR="004816F0" w:rsidRDefault="004816F0" w:rsidP="00497B37">
      <w:pPr>
        <w:pStyle w:val="SRtitulek1"/>
      </w:pPr>
      <w:bookmarkStart w:id="31" w:name="_Toc83882908"/>
      <w:r>
        <w:t xml:space="preserve">Graf </w:t>
      </w:r>
      <w:r w:rsidR="00D51DCA">
        <w:fldChar w:fldCharType="begin"/>
      </w:r>
      <w:r w:rsidR="00D51DCA">
        <w:instrText xml:space="preserve"> SEQ Graf \* ARABIC </w:instrText>
      </w:r>
      <w:r w:rsidR="00D51DCA">
        <w:fldChar w:fldCharType="separate"/>
      </w:r>
      <w:r w:rsidR="00D51DCA">
        <w:rPr>
          <w:noProof/>
        </w:rPr>
        <w:t>7</w:t>
      </w:r>
      <w:r w:rsidR="00D51DCA">
        <w:rPr>
          <w:noProof/>
        </w:rPr>
        <w:fldChar w:fldCharType="end"/>
      </w:r>
      <w:r w:rsidRPr="004816F0">
        <w:t xml:space="preserve"> </w:t>
      </w:r>
      <w:r>
        <w:t>Míra nezaměstnanosti</w:t>
      </w:r>
      <w:r w:rsidR="00C11710">
        <w:t xml:space="preserve"> </w:t>
      </w:r>
      <w:r w:rsidRPr="00C11710">
        <w:rPr>
          <w:i/>
        </w:rPr>
        <w:t>(v % pracovní síly)</w:t>
      </w:r>
      <w:bookmarkEnd w:id="31"/>
    </w:p>
    <w:p w:rsidR="00B47F77" w:rsidRPr="005F3E29" w:rsidRDefault="00B47F77" w:rsidP="00B47F77">
      <w:pPr>
        <w:spacing w:after="0"/>
        <w:rPr>
          <w:i/>
          <w:iCs/>
          <w:color w:val="000000"/>
          <w:sz w:val="16"/>
          <w:szCs w:val="16"/>
        </w:rPr>
      </w:pPr>
      <w:r w:rsidRPr="0078082F">
        <w:rPr>
          <w:noProof/>
        </w:rPr>
        <w:drawing>
          <wp:inline distT="0" distB="0" distL="0" distR="0" wp14:anchorId="2A5399C9" wp14:editId="643F6C24">
            <wp:extent cx="2933700" cy="1755421"/>
            <wp:effectExtent l="0" t="0" r="0" b="0"/>
            <wp:docPr id="29" name="Obráze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933700" cy="1755421"/>
                    </a:xfrm>
                    <a:prstGeom prst="rect">
                      <a:avLst/>
                    </a:prstGeom>
                    <a:noFill/>
                    <a:ln>
                      <a:noFill/>
                    </a:ln>
                  </pic:spPr>
                </pic:pic>
              </a:graphicData>
            </a:graphic>
          </wp:inline>
        </w:drawing>
      </w:r>
    </w:p>
    <w:p w:rsidR="00B47F77" w:rsidRDefault="00B47F77" w:rsidP="00B47F77">
      <w:pPr>
        <w:pStyle w:val="Zdrojpodtabulkounebografem"/>
        <w:spacing w:after="120"/>
      </w:pPr>
      <w:r w:rsidRPr="005F3E29">
        <w:t xml:space="preserve">Zdroj: ČSÚ. Výpočty </w:t>
      </w:r>
      <w:r w:rsidRPr="0006144B">
        <w:t>a predikce MF ČR.</w:t>
      </w:r>
    </w:p>
    <w:p w:rsidR="00B47F77" w:rsidRDefault="00B47F77" w:rsidP="00994F41">
      <w:pPr>
        <w:pStyle w:val="SRTextnomal"/>
      </w:pPr>
      <w:r>
        <w:t>Očekáváme, že za celý rok 2021 míra nezaměstnanosti dosáhne 3,0 %. S ohledem na růst hospodářské aktivity by se v následujících letech mohla postupně snižovat až na 2,5 % v roce 2024.</w:t>
      </w:r>
    </w:p>
    <w:p w:rsidR="00B47F77" w:rsidRDefault="00B47F77" w:rsidP="00994F41">
      <w:pPr>
        <w:pStyle w:val="SRTextnomal"/>
      </w:pPr>
      <w:r>
        <w:t>Restriktivní opatření a zpožděné dopady hospodářského propadu se v 1. čtvrtletí 2021 projevily meziročním p</w:t>
      </w:r>
      <w:r>
        <w:t>o</w:t>
      </w:r>
      <w:r>
        <w:t xml:space="preserve">klesem </w:t>
      </w:r>
      <w:r w:rsidRPr="00977395">
        <w:rPr>
          <w:b/>
        </w:rPr>
        <w:t>objemu mezd a platů</w:t>
      </w:r>
      <w:r>
        <w:t>. Náhrady zaměstnancům, které na rozdíl od objemu mezd a platů zahrnují ko</w:t>
      </w:r>
      <w:r>
        <w:t>m</w:t>
      </w:r>
      <w:r>
        <w:t>penzace z programu Antivirus, se naopak zvýšily. Vývoj napříč odvětvími byl značně nerovnoměrný, kdy v či</w:t>
      </w:r>
      <w:r>
        <w:t>n</w:t>
      </w:r>
      <w:r>
        <w:t>nostech s dominantní rolí sektoru vládních institucí v</w:t>
      </w:r>
      <w:r>
        <w:t>ý</w:t>
      </w:r>
      <w:r>
        <w:t>dělky silně rostly, mj. v důsledku vyplácení mimořádných odměn. Trend podstatně rychlejší dynamiky mezd a platů v netržních odvětvích je patrný již od roku 2016, v příštím roce by však citelné oživení poptávky po práci při nedostatku pracovní síly mělo přinést akceleraci mezd v soukromém sektoru. Objem mezd a platů by se letos mohl zvýšit o 2,9 % a ve zbývajících letech horizo</w:t>
      </w:r>
      <w:r>
        <w:t>n</w:t>
      </w:r>
      <w:r>
        <w:t>tu makroekonomického rámce růst ročním tempem ok</w:t>
      </w:r>
      <w:r>
        <w:t>o</w:t>
      </w:r>
      <w:r>
        <w:t>lo 4 %.</w:t>
      </w:r>
    </w:p>
    <w:p w:rsidR="004816F0" w:rsidRDefault="004816F0" w:rsidP="00497B37">
      <w:pPr>
        <w:pStyle w:val="SRtitulek1"/>
      </w:pPr>
      <w:bookmarkStart w:id="32" w:name="_Toc83882909"/>
      <w:r>
        <w:t xml:space="preserve">Graf </w:t>
      </w:r>
      <w:r w:rsidR="00D51DCA">
        <w:fldChar w:fldCharType="begin"/>
      </w:r>
      <w:r w:rsidR="00D51DCA">
        <w:instrText xml:space="preserve"> SEQ Graf \* ARABIC </w:instrText>
      </w:r>
      <w:r w:rsidR="00D51DCA">
        <w:fldChar w:fldCharType="separate"/>
      </w:r>
      <w:r w:rsidR="00D51DCA">
        <w:rPr>
          <w:noProof/>
        </w:rPr>
        <w:t>8</w:t>
      </w:r>
      <w:r w:rsidR="00D51DCA">
        <w:rPr>
          <w:noProof/>
        </w:rPr>
        <w:fldChar w:fldCharType="end"/>
      </w:r>
      <w:r w:rsidRPr="004816F0">
        <w:t xml:space="preserve"> </w:t>
      </w:r>
      <w:r>
        <w:t>Objem mezd a platů</w:t>
      </w:r>
      <w:r w:rsidR="00C11710">
        <w:t xml:space="preserve"> </w:t>
      </w:r>
      <w:r w:rsidRPr="00C11710">
        <w:rPr>
          <w:i/>
        </w:rPr>
        <w:t>(domácí koncept, růst proti předchozímu roku v %)</w:t>
      </w:r>
      <w:bookmarkEnd w:id="32"/>
    </w:p>
    <w:p w:rsidR="00B47F77" w:rsidRDefault="00B47F77" w:rsidP="00B47F77">
      <w:pPr>
        <w:spacing w:after="240"/>
        <w:rPr>
          <w:i/>
          <w:iCs/>
          <w:color w:val="000000"/>
          <w:sz w:val="16"/>
          <w:szCs w:val="16"/>
        </w:rPr>
      </w:pPr>
      <w:r w:rsidRPr="0078082F">
        <w:rPr>
          <w:noProof/>
        </w:rPr>
        <w:drawing>
          <wp:inline distT="0" distB="0" distL="0" distR="0" wp14:anchorId="70247CCA" wp14:editId="42D437CF">
            <wp:extent cx="2933700" cy="1755421"/>
            <wp:effectExtent l="0" t="0" r="0" b="0"/>
            <wp:docPr id="30" name="Obráze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33700" cy="1755421"/>
                    </a:xfrm>
                    <a:prstGeom prst="rect">
                      <a:avLst/>
                    </a:prstGeom>
                    <a:noFill/>
                    <a:ln>
                      <a:noFill/>
                    </a:ln>
                  </pic:spPr>
                </pic:pic>
              </a:graphicData>
            </a:graphic>
          </wp:inline>
        </w:drawing>
      </w:r>
      <w:r w:rsidRPr="005F3E29">
        <w:rPr>
          <w:i/>
          <w:sz w:val="16"/>
          <w:szCs w:val="16"/>
        </w:rPr>
        <w:t>Zdroj:</w:t>
      </w:r>
      <w:r w:rsidRPr="005F3E29">
        <w:rPr>
          <w:i/>
          <w:iCs/>
          <w:color w:val="000000"/>
          <w:sz w:val="16"/>
          <w:szCs w:val="16"/>
        </w:rPr>
        <w:t xml:space="preserve"> ČSÚ. Výpočty </w:t>
      </w:r>
      <w:r w:rsidRPr="0006144B">
        <w:rPr>
          <w:i/>
          <w:iCs/>
          <w:color w:val="000000"/>
          <w:sz w:val="16"/>
          <w:szCs w:val="16"/>
        </w:rPr>
        <w:t>a predikce MF ČR.</w:t>
      </w:r>
    </w:p>
    <w:p w:rsidR="00B47F77" w:rsidRDefault="00B47F77" w:rsidP="00276DFA">
      <w:pPr>
        <w:pStyle w:val="SRNadpis3"/>
      </w:pPr>
      <w:bookmarkStart w:id="33" w:name="_Toc83882812"/>
      <w:r>
        <w:lastRenderedPageBreak/>
        <w:t>Vztahy k zahraničí</w:t>
      </w:r>
      <w:bookmarkEnd w:id="33"/>
    </w:p>
    <w:p w:rsidR="00B47F77" w:rsidRDefault="00B47F77" w:rsidP="00994F41">
      <w:pPr>
        <w:pStyle w:val="SRTextnomal"/>
      </w:pPr>
      <w:r>
        <w:t>Nepříznivá ekonomická situace vedla v roce 2020 k d</w:t>
      </w:r>
      <w:r>
        <w:t>o</w:t>
      </w:r>
      <w:r>
        <w:t xml:space="preserve">sažení rekordně vysokého přebytku </w:t>
      </w:r>
      <w:r>
        <w:rPr>
          <w:b/>
        </w:rPr>
        <w:t>b</w:t>
      </w:r>
      <w:r w:rsidRPr="009D56E0">
        <w:rPr>
          <w:b/>
        </w:rPr>
        <w:t>ěžn</w:t>
      </w:r>
      <w:r>
        <w:rPr>
          <w:b/>
        </w:rPr>
        <w:t>ého</w:t>
      </w:r>
      <w:r w:rsidRPr="009D56E0">
        <w:rPr>
          <w:b/>
        </w:rPr>
        <w:t xml:space="preserve"> účt</w:t>
      </w:r>
      <w:r>
        <w:rPr>
          <w:b/>
        </w:rPr>
        <w:t>u</w:t>
      </w:r>
      <w:r w:rsidRPr="00A37197">
        <w:t xml:space="preserve"> </w:t>
      </w:r>
      <w:r w:rsidRPr="009D56E0">
        <w:t>pl</w:t>
      </w:r>
      <w:r w:rsidRPr="009D56E0">
        <w:t>a</w:t>
      </w:r>
      <w:r w:rsidRPr="009D56E0">
        <w:t>tební bilance</w:t>
      </w:r>
      <w:r>
        <w:t xml:space="preserve"> ve výši 3,6 % HDP. V ročním klouzavém úhrnu se pak přebytek v 1. čtvrtletí 2021 nepatrně snížil na 3,5 % HDP.</w:t>
      </w:r>
      <w:r w:rsidRPr="000B4CA9">
        <w:t xml:space="preserve"> </w:t>
      </w:r>
      <w:r>
        <w:t>Většina z faktorů, které přispívají ke zle</w:t>
      </w:r>
      <w:r>
        <w:t>p</w:t>
      </w:r>
      <w:r>
        <w:t>šení běžného účtu, má však jednorázový nebo dočasný charakter.</w:t>
      </w:r>
    </w:p>
    <w:p w:rsidR="00B47F77" w:rsidRDefault="00B47F77" w:rsidP="00994F41">
      <w:pPr>
        <w:pStyle w:val="SRTextnomal"/>
      </w:pPr>
      <w:r>
        <w:t xml:space="preserve">Dominantní kladnou položkou je dlouhodobě </w:t>
      </w:r>
      <w:r w:rsidRPr="00853CF3">
        <w:rPr>
          <w:b/>
        </w:rPr>
        <w:t xml:space="preserve">bilance </w:t>
      </w:r>
      <w:r w:rsidRPr="00631F5B">
        <w:rPr>
          <w:b/>
          <w:spacing w:val="-1"/>
        </w:rPr>
        <w:t>obchodu se zbožím</w:t>
      </w:r>
      <w:r w:rsidRPr="00631F5B">
        <w:rPr>
          <w:spacing w:val="-1"/>
        </w:rPr>
        <w:t>. Její přebytek v 1. čtvrtletí 2021</w:t>
      </w:r>
      <w:r>
        <w:t xml:space="preserve"> m</w:t>
      </w:r>
      <w:r>
        <w:t>e</w:t>
      </w:r>
      <w:r>
        <w:t xml:space="preserve">ziročně vzrostl na 5,5 % HDP, když se </w:t>
      </w:r>
      <w:r w:rsidRPr="008659C4">
        <w:t>zlepš</w:t>
      </w:r>
      <w:r>
        <w:t>ilo</w:t>
      </w:r>
      <w:r w:rsidRPr="008659C4">
        <w:t xml:space="preserve"> sald</w:t>
      </w:r>
      <w:r>
        <w:t>o</w:t>
      </w:r>
      <w:r w:rsidRPr="008659C4">
        <w:t xml:space="preserve"> ve skupině stroje a dopravní prostředky, která tvoří více než polovinu celkového vývozu zboží. </w:t>
      </w:r>
      <w:r>
        <w:t>Vlivem oživení inve</w:t>
      </w:r>
      <w:r>
        <w:t>s</w:t>
      </w:r>
      <w:r>
        <w:t>tiční aktivity, spotřeby domácností a vyšších cen ropy by mělo docházet k poklesu přebytku obchodní bilance až na 3,7 % HDP v roce 2024.</w:t>
      </w:r>
    </w:p>
    <w:p w:rsidR="00B47F77" w:rsidRDefault="00B47F77" w:rsidP="00994F41">
      <w:pPr>
        <w:pStyle w:val="SRTextnomal"/>
      </w:pPr>
      <w:r>
        <w:t xml:space="preserve">Přebytek </w:t>
      </w:r>
      <w:r w:rsidRPr="007E159F">
        <w:rPr>
          <w:b/>
        </w:rPr>
        <w:t>bilance služeb</w:t>
      </w:r>
      <w:r>
        <w:t xml:space="preserve"> se v 1. čtvrtletí 2021 v důsledku </w:t>
      </w:r>
      <w:r w:rsidRPr="008659C4">
        <w:t>pokles</w:t>
      </w:r>
      <w:r>
        <w:t>u</w:t>
      </w:r>
      <w:r w:rsidRPr="008659C4">
        <w:t xml:space="preserve"> příjmů z cestovního ruchu a růst</w:t>
      </w:r>
      <w:r>
        <w:t>u</w:t>
      </w:r>
      <w:r w:rsidRPr="008659C4">
        <w:t xml:space="preserve"> nákladů v</w:t>
      </w:r>
      <w:r>
        <w:t> </w:t>
      </w:r>
      <w:r w:rsidRPr="008659C4">
        <w:t>sektoru dopravy</w:t>
      </w:r>
      <w:r>
        <w:t xml:space="preserve"> nepatrně snížil na 1,7 % HDP</w:t>
      </w:r>
      <w:r w:rsidRPr="005F14EF">
        <w:t>.</w:t>
      </w:r>
      <w:r>
        <w:t xml:space="preserve"> </w:t>
      </w:r>
      <w:r w:rsidRPr="008659C4">
        <w:t>Neg</w:t>
      </w:r>
      <w:r w:rsidRPr="008659C4">
        <w:t>a</w:t>
      </w:r>
      <w:r w:rsidRPr="008659C4">
        <w:t>tivní dopady pandemie tlumil růst příjmů ve službách souvisejících se stavebními pracemi.</w:t>
      </w:r>
      <w:r>
        <w:t xml:space="preserve"> V následujících l</w:t>
      </w:r>
      <w:r>
        <w:t>e</w:t>
      </w:r>
      <w:r>
        <w:t>tech by měl přebytek bilance služeb dosahovat vícem</w:t>
      </w:r>
      <w:r>
        <w:t>é</w:t>
      </w:r>
      <w:r>
        <w:t>ně stabilních hodnot.</w:t>
      </w:r>
    </w:p>
    <w:p w:rsidR="00B47F77" w:rsidRDefault="00B47F77" w:rsidP="00994F41">
      <w:pPr>
        <w:pStyle w:val="SRTextnomal"/>
      </w:pPr>
      <w:r>
        <w:t>K podstatnému meziročnímu zlepšení došlo u dlouhod</w:t>
      </w:r>
      <w:r>
        <w:t>o</w:t>
      </w:r>
      <w:r>
        <w:t>bě záporné b</w:t>
      </w:r>
      <w:r w:rsidRPr="009D56E0">
        <w:t xml:space="preserve">ilance </w:t>
      </w:r>
      <w:r w:rsidRPr="00271613">
        <w:rPr>
          <w:b/>
        </w:rPr>
        <w:t>prvotních důchodů</w:t>
      </w:r>
      <w:r>
        <w:rPr>
          <w:b/>
        </w:rPr>
        <w:t>.</w:t>
      </w:r>
      <w:r>
        <w:t xml:space="preserve"> Deficit se na z</w:t>
      </w:r>
      <w:r>
        <w:t>a</w:t>
      </w:r>
      <w:r>
        <w:t>čátku letošního roku snížil o 1,6 p. b. na −3,0 % HDP.</w:t>
      </w:r>
      <w:r w:rsidRPr="009D56E0">
        <w:t xml:space="preserve"> </w:t>
      </w:r>
      <w:r>
        <w:t>Výrazně poklesl</w:t>
      </w:r>
      <w:r w:rsidRPr="000214A7">
        <w:t xml:space="preserve"> odliv investičních výnosů z přímých i</w:t>
      </w:r>
      <w:r w:rsidRPr="000214A7">
        <w:t>n</w:t>
      </w:r>
      <w:r w:rsidRPr="000214A7">
        <w:t xml:space="preserve">vestic v ČR (v podobě </w:t>
      </w:r>
      <w:r>
        <w:t xml:space="preserve">dividend či </w:t>
      </w:r>
      <w:r w:rsidRPr="000214A7">
        <w:t xml:space="preserve">reinvestovaného zisku) daný </w:t>
      </w:r>
      <w:r>
        <w:t>snížením</w:t>
      </w:r>
      <w:r w:rsidRPr="000214A7">
        <w:t xml:space="preserve"> ziskovosti firem v</w:t>
      </w:r>
      <w:r>
        <w:t> </w:t>
      </w:r>
      <w:r w:rsidRPr="000214A7">
        <w:t>zahraničním vlastnictví.</w:t>
      </w:r>
      <w:r w:rsidRPr="00A17F73">
        <w:t xml:space="preserve"> </w:t>
      </w:r>
      <w:r>
        <w:t>V budoucích letech lze očekávat obnovení jejich zisk</w:t>
      </w:r>
      <w:r>
        <w:t>o</w:t>
      </w:r>
      <w:r>
        <w:t>vosti, což by mělo vést k opětovnému nárůstu deficitu prvotních důchodů až na 4,7 % HDP v roce 2024.</w:t>
      </w:r>
    </w:p>
    <w:p w:rsidR="00B47F77" w:rsidRDefault="00B47F77" w:rsidP="00994F41">
      <w:pPr>
        <w:pStyle w:val="SRTextnomal"/>
      </w:pPr>
      <w:r>
        <w:t>B</w:t>
      </w:r>
      <w:r w:rsidRPr="009D56E0">
        <w:t xml:space="preserve">ilance </w:t>
      </w:r>
      <w:r w:rsidRPr="00271613">
        <w:rPr>
          <w:b/>
        </w:rPr>
        <w:t>druhotných důchodů</w:t>
      </w:r>
      <w:r w:rsidRPr="009D56E0">
        <w:t xml:space="preserve"> </w:t>
      </w:r>
      <w:r>
        <w:t>se v 1. čtvrtletí 2021 nep</w:t>
      </w:r>
      <w:r>
        <w:t>a</w:t>
      </w:r>
      <w:r>
        <w:t>trně zhoršila na −0,6 % HDP, a to v převážné míře v o</w:t>
      </w:r>
      <w:r>
        <w:t>b</w:t>
      </w:r>
      <w:r>
        <w:t>lasti čistých příjmů z rozpočtu EU vykazovaných v rámci druhotných důchodů. V horizontu makroekonomického rámce by se deficit druhotných důchodů měl pohybovat na obdobných hodnotách.</w:t>
      </w:r>
    </w:p>
    <w:p w:rsidR="00B47F77" w:rsidRDefault="00B47F77" w:rsidP="00994F41">
      <w:pPr>
        <w:pStyle w:val="SRTextnomal"/>
      </w:pPr>
      <w:r>
        <w:t>Ve výsledku by tak saldo běžného účtu platební bilance mohlo v letošním roce dosáhnout přebytku 1,1 % HDP. Ten by se v roce 2022 mohl snížit na 0,6 % HDP, v dalších letech lze očekávat vyrovnaný běžný účet.</w:t>
      </w:r>
    </w:p>
    <w:p w:rsidR="004816F0" w:rsidRDefault="004816F0" w:rsidP="00994F41">
      <w:pPr>
        <w:pStyle w:val="SRtitulek1"/>
      </w:pPr>
      <w:bookmarkStart w:id="34" w:name="_Toc83882910"/>
      <w:r>
        <w:lastRenderedPageBreak/>
        <w:t xml:space="preserve">Graf </w:t>
      </w:r>
      <w:r w:rsidR="00D51DCA">
        <w:fldChar w:fldCharType="begin"/>
      </w:r>
      <w:r w:rsidR="00D51DCA">
        <w:instrText xml:space="preserve"> SEQ Graf \* ARABIC </w:instrText>
      </w:r>
      <w:r w:rsidR="00D51DCA">
        <w:fldChar w:fldCharType="separate"/>
      </w:r>
      <w:r w:rsidR="00D51DCA">
        <w:rPr>
          <w:noProof/>
        </w:rPr>
        <w:t>9</w:t>
      </w:r>
      <w:r w:rsidR="00D51DCA">
        <w:rPr>
          <w:noProof/>
        </w:rPr>
        <w:fldChar w:fldCharType="end"/>
      </w:r>
      <w:r w:rsidRPr="004816F0">
        <w:t xml:space="preserve"> </w:t>
      </w:r>
      <w:r>
        <w:t>Saldo běžného účtu platební bilance</w:t>
      </w:r>
      <w:r w:rsidR="00C11710">
        <w:t xml:space="preserve"> </w:t>
      </w:r>
      <w:r w:rsidRPr="00C11710">
        <w:rPr>
          <w:i/>
        </w:rPr>
        <w:t>(v % HDP)</w:t>
      </w:r>
      <w:bookmarkEnd w:id="34"/>
    </w:p>
    <w:p w:rsidR="00B47F77" w:rsidRDefault="00B47F77" w:rsidP="00544A8A">
      <w:pPr>
        <w:spacing w:after="240"/>
      </w:pPr>
      <w:r w:rsidRPr="0078082F">
        <w:rPr>
          <w:noProof/>
        </w:rPr>
        <w:drawing>
          <wp:inline distT="0" distB="0" distL="0" distR="0" wp14:anchorId="626DE5BA" wp14:editId="2D12EF22">
            <wp:extent cx="2868930" cy="1672215"/>
            <wp:effectExtent l="0" t="0" r="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26" cstate="print">
                      <a:extLst>
                        <a:ext uri="{28A0092B-C50C-407E-A947-70E740481C1C}">
                          <a14:useLocalDpi xmlns:a14="http://schemas.microsoft.com/office/drawing/2010/main" val="0"/>
                        </a:ext>
                      </a:extLst>
                    </a:blip>
                    <a:srcRect t="2589"/>
                    <a:stretch/>
                  </pic:blipFill>
                  <pic:spPr bwMode="auto">
                    <a:xfrm>
                      <a:off x="0" y="0"/>
                      <a:ext cx="2871164" cy="1673517"/>
                    </a:xfrm>
                    <a:prstGeom prst="rect">
                      <a:avLst/>
                    </a:prstGeom>
                    <a:noFill/>
                    <a:ln>
                      <a:noFill/>
                    </a:ln>
                    <a:extLst>
                      <a:ext uri="{53640926-AAD7-44D8-BBD7-CCE9431645EC}">
                        <a14:shadowObscured xmlns:a14="http://schemas.microsoft.com/office/drawing/2010/main"/>
                      </a:ext>
                    </a:extLst>
                  </pic:spPr>
                </pic:pic>
              </a:graphicData>
            </a:graphic>
          </wp:inline>
        </w:drawing>
      </w:r>
      <w:r w:rsidRPr="005F3E29">
        <w:rPr>
          <w:i/>
          <w:sz w:val="16"/>
          <w:szCs w:val="16"/>
        </w:rPr>
        <w:t>Zdroj:</w:t>
      </w:r>
      <w:r w:rsidRPr="005F3E29">
        <w:rPr>
          <w:i/>
          <w:iCs/>
          <w:color w:val="000000"/>
          <w:sz w:val="16"/>
          <w:szCs w:val="16"/>
        </w:rPr>
        <w:t xml:space="preserve"> </w:t>
      </w:r>
      <w:r>
        <w:rPr>
          <w:i/>
          <w:iCs/>
          <w:color w:val="000000"/>
          <w:sz w:val="16"/>
          <w:szCs w:val="16"/>
        </w:rPr>
        <w:t xml:space="preserve">ČNB, </w:t>
      </w:r>
      <w:r w:rsidRPr="005F3E29">
        <w:rPr>
          <w:i/>
          <w:iCs/>
          <w:color w:val="000000"/>
          <w:sz w:val="16"/>
          <w:szCs w:val="16"/>
        </w:rPr>
        <w:t xml:space="preserve">ČSÚ. Výpočty </w:t>
      </w:r>
      <w:r w:rsidRPr="0006144B">
        <w:rPr>
          <w:i/>
          <w:iCs/>
          <w:color w:val="000000"/>
          <w:sz w:val="16"/>
          <w:szCs w:val="16"/>
        </w:rPr>
        <w:t>a predikce MF ČR.</w:t>
      </w:r>
      <w:bookmarkStart w:id="35" w:name="_Ref465151154"/>
    </w:p>
    <w:p w:rsidR="00B47F77" w:rsidRDefault="00B47F77" w:rsidP="00B47F77">
      <w:pPr>
        <w:sectPr w:rsidR="00B47F77" w:rsidSect="00E8195E">
          <w:headerReference w:type="default" r:id="rId27"/>
          <w:footerReference w:type="even" r:id="rId28"/>
          <w:type w:val="continuous"/>
          <w:pgSz w:w="11906" w:h="16838" w:code="9"/>
          <w:pgMar w:top="1134" w:right="1134" w:bottom="1418" w:left="1134" w:header="709" w:footer="709" w:gutter="0"/>
          <w:cols w:num="2" w:space="397"/>
          <w:docGrid w:linePitch="360"/>
        </w:sectPr>
      </w:pPr>
    </w:p>
    <w:p w:rsidR="00B47F77" w:rsidRDefault="00B47F77" w:rsidP="005A27EF">
      <w:pPr>
        <w:pStyle w:val="SRNadpis2"/>
      </w:pPr>
      <w:bookmarkStart w:id="36" w:name="_Toc14695476"/>
      <w:bookmarkStart w:id="37" w:name="_Toc81233996"/>
      <w:bookmarkStart w:id="38" w:name="_Toc83882813"/>
      <w:bookmarkStart w:id="39" w:name="_Toc206730429"/>
      <w:bookmarkStart w:id="40" w:name="_Toc238787328"/>
      <w:bookmarkStart w:id="41" w:name="_Toc239042742"/>
      <w:bookmarkStart w:id="42" w:name="_Toc239056371"/>
      <w:bookmarkStart w:id="43" w:name="_Toc239056409"/>
      <w:bookmarkStart w:id="44" w:name="_Toc525714699"/>
      <w:bookmarkEnd w:id="35"/>
      <w:r w:rsidRPr="00104BD9">
        <w:lastRenderedPageBreak/>
        <w:t>Nezávislé</w:t>
      </w:r>
      <w:r>
        <w:t xml:space="preserve"> ověření </w:t>
      </w:r>
      <w:r w:rsidRPr="00276DFA">
        <w:t>makroekonomického</w:t>
      </w:r>
      <w:r>
        <w:t xml:space="preserve"> rámce</w:t>
      </w:r>
      <w:bookmarkEnd w:id="36"/>
      <w:bookmarkEnd w:id="37"/>
      <w:bookmarkEnd w:id="38"/>
      <w:r w:rsidRPr="00C724DB">
        <w:t xml:space="preserve"> </w:t>
      </w:r>
      <w:bookmarkEnd w:id="39"/>
      <w:bookmarkEnd w:id="40"/>
      <w:bookmarkEnd w:id="41"/>
      <w:bookmarkEnd w:id="42"/>
      <w:bookmarkEnd w:id="43"/>
      <w:bookmarkEnd w:id="44"/>
    </w:p>
    <w:p w:rsidR="00B47F77" w:rsidRDefault="00B47F77" w:rsidP="00B47F77">
      <w:pPr>
        <w:sectPr w:rsidR="00B47F77" w:rsidSect="00E8195E">
          <w:type w:val="continuous"/>
          <w:pgSz w:w="11906" w:h="16838" w:code="9"/>
          <w:pgMar w:top="1134" w:right="1134" w:bottom="1418" w:left="1134" w:header="709" w:footer="709" w:gutter="0"/>
          <w:cols w:space="709"/>
          <w:docGrid w:linePitch="360"/>
        </w:sectPr>
      </w:pPr>
    </w:p>
    <w:p w:rsidR="00B47F77" w:rsidRDefault="00B47F77" w:rsidP="00276DFA">
      <w:pPr>
        <w:pStyle w:val="SRNadpis3"/>
      </w:pPr>
      <w:bookmarkStart w:id="45" w:name="_Toc83882814"/>
      <w:r>
        <w:lastRenderedPageBreak/>
        <w:t>Zhodnocení Výborem pro rozpočtové prognózy</w:t>
      </w:r>
      <w:bookmarkEnd w:id="45"/>
    </w:p>
    <w:p w:rsidR="00B47F77" w:rsidRDefault="00B47F77" w:rsidP="00994F41">
      <w:pPr>
        <w:pStyle w:val="SRTextnomal"/>
        <w:rPr>
          <w:b/>
        </w:rPr>
      </w:pPr>
      <w:r w:rsidRPr="000C3438">
        <w:t>Výbor pro rozpočtové prognózy</w:t>
      </w:r>
      <w:r>
        <w:t>,</w:t>
      </w:r>
      <w:r w:rsidRPr="000C3438">
        <w:t xml:space="preserve"> v</w:t>
      </w:r>
      <w:r>
        <w:t> </w:t>
      </w:r>
      <w:r w:rsidRPr="000C3438">
        <w:t>soul</w:t>
      </w:r>
      <w:r>
        <w:t>adu se zákonem č. 23/2017 Sb.</w:t>
      </w:r>
      <w:r w:rsidR="00992C3F">
        <w:t>,</w:t>
      </w:r>
      <w:r>
        <w:t xml:space="preserve"> o </w:t>
      </w:r>
      <w:r w:rsidRPr="000C3438">
        <w:t>pravidlech rozpočtové odpovědnosti</w:t>
      </w:r>
      <w:r>
        <w:t xml:space="preserve">, ve znění pozdějších předpisů, </w:t>
      </w:r>
      <w:r w:rsidRPr="000C3438">
        <w:t xml:space="preserve">posoudil </w:t>
      </w:r>
      <w:r>
        <w:t>dne 30</w:t>
      </w:r>
      <w:r w:rsidRPr="008F140B">
        <w:t>.</w:t>
      </w:r>
      <w:r>
        <w:t> srpna </w:t>
      </w:r>
      <w:r w:rsidRPr="008F140B">
        <w:t>20</w:t>
      </w:r>
      <w:r>
        <w:t>21</w:t>
      </w:r>
      <w:r w:rsidRPr="000C3438">
        <w:t xml:space="preserve"> Makroekonomickou predikci České r</w:t>
      </w:r>
      <w:r w:rsidRPr="000C3438">
        <w:t>e</w:t>
      </w:r>
      <w:r w:rsidRPr="000C3438">
        <w:t>publiky Ministe</w:t>
      </w:r>
      <w:r w:rsidRPr="000C3438">
        <w:t>r</w:t>
      </w:r>
      <w:r w:rsidRPr="000C3438">
        <w:t>stva financí z</w:t>
      </w:r>
      <w:r>
        <w:t>e srp</w:t>
      </w:r>
      <w:bookmarkStart w:id="46" w:name="_GoBack"/>
      <w:bookmarkEnd w:id="46"/>
      <w:r>
        <w:t>na 2021</w:t>
      </w:r>
      <w:r w:rsidRPr="000C3438">
        <w:t xml:space="preserve">, z níž vychází tento makroekonomický rámec, z </w:t>
      </w:r>
      <w:r w:rsidRPr="00703196">
        <w:t>hlediska pravděp</w:t>
      </w:r>
      <w:r w:rsidRPr="00703196">
        <w:t>o</w:t>
      </w:r>
      <w:r w:rsidRPr="00703196">
        <w:t>dobnosti jejího naplnění a vhodnosti použití v rozpočt</w:t>
      </w:r>
      <w:r w:rsidRPr="00703196">
        <w:t>o</w:t>
      </w:r>
      <w:r w:rsidRPr="00703196">
        <w:t xml:space="preserve">vém procesu. Výbor prognózu vyhodnotil jako </w:t>
      </w:r>
      <w:r w:rsidRPr="00703196">
        <w:rPr>
          <w:b/>
        </w:rPr>
        <w:t>realistickou</w:t>
      </w:r>
      <w:r w:rsidRPr="00703196">
        <w:t>.</w:t>
      </w:r>
    </w:p>
    <w:p w:rsidR="00B47F77" w:rsidRDefault="00B47F77" w:rsidP="00276DFA">
      <w:pPr>
        <w:pStyle w:val="SRNadpis3"/>
      </w:pPr>
      <w:bookmarkStart w:id="47" w:name="_Toc83882815"/>
      <w:r>
        <w:t>Monitoring prognóz</w:t>
      </w:r>
      <w:bookmarkEnd w:id="47"/>
    </w:p>
    <w:p w:rsidR="00B47F77" w:rsidRPr="00194ECD" w:rsidRDefault="00B47F77" w:rsidP="00994F41">
      <w:pPr>
        <w:pStyle w:val="SRTextnomal"/>
      </w:pPr>
      <w:r>
        <w:t>Ministerstvo financí</w:t>
      </w:r>
      <w:r w:rsidRPr="00194ECD">
        <w:t xml:space="preserve"> monitoruje makroekonomické pr</w:t>
      </w:r>
      <w:r>
        <w:t>o</w:t>
      </w:r>
      <w:r>
        <w:t>gnózy</w:t>
      </w:r>
      <w:r w:rsidRPr="00194ECD">
        <w:t xml:space="preserve"> ostatních institucí zabývajících se předpovídáním budoucího </w:t>
      </w:r>
      <w:r>
        <w:t>vývoje české ekonomiky. Z </w:t>
      </w:r>
      <w:r w:rsidRPr="00194ECD">
        <w:t>veřejně přístu</w:t>
      </w:r>
      <w:r w:rsidRPr="00194ECD">
        <w:t>p</w:t>
      </w:r>
      <w:r w:rsidRPr="00194ECD">
        <w:t xml:space="preserve">ných datových zdrojů jsou průběžně sledovány prognózy </w:t>
      </w:r>
      <w:r w:rsidRPr="00194ECD">
        <w:lastRenderedPageBreak/>
        <w:t>1</w:t>
      </w:r>
      <w:r>
        <w:t>4</w:t>
      </w:r>
      <w:r w:rsidRPr="00194ECD">
        <w:t xml:space="preserve"> institucí, z čehož </w:t>
      </w:r>
      <w:r>
        <w:t>9</w:t>
      </w:r>
      <w:r w:rsidRPr="00194ECD">
        <w:t xml:space="preserve"> institucí je tuzemských (Č</w:t>
      </w:r>
      <w:r>
        <w:t>eská n</w:t>
      </w:r>
      <w:r>
        <w:t>á</w:t>
      </w:r>
      <w:r>
        <w:t>rodní banka</w:t>
      </w:r>
      <w:r w:rsidRPr="00194ECD">
        <w:t xml:space="preserve">, </w:t>
      </w:r>
      <w:r>
        <w:t>Ministerstvo práce a sociálních věcí</w:t>
      </w:r>
      <w:r w:rsidRPr="00194ECD">
        <w:t xml:space="preserve">, </w:t>
      </w:r>
      <w:r>
        <w:t>dom</w:t>
      </w:r>
      <w:r>
        <w:t>á</w:t>
      </w:r>
      <w:r>
        <w:t>cí banky a investiční společnosti</w:t>
      </w:r>
      <w:r w:rsidRPr="00194ECD">
        <w:t xml:space="preserve">), ostatní jsou zahraniční (Evropská komise, </w:t>
      </w:r>
      <w:r w:rsidRPr="00287AC6">
        <w:t>Organizace</w:t>
      </w:r>
      <w:r w:rsidRPr="00F12F85">
        <w:t xml:space="preserve"> pro hospodářskou</w:t>
      </w:r>
      <w:r w:rsidRPr="00287AC6">
        <w:t xml:space="preserve"> spol</w:t>
      </w:r>
      <w:r w:rsidRPr="00287AC6">
        <w:t>u</w:t>
      </w:r>
      <w:r w:rsidRPr="00287AC6">
        <w:t>práci a rozvoj</w:t>
      </w:r>
      <w:r w:rsidRPr="00194ECD">
        <w:t>, M</w:t>
      </w:r>
      <w:r>
        <w:t>ezinárodní měnový fond</w:t>
      </w:r>
      <w:r w:rsidRPr="00194ECD">
        <w:t> aj.).</w:t>
      </w:r>
    </w:p>
    <w:p w:rsidR="00B47F77" w:rsidRDefault="00B47F77" w:rsidP="00994F41">
      <w:pPr>
        <w:pStyle w:val="SRTextnomal"/>
      </w:pPr>
      <w:r>
        <w:t>U</w:t>
      </w:r>
      <w:r w:rsidRPr="00BE1422">
        <w:t xml:space="preserve"> </w:t>
      </w:r>
      <w:r>
        <w:t>hospodářského</w:t>
      </w:r>
      <w:r w:rsidRPr="00BE1422">
        <w:t xml:space="preserve"> růstu </w:t>
      </w:r>
      <w:r>
        <w:t xml:space="preserve">se scénář makroekonomického rámce </w:t>
      </w:r>
      <w:r w:rsidRPr="00BE1422">
        <w:t>od průměru odhadů jednotlivých institucí liší jen málo. Predikce míry inflace pro rok 2022 je oproti pr</w:t>
      </w:r>
      <w:r w:rsidRPr="00BE1422">
        <w:t>o</w:t>
      </w:r>
      <w:r w:rsidRPr="00BE1422">
        <w:t>gnózám sledovaných institucí podstatně vyšší, neboť již zahrnuje jak zrychlení cenového růstu v</w:t>
      </w:r>
      <w:r>
        <w:t> </w:t>
      </w:r>
      <w:r w:rsidRPr="00BE1422">
        <w:t>červenci</w:t>
      </w:r>
      <w:r>
        <w:t xml:space="preserve"> 2021</w:t>
      </w:r>
      <w:r w:rsidRPr="00BE1422">
        <w:t>, tak i nové informace o očekávaném vývoji regulovaných cen</w:t>
      </w:r>
      <w:r>
        <w:t xml:space="preserve"> (viz kapitolu 2.2.2)</w:t>
      </w:r>
      <w:r w:rsidRPr="00BE1422">
        <w:t>.</w:t>
      </w:r>
      <w:r w:rsidDel="00AB7865">
        <w:t xml:space="preserve"> </w:t>
      </w:r>
      <w:r w:rsidRPr="00BE1422">
        <w:t xml:space="preserve">U růstu průměrné mzdy v roce 2022 </w:t>
      </w:r>
      <w:r>
        <w:t>makroekonomický rámec</w:t>
      </w:r>
      <w:r w:rsidRPr="00BE1422">
        <w:t xml:space="preserve"> rovněž vybočuje z inte</w:t>
      </w:r>
      <w:r w:rsidRPr="00BE1422">
        <w:t>r</w:t>
      </w:r>
      <w:r w:rsidRPr="00BE1422">
        <w:t>valu sledovaných prognóz. To pravděpodobně vyplývá ze zahrnutí informací o platech ve vládním sektoru (odm</w:t>
      </w:r>
      <w:r w:rsidRPr="00BE1422">
        <w:t>ě</w:t>
      </w:r>
      <w:r w:rsidRPr="00BE1422">
        <w:t xml:space="preserve">ny zdravotníkům a záchranářům v roce 2021, zmrazení platů většiny zaměstnanců vládního sektoru v roce 2022). V případě přebytku běžného účtu platební bilance </w:t>
      </w:r>
      <w:r>
        <w:t>se všeobecně</w:t>
      </w:r>
      <w:r w:rsidRPr="00BE1422">
        <w:t xml:space="preserve"> očekává jeho postupné snižování.</w:t>
      </w:r>
    </w:p>
    <w:p w:rsidR="00B47F77" w:rsidRDefault="00B47F77" w:rsidP="00B47F77">
      <w:pPr>
        <w:rPr>
          <w:rFonts w:ascii="Times New Roman" w:hAnsi="Times New Roman"/>
          <w:sz w:val="24"/>
        </w:rPr>
        <w:sectPr w:rsidR="00B47F77" w:rsidSect="00E8195E">
          <w:type w:val="continuous"/>
          <w:pgSz w:w="11906" w:h="16838" w:code="9"/>
          <w:pgMar w:top="1134" w:right="1134" w:bottom="1418" w:left="1134" w:header="709" w:footer="709" w:gutter="0"/>
          <w:cols w:num="2" w:space="397"/>
          <w:docGrid w:linePitch="360"/>
        </w:sectPr>
      </w:pPr>
    </w:p>
    <w:p w:rsidR="00B47F77" w:rsidRDefault="00B47F77" w:rsidP="00CC02F3">
      <w:pPr>
        <w:pStyle w:val="SRtitulek1"/>
        <w:rPr>
          <w:noProof/>
        </w:rPr>
      </w:pPr>
      <w:bookmarkStart w:id="48" w:name="_Toc81234006"/>
      <w:bookmarkStart w:id="49" w:name="_Toc83882867"/>
      <w:r w:rsidRPr="00B87A57">
        <w:lastRenderedPageBreak/>
        <w:t>Tabulka</w:t>
      </w:r>
      <w:r w:rsidR="006266E6">
        <w:t xml:space="preserve"> </w:t>
      </w:r>
      <w:r w:rsidR="00D51DCA">
        <w:fldChar w:fldCharType="begin"/>
      </w:r>
      <w:r w:rsidR="00D51DCA">
        <w:instrText xml:space="preserve"> SEQ Tabulk</w:instrText>
      </w:r>
      <w:r w:rsidR="00D51DCA">
        <w:instrText xml:space="preserve">a \* ARABIC \s 1 </w:instrText>
      </w:r>
      <w:r w:rsidR="00D51DCA">
        <w:fldChar w:fldCharType="separate"/>
      </w:r>
      <w:r w:rsidR="00D51DCA">
        <w:rPr>
          <w:noProof/>
        </w:rPr>
        <w:t>2</w:t>
      </w:r>
      <w:r w:rsidR="00D51DCA">
        <w:rPr>
          <w:noProof/>
        </w:rPr>
        <w:fldChar w:fldCharType="end"/>
      </w:r>
      <w:r w:rsidRPr="00B87A57">
        <w:t>:</w:t>
      </w:r>
      <w:r w:rsidRPr="00877BE7">
        <w:t xml:space="preserve"> </w:t>
      </w:r>
      <w:r w:rsidRPr="001B2DA9">
        <w:rPr>
          <w:noProof/>
        </w:rPr>
        <w:t>Ověření makroekonomického rámce nezávislými prognózami</w:t>
      </w:r>
      <w:bookmarkEnd w:id="48"/>
      <w:bookmarkEnd w:id="49"/>
    </w:p>
    <w:p w:rsidR="00B47F77" w:rsidRDefault="00B47F77" w:rsidP="00B47F77">
      <w:pPr>
        <w:spacing w:after="0"/>
      </w:pPr>
      <w:r w:rsidRPr="001B2DA9">
        <w:rPr>
          <w:noProof/>
        </w:rPr>
        <w:drawing>
          <wp:inline distT="0" distB="0" distL="0" distR="0" wp14:anchorId="556A489C" wp14:editId="69706F9F">
            <wp:extent cx="6106795" cy="1431290"/>
            <wp:effectExtent l="0" t="0" r="8255"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06795" cy="1431290"/>
                    </a:xfrm>
                    <a:prstGeom prst="rect">
                      <a:avLst/>
                    </a:prstGeom>
                    <a:noFill/>
                    <a:ln>
                      <a:noFill/>
                    </a:ln>
                  </pic:spPr>
                </pic:pic>
              </a:graphicData>
            </a:graphic>
          </wp:inline>
        </w:drawing>
      </w:r>
    </w:p>
    <w:p w:rsidR="00B47F77" w:rsidRDefault="00B47F77" w:rsidP="00B47F77">
      <w:pPr>
        <w:pStyle w:val="Zdrojpodtabulkounebografem"/>
      </w:pPr>
      <w:r w:rsidRPr="00B45D51">
        <w:t>Zdroj</w:t>
      </w:r>
      <w:r w:rsidRPr="006C10CA">
        <w:t xml:space="preserve">: </w:t>
      </w:r>
      <w:r>
        <w:t>P</w:t>
      </w:r>
      <w:r w:rsidRPr="00287AC6">
        <w:t xml:space="preserve">rognózy jednotlivých institucí </w:t>
      </w:r>
      <w:r w:rsidRPr="002E09CA">
        <w:t>k</w:t>
      </w:r>
      <w:r>
        <w:t> 13. srpnu 2021</w:t>
      </w:r>
      <w:r w:rsidRPr="00287AC6">
        <w:t>. Výpočty a predikce MF ČR.</w:t>
      </w:r>
    </w:p>
    <w:p w:rsidR="00E8195E" w:rsidRDefault="00E8195E" w:rsidP="00E8195E">
      <w:pPr>
        <w:sectPr w:rsidR="00E8195E" w:rsidSect="00E8195E">
          <w:type w:val="continuous"/>
          <w:pgSz w:w="11906" w:h="16838" w:code="9"/>
          <w:pgMar w:top="1134" w:right="1134" w:bottom="1418" w:left="1134" w:header="709" w:footer="709" w:gutter="0"/>
          <w:cols w:space="708"/>
          <w:docGrid w:linePitch="360"/>
        </w:sectPr>
      </w:pPr>
    </w:p>
    <w:p w:rsidR="00E8195E" w:rsidRDefault="00E8195E" w:rsidP="005A27EF">
      <w:pPr>
        <w:pStyle w:val="SRNadpis1"/>
      </w:pPr>
      <w:bookmarkStart w:id="50" w:name="_Toc83882816"/>
      <w:r>
        <w:lastRenderedPageBreak/>
        <w:t>Fiskální politika a veřejné finance</w:t>
      </w:r>
      <w:bookmarkEnd w:id="50"/>
    </w:p>
    <w:p w:rsidR="00E8195E" w:rsidRDefault="00E8195E" w:rsidP="00E8195E">
      <w:pPr>
        <w:sectPr w:rsidR="00E8195E" w:rsidSect="00E8195E">
          <w:type w:val="continuous"/>
          <w:pgSz w:w="11906" w:h="16838" w:code="9"/>
          <w:pgMar w:top="1134" w:right="1134" w:bottom="1418" w:left="1134" w:header="709" w:footer="709" w:gutter="0"/>
          <w:cols w:space="708"/>
          <w:docGrid w:linePitch="360"/>
        </w:sectPr>
      </w:pPr>
    </w:p>
    <w:p w:rsidR="00E8195E" w:rsidRDefault="00E8195E" w:rsidP="00266BFB">
      <w:pPr>
        <w:pStyle w:val="SRTextnomal"/>
      </w:pPr>
      <w:r w:rsidRPr="0056559F">
        <w:lastRenderedPageBreak/>
        <w:t>V roce 20</w:t>
      </w:r>
      <w:r>
        <w:t>20</w:t>
      </w:r>
      <w:r w:rsidRPr="0056559F">
        <w:t xml:space="preserve"> </w:t>
      </w:r>
      <w:r w:rsidRPr="00CC1355">
        <w:t>skončilo hospodaření sektoru vládních i</w:t>
      </w:r>
      <w:r w:rsidRPr="00CC1355">
        <w:t>n</w:t>
      </w:r>
      <w:r w:rsidRPr="00CC1355">
        <w:t>stitucí deficitem ve výši 6,1</w:t>
      </w:r>
      <w:r>
        <w:t> </w:t>
      </w:r>
      <w:r w:rsidRPr="00CC1355">
        <w:t>% HDP, přičemž strukturá</w:t>
      </w:r>
      <w:r w:rsidRPr="00CC1355">
        <w:t>l</w:t>
      </w:r>
      <w:r w:rsidRPr="00CC1355">
        <w:t xml:space="preserve">ní saldo dosáhlo hodnoty </w:t>
      </w:r>
      <w:r>
        <w:rPr>
          <w:rFonts w:cs="Calibri"/>
        </w:rPr>
        <w:t>−</w:t>
      </w:r>
      <w:r w:rsidRPr="00CC1355">
        <w:t>2,9 % HDP</w:t>
      </w:r>
      <w:r>
        <w:t xml:space="preserve"> a z</w:t>
      </w:r>
      <w:r w:rsidRPr="00CC1355">
        <w:t>adlužení vzrostlo na 3</w:t>
      </w:r>
      <w:r>
        <w:t>7</w:t>
      </w:r>
      <w:r w:rsidRPr="00CC1355">
        <w:t>,</w:t>
      </w:r>
      <w:r>
        <w:t>8 </w:t>
      </w:r>
      <w:r w:rsidRPr="00CC1355">
        <w:t>% HDP.</w:t>
      </w:r>
      <w:r>
        <w:t xml:space="preserve"> </w:t>
      </w:r>
      <w:r w:rsidRPr="00CC1355">
        <w:t>Fiskální pozice byla v roce 2020 výrazně determinována situací související s n</w:t>
      </w:r>
      <w:r w:rsidRPr="00CC1355">
        <w:t>o</w:t>
      </w:r>
      <w:r w:rsidRPr="00CC1355">
        <w:t xml:space="preserve">vým typem koronaviru a opatřeními zavedenými proti </w:t>
      </w:r>
      <w:r w:rsidRPr="00CC1355">
        <w:lastRenderedPageBreak/>
        <w:t>jeho šíření. Hospodaření veřejných financí bylo dotč</w:t>
      </w:r>
      <w:r w:rsidRPr="00CC1355">
        <w:t>e</w:t>
      </w:r>
      <w:r w:rsidRPr="00CC1355">
        <w:t>no nejenom výpadkem příjmů v důsledku působení a</w:t>
      </w:r>
      <w:r w:rsidRPr="00CC1355">
        <w:t>u</w:t>
      </w:r>
      <w:r w:rsidRPr="00CC1355">
        <w:t>tomatických stabilizátorů, ale i fiskálními stimulačními opatřeními. Epidemická situace se znovu zhoršila na podzim roku 2020, což si vyžádalo pokračování stávaj</w:t>
      </w:r>
      <w:r w:rsidRPr="00CC1355">
        <w:t>í</w:t>
      </w:r>
      <w:r w:rsidRPr="00CC1355">
        <w:t xml:space="preserve">cích nebo vytvoření nových podpůrných opatření i </w:t>
      </w:r>
      <w:r w:rsidRPr="00CC1355">
        <w:lastRenderedPageBreak/>
        <w:t xml:space="preserve">v téměř celé první polovině roku 2021. Fiskální úsilí </w:t>
      </w:r>
      <w:r>
        <w:t xml:space="preserve">v roce 2020 </w:t>
      </w:r>
      <w:r w:rsidRPr="00CC1355">
        <w:t xml:space="preserve">ve výši </w:t>
      </w:r>
      <w:r>
        <w:t>necelých 3</w:t>
      </w:r>
      <w:r w:rsidRPr="00DE7AC3">
        <w:t xml:space="preserve"> p. b.</w:t>
      </w:r>
      <w:r w:rsidRPr="00CC1355">
        <w:t xml:space="preserve"> bylo odrazem těc</w:t>
      </w:r>
      <w:r w:rsidRPr="00CC1355">
        <w:t>h</w:t>
      </w:r>
      <w:r w:rsidRPr="00CC1355">
        <w:t xml:space="preserve">to </w:t>
      </w:r>
      <w:r>
        <w:t xml:space="preserve">nepříznivých </w:t>
      </w:r>
      <w:r w:rsidRPr="00CC1355">
        <w:t xml:space="preserve">okolností a reakce vlády. </w:t>
      </w:r>
      <w:r>
        <w:t xml:space="preserve">Spolu s očekávaným dalším prohloubením strukturálního schodku o více než 3 p. b. v letošním roce tak </w:t>
      </w:r>
      <w:r w:rsidRPr="00CC1355">
        <w:t>fiskální politik</w:t>
      </w:r>
      <w:r>
        <w:t>a</w:t>
      </w:r>
      <w:r w:rsidRPr="00CC1355">
        <w:t xml:space="preserve"> v letech 2020 a 2021</w:t>
      </w:r>
      <w:r>
        <w:t xml:space="preserve"> výrazně stimuluje domácí ekonomiku. Stejným pohledem je o</w:t>
      </w:r>
      <w:r w:rsidRPr="00CC1355">
        <w:t>d roku 2022</w:t>
      </w:r>
      <w:r>
        <w:t>,</w:t>
      </w:r>
      <w:r w:rsidRPr="00CC1355">
        <w:t xml:space="preserve"> </w:t>
      </w:r>
      <w:r>
        <w:t>v souladu se zákonnou intenzitou konsolidace, fiskální politika</w:t>
      </w:r>
      <w:r w:rsidRPr="00CC1355">
        <w:t xml:space="preserve"> restriktivní.</w:t>
      </w:r>
    </w:p>
    <w:p w:rsidR="00E8195E" w:rsidRPr="00300420" w:rsidRDefault="00E8195E" w:rsidP="00266BFB">
      <w:pPr>
        <w:pStyle w:val="SRTextnomal"/>
      </w:pPr>
      <w:r w:rsidRPr="006D2799">
        <w:t>Důležitým indikátorem pozice ekonomiky v rámci ho</w:t>
      </w:r>
      <w:r w:rsidRPr="006D2799">
        <w:t>s</w:t>
      </w:r>
      <w:r w:rsidRPr="006D2799">
        <w:t xml:space="preserve">podářského cyklu je </w:t>
      </w:r>
      <w:r w:rsidRPr="006D2799">
        <w:rPr>
          <w:b/>
        </w:rPr>
        <w:t>produkční mezera</w:t>
      </w:r>
      <w:r w:rsidRPr="006D2799">
        <w:t>, která vyjadř</w:t>
      </w:r>
      <w:r w:rsidRPr="006D2799">
        <w:t>u</w:t>
      </w:r>
      <w:r w:rsidRPr="006D2799">
        <w:t>je rozdíl mezi skutečnou úrovní ekonomického výkonu a úrovní optimálně využívající disponibilní zdroje (ro</w:t>
      </w:r>
      <w:r w:rsidRPr="006D2799">
        <w:t>v</w:t>
      </w:r>
      <w:r w:rsidRPr="006D2799">
        <w:t>novážnou). Ta současně slouží i k určení charakteru fiskální politiky. Dle výpočtů MF ČR dosáhla produkční mezera svého vrcholu v roce 2019 (3,7 % potenciáln</w:t>
      </w:r>
      <w:r w:rsidRPr="006D2799">
        <w:t>í</w:t>
      </w:r>
      <w:r w:rsidRPr="006D2799">
        <w:t>ho produktu)</w:t>
      </w:r>
      <w:r>
        <w:t>. V </w:t>
      </w:r>
      <w:r w:rsidRPr="00300420">
        <w:t>roce</w:t>
      </w:r>
      <w:r>
        <w:t xml:space="preserve"> 2020</w:t>
      </w:r>
      <w:r w:rsidRPr="00300420">
        <w:t xml:space="preserve"> naopak ekonomický výkon </w:t>
      </w:r>
      <w:r>
        <w:t>poklesl</w:t>
      </w:r>
      <w:r w:rsidRPr="00300420">
        <w:t xml:space="preserve"> pod svůj potenciál </w:t>
      </w:r>
      <w:r>
        <w:t xml:space="preserve">ve výši </w:t>
      </w:r>
      <w:r>
        <w:rPr>
          <w:rFonts w:cs="Calibri"/>
        </w:rPr>
        <w:t>−</w:t>
      </w:r>
      <w:r w:rsidRPr="00300420">
        <w:t>3,</w:t>
      </w:r>
      <w:r>
        <w:t>1 </w:t>
      </w:r>
      <w:r w:rsidRPr="00300420">
        <w:t>%</w:t>
      </w:r>
      <w:r>
        <w:t>. Hospodářská recese však neměla vliv pouze na reálný výstup ek</w:t>
      </w:r>
      <w:r>
        <w:t>o</w:t>
      </w:r>
      <w:r>
        <w:t>nomiky, ale i na jeho potenciální úroveň. V roce 2021 proto odhadujeme, v souladu s metodikou odsouhl</w:t>
      </w:r>
      <w:r>
        <w:t>a</w:t>
      </w:r>
      <w:r>
        <w:t>senou Národní rozpočtovou radou, postupné uzavírání záporné produkční mezery a od roku 2022 kladné hodnoty pod 2 %</w:t>
      </w:r>
      <w:r w:rsidRPr="00300420">
        <w:t>.</w:t>
      </w:r>
    </w:p>
    <w:p w:rsidR="00E8195E" w:rsidRDefault="00E8195E" w:rsidP="00E8195E">
      <w:r w:rsidRPr="009E5A2E">
        <w:t>Z hlediska nastavení fiskální politiky očekáváme p</w:t>
      </w:r>
      <w:r w:rsidRPr="009E5A2E">
        <w:t>o</w:t>
      </w:r>
      <w:r w:rsidRPr="009E5A2E">
        <w:t xml:space="preserve">stupný pokles strukturálních deficitů z hodnoty </w:t>
      </w:r>
      <w:r>
        <w:t>6,1 </w:t>
      </w:r>
      <w:r w:rsidRPr="009E5A2E">
        <w:t>% HDP v</w:t>
      </w:r>
      <w:r>
        <w:t> </w:t>
      </w:r>
      <w:r w:rsidRPr="009E5A2E">
        <w:t xml:space="preserve">roce 2021 na </w:t>
      </w:r>
      <w:r>
        <w:t>4,6 </w:t>
      </w:r>
      <w:r w:rsidRPr="009E5A2E">
        <w:t>% HDP v roce 202</w:t>
      </w:r>
      <w:r>
        <w:t>4</w:t>
      </w:r>
      <w:r w:rsidRPr="009E5A2E">
        <w:t xml:space="preserve">. </w:t>
      </w:r>
      <w:r>
        <w:t>T</w:t>
      </w:r>
      <w:r w:rsidRPr="009E5A2E">
        <w:t>rajektorie je v</w:t>
      </w:r>
      <w:r>
        <w:t> </w:t>
      </w:r>
      <w:r w:rsidRPr="009E5A2E">
        <w:t>souladu s aktuálně platnou legislativou k odvození střednědobých výdajových rámců.</w:t>
      </w:r>
    </w:p>
    <w:p w:rsidR="00E8195E" w:rsidRDefault="00E8195E" w:rsidP="00266BFB">
      <w:pPr>
        <w:pStyle w:val="SRTextnomal"/>
      </w:pPr>
      <w:r>
        <w:t>Obecně je tak přístup k fiskální politice umožněn nov</w:t>
      </w:r>
      <w:r>
        <w:t>e</w:t>
      </w:r>
      <w:r>
        <w:t>lami zákona č. 23/2017 Sb., o pravidlech rozpočtové odpovědnosti, ve znění pozdějších předpisů. Ty dovol</w:t>
      </w:r>
      <w:r>
        <w:t>i</w:t>
      </w:r>
      <w:r>
        <w:t>ly mnohem větší fiskální expanzi, než by jinak bylo možné. To se shodovalo s postupem, který byl zvolen i v rámci celé EU, kde</w:t>
      </w:r>
      <w:r w:rsidRPr="00300420">
        <w:t xml:space="preserve"> byla poprvé v historii aktivována </w:t>
      </w:r>
      <w:r w:rsidRPr="00300420">
        <w:lastRenderedPageBreak/>
        <w:t>pro rok 2020</w:t>
      </w:r>
      <w:r>
        <w:t xml:space="preserve"> </w:t>
      </w:r>
      <w:r w:rsidRPr="007C243F">
        <w:rPr>
          <w:b/>
        </w:rPr>
        <w:t>všeobecná úniková doložka</w:t>
      </w:r>
      <w:r w:rsidRPr="007C243F">
        <w:t>,</w:t>
      </w:r>
      <w:r w:rsidRPr="00300420">
        <w:t xml:space="preserve"> a</w:t>
      </w:r>
      <w:r>
        <w:t> </w:t>
      </w:r>
      <w:r w:rsidRPr="00300420">
        <w:t>následně</w:t>
      </w:r>
      <w:r>
        <w:t xml:space="preserve"> prodloužena</w:t>
      </w:r>
      <w:r w:rsidRPr="00300420">
        <w:t xml:space="preserve"> i pro rok</w:t>
      </w:r>
      <w:r>
        <w:t>y</w:t>
      </w:r>
      <w:r w:rsidRPr="00300420">
        <w:t xml:space="preserve"> 2021</w:t>
      </w:r>
      <w:r>
        <w:t xml:space="preserve"> a 2022</w:t>
      </w:r>
      <w:r w:rsidRPr="00300420">
        <w:t xml:space="preserve">. </w:t>
      </w:r>
      <w:r>
        <w:t>Lpění na fiská</w:t>
      </w:r>
      <w:r>
        <w:t>l</w:t>
      </w:r>
      <w:r>
        <w:t>ních pravidlech v tak vážné světové krizi by pokles ekonomik výrazně prohloubilo.</w:t>
      </w:r>
      <w:r w:rsidRPr="00300420">
        <w:t xml:space="preserve"> Počáteční fiskální e</w:t>
      </w:r>
      <w:r w:rsidRPr="00300420">
        <w:t>x</w:t>
      </w:r>
      <w:r w:rsidRPr="00300420">
        <w:t>panze s následnou pozvolnou konsolidací má za cíl n</w:t>
      </w:r>
      <w:r w:rsidRPr="00300420">
        <w:t>á</w:t>
      </w:r>
      <w:r w:rsidRPr="00300420">
        <w:t>vrat do normálních podmínek bez druhé vyvolané recese a pokles dluhové kvóty skrze vyšší růst nom</w:t>
      </w:r>
      <w:r w:rsidRPr="00300420">
        <w:t>i</w:t>
      </w:r>
      <w:r w:rsidRPr="00300420">
        <w:t>nálního HDP.</w:t>
      </w:r>
    </w:p>
    <w:p w:rsidR="00E8195E" w:rsidRDefault="00E8195E" w:rsidP="00266BFB">
      <w:pPr>
        <w:pStyle w:val="SRTextnomal"/>
      </w:pPr>
      <w:r>
        <w:t>Zvolený přístup se plně projevil i v </w:t>
      </w:r>
      <w:r w:rsidRPr="00104BD9">
        <w:rPr>
          <w:b/>
        </w:rPr>
        <w:t>doporučeních</w:t>
      </w:r>
      <w:r>
        <w:t xml:space="preserve">, která </w:t>
      </w:r>
      <w:r w:rsidRPr="00104BD9">
        <w:rPr>
          <w:b/>
        </w:rPr>
        <w:t>Evropská komise a Rada EU předložily k letošním konvergenčním programům</w:t>
      </w:r>
      <w:r>
        <w:rPr>
          <w:b/>
        </w:rPr>
        <w:t xml:space="preserve"> </w:t>
      </w:r>
      <w:r w:rsidRPr="00104BD9">
        <w:t>či</w:t>
      </w:r>
      <w:r>
        <w:rPr>
          <w:b/>
        </w:rPr>
        <w:t xml:space="preserve"> </w:t>
      </w:r>
      <w:r>
        <w:t>programům stability. K nastavení směru fiskální politiky Evropská komise doporučila ČR:</w:t>
      </w:r>
    </w:p>
    <w:p w:rsidR="00E8195E" w:rsidRPr="00774842" w:rsidRDefault="00E8195E" w:rsidP="00E8195E">
      <w:pPr>
        <w:pStyle w:val="Odstavecseseznamem"/>
        <w:numPr>
          <w:ilvl w:val="0"/>
          <w:numId w:val="32"/>
        </w:numPr>
        <w:ind w:left="284" w:hanging="284"/>
        <w:contextualSpacing w:val="0"/>
      </w:pPr>
      <w:r w:rsidRPr="00E3504F">
        <w:t>V roce 2022 zachovat podpůrné nastavení fiskální politiky, včetně impulsu dodaného Nástrojem pro oživení a odolnost, a zachovat investice financov</w:t>
      </w:r>
      <w:r w:rsidRPr="00E3504F">
        <w:t>a</w:t>
      </w:r>
      <w:r w:rsidRPr="00E3504F">
        <w:t>né z</w:t>
      </w:r>
      <w:r>
        <w:t> </w:t>
      </w:r>
      <w:r w:rsidRPr="00E3504F">
        <w:t>vnitrostátních zdrojů.</w:t>
      </w:r>
    </w:p>
    <w:p w:rsidR="00E8195E" w:rsidRDefault="00E8195E" w:rsidP="00E8195E">
      <w:pPr>
        <w:pStyle w:val="Odstavecseseznamem"/>
        <w:numPr>
          <w:ilvl w:val="0"/>
          <w:numId w:val="32"/>
        </w:numPr>
        <w:ind w:left="284" w:hanging="284"/>
        <w:contextualSpacing w:val="0"/>
      </w:pPr>
      <w:r w:rsidRPr="00E3504F">
        <w:t>Pokud to hospodářské podmínky dovolí, provádět fiskální politiku zaměřenou na dosažení obezře</w:t>
      </w:r>
      <w:r w:rsidRPr="00E3504F">
        <w:t>t</w:t>
      </w:r>
      <w:r w:rsidRPr="00E3504F">
        <w:t>ných střednědobých fiskálních pozic a zajištění fi</w:t>
      </w:r>
      <w:r w:rsidRPr="00E3504F">
        <w:t>s</w:t>
      </w:r>
      <w:r w:rsidRPr="00E3504F">
        <w:t>kální udržitelnosti ve střednědobém horizontu. Zároveň posilovat investice s cílem podpořit růst</w:t>
      </w:r>
      <w:r w:rsidRPr="00E3504F">
        <w:t>o</w:t>
      </w:r>
      <w:r w:rsidRPr="00E3504F">
        <w:t>vý potenciál.</w:t>
      </w:r>
    </w:p>
    <w:p w:rsidR="00E8195E" w:rsidRPr="00CC1355" w:rsidRDefault="00E8195E" w:rsidP="00E8195E">
      <w:pPr>
        <w:pStyle w:val="Odstavecseseznamem"/>
        <w:numPr>
          <w:ilvl w:val="0"/>
          <w:numId w:val="32"/>
        </w:numPr>
        <w:ind w:left="284" w:hanging="284"/>
        <w:contextualSpacing w:val="0"/>
        <w:sectPr w:rsidR="00E8195E" w:rsidRPr="00CC1355" w:rsidSect="00E8195E">
          <w:headerReference w:type="default" r:id="rId30"/>
          <w:footerReference w:type="even" r:id="rId31"/>
          <w:type w:val="continuous"/>
          <w:pgSz w:w="11906" w:h="16838" w:code="9"/>
          <w:pgMar w:top="1134" w:right="1134" w:bottom="1418" w:left="1134" w:header="709" w:footer="709" w:gutter="0"/>
          <w:cols w:num="2" w:space="709"/>
          <w:docGrid w:linePitch="360"/>
        </w:sectPr>
      </w:pPr>
      <w:r w:rsidRPr="00E3504F">
        <w:t>Věnovat zvláštní pozornost skladbě veřejných f</w:t>
      </w:r>
      <w:r w:rsidRPr="00E3504F">
        <w:t>i</w:t>
      </w:r>
      <w:r w:rsidRPr="00E3504F">
        <w:t>nancí na příjmové i výdajové straně rozpočtu a kv</w:t>
      </w:r>
      <w:r w:rsidRPr="00E3504F">
        <w:t>a</w:t>
      </w:r>
      <w:r w:rsidRPr="00E3504F">
        <w:t>litě rozpočtových opatření, aby se zajistilo udržitelné a inkluzivní oživení. Upřednostňovat udržitelné investice podporující růst, zejména s o</w:t>
      </w:r>
      <w:r w:rsidRPr="00E3504F">
        <w:t>h</w:t>
      </w:r>
      <w:r w:rsidRPr="00E3504F">
        <w:t>ledem na zelenou a digitální transformaci. Upře</w:t>
      </w:r>
      <w:r w:rsidRPr="00E3504F">
        <w:t>d</w:t>
      </w:r>
      <w:r w:rsidRPr="00E3504F">
        <w:t>nostňovat fiskální strukturální reformy, které pomohou zajistit financování priorit veřejné polit</w:t>
      </w:r>
      <w:r w:rsidRPr="00E3504F">
        <w:t>i</w:t>
      </w:r>
      <w:r w:rsidRPr="00E3504F">
        <w:t>ky a přispějí k dlouhodobé udržitelnosti veřejných financí, mimo jiné posílením zdravotnických syst</w:t>
      </w:r>
      <w:r w:rsidRPr="00E3504F">
        <w:t>é</w:t>
      </w:r>
      <w:r w:rsidRPr="00E3504F">
        <w:t>mů a systémů sociální ochrany tak, aby se vztah</w:t>
      </w:r>
      <w:r w:rsidRPr="00E3504F">
        <w:t>o</w:t>
      </w:r>
      <w:r w:rsidRPr="00E3504F">
        <w:t>valy na všechny a byly přiměřené a udržitelné.</w:t>
      </w:r>
    </w:p>
    <w:p w:rsidR="00E8195E" w:rsidRDefault="00E8195E" w:rsidP="00CC02F3">
      <w:pPr>
        <w:pStyle w:val="SRtitulek1"/>
      </w:pPr>
      <w:bookmarkStart w:id="51" w:name="_Toc81234007"/>
      <w:bookmarkStart w:id="52" w:name="_Toc83882868"/>
      <w:r w:rsidRPr="00B87A57">
        <w:lastRenderedPageBreak/>
        <w:t>Tabulka</w:t>
      </w:r>
      <w:r w:rsidR="00CC02F3">
        <w:t xml:space="preserve"> </w:t>
      </w:r>
      <w:r w:rsidR="00D51DCA">
        <w:fldChar w:fldCharType="begin"/>
      </w:r>
      <w:r w:rsidR="00D51DCA">
        <w:instrText xml:space="preserve"> SEQ Tabulka \* A</w:instrText>
      </w:r>
      <w:r w:rsidR="00D51DCA">
        <w:instrText xml:space="preserve">RABIC \s 1 </w:instrText>
      </w:r>
      <w:r w:rsidR="00D51DCA">
        <w:fldChar w:fldCharType="separate"/>
      </w:r>
      <w:r w:rsidR="00D51DCA">
        <w:rPr>
          <w:noProof/>
        </w:rPr>
        <w:t>3</w:t>
      </w:r>
      <w:r w:rsidR="00D51DCA">
        <w:rPr>
          <w:noProof/>
        </w:rPr>
        <w:fldChar w:fldCharType="end"/>
      </w:r>
      <w:r w:rsidRPr="00B87A57">
        <w:t>:</w:t>
      </w:r>
      <w:r w:rsidRPr="00877BE7">
        <w:t xml:space="preserve"> </w:t>
      </w:r>
      <w:r>
        <w:t>Saldo a dluh sektoru vládních institucí</w:t>
      </w:r>
      <w:bookmarkEnd w:id="51"/>
      <w:bookmarkEnd w:id="52"/>
    </w:p>
    <w:p w:rsidR="00E8195E" w:rsidRDefault="00E8195E" w:rsidP="00E8195E">
      <w:pPr>
        <w:spacing w:after="0"/>
      </w:pPr>
      <w:r>
        <w:rPr>
          <w:noProof/>
        </w:rPr>
        <w:drawing>
          <wp:inline distT="0" distB="0" distL="0" distR="0" wp14:anchorId="197716A2" wp14:editId="08ABFF99">
            <wp:extent cx="6121400" cy="800100"/>
            <wp:effectExtent l="0" t="0" r="0" b="0"/>
            <wp:docPr id="40" name="Obráze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121400" cy="800100"/>
                    </a:xfrm>
                    <a:prstGeom prst="rect">
                      <a:avLst/>
                    </a:prstGeom>
                    <a:noFill/>
                    <a:ln>
                      <a:noFill/>
                    </a:ln>
                  </pic:spPr>
                </pic:pic>
              </a:graphicData>
            </a:graphic>
          </wp:inline>
        </w:drawing>
      </w:r>
      <w:r w:rsidRPr="00982A28">
        <w:rPr>
          <w:i/>
          <w:sz w:val="16"/>
          <w:szCs w:val="16"/>
        </w:rPr>
        <w:t>Zdroj: ČSÚ. Výpočty a predikce MF ČR</w:t>
      </w:r>
      <w:r>
        <w:rPr>
          <w:i/>
          <w:sz w:val="16"/>
          <w:szCs w:val="16"/>
        </w:rPr>
        <w:t>.</w:t>
      </w:r>
    </w:p>
    <w:p w:rsidR="00E8195E" w:rsidRDefault="00E8195E" w:rsidP="005A27EF">
      <w:pPr>
        <w:pStyle w:val="SRNadpis2"/>
      </w:pPr>
      <w:bookmarkStart w:id="53" w:name="_Toc81233998"/>
      <w:bookmarkStart w:id="54" w:name="_Toc83882817"/>
      <w:r>
        <w:t xml:space="preserve">Očekávané </w:t>
      </w:r>
      <w:r w:rsidRPr="00104BD9">
        <w:t>hospodaření</w:t>
      </w:r>
      <w:r>
        <w:t xml:space="preserve"> sektoru vládních institucí v roce 2021</w:t>
      </w:r>
      <w:bookmarkEnd w:id="53"/>
      <w:bookmarkEnd w:id="54"/>
    </w:p>
    <w:p w:rsidR="00E8195E" w:rsidRPr="00A01FB3" w:rsidRDefault="00E8195E" w:rsidP="00E8195E">
      <w:pPr>
        <w:sectPr w:rsidR="00E8195E" w:rsidRPr="00A01FB3" w:rsidSect="00E8195E">
          <w:headerReference w:type="even" r:id="rId33"/>
          <w:footerReference w:type="even" r:id="rId34"/>
          <w:type w:val="continuous"/>
          <w:pgSz w:w="11906" w:h="16838" w:code="9"/>
          <w:pgMar w:top="1134" w:right="1134" w:bottom="1418" w:left="1134" w:header="709" w:footer="709" w:gutter="0"/>
          <w:cols w:space="397"/>
          <w:docGrid w:linePitch="360"/>
        </w:sectPr>
      </w:pPr>
    </w:p>
    <w:p w:rsidR="00E8195E" w:rsidRDefault="00E8195E" w:rsidP="00E8195E">
      <w:pPr>
        <w:pStyle w:val="SRTextnomal"/>
      </w:pPr>
      <w:r w:rsidRPr="00E051A5">
        <w:rPr>
          <w:b/>
        </w:rPr>
        <w:lastRenderedPageBreak/>
        <w:t>Hospodaření sektoru vládních institucí</w:t>
      </w:r>
      <w:r w:rsidRPr="00361C4D">
        <w:t xml:space="preserve"> </w:t>
      </w:r>
      <w:r>
        <w:t>bylo v první p</w:t>
      </w:r>
      <w:r>
        <w:t>o</w:t>
      </w:r>
      <w:r>
        <w:t>lovině roku</w:t>
      </w:r>
      <w:r w:rsidRPr="00361C4D">
        <w:t xml:space="preserve"> </w:t>
      </w:r>
      <w:r>
        <w:t xml:space="preserve">2021 </w:t>
      </w:r>
      <w:r w:rsidRPr="00361C4D">
        <w:t>velkou měrou ovlivněno epidemií k</w:t>
      </w:r>
      <w:r w:rsidRPr="00361C4D">
        <w:t>o</w:t>
      </w:r>
      <w:r w:rsidRPr="00361C4D">
        <w:t xml:space="preserve">ronaviru, jejími ekonomickými důsledky a opatřeními provedenými v oblasti veřejného zdravotnictví </w:t>
      </w:r>
      <w:r>
        <w:t>či</w:t>
      </w:r>
      <w:r w:rsidRPr="00361C4D">
        <w:t xml:space="preserve"> stim</w:t>
      </w:r>
      <w:r w:rsidRPr="00361C4D">
        <w:t>u</w:t>
      </w:r>
      <w:r w:rsidRPr="00361C4D">
        <w:t xml:space="preserve">lační fiskální politiky. Očekáváme </w:t>
      </w:r>
      <w:r w:rsidRPr="00E335B9">
        <w:t xml:space="preserve">proto </w:t>
      </w:r>
      <w:r>
        <w:t xml:space="preserve">za cel rok </w:t>
      </w:r>
      <w:r w:rsidRPr="00E335B9">
        <w:t>def</w:t>
      </w:r>
      <w:r w:rsidRPr="00E335B9">
        <w:t>i</w:t>
      </w:r>
      <w:r w:rsidRPr="00E335B9">
        <w:t>citní</w:t>
      </w:r>
      <w:r>
        <w:t xml:space="preserve"> hospodaření ve výši 7,7</w:t>
      </w:r>
      <w:r w:rsidRPr="00361C4D">
        <w:t xml:space="preserve"> % HDP, které </w:t>
      </w:r>
      <w:r>
        <w:t>půjde na vrub především státního</w:t>
      </w:r>
      <w:r w:rsidRPr="00361C4D">
        <w:t xml:space="preserve"> rozpočtu. </w:t>
      </w:r>
      <w:r>
        <w:t>M</w:t>
      </w:r>
      <w:r w:rsidRPr="00361C4D">
        <w:t>ístní vládní instituce p</w:t>
      </w:r>
      <w:r w:rsidRPr="00361C4D">
        <w:t>a</w:t>
      </w:r>
      <w:r w:rsidRPr="00361C4D">
        <w:t xml:space="preserve">trně opět vykáží </w:t>
      </w:r>
      <w:r>
        <w:t xml:space="preserve">přebytek, ke kterému </w:t>
      </w:r>
      <w:r w:rsidRPr="00361C4D">
        <w:t xml:space="preserve">přispěje i úprava rozpočtového určení daní. Navzdory dalšímu navýšení </w:t>
      </w:r>
      <w:r w:rsidRPr="00361C4D">
        <w:lastRenderedPageBreak/>
        <w:t xml:space="preserve">platby za státního pojištěnce </w:t>
      </w:r>
      <w:r>
        <w:t>odhadujeme</w:t>
      </w:r>
      <w:r w:rsidRPr="00361C4D">
        <w:t xml:space="preserve"> </w:t>
      </w:r>
      <w:r>
        <w:t xml:space="preserve">dílčí </w:t>
      </w:r>
      <w:r w:rsidRPr="00361C4D">
        <w:t xml:space="preserve">deficitní hospodaření </w:t>
      </w:r>
      <w:r>
        <w:t>fondů sociálního zabezpečení, které však z hlediska zůstatků vytvořených v minulých letech n</w:t>
      </w:r>
      <w:r>
        <w:t>e</w:t>
      </w:r>
      <w:r>
        <w:t xml:space="preserve">způsobí žádané problémy. </w:t>
      </w:r>
    </w:p>
    <w:p w:rsidR="00E8195E" w:rsidRDefault="00E8195E" w:rsidP="00E8195E">
      <w:pPr>
        <w:pStyle w:val="SRTextnomal"/>
      </w:pPr>
      <w:r>
        <w:t>Růst</w:t>
      </w:r>
      <w:r w:rsidRPr="00361C4D">
        <w:t xml:space="preserve"> </w:t>
      </w:r>
      <w:r w:rsidRPr="00A31737">
        <w:t>daňových příjmů a příspěvků na sociální zabezp</w:t>
      </w:r>
      <w:r w:rsidRPr="00A31737">
        <w:t>e</w:t>
      </w:r>
      <w:r w:rsidRPr="00A31737">
        <w:t>čení</w:t>
      </w:r>
      <w:r>
        <w:t xml:space="preserve"> v akruální metodice odhadujeme na 2,1 %</w:t>
      </w:r>
      <w:r w:rsidRPr="00361C4D">
        <w:t xml:space="preserve">, přičemž samotné daňové příjmy by měly </w:t>
      </w:r>
      <w:r>
        <w:t>hlavně</w:t>
      </w:r>
      <w:r w:rsidRPr="00361C4D">
        <w:t xml:space="preserve"> v důsledku schváleného „daňov</w:t>
      </w:r>
      <w:r>
        <w:t>ého balíčku 2021“ klesnout o 2,3 </w:t>
      </w:r>
      <w:r w:rsidRPr="00361C4D">
        <w:t xml:space="preserve">%. </w:t>
      </w:r>
      <w:r>
        <w:lastRenderedPageBreak/>
        <w:t>B</w:t>
      </w:r>
      <w:r w:rsidRPr="00361C4D">
        <w:t xml:space="preserve">alíček přinesl mimo jiné snížení efektivní sazby </w:t>
      </w:r>
      <w:r w:rsidRPr="00A31737">
        <w:rPr>
          <w:b/>
        </w:rPr>
        <w:t>daně z</w:t>
      </w:r>
      <w:r>
        <w:rPr>
          <w:b/>
        </w:rPr>
        <w:t> </w:t>
      </w:r>
      <w:r w:rsidRPr="00A31737">
        <w:rPr>
          <w:b/>
        </w:rPr>
        <w:t>příjmů fyzických osob</w:t>
      </w:r>
      <w:r>
        <w:t xml:space="preserve"> s odhadovaným dopadem 99 mld. </w:t>
      </w:r>
      <w:r w:rsidRPr="00361C4D">
        <w:t>Kč</w:t>
      </w:r>
      <w:r>
        <w:t>, což snižuje výnos daně o 30 %. U</w:t>
      </w:r>
      <w:r w:rsidRPr="00361C4D">
        <w:t xml:space="preserve"> </w:t>
      </w:r>
      <w:r w:rsidRPr="00A31737">
        <w:rPr>
          <w:b/>
        </w:rPr>
        <w:t>daně z</w:t>
      </w:r>
      <w:r>
        <w:rPr>
          <w:b/>
        </w:rPr>
        <w:t> </w:t>
      </w:r>
      <w:r w:rsidRPr="00A31737">
        <w:rPr>
          <w:b/>
        </w:rPr>
        <w:t>příjmů právnických osob</w:t>
      </w:r>
      <w:r w:rsidRPr="00361C4D">
        <w:t xml:space="preserve"> očekáváme </w:t>
      </w:r>
      <w:r>
        <w:t xml:space="preserve">stále ještě nižší úroveň než v roce 2019, a to i z důvodu </w:t>
      </w:r>
      <w:r w:rsidRPr="00361C4D">
        <w:t>několika op</w:t>
      </w:r>
      <w:r>
        <w:t>atř</w:t>
      </w:r>
      <w:r>
        <w:t>e</w:t>
      </w:r>
      <w:r>
        <w:t>ní výše zmíněného daňového balíčku.</w:t>
      </w:r>
    </w:p>
    <w:p w:rsidR="00E8195E" w:rsidRDefault="00E8195E" w:rsidP="00E8195E">
      <w:pPr>
        <w:pStyle w:val="SRTextnomal"/>
      </w:pPr>
      <w:r w:rsidRPr="00A31737">
        <w:rPr>
          <w:b/>
        </w:rPr>
        <w:t xml:space="preserve">Příspěvky na sociální </w:t>
      </w:r>
      <w:r>
        <w:rPr>
          <w:b/>
        </w:rPr>
        <w:t>a zdravotní pojištění</w:t>
      </w:r>
      <w:r>
        <w:t xml:space="preserve"> by měly m</w:t>
      </w:r>
      <w:r>
        <w:t>e</w:t>
      </w:r>
      <w:r>
        <w:t>ziročně vzrůst o 7,6 </w:t>
      </w:r>
      <w:r w:rsidRPr="00361C4D">
        <w:t xml:space="preserve">%. Jejich tempo </w:t>
      </w:r>
      <w:r>
        <w:t xml:space="preserve">odráží růst mezd a platů v ekonomice, umocněné </w:t>
      </w:r>
      <w:r w:rsidRPr="00361C4D">
        <w:t>postupn</w:t>
      </w:r>
      <w:r>
        <w:t xml:space="preserve">ým </w:t>
      </w:r>
      <w:r w:rsidRPr="00361C4D">
        <w:t>odeznění</w:t>
      </w:r>
      <w:r>
        <w:t>m</w:t>
      </w:r>
      <w:r w:rsidRPr="00361C4D">
        <w:t xml:space="preserve"> opatření zmírňujících socioekonomické dopady protiep</w:t>
      </w:r>
      <w:r w:rsidRPr="00361C4D">
        <w:t>i</w:t>
      </w:r>
      <w:r w:rsidRPr="00361C4D">
        <w:t>demických restrikcí. Zvýšení platby za státního pojiště</w:t>
      </w:r>
      <w:r w:rsidRPr="00361C4D">
        <w:t>n</w:t>
      </w:r>
      <w:r w:rsidRPr="00361C4D">
        <w:t xml:space="preserve">ce do systému veřejného zdravotního pojištění </w:t>
      </w:r>
      <w:r>
        <w:t>přispívá k dynamice příjmové strany 1,3 p. b.</w:t>
      </w:r>
    </w:p>
    <w:p w:rsidR="00E8195E" w:rsidRDefault="00E8195E" w:rsidP="00E8195E">
      <w:pPr>
        <w:pStyle w:val="SRTextnomal"/>
      </w:pPr>
      <w:r w:rsidRPr="00361C4D">
        <w:t xml:space="preserve">U výnosu </w:t>
      </w:r>
      <w:r w:rsidRPr="00A31737">
        <w:rPr>
          <w:b/>
        </w:rPr>
        <w:t>daně z přidané hodnoty</w:t>
      </w:r>
      <w:r>
        <w:t xml:space="preserve"> predikujeme růst o 4,8 </w:t>
      </w:r>
      <w:r w:rsidRPr="00D90AED">
        <w:t>%. Přeřazení vybraného zboží a služeb do druhé snížené sazby daně</w:t>
      </w:r>
      <w:r>
        <w:t xml:space="preserve"> </w:t>
      </w:r>
      <w:r w:rsidRPr="00D90AED">
        <w:t xml:space="preserve">v průběhu roku 2020 </w:t>
      </w:r>
      <w:r>
        <w:t>sníží</w:t>
      </w:r>
      <w:r w:rsidRPr="00D90AED">
        <w:t xml:space="preserve"> v letošním roce výnos o </w:t>
      </w:r>
      <w:r>
        <w:t>2,4 mld. </w:t>
      </w:r>
      <w:r w:rsidRPr="00D90AED">
        <w:t xml:space="preserve">Kč. </w:t>
      </w:r>
      <w:r>
        <w:t xml:space="preserve">Podobně </w:t>
      </w:r>
      <w:r w:rsidRPr="00D90AED">
        <w:t>prominutí daně u</w:t>
      </w:r>
      <w:r>
        <w:t> </w:t>
      </w:r>
      <w:r w:rsidRPr="00D90AED">
        <w:t>prostředků pro testování na onemocnění</w:t>
      </w:r>
      <w:r w:rsidRPr="00361C4D">
        <w:t xml:space="preserve"> COVID-19</w:t>
      </w:r>
      <w:r>
        <w:t xml:space="preserve">, </w:t>
      </w:r>
      <w:r w:rsidRPr="00361C4D">
        <w:t xml:space="preserve">očkovacích látek </w:t>
      </w:r>
      <w:r>
        <w:t xml:space="preserve">a </w:t>
      </w:r>
      <w:r w:rsidRPr="00361C4D">
        <w:t xml:space="preserve">u respirátorů </w:t>
      </w:r>
      <w:r>
        <w:t>redukuje výnos o další</w:t>
      </w:r>
      <w:r w:rsidRPr="00361C4D">
        <w:t xml:space="preserve"> 2,</w:t>
      </w:r>
      <w:r>
        <w:t>5 mld. Kč.</w:t>
      </w:r>
    </w:p>
    <w:p w:rsidR="00E8195E" w:rsidRDefault="00E8195E" w:rsidP="00E8195E">
      <w:pPr>
        <w:pStyle w:val="SRTextnomal"/>
      </w:pPr>
      <w:r w:rsidRPr="00361C4D">
        <w:t xml:space="preserve">Výnos </w:t>
      </w:r>
      <w:r w:rsidRPr="00A31737">
        <w:rPr>
          <w:b/>
        </w:rPr>
        <w:t xml:space="preserve">spotřebních daní </w:t>
      </w:r>
      <w:r w:rsidRPr="00361C4D">
        <w:t>(bez dotací na obnovitelné zdr</w:t>
      </w:r>
      <w:r w:rsidRPr="00361C4D">
        <w:t>o</w:t>
      </w:r>
      <w:r w:rsidRPr="00361C4D">
        <w:t xml:space="preserve">je energie) by měl vzrůst o </w:t>
      </w:r>
      <w:r>
        <w:t>7,7 %</w:t>
      </w:r>
      <w:r w:rsidRPr="00361C4D">
        <w:t>. Pozitivně budou půs</w:t>
      </w:r>
      <w:r w:rsidRPr="00361C4D">
        <w:t>o</w:t>
      </w:r>
      <w:r w:rsidRPr="00361C4D">
        <w:t xml:space="preserve">bit zejména změny sazeb na tabákové výrobky v celkové odhadované výši 5,2 mld. Kč. </w:t>
      </w:r>
      <w:r>
        <w:t xml:space="preserve">Naopak </w:t>
      </w:r>
      <w:r w:rsidRPr="007E548F">
        <w:t>výnos daně z m</w:t>
      </w:r>
      <w:r w:rsidRPr="007E548F">
        <w:t>i</w:t>
      </w:r>
      <w:r w:rsidRPr="007E548F">
        <w:t>nerálních olejů tlum</w:t>
      </w:r>
      <w:r>
        <w:t xml:space="preserve">í </w:t>
      </w:r>
      <w:r w:rsidRPr="007E548F">
        <w:t>snížen</w:t>
      </w:r>
      <w:r>
        <w:t>á</w:t>
      </w:r>
      <w:r w:rsidRPr="007E548F">
        <w:t xml:space="preserve"> sazb</w:t>
      </w:r>
      <w:r>
        <w:t>a</w:t>
      </w:r>
      <w:r w:rsidRPr="007E548F">
        <w:t xml:space="preserve"> daně na naftu v </w:t>
      </w:r>
      <w:r>
        <w:t>o</w:t>
      </w:r>
      <w:r>
        <w:t>d</w:t>
      </w:r>
      <w:r>
        <w:t xml:space="preserve">hadované celoroční </w:t>
      </w:r>
      <w:r w:rsidRPr="007E548F">
        <w:t>výši 5,6 mld. Kč.</w:t>
      </w:r>
    </w:p>
    <w:p w:rsidR="00E8195E" w:rsidRDefault="00E8195E" w:rsidP="00E8195E">
      <w:pPr>
        <w:pStyle w:val="SRTextnomal"/>
      </w:pPr>
      <w:r w:rsidRPr="008B39DB">
        <w:rPr>
          <w:b/>
        </w:rPr>
        <w:t>Výdaje na konečnou spotřebu</w:t>
      </w:r>
      <w:r w:rsidRPr="00361C4D">
        <w:t xml:space="preserve"> s očekávaným růstem 6,9</w:t>
      </w:r>
      <w:r>
        <w:t> </w:t>
      </w:r>
      <w:r w:rsidRPr="00361C4D">
        <w:t xml:space="preserve">% </w:t>
      </w:r>
      <w:r>
        <w:t>zvyšují</w:t>
      </w:r>
      <w:r w:rsidRPr="00361C4D">
        <w:t xml:space="preserve"> naturální sociální transfery</w:t>
      </w:r>
      <w:r>
        <w:t>,</w:t>
      </w:r>
      <w:r w:rsidRPr="00361C4D">
        <w:t xml:space="preserve"> náhrad</w:t>
      </w:r>
      <w:r>
        <w:t>y</w:t>
      </w:r>
      <w:r w:rsidRPr="00361C4D">
        <w:t xml:space="preserve"> z</w:t>
      </w:r>
      <w:r w:rsidRPr="00361C4D">
        <w:t>a</w:t>
      </w:r>
      <w:r w:rsidRPr="00361C4D">
        <w:t>městnancům</w:t>
      </w:r>
      <w:r>
        <w:t xml:space="preserve"> a</w:t>
      </w:r>
      <w:r w:rsidRPr="00B77A03">
        <w:t xml:space="preserve"> </w:t>
      </w:r>
      <w:r w:rsidRPr="00361C4D">
        <w:t>mezispotřeb</w:t>
      </w:r>
      <w:r>
        <w:t>a. N</w:t>
      </w:r>
      <w:r w:rsidRPr="00361C4D">
        <w:t xml:space="preserve">árůst platů </w:t>
      </w:r>
      <w:r>
        <w:t>se týká pr</w:t>
      </w:r>
      <w:r>
        <w:t>a</w:t>
      </w:r>
      <w:r>
        <w:t>covníků</w:t>
      </w:r>
      <w:r w:rsidRPr="00361C4D">
        <w:t xml:space="preserve"> ve školství, zdravotnictví a sociálních službách</w:t>
      </w:r>
      <w:r>
        <w:t>, v dalších oblastech jsou platy fixovány</w:t>
      </w:r>
      <w:r w:rsidRPr="00361C4D">
        <w:t xml:space="preserve">. Objem platů ve veřejné sféře by měl </w:t>
      </w:r>
      <w:r>
        <w:t xml:space="preserve">přesto </w:t>
      </w:r>
      <w:r w:rsidRPr="00361C4D">
        <w:t>vz</w:t>
      </w:r>
      <w:r>
        <w:t>růst o 5,8</w:t>
      </w:r>
      <w:r w:rsidRPr="00361C4D">
        <w:t xml:space="preserve"> %</w:t>
      </w:r>
      <w:r>
        <w:t xml:space="preserve">, jelikož se do něj promítají </w:t>
      </w:r>
      <w:r w:rsidRPr="00361C4D">
        <w:t>i mimořádn</w:t>
      </w:r>
      <w:r>
        <w:t xml:space="preserve">é </w:t>
      </w:r>
      <w:r w:rsidRPr="00361C4D">
        <w:t>odměn</w:t>
      </w:r>
      <w:r>
        <w:t>y</w:t>
      </w:r>
      <w:r w:rsidRPr="00361C4D">
        <w:t xml:space="preserve"> zdravotnickému pe</w:t>
      </w:r>
      <w:r w:rsidRPr="00361C4D">
        <w:t>r</w:t>
      </w:r>
      <w:r w:rsidRPr="00361C4D">
        <w:t>sonálu</w:t>
      </w:r>
      <w:r>
        <w:t xml:space="preserve">, pracovníkům v sociálních službách a ozbrojeným </w:t>
      </w:r>
      <w:r>
        <w:lastRenderedPageBreak/>
        <w:t>složkám</w:t>
      </w:r>
      <w:r w:rsidRPr="00361C4D">
        <w:t>. Pokračovat by měla poměrně silná dynamika naturá</w:t>
      </w:r>
      <w:r>
        <w:t>lních sociálních transferů (11,5 </w:t>
      </w:r>
      <w:r w:rsidRPr="00361C4D">
        <w:t>%)</w:t>
      </w:r>
      <w:r>
        <w:t>, jelikož v</w:t>
      </w:r>
      <w:r w:rsidRPr="00361C4D">
        <w:t xml:space="preserve">ýdaje do zdravotnictví </w:t>
      </w:r>
      <w:r>
        <w:t>jsou ovlivňovány</w:t>
      </w:r>
      <w:r w:rsidRPr="00361C4D">
        <w:t xml:space="preserve"> epidemic</w:t>
      </w:r>
      <w:r>
        <w:t>kou situací a vakcinací</w:t>
      </w:r>
      <w:r w:rsidRPr="00361C4D">
        <w:t xml:space="preserve"> obyvatel</w:t>
      </w:r>
      <w:r>
        <w:t>stva</w:t>
      </w:r>
      <w:r w:rsidRPr="00361C4D">
        <w:t xml:space="preserve">. Výše růstu mezispotřeby by </w:t>
      </w:r>
      <w:r>
        <w:t>měla v letošním roce dosahovat 4,8 </w:t>
      </w:r>
      <w:r w:rsidRPr="00361C4D">
        <w:t>%, a částečně tak ko</w:t>
      </w:r>
      <w:r w:rsidRPr="00361C4D">
        <w:t>m</w:t>
      </w:r>
      <w:r w:rsidRPr="00361C4D">
        <w:t>penzovat její loňský nevýrazný růst v důsledku zavřených škol i</w:t>
      </w:r>
      <w:r>
        <w:t> </w:t>
      </w:r>
      <w:r w:rsidRPr="00361C4D">
        <w:t xml:space="preserve">dalších veřejných institucí. V oblasti zdravotní péče by se zde měly projevit nákupy vakcín </w:t>
      </w:r>
      <w:r>
        <w:t>proti COVID-19 a testů do škol.</w:t>
      </w:r>
    </w:p>
    <w:p w:rsidR="00E8195E" w:rsidRDefault="00E8195E" w:rsidP="00266BFB">
      <w:pPr>
        <w:pStyle w:val="SRTextnomal"/>
      </w:pPr>
      <w:r w:rsidRPr="00361C4D">
        <w:t xml:space="preserve">Zvýšení </w:t>
      </w:r>
      <w:r w:rsidRPr="008B39DB">
        <w:rPr>
          <w:b/>
        </w:rPr>
        <w:t>peněžitých sociálních dávek</w:t>
      </w:r>
      <w:r>
        <w:t xml:space="preserve"> o 6,1 </w:t>
      </w:r>
      <w:r w:rsidRPr="00361C4D">
        <w:t>% reflektuje jak zákonnou valorizaci dávek důchodového pojištění, tak</w:t>
      </w:r>
      <w:r>
        <w:t xml:space="preserve"> úpravu některých </w:t>
      </w:r>
      <w:r w:rsidRPr="00266BFB">
        <w:t>dávek</w:t>
      </w:r>
      <w:r>
        <w:t xml:space="preserve"> podporujících rodiny s dě</w:t>
      </w:r>
      <w:r>
        <w:t>t</w:t>
      </w:r>
      <w:r>
        <w:t>mi, ošetřovné</w:t>
      </w:r>
      <w:r w:rsidRPr="00361C4D">
        <w:t xml:space="preserve"> </w:t>
      </w:r>
      <w:r>
        <w:t xml:space="preserve">v případě uzavření škol či karantény dítěte </w:t>
      </w:r>
      <w:r w:rsidRPr="00361C4D">
        <w:t>i navýšení transferů do veřejného zdravotní</w:t>
      </w:r>
      <w:r>
        <w:t>ho pojištění.</w:t>
      </w:r>
    </w:p>
    <w:p w:rsidR="00E8195E" w:rsidRDefault="00E8195E" w:rsidP="00E8195E">
      <w:pPr>
        <w:pStyle w:val="SRTextnomal"/>
      </w:pPr>
      <w:r w:rsidRPr="005A11F5">
        <w:rPr>
          <w:b/>
        </w:rPr>
        <w:t>Investice</w:t>
      </w:r>
      <w:r w:rsidRPr="00361C4D">
        <w:t xml:space="preserve"> do fixního </w:t>
      </w:r>
      <w:r>
        <w:t>kapitálu by měly růst 11% tempem</w:t>
      </w:r>
      <w:r w:rsidRPr="00361C4D">
        <w:t>, přičemž očekáváme zapojení nových programů a nástr</w:t>
      </w:r>
      <w:r w:rsidRPr="00361C4D">
        <w:t>o</w:t>
      </w:r>
      <w:r w:rsidRPr="00361C4D">
        <w:t>jů E</w:t>
      </w:r>
      <w:r>
        <w:t>vropské unie, včetně realizace projektů schváleného Národního plánu obnovy ČR</w:t>
      </w:r>
      <w:r w:rsidRPr="00361C4D">
        <w:t>.</w:t>
      </w:r>
      <w:r>
        <w:t xml:space="preserve"> </w:t>
      </w:r>
    </w:p>
    <w:p w:rsidR="00E8195E" w:rsidRDefault="00E8195E" w:rsidP="00E8195E">
      <w:pPr>
        <w:pStyle w:val="SRTextnomal"/>
      </w:pPr>
      <w:r w:rsidRPr="00012CA2">
        <w:t>Programy</w:t>
      </w:r>
      <w:r w:rsidRPr="00361C4D">
        <w:t xml:space="preserve"> podpory v souvislosti s COVID-19 jsou dův</w:t>
      </w:r>
      <w:r w:rsidRPr="00361C4D">
        <w:t>o</w:t>
      </w:r>
      <w:r w:rsidRPr="00361C4D">
        <w:t xml:space="preserve">dem </w:t>
      </w:r>
      <w:r>
        <w:t>cca 11%</w:t>
      </w:r>
      <w:r w:rsidRPr="00361C4D">
        <w:t xml:space="preserve"> </w:t>
      </w:r>
      <w:r>
        <w:t>růstu</w:t>
      </w:r>
      <w:r w:rsidRPr="00361C4D">
        <w:t xml:space="preserve"> </w:t>
      </w:r>
      <w:r w:rsidRPr="005A11F5">
        <w:rPr>
          <w:b/>
        </w:rPr>
        <w:t>dotací</w:t>
      </w:r>
      <w:r>
        <w:t xml:space="preserve">. Na jedné straně pokračují opatření započatá v roce 2020 </w:t>
      </w:r>
      <w:r w:rsidRPr="00361C4D">
        <w:t>(především program A</w:t>
      </w:r>
      <w:r w:rsidRPr="00361C4D">
        <w:t>n</w:t>
      </w:r>
      <w:r w:rsidRPr="00361C4D">
        <w:t>tivirus)</w:t>
      </w:r>
      <w:r>
        <w:t>, na straně druhé jde o novou podobu kompenz</w:t>
      </w:r>
      <w:r>
        <w:t>a</w:t>
      </w:r>
      <w:r>
        <w:t>cí</w:t>
      </w:r>
      <w:r w:rsidRPr="00361C4D">
        <w:t xml:space="preserve"> </w:t>
      </w:r>
      <w:r>
        <w:t>za</w:t>
      </w:r>
      <w:r w:rsidRPr="00361C4D">
        <w:t xml:space="preserve"> o</w:t>
      </w:r>
      <w:r>
        <w:t xml:space="preserve">mezení podnikatelské činnosti </w:t>
      </w:r>
      <w:r w:rsidRPr="00361C4D">
        <w:t>protiepidemi</w:t>
      </w:r>
      <w:r>
        <w:t>ckými restrikcemi</w:t>
      </w:r>
      <w:r w:rsidRPr="00361C4D">
        <w:t xml:space="preserve"> </w:t>
      </w:r>
      <w:r>
        <w:t>(</w:t>
      </w:r>
      <w:r w:rsidRPr="00361C4D">
        <w:t>program COVID – 2021 a COVID – Nepokr</w:t>
      </w:r>
      <w:r w:rsidRPr="00361C4D">
        <w:t>y</w:t>
      </w:r>
      <w:r w:rsidRPr="00361C4D">
        <w:t>té náklady</w:t>
      </w:r>
      <w:r>
        <w:t>)</w:t>
      </w:r>
      <w:r w:rsidRPr="00361C4D">
        <w:t>.</w:t>
      </w:r>
      <w:r>
        <w:t xml:space="preserve"> </w:t>
      </w:r>
      <w:r w:rsidRPr="00A440DC">
        <w:t>Další formy podpory</w:t>
      </w:r>
      <w:r>
        <w:t>,</w:t>
      </w:r>
      <w:r w:rsidRPr="00A440DC">
        <w:t xml:space="preserve"> jako je kompenzační bonus či institut zpětného působení daňové ztráty</w:t>
      </w:r>
      <w:r>
        <w:t>,</w:t>
      </w:r>
      <w:r w:rsidRPr="00A440DC">
        <w:t xml:space="preserve"> jsou klasifikovány </w:t>
      </w:r>
      <w:r>
        <w:t>mezi</w:t>
      </w:r>
      <w:r w:rsidRPr="00A440DC">
        <w:t xml:space="preserve"> </w:t>
      </w:r>
      <w:r w:rsidRPr="001A3E8D">
        <w:rPr>
          <w:b/>
        </w:rPr>
        <w:t>kapitálové transfery</w:t>
      </w:r>
      <w:r>
        <w:t>, které oproti loňskému roku patrně mírně poklesnou</w:t>
      </w:r>
      <w:r w:rsidRPr="00A440DC">
        <w:t>.</w:t>
      </w:r>
      <w:r>
        <w:t xml:space="preserve"> </w:t>
      </w:r>
    </w:p>
    <w:p w:rsidR="00E8195E" w:rsidRDefault="00E8195E" w:rsidP="00F21516">
      <w:pPr>
        <w:pStyle w:val="SRTextnomal"/>
      </w:pPr>
      <w:r w:rsidRPr="00C254AA">
        <w:t xml:space="preserve">Deficitní hospodaření vládních institucí se promítne do výše </w:t>
      </w:r>
      <w:r w:rsidRPr="00165C9E">
        <w:rPr>
          <w:b/>
        </w:rPr>
        <w:t>dluhu</w:t>
      </w:r>
      <w:r w:rsidRPr="00C254AA">
        <w:t xml:space="preserve">, který by měl </w:t>
      </w:r>
      <w:r>
        <w:t>na konci roku dosáhnout</w:t>
      </w:r>
      <w:r w:rsidRPr="008842C6">
        <w:t xml:space="preserve"> 43,5</w:t>
      </w:r>
      <w:r>
        <w:t> </w:t>
      </w:r>
      <w:r w:rsidRPr="008842C6">
        <w:t>% HDP.</w:t>
      </w:r>
      <w:r>
        <w:t xml:space="preserve"> Nárůst zadlužení a</w:t>
      </w:r>
      <w:r w:rsidRPr="00361C4D">
        <w:t xml:space="preserve"> předpokládaný vývoj úrokových sazeb </w:t>
      </w:r>
      <w:r>
        <w:t>zvýší</w:t>
      </w:r>
      <w:r w:rsidRPr="00361C4D">
        <w:t xml:space="preserve"> </w:t>
      </w:r>
      <w:r w:rsidRPr="005A11F5">
        <w:rPr>
          <w:b/>
        </w:rPr>
        <w:t>úrokov</w:t>
      </w:r>
      <w:r>
        <w:rPr>
          <w:b/>
        </w:rPr>
        <w:t>é</w:t>
      </w:r>
      <w:r w:rsidRPr="005A11F5">
        <w:rPr>
          <w:b/>
        </w:rPr>
        <w:t xml:space="preserve"> náklad</w:t>
      </w:r>
      <w:r>
        <w:rPr>
          <w:b/>
        </w:rPr>
        <w:t>y</w:t>
      </w:r>
      <w:r>
        <w:t xml:space="preserve"> o přibližně 7 %. V poměrovém vyjádření k HDP očekáváme jejich stagn</w:t>
      </w:r>
      <w:r>
        <w:t>a</w:t>
      </w:r>
      <w:r>
        <w:t>ci na 0,8 % HDP</w:t>
      </w:r>
      <w:r w:rsidRPr="00CE70DC">
        <w:t>.</w:t>
      </w:r>
    </w:p>
    <w:p w:rsidR="00E8195E" w:rsidRDefault="00E8195E" w:rsidP="00E8195E">
      <w:pPr>
        <w:sectPr w:rsidR="00E8195E" w:rsidSect="00E8195E">
          <w:type w:val="continuous"/>
          <w:pgSz w:w="11906" w:h="16838" w:code="9"/>
          <w:pgMar w:top="1134" w:right="1134" w:bottom="1418" w:left="1134" w:header="709" w:footer="709" w:gutter="0"/>
          <w:cols w:num="2" w:space="397"/>
          <w:docGrid w:linePitch="360"/>
        </w:sectPr>
      </w:pPr>
    </w:p>
    <w:p w:rsidR="00E8195E" w:rsidRDefault="00E8195E" w:rsidP="005A27EF">
      <w:pPr>
        <w:pStyle w:val="SRNadpis2"/>
      </w:pPr>
      <w:bookmarkStart w:id="55" w:name="_Toc81233999"/>
      <w:bookmarkStart w:id="56" w:name="_Toc83882818"/>
      <w:r>
        <w:lastRenderedPageBreak/>
        <w:t xml:space="preserve">Predikce </w:t>
      </w:r>
      <w:r w:rsidRPr="00BE7746">
        <w:t>hospodaření</w:t>
      </w:r>
      <w:r>
        <w:t xml:space="preserve"> sektoru vládních institucí v roce 2022</w:t>
      </w:r>
      <w:bookmarkEnd w:id="55"/>
      <w:bookmarkEnd w:id="56"/>
    </w:p>
    <w:p w:rsidR="00E8195E" w:rsidRPr="00A01FB3" w:rsidRDefault="00E8195E" w:rsidP="00E8195E">
      <w:pPr>
        <w:sectPr w:rsidR="00E8195E" w:rsidRPr="00A01FB3" w:rsidSect="00E8195E">
          <w:type w:val="continuous"/>
          <w:pgSz w:w="11906" w:h="16838" w:code="9"/>
          <w:pgMar w:top="1134" w:right="1134" w:bottom="1418" w:left="1134" w:header="709" w:footer="709" w:gutter="0"/>
          <w:cols w:space="397"/>
          <w:docGrid w:linePitch="360"/>
        </w:sectPr>
      </w:pPr>
    </w:p>
    <w:p w:rsidR="00E8195E" w:rsidRPr="00AC72F6" w:rsidRDefault="00E8195E" w:rsidP="00E8195E">
      <w:pPr>
        <w:pStyle w:val="SRTextnomal"/>
      </w:pPr>
      <w:r w:rsidRPr="00AC72F6">
        <w:lastRenderedPageBreak/>
        <w:t>V roce 202</w:t>
      </w:r>
      <w:r>
        <w:t>2</w:t>
      </w:r>
      <w:r w:rsidRPr="00AC72F6">
        <w:t xml:space="preserve"> by mělo dojít k meziročnímu zlepšení salda na </w:t>
      </w:r>
      <w:r>
        <w:rPr>
          <w:rFonts w:cs="Calibri"/>
        </w:rPr>
        <w:t>−</w:t>
      </w:r>
      <w:r>
        <w:t>5,0 </w:t>
      </w:r>
      <w:r w:rsidRPr="00AC72F6">
        <w:t xml:space="preserve">% HDP. Ve strukturálním vyjádření by </w:t>
      </w:r>
      <w:r>
        <w:t xml:space="preserve">pak </w:t>
      </w:r>
      <w:r w:rsidRPr="00AC72F6">
        <w:t xml:space="preserve">mělo jít </w:t>
      </w:r>
      <w:r>
        <w:t>o</w:t>
      </w:r>
      <w:r w:rsidRPr="00AC72F6">
        <w:t xml:space="preserve"> fiskální </w:t>
      </w:r>
      <w:r>
        <w:t>restrikci</w:t>
      </w:r>
      <w:r w:rsidRPr="00AC72F6">
        <w:t xml:space="preserve"> v </w:t>
      </w:r>
      <w:r>
        <w:t>zákonem požadovaném rozsahu.</w:t>
      </w:r>
    </w:p>
    <w:p w:rsidR="00E8195E" w:rsidRPr="00AC72F6" w:rsidRDefault="00E8195E" w:rsidP="00E8195E">
      <w:pPr>
        <w:pStyle w:val="SRTextnomal"/>
      </w:pPr>
      <w:r w:rsidRPr="00791F5F">
        <w:rPr>
          <w:b/>
        </w:rPr>
        <w:t>Celkové příjmy</w:t>
      </w:r>
      <w:r w:rsidRPr="00AC72F6">
        <w:t xml:space="preserve"> sektoru vládních institucí by dle predikce měly v roce 202</w:t>
      </w:r>
      <w:r>
        <w:t>2</w:t>
      </w:r>
      <w:r w:rsidRPr="00AC72F6">
        <w:t xml:space="preserve"> vzrůst o </w:t>
      </w:r>
      <w:r>
        <w:t>6</w:t>
      </w:r>
      <w:r w:rsidRPr="00AC72F6">
        <w:t>,</w:t>
      </w:r>
      <w:r>
        <w:t>1 </w:t>
      </w:r>
      <w:r w:rsidRPr="00AC72F6">
        <w:t>%. Dynamika</w:t>
      </w:r>
      <w:r>
        <w:t xml:space="preserve"> daňových př</w:t>
      </w:r>
      <w:r>
        <w:t>í</w:t>
      </w:r>
      <w:r>
        <w:t>jmů včetně příspěvků na sociální zabezpečení</w:t>
      </w:r>
      <w:r w:rsidRPr="00AC72F6">
        <w:t xml:space="preserve"> je však </w:t>
      </w:r>
      <w:r>
        <w:t>o něco slabší, konkrétně 4,7 %</w:t>
      </w:r>
      <w:r w:rsidRPr="00AC72F6">
        <w:t xml:space="preserve">. </w:t>
      </w:r>
      <w:r>
        <w:t xml:space="preserve">Výnos </w:t>
      </w:r>
      <w:r w:rsidRPr="00791F5F">
        <w:rPr>
          <w:b/>
        </w:rPr>
        <w:t>daně z příjmů f</w:t>
      </w:r>
      <w:r w:rsidRPr="00791F5F">
        <w:rPr>
          <w:b/>
        </w:rPr>
        <w:t>y</w:t>
      </w:r>
      <w:r w:rsidRPr="00791F5F">
        <w:rPr>
          <w:b/>
        </w:rPr>
        <w:t>zických osob</w:t>
      </w:r>
      <w:r w:rsidRPr="00AC72F6">
        <w:t xml:space="preserve"> by měl</w:t>
      </w:r>
      <w:r>
        <w:t xml:space="preserve"> totiž</w:t>
      </w:r>
      <w:r w:rsidRPr="00AC72F6">
        <w:t xml:space="preserve"> </w:t>
      </w:r>
      <w:r>
        <w:t>klesnou</w:t>
      </w:r>
      <w:r w:rsidRPr="00AC72F6">
        <w:t>t o</w:t>
      </w:r>
      <w:r>
        <w:t> </w:t>
      </w:r>
      <w:r w:rsidRPr="00AC72F6">
        <w:t>2</w:t>
      </w:r>
      <w:r>
        <w:t>,5 </w:t>
      </w:r>
      <w:r w:rsidRPr="00AC72F6">
        <w:t>%</w:t>
      </w:r>
      <w:r>
        <w:t>, jelikož proti odhadovanému růstu mezd a platů v ekonomice působí diskreční opatření v podobě zvýšení slevy na poplatníka o 3 000 Kč za rok s dopadem 12,3 mld. Kč.</w:t>
      </w:r>
      <w:r w:rsidRPr="00AC72F6">
        <w:t xml:space="preserve"> Příjmy z </w:t>
      </w:r>
      <w:r w:rsidRPr="00791F5F">
        <w:rPr>
          <w:b/>
        </w:rPr>
        <w:t>př</w:t>
      </w:r>
      <w:r w:rsidRPr="00791F5F">
        <w:rPr>
          <w:b/>
        </w:rPr>
        <w:t>í</w:t>
      </w:r>
      <w:r w:rsidRPr="00791F5F">
        <w:rPr>
          <w:b/>
        </w:rPr>
        <w:t>spěvků na sociální zabezpečení</w:t>
      </w:r>
      <w:r w:rsidRPr="00AC72F6">
        <w:t>, jejichž růst je odhad</w:t>
      </w:r>
      <w:r w:rsidRPr="00AC72F6">
        <w:t>o</w:t>
      </w:r>
      <w:r w:rsidRPr="00AC72F6">
        <w:t xml:space="preserve">ván na </w:t>
      </w:r>
      <w:r>
        <w:t>3,7 </w:t>
      </w:r>
      <w:r w:rsidRPr="00AC72F6">
        <w:t xml:space="preserve">%, </w:t>
      </w:r>
      <w:r>
        <w:t>budou ovlivněny</w:t>
      </w:r>
      <w:r w:rsidRPr="00AC72F6">
        <w:t xml:space="preserve"> růstem</w:t>
      </w:r>
      <w:r>
        <w:t xml:space="preserve"> náhrad zaměstnancům v ekonomice a dalším zvýšením</w:t>
      </w:r>
      <w:r w:rsidRPr="00AC72F6">
        <w:t xml:space="preserve"> platby za státního pojištěnce </w:t>
      </w:r>
      <w:r>
        <w:t>o</w:t>
      </w:r>
      <w:r w:rsidRPr="00AC72F6">
        <w:t xml:space="preserve"> </w:t>
      </w:r>
      <w:r>
        <w:t>cca 14 mld. </w:t>
      </w:r>
      <w:r w:rsidRPr="00AC72F6">
        <w:t xml:space="preserve">Kč. Kromě toho </w:t>
      </w:r>
      <w:r>
        <w:t>již n</w:t>
      </w:r>
      <w:r>
        <w:t>e</w:t>
      </w:r>
      <w:r>
        <w:t>bude účinný</w:t>
      </w:r>
      <w:r w:rsidRPr="00AC72F6">
        <w:t xml:space="preserve"> jednorázov</w:t>
      </w:r>
      <w:r>
        <w:t>ý příspěvek 370 Kč/den osobám v karanténě s dopadem 1,1 mld. Kč, což rovněž meziro</w:t>
      </w:r>
      <w:r>
        <w:t>č</w:t>
      </w:r>
      <w:r>
        <w:t>ně ovlivní dynamiku.</w:t>
      </w:r>
      <w:r w:rsidRPr="00AC72F6">
        <w:t xml:space="preserve"> </w:t>
      </w:r>
      <w:r>
        <w:t xml:space="preserve">Dynamiku zdanění a odvodů závislé </w:t>
      </w:r>
      <w:r>
        <w:lastRenderedPageBreak/>
        <w:t>činnosti pak rovněž ovlivňují mimořádné odměny pr</w:t>
      </w:r>
      <w:r>
        <w:t>a</w:t>
      </w:r>
      <w:r>
        <w:t xml:space="preserve">covníkům ve </w:t>
      </w:r>
      <w:r w:rsidRPr="00CE176E">
        <w:t>zdravotnic</w:t>
      </w:r>
      <w:r>
        <w:t xml:space="preserve">tví, </w:t>
      </w:r>
      <w:r w:rsidRPr="00CE176E">
        <w:t>v sociálních službách a ozbr</w:t>
      </w:r>
      <w:r w:rsidRPr="00CE176E">
        <w:t>o</w:t>
      </w:r>
      <w:r w:rsidRPr="00CE176E">
        <w:t xml:space="preserve">jeným složkám </w:t>
      </w:r>
      <w:r>
        <w:t xml:space="preserve">vyplacené v letošním roce. </w:t>
      </w:r>
      <w:r w:rsidRPr="00791F5F">
        <w:rPr>
          <w:b/>
        </w:rPr>
        <w:t>Daň z příjmů právnických osob</w:t>
      </w:r>
      <w:r w:rsidRPr="00AC72F6">
        <w:t xml:space="preserve"> by, vzhledem k predikci růstu hrubého provozního přebytku</w:t>
      </w:r>
      <w:r>
        <w:t xml:space="preserve"> a diskrečním opatřením</w:t>
      </w:r>
      <w:r w:rsidRPr="00AC72F6">
        <w:t xml:space="preserve">, měla růst o </w:t>
      </w:r>
      <w:r>
        <w:t>12 </w:t>
      </w:r>
      <w:r w:rsidRPr="00AC72F6">
        <w:t>%</w:t>
      </w:r>
      <w:r>
        <w:t xml:space="preserve">. Výnos daně bude tlumen koncem účinnosti změny </w:t>
      </w:r>
      <w:r w:rsidRPr="0046061D">
        <w:t>met</w:t>
      </w:r>
      <w:r>
        <w:t xml:space="preserve">ody tvorby a </w:t>
      </w:r>
      <w:r w:rsidRPr="0046061D">
        <w:t>daňové uznatelnosti technických rezerv pojišťoven</w:t>
      </w:r>
      <w:r>
        <w:t xml:space="preserve"> a osvobození </w:t>
      </w:r>
      <w:r w:rsidRPr="0046061D">
        <w:t>dividend státu a krajů od daně</w:t>
      </w:r>
      <w:r>
        <w:t xml:space="preserve"> s celkovým dopadem 7,5 mld. Kč, opačný účinek má ukončení zrychlených odpisů z let 2020 a 2021 v odhadované výši 15 mld. Kč</w:t>
      </w:r>
      <w:r w:rsidRPr="00AC72F6">
        <w:t xml:space="preserve">. Dynamika </w:t>
      </w:r>
      <w:r w:rsidRPr="00791F5F">
        <w:rPr>
          <w:b/>
        </w:rPr>
        <w:t>daně z přidané hodnoty</w:t>
      </w:r>
      <w:r w:rsidRPr="00AC72F6">
        <w:t xml:space="preserve"> by měla být ovlivněna</w:t>
      </w:r>
      <w:r>
        <w:t xml:space="preserve"> zejména</w:t>
      </w:r>
      <w:r w:rsidRPr="00AC72F6">
        <w:t xml:space="preserve"> </w:t>
      </w:r>
      <w:r>
        <w:t>sílící nominální spotřebou domácností. Naproti tomu čistý</w:t>
      </w:r>
      <w:r w:rsidRPr="00AC72F6">
        <w:t xml:space="preserve"> </w:t>
      </w:r>
      <w:r>
        <w:t>efekt v min</w:t>
      </w:r>
      <w:r>
        <w:t>u</w:t>
      </w:r>
      <w:r>
        <w:t>losti</w:t>
      </w:r>
      <w:r w:rsidRPr="00AC72F6">
        <w:t xml:space="preserve"> schválený</w:t>
      </w:r>
      <w:r>
        <w:t>ch</w:t>
      </w:r>
      <w:r w:rsidRPr="00AC72F6">
        <w:t xml:space="preserve"> diskrečních opatření (</w:t>
      </w:r>
      <w:r>
        <w:t>přeřazení vybr</w:t>
      </w:r>
      <w:r>
        <w:t>a</w:t>
      </w:r>
      <w:r>
        <w:t>ných služeb do druhé snížené sazby daně schválené v roce 2019, snížení sazby</w:t>
      </w:r>
      <w:r w:rsidRPr="00AC72F6">
        <w:t xml:space="preserve"> na ubytování, sportovní a ku</w:t>
      </w:r>
      <w:r w:rsidRPr="00AC72F6">
        <w:t>l</w:t>
      </w:r>
      <w:r w:rsidRPr="00AC72F6">
        <w:t>turní akce, lyžařské vleky a další vybrané služby</w:t>
      </w:r>
      <w:r>
        <w:t xml:space="preserve"> od pol</w:t>
      </w:r>
      <w:r>
        <w:t>o</w:t>
      </w:r>
      <w:r>
        <w:t xml:space="preserve">viny roku 2020, ukončení prominutí daně z přidané </w:t>
      </w:r>
      <w:r>
        <w:lastRenderedPageBreak/>
        <w:t>hodnoty u nákupu respirátorů, vakcín a testů</w:t>
      </w:r>
      <w:r w:rsidRPr="00AC72F6">
        <w:t>)</w:t>
      </w:r>
      <w:r>
        <w:t xml:space="preserve"> budou růst tlumit</w:t>
      </w:r>
      <w:r w:rsidRPr="00AC72F6">
        <w:t>.</w:t>
      </w:r>
      <w:r>
        <w:t xml:space="preserve"> Celkem by daň z přidané hodnoty měla růst kolem 8 %.</w:t>
      </w:r>
      <w:r w:rsidRPr="00AC72F6">
        <w:t xml:space="preserve"> </w:t>
      </w:r>
      <w:r>
        <w:t xml:space="preserve">Výnos </w:t>
      </w:r>
      <w:r w:rsidRPr="00791F5F">
        <w:rPr>
          <w:b/>
        </w:rPr>
        <w:t>spotřebních daní</w:t>
      </w:r>
      <w:r>
        <w:t xml:space="preserve"> bez zdrojů na obn</w:t>
      </w:r>
      <w:r>
        <w:t>o</w:t>
      </w:r>
      <w:r>
        <w:t>vitelné zdroje energie by pak měl růst okolo 5,5 %. Mezi hlavní vlivy patří pokračování zvyšování spotřební daně na tabákové výrobky, pokračující ekonomické oživení a rovněž počítáme s pozitivním příspěvkem digitální daně</w:t>
      </w:r>
      <w:r w:rsidRPr="00AC72F6">
        <w:t>.</w:t>
      </w:r>
      <w:r>
        <w:t xml:space="preserve"> Výraznou dynamiku na straně příjmů očekáváme v</w:t>
      </w:r>
      <w:r w:rsidRPr="005029E2">
        <w:rPr>
          <w:b/>
        </w:rPr>
        <w:t> běžných i kapitálových transferech</w:t>
      </w:r>
      <w:r>
        <w:t>. Tyto položky o</w:t>
      </w:r>
      <w:r>
        <w:t>d</w:t>
      </w:r>
      <w:r>
        <w:t>ráží předpokládaný náběh prostředků z EU, ať už vlivem končící finanční perspektivy 2014</w:t>
      </w:r>
      <w:r>
        <w:rPr>
          <w:rFonts w:cs="Calibri"/>
        </w:rPr>
        <w:t>–</w:t>
      </w:r>
      <w:r>
        <w:t>2020, tak novými f</w:t>
      </w:r>
      <w:r>
        <w:t>i</w:t>
      </w:r>
      <w:r>
        <w:t>nančními tituly v rámci nástroje EU příští generace. Ce</w:t>
      </w:r>
      <w:r>
        <w:t>l</w:t>
      </w:r>
      <w:r>
        <w:t>kový nárůst transferů odhadujeme na 40 %.</w:t>
      </w:r>
    </w:p>
    <w:p w:rsidR="00E8195E" w:rsidRPr="00AC72F6" w:rsidRDefault="00E8195E" w:rsidP="00E8195E">
      <w:pPr>
        <w:pStyle w:val="SRTextnomal"/>
      </w:pPr>
      <w:r w:rsidRPr="005029E2">
        <w:rPr>
          <w:b/>
        </w:rPr>
        <w:t>Výdaje veřejných rozpočtů</w:t>
      </w:r>
      <w:r>
        <w:t xml:space="preserve"> by měly meziročně v podstatě stagnovat. To je</w:t>
      </w:r>
      <w:r w:rsidRPr="00034DC0">
        <w:t xml:space="preserve"> dáno </w:t>
      </w:r>
      <w:r>
        <w:t xml:space="preserve">koncem protikrizových opatření, primárně pak </w:t>
      </w:r>
      <w:r w:rsidRPr="005029E2">
        <w:rPr>
          <w:b/>
        </w:rPr>
        <w:t>dotace a kapitálové transfery</w:t>
      </w:r>
      <w:r>
        <w:t xml:space="preserve"> v úhrnu klesnou o cca 35 %. Dalším faktorem zvolňujícím dynamiku výdajů je </w:t>
      </w:r>
      <w:r w:rsidRPr="005029E2">
        <w:rPr>
          <w:b/>
        </w:rPr>
        <w:t>konečná spotřeba vládních institucí</w:t>
      </w:r>
      <w:r w:rsidRPr="00034DC0">
        <w:t xml:space="preserve">, </w:t>
      </w:r>
      <w:r>
        <w:t xml:space="preserve">jejíž tempo dohadujeme kolem 2 %. </w:t>
      </w:r>
      <w:r w:rsidRPr="005029E2">
        <w:t>Náhrady zaměs</w:t>
      </w:r>
      <w:r w:rsidRPr="005029E2">
        <w:t>t</w:t>
      </w:r>
      <w:r w:rsidRPr="005029E2">
        <w:t>nancům v sektoru vládních institucí, naturální sociální transfery i mezispotřeba by měly mít v roce 2022 nižší tempo než v</w:t>
      </w:r>
      <w:r>
        <w:t> </w:t>
      </w:r>
      <w:r w:rsidRPr="005029E2">
        <w:t>letošním roce, což je d</w:t>
      </w:r>
      <w:r w:rsidRPr="00034DC0">
        <w:t>áno hlavně postu</w:t>
      </w:r>
      <w:r w:rsidRPr="00034DC0">
        <w:t>p</w:t>
      </w:r>
      <w:r w:rsidRPr="00034DC0">
        <w:t>ným ná</w:t>
      </w:r>
      <w:r>
        <w:t xml:space="preserve">vratem do normálních podmínek v </w:t>
      </w:r>
      <w:r w:rsidRPr="00034DC0">
        <w:t>systému zdr</w:t>
      </w:r>
      <w:r w:rsidRPr="00034DC0">
        <w:t>a</w:t>
      </w:r>
      <w:r w:rsidRPr="00034DC0">
        <w:t>votní péče</w:t>
      </w:r>
      <w:r>
        <w:t xml:space="preserve"> a neopakováním mimořádných odměn spojených s epidemií</w:t>
      </w:r>
      <w:r w:rsidRPr="00034DC0">
        <w:t xml:space="preserve">. </w:t>
      </w:r>
    </w:p>
    <w:p w:rsidR="00E8195E" w:rsidRPr="00AC72F6" w:rsidRDefault="00E8195E" w:rsidP="00E8195E">
      <w:pPr>
        <w:pStyle w:val="SRTextnomal"/>
      </w:pPr>
      <w:r w:rsidRPr="00AC72F6">
        <w:t xml:space="preserve">V oblasti </w:t>
      </w:r>
      <w:r w:rsidRPr="005029E2">
        <w:rPr>
          <w:b/>
        </w:rPr>
        <w:t>peněžitých dávek sociálního zabezpečení</w:t>
      </w:r>
      <w:r w:rsidRPr="00AC72F6">
        <w:t xml:space="preserve"> poč</w:t>
      </w:r>
      <w:r w:rsidRPr="00AC72F6">
        <w:t>í</w:t>
      </w:r>
      <w:r w:rsidRPr="00AC72F6">
        <w:t>táme v roce 202</w:t>
      </w:r>
      <w:r>
        <w:t>2</w:t>
      </w:r>
      <w:r w:rsidRPr="00AC72F6">
        <w:t xml:space="preserve"> s citelným navýšením, zejména díky </w:t>
      </w:r>
      <w:r w:rsidRPr="00AC72F6">
        <w:lastRenderedPageBreak/>
        <w:t xml:space="preserve">růstu výdajů na </w:t>
      </w:r>
      <w:r>
        <w:t>dávky důchodového pojištění</w:t>
      </w:r>
      <w:r w:rsidRPr="00AC72F6">
        <w:t xml:space="preserve">. Schválená valorizace důchodů v průměru o </w:t>
      </w:r>
      <w:r>
        <w:t xml:space="preserve">téměř </w:t>
      </w:r>
      <w:r w:rsidRPr="00077B3F">
        <w:t>500</w:t>
      </w:r>
      <w:r w:rsidRPr="00AC72F6">
        <w:t xml:space="preserve"> Kč</w:t>
      </w:r>
      <w:r>
        <w:t xml:space="preserve"> a paušá</w:t>
      </w:r>
      <w:r>
        <w:t>l</w:t>
      </w:r>
      <w:r>
        <w:t>ním navýšením procentní výměry o dodatečné 300 Kč</w:t>
      </w:r>
      <w:r w:rsidRPr="00AC72F6">
        <w:t xml:space="preserve"> by měl</w:t>
      </w:r>
      <w:r>
        <w:t>y</w:t>
      </w:r>
      <w:r w:rsidRPr="00AC72F6">
        <w:t xml:space="preserve"> zatížit výdajovou stranu o částku kolem </w:t>
      </w:r>
      <w:r w:rsidRPr="00077B3F">
        <w:t>30</w:t>
      </w:r>
      <w:r w:rsidRPr="00AC72F6">
        <w:t xml:space="preserve"> mld. Kč. Dopad na výdaje bude mít i zvýšení </w:t>
      </w:r>
      <w:r>
        <w:t>výdajů na další soc</w:t>
      </w:r>
      <w:r>
        <w:t>i</w:t>
      </w:r>
      <w:r>
        <w:t>ální dávky, jako příspěvek na péči ve 3. a 4. stupni závi</w:t>
      </w:r>
      <w:r>
        <w:t>s</w:t>
      </w:r>
      <w:r>
        <w:t>losti, přídavky na děti, změny ve vyplácení rodičovského příspěvku nebo zálohové výživné s úhrnným nákladem kolem 7 mld. Kč</w:t>
      </w:r>
      <w:r w:rsidRPr="00AC72F6">
        <w:t>. Ve vývoji dávek sociálního zabezpečení se v</w:t>
      </w:r>
      <w:r>
        <w:t xml:space="preserve"> akruální </w:t>
      </w:r>
      <w:r w:rsidRPr="00AC72F6">
        <w:t xml:space="preserve">metodice </w:t>
      </w:r>
      <w:r>
        <w:t>Evropského systému národních a regionálních účtů</w:t>
      </w:r>
      <w:r w:rsidRPr="00AC72F6">
        <w:t xml:space="preserve"> odráží i růst platby za státního poji</w:t>
      </w:r>
      <w:r w:rsidRPr="00AC72F6">
        <w:t>š</w:t>
      </w:r>
      <w:r w:rsidRPr="00AC72F6">
        <w:t xml:space="preserve">těnce o cca </w:t>
      </w:r>
      <w:r>
        <w:t>14</w:t>
      </w:r>
      <w:r w:rsidRPr="00AC72F6">
        <w:t xml:space="preserve"> mld. Kč na rok 202</w:t>
      </w:r>
      <w:r>
        <w:t>2</w:t>
      </w:r>
      <w:r w:rsidRPr="00AC72F6">
        <w:t>. V důsledku ekon</w:t>
      </w:r>
      <w:r w:rsidRPr="00AC72F6">
        <w:t>o</w:t>
      </w:r>
      <w:r w:rsidRPr="00AC72F6">
        <w:t>mického vývoje a uvedených diskrečních opatření by peněžit</w:t>
      </w:r>
      <w:r>
        <w:t>é</w:t>
      </w:r>
      <w:r w:rsidRPr="00AC72F6">
        <w:t xml:space="preserve"> sociální dávk</w:t>
      </w:r>
      <w:r>
        <w:t>y</w:t>
      </w:r>
      <w:r w:rsidRPr="00AC72F6">
        <w:t xml:space="preserve"> měl</w:t>
      </w:r>
      <w:r>
        <w:t>y</w:t>
      </w:r>
      <w:r w:rsidRPr="00AC72F6">
        <w:t xml:space="preserve"> </w:t>
      </w:r>
      <w:r>
        <w:t xml:space="preserve">vzrůst </w:t>
      </w:r>
      <w:r w:rsidRPr="00AC72F6">
        <w:t xml:space="preserve">o </w:t>
      </w:r>
      <w:r>
        <w:t>5,5</w:t>
      </w:r>
      <w:r w:rsidRPr="00AC72F6">
        <w:t xml:space="preserve"> %.</w:t>
      </w:r>
    </w:p>
    <w:p w:rsidR="00E8195E" w:rsidRPr="00AC72F6" w:rsidRDefault="00E8195E" w:rsidP="00E8195E">
      <w:pPr>
        <w:pStyle w:val="SRTextnomal"/>
      </w:pPr>
      <w:r w:rsidRPr="00AC72F6">
        <w:t xml:space="preserve">U výdajů na </w:t>
      </w:r>
      <w:r w:rsidRPr="005029E2">
        <w:rPr>
          <w:b/>
        </w:rPr>
        <w:t>investice</w:t>
      </w:r>
      <w:r w:rsidRPr="00AC72F6">
        <w:t xml:space="preserve"> do fixních aktiv očekáváme </w:t>
      </w:r>
      <w:r>
        <w:t>nav</w:t>
      </w:r>
      <w:r>
        <w:t>ý</w:t>
      </w:r>
      <w:r>
        <w:t>šení</w:t>
      </w:r>
      <w:r w:rsidRPr="00AC72F6">
        <w:t xml:space="preserve"> o zhruba </w:t>
      </w:r>
      <w:r>
        <w:t>8 </w:t>
      </w:r>
      <w:r w:rsidRPr="00AC72F6">
        <w:t>%</w:t>
      </w:r>
      <w:r>
        <w:t xml:space="preserve"> s výrazným přispěním investic spoluf</w:t>
      </w:r>
      <w:r>
        <w:t>i</w:t>
      </w:r>
      <w:r>
        <w:t>nancovaných z EU</w:t>
      </w:r>
      <w:r w:rsidRPr="00AC72F6">
        <w:t xml:space="preserve">. </w:t>
      </w:r>
      <w:r>
        <w:t>T</w:t>
      </w:r>
      <w:r w:rsidRPr="00AC72F6">
        <w:t>ím by investice vl</w:t>
      </w:r>
      <w:r>
        <w:t>ádních institucí vzrostly na 5,2 </w:t>
      </w:r>
      <w:r w:rsidRPr="00AC72F6">
        <w:t>% HDP.</w:t>
      </w:r>
      <w:r>
        <w:t xml:space="preserve"> </w:t>
      </w:r>
      <w:r w:rsidRPr="00AC72F6">
        <w:t>Kromě standardních fondů EU</w:t>
      </w:r>
      <w:r>
        <w:t xml:space="preserve"> včetně navýšení alokací (REACT-EU)</w:t>
      </w:r>
      <w:r w:rsidRPr="00AC72F6">
        <w:t xml:space="preserve"> </w:t>
      </w:r>
      <w:r>
        <w:t>počítáme rovněž s plným zapojením</w:t>
      </w:r>
      <w:r w:rsidRPr="00AC72F6">
        <w:t xml:space="preserve"> dalších nástrojů na podporu oživen</w:t>
      </w:r>
      <w:r>
        <w:t>í evropských ekonomik (</w:t>
      </w:r>
      <w:r w:rsidRPr="00AC72F6">
        <w:t>EU</w:t>
      </w:r>
      <w:r>
        <w:t xml:space="preserve"> příští generace</w:t>
      </w:r>
      <w:r w:rsidRPr="00AC72F6">
        <w:t xml:space="preserve">). </w:t>
      </w:r>
    </w:p>
    <w:p w:rsidR="00E8195E" w:rsidRDefault="00E8195E" w:rsidP="00E8195E">
      <w:pPr>
        <w:pStyle w:val="SRTextnomal"/>
      </w:pPr>
      <w:r>
        <w:t xml:space="preserve">Přestože očekáváme, že </w:t>
      </w:r>
      <w:r w:rsidRPr="005029E2">
        <w:rPr>
          <w:b/>
        </w:rPr>
        <w:t>úrokové výdaje</w:t>
      </w:r>
      <w:r w:rsidRPr="00AC72F6">
        <w:t xml:space="preserve"> </w:t>
      </w:r>
      <w:r>
        <w:t>budou</w:t>
      </w:r>
      <w:r w:rsidRPr="00AC72F6">
        <w:t xml:space="preserve"> vlivem predikované</w:t>
      </w:r>
      <w:r>
        <w:t xml:space="preserve">ho deficitu </w:t>
      </w:r>
      <w:r w:rsidRPr="00AC72F6">
        <w:t>hospodaření sektoru vládních i</w:t>
      </w:r>
      <w:r w:rsidRPr="00AC72F6">
        <w:t>n</w:t>
      </w:r>
      <w:r w:rsidRPr="00AC72F6">
        <w:t>stitucí a vývoje úrokových měr růst</w:t>
      </w:r>
      <w:r>
        <w:t xml:space="preserve"> v absolutním vyjá</w:t>
      </w:r>
      <w:r>
        <w:t>d</w:t>
      </w:r>
      <w:r>
        <w:t>ření, v</w:t>
      </w:r>
      <w:r w:rsidRPr="00AC72F6">
        <w:t xml:space="preserve"> poměrovém vyjádření </w:t>
      </w:r>
      <w:r>
        <w:t xml:space="preserve">k HDP </w:t>
      </w:r>
      <w:r w:rsidRPr="00AC72F6">
        <w:t>by měly setrvat na 0,8</w:t>
      </w:r>
      <w:r>
        <w:t> </w:t>
      </w:r>
      <w:r w:rsidRPr="00AC72F6">
        <w:t>% HDP.</w:t>
      </w:r>
      <w:r>
        <w:t xml:space="preserve"> </w:t>
      </w:r>
      <w:r w:rsidRPr="005029E2">
        <w:rPr>
          <w:b/>
        </w:rPr>
        <w:t>Zadlužení</w:t>
      </w:r>
      <w:r>
        <w:t xml:space="preserve"> </w:t>
      </w:r>
      <w:r w:rsidRPr="00AC72F6">
        <w:t>vládních institucí by měl</w:t>
      </w:r>
      <w:r>
        <w:t>o</w:t>
      </w:r>
      <w:r w:rsidRPr="00AC72F6">
        <w:t xml:space="preserve"> v roce 202</w:t>
      </w:r>
      <w:r>
        <w:t>2</w:t>
      </w:r>
      <w:r w:rsidRPr="00AC72F6">
        <w:t xml:space="preserve"> vzrůst o</w:t>
      </w:r>
      <w:r>
        <w:t> 2,7</w:t>
      </w:r>
      <w:r w:rsidRPr="00AC72F6">
        <w:t xml:space="preserve"> p. b. na hodnotu 4</w:t>
      </w:r>
      <w:r>
        <w:t>6</w:t>
      </w:r>
      <w:r w:rsidRPr="00AC72F6">
        <w:t>,</w:t>
      </w:r>
      <w:r>
        <w:t>3</w:t>
      </w:r>
      <w:r w:rsidRPr="00AC72F6">
        <w:t xml:space="preserve"> % HDP.</w:t>
      </w:r>
    </w:p>
    <w:p w:rsidR="00E8195E" w:rsidRDefault="00E8195E" w:rsidP="00E8195E">
      <w:pPr>
        <w:sectPr w:rsidR="00E8195E" w:rsidSect="00E8195E">
          <w:type w:val="continuous"/>
          <w:pgSz w:w="11906" w:h="16838" w:code="9"/>
          <w:pgMar w:top="1134" w:right="1134" w:bottom="1418" w:left="1134" w:header="709" w:footer="709" w:gutter="0"/>
          <w:cols w:num="2" w:space="397"/>
          <w:docGrid w:linePitch="360"/>
        </w:sectPr>
      </w:pPr>
    </w:p>
    <w:p w:rsidR="00E8195E" w:rsidRDefault="00E8195E" w:rsidP="005A27EF">
      <w:pPr>
        <w:pStyle w:val="SRNadpis2"/>
      </w:pPr>
      <w:bookmarkStart w:id="57" w:name="_Toc81234000"/>
      <w:bookmarkStart w:id="58" w:name="_Toc83882819"/>
      <w:r>
        <w:lastRenderedPageBreak/>
        <w:t>Výhled hospodaření sektoru vládních institucí v letech 2023 a 2024</w:t>
      </w:r>
      <w:bookmarkEnd w:id="57"/>
      <w:bookmarkEnd w:id="58"/>
    </w:p>
    <w:p w:rsidR="00E8195E" w:rsidRPr="00404C4A" w:rsidRDefault="00E8195E" w:rsidP="00E8195E">
      <w:pPr>
        <w:sectPr w:rsidR="00E8195E" w:rsidRPr="00404C4A" w:rsidSect="00E8195E">
          <w:type w:val="continuous"/>
          <w:pgSz w:w="11906" w:h="16838" w:code="9"/>
          <w:pgMar w:top="1134" w:right="1134" w:bottom="1418" w:left="1134" w:header="709" w:footer="709" w:gutter="0"/>
          <w:cols w:space="397"/>
          <w:docGrid w:linePitch="360"/>
        </w:sectPr>
      </w:pPr>
    </w:p>
    <w:p w:rsidR="00E8195E" w:rsidRDefault="00E8195E" w:rsidP="00F21516">
      <w:pPr>
        <w:pStyle w:val="SRTextnomal"/>
      </w:pPr>
      <w:r>
        <w:lastRenderedPageBreak/>
        <w:t xml:space="preserve">V dalších letech by se měl deficit sektoru </w:t>
      </w:r>
      <w:r w:rsidRPr="00F21516">
        <w:t>vládních</w:t>
      </w:r>
      <w:r>
        <w:t xml:space="preserve"> inst</w:t>
      </w:r>
      <w:r>
        <w:t>i</w:t>
      </w:r>
      <w:r>
        <w:t>tucí stále snižovat. Na konci výhledu jej očekáváme ve výši 4,1 % HDP.</w:t>
      </w:r>
    </w:p>
    <w:p w:rsidR="00E8195E" w:rsidRDefault="00E8195E" w:rsidP="00E8195E">
      <w:pPr>
        <w:pStyle w:val="SRTextnomal"/>
      </w:pPr>
      <w:r>
        <w:t xml:space="preserve">Na stranu </w:t>
      </w:r>
      <w:r w:rsidRPr="005029E2">
        <w:rPr>
          <w:b/>
        </w:rPr>
        <w:t>příjmů</w:t>
      </w:r>
      <w:r>
        <w:t xml:space="preserve"> veřejných rozpočtů bude působit v prvé řadě predikovaný růst spotřeby domácností, čá</w:t>
      </w:r>
      <w:r>
        <w:t>s</w:t>
      </w:r>
      <w:r>
        <w:t>tečně vládních institucí či některých investičních výdajů, dále pak růst objemu mezd a platů v ekonomice. Vlivem těchto faktorů by celkové daňové příjmy včetně příspě</w:t>
      </w:r>
      <w:r>
        <w:t>v</w:t>
      </w:r>
      <w:r>
        <w:t>ků na sociální zabezpečení měly růst v průměru tempem 3,9 %.</w:t>
      </w:r>
    </w:p>
    <w:p w:rsidR="00E8195E" w:rsidRDefault="00E8195E" w:rsidP="00F21516">
      <w:pPr>
        <w:pStyle w:val="SRTextnomal"/>
      </w:pPr>
      <w:r>
        <w:t xml:space="preserve">Na straně </w:t>
      </w:r>
      <w:r w:rsidRPr="005029E2">
        <w:rPr>
          <w:b/>
        </w:rPr>
        <w:t>výdajů</w:t>
      </w:r>
      <w:r>
        <w:t xml:space="preserve"> bude na dynamiku peněžitých sociá</w:t>
      </w:r>
      <w:r>
        <w:t>l</w:t>
      </w:r>
      <w:r>
        <w:t>ních dávek působit zákonná valorizace důchodů na z</w:t>
      </w:r>
      <w:r>
        <w:t>á</w:t>
      </w:r>
      <w:r>
        <w:t>kladě predikované míry inflace a vývoje reálných mezd. V roce 2023 navíc počítáme s dopadem téměř 20 mld. Kč v důsledku schváleného příspěvku 500 Kč za každé v</w:t>
      </w:r>
      <w:r>
        <w:t>y</w:t>
      </w:r>
      <w:r>
        <w:t>chované dítě. U náhrad zaměstnancům v sektoru vlá</w:t>
      </w:r>
      <w:r>
        <w:t>d</w:t>
      </w:r>
      <w:r>
        <w:t>ních institucí očekáváme nárůst průměrných platů (nejvýše) na úrovni predikované inflace. Mezispotřeba by měla růst tempem kolem hodnoty 2,5 %, naturální sociální transfery v průměru téměř o stejné procento, což je dané mnohem mírnější dynamikou příjmové str</w:t>
      </w:r>
      <w:r>
        <w:t>a</w:t>
      </w:r>
      <w:r>
        <w:t>ny zdravotního systému determinující plánované výdaje v této oblasti. Investiční výdaje by měly zrychlovat k úrovni 5,4 % HDP, což je dáno nákupy armádní techn</w:t>
      </w:r>
      <w:r>
        <w:t>i</w:t>
      </w:r>
      <w:r>
        <w:t xml:space="preserve">ky klasifikované zejména do roku 2023, ale především </w:t>
      </w:r>
      <w:r>
        <w:lastRenderedPageBreak/>
        <w:t>posledním rokem pro využití alokace z programového období 2014</w:t>
      </w:r>
      <w:r>
        <w:rPr>
          <w:rFonts w:cs="Calibri"/>
        </w:rPr>
        <w:t>–</w:t>
      </w:r>
      <w:r>
        <w:t>2020. Ze stejného důvodu očekáváme v roce 2024 naopak meziroční pokles, podobně jako t</w:t>
      </w:r>
      <w:r>
        <w:t>o</w:t>
      </w:r>
      <w:r>
        <w:t xml:space="preserve">mu bylo v roce 2016. Investice budou ovlivněny i dalšími evropskými nástroji </w:t>
      </w:r>
      <w:r w:rsidRPr="008B18D4">
        <w:t>na podporu oživení evropských ek</w:t>
      </w:r>
      <w:r w:rsidRPr="008B18D4">
        <w:t>o</w:t>
      </w:r>
      <w:r w:rsidRPr="008B18D4">
        <w:t>nomik</w:t>
      </w:r>
      <w:r>
        <w:t>. Úrokové výdaje predikujeme, že se v poměru na HDP udrží na hodnotě 0,8 % na konci horizontu výhledu.</w:t>
      </w:r>
    </w:p>
    <w:p w:rsidR="00E8195E" w:rsidRDefault="00E8195E" w:rsidP="00F21516">
      <w:pPr>
        <w:pStyle w:val="SRTextnomal"/>
      </w:pPr>
      <w:r>
        <w:t xml:space="preserve">Hospodaření sektoru vládních institucí by se rovněž dále mělo odrazit ve vývoji jeho </w:t>
      </w:r>
      <w:r w:rsidRPr="005029E2">
        <w:rPr>
          <w:b/>
        </w:rPr>
        <w:t>zadlužení</w:t>
      </w:r>
      <w:r>
        <w:t>. Dluh v poměru k HDP by se měl z hodnoty 46,3 % v roce 2022 zvýšit na 51,8 % v roce 2024.</w:t>
      </w:r>
    </w:p>
    <w:p w:rsidR="00E8195E" w:rsidRDefault="00E8195E" w:rsidP="00E8195E">
      <w:pPr>
        <w:pStyle w:val="SRTextnomal"/>
      </w:pPr>
      <w:r w:rsidRPr="005029E2">
        <w:rPr>
          <w:b/>
        </w:rPr>
        <w:t>Strukturální saldo</w:t>
      </w:r>
      <w:r>
        <w:t xml:space="preserve"> by se mělo meziročně zlepšovat (aspoň) o zákonem stanovených 0,5 p. b. a klesnout m</w:t>
      </w:r>
      <w:r>
        <w:t>i</w:t>
      </w:r>
      <w:r>
        <w:t xml:space="preserve">nimálně na </w:t>
      </w:r>
      <w:r>
        <w:rPr>
          <w:rFonts w:cs="Calibri"/>
        </w:rPr>
        <w:t>−</w:t>
      </w:r>
      <w:r>
        <w:t>4,6 % HDP v roce 2024.</w:t>
      </w:r>
    </w:p>
    <w:p w:rsidR="004816F0" w:rsidRDefault="004816F0" w:rsidP="00266BFB">
      <w:pPr>
        <w:pStyle w:val="SRtitulek1"/>
      </w:pPr>
      <w:bookmarkStart w:id="59" w:name="_Toc83882911"/>
      <w:r>
        <w:lastRenderedPageBreak/>
        <w:t xml:space="preserve">Graf </w:t>
      </w:r>
      <w:r w:rsidR="00D51DCA">
        <w:fldChar w:fldCharType="begin"/>
      </w:r>
      <w:r w:rsidR="00D51DCA">
        <w:instrText xml:space="preserve"> SEQ Graf \* ARABIC </w:instrText>
      </w:r>
      <w:r w:rsidR="00D51DCA">
        <w:fldChar w:fldCharType="separate"/>
      </w:r>
      <w:r w:rsidR="00D51DCA">
        <w:rPr>
          <w:noProof/>
        </w:rPr>
        <w:t>10</w:t>
      </w:r>
      <w:r w:rsidR="00D51DCA">
        <w:rPr>
          <w:noProof/>
        </w:rPr>
        <w:fldChar w:fldCharType="end"/>
      </w:r>
      <w:r w:rsidRPr="0006144B">
        <w:t xml:space="preserve">: </w:t>
      </w:r>
      <w:r>
        <w:t>Saldo veřejných financí</w:t>
      </w:r>
      <w:r w:rsidR="0029662A">
        <w:t xml:space="preserve"> </w:t>
      </w:r>
      <w:r w:rsidRPr="0029662A">
        <w:rPr>
          <w:i/>
        </w:rPr>
        <w:t>(saldo sektoru vládních institucí, v % HDP)</w:t>
      </w:r>
      <w:bookmarkEnd w:id="59"/>
    </w:p>
    <w:p w:rsidR="00E8195E" w:rsidRDefault="00E8195E" w:rsidP="00E8195E">
      <w:pPr>
        <w:keepNext/>
        <w:keepLines/>
        <w:spacing w:after="0"/>
      </w:pPr>
      <w:r w:rsidRPr="00580F10">
        <w:rPr>
          <w:noProof/>
        </w:rPr>
        <w:drawing>
          <wp:inline distT="0" distB="0" distL="0" distR="0" wp14:anchorId="497953A5" wp14:editId="4E8AAA39">
            <wp:extent cx="3067050" cy="1776687"/>
            <wp:effectExtent l="0" t="0" r="0" b="0"/>
            <wp:docPr id="41" name="Obráze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091214" cy="1790685"/>
                    </a:xfrm>
                    <a:prstGeom prst="rect">
                      <a:avLst/>
                    </a:prstGeom>
                    <a:noFill/>
                    <a:ln>
                      <a:noFill/>
                    </a:ln>
                  </pic:spPr>
                </pic:pic>
              </a:graphicData>
            </a:graphic>
          </wp:inline>
        </w:drawing>
      </w:r>
    </w:p>
    <w:p w:rsidR="00E8195E" w:rsidRDefault="00E8195E" w:rsidP="00E8195E">
      <w:pPr>
        <w:pStyle w:val="Zdrojpodtabulkounebografem"/>
      </w:pPr>
      <w:r>
        <w:t>Zdroj: ČSÚ. P</w:t>
      </w:r>
      <w:r w:rsidRPr="00287AC6">
        <w:t>redikce MF ČR</w:t>
      </w:r>
      <w:r>
        <w:t>.</w:t>
      </w:r>
    </w:p>
    <w:p w:rsidR="00266BFB" w:rsidRPr="00266BFB" w:rsidRDefault="00266BFB" w:rsidP="00266BFB"/>
    <w:p w:rsidR="00E8195E" w:rsidRDefault="00E8195E" w:rsidP="00E8195E">
      <w:pPr>
        <w:sectPr w:rsidR="00E8195E" w:rsidSect="00E8195E">
          <w:headerReference w:type="even" r:id="rId36"/>
          <w:footerReference w:type="even" r:id="rId37"/>
          <w:type w:val="continuous"/>
          <w:pgSz w:w="11906" w:h="16838" w:code="9"/>
          <w:pgMar w:top="1134" w:right="1134" w:bottom="1418" w:left="1134" w:header="709" w:footer="709" w:gutter="0"/>
          <w:cols w:num="2" w:space="397"/>
          <w:docGrid w:linePitch="360"/>
        </w:sectPr>
      </w:pPr>
    </w:p>
    <w:p w:rsidR="00E8195E" w:rsidRDefault="0018561F" w:rsidP="005A27EF">
      <w:pPr>
        <w:pStyle w:val="SRNadpis1"/>
      </w:pPr>
      <w:bookmarkStart w:id="60" w:name="_Toc83882820"/>
      <w:r>
        <w:lastRenderedPageBreak/>
        <w:t>Citlivostní analýza</w:t>
      </w:r>
      <w:bookmarkEnd w:id="60"/>
    </w:p>
    <w:p w:rsidR="0018561F" w:rsidRDefault="0018561F" w:rsidP="0018561F">
      <w:pPr>
        <w:sectPr w:rsidR="0018561F" w:rsidSect="00E8195E">
          <w:type w:val="continuous"/>
          <w:pgSz w:w="11906" w:h="16838" w:code="9"/>
          <w:pgMar w:top="1134" w:right="1134" w:bottom="1418" w:left="1134" w:header="709" w:footer="709" w:gutter="0"/>
          <w:cols w:space="708"/>
          <w:docGrid w:linePitch="360"/>
        </w:sectPr>
      </w:pPr>
    </w:p>
    <w:p w:rsidR="0018561F" w:rsidRDefault="0018561F" w:rsidP="00F21516">
      <w:pPr>
        <w:pStyle w:val="SRTextnomal"/>
      </w:pPr>
      <w:r w:rsidRPr="008F140B">
        <w:lastRenderedPageBreak/>
        <w:t xml:space="preserve">Makroekonomický rámec </w:t>
      </w:r>
      <w:r>
        <w:t xml:space="preserve">státního </w:t>
      </w:r>
      <w:r w:rsidRPr="00917F3A">
        <w:t>rozpočtu a jeho střednědobého výhledu byl</w:t>
      </w:r>
      <w:r>
        <w:t xml:space="preserve"> podroben třem typům n</w:t>
      </w:r>
      <w:r>
        <w:t>e</w:t>
      </w:r>
      <w:r>
        <w:t xml:space="preserve">gativních šoků, které ukazují citlivost budoucího vývoje české ekonomiky a hospodaření veřejných financí na odlišné předpoklady. </w:t>
      </w:r>
      <w:r w:rsidRPr="00703196">
        <w:t>Analýza citlivosti je kalkulována pomocí dynamického stochastického modelu vše</w:t>
      </w:r>
      <w:r w:rsidRPr="00703196">
        <w:t>o</w:t>
      </w:r>
      <w:r w:rsidRPr="00703196">
        <w:t>becné rovnováhy vytvořeného M</w:t>
      </w:r>
      <w:r>
        <w:t>inisterstvem financí</w:t>
      </w:r>
      <w:r w:rsidRPr="00703196">
        <w:t xml:space="preserve">. </w:t>
      </w:r>
      <w:r w:rsidRPr="0067658D">
        <w:t>První scénář uvažuje dopady na vysoce otevřenou če</w:t>
      </w:r>
      <w:r w:rsidRPr="0067658D">
        <w:t>s</w:t>
      </w:r>
      <w:r w:rsidRPr="0067658D">
        <w:t xml:space="preserve">kou ekonomiku závislou na vnějším prostředí </w:t>
      </w:r>
      <w:r>
        <w:t>pr</w:t>
      </w:r>
      <w:r>
        <w:t>o</w:t>
      </w:r>
      <w:r>
        <w:t xml:space="preserve">střednictvím </w:t>
      </w:r>
      <w:r w:rsidRPr="0067658D">
        <w:t>nižší</w:t>
      </w:r>
      <w:r>
        <w:t>ho</w:t>
      </w:r>
      <w:r w:rsidRPr="0067658D">
        <w:t xml:space="preserve"> ekonomick</w:t>
      </w:r>
      <w:r>
        <w:t>ého</w:t>
      </w:r>
      <w:r w:rsidRPr="0067658D">
        <w:t xml:space="preserve"> růst</w:t>
      </w:r>
      <w:r>
        <w:t>u</w:t>
      </w:r>
      <w:r w:rsidRPr="0067658D">
        <w:t xml:space="preserve"> v EU. Další scénář hodnotí náhlé zvýšení úrokových sazeb</w:t>
      </w:r>
      <w:r>
        <w:t xml:space="preserve"> nad uvažovanou úroveň postupného nárůstu ve scénáři základním</w:t>
      </w:r>
      <w:r w:rsidRPr="0067658D">
        <w:t>. Poslední scénář reaguje na nejistotu o</w:t>
      </w:r>
      <w:r w:rsidRPr="0067658D">
        <w:t>h</w:t>
      </w:r>
      <w:r w:rsidRPr="0067658D">
        <w:t xml:space="preserve">ledně budoucího vývoje </w:t>
      </w:r>
      <w:r>
        <w:t>epidemie COVID</w:t>
      </w:r>
      <w:r w:rsidRPr="0067658D">
        <w:t>-19 a analyz</w:t>
      </w:r>
      <w:r w:rsidRPr="0067658D">
        <w:t>u</w:t>
      </w:r>
      <w:r w:rsidRPr="0067658D">
        <w:t xml:space="preserve">je situaci jejího opětovného </w:t>
      </w:r>
      <w:r>
        <w:t>zhoršení v tuzemsku</w:t>
      </w:r>
      <w:r w:rsidRPr="0067658D">
        <w:t xml:space="preserve">, </w:t>
      </w:r>
      <w:r>
        <w:t xml:space="preserve">při kterém by byla opět omezena </w:t>
      </w:r>
      <w:r w:rsidRPr="0067658D">
        <w:t>ekonomick</w:t>
      </w:r>
      <w:r>
        <w:t>á</w:t>
      </w:r>
      <w:r w:rsidRPr="0067658D">
        <w:t xml:space="preserve"> aktivit</w:t>
      </w:r>
      <w:r>
        <w:t>a</w:t>
      </w:r>
      <w:r w:rsidRPr="0067658D">
        <w:t>. Všechny alternativní scénáře jsou odvozeny od zákla</w:t>
      </w:r>
      <w:r w:rsidRPr="0067658D">
        <w:t>d</w:t>
      </w:r>
      <w:r w:rsidRPr="0067658D">
        <w:t>ního scénáře rozpočtové dokumentace</w:t>
      </w:r>
      <w:r>
        <w:t xml:space="preserve"> a uvažují mat</w:t>
      </w:r>
      <w:r>
        <w:t>e</w:t>
      </w:r>
      <w:r>
        <w:lastRenderedPageBreak/>
        <w:t xml:space="preserve">rializaci negativního šoku </w:t>
      </w:r>
      <w:r w:rsidRPr="0067658D">
        <w:t>vždy v prvním pololetí roku 2022.</w:t>
      </w:r>
      <w:r>
        <w:t xml:space="preserve"> Jde však vždy pouze o ilustraci vlivu šoku na makroekonomické prostředí a na veřejné finance, kdy šok byl arbitrárně definován. </w:t>
      </w:r>
    </w:p>
    <w:p w:rsidR="0018561F" w:rsidRDefault="0018561F" w:rsidP="00F21516">
      <w:pPr>
        <w:pStyle w:val="SRTextnomal"/>
      </w:pPr>
      <w:r>
        <w:t>Provedená citlivostní analýza primárně slouží k hodnocení dopadů na hospodaření a dluh veřejných rozpočtů. Odlišný vývoj daňově účinných makroek</w:t>
      </w:r>
      <w:r>
        <w:t>o</w:t>
      </w:r>
      <w:r>
        <w:t>nomických agregátů by vedl k odlišným výnosům pra</w:t>
      </w:r>
      <w:r>
        <w:t>k</w:t>
      </w:r>
      <w:r>
        <w:t>ticky všech hlavních daňových položek a pojistných. Na straně výdajů by se odlišný vývoj cen a na trhu práce odrazil v objemu sociálních dávek (v případě státního rozpočtu i v rozdílné platbě za státní pojištěnce), pr</w:t>
      </w:r>
      <w:r>
        <w:t>o</w:t>
      </w:r>
      <w:r>
        <w:t xml:space="preserve">gramů podpory u dotačních titulů či kapitálových transferů v případě krizových opatření a výdajů do zdravotnictví. </w:t>
      </w:r>
    </w:p>
    <w:p w:rsidR="0018561F" w:rsidRDefault="0018561F" w:rsidP="0018561F">
      <w:pPr>
        <w:pStyle w:val="Nadpis2"/>
        <w:sectPr w:rsidR="0018561F" w:rsidSect="0018561F">
          <w:type w:val="continuous"/>
          <w:pgSz w:w="11906" w:h="16838" w:code="9"/>
          <w:pgMar w:top="1134" w:right="1134" w:bottom="1418" w:left="1134" w:header="709" w:footer="709" w:gutter="0"/>
          <w:cols w:num="2" w:space="709"/>
          <w:docGrid w:linePitch="360"/>
        </w:sectPr>
      </w:pPr>
      <w:bookmarkStart w:id="61" w:name="_Toc81234002"/>
    </w:p>
    <w:p w:rsidR="0018561F" w:rsidRDefault="0018561F" w:rsidP="005A27EF">
      <w:pPr>
        <w:pStyle w:val="SRNadpis2"/>
      </w:pPr>
      <w:bookmarkStart w:id="62" w:name="_Toc83882821"/>
      <w:r w:rsidRPr="00C64BB8">
        <w:lastRenderedPageBreak/>
        <w:t xml:space="preserve">Pomalejší ekonomický </w:t>
      </w:r>
      <w:r w:rsidRPr="00920FE1">
        <w:t>růst</w:t>
      </w:r>
      <w:r>
        <w:t xml:space="preserve"> v EU v </w:t>
      </w:r>
      <w:r w:rsidRPr="00C64BB8">
        <w:t xml:space="preserve">roce </w:t>
      </w:r>
      <w:r>
        <w:t>2022</w:t>
      </w:r>
      <w:bookmarkEnd w:id="61"/>
      <w:bookmarkEnd w:id="62"/>
    </w:p>
    <w:p w:rsidR="0018561F" w:rsidRDefault="0018561F" w:rsidP="0018561F">
      <w:pPr>
        <w:sectPr w:rsidR="0018561F" w:rsidSect="00CC02F3">
          <w:type w:val="continuous"/>
          <w:pgSz w:w="11906" w:h="16838" w:code="9"/>
          <w:pgMar w:top="1134" w:right="1134" w:bottom="1418" w:left="1134" w:header="709" w:footer="709" w:gutter="0"/>
          <w:cols w:space="397"/>
          <w:docGrid w:linePitch="360"/>
        </w:sectPr>
      </w:pPr>
    </w:p>
    <w:p w:rsidR="0018561F" w:rsidRDefault="0018561F" w:rsidP="00F21516">
      <w:pPr>
        <w:pStyle w:val="SRTextnomal"/>
      </w:pPr>
      <w:r>
        <w:lastRenderedPageBreak/>
        <w:t>Ekonomický vývoj u obchodních partnerů v EU je pro hospodářský růst malé otevřené ekonomiky ČR podsta</w:t>
      </w:r>
      <w:r>
        <w:t>t</w:t>
      </w:r>
      <w:r>
        <w:t>ný. Tento scénář předpokládá pomalejší růst HDP v EU pro rok 2022 o 2,6 p. b., což odpovídá směrodatné o</w:t>
      </w:r>
      <w:r>
        <w:t>d</w:t>
      </w:r>
      <w:r>
        <w:t>chylce v období let 2002–2020.</w:t>
      </w:r>
    </w:p>
    <w:p w:rsidR="0018561F" w:rsidRDefault="0018561F" w:rsidP="00F21516">
      <w:pPr>
        <w:pStyle w:val="SRTextnomal"/>
      </w:pPr>
      <w:r>
        <w:t>Snížení zahraniční poptávky po domácích produktech by se v první fázi projevilo poklesem čistého exportu. N</w:t>
      </w:r>
      <w:r>
        <w:t>á</w:t>
      </w:r>
      <w:r>
        <w:t>sledný tlak na depreciaci měny by ovšem prostředni</w:t>
      </w:r>
      <w:r>
        <w:t>c</w:t>
      </w:r>
      <w:r>
        <w:t>tvím dražších importů negativní efekty na čistý export tlumil. Horší výsledek zahraničního obchodu by se proj</w:t>
      </w:r>
      <w:r>
        <w:t>e</w:t>
      </w:r>
      <w:r>
        <w:t xml:space="preserve">vil ve zpomalení růstu reálného HDP ČR o 0,6 p. b. v roce 2022 oproti základnímu scénáři. Nižší růst zisků firem z titulu slabšího exportu by zpomalil růst investic o 0,6 p. b. Nižší produkce firem by se také negativně promítla do poptávky po práci a následně do redukce míry růstu nominálních mezd. Negativní důchodový efekt v podobě </w:t>
      </w:r>
      <w:r>
        <w:lastRenderedPageBreak/>
        <w:t>relativně nižších mezd a výnosů z kapitálu by zpomalil růst spotřeby domácností o 0,3 p. b.</w:t>
      </w:r>
    </w:p>
    <w:p w:rsidR="0018561F" w:rsidRDefault="0018561F" w:rsidP="00F21516">
      <w:pPr>
        <w:pStyle w:val="SRTextnomal"/>
      </w:pPr>
      <w:r>
        <w:t>Dopady na saldo jsou v prvním roce výhledu negativní ve výši 0,1 p. b., v dalších letech je pak diference zanedb</w:t>
      </w:r>
      <w:r>
        <w:t>a</w:t>
      </w:r>
      <w:r>
        <w:t>telná. Nižší hospodářský výkon má dopad na daňové př</w:t>
      </w:r>
      <w:r>
        <w:t>í</w:t>
      </w:r>
      <w:r>
        <w:t>jmy a pojistné na straně příjmů, na straně výdajů pak vede zejména ke zvýšení výdajů na dávky v nezaměstnanosti. V letech výhledu je mírně pozitivní vliv nižší inflace na zákonnou valorizaci dávek důchod</w:t>
      </w:r>
      <w:r>
        <w:t>o</w:t>
      </w:r>
      <w:r>
        <w:t>vého pojištění. Na úrovni státního rozpočtu by navíc d</w:t>
      </w:r>
      <w:r>
        <w:t>o</w:t>
      </w:r>
      <w:r>
        <w:t>šlo ke zvýšení nároků z titulu platby za státní pojištěnce. Zadlužení by pak vzrostlo v roce 2022 o 0,4 p. b. více než v autonomním scénáři a následně tato diference zůstává konstantní i v letech výhledu. Kromě vyššího deficitu se zde promítá nižší úroveň nominálního HDP v celém hor</w:t>
      </w:r>
      <w:r>
        <w:t>i</w:t>
      </w:r>
      <w:r>
        <w:t>zontu.</w:t>
      </w:r>
    </w:p>
    <w:p w:rsidR="0018561F" w:rsidRDefault="0018561F" w:rsidP="0018561F">
      <w:pPr>
        <w:pStyle w:val="Nadpis2"/>
        <w:sectPr w:rsidR="0018561F" w:rsidSect="00CC02F3">
          <w:type w:val="continuous"/>
          <w:pgSz w:w="11906" w:h="16838" w:code="9"/>
          <w:pgMar w:top="1134" w:right="1134" w:bottom="1418" w:left="1134" w:header="709" w:footer="709" w:gutter="0"/>
          <w:cols w:num="2" w:space="397"/>
          <w:docGrid w:linePitch="360"/>
        </w:sectPr>
      </w:pPr>
    </w:p>
    <w:p w:rsidR="0018561F" w:rsidRDefault="0018561F" w:rsidP="00CC02F3">
      <w:pPr>
        <w:pStyle w:val="SRtitulek1"/>
      </w:pPr>
      <w:bookmarkStart w:id="63" w:name="_Toc83882869"/>
      <w:bookmarkStart w:id="64" w:name="_Toc81234003"/>
      <w:r w:rsidRPr="00B87A57">
        <w:lastRenderedPageBreak/>
        <w:t xml:space="preserve">Tabulka </w:t>
      </w:r>
      <w:r w:rsidR="00D51DCA">
        <w:fldChar w:fldCharType="begin"/>
      </w:r>
      <w:r w:rsidR="00D51DCA">
        <w:instrText xml:space="preserve"> SEQ Tabulka \* ARABIC \s 1 </w:instrText>
      </w:r>
      <w:r w:rsidR="00D51DCA">
        <w:fldChar w:fldCharType="separate"/>
      </w:r>
      <w:r w:rsidR="00D51DCA">
        <w:rPr>
          <w:noProof/>
        </w:rPr>
        <w:t>4</w:t>
      </w:r>
      <w:r w:rsidR="00D51DCA">
        <w:rPr>
          <w:noProof/>
        </w:rPr>
        <w:fldChar w:fldCharType="end"/>
      </w:r>
      <w:r w:rsidRPr="00B87A57">
        <w:t>:</w:t>
      </w:r>
      <w:r w:rsidRPr="00877BE7">
        <w:t xml:space="preserve"> </w:t>
      </w:r>
      <w:r w:rsidRPr="005E3F2C">
        <w:t xml:space="preserve">Scénář I. </w:t>
      </w:r>
      <w:r>
        <w:t>–</w:t>
      </w:r>
      <w:r w:rsidRPr="005E3F2C">
        <w:t xml:space="preserve"> pomalejší růst v EU v roce 2022</w:t>
      </w:r>
      <w:bookmarkEnd w:id="63"/>
    </w:p>
    <w:p w:rsidR="0018561F" w:rsidRPr="00AC5736" w:rsidRDefault="0018561F" w:rsidP="0018561F">
      <w:pPr>
        <w:spacing w:after="0"/>
      </w:pPr>
      <w:r w:rsidRPr="009A7B1A">
        <w:rPr>
          <w:noProof/>
        </w:rPr>
        <w:drawing>
          <wp:inline distT="0" distB="0" distL="0" distR="0" wp14:anchorId="38B118E9" wp14:editId="7D157211">
            <wp:extent cx="6120130" cy="2420251"/>
            <wp:effectExtent l="0" t="0" r="0" b="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120130" cy="2420251"/>
                    </a:xfrm>
                    <a:prstGeom prst="rect">
                      <a:avLst/>
                    </a:prstGeom>
                    <a:noFill/>
                    <a:ln>
                      <a:noFill/>
                    </a:ln>
                  </pic:spPr>
                </pic:pic>
              </a:graphicData>
            </a:graphic>
          </wp:inline>
        </w:drawing>
      </w:r>
    </w:p>
    <w:p w:rsidR="0018561F" w:rsidRDefault="0018561F" w:rsidP="0018561F">
      <w:r w:rsidRPr="00982A28">
        <w:rPr>
          <w:i/>
          <w:sz w:val="16"/>
          <w:szCs w:val="16"/>
        </w:rPr>
        <w:t xml:space="preserve">Zdroj: ČSÚ. </w:t>
      </w:r>
      <w:r>
        <w:rPr>
          <w:i/>
          <w:sz w:val="16"/>
          <w:szCs w:val="16"/>
        </w:rPr>
        <w:t>P</w:t>
      </w:r>
      <w:r w:rsidRPr="00982A28">
        <w:rPr>
          <w:i/>
          <w:sz w:val="16"/>
          <w:szCs w:val="16"/>
        </w:rPr>
        <w:t xml:space="preserve">redikce </w:t>
      </w:r>
      <w:r>
        <w:rPr>
          <w:i/>
          <w:sz w:val="16"/>
          <w:szCs w:val="16"/>
        </w:rPr>
        <w:t xml:space="preserve">a simulace </w:t>
      </w:r>
      <w:r w:rsidRPr="00982A28">
        <w:rPr>
          <w:i/>
          <w:sz w:val="16"/>
          <w:szCs w:val="16"/>
        </w:rPr>
        <w:t>MF ČR</w:t>
      </w:r>
      <w:r>
        <w:rPr>
          <w:i/>
          <w:sz w:val="16"/>
          <w:szCs w:val="16"/>
        </w:rPr>
        <w:t>.</w:t>
      </w:r>
    </w:p>
    <w:p w:rsidR="0018561F" w:rsidRDefault="0018561F" w:rsidP="005A27EF">
      <w:pPr>
        <w:pStyle w:val="SRNadpis2"/>
      </w:pPr>
      <w:bookmarkStart w:id="65" w:name="_Toc83882822"/>
      <w:r>
        <w:t>Nárůst domácí úrokové míry</w:t>
      </w:r>
      <w:bookmarkEnd w:id="64"/>
      <w:bookmarkEnd w:id="65"/>
    </w:p>
    <w:p w:rsidR="0018561F" w:rsidRDefault="0018561F" w:rsidP="0018561F">
      <w:pPr>
        <w:sectPr w:rsidR="0018561F" w:rsidSect="00CC02F3">
          <w:type w:val="continuous"/>
          <w:pgSz w:w="11906" w:h="16838" w:code="9"/>
          <w:pgMar w:top="1134" w:right="1134" w:bottom="1418" w:left="1134" w:header="709" w:footer="709" w:gutter="0"/>
          <w:cols w:space="397"/>
          <w:docGrid w:linePitch="360"/>
        </w:sectPr>
      </w:pPr>
    </w:p>
    <w:p w:rsidR="0018561F" w:rsidRDefault="0018561F" w:rsidP="0018561F">
      <w:pPr>
        <w:pStyle w:val="SRTextnomal"/>
      </w:pPr>
      <w:r>
        <w:lastRenderedPageBreak/>
        <w:t>Dynamický model v tomto scénáři simuluje dodatečné zpřísnění monetární politiky pro rok 2022 o 1,1 p. b. nad rámec daný základním scénářem. Tato hodnota odpov</w:t>
      </w:r>
      <w:r>
        <w:t>í</w:t>
      </w:r>
      <w:r>
        <w:t>dá směrodatné odchylce vývoje krátkodobé úrokové m</w:t>
      </w:r>
      <w:r>
        <w:t>í</w:t>
      </w:r>
      <w:r>
        <w:t>ry v období od roku 2002 do roku 2020.</w:t>
      </w:r>
    </w:p>
    <w:p w:rsidR="0018561F" w:rsidRDefault="0018561F" w:rsidP="0018561F">
      <w:pPr>
        <w:pStyle w:val="SRTextnomal"/>
      </w:pPr>
      <w:r>
        <w:t>Restriktivnější měnová politika by měla negativní efekt na ekonomický vývoj. Tlak na zhodnocení české měny by vedl ke zdražení vývozů, zatímco importované zboží by se stalo relativně levnějším. Mírné zpomalení exportu o 0,3 p. b. by vzhledem k vysoké dovozní náročnosti v</w:t>
      </w:r>
      <w:r>
        <w:t>ý</w:t>
      </w:r>
      <w:r>
        <w:t>vozu vytvářelo tlak na pokles importu. Podobně by p</w:t>
      </w:r>
      <w:r>
        <w:t>ů</w:t>
      </w:r>
      <w:r>
        <w:t>sobily nižší důchod a pokles zisku ekonomických subjektů. Výsledkem by bylo mírné snížení dynamiky importu oproti základnímu scénáři.</w:t>
      </w:r>
    </w:p>
    <w:p w:rsidR="0018561F" w:rsidRDefault="0018561F" w:rsidP="0018561F">
      <w:pPr>
        <w:pStyle w:val="SRTextnomal"/>
      </w:pPr>
      <w:r>
        <w:t>Další negativní vliv na spotřebu představují nižší příjmy domácností z titulu pomalejšího růstu mezd. Vyšší úr</w:t>
      </w:r>
      <w:r>
        <w:t>o</w:t>
      </w:r>
      <w:r>
        <w:t>ková míra by navíc domácnosti motivovala spořit, a o</w:t>
      </w:r>
      <w:r>
        <w:t>d</w:t>
      </w:r>
      <w:r>
        <w:t>kládat tedy spotřebu do budoucna. Restriktivní měnová politika by tak ve výsledku vedla ke zpomalení růstu sp</w:t>
      </w:r>
      <w:r>
        <w:t>o</w:t>
      </w:r>
      <w:r>
        <w:t>třeby domácností o 0,2 p. b.</w:t>
      </w:r>
    </w:p>
    <w:p w:rsidR="0018561F" w:rsidRDefault="0018561F" w:rsidP="0018561F">
      <w:pPr>
        <w:pStyle w:val="SRTextnomal"/>
      </w:pPr>
      <w:r>
        <w:lastRenderedPageBreak/>
        <w:t>Ziskovost firem by se v důsledku poklesu zahraniční i domácí poptávky</w:t>
      </w:r>
      <w:r w:rsidRPr="007F0FAB">
        <w:t xml:space="preserve"> </w:t>
      </w:r>
      <w:r>
        <w:t>snížila. Firmy by na pokles zisků a zdr</w:t>
      </w:r>
      <w:r>
        <w:t>a</w:t>
      </w:r>
      <w:r>
        <w:t>žení úvěrů reagovaly snížením růstu investic o 0,2 p. b. Zpomalení agregátní poptávky by dále vedlo ke zvýšení míry nezaměstnanosti oproti základnímu scénáři o 0,3 p. b., a také k nižší dynamice mezd.</w:t>
      </w:r>
    </w:p>
    <w:p w:rsidR="0018561F" w:rsidRDefault="0018561F" w:rsidP="0018561F">
      <w:pPr>
        <w:pStyle w:val="SRTextnomal"/>
      </w:pPr>
      <w:r>
        <w:t>Vzhledem k negativnímu dopadu vyšší úrokové míry na investice, spotřebu a export by výsledný dopad do růstu HDP byl taktéž negativní, a to v rozsahu 0,3 p. b. Zpom</w:t>
      </w:r>
      <w:r>
        <w:t>a</w:t>
      </w:r>
      <w:r>
        <w:t>lení hospodářského růstu by vedlo ke snížení míry infl</w:t>
      </w:r>
      <w:r>
        <w:t>a</w:t>
      </w:r>
      <w:r>
        <w:t>ce o 0,6 p. b.</w:t>
      </w:r>
    </w:p>
    <w:p w:rsidR="0018561F" w:rsidRDefault="0018561F" w:rsidP="0018561F">
      <w:pPr>
        <w:pStyle w:val="SRTextnomal"/>
      </w:pPr>
      <w:r>
        <w:t>Dopady na veřejné finance jsou u tohoto scénáře rel</w:t>
      </w:r>
      <w:r>
        <w:t>a</w:t>
      </w:r>
      <w:r>
        <w:t>tivně zanedbatelné. Efekty na příjmy a výdaje se vz</w:t>
      </w:r>
      <w:r>
        <w:t>á</w:t>
      </w:r>
      <w:r>
        <w:t>jemně téměř kompenzují, nejvýznamnější položky výdajů, tedy sociální výdaje, „těží“ z nižší dynamiky infl</w:t>
      </w:r>
      <w:r>
        <w:t>a</w:t>
      </w:r>
      <w:r>
        <w:t>ce a reálných mezd. Na úrovni státního rozpočtu odh</w:t>
      </w:r>
      <w:r>
        <w:t>a</w:t>
      </w:r>
      <w:r>
        <w:t>duj</w:t>
      </w:r>
      <w:r>
        <w:t>e</w:t>
      </w:r>
      <w:r>
        <w:t>me dopad v řádu nižších jednotek miliard Kč. Ve výsle</w:t>
      </w:r>
      <w:r>
        <w:t>d</w:t>
      </w:r>
      <w:r>
        <w:t>ku se míra zadlužení sektoru vládních institucí na konci horizontu výhledu liší od základního scénáře pouze o 0,2 p. b.</w:t>
      </w:r>
    </w:p>
    <w:p w:rsidR="0018561F" w:rsidRDefault="0018561F" w:rsidP="0018561F">
      <w:pPr>
        <w:pStyle w:val="Nadpis2"/>
        <w:sectPr w:rsidR="0018561F" w:rsidSect="00CC02F3">
          <w:type w:val="continuous"/>
          <w:pgSz w:w="11906" w:h="16838" w:code="9"/>
          <w:pgMar w:top="1134" w:right="1134" w:bottom="1418" w:left="1134" w:header="709" w:footer="709" w:gutter="0"/>
          <w:cols w:num="2" w:space="397"/>
          <w:docGrid w:linePitch="360"/>
        </w:sectPr>
      </w:pPr>
    </w:p>
    <w:p w:rsidR="0018561F" w:rsidRDefault="0018561F" w:rsidP="00CC02F3">
      <w:pPr>
        <w:pStyle w:val="SRtitulek1"/>
      </w:pPr>
      <w:bookmarkStart w:id="66" w:name="_Toc83882870"/>
      <w:bookmarkStart w:id="67" w:name="_Toc81234004"/>
      <w:r w:rsidRPr="00B87A57">
        <w:lastRenderedPageBreak/>
        <w:t xml:space="preserve">Tabulka </w:t>
      </w:r>
      <w:r w:rsidR="00D51DCA">
        <w:fldChar w:fldCharType="begin"/>
      </w:r>
      <w:r w:rsidR="00D51DCA">
        <w:instrText xml:space="preserve"> SEQ </w:instrText>
      </w:r>
      <w:r w:rsidR="00D51DCA">
        <w:instrText xml:space="preserve">Tabulka \* ARABIC \s 1 </w:instrText>
      </w:r>
      <w:r w:rsidR="00D51DCA">
        <w:fldChar w:fldCharType="separate"/>
      </w:r>
      <w:r w:rsidR="00D51DCA">
        <w:rPr>
          <w:noProof/>
        </w:rPr>
        <w:t>5</w:t>
      </w:r>
      <w:r w:rsidR="00D51DCA">
        <w:rPr>
          <w:noProof/>
        </w:rPr>
        <w:fldChar w:fldCharType="end"/>
      </w:r>
      <w:r w:rsidRPr="00B87A57">
        <w:t>:</w:t>
      </w:r>
      <w:r w:rsidRPr="00877BE7">
        <w:t xml:space="preserve"> </w:t>
      </w:r>
      <w:r w:rsidRPr="005E3F2C">
        <w:t>Scénář I</w:t>
      </w:r>
      <w:r>
        <w:t>I</w:t>
      </w:r>
      <w:r w:rsidRPr="005E3F2C">
        <w:t xml:space="preserve">. </w:t>
      </w:r>
      <w:r>
        <w:t>–</w:t>
      </w:r>
      <w:r w:rsidRPr="005E3F2C">
        <w:t xml:space="preserve"> </w:t>
      </w:r>
      <w:r>
        <w:t>vyšší úrokové sazby</w:t>
      </w:r>
      <w:bookmarkEnd w:id="66"/>
    </w:p>
    <w:p w:rsidR="0018561F" w:rsidRPr="00AC5736" w:rsidRDefault="0018561F" w:rsidP="0018561F">
      <w:pPr>
        <w:spacing w:after="0"/>
      </w:pPr>
      <w:r w:rsidRPr="009A7B1A">
        <w:rPr>
          <w:noProof/>
        </w:rPr>
        <w:drawing>
          <wp:inline distT="0" distB="0" distL="0" distR="0" wp14:anchorId="3AC5E4B2" wp14:editId="54E35781">
            <wp:extent cx="6120130" cy="2420251"/>
            <wp:effectExtent l="0" t="0" r="0" b="0"/>
            <wp:docPr id="42" name="Obráze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120130" cy="2420251"/>
                    </a:xfrm>
                    <a:prstGeom prst="rect">
                      <a:avLst/>
                    </a:prstGeom>
                    <a:noFill/>
                    <a:ln>
                      <a:noFill/>
                    </a:ln>
                  </pic:spPr>
                </pic:pic>
              </a:graphicData>
            </a:graphic>
          </wp:inline>
        </w:drawing>
      </w:r>
    </w:p>
    <w:p w:rsidR="0018561F" w:rsidRDefault="0018561F" w:rsidP="0018561F">
      <w:r w:rsidRPr="00982A28">
        <w:rPr>
          <w:i/>
          <w:sz w:val="16"/>
          <w:szCs w:val="16"/>
        </w:rPr>
        <w:t xml:space="preserve">Zdroj: ČSÚ. </w:t>
      </w:r>
      <w:r>
        <w:rPr>
          <w:i/>
          <w:sz w:val="16"/>
          <w:szCs w:val="16"/>
        </w:rPr>
        <w:t>P</w:t>
      </w:r>
      <w:r w:rsidRPr="00982A28">
        <w:rPr>
          <w:i/>
          <w:sz w:val="16"/>
          <w:szCs w:val="16"/>
        </w:rPr>
        <w:t xml:space="preserve">redikce </w:t>
      </w:r>
      <w:r>
        <w:rPr>
          <w:i/>
          <w:sz w:val="16"/>
          <w:szCs w:val="16"/>
        </w:rPr>
        <w:t xml:space="preserve">a simulace </w:t>
      </w:r>
      <w:r w:rsidRPr="00982A28">
        <w:rPr>
          <w:i/>
          <w:sz w:val="16"/>
          <w:szCs w:val="16"/>
        </w:rPr>
        <w:t>MF ČR</w:t>
      </w:r>
      <w:r>
        <w:rPr>
          <w:i/>
          <w:sz w:val="16"/>
          <w:szCs w:val="16"/>
        </w:rPr>
        <w:t>.</w:t>
      </w:r>
    </w:p>
    <w:p w:rsidR="0018561F" w:rsidRDefault="0018561F" w:rsidP="005A27EF">
      <w:pPr>
        <w:pStyle w:val="SRNadpis2"/>
      </w:pPr>
      <w:bookmarkStart w:id="68" w:name="_Toc83882823"/>
      <w:r>
        <w:t>Zhoršení epidemické situace v ČR</w:t>
      </w:r>
      <w:bookmarkEnd w:id="67"/>
      <w:bookmarkEnd w:id="68"/>
    </w:p>
    <w:p w:rsidR="0018561F" w:rsidRDefault="0018561F" w:rsidP="0018561F">
      <w:pPr>
        <w:sectPr w:rsidR="0018561F" w:rsidSect="00CC02F3">
          <w:type w:val="continuous"/>
          <w:pgSz w:w="11906" w:h="16838" w:code="9"/>
          <w:pgMar w:top="1134" w:right="1134" w:bottom="1418" w:left="1134" w:header="709" w:footer="709" w:gutter="0"/>
          <w:cols w:space="397"/>
          <w:docGrid w:linePitch="360"/>
        </w:sectPr>
      </w:pPr>
    </w:p>
    <w:p w:rsidR="0018561F" w:rsidRPr="0095530D" w:rsidRDefault="0018561F" w:rsidP="0018561F">
      <w:pPr>
        <w:pStyle w:val="SRTextnomal"/>
      </w:pPr>
      <w:r>
        <w:lastRenderedPageBreak/>
        <w:t>Alternativní scénář uvažuje zhoršení epidemické situace na území ČR v první polovině roku 2022 obdobně, jako tomu bylo na začátku roku 2021. Předpokládáme však, že by zavedená protiepidemická opatření byla s ohledem na větší míru proočkovanosti populace a na snahu co nejvíce zmírnit další negativní ekonomické dopady</w:t>
      </w:r>
      <w:r w:rsidRPr="009C16EF">
        <w:t xml:space="preserve"> </w:t>
      </w:r>
      <w:r>
        <w:t>méně rozsáhlá (předpoklad míry uzavření ekonomiky výrazně ovlivňuje simulované výsledky). Scénář také uvažuje kompenzace podnikatelům a firmám, stejně jako tran</w:t>
      </w:r>
      <w:r>
        <w:t>s</w:t>
      </w:r>
      <w:r>
        <w:t>fery domácnoste</w:t>
      </w:r>
      <w:r w:rsidRPr="0095530D">
        <w:t xml:space="preserve">m. </w:t>
      </w:r>
      <w:r>
        <w:t>V analýze technicky pracujeme s </w:t>
      </w:r>
      <w:r w:rsidRPr="0095530D">
        <w:t>uzav</w:t>
      </w:r>
      <w:r>
        <w:t xml:space="preserve">řením </w:t>
      </w:r>
      <w:r w:rsidRPr="0095530D">
        <w:t xml:space="preserve">provozoven zejména v oblasti služeb a </w:t>
      </w:r>
      <w:r>
        <w:t>s částečným omezením pro</w:t>
      </w:r>
      <w:r w:rsidRPr="0095530D">
        <w:t xml:space="preserve"> výrobní podniky</w:t>
      </w:r>
      <w:r>
        <w:t>,</w:t>
      </w:r>
      <w:r w:rsidRPr="0095530D">
        <w:t xml:space="preserve"> ať už v so</w:t>
      </w:r>
      <w:r w:rsidRPr="0095530D">
        <w:t>u</w:t>
      </w:r>
      <w:r w:rsidRPr="0095530D">
        <w:t>vislosti s dočasně nižším počtem práceschopných z</w:t>
      </w:r>
      <w:r w:rsidRPr="0095530D">
        <w:t>a</w:t>
      </w:r>
      <w:r w:rsidRPr="0095530D">
        <w:t>městnanců, nebo problémy v zajištění dodávek vstupů.</w:t>
      </w:r>
    </w:p>
    <w:p w:rsidR="0018561F" w:rsidRDefault="0018561F" w:rsidP="0018561F">
      <w:pPr>
        <w:pStyle w:val="SRTextnomal"/>
      </w:pPr>
      <w:r>
        <w:t>Výsledky simulace ukazují, že snížení</w:t>
      </w:r>
      <w:r w:rsidRPr="0095530D">
        <w:t xml:space="preserve"> produkce firem a dočasn</w:t>
      </w:r>
      <w:r>
        <w:t>ý</w:t>
      </w:r>
      <w:r w:rsidRPr="0095530D">
        <w:t xml:space="preserve"> nárůstu nákladů</w:t>
      </w:r>
      <w:r>
        <w:t xml:space="preserve"> </w:t>
      </w:r>
      <w:r w:rsidRPr="0095530D">
        <w:t xml:space="preserve">by </w:t>
      </w:r>
      <w:r>
        <w:t xml:space="preserve">oproti základnímu scénáři vedly ke zpomalení </w:t>
      </w:r>
      <w:r w:rsidRPr="0095530D">
        <w:t>růst investic</w:t>
      </w:r>
      <w:r>
        <w:t xml:space="preserve"> </w:t>
      </w:r>
      <w:r w:rsidRPr="0095530D">
        <w:t xml:space="preserve">o </w:t>
      </w:r>
      <w:r>
        <w:t>téměř 6</w:t>
      </w:r>
      <w:r w:rsidRPr="0095530D">
        <w:t xml:space="preserve"> p. b.</w:t>
      </w:r>
    </w:p>
    <w:p w:rsidR="0018561F" w:rsidRDefault="0018561F" w:rsidP="0018561F">
      <w:pPr>
        <w:pStyle w:val="SRTextnomal"/>
      </w:pPr>
      <w:r>
        <w:t>Vlivem omezení nabídky služeb by došlo k poklesu d</w:t>
      </w:r>
      <w:r>
        <w:t>y</w:t>
      </w:r>
      <w:r>
        <w:t>namiky růstu spotřeby domácností o více než 7 p. b. Zvláště v další části roku po rozvolnění by pravděpodo</w:t>
      </w:r>
      <w:r>
        <w:t>b</w:t>
      </w:r>
      <w:r>
        <w:t>ně zrychlil růst cen. I přes vyšší ceny, které by do jisté míry mohly kompenzovat ztráty podniků, by pravděp</w:t>
      </w:r>
      <w:r>
        <w:t>o</w:t>
      </w:r>
      <w:r>
        <w:t>dobně došlo k nárůstu míry nezaměstnanosti o dodate</w:t>
      </w:r>
      <w:r>
        <w:t>č</w:t>
      </w:r>
      <w:r>
        <w:t>ných 1,0 p. b.</w:t>
      </w:r>
    </w:p>
    <w:p w:rsidR="0018561F" w:rsidRDefault="0018561F" w:rsidP="0018561F">
      <w:pPr>
        <w:pStyle w:val="SRTextnomal"/>
      </w:pPr>
      <w:r>
        <w:t>Nižší produkce a posléze také relativně vyšší ceny by m</w:t>
      </w:r>
      <w:r>
        <w:t>ě</w:t>
      </w:r>
      <w:r>
        <w:t>ly dopad do vývozů, které by oproti základnímu scénáři rostly o 2,5 p. b. pomaleji. V důsledku zpomalení vývozní aktivity a také poklesu spotřeby domácností by růst d</w:t>
      </w:r>
      <w:r>
        <w:t>o</w:t>
      </w:r>
      <w:r>
        <w:t>vozu zvolnil o 4,2 p. b.</w:t>
      </w:r>
    </w:p>
    <w:p w:rsidR="0018561F" w:rsidRDefault="0018561F" w:rsidP="0018561F">
      <w:pPr>
        <w:pStyle w:val="SRTextnomal"/>
      </w:pPr>
      <w:r>
        <w:t>V roce 2023 by došlo k meziročnímu oživení ekonomi</w:t>
      </w:r>
      <w:r>
        <w:t>c</w:t>
      </w:r>
      <w:r>
        <w:t xml:space="preserve">kého růstu a reálný HDP by rostl o 1,6 p. b. rychleji než v základním scénáři. K tomu by přispěla nejen odložená spotřeba domácností rychlejším růstem o 3,0 p. b., ale také investice, které by zrychlily o dodatečné 2,4 p. b. </w:t>
      </w:r>
      <w:r>
        <w:lastRenderedPageBreak/>
        <w:t>Z důvodů promítnutí vyšších nákladů firem a zvýšení spotřebitelské poptávky by i v tomto roce došlo k dod</w:t>
      </w:r>
      <w:r>
        <w:t>a</w:t>
      </w:r>
      <w:r>
        <w:t>tečnému nárůstu míry inflace zhruba o 1 p. b. Míra n</w:t>
      </w:r>
      <w:r>
        <w:t>e</w:t>
      </w:r>
      <w:r>
        <w:t>zaměstnanosti by se postupně vrátila na trajektorii danou základním scénářem.</w:t>
      </w:r>
    </w:p>
    <w:p w:rsidR="0018561F" w:rsidRDefault="0018561F" w:rsidP="0018561F">
      <w:pPr>
        <w:pStyle w:val="SRTextnomal"/>
      </w:pPr>
      <w:r>
        <w:t>Scénář implikuje nezanedbatelný přímý i nepřímý dopad na veřejné finance. Pokud by došlo alespoň k částečn</w:t>
      </w:r>
      <w:r>
        <w:t>é</w:t>
      </w:r>
      <w:r>
        <w:t>mu uzavření ekonomiky, promítlo by se to ve všech d</w:t>
      </w:r>
      <w:r>
        <w:t>a</w:t>
      </w:r>
      <w:r>
        <w:t>ňových titulech včetně pojistného. Zhoršení epidemické situace znamená na straně výdajů nárůst v sociálních dávkách spojený s nemocností a ošetřováním osob blí</w:t>
      </w:r>
      <w:r>
        <w:t>z</w:t>
      </w:r>
      <w:r>
        <w:t>kých. Souběžně by rostly naturální sociální transfery jako odraz zvýšených finančních nároků v segmentu zdravo</w:t>
      </w:r>
      <w:r>
        <w:t>t</w:t>
      </w:r>
      <w:r>
        <w:t>ní péče. V oblasti mezispotřeby uvažujeme prakticky n</w:t>
      </w:r>
      <w:r>
        <w:t>u</w:t>
      </w:r>
      <w:r>
        <w:t>lový čistý efekt, jelikož nižší provozní výdaje veřejných institucí by byly kompenzovány nákupy zdravotnického materiálu jako ochranných pomůcek a testů. Vyšší míra nezaměstnanosti oproti základnímu scénáři by vedla k opětovnému nárůstu dávek v nezaměstnanosti. V oblasti dotací a kapitálových transferů vycházíme z „ustálené“ struktury pomoci ekonomice, tedy kompe</w:t>
      </w:r>
      <w:r>
        <w:t>n</w:t>
      </w:r>
      <w:r>
        <w:t>začního bonusu, programů zacílených na trh práce a udržení zaměstnanosti („kurzarbeit“) a programů na kr</w:t>
      </w:r>
      <w:r>
        <w:t>y</w:t>
      </w:r>
      <w:r>
        <w:t>tí ztrát (Covid 21 a Covid nepokryté náklady). Jak je uv</w:t>
      </w:r>
      <w:r>
        <w:t>e</w:t>
      </w:r>
      <w:r>
        <w:t>deno výše, jelikož i vlivem vyšší proočkovanosti scénář uvažuje restrikce menšího rozsahu, adekvátně tomu o</w:t>
      </w:r>
      <w:r>
        <w:t>d</w:t>
      </w:r>
      <w:r>
        <w:t>povídají krácené, oproti výdajům vynaložených v letošním roce, finanční dopady hypotetických vládních opatření. Z hlediska institucionální skladby veřejných f</w:t>
      </w:r>
      <w:r>
        <w:t>i</w:t>
      </w:r>
      <w:r>
        <w:t>nancí by největší dopad nesl státní rozpočet, který by navíc oproti výše uvedenému byl nucen navýšit celkový transfer plateb za státní pojištěnce. Výraznější zhoršení salda by ale zaznamenaly i zdravotní pojišťovny.</w:t>
      </w:r>
    </w:p>
    <w:p w:rsidR="0018561F" w:rsidRDefault="0018561F" w:rsidP="0018561F">
      <w:pPr>
        <w:pStyle w:val="SRTextnomal"/>
      </w:pPr>
      <w:r>
        <w:t>Dopad na saldo by byl nejvyšší v roce 2022, následně by se výrazně snížil s ústupem epidemie a ukončení dopr</w:t>
      </w:r>
      <w:r>
        <w:t>o</w:t>
      </w:r>
      <w:r>
        <w:lastRenderedPageBreak/>
        <w:t xml:space="preserve">vodných opatření na zpomalení jejího šíření. Zhoršení salda sektoru vládních institucí odhadujeme na 1,6 p. b., v dalších letech už by měla být diference výrazně nižší. Výše zadlužení sektoru vládních institucí by vzrostla </w:t>
      </w:r>
      <w:r>
        <w:lastRenderedPageBreak/>
        <w:t>v roce 2022 v relaci k základnímu scénáři o 3 p. b., n</w:t>
      </w:r>
      <w:r>
        <w:t>á</w:t>
      </w:r>
      <w:r>
        <w:t>sledně pak by se diference mírně snížila. Na konci výhl</w:t>
      </w:r>
      <w:r>
        <w:t>e</w:t>
      </w:r>
      <w:r>
        <w:t>du by ale zadlužení stále bylo o více než 2 p. b. vyšší.</w:t>
      </w:r>
    </w:p>
    <w:p w:rsidR="0018561F" w:rsidRPr="00A53081" w:rsidRDefault="0018561F" w:rsidP="0018561F">
      <w:pPr>
        <w:sectPr w:rsidR="0018561F" w:rsidRPr="00A53081" w:rsidSect="00CC02F3">
          <w:type w:val="continuous"/>
          <w:pgSz w:w="11906" w:h="16838" w:code="9"/>
          <w:pgMar w:top="1134" w:right="1134" w:bottom="1418" w:left="1134" w:header="709" w:footer="709" w:gutter="0"/>
          <w:cols w:num="2" w:space="397"/>
          <w:docGrid w:linePitch="360"/>
        </w:sectPr>
      </w:pPr>
    </w:p>
    <w:p w:rsidR="0018561F" w:rsidRDefault="0018561F" w:rsidP="00CC02F3">
      <w:pPr>
        <w:pStyle w:val="SRtitulek1"/>
      </w:pPr>
      <w:bookmarkStart w:id="69" w:name="_Toc83882871"/>
      <w:r w:rsidRPr="00B87A57">
        <w:lastRenderedPageBreak/>
        <w:t xml:space="preserve">Tabulka </w:t>
      </w:r>
      <w:r w:rsidR="00D51DCA">
        <w:fldChar w:fldCharType="begin"/>
      </w:r>
      <w:r w:rsidR="00D51DCA">
        <w:instrText xml:space="preserve"> SEQ Tabulka \* ARABIC \s 1 </w:instrText>
      </w:r>
      <w:r w:rsidR="00D51DCA">
        <w:fldChar w:fldCharType="separate"/>
      </w:r>
      <w:r w:rsidR="00D51DCA">
        <w:rPr>
          <w:noProof/>
        </w:rPr>
        <w:t>6</w:t>
      </w:r>
      <w:r w:rsidR="00D51DCA">
        <w:rPr>
          <w:noProof/>
        </w:rPr>
        <w:fldChar w:fldCharType="end"/>
      </w:r>
      <w:r w:rsidRPr="00B87A57">
        <w:t>:</w:t>
      </w:r>
      <w:r w:rsidRPr="00877BE7">
        <w:t xml:space="preserve"> </w:t>
      </w:r>
      <w:r w:rsidRPr="005E3F2C">
        <w:t xml:space="preserve">Scénář </w:t>
      </w:r>
      <w:r>
        <w:t>I</w:t>
      </w:r>
      <w:r w:rsidRPr="005E3F2C">
        <w:t>I</w:t>
      </w:r>
      <w:r>
        <w:t>I</w:t>
      </w:r>
      <w:r w:rsidRPr="005E3F2C">
        <w:t xml:space="preserve">. </w:t>
      </w:r>
      <w:r>
        <w:t>–</w:t>
      </w:r>
      <w:r w:rsidRPr="005E3F2C">
        <w:t xml:space="preserve"> </w:t>
      </w:r>
      <w:r w:rsidRPr="009A7B1A">
        <w:t>zhoršení epidemi</w:t>
      </w:r>
      <w:r>
        <w:t>cké situace v ČR</w:t>
      </w:r>
      <w:bookmarkEnd w:id="69"/>
    </w:p>
    <w:p w:rsidR="0018561F" w:rsidRPr="00AC5736" w:rsidRDefault="0018561F" w:rsidP="0018561F">
      <w:pPr>
        <w:spacing w:after="0"/>
      </w:pPr>
      <w:r w:rsidRPr="009A7B1A">
        <w:rPr>
          <w:noProof/>
        </w:rPr>
        <w:drawing>
          <wp:inline distT="0" distB="0" distL="0" distR="0" wp14:anchorId="30A0DDB6" wp14:editId="26664D89">
            <wp:extent cx="6120130" cy="2420251"/>
            <wp:effectExtent l="0" t="0" r="0" b="0"/>
            <wp:docPr id="43" name="Obráze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120130" cy="2420251"/>
                    </a:xfrm>
                    <a:prstGeom prst="rect">
                      <a:avLst/>
                    </a:prstGeom>
                    <a:noFill/>
                    <a:ln>
                      <a:noFill/>
                    </a:ln>
                  </pic:spPr>
                </pic:pic>
              </a:graphicData>
            </a:graphic>
          </wp:inline>
        </w:drawing>
      </w:r>
    </w:p>
    <w:p w:rsidR="0018561F" w:rsidRDefault="0018561F" w:rsidP="0018561F">
      <w:r w:rsidRPr="00982A28">
        <w:rPr>
          <w:i/>
          <w:sz w:val="16"/>
          <w:szCs w:val="16"/>
        </w:rPr>
        <w:t xml:space="preserve">Zdroj: ČSÚ. </w:t>
      </w:r>
      <w:r>
        <w:rPr>
          <w:i/>
          <w:sz w:val="16"/>
          <w:szCs w:val="16"/>
        </w:rPr>
        <w:t>P</w:t>
      </w:r>
      <w:r w:rsidRPr="00982A28">
        <w:rPr>
          <w:i/>
          <w:sz w:val="16"/>
          <w:szCs w:val="16"/>
        </w:rPr>
        <w:t xml:space="preserve">redikce </w:t>
      </w:r>
      <w:r>
        <w:rPr>
          <w:i/>
          <w:sz w:val="16"/>
          <w:szCs w:val="16"/>
        </w:rPr>
        <w:t xml:space="preserve">a simulace </w:t>
      </w:r>
      <w:r w:rsidRPr="00982A28">
        <w:rPr>
          <w:i/>
          <w:sz w:val="16"/>
          <w:szCs w:val="16"/>
        </w:rPr>
        <w:t>MF ČR</w:t>
      </w:r>
      <w:r>
        <w:rPr>
          <w:i/>
          <w:sz w:val="16"/>
          <w:szCs w:val="16"/>
        </w:rPr>
        <w:t>.</w:t>
      </w:r>
    </w:p>
    <w:p w:rsidR="00E8195E" w:rsidRPr="00E8195E" w:rsidRDefault="00E8195E" w:rsidP="00E8195E"/>
    <w:p w:rsidR="00B47F77" w:rsidRDefault="00B47F77" w:rsidP="00B47F77">
      <w:pPr>
        <w:pStyle w:val="Nadpis1"/>
        <w:pageBreakBefore/>
        <w:numPr>
          <w:ilvl w:val="0"/>
          <w:numId w:val="1"/>
        </w:numPr>
        <w:ind w:left="567" w:hanging="567"/>
        <w:sectPr w:rsidR="00B47F77" w:rsidSect="00E8195E">
          <w:type w:val="continuous"/>
          <w:pgSz w:w="11906" w:h="16838" w:code="9"/>
          <w:pgMar w:top="1134" w:right="1134" w:bottom="1418" w:left="1134" w:header="709" w:footer="709" w:gutter="0"/>
          <w:cols w:space="708"/>
          <w:docGrid w:linePitch="360"/>
        </w:sectPr>
      </w:pPr>
    </w:p>
    <w:p w:rsidR="00FA313B" w:rsidRPr="0068144B" w:rsidRDefault="00FA313B" w:rsidP="00294399">
      <w:pPr>
        <w:pStyle w:val="SRNadpisAB"/>
        <w:numPr>
          <w:ilvl w:val="0"/>
          <w:numId w:val="30"/>
        </w:numPr>
      </w:pPr>
      <w:bookmarkStart w:id="70" w:name="_Toc52369394"/>
      <w:bookmarkStart w:id="71" w:name="_Toc83882824"/>
      <w:bookmarkStart w:id="72" w:name="_Toc525714684"/>
      <w:r w:rsidRPr="0068144B">
        <w:lastRenderedPageBreak/>
        <w:t xml:space="preserve">Výdajový rámec </w:t>
      </w:r>
      <w:r w:rsidR="00633E8A" w:rsidRPr="0068144B">
        <w:t>a jeho úprava</w:t>
      </w:r>
      <w:bookmarkEnd w:id="70"/>
      <w:bookmarkEnd w:id="71"/>
    </w:p>
    <w:p w:rsidR="00633E8A" w:rsidRPr="0068144B" w:rsidRDefault="00633E8A" w:rsidP="005A27EF">
      <w:pPr>
        <w:pStyle w:val="SRNadpis1"/>
      </w:pPr>
      <w:bookmarkStart w:id="73" w:name="_Toc52369395"/>
      <w:bookmarkStart w:id="74" w:name="_Toc83882825"/>
      <w:r w:rsidRPr="0068144B">
        <w:t>Výdajový rámec na rok 202</w:t>
      </w:r>
      <w:r w:rsidR="00483FAF" w:rsidRPr="0068144B">
        <w:t>2</w:t>
      </w:r>
      <w:r w:rsidRPr="0068144B">
        <w:t xml:space="preserve"> až 202</w:t>
      </w:r>
      <w:bookmarkEnd w:id="73"/>
      <w:r w:rsidR="00483FAF" w:rsidRPr="0068144B">
        <w:t>4</w:t>
      </w:r>
      <w:bookmarkEnd w:id="74"/>
    </w:p>
    <w:p w:rsidR="00633E8A" w:rsidRPr="00956E98" w:rsidRDefault="00633E8A" w:rsidP="00633E8A">
      <w:pPr>
        <w:rPr>
          <w:highlight w:val="cyan"/>
        </w:rPr>
        <w:sectPr w:rsidR="00633E8A" w:rsidRPr="00956E98" w:rsidSect="00385A41">
          <w:headerReference w:type="default" r:id="rId41"/>
          <w:footerReference w:type="even" r:id="rId42"/>
          <w:type w:val="continuous"/>
          <w:pgSz w:w="11906" w:h="16838" w:code="9"/>
          <w:pgMar w:top="1134" w:right="1134" w:bottom="1418" w:left="1134" w:header="709" w:footer="709" w:gutter="0"/>
          <w:cols w:space="709"/>
          <w:docGrid w:linePitch="360"/>
        </w:sectPr>
      </w:pPr>
    </w:p>
    <w:p w:rsidR="006B452B" w:rsidRDefault="006B452B" w:rsidP="001C71E3">
      <w:pPr>
        <w:pStyle w:val="SRTextnomal"/>
      </w:pPr>
      <w:r>
        <w:lastRenderedPageBreak/>
        <w:t>Způsob určení výdajových rámců vychází ze salda upr</w:t>
      </w:r>
      <w:r>
        <w:t>a</w:t>
      </w:r>
      <w:r>
        <w:t>veného o vlivy hospodářského cyklu a jednorázová či j</w:t>
      </w:r>
      <w:r>
        <w:t>i</w:t>
      </w:r>
      <w:r>
        <w:t>ná přechodná opatření, tedy z konceptu strukturálního salda. Vlivem celosvětové epidemie nového typu kor</w:t>
      </w:r>
      <w:r>
        <w:t>o</w:t>
      </w:r>
      <w:r>
        <w:t>naviru byl v ČR dne 12. března 2020 vyhlášen nouzový stav, který trval do 17. května 2020, během něhož vláda přistoupila k řadě preventivních opatření. Podobně se v zásadě chovala většina zemí světa. Pandemie vedla k synchronizované, silné globální ekonomické recesi. Na podzim se epidemická situace v ČR výrazně zhoršila a vláda přistoupila k dalšímu vyhlášení nouzového stavu počínaje od 5. října 2020, který s dvojím prodloužením trval v podstatě nepřetržitě do 11. dubna 2021. Na úrovni EU byly pro potřeby adekvátní fiskální reakce v</w:t>
      </w:r>
      <w:r>
        <w:t>y</w:t>
      </w:r>
      <w:r>
        <w:t>tvořeny podmínky mj. aktivací všeobecné únikové kla</w:t>
      </w:r>
      <w:r>
        <w:t>u</w:t>
      </w:r>
      <w:r>
        <w:t>zule z pravidel Paktu o stabilitě a růstu, prodloužené minimálně i pro roky 2021 a 2022, s doporučením, že fiskální politika by měla zůstat agilní a přizpůsobit se v</w:t>
      </w:r>
      <w:r>
        <w:t>y</w:t>
      </w:r>
      <w:r>
        <w:t>víjející se situaci.</w:t>
      </w:r>
    </w:p>
    <w:p w:rsidR="006B452B" w:rsidRDefault="006B452B" w:rsidP="00F21516">
      <w:pPr>
        <w:pStyle w:val="SRTextnomal"/>
      </w:pPr>
      <w:r>
        <w:t>V ČR byla v tomto ohledu přijata novela zákona o prav</w:t>
      </w:r>
      <w:r>
        <w:t>i</w:t>
      </w:r>
      <w:r>
        <w:t>dlech rozpočtové odpovědnosti (zákon č. 207/2020 Sb.), která umožnila navýšit strukturální saldo nad tzv. stře</w:t>
      </w:r>
      <w:r>
        <w:t>d</w:t>
      </w:r>
      <w:r>
        <w:t>nědobý rozpočtový cíl i v roce následujícím po aktivaci domácí únikové klausule. Ovšem nejistota spojená jak s finální podobou a výší dopadů „daňového balíčku 2021“, tak dalším vývojem epidemie si vynutila druhou novelu (zákon č. 609/2020 Sb.), která při zachování intenzity konsolidace ponechala stanovení její výchozí úrovně na léto 2021. Konkrétně je výdajový rámec na rok 2022 o</w:t>
      </w:r>
      <w:r>
        <w:t>d</w:t>
      </w:r>
      <w:r>
        <w:t>vozen od odhadu strukturálního salda pro rok 2021, v</w:t>
      </w:r>
      <w:r>
        <w:t>y</w:t>
      </w:r>
      <w:r>
        <w:t xml:space="preserve">jádřeného v procentech HDP a zvýšeného o půl procentního bodu. Pro další roky je strukturální saldo zlepšováno vždy alespoň o půl procentního bodu ročně </w:t>
      </w:r>
      <w:r>
        <w:lastRenderedPageBreak/>
        <w:t xml:space="preserve">až do opětovného dosažení střednědobého rozpočtové-ho cíle. </w:t>
      </w:r>
    </w:p>
    <w:p w:rsidR="006B452B" w:rsidRDefault="006B452B" w:rsidP="00F21516">
      <w:pPr>
        <w:pStyle w:val="SRTextnomal"/>
      </w:pPr>
      <w:r>
        <w:t>Z těchto důvodů bylo pro rok 2021 upuštěno od přípravy Rozpočtové strategie sektoru veřejných institucí ČR na léta 2022–2024. Při odvození výdajových rámců pro p</w:t>
      </w:r>
      <w:r>
        <w:t>o</w:t>
      </w:r>
      <w:r>
        <w:t>třeby návrhu státního rozpočtu a rozpočtů státních fo</w:t>
      </w:r>
      <w:r>
        <w:t>n</w:t>
      </w:r>
      <w:r>
        <w:t>dů na rok 2022 a střednědobého výhledu na roky 2023 a 2024 se MF řídilo metodickými postupy, které byly di</w:t>
      </w:r>
      <w:r>
        <w:t>s</w:t>
      </w:r>
      <w:r>
        <w:t xml:space="preserve">kutovány a odsouhlaseny Národní rozpočtovou radou. Způsob odvození se tak zcela metodicky shodoval s tím, jak jsou výdajové rámce stanovovány v rozpočtových strategiích. </w:t>
      </w:r>
    </w:p>
    <w:p w:rsidR="006B452B" w:rsidRDefault="006B452B" w:rsidP="00F21516">
      <w:pPr>
        <w:pStyle w:val="SRTextnomal"/>
      </w:pPr>
      <w:r>
        <w:t>Pro výdajový rámec na následující tři roky je klíčová pr</w:t>
      </w:r>
      <w:r>
        <w:t>o</w:t>
      </w:r>
      <w:r>
        <w:t>gnóza makroekonomického vývoje, stejně jako příjmů a výdajů veřejných institucí. Aby byly uvedené prognózy založeny na co nejpravděpodobnějším či obezřetnějším scénáři budoucího vývoje, byly makroekonomická pr</w:t>
      </w:r>
      <w:r>
        <w:t>e</w:t>
      </w:r>
      <w:r>
        <w:t>dikce a predikce příjmů posouzeny dne 30. srpna 2021 Výborem pro rozpočtové prognózy. Ten ve svém stan</w:t>
      </w:r>
      <w:r>
        <w:t>o</w:t>
      </w:r>
      <w:r>
        <w:t>visku konstatoval, že makroekonomická predikce a pr</w:t>
      </w:r>
      <w:r>
        <w:t>o</w:t>
      </w:r>
      <w:r>
        <w:t>gnóza příjmů jsou založeny na realistickém scénáři.</w:t>
      </w:r>
    </w:p>
    <w:p w:rsidR="006B452B" w:rsidRDefault="006B452B" w:rsidP="001C71E3">
      <w:pPr>
        <w:pStyle w:val="SRTextnomal"/>
      </w:pPr>
      <w:r>
        <w:t>Výše strukturálního salda na rok 2021 je výsledkem pr</w:t>
      </w:r>
      <w:r>
        <w:t>e</w:t>
      </w:r>
      <w:r>
        <w:t>dikce ze srpna 2021. Odhadujeme výši celkového salda sektoru vládních institucí na úrovni -7,7 % HDP. Po z</w:t>
      </w:r>
      <w:r>
        <w:t>o</w:t>
      </w:r>
      <w:r>
        <w:t>hlednění vlivu hospodářského cyklu (-0,2 % HDP) a je</w:t>
      </w:r>
      <w:r>
        <w:t>d</w:t>
      </w:r>
      <w:r>
        <w:t>norázových či jiných přechodných opatření (-1,4 % HDP) vyčíslujeme hodnotu strukturálního salda na -6,1 % HDP. Oproti odhadu obsaženému v dubnovém Konvergen</w:t>
      </w:r>
      <w:r>
        <w:t>č</w:t>
      </w:r>
      <w:r>
        <w:t>ním programu ČR 2021 tak predikujme hodnotu strukt</w:t>
      </w:r>
      <w:r>
        <w:t>u</w:t>
      </w:r>
      <w:r>
        <w:t xml:space="preserve">rálního salda o 0,4 procentního bodu lepší. </w:t>
      </w:r>
    </w:p>
    <w:p w:rsidR="00497B37" w:rsidRPr="00956E98" w:rsidRDefault="00497B37" w:rsidP="001C71E3">
      <w:pPr>
        <w:pStyle w:val="SRTextnomal"/>
      </w:pPr>
    </w:p>
    <w:p w:rsidR="00633E8A" w:rsidRPr="00956E98" w:rsidRDefault="00633E8A" w:rsidP="006501BB">
      <w:pPr>
        <w:rPr>
          <w:highlight w:val="cyan"/>
        </w:rPr>
      </w:pPr>
    </w:p>
    <w:p w:rsidR="008F7839" w:rsidRPr="00956E98" w:rsidRDefault="008F7839">
      <w:pPr>
        <w:spacing w:after="0"/>
        <w:jc w:val="left"/>
        <w:rPr>
          <w:highlight w:val="cyan"/>
        </w:rPr>
        <w:sectPr w:rsidR="008F7839" w:rsidRPr="00956E98" w:rsidSect="00385A41">
          <w:type w:val="continuous"/>
          <w:pgSz w:w="11906" w:h="16838" w:code="9"/>
          <w:pgMar w:top="1134" w:right="1134" w:bottom="1418" w:left="1134" w:header="709" w:footer="709" w:gutter="0"/>
          <w:cols w:num="2" w:space="397"/>
          <w:docGrid w:linePitch="360"/>
        </w:sectPr>
      </w:pPr>
    </w:p>
    <w:p w:rsidR="00FA313B" w:rsidRPr="0068144B" w:rsidRDefault="009A480B" w:rsidP="005A27EF">
      <w:pPr>
        <w:pStyle w:val="SRNadpis1"/>
      </w:pPr>
      <w:bookmarkStart w:id="75" w:name="_Toc52369396"/>
      <w:bookmarkStart w:id="76" w:name="_Toc83882826"/>
      <w:r w:rsidRPr="0068144B">
        <w:lastRenderedPageBreak/>
        <w:t>Odvození</w:t>
      </w:r>
      <w:r w:rsidR="00FA313B" w:rsidRPr="0068144B">
        <w:t xml:space="preserve"> výdajových rámců</w:t>
      </w:r>
      <w:bookmarkEnd w:id="75"/>
      <w:bookmarkEnd w:id="76"/>
    </w:p>
    <w:p w:rsidR="00633E8A" w:rsidRPr="00956E98" w:rsidRDefault="00633E8A" w:rsidP="00633E8A">
      <w:pPr>
        <w:rPr>
          <w:highlight w:val="cyan"/>
        </w:rPr>
        <w:sectPr w:rsidR="00633E8A" w:rsidRPr="00956E98" w:rsidSect="00385A41">
          <w:type w:val="continuous"/>
          <w:pgSz w:w="11906" w:h="16838" w:code="9"/>
          <w:pgMar w:top="1134" w:right="1134" w:bottom="1418" w:left="1134" w:header="709" w:footer="709" w:gutter="0"/>
          <w:cols w:space="709"/>
          <w:docGrid w:linePitch="360"/>
        </w:sectPr>
      </w:pPr>
    </w:p>
    <w:p w:rsidR="009A480B" w:rsidRPr="009A480B" w:rsidRDefault="009A480B" w:rsidP="00F21516">
      <w:pPr>
        <w:pStyle w:val="SRTextnomal"/>
      </w:pPr>
      <w:r w:rsidRPr="009A480B">
        <w:lastRenderedPageBreak/>
        <w:t>Závazný konsolidovaný rámec výdajů státního rozpočtu a státních fondů je odvozován dle číselného fiskálního pravidla, které upravuje zákon č. 23/2017 Sb., o prav</w:t>
      </w:r>
      <w:r w:rsidRPr="009A480B">
        <w:t>i</w:t>
      </w:r>
      <w:r w:rsidRPr="009A480B">
        <w:t>dlech rozpočtové odpovědnosti, ve znění pozdějších předpisů. Pravidlo by mělo zajišťovat, že hospodaření sektoru vládních institucí nepřekročí zákonem stanov</w:t>
      </w:r>
      <w:r w:rsidRPr="009A480B">
        <w:t>e</w:t>
      </w:r>
      <w:r w:rsidRPr="009A480B">
        <w:t>né strukturální saldo a postupně povede k dosažení střednědobého rozpočtového cíle.</w:t>
      </w:r>
    </w:p>
    <w:p w:rsidR="009A480B" w:rsidRPr="009A480B" w:rsidRDefault="009A480B" w:rsidP="009A480B">
      <w:pPr>
        <w:rPr>
          <w:b/>
          <w:bCs/>
        </w:rPr>
      </w:pPr>
      <w:r w:rsidRPr="009A480B">
        <w:rPr>
          <w:b/>
          <w:bCs/>
        </w:rPr>
        <w:t>Celkové výdaje sektoru vládních institucí</w:t>
      </w:r>
    </w:p>
    <w:p w:rsidR="009A480B" w:rsidRPr="009A480B" w:rsidRDefault="009A480B" w:rsidP="00F21516">
      <w:pPr>
        <w:pStyle w:val="SRTextnomal"/>
      </w:pPr>
      <w:r w:rsidRPr="009A480B">
        <w:t>Ke stanovení výdajového rámce státního rozpočtu a státních fondů slouží jako jedno ze základních východ</w:t>
      </w:r>
      <w:r w:rsidRPr="009A480B">
        <w:t>i</w:t>
      </w:r>
      <w:r w:rsidRPr="009A480B">
        <w:t>sek odhad celkových akruálních příjmů sektoru vládních institucí. Tato veličina je následně očištěna o vliv hosp</w:t>
      </w:r>
      <w:r w:rsidRPr="009A480B">
        <w:t>o</w:t>
      </w:r>
      <w:r w:rsidRPr="009A480B">
        <w:t xml:space="preserve">dářského cyklu, kdy je aplikována modifikovaná metoda </w:t>
      </w:r>
      <w:r w:rsidRPr="009A480B">
        <w:lastRenderedPageBreak/>
        <w:t>Evropské komise. Po zohlednění cyklické složky je ho</w:t>
      </w:r>
      <w:r w:rsidRPr="009A480B">
        <w:t>d</w:t>
      </w:r>
      <w:r w:rsidRPr="009A480B">
        <w:t>nota navýšena o částku odpovídající zákonem stanov</w:t>
      </w:r>
      <w:r w:rsidRPr="009A480B">
        <w:t>e</w:t>
      </w:r>
      <w:r w:rsidRPr="009A480B">
        <w:t>nému strukturálnímu deficitu. Dále pak dochází k odečtení salda jednorázových či jiných přechodných příjmů a výdajů.</w:t>
      </w:r>
    </w:p>
    <w:p w:rsidR="009A480B" w:rsidRPr="009A480B" w:rsidRDefault="009A480B" w:rsidP="005B222E">
      <w:pPr>
        <w:pStyle w:val="SRTextnomal"/>
      </w:pPr>
      <w:r w:rsidRPr="009A480B">
        <w:t>V zákoně č. 23/2017 Sb. jsou také stanoveny události a situace, během kterých je možné navýšit celkové výdaje (tzv. únikové klausule). Jsou jimi zhoršená bezpečnostní situace státu, významné výdaje na odstranění následků živelních pohrom, plnění mezinárodních smluv a jiných mezinárodních závazků státu, stejně jako další výdaje spojené s prognózovanými důsledky výrazné ekonomi</w:t>
      </w:r>
      <w:r w:rsidRPr="009A480B">
        <w:t>c</w:t>
      </w:r>
      <w:r w:rsidRPr="009A480B">
        <w:t>ké recese. V letech 2022 až 2024 nepředpokládáme sp</w:t>
      </w:r>
      <w:r w:rsidRPr="009A480B">
        <w:t>l</w:t>
      </w:r>
      <w:r w:rsidRPr="009A480B">
        <w:t>nění těchto podmínek.</w:t>
      </w:r>
    </w:p>
    <w:p w:rsidR="009A480B" w:rsidRPr="009A480B" w:rsidRDefault="009A480B" w:rsidP="00F21516">
      <w:pPr>
        <w:pStyle w:val="SRTextnomal"/>
      </w:pPr>
      <w:r w:rsidRPr="009A480B">
        <w:lastRenderedPageBreak/>
        <w:t>Poslední úprava celkových výdajů sektoru vládních inst</w:t>
      </w:r>
      <w:r w:rsidRPr="009A480B">
        <w:t>i</w:t>
      </w:r>
      <w:r w:rsidRPr="009A480B">
        <w:t>tucí, jak ji vyčísluje</w:t>
      </w:r>
      <w:r w:rsidR="006D1571">
        <w:t xml:space="preserve"> Tabulka 7</w:t>
      </w:r>
      <w:r w:rsidRPr="009A480B">
        <w:t>, by spočívala v jejich sníž</w:t>
      </w:r>
      <w:r w:rsidRPr="009A480B">
        <w:t>e</w:t>
      </w:r>
      <w:r w:rsidRPr="009A480B">
        <w:t>ní, pokud by odchylky skutečných výdajů a minulých odvozených rámců přesáhly 2 % HDP. Vzhledem k tomu, že stav nápravné složky z roku 2020 činí -72 mld. Kč (viz Rozpočtová strategie sektoru veřejných institucí na roky 2021–2023) a nápravná složka se vlivem uplatnění ún</w:t>
      </w:r>
      <w:r w:rsidRPr="009A480B">
        <w:t>i</w:t>
      </w:r>
      <w:r w:rsidRPr="009A480B">
        <w:t>kových klauzulí dále neupravovala, výdajové rámce pro následující roky se tak z titulu nápravné složky nesnižují.</w:t>
      </w:r>
    </w:p>
    <w:p w:rsidR="009A480B" w:rsidRPr="009A480B" w:rsidRDefault="009A480B" w:rsidP="009A480B">
      <w:pPr>
        <w:rPr>
          <w:b/>
        </w:rPr>
      </w:pPr>
      <w:r w:rsidRPr="009A480B">
        <w:rPr>
          <w:b/>
        </w:rPr>
        <w:t>Hospodaření ostatních jednotek</w:t>
      </w:r>
    </w:p>
    <w:p w:rsidR="009A480B" w:rsidRPr="009A480B" w:rsidRDefault="009A480B" w:rsidP="00F21516">
      <w:pPr>
        <w:pStyle w:val="SRTextnomal"/>
      </w:pPr>
      <w:r w:rsidRPr="009A480B">
        <w:t>Následující postup (</w:t>
      </w:r>
      <w:r w:rsidR="006D1571">
        <w:t>Tabulka 8</w:t>
      </w:r>
      <w:r w:rsidRPr="009A480B">
        <w:t>) je založen na úpravě a</w:t>
      </w:r>
      <w:r w:rsidRPr="009A480B">
        <w:t>k</w:t>
      </w:r>
      <w:r w:rsidRPr="009A480B">
        <w:t>ruálního salda sektoru vládních institucí ve strukturální formě. Velkou výhodou přístupu přes strukturální saldo je samotná konstrukce fiskálního pravidla, které umo</w:t>
      </w:r>
      <w:r w:rsidRPr="009A480B">
        <w:t>ž</w:t>
      </w:r>
      <w:r w:rsidRPr="009A480B">
        <w:t>ňuje vyčíslení strukturálního salda přímo z velikosti n</w:t>
      </w:r>
      <w:r w:rsidRPr="009A480B">
        <w:t>o</w:t>
      </w:r>
      <w:r w:rsidRPr="009A480B">
        <w:t>minálního HDP. Navíc úprava salda je na rozdíl od úpravy výdajů jednodušší a transparentnější, jelikož řada jedn</w:t>
      </w:r>
      <w:r w:rsidRPr="009A480B">
        <w:t>o</w:t>
      </w:r>
      <w:r w:rsidRPr="009A480B">
        <w:t>tek sektoru vládních institucí hospodaří v průměru v</w:t>
      </w:r>
      <w:r w:rsidRPr="009A480B">
        <w:t>y</w:t>
      </w:r>
      <w:r w:rsidRPr="009A480B">
        <w:t>rovnaně či odchylky od vyrovnaného hospodaření nejsou obvykle významné. Strukturální saldo namísto celkového pak bylo zvoleno proto, že umožňuje abstr</w:t>
      </w:r>
      <w:r w:rsidRPr="009A480B">
        <w:t>a</w:t>
      </w:r>
      <w:r w:rsidRPr="009A480B">
        <w:t>hovat od jednorázových a jiných přechodných operací, které je obvykle obtížné anticipovat a ex ante kvantifik</w:t>
      </w:r>
      <w:r w:rsidRPr="009A480B">
        <w:t>o</w:t>
      </w:r>
      <w:r w:rsidRPr="009A480B">
        <w:t>vat. Strukturální saldo pro potřeby dalšího odvození a úprav tvoří rozdíl příjmů sektoru vládních institucí upr</w:t>
      </w:r>
      <w:r w:rsidRPr="009A480B">
        <w:t>a</w:t>
      </w:r>
      <w:r w:rsidRPr="009A480B">
        <w:t>vených o vliv hospodářského cyklu a jednorázová opa</w:t>
      </w:r>
      <w:r w:rsidRPr="009A480B">
        <w:t>t</w:t>
      </w:r>
      <w:r w:rsidRPr="009A480B">
        <w:t>ření a odvozených celkových výdajů sektoru vládních institucí v </w:t>
      </w:r>
      <w:r w:rsidRPr="00771AA0">
        <w:t xml:space="preserve">Tabulce </w:t>
      </w:r>
      <w:r w:rsidR="00771AA0" w:rsidRPr="00771AA0">
        <w:t>7</w:t>
      </w:r>
      <w:r w:rsidRPr="00771AA0">
        <w:t>.</w:t>
      </w:r>
    </w:p>
    <w:p w:rsidR="009A480B" w:rsidRPr="009A480B" w:rsidRDefault="009A480B" w:rsidP="005B222E">
      <w:pPr>
        <w:pStyle w:val="SRTextnomal"/>
      </w:pPr>
      <w:r w:rsidRPr="009A480B">
        <w:t>Za účelem determinace rámce pro hospodaření státního rozpočtu a státních fondů je celkové strukturální saldo sektoru vládních institucí upraveno o strukturální salda ostatních jednotek sektoru vládních institucí: územní samosprávné celky, zdravotní pojišťovny a ostatní je</w:t>
      </w:r>
      <w:r w:rsidRPr="009A480B">
        <w:t>d</w:t>
      </w:r>
      <w:r w:rsidRPr="009A480B">
        <w:t>notky vládních institucí (např. veřejné vysoké školy, v</w:t>
      </w:r>
      <w:r w:rsidRPr="009A480B">
        <w:t>e</w:t>
      </w:r>
      <w:r w:rsidRPr="009A480B">
        <w:t>řejné výzkumné instituce, vybrané finanční instituce, příspěvkové organizace apod.). Výsledkem je strukturá</w:t>
      </w:r>
      <w:r w:rsidRPr="009A480B">
        <w:t>l</w:t>
      </w:r>
      <w:r w:rsidRPr="009A480B">
        <w:t>ní saldo státního rozpočtu a státních fondů, kterého je nutné dosáhnout ke splnění určeného celkového stru</w:t>
      </w:r>
      <w:r w:rsidRPr="009A480B">
        <w:t>k</w:t>
      </w:r>
      <w:r w:rsidRPr="009A480B">
        <w:t>turálního salda.</w:t>
      </w:r>
    </w:p>
    <w:p w:rsidR="009A480B" w:rsidRPr="009A480B" w:rsidRDefault="009A480B" w:rsidP="005B222E">
      <w:pPr>
        <w:pStyle w:val="SRTextnomal"/>
      </w:pPr>
      <w:r w:rsidRPr="009A480B">
        <w:t>Úprava přes strukturální saldo vyžaduje cyklické očištění příjmů podle jednotlivých skupin subjektů sektoru vlá</w:t>
      </w:r>
      <w:r w:rsidRPr="009A480B">
        <w:t>d</w:t>
      </w:r>
      <w:r w:rsidRPr="009A480B">
        <w:t xml:space="preserve">ních institucí. Vzhledem ke znalosti rozpočtového určení daní je možné aplikovat příslušné koeficienty na daňové </w:t>
      </w:r>
      <w:r w:rsidRPr="009A480B">
        <w:lastRenderedPageBreak/>
        <w:t>výnosy, a určit tak výši cyklické složky státního rozpočtu a státních fondů anebo územních samosprávných celků.</w:t>
      </w:r>
    </w:p>
    <w:p w:rsidR="009A480B" w:rsidRPr="009A480B" w:rsidRDefault="009A480B" w:rsidP="009A480B">
      <w:pPr>
        <w:rPr>
          <w:b/>
        </w:rPr>
      </w:pPr>
      <w:r w:rsidRPr="009A480B">
        <w:rPr>
          <w:b/>
        </w:rPr>
        <w:t>Metodické úpravy</w:t>
      </w:r>
    </w:p>
    <w:p w:rsidR="009A480B" w:rsidRPr="009A480B" w:rsidRDefault="009A480B" w:rsidP="00F21516">
      <w:pPr>
        <w:pStyle w:val="SRTextnomal"/>
      </w:pPr>
      <w:r w:rsidRPr="009A480B">
        <w:t>Ke strukturálnímu saldu státního rozpočtu a státních fondů jsou následně přičteny cyklické příjmy státního rozpočtu a státních fondů a saldo očekávaných jednor</w:t>
      </w:r>
      <w:r w:rsidRPr="009A480B">
        <w:t>á</w:t>
      </w:r>
      <w:r w:rsidRPr="009A480B">
        <w:t>zových nebo jiných přechodných opatření na úrovni státního rozpočtu či státních fondů. Tím je odvozeno a</w:t>
      </w:r>
      <w:r w:rsidRPr="009A480B">
        <w:t>k</w:t>
      </w:r>
      <w:r w:rsidRPr="009A480B">
        <w:t>ruální saldo státního rozpočtu a státních fondů.</w:t>
      </w:r>
    </w:p>
    <w:p w:rsidR="009A480B" w:rsidRPr="009A480B" w:rsidRDefault="009A480B" w:rsidP="00F21516">
      <w:pPr>
        <w:pStyle w:val="SRTextnomal"/>
      </w:pPr>
      <w:r w:rsidRPr="009A480B">
        <w:t>Poslední úpravou je úprava salda z akruální metodiky E</w:t>
      </w:r>
      <w:r w:rsidRPr="009A480B">
        <w:t>v</w:t>
      </w:r>
      <w:r w:rsidRPr="009A480B">
        <w:t>ropského systému národních a regionálních účtů na n</w:t>
      </w:r>
      <w:r w:rsidRPr="009A480B">
        <w:t>á</w:t>
      </w:r>
      <w:r w:rsidRPr="009A480B">
        <w:t>rodní metodiku hotovostních toků, ve které jsou sestavovány, projednávány a schvalovány státní rozp</w:t>
      </w:r>
      <w:r w:rsidRPr="009A480B">
        <w:t>o</w:t>
      </w:r>
      <w:r w:rsidRPr="009A480B">
        <w:t>čet a rozpočty státních fondů. V  saldu v akruální met</w:t>
      </w:r>
      <w:r w:rsidRPr="009A480B">
        <w:t>o</w:t>
      </w:r>
      <w:r w:rsidRPr="009A480B">
        <w:t>dice jsou zohledněny operace, které souvisejí zejména s pohledávkami a závazky a o jejichž vliv musí být v</w:t>
      </w:r>
      <w:r w:rsidRPr="009A480B">
        <w:t>ý</w:t>
      </w:r>
      <w:r w:rsidRPr="009A480B">
        <w:t>sledné hotovostní saldo očištěno. Akruální a hotovostní metodika pohlížejí odlišně jak na finanční, tak na nef</w:t>
      </w:r>
      <w:r w:rsidRPr="009A480B">
        <w:t>i</w:t>
      </w:r>
      <w:r w:rsidRPr="009A480B">
        <w:t>nanční operace státu, kdy vznikají pohledávky a závazky. Akruální přístup se snaží záznam přiřadit do období, do kterého věcně náleží, nikoliv kdy byl zaplacen. Odlišně se tedy zachází s daňovými příjmy, příspěvky na sociální p</w:t>
      </w:r>
      <w:r w:rsidRPr="009A480B">
        <w:t>o</w:t>
      </w:r>
      <w:r w:rsidRPr="009A480B">
        <w:t>jištění, vyplacenými sociálními dávkami, úroky a jinými. Dále se akruální saldo upravuje o operace, které nemají vliv na výsledné saldo, ale jsou hotovostním příjmem či výdajem. Jedná se o úpravy, které jsou v akruální met</w:t>
      </w:r>
      <w:r w:rsidRPr="009A480B">
        <w:t>o</w:t>
      </w:r>
      <w:r w:rsidRPr="009A480B">
        <w:t xml:space="preserve">dice např. přeceněním nebo specifickou metodickou úpravou (přehled úprav viz </w:t>
      </w:r>
      <w:r w:rsidR="00F37637">
        <w:t>Tabulka 9</w:t>
      </w:r>
      <w:r w:rsidRPr="009A480B">
        <w:t>). Naopak dochází k očištění o operace, které nejsou součástí hotovostního plnění státního rozpočtu, ale jde o příjem a výdaj státn</w:t>
      </w:r>
      <w:r w:rsidRPr="009A480B">
        <w:t>í</w:t>
      </w:r>
      <w:r w:rsidRPr="009A480B">
        <w:t>ho rozpočtu v akruální metodice.</w:t>
      </w:r>
    </w:p>
    <w:p w:rsidR="009A480B" w:rsidRPr="009A480B" w:rsidRDefault="009A480B" w:rsidP="009A480B">
      <w:pPr>
        <w:rPr>
          <w:b/>
        </w:rPr>
      </w:pPr>
      <w:r w:rsidRPr="009A480B">
        <w:rPr>
          <w:b/>
        </w:rPr>
        <w:t>Výdajové rámce státního rozpočtu a státních fondů</w:t>
      </w:r>
    </w:p>
    <w:p w:rsidR="009A480B" w:rsidRPr="009A480B" w:rsidRDefault="009A480B" w:rsidP="005B222E">
      <w:pPr>
        <w:pStyle w:val="SRTextnomal"/>
      </w:pPr>
      <w:r w:rsidRPr="009A480B">
        <w:t>Součet těchto metodických úprav a akruálního salda státního rozpočtu a státních fondů je potom odečten od očekávaných konsolidovaných hotovostních příjmů stá</w:t>
      </w:r>
      <w:r w:rsidRPr="009A480B">
        <w:t>t</w:t>
      </w:r>
      <w:r w:rsidRPr="009A480B">
        <w:t>ního rozpočtu a státních fondů (</w:t>
      </w:r>
      <w:r w:rsidR="005600DE">
        <w:t>Tabulka 10</w:t>
      </w:r>
      <w:r w:rsidRPr="009A480B">
        <w:t>), čímž vzni</w:t>
      </w:r>
      <w:r w:rsidRPr="009A480B">
        <w:t>k</w:t>
      </w:r>
      <w:r w:rsidRPr="009A480B">
        <w:t>ne výdajový rámec státního rozpočtu a státních fondů.</w:t>
      </w:r>
    </w:p>
    <w:p w:rsidR="001D6D10" w:rsidRPr="00956E98" w:rsidRDefault="009A480B" w:rsidP="005B222E">
      <w:pPr>
        <w:pStyle w:val="SRTextnomal"/>
        <w:rPr>
          <w:highlight w:val="cyan"/>
        </w:rPr>
      </w:pPr>
      <w:r w:rsidRPr="009A480B">
        <w:t>Pro rok 2022 tedy činí konsolidovaný hotovostní výdaj</w:t>
      </w:r>
      <w:r w:rsidRPr="009A480B">
        <w:t>o</w:t>
      </w:r>
      <w:r w:rsidRPr="009A480B">
        <w:t>vý rámec státního rozpočtu a státních fondů, odvozený podle zákona č. 23/2017 Sb. a zaokrouhlený standar</w:t>
      </w:r>
      <w:r w:rsidRPr="009A480B">
        <w:t>d</w:t>
      </w:r>
      <w:r w:rsidRPr="009A480B">
        <w:t xml:space="preserve">ním způsobem na celé miliardy korun, </w:t>
      </w:r>
      <w:r w:rsidR="00BD5391" w:rsidRPr="00BD5391">
        <w:t>celkem 1 972 mld. Kč, pro rok 2023 celkem 2 016 mld. Kč a 2 002 mld. Kč pro rok 2024.</w:t>
      </w:r>
    </w:p>
    <w:p w:rsidR="00633E8A" w:rsidRPr="00956E98" w:rsidRDefault="00633E8A" w:rsidP="00BD76A8">
      <w:pPr>
        <w:pStyle w:val="SRtitulek1"/>
        <w:rPr>
          <w:highlight w:val="cyan"/>
        </w:rPr>
        <w:sectPr w:rsidR="00633E8A" w:rsidRPr="00956E98" w:rsidSect="00385A41">
          <w:type w:val="continuous"/>
          <w:pgSz w:w="11906" w:h="16838" w:code="9"/>
          <w:pgMar w:top="1134" w:right="1134" w:bottom="1418" w:left="1134" w:header="709" w:footer="709" w:gutter="0"/>
          <w:cols w:num="2" w:space="397"/>
          <w:docGrid w:linePitch="360"/>
        </w:sectPr>
      </w:pPr>
    </w:p>
    <w:p w:rsidR="00CC02F3" w:rsidRDefault="00CC02F3" w:rsidP="00294399">
      <w:pPr>
        <w:pStyle w:val="SRtitulek1"/>
      </w:pPr>
      <w:bookmarkStart w:id="77" w:name="_Toc83882872"/>
      <w:r>
        <w:lastRenderedPageBreak/>
        <w:t xml:space="preserve">Tabulka </w:t>
      </w:r>
      <w:r w:rsidR="00D51DCA">
        <w:fldChar w:fldCharType="begin"/>
      </w:r>
      <w:r w:rsidR="00D51DCA">
        <w:instrText xml:space="preserve"> SEQ Tabulka \* ARABIC </w:instrText>
      </w:r>
      <w:r w:rsidR="00D51DCA">
        <w:fldChar w:fldCharType="separate"/>
      </w:r>
      <w:r w:rsidR="00D51DCA">
        <w:rPr>
          <w:noProof/>
        </w:rPr>
        <w:t>7</w:t>
      </w:r>
      <w:r w:rsidR="00D51DCA">
        <w:rPr>
          <w:noProof/>
        </w:rPr>
        <w:fldChar w:fldCharType="end"/>
      </w:r>
      <w:r>
        <w:t xml:space="preserve"> </w:t>
      </w:r>
      <w:r w:rsidRPr="00505F90">
        <w:t xml:space="preserve">Odvození celkových výdajů sektoru </w:t>
      </w:r>
      <w:r w:rsidRPr="00294399">
        <w:t>vládních</w:t>
      </w:r>
      <w:r w:rsidRPr="00505F90">
        <w:t xml:space="preserve"> institucí </w:t>
      </w:r>
      <w:r w:rsidRPr="00505F90">
        <w:rPr>
          <w:i/>
        </w:rPr>
        <w:t>(v mld. Kč)</w:t>
      </w:r>
      <w:bookmarkEnd w:id="77"/>
    </w:p>
    <w:p w:rsidR="001D6D10" w:rsidRPr="00956E98" w:rsidRDefault="00992C3F" w:rsidP="001D6D10">
      <w:pPr>
        <w:rPr>
          <w:i/>
          <w:highlight w:val="cyan"/>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25pt;height:127.7pt">
            <v:imagedata r:id="rId43" o:title=""/>
          </v:shape>
        </w:pict>
      </w:r>
      <w:r w:rsidR="00AD1232" w:rsidRPr="00505F90">
        <w:t xml:space="preserve"> </w:t>
      </w:r>
      <w:r w:rsidR="00B721B6" w:rsidRPr="00505F90">
        <w:rPr>
          <w:i/>
          <w:sz w:val="16"/>
        </w:rPr>
        <w:t>Poznámka: *) Navýšení výdajů podle § 10 odst. 4 není predikováno.</w:t>
      </w:r>
      <w:r w:rsidR="00B721B6" w:rsidRPr="00505F90">
        <w:rPr>
          <w:i/>
          <w:sz w:val="16"/>
        </w:rPr>
        <w:tab/>
      </w:r>
      <w:r w:rsidR="00B40006" w:rsidRPr="00505F90">
        <w:rPr>
          <w:i/>
          <w:sz w:val="16"/>
        </w:rPr>
        <w:t xml:space="preserve">Zdroj: </w:t>
      </w:r>
      <w:r w:rsidR="00B721B6" w:rsidRPr="00505F90">
        <w:rPr>
          <w:i/>
          <w:sz w:val="16"/>
        </w:rPr>
        <w:t xml:space="preserve">Výpočty a predikce </w:t>
      </w:r>
      <w:r w:rsidR="00B40006" w:rsidRPr="00505F90">
        <w:rPr>
          <w:i/>
          <w:sz w:val="16"/>
        </w:rPr>
        <w:t>MF ČR.</w:t>
      </w:r>
    </w:p>
    <w:p w:rsidR="00CC02F3" w:rsidRDefault="00CC02F3" w:rsidP="00294399">
      <w:pPr>
        <w:pStyle w:val="SRtitulek1"/>
      </w:pPr>
      <w:bookmarkStart w:id="78" w:name="_Toc83882873"/>
      <w:r w:rsidRPr="00BD5391">
        <w:t xml:space="preserve">Tabulka </w:t>
      </w:r>
      <w:r w:rsidR="00D51DCA">
        <w:fldChar w:fldCharType="begin"/>
      </w:r>
      <w:r w:rsidR="00D51DCA">
        <w:instrText xml:space="preserve"> SEQ Tabulka \* ARABIC </w:instrText>
      </w:r>
      <w:r w:rsidR="00D51DCA">
        <w:fldChar w:fldCharType="separate"/>
      </w:r>
      <w:r w:rsidR="00D51DCA">
        <w:rPr>
          <w:noProof/>
        </w:rPr>
        <w:t>8</w:t>
      </w:r>
      <w:r w:rsidR="00D51DCA">
        <w:rPr>
          <w:noProof/>
        </w:rPr>
        <w:fldChar w:fldCharType="end"/>
      </w:r>
      <w:r w:rsidRPr="00BD5391">
        <w:t xml:space="preserve"> Odvození výdajových rámců státního rozpočtu a státní fondů </w:t>
      </w:r>
      <w:r w:rsidRPr="00BD5391">
        <w:rPr>
          <w:i/>
        </w:rPr>
        <w:t>(v mld. Kč)</w:t>
      </w:r>
      <w:bookmarkEnd w:id="78"/>
    </w:p>
    <w:p w:rsidR="001D6D10" w:rsidRPr="00505F90" w:rsidRDefault="00992C3F" w:rsidP="00D13326">
      <w:pPr>
        <w:spacing w:after="0"/>
        <w:rPr>
          <w:i/>
          <w:sz w:val="16"/>
        </w:rPr>
      </w:pPr>
      <w:r>
        <w:rPr>
          <w:noProof/>
        </w:rPr>
        <w:pict>
          <v:shape id="_x0000_i1026" type="#_x0000_t75" style="width:482.25pt;height:139.25pt">
            <v:imagedata r:id="rId44" o:title=""/>
          </v:shape>
        </w:pict>
      </w:r>
      <w:r w:rsidR="00AD1232" w:rsidRPr="00505F90">
        <w:t xml:space="preserve"> </w:t>
      </w:r>
      <w:r w:rsidR="002E6C17" w:rsidRPr="00505F90">
        <w:rPr>
          <w:i/>
          <w:sz w:val="16"/>
        </w:rPr>
        <w:t>Poznámka: EU</w:t>
      </w:r>
      <w:r w:rsidR="00B721B6" w:rsidRPr="00505F90">
        <w:rPr>
          <w:i/>
          <w:sz w:val="16"/>
        </w:rPr>
        <w:t>/FM = příjmy z rozpočtu Evropské unie a finančních mechanismů.</w:t>
      </w:r>
      <w:r w:rsidR="00A63741" w:rsidRPr="00505F90">
        <w:rPr>
          <w:i/>
          <w:sz w:val="16"/>
        </w:rPr>
        <w:tab/>
      </w:r>
      <w:r w:rsidR="00CD4573" w:rsidRPr="00505F90">
        <w:rPr>
          <w:i/>
          <w:sz w:val="16"/>
        </w:rPr>
        <w:t>Zdroj: Výpočty a predikce MF ČR</w:t>
      </w:r>
      <w:r w:rsidR="004D6286" w:rsidRPr="00505F90">
        <w:rPr>
          <w:i/>
          <w:sz w:val="16"/>
        </w:rPr>
        <w:t>.</w:t>
      </w:r>
    </w:p>
    <w:p w:rsidR="004816F0" w:rsidRDefault="004816F0" w:rsidP="00294399">
      <w:pPr>
        <w:pStyle w:val="SRtitulek1"/>
      </w:pPr>
      <w:bookmarkStart w:id="79" w:name="_Toc83882874"/>
      <w:r w:rsidRPr="00BD5391">
        <w:t xml:space="preserve">Tabulka </w:t>
      </w:r>
      <w:r w:rsidR="00D51DCA">
        <w:fldChar w:fldCharType="begin"/>
      </w:r>
      <w:r w:rsidR="00D51DCA">
        <w:instrText xml:space="preserve"> SEQ Tabulka \* ARABIC </w:instrText>
      </w:r>
      <w:r w:rsidR="00D51DCA">
        <w:fldChar w:fldCharType="separate"/>
      </w:r>
      <w:r w:rsidR="00D51DCA">
        <w:rPr>
          <w:noProof/>
        </w:rPr>
        <w:t>9</w:t>
      </w:r>
      <w:r w:rsidR="00D51DCA">
        <w:rPr>
          <w:noProof/>
        </w:rPr>
        <w:fldChar w:fldCharType="end"/>
      </w:r>
      <w:r w:rsidRPr="00BD5391">
        <w:t xml:space="preserve"> Úprava sald z akruální metodiky národních účtů na metodiku hotovostní </w:t>
      </w:r>
      <w:r w:rsidRPr="00BD5391">
        <w:rPr>
          <w:i/>
        </w:rPr>
        <w:t>(v mld. Kč)</w:t>
      </w:r>
      <w:bookmarkEnd w:id="79"/>
    </w:p>
    <w:p w:rsidR="0013024E" w:rsidRPr="00505F90" w:rsidRDefault="00992C3F" w:rsidP="00497B37">
      <w:pPr>
        <w:pStyle w:val="SRtitulek1"/>
        <w:spacing w:before="120"/>
        <w:rPr>
          <w:i/>
        </w:rPr>
      </w:pPr>
      <w:r>
        <w:rPr>
          <w:noProof/>
        </w:rPr>
        <w:pict>
          <v:shape id="_x0000_i1027" type="#_x0000_t75" style="width:482.25pt;height:93.75pt">
            <v:imagedata r:id="rId45" o:title=""/>
          </v:shape>
        </w:pict>
      </w:r>
      <w:r w:rsidR="00B91823" w:rsidRPr="00505F90">
        <w:rPr>
          <w:i/>
        </w:rPr>
        <w:t xml:space="preserve"> </w:t>
      </w:r>
      <w:r w:rsidR="00E205C4" w:rsidRPr="00505F90">
        <w:rPr>
          <w:b w:val="0"/>
          <w:bCs w:val="0"/>
          <w:i/>
          <w:sz w:val="16"/>
        </w:rPr>
        <w:t>Poznámka: *) Mezi ostatní úpravy patří např. příjmy z tzv. superdividend apod. Zdroj: Výpočty a predikce MF ČR.</w:t>
      </w:r>
    </w:p>
    <w:p w:rsidR="004816F0" w:rsidRDefault="004816F0" w:rsidP="00497B37">
      <w:pPr>
        <w:pStyle w:val="SRtitulek1"/>
      </w:pPr>
      <w:bookmarkStart w:id="80" w:name="_Toc83882875"/>
      <w:r w:rsidRPr="00BD5391">
        <w:t xml:space="preserve">Tabulka </w:t>
      </w:r>
      <w:r w:rsidR="00D51DCA">
        <w:fldChar w:fldCharType="begin"/>
      </w:r>
      <w:r w:rsidR="00D51DCA">
        <w:instrText xml:space="preserve"> SEQ Tabulka \* ARABIC </w:instrText>
      </w:r>
      <w:r w:rsidR="00D51DCA">
        <w:fldChar w:fldCharType="separate"/>
      </w:r>
      <w:r w:rsidR="00D51DCA">
        <w:rPr>
          <w:noProof/>
        </w:rPr>
        <w:t>10</w:t>
      </w:r>
      <w:r w:rsidR="00D51DCA">
        <w:rPr>
          <w:noProof/>
        </w:rPr>
        <w:fldChar w:fldCharType="end"/>
      </w:r>
      <w:r w:rsidRPr="00BD5391">
        <w:t xml:space="preserve"> Shrnutí predikce celkových konsolidovaných příjmů státního rozpočtu a státních fondů </w:t>
      </w:r>
      <w:r w:rsidRPr="00BD5391">
        <w:rPr>
          <w:i/>
        </w:rPr>
        <w:t>(v mld. Kč)</w:t>
      </w:r>
      <w:bookmarkEnd w:id="80"/>
    </w:p>
    <w:p w:rsidR="00505F90" w:rsidRPr="00505F90" w:rsidRDefault="00992C3F" w:rsidP="00D13326">
      <w:pPr>
        <w:spacing w:after="0"/>
        <w:rPr>
          <w:i/>
          <w:sz w:val="16"/>
        </w:rPr>
      </w:pPr>
      <w:r>
        <w:rPr>
          <w:noProof/>
        </w:rPr>
        <w:pict>
          <v:shape id="_x0000_i1028" type="#_x0000_t75" style="width:482.25pt;height:59.75pt">
            <v:imagedata r:id="rId46" o:title=""/>
          </v:shape>
        </w:pict>
      </w:r>
      <w:r w:rsidR="00B91823" w:rsidRPr="00505F90">
        <w:rPr>
          <w:i/>
          <w:sz w:val="16"/>
        </w:rPr>
        <w:t>Poznámka: Výpočty a predikce MF ČR.</w:t>
      </w:r>
    </w:p>
    <w:p w:rsidR="00505F90" w:rsidRDefault="00505F90">
      <w:pPr>
        <w:spacing w:after="0"/>
        <w:jc w:val="left"/>
        <w:rPr>
          <w:i/>
          <w:sz w:val="16"/>
          <w:highlight w:val="cyan"/>
        </w:rPr>
      </w:pPr>
      <w:r>
        <w:rPr>
          <w:i/>
          <w:sz w:val="16"/>
          <w:highlight w:val="cyan"/>
        </w:rPr>
        <w:br w:type="page"/>
      </w:r>
    </w:p>
    <w:p w:rsidR="00AC310C" w:rsidRPr="00505F90" w:rsidRDefault="00AC310C" w:rsidP="005A27EF">
      <w:pPr>
        <w:pStyle w:val="SRNadpis2"/>
      </w:pPr>
      <w:bookmarkStart w:id="81" w:name="_Toc52369397"/>
      <w:bookmarkStart w:id="82" w:name="_Toc83882827"/>
      <w:r w:rsidRPr="00505F90">
        <w:lastRenderedPageBreak/>
        <w:t xml:space="preserve">Soulad </w:t>
      </w:r>
      <w:r w:rsidR="005112CE" w:rsidRPr="00505F90">
        <w:t xml:space="preserve">návrhu </w:t>
      </w:r>
      <w:r w:rsidRPr="00505F90">
        <w:t>střednědobého výhledu na léta 202</w:t>
      </w:r>
      <w:r w:rsidR="00483FAF" w:rsidRPr="00505F90">
        <w:t>3</w:t>
      </w:r>
      <w:r w:rsidRPr="00505F90">
        <w:t xml:space="preserve"> a 202</w:t>
      </w:r>
      <w:r w:rsidR="00483FAF" w:rsidRPr="00505F90">
        <w:t>4</w:t>
      </w:r>
      <w:r w:rsidRPr="00505F90">
        <w:t xml:space="preserve"> s výdajovým rá</w:t>
      </w:r>
      <w:r w:rsidRPr="00505F90">
        <w:t>m</w:t>
      </w:r>
      <w:r w:rsidRPr="00505F90">
        <w:t>cem</w:t>
      </w:r>
      <w:bookmarkEnd w:id="81"/>
      <w:bookmarkEnd w:id="82"/>
    </w:p>
    <w:p w:rsidR="00AC310C" w:rsidRPr="00956E98" w:rsidRDefault="00AC310C" w:rsidP="0076456D">
      <w:pPr>
        <w:spacing w:after="0"/>
        <w:jc w:val="left"/>
        <w:rPr>
          <w:highlight w:val="cyan"/>
        </w:rPr>
        <w:sectPr w:rsidR="00AC310C" w:rsidRPr="00956E98" w:rsidSect="00385A41">
          <w:type w:val="continuous"/>
          <w:pgSz w:w="11906" w:h="16838" w:code="9"/>
          <w:pgMar w:top="1134" w:right="1134" w:bottom="1418" w:left="1134" w:header="709" w:footer="709" w:gutter="0"/>
          <w:cols w:space="709"/>
          <w:docGrid w:linePitch="360"/>
        </w:sectPr>
      </w:pPr>
    </w:p>
    <w:p w:rsidR="005A27EF" w:rsidRDefault="005A27EF" w:rsidP="00BC5989">
      <w:pPr>
        <w:pStyle w:val="SRTextnomal"/>
        <w:sectPr w:rsidR="005A27EF" w:rsidSect="005A3381">
          <w:type w:val="continuous"/>
          <w:pgSz w:w="11906" w:h="16838" w:code="9"/>
          <w:pgMar w:top="1134" w:right="1134" w:bottom="1418" w:left="1134" w:header="709" w:footer="709" w:gutter="0"/>
          <w:cols w:num="2" w:space="397"/>
          <w:docGrid w:linePitch="360"/>
        </w:sectPr>
      </w:pPr>
    </w:p>
    <w:p w:rsidR="00C45C22" w:rsidRDefault="00F131A1" w:rsidP="00F21516">
      <w:pPr>
        <w:pStyle w:val="SRTextnomal"/>
      </w:pPr>
      <w:r w:rsidRPr="00543A8F">
        <w:lastRenderedPageBreak/>
        <w:t>Návrh příjmů a výdajů kapitol státního rozpočtu a stá</w:t>
      </w:r>
      <w:r w:rsidRPr="00543A8F">
        <w:t>t</w:t>
      </w:r>
      <w:r w:rsidRPr="00543A8F">
        <w:t>ních fondů na rok</w:t>
      </w:r>
      <w:r w:rsidR="00116C89">
        <w:t>y</w:t>
      </w:r>
      <w:r w:rsidRPr="00543A8F">
        <w:t xml:space="preserve"> 202</w:t>
      </w:r>
      <w:r w:rsidR="00116C89">
        <w:t>3 a 2024</w:t>
      </w:r>
      <w:r w:rsidRPr="00543A8F">
        <w:t xml:space="preserve"> je v souladu s konsolidovaným střednědobým výdajovým rámcem </w:t>
      </w:r>
      <w:r w:rsidRPr="00543A8F">
        <w:lastRenderedPageBreak/>
        <w:t>podle zákona o pravidlech rozpočtové odpovědnosti a</w:t>
      </w:r>
      <w:r w:rsidR="00D7218D">
        <w:t> </w:t>
      </w:r>
      <w:r w:rsidRPr="00543A8F">
        <w:t>podle zákona o rozpočtových pravidlech.</w:t>
      </w:r>
    </w:p>
    <w:p w:rsidR="00AC310C" w:rsidRDefault="00AC310C" w:rsidP="00AC310C">
      <w:pPr>
        <w:spacing w:after="0"/>
        <w:sectPr w:rsidR="00AC310C" w:rsidSect="005A3381">
          <w:type w:val="continuous"/>
          <w:pgSz w:w="11906" w:h="16838" w:code="9"/>
          <w:pgMar w:top="1134" w:right="1134" w:bottom="1418" w:left="1134" w:header="709" w:footer="709" w:gutter="0"/>
          <w:cols w:num="2" w:space="397"/>
          <w:docGrid w:linePitch="360"/>
        </w:sectPr>
      </w:pPr>
    </w:p>
    <w:p w:rsidR="00FA313B" w:rsidRDefault="00BB3FB6" w:rsidP="00294399">
      <w:pPr>
        <w:pStyle w:val="SRNadpisAB"/>
      </w:pPr>
      <w:bookmarkStart w:id="83" w:name="_Toc52369398"/>
      <w:bookmarkStart w:id="84" w:name="_Toc83882828"/>
      <w:r>
        <w:lastRenderedPageBreak/>
        <w:t>Vývoj základních ukazatelů střednědobého výhledu v letech 202</w:t>
      </w:r>
      <w:r w:rsidR="00B31FF9">
        <w:t>3</w:t>
      </w:r>
      <w:r>
        <w:t xml:space="preserve"> – 202</w:t>
      </w:r>
      <w:bookmarkEnd w:id="83"/>
      <w:r w:rsidR="00B31FF9">
        <w:t>4</w:t>
      </w:r>
      <w:bookmarkEnd w:id="84"/>
    </w:p>
    <w:p w:rsidR="00BB3FB6" w:rsidRDefault="00BB3FB6" w:rsidP="005A27EF">
      <w:pPr>
        <w:pStyle w:val="SRNadpis1"/>
      </w:pPr>
      <w:bookmarkStart w:id="85" w:name="_Toc52369399"/>
      <w:bookmarkStart w:id="86" w:name="_Toc83882829"/>
      <w:r>
        <w:t>Základní ukazatele státního rozpočtu ve střednědobém výhledu</w:t>
      </w:r>
      <w:bookmarkEnd w:id="85"/>
      <w:bookmarkEnd w:id="86"/>
    </w:p>
    <w:p w:rsidR="00BB3FB6" w:rsidRPr="00396180" w:rsidRDefault="00BB3FB6" w:rsidP="005A27EF">
      <w:pPr>
        <w:pStyle w:val="SRNadpis2"/>
      </w:pPr>
      <w:bookmarkStart w:id="87" w:name="_Toc52369400"/>
      <w:bookmarkStart w:id="88" w:name="_Toc83882830"/>
      <w:r w:rsidRPr="00396180">
        <w:t>Východiska zpracování střednědobého výhledu</w:t>
      </w:r>
      <w:bookmarkEnd w:id="87"/>
      <w:bookmarkEnd w:id="88"/>
    </w:p>
    <w:p w:rsidR="00666155" w:rsidRPr="00396180" w:rsidRDefault="00666155" w:rsidP="00666155">
      <w:pPr>
        <w:numPr>
          <w:ilvl w:val="0"/>
          <w:numId w:val="19"/>
        </w:numPr>
        <w:tabs>
          <w:tab w:val="clear" w:pos="170"/>
          <w:tab w:val="num" w:pos="540"/>
        </w:tabs>
        <w:spacing w:after="0" w:line="360" w:lineRule="auto"/>
        <w:ind w:left="540" w:hanging="540"/>
        <w:sectPr w:rsidR="00666155" w:rsidRPr="00396180" w:rsidSect="00385A41">
          <w:type w:val="continuous"/>
          <w:pgSz w:w="11906" w:h="16838" w:code="9"/>
          <w:pgMar w:top="1134" w:right="1134" w:bottom="1418" w:left="1134" w:header="709" w:footer="709" w:gutter="0"/>
          <w:cols w:space="709"/>
          <w:docGrid w:linePitch="360"/>
        </w:sectPr>
      </w:pPr>
    </w:p>
    <w:p w:rsidR="00396180" w:rsidRDefault="00523789" w:rsidP="0058224E">
      <w:pPr>
        <w:pStyle w:val="SROdrka"/>
      </w:pPr>
      <w:r w:rsidRPr="00396180">
        <w:lastRenderedPageBreak/>
        <w:t>Programové prohlášení vlády České republiky;</w:t>
      </w:r>
    </w:p>
    <w:p w:rsidR="00691E78" w:rsidRDefault="00691E78" w:rsidP="0058224E">
      <w:pPr>
        <w:pStyle w:val="SROdrka"/>
      </w:pPr>
      <w:r>
        <w:t>Střednědobý výhled státního rozpočtu České repu</w:t>
      </w:r>
      <w:r>
        <w:t>b</w:t>
      </w:r>
      <w:r w:rsidR="005255F7">
        <w:t>liky na léta 2022 a 2023 schválený usnesení</w:t>
      </w:r>
      <w:r w:rsidR="00901780">
        <w:t>m</w:t>
      </w:r>
      <w:r w:rsidR="005255F7">
        <w:t xml:space="preserve"> vlády České republiky č. 1054 ze dne 19. října 2020;</w:t>
      </w:r>
    </w:p>
    <w:p w:rsidR="00523789" w:rsidRPr="00396180" w:rsidRDefault="00396180" w:rsidP="0058224E">
      <w:pPr>
        <w:pStyle w:val="SROdrka"/>
      </w:pPr>
      <w:r>
        <w:t xml:space="preserve">Makroekonomická predikce České republiky </w:t>
      </w:r>
      <w:r w:rsidRPr="00396180">
        <w:t>do roku 2024 (zpracovaná Ministerstvem financí v srpnu 2021</w:t>
      </w:r>
      <w:r w:rsidR="003C2D4E">
        <w:t>)</w:t>
      </w:r>
      <w:r>
        <w:t>;</w:t>
      </w:r>
    </w:p>
    <w:p w:rsidR="00523789" w:rsidRPr="00396180" w:rsidRDefault="00396180" w:rsidP="0058224E">
      <w:pPr>
        <w:pStyle w:val="SROdrka"/>
      </w:pPr>
      <w:r w:rsidRPr="00396180">
        <w:t>Konvergenční program České republiky schválený usnesením vlády č. 402 ze dne 26. dubna 2021</w:t>
      </w:r>
      <w:r w:rsidR="00523789" w:rsidRPr="00396180">
        <w:t xml:space="preserve">; </w:t>
      </w:r>
    </w:p>
    <w:p w:rsidR="00BD3566" w:rsidRDefault="00396180" w:rsidP="004B786E">
      <w:pPr>
        <w:pStyle w:val="SROdrka"/>
      </w:pPr>
      <w:r>
        <w:lastRenderedPageBreak/>
        <w:t>Ministerstvem financí stanovená výše strukturálního salda veřejných financí podle zákona č. 23/2017 Sb., o pravidlech rozpočtové odpovědnosti, ve znění po</w:t>
      </w:r>
      <w:r>
        <w:t>z</w:t>
      </w:r>
      <w:r>
        <w:t>dějších předpisů</w:t>
      </w:r>
      <w:r w:rsidR="00BD3566">
        <w:t>;</w:t>
      </w:r>
    </w:p>
    <w:p w:rsidR="00523789" w:rsidRPr="00396180" w:rsidRDefault="004D7E1C" w:rsidP="004B786E">
      <w:pPr>
        <w:pStyle w:val="SROdrka"/>
      </w:pPr>
      <w:r>
        <w:t>Aktuální v</w:t>
      </w:r>
      <w:r w:rsidR="00BD3566">
        <w:t>ývoj hospodaření státního rozpočtu v roce 2021 a skutečn</w:t>
      </w:r>
      <w:r w:rsidR="002E383E">
        <w:t>é</w:t>
      </w:r>
      <w:r w:rsidR="00BD3566">
        <w:t xml:space="preserve"> plnění </w:t>
      </w:r>
      <w:r>
        <w:t xml:space="preserve">státního rozpočtu </w:t>
      </w:r>
      <w:r w:rsidR="00BD3566">
        <w:t>za rok 2020.</w:t>
      </w:r>
    </w:p>
    <w:p w:rsidR="00666155" w:rsidRPr="008C49A5" w:rsidRDefault="00666155" w:rsidP="00BC5989">
      <w:pPr>
        <w:pStyle w:val="SRTextnomal"/>
      </w:pPr>
      <w:r w:rsidRPr="00396180">
        <w:t>Souhrnnou bilanci základních ukazatelů státního rozpo</w:t>
      </w:r>
      <w:r w:rsidRPr="00396180">
        <w:t>č</w:t>
      </w:r>
      <w:r w:rsidRPr="00396180">
        <w:t>tu v letech 201</w:t>
      </w:r>
      <w:r w:rsidR="00F17155">
        <w:t>7</w:t>
      </w:r>
      <w:r w:rsidRPr="00396180">
        <w:t> - 202</w:t>
      </w:r>
      <w:r w:rsidR="005A1BD9" w:rsidRPr="00396180">
        <w:t>4</w:t>
      </w:r>
      <w:r w:rsidRPr="00396180">
        <w:t xml:space="preserve"> </w:t>
      </w:r>
      <w:r w:rsidR="003C2D4E">
        <w:t>ukazu</w:t>
      </w:r>
      <w:r w:rsidRPr="00396180">
        <w:t>je následující tabulka.</w:t>
      </w:r>
    </w:p>
    <w:p w:rsidR="00666155" w:rsidRDefault="00666155" w:rsidP="00666155">
      <w:pPr>
        <w:sectPr w:rsidR="00666155" w:rsidSect="00385A41">
          <w:type w:val="continuous"/>
          <w:pgSz w:w="11906" w:h="16838" w:code="9"/>
          <w:pgMar w:top="1134" w:right="1134" w:bottom="1418" w:left="1134" w:header="709" w:footer="709" w:gutter="0"/>
          <w:cols w:num="2" w:space="397"/>
          <w:docGrid w:linePitch="360"/>
        </w:sectPr>
      </w:pPr>
    </w:p>
    <w:p w:rsidR="00FB44F2" w:rsidRDefault="00FB44F2" w:rsidP="00FB44F2">
      <w:pPr>
        <w:pStyle w:val="SRtitulek1"/>
      </w:pPr>
      <w:bookmarkStart w:id="89" w:name="_Toc83882876"/>
      <w:r>
        <w:lastRenderedPageBreak/>
        <w:t xml:space="preserve">Tabulka </w:t>
      </w:r>
      <w:r w:rsidR="00D51DCA">
        <w:fldChar w:fldCharType="begin"/>
      </w:r>
      <w:r w:rsidR="00D51DCA">
        <w:instrText xml:space="preserve"> SEQ Tabulka \* ARABIC </w:instrText>
      </w:r>
      <w:r w:rsidR="00D51DCA">
        <w:fldChar w:fldCharType="separate"/>
      </w:r>
      <w:r w:rsidR="00D51DCA">
        <w:rPr>
          <w:noProof/>
        </w:rPr>
        <w:t>11</w:t>
      </w:r>
      <w:r w:rsidR="00D51DCA">
        <w:rPr>
          <w:noProof/>
        </w:rPr>
        <w:fldChar w:fldCharType="end"/>
      </w:r>
      <w:r>
        <w:t xml:space="preserve"> </w:t>
      </w:r>
      <w:r w:rsidRPr="005D39FF">
        <w:t>Celkové příjmy, celkové výdaje a saldo státního rozpočtu v letech 201</w:t>
      </w:r>
      <w:r>
        <w:t>7</w:t>
      </w:r>
      <w:r w:rsidRPr="005D39FF">
        <w:t xml:space="preserve"> – 2024 </w:t>
      </w:r>
      <w:r w:rsidRPr="005D39FF">
        <w:rPr>
          <w:i/>
        </w:rPr>
        <w:t>(v mld. Kč)</w:t>
      </w:r>
      <w:bookmarkEnd w:id="89"/>
    </w:p>
    <w:p w:rsidR="009E0CDC" w:rsidRPr="009E0CDC" w:rsidRDefault="00992C3F" w:rsidP="00907CBF">
      <w:pPr>
        <w:rPr>
          <w:i/>
        </w:rPr>
      </w:pPr>
      <w:r>
        <w:rPr>
          <w:noProof/>
        </w:rPr>
        <w:pict>
          <v:shape id="_x0000_i1029" type="#_x0000_t75" style="width:481.6pt;height:111.4pt">
            <v:imagedata r:id="rId47" o:title=""/>
          </v:shape>
        </w:pict>
      </w:r>
      <w:r w:rsidR="009E0CDC" w:rsidRPr="009E0CDC">
        <w:rPr>
          <w:i/>
        </w:rPr>
        <w:t>Poznámka: příjmy a výdaje bez EU a FM a v kapitole Ministerstva zemědělství bez účetních operací v rámci PRV.</w:t>
      </w:r>
    </w:p>
    <w:p w:rsidR="00907CBF" w:rsidRPr="00404A34" w:rsidRDefault="00147F82" w:rsidP="005A27EF">
      <w:pPr>
        <w:pStyle w:val="SRNadpis2"/>
      </w:pPr>
      <w:bookmarkStart w:id="90" w:name="_Toc52369401"/>
      <w:bookmarkStart w:id="91" w:name="_Toc83882831"/>
      <w:r w:rsidRPr="00404A34">
        <w:t>Predikce příjmů</w:t>
      </w:r>
      <w:bookmarkEnd w:id="90"/>
      <w:bookmarkEnd w:id="91"/>
    </w:p>
    <w:p w:rsidR="004837BE" w:rsidRDefault="004837BE" w:rsidP="000565F9">
      <w:pPr>
        <w:pStyle w:val="SRtitulek1"/>
      </w:pPr>
      <w:bookmarkStart w:id="92" w:name="_Toc83882877"/>
      <w:r>
        <w:t xml:space="preserve">Tabulka </w:t>
      </w:r>
      <w:r w:rsidR="00D51DCA">
        <w:fldChar w:fldCharType="begin"/>
      </w:r>
      <w:r w:rsidR="00D51DCA">
        <w:instrText xml:space="preserve"> SEQ Tabulka \* ARABIC </w:instrText>
      </w:r>
      <w:r w:rsidR="00D51DCA">
        <w:fldChar w:fldCharType="separate"/>
      </w:r>
      <w:r w:rsidR="00D51DCA">
        <w:rPr>
          <w:noProof/>
        </w:rPr>
        <w:t>12</w:t>
      </w:r>
      <w:r w:rsidR="00D51DCA">
        <w:rPr>
          <w:noProof/>
        </w:rPr>
        <w:fldChar w:fldCharType="end"/>
      </w:r>
      <w:r w:rsidRPr="004837BE">
        <w:t xml:space="preserve"> </w:t>
      </w:r>
      <w:r w:rsidRPr="00404A34">
        <w:t>Vývoj příjmů státního rozpočtu v letech 201</w:t>
      </w:r>
      <w:r>
        <w:t>7</w:t>
      </w:r>
      <w:r w:rsidRPr="00404A34">
        <w:t xml:space="preserve"> – 2024 </w:t>
      </w:r>
      <w:r w:rsidRPr="00404A34">
        <w:rPr>
          <w:i/>
        </w:rPr>
        <w:t>(v mld. Kč)</w:t>
      </w:r>
      <w:bookmarkEnd w:id="92"/>
    </w:p>
    <w:p w:rsidR="009943F2" w:rsidRDefault="00992C3F" w:rsidP="00B8067E">
      <w:pPr>
        <w:rPr>
          <w:i/>
        </w:rPr>
      </w:pPr>
      <w:r>
        <w:rPr>
          <w:noProof/>
        </w:rPr>
        <w:pict>
          <v:shape id="_x0000_i1030" type="#_x0000_t75" style="width:482.25pt;height:117.5pt">
            <v:imagedata r:id="rId48" o:title=""/>
          </v:shape>
        </w:pict>
      </w:r>
      <w:r w:rsidR="009E0CDC" w:rsidRPr="00626511">
        <w:rPr>
          <w:i/>
        </w:rPr>
        <w:t>Poznámka: příjmy bez EU a FM a v kapitole Ministerstva zemědělství bez účetních operací v rámci PRV.</w:t>
      </w:r>
    </w:p>
    <w:p w:rsidR="009943F2" w:rsidRDefault="009943F2">
      <w:pPr>
        <w:spacing w:after="0"/>
        <w:jc w:val="left"/>
        <w:rPr>
          <w:i/>
        </w:rPr>
      </w:pPr>
      <w:r>
        <w:rPr>
          <w:i/>
        </w:rPr>
        <w:br w:type="page"/>
      </w:r>
    </w:p>
    <w:p w:rsidR="00147F82" w:rsidRPr="00BF309B" w:rsidRDefault="00147F82" w:rsidP="000E1558">
      <w:pPr>
        <w:pStyle w:val="SRNadpis3"/>
      </w:pPr>
      <w:bookmarkStart w:id="93" w:name="_Toc52369402"/>
      <w:bookmarkStart w:id="94" w:name="_Toc83882832"/>
      <w:r w:rsidRPr="00BF309B">
        <w:lastRenderedPageBreak/>
        <w:t>Daňové příjmy státního rozpočtu</w:t>
      </w:r>
      <w:bookmarkEnd w:id="93"/>
      <w:bookmarkEnd w:id="94"/>
    </w:p>
    <w:p w:rsidR="00147F82" w:rsidRDefault="00147F82" w:rsidP="00EF6FCE">
      <w:pPr>
        <w:pStyle w:val="SRNadpis4"/>
      </w:pPr>
      <w:r>
        <w:t>Vývoj daňové kvóty</w:t>
      </w:r>
    </w:p>
    <w:p w:rsidR="009F20A1" w:rsidRDefault="009F20A1" w:rsidP="009F20A1">
      <w:pPr>
        <w:sectPr w:rsidR="009F20A1" w:rsidSect="00385A41">
          <w:type w:val="continuous"/>
          <w:pgSz w:w="11906" w:h="16838" w:code="9"/>
          <w:pgMar w:top="1134" w:right="1134" w:bottom="1418" w:left="1134" w:header="709" w:footer="709" w:gutter="0"/>
          <w:cols w:space="709"/>
          <w:docGrid w:linePitch="360"/>
        </w:sectPr>
      </w:pPr>
    </w:p>
    <w:p w:rsidR="0020169C" w:rsidRDefault="0020169C" w:rsidP="0020169C">
      <w:r>
        <w:lastRenderedPageBreak/>
        <w:t>Jednoduchá daňová kvóta zahrnuje pouze daňové příjmy veřejných rozpočtů, které se jako daně skutečně označ</w:t>
      </w:r>
      <w:r>
        <w:t>u</w:t>
      </w:r>
      <w:r>
        <w:t>jí. Naproti tomu složená daňová kvóta zahrnuje kromě výše zmíněných daňových příjmů i příjmy z povinného pojistného na sociální zabezpečení a příspěvek na státní politiku zaměstnanosti i příjmy z povinného pojistného na zdravotní pojištění. Tato kvóta je komplexnějším uk</w:t>
      </w:r>
      <w:r>
        <w:t>a</w:t>
      </w:r>
      <w:r>
        <w:t>zatelem daňového zatížení.</w:t>
      </w:r>
    </w:p>
    <w:p w:rsidR="0020169C" w:rsidRDefault="0020169C" w:rsidP="0020169C">
      <w:r>
        <w:t>Pro všechny metodiky výpočtů daňových kvót je spole</w:t>
      </w:r>
      <w:r>
        <w:t>č</w:t>
      </w:r>
      <w:r>
        <w:t>né, že jmenovatelem vždy zůstává hodnota nominálního HDP a liší se tedy pouze hodnoty v čitateli podle toho, co jednotlivé metodiky definují jako daňové příjmy. Daňové příjmy v čitateli mohou být na hotovostním nebo na a</w:t>
      </w:r>
      <w:r>
        <w:t>k</w:t>
      </w:r>
      <w:r>
        <w:t>ruálním principu. Akruální princip je založen na tom, že příjmy jsou evidovány v době, kdy nastaly ekonomické skutečnosti, které zavdaly příčinu zdanění, a nikoli v okamžiku, kdy jsou peníze přijaty na účet.</w:t>
      </w:r>
    </w:p>
    <w:p w:rsidR="0020169C" w:rsidRDefault="0020169C" w:rsidP="0020169C">
      <w:r>
        <w:lastRenderedPageBreak/>
        <w:t>Národní metodika dle rozpočtové skladby je založena na hotovostním základě, stejně jako státní rozpočet a v</w:t>
      </w:r>
      <w:r>
        <w:t>y</w:t>
      </w:r>
      <w:r>
        <w:t>chází z rozpočtové skladby daňových příjmů platných v</w:t>
      </w:r>
      <w:r w:rsidR="002B123A">
        <w:t> </w:t>
      </w:r>
      <w:r>
        <w:t>ČR.</w:t>
      </w:r>
    </w:p>
    <w:p w:rsidR="009F20A1" w:rsidRPr="009F20A1" w:rsidRDefault="0020169C" w:rsidP="009F20A1">
      <w:r w:rsidRPr="0020169C">
        <w:t>Pokles daňové kvóty od r. 2020 je způsoben především opatřeními přijatými v souvislosti s pandemií onemo</w:t>
      </w:r>
      <w:r w:rsidRPr="0020169C">
        <w:t>c</w:t>
      </w:r>
      <w:r w:rsidRPr="0020169C">
        <w:t>nění Covid-19. Jedná se mimo jiné o zrušení daně z n</w:t>
      </w:r>
      <w:r w:rsidRPr="0020169C">
        <w:t>a</w:t>
      </w:r>
      <w:r w:rsidRPr="0020169C">
        <w:t>bytí nemovitých věcí či o výplatu kompenzačních bonusů v roce 2020 a 2021. Další pokles daňové kvóty od r. 2021 rovněž souvisí s opatřeními přijatými v roce 2020, jde především o zrušení superhrubé mzdy při sazbách 15 % a 23 % a postupné zvyšování slevy na poplatníka. Dalšími opatřeními, s dočasným vlivem na daňovou kvótu, jsou zavedení zpětného uplatnění ztráty, či mimořádných odpisů pro vybrané druhy dlouhodobého majetku.</w:t>
      </w:r>
      <w:r>
        <w:t xml:space="preserve"> </w:t>
      </w:r>
    </w:p>
    <w:p w:rsidR="009F20A1" w:rsidRDefault="009F20A1" w:rsidP="00BD76A8">
      <w:pPr>
        <w:pStyle w:val="SRtitulek1"/>
        <w:sectPr w:rsidR="009F20A1" w:rsidSect="00385A41">
          <w:type w:val="continuous"/>
          <w:pgSz w:w="11906" w:h="16838" w:code="9"/>
          <w:pgMar w:top="1134" w:right="1134" w:bottom="1418" w:left="1134" w:header="709" w:footer="709" w:gutter="0"/>
          <w:cols w:num="2" w:space="397"/>
          <w:docGrid w:linePitch="360"/>
        </w:sectPr>
      </w:pPr>
    </w:p>
    <w:p w:rsidR="004837BE" w:rsidRDefault="004837BE" w:rsidP="000565F9">
      <w:pPr>
        <w:pStyle w:val="SRtitulek1"/>
      </w:pPr>
      <w:bookmarkStart w:id="95" w:name="_Toc83882878"/>
      <w:r>
        <w:lastRenderedPageBreak/>
        <w:t xml:space="preserve">Tabulka </w:t>
      </w:r>
      <w:r w:rsidR="00D51DCA">
        <w:fldChar w:fldCharType="begin"/>
      </w:r>
      <w:r w:rsidR="00D51DCA">
        <w:instrText xml:space="preserve"> SEQ Tabulka \* ARABIC </w:instrText>
      </w:r>
      <w:r w:rsidR="00D51DCA">
        <w:fldChar w:fldCharType="separate"/>
      </w:r>
      <w:r w:rsidR="00D51DCA">
        <w:rPr>
          <w:noProof/>
        </w:rPr>
        <w:t>13</w:t>
      </w:r>
      <w:r w:rsidR="00D51DCA">
        <w:rPr>
          <w:noProof/>
        </w:rPr>
        <w:fldChar w:fldCharType="end"/>
      </w:r>
      <w:r w:rsidRPr="004837BE">
        <w:t xml:space="preserve"> </w:t>
      </w:r>
      <w:r w:rsidRPr="00BF309B">
        <w:t xml:space="preserve">Vývoj daňové kvóty dle rozpočtové skladby v ČR v letech 2014 – 2024 </w:t>
      </w:r>
      <w:r w:rsidRPr="00BF309B">
        <w:rPr>
          <w:i/>
        </w:rPr>
        <w:t>(v %)</w:t>
      </w:r>
      <w:bookmarkEnd w:id="95"/>
    </w:p>
    <w:p w:rsidR="008A0150" w:rsidRPr="008A0150" w:rsidRDefault="00992C3F" w:rsidP="008A0150">
      <w:r>
        <w:rPr>
          <w:noProof/>
        </w:rPr>
        <w:pict>
          <v:shape id="_x0000_i1031" type="#_x0000_t75" style="width:482.25pt;height:65.2pt">
            <v:imagedata r:id="rId49" o:title=""/>
          </v:shape>
        </w:pict>
      </w:r>
    </w:p>
    <w:p w:rsidR="00147F82" w:rsidRDefault="00147F82" w:rsidP="00EF6FCE">
      <w:pPr>
        <w:pStyle w:val="SRNadpis4"/>
      </w:pPr>
      <w:r>
        <w:t>Daňové příjmy podle jednotlivých daní</w:t>
      </w:r>
    </w:p>
    <w:p w:rsidR="004837BE" w:rsidRDefault="004837BE" w:rsidP="000565F9">
      <w:pPr>
        <w:pStyle w:val="SRtitulek1"/>
      </w:pPr>
      <w:bookmarkStart w:id="96" w:name="_Toc83882879"/>
      <w:r>
        <w:t xml:space="preserve">Tabulka </w:t>
      </w:r>
      <w:r w:rsidR="00D51DCA">
        <w:fldChar w:fldCharType="begin"/>
      </w:r>
      <w:r w:rsidR="00D51DCA">
        <w:instrText xml:space="preserve"> SEQ Tabulka \* ARABIC </w:instrText>
      </w:r>
      <w:r w:rsidR="00D51DCA">
        <w:fldChar w:fldCharType="separate"/>
      </w:r>
      <w:r w:rsidR="00D51DCA">
        <w:rPr>
          <w:noProof/>
        </w:rPr>
        <w:t>14</w:t>
      </w:r>
      <w:r w:rsidR="00D51DCA">
        <w:rPr>
          <w:noProof/>
        </w:rPr>
        <w:fldChar w:fldCharType="end"/>
      </w:r>
      <w:r w:rsidRPr="004837BE">
        <w:t xml:space="preserve"> </w:t>
      </w:r>
      <w:r w:rsidRPr="002A56DC">
        <w:t>Vývoj daňových příjmů v letech 201</w:t>
      </w:r>
      <w:r>
        <w:t>7</w:t>
      </w:r>
      <w:r w:rsidRPr="002A56DC">
        <w:t xml:space="preserve"> – 2024 </w:t>
      </w:r>
      <w:r w:rsidRPr="002A56DC">
        <w:rPr>
          <w:i/>
        </w:rPr>
        <w:t>(v mld. Kč)</w:t>
      </w:r>
      <w:bookmarkEnd w:id="96"/>
    </w:p>
    <w:p w:rsidR="009943F2" w:rsidRDefault="00992C3F" w:rsidP="008A0150">
      <w:pPr>
        <w:rPr>
          <w:noProof/>
        </w:rPr>
      </w:pPr>
      <w:r>
        <w:rPr>
          <w:noProof/>
        </w:rPr>
        <w:pict>
          <v:shape id="_x0000_i1032" type="#_x0000_t75" style="width:482.25pt;height:243.15pt">
            <v:imagedata r:id="rId50" o:title=""/>
          </v:shape>
        </w:pict>
      </w:r>
    </w:p>
    <w:p w:rsidR="009943F2" w:rsidRDefault="009943F2">
      <w:pPr>
        <w:spacing w:after="0"/>
        <w:jc w:val="left"/>
        <w:rPr>
          <w:noProof/>
        </w:rPr>
      </w:pPr>
      <w:r>
        <w:rPr>
          <w:noProof/>
        </w:rPr>
        <w:br w:type="page"/>
      </w:r>
    </w:p>
    <w:p w:rsidR="00147F82" w:rsidRDefault="00147F82" w:rsidP="00EF6FCE">
      <w:pPr>
        <w:pStyle w:val="SRNadpis4"/>
      </w:pPr>
      <w:r>
        <w:lastRenderedPageBreak/>
        <w:t>Daň z přidané hodnoty</w:t>
      </w:r>
    </w:p>
    <w:p w:rsidR="00E42EFD" w:rsidRDefault="00E42EFD" w:rsidP="00E42EFD">
      <w:pPr>
        <w:sectPr w:rsidR="00E42EFD" w:rsidSect="00385A41">
          <w:type w:val="continuous"/>
          <w:pgSz w:w="11906" w:h="16838" w:code="9"/>
          <w:pgMar w:top="1134" w:right="1134" w:bottom="1418" w:left="1134" w:header="709" w:footer="709" w:gutter="0"/>
          <w:cols w:space="709"/>
          <w:docGrid w:linePitch="360"/>
        </w:sectPr>
      </w:pPr>
    </w:p>
    <w:p w:rsidR="0047444A" w:rsidRDefault="0047444A" w:rsidP="005E56DB">
      <w:pPr>
        <w:pStyle w:val="SRTextnomal"/>
      </w:pPr>
      <w:r>
        <w:lastRenderedPageBreak/>
        <w:t>V roce 2023 je předpokládané inkaso DPH na úrovni státního rozpočtu 321,9 mld. Kč. Meziročně tak dojde k</w:t>
      </w:r>
      <w:r w:rsidR="00550345">
        <w:t> </w:t>
      </w:r>
      <w:r>
        <w:t xml:space="preserve">nárůstu inkasa o </w:t>
      </w:r>
      <w:r w:rsidRPr="005E56DB">
        <w:t>cca</w:t>
      </w:r>
      <w:r>
        <w:t xml:space="preserve"> 4,5 %, tj. 14,0 mld. Kč. Pozitivní vývoj inkasa DPH je způsoben především ekonomickým růstem, oživením cestovního ruchu a promítnutím zle</w:t>
      </w:r>
      <w:r>
        <w:t>p</w:t>
      </w:r>
      <w:r>
        <w:t>šení výběru daně plynoucího z dříve zavedených opatř</w:t>
      </w:r>
      <w:r>
        <w:t>e</w:t>
      </w:r>
      <w:r>
        <w:t>ní, a to i přes negativní dopady opatření zavedených v</w:t>
      </w:r>
      <w:r w:rsidR="00550345">
        <w:t> </w:t>
      </w:r>
      <w:r>
        <w:t>předchozích letech, jako je přesun části služeb a zboží (zejména služby s vysokým podílem lidské práce, strav</w:t>
      </w:r>
      <w:r>
        <w:t>o</w:t>
      </w:r>
      <w:r>
        <w:t xml:space="preserve">vací služby, točené pivo, pitná voda, vodné a stočné), pozemní a vodní hromadné pravidelné dopravy osob, tepla, chladu, ubytovacích služeb, vstupného na kulturní </w:t>
      </w:r>
      <w:r>
        <w:lastRenderedPageBreak/>
        <w:t>akce a sportovní události, vstupného na sportoviště do</w:t>
      </w:r>
      <w:r w:rsidR="00550345">
        <w:t> </w:t>
      </w:r>
      <w:r>
        <w:t>10% sazby.</w:t>
      </w:r>
    </w:p>
    <w:p w:rsidR="0047444A" w:rsidRDefault="0047444A" w:rsidP="005E56DB">
      <w:pPr>
        <w:pStyle w:val="SRTextnomal"/>
      </w:pPr>
      <w:r>
        <w:t>V roce 2024 je předpokládané inkaso DPH na úrovni státního rozpočtu 329,5 mld. Kč. Meziročně tak dojde k</w:t>
      </w:r>
      <w:r w:rsidR="00550345">
        <w:t> </w:t>
      </w:r>
      <w:r>
        <w:t>nárůstu inkasa o cca 2,4 %, tj. 7,6 mld. Kč. Pozitivní v</w:t>
      </w:r>
      <w:r>
        <w:t>ý</w:t>
      </w:r>
      <w:r>
        <w:t>voj inkasa DPH je způsoben především ekonomickým růstem, oživením cestovního ruchu a promítnutím zle</w:t>
      </w:r>
      <w:r>
        <w:t>p</w:t>
      </w:r>
      <w:r>
        <w:t>šení výběru daně plynoucího z dříve zavedených opatř</w:t>
      </w:r>
      <w:r>
        <w:t>e</w:t>
      </w:r>
      <w:r>
        <w:t>ní, a to i přes negativní dopady opatření zavedených v</w:t>
      </w:r>
      <w:r w:rsidR="00550345">
        <w:t> </w:t>
      </w:r>
      <w:r>
        <w:t xml:space="preserve">předchozích letech, jako je přesun části služeb a zboží do 10% sazby. </w:t>
      </w:r>
    </w:p>
    <w:p w:rsidR="00D77CB1" w:rsidRDefault="00D77CB1" w:rsidP="00E42EFD"/>
    <w:p w:rsidR="002C6D1C" w:rsidRDefault="002C6D1C" w:rsidP="00E42EFD">
      <w:pPr>
        <w:sectPr w:rsidR="002C6D1C" w:rsidSect="00385A41">
          <w:type w:val="continuous"/>
          <w:pgSz w:w="11906" w:h="16838" w:code="9"/>
          <w:pgMar w:top="1134" w:right="1134" w:bottom="1418" w:left="1134" w:header="709" w:footer="709" w:gutter="0"/>
          <w:cols w:num="2" w:space="397"/>
          <w:docGrid w:linePitch="360"/>
        </w:sectPr>
      </w:pPr>
    </w:p>
    <w:p w:rsidR="00147F82" w:rsidRDefault="00147F82" w:rsidP="00EF6FCE">
      <w:pPr>
        <w:pStyle w:val="SRNadpis4"/>
      </w:pPr>
      <w:r w:rsidRPr="00446B9F">
        <w:lastRenderedPageBreak/>
        <w:t>Spotřební</w:t>
      </w:r>
      <w:r>
        <w:t xml:space="preserve"> daně</w:t>
      </w:r>
    </w:p>
    <w:p w:rsidR="00E42EFD" w:rsidRDefault="00E42EFD" w:rsidP="00E42EFD">
      <w:pPr>
        <w:sectPr w:rsidR="00E42EFD" w:rsidSect="00385A41">
          <w:type w:val="continuous"/>
          <w:pgSz w:w="11906" w:h="16838" w:code="9"/>
          <w:pgMar w:top="1134" w:right="1134" w:bottom="1418" w:left="1134" w:header="709" w:footer="709" w:gutter="0"/>
          <w:cols w:space="709"/>
          <w:docGrid w:linePitch="360"/>
        </w:sectPr>
      </w:pPr>
    </w:p>
    <w:p w:rsidR="0047444A" w:rsidRDefault="0047444A" w:rsidP="005E56DB">
      <w:pPr>
        <w:pStyle w:val="SRTextnomal"/>
      </w:pPr>
      <w:r>
        <w:lastRenderedPageBreak/>
        <w:t>Příjem státního rozpočtu v oblasti spotřební daně min</w:t>
      </w:r>
      <w:r>
        <w:t>e</w:t>
      </w:r>
      <w:r>
        <w:t>rálních olejů je v roc</w:t>
      </w:r>
      <w:r w:rsidR="00F17155">
        <w:t>e 2023 odhadován na úrovni 78,8 </w:t>
      </w:r>
      <w:r>
        <w:t>mld. Kč a v roce 202</w:t>
      </w:r>
      <w:r w:rsidR="00C065D5">
        <w:t>4</w:t>
      </w:r>
      <w:r>
        <w:t xml:space="preserve"> na 80,4 mld. Kč. Inkaso se dle předpokladu vrátí k rostoucímu trendu, který však v d</w:t>
      </w:r>
      <w:r>
        <w:t>ů</w:t>
      </w:r>
      <w:r>
        <w:t>sledku vývoje ekonomiky nebude tak výrazný jako v</w:t>
      </w:r>
      <w:r w:rsidR="00744CD2">
        <w:t> </w:t>
      </w:r>
      <w:r>
        <w:t xml:space="preserve">předchozích letech. </w:t>
      </w:r>
    </w:p>
    <w:p w:rsidR="0047444A" w:rsidRDefault="0047444A" w:rsidP="005E56DB">
      <w:pPr>
        <w:pStyle w:val="SRTextnomal"/>
      </w:pPr>
      <w:r>
        <w:t>Rok 2023 je posledním rokem tzv. tříletého plánu zvyš</w:t>
      </w:r>
      <w:r>
        <w:t>o</w:t>
      </w:r>
      <w:r>
        <w:t>vání sazeb spotřební daně z tabákových výrobků. So</w:t>
      </w:r>
      <w:r>
        <w:t>u</w:t>
      </w:r>
      <w:r>
        <w:t>hrnné inkaso spotřební daně z cigaret, doutníků, cigarillos, tabáku ke kouření, surového tabáku a zahřív</w:t>
      </w:r>
      <w:r>
        <w:t>a</w:t>
      </w:r>
      <w:r>
        <w:t xml:space="preserve">ných tabákových výrobků je pro tento rok odhadováno </w:t>
      </w:r>
      <w:r>
        <w:lastRenderedPageBreak/>
        <w:t>ve výši 74,6 mld. Kč (včetně dodatečného inkasa za tříl</w:t>
      </w:r>
      <w:r>
        <w:t>e</w:t>
      </w:r>
      <w:r>
        <w:t>tý plán 2,4 mld. Kč) a pro rok 2024 ve výši 74,4 mld. Kč.</w:t>
      </w:r>
    </w:p>
    <w:p w:rsidR="002E634A" w:rsidRDefault="0047444A" w:rsidP="005E56DB">
      <w:pPr>
        <w:pStyle w:val="SRTextnomal"/>
      </w:pPr>
      <w:r>
        <w:t>Plánovaný výnos inkasa ostatních spotřebních daní by se již měl v dalších letech stabilizovat a činí pro roky 2023 a</w:t>
      </w:r>
      <w:r w:rsidR="00744CD2">
        <w:t> </w:t>
      </w:r>
      <w:r>
        <w:t>2024 v případě spotřební daně z piva 4,8 mld. Kč, z lihu v roce 2023 9,3 mld. Kč a v roce 2024 9,4 mld. Kč a v př</w:t>
      </w:r>
      <w:r>
        <w:t>í</w:t>
      </w:r>
      <w:r>
        <w:t>padě vína 0,4 mld. Kč v obou letech. V oblasti energeti</w:t>
      </w:r>
      <w:r>
        <w:t>c</w:t>
      </w:r>
      <w:r>
        <w:t>kých daní, tj. daň z elektřiny, zemního plynu a pevných paliv, je v roce 2023 očekáván příjem státního rozpočtu ve výši 3,4 mld. Kč a v roce 2024 ve výši 3,5 mld. Kč.</w:t>
      </w:r>
    </w:p>
    <w:p w:rsidR="002C6D1C" w:rsidRDefault="002C6D1C" w:rsidP="0047444A"/>
    <w:p w:rsidR="00D77CB1" w:rsidRDefault="00D77CB1" w:rsidP="00E42EFD">
      <w:pPr>
        <w:sectPr w:rsidR="00D77CB1" w:rsidSect="00385A41">
          <w:type w:val="continuous"/>
          <w:pgSz w:w="11906" w:h="16838" w:code="9"/>
          <w:pgMar w:top="1134" w:right="1134" w:bottom="1418" w:left="1134" w:header="709" w:footer="709" w:gutter="0"/>
          <w:cols w:num="2" w:space="397"/>
          <w:docGrid w:linePitch="360"/>
        </w:sectPr>
      </w:pPr>
    </w:p>
    <w:p w:rsidR="00147F82" w:rsidRDefault="00147F82" w:rsidP="00EF6FCE">
      <w:pPr>
        <w:pStyle w:val="SRNadpis4"/>
      </w:pPr>
      <w:r>
        <w:lastRenderedPageBreak/>
        <w:t>Daň z příjmů právnických osob</w:t>
      </w:r>
    </w:p>
    <w:p w:rsidR="00E42EFD" w:rsidRDefault="00E42EFD" w:rsidP="00E42EFD">
      <w:pPr>
        <w:sectPr w:rsidR="00E42EFD" w:rsidSect="00385A41">
          <w:type w:val="continuous"/>
          <w:pgSz w:w="11906" w:h="16838" w:code="9"/>
          <w:pgMar w:top="1134" w:right="1134" w:bottom="1418" w:left="1134" w:header="709" w:footer="709" w:gutter="0"/>
          <w:cols w:space="709"/>
          <w:docGrid w:linePitch="360"/>
        </w:sectPr>
      </w:pPr>
    </w:p>
    <w:p w:rsidR="0047444A" w:rsidRDefault="0047444A" w:rsidP="005E56DB">
      <w:pPr>
        <w:pStyle w:val="SRTextnomal"/>
      </w:pPr>
      <w:r>
        <w:lastRenderedPageBreak/>
        <w:t>V roce 2023 očekáváme inkaso DPPO ve výši 123,0 mld. Kč na úrovni státního rozpočtu. Meziročně tak dojde k</w:t>
      </w:r>
      <w:r w:rsidR="00782511">
        <w:t> </w:t>
      </w:r>
      <w:r>
        <w:t>nárůstu inkasa o cca 12,0 %, tj. o 13,2 mld. Kč. Inkaso bude meziročně ovlivněno ekonomickým vývojem v roce 2022 a legislativními opatřeními zavedenými v minulých letech. Na inkasu se dále pozitivně projeví dodatečný dopad rozšíření daňového základu v souvislosti se zruš</w:t>
      </w:r>
      <w:r>
        <w:t>e</w:t>
      </w:r>
      <w:r>
        <w:t>ním daně z nabytí nemovitých věcí v odhadované výši 0,2 mld. Kč. Negativně pak bude inkaso ovlivněno dod</w:t>
      </w:r>
      <w:r>
        <w:t>a</w:t>
      </w:r>
      <w:r>
        <w:t xml:space="preserve">tečným dopadem tzv. mimořádných odpisů pro hmotný majetek zařazený v 1. a </w:t>
      </w:r>
      <w:r w:rsidR="000F478F">
        <w:t>2. odpisové skupině ve výši 1,5 </w:t>
      </w:r>
      <w:r>
        <w:t>mld. Kč a dále dodatečným dopadem osvobození v</w:t>
      </w:r>
      <w:r>
        <w:t>ý</w:t>
      </w:r>
      <w:r>
        <w:t>nosů ze státních dluhopisů a to ve výši 2,4 mld. Kč.</w:t>
      </w:r>
    </w:p>
    <w:p w:rsidR="009647CB" w:rsidRDefault="0047444A" w:rsidP="005E56DB">
      <w:pPr>
        <w:pStyle w:val="SRTextnomal"/>
      </w:pPr>
      <w:r>
        <w:lastRenderedPageBreak/>
        <w:t>Pro rok 2024 je předpokládáno inkaso DPPO ve výši 137,9 mld. Kč na úrovni státního rozpočtu. Meziročně tak dojde k nárůstu inkasa o cca 12,1 %, tj. o 14,9 mld. Kč. Inkaso bude meziročně ovlivněno ekonomickým v</w:t>
      </w:r>
      <w:r>
        <w:t>ý</w:t>
      </w:r>
      <w:r>
        <w:t>vojem v roce 2023 a stejnými legislativními opatřeními jako v předchozím roce. Pozitivní vliv na inkaso bude mít dodatečný dopad rozšíření daňového základu v souvi</w:t>
      </w:r>
      <w:r>
        <w:t>s</w:t>
      </w:r>
      <w:r>
        <w:t>losti se zrušením daně z nabytí nemovitých věcí v odh</w:t>
      </w:r>
      <w:r>
        <w:t>a</w:t>
      </w:r>
      <w:r>
        <w:t>dované výši 0,2 mld. Kč a dále již pozitivní dodatečný dopad tzv. mimořádných odpisů pro hmotný majetek z</w:t>
      </w:r>
      <w:r>
        <w:t>a</w:t>
      </w:r>
      <w:r>
        <w:t>řazený v 1. a 2. odpisové skupině ve výši 6,9 mld. Kč. N</w:t>
      </w:r>
      <w:r>
        <w:t>e</w:t>
      </w:r>
      <w:r>
        <w:t>gativní dopad na inkaso bude mít dodatečný dopad osvobození výnosů ze stát</w:t>
      </w:r>
      <w:r w:rsidR="000F478F">
        <w:t>ních dluhopisů a to ve výši 3,6 </w:t>
      </w:r>
      <w:r>
        <w:t>mld. Kč.</w:t>
      </w:r>
    </w:p>
    <w:p w:rsidR="008F7839" w:rsidRDefault="008F7839" w:rsidP="00E42EFD">
      <w:pPr>
        <w:sectPr w:rsidR="008F7839" w:rsidSect="00385A41">
          <w:type w:val="continuous"/>
          <w:pgSz w:w="11906" w:h="16838" w:code="9"/>
          <w:pgMar w:top="1134" w:right="1134" w:bottom="1418" w:left="1134" w:header="709" w:footer="709" w:gutter="0"/>
          <w:cols w:num="2" w:space="397"/>
          <w:docGrid w:linePitch="360"/>
        </w:sectPr>
      </w:pPr>
    </w:p>
    <w:p w:rsidR="00147F82" w:rsidRDefault="00147F82" w:rsidP="00EF6FCE">
      <w:pPr>
        <w:pStyle w:val="SRNadpis4"/>
      </w:pPr>
      <w:r>
        <w:lastRenderedPageBreak/>
        <w:t>Daň z příjmů fyzických osob</w:t>
      </w:r>
    </w:p>
    <w:p w:rsidR="00E96D5C" w:rsidRDefault="00E96D5C" w:rsidP="00E96D5C">
      <w:pPr>
        <w:sectPr w:rsidR="00E96D5C" w:rsidSect="00385A41">
          <w:type w:val="continuous"/>
          <w:pgSz w:w="11906" w:h="16838" w:code="9"/>
          <w:pgMar w:top="1134" w:right="1134" w:bottom="1418" w:left="1134" w:header="709" w:footer="709" w:gutter="0"/>
          <w:cols w:space="709"/>
          <w:docGrid w:linePitch="360"/>
        </w:sectPr>
      </w:pPr>
    </w:p>
    <w:p w:rsidR="0047444A" w:rsidRDefault="0047444A" w:rsidP="005E56DB">
      <w:pPr>
        <w:pStyle w:val="SRTextnomal"/>
      </w:pPr>
      <w:r>
        <w:lastRenderedPageBreak/>
        <w:t>V roce 2023 je předpoklad celkového inkasa daně z př</w:t>
      </w:r>
      <w:r>
        <w:t>í</w:t>
      </w:r>
      <w:r>
        <w:t>jmů fyzických osob odhadován ve výši 106,8 mld. Kč na úrovni státního rozpočtu. Meziročně tak dochází k n</w:t>
      </w:r>
      <w:r>
        <w:t>á</w:t>
      </w:r>
      <w:r>
        <w:t>růstu inkasa o 4,6 mld. Kč, tj. 4,5 %. Pro rok 2024 odh</w:t>
      </w:r>
      <w:r>
        <w:t>a</w:t>
      </w:r>
      <w:r>
        <w:t>dujeme meziroční nárůst na úroveň 111,4 mld. Kč, tj. o</w:t>
      </w:r>
      <w:r w:rsidR="004B7AF8">
        <w:t> </w:t>
      </w:r>
      <w:r>
        <w:t>4,6 mld. Kč, resp. 4,3 %.</w:t>
      </w:r>
    </w:p>
    <w:p w:rsidR="0047444A" w:rsidRDefault="0047444A" w:rsidP="005E56DB">
      <w:pPr>
        <w:pStyle w:val="SRTextnomal"/>
      </w:pPr>
      <w:r>
        <w:t>Inkaso daně z příjmů fyzických osob placené plátci je pro rok 2023 predikováno ve výši 88,4 mld. Kč, což znamená meziroční růst o 4,7 mld. Kč, tj. 5,6 %. V roce 2024 pře</w:t>
      </w:r>
      <w:r>
        <w:t>d</w:t>
      </w:r>
      <w:r>
        <w:t xml:space="preserve">pokládáme meziroční růst o 4,5 mld. Kč (92,9 mld. Kč), tj. 5,1 %. Inkaso daně bude pro tato období ovlivněno opatřeními zavedenými v minulých letech. </w:t>
      </w:r>
    </w:p>
    <w:p w:rsidR="0047444A" w:rsidRDefault="0047444A" w:rsidP="005E56DB">
      <w:pPr>
        <w:pStyle w:val="SRTextnomal"/>
      </w:pPr>
      <w:r>
        <w:lastRenderedPageBreak/>
        <w:t>Odhadované inkaso daně z příjmů fyzických osob plac</w:t>
      </w:r>
      <w:r>
        <w:t>e</w:t>
      </w:r>
      <w:r>
        <w:t>né poplatníky za rok 20</w:t>
      </w:r>
      <w:r w:rsidR="000F478F">
        <w:t>23 je ve výši 3,5 mld. Kč a</w:t>
      </w:r>
      <w:r w:rsidR="004B7AF8">
        <w:t> </w:t>
      </w:r>
      <w:r w:rsidR="000F478F">
        <w:t>3,7 </w:t>
      </w:r>
      <w:r>
        <w:t>mld. Kč pro období roku 2024 na úrovni státního rozpočtu. Inkaso bude pro obě rozpočtová období neg</w:t>
      </w:r>
      <w:r>
        <w:t>a</w:t>
      </w:r>
      <w:r>
        <w:t>tivně ovlivněno v důsledku zvýšení slevy na poplatníka s</w:t>
      </w:r>
      <w:r w:rsidR="00782511">
        <w:t> </w:t>
      </w:r>
      <w:r>
        <w:t>odhadovaným negativním dopadem ve výši 0,7 mld. Kč na úrovni státního rozpočtu. Inkaso daně bude pro tato období ovlivněno i dalšími opatřeními zavedenými v m</w:t>
      </w:r>
      <w:r>
        <w:t>i</w:t>
      </w:r>
      <w:r>
        <w:t>nulých letech. Mezi opatření s pozitivním vlivem patří zejména zavedení sazeb 15 % a 23 %, kde předpoklád</w:t>
      </w:r>
      <w:r>
        <w:t>á</w:t>
      </w:r>
      <w:r>
        <w:t>me dopad ve výši cca 0,4 mld. Kč na úrovni státního ro</w:t>
      </w:r>
      <w:r>
        <w:t>z</w:t>
      </w:r>
      <w:r>
        <w:t>počtu pro obě rozpočtová období.</w:t>
      </w:r>
    </w:p>
    <w:p w:rsidR="009647CB" w:rsidRDefault="0047444A" w:rsidP="005E56DB">
      <w:pPr>
        <w:pStyle w:val="SRTextnomal"/>
      </w:pPr>
      <w:r>
        <w:lastRenderedPageBreak/>
        <w:t xml:space="preserve">Inkaso daně vybírané srážkou je pro období let 2023 a 2024 odhadováno </w:t>
      </w:r>
      <w:r w:rsidR="000F478F">
        <w:t>ve výši 14,9 mld. Kč</w:t>
      </w:r>
      <w:r w:rsidR="00E11091">
        <w:t>,</w:t>
      </w:r>
      <w:r w:rsidR="000F478F">
        <w:t xml:space="preserve"> resp. 14,8 </w:t>
      </w:r>
      <w:r>
        <w:t>mld. Kč na úrovni státního rozpočtu. Inkaso bude pro obě fi</w:t>
      </w:r>
      <w:r>
        <w:t>s</w:t>
      </w:r>
      <w:r>
        <w:lastRenderedPageBreak/>
        <w:t>kální období ovlivněno opatřeními zavedenými v min</w:t>
      </w:r>
      <w:r>
        <w:t>u</w:t>
      </w:r>
      <w:r>
        <w:t>lých letech.</w:t>
      </w:r>
    </w:p>
    <w:p w:rsidR="002C6D1C" w:rsidRDefault="002C6D1C" w:rsidP="009647CB"/>
    <w:p w:rsidR="006E44AB" w:rsidRPr="006E44AB" w:rsidRDefault="006E44AB" w:rsidP="006E44AB">
      <w:pPr>
        <w:sectPr w:rsidR="006E44AB" w:rsidRPr="006E44AB" w:rsidSect="00385A41">
          <w:type w:val="continuous"/>
          <w:pgSz w:w="11906" w:h="16838" w:code="9"/>
          <w:pgMar w:top="1134" w:right="1134" w:bottom="1418" w:left="1134" w:header="709" w:footer="709" w:gutter="0"/>
          <w:cols w:num="2" w:space="397"/>
          <w:docGrid w:linePitch="360"/>
        </w:sectPr>
      </w:pPr>
    </w:p>
    <w:p w:rsidR="00147F82" w:rsidRDefault="00147F82" w:rsidP="00EF6FCE">
      <w:pPr>
        <w:pStyle w:val="SRNadpis4"/>
      </w:pPr>
      <w:r>
        <w:lastRenderedPageBreak/>
        <w:t>Daň z nabytí nemovitých věcí</w:t>
      </w:r>
    </w:p>
    <w:p w:rsidR="00E96D5C" w:rsidRDefault="00E96D5C" w:rsidP="00E96D5C">
      <w:pPr>
        <w:sectPr w:rsidR="00E96D5C" w:rsidSect="00385A41">
          <w:type w:val="continuous"/>
          <w:pgSz w:w="11906" w:h="16838" w:code="9"/>
          <w:pgMar w:top="1134" w:right="1134" w:bottom="1418" w:left="1134" w:header="709" w:footer="709" w:gutter="0"/>
          <w:cols w:space="709"/>
          <w:docGrid w:linePitch="360"/>
        </w:sectPr>
      </w:pPr>
    </w:p>
    <w:p w:rsidR="00E96D5C" w:rsidRPr="00E96D5C" w:rsidRDefault="0047444A" w:rsidP="005E56DB">
      <w:pPr>
        <w:pStyle w:val="SRTextnomal"/>
      </w:pPr>
      <w:r w:rsidRPr="0047444A">
        <w:lastRenderedPageBreak/>
        <w:t>Tato daň byla v roce 2020 zrušena, bude tedy pouze d</w:t>
      </w:r>
      <w:r w:rsidRPr="0047444A">
        <w:t>o</w:t>
      </w:r>
      <w:r w:rsidRPr="0047444A">
        <w:t>bíhat inkaso z převodů realizovaných před účinností zr</w:t>
      </w:r>
      <w:r w:rsidRPr="0047444A">
        <w:t>u</w:t>
      </w:r>
      <w:r w:rsidRPr="0047444A">
        <w:t>šení této daně.</w:t>
      </w:r>
    </w:p>
    <w:p w:rsidR="00E96D5C" w:rsidRDefault="00E96D5C" w:rsidP="00147F82">
      <w:pPr>
        <w:pStyle w:val="Nadpis4"/>
        <w:sectPr w:rsidR="00E96D5C" w:rsidSect="00385A41">
          <w:type w:val="continuous"/>
          <w:pgSz w:w="11906" w:h="16838" w:code="9"/>
          <w:pgMar w:top="1134" w:right="1134" w:bottom="1418" w:left="1134" w:header="709" w:footer="709" w:gutter="0"/>
          <w:cols w:num="2" w:space="397"/>
          <w:docGrid w:linePitch="360"/>
        </w:sectPr>
      </w:pPr>
    </w:p>
    <w:p w:rsidR="00147F82" w:rsidRDefault="00147F82" w:rsidP="00EF6FCE">
      <w:pPr>
        <w:pStyle w:val="SRNadpis4"/>
      </w:pPr>
      <w:r>
        <w:lastRenderedPageBreak/>
        <w:t>Odvod z elektřiny vyrobené ze slunečního záření</w:t>
      </w:r>
    </w:p>
    <w:p w:rsidR="00E96D5C" w:rsidRDefault="00E96D5C" w:rsidP="00E96D5C">
      <w:pPr>
        <w:sectPr w:rsidR="00E96D5C" w:rsidSect="00385A41">
          <w:type w:val="continuous"/>
          <w:pgSz w:w="11906" w:h="16838" w:code="9"/>
          <w:pgMar w:top="1134" w:right="1134" w:bottom="1418" w:left="1134" w:header="709" w:footer="709" w:gutter="0"/>
          <w:cols w:space="709"/>
          <w:docGrid w:linePitch="360"/>
        </w:sectPr>
      </w:pPr>
    </w:p>
    <w:p w:rsidR="009647CB" w:rsidRDefault="00FE7EE1" w:rsidP="005E56DB">
      <w:pPr>
        <w:pStyle w:val="SRTextnomal"/>
      </w:pPr>
      <w:r w:rsidRPr="00FE7EE1">
        <w:lastRenderedPageBreak/>
        <w:t>Inkaso v letech 2023 a 2024 bude ovlivněno legislativn</w:t>
      </w:r>
      <w:r w:rsidRPr="00FE7EE1">
        <w:t>í</w:t>
      </w:r>
      <w:r w:rsidRPr="00FE7EE1">
        <w:t xml:space="preserve">mi opatřeními zavedenými v minulých letech, jako je zvýšení sazeb odvodu účinné od roku 2022. Pro roky </w:t>
      </w:r>
      <w:r w:rsidRPr="00FE7EE1">
        <w:lastRenderedPageBreak/>
        <w:t>2023 a 2024 predikujeme výši odvodu z elektřiny vyr</w:t>
      </w:r>
      <w:r w:rsidRPr="00FE7EE1">
        <w:t>o</w:t>
      </w:r>
      <w:r w:rsidRPr="00FE7EE1">
        <w:t>bené ze slunečního záření na úrovni 5,3 mld. Kč.</w:t>
      </w:r>
      <w:r w:rsidR="0047444A">
        <w:t xml:space="preserve"> </w:t>
      </w:r>
    </w:p>
    <w:p w:rsidR="002C6D1C" w:rsidRPr="009647CB" w:rsidRDefault="002C6D1C" w:rsidP="009647CB"/>
    <w:p w:rsidR="00D77CB1" w:rsidRDefault="00D77CB1" w:rsidP="00E96D5C">
      <w:pPr>
        <w:sectPr w:rsidR="00D77CB1" w:rsidSect="00385A41">
          <w:type w:val="continuous"/>
          <w:pgSz w:w="11906" w:h="16838" w:code="9"/>
          <w:pgMar w:top="1134" w:right="1134" w:bottom="1418" w:left="1134" w:header="709" w:footer="709" w:gutter="0"/>
          <w:cols w:num="2" w:space="397"/>
          <w:docGrid w:linePitch="360"/>
        </w:sectPr>
      </w:pPr>
    </w:p>
    <w:p w:rsidR="00147F82" w:rsidRDefault="00147F82" w:rsidP="00EF6FCE">
      <w:pPr>
        <w:pStyle w:val="SRNadpis4"/>
      </w:pPr>
      <w:r>
        <w:lastRenderedPageBreak/>
        <w:t>Daň z</w:t>
      </w:r>
      <w:r w:rsidR="00E96D5C">
        <w:t> </w:t>
      </w:r>
      <w:r>
        <w:t>hazardu</w:t>
      </w:r>
    </w:p>
    <w:p w:rsidR="00E96D5C" w:rsidRDefault="00E96D5C" w:rsidP="00E96D5C">
      <w:pPr>
        <w:sectPr w:rsidR="00E96D5C" w:rsidSect="00385A41">
          <w:type w:val="continuous"/>
          <w:pgSz w:w="11906" w:h="16838" w:code="9"/>
          <w:pgMar w:top="1134" w:right="1134" w:bottom="1418" w:left="1134" w:header="709" w:footer="709" w:gutter="0"/>
          <w:cols w:space="709"/>
          <w:docGrid w:linePitch="360"/>
        </w:sectPr>
      </w:pPr>
    </w:p>
    <w:p w:rsidR="00E96D5C" w:rsidRPr="00020131" w:rsidRDefault="0047444A" w:rsidP="005E56DB">
      <w:pPr>
        <w:pStyle w:val="SRTextnomal"/>
      </w:pPr>
      <w:r w:rsidRPr="0047444A">
        <w:lastRenderedPageBreak/>
        <w:t>Pro rok 2023 predikujeme výši inkasa daně z hazardu na cca 5,3 mld. Kč na úrovni státního rozpočtu a pro rok 2024 ji predikujeme na úrovni cca 5,7 mld. Kč. Na inkaso bude mít v obou letech negativní vliv legislativní opatř</w:t>
      </w:r>
      <w:r w:rsidRPr="0047444A">
        <w:t>e</w:t>
      </w:r>
      <w:r w:rsidRPr="0047444A">
        <w:t>ní z roku 2020</w:t>
      </w:r>
      <w:r w:rsidR="00DC0441">
        <w:t>,</w:t>
      </w:r>
      <w:r w:rsidRPr="0047444A">
        <w:t xml:space="preserve"> a to zavedení registru fyzických osob v</w:t>
      </w:r>
      <w:r w:rsidRPr="0047444A">
        <w:t>y</w:t>
      </w:r>
      <w:r w:rsidRPr="0047444A">
        <w:t xml:space="preserve">loučených z účasti na hazardních hrách v předpokládané výši 1,36 mld. Kč v roce 2023 a 1,45 mld. Kč v roce 2024. </w:t>
      </w:r>
      <w:r w:rsidRPr="0047444A">
        <w:lastRenderedPageBreak/>
        <w:t xml:space="preserve">Při zohlednění očekávaných </w:t>
      </w:r>
      <w:r w:rsidRPr="00020131">
        <w:t>legislativních změn bude i</w:t>
      </w:r>
      <w:r w:rsidRPr="00020131">
        <w:t>n</w:t>
      </w:r>
      <w:r w:rsidRPr="00020131">
        <w:t>kaso daně z hazardu dále negativně ovlivněno rozšíř</w:t>
      </w:r>
      <w:r w:rsidRPr="00020131">
        <w:t>e</w:t>
      </w:r>
      <w:r w:rsidRPr="00020131">
        <w:t>ním okruhu fyzických osob zapisovaných do registru fyzických osob vyloučených z účasti na hazardních hrách a to v předpokládané výši 0,14 mld. Kč v roce 2023 a</w:t>
      </w:r>
      <w:r w:rsidR="00212745">
        <w:t> </w:t>
      </w:r>
      <w:r w:rsidRPr="00020131">
        <w:t xml:space="preserve">0,15 mld. Kč v roce 2024. </w:t>
      </w:r>
    </w:p>
    <w:p w:rsidR="00E96D5C" w:rsidRPr="00020131" w:rsidRDefault="00E96D5C" w:rsidP="00776CAC">
      <w:pPr>
        <w:pStyle w:val="Nadpis4"/>
        <w:sectPr w:rsidR="00E96D5C" w:rsidRPr="00020131" w:rsidSect="00385A41">
          <w:type w:val="continuous"/>
          <w:pgSz w:w="11906" w:h="16838" w:code="9"/>
          <w:pgMar w:top="1134" w:right="1134" w:bottom="1418" w:left="1134" w:header="709" w:footer="709" w:gutter="0"/>
          <w:cols w:num="2" w:space="397"/>
          <w:docGrid w:linePitch="360"/>
        </w:sectPr>
      </w:pPr>
    </w:p>
    <w:p w:rsidR="00147F82" w:rsidRPr="00020131" w:rsidRDefault="00776CAC" w:rsidP="00EF6FCE">
      <w:pPr>
        <w:pStyle w:val="SRNadpis4"/>
      </w:pPr>
      <w:r w:rsidRPr="00020131">
        <w:lastRenderedPageBreak/>
        <w:t>Poplatky za znečišťování životního prostředí</w:t>
      </w:r>
    </w:p>
    <w:p w:rsidR="003F4C4B" w:rsidRPr="00020131" w:rsidRDefault="003F4C4B" w:rsidP="003F4C4B">
      <w:pPr>
        <w:sectPr w:rsidR="003F4C4B" w:rsidRPr="00020131" w:rsidSect="00385A41">
          <w:type w:val="continuous"/>
          <w:pgSz w:w="11906" w:h="16838" w:code="9"/>
          <w:pgMar w:top="1134" w:right="1134" w:bottom="1418" w:left="1134" w:header="709" w:footer="709" w:gutter="0"/>
          <w:cols w:space="709"/>
          <w:docGrid w:linePitch="360"/>
        </w:sectPr>
      </w:pPr>
    </w:p>
    <w:p w:rsidR="003F4C4B" w:rsidRPr="00020131" w:rsidRDefault="003F4C4B" w:rsidP="005E56DB">
      <w:pPr>
        <w:pStyle w:val="SRTextnomal"/>
      </w:pPr>
      <w:r w:rsidRPr="00020131">
        <w:lastRenderedPageBreak/>
        <w:t xml:space="preserve">Poplatky za uložení odpadů rozpočtované v letech </w:t>
      </w:r>
      <w:r w:rsidR="00BB4B83" w:rsidRPr="00020131">
        <w:t>2022 a 2023</w:t>
      </w:r>
      <w:r w:rsidRPr="00020131">
        <w:t xml:space="preserve"> </w:t>
      </w:r>
      <w:r w:rsidR="002A697C">
        <w:t xml:space="preserve">ve </w:t>
      </w:r>
      <w:r w:rsidRPr="00020131">
        <w:t>výši 1,</w:t>
      </w:r>
      <w:r w:rsidR="00F94C0B" w:rsidRPr="00020131">
        <w:t>6</w:t>
      </w:r>
      <w:r w:rsidR="005F4E9A">
        <w:t>5</w:t>
      </w:r>
      <w:r w:rsidRPr="00020131">
        <w:t xml:space="preserve"> mld. Kč </w:t>
      </w:r>
      <w:r w:rsidR="00BB4B83" w:rsidRPr="00020131">
        <w:t>a v roce 2024 ve výši 1,7</w:t>
      </w:r>
      <w:r w:rsidR="00BE5EEA" w:rsidRPr="00020131">
        <w:t> </w:t>
      </w:r>
      <w:r w:rsidR="00BB4B83" w:rsidRPr="00020131">
        <w:t xml:space="preserve">mld. Kč </w:t>
      </w:r>
      <w:r w:rsidRPr="00020131">
        <w:t>se týkají odvodů od původců radioaktivních odpadů na</w:t>
      </w:r>
      <w:r w:rsidR="00CD1D35">
        <w:t> </w:t>
      </w:r>
      <w:r w:rsidRPr="00020131">
        <w:t>jaderný účet (součást příjmů kapitoly Operace stá</w:t>
      </w:r>
      <w:r w:rsidRPr="00020131">
        <w:t>t</w:t>
      </w:r>
      <w:r w:rsidRPr="00020131">
        <w:t xml:space="preserve">ních finančních aktiv). </w:t>
      </w:r>
    </w:p>
    <w:p w:rsidR="00A94E85" w:rsidRDefault="003F4C4B" w:rsidP="005E56DB">
      <w:pPr>
        <w:pStyle w:val="SRTextnomal"/>
      </w:pPr>
      <w:r w:rsidRPr="00020131">
        <w:t>V souvislosti s přijetím novely horního zákona č. 89/2016 Sb. došlo od roku 2017 k zásadním změnám při stanov</w:t>
      </w:r>
      <w:r w:rsidRPr="00020131">
        <w:t>e</w:t>
      </w:r>
      <w:r w:rsidRPr="00020131">
        <w:lastRenderedPageBreak/>
        <w:t>ní výše povinnosti úhrady z dobývacího prostoru a úhr</w:t>
      </w:r>
      <w:r w:rsidRPr="00020131">
        <w:t>a</w:t>
      </w:r>
      <w:r w:rsidRPr="00020131">
        <w:t>dy z vydobytých nerostů a ve způsobu rozdělování výn</w:t>
      </w:r>
      <w:r w:rsidRPr="00020131">
        <w:t>o</w:t>
      </w:r>
      <w:r w:rsidRPr="00020131">
        <w:t>su úhrad z vydobytých nerostů. Příjmy z těchto úhrad jsou součástí daňových příjmů (týká se kapitol Ministe</w:t>
      </w:r>
      <w:r w:rsidRPr="00020131">
        <w:t>r</w:t>
      </w:r>
      <w:r w:rsidRPr="00020131">
        <w:t>stva životního prostředí, Ministerstva průmyslu a o</w:t>
      </w:r>
      <w:r w:rsidRPr="00020131">
        <w:t>b</w:t>
      </w:r>
      <w:r w:rsidRPr="00020131">
        <w:t xml:space="preserve">chodu a Českého báňského úřadu – </w:t>
      </w:r>
      <w:r w:rsidR="006C3208" w:rsidRPr="00020131">
        <w:t xml:space="preserve">ve výši </w:t>
      </w:r>
      <w:r w:rsidRPr="00020131">
        <w:t>0,</w:t>
      </w:r>
      <w:r w:rsidR="00F94C0B" w:rsidRPr="00020131">
        <w:t>4</w:t>
      </w:r>
      <w:r w:rsidR="00020131" w:rsidRPr="00020131">
        <w:t>3</w:t>
      </w:r>
      <w:r w:rsidRPr="00020131">
        <w:t xml:space="preserve"> mld. Kč</w:t>
      </w:r>
      <w:r w:rsidR="00F94C0B" w:rsidRPr="00020131">
        <w:t xml:space="preserve"> v</w:t>
      </w:r>
      <w:r w:rsidR="00973190">
        <w:t>e všech letech</w:t>
      </w:r>
      <w:r w:rsidRPr="00020131">
        <w:t>).</w:t>
      </w:r>
    </w:p>
    <w:p w:rsidR="003F4C4B" w:rsidRDefault="003F4C4B" w:rsidP="00A94E85">
      <w:pPr>
        <w:pStyle w:val="Nadpis4"/>
        <w:sectPr w:rsidR="003F4C4B" w:rsidSect="00385A41">
          <w:type w:val="continuous"/>
          <w:pgSz w:w="11906" w:h="16838" w:code="9"/>
          <w:pgMar w:top="1134" w:right="1134" w:bottom="1418" w:left="1134" w:header="709" w:footer="709" w:gutter="0"/>
          <w:cols w:num="2" w:space="397"/>
          <w:docGrid w:linePitch="360"/>
        </w:sectPr>
      </w:pPr>
    </w:p>
    <w:p w:rsidR="00A94E85" w:rsidRPr="00A94E85" w:rsidRDefault="00A94E85" w:rsidP="00EF6FCE">
      <w:pPr>
        <w:pStyle w:val="SRNadpis4"/>
      </w:pPr>
      <w:r w:rsidRPr="00A94E85">
        <w:lastRenderedPageBreak/>
        <w:t xml:space="preserve">Daň z </w:t>
      </w:r>
      <w:r w:rsidR="00937ED9">
        <w:t>digitálních</w:t>
      </w:r>
      <w:r w:rsidRPr="00A94E85">
        <w:t xml:space="preserve"> služeb</w:t>
      </w:r>
    </w:p>
    <w:p w:rsidR="00A94E85" w:rsidRDefault="00A94E85" w:rsidP="00A94E85">
      <w:pPr>
        <w:sectPr w:rsidR="00A94E85" w:rsidSect="00385A41">
          <w:type w:val="continuous"/>
          <w:pgSz w:w="11906" w:h="16838" w:code="9"/>
          <w:pgMar w:top="1134" w:right="1134" w:bottom="1418" w:left="1134" w:header="709" w:footer="709" w:gutter="0"/>
          <w:cols w:space="709"/>
          <w:docGrid w:linePitch="360"/>
        </w:sectPr>
      </w:pPr>
    </w:p>
    <w:p w:rsidR="00A938CE" w:rsidRDefault="00937ED9" w:rsidP="005E56DB">
      <w:pPr>
        <w:pStyle w:val="SRTextnomal"/>
      </w:pPr>
      <w:r w:rsidRPr="009235E7">
        <w:lastRenderedPageBreak/>
        <w:t>V letech 2023 a 2024 oč</w:t>
      </w:r>
      <w:r w:rsidR="000F478F">
        <w:t>ekáváme inkaso daně ve výši 2,7 </w:t>
      </w:r>
      <w:r w:rsidRPr="009235E7">
        <w:t>mld. Kč. Této nové dani bude podléhat úplatné p</w:t>
      </w:r>
      <w:r w:rsidRPr="009235E7">
        <w:t>o</w:t>
      </w:r>
      <w:r w:rsidRPr="009235E7">
        <w:t>skytování tzv. zdanitelných služeb na území České r</w:t>
      </w:r>
      <w:r w:rsidRPr="009235E7">
        <w:t>e</w:t>
      </w:r>
      <w:r w:rsidRPr="009235E7">
        <w:t>publiky. Zdanitelnými službami budou (i) provedení cílené reklamní kampaně, (ii) využití mnohostranného digitálního rozhraní a (iii) poskytnutí dat o uživatelích. Plátcem daně budou pouze právnické osoby nebo je</w:t>
      </w:r>
      <w:r w:rsidRPr="009235E7">
        <w:t>d</w:t>
      </w:r>
      <w:r w:rsidRPr="009235E7">
        <w:t>notky bez právní osobnosti, které buď patří do skupiny s konsolidovaným výnosem přesahujícím 750 000 000 EUR, nebo které takového výnosu dosahují samy. So</w:t>
      </w:r>
      <w:r w:rsidRPr="009235E7">
        <w:t>u</w:t>
      </w:r>
      <w:r w:rsidRPr="009235E7">
        <w:t>časně musí tyto právnické osoby nebo jednotky dosá</w:t>
      </w:r>
      <w:r w:rsidRPr="009235E7">
        <w:t>h</w:t>
      </w:r>
      <w:r w:rsidRPr="009235E7">
        <w:lastRenderedPageBreak/>
        <w:t>nout úhrnu částí úplat za uskutečněné zdanitelné služby připadajících na Českou republiku ve výši alespoň 100 000 000 Kč. Daň bude založena na transakční bázi, přičemž sazba daně bude 5 %. Další limity určují min</w:t>
      </w:r>
      <w:r w:rsidRPr="009235E7">
        <w:t>i</w:t>
      </w:r>
      <w:r w:rsidRPr="009235E7">
        <w:t>mální úhrn úplat za uskutečněné zdanitelné služby př</w:t>
      </w:r>
      <w:r w:rsidRPr="009235E7">
        <w:t>i</w:t>
      </w:r>
      <w:r w:rsidRPr="009235E7">
        <w:t>padající na Českou republiku v případě provedení cílené reklamní kampaně a poskytnutí dat o uživatelích, min</w:t>
      </w:r>
      <w:r w:rsidRPr="009235E7">
        <w:t>i</w:t>
      </w:r>
      <w:r w:rsidRPr="009235E7">
        <w:t>mální počet uživatelských účtů v případě využití mnoh</w:t>
      </w:r>
      <w:r w:rsidRPr="009235E7">
        <w:t>o</w:t>
      </w:r>
      <w:r w:rsidRPr="009235E7">
        <w:t>stranného digitálního rozhraní a dále minimální podíl zdanitelných služeb na aktivitách subjektů v členských státech EU a EHP.</w:t>
      </w:r>
    </w:p>
    <w:p w:rsidR="00A938CE" w:rsidRDefault="00A938CE" w:rsidP="00E96D5C">
      <w:pPr>
        <w:sectPr w:rsidR="00A938CE" w:rsidSect="00385A41">
          <w:type w:val="continuous"/>
          <w:pgSz w:w="11906" w:h="16838" w:code="9"/>
          <w:pgMar w:top="1134" w:right="1134" w:bottom="1418" w:left="1134" w:header="709" w:footer="709" w:gutter="0"/>
          <w:cols w:num="2" w:space="397"/>
          <w:docGrid w:linePitch="360"/>
        </w:sectPr>
      </w:pPr>
    </w:p>
    <w:p w:rsidR="00776CAC" w:rsidRDefault="00776CAC" w:rsidP="00EF6FCE">
      <w:pPr>
        <w:pStyle w:val="SRNadpis4"/>
      </w:pPr>
      <w:r>
        <w:lastRenderedPageBreak/>
        <w:t>Ostatní daně a poplatky</w:t>
      </w:r>
    </w:p>
    <w:p w:rsidR="00A94E85" w:rsidRDefault="00A94E85" w:rsidP="00E96D5C">
      <w:pPr>
        <w:sectPr w:rsidR="00A94E85" w:rsidSect="00385A41">
          <w:type w:val="continuous"/>
          <w:pgSz w:w="11906" w:h="16838" w:code="9"/>
          <w:pgMar w:top="1134" w:right="1134" w:bottom="1418" w:left="1134" w:header="709" w:footer="709" w:gutter="0"/>
          <w:cols w:space="709"/>
          <w:docGrid w:linePitch="360"/>
        </w:sectPr>
      </w:pPr>
    </w:p>
    <w:p w:rsidR="008F7839" w:rsidRDefault="00EB7EA9" w:rsidP="005E56DB">
      <w:pPr>
        <w:pStyle w:val="SRTextnomal"/>
      </w:pPr>
      <w:r w:rsidRPr="00EB7EA9">
        <w:lastRenderedPageBreak/>
        <w:t xml:space="preserve">Pro roky 2023 a 2024 predikujeme výši inkasa ostatních daní a poplatků ve výši </w:t>
      </w:r>
      <w:r w:rsidR="00FA7EFD">
        <w:t>6</w:t>
      </w:r>
      <w:r w:rsidRPr="00EB7EA9">
        <w:t>,</w:t>
      </w:r>
      <w:r w:rsidR="00FA7EFD">
        <w:t>3</w:t>
      </w:r>
      <w:r w:rsidRPr="00EB7EA9">
        <w:t xml:space="preserve"> mld. Kč. Na inkaso bude mít v</w:t>
      </w:r>
      <w:r w:rsidR="00E66D7D">
        <w:t> </w:t>
      </w:r>
      <w:r w:rsidRPr="00EB7EA9">
        <w:t xml:space="preserve">obou letech pozitivní vliv legislativní opatření přijaté </w:t>
      </w:r>
      <w:r w:rsidRPr="00EB7EA9">
        <w:lastRenderedPageBreak/>
        <w:t>v</w:t>
      </w:r>
      <w:r w:rsidR="00E66D7D">
        <w:t> </w:t>
      </w:r>
      <w:r w:rsidRPr="00EB7EA9">
        <w:t>minulých letech (</w:t>
      </w:r>
      <w:r w:rsidR="00E66D7D">
        <w:t>od roku 2021 jsou zde rozpočtovány i soudní poplatky kapitoly Ministerstvo spravedlnosti ve výši 1,4 mld. Kč</w:t>
      </w:r>
      <w:r w:rsidRPr="00EB7EA9">
        <w:t>).</w:t>
      </w:r>
    </w:p>
    <w:p w:rsidR="00E66D7D" w:rsidRDefault="00E66D7D" w:rsidP="00E96D5C">
      <w:pPr>
        <w:sectPr w:rsidR="00E66D7D" w:rsidSect="00385A41">
          <w:type w:val="continuous"/>
          <w:pgSz w:w="11906" w:h="16838" w:code="9"/>
          <w:pgMar w:top="1134" w:right="1134" w:bottom="1418" w:left="1134" w:header="709" w:footer="709" w:gutter="0"/>
          <w:cols w:num="2" w:space="397"/>
          <w:docGrid w:linePitch="360"/>
        </w:sectPr>
      </w:pPr>
    </w:p>
    <w:p w:rsidR="00776CAC" w:rsidRPr="007522DF" w:rsidRDefault="00776CAC" w:rsidP="00A938CE">
      <w:pPr>
        <w:pStyle w:val="SRNadpis3"/>
      </w:pPr>
      <w:bookmarkStart w:id="97" w:name="_Toc52369403"/>
      <w:bookmarkStart w:id="98" w:name="_Toc83882833"/>
      <w:r w:rsidRPr="007522DF">
        <w:lastRenderedPageBreak/>
        <w:t>Příjmy z pojistného na sociální zabezpečení a příspěvku na státní politiku zaměstnanosti</w:t>
      </w:r>
      <w:bookmarkEnd w:id="97"/>
      <w:bookmarkEnd w:id="98"/>
    </w:p>
    <w:p w:rsidR="004837BE" w:rsidRDefault="004837BE" w:rsidP="00294399">
      <w:pPr>
        <w:pStyle w:val="SRtitulek1"/>
      </w:pPr>
      <w:bookmarkStart w:id="99" w:name="_Toc83882880"/>
      <w:r>
        <w:t xml:space="preserve">Tabulka </w:t>
      </w:r>
      <w:r w:rsidR="00D51DCA">
        <w:fldChar w:fldCharType="begin"/>
      </w:r>
      <w:r w:rsidR="00D51DCA">
        <w:instrText xml:space="preserve"> SEQ Tabulka \* ARABIC </w:instrText>
      </w:r>
      <w:r w:rsidR="00D51DCA">
        <w:fldChar w:fldCharType="separate"/>
      </w:r>
      <w:r w:rsidR="00D51DCA">
        <w:rPr>
          <w:noProof/>
        </w:rPr>
        <w:t>15</w:t>
      </w:r>
      <w:r w:rsidR="00D51DCA">
        <w:rPr>
          <w:noProof/>
        </w:rPr>
        <w:fldChar w:fldCharType="end"/>
      </w:r>
      <w:r w:rsidRPr="004837BE">
        <w:t xml:space="preserve"> </w:t>
      </w:r>
      <w:r w:rsidRPr="00C65E13">
        <w:t>Příjmy z pojistného v letech 201</w:t>
      </w:r>
      <w:r>
        <w:t>7</w:t>
      </w:r>
      <w:r w:rsidRPr="00C65E13">
        <w:t xml:space="preserve"> – 2024 </w:t>
      </w:r>
      <w:r w:rsidRPr="00C65E13">
        <w:rPr>
          <w:i/>
        </w:rPr>
        <w:t>(v mld. Kč)</w:t>
      </w:r>
      <w:bookmarkEnd w:id="99"/>
    </w:p>
    <w:p w:rsidR="003337C5" w:rsidRDefault="00992C3F" w:rsidP="00AA4626">
      <w:r>
        <w:rPr>
          <w:noProof/>
        </w:rPr>
        <w:pict>
          <v:shape id="_x0000_i1033" type="#_x0000_t75" style="width:482.25pt;height:93.75pt">
            <v:imagedata r:id="rId51" o:title=""/>
          </v:shape>
        </w:pict>
      </w:r>
    </w:p>
    <w:p w:rsidR="009504A7" w:rsidRDefault="009504A7" w:rsidP="00AA4626">
      <w:pPr>
        <w:sectPr w:rsidR="009504A7" w:rsidSect="00385A41">
          <w:type w:val="continuous"/>
          <w:pgSz w:w="11906" w:h="16838" w:code="9"/>
          <w:pgMar w:top="1134" w:right="1134" w:bottom="1418" w:left="1134" w:header="709" w:footer="709" w:gutter="0"/>
          <w:cols w:space="709"/>
          <w:docGrid w:linePitch="360"/>
        </w:sectPr>
      </w:pPr>
    </w:p>
    <w:p w:rsidR="005079DF" w:rsidRDefault="005079DF" w:rsidP="005E56DB">
      <w:pPr>
        <w:pStyle w:val="SRTextnomal"/>
      </w:pPr>
      <w:r>
        <w:lastRenderedPageBreak/>
        <w:t>Výhled příjmů z pojistného na sociální zabezpečení a př</w:t>
      </w:r>
      <w:r>
        <w:t>í</w:t>
      </w:r>
      <w:r>
        <w:t>spěvku na státní politiku zaměstnanosti (dále jen pojis</w:t>
      </w:r>
      <w:r>
        <w:t>t</w:t>
      </w:r>
      <w:r>
        <w:t>né na sociální zabezpečení) na rok 2023 a 2024 je založen na aktualizaci výhledu pro rok 2022 a 2023 po</w:t>
      </w:r>
      <w:r>
        <w:t>d</w:t>
      </w:r>
      <w:r>
        <w:t>le predikce makroekonomických ukazatelů ze srpna 2021 a na očekávaném inkasu v roce 2021. Vedle odh</w:t>
      </w:r>
      <w:r>
        <w:t>a</w:t>
      </w:r>
      <w:r>
        <w:t>du vývoje zaměstnanosti a průměrných mezd a platů je důležitým vodítkem objem mezd a platů v meziročním nárůstu o 3,9 %, 4,1 % a 4,2 % pro roky 2022 až 2024 j</w:t>
      </w:r>
      <w:r>
        <w:t>a</w:t>
      </w:r>
      <w:r>
        <w:t>ko rozhodující složky vyměřovacího základu pro pojistné v civilním sektoru hospodářství. Predikce pojistného pro roky výhledu neuvažuje se změnami sazeb pojistného, vyměřovacích základů, ani se změnami stávající organ</w:t>
      </w:r>
      <w:r>
        <w:t>i</w:t>
      </w:r>
      <w:r>
        <w:t>zace rozpočtování příjmů v kapitolách zákonem urč</w:t>
      </w:r>
      <w:r>
        <w:t>e</w:t>
      </w:r>
      <w:r>
        <w:t>ných správců pojistného na sociální zabezpečení.</w:t>
      </w:r>
    </w:p>
    <w:p w:rsidR="005079DF" w:rsidRDefault="005079DF" w:rsidP="005E56DB">
      <w:pPr>
        <w:pStyle w:val="SRTextnomal"/>
      </w:pPr>
      <w:r>
        <w:lastRenderedPageBreak/>
        <w:t>Za těchto předpokladů dosahuje odhad příjmů z pojis</w:t>
      </w:r>
      <w:r>
        <w:t>t</w:t>
      </w:r>
      <w:r>
        <w:t>ného na sociální zabezpečení 611,9 mld. Kč v roce 2023 (meziroční nárůst proti příjmům rozpočtovaným pro rok 2022 o 4,0 %) a 636,9 mld. Kč v roce 2024 (meziroční n</w:t>
      </w:r>
      <w:r>
        <w:t>á</w:t>
      </w:r>
      <w:r>
        <w:t>růst o 4,1 %). Z odhadu celkových příjmů z pojistného na sociální zabezpečení připadá na pojistné na důchodové pojištění (včetně příslušenství) v obou dvou letech 89,5</w:t>
      </w:r>
      <w:r w:rsidR="00FB6921">
        <w:t> </w:t>
      </w:r>
      <w:r>
        <w:t>%.</w:t>
      </w:r>
    </w:p>
    <w:p w:rsidR="008F7839" w:rsidRDefault="005079DF" w:rsidP="005E56DB">
      <w:pPr>
        <w:pStyle w:val="SRTextnomal"/>
      </w:pPr>
      <w:r>
        <w:t>Příjmy z pojistného na sociální zabezpečení tvoří v roce 2023 43,5 % a v roce 2024 43,6 % celkových příjmů stá</w:t>
      </w:r>
      <w:r>
        <w:t>t</w:t>
      </w:r>
      <w:r>
        <w:t>ního rozpočtu (bez příjmů z EU a FM). Při naplnění pr</w:t>
      </w:r>
      <w:r>
        <w:t>e</w:t>
      </w:r>
      <w:r>
        <w:t>dikce příjmů z pojistného na sociální zabezpečení a</w:t>
      </w:r>
      <w:r w:rsidR="00D572FE">
        <w:t> </w:t>
      </w:r>
      <w:r>
        <w:t>výdajů na důchodové pojištění, včetně započtení o</w:t>
      </w:r>
      <w:r>
        <w:t>d</w:t>
      </w:r>
      <w:r>
        <w:t>hadovaných výdajů na správu důchodové služby, činí odhad deficitu hospodaření důchodového systému v l</w:t>
      </w:r>
      <w:r>
        <w:t>e</w:t>
      </w:r>
      <w:r>
        <w:t xml:space="preserve">tech 2023 a 2024 </w:t>
      </w:r>
      <w:r w:rsidR="006E1F6C">
        <w:t xml:space="preserve">ve výši </w:t>
      </w:r>
      <w:r>
        <w:t>5</w:t>
      </w:r>
      <w:r w:rsidR="0007157F">
        <w:t>3</w:t>
      </w:r>
      <w:r w:rsidR="00D572FE">
        <w:t> </w:t>
      </w:r>
      <w:r>
        <w:t>mld.</w:t>
      </w:r>
      <w:r w:rsidR="00D572FE">
        <w:t> </w:t>
      </w:r>
      <w:r>
        <w:t>Kč až 6</w:t>
      </w:r>
      <w:r w:rsidR="0007157F">
        <w:t>3</w:t>
      </w:r>
      <w:r w:rsidR="00D572FE">
        <w:t> </w:t>
      </w:r>
      <w:r>
        <w:t>mld.</w:t>
      </w:r>
      <w:r w:rsidR="00D572FE">
        <w:t> </w:t>
      </w:r>
      <w:r>
        <w:t>Kč.</w:t>
      </w:r>
    </w:p>
    <w:p w:rsidR="00D77CB1" w:rsidRDefault="00D77CB1" w:rsidP="00AA4626">
      <w:pPr>
        <w:sectPr w:rsidR="00D77CB1" w:rsidSect="00385A41">
          <w:type w:val="continuous"/>
          <w:pgSz w:w="11906" w:h="16838" w:code="9"/>
          <w:pgMar w:top="1134" w:right="1134" w:bottom="1418" w:left="1134" w:header="709" w:footer="709" w:gutter="0"/>
          <w:cols w:num="2" w:space="397"/>
          <w:docGrid w:linePitch="360"/>
        </w:sectPr>
      </w:pPr>
    </w:p>
    <w:p w:rsidR="00C46C0C" w:rsidRPr="00A47ECF" w:rsidRDefault="00776CAC" w:rsidP="00A938CE">
      <w:pPr>
        <w:pStyle w:val="SRNadpis3"/>
      </w:pPr>
      <w:bookmarkStart w:id="100" w:name="_Toc52369404"/>
      <w:bookmarkStart w:id="101" w:name="_Toc83882834"/>
      <w:r w:rsidRPr="00A47ECF">
        <w:lastRenderedPageBreak/>
        <w:t>Nedaňové příjmy, kapitálové příjmy a přijaté transfery</w:t>
      </w:r>
      <w:bookmarkEnd w:id="100"/>
      <w:bookmarkEnd w:id="101"/>
    </w:p>
    <w:p w:rsidR="004837BE" w:rsidRDefault="004837BE" w:rsidP="000565F9">
      <w:pPr>
        <w:pStyle w:val="SRtitulek1"/>
      </w:pPr>
      <w:bookmarkStart w:id="102" w:name="_Toc83882881"/>
      <w:r>
        <w:t xml:space="preserve">Tabulka </w:t>
      </w:r>
      <w:r w:rsidR="00D51DCA">
        <w:fldChar w:fldCharType="begin"/>
      </w:r>
      <w:r w:rsidR="00D51DCA">
        <w:instrText xml:space="preserve"> SEQ Tabulka \* ARABIC </w:instrText>
      </w:r>
      <w:r w:rsidR="00D51DCA">
        <w:fldChar w:fldCharType="separate"/>
      </w:r>
      <w:r w:rsidR="00D51DCA">
        <w:rPr>
          <w:noProof/>
        </w:rPr>
        <w:t>16</w:t>
      </w:r>
      <w:r w:rsidR="00D51DCA">
        <w:rPr>
          <w:noProof/>
        </w:rPr>
        <w:fldChar w:fldCharType="end"/>
      </w:r>
      <w:r w:rsidRPr="004837BE">
        <w:t xml:space="preserve"> </w:t>
      </w:r>
      <w:r w:rsidRPr="0004613E">
        <w:t>Nedaňové příjmy, kapitálové příjmy a přijaté transfery v letech 201</w:t>
      </w:r>
      <w:r>
        <w:t>7</w:t>
      </w:r>
      <w:r w:rsidRPr="0004613E">
        <w:t xml:space="preserve"> – 2024 </w:t>
      </w:r>
      <w:r w:rsidRPr="0004613E">
        <w:rPr>
          <w:i/>
        </w:rPr>
        <w:t>(v mil. Kč)</w:t>
      </w:r>
      <w:bookmarkEnd w:id="102"/>
    </w:p>
    <w:p w:rsidR="00CB615D" w:rsidRDefault="00992C3F" w:rsidP="008A0150">
      <w:r>
        <w:rPr>
          <w:noProof/>
        </w:rPr>
        <w:pict>
          <v:shape id="_x0000_i1034" type="#_x0000_t75" style="width:482.25pt;height:68.6pt">
            <v:imagedata r:id="rId52" o:title=""/>
          </v:shape>
        </w:pict>
      </w:r>
      <w:r w:rsidR="00CB615D" w:rsidRPr="00626511">
        <w:rPr>
          <w:i/>
        </w:rPr>
        <w:t>Poznámka: srovnatelně bez prostředků EU a FM a v kapitole M</w:t>
      </w:r>
      <w:r w:rsidR="009E0CDC" w:rsidRPr="00626511">
        <w:rPr>
          <w:i/>
        </w:rPr>
        <w:t>inisterstvo zemědělství</w:t>
      </w:r>
      <w:r w:rsidR="00CB615D" w:rsidRPr="00626511">
        <w:rPr>
          <w:i/>
        </w:rPr>
        <w:t xml:space="preserve"> bez účetních operací v rámci PRV.</w:t>
      </w:r>
    </w:p>
    <w:p w:rsidR="00CB615D" w:rsidRDefault="00CB615D" w:rsidP="00531483">
      <w:pPr>
        <w:sectPr w:rsidR="00CB615D" w:rsidSect="00385A41">
          <w:type w:val="continuous"/>
          <w:pgSz w:w="11906" w:h="16838" w:code="9"/>
          <w:pgMar w:top="1134" w:right="1134" w:bottom="1418" w:left="1134" w:header="709" w:footer="709" w:gutter="0"/>
          <w:cols w:space="709"/>
          <w:docGrid w:linePitch="360"/>
        </w:sectPr>
      </w:pPr>
    </w:p>
    <w:p w:rsidR="00477A70" w:rsidRDefault="00477A70" w:rsidP="005E56DB">
      <w:pPr>
        <w:pStyle w:val="SRTextnomal"/>
      </w:pPr>
      <w:r w:rsidRPr="00BD3549">
        <w:lastRenderedPageBreak/>
        <w:t xml:space="preserve">Nedaňové příjmy, kapitálové příjmy a přijaté transfery </w:t>
      </w:r>
      <w:r w:rsidRPr="00BD3549">
        <w:rPr>
          <w:i/>
        </w:rPr>
        <w:t>(bez prostředků z rozpočtu EU a FM a účetních operací v</w:t>
      </w:r>
      <w:r w:rsidR="00741248">
        <w:rPr>
          <w:i/>
        </w:rPr>
        <w:t> </w:t>
      </w:r>
      <w:r w:rsidRPr="00741248">
        <w:rPr>
          <w:i/>
        </w:rPr>
        <w:t>rámci PRV</w:t>
      </w:r>
      <w:r w:rsidRPr="00BD3549">
        <w:t>) tvoří především příjmy jednotlivých kapitol za služby, které poskytují veřejnosti, přijaté vratky dot</w:t>
      </w:r>
      <w:r w:rsidRPr="00BD3549">
        <w:t>a</w:t>
      </w:r>
      <w:r w:rsidRPr="00BD3549">
        <w:t>cí, pokuty a jiné sankční platby, příjmy z prodeje nekap</w:t>
      </w:r>
      <w:r w:rsidRPr="00BD3549">
        <w:t>i</w:t>
      </w:r>
      <w:r w:rsidRPr="00BD3549">
        <w:t>tálového majetku, soudní poplatky, přijaté splátky návratných finančních výpomocí, převody z fondů stá</w:t>
      </w:r>
      <w:r w:rsidRPr="00BD3549">
        <w:t>t</w:t>
      </w:r>
      <w:r w:rsidRPr="00BD3549">
        <w:t>ních podniků do státního rozpočtu, příjmy z prodeje m</w:t>
      </w:r>
      <w:r w:rsidRPr="00BD3549">
        <w:t>a</w:t>
      </w:r>
      <w:r w:rsidRPr="00BD3549">
        <w:t>jetku, převody z rezervních fondů a další příjmy. Meziroční srovnatelnost ovlivňují zejména nahodilost řady příjmů, splátkové kalendáře návratných finančních výpomocí, rozsah použití rezervních fondů a rozsah z</w:t>
      </w:r>
      <w:r w:rsidRPr="00BD3549">
        <w:t>a</w:t>
      </w:r>
      <w:r w:rsidRPr="00BD3549">
        <w:t>pojení prostředků ze zvláštních příjmových účtů Mini</w:t>
      </w:r>
      <w:r w:rsidRPr="00BD3549">
        <w:t>s</w:t>
      </w:r>
      <w:r w:rsidRPr="00BD3549">
        <w:t>terstva financí do příjmů státního rozpočtu.</w:t>
      </w:r>
    </w:p>
    <w:p w:rsidR="00477A70" w:rsidRPr="00DC38FA" w:rsidRDefault="00477A70" w:rsidP="005E56DB">
      <w:pPr>
        <w:pStyle w:val="SRTextnomal"/>
      </w:pPr>
      <w:r w:rsidRPr="00DC38FA">
        <w:t xml:space="preserve">Podle současných odhadů se očekávají </w:t>
      </w:r>
      <w:r w:rsidR="00E730F2">
        <w:t>n</w:t>
      </w:r>
      <w:r w:rsidR="00E730F2" w:rsidRPr="00E730F2">
        <w:t xml:space="preserve">edaňové příjmy, kapitálové příjmy a přijaté transfery </w:t>
      </w:r>
      <w:r w:rsidR="00E730F2">
        <w:t>(</w:t>
      </w:r>
      <w:r w:rsidRPr="00DC38FA">
        <w:t xml:space="preserve">bez příjmů z EU </w:t>
      </w:r>
      <w:r w:rsidRPr="00DC38FA">
        <w:lastRenderedPageBreak/>
        <w:t>a</w:t>
      </w:r>
      <w:r w:rsidR="00741248">
        <w:t> </w:t>
      </w:r>
      <w:r w:rsidRPr="00DC38FA">
        <w:t>FM a SZIF</w:t>
      </w:r>
      <w:r w:rsidR="00E730F2">
        <w:t>)</w:t>
      </w:r>
      <w:r w:rsidRPr="00DC38FA">
        <w:t xml:space="preserve"> pro rok 202</w:t>
      </w:r>
      <w:r w:rsidR="007A71BE" w:rsidRPr="00DC38FA">
        <w:t>2</w:t>
      </w:r>
      <w:r w:rsidRPr="00DC38FA">
        <w:t xml:space="preserve"> ve výši </w:t>
      </w:r>
      <w:r w:rsidR="007A71BE" w:rsidRPr="00DC38FA">
        <w:t>6</w:t>
      </w:r>
      <w:r w:rsidR="002E1883">
        <w:t>5</w:t>
      </w:r>
      <w:r w:rsidRPr="00DC38FA">
        <w:t>,</w:t>
      </w:r>
      <w:r w:rsidR="002E1883">
        <w:t>5</w:t>
      </w:r>
      <w:r w:rsidRPr="00DC38FA">
        <w:t xml:space="preserve"> mld. Kč (v roce 202</w:t>
      </w:r>
      <w:r w:rsidR="007A71BE" w:rsidRPr="00DC38FA">
        <w:t>1</w:t>
      </w:r>
      <w:r w:rsidRPr="00DC38FA">
        <w:t xml:space="preserve"> činí rozpočet 5</w:t>
      </w:r>
      <w:r w:rsidR="007A71BE" w:rsidRPr="00DC38FA">
        <w:t>4</w:t>
      </w:r>
      <w:r w:rsidRPr="00DC38FA">
        <w:t>,</w:t>
      </w:r>
      <w:r w:rsidR="007A71BE" w:rsidRPr="00DC38FA">
        <w:t>0</w:t>
      </w:r>
      <w:r w:rsidRPr="00DC38FA">
        <w:t xml:space="preserve"> mld. Kč). Pro léta 202</w:t>
      </w:r>
      <w:r w:rsidR="007A71BE" w:rsidRPr="00DC38FA">
        <w:t>3</w:t>
      </w:r>
      <w:r w:rsidRPr="00DC38FA">
        <w:t xml:space="preserve"> a 202</w:t>
      </w:r>
      <w:r w:rsidR="007A71BE" w:rsidRPr="00DC38FA">
        <w:t>4</w:t>
      </w:r>
      <w:r w:rsidRPr="00DC38FA">
        <w:t xml:space="preserve"> se počítá s </w:t>
      </w:r>
      <w:r w:rsidR="007937AD">
        <w:t>výší</w:t>
      </w:r>
      <w:r w:rsidRPr="00DC38FA">
        <w:t xml:space="preserve"> příjm</w:t>
      </w:r>
      <w:r w:rsidR="007937AD">
        <w:t>ů</w:t>
      </w:r>
      <w:r w:rsidRPr="00DC38FA">
        <w:t xml:space="preserve"> v objemu </w:t>
      </w:r>
      <w:r w:rsidR="007A71BE" w:rsidRPr="00DC38FA">
        <w:t>5</w:t>
      </w:r>
      <w:r w:rsidR="002E1883">
        <w:t>4</w:t>
      </w:r>
      <w:r w:rsidRPr="00DC38FA">
        <w:t>,</w:t>
      </w:r>
      <w:r w:rsidR="007A71BE" w:rsidRPr="00DC38FA">
        <w:t>5</w:t>
      </w:r>
      <w:r w:rsidRPr="00DC38FA">
        <w:t xml:space="preserve"> mld. Kč a </w:t>
      </w:r>
      <w:r w:rsidR="007A71BE" w:rsidRPr="00DC38FA">
        <w:t>5</w:t>
      </w:r>
      <w:r w:rsidR="002E1883">
        <w:t>4</w:t>
      </w:r>
      <w:r w:rsidRPr="00DC38FA">
        <w:t>,</w:t>
      </w:r>
      <w:r w:rsidR="007A71BE" w:rsidRPr="00DC38FA">
        <w:t xml:space="preserve">6 mld. Kč. </w:t>
      </w:r>
      <w:r w:rsidR="007A71BE" w:rsidRPr="00635627">
        <w:t>Růst</w:t>
      </w:r>
      <w:r w:rsidRPr="00635627">
        <w:t xml:space="preserve"> této kategorie příjmů v roce 202</w:t>
      </w:r>
      <w:r w:rsidR="007A71BE" w:rsidRPr="00635627">
        <w:t>2</w:t>
      </w:r>
      <w:r w:rsidRPr="00635627">
        <w:t xml:space="preserve"> oproti roku 202</w:t>
      </w:r>
      <w:r w:rsidR="007A71BE" w:rsidRPr="00635627">
        <w:t>1</w:t>
      </w:r>
      <w:r w:rsidRPr="00635627">
        <w:t xml:space="preserve"> o částku </w:t>
      </w:r>
      <w:r w:rsidR="002E1883" w:rsidRPr="00635627">
        <w:t>11,5</w:t>
      </w:r>
      <w:r w:rsidRPr="00635627">
        <w:t xml:space="preserve"> mld. Kč souvisí </w:t>
      </w:r>
      <w:r w:rsidR="007937AD" w:rsidRPr="00635627">
        <w:t>mimo jiné</w:t>
      </w:r>
      <w:r w:rsidRPr="00635627">
        <w:t xml:space="preserve"> s </w:t>
      </w:r>
      <w:r w:rsidR="007A71BE" w:rsidRPr="00635627">
        <w:t>vyššími</w:t>
      </w:r>
      <w:r w:rsidRPr="00635627">
        <w:t xml:space="preserve"> příjmy z emisních povolenek meziročně o </w:t>
      </w:r>
      <w:r w:rsidR="00156F5B" w:rsidRPr="00635627">
        <w:t>5,</w:t>
      </w:r>
      <w:r w:rsidR="007937AD" w:rsidRPr="00635627">
        <w:t>1</w:t>
      </w:r>
      <w:r w:rsidRPr="00635627">
        <w:t xml:space="preserve"> mld. Kč</w:t>
      </w:r>
      <w:r w:rsidR="007937AD" w:rsidRPr="00635627">
        <w:t xml:space="preserve"> na</w:t>
      </w:r>
      <w:r w:rsidR="002E1883" w:rsidRPr="00635627">
        <w:t> </w:t>
      </w:r>
      <w:r w:rsidR="007937AD" w:rsidRPr="00635627">
        <w:t>částku 1</w:t>
      </w:r>
      <w:r w:rsidR="00156F5B" w:rsidRPr="00635627">
        <w:t>9</w:t>
      </w:r>
      <w:r w:rsidR="007937AD" w:rsidRPr="00635627">
        <w:t>,</w:t>
      </w:r>
      <w:r w:rsidR="00156F5B" w:rsidRPr="00635627">
        <w:t>9</w:t>
      </w:r>
      <w:r w:rsidR="007937AD" w:rsidRPr="00635627">
        <w:t xml:space="preserve"> mld. Kč</w:t>
      </w:r>
      <w:r w:rsidRPr="00635627">
        <w:t>. Dále</w:t>
      </w:r>
      <w:r w:rsidRPr="00156F5B">
        <w:t xml:space="preserve"> rostou nedaňové příjmy meziročně o</w:t>
      </w:r>
      <w:r w:rsidR="00DC1C71" w:rsidRPr="00156F5B">
        <w:t xml:space="preserve"> </w:t>
      </w:r>
      <w:r w:rsidR="007937AD" w:rsidRPr="00156F5B">
        <w:t>5</w:t>
      </w:r>
      <w:r w:rsidRPr="00156F5B">
        <w:t>,</w:t>
      </w:r>
      <w:r w:rsidR="007937AD" w:rsidRPr="00156F5B">
        <w:t>2</w:t>
      </w:r>
      <w:r w:rsidRPr="00156F5B">
        <w:t xml:space="preserve"> mld. Kč v kapitole </w:t>
      </w:r>
      <w:r w:rsidR="00DC1C71" w:rsidRPr="00156F5B">
        <w:t>Ministerstvo zdravo</w:t>
      </w:r>
      <w:r w:rsidR="00DC1C71" w:rsidRPr="00156F5B">
        <w:t>t</w:t>
      </w:r>
      <w:r w:rsidR="00DC1C71" w:rsidRPr="00156F5B">
        <w:t xml:space="preserve">nictví </w:t>
      </w:r>
      <w:r w:rsidRPr="00156F5B">
        <w:t>(příjem z</w:t>
      </w:r>
      <w:r w:rsidR="00DC1C71" w:rsidRPr="00156F5B">
        <w:t> prodeje vakcín</w:t>
      </w:r>
      <w:r w:rsidRPr="00156F5B">
        <w:t>),</w:t>
      </w:r>
      <w:r w:rsidR="00A47ECF" w:rsidRPr="00156F5B">
        <w:t xml:space="preserve"> v dalších letech se s příjmy z prodeje vakcín nepočítá.</w:t>
      </w:r>
      <w:r w:rsidRPr="00156F5B">
        <w:t xml:space="preserve"> </w:t>
      </w:r>
      <w:r w:rsidR="00A47ECF" w:rsidRPr="00156F5B">
        <w:t>D</w:t>
      </w:r>
      <w:r w:rsidR="00DC38FA" w:rsidRPr="00156F5B">
        <w:t xml:space="preserve">ále roste </w:t>
      </w:r>
      <w:r w:rsidRPr="00156F5B">
        <w:t xml:space="preserve">meziročně příjem ze zvláštních účtů MF o </w:t>
      </w:r>
      <w:r w:rsidR="007A71BE" w:rsidRPr="00156F5B">
        <w:t>3</w:t>
      </w:r>
      <w:r w:rsidR="00DC38FA" w:rsidRPr="00156F5B">
        <w:t>,0</w:t>
      </w:r>
      <w:r w:rsidRPr="00156F5B">
        <w:t xml:space="preserve"> mld. Kč</w:t>
      </w:r>
      <w:r w:rsidRPr="00DC38FA">
        <w:t xml:space="preserve"> na 1</w:t>
      </w:r>
      <w:r w:rsidR="007A71BE" w:rsidRPr="00DC38FA">
        <w:t>3</w:t>
      </w:r>
      <w:r w:rsidR="00DC38FA">
        <w:t>,0</w:t>
      </w:r>
      <w:r w:rsidRPr="00DC38FA">
        <w:t xml:space="preserve"> mld. Kč </w:t>
      </w:r>
      <w:r w:rsidR="00E363F8">
        <w:t>ve</w:t>
      </w:r>
      <w:r w:rsidR="00431F1F">
        <w:t> </w:t>
      </w:r>
      <w:r w:rsidR="00E363F8">
        <w:t xml:space="preserve">všech letech </w:t>
      </w:r>
      <w:r w:rsidRPr="00DC38FA">
        <w:t xml:space="preserve">v kapitole Všeobecná pokladní správa. </w:t>
      </w:r>
      <w:r w:rsidR="005B5B52">
        <w:t xml:space="preserve">V kapitole </w:t>
      </w:r>
      <w:r w:rsidR="0004421D">
        <w:t xml:space="preserve">Všeobecná pokladní správa </w:t>
      </w:r>
      <w:r w:rsidR="005B5B52">
        <w:t>rostou odvody p</w:t>
      </w:r>
      <w:r w:rsidR="005B5B52">
        <w:t>o</w:t>
      </w:r>
      <w:r w:rsidR="005B5B52">
        <w:t xml:space="preserve">jišťoven </w:t>
      </w:r>
      <w:r w:rsidR="0004421D">
        <w:t>z provozu zákonného pojištěn</w:t>
      </w:r>
      <w:r w:rsidR="00EE4F79">
        <w:t>í</w:t>
      </w:r>
      <w:r w:rsidR="0004421D">
        <w:t xml:space="preserve"> odpovědnosti zaměstnavatele za škodu způsobenou při pracovním úrazu nebo nemoci z povolání </w:t>
      </w:r>
      <w:r w:rsidR="005B5B52">
        <w:t>o 1</w:t>
      </w:r>
      <w:r w:rsidR="00E730F2">
        <w:t>,0</w:t>
      </w:r>
      <w:r w:rsidR="005B5B52">
        <w:t xml:space="preserve"> mld. Kč každoročně </w:t>
      </w:r>
      <w:r w:rsidR="005B5B52">
        <w:lastRenderedPageBreak/>
        <w:t>(2022-2024)</w:t>
      </w:r>
      <w:r w:rsidR="00E730F2">
        <w:t xml:space="preserve"> na částku 3,0 mld. Kč</w:t>
      </w:r>
      <w:r w:rsidR="005B5B52">
        <w:t>.</w:t>
      </w:r>
      <w:r w:rsidR="00A47ECF">
        <w:t xml:space="preserve"> Dále budou vyšší vratky transferů o 0,3 ml</w:t>
      </w:r>
      <w:r w:rsidR="00B62719">
        <w:t>d</w:t>
      </w:r>
      <w:r w:rsidR="00A47ECF">
        <w:t xml:space="preserve">. Kč ve všech letech </w:t>
      </w:r>
      <w:r w:rsidR="004B5985">
        <w:t>n</w:t>
      </w:r>
      <w:r w:rsidR="00500911">
        <w:t>a částku 0,5</w:t>
      </w:r>
      <w:r w:rsidR="00371BFE">
        <w:t>2</w:t>
      </w:r>
      <w:r w:rsidR="00500911">
        <w:t> </w:t>
      </w:r>
      <w:r w:rsidR="00E363F8">
        <w:t>mld. Kč</w:t>
      </w:r>
      <w:r w:rsidR="00A47ECF">
        <w:t>.</w:t>
      </w:r>
    </w:p>
    <w:p w:rsidR="00477A70" w:rsidRPr="00DC38FA" w:rsidRDefault="00477A70" w:rsidP="005E56DB">
      <w:pPr>
        <w:pStyle w:val="SRTextnomal"/>
      </w:pPr>
      <w:r w:rsidRPr="00DC38FA">
        <w:t>V kapitole Ministerstvo průmyslu a obchodu se rozpo</w:t>
      </w:r>
      <w:r w:rsidRPr="00DC38FA">
        <w:t>č</w:t>
      </w:r>
      <w:r w:rsidRPr="00DC38FA">
        <w:t>tuje příjem ze zvláštních účtů Ministerstva financí k</w:t>
      </w:r>
      <w:r w:rsidR="00871290">
        <w:t> </w:t>
      </w:r>
      <w:r w:rsidRPr="00DC38FA">
        <w:t>úhradě nákladů a výdajů spojených s řešením důsledků po chemické těžbě uranu a souvisejících činností v obla</w:t>
      </w:r>
      <w:r w:rsidRPr="00DC38FA">
        <w:t>s</w:t>
      </w:r>
      <w:r w:rsidRPr="00DC38FA">
        <w:t>ti Stráže pod Ralskem podle usnesení vlády č. 655/2017 v roce 202</w:t>
      </w:r>
      <w:r w:rsidR="007A71BE" w:rsidRPr="00DC38FA">
        <w:t>2</w:t>
      </w:r>
      <w:r w:rsidRPr="00DC38FA">
        <w:t xml:space="preserve"> ve výši 1,</w:t>
      </w:r>
      <w:r w:rsidR="00DC38FA">
        <w:t>3</w:t>
      </w:r>
      <w:r w:rsidRPr="00DC38FA">
        <w:t xml:space="preserve"> mld. Kč (v roce 202</w:t>
      </w:r>
      <w:r w:rsidR="007A71BE" w:rsidRPr="00DC38FA">
        <w:t>3</w:t>
      </w:r>
      <w:r w:rsidRPr="00DC38FA">
        <w:t xml:space="preserve"> a 202</w:t>
      </w:r>
      <w:r w:rsidR="007A71BE" w:rsidRPr="00DC38FA">
        <w:t>4</w:t>
      </w:r>
      <w:r w:rsidRPr="00DC38FA">
        <w:t xml:space="preserve"> dále částky </w:t>
      </w:r>
      <w:r w:rsidR="00DC38FA">
        <w:t xml:space="preserve">také ve výši </w:t>
      </w:r>
      <w:r w:rsidRPr="00DC38FA">
        <w:t>1,3 mld. Kč). V kapitole Operace stá</w:t>
      </w:r>
      <w:r w:rsidRPr="00DC38FA">
        <w:t>t</w:t>
      </w:r>
      <w:r w:rsidRPr="00DC38FA">
        <w:t xml:space="preserve">ních finančních aktiv </w:t>
      </w:r>
      <w:r w:rsidR="00D96DB8">
        <w:t xml:space="preserve">není </w:t>
      </w:r>
      <w:r w:rsidR="00624218">
        <w:t xml:space="preserve">naopak </w:t>
      </w:r>
      <w:r w:rsidRPr="00DC38FA">
        <w:t>rozpočtován příjem z</w:t>
      </w:r>
      <w:r w:rsidR="00871290">
        <w:t> </w:t>
      </w:r>
      <w:r w:rsidRPr="00DC38FA">
        <w:t>dividend společnost</w:t>
      </w:r>
      <w:r w:rsidR="00416982" w:rsidRPr="00DC38FA">
        <w:t xml:space="preserve">i Letiště Praha, a. s. </w:t>
      </w:r>
      <w:r w:rsidRPr="00DC38FA">
        <w:t xml:space="preserve">v letech </w:t>
      </w:r>
      <w:r w:rsidR="000574D3" w:rsidRPr="00DC38FA">
        <w:t>202</w:t>
      </w:r>
      <w:r w:rsidR="007A71BE" w:rsidRPr="00DC38FA">
        <w:t>3</w:t>
      </w:r>
      <w:r w:rsidR="000574D3" w:rsidRPr="00DC38FA">
        <w:t xml:space="preserve"> a</w:t>
      </w:r>
      <w:r w:rsidR="00871290">
        <w:t> </w:t>
      </w:r>
      <w:r w:rsidR="000574D3" w:rsidRPr="00DC38FA">
        <w:t>202</w:t>
      </w:r>
      <w:r w:rsidR="007A71BE" w:rsidRPr="00DC38FA">
        <w:t>4</w:t>
      </w:r>
      <w:r w:rsidRPr="00DC38FA">
        <w:t>.</w:t>
      </w:r>
    </w:p>
    <w:p w:rsidR="00477A70" w:rsidRPr="00DC38FA" w:rsidRDefault="00477A70" w:rsidP="005E56DB">
      <w:pPr>
        <w:pStyle w:val="SRTextnomal"/>
      </w:pPr>
      <w:r w:rsidRPr="00DC38FA">
        <w:t>Pro léta výhledu 202</w:t>
      </w:r>
      <w:r w:rsidR="007A71BE" w:rsidRPr="00DC38FA">
        <w:t>3</w:t>
      </w:r>
      <w:r w:rsidRPr="00DC38FA">
        <w:t>-202</w:t>
      </w:r>
      <w:r w:rsidR="007A71BE" w:rsidRPr="00DC38FA">
        <w:t>4</w:t>
      </w:r>
      <w:r w:rsidRPr="00DC38FA">
        <w:t xml:space="preserve"> jsou v rámci těchto příjmů mj. rozpočtovány odvody prostředků ze státních podn</w:t>
      </w:r>
      <w:r w:rsidRPr="00DC38FA">
        <w:t>i</w:t>
      </w:r>
      <w:r w:rsidRPr="00DC38FA">
        <w:lastRenderedPageBreak/>
        <w:t>ků v působnosti Ministerstva obrany (částky 0,1 mld. Kč v letech 202</w:t>
      </w:r>
      <w:r w:rsidR="007A71BE" w:rsidRPr="00DC38FA">
        <w:t>3</w:t>
      </w:r>
      <w:r w:rsidRPr="00DC38FA">
        <w:t xml:space="preserve"> a 202</w:t>
      </w:r>
      <w:r w:rsidR="007A71BE" w:rsidRPr="00DC38FA">
        <w:t>4</w:t>
      </w:r>
      <w:r w:rsidRPr="00DC38FA">
        <w:t>), Ministerstva zemědělství (částka 0,5 mld. Kč v</w:t>
      </w:r>
      <w:r w:rsidR="003027DE">
        <w:t xml:space="preserve"> letech </w:t>
      </w:r>
      <w:r w:rsidRPr="00DC38FA">
        <w:t>202</w:t>
      </w:r>
      <w:r w:rsidR="007A71BE" w:rsidRPr="00DC38FA">
        <w:t>3</w:t>
      </w:r>
      <w:r w:rsidRPr="00DC38FA">
        <w:t xml:space="preserve"> a 202</w:t>
      </w:r>
      <w:r w:rsidR="007A71BE" w:rsidRPr="00DC38FA">
        <w:t>4</w:t>
      </w:r>
      <w:r w:rsidRPr="00DC38FA">
        <w:t>) a Ministerstva dopravy (</w:t>
      </w:r>
      <w:r w:rsidR="00266405">
        <w:t>0</w:t>
      </w:r>
      <w:r w:rsidR="00371BFE">
        <w:t>,1</w:t>
      </w:r>
      <w:r w:rsidRPr="00DC38FA">
        <w:t xml:space="preserve"> ml</w:t>
      </w:r>
      <w:r w:rsidR="00266405">
        <w:t>d</w:t>
      </w:r>
      <w:r w:rsidRPr="00DC38FA">
        <w:t>. Kč v každém roce výhledu), celkem je pro rok 202</w:t>
      </w:r>
      <w:r w:rsidR="007A71BE" w:rsidRPr="00DC38FA">
        <w:t>3</w:t>
      </w:r>
      <w:r w:rsidRPr="00DC38FA">
        <w:t xml:space="preserve"> </w:t>
      </w:r>
      <w:r w:rsidR="00624218">
        <w:t xml:space="preserve">i v roce 2024 </w:t>
      </w:r>
      <w:r w:rsidRPr="00DC38FA">
        <w:t xml:space="preserve">rozpočtována částka 0,7 mld. Kč. </w:t>
      </w:r>
    </w:p>
    <w:p w:rsidR="00477A70" w:rsidRPr="00DC38FA" w:rsidRDefault="00477A70" w:rsidP="005E56DB">
      <w:pPr>
        <w:pStyle w:val="SRTextnomal"/>
      </w:pPr>
      <w:r w:rsidRPr="00635627">
        <w:t>V kapitole Ministerstva průmyslu a obchodu jsou ro</w:t>
      </w:r>
      <w:r w:rsidRPr="00635627">
        <w:t>z</w:t>
      </w:r>
      <w:r w:rsidRPr="00635627">
        <w:t>počtovány v letech 202</w:t>
      </w:r>
      <w:r w:rsidR="00325A73" w:rsidRPr="00635627">
        <w:t>3</w:t>
      </w:r>
      <w:r w:rsidRPr="00635627">
        <w:t xml:space="preserve"> a 202</w:t>
      </w:r>
      <w:r w:rsidR="00325A73" w:rsidRPr="00635627">
        <w:t>4</w:t>
      </w:r>
      <w:r w:rsidRPr="00635627">
        <w:t xml:space="preserve"> příjmy z dividend (Česká energetická přenosová soustava - ČEPS, a.s.) ve výši </w:t>
      </w:r>
      <w:r w:rsidR="005B57DA" w:rsidRPr="00635627">
        <w:t>3</w:t>
      </w:r>
      <w:r w:rsidRPr="00635627">
        <w:t>,</w:t>
      </w:r>
      <w:r w:rsidR="005B57DA" w:rsidRPr="00635627">
        <w:t>0</w:t>
      </w:r>
      <w:r w:rsidR="00500911" w:rsidRPr="00635627">
        <w:t> </w:t>
      </w:r>
      <w:r w:rsidRPr="00635627">
        <w:t>mld. Kč ročně.</w:t>
      </w:r>
      <w:r w:rsidRPr="00DC38FA">
        <w:t xml:space="preserve"> </w:t>
      </w:r>
    </w:p>
    <w:p w:rsidR="005E56DB" w:rsidRDefault="00477A70" w:rsidP="005E56DB">
      <w:pPr>
        <w:pStyle w:val="SRTextnomal"/>
        <w:rPr>
          <w:highlight w:val="yellow"/>
        </w:rPr>
      </w:pPr>
      <w:r w:rsidRPr="00DC38FA">
        <w:t>V kapitole Ministerstva životního prostředí jsou zahrnuty mj. i příjmy z obchodování s povolenkami na emise skl</w:t>
      </w:r>
      <w:r w:rsidRPr="00DC38FA">
        <w:t>e</w:t>
      </w:r>
      <w:r w:rsidRPr="00DC38FA">
        <w:t>níkových plynů: částka 1</w:t>
      </w:r>
      <w:r w:rsidR="00371BFE">
        <w:t>9</w:t>
      </w:r>
      <w:r w:rsidR="003027DE">
        <w:t>,</w:t>
      </w:r>
      <w:r w:rsidR="00371BFE">
        <w:t>9</w:t>
      </w:r>
      <w:r w:rsidRPr="00DC38FA">
        <w:t xml:space="preserve"> mld. Kč v roce 202</w:t>
      </w:r>
      <w:r w:rsidR="00325A73" w:rsidRPr="00DC38FA">
        <w:t>2</w:t>
      </w:r>
      <w:r w:rsidRPr="00DC38FA">
        <w:t xml:space="preserve">, </w:t>
      </w:r>
      <w:r w:rsidR="00371BFE">
        <w:t xml:space="preserve">rovněž </w:t>
      </w:r>
      <w:r w:rsidRPr="00DC38FA">
        <w:t>částka 1</w:t>
      </w:r>
      <w:r w:rsidR="003027DE">
        <w:t>9</w:t>
      </w:r>
      <w:r w:rsidRPr="00DC38FA">
        <w:t>,</w:t>
      </w:r>
      <w:r w:rsidR="003027DE">
        <w:t>9</w:t>
      </w:r>
      <w:r w:rsidRPr="00DC38FA">
        <w:t xml:space="preserve"> mld. Kč </w:t>
      </w:r>
      <w:r w:rsidR="005B5B52">
        <w:t xml:space="preserve">pro </w:t>
      </w:r>
      <w:r w:rsidR="00715DB1">
        <w:t>oba roky</w:t>
      </w:r>
      <w:r w:rsidR="005B5B52">
        <w:t xml:space="preserve"> výhledu</w:t>
      </w:r>
      <w:r w:rsidRPr="00DC38FA">
        <w:t>.</w:t>
      </w:r>
    </w:p>
    <w:p w:rsidR="0096031C" w:rsidRPr="00533CE7" w:rsidRDefault="0096031C" w:rsidP="00531483">
      <w:pPr>
        <w:rPr>
          <w:highlight w:val="yellow"/>
        </w:rPr>
        <w:sectPr w:rsidR="0096031C" w:rsidRPr="00533CE7" w:rsidSect="00385A41">
          <w:type w:val="continuous"/>
          <w:pgSz w:w="11906" w:h="16838" w:code="9"/>
          <w:pgMar w:top="1134" w:right="1134" w:bottom="1418" w:left="1134" w:header="709" w:footer="709" w:gutter="0"/>
          <w:cols w:num="2" w:space="397"/>
          <w:docGrid w:linePitch="360"/>
        </w:sectPr>
      </w:pPr>
    </w:p>
    <w:p w:rsidR="00776CAC" w:rsidRPr="00BF4146" w:rsidRDefault="00776CAC" w:rsidP="005A27EF">
      <w:pPr>
        <w:pStyle w:val="SRNadpis2"/>
      </w:pPr>
      <w:bookmarkStart w:id="103" w:name="_Toc52369405"/>
      <w:bookmarkStart w:id="104" w:name="_Toc83882835"/>
      <w:r w:rsidRPr="00BF4146">
        <w:lastRenderedPageBreak/>
        <w:t>Predikce výdajů</w:t>
      </w:r>
      <w:bookmarkEnd w:id="103"/>
      <w:bookmarkEnd w:id="104"/>
    </w:p>
    <w:p w:rsidR="00C379B3" w:rsidRPr="00BF4146" w:rsidRDefault="00C379B3" w:rsidP="00BD76A8">
      <w:pPr>
        <w:pStyle w:val="SRtitulek1"/>
        <w:sectPr w:rsidR="00C379B3" w:rsidRPr="00BF4146" w:rsidSect="00385A41">
          <w:type w:val="continuous"/>
          <w:pgSz w:w="11906" w:h="16838" w:code="9"/>
          <w:pgMar w:top="1134" w:right="1134" w:bottom="1418" w:left="1134" w:header="709" w:footer="709" w:gutter="0"/>
          <w:cols w:space="709"/>
          <w:docGrid w:linePitch="360"/>
        </w:sectPr>
      </w:pPr>
    </w:p>
    <w:p w:rsidR="00C379B3" w:rsidRPr="00BF4146" w:rsidRDefault="00875D39" w:rsidP="00A938CE">
      <w:pPr>
        <w:pStyle w:val="SRTextnomal"/>
      </w:pPr>
      <w:r w:rsidRPr="00BF4146">
        <w:lastRenderedPageBreak/>
        <w:t>Ve střednědobém výhledu na rok 202</w:t>
      </w:r>
      <w:r w:rsidR="000516ED" w:rsidRPr="00BF4146">
        <w:t>3</w:t>
      </w:r>
      <w:r w:rsidRPr="00BF4146">
        <w:t xml:space="preserve"> jsou rozpočtov</w:t>
      </w:r>
      <w:r w:rsidRPr="00BF4146">
        <w:t>á</w:t>
      </w:r>
      <w:r w:rsidRPr="00BF4146">
        <w:t xml:space="preserve">ny celkové výdaje ve výši 1 </w:t>
      </w:r>
      <w:r w:rsidR="00BF4146" w:rsidRPr="00BF4146">
        <w:t>7</w:t>
      </w:r>
      <w:r w:rsidR="00715E46">
        <w:t>73</w:t>
      </w:r>
      <w:r w:rsidRPr="00BF4146">
        <w:t>,</w:t>
      </w:r>
      <w:r w:rsidR="00715E46">
        <w:t>6</w:t>
      </w:r>
      <w:r w:rsidRPr="00BF4146">
        <w:t xml:space="preserve"> mld. Kč a pro rok 202</w:t>
      </w:r>
      <w:r w:rsidR="000516ED" w:rsidRPr="00BF4146">
        <w:t>4</w:t>
      </w:r>
      <w:r w:rsidRPr="00BF4146">
        <w:t xml:space="preserve"> ve výši 1 </w:t>
      </w:r>
      <w:r w:rsidR="00BF4146" w:rsidRPr="00BF4146">
        <w:t>80</w:t>
      </w:r>
      <w:r w:rsidR="000B688E">
        <w:t>8</w:t>
      </w:r>
      <w:r w:rsidRPr="00BF4146">
        <w:t>,</w:t>
      </w:r>
      <w:r w:rsidR="000B688E">
        <w:t>9</w:t>
      </w:r>
      <w:r w:rsidRPr="00BF4146">
        <w:t xml:space="preserve"> mld. Kč. Tyto výdaje neobsahují výdaje, </w:t>
      </w:r>
      <w:r w:rsidRPr="00BF4146">
        <w:lastRenderedPageBreak/>
        <w:t>které jsou kryty příjmy z rozpočtu EU a FM. Prostředky z</w:t>
      </w:r>
      <w:r w:rsidR="00C379B3" w:rsidRPr="00BF4146">
        <w:t> </w:t>
      </w:r>
      <w:r w:rsidRPr="00BF4146">
        <w:t>rozpočtu EU a FM se rozpočtují pouze v návrhu státn</w:t>
      </w:r>
      <w:r w:rsidRPr="00BF4146">
        <w:t>í</w:t>
      </w:r>
      <w:r w:rsidRPr="00BF4146">
        <w:t>ho rozpočtu na příslušný rok.</w:t>
      </w:r>
    </w:p>
    <w:p w:rsidR="00C379B3" w:rsidRPr="00BF4146" w:rsidRDefault="00C379B3" w:rsidP="00C379B3">
      <w:pPr>
        <w:sectPr w:rsidR="00C379B3" w:rsidRPr="00BF4146" w:rsidSect="00385A41">
          <w:type w:val="continuous"/>
          <w:pgSz w:w="11906" w:h="16838" w:code="9"/>
          <w:pgMar w:top="1134" w:right="1134" w:bottom="1418" w:left="1134" w:header="709" w:footer="709" w:gutter="0"/>
          <w:cols w:num="2" w:space="397"/>
          <w:docGrid w:linePitch="360"/>
        </w:sectPr>
      </w:pPr>
    </w:p>
    <w:p w:rsidR="004837BE" w:rsidRDefault="004837BE" w:rsidP="000565F9">
      <w:pPr>
        <w:pStyle w:val="SRtitulek1"/>
      </w:pPr>
      <w:bookmarkStart w:id="105" w:name="_Toc83882882"/>
      <w:r>
        <w:lastRenderedPageBreak/>
        <w:t xml:space="preserve">Tabulka </w:t>
      </w:r>
      <w:r w:rsidR="00D51DCA">
        <w:fldChar w:fldCharType="begin"/>
      </w:r>
      <w:r w:rsidR="00D51DCA">
        <w:instrText xml:space="preserve"> SEQ Tabulka \* ARABIC </w:instrText>
      </w:r>
      <w:r w:rsidR="00D51DCA">
        <w:fldChar w:fldCharType="separate"/>
      </w:r>
      <w:r w:rsidR="00D51DCA">
        <w:rPr>
          <w:noProof/>
        </w:rPr>
        <w:t>17</w:t>
      </w:r>
      <w:r w:rsidR="00D51DCA">
        <w:rPr>
          <w:noProof/>
        </w:rPr>
        <w:fldChar w:fldCharType="end"/>
      </w:r>
      <w:r w:rsidRPr="004837BE">
        <w:rPr>
          <w:noProof/>
        </w:rPr>
        <w:t xml:space="preserve"> </w:t>
      </w:r>
      <w:r w:rsidRPr="00BF4146">
        <w:rPr>
          <w:noProof/>
        </w:rPr>
        <w:t>Vývoj</w:t>
      </w:r>
      <w:r w:rsidRPr="00BF4146">
        <w:t xml:space="preserve"> celkových výdajů v letech 201</w:t>
      </w:r>
      <w:r>
        <w:t>7</w:t>
      </w:r>
      <w:r w:rsidRPr="00BF4146">
        <w:t xml:space="preserve"> – 2024 </w:t>
      </w:r>
      <w:r w:rsidRPr="00BF4146">
        <w:rPr>
          <w:i/>
        </w:rPr>
        <w:t>(v mld. Kč)</w:t>
      </w:r>
      <w:bookmarkEnd w:id="105"/>
    </w:p>
    <w:p w:rsidR="00776CAC" w:rsidRDefault="00992C3F" w:rsidP="008A0150">
      <w:pPr>
        <w:tabs>
          <w:tab w:val="left" w:pos="4048"/>
        </w:tabs>
        <w:rPr>
          <w:i/>
        </w:rPr>
      </w:pPr>
      <w:r>
        <w:rPr>
          <w:noProof/>
        </w:rPr>
        <w:pict>
          <v:shape id="_x0000_i1035" type="#_x0000_t75" style="width:481.6pt;height:68.6pt">
            <v:imagedata r:id="rId53" o:title=""/>
          </v:shape>
        </w:pict>
      </w:r>
      <w:r w:rsidR="009E0CDC" w:rsidRPr="009E0CDC">
        <w:rPr>
          <w:i/>
        </w:rPr>
        <w:t xml:space="preserve">Poznámka: výdaje </w:t>
      </w:r>
      <w:r w:rsidR="00CC3E04">
        <w:rPr>
          <w:i/>
        </w:rPr>
        <w:t>pro léta 202</w:t>
      </w:r>
      <w:r w:rsidR="00020384">
        <w:rPr>
          <w:i/>
        </w:rPr>
        <w:t>3</w:t>
      </w:r>
      <w:r w:rsidR="00CC3E04">
        <w:rPr>
          <w:i/>
        </w:rPr>
        <w:t xml:space="preserve"> a 202</w:t>
      </w:r>
      <w:r w:rsidR="00020384">
        <w:rPr>
          <w:i/>
        </w:rPr>
        <w:t>4</w:t>
      </w:r>
      <w:r w:rsidR="00CC3E04">
        <w:rPr>
          <w:i/>
        </w:rPr>
        <w:t xml:space="preserve"> </w:t>
      </w:r>
      <w:r w:rsidR="009E0CDC" w:rsidRPr="009E0CDC">
        <w:rPr>
          <w:i/>
        </w:rPr>
        <w:t>bez EU a FM a v kapitole Ministerstva zemědělství bez účetních operací v rámci PRV.</w:t>
      </w:r>
    </w:p>
    <w:p w:rsidR="00980135" w:rsidRPr="00F13685" w:rsidRDefault="00980135" w:rsidP="00A938CE">
      <w:pPr>
        <w:pStyle w:val="SRNadpis3"/>
      </w:pPr>
      <w:bookmarkStart w:id="106" w:name="_Toc52369406"/>
      <w:bookmarkStart w:id="107" w:name="_Toc83882836"/>
      <w:r w:rsidRPr="00F13685">
        <w:t>Mandatorní výdaje</w:t>
      </w:r>
      <w:r w:rsidR="006824CE" w:rsidRPr="00F13685">
        <w:t xml:space="preserve"> státního rozpočtu</w:t>
      </w:r>
      <w:bookmarkEnd w:id="106"/>
      <w:bookmarkEnd w:id="107"/>
    </w:p>
    <w:p w:rsidR="00980135" w:rsidRDefault="00980135" w:rsidP="00980135">
      <w:pPr>
        <w:sectPr w:rsidR="00980135" w:rsidSect="00385A41">
          <w:type w:val="continuous"/>
          <w:pgSz w:w="11906" w:h="16838" w:code="9"/>
          <w:pgMar w:top="1134" w:right="1134" w:bottom="1418" w:left="1134" w:header="709" w:footer="709" w:gutter="0"/>
          <w:cols w:space="709"/>
          <w:docGrid w:linePitch="360"/>
        </w:sectPr>
      </w:pPr>
    </w:p>
    <w:p w:rsidR="00980135" w:rsidRDefault="00980135" w:rsidP="005E56DB">
      <w:pPr>
        <w:pStyle w:val="SRTextnomal"/>
      </w:pPr>
      <w:r w:rsidRPr="00773181">
        <w:lastRenderedPageBreak/>
        <w:t xml:space="preserve">Výdajovou stranu střednědobého výhledu </w:t>
      </w:r>
      <w:r w:rsidR="00C361D3" w:rsidRPr="00773181">
        <w:t>státního ro</w:t>
      </w:r>
      <w:r w:rsidR="00C361D3" w:rsidRPr="00773181">
        <w:t>z</w:t>
      </w:r>
      <w:r w:rsidR="00C361D3" w:rsidRPr="00773181">
        <w:t xml:space="preserve">počtu </w:t>
      </w:r>
      <w:r w:rsidRPr="00773181">
        <w:t xml:space="preserve">lze hodnotit podle různých kritérií. Jedním z nich je kritérium zákonné předurčenosti výdajových položek, podle něhož lze odlišit výdaje mandatorní, které je vláda </w:t>
      </w:r>
      <w:r w:rsidRPr="00773181">
        <w:lastRenderedPageBreak/>
        <w:t>povinna uhradit, a výdaje ostatní (nemandatorní), v jejichž rámci může vláda pružně reagovat na měnící se podmínky fungování organizačních složek státu a na změny v jejich aktivitách.</w:t>
      </w:r>
    </w:p>
    <w:p w:rsidR="003802E5" w:rsidRDefault="003802E5" w:rsidP="00980135">
      <w:pPr>
        <w:sectPr w:rsidR="003802E5" w:rsidSect="00385A41">
          <w:type w:val="continuous"/>
          <w:pgSz w:w="11906" w:h="16838" w:code="9"/>
          <w:pgMar w:top="1134" w:right="1134" w:bottom="1418" w:left="1134" w:header="709" w:footer="709" w:gutter="0"/>
          <w:cols w:num="2" w:space="397"/>
          <w:docGrid w:linePitch="360"/>
        </w:sectPr>
      </w:pPr>
    </w:p>
    <w:p w:rsidR="00B54436" w:rsidRDefault="00B54436" w:rsidP="000565F9">
      <w:pPr>
        <w:pStyle w:val="SRtitulek1"/>
      </w:pPr>
      <w:bookmarkStart w:id="108" w:name="_Toc83882912"/>
      <w:r>
        <w:lastRenderedPageBreak/>
        <w:t xml:space="preserve">Graf </w:t>
      </w:r>
      <w:r w:rsidR="00D51DCA">
        <w:fldChar w:fldCharType="begin"/>
      </w:r>
      <w:r w:rsidR="00D51DCA">
        <w:instrText xml:space="preserve"> SEQ Graf \* ARABIC </w:instrText>
      </w:r>
      <w:r w:rsidR="00D51DCA">
        <w:fldChar w:fldCharType="separate"/>
      </w:r>
      <w:r w:rsidR="00D51DCA">
        <w:rPr>
          <w:noProof/>
        </w:rPr>
        <w:t>11</w:t>
      </w:r>
      <w:r w:rsidR="00D51DCA">
        <w:rPr>
          <w:noProof/>
        </w:rPr>
        <w:fldChar w:fldCharType="end"/>
      </w:r>
      <w:r w:rsidRPr="00B54436">
        <w:t xml:space="preserve"> </w:t>
      </w:r>
      <w:r w:rsidRPr="001955B6">
        <w:t>Vývoj základních ukazatelů státního rozpočtu v letech 201</w:t>
      </w:r>
      <w:r>
        <w:t>1</w:t>
      </w:r>
      <w:r w:rsidRPr="001955B6">
        <w:t xml:space="preserve"> – 2024 </w:t>
      </w:r>
      <w:r w:rsidRPr="001955B6">
        <w:rPr>
          <w:i/>
        </w:rPr>
        <w:t>(v mld. Kč)</w:t>
      </w:r>
      <w:bookmarkEnd w:id="108"/>
    </w:p>
    <w:p w:rsidR="003802E5" w:rsidRDefault="00992C3F" w:rsidP="003802E5">
      <w:pPr>
        <w:jc w:val="left"/>
        <w:sectPr w:rsidR="003802E5" w:rsidSect="003802E5">
          <w:type w:val="continuous"/>
          <w:pgSz w:w="11906" w:h="16838" w:code="9"/>
          <w:pgMar w:top="1134" w:right="1134" w:bottom="1418" w:left="1134" w:header="709" w:footer="709" w:gutter="0"/>
          <w:cols w:space="397"/>
          <w:docGrid w:linePitch="360"/>
        </w:sectPr>
      </w:pPr>
      <w:r>
        <w:rPr>
          <w:noProof/>
        </w:rPr>
        <w:pict>
          <v:shape id="_x0000_i1036" type="#_x0000_t75" style="width:468.7pt;height:197.65pt">
            <v:imagedata r:id="rId54" o:title=""/>
          </v:shape>
        </w:pict>
      </w:r>
      <w:r w:rsidR="003802E5" w:rsidRPr="003802E5">
        <w:rPr>
          <w:i/>
        </w:rPr>
        <w:t>Poznámka: příjmy a výdaje v letech 202</w:t>
      </w:r>
      <w:r w:rsidR="00CE7EAE">
        <w:rPr>
          <w:i/>
        </w:rPr>
        <w:t>3</w:t>
      </w:r>
      <w:r w:rsidR="003802E5" w:rsidRPr="003802E5">
        <w:rPr>
          <w:i/>
        </w:rPr>
        <w:t xml:space="preserve"> a 202</w:t>
      </w:r>
      <w:r w:rsidR="00CE7EAE">
        <w:rPr>
          <w:i/>
        </w:rPr>
        <w:t>4</w:t>
      </w:r>
      <w:r w:rsidR="003802E5" w:rsidRPr="003802E5">
        <w:rPr>
          <w:i/>
        </w:rPr>
        <w:t xml:space="preserve"> pro srovnatelnost počítají s</w:t>
      </w:r>
      <w:r w:rsidR="00051AAF">
        <w:rPr>
          <w:i/>
        </w:rPr>
        <w:t>e</w:t>
      </w:r>
      <w:r w:rsidR="003802E5" w:rsidRPr="003802E5">
        <w:rPr>
          <w:i/>
        </w:rPr>
        <w:t> </w:t>
      </w:r>
      <w:r w:rsidR="003C0E9B">
        <w:rPr>
          <w:i/>
        </w:rPr>
        <w:t>1</w:t>
      </w:r>
      <w:r w:rsidR="00D92188">
        <w:rPr>
          <w:i/>
        </w:rPr>
        <w:t>5</w:t>
      </w:r>
      <w:r w:rsidR="003802E5" w:rsidRPr="003802E5">
        <w:rPr>
          <w:i/>
        </w:rPr>
        <w:t>0 mld. Kč v rámci EU/FM.</w:t>
      </w:r>
    </w:p>
    <w:p w:rsidR="00980135" w:rsidRPr="00476377" w:rsidRDefault="0035435C" w:rsidP="005E56DB">
      <w:pPr>
        <w:pStyle w:val="SRTextnomal"/>
        <w:rPr>
          <w:highlight w:val="cyan"/>
        </w:rPr>
      </w:pPr>
      <w:r w:rsidRPr="00E26C42">
        <w:lastRenderedPageBreak/>
        <w:t xml:space="preserve">Dlouhodobě sledované mandatorní výdaje </w:t>
      </w:r>
      <w:r w:rsidR="001D12B9">
        <w:t xml:space="preserve">(dále také „MV“) </w:t>
      </w:r>
      <w:r w:rsidRPr="00E26C42">
        <w:t>jsou rozčleněny na výdaje ze zákona povinné a výdaje ostatní, které vyplývají z jiných právních n</w:t>
      </w:r>
      <w:r w:rsidRPr="00E26C42">
        <w:t>o</w:t>
      </w:r>
      <w:r w:rsidRPr="00E26C42">
        <w:t xml:space="preserve">rem, resp. ze smluvních závazků státu. </w:t>
      </w:r>
      <w:r w:rsidR="00E032E4" w:rsidRPr="00E26C42">
        <w:t xml:space="preserve">Souhrnné údaje </w:t>
      </w:r>
      <w:r w:rsidR="00E032E4" w:rsidRPr="00E26C42">
        <w:lastRenderedPageBreak/>
        <w:t>o těchto výdajích jsou uvedeny v následující tabulce. Podíl mandatorních výdajů státního rozpočtu se oč</w:t>
      </w:r>
      <w:r w:rsidR="00E032E4" w:rsidRPr="00E26C42">
        <w:t>e</w:t>
      </w:r>
      <w:r w:rsidR="00E032E4" w:rsidRPr="00E26C42">
        <w:t>kává v roce 202</w:t>
      </w:r>
      <w:r w:rsidR="00CA7585">
        <w:t>3</w:t>
      </w:r>
      <w:r w:rsidR="00E032E4" w:rsidRPr="00E26C42">
        <w:t xml:space="preserve"> ve </w:t>
      </w:r>
      <w:r w:rsidR="00E032E4" w:rsidRPr="005612AB">
        <w:t>výši 5</w:t>
      </w:r>
      <w:r w:rsidR="00BD4133">
        <w:t>6</w:t>
      </w:r>
      <w:r w:rsidR="00E032E4" w:rsidRPr="005612AB">
        <w:t>,</w:t>
      </w:r>
      <w:r w:rsidR="000A19F7">
        <w:t>2</w:t>
      </w:r>
      <w:r w:rsidR="00B77C09">
        <w:t> </w:t>
      </w:r>
      <w:r w:rsidR="00E032E4" w:rsidRPr="005612AB">
        <w:t>% a v roce 202</w:t>
      </w:r>
      <w:r w:rsidR="00CA7585" w:rsidRPr="005612AB">
        <w:t>4</w:t>
      </w:r>
      <w:r w:rsidR="00E032E4" w:rsidRPr="005612AB">
        <w:t xml:space="preserve"> ve výši 5</w:t>
      </w:r>
      <w:r w:rsidR="00C96AB1">
        <w:t>6</w:t>
      </w:r>
      <w:r w:rsidR="00E032E4" w:rsidRPr="005612AB">
        <w:t>,</w:t>
      </w:r>
      <w:r w:rsidR="00C96AB1">
        <w:t>5</w:t>
      </w:r>
      <w:r w:rsidR="00B77C09">
        <w:t> </w:t>
      </w:r>
      <w:r w:rsidR="00E032E4" w:rsidRPr="005612AB">
        <w:t>%.</w:t>
      </w:r>
    </w:p>
    <w:p w:rsidR="00E032E4" w:rsidRPr="00476377" w:rsidRDefault="00E032E4" w:rsidP="00E032E4">
      <w:pPr>
        <w:rPr>
          <w:highlight w:val="cyan"/>
        </w:rPr>
        <w:sectPr w:rsidR="00E032E4" w:rsidRPr="00476377" w:rsidSect="00385A41">
          <w:type w:val="continuous"/>
          <w:pgSz w:w="11906" w:h="16838" w:code="9"/>
          <w:pgMar w:top="1134" w:right="1134" w:bottom="1418" w:left="1134" w:header="709" w:footer="709" w:gutter="0"/>
          <w:cols w:num="2" w:space="709"/>
          <w:docGrid w:linePitch="360"/>
        </w:sectPr>
      </w:pPr>
    </w:p>
    <w:p w:rsidR="004837BE" w:rsidRDefault="004837BE" w:rsidP="00266BFB">
      <w:pPr>
        <w:pStyle w:val="SRtitulek1"/>
      </w:pPr>
      <w:bookmarkStart w:id="109" w:name="_Toc83882883"/>
      <w:r>
        <w:lastRenderedPageBreak/>
        <w:t xml:space="preserve">Tabulka </w:t>
      </w:r>
      <w:r w:rsidR="00D51DCA">
        <w:fldChar w:fldCharType="begin"/>
      </w:r>
      <w:r w:rsidR="00D51DCA">
        <w:instrText xml:space="preserve"> SEQ Tabulka \* ARABIC </w:instrText>
      </w:r>
      <w:r w:rsidR="00D51DCA">
        <w:fldChar w:fldCharType="separate"/>
      </w:r>
      <w:r w:rsidR="00D51DCA">
        <w:rPr>
          <w:noProof/>
        </w:rPr>
        <w:t>18</w:t>
      </w:r>
      <w:r w:rsidR="00D51DCA">
        <w:rPr>
          <w:noProof/>
        </w:rPr>
        <w:fldChar w:fldCharType="end"/>
      </w:r>
      <w:r w:rsidRPr="004837BE">
        <w:rPr>
          <w:noProof/>
        </w:rPr>
        <w:t xml:space="preserve"> </w:t>
      </w:r>
      <w:r w:rsidRPr="001955B6">
        <w:rPr>
          <w:noProof/>
        </w:rPr>
        <w:t>Podíl mandatorních výdajů celkem a qua</w:t>
      </w:r>
      <w:r>
        <w:rPr>
          <w:noProof/>
        </w:rPr>
        <w:t>s</w:t>
      </w:r>
      <w:r w:rsidRPr="001955B6">
        <w:rPr>
          <w:noProof/>
        </w:rPr>
        <w:t>i MV na celkových výdajích SR v </w:t>
      </w:r>
      <w:r w:rsidRPr="001955B6">
        <w:t>letech</w:t>
      </w:r>
      <w:r w:rsidRPr="001955B6">
        <w:rPr>
          <w:noProof/>
        </w:rPr>
        <w:t xml:space="preserve"> 201</w:t>
      </w:r>
      <w:r>
        <w:rPr>
          <w:noProof/>
        </w:rPr>
        <w:t>1</w:t>
      </w:r>
      <w:r w:rsidRPr="001955B6">
        <w:rPr>
          <w:noProof/>
        </w:rPr>
        <w:t xml:space="preserve">-2024 </w:t>
      </w:r>
      <w:r w:rsidRPr="001955B6">
        <w:rPr>
          <w:i/>
          <w:noProof/>
        </w:rPr>
        <w:t>(v mld. Kč)</w:t>
      </w:r>
      <w:bookmarkEnd w:id="109"/>
    </w:p>
    <w:p w:rsidR="00875D39" w:rsidRDefault="00992C3F" w:rsidP="00875D39">
      <w:r>
        <w:rPr>
          <w:i/>
          <w:noProof/>
        </w:rPr>
        <w:pict>
          <v:shape id="_x0000_i1037" type="#_x0000_t75" style="width:482.25pt;height:95.75pt">
            <v:imagedata r:id="rId55" o:title=""/>
          </v:shape>
        </w:pict>
      </w:r>
      <w:r w:rsidR="00084C0C" w:rsidRPr="003802E5">
        <w:rPr>
          <w:i/>
        </w:rPr>
        <w:t>Poznámka:</w:t>
      </w:r>
      <w:r w:rsidR="00715BE0" w:rsidRPr="00715BE0">
        <w:rPr>
          <w:i/>
        </w:rPr>
        <w:t xml:space="preserve"> </w:t>
      </w:r>
      <w:r w:rsidR="00715BE0" w:rsidRPr="003802E5">
        <w:rPr>
          <w:i/>
        </w:rPr>
        <w:t>příjmy a výdaje v letech 202</w:t>
      </w:r>
      <w:r w:rsidR="0098063F">
        <w:rPr>
          <w:i/>
        </w:rPr>
        <w:t>3</w:t>
      </w:r>
      <w:r w:rsidR="00715BE0" w:rsidRPr="003802E5">
        <w:rPr>
          <w:i/>
        </w:rPr>
        <w:t xml:space="preserve"> a 202</w:t>
      </w:r>
      <w:r w:rsidR="0098063F">
        <w:rPr>
          <w:i/>
        </w:rPr>
        <w:t>4</w:t>
      </w:r>
      <w:r w:rsidR="00715BE0" w:rsidRPr="003802E5">
        <w:rPr>
          <w:i/>
        </w:rPr>
        <w:t xml:space="preserve"> pro srovnatelnost počítají s</w:t>
      </w:r>
      <w:r w:rsidR="00051AAF">
        <w:rPr>
          <w:i/>
        </w:rPr>
        <w:t>e</w:t>
      </w:r>
      <w:r w:rsidR="00715BE0" w:rsidRPr="003802E5">
        <w:rPr>
          <w:i/>
        </w:rPr>
        <w:t> </w:t>
      </w:r>
      <w:r w:rsidR="00E26C42">
        <w:rPr>
          <w:i/>
        </w:rPr>
        <w:t>1</w:t>
      </w:r>
      <w:r w:rsidR="00D92188">
        <w:rPr>
          <w:i/>
        </w:rPr>
        <w:t>5</w:t>
      </w:r>
      <w:r w:rsidR="00715BE0" w:rsidRPr="003802E5">
        <w:rPr>
          <w:i/>
        </w:rPr>
        <w:t>0 mld. Kč v rámci EU/FM</w:t>
      </w:r>
      <w:r w:rsidR="00084C0C" w:rsidRPr="003802E5">
        <w:rPr>
          <w:i/>
        </w:rPr>
        <w:t>.</w:t>
      </w:r>
    </w:p>
    <w:p w:rsidR="00322354" w:rsidRDefault="00322354" w:rsidP="00875D39">
      <w:pPr>
        <w:rPr>
          <w:highlight w:val="cyan"/>
        </w:rPr>
        <w:sectPr w:rsidR="00322354" w:rsidSect="00385A41">
          <w:type w:val="continuous"/>
          <w:pgSz w:w="11906" w:h="16838" w:code="9"/>
          <w:pgMar w:top="1134" w:right="1134" w:bottom="1418" w:left="1134" w:header="709" w:footer="709" w:gutter="0"/>
          <w:cols w:space="709"/>
          <w:docGrid w:linePitch="360"/>
        </w:sectPr>
      </w:pPr>
    </w:p>
    <w:p w:rsidR="00B54436" w:rsidRDefault="00B54436" w:rsidP="00266BFB">
      <w:pPr>
        <w:pStyle w:val="SRtitulek1"/>
      </w:pPr>
      <w:bookmarkStart w:id="110" w:name="_Toc83882913"/>
      <w:r>
        <w:lastRenderedPageBreak/>
        <w:t xml:space="preserve">Graf </w:t>
      </w:r>
      <w:r w:rsidR="00D51DCA">
        <w:fldChar w:fldCharType="begin"/>
      </w:r>
      <w:r w:rsidR="00D51DCA">
        <w:instrText xml:space="preserve"> SEQ Graf \* ARABIC </w:instrText>
      </w:r>
      <w:r w:rsidR="00D51DCA">
        <w:fldChar w:fldCharType="separate"/>
      </w:r>
      <w:r w:rsidR="00D51DCA">
        <w:rPr>
          <w:noProof/>
        </w:rPr>
        <w:t>12</w:t>
      </w:r>
      <w:r w:rsidR="00D51DCA">
        <w:rPr>
          <w:noProof/>
        </w:rPr>
        <w:fldChar w:fldCharType="end"/>
      </w:r>
      <w:r w:rsidRPr="00B54436">
        <w:t xml:space="preserve"> </w:t>
      </w:r>
      <w:r w:rsidRPr="001955B6">
        <w:t>Vývoj podílu mandatorních výdajů a quasi mandatorních výdajů na celkových výdajích 201</w:t>
      </w:r>
      <w:r>
        <w:t>1</w:t>
      </w:r>
      <w:r w:rsidRPr="001955B6">
        <w:t xml:space="preserve">-2024 </w:t>
      </w:r>
      <w:r w:rsidRPr="001955B6">
        <w:rPr>
          <w:i/>
        </w:rPr>
        <w:t>(v %)</w:t>
      </w:r>
      <w:bookmarkEnd w:id="110"/>
    </w:p>
    <w:p w:rsidR="00E54ECF" w:rsidRPr="00E54ECF" w:rsidRDefault="00992C3F" w:rsidP="00E54ECF">
      <w:r>
        <w:rPr>
          <w:i/>
          <w:noProof/>
        </w:rPr>
        <w:pict>
          <v:shape id="_x0000_i1038" type="#_x0000_t75" style="width:481.6pt;height:220.1pt">
            <v:imagedata r:id="rId56" o:title=""/>
          </v:shape>
        </w:pict>
      </w:r>
      <w:r w:rsidR="00E54ECF" w:rsidRPr="003802E5">
        <w:rPr>
          <w:i/>
        </w:rPr>
        <w:t xml:space="preserve">Poznámka: </w:t>
      </w:r>
      <w:r w:rsidR="00715BE0" w:rsidRPr="003802E5">
        <w:rPr>
          <w:i/>
        </w:rPr>
        <w:t>příjmy a výdaje v letech 202</w:t>
      </w:r>
      <w:r w:rsidR="00E62471">
        <w:rPr>
          <w:i/>
        </w:rPr>
        <w:t>3</w:t>
      </w:r>
      <w:r w:rsidR="00715BE0" w:rsidRPr="003802E5">
        <w:rPr>
          <w:i/>
        </w:rPr>
        <w:t xml:space="preserve"> a 202</w:t>
      </w:r>
      <w:r w:rsidR="00E62471">
        <w:rPr>
          <w:i/>
        </w:rPr>
        <w:t>4</w:t>
      </w:r>
      <w:r w:rsidR="00715BE0" w:rsidRPr="003802E5">
        <w:rPr>
          <w:i/>
        </w:rPr>
        <w:t xml:space="preserve"> pro srovnatelnost počítají s</w:t>
      </w:r>
      <w:r w:rsidR="00051AAF">
        <w:rPr>
          <w:i/>
        </w:rPr>
        <w:t>e</w:t>
      </w:r>
      <w:r w:rsidR="00715BE0" w:rsidRPr="003802E5">
        <w:rPr>
          <w:i/>
        </w:rPr>
        <w:t> </w:t>
      </w:r>
      <w:r w:rsidR="00E26C42">
        <w:rPr>
          <w:i/>
        </w:rPr>
        <w:t>1</w:t>
      </w:r>
      <w:r w:rsidR="00D92188">
        <w:rPr>
          <w:i/>
        </w:rPr>
        <w:t>5</w:t>
      </w:r>
      <w:r w:rsidR="00715BE0" w:rsidRPr="003802E5">
        <w:rPr>
          <w:i/>
        </w:rPr>
        <w:t>0 mld. Kč v rámci EU/FM</w:t>
      </w:r>
      <w:r w:rsidR="00E54ECF" w:rsidRPr="003802E5">
        <w:rPr>
          <w:i/>
        </w:rPr>
        <w:t>.</w:t>
      </w:r>
    </w:p>
    <w:p w:rsidR="000D3C02" w:rsidRDefault="000D3C02" w:rsidP="002E6002">
      <w:pPr>
        <w:rPr>
          <w:highlight w:val="cyan"/>
        </w:rPr>
        <w:sectPr w:rsidR="000D3C02" w:rsidSect="00385A41">
          <w:type w:val="continuous"/>
          <w:pgSz w:w="11906" w:h="16838" w:code="9"/>
          <w:pgMar w:top="1134" w:right="1134" w:bottom="1418" w:left="1134" w:header="709" w:footer="709" w:gutter="0"/>
          <w:cols w:space="709"/>
          <w:docGrid w:linePitch="360"/>
        </w:sectPr>
      </w:pPr>
    </w:p>
    <w:p w:rsidR="000D3C02" w:rsidRPr="00D745FC" w:rsidRDefault="000D3C02" w:rsidP="005E56DB">
      <w:pPr>
        <w:pStyle w:val="SRTextnomal"/>
      </w:pPr>
      <w:r w:rsidRPr="00D745FC">
        <w:lastRenderedPageBreak/>
        <w:t>Mandatorní výdaje vyplývající ze zákona jsou pro rok 202</w:t>
      </w:r>
      <w:r w:rsidR="00CA7585">
        <w:t>3</w:t>
      </w:r>
      <w:r w:rsidRPr="00D745FC">
        <w:t xml:space="preserve"> rozpočtovány ve výši </w:t>
      </w:r>
      <w:r w:rsidR="00100013">
        <w:t>1 </w:t>
      </w:r>
      <w:r w:rsidR="00100013" w:rsidRPr="00100013">
        <w:t>0</w:t>
      </w:r>
      <w:r w:rsidR="001A0496">
        <w:t>1</w:t>
      </w:r>
      <w:r w:rsidR="00247234">
        <w:t>6</w:t>
      </w:r>
      <w:r w:rsidRPr="00100013">
        <w:t>,</w:t>
      </w:r>
      <w:r w:rsidR="001A0496">
        <w:t>2</w:t>
      </w:r>
      <w:r w:rsidR="00100013" w:rsidRPr="00100013">
        <w:t xml:space="preserve"> </w:t>
      </w:r>
      <w:r w:rsidRPr="00100013">
        <w:t>mld. Kč a</w:t>
      </w:r>
      <w:r w:rsidRPr="00D745FC">
        <w:t xml:space="preserve"> tvoří </w:t>
      </w:r>
      <w:r w:rsidRPr="00122E3A">
        <w:t>9</w:t>
      </w:r>
      <w:r w:rsidR="00251F2A">
        <w:t>4</w:t>
      </w:r>
      <w:r w:rsidRPr="00122E3A">
        <w:t>,</w:t>
      </w:r>
      <w:r w:rsidR="00251F2A">
        <w:t>0</w:t>
      </w:r>
      <w:r w:rsidRPr="00122E3A">
        <w:t> %</w:t>
      </w:r>
      <w:r w:rsidRPr="00D745FC">
        <w:t xml:space="preserve"> celkových mandatorních výdajů. Zbývající část představují ostatní mandatorní výdaje, které plynou z</w:t>
      </w:r>
      <w:r w:rsidR="000757C3">
        <w:t> </w:t>
      </w:r>
      <w:r w:rsidRPr="00D745FC">
        <w:t xml:space="preserve">jiných právních </w:t>
      </w:r>
      <w:r w:rsidRPr="00100013">
        <w:t>norem, případně smluvních závazků státu a v roce 202</w:t>
      </w:r>
      <w:r w:rsidR="00CA7585" w:rsidRPr="00100013">
        <w:t>3</w:t>
      </w:r>
      <w:r w:rsidRPr="00100013">
        <w:t xml:space="preserve"> činí </w:t>
      </w:r>
      <w:r w:rsidR="006D704B">
        <w:t>65</w:t>
      </w:r>
      <w:r w:rsidR="00203307" w:rsidRPr="00100013">
        <w:t>,</w:t>
      </w:r>
      <w:r w:rsidR="006D704B">
        <w:t>2</w:t>
      </w:r>
      <w:r w:rsidRPr="00100013">
        <w:t xml:space="preserve"> mld. Kč (z toho </w:t>
      </w:r>
      <w:r w:rsidR="00285EC9" w:rsidRPr="00100013">
        <w:t>60</w:t>
      </w:r>
      <w:r w:rsidR="00100013" w:rsidRPr="00100013">
        <w:t>,0</w:t>
      </w:r>
      <w:r w:rsidRPr="00100013">
        <w:t xml:space="preserve"> mld. Kč činí odvody do rozpočtu EU).</w:t>
      </w:r>
    </w:p>
    <w:p w:rsidR="000D3C02" w:rsidRPr="000D3C02" w:rsidRDefault="000D3C02" w:rsidP="005E56DB">
      <w:pPr>
        <w:pStyle w:val="SRTextnomal"/>
      </w:pPr>
      <w:r w:rsidRPr="00D745FC">
        <w:lastRenderedPageBreak/>
        <w:t>V roce 202</w:t>
      </w:r>
      <w:r w:rsidR="00CA7585">
        <w:t>4</w:t>
      </w:r>
      <w:r w:rsidRPr="00D745FC">
        <w:t xml:space="preserve"> jsou mandatorní výdaje vyplývající ze z</w:t>
      </w:r>
      <w:r w:rsidRPr="00D745FC">
        <w:t>á</w:t>
      </w:r>
      <w:r w:rsidRPr="00D745FC">
        <w:t xml:space="preserve">kona rozpočtovány ve </w:t>
      </w:r>
      <w:r w:rsidRPr="00100013">
        <w:t xml:space="preserve">výši </w:t>
      </w:r>
      <w:r w:rsidR="00100013" w:rsidRPr="00100013">
        <w:t>1 0</w:t>
      </w:r>
      <w:r w:rsidR="001A0496">
        <w:t>40</w:t>
      </w:r>
      <w:r w:rsidRPr="00100013">
        <w:t>,</w:t>
      </w:r>
      <w:r w:rsidR="001A0496">
        <w:t>9</w:t>
      </w:r>
      <w:r w:rsidRPr="00100013">
        <w:t xml:space="preserve"> mld. Kč </w:t>
      </w:r>
      <w:r w:rsidR="00122E3A">
        <w:t>(94,</w:t>
      </w:r>
      <w:r w:rsidR="00C25183">
        <w:t>0</w:t>
      </w:r>
      <w:r w:rsidR="00122E3A">
        <w:t xml:space="preserve"> % ce</w:t>
      </w:r>
      <w:r w:rsidR="00122E3A">
        <w:t>l</w:t>
      </w:r>
      <w:r w:rsidR="00122E3A">
        <w:t xml:space="preserve">kových mandatorních výdajů) </w:t>
      </w:r>
      <w:r w:rsidRPr="00100013">
        <w:t xml:space="preserve">a ostatní mandatorní výdaje </w:t>
      </w:r>
      <w:r w:rsidR="00122E3A">
        <w:t xml:space="preserve">jsou </w:t>
      </w:r>
      <w:r w:rsidRPr="00100013">
        <w:t xml:space="preserve">ve výši </w:t>
      </w:r>
      <w:r w:rsidR="00203307" w:rsidRPr="00100013">
        <w:t>6</w:t>
      </w:r>
      <w:r w:rsidR="00925CB5">
        <w:t>5</w:t>
      </w:r>
      <w:r w:rsidRPr="00100013">
        <w:t>,</w:t>
      </w:r>
      <w:r w:rsidR="00925CB5">
        <w:t>9</w:t>
      </w:r>
      <w:r w:rsidR="00203307" w:rsidRPr="00100013">
        <w:t xml:space="preserve"> mld. Kč</w:t>
      </w:r>
      <w:r w:rsidRPr="00100013">
        <w:t xml:space="preserve"> (z toho </w:t>
      </w:r>
      <w:r w:rsidR="00285EC9" w:rsidRPr="00100013">
        <w:t>61</w:t>
      </w:r>
      <w:r w:rsidR="00100013" w:rsidRPr="00100013">
        <w:t>,0</w:t>
      </w:r>
      <w:r w:rsidRPr="00100013">
        <w:t xml:space="preserve"> mld. Kč činí odvody do rozpočtu EU).</w:t>
      </w:r>
    </w:p>
    <w:p w:rsidR="000D3C02" w:rsidRPr="000D3C02" w:rsidRDefault="000D3C02" w:rsidP="002E6002">
      <w:pPr>
        <w:sectPr w:rsidR="000D3C02" w:rsidRPr="000D3C02" w:rsidSect="000D3C02">
          <w:type w:val="continuous"/>
          <w:pgSz w:w="11906" w:h="16838" w:code="9"/>
          <w:pgMar w:top="1134" w:right="1134" w:bottom="1418" w:left="1134" w:header="709" w:footer="709" w:gutter="0"/>
          <w:cols w:num="2" w:space="709"/>
          <w:docGrid w:linePitch="360"/>
        </w:sectPr>
      </w:pPr>
    </w:p>
    <w:p w:rsidR="004837BE" w:rsidRDefault="004837BE" w:rsidP="00266BFB">
      <w:pPr>
        <w:pStyle w:val="SRtitulek1"/>
      </w:pPr>
      <w:bookmarkStart w:id="111" w:name="_Toc83882884"/>
      <w:r>
        <w:lastRenderedPageBreak/>
        <w:t xml:space="preserve">Tabulka </w:t>
      </w:r>
      <w:r w:rsidR="00D51DCA">
        <w:fldChar w:fldCharType="begin"/>
      </w:r>
      <w:r w:rsidR="00D51DCA">
        <w:instrText xml:space="preserve"> SEQ Tabulka \* ARABIC </w:instrText>
      </w:r>
      <w:r w:rsidR="00D51DCA">
        <w:fldChar w:fldCharType="separate"/>
      </w:r>
      <w:r w:rsidR="00D51DCA">
        <w:rPr>
          <w:noProof/>
        </w:rPr>
        <w:t>19</w:t>
      </w:r>
      <w:r w:rsidR="00D51DCA">
        <w:rPr>
          <w:noProof/>
        </w:rPr>
        <w:fldChar w:fldCharType="end"/>
      </w:r>
      <w:r w:rsidRPr="004837BE">
        <w:rPr>
          <w:noProof/>
        </w:rPr>
        <w:t xml:space="preserve"> </w:t>
      </w:r>
      <w:r w:rsidRPr="00A21A07">
        <w:rPr>
          <w:noProof/>
        </w:rPr>
        <w:t>Podíl mandatorních výdajů celkem a quasi mandatorních výdajů na HDP a příjmech státního rozpočtu</w:t>
      </w:r>
      <w:bookmarkEnd w:id="111"/>
    </w:p>
    <w:p w:rsidR="00E54ECF" w:rsidRDefault="00992C3F" w:rsidP="002E6002">
      <w:pPr>
        <w:rPr>
          <w:i/>
        </w:rPr>
      </w:pPr>
      <w:r>
        <w:rPr>
          <w:i/>
          <w:noProof/>
        </w:rPr>
        <w:pict>
          <v:shape id="_x0000_i1039" type="#_x0000_t75" style="width:481.6pt;height:97.15pt">
            <v:imagedata r:id="rId57" o:title=""/>
          </v:shape>
        </w:pict>
      </w:r>
      <w:r w:rsidR="001878B3" w:rsidRPr="003802E5">
        <w:rPr>
          <w:i/>
        </w:rPr>
        <w:t xml:space="preserve">Poznámka: příjmy a výdaje </w:t>
      </w:r>
      <w:r w:rsidR="002B250A">
        <w:rPr>
          <w:i/>
        </w:rPr>
        <w:t xml:space="preserve">ve všech letech </w:t>
      </w:r>
      <w:r w:rsidR="005C683B">
        <w:rPr>
          <w:i/>
        </w:rPr>
        <w:t>bez</w:t>
      </w:r>
      <w:r w:rsidR="001878B3" w:rsidRPr="003802E5">
        <w:rPr>
          <w:i/>
        </w:rPr>
        <w:t xml:space="preserve"> EU/FM</w:t>
      </w:r>
      <w:r w:rsidR="005C683B">
        <w:rPr>
          <w:i/>
        </w:rPr>
        <w:t xml:space="preserve"> a PRV</w:t>
      </w:r>
      <w:r w:rsidR="001878B3" w:rsidRPr="003802E5">
        <w:rPr>
          <w:i/>
        </w:rPr>
        <w:t>.</w:t>
      </w:r>
    </w:p>
    <w:p w:rsidR="00B54436" w:rsidRDefault="00B54436" w:rsidP="000565F9">
      <w:pPr>
        <w:pStyle w:val="SRtitulek1"/>
      </w:pPr>
      <w:bookmarkStart w:id="112" w:name="_Toc83882914"/>
      <w:r>
        <w:lastRenderedPageBreak/>
        <w:t xml:space="preserve">Graf </w:t>
      </w:r>
      <w:r w:rsidR="00D51DCA">
        <w:fldChar w:fldCharType="begin"/>
      </w:r>
      <w:r w:rsidR="00D51DCA">
        <w:instrText xml:space="preserve"> SEQ Graf \* ARABIC </w:instrText>
      </w:r>
      <w:r w:rsidR="00D51DCA">
        <w:fldChar w:fldCharType="separate"/>
      </w:r>
      <w:r w:rsidR="00D51DCA">
        <w:rPr>
          <w:noProof/>
        </w:rPr>
        <w:t>13</w:t>
      </w:r>
      <w:r w:rsidR="00D51DCA">
        <w:rPr>
          <w:noProof/>
        </w:rPr>
        <w:fldChar w:fldCharType="end"/>
      </w:r>
      <w:r w:rsidRPr="00B54436">
        <w:t xml:space="preserve"> </w:t>
      </w:r>
      <w:r w:rsidRPr="00A21A07">
        <w:t>Podíl mandatorních výdajů celkem a quasi mandatorních výdajů na HDP a příjmech státního rozpočtu</w:t>
      </w:r>
      <w:bookmarkEnd w:id="112"/>
    </w:p>
    <w:p w:rsidR="005C683B" w:rsidRPr="005C683B" w:rsidRDefault="00992C3F" w:rsidP="002E6002">
      <w:pPr>
        <w:rPr>
          <w:i/>
          <w:highlight w:val="cyan"/>
        </w:rPr>
      </w:pPr>
      <w:r>
        <w:rPr>
          <w:highlight w:val="cyan"/>
        </w:rPr>
        <w:pict>
          <v:shape id="_x0000_i1040" type="#_x0000_t75" style="width:481.6pt;height:265.6pt">
            <v:imagedata r:id="rId58" o:title=""/>
          </v:shape>
        </w:pict>
      </w:r>
      <w:r w:rsidR="005C683B" w:rsidRPr="005C683B">
        <w:rPr>
          <w:i/>
        </w:rPr>
        <w:t xml:space="preserve">Poznámka: příjmy a výdaje </w:t>
      </w:r>
      <w:r w:rsidR="002B250A">
        <w:rPr>
          <w:i/>
        </w:rPr>
        <w:t xml:space="preserve">ve všech letech </w:t>
      </w:r>
      <w:r w:rsidR="005C683B" w:rsidRPr="005C683B">
        <w:rPr>
          <w:i/>
        </w:rPr>
        <w:t>bez EU/FM a PRV.</w:t>
      </w:r>
    </w:p>
    <w:p w:rsidR="005C683B" w:rsidRPr="00317183" w:rsidRDefault="005C683B" w:rsidP="002E6002">
      <w:pPr>
        <w:rPr>
          <w:highlight w:val="cyan"/>
        </w:rPr>
        <w:sectPr w:rsidR="005C683B" w:rsidRPr="00317183" w:rsidSect="000D3C02">
          <w:type w:val="continuous"/>
          <w:pgSz w:w="11906" w:h="16838" w:code="9"/>
          <w:pgMar w:top="1134" w:right="1134" w:bottom="1418" w:left="1134" w:header="709" w:footer="709" w:gutter="0"/>
          <w:cols w:space="709"/>
          <w:docGrid w:linePitch="360"/>
        </w:sectPr>
      </w:pPr>
    </w:p>
    <w:p w:rsidR="00271415" w:rsidRPr="006529E4" w:rsidRDefault="00271415" w:rsidP="00A938CE">
      <w:pPr>
        <w:pStyle w:val="SRNadpis3"/>
      </w:pPr>
      <w:bookmarkStart w:id="113" w:name="_Toc52369407"/>
      <w:bookmarkStart w:id="114" w:name="_Toc83882837"/>
      <w:r w:rsidRPr="006529E4">
        <w:lastRenderedPageBreak/>
        <w:t>Mandatorní sociální výdaje</w:t>
      </w:r>
      <w:bookmarkEnd w:id="113"/>
      <w:bookmarkEnd w:id="114"/>
    </w:p>
    <w:p w:rsidR="00271415" w:rsidRDefault="00271415" w:rsidP="005A27EF">
      <w:pPr>
        <w:pStyle w:val="SRNadpis2"/>
        <w:sectPr w:rsidR="00271415" w:rsidSect="00385A41">
          <w:type w:val="continuous"/>
          <w:pgSz w:w="11906" w:h="16838" w:code="9"/>
          <w:pgMar w:top="1134" w:right="1134" w:bottom="1418" w:left="1134" w:header="709" w:footer="709" w:gutter="0"/>
          <w:cols w:space="709"/>
          <w:docGrid w:linePitch="360"/>
        </w:sectPr>
      </w:pPr>
    </w:p>
    <w:p w:rsidR="00992245" w:rsidRDefault="00992245" w:rsidP="00992245">
      <w:pPr>
        <w:pStyle w:val="SRTextnomal"/>
      </w:pPr>
      <w:r>
        <w:lastRenderedPageBreak/>
        <w:t>Aktualizace schváleného výhledu na rok 2023 a návrh výhledu na rok 2024 vychází z legislativních a metodi</w:t>
      </w:r>
      <w:r>
        <w:t>c</w:t>
      </w:r>
      <w:r>
        <w:t>kých úprav, které byly promítnuty již do odhadů jedno</w:t>
      </w:r>
      <w:r>
        <w:t>t</w:t>
      </w:r>
      <w:r>
        <w:t>livých výdajových položek v návrhu státního rozpočtu na rok 2022 spolu se zohledněním vlivu predikce makr</w:t>
      </w:r>
      <w:r>
        <w:t>o</w:t>
      </w:r>
      <w:r>
        <w:t>ekonomických ukazatelů ze srpna 2021.</w:t>
      </w:r>
    </w:p>
    <w:p w:rsidR="00992245" w:rsidRDefault="00992245" w:rsidP="00992245">
      <w:pPr>
        <w:pStyle w:val="SRTextnomal"/>
      </w:pPr>
      <w:r>
        <w:t>Do návrhu rozpočtového výhledu na roky 2023 a 2024 byly promítnuty úpravy sociální legislativy, které p</w:t>
      </w:r>
      <w:r>
        <w:t>o</w:t>
      </w:r>
      <w:r>
        <w:t>stupně nabývají účinnosti. Jedná se například o zvýšení starobního důchodu o 500</w:t>
      </w:r>
      <w:r w:rsidR="001C2A53">
        <w:t> </w:t>
      </w:r>
      <w:r>
        <w:t>Kč za každé vychované dítě nebo o postupné zvyšování výdajů na provoz dětských skupin.</w:t>
      </w:r>
    </w:p>
    <w:p w:rsidR="00992245" w:rsidRDefault="00992245" w:rsidP="00992245">
      <w:pPr>
        <w:pStyle w:val="SRTextnomal"/>
      </w:pPr>
      <w:r>
        <w:t>Odhad výdajů sledovaného souboru sociálních výdajů na rok 2023 je ve výhledu zapracován v celkové částce 930,5</w:t>
      </w:r>
      <w:r w:rsidR="001C2A53">
        <w:t> </w:t>
      </w:r>
      <w:r>
        <w:t>mld.</w:t>
      </w:r>
      <w:r w:rsidR="001C2A53">
        <w:t> </w:t>
      </w:r>
      <w:r>
        <w:t>Kč a na celkových výdajích státního rozpočtu bez EU a FM se podílí 52,5</w:t>
      </w:r>
      <w:r w:rsidR="001C2A53">
        <w:t> </w:t>
      </w:r>
      <w:r>
        <w:t>%. Návrh výdajů na rok 2023 je oproti schválenému střednědobému výhledu vyšší o 64,4 mld. Kč. Odhad výdajů na jednotlivé dávkové tit</w:t>
      </w:r>
      <w:r>
        <w:t>u</w:t>
      </w:r>
      <w:r>
        <w:t xml:space="preserve">ly byl zpřesněn podle jednotlivých výdajových položek na základě očekávané skutečnosti roku 2021 a návrhu rozpočtu na rok 2022. Výrazný nárůst je způsoben </w:t>
      </w:r>
      <w:r>
        <w:lastRenderedPageBreak/>
        <w:t>zejména zvýšením výdajů na dávky důchodového poji</w:t>
      </w:r>
      <w:r>
        <w:t>š</w:t>
      </w:r>
      <w:r>
        <w:t>tění o 42,9 mld. Kč, což souvisí s vyšší zákonnou valoriz</w:t>
      </w:r>
      <w:r>
        <w:t>a</w:t>
      </w:r>
      <w:r>
        <w:t>cí společně se schválením zvýšení procentní výměry důchodu o 500</w:t>
      </w:r>
      <w:r w:rsidR="001C2A53">
        <w:t> </w:t>
      </w:r>
      <w:r>
        <w:t>Kč za každé vychované dítě od 1.</w:t>
      </w:r>
      <w:r w:rsidR="001C2A53">
        <w:t> </w:t>
      </w:r>
      <w:r>
        <w:t>1.</w:t>
      </w:r>
      <w:r w:rsidR="001C2A53">
        <w:t> </w:t>
      </w:r>
      <w:r>
        <w:t>2023. Dále se jedná o zvýšení platby do veřejného zdravotního pojištění za osoby, za které pojistné hradí stát, o 10,8 mld. Kč, což souvisí se schváleným postupným zvýšením platby za jednu osobu z 1 767 Kč na 1 967 Kč. Dále se jedná především o posílení výdajů na dávky stá</w:t>
      </w:r>
      <w:r>
        <w:t>t</w:t>
      </w:r>
      <w:r>
        <w:t>ní sociální podpory a pěstounské péče o 6,6 mld. Kč v souvislosti s přijatými legislativními změnami.</w:t>
      </w:r>
    </w:p>
    <w:p w:rsidR="00A10DDA" w:rsidRPr="009D7943" w:rsidRDefault="00992245" w:rsidP="005E56DB">
      <w:pPr>
        <w:pStyle w:val="SRTextnomal"/>
      </w:pPr>
      <w:r>
        <w:t>Odhad celkových výdajů na sociální transfery a služby zaměstnanosti je ve výhledu na rok 2024 zapracován v celkové výši 947,2 mld. Kč s meziročním tempem růstu 1,8</w:t>
      </w:r>
      <w:r w:rsidR="001C2A53">
        <w:t> </w:t>
      </w:r>
      <w:r>
        <w:t>%, v absolutním vyjádření jsou výdaje roku 2024 oproti roku 2023 vyšší o 16,7 mld. Kč. Celkově odhad</w:t>
      </w:r>
      <w:r>
        <w:t>o</w:t>
      </w:r>
      <w:r>
        <w:t>vané výdaje na sociální transfery a služby zaměstnanosti na rok 2024 představují 52,4 % celkových výdajů státn</w:t>
      </w:r>
      <w:r>
        <w:t>í</w:t>
      </w:r>
      <w:r>
        <w:t>ho rozpočtu bez prostředků EU a FM. Výdaje na sociální dávky v roce 2024 představují 83,3 % z celkových ma</w:t>
      </w:r>
      <w:r>
        <w:t>n</w:t>
      </w:r>
      <w:r>
        <w:t>datorních sociálních výdajů.</w:t>
      </w:r>
    </w:p>
    <w:p w:rsidR="009051D5" w:rsidRPr="009051D5" w:rsidRDefault="009051D5" w:rsidP="00A938CE">
      <w:pPr>
        <w:pStyle w:val="SRTextnomal"/>
        <w:rPr>
          <w:highlight w:val="cyan"/>
        </w:rPr>
        <w:sectPr w:rsidR="009051D5" w:rsidRPr="009051D5" w:rsidSect="00385A41">
          <w:type w:val="continuous"/>
          <w:pgSz w:w="11906" w:h="16838" w:code="9"/>
          <w:pgMar w:top="1134" w:right="1134" w:bottom="1418" w:left="1134" w:header="709" w:footer="709" w:gutter="0"/>
          <w:cols w:num="2" w:space="397"/>
          <w:docGrid w:linePitch="360"/>
        </w:sectPr>
      </w:pPr>
    </w:p>
    <w:p w:rsidR="00271415" w:rsidRDefault="00271415" w:rsidP="00A938CE">
      <w:pPr>
        <w:pStyle w:val="SRTextnomal"/>
      </w:pPr>
    </w:p>
    <w:p w:rsidR="00271415" w:rsidRDefault="00271415" w:rsidP="00271415">
      <w:pPr>
        <w:sectPr w:rsidR="00271415" w:rsidSect="00385A41">
          <w:type w:val="continuous"/>
          <w:pgSz w:w="11906" w:h="16838" w:code="9"/>
          <w:pgMar w:top="1134" w:right="1134" w:bottom="1418" w:left="1134" w:header="709" w:footer="709" w:gutter="0"/>
          <w:cols w:num="2" w:space="709"/>
          <w:docGrid w:linePitch="360"/>
        </w:sectPr>
      </w:pPr>
    </w:p>
    <w:p w:rsidR="004837BE" w:rsidRDefault="004837BE" w:rsidP="000565F9">
      <w:pPr>
        <w:pStyle w:val="SRtitulek1"/>
      </w:pPr>
      <w:bookmarkStart w:id="115" w:name="_Toc83882885"/>
      <w:bookmarkStart w:id="116" w:name="_Toc20396576"/>
      <w:bookmarkStart w:id="117" w:name="_Toc20396686"/>
      <w:bookmarkStart w:id="118" w:name="_Toc20402338"/>
      <w:bookmarkStart w:id="119" w:name="_Toc20469607"/>
      <w:bookmarkStart w:id="120" w:name="_Toc20472061"/>
      <w:bookmarkStart w:id="121" w:name="_Toc20554493"/>
      <w:bookmarkStart w:id="122" w:name="_Toc20559874"/>
      <w:bookmarkStart w:id="123" w:name="_Toc20567134"/>
      <w:r>
        <w:lastRenderedPageBreak/>
        <w:t xml:space="preserve">Tabulka </w:t>
      </w:r>
      <w:r w:rsidR="00D51DCA">
        <w:fldChar w:fldCharType="begin"/>
      </w:r>
      <w:r w:rsidR="00D51DCA">
        <w:instrText xml:space="preserve"> SEQ Tabulka \* ARABIC </w:instrText>
      </w:r>
      <w:r w:rsidR="00D51DCA">
        <w:fldChar w:fldCharType="separate"/>
      </w:r>
      <w:r w:rsidR="00D51DCA">
        <w:rPr>
          <w:noProof/>
        </w:rPr>
        <w:t>20</w:t>
      </w:r>
      <w:r w:rsidR="00D51DCA">
        <w:rPr>
          <w:noProof/>
        </w:rPr>
        <w:fldChar w:fldCharType="end"/>
      </w:r>
      <w:r w:rsidRPr="004837BE">
        <w:t xml:space="preserve"> </w:t>
      </w:r>
      <w:r w:rsidRPr="00E373AA">
        <w:t>Přehled výhledu sociálních mandatorních výdajů podle jednotlivých výdajových segmentů v letech 201</w:t>
      </w:r>
      <w:r>
        <w:t>7</w:t>
      </w:r>
      <w:r w:rsidR="00C3578F">
        <w:t> </w:t>
      </w:r>
      <w:r w:rsidR="00C3578F">
        <w:noBreakHyphen/>
        <w:t> </w:t>
      </w:r>
      <w:r w:rsidRPr="00E373AA">
        <w:t xml:space="preserve">2024 </w:t>
      </w:r>
      <w:r w:rsidRPr="00E373AA">
        <w:rPr>
          <w:i/>
        </w:rPr>
        <w:t>(v mil. Kč)</w:t>
      </w:r>
      <w:bookmarkEnd w:id="115"/>
    </w:p>
    <w:p w:rsidR="00271415" w:rsidRPr="00583CA6" w:rsidRDefault="00992C3F" w:rsidP="00307E89">
      <w:pPr>
        <w:rPr>
          <w:b/>
          <w:i/>
          <w:iCs/>
        </w:rPr>
      </w:pPr>
      <w:r>
        <w:rPr>
          <w:noProof/>
        </w:rPr>
        <w:pict>
          <v:shape id="_x0000_i1041" type="#_x0000_t75" style="width:711.85pt;height:260.85pt">
            <v:imagedata r:id="rId59" o:title=""/>
          </v:shape>
        </w:pict>
      </w:r>
      <w:r w:rsidR="00271415" w:rsidRPr="00307E89">
        <w:rPr>
          <w:i/>
          <w:iCs/>
        </w:rPr>
        <w:t>Poznámka: *) nezahrnuje prostředky z EU a FM.</w:t>
      </w:r>
      <w:bookmarkEnd w:id="116"/>
      <w:bookmarkEnd w:id="117"/>
      <w:bookmarkEnd w:id="118"/>
      <w:bookmarkEnd w:id="119"/>
      <w:bookmarkEnd w:id="120"/>
      <w:bookmarkEnd w:id="121"/>
      <w:bookmarkEnd w:id="122"/>
      <w:bookmarkEnd w:id="123"/>
    </w:p>
    <w:p w:rsidR="00271415" w:rsidRDefault="00271415" w:rsidP="00271415">
      <w:pPr>
        <w:rPr>
          <w:rFonts w:cs="Arial"/>
          <w:sz w:val="24"/>
          <w:szCs w:val="26"/>
        </w:rPr>
      </w:pPr>
    </w:p>
    <w:p w:rsidR="00271415" w:rsidRDefault="00271415" w:rsidP="00271415">
      <w:pPr>
        <w:pStyle w:val="Nadpis3"/>
        <w:sectPr w:rsidR="00271415" w:rsidSect="00385A41">
          <w:footerReference w:type="default" r:id="rId60"/>
          <w:pgSz w:w="16838" w:h="11906" w:orient="landscape" w:code="9"/>
          <w:pgMar w:top="1134" w:right="1134" w:bottom="1134" w:left="1418" w:header="709" w:footer="709" w:gutter="0"/>
          <w:cols w:space="709"/>
          <w:docGrid w:linePitch="360"/>
        </w:sectPr>
      </w:pPr>
    </w:p>
    <w:p w:rsidR="00013A94" w:rsidRPr="00AA4F8F" w:rsidRDefault="00013A94" w:rsidP="00A938CE">
      <w:pPr>
        <w:pStyle w:val="SRNadpis3"/>
      </w:pPr>
      <w:bookmarkStart w:id="124" w:name="_Toc52369408"/>
      <w:bookmarkStart w:id="125" w:name="_Toc83882838"/>
      <w:r w:rsidRPr="00AA4F8F">
        <w:lastRenderedPageBreak/>
        <w:t>Výdaje na platy a ostatní platby za provedenou práci</w:t>
      </w:r>
      <w:bookmarkEnd w:id="124"/>
      <w:bookmarkEnd w:id="125"/>
    </w:p>
    <w:p w:rsidR="00013A94" w:rsidRPr="00013A94" w:rsidRDefault="00013A94" w:rsidP="00013A94">
      <w:pPr>
        <w:rPr>
          <w:highlight w:val="cyan"/>
        </w:rPr>
        <w:sectPr w:rsidR="00013A94" w:rsidRPr="00013A94" w:rsidSect="00013A94">
          <w:footerReference w:type="default" r:id="rId61"/>
          <w:pgSz w:w="11906" w:h="16838" w:code="9"/>
          <w:pgMar w:top="1134" w:right="1134" w:bottom="1418" w:left="1134" w:header="709" w:footer="709" w:gutter="0"/>
          <w:cols w:space="397"/>
          <w:docGrid w:linePitch="360"/>
        </w:sectPr>
      </w:pPr>
    </w:p>
    <w:p w:rsidR="00E17154" w:rsidRPr="00E17154" w:rsidRDefault="00E17154" w:rsidP="00E17154">
      <w:pPr>
        <w:pStyle w:val="SRTextnomal"/>
      </w:pPr>
      <w:r w:rsidRPr="00E17154">
        <w:lastRenderedPageBreak/>
        <w:t>V platové oblasti střednědobého rozpočtu na roky 2023 a 2024 není uvažováno s meziročním plošným nárůstem objemu prostředků na platy a ostatní platby za proved</w:t>
      </w:r>
      <w:r w:rsidRPr="00E17154">
        <w:t>e</w:t>
      </w:r>
      <w:r w:rsidRPr="00E17154">
        <w:t>nou práci (ostatní osobní náklady).</w:t>
      </w:r>
    </w:p>
    <w:p w:rsidR="00E17154" w:rsidRPr="00E17154" w:rsidRDefault="00E17154" w:rsidP="00E17154">
      <w:pPr>
        <w:pStyle w:val="SRTextnomal"/>
      </w:pPr>
      <w:r w:rsidRPr="00E17154">
        <w:t>Střednědobé rozpočty v sobě nezahrnují prostředky sp</w:t>
      </w:r>
      <w:r w:rsidRPr="00E17154">
        <w:t>o</w:t>
      </w:r>
      <w:r w:rsidRPr="00E17154">
        <w:t>lufinancování z nadnárodních zdrojů (EU/FM), neboť ty jsou rozpočtovány pouze jednoročně.</w:t>
      </w:r>
    </w:p>
    <w:p w:rsidR="00E17154" w:rsidRPr="00E17154" w:rsidRDefault="00E17154" w:rsidP="00E17154">
      <w:pPr>
        <w:pStyle w:val="SRTextnomal"/>
        <w:rPr>
          <w:b/>
        </w:rPr>
      </w:pPr>
      <w:r w:rsidRPr="00E17154">
        <w:rPr>
          <w:b/>
        </w:rPr>
        <w:t xml:space="preserve">Střednědobý výhled na rok 2023 </w:t>
      </w:r>
    </w:p>
    <w:p w:rsidR="00E17154" w:rsidRPr="00E17154" w:rsidRDefault="00E17154" w:rsidP="00E17154">
      <w:pPr>
        <w:pStyle w:val="SRTextnomal"/>
      </w:pPr>
      <w:r w:rsidRPr="00E17154">
        <w:t>V návrhu střednědobého výhledu na rok 2023 dochází k meziročnímu snížení objemu prostředků na platy a</w:t>
      </w:r>
      <w:r w:rsidR="00090D0B">
        <w:t> </w:t>
      </w:r>
      <w:r w:rsidRPr="00E17154">
        <w:t>ostatní platby za provedenou práci o 351,9 mil. Kč a</w:t>
      </w:r>
      <w:r w:rsidR="00090D0B">
        <w:t> </w:t>
      </w:r>
      <w:r w:rsidRPr="00E17154">
        <w:t>navýšení počtu míst o 725 míst. Tento vývoj je zapříč</w:t>
      </w:r>
      <w:r w:rsidRPr="00E17154">
        <w:t>i</w:t>
      </w:r>
      <w:r w:rsidRPr="00E17154">
        <w:t xml:space="preserve">něn promítnutím zejména následujících vlivů. </w:t>
      </w:r>
    </w:p>
    <w:p w:rsidR="00E17154" w:rsidRPr="00E17154" w:rsidRDefault="00E17154" w:rsidP="00E17154">
      <w:pPr>
        <w:pStyle w:val="SRTextnomal"/>
      </w:pPr>
      <w:r w:rsidRPr="00E17154">
        <w:t>Napříč rozpočtovými kapitolami se negativním způs</w:t>
      </w:r>
      <w:r w:rsidRPr="00E17154">
        <w:t>o</w:t>
      </w:r>
      <w:r w:rsidRPr="00E17154">
        <w:t>bem projevuje korekce národního podílu financování v</w:t>
      </w:r>
      <w:r w:rsidR="00090D0B">
        <w:t> </w:t>
      </w:r>
      <w:r w:rsidRPr="00E17154">
        <w:t>oblasti administrace a realizace projektů EU/FM, resp. odpočty jednorázově (pouze pro rok 2022) zapracov</w:t>
      </w:r>
      <w:r w:rsidRPr="00E17154">
        <w:t>a</w:t>
      </w:r>
      <w:r w:rsidRPr="00E17154">
        <w:t>ného posílení na vrub ostatních běžných výdajů ve vazbě na udržení poměrů financování k nadnárodním zdrojům. Tento vliv představuje v parametrech střednědobého výhledu snížení objemu prostředků na platy a ostatní platby za provedenou práci/ostatní osobní náklady o</w:t>
      </w:r>
      <w:r w:rsidR="00090D0B">
        <w:t> </w:t>
      </w:r>
      <w:r w:rsidRPr="00E17154">
        <w:t>111,2 mil. Kč.</w:t>
      </w:r>
    </w:p>
    <w:p w:rsidR="00E17154" w:rsidRPr="00E17154" w:rsidRDefault="00E17154" w:rsidP="00E17154">
      <w:pPr>
        <w:pStyle w:val="SRTextnomal"/>
      </w:pPr>
      <w:r w:rsidRPr="00E17154">
        <w:t>V kapitolách Poslanecká sněmovna Parlamentu ČR a S</w:t>
      </w:r>
      <w:r w:rsidRPr="00E17154">
        <w:t>e</w:t>
      </w:r>
      <w:r w:rsidRPr="00E17154">
        <w:t>nát Parlamentu ČR dochází k odpočtu jednorázového navýšení prostředků na odchodné pro poslance i senát</w:t>
      </w:r>
      <w:r w:rsidRPr="00E17154">
        <w:t>o</w:t>
      </w:r>
      <w:r w:rsidRPr="00E17154">
        <w:t>ry a na překrývání mandátů senátorů. V kapitole Posl</w:t>
      </w:r>
      <w:r w:rsidRPr="00E17154">
        <w:t>a</w:t>
      </w:r>
      <w:r w:rsidRPr="00E17154">
        <w:t>necká sněmovna Parlamentu ČR je rovněž zapracováno rozpočtovým výborem schválené další meziroční nav</w:t>
      </w:r>
      <w:r w:rsidRPr="00E17154">
        <w:t>ý</w:t>
      </w:r>
      <w:r w:rsidRPr="00E17154">
        <w:t>šení objemu prostředků na platy o 10 mil. Kč (usnesení č.</w:t>
      </w:r>
      <w:r w:rsidR="00090D0B">
        <w:t> </w:t>
      </w:r>
      <w:r w:rsidRPr="00E17154">
        <w:t>553 z roku 2021).</w:t>
      </w:r>
    </w:p>
    <w:p w:rsidR="00E17154" w:rsidRPr="00E17154" w:rsidRDefault="00E17154" w:rsidP="00E17154">
      <w:pPr>
        <w:pStyle w:val="SRTextnomal"/>
      </w:pPr>
      <w:r w:rsidRPr="00E17154">
        <w:t>V kapitole Úřad vlády dochází k odpočtu jednorázového vlivu z roku 2022, konkrétně prostředků na DPČ/DPP ve</w:t>
      </w:r>
      <w:r w:rsidR="00090D0B">
        <w:t> </w:t>
      </w:r>
      <w:r w:rsidRPr="00E17154">
        <w:t>výši 9 mil. Kč na zajištění pozic liaison officer v rámci aktivit v oblasti CZ PRES (v souladu s materiálem schv</w:t>
      </w:r>
      <w:r w:rsidRPr="00E17154">
        <w:t>á</w:t>
      </w:r>
      <w:r w:rsidRPr="00E17154">
        <w:t>leným UV č. 721/2021</w:t>
      </w:r>
      <w:r w:rsidR="002F7D34">
        <w:t>)</w:t>
      </w:r>
      <w:r w:rsidRPr="00E17154">
        <w:t>.</w:t>
      </w:r>
    </w:p>
    <w:p w:rsidR="00E17154" w:rsidRPr="00E17154" w:rsidRDefault="00E17154" w:rsidP="00E17154">
      <w:pPr>
        <w:pStyle w:val="SRTextnomal"/>
      </w:pPr>
      <w:r w:rsidRPr="00E17154">
        <w:t>V kapitole Ministerstvo zahraničních věcí dochází ke sn</w:t>
      </w:r>
      <w:r w:rsidRPr="00E17154">
        <w:t>í</w:t>
      </w:r>
      <w:r w:rsidRPr="00E17154">
        <w:t>žení 2 míst vč. prostředků na platy dočasně navýšených na zajištění Všeobecné světové výstavy EXPO 2020 v Dubaji, dochází ke snížení 2 míst s omezenou účinností do 30. 6. 2023 (dočasné agendy spojené s CZ PRES a ep</w:t>
      </w:r>
      <w:r w:rsidRPr="00E17154">
        <w:t>i</w:t>
      </w:r>
      <w:r w:rsidRPr="00E17154">
        <w:t xml:space="preserve">demií COVID-19), dále dochází ke snížení 1 místa včetně finančních prostředků, resp. k vrácení na Ministerstvo financí (dočasné zajištění činnosti diplomata v Belgii). </w:t>
      </w:r>
    </w:p>
    <w:p w:rsidR="00E17154" w:rsidRPr="00E17154" w:rsidRDefault="00E17154" w:rsidP="00E17154">
      <w:pPr>
        <w:pStyle w:val="SRTextnomal"/>
      </w:pPr>
      <w:r w:rsidRPr="00E17154">
        <w:t>V kapitole Ministerstvo obrany dochází k navýšení o 600 míst (550 vojáků a 50 civilních zaměstnanců) vč. pr</w:t>
      </w:r>
      <w:r w:rsidRPr="00E17154">
        <w:t>o</w:t>
      </w:r>
      <w:r w:rsidRPr="00E17154">
        <w:t>středků na platy ve výši 284,2 mil. Kč v souvislosti s pokračováním realizace Koncepce výstavby Armády ČR, dále ke snížení prostředků na ostatní platby za proved</w:t>
      </w:r>
      <w:r w:rsidRPr="00E17154">
        <w:t>e</w:t>
      </w:r>
      <w:r w:rsidRPr="00E17154">
        <w:t xml:space="preserve">nou práci ve výši 254,2 mil. Kč z důvodu odpočtu časově omezeného vlivu (příplatek za službu v zahraničí). </w:t>
      </w:r>
      <w:r w:rsidRPr="00E17154">
        <w:lastRenderedPageBreak/>
        <w:t>V kapitole Ministerstvo financí dochází ke snížení o 188 přepočtených míst vč. prostředků na platy ve výši 93,4</w:t>
      </w:r>
      <w:r w:rsidR="00090D0B">
        <w:t> </w:t>
      </w:r>
      <w:r w:rsidRPr="00E17154">
        <w:t>mil. Kč u Finanční správy zejména v důsledku p</w:t>
      </w:r>
      <w:r w:rsidRPr="00E17154">
        <w:t>o</w:t>
      </w:r>
      <w:r w:rsidRPr="00E17154">
        <w:t>kračování krácení početních stavů v souvislosti se zruš</w:t>
      </w:r>
      <w:r w:rsidRPr="00E17154">
        <w:t>e</w:t>
      </w:r>
      <w:r w:rsidRPr="00E17154">
        <w:t>ním daně z nabytí nemovitých věcí, dále dochází k</w:t>
      </w:r>
      <w:r w:rsidR="00090D0B">
        <w:t> </w:t>
      </w:r>
      <w:r w:rsidRPr="00E17154">
        <w:t>navýšení 1 místa včetně finančních prostředků přes</w:t>
      </w:r>
      <w:r w:rsidRPr="00E17154">
        <w:t>u</w:t>
      </w:r>
      <w:r w:rsidRPr="00E17154">
        <w:t>nem z Ministerstva zahraničních věcí (dočasné zajištění činnosti diplomata v Belgii), a k navýšení o 2 místa v</w:t>
      </w:r>
      <w:r w:rsidR="00090D0B">
        <w:t> </w:t>
      </w:r>
      <w:r w:rsidRPr="00E17154">
        <w:t xml:space="preserve">souvislosti se změnou financování v dětské skupině. </w:t>
      </w:r>
    </w:p>
    <w:p w:rsidR="00E17154" w:rsidRPr="00E17154" w:rsidRDefault="00E17154" w:rsidP="00E17154">
      <w:pPr>
        <w:pStyle w:val="SRTextnomal"/>
      </w:pPr>
      <w:r w:rsidRPr="00E17154">
        <w:t>V kapitole Ministerstvo práce a sociálních věcí dochází k přesunu finančních prostředků mezi platovými polo</w:t>
      </w:r>
      <w:r w:rsidRPr="00E17154">
        <w:t>ž</w:t>
      </w:r>
      <w:r w:rsidRPr="00E17154">
        <w:t>kami v Úřadu pro mezinárodně-právní ochranu dětí.</w:t>
      </w:r>
    </w:p>
    <w:p w:rsidR="00E17154" w:rsidRPr="00E17154" w:rsidRDefault="00E17154" w:rsidP="00E17154">
      <w:pPr>
        <w:pStyle w:val="SRTextnomal"/>
      </w:pPr>
      <w:r w:rsidRPr="00E17154">
        <w:t>V kapitole Ministerstvo vnitra dochází k navýšení o 500 míst příslušníků Policie ČR, ke snížení o 7,5 míst vč. pr</w:t>
      </w:r>
      <w:r w:rsidRPr="00E17154">
        <w:t>o</w:t>
      </w:r>
      <w:r w:rsidRPr="00E17154">
        <w:t>středků na platy v souvislosti s novelou zákona č.</w:t>
      </w:r>
      <w:r w:rsidR="00090D0B">
        <w:t> </w:t>
      </w:r>
      <w:r w:rsidRPr="00E17154">
        <w:t>326/1999 Sb. o pobytu cizinců (dočasný vliv) a odpo</w:t>
      </w:r>
      <w:r w:rsidRPr="00E17154">
        <w:t>č</w:t>
      </w:r>
      <w:r w:rsidRPr="00E17154">
        <w:t>tu jednorázového vlivu z roku 2022 týkajícího se realiz</w:t>
      </w:r>
      <w:r w:rsidRPr="00E17154">
        <w:t>a</w:t>
      </w:r>
      <w:r w:rsidRPr="00E17154">
        <w:t>ce projektů VVI (přesná výše na rok 2023 bude zapracována při přípravě rozpočtu dle realizace konkré</w:t>
      </w:r>
      <w:r w:rsidRPr="00E17154">
        <w:t>t</w:t>
      </w:r>
      <w:r w:rsidRPr="00E17154">
        <w:t xml:space="preserve">ních projektů). </w:t>
      </w:r>
    </w:p>
    <w:p w:rsidR="00E17154" w:rsidRPr="00E17154" w:rsidRDefault="00E17154" w:rsidP="00E17154">
      <w:pPr>
        <w:pStyle w:val="SRTextnomal"/>
      </w:pPr>
      <w:r w:rsidRPr="00E17154">
        <w:t>V kapitole Ministerstvo pro místní rozvoj dochází ke sn</w:t>
      </w:r>
      <w:r w:rsidRPr="00E17154">
        <w:t>í</w:t>
      </w:r>
      <w:r w:rsidRPr="00E17154">
        <w:t>žení o 2 místa k 1. 1. 2023 (agenda živnostenského po</w:t>
      </w:r>
      <w:r w:rsidRPr="00E17154">
        <w:t>d</w:t>
      </w:r>
      <w:r w:rsidRPr="00E17154">
        <w:t>nikání a strategie cestovního ruchu) a o 2 místa od 1. 8. 2023 (agenda digitalizace stavebního řízení) bez finan</w:t>
      </w:r>
      <w:r w:rsidRPr="00E17154">
        <w:t>č</w:t>
      </w:r>
      <w:r w:rsidRPr="00E17154">
        <w:t xml:space="preserve">ních prostředků z důvodu uplynutí doby pro přechodné posílení agend. </w:t>
      </w:r>
    </w:p>
    <w:p w:rsidR="00E17154" w:rsidRPr="00E17154" w:rsidRDefault="00E17154" w:rsidP="00E17154">
      <w:pPr>
        <w:pStyle w:val="SRTextnomal"/>
      </w:pPr>
      <w:r w:rsidRPr="00E17154">
        <w:t>V kapitole Ministerstvo průmyslu a obchodu dochází k</w:t>
      </w:r>
      <w:r w:rsidR="00090D0B">
        <w:t> </w:t>
      </w:r>
      <w:r w:rsidRPr="00E17154">
        <w:t>odpočtu jednorázového vlivu pro rok 2022 týkajícího se posílení prostředků na ostatní platby za provedenou práci o 4,4 mil. Kč na vrub běžných výdajů kapitoly (p</w:t>
      </w:r>
      <w:r w:rsidRPr="00E17154">
        <w:t>o</w:t>
      </w:r>
      <w:r w:rsidRPr="00E17154">
        <w:t>sudky projektů VVI).</w:t>
      </w:r>
    </w:p>
    <w:p w:rsidR="00E17154" w:rsidRPr="00E17154" w:rsidRDefault="00E17154" w:rsidP="00E17154">
      <w:pPr>
        <w:pStyle w:val="SRTextnomal"/>
      </w:pPr>
      <w:r w:rsidRPr="00E17154">
        <w:t xml:space="preserve">V kapitole Český telekomunikační úřad dochází k odpočtu jednorázového posílení prostředků v souvislosti s odchodem člena Rady.  </w:t>
      </w:r>
    </w:p>
    <w:p w:rsidR="00E17154" w:rsidRPr="00E17154" w:rsidRDefault="00E17154" w:rsidP="00E17154">
      <w:pPr>
        <w:pStyle w:val="SRTextnomal"/>
      </w:pPr>
      <w:r w:rsidRPr="00E17154">
        <w:t>V kapitole Ministerstvo zemědělství dochází k odpočtu jednorázového vlivu pro rok 2022 týkajícího se posílení prostředků na ostatní platby za provedenou práci o</w:t>
      </w:r>
      <w:r w:rsidR="00090D0B">
        <w:t> </w:t>
      </w:r>
      <w:r w:rsidRPr="00E17154">
        <w:t>1,5</w:t>
      </w:r>
      <w:r w:rsidR="00090D0B">
        <w:t> </w:t>
      </w:r>
      <w:r w:rsidRPr="00E17154">
        <w:t>mil. Kč na vrub běžných výdajů kapitoly (posudky projektů VVI).</w:t>
      </w:r>
    </w:p>
    <w:p w:rsidR="00E17154" w:rsidRPr="00E17154" w:rsidRDefault="00E17154" w:rsidP="00E17154">
      <w:pPr>
        <w:pStyle w:val="SRTextnomal"/>
      </w:pPr>
      <w:r w:rsidRPr="00E17154">
        <w:t>V kapitole Ministerstvo školství, mládeže a tělovýchovy dochází ke snížení o 10 míst bez finančních prostředků z</w:t>
      </w:r>
      <w:r>
        <w:t> </w:t>
      </w:r>
      <w:r w:rsidRPr="00E17154">
        <w:t>důvodu uplynutí doby pro přechodné posílení agendy pilotního zavedení středního článku řízení a podpory škol.</w:t>
      </w:r>
    </w:p>
    <w:p w:rsidR="00E17154" w:rsidRPr="00E17154" w:rsidRDefault="00E17154" w:rsidP="00E17154">
      <w:pPr>
        <w:pStyle w:val="SRTextnomal"/>
      </w:pPr>
      <w:r w:rsidRPr="00E17154">
        <w:t>V kapitole Ministerstvo kultury dochází ke snížení o 10 míst vč. prostředků na platy ve výši 3,7 mil. Kč z důvodu uplynutí doby pro přechodné posílení agendy podpory administrace projektů IROP a ke snížení jednorázového navýšení prostředků na ostatní platby za provedenou práci v rámci posuzování projektů VVI (NAKI III).</w:t>
      </w:r>
    </w:p>
    <w:p w:rsidR="00E17154" w:rsidRPr="00E17154" w:rsidRDefault="00E17154" w:rsidP="00E17154">
      <w:pPr>
        <w:pStyle w:val="SRTextnomal"/>
      </w:pPr>
      <w:r w:rsidRPr="00E17154">
        <w:lastRenderedPageBreak/>
        <w:t>V kapitole Ministerstvo zdravotnictví dochází k ukončení nutnosti mimořádného posílení o 134 míst Krajských h</w:t>
      </w:r>
      <w:r w:rsidRPr="00E17154">
        <w:t>y</w:t>
      </w:r>
      <w:r w:rsidRPr="00E17154">
        <w:t>gienických stanic a o 24 míst v ústředním orgánu vč. pr</w:t>
      </w:r>
      <w:r w:rsidRPr="00E17154">
        <w:t>o</w:t>
      </w:r>
      <w:r w:rsidRPr="00E17154">
        <w:t xml:space="preserve">středků na platy v celkové výši 78,3 mil. Kč v oblasti agendy zdravotních hrozeb v oblasti ochrany veřejného zdraví (projekt Chytrá karanténa). </w:t>
      </w:r>
    </w:p>
    <w:p w:rsidR="00E17154" w:rsidRPr="00E17154" w:rsidRDefault="00E17154" w:rsidP="00E17154">
      <w:pPr>
        <w:pStyle w:val="SRTextnomal"/>
      </w:pPr>
      <w:r w:rsidRPr="00E17154">
        <w:t>V kapitole Ministerstvo spravedlnosti dochází k úpravě přesunů mezi organizačními složkami v rámci struktury kapitoly a rovněž ke zrušení jednorázového snížení pr</w:t>
      </w:r>
      <w:r w:rsidRPr="00E17154">
        <w:t>o</w:t>
      </w:r>
      <w:r w:rsidRPr="00E17154">
        <w:t>středků na platy soudců a státních zástupců ve výši 150,2 mil. Kč v roce 2022, které bylo provedeno v n</w:t>
      </w:r>
      <w:r w:rsidRPr="00E17154">
        <w:t>á</w:t>
      </w:r>
      <w:r w:rsidRPr="00E17154">
        <w:t>vaznosti na očekávanou skutečnost čerpání v roce 2021.</w:t>
      </w:r>
    </w:p>
    <w:p w:rsidR="00E17154" w:rsidRPr="00E17154" w:rsidRDefault="00E17154" w:rsidP="00E17154">
      <w:pPr>
        <w:pStyle w:val="SRTextnomal"/>
      </w:pPr>
      <w:r w:rsidRPr="00E17154">
        <w:t>V kapitole Úřad pro ochranu osobních údajů dochází s účinností k 1. 8. 2023 ke snížení o 1 místo vč. prostře</w:t>
      </w:r>
      <w:r w:rsidRPr="00E17154">
        <w:t>d</w:t>
      </w:r>
      <w:r w:rsidRPr="00E17154">
        <w:t xml:space="preserve">ků na platy ve výši 0,7 mil. Kč v souvislosti s ukončením mandátu inspektora (v souladu se zákonem č. 110/2019 Sb., o zpracování osobních údajů). </w:t>
      </w:r>
    </w:p>
    <w:p w:rsidR="00E17154" w:rsidRPr="00E17154" w:rsidRDefault="00E17154" w:rsidP="00E17154">
      <w:pPr>
        <w:pStyle w:val="SRTextnomal"/>
      </w:pPr>
      <w:r w:rsidRPr="00E17154">
        <w:t>V kapitole Český statistický úřad dochází k odpočtu je</w:t>
      </w:r>
      <w:r w:rsidRPr="00E17154">
        <w:t>d</w:t>
      </w:r>
      <w:r w:rsidRPr="00E17154">
        <w:t>norázového vlivu, konkrétně snížení o 17 míst, prostře</w:t>
      </w:r>
      <w:r w:rsidRPr="00E17154">
        <w:t>d</w:t>
      </w:r>
      <w:r w:rsidRPr="00E17154">
        <w:t>ků na platy ve výši 9,4 mil. Kč a prostředků na ostatní platby za provedenou práci ve výši 2,5</w:t>
      </w:r>
      <w:r w:rsidR="00090D0B">
        <w:t> </w:t>
      </w:r>
      <w:r w:rsidRPr="00E17154">
        <w:t>mil.</w:t>
      </w:r>
      <w:r w:rsidR="00090D0B">
        <w:t> </w:t>
      </w:r>
      <w:r w:rsidRPr="00E17154">
        <w:t xml:space="preserve">Kč v souvislosti se zajištěním finalizace projektu Sčítání lidu, domů a bytů 2021. </w:t>
      </w:r>
    </w:p>
    <w:p w:rsidR="00E17154" w:rsidRPr="00E17154" w:rsidRDefault="00E17154" w:rsidP="00E17154">
      <w:pPr>
        <w:pStyle w:val="SRTextnomal"/>
      </w:pPr>
      <w:r w:rsidRPr="00E17154">
        <w:t>V kapitole Ústavní soud dochází k jednorázovému nav</w:t>
      </w:r>
      <w:r w:rsidRPr="00E17154">
        <w:t>ý</w:t>
      </w:r>
      <w:r w:rsidRPr="00E17154">
        <w:t xml:space="preserve">šení výdajů na odchodné a odstupné ve výši 14 mil. Kč.  </w:t>
      </w:r>
    </w:p>
    <w:p w:rsidR="00E17154" w:rsidRPr="00E17154" w:rsidRDefault="00E17154" w:rsidP="00E17154">
      <w:pPr>
        <w:pStyle w:val="SRTextnomal"/>
      </w:pPr>
      <w:r w:rsidRPr="00E17154">
        <w:t>V kapitole Národní úřad pro kybernetickou a informační bezpečnost dochází k navýšení o 25 míst včetně pr</w:t>
      </w:r>
      <w:r w:rsidRPr="00E17154">
        <w:t>o</w:t>
      </w:r>
      <w:r w:rsidRPr="00E17154">
        <w:t>středků na platy ve výši 15,7 mil. Kč v návaznosti na</w:t>
      </w:r>
      <w:r w:rsidR="00090D0B">
        <w:t> </w:t>
      </w:r>
      <w:r w:rsidRPr="00E17154">
        <w:t>schválenou koncepc</w:t>
      </w:r>
      <w:r w:rsidR="004D1355">
        <w:t>i</w:t>
      </w:r>
      <w:r w:rsidRPr="00E17154">
        <w:t xml:space="preserve"> rozvoje (UV č. 848/2020).</w:t>
      </w:r>
    </w:p>
    <w:p w:rsidR="00E17154" w:rsidRPr="00E17154" w:rsidRDefault="00E17154" w:rsidP="00E17154">
      <w:pPr>
        <w:pStyle w:val="SRTextnomal"/>
      </w:pPr>
      <w:r w:rsidRPr="00E17154">
        <w:t xml:space="preserve">V kapitole Nejvyšší kontrolní úřad dochází k odpočtu jednorázového navýšení prostředků na odchodné. </w:t>
      </w:r>
    </w:p>
    <w:p w:rsidR="00E17154" w:rsidRPr="00E17154" w:rsidRDefault="00E17154" w:rsidP="00E17154">
      <w:pPr>
        <w:pStyle w:val="SRTextnomal"/>
      </w:pPr>
      <w:r w:rsidRPr="00E17154">
        <w:t>Návrh obsahuje rovněž úpravu parametrů v dotčených rozpočtových kapitolách v souvislosti se zabezpečením mimořádné administrativní podpory zajištění předse</w:t>
      </w:r>
      <w:r w:rsidRPr="00E17154">
        <w:t>d</w:t>
      </w:r>
      <w:r w:rsidRPr="00E17154">
        <w:t>nictví ČR v Radě EU (CZ PRES), a to v souladu s UV č.</w:t>
      </w:r>
      <w:r w:rsidR="00090D0B">
        <w:t> </w:t>
      </w:r>
      <w:r w:rsidRPr="00E17154">
        <w:t>729/2019 a UV č. 721/2021, na základě kterých je st</w:t>
      </w:r>
      <w:r w:rsidRPr="00E17154">
        <w:t>a</w:t>
      </w:r>
      <w:r w:rsidRPr="00E17154">
        <w:t>noveno finanční a personální zajištění po dobu přípravy a realizace českého předsednictví. Mezi rokem 2022 a</w:t>
      </w:r>
      <w:r w:rsidR="00090D0B">
        <w:t> </w:t>
      </w:r>
      <w:r w:rsidRPr="00E17154">
        <w:t xml:space="preserve">2023 dochází ke snížení prostředků na platy o 94,8 mil. Kč. Místa zůstávají v limitech na úrovni roku 2022 (228 míst). </w:t>
      </w:r>
    </w:p>
    <w:p w:rsidR="00E17154" w:rsidRPr="00E17154" w:rsidRDefault="00E17154" w:rsidP="00E17154">
      <w:pPr>
        <w:pStyle w:val="SRTextnomal"/>
        <w:rPr>
          <w:b/>
        </w:rPr>
      </w:pPr>
      <w:r w:rsidRPr="00E17154">
        <w:rPr>
          <w:b/>
        </w:rPr>
        <w:t>Střednědobý výhled na rok 2024</w:t>
      </w:r>
    </w:p>
    <w:p w:rsidR="00E17154" w:rsidRPr="00E17154" w:rsidRDefault="00E17154" w:rsidP="00E17154">
      <w:pPr>
        <w:pStyle w:val="SRTextnomal"/>
      </w:pPr>
      <w:r w:rsidRPr="00E17154">
        <w:t>V návrhu střednědobého výhledu na rok 2024 dochází k meziročnímu zvýšení objemu prostředků na platy a</w:t>
      </w:r>
      <w:r w:rsidR="00090D0B">
        <w:t> </w:t>
      </w:r>
      <w:r w:rsidRPr="00E17154">
        <w:t>ostatní platby za provedenou práci o 185,7 mil. Kč a</w:t>
      </w:r>
      <w:r w:rsidR="00090D0B">
        <w:t> </w:t>
      </w:r>
      <w:r w:rsidRPr="00E17154">
        <w:t>navýšení počtu míst o 222 míst. Tento vývoj je zapříč</w:t>
      </w:r>
      <w:r w:rsidRPr="00E17154">
        <w:t>i</w:t>
      </w:r>
      <w:r w:rsidRPr="00E17154">
        <w:t xml:space="preserve">něn promítnutím zejména následujících vlivů. </w:t>
      </w:r>
    </w:p>
    <w:p w:rsidR="00E17154" w:rsidRPr="00E17154" w:rsidRDefault="00E17154" w:rsidP="00E17154">
      <w:pPr>
        <w:pStyle w:val="SRTextnomal"/>
      </w:pPr>
      <w:r w:rsidRPr="00E17154">
        <w:t>V kapitole Poslanecká sněmovna Parlamentu ČR je z</w:t>
      </w:r>
      <w:r w:rsidRPr="00E17154">
        <w:t>a</w:t>
      </w:r>
      <w:r w:rsidRPr="00E17154">
        <w:t>pracováno rozpočtovým výborem schválené pokračující meziroční navýšení objemu prostředků na platy o 10 mil. Kč (usnesení č. 553 z roku 2021).</w:t>
      </w:r>
    </w:p>
    <w:p w:rsidR="00E17154" w:rsidRPr="00E17154" w:rsidRDefault="00E17154" w:rsidP="00E17154">
      <w:pPr>
        <w:pStyle w:val="SRTextnomal"/>
      </w:pPr>
      <w:r w:rsidRPr="00E17154">
        <w:t>V kapitole Úřad vlády dochází k navýšení o 2 místa vče</w:t>
      </w:r>
      <w:r w:rsidRPr="00E17154">
        <w:t>t</w:t>
      </w:r>
      <w:r w:rsidRPr="00E17154">
        <w:t xml:space="preserve">ně prostředků na platy přesunem z kapitoly Ministerstvo </w:t>
      </w:r>
      <w:r w:rsidRPr="00E17154">
        <w:lastRenderedPageBreak/>
        <w:t>zahraničních věcí (plánované ukončení mise vědeckého diplomata ČEKK v Tchaj-pej a vědeckého diplomata na</w:t>
      </w:r>
      <w:r w:rsidR="00090D0B">
        <w:t> </w:t>
      </w:r>
      <w:r w:rsidRPr="00E17154">
        <w:t xml:space="preserve">ZÚ v Tel Avivu). </w:t>
      </w:r>
    </w:p>
    <w:p w:rsidR="00E17154" w:rsidRPr="00E17154" w:rsidRDefault="00E17154" w:rsidP="00E17154">
      <w:pPr>
        <w:pStyle w:val="SRTextnomal"/>
      </w:pPr>
      <w:r w:rsidRPr="00E17154">
        <w:t>V kapitole Ministerstvo zahraničních věcí dochází k promítnutí druhé poloviny vlivu z roku 2023 týkajícího se snížení 2 míst s účinností od 1. 7. 2023 (dočasné agendy spojené s CZ PRES a epidemií COVID-19), dále ke snížení o 3 místa včetně prostředků na platy na SZEU v Bruselu v souvislosti s ukončením přechodných činno</w:t>
      </w:r>
      <w:r w:rsidRPr="00E17154">
        <w:t>s</w:t>
      </w:r>
      <w:r w:rsidRPr="00E17154">
        <w:t>tí spojených s CZ PRES. Rovněž dochází ke snížení o 11 míst vč. prostředků na platy ve výši 3,8 mil. Kč dočasně navýšených na vyřízení zvýšeného počtu žádostí o z</w:t>
      </w:r>
      <w:r w:rsidRPr="00E17154">
        <w:t>a</w:t>
      </w:r>
      <w:r w:rsidRPr="00E17154">
        <w:t>městnanecké karty pro kvalifikované pracovníky z Ukr</w:t>
      </w:r>
      <w:r w:rsidRPr="00E17154">
        <w:t>a</w:t>
      </w:r>
      <w:r w:rsidRPr="00E17154">
        <w:t>jiny (v souladu s UV č. 1299/2020). Ke snížení o 3 místa včetně finančních prostředků, z toho 2 jsou převedena na Úřad vlády, dochází z důvodu ukončení mise věde</w:t>
      </w:r>
      <w:r w:rsidRPr="00E17154">
        <w:t>c</w:t>
      </w:r>
      <w:r w:rsidRPr="00E17154">
        <w:t>kých diplomatů v Tchaj-pej, Washingtonu a Tel Avivu.</w:t>
      </w:r>
    </w:p>
    <w:p w:rsidR="00E17154" w:rsidRPr="00E17154" w:rsidRDefault="00E17154" w:rsidP="00E17154">
      <w:pPr>
        <w:pStyle w:val="SRTextnomal"/>
      </w:pPr>
      <w:r w:rsidRPr="00E17154">
        <w:t>V kapitole Ministerstvo obrany dochází k navýšení o 600 míst (550 vojáků a 50 civilních zaměstnanců) vč. pr</w:t>
      </w:r>
      <w:r w:rsidRPr="00E17154">
        <w:t>o</w:t>
      </w:r>
      <w:r w:rsidRPr="00E17154">
        <w:t>středků na platy ve výši 284,1 mil. Kč v souvislosti s pokračováním realizace Koncepce výstavby Armády ČR.</w:t>
      </w:r>
    </w:p>
    <w:p w:rsidR="00E17154" w:rsidRPr="00E17154" w:rsidRDefault="00E17154" w:rsidP="00E17154">
      <w:pPr>
        <w:pStyle w:val="SRTextnomal"/>
      </w:pPr>
      <w:r w:rsidRPr="00E17154">
        <w:t>V kapitole Ministerstvo financí dochází ke snížení o 37,5 přepočtených míst vč. prostředků na platy ve výši 18,7</w:t>
      </w:r>
      <w:r w:rsidR="00090D0B">
        <w:t> </w:t>
      </w:r>
      <w:r w:rsidRPr="00E17154">
        <w:t>mil. Kč u Finanční správy zejména v důsledku p</w:t>
      </w:r>
      <w:r w:rsidRPr="00E17154">
        <w:t>o</w:t>
      </w:r>
      <w:r w:rsidRPr="00E17154">
        <w:t>kračování krácení v souvislosti se zrušením daně z nabytí nemovitých věcí a dále ke snížení o 4 místa včetně pr</w:t>
      </w:r>
      <w:r w:rsidRPr="00E17154">
        <w:t>o</w:t>
      </w:r>
      <w:r w:rsidRPr="00E17154">
        <w:t>středků na platy, o které byl dočasně navýšen limit na zajištění agendy v oblasti náhrad škod dle pandemického zákona.</w:t>
      </w:r>
    </w:p>
    <w:p w:rsidR="00E17154" w:rsidRPr="00E17154" w:rsidRDefault="00E17154" w:rsidP="00E17154">
      <w:pPr>
        <w:pStyle w:val="SRTextnomal"/>
      </w:pPr>
      <w:r w:rsidRPr="00E17154">
        <w:t>V kapitole Ministerstvo práce a sociálních věcí dochází ke snížení o 7 míst vč. prostředků na platy ve výši 3,1</w:t>
      </w:r>
      <w:r w:rsidR="00090D0B">
        <w:t> </w:t>
      </w:r>
      <w:r w:rsidRPr="00E17154">
        <w:t>mil. Kč dočasně navýšených v SÚIP na vyřízení zvýš</w:t>
      </w:r>
      <w:r w:rsidRPr="00E17154">
        <w:t>e</w:t>
      </w:r>
      <w:r w:rsidRPr="00E17154">
        <w:t>ného počtu žádostí o zaměstnanecké karty pro kvalifik</w:t>
      </w:r>
      <w:r w:rsidRPr="00E17154">
        <w:t>o</w:t>
      </w:r>
      <w:r w:rsidRPr="00E17154">
        <w:t>vané pracovníky z Ukrajiny (v souladu s UV č.</w:t>
      </w:r>
      <w:r w:rsidR="00090D0B">
        <w:t> </w:t>
      </w:r>
      <w:r w:rsidRPr="00E17154">
        <w:t>1299/2020).</w:t>
      </w:r>
    </w:p>
    <w:p w:rsidR="00E17154" w:rsidRPr="00E17154" w:rsidRDefault="00E17154" w:rsidP="00E17154">
      <w:pPr>
        <w:pStyle w:val="SRTextnomal"/>
      </w:pPr>
      <w:r w:rsidRPr="00E17154">
        <w:t>V kapitole Ministerstvo vnitra dochází v návaznosti na</w:t>
      </w:r>
      <w:r w:rsidR="00090D0B">
        <w:t> </w:t>
      </w:r>
      <w:r w:rsidRPr="00E17154">
        <w:t>UV č. 1299/2020  ke snížení počtu o 97 míst vč. pr</w:t>
      </w:r>
      <w:r w:rsidRPr="00E17154">
        <w:t>o</w:t>
      </w:r>
      <w:r w:rsidRPr="00E17154">
        <w:t>středků na platy ve výši 45,6 mil. Kč. Nadto dochází ke snížení o 5 míst vč. prostředků na platy ve výši 2,5 mil. Kč z důvodu uplynutí doby pro přechodné posílení age</w:t>
      </w:r>
      <w:r w:rsidRPr="00E17154">
        <w:t>n</w:t>
      </w:r>
      <w:r w:rsidRPr="00E17154">
        <w:t>dy spojené s novelou zákona č. 326/1999 Sb. o pobytu cizinců (výměna dokladů občanů Velké Británie). Také dochází k odpočtu dočasného vlivu v oblasti ostatních plateb za provedenou práci (služba v zahraničí, agentura Frontex).</w:t>
      </w:r>
    </w:p>
    <w:p w:rsidR="00E17154" w:rsidRPr="00E17154" w:rsidRDefault="00E17154" w:rsidP="00E17154">
      <w:pPr>
        <w:pStyle w:val="SRTextnomal"/>
      </w:pPr>
      <w:r w:rsidRPr="00E17154">
        <w:t>V kapitole Ministerstvo pro místní rozvoj dochází k pr</w:t>
      </w:r>
      <w:r w:rsidRPr="00E17154">
        <w:t>o</w:t>
      </w:r>
      <w:r w:rsidRPr="00E17154">
        <w:t>mítnutí druhé části vlivu z roku 2023 (dočasné posílení o</w:t>
      </w:r>
      <w:r w:rsidR="00090D0B">
        <w:t> </w:t>
      </w:r>
      <w:r w:rsidRPr="00E17154">
        <w:t>2 místa do 31. 7. 2023 na agendu digitalizace stave</w:t>
      </w:r>
      <w:r w:rsidRPr="00E17154">
        <w:t>b</w:t>
      </w:r>
      <w:r w:rsidRPr="00E17154">
        <w:t>ního řízení) a realizaci zpětného přesunu 1 místa včetně finančních prostředků z Ústavu územního rozvoje na</w:t>
      </w:r>
      <w:r w:rsidR="00090D0B">
        <w:t> </w:t>
      </w:r>
      <w:r w:rsidRPr="00E17154">
        <w:t>ústřední orgán.</w:t>
      </w:r>
    </w:p>
    <w:p w:rsidR="00E17154" w:rsidRPr="00E17154" w:rsidRDefault="00E17154" w:rsidP="00E17154">
      <w:pPr>
        <w:pStyle w:val="SRTextnomal"/>
      </w:pPr>
      <w:r w:rsidRPr="00E17154">
        <w:t>V kapitole Úřad pro ochranu osobních údajů dochází k promítnutí druhé části vlivu z roku 2023, konkrétně ke</w:t>
      </w:r>
      <w:r w:rsidR="00090D0B">
        <w:t> </w:t>
      </w:r>
      <w:r w:rsidRPr="00E17154">
        <w:t xml:space="preserve">snížení prostředků na platy ve výši 0,96 mil. Kč vč. </w:t>
      </w:r>
      <w:r w:rsidRPr="00E17154">
        <w:lastRenderedPageBreak/>
        <w:t>úpravy počtu míst v souvislosti s ukončením mandátu i</w:t>
      </w:r>
      <w:r w:rsidRPr="00E17154">
        <w:t>n</w:t>
      </w:r>
      <w:r w:rsidRPr="00E17154">
        <w:t xml:space="preserve">spektora k 31. 7. 2023. </w:t>
      </w:r>
    </w:p>
    <w:p w:rsidR="00E17154" w:rsidRPr="00E17154" w:rsidRDefault="00E17154" w:rsidP="00E17154">
      <w:pPr>
        <w:pStyle w:val="SRTextnomal"/>
      </w:pPr>
      <w:r w:rsidRPr="00E17154">
        <w:t>V kapitole Ústavní soud dochází k odpo</w:t>
      </w:r>
      <w:r w:rsidRPr="00E17154">
        <w:t>č</w:t>
      </w:r>
      <w:r w:rsidRPr="00E17154">
        <w:t>tu jednorázového navýšení výdajů na odchodné a o</w:t>
      </w:r>
      <w:r w:rsidRPr="00E17154">
        <w:t>d</w:t>
      </w:r>
      <w:r w:rsidRPr="00E17154">
        <w:t xml:space="preserve">stupné v roce 2023. </w:t>
      </w:r>
    </w:p>
    <w:p w:rsidR="00E17154" w:rsidRPr="00E17154" w:rsidRDefault="00E17154" w:rsidP="00E17154">
      <w:pPr>
        <w:pStyle w:val="SRTextnomal"/>
      </w:pPr>
      <w:r w:rsidRPr="00E17154">
        <w:t>V kapitole Národní úřad pro kybernetickou a informační bezpečnost dochází k navýšení o 18 míst včetně pr</w:t>
      </w:r>
      <w:r w:rsidRPr="00E17154">
        <w:t>o</w:t>
      </w:r>
      <w:r w:rsidRPr="00E17154">
        <w:t>středků na platy ve výši 11,3 mil. Kč v návaznosti na</w:t>
      </w:r>
      <w:r w:rsidR="00090D0B">
        <w:t> </w:t>
      </w:r>
      <w:r w:rsidRPr="00E17154">
        <w:t>schválenou koncepc</w:t>
      </w:r>
      <w:r w:rsidR="00702427">
        <w:t>i</w:t>
      </w:r>
      <w:r w:rsidRPr="00E17154">
        <w:t xml:space="preserve"> rozvoje (UV č. 848/2020).</w:t>
      </w:r>
    </w:p>
    <w:p w:rsidR="00E17154" w:rsidRPr="00542EF9" w:rsidRDefault="00E17154" w:rsidP="00E17154">
      <w:pPr>
        <w:pStyle w:val="SRTextnomal"/>
      </w:pPr>
      <w:r w:rsidRPr="00E17154">
        <w:lastRenderedPageBreak/>
        <w:t>Návrh obsahuje rovněž úpravu parametrů v dotčených rozpočtových kapitolách v souvislosti se zabezpečením mimořádné administrativní podpory zajištění předse</w:t>
      </w:r>
      <w:r w:rsidRPr="00E17154">
        <w:t>d</w:t>
      </w:r>
      <w:r w:rsidRPr="00E17154">
        <w:t>nictví ČR v Radě EU (CZ PRES), a to v souladu s UV č.</w:t>
      </w:r>
      <w:r>
        <w:t> </w:t>
      </w:r>
      <w:r w:rsidRPr="00E17154">
        <w:t>729/2019 a UV č. 721/2021, na základě kterých je st</w:t>
      </w:r>
      <w:r w:rsidRPr="00E17154">
        <w:t>a</w:t>
      </w:r>
      <w:r w:rsidRPr="00E17154">
        <w:t>noveno finanční a personální zajištění po dobu přípravy a realizace českého předsednictví. Mezi rokem 2023 a</w:t>
      </w:r>
      <w:r>
        <w:t> </w:t>
      </w:r>
      <w:r w:rsidRPr="00E17154">
        <w:t>2024 dochází ke snížení prostředků na platy o 14,6 mil. Kč a 228 míst.</w:t>
      </w:r>
    </w:p>
    <w:p w:rsidR="00AA4F8F" w:rsidRPr="00542EF9" w:rsidRDefault="00AA4F8F" w:rsidP="005E56DB">
      <w:pPr>
        <w:pStyle w:val="SRTextnomal"/>
      </w:pPr>
    </w:p>
    <w:p w:rsidR="00013A94" w:rsidRDefault="00013A94" w:rsidP="00A44F60">
      <w:pPr>
        <w:sectPr w:rsidR="00013A94" w:rsidSect="00013A94">
          <w:type w:val="continuous"/>
          <w:pgSz w:w="11906" w:h="16838" w:code="9"/>
          <w:pgMar w:top="1134" w:right="1134" w:bottom="1418" w:left="1134" w:header="709" w:footer="709" w:gutter="0"/>
          <w:cols w:num="2" w:space="397"/>
          <w:docGrid w:linePitch="360"/>
        </w:sectPr>
      </w:pPr>
    </w:p>
    <w:p w:rsidR="00A44F60" w:rsidRDefault="00A44F60" w:rsidP="00A44F60">
      <w:pPr>
        <w:sectPr w:rsidR="00A44F60" w:rsidSect="00A44F60">
          <w:type w:val="continuous"/>
          <w:pgSz w:w="11906" w:h="16838" w:code="9"/>
          <w:pgMar w:top="1134" w:right="1134" w:bottom="1418" w:left="1134" w:header="709" w:footer="709" w:gutter="0"/>
          <w:cols w:space="397"/>
          <w:docGrid w:linePitch="360"/>
        </w:sectPr>
      </w:pPr>
    </w:p>
    <w:p w:rsidR="004837BE" w:rsidRDefault="004837BE" w:rsidP="000565F9">
      <w:pPr>
        <w:pStyle w:val="SRtitulek1"/>
      </w:pPr>
      <w:bookmarkStart w:id="126" w:name="_Toc83882886"/>
      <w:r w:rsidRPr="00BD6E29">
        <w:lastRenderedPageBreak/>
        <w:t xml:space="preserve">Tabulka </w:t>
      </w:r>
      <w:r w:rsidR="00D51DCA">
        <w:fldChar w:fldCharType="begin"/>
      </w:r>
      <w:r w:rsidR="00D51DCA">
        <w:instrText xml:space="preserve"> SEQ Tabulka \* ARABIC </w:instrText>
      </w:r>
      <w:r w:rsidR="00D51DCA">
        <w:fldChar w:fldCharType="separate"/>
      </w:r>
      <w:r w:rsidR="00D51DCA">
        <w:rPr>
          <w:noProof/>
        </w:rPr>
        <w:t>21</w:t>
      </w:r>
      <w:r w:rsidR="00D51DCA">
        <w:rPr>
          <w:noProof/>
        </w:rPr>
        <w:fldChar w:fldCharType="end"/>
      </w:r>
      <w:r w:rsidRPr="00BD6E29">
        <w:t xml:space="preserve"> Vývoj objemu prostředků na platy a ostatní platby za provedenou práci, počtu míst a průměrných platů v OSS a PO v letech 2017 – 2024</w:t>
      </w:r>
      <w:bookmarkEnd w:id="126"/>
    </w:p>
    <w:p w:rsidR="00013A94" w:rsidRDefault="00992C3F" w:rsidP="000565F9">
      <w:pPr>
        <w:spacing w:after="0"/>
        <w:sectPr w:rsidR="00013A94" w:rsidSect="00A44F60">
          <w:type w:val="continuous"/>
          <w:pgSz w:w="11906" w:h="16838" w:code="9"/>
          <w:pgMar w:top="1134" w:right="1134" w:bottom="1418" w:left="1134" w:header="709" w:footer="709" w:gutter="0"/>
          <w:cols w:space="397"/>
          <w:docGrid w:linePitch="360"/>
        </w:sectPr>
      </w:pPr>
      <w:r>
        <w:rPr>
          <w:noProof/>
        </w:rPr>
        <w:pict>
          <v:shape id="_x0000_i1042" type="#_x0000_t75" style="width:482.25pt;height:112.75pt">
            <v:imagedata r:id="rId62" o:title=""/>
          </v:shape>
        </w:pict>
      </w:r>
    </w:p>
    <w:p w:rsidR="00A615D0" w:rsidRDefault="00FC6F41" w:rsidP="006824CE">
      <w:pPr>
        <w:rPr>
          <w:i/>
        </w:rPr>
      </w:pPr>
      <w:r w:rsidRPr="00FC6F41">
        <w:rPr>
          <w:i/>
        </w:rPr>
        <w:lastRenderedPageBreak/>
        <w:t xml:space="preserve">Pozn.: údaje nezahrnují prostředky spolufinancování EU/FM; průměrné platy bez zahrnutí míst bez finančního krytí. </w:t>
      </w:r>
    </w:p>
    <w:p w:rsidR="00A615D0" w:rsidRDefault="00A615D0" w:rsidP="006824CE">
      <w:pPr>
        <w:rPr>
          <w:i/>
        </w:rPr>
        <w:sectPr w:rsidR="00A615D0" w:rsidSect="00A44F60">
          <w:type w:val="continuous"/>
          <w:pgSz w:w="11906" w:h="16838" w:code="9"/>
          <w:pgMar w:top="1134" w:right="1134" w:bottom="1418" w:left="1134" w:header="709" w:footer="709" w:gutter="0"/>
          <w:cols w:space="397"/>
          <w:docGrid w:linePitch="360"/>
        </w:sectPr>
      </w:pPr>
    </w:p>
    <w:p w:rsidR="00634CB8" w:rsidRPr="004C729B" w:rsidRDefault="00634CB8" w:rsidP="00A938CE">
      <w:pPr>
        <w:pStyle w:val="SRNadpis3"/>
      </w:pPr>
      <w:bookmarkStart w:id="127" w:name="_Toc52369409"/>
      <w:bookmarkStart w:id="128" w:name="_Toc83882839"/>
      <w:r w:rsidRPr="004C729B">
        <w:lastRenderedPageBreak/>
        <w:t>Odvody vlastních zdrojů do rozpočtu EU</w:t>
      </w:r>
      <w:bookmarkEnd w:id="127"/>
      <w:bookmarkEnd w:id="128"/>
    </w:p>
    <w:p w:rsidR="00627DE9" w:rsidRDefault="00627DE9" w:rsidP="000565F9">
      <w:pPr>
        <w:pStyle w:val="SRtitulek1"/>
      </w:pPr>
      <w:bookmarkStart w:id="129" w:name="_Toc83882887"/>
      <w:r>
        <w:t xml:space="preserve">Tabulka </w:t>
      </w:r>
      <w:r w:rsidR="00D51DCA">
        <w:fldChar w:fldCharType="begin"/>
      </w:r>
      <w:r w:rsidR="00D51DCA">
        <w:instrText xml:space="preserve"> SEQ Tabulka \* ARABIC </w:instrText>
      </w:r>
      <w:r w:rsidR="00D51DCA">
        <w:fldChar w:fldCharType="separate"/>
      </w:r>
      <w:r w:rsidR="00D51DCA">
        <w:rPr>
          <w:noProof/>
        </w:rPr>
        <w:t>22</w:t>
      </w:r>
      <w:r w:rsidR="00D51DCA">
        <w:rPr>
          <w:noProof/>
        </w:rPr>
        <w:fldChar w:fldCharType="end"/>
      </w:r>
      <w:r w:rsidRPr="00627DE9">
        <w:rPr>
          <w:noProof/>
        </w:rPr>
        <w:t xml:space="preserve"> </w:t>
      </w:r>
      <w:r w:rsidRPr="004C729B">
        <w:rPr>
          <w:noProof/>
        </w:rPr>
        <w:t>Odvody vlastních zdrojů EU v letech 201</w:t>
      </w:r>
      <w:r>
        <w:rPr>
          <w:noProof/>
        </w:rPr>
        <w:t>7</w:t>
      </w:r>
      <w:r w:rsidRPr="004C729B">
        <w:rPr>
          <w:noProof/>
        </w:rPr>
        <w:t xml:space="preserve"> – 2024 </w:t>
      </w:r>
      <w:r w:rsidRPr="004C729B">
        <w:rPr>
          <w:i/>
          <w:noProof/>
        </w:rPr>
        <w:t>(v mld. Kč)</w:t>
      </w:r>
      <w:bookmarkEnd w:id="129"/>
    </w:p>
    <w:p w:rsidR="004C729B" w:rsidRDefault="00992C3F" w:rsidP="00634CB8">
      <w:pPr>
        <w:sectPr w:rsidR="004C729B" w:rsidSect="00385A41">
          <w:type w:val="continuous"/>
          <w:pgSz w:w="11906" w:h="16838" w:code="9"/>
          <w:pgMar w:top="1134" w:right="1134" w:bottom="1418" w:left="1134" w:header="709" w:footer="709" w:gutter="0"/>
          <w:cols w:space="397"/>
          <w:docGrid w:linePitch="360"/>
        </w:sectPr>
      </w:pPr>
      <w:r>
        <w:pict>
          <v:shape id="_x0000_i1043" type="#_x0000_t75" style="width:482.25pt;height:55pt">
            <v:imagedata r:id="rId63" o:title=""/>
          </v:shape>
        </w:pict>
      </w:r>
    </w:p>
    <w:p w:rsidR="00A615D0" w:rsidRDefault="00A615D0" w:rsidP="00634CB8">
      <w:pPr>
        <w:sectPr w:rsidR="00A615D0" w:rsidSect="00385A41">
          <w:type w:val="continuous"/>
          <w:pgSz w:w="11906" w:h="16838" w:code="9"/>
          <w:pgMar w:top="1134" w:right="1134" w:bottom="1418" w:left="1134" w:header="709" w:footer="709" w:gutter="0"/>
          <w:cols w:num="2" w:space="397"/>
          <w:docGrid w:linePitch="360"/>
        </w:sectPr>
      </w:pPr>
    </w:p>
    <w:p w:rsidR="004C729B" w:rsidRPr="00A07B17" w:rsidRDefault="004C729B" w:rsidP="005E56DB">
      <w:pPr>
        <w:pStyle w:val="SRTextnomal"/>
      </w:pPr>
      <w:r w:rsidRPr="00A07B17">
        <w:lastRenderedPageBreak/>
        <w:t>Pro přípravu návrhu státního rozpočtu na rok 2022 a</w:t>
      </w:r>
      <w:r w:rsidR="00750741">
        <w:t> </w:t>
      </w:r>
      <w:r w:rsidRPr="00A07B17">
        <w:t>rozpočtového výhledu na roky 2023-2024 byla pro</w:t>
      </w:r>
      <w:r w:rsidR="00FE7BEE">
        <w:t> </w:t>
      </w:r>
      <w:r w:rsidRPr="00A07B17">
        <w:t>vlastní zdroje EU placené ze státního rozpočtu (tj. na</w:t>
      </w:r>
      <w:r w:rsidR="00FE7BEE">
        <w:t> </w:t>
      </w:r>
      <w:r w:rsidRPr="00A07B17">
        <w:t>zdroj dle DPH, zdroj dle HND, nový zdroj z nerecykl</w:t>
      </w:r>
      <w:r w:rsidRPr="00A07B17">
        <w:t>o</w:t>
      </w:r>
      <w:r w:rsidRPr="00A07B17">
        <w:t>vaných plastových obalů a hrubé snížení zdrojů založ</w:t>
      </w:r>
      <w:r w:rsidRPr="00A07B17">
        <w:t>e</w:t>
      </w:r>
      <w:r w:rsidRPr="00A07B17">
        <w:t>ných na HND) použita následující východiska:</w:t>
      </w:r>
    </w:p>
    <w:p w:rsidR="004C729B" w:rsidRPr="00A07B17" w:rsidRDefault="004C729B" w:rsidP="004C729B">
      <w:pPr>
        <w:pStyle w:val="SRTextnomal"/>
        <w:numPr>
          <w:ilvl w:val="0"/>
          <w:numId w:val="29"/>
        </w:numPr>
      </w:pPr>
      <w:r w:rsidRPr="00A07B17">
        <w:t>odhad potřeb výše vlastních zdrojů Unie v roce 2022 vychází ze schváleného nového finančního rámce 2021+ a z upraveného systému vlastních zdrojů, který vstoupil v platnost 1. června 2021 a je účinný retroaktivně od 1. ledna 2021. V roce 2022 se tedy budou odvádět prostředky do rozpočtu EU dle tohoto nového systému</w:t>
      </w:r>
      <w:r w:rsidRPr="00A07B17">
        <w:rPr>
          <w:vertAlign w:val="superscript"/>
        </w:rPr>
        <w:footnoteReference w:id="2"/>
      </w:r>
      <w:r w:rsidRPr="00A07B17">
        <w:t xml:space="preserve"> (pozn. oproti požadavkům z počátku roku byly </w:t>
      </w:r>
      <w:r w:rsidRPr="00A07B17">
        <w:lastRenderedPageBreak/>
        <w:t>také zohledněny nové/červnové odhady vývoje HND v ČR a EU, DPH a cel pro roky 2021 a</w:t>
      </w:r>
      <w:r w:rsidR="00266A3E">
        <w:t> </w:t>
      </w:r>
      <w:r w:rsidRPr="00A07B17">
        <w:t>2022);</w:t>
      </w:r>
    </w:p>
    <w:p w:rsidR="004C729B" w:rsidRPr="00A07B17" w:rsidRDefault="004C729B" w:rsidP="004C729B">
      <w:pPr>
        <w:pStyle w:val="SRTextnomal"/>
        <w:numPr>
          <w:ilvl w:val="0"/>
          <w:numId w:val="29"/>
        </w:numPr>
      </w:pPr>
      <w:r w:rsidRPr="00A07B17">
        <w:t>výše příjmů rozpočtu EU v letech 2022 - 2024 se bude pohybovat nad úrovní stropů celkových plateb nového finančního rámce (zohledněny jsou tzv. zvláštní nástroje, které jsou v období 2021-2027 nově rozpočtovány nad stropy f</w:t>
      </w:r>
      <w:r w:rsidRPr="00A07B17">
        <w:t>i</w:t>
      </w:r>
      <w:r w:rsidRPr="00A07B17">
        <w:t>nančního rámce);</w:t>
      </w:r>
    </w:p>
    <w:p w:rsidR="004C729B" w:rsidRPr="00A07B17" w:rsidRDefault="004C729B" w:rsidP="004C729B">
      <w:pPr>
        <w:pStyle w:val="SRTextnomal"/>
        <w:numPr>
          <w:ilvl w:val="0"/>
          <w:numId w:val="29"/>
        </w:numPr>
      </w:pPr>
      <w:r w:rsidRPr="00A07B17">
        <w:t>v důsledku samotného brexitu nedojde k podstatné změně ve výši vybraných cel, výše vybraných cel však klesne kvůli nižšímu podílu vybraných cel odváděného do rozpočtu EU (n</w:t>
      </w:r>
      <w:r w:rsidRPr="00A07B17">
        <w:t>o</w:t>
      </w:r>
      <w:r w:rsidRPr="00A07B17">
        <w:t>vě 75 %) a do určité míry bude mít rovněž nad</w:t>
      </w:r>
      <w:r w:rsidRPr="00A07B17">
        <w:t>á</w:t>
      </w:r>
      <w:r w:rsidRPr="00A07B17">
        <w:t>le vliv krize způsobená pandemií koronaviru;</w:t>
      </w:r>
    </w:p>
    <w:p w:rsidR="004C729B" w:rsidRPr="00A07B17" w:rsidRDefault="004C729B" w:rsidP="004C729B">
      <w:pPr>
        <w:pStyle w:val="SRTextnomal"/>
        <w:numPr>
          <w:ilvl w:val="0"/>
          <w:numId w:val="29"/>
        </w:numPr>
      </w:pPr>
      <w:r w:rsidRPr="00A07B17">
        <w:t>Spojené království (UK) se nadále bude podílet na části plateb vztahujících se k závazkům o</w:t>
      </w:r>
      <w:r w:rsidRPr="00A07B17">
        <w:t>b</w:t>
      </w:r>
      <w:r w:rsidRPr="00A07B17">
        <w:t>dobí 2014-2020, platby vztahující se k období 2021-2027 budou hrazeny zvýšením vlastních zdrojů ostatních členských států EU;</w:t>
      </w:r>
    </w:p>
    <w:p w:rsidR="004C729B" w:rsidRPr="00A07B17" w:rsidRDefault="004C729B" w:rsidP="006654D5">
      <w:pPr>
        <w:pStyle w:val="SRTextnomal"/>
        <w:numPr>
          <w:ilvl w:val="0"/>
          <w:numId w:val="29"/>
        </w:numPr>
      </w:pPr>
      <w:r w:rsidRPr="00A07B17">
        <w:lastRenderedPageBreak/>
        <w:t>výše vlastních zdrojů EU hrazených z národních rozpočtů všech členských zemí EU pokrývá v uvedeném období cca 90 % celkové výše př</w:t>
      </w:r>
      <w:r w:rsidRPr="00A07B17">
        <w:t>í</w:t>
      </w:r>
      <w:r w:rsidRPr="00A07B17">
        <w:t>jmů rozpočtu EU</w:t>
      </w:r>
      <w:r w:rsidR="00843CDF">
        <w:t>.</w:t>
      </w:r>
      <w:r w:rsidR="006654D5" w:rsidRPr="006654D5">
        <w:t xml:space="preserve"> Zbývajících 10 % příjmů tvoří příjmy z tradičních vlastních zdrojů (cel), které jsou do rozpočtu EU vybírány přímo, a ostatní vlastní příjmy (např. pokuty za porušení prav</w:t>
      </w:r>
      <w:r w:rsidR="006654D5" w:rsidRPr="006654D5">
        <w:t>i</w:t>
      </w:r>
      <w:r w:rsidR="006654D5" w:rsidRPr="006654D5">
        <w:t>del vnitřního trhu). Tyto příjmy nejsou financ</w:t>
      </w:r>
      <w:r w:rsidR="006654D5" w:rsidRPr="006654D5">
        <w:t>o</w:t>
      </w:r>
      <w:r w:rsidR="006654D5" w:rsidRPr="006654D5">
        <w:t>vány ze státního rozpočtu</w:t>
      </w:r>
      <w:r w:rsidR="00A45DC2">
        <w:t>;</w:t>
      </w:r>
    </w:p>
    <w:p w:rsidR="004C729B" w:rsidRPr="00A07B17" w:rsidRDefault="004C729B" w:rsidP="004C729B">
      <w:pPr>
        <w:pStyle w:val="SRTextnomal"/>
        <w:numPr>
          <w:ilvl w:val="0"/>
          <w:numId w:val="29"/>
        </w:numPr>
      </w:pPr>
      <w:r w:rsidRPr="00A07B17">
        <w:t xml:space="preserve">v souvislosti s relativním rychlejším růstem ČR oproti průměru EU a vystoupením UK z EU podíl </w:t>
      </w:r>
      <w:r w:rsidRPr="00A07B17">
        <w:lastRenderedPageBreak/>
        <w:t>ČR na zdrojích EU hrazených ze státních rozpo</w:t>
      </w:r>
      <w:r w:rsidRPr="00A07B17">
        <w:t>č</w:t>
      </w:r>
      <w:r w:rsidRPr="00A07B17">
        <w:t>tů postupně relativně rychle narůstá, pro uv</w:t>
      </w:r>
      <w:r w:rsidRPr="00A07B17">
        <w:t>e</w:t>
      </w:r>
      <w:r w:rsidRPr="00A07B17">
        <w:t>dené období předpokládáme, že podíl bude představovat v průměru cca 1,65 %;</w:t>
      </w:r>
    </w:p>
    <w:p w:rsidR="00A8014E" w:rsidRPr="00A07B17" w:rsidRDefault="004C729B" w:rsidP="00A8014E">
      <w:pPr>
        <w:pStyle w:val="SRTextnomal"/>
        <w:numPr>
          <w:ilvl w:val="0"/>
          <w:numId w:val="29"/>
        </w:numPr>
      </w:pPr>
      <w:r w:rsidRPr="00A07B17">
        <w:t>vzhledem k nejasné délce a intenzitě dopadu krize způsobené pandemií koronaviru na HND jednotlivých členských států, příjmy z DPH a</w:t>
      </w:r>
      <w:r w:rsidR="00DC24C7">
        <w:t> </w:t>
      </w:r>
      <w:r w:rsidRPr="00A07B17">
        <w:t>z</w:t>
      </w:r>
      <w:r w:rsidR="004D6775">
        <w:t> </w:t>
      </w:r>
      <w:r w:rsidRPr="00A07B17">
        <w:t>cel a na vývoj kurzu jsou odhady odvodů vlastních zdrojů zejména pro roky 2023-2024 ovlivněny celou řadou velmi proměnlivých fa</w:t>
      </w:r>
      <w:r w:rsidRPr="00A07B17">
        <w:t>k</w:t>
      </w:r>
      <w:r w:rsidRPr="00A07B17">
        <w:t>torů.</w:t>
      </w:r>
    </w:p>
    <w:p w:rsidR="00307A0F" w:rsidRDefault="00307A0F" w:rsidP="00A615D0">
      <w:pPr>
        <w:pStyle w:val="Odstavecseseznamem"/>
        <w:ind w:left="0"/>
        <w:sectPr w:rsidR="00307A0F" w:rsidSect="00385A41">
          <w:type w:val="continuous"/>
          <w:pgSz w:w="11906" w:h="16838" w:code="9"/>
          <w:pgMar w:top="1134" w:right="1134" w:bottom="1418" w:left="1134" w:header="709" w:footer="709" w:gutter="0"/>
          <w:cols w:num="2" w:space="397"/>
          <w:docGrid w:linePitch="360"/>
        </w:sectPr>
      </w:pPr>
    </w:p>
    <w:p w:rsidR="00025087" w:rsidRPr="005E3BFC" w:rsidRDefault="006824CE" w:rsidP="00E910F2">
      <w:pPr>
        <w:pStyle w:val="SRNadpis3"/>
        <w:jc w:val="left"/>
        <w:sectPr w:rsidR="00025087" w:rsidRPr="005E3BFC" w:rsidSect="00385A41">
          <w:type w:val="continuous"/>
          <w:pgSz w:w="11906" w:h="16838" w:code="9"/>
          <w:pgMar w:top="1134" w:right="1134" w:bottom="1418" w:left="1134" w:header="709" w:footer="709" w:gutter="0"/>
          <w:cols w:space="397"/>
          <w:docGrid w:linePitch="360"/>
        </w:sectPr>
      </w:pPr>
      <w:bookmarkStart w:id="130" w:name="_Toc52369410"/>
      <w:bookmarkStart w:id="131" w:name="_Toc83882840"/>
      <w:r w:rsidRPr="005E3BFC">
        <w:lastRenderedPageBreak/>
        <w:t>Výdaje na výzkum, vývoj a inovace</w:t>
      </w:r>
      <w:bookmarkEnd w:id="130"/>
      <w:bookmarkEnd w:id="131"/>
    </w:p>
    <w:p w:rsidR="004C60C1" w:rsidRDefault="006824CE" w:rsidP="005E56DB">
      <w:pPr>
        <w:pStyle w:val="SRTextnomal"/>
      </w:pPr>
      <w:r w:rsidRPr="005E3BFC">
        <w:lastRenderedPageBreak/>
        <w:t>Prostředky v této oblasti jsou rozpočtovány ve výši 4</w:t>
      </w:r>
      <w:r w:rsidR="005E3BFC" w:rsidRPr="005E3BFC">
        <w:t>8</w:t>
      </w:r>
      <w:r w:rsidRPr="005E3BFC">
        <w:t>,</w:t>
      </w:r>
      <w:r w:rsidR="005E3BFC" w:rsidRPr="005E3BFC">
        <w:t>5</w:t>
      </w:r>
      <w:r w:rsidR="00146923">
        <w:t> </w:t>
      </w:r>
      <w:r w:rsidRPr="005E3BFC">
        <w:t>mld. Kč (z toho ve výši 3</w:t>
      </w:r>
      <w:r w:rsidR="005E3BFC" w:rsidRPr="005E3BFC">
        <w:t>9</w:t>
      </w:r>
      <w:r w:rsidRPr="005E3BFC">
        <w:t>,</w:t>
      </w:r>
      <w:r w:rsidR="005E3BFC" w:rsidRPr="005E3BFC">
        <w:t>3</w:t>
      </w:r>
      <w:r w:rsidRPr="005E3BFC">
        <w:t xml:space="preserve"> mld. Kč bez EU</w:t>
      </w:r>
      <w:r w:rsidR="00766890" w:rsidRPr="005E3BFC">
        <w:t>/FM</w:t>
      </w:r>
      <w:r w:rsidRPr="005E3BFC">
        <w:t>) v</w:t>
      </w:r>
      <w:r w:rsidR="00146923">
        <w:t> </w:t>
      </w:r>
      <w:r w:rsidRPr="005E3BFC">
        <w:t>roce 202</w:t>
      </w:r>
      <w:r w:rsidR="00AA5052" w:rsidRPr="005E3BFC">
        <w:t>2</w:t>
      </w:r>
      <w:r w:rsidRPr="005E3BFC">
        <w:t>, ve výši 3</w:t>
      </w:r>
      <w:r w:rsidR="005E3BFC" w:rsidRPr="005E3BFC">
        <w:t>9,3</w:t>
      </w:r>
      <w:r w:rsidR="00694517">
        <w:t xml:space="preserve"> </w:t>
      </w:r>
      <w:r w:rsidRPr="005E3BFC">
        <w:t>mld. Kč (bez EU) v roce 202</w:t>
      </w:r>
      <w:r w:rsidR="00AA5052" w:rsidRPr="005E3BFC">
        <w:t>3</w:t>
      </w:r>
      <w:r w:rsidRPr="005E3BFC">
        <w:t xml:space="preserve"> a</w:t>
      </w:r>
      <w:r w:rsidR="00146923">
        <w:t> </w:t>
      </w:r>
      <w:r w:rsidR="00D82D33" w:rsidRPr="005E3BFC">
        <w:t xml:space="preserve">rovněž </w:t>
      </w:r>
      <w:r w:rsidRPr="005E3BFC">
        <w:t>3</w:t>
      </w:r>
      <w:r w:rsidR="005E3BFC" w:rsidRPr="005E3BFC">
        <w:t>9,3</w:t>
      </w:r>
      <w:r w:rsidRPr="005E3BFC">
        <w:t xml:space="preserve"> mld. Kč (bez EU</w:t>
      </w:r>
      <w:r w:rsidR="00F526E1" w:rsidRPr="005E3BFC">
        <w:t>/FM</w:t>
      </w:r>
      <w:r w:rsidRPr="005E3BFC">
        <w:t>) v roce 202</w:t>
      </w:r>
      <w:r w:rsidR="00AA5052" w:rsidRPr="005E3BFC">
        <w:t>4</w:t>
      </w:r>
      <w:r w:rsidRPr="00D82D33">
        <w:t>. Výši v</w:t>
      </w:r>
      <w:r w:rsidRPr="00D82D33">
        <w:t>ý</w:t>
      </w:r>
      <w:r w:rsidRPr="00D82D33">
        <w:t>dajů na výzkum a vývoj v členění na financované z n</w:t>
      </w:r>
      <w:r w:rsidRPr="00D82D33">
        <w:t>á</w:t>
      </w:r>
      <w:r w:rsidRPr="00D82D33">
        <w:t>rodních zdrojů a kryté zahraničními zdroji ukazuje následující tabulka. Rovněž je uveden podíl celkových výdajů na výzkum, vývoj a inovace na hrubém domácím produktu.</w:t>
      </w:r>
    </w:p>
    <w:p w:rsidR="004C60C1" w:rsidRDefault="00DA1519" w:rsidP="005E56DB">
      <w:pPr>
        <w:pStyle w:val="SRTextnomal"/>
      </w:pPr>
      <w:r w:rsidRPr="00DA1519">
        <w:lastRenderedPageBreak/>
        <w:t xml:space="preserve">Návrh výdajů státního rozpočtu na rok 2022 </w:t>
      </w:r>
      <w:r>
        <w:t>a středn</w:t>
      </w:r>
      <w:r>
        <w:t>ě</w:t>
      </w:r>
      <w:r>
        <w:t xml:space="preserve">dobého výhledu na léta 2023 a 2024 </w:t>
      </w:r>
      <w:r w:rsidRPr="00DA1519">
        <w:t>vychází z usnesení vlády č. 524/2021, kterým vláda vzala na vědomí návrh výdajů státního rozpočtu ČR na výzkum, experimentální vývoj a inovace na rok 2022 se střednědobým výhledem na léta 2023 a 2024 a dlouhodobým výhledem do roku 2028 předložený Radou pro výzkum, vývoj a inovace</w:t>
      </w:r>
      <w:r w:rsidR="005B54F6" w:rsidRPr="005B54F6">
        <w:t>.</w:t>
      </w:r>
    </w:p>
    <w:p w:rsidR="005B54F6" w:rsidRDefault="005B54F6" w:rsidP="004C60C1">
      <w:pPr>
        <w:sectPr w:rsidR="005B54F6" w:rsidSect="00385A41">
          <w:type w:val="continuous"/>
          <w:pgSz w:w="11906" w:h="16838" w:code="9"/>
          <w:pgMar w:top="1134" w:right="1134" w:bottom="1418" w:left="1134" w:header="709" w:footer="709" w:gutter="0"/>
          <w:cols w:num="2" w:space="397"/>
          <w:docGrid w:linePitch="360"/>
        </w:sectPr>
      </w:pPr>
    </w:p>
    <w:p w:rsidR="00627DE9" w:rsidRDefault="00627DE9" w:rsidP="000565F9">
      <w:pPr>
        <w:pStyle w:val="SRtitulek1"/>
      </w:pPr>
      <w:bookmarkStart w:id="132" w:name="_Toc83882888"/>
      <w:r>
        <w:lastRenderedPageBreak/>
        <w:t xml:space="preserve">Tabulka </w:t>
      </w:r>
      <w:r w:rsidR="00D51DCA">
        <w:fldChar w:fldCharType="begin"/>
      </w:r>
      <w:r w:rsidR="00D51DCA">
        <w:instrText xml:space="preserve"> SEQ Tabulka \* ARABIC </w:instrText>
      </w:r>
      <w:r w:rsidR="00D51DCA">
        <w:fldChar w:fldCharType="separate"/>
      </w:r>
      <w:r w:rsidR="00D51DCA">
        <w:rPr>
          <w:noProof/>
        </w:rPr>
        <w:t>23</w:t>
      </w:r>
      <w:r w:rsidR="00D51DCA">
        <w:rPr>
          <w:noProof/>
        </w:rPr>
        <w:fldChar w:fldCharType="end"/>
      </w:r>
      <w:r w:rsidRPr="00627DE9">
        <w:t xml:space="preserve"> </w:t>
      </w:r>
      <w:r w:rsidRPr="00D31B27">
        <w:t>Výdaje na výzkum, vývoj a inovace v letech 201</w:t>
      </w:r>
      <w:r>
        <w:t>7</w:t>
      </w:r>
      <w:r w:rsidRPr="00D31B27">
        <w:t xml:space="preserve"> – 2024 </w:t>
      </w:r>
      <w:r w:rsidRPr="00D31B27">
        <w:rPr>
          <w:i/>
        </w:rPr>
        <w:t>(v mld. Kč)</w:t>
      </w:r>
      <w:bookmarkEnd w:id="132"/>
    </w:p>
    <w:p w:rsidR="00344E1E" w:rsidRPr="00F02A35" w:rsidRDefault="00992C3F" w:rsidP="008B0949">
      <w:pPr>
        <w:jc w:val="left"/>
        <w:rPr>
          <w:noProof/>
        </w:rPr>
      </w:pPr>
      <w:r>
        <w:rPr>
          <w:noProof/>
        </w:rPr>
        <w:pict>
          <v:shape id="_x0000_i1044" type="#_x0000_t75" style="width:481.6pt;height:125pt">
            <v:imagedata r:id="rId64" o:title=""/>
          </v:shape>
        </w:pict>
      </w:r>
      <w:r w:rsidR="00344E1E" w:rsidRPr="00344E1E">
        <w:rPr>
          <w:i/>
          <w:noProof/>
        </w:rPr>
        <w:t>Poznámka: roky 202</w:t>
      </w:r>
      <w:r w:rsidR="00AA5052">
        <w:rPr>
          <w:i/>
          <w:noProof/>
        </w:rPr>
        <w:t>3</w:t>
      </w:r>
      <w:r w:rsidR="00344E1E" w:rsidRPr="00344E1E">
        <w:rPr>
          <w:i/>
          <w:noProof/>
        </w:rPr>
        <w:t xml:space="preserve"> a 202</w:t>
      </w:r>
      <w:r w:rsidR="00AA5052">
        <w:rPr>
          <w:i/>
          <w:noProof/>
        </w:rPr>
        <w:t>4</w:t>
      </w:r>
      <w:r w:rsidR="00344E1E" w:rsidRPr="00344E1E">
        <w:rPr>
          <w:i/>
          <w:noProof/>
        </w:rPr>
        <w:t xml:space="preserve"> bez zahraničních zdrojů.</w:t>
      </w:r>
    </w:p>
    <w:p w:rsidR="00665126" w:rsidRPr="00C7128F" w:rsidRDefault="004E5B71" w:rsidP="0004744F">
      <w:pPr>
        <w:pStyle w:val="SRNadpis3"/>
      </w:pPr>
      <w:bookmarkStart w:id="133" w:name="_Toc52369411"/>
      <w:bookmarkStart w:id="134" w:name="_Toc83882841"/>
      <w:r w:rsidRPr="00C7128F">
        <w:t xml:space="preserve">Výdaje na </w:t>
      </w:r>
      <w:bookmarkEnd w:id="133"/>
      <w:r w:rsidR="00015DE7">
        <w:t>zahraniční rozvojovou spolupráci</w:t>
      </w:r>
      <w:r w:rsidR="000D4731">
        <w:t xml:space="preserve"> a humanitární pomoc</w:t>
      </w:r>
      <w:bookmarkEnd w:id="134"/>
    </w:p>
    <w:p w:rsidR="00507DB0" w:rsidRDefault="00507DB0" w:rsidP="00507DB0">
      <w:pPr>
        <w:sectPr w:rsidR="00507DB0" w:rsidSect="004E5B71">
          <w:type w:val="continuous"/>
          <w:pgSz w:w="11906" w:h="16838" w:code="9"/>
          <w:pgMar w:top="1134" w:right="1134" w:bottom="1418" w:left="1134" w:header="709" w:footer="709" w:gutter="0"/>
          <w:cols w:space="397"/>
          <w:docGrid w:linePitch="360"/>
        </w:sectPr>
      </w:pPr>
    </w:p>
    <w:p w:rsidR="00EB6777" w:rsidRPr="00BE0E8F" w:rsidRDefault="00EB6777" w:rsidP="005E56DB">
      <w:pPr>
        <w:pStyle w:val="SRTextnomal"/>
      </w:pPr>
      <w:r>
        <w:lastRenderedPageBreak/>
        <w:t xml:space="preserve">Výdaje na zahraniční rozvojovou spolupráci </w:t>
      </w:r>
      <w:r w:rsidR="00BD6E29">
        <w:t>a human</w:t>
      </w:r>
      <w:r w:rsidR="00BD6E29">
        <w:t>i</w:t>
      </w:r>
      <w:r w:rsidR="00BD6E29">
        <w:t xml:space="preserve">tární pomoc </w:t>
      </w:r>
      <w:r>
        <w:t>se</w:t>
      </w:r>
      <w:r w:rsidR="00491AB6">
        <w:t xml:space="preserve"> v</w:t>
      </w:r>
      <w:r>
        <w:t xml:space="preserve"> roce 2022 </w:t>
      </w:r>
      <w:r w:rsidR="00491AB6">
        <w:t xml:space="preserve">a v obou letech </w:t>
      </w:r>
      <w:r w:rsidR="0050723B">
        <w:t>středněd</w:t>
      </w:r>
      <w:r w:rsidR="0050723B">
        <w:t>o</w:t>
      </w:r>
      <w:r w:rsidR="0050723B">
        <w:t xml:space="preserve">bého </w:t>
      </w:r>
      <w:r w:rsidR="00491AB6">
        <w:t xml:space="preserve">výhledu rozpočtují </w:t>
      </w:r>
      <w:r>
        <w:t xml:space="preserve">ve výši </w:t>
      </w:r>
      <w:r w:rsidR="00446B9F">
        <w:t>987,2</w:t>
      </w:r>
      <w:r w:rsidR="00491AB6">
        <w:t xml:space="preserve"> m</w:t>
      </w:r>
      <w:r w:rsidR="00446B9F">
        <w:t>i</w:t>
      </w:r>
      <w:r w:rsidR="00491AB6">
        <w:t xml:space="preserve">l. Kč (bez </w:t>
      </w:r>
      <w:r w:rsidR="00491AB6">
        <w:lastRenderedPageBreak/>
        <w:t>pr</w:t>
      </w:r>
      <w:r w:rsidR="00491AB6">
        <w:t>o</w:t>
      </w:r>
      <w:r w:rsidR="00491AB6">
        <w:t>středků z rozpočtu EU). Podrobněji viz tabulka č. 3 v Tabulkové části.</w:t>
      </w:r>
    </w:p>
    <w:p w:rsidR="00C46C0C" w:rsidRPr="00BE0E8F" w:rsidRDefault="00C46C0C" w:rsidP="001D6D10">
      <w:pPr>
        <w:sectPr w:rsidR="00C46C0C" w:rsidRPr="00BE0E8F" w:rsidSect="00507DB0">
          <w:type w:val="continuous"/>
          <w:pgSz w:w="11906" w:h="16838" w:code="9"/>
          <w:pgMar w:top="1134" w:right="1134" w:bottom="1418" w:left="1134" w:header="709" w:footer="709" w:gutter="0"/>
          <w:cols w:num="2" w:space="397"/>
          <w:docGrid w:linePitch="360"/>
        </w:sectPr>
      </w:pPr>
    </w:p>
    <w:p w:rsidR="00627DE9" w:rsidRDefault="00627DE9" w:rsidP="000565F9">
      <w:pPr>
        <w:pStyle w:val="SRtitulek1"/>
      </w:pPr>
      <w:bookmarkStart w:id="135" w:name="_Toc83882889"/>
      <w:r>
        <w:lastRenderedPageBreak/>
        <w:t xml:space="preserve">Tabulka </w:t>
      </w:r>
      <w:r w:rsidR="00D51DCA">
        <w:fldChar w:fldCharType="begin"/>
      </w:r>
      <w:r w:rsidR="00D51DCA">
        <w:instrText xml:space="preserve"> SEQ Tabulka \* ARABIC </w:instrText>
      </w:r>
      <w:r w:rsidR="00D51DCA">
        <w:fldChar w:fldCharType="separate"/>
      </w:r>
      <w:r w:rsidR="00D51DCA">
        <w:rPr>
          <w:noProof/>
        </w:rPr>
        <w:t>24</w:t>
      </w:r>
      <w:r w:rsidR="00D51DCA">
        <w:rPr>
          <w:noProof/>
        </w:rPr>
        <w:fldChar w:fldCharType="end"/>
      </w:r>
      <w:r w:rsidRPr="00627DE9">
        <w:rPr>
          <w:noProof/>
        </w:rPr>
        <w:t xml:space="preserve"> </w:t>
      </w:r>
      <w:r w:rsidRPr="00C7128F">
        <w:rPr>
          <w:noProof/>
        </w:rPr>
        <w:t xml:space="preserve">Výdaje na </w:t>
      </w:r>
      <w:r w:rsidR="001A1A9C">
        <w:rPr>
          <w:noProof/>
        </w:rPr>
        <w:t xml:space="preserve">zahrační rozvojovou spolupráci </w:t>
      </w:r>
      <w:r w:rsidR="00EB248B">
        <w:rPr>
          <w:noProof/>
        </w:rPr>
        <w:t xml:space="preserve">a humanitární pomoc </w:t>
      </w:r>
      <w:r w:rsidRPr="00C7128F">
        <w:rPr>
          <w:noProof/>
        </w:rPr>
        <w:t>v letech 201</w:t>
      </w:r>
      <w:r>
        <w:rPr>
          <w:noProof/>
        </w:rPr>
        <w:t>7</w:t>
      </w:r>
      <w:r w:rsidRPr="00C7128F">
        <w:rPr>
          <w:noProof/>
        </w:rPr>
        <w:t xml:space="preserve"> </w:t>
      </w:r>
      <w:r w:rsidRPr="00C7128F">
        <w:t>–</w:t>
      </w:r>
      <w:r w:rsidRPr="00C7128F">
        <w:rPr>
          <w:noProof/>
        </w:rPr>
        <w:t xml:space="preserve"> 2024 </w:t>
      </w:r>
      <w:r w:rsidRPr="00C7128F">
        <w:rPr>
          <w:i/>
          <w:noProof/>
        </w:rPr>
        <w:t>(</w:t>
      </w:r>
      <w:r w:rsidRPr="00C7128F">
        <w:rPr>
          <w:i/>
        </w:rPr>
        <w:t>v m</w:t>
      </w:r>
      <w:r w:rsidR="001A1A9C">
        <w:rPr>
          <w:i/>
        </w:rPr>
        <w:t>il</w:t>
      </w:r>
      <w:r w:rsidRPr="00C7128F">
        <w:rPr>
          <w:i/>
        </w:rPr>
        <w:t>. Kč)</w:t>
      </w:r>
      <w:bookmarkEnd w:id="135"/>
    </w:p>
    <w:p w:rsidR="00C46C0C" w:rsidRPr="000565F9" w:rsidRDefault="00992C3F" w:rsidP="0096031C">
      <w:pPr>
        <w:rPr>
          <w:i/>
          <w:sz w:val="18"/>
          <w:szCs w:val="18"/>
        </w:rPr>
      </w:pPr>
      <w:r>
        <w:pict>
          <v:shape id="_x0000_i1045" type="#_x0000_t75" style="width:482.25pt;height:61.8pt">
            <v:imagedata r:id="rId65" o:title=""/>
          </v:shape>
        </w:pict>
      </w:r>
      <w:r w:rsidR="009A2433" w:rsidRPr="009A2433">
        <w:rPr>
          <w:i/>
        </w:rPr>
        <w:t>Poznámka: údaje jsou bez prostředků z rozpočtu EU.</w:t>
      </w:r>
    </w:p>
    <w:p w:rsidR="00D7007C" w:rsidRPr="00C7128F" w:rsidRDefault="00D7007C" w:rsidP="00D7007C">
      <w:pPr>
        <w:pStyle w:val="SRNadpis3"/>
      </w:pPr>
      <w:bookmarkStart w:id="136" w:name="_Toc83882842"/>
      <w:r w:rsidRPr="00C7128F">
        <w:t xml:space="preserve">Výdaje na </w:t>
      </w:r>
      <w:r w:rsidR="004F0473">
        <w:t>obranu</w:t>
      </w:r>
      <w:bookmarkEnd w:id="136"/>
    </w:p>
    <w:p w:rsidR="004F0473" w:rsidRDefault="004F0473" w:rsidP="004F0473">
      <w:pPr>
        <w:pStyle w:val="SRTextnomal"/>
        <w:sectPr w:rsidR="004F0473" w:rsidSect="00385A41">
          <w:type w:val="continuous"/>
          <w:pgSz w:w="11906" w:h="16838" w:code="9"/>
          <w:pgMar w:top="1134" w:right="1134" w:bottom="1418" w:left="1134" w:header="709" w:footer="709" w:gutter="0"/>
          <w:cols w:space="709"/>
          <w:docGrid w:linePitch="360"/>
        </w:sectPr>
      </w:pPr>
    </w:p>
    <w:p w:rsidR="0096031C" w:rsidRPr="004F0473" w:rsidRDefault="004F0473" w:rsidP="004F0473">
      <w:pPr>
        <w:pStyle w:val="SRTextnomal"/>
      </w:pPr>
      <w:r w:rsidRPr="004F0473">
        <w:lastRenderedPageBreak/>
        <w:t>V meziročním srovnání je zachována rostoucí trajekt</w:t>
      </w:r>
      <w:r w:rsidRPr="004F0473">
        <w:t>o</w:t>
      </w:r>
      <w:r w:rsidRPr="004F0473">
        <w:t>rie výdajů na</w:t>
      </w:r>
      <w:r w:rsidR="00B8441F">
        <w:t> </w:t>
      </w:r>
      <w:r w:rsidRPr="004F0473">
        <w:t>obranu. Výdaje jsou zejména směrovány na modernizaci Armády ČR („AČR“) a rozvoj obranných schopností. Modernizace techniky AČR zajistí komp</w:t>
      </w:r>
      <w:r w:rsidRPr="004F0473">
        <w:t>a</w:t>
      </w:r>
      <w:r w:rsidRPr="004F0473">
        <w:t xml:space="preserve">tibilitu se spojeneckými vojsky NATO. Největší objem </w:t>
      </w:r>
      <w:r w:rsidRPr="004F0473">
        <w:lastRenderedPageBreak/>
        <w:t>finančních prostředků připadá na strategický program pozemních sil, udržení a rozvoj schopností vzdušných sil, udržení a rozvoj schopností nadzvukového letectva a také na udržení a rozvoj schopností logistické podp</w:t>
      </w:r>
      <w:r w:rsidRPr="004F0473">
        <w:t>o</w:t>
      </w:r>
      <w:r w:rsidRPr="004F0473">
        <w:t>ry.</w:t>
      </w:r>
      <w:r>
        <w:t xml:space="preserve"> </w:t>
      </w:r>
      <w:r w:rsidRPr="004F0473">
        <w:t xml:space="preserve">Tabulka níže zachycuje výdaje </w:t>
      </w:r>
      <w:r w:rsidR="0083356B">
        <w:t xml:space="preserve">na </w:t>
      </w:r>
      <w:r w:rsidRPr="004F0473">
        <w:t xml:space="preserve">obranu. </w:t>
      </w:r>
      <w:r w:rsidR="00B8441F" w:rsidRPr="004F0473">
        <w:t xml:space="preserve">Výdaje </w:t>
      </w:r>
      <w:r w:rsidR="00B8441F" w:rsidRPr="004F0473">
        <w:lastRenderedPageBreak/>
        <w:t>kapitoly Ministerstvo obrany jsou navrženy pro rok 2022 ve výši 93,5</w:t>
      </w:r>
      <w:r w:rsidR="00B8441F">
        <w:t> </w:t>
      </w:r>
      <w:r w:rsidR="00B8441F" w:rsidRPr="004F0473">
        <w:t>mld.</w:t>
      </w:r>
      <w:r w:rsidR="00B8441F">
        <w:t> </w:t>
      </w:r>
      <w:r w:rsidR="00B8441F" w:rsidRPr="004F0473">
        <w:t>Kč. Podíl výdajů této kapitoly na HDP činí 1,45</w:t>
      </w:r>
      <w:r w:rsidR="00B8441F">
        <w:t> </w:t>
      </w:r>
      <w:r w:rsidR="00B8441F" w:rsidRPr="004F0473">
        <w:t xml:space="preserve">% v roce 2022. </w:t>
      </w:r>
      <w:r w:rsidRPr="004F0473">
        <w:t>V roce 2023 se předp</w:t>
      </w:r>
      <w:r w:rsidRPr="004F0473">
        <w:t>o</w:t>
      </w:r>
      <w:r w:rsidRPr="004F0473">
        <w:lastRenderedPageBreak/>
        <w:t xml:space="preserve">kládá, že se vynaloží </w:t>
      </w:r>
      <w:r w:rsidR="00B8441F">
        <w:t>100</w:t>
      </w:r>
      <w:r w:rsidRPr="004F0473">
        <w:t>,0 mld. Kč (1,4</w:t>
      </w:r>
      <w:r w:rsidR="00B8441F">
        <w:t>9 </w:t>
      </w:r>
      <w:r w:rsidRPr="004F0473">
        <w:t>%</w:t>
      </w:r>
      <w:r w:rsidR="00DC24C7">
        <w:t> </w:t>
      </w:r>
      <w:r w:rsidRPr="004F0473">
        <w:t>HDP) a</w:t>
      </w:r>
      <w:r w:rsidR="00B8441F">
        <w:t> </w:t>
      </w:r>
      <w:r w:rsidRPr="004F0473">
        <w:t>v</w:t>
      </w:r>
      <w:r w:rsidR="001A1A9C">
        <w:t> </w:t>
      </w:r>
      <w:r w:rsidRPr="004F0473">
        <w:t xml:space="preserve">roce 2024 částka </w:t>
      </w:r>
      <w:r w:rsidR="00B8441F">
        <w:t>10</w:t>
      </w:r>
      <w:r w:rsidRPr="004F0473">
        <w:t>9,5 mld. Kč (1,</w:t>
      </w:r>
      <w:r w:rsidR="00B8441F">
        <w:t>57 </w:t>
      </w:r>
      <w:r w:rsidRPr="004F0473">
        <w:t>%</w:t>
      </w:r>
      <w:r w:rsidR="00B8441F">
        <w:t> </w:t>
      </w:r>
      <w:r w:rsidRPr="004F0473">
        <w:t>HDP).</w:t>
      </w:r>
    </w:p>
    <w:p w:rsidR="004F0473" w:rsidRDefault="004F0473" w:rsidP="0096031C">
      <w:pPr>
        <w:rPr>
          <w:highlight w:val="yellow"/>
        </w:rPr>
        <w:sectPr w:rsidR="004F0473" w:rsidSect="004F0473">
          <w:type w:val="continuous"/>
          <w:pgSz w:w="11906" w:h="16838" w:code="9"/>
          <w:pgMar w:top="1134" w:right="1134" w:bottom="1418" w:left="1134" w:header="709" w:footer="709" w:gutter="0"/>
          <w:cols w:num="2" w:space="709"/>
          <w:docGrid w:linePitch="360"/>
        </w:sectPr>
      </w:pPr>
    </w:p>
    <w:p w:rsidR="004F0473" w:rsidRDefault="004F0473" w:rsidP="004F0473">
      <w:pPr>
        <w:pStyle w:val="SRtitulek1"/>
      </w:pPr>
      <w:bookmarkStart w:id="137" w:name="_Toc83882890"/>
      <w:r>
        <w:lastRenderedPageBreak/>
        <w:t xml:space="preserve">Tabulka </w:t>
      </w:r>
      <w:r w:rsidR="00D51DCA">
        <w:fldChar w:fldCharType="begin"/>
      </w:r>
      <w:r w:rsidR="00D51DCA">
        <w:instrText xml:space="preserve"> SEQ Tabulka \* ARABIC </w:instrText>
      </w:r>
      <w:r w:rsidR="00D51DCA">
        <w:fldChar w:fldCharType="separate"/>
      </w:r>
      <w:r w:rsidR="00D51DCA">
        <w:rPr>
          <w:noProof/>
        </w:rPr>
        <w:t>25</w:t>
      </w:r>
      <w:r w:rsidR="00D51DCA">
        <w:rPr>
          <w:noProof/>
        </w:rPr>
        <w:fldChar w:fldCharType="end"/>
      </w:r>
      <w:r w:rsidRPr="00627DE9">
        <w:rPr>
          <w:noProof/>
        </w:rPr>
        <w:t xml:space="preserve"> </w:t>
      </w:r>
      <w:r w:rsidRPr="00C7128F">
        <w:rPr>
          <w:noProof/>
        </w:rPr>
        <w:t xml:space="preserve">Výdaje na </w:t>
      </w:r>
      <w:r>
        <w:rPr>
          <w:noProof/>
        </w:rPr>
        <w:t>obranu</w:t>
      </w:r>
      <w:r w:rsidRPr="00C7128F">
        <w:rPr>
          <w:noProof/>
        </w:rPr>
        <w:t xml:space="preserve"> v letech 201</w:t>
      </w:r>
      <w:r>
        <w:rPr>
          <w:noProof/>
        </w:rPr>
        <w:t>7</w:t>
      </w:r>
      <w:r w:rsidRPr="00C7128F">
        <w:rPr>
          <w:noProof/>
        </w:rPr>
        <w:t xml:space="preserve"> </w:t>
      </w:r>
      <w:r w:rsidRPr="00C7128F">
        <w:t>–</w:t>
      </w:r>
      <w:r w:rsidRPr="00C7128F">
        <w:rPr>
          <w:noProof/>
        </w:rPr>
        <w:t xml:space="preserve"> 2024 </w:t>
      </w:r>
      <w:r w:rsidRPr="00C7128F">
        <w:rPr>
          <w:i/>
          <w:noProof/>
        </w:rPr>
        <w:t>(</w:t>
      </w:r>
      <w:r w:rsidRPr="00C7128F">
        <w:rPr>
          <w:i/>
        </w:rPr>
        <w:t>v ml</w:t>
      </w:r>
      <w:r>
        <w:rPr>
          <w:i/>
        </w:rPr>
        <w:t>d</w:t>
      </w:r>
      <w:r w:rsidRPr="00C7128F">
        <w:rPr>
          <w:i/>
        </w:rPr>
        <w:t>. Kč)</w:t>
      </w:r>
      <w:bookmarkEnd w:id="137"/>
    </w:p>
    <w:p w:rsidR="00D7007C" w:rsidRDefault="00992C3F" w:rsidP="0096031C">
      <w:pPr>
        <w:rPr>
          <w:highlight w:val="yellow"/>
        </w:rPr>
      </w:pPr>
      <w:r>
        <w:pict>
          <v:shape id="_x0000_i1046" type="#_x0000_t75" style="width:482.25pt;height:90.35pt">
            <v:imagedata r:id="rId66" o:title=""/>
          </v:shape>
        </w:pict>
      </w:r>
      <w:r w:rsidR="004F0473" w:rsidRPr="000565F9">
        <w:rPr>
          <w:i/>
          <w:sz w:val="18"/>
          <w:szCs w:val="18"/>
        </w:rPr>
        <w:t xml:space="preserve">Poznámka: </w:t>
      </w:r>
      <w:r w:rsidR="004F0473">
        <w:rPr>
          <w:i/>
          <w:sz w:val="18"/>
          <w:szCs w:val="18"/>
        </w:rPr>
        <w:t>*</w:t>
      </w:r>
      <w:r w:rsidR="004F0473" w:rsidRPr="000565F9">
        <w:rPr>
          <w:i/>
          <w:sz w:val="18"/>
          <w:szCs w:val="18"/>
        </w:rPr>
        <w:t>) včetně rozpočtového opatření ve výši 10 mld. Kč.</w:t>
      </w:r>
    </w:p>
    <w:p w:rsidR="00D7007C" w:rsidRDefault="00D7007C" w:rsidP="0096031C">
      <w:pPr>
        <w:rPr>
          <w:highlight w:val="yellow"/>
        </w:rPr>
        <w:sectPr w:rsidR="00D7007C" w:rsidSect="00385A41">
          <w:type w:val="continuous"/>
          <w:pgSz w:w="11906" w:h="16838" w:code="9"/>
          <w:pgMar w:top="1134" w:right="1134" w:bottom="1418" w:left="1134" w:header="709" w:footer="709" w:gutter="0"/>
          <w:cols w:space="709"/>
          <w:docGrid w:linePitch="360"/>
        </w:sectPr>
      </w:pPr>
    </w:p>
    <w:p w:rsidR="004B0407" w:rsidRPr="00BD387D" w:rsidRDefault="004B0407" w:rsidP="005A27EF">
      <w:pPr>
        <w:pStyle w:val="SRNadpis2"/>
      </w:pPr>
      <w:bookmarkStart w:id="138" w:name="_Toc52369412"/>
      <w:bookmarkStart w:id="139" w:name="_Toc83882843"/>
      <w:r w:rsidRPr="00BD387D">
        <w:lastRenderedPageBreak/>
        <w:t>Předpokládaný způsob financování deficitu</w:t>
      </w:r>
      <w:bookmarkEnd w:id="138"/>
      <w:bookmarkEnd w:id="139"/>
    </w:p>
    <w:p w:rsidR="00787B83" w:rsidRDefault="00787B83" w:rsidP="00787B83">
      <w:pPr>
        <w:sectPr w:rsidR="00787B83" w:rsidSect="00385A41">
          <w:type w:val="continuous"/>
          <w:pgSz w:w="11906" w:h="16838" w:code="9"/>
          <w:pgMar w:top="1134" w:right="1134" w:bottom="1418" w:left="1134" w:header="709" w:footer="709" w:gutter="0"/>
          <w:cols w:space="709"/>
          <w:docGrid w:linePitch="360"/>
        </w:sectPr>
      </w:pPr>
    </w:p>
    <w:p w:rsidR="00703522" w:rsidRDefault="00BD387D" w:rsidP="005E56DB">
      <w:pPr>
        <w:pStyle w:val="SRTextnomal"/>
      </w:pPr>
      <w:r w:rsidRPr="00BD387D">
        <w:lastRenderedPageBreak/>
        <w:t>V předloženém střednědobém výhledu státního rozpo</w:t>
      </w:r>
      <w:r w:rsidRPr="00BD387D">
        <w:t>č</w:t>
      </w:r>
      <w:r w:rsidRPr="00BD387D">
        <w:t>tu se předpokládá, že schodky státního rozpočtu budou pokryty snížením stavu na účtech státních finančních a</w:t>
      </w:r>
      <w:r w:rsidRPr="00BD387D">
        <w:t>k</w:t>
      </w:r>
      <w:r w:rsidRPr="00BD387D">
        <w:t xml:space="preserve">tiv a zvýšením stavu státního dluhu; v případě zvýšení </w:t>
      </w:r>
      <w:r w:rsidRPr="00BD387D">
        <w:lastRenderedPageBreak/>
        <w:t>stavu na účtech státních finančních aktiv budou schodky státního rozpočtu a zvýšení stavu na účtech státních f</w:t>
      </w:r>
      <w:r w:rsidRPr="00BD387D">
        <w:t>i</w:t>
      </w:r>
      <w:r w:rsidRPr="00BD387D">
        <w:t>nančních aktiv pokryty zvýšením stavu státního dluhu</w:t>
      </w:r>
      <w:r>
        <w:t>.</w:t>
      </w:r>
      <w:r w:rsidR="00703522">
        <w:br w:type="page"/>
      </w:r>
    </w:p>
    <w:p w:rsidR="00703522" w:rsidRDefault="00703522">
      <w:pPr>
        <w:spacing w:after="0"/>
        <w:jc w:val="left"/>
        <w:sectPr w:rsidR="00703522" w:rsidSect="00385A41">
          <w:type w:val="continuous"/>
          <w:pgSz w:w="11906" w:h="16838" w:code="9"/>
          <w:pgMar w:top="1134" w:right="1134" w:bottom="1418" w:left="1134" w:header="709" w:footer="709" w:gutter="0"/>
          <w:cols w:num="2" w:space="397"/>
          <w:docGrid w:linePitch="360"/>
        </w:sectPr>
      </w:pPr>
    </w:p>
    <w:p w:rsidR="004B0407" w:rsidRDefault="004B0407" w:rsidP="005A27EF">
      <w:pPr>
        <w:pStyle w:val="SRNadpis1"/>
      </w:pPr>
      <w:bookmarkStart w:id="140" w:name="_Toc52369413"/>
      <w:bookmarkStart w:id="141" w:name="_Toc83882844"/>
      <w:r>
        <w:lastRenderedPageBreak/>
        <w:t>Základní ukazatele státních fondů ve střednědobém výhledu</w:t>
      </w:r>
      <w:bookmarkEnd w:id="140"/>
      <w:bookmarkEnd w:id="141"/>
    </w:p>
    <w:p w:rsidR="00A3758D" w:rsidRDefault="00A3758D" w:rsidP="00A3758D">
      <w:pPr>
        <w:pStyle w:val="Zkladntext"/>
        <w:numPr>
          <w:ilvl w:val="12"/>
          <w:numId w:val="0"/>
        </w:numPr>
        <w:spacing w:before="120" w:line="360" w:lineRule="auto"/>
        <w:sectPr w:rsidR="00A3758D" w:rsidSect="00385A41">
          <w:type w:val="continuous"/>
          <w:pgSz w:w="11906" w:h="16838" w:code="9"/>
          <w:pgMar w:top="1134" w:right="1134" w:bottom="1418" w:left="1134" w:header="709" w:footer="709" w:gutter="0"/>
          <w:cols w:space="709"/>
          <w:docGrid w:linePitch="360"/>
        </w:sectPr>
      </w:pPr>
    </w:p>
    <w:p w:rsidR="0073285D" w:rsidRDefault="00A3758D" w:rsidP="005E56DB">
      <w:pPr>
        <w:pStyle w:val="SRTextnomal"/>
      </w:pPr>
      <w:r w:rsidRPr="004F50AB">
        <w:lastRenderedPageBreak/>
        <w:t>Státní fondy jsou samostatné právnické osoby zřízené příslušnými zákony. Střednědobý výhled státních fondů obsahuje očekávané příjmy a výdaje státních fondů na rok, na který je předkládán návrh státního rozpočtu a na dva roky bezprostředně následující po tomto roce. V České republice jsou z</w:t>
      </w:r>
      <w:r w:rsidR="00D34FE1">
        <w:t>řízeny následující státní fondy:</w:t>
      </w:r>
    </w:p>
    <w:p w:rsidR="0073285D" w:rsidRPr="0058224E" w:rsidRDefault="00A3758D" w:rsidP="0058224E">
      <w:pPr>
        <w:pStyle w:val="SROdrka"/>
      </w:pPr>
      <w:r w:rsidRPr="0058224E">
        <w:t>Státní fond dopravní infrastruktury</w:t>
      </w:r>
      <w:r w:rsidR="0073285D" w:rsidRPr="0058224E">
        <w:t>;</w:t>
      </w:r>
    </w:p>
    <w:p w:rsidR="0073285D" w:rsidRDefault="00A3758D" w:rsidP="0058224E">
      <w:pPr>
        <w:pStyle w:val="SROdrka"/>
      </w:pPr>
      <w:r w:rsidRPr="004F50AB">
        <w:lastRenderedPageBreak/>
        <w:t>Státní zemědělský intervenční fond</w:t>
      </w:r>
      <w:r w:rsidR="0073285D">
        <w:t>;</w:t>
      </w:r>
    </w:p>
    <w:p w:rsidR="0073285D" w:rsidRDefault="00A3758D" w:rsidP="0058224E">
      <w:pPr>
        <w:pStyle w:val="SROdrka"/>
      </w:pPr>
      <w:r w:rsidRPr="004F50AB">
        <w:t>Státní fond kinematografie</w:t>
      </w:r>
      <w:r w:rsidR="0073285D">
        <w:t>;</w:t>
      </w:r>
    </w:p>
    <w:p w:rsidR="0073285D" w:rsidRDefault="00A3758D" w:rsidP="0058224E">
      <w:pPr>
        <w:pStyle w:val="SROdrka"/>
      </w:pPr>
      <w:r w:rsidRPr="004F50AB">
        <w:t>Státní fond kultury České republiky</w:t>
      </w:r>
      <w:r w:rsidR="0073285D">
        <w:t>;</w:t>
      </w:r>
    </w:p>
    <w:p w:rsidR="0073285D" w:rsidRDefault="00A3758D" w:rsidP="0058224E">
      <w:pPr>
        <w:pStyle w:val="SROdrka"/>
      </w:pPr>
      <w:r w:rsidRPr="004F50AB">
        <w:t xml:space="preserve">Státní fond </w:t>
      </w:r>
      <w:r w:rsidR="00857CBD">
        <w:t>podpory investic</w:t>
      </w:r>
      <w:r w:rsidR="0073285D">
        <w:t>;</w:t>
      </w:r>
    </w:p>
    <w:p w:rsidR="0073285D" w:rsidRDefault="00A3758D" w:rsidP="0058224E">
      <w:pPr>
        <w:pStyle w:val="SROdrka"/>
        <w:sectPr w:rsidR="0073285D" w:rsidSect="00385A41">
          <w:type w:val="continuous"/>
          <w:pgSz w:w="11906" w:h="16838" w:code="9"/>
          <w:pgMar w:top="1134" w:right="1134" w:bottom="1418" w:left="1134" w:header="709" w:footer="709" w:gutter="0"/>
          <w:cols w:num="2" w:space="397"/>
          <w:docGrid w:linePitch="360"/>
        </w:sectPr>
      </w:pPr>
      <w:r w:rsidRPr="004F50AB">
        <w:t>Státní fond životního prostředí České republiky</w:t>
      </w:r>
      <w:r w:rsidR="0073285D">
        <w:t>.</w:t>
      </w:r>
    </w:p>
    <w:p w:rsidR="00A3758D" w:rsidRPr="004F50AB" w:rsidRDefault="00A3758D" w:rsidP="0073285D">
      <w:pPr>
        <w:pStyle w:val="Zkladntext"/>
        <w:numPr>
          <w:ilvl w:val="12"/>
          <w:numId w:val="0"/>
        </w:numPr>
        <w:spacing w:before="120"/>
      </w:pPr>
    </w:p>
    <w:p w:rsidR="00A3758D" w:rsidRDefault="00A3758D" w:rsidP="00A3758D">
      <w:pPr>
        <w:sectPr w:rsidR="00A3758D" w:rsidSect="00385A41">
          <w:type w:val="continuous"/>
          <w:pgSz w:w="11906" w:h="16838" w:code="9"/>
          <w:pgMar w:top="1134" w:right="1134" w:bottom="1418" w:left="1134" w:header="709" w:footer="709" w:gutter="0"/>
          <w:cols w:space="709"/>
          <w:docGrid w:linePitch="360"/>
        </w:sectPr>
      </w:pPr>
    </w:p>
    <w:p w:rsidR="004B0407" w:rsidRDefault="004B0407" w:rsidP="005A27EF">
      <w:pPr>
        <w:pStyle w:val="SRNadpis2"/>
      </w:pPr>
      <w:bookmarkStart w:id="142" w:name="_Toc52369414"/>
      <w:bookmarkStart w:id="143" w:name="_Toc83882845"/>
      <w:r>
        <w:lastRenderedPageBreak/>
        <w:t>Státní fond dopravní infrastruktury</w:t>
      </w:r>
      <w:bookmarkEnd w:id="142"/>
      <w:bookmarkEnd w:id="143"/>
    </w:p>
    <w:p w:rsidR="00DF74C2" w:rsidRDefault="00DF74C2" w:rsidP="00DF74C2">
      <w:pPr>
        <w:sectPr w:rsidR="00DF74C2" w:rsidSect="00385A41">
          <w:type w:val="continuous"/>
          <w:pgSz w:w="11906" w:h="16838" w:code="9"/>
          <w:pgMar w:top="1134" w:right="1134" w:bottom="1418" w:left="1134" w:header="709" w:footer="709" w:gutter="0"/>
          <w:cols w:space="709"/>
          <w:docGrid w:linePitch="360"/>
        </w:sectPr>
      </w:pPr>
    </w:p>
    <w:p w:rsidR="00DF74C2" w:rsidRPr="0073285D" w:rsidRDefault="00DF74C2" w:rsidP="005E56DB">
      <w:pPr>
        <w:pStyle w:val="SRTextnomal"/>
      </w:pPr>
      <w:r w:rsidRPr="0073285D">
        <w:lastRenderedPageBreak/>
        <w:t>Návrh rozpočtu na rok 202</w:t>
      </w:r>
      <w:r w:rsidR="00601335">
        <w:t>2</w:t>
      </w:r>
      <w:r w:rsidRPr="0073285D">
        <w:t xml:space="preserve"> i na oba následující roky střednědobého výhledu jsou sestaveny jako vyrovnané. Celkové příjmy a výdaje jsou pro rok 202</w:t>
      </w:r>
      <w:r w:rsidR="00601335">
        <w:t>2</w:t>
      </w:r>
      <w:r w:rsidRPr="0073285D">
        <w:t xml:space="preserve"> rozpočtovány ve výši </w:t>
      </w:r>
      <w:r w:rsidR="0034396F">
        <w:t>1</w:t>
      </w:r>
      <w:r w:rsidR="00480DC3">
        <w:t>2</w:t>
      </w:r>
      <w:r w:rsidR="00601335">
        <w:t>8</w:t>
      </w:r>
      <w:r w:rsidRPr="0073285D">
        <w:t>,</w:t>
      </w:r>
      <w:r w:rsidR="00601335">
        <w:t>9</w:t>
      </w:r>
      <w:r w:rsidRPr="0073285D">
        <w:t xml:space="preserve"> mld. Kč, pro rok 202</w:t>
      </w:r>
      <w:r w:rsidR="00601335">
        <w:t>3</w:t>
      </w:r>
      <w:r w:rsidRPr="0073285D">
        <w:t xml:space="preserve"> ve výši </w:t>
      </w:r>
      <w:r w:rsidR="00123CE7" w:rsidRPr="0073285D">
        <w:t>6</w:t>
      </w:r>
      <w:r w:rsidR="00601335">
        <w:t>6</w:t>
      </w:r>
      <w:r w:rsidRPr="0073285D">
        <w:t>,</w:t>
      </w:r>
      <w:r w:rsidR="00601335">
        <w:t>0</w:t>
      </w:r>
      <w:r w:rsidR="00404EEE" w:rsidRPr="0073285D">
        <w:t> </w:t>
      </w:r>
      <w:r w:rsidRPr="0073285D">
        <w:t>mld. Kč a pro rok 202</w:t>
      </w:r>
      <w:r w:rsidR="00FB1C52">
        <w:t>4</w:t>
      </w:r>
      <w:r w:rsidRPr="0073285D">
        <w:t xml:space="preserve"> také ve výši </w:t>
      </w:r>
      <w:r w:rsidR="00123CE7" w:rsidRPr="0073285D">
        <w:t>6</w:t>
      </w:r>
      <w:r w:rsidR="00601335">
        <w:t>6</w:t>
      </w:r>
      <w:r w:rsidRPr="0073285D">
        <w:t>,</w:t>
      </w:r>
      <w:r w:rsidR="00601335">
        <w:t>0</w:t>
      </w:r>
      <w:r w:rsidR="00327C86">
        <w:t> </w:t>
      </w:r>
      <w:r w:rsidRPr="0073285D">
        <w:t>mld. Kč</w:t>
      </w:r>
      <w:r w:rsidR="00A91B6C">
        <w:t xml:space="preserve"> bez prostředků EU a FM</w:t>
      </w:r>
      <w:r w:rsidRPr="0073285D">
        <w:t>. Hlavní zdroje příjmů v návrhu na rok 202</w:t>
      </w:r>
      <w:r w:rsidR="00601335">
        <w:t>2</w:t>
      </w:r>
      <w:r w:rsidRPr="0073285D">
        <w:t xml:space="preserve"> tvoří daňové příjmy ve výši </w:t>
      </w:r>
      <w:r w:rsidR="00167073">
        <w:t>19</w:t>
      </w:r>
      <w:r w:rsidRPr="0073285D">
        <w:t>,</w:t>
      </w:r>
      <w:r w:rsidR="00A36062">
        <w:t>1</w:t>
      </w:r>
      <w:r w:rsidRPr="0073285D">
        <w:t xml:space="preserve"> mld. Kč a nedaňové příjmy (výnos z mýtného) ve výši </w:t>
      </w:r>
      <w:r w:rsidR="006D523E" w:rsidRPr="0073285D">
        <w:t>1</w:t>
      </w:r>
      <w:r w:rsidR="00A36062">
        <w:t>2</w:t>
      </w:r>
      <w:r w:rsidRPr="0073285D">
        <w:t>,</w:t>
      </w:r>
      <w:r w:rsidR="00A36062">
        <w:t>5</w:t>
      </w:r>
      <w:r w:rsidRPr="0073285D">
        <w:t xml:space="preserve"> mld. Kč. Přijaté transfery (dotace) jsou v návrhu na rok 20</w:t>
      </w:r>
      <w:r w:rsidR="006D523E" w:rsidRPr="0073285D">
        <w:t>2</w:t>
      </w:r>
      <w:r w:rsidR="00A36062">
        <w:t>2</w:t>
      </w:r>
      <w:r w:rsidRPr="0073285D">
        <w:t xml:space="preserve"> rozpočtovány v ce</w:t>
      </w:r>
      <w:r w:rsidRPr="0073285D">
        <w:t>l</w:t>
      </w:r>
      <w:r w:rsidRPr="0073285D">
        <w:lastRenderedPageBreak/>
        <w:t xml:space="preserve">kové výši </w:t>
      </w:r>
      <w:r w:rsidR="008130AB">
        <w:t>9</w:t>
      </w:r>
      <w:r w:rsidR="00A36062">
        <w:t>7</w:t>
      </w:r>
      <w:r w:rsidR="006D523E" w:rsidRPr="0073285D">
        <w:t>,</w:t>
      </w:r>
      <w:r w:rsidR="00A36062">
        <w:t>3</w:t>
      </w:r>
      <w:r w:rsidRPr="0073285D">
        <w:t xml:space="preserve"> mld. Kč. Dotace ze státního rozpočtu u</w:t>
      </w:r>
      <w:r w:rsidRPr="0073285D">
        <w:t>r</w:t>
      </w:r>
      <w:r w:rsidRPr="0073285D">
        <w:t>čené na krytí deficitu jsou pro rok 20</w:t>
      </w:r>
      <w:r w:rsidR="006D523E" w:rsidRPr="0073285D">
        <w:t>2</w:t>
      </w:r>
      <w:r w:rsidR="00A36062">
        <w:t>2</w:t>
      </w:r>
      <w:r w:rsidRPr="0073285D">
        <w:t xml:space="preserve"> stanoveny ve v</w:t>
      </w:r>
      <w:r w:rsidRPr="0073285D">
        <w:t>ý</w:t>
      </w:r>
      <w:r w:rsidRPr="0073285D">
        <w:t xml:space="preserve">ši </w:t>
      </w:r>
      <w:r w:rsidR="00480DC3">
        <w:t>5</w:t>
      </w:r>
      <w:r w:rsidR="00C04030">
        <w:t>2</w:t>
      </w:r>
      <w:r w:rsidR="00F4674C" w:rsidRPr="0073285D">
        <w:t>,</w:t>
      </w:r>
      <w:r w:rsidR="00C04030">
        <w:t>9</w:t>
      </w:r>
      <w:r w:rsidR="00327C86">
        <w:t> </w:t>
      </w:r>
      <w:r w:rsidRPr="0073285D">
        <w:t xml:space="preserve">mld. Kč, ve výši </w:t>
      </w:r>
      <w:r w:rsidR="00D14A93">
        <w:t>3</w:t>
      </w:r>
      <w:r w:rsidR="00C04030">
        <w:t>3</w:t>
      </w:r>
      <w:r w:rsidRPr="0073285D">
        <w:t>,</w:t>
      </w:r>
      <w:r w:rsidR="00C04030">
        <w:t>8</w:t>
      </w:r>
      <w:r w:rsidR="00327C86">
        <w:t> </w:t>
      </w:r>
      <w:r w:rsidRPr="0073285D">
        <w:t>mld.</w:t>
      </w:r>
      <w:r w:rsidR="00327C86">
        <w:t> </w:t>
      </w:r>
      <w:r w:rsidRPr="0073285D">
        <w:t>Kč v roce 202</w:t>
      </w:r>
      <w:r w:rsidR="00A36062">
        <w:t>3</w:t>
      </w:r>
      <w:r w:rsidRPr="0073285D">
        <w:t xml:space="preserve"> a ve výši </w:t>
      </w:r>
      <w:r w:rsidR="00167073">
        <w:t>3</w:t>
      </w:r>
      <w:r w:rsidR="00C04030">
        <w:t>3</w:t>
      </w:r>
      <w:r w:rsidRPr="0073285D">
        <w:t>,</w:t>
      </w:r>
      <w:r w:rsidR="00C04030">
        <w:t>1</w:t>
      </w:r>
      <w:r w:rsidR="00327C86">
        <w:t> </w:t>
      </w:r>
      <w:r w:rsidRPr="0073285D">
        <w:t>mld. Kč v roce 202</w:t>
      </w:r>
      <w:r w:rsidR="00A36062">
        <w:t>4</w:t>
      </w:r>
      <w:r w:rsidRPr="0073285D">
        <w:t>.</w:t>
      </w:r>
    </w:p>
    <w:p w:rsidR="003D62A3" w:rsidRDefault="00DF74C2" w:rsidP="005E56DB">
      <w:pPr>
        <w:pStyle w:val="SRTextnomal"/>
      </w:pPr>
      <w:r w:rsidRPr="0073285D">
        <w:t>Na výdajové straně v roce 20</w:t>
      </w:r>
      <w:r w:rsidR="00F4674C" w:rsidRPr="0073285D">
        <w:t>2</w:t>
      </w:r>
      <w:r w:rsidR="00A36062">
        <w:t>2</w:t>
      </w:r>
      <w:r w:rsidRPr="0073285D">
        <w:t xml:space="preserve"> z celkových výdajů ve</w:t>
      </w:r>
      <w:r w:rsidR="001C1125">
        <w:t> </w:t>
      </w:r>
      <w:r w:rsidRPr="0073285D">
        <w:t xml:space="preserve">výši </w:t>
      </w:r>
      <w:r w:rsidR="0034396F">
        <w:t>1</w:t>
      </w:r>
      <w:r w:rsidR="00480DC3">
        <w:t>2</w:t>
      </w:r>
      <w:r w:rsidR="00A36062">
        <w:t>8</w:t>
      </w:r>
      <w:r w:rsidRPr="0073285D">
        <w:t>,</w:t>
      </w:r>
      <w:r w:rsidR="00A36062">
        <w:t>9</w:t>
      </w:r>
      <w:r w:rsidRPr="0073285D">
        <w:t xml:space="preserve"> mld. Kč tvoří rozhodující část výdaje určené na výstavbu, modernizaci, opravy a údržbu silnic, dálnic, celostátních i regionálních drah, na výstavbu a modern</w:t>
      </w:r>
      <w:r w:rsidRPr="0073285D">
        <w:t>i</w:t>
      </w:r>
      <w:r w:rsidRPr="0073285D">
        <w:t>zaci vodních cest a na příspěvkové programy.</w:t>
      </w:r>
    </w:p>
    <w:p w:rsidR="007A68BA" w:rsidRDefault="007A68BA" w:rsidP="0073285D">
      <w:pPr>
        <w:sectPr w:rsidR="007A68BA" w:rsidSect="00385A41">
          <w:type w:val="continuous"/>
          <w:pgSz w:w="11906" w:h="16838" w:code="9"/>
          <w:pgMar w:top="1134" w:right="1134" w:bottom="1418" w:left="1134" w:header="709" w:footer="709" w:gutter="0"/>
          <w:cols w:num="2" w:space="397"/>
          <w:docGrid w:linePitch="360"/>
        </w:sectPr>
      </w:pPr>
    </w:p>
    <w:p w:rsidR="00627DE9" w:rsidRDefault="00627DE9" w:rsidP="00404E39">
      <w:pPr>
        <w:pStyle w:val="SRtitulek1"/>
      </w:pPr>
      <w:bookmarkStart w:id="144" w:name="_Toc83882891"/>
      <w:r>
        <w:lastRenderedPageBreak/>
        <w:t xml:space="preserve">Tabulka </w:t>
      </w:r>
      <w:r w:rsidR="00D51DCA">
        <w:fldChar w:fldCharType="begin"/>
      </w:r>
      <w:r w:rsidR="00D51DCA">
        <w:instrText xml:space="preserve"> SEQ Tabulka \* ARABIC </w:instrText>
      </w:r>
      <w:r w:rsidR="00D51DCA">
        <w:fldChar w:fldCharType="separate"/>
      </w:r>
      <w:r w:rsidR="00D51DCA">
        <w:rPr>
          <w:noProof/>
        </w:rPr>
        <w:t>26</w:t>
      </w:r>
      <w:r w:rsidR="00D51DCA">
        <w:rPr>
          <w:noProof/>
        </w:rPr>
        <w:fldChar w:fldCharType="end"/>
      </w:r>
      <w:r w:rsidRPr="00627DE9">
        <w:t xml:space="preserve"> </w:t>
      </w:r>
      <w:r w:rsidRPr="00555D04">
        <w:t xml:space="preserve">Státní fond dopravní infrastruktury v letech 2022 – 2024 </w:t>
      </w:r>
      <w:r w:rsidRPr="00555D04">
        <w:rPr>
          <w:i/>
        </w:rPr>
        <w:t>(v Kč)</w:t>
      </w:r>
      <w:bookmarkEnd w:id="144"/>
    </w:p>
    <w:p w:rsidR="004B0407" w:rsidRDefault="00992C3F" w:rsidP="004B0407">
      <w:r>
        <w:rPr>
          <w:noProof/>
        </w:rPr>
        <w:pict>
          <v:shape id="_x0000_i1047" type="#_x0000_t75" style="width:481.6pt;height:75.4pt">
            <v:imagedata r:id="rId67" o:title=""/>
          </v:shape>
        </w:pict>
      </w:r>
    </w:p>
    <w:p w:rsidR="004B0407" w:rsidRDefault="004B0407" w:rsidP="005A27EF">
      <w:pPr>
        <w:pStyle w:val="SRNadpis2"/>
      </w:pPr>
      <w:bookmarkStart w:id="145" w:name="_Toc52369415"/>
      <w:bookmarkStart w:id="146" w:name="_Toc83882846"/>
      <w:r>
        <w:t>Státní zemědělský in</w:t>
      </w:r>
      <w:r w:rsidR="004E69FD">
        <w:t>t</w:t>
      </w:r>
      <w:r>
        <w:t>e</w:t>
      </w:r>
      <w:r w:rsidR="004E69FD">
        <w:t>rvenční</w:t>
      </w:r>
      <w:r>
        <w:t xml:space="preserve"> fond</w:t>
      </w:r>
      <w:bookmarkEnd w:id="145"/>
      <w:bookmarkEnd w:id="146"/>
    </w:p>
    <w:p w:rsidR="00C900D9" w:rsidRDefault="00C900D9" w:rsidP="00C900D9">
      <w:pPr>
        <w:sectPr w:rsidR="00C900D9" w:rsidSect="00385A41">
          <w:type w:val="continuous"/>
          <w:pgSz w:w="11906" w:h="16838" w:code="9"/>
          <w:pgMar w:top="1134" w:right="1134" w:bottom="1418" w:left="1134" w:header="709" w:footer="709" w:gutter="0"/>
          <w:cols w:space="709"/>
          <w:docGrid w:linePitch="360"/>
        </w:sectPr>
      </w:pPr>
    </w:p>
    <w:p w:rsidR="00C900D9" w:rsidRPr="0047263A" w:rsidRDefault="00C900D9" w:rsidP="005E56DB">
      <w:pPr>
        <w:pStyle w:val="SRTextnomal"/>
      </w:pPr>
      <w:r>
        <w:lastRenderedPageBreak/>
        <w:t xml:space="preserve">V návrhu příjmů rozpočtu na rok </w:t>
      </w:r>
      <w:r w:rsidRPr="0047263A">
        <w:t>202</w:t>
      </w:r>
      <w:r w:rsidR="00EC5450">
        <w:t>2</w:t>
      </w:r>
      <w:r w:rsidRPr="0047263A">
        <w:t xml:space="preserve"> v celkové výši </w:t>
      </w:r>
      <w:r w:rsidR="00A86DE7" w:rsidRPr="0047263A">
        <w:t>4</w:t>
      </w:r>
      <w:r w:rsidR="0015443E">
        <w:t>3</w:t>
      </w:r>
      <w:r w:rsidR="00851B15">
        <w:t>,</w:t>
      </w:r>
      <w:r w:rsidR="0015443E">
        <w:t>9</w:t>
      </w:r>
      <w:r w:rsidR="00B2531A">
        <w:t>7</w:t>
      </w:r>
      <w:r w:rsidR="00555FC2">
        <w:t> </w:t>
      </w:r>
      <w:r w:rsidRPr="0047263A">
        <w:t>mld. Kč tvoří nejvýznamnější příjmovou položku dotace na Společnou zemědělskou politiku z kapitoly Ministerstv</w:t>
      </w:r>
      <w:r w:rsidR="00555FC2">
        <w:t>o</w:t>
      </w:r>
      <w:r w:rsidRPr="0047263A">
        <w:t xml:space="preserve"> zemědělství ve výši </w:t>
      </w:r>
      <w:r w:rsidR="00EC5450" w:rsidRPr="00F84B2C">
        <w:t>41</w:t>
      </w:r>
      <w:r w:rsidRPr="00F84B2C">
        <w:t>,</w:t>
      </w:r>
      <w:r w:rsidR="00A72C79">
        <w:t>4</w:t>
      </w:r>
      <w:r w:rsidRPr="00F84B2C">
        <w:t xml:space="preserve"> mld</w:t>
      </w:r>
      <w:r w:rsidRPr="0047263A">
        <w:t xml:space="preserve">. Kč. Součástí příjmů fondu je </w:t>
      </w:r>
      <w:r w:rsidR="00A72C79">
        <w:t>transfer na technickou pomoc PRV a</w:t>
      </w:r>
      <w:r w:rsidR="0012499B">
        <w:t> </w:t>
      </w:r>
      <w:r w:rsidR="00A72C79">
        <w:t>TAIEX</w:t>
      </w:r>
      <w:r w:rsidR="0012499B">
        <w:t xml:space="preserve"> ve výši 0,3 mld. Kč</w:t>
      </w:r>
      <w:r w:rsidR="00A72C79">
        <w:t>, dále</w:t>
      </w:r>
      <w:r w:rsidRPr="0047263A">
        <w:t xml:space="preserve"> dotace ze státního ro</w:t>
      </w:r>
      <w:r w:rsidRPr="0047263A">
        <w:t>z</w:t>
      </w:r>
      <w:r w:rsidRPr="0047263A">
        <w:t xml:space="preserve">počtu na činnost a ostatní dotace v celkové výši </w:t>
      </w:r>
      <w:r w:rsidR="009E1797">
        <w:t>2</w:t>
      </w:r>
      <w:r w:rsidRPr="0047263A">
        <w:t>,</w:t>
      </w:r>
      <w:r w:rsidR="0012499B">
        <w:t>1 </w:t>
      </w:r>
      <w:r w:rsidRPr="0047263A">
        <w:t xml:space="preserve">mld. Kč. Celkové přijaté transfery ze státního rozpočtu tak činí </w:t>
      </w:r>
      <w:r w:rsidR="00851B15">
        <w:t>4</w:t>
      </w:r>
      <w:r w:rsidR="0015443E">
        <w:t>3,</w:t>
      </w:r>
      <w:r w:rsidR="00B2531A">
        <w:t>7</w:t>
      </w:r>
      <w:r w:rsidR="00C8799F">
        <w:t> </w:t>
      </w:r>
      <w:r w:rsidRPr="0047263A">
        <w:t>mld. Kč.</w:t>
      </w:r>
    </w:p>
    <w:p w:rsidR="00C900D9" w:rsidRDefault="00C900D9" w:rsidP="005E56DB">
      <w:pPr>
        <w:pStyle w:val="SRTextnomal"/>
      </w:pPr>
      <w:r w:rsidRPr="0047263A">
        <w:t>Celkové výdaje fondu na rok 202</w:t>
      </w:r>
      <w:r w:rsidR="00EC5450">
        <w:t>2</w:t>
      </w:r>
      <w:r w:rsidRPr="0047263A">
        <w:t xml:space="preserve"> jsou rozpočtovány ve</w:t>
      </w:r>
      <w:r w:rsidR="0012499B">
        <w:t> </w:t>
      </w:r>
      <w:r w:rsidRPr="0047263A">
        <w:t xml:space="preserve">výši </w:t>
      </w:r>
      <w:r w:rsidR="00A86DE7" w:rsidRPr="0047263A">
        <w:t>4</w:t>
      </w:r>
      <w:r w:rsidR="00F84B2C">
        <w:t>3</w:t>
      </w:r>
      <w:r w:rsidR="00851B15">
        <w:t>,</w:t>
      </w:r>
      <w:r w:rsidR="00F84B2C">
        <w:t>9</w:t>
      </w:r>
      <w:r w:rsidR="00A72C79">
        <w:t>7</w:t>
      </w:r>
      <w:r w:rsidR="00CD2869">
        <w:t> </w:t>
      </w:r>
      <w:r w:rsidRPr="0047263A">
        <w:t>mld.</w:t>
      </w:r>
      <w:r w:rsidR="00CD2869">
        <w:t> </w:t>
      </w:r>
      <w:r w:rsidRPr="0047263A">
        <w:t>Kč. Fond provádí administraci řady</w:t>
      </w:r>
      <w:r>
        <w:t xml:space="preserve"> </w:t>
      </w:r>
      <w:r>
        <w:lastRenderedPageBreak/>
        <w:t xml:space="preserve">podpor, které jsou v rámci Společné zemědělské politiky poskytovány. Jedná se zejména o přímé platby, opatření Společné organizace trhu (finanční podpory, vývozní subvence, dotace, intervenční nákupy aj.) a další výdaje spojené s účastí v Programu rozvoje venkova. </w:t>
      </w:r>
    </w:p>
    <w:p w:rsidR="00C900D9" w:rsidRPr="00C900D9" w:rsidRDefault="00C900D9" w:rsidP="005E56DB">
      <w:pPr>
        <w:pStyle w:val="SRTextnomal"/>
      </w:pPr>
      <w:r>
        <w:t xml:space="preserve">V letech střednědobého výhledu se předpokládají příjmy a výdaje ve výši </w:t>
      </w:r>
      <w:r w:rsidR="0066407D">
        <w:t xml:space="preserve">téměř </w:t>
      </w:r>
      <w:r w:rsidR="00A86DE7">
        <w:t>1</w:t>
      </w:r>
      <w:r w:rsidR="00EC5450">
        <w:t>2</w:t>
      </w:r>
      <w:r>
        <w:t>,</w:t>
      </w:r>
      <w:r w:rsidR="00EC5450">
        <w:t>5</w:t>
      </w:r>
      <w:r w:rsidR="00CD2869">
        <w:t> </w:t>
      </w:r>
      <w:r>
        <w:t>mld.</w:t>
      </w:r>
      <w:r w:rsidR="00CD2869">
        <w:t> </w:t>
      </w:r>
      <w:r>
        <w:t>Kč v roce 202</w:t>
      </w:r>
      <w:r w:rsidR="00EC5450">
        <w:t>3</w:t>
      </w:r>
      <w:r>
        <w:t xml:space="preserve"> a ve výši </w:t>
      </w:r>
      <w:r w:rsidR="00A86DE7">
        <w:t>1</w:t>
      </w:r>
      <w:r w:rsidR="00EC5450">
        <w:t>2</w:t>
      </w:r>
      <w:r w:rsidR="00A86DE7">
        <w:t>,</w:t>
      </w:r>
      <w:r w:rsidR="00EC5450">
        <w:t>5</w:t>
      </w:r>
      <w:r w:rsidR="00AA7495">
        <w:t> </w:t>
      </w:r>
      <w:r>
        <w:t>mld.</w:t>
      </w:r>
      <w:r w:rsidR="00CD2869">
        <w:t> </w:t>
      </w:r>
      <w:r>
        <w:t>Kč v roce 202</w:t>
      </w:r>
      <w:r w:rsidR="00EC5450">
        <w:t>4</w:t>
      </w:r>
      <w:r>
        <w:t>. Výdaje na léta 202</w:t>
      </w:r>
      <w:r w:rsidR="00EC5450">
        <w:t>3</w:t>
      </w:r>
      <w:r>
        <w:t xml:space="preserve"> a 202</w:t>
      </w:r>
      <w:r w:rsidR="00EC5450">
        <w:t>4</w:t>
      </w:r>
      <w:r>
        <w:t xml:space="preserve"> neobsahují prostředky EU a FM (promítají se až při př</w:t>
      </w:r>
      <w:r>
        <w:t>í</w:t>
      </w:r>
      <w:r>
        <w:t>pravě ročního rozpočtu).</w:t>
      </w:r>
    </w:p>
    <w:p w:rsidR="00C900D9" w:rsidRDefault="00C900D9" w:rsidP="00BD76A8">
      <w:pPr>
        <w:pStyle w:val="SRtitulek1"/>
        <w:sectPr w:rsidR="00C900D9" w:rsidSect="00385A41">
          <w:type w:val="continuous"/>
          <w:pgSz w:w="11906" w:h="16838" w:code="9"/>
          <w:pgMar w:top="1134" w:right="1134" w:bottom="1418" w:left="1134" w:header="709" w:footer="709" w:gutter="0"/>
          <w:cols w:num="2" w:space="397"/>
          <w:docGrid w:linePitch="360"/>
        </w:sectPr>
      </w:pPr>
    </w:p>
    <w:p w:rsidR="00627DE9" w:rsidRDefault="00627DE9" w:rsidP="00404E39">
      <w:pPr>
        <w:pStyle w:val="SRtitulek1"/>
      </w:pPr>
      <w:bookmarkStart w:id="147" w:name="_Toc83882892"/>
      <w:r>
        <w:lastRenderedPageBreak/>
        <w:t xml:space="preserve">Tabulka </w:t>
      </w:r>
      <w:r w:rsidR="00D51DCA">
        <w:fldChar w:fldCharType="begin"/>
      </w:r>
      <w:r w:rsidR="00D51DCA">
        <w:instrText xml:space="preserve"> SEQ Tabulka \* ARABIC </w:instrText>
      </w:r>
      <w:r w:rsidR="00D51DCA">
        <w:fldChar w:fldCharType="separate"/>
      </w:r>
      <w:r w:rsidR="00D51DCA">
        <w:rPr>
          <w:noProof/>
        </w:rPr>
        <w:t>27</w:t>
      </w:r>
      <w:r w:rsidR="00D51DCA">
        <w:rPr>
          <w:noProof/>
        </w:rPr>
        <w:fldChar w:fldCharType="end"/>
      </w:r>
      <w:r w:rsidRPr="00627DE9">
        <w:t xml:space="preserve"> </w:t>
      </w:r>
      <w:r w:rsidRPr="00525213">
        <w:t xml:space="preserve">Státní zemědělský intervenční fond v letech 2022 – 2024 </w:t>
      </w:r>
      <w:r w:rsidRPr="00525213">
        <w:rPr>
          <w:i/>
        </w:rPr>
        <w:t>(v Kč)</w:t>
      </w:r>
      <w:bookmarkEnd w:id="147"/>
    </w:p>
    <w:p w:rsidR="004B0407" w:rsidRDefault="00992C3F" w:rsidP="004B0407">
      <w:r>
        <w:rPr>
          <w:noProof/>
        </w:rPr>
        <w:pict>
          <v:shape id="_x0000_i1048" type="#_x0000_t75" style="width:481.6pt;height:75.4pt">
            <v:imagedata r:id="rId68" o:title=""/>
          </v:shape>
        </w:pict>
      </w:r>
    </w:p>
    <w:p w:rsidR="004B0407" w:rsidRDefault="004B0407" w:rsidP="005A27EF">
      <w:pPr>
        <w:pStyle w:val="SRNadpis2"/>
      </w:pPr>
      <w:bookmarkStart w:id="148" w:name="_Toc52369416"/>
      <w:bookmarkStart w:id="149" w:name="_Toc83882847"/>
      <w:r>
        <w:t>Státní fond kinematografie</w:t>
      </w:r>
      <w:bookmarkEnd w:id="148"/>
      <w:bookmarkEnd w:id="149"/>
    </w:p>
    <w:p w:rsidR="000B32C5" w:rsidRDefault="000B32C5" w:rsidP="000B32C5">
      <w:pPr>
        <w:sectPr w:rsidR="000B32C5" w:rsidSect="00385A41">
          <w:type w:val="continuous"/>
          <w:pgSz w:w="11906" w:h="16838" w:code="9"/>
          <w:pgMar w:top="1134" w:right="1134" w:bottom="1418" w:left="1134" w:header="709" w:footer="709" w:gutter="0"/>
          <w:cols w:space="709"/>
          <w:docGrid w:linePitch="360"/>
        </w:sectPr>
      </w:pPr>
    </w:p>
    <w:p w:rsidR="000B32C5" w:rsidRDefault="000B32C5" w:rsidP="005E56DB">
      <w:pPr>
        <w:pStyle w:val="SRTextnomal"/>
      </w:pPr>
      <w:r>
        <w:lastRenderedPageBreak/>
        <w:t>Příjmy Státního fondu kinematografie pro rok 202</w:t>
      </w:r>
      <w:r w:rsidR="002529BA">
        <w:t>2</w:t>
      </w:r>
      <w:r>
        <w:t xml:space="preserve"> jsou rozpočtovány ve výši 1 2</w:t>
      </w:r>
      <w:r w:rsidR="002529BA">
        <w:t>5</w:t>
      </w:r>
      <w:r w:rsidR="00E648FD">
        <w:t>7</w:t>
      </w:r>
      <w:r>
        <w:t>,</w:t>
      </w:r>
      <w:r w:rsidR="002529BA">
        <w:t>3</w:t>
      </w:r>
      <w:r>
        <w:t xml:space="preserve"> mil. Kč. Z vlastních příjmů fondu tvoří největší část příjmy od provozovatelů tel</w:t>
      </w:r>
      <w:r>
        <w:t>e</w:t>
      </w:r>
      <w:r>
        <w:t>vizního vysílání, příjmy z poskytování licencí k</w:t>
      </w:r>
      <w:r w:rsidR="002D4F18">
        <w:t> </w:t>
      </w:r>
      <w:r>
        <w:t>užití filmů, k nimž fond vykonává práva výrobce, příjmy od pořad</w:t>
      </w:r>
      <w:r>
        <w:t>a</w:t>
      </w:r>
      <w:r>
        <w:t>telů kinematografických představení a příjmy od prov</w:t>
      </w:r>
      <w:r>
        <w:t>o</w:t>
      </w:r>
      <w:r>
        <w:t>zovatelů převzatého vysílání. Celková výše dotace ze státního rozpočtu na rok 202</w:t>
      </w:r>
      <w:r w:rsidR="002529BA">
        <w:t>2</w:t>
      </w:r>
      <w:r>
        <w:t xml:space="preserve"> je pro</w:t>
      </w:r>
      <w:r w:rsidR="002D4F18">
        <w:t> </w:t>
      </w:r>
      <w:r>
        <w:t xml:space="preserve">fond určena ve výši </w:t>
      </w:r>
      <w:r w:rsidR="002529BA">
        <w:t>997</w:t>
      </w:r>
      <w:r>
        <w:t>,</w:t>
      </w:r>
      <w:r w:rsidR="002529BA">
        <w:t>3</w:t>
      </w:r>
      <w:r>
        <w:t xml:space="preserve"> mil. Kč, z toho dotace na</w:t>
      </w:r>
      <w:r w:rsidR="002D4F18">
        <w:t> </w:t>
      </w:r>
      <w:r>
        <w:t xml:space="preserve">filmové pobídky činí </w:t>
      </w:r>
      <w:r w:rsidRPr="005B0568">
        <w:t>800</w:t>
      </w:r>
      <w:r w:rsidR="00896C17" w:rsidRPr="005B0568">
        <w:t> </w:t>
      </w:r>
      <w:r w:rsidRPr="005B0568">
        <w:t>mil. Kč</w:t>
      </w:r>
      <w:r w:rsidRPr="00EB0497">
        <w:t>.</w:t>
      </w:r>
    </w:p>
    <w:p w:rsidR="000B32C5" w:rsidRDefault="000B32C5" w:rsidP="005E56DB">
      <w:pPr>
        <w:pStyle w:val="SRTextnomal"/>
      </w:pPr>
      <w:r>
        <w:lastRenderedPageBreak/>
        <w:t>Výdaje pro rok 202</w:t>
      </w:r>
      <w:r w:rsidR="002529BA">
        <w:t>2</w:t>
      </w:r>
      <w:r>
        <w:t xml:space="preserve"> jsou navrhovány také ve výši 1 2</w:t>
      </w:r>
      <w:r w:rsidR="002529BA">
        <w:t>5</w:t>
      </w:r>
      <w:r w:rsidR="00E648FD">
        <w:t>7</w:t>
      </w:r>
      <w:r>
        <w:t>,</w:t>
      </w:r>
      <w:r w:rsidR="002529BA">
        <w:t>3</w:t>
      </w:r>
      <w:r>
        <w:t xml:space="preserve"> mil. Kč</w:t>
      </w:r>
      <w:r w:rsidR="00C3165D">
        <w:t>.</w:t>
      </w:r>
      <w:r>
        <w:t xml:space="preserve"> Výdaje jsou určeny především na posk</w:t>
      </w:r>
      <w:r>
        <w:t>y</w:t>
      </w:r>
      <w:r>
        <w:t>tování podpor projektů v oblasti kinematografie a po</w:t>
      </w:r>
      <w:r>
        <w:t>d</w:t>
      </w:r>
      <w:r>
        <w:t>poru filmových pobídek.</w:t>
      </w:r>
    </w:p>
    <w:p w:rsidR="007A68BA" w:rsidRDefault="000B32C5" w:rsidP="005E56DB">
      <w:pPr>
        <w:pStyle w:val="SRTextnomal"/>
      </w:pPr>
      <w:r>
        <w:t>V roce 202</w:t>
      </w:r>
      <w:r w:rsidR="002529BA">
        <w:t>3</w:t>
      </w:r>
      <w:r>
        <w:t xml:space="preserve"> jsou Státním fondem kinematografie plán</w:t>
      </w:r>
      <w:r>
        <w:t>o</w:t>
      </w:r>
      <w:r>
        <w:t>vány příjmy i výdaje ve výši 1 2</w:t>
      </w:r>
      <w:r w:rsidR="00E648FD">
        <w:t>52</w:t>
      </w:r>
      <w:r>
        <w:t>,</w:t>
      </w:r>
      <w:r w:rsidR="00E648FD">
        <w:t>4</w:t>
      </w:r>
      <w:r>
        <w:t xml:space="preserve"> mil. Kč a v roce 202</w:t>
      </w:r>
      <w:r w:rsidR="002529BA">
        <w:t>4</w:t>
      </w:r>
      <w:r>
        <w:t xml:space="preserve"> příjmy i výdaje ve výši 1 2</w:t>
      </w:r>
      <w:r w:rsidR="00F04918">
        <w:t>6</w:t>
      </w:r>
      <w:r w:rsidR="00E648FD">
        <w:t>2</w:t>
      </w:r>
      <w:r>
        <w:t>,</w:t>
      </w:r>
      <w:r w:rsidR="00E648FD">
        <w:t>4</w:t>
      </w:r>
      <w:r>
        <w:t xml:space="preserve"> mil. Kč</w:t>
      </w:r>
      <w:r w:rsidR="00192480">
        <w:t>, přičemž dotace ze</w:t>
      </w:r>
      <w:r w:rsidR="001C1125">
        <w:t> </w:t>
      </w:r>
      <w:r w:rsidR="00192480">
        <w:t xml:space="preserve">státního rozpočtu </w:t>
      </w:r>
      <w:r w:rsidR="002529BA">
        <w:t>v roce</w:t>
      </w:r>
      <w:r w:rsidR="00192480">
        <w:t xml:space="preserve"> 202</w:t>
      </w:r>
      <w:r w:rsidR="002529BA">
        <w:t>3</w:t>
      </w:r>
      <w:r w:rsidR="00192480">
        <w:t xml:space="preserve"> </w:t>
      </w:r>
      <w:r w:rsidR="002529BA">
        <w:t xml:space="preserve">činí 982,4 mil. Kč </w:t>
      </w:r>
      <w:r w:rsidR="00192480">
        <w:t>a</w:t>
      </w:r>
      <w:r w:rsidR="001C1125">
        <w:t> </w:t>
      </w:r>
      <w:r w:rsidR="002529BA">
        <w:t xml:space="preserve">v roce </w:t>
      </w:r>
      <w:r w:rsidR="00192480">
        <w:t>202</w:t>
      </w:r>
      <w:r w:rsidR="002529BA">
        <w:t>4</w:t>
      </w:r>
      <w:r w:rsidR="00192480">
        <w:t xml:space="preserve"> činí 992,4 mil. Kč</w:t>
      </w:r>
      <w:r w:rsidR="007A68BA">
        <w:t>.</w:t>
      </w:r>
    </w:p>
    <w:p w:rsidR="007A68BA" w:rsidRDefault="007A68BA" w:rsidP="000B32C5">
      <w:pPr>
        <w:sectPr w:rsidR="007A68BA" w:rsidSect="00385A41">
          <w:type w:val="continuous"/>
          <w:pgSz w:w="11906" w:h="16838" w:code="9"/>
          <w:pgMar w:top="1134" w:right="1134" w:bottom="1418" w:left="1134" w:header="709" w:footer="709" w:gutter="0"/>
          <w:cols w:num="2" w:space="397"/>
          <w:docGrid w:linePitch="360"/>
        </w:sectPr>
      </w:pPr>
    </w:p>
    <w:p w:rsidR="00627DE9" w:rsidRDefault="00627DE9" w:rsidP="00404E39">
      <w:pPr>
        <w:pStyle w:val="SRtitulek1"/>
      </w:pPr>
      <w:bookmarkStart w:id="150" w:name="_Toc83882893"/>
      <w:r>
        <w:lastRenderedPageBreak/>
        <w:t xml:space="preserve">Tabulka </w:t>
      </w:r>
      <w:r w:rsidR="00D51DCA">
        <w:fldChar w:fldCharType="begin"/>
      </w:r>
      <w:r w:rsidR="00D51DCA">
        <w:instrText xml:space="preserve"> SEQ Tabulka \* ARABIC </w:instrText>
      </w:r>
      <w:r w:rsidR="00D51DCA">
        <w:fldChar w:fldCharType="separate"/>
      </w:r>
      <w:r w:rsidR="00D51DCA">
        <w:rPr>
          <w:noProof/>
        </w:rPr>
        <w:t>28</w:t>
      </w:r>
      <w:r w:rsidR="00D51DCA">
        <w:rPr>
          <w:noProof/>
        </w:rPr>
        <w:fldChar w:fldCharType="end"/>
      </w:r>
      <w:r w:rsidRPr="00627DE9">
        <w:t xml:space="preserve"> </w:t>
      </w:r>
      <w:r w:rsidRPr="00F04918">
        <w:t xml:space="preserve">Státní fond kinematografie v letech 2022 – 2024 </w:t>
      </w:r>
      <w:r w:rsidRPr="00F04918">
        <w:rPr>
          <w:i/>
        </w:rPr>
        <w:t>(v Kč)</w:t>
      </w:r>
      <w:bookmarkEnd w:id="150"/>
    </w:p>
    <w:p w:rsidR="004B0407" w:rsidRDefault="00992C3F" w:rsidP="004B0407">
      <w:r>
        <w:rPr>
          <w:noProof/>
        </w:rPr>
        <w:pict>
          <v:shape id="_x0000_i1049" type="#_x0000_t75" style="width:481.6pt;height:55pt">
            <v:imagedata r:id="rId69" o:title=""/>
          </v:shape>
        </w:pict>
      </w:r>
    </w:p>
    <w:p w:rsidR="004B0407" w:rsidRDefault="004B0407" w:rsidP="005A27EF">
      <w:pPr>
        <w:pStyle w:val="SRNadpis2"/>
      </w:pPr>
      <w:bookmarkStart w:id="151" w:name="_Toc52369417"/>
      <w:bookmarkStart w:id="152" w:name="_Toc83882848"/>
      <w:r>
        <w:t>Státní fond kultury České republiky</w:t>
      </w:r>
      <w:bookmarkEnd w:id="151"/>
      <w:bookmarkEnd w:id="152"/>
    </w:p>
    <w:p w:rsidR="00B91677" w:rsidRDefault="00B91677" w:rsidP="00B91677">
      <w:pPr>
        <w:sectPr w:rsidR="00B91677" w:rsidSect="00385A41">
          <w:type w:val="continuous"/>
          <w:pgSz w:w="11906" w:h="16838" w:code="9"/>
          <w:pgMar w:top="1134" w:right="1134" w:bottom="1418" w:left="1134" w:header="709" w:footer="709" w:gutter="0"/>
          <w:cols w:space="709"/>
          <w:docGrid w:linePitch="360"/>
        </w:sectPr>
      </w:pPr>
    </w:p>
    <w:p w:rsidR="00B91677" w:rsidRDefault="00B91677" w:rsidP="005E56DB">
      <w:pPr>
        <w:pStyle w:val="SRTextnomal"/>
      </w:pPr>
      <w:r>
        <w:lastRenderedPageBreak/>
        <w:t>Celkové příjmy fondu jsou na rok 202</w:t>
      </w:r>
      <w:r w:rsidR="00170F6A">
        <w:t>2</w:t>
      </w:r>
      <w:r>
        <w:t xml:space="preserve"> rozpočtovány ve výši 7</w:t>
      </w:r>
      <w:r w:rsidR="00170F6A">
        <w:t>6</w:t>
      </w:r>
      <w:r>
        <w:t>,</w:t>
      </w:r>
      <w:r w:rsidR="00170F6A">
        <w:t>0</w:t>
      </w:r>
      <w:r>
        <w:t xml:space="preserve"> mil. Kč.</w:t>
      </w:r>
      <w:r w:rsidR="00E648FD">
        <w:t xml:space="preserve"> </w:t>
      </w:r>
      <w:r>
        <w:t>Hlavní příjmy v roce 202</w:t>
      </w:r>
      <w:r w:rsidR="00333B65">
        <w:t>2</w:t>
      </w:r>
      <w:r>
        <w:t xml:space="preserve"> i v následuj</w:t>
      </w:r>
      <w:r>
        <w:t>í</w:t>
      </w:r>
      <w:r>
        <w:t xml:space="preserve">cích letech tvoří </w:t>
      </w:r>
      <w:r w:rsidRPr="00EB0497">
        <w:t>výnosy z reklam vysílaných na ČT2 v</w:t>
      </w:r>
      <w:r w:rsidR="00F96A04">
        <w:t> </w:t>
      </w:r>
      <w:r w:rsidRPr="00EB0497">
        <w:t xml:space="preserve">předpokládané </w:t>
      </w:r>
      <w:r w:rsidRPr="00CC0047">
        <w:t xml:space="preserve">výši </w:t>
      </w:r>
      <w:r w:rsidR="002B155C" w:rsidRPr="00214152">
        <w:t>35</w:t>
      </w:r>
      <w:r w:rsidRPr="00214152">
        <w:t xml:space="preserve"> mil. Kč</w:t>
      </w:r>
      <w:r w:rsidRPr="00EB0497">
        <w:t xml:space="preserve"> a příjmy z pronájmu nemovitostí.</w:t>
      </w:r>
    </w:p>
    <w:p w:rsidR="00B91677" w:rsidRDefault="00B91677" w:rsidP="005E56DB">
      <w:pPr>
        <w:pStyle w:val="SRTextnomal"/>
      </w:pPr>
      <w:r>
        <w:t>Výdaje fondu pro rok 202</w:t>
      </w:r>
      <w:r w:rsidR="00170F6A">
        <w:t>2</w:t>
      </w:r>
      <w:r>
        <w:t xml:space="preserve"> jsou rozpočtovány ve výši </w:t>
      </w:r>
      <w:r w:rsidR="00170F6A">
        <w:t>4</w:t>
      </w:r>
      <w:r>
        <w:t>5,</w:t>
      </w:r>
      <w:r w:rsidR="00170F6A">
        <w:t>6</w:t>
      </w:r>
      <w:r w:rsidR="002D4F18">
        <w:t> </w:t>
      </w:r>
      <w:r>
        <w:t>mil.</w:t>
      </w:r>
      <w:r w:rsidR="002D4F18">
        <w:t> </w:t>
      </w:r>
      <w:r>
        <w:t>Kč. Největší výdajové položky představují zák</w:t>
      </w:r>
      <w:r>
        <w:t>o</w:t>
      </w:r>
      <w:r>
        <w:lastRenderedPageBreak/>
        <w:t>nem stanovené podpory poskytované na projekty v o</w:t>
      </w:r>
      <w:r>
        <w:t>b</w:t>
      </w:r>
      <w:r>
        <w:t>lasti kultury.</w:t>
      </w:r>
    </w:p>
    <w:p w:rsidR="007A68BA" w:rsidRDefault="00B91677" w:rsidP="005E56DB">
      <w:pPr>
        <w:pStyle w:val="SRTextnomal"/>
      </w:pPr>
      <w:r>
        <w:t>Rozpočty na rok 202</w:t>
      </w:r>
      <w:r w:rsidR="00170F6A">
        <w:t>2</w:t>
      </w:r>
      <w:r>
        <w:t xml:space="preserve"> i léta výhledu 202</w:t>
      </w:r>
      <w:r w:rsidR="00170F6A">
        <w:t>3</w:t>
      </w:r>
      <w:r>
        <w:t xml:space="preserve"> a 202</w:t>
      </w:r>
      <w:r w:rsidR="00170F6A">
        <w:t>4</w:t>
      </w:r>
      <w:r>
        <w:t xml:space="preserve"> jsou navrhovány jako přebytkové. Příjmy jsou na rok 202</w:t>
      </w:r>
      <w:r w:rsidR="00170F6A">
        <w:t>3</w:t>
      </w:r>
      <w:r>
        <w:t xml:space="preserve"> i</w:t>
      </w:r>
      <w:r w:rsidR="001C1125">
        <w:t> </w:t>
      </w:r>
      <w:r>
        <w:t>202</w:t>
      </w:r>
      <w:r w:rsidR="00170F6A">
        <w:t>4</w:t>
      </w:r>
      <w:r>
        <w:t xml:space="preserve"> stanoveny ve výši 7</w:t>
      </w:r>
      <w:r w:rsidR="00170F6A">
        <w:t>6</w:t>
      </w:r>
      <w:r>
        <w:t>,</w:t>
      </w:r>
      <w:r w:rsidR="00170F6A">
        <w:t>0</w:t>
      </w:r>
      <w:r>
        <w:t xml:space="preserve"> mil. Kč a výdaje ve výši </w:t>
      </w:r>
      <w:r w:rsidR="00170F6A">
        <w:t>4</w:t>
      </w:r>
      <w:r>
        <w:t>5,</w:t>
      </w:r>
      <w:r w:rsidR="00170F6A">
        <w:t>6</w:t>
      </w:r>
      <w:r w:rsidR="00896C17">
        <w:t> </w:t>
      </w:r>
      <w:r>
        <w:t>mil. Kč pro oba roky.</w:t>
      </w:r>
    </w:p>
    <w:p w:rsidR="007A68BA" w:rsidRDefault="007A68BA" w:rsidP="00B91677">
      <w:pPr>
        <w:sectPr w:rsidR="007A68BA" w:rsidSect="00385A41">
          <w:type w:val="continuous"/>
          <w:pgSz w:w="11906" w:h="16838" w:code="9"/>
          <w:pgMar w:top="1134" w:right="1134" w:bottom="1418" w:left="1134" w:header="709" w:footer="709" w:gutter="0"/>
          <w:cols w:num="2" w:space="397"/>
          <w:docGrid w:linePitch="360"/>
        </w:sectPr>
      </w:pPr>
    </w:p>
    <w:p w:rsidR="00627DE9" w:rsidRDefault="00627DE9" w:rsidP="00404E39">
      <w:pPr>
        <w:pStyle w:val="SRtitulek1"/>
      </w:pPr>
      <w:bookmarkStart w:id="153" w:name="_Toc83882894"/>
      <w:r>
        <w:lastRenderedPageBreak/>
        <w:t xml:space="preserve">Tabulka </w:t>
      </w:r>
      <w:r w:rsidR="00D51DCA">
        <w:fldChar w:fldCharType="begin"/>
      </w:r>
      <w:r w:rsidR="00D51DCA">
        <w:instrText xml:space="preserve"> SEQ Tabulka \* ARABIC </w:instrText>
      </w:r>
      <w:r w:rsidR="00D51DCA">
        <w:fldChar w:fldCharType="separate"/>
      </w:r>
      <w:r w:rsidR="00D51DCA">
        <w:rPr>
          <w:noProof/>
        </w:rPr>
        <w:t>29</w:t>
      </w:r>
      <w:r w:rsidR="00D51DCA">
        <w:rPr>
          <w:noProof/>
        </w:rPr>
        <w:fldChar w:fldCharType="end"/>
      </w:r>
      <w:r w:rsidRPr="00627DE9">
        <w:t xml:space="preserve"> </w:t>
      </w:r>
      <w:r w:rsidRPr="00214152">
        <w:t xml:space="preserve">Státní fond kultury ČR v letech 2022 – 2024 </w:t>
      </w:r>
      <w:r w:rsidRPr="00214152">
        <w:rPr>
          <w:i/>
        </w:rPr>
        <w:t>(v Kč)</w:t>
      </w:r>
      <w:bookmarkEnd w:id="153"/>
    </w:p>
    <w:p w:rsidR="004B0407" w:rsidRDefault="00992C3F" w:rsidP="004B0407">
      <w:r>
        <w:rPr>
          <w:noProof/>
        </w:rPr>
        <w:pict>
          <v:shape id="_x0000_i1050" type="#_x0000_t75" style="width:481.6pt;height:65.2pt">
            <v:imagedata r:id="rId70" o:title=""/>
          </v:shape>
        </w:pict>
      </w:r>
    </w:p>
    <w:p w:rsidR="004B0407" w:rsidRDefault="004B0407" w:rsidP="005A27EF">
      <w:pPr>
        <w:pStyle w:val="SRNadpis2"/>
      </w:pPr>
      <w:bookmarkStart w:id="154" w:name="_Toc52369418"/>
      <w:bookmarkStart w:id="155" w:name="_Toc83882849"/>
      <w:r>
        <w:t xml:space="preserve">Státní fond </w:t>
      </w:r>
      <w:r w:rsidR="00604B38">
        <w:t>podpory investic</w:t>
      </w:r>
      <w:bookmarkEnd w:id="154"/>
      <w:bookmarkEnd w:id="155"/>
    </w:p>
    <w:p w:rsidR="006566B5" w:rsidRDefault="006566B5" w:rsidP="006566B5">
      <w:pPr>
        <w:sectPr w:rsidR="006566B5" w:rsidSect="00385A41">
          <w:type w:val="continuous"/>
          <w:pgSz w:w="11906" w:h="16838" w:code="9"/>
          <w:pgMar w:top="1134" w:right="1134" w:bottom="1418" w:left="1134" w:header="709" w:footer="709" w:gutter="0"/>
          <w:cols w:space="709"/>
          <w:docGrid w:linePitch="360"/>
        </w:sectPr>
      </w:pPr>
    </w:p>
    <w:p w:rsidR="006566B5" w:rsidRPr="00526DA1" w:rsidRDefault="006566B5" w:rsidP="005E56DB">
      <w:pPr>
        <w:pStyle w:val="SRTextnomal"/>
      </w:pPr>
      <w:r>
        <w:lastRenderedPageBreak/>
        <w:t>Pro rok 202</w:t>
      </w:r>
      <w:r w:rsidR="009B6A11">
        <w:t>2</w:t>
      </w:r>
      <w:r>
        <w:t xml:space="preserve"> jsou příjmy rozpočtovány ve výši </w:t>
      </w:r>
      <w:r w:rsidR="006A44FE">
        <w:t>1</w:t>
      </w:r>
      <w:r>
        <w:t> </w:t>
      </w:r>
      <w:r w:rsidR="009A48F8">
        <w:t>69</w:t>
      </w:r>
      <w:r w:rsidR="00F72096">
        <w:t>0</w:t>
      </w:r>
      <w:r>
        <w:t> mil. Kč, ve výhledu na rok 202</w:t>
      </w:r>
      <w:r w:rsidR="009A48F8">
        <w:t>3</w:t>
      </w:r>
      <w:r>
        <w:t xml:space="preserve"> ve výši </w:t>
      </w:r>
      <w:r w:rsidR="009A48F8">
        <w:t>890</w:t>
      </w:r>
      <w:r>
        <w:t> mil. Kč a na rok 202</w:t>
      </w:r>
      <w:r w:rsidR="009A48F8">
        <w:t>4</w:t>
      </w:r>
      <w:r>
        <w:t xml:space="preserve"> ve výši </w:t>
      </w:r>
      <w:r w:rsidR="009A48F8">
        <w:t>9</w:t>
      </w:r>
      <w:r w:rsidR="004018AE">
        <w:t>0</w:t>
      </w:r>
      <w:r w:rsidR="009A48F8">
        <w:t>0</w:t>
      </w:r>
      <w:r>
        <w:t> mil. Kč. Příjmy fondu jsou tvořeny př</w:t>
      </w:r>
      <w:r>
        <w:t>e</w:t>
      </w:r>
      <w:r>
        <w:t xml:space="preserve">devším splátkami úvěrů, které </w:t>
      </w:r>
      <w:r w:rsidRPr="00526DA1">
        <w:t>fond poskytl. Roční splá</w:t>
      </w:r>
      <w:r w:rsidRPr="00526DA1">
        <w:t>t</w:t>
      </w:r>
      <w:r w:rsidRPr="00526DA1">
        <w:t>ky úvěrů v roce 202</w:t>
      </w:r>
      <w:r w:rsidR="009A48F8">
        <w:t>2</w:t>
      </w:r>
      <w:r w:rsidRPr="00526DA1">
        <w:t xml:space="preserve"> budou činit </w:t>
      </w:r>
      <w:r w:rsidR="00B637DE" w:rsidRPr="002047D1">
        <w:t>7</w:t>
      </w:r>
      <w:r w:rsidR="002047D1" w:rsidRPr="002047D1">
        <w:t>0</w:t>
      </w:r>
      <w:r w:rsidR="00B637DE" w:rsidRPr="002047D1">
        <w:t>0</w:t>
      </w:r>
      <w:r w:rsidRPr="002047D1">
        <w:t xml:space="preserve"> mil. Kč</w:t>
      </w:r>
      <w:r w:rsidRPr="00526DA1">
        <w:t>. Úroky z</w:t>
      </w:r>
      <w:r w:rsidR="0067684D">
        <w:t> </w:t>
      </w:r>
      <w:r w:rsidRPr="00526DA1">
        <w:t xml:space="preserve">těchto úvěrů se předpokládají ve výši </w:t>
      </w:r>
      <w:r w:rsidR="00F07ECC" w:rsidRPr="00F07ECC">
        <w:t>80</w:t>
      </w:r>
      <w:r w:rsidR="00B637DE" w:rsidRPr="00F07ECC">
        <w:t>,</w:t>
      </w:r>
      <w:r w:rsidR="00F07ECC" w:rsidRPr="00F07ECC">
        <w:t>5</w:t>
      </w:r>
      <w:r w:rsidRPr="00F07ECC">
        <w:t xml:space="preserve"> mil. Kč</w:t>
      </w:r>
      <w:r w:rsidRPr="00526DA1">
        <w:t>.</w:t>
      </w:r>
    </w:p>
    <w:p w:rsidR="006566B5" w:rsidRPr="00526DA1" w:rsidRDefault="006566B5" w:rsidP="005E56DB">
      <w:pPr>
        <w:pStyle w:val="SRTextnomal"/>
      </w:pPr>
      <w:r w:rsidRPr="00DF7213">
        <w:lastRenderedPageBreak/>
        <w:t>Výdaje na rok 202</w:t>
      </w:r>
      <w:r w:rsidR="009A48F8">
        <w:t>2</w:t>
      </w:r>
      <w:r w:rsidRPr="00DF7213">
        <w:t xml:space="preserve"> jsou stanoveny na </w:t>
      </w:r>
      <w:r w:rsidR="00864C60">
        <w:t>3</w:t>
      </w:r>
      <w:r w:rsidR="0067684D">
        <w:t> </w:t>
      </w:r>
      <w:r w:rsidR="00864C60">
        <w:t>4</w:t>
      </w:r>
      <w:r w:rsidR="009A48F8">
        <w:t>49</w:t>
      </w:r>
      <w:r w:rsidR="0067684D">
        <w:t> </w:t>
      </w:r>
      <w:r w:rsidRPr="00DF7213">
        <w:t>mil.</w:t>
      </w:r>
      <w:r w:rsidR="00E05C13">
        <w:t> </w:t>
      </w:r>
      <w:r w:rsidRPr="00DF7213">
        <w:t xml:space="preserve">Kč </w:t>
      </w:r>
      <w:r w:rsidR="00FA7464">
        <w:t>a </w:t>
      </w:r>
      <w:r w:rsidRPr="00DF7213">
        <w:t xml:space="preserve">jsou především určeny na úvěry fyzickým a právnickým osobám ve </w:t>
      </w:r>
      <w:r w:rsidRPr="0081113B">
        <w:t>výši 1</w:t>
      </w:r>
      <w:r w:rsidR="0067684D">
        <w:t> </w:t>
      </w:r>
      <w:r w:rsidR="0081113B" w:rsidRPr="0081113B">
        <w:t>393</w:t>
      </w:r>
      <w:r w:rsidR="0067684D">
        <w:t> </w:t>
      </w:r>
      <w:r w:rsidRPr="0081113B">
        <w:t>mil. Kč, na</w:t>
      </w:r>
      <w:r w:rsidRPr="00DF7213">
        <w:t xml:space="preserve"> dotace obcím </w:t>
      </w:r>
      <w:r w:rsidR="00CC0047">
        <w:t>na pr</w:t>
      </w:r>
      <w:r w:rsidR="00CC0047">
        <w:t>o</w:t>
      </w:r>
      <w:r w:rsidR="00CC0047">
        <w:t>gram Výstavba pro obce na pořízení sociálního bydlení v</w:t>
      </w:r>
      <w:r w:rsidR="004018AE">
        <w:t> </w:t>
      </w:r>
      <w:r w:rsidR="00CC0047">
        <w:t>obcích</w:t>
      </w:r>
      <w:r w:rsidR="00F14018">
        <w:t xml:space="preserve"> a</w:t>
      </w:r>
      <w:r w:rsidR="00CC0047">
        <w:t xml:space="preserve"> program Regenerace veřejných prostranství </w:t>
      </w:r>
      <w:r w:rsidRPr="00DF7213">
        <w:t>v</w:t>
      </w:r>
      <w:r w:rsidR="00CC0047">
        <w:t xml:space="preserve"> celkové </w:t>
      </w:r>
      <w:r w:rsidRPr="00DF7213">
        <w:t xml:space="preserve">výši </w:t>
      </w:r>
      <w:r w:rsidR="0081113B" w:rsidRPr="0081113B">
        <w:t>550</w:t>
      </w:r>
      <w:r w:rsidR="00896C17" w:rsidRPr="0081113B">
        <w:t> </w:t>
      </w:r>
      <w:r w:rsidRPr="0081113B">
        <w:t>mil. Kč</w:t>
      </w:r>
      <w:r w:rsidRPr="00DF7213">
        <w:t>, na výplatu úrokových dotací k</w:t>
      </w:r>
      <w:r w:rsidR="0067684D">
        <w:t> </w:t>
      </w:r>
      <w:r w:rsidRPr="00DF7213">
        <w:t>úvěrům na rekonstrukce a modernizace bytových d</w:t>
      </w:r>
      <w:r w:rsidRPr="00DF7213">
        <w:t>o</w:t>
      </w:r>
      <w:r w:rsidRPr="00DF7213">
        <w:lastRenderedPageBreak/>
        <w:t xml:space="preserve">mů poskytnutých v letech 2001 - 2010 ve výši </w:t>
      </w:r>
      <w:r w:rsidR="0081113B" w:rsidRPr="0081113B">
        <w:t>412</w:t>
      </w:r>
      <w:r w:rsidR="00E05C13">
        <w:t> </w:t>
      </w:r>
      <w:r w:rsidRPr="0081113B">
        <w:t>mil. Kč</w:t>
      </w:r>
      <w:r w:rsidRPr="00DF7213">
        <w:t>, na</w:t>
      </w:r>
      <w:r w:rsidR="0002554F" w:rsidRPr="00DF7213">
        <w:t> </w:t>
      </w:r>
      <w:r w:rsidRPr="00DF7213">
        <w:t>výplatu úrokových</w:t>
      </w:r>
      <w:r w:rsidR="00F14018">
        <w:t xml:space="preserve"> </w:t>
      </w:r>
      <w:r w:rsidRPr="00DF7213">
        <w:t>dotací k úvěrům na reko</w:t>
      </w:r>
      <w:r w:rsidRPr="00DF7213">
        <w:t>n</w:t>
      </w:r>
      <w:r w:rsidRPr="00DF7213">
        <w:t xml:space="preserve">strukce a </w:t>
      </w:r>
      <w:r w:rsidRPr="0081113B">
        <w:t>modernizace bytových domů poskytnutých v</w:t>
      </w:r>
      <w:r w:rsidR="00C07A2B">
        <w:t> </w:t>
      </w:r>
      <w:r w:rsidRPr="0081113B">
        <w:t xml:space="preserve">roce 2011 ve výši </w:t>
      </w:r>
      <w:r w:rsidR="00306606" w:rsidRPr="0081113B">
        <w:t>6</w:t>
      </w:r>
      <w:r w:rsidR="0081113B" w:rsidRPr="0081113B">
        <w:t>7 </w:t>
      </w:r>
      <w:r w:rsidRPr="0081113B">
        <w:t>mil.</w:t>
      </w:r>
      <w:r w:rsidR="0081113B" w:rsidRPr="0081113B">
        <w:t> </w:t>
      </w:r>
      <w:r w:rsidRPr="0081113B">
        <w:t>Kč, na výdaje zajišťování po</w:t>
      </w:r>
      <w:r w:rsidRPr="0081113B">
        <w:t>d</w:t>
      </w:r>
      <w:r w:rsidRPr="0081113B">
        <w:t xml:space="preserve">por ve výši </w:t>
      </w:r>
      <w:r w:rsidR="00306606" w:rsidRPr="0081113B">
        <w:t>8</w:t>
      </w:r>
      <w:r w:rsidR="0081113B" w:rsidRPr="0081113B">
        <w:t>1</w:t>
      </w:r>
      <w:r w:rsidR="00306606" w:rsidRPr="0081113B">
        <w:t>,</w:t>
      </w:r>
      <w:r w:rsidR="0081113B" w:rsidRPr="0081113B">
        <w:t>6</w:t>
      </w:r>
      <w:r w:rsidR="00E05C13">
        <w:t> </w:t>
      </w:r>
      <w:r w:rsidRPr="0081113B">
        <w:t>mil.</w:t>
      </w:r>
      <w:r w:rsidR="00E05C13">
        <w:t> </w:t>
      </w:r>
      <w:r w:rsidRPr="0081113B">
        <w:t>Kč, na snižování jistiny úvěrů</w:t>
      </w:r>
      <w:r w:rsidRPr="00DF7213">
        <w:t xml:space="preserve"> ml</w:t>
      </w:r>
      <w:r w:rsidRPr="00DF7213">
        <w:t>a</w:t>
      </w:r>
      <w:r w:rsidRPr="00DF7213">
        <w:lastRenderedPageBreak/>
        <w:t xml:space="preserve">dým lidem na výstavbu ve výši </w:t>
      </w:r>
      <w:r w:rsidR="00306606" w:rsidRPr="00DF7213">
        <w:t>4</w:t>
      </w:r>
      <w:r w:rsidR="0081113B">
        <w:t>2</w:t>
      </w:r>
      <w:r w:rsidR="00D05990">
        <w:t> </w:t>
      </w:r>
      <w:r w:rsidRPr="00DF7213">
        <w:t>mil.</w:t>
      </w:r>
      <w:r w:rsidR="00D05990">
        <w:t> </w:t>
      </w:r>
      <w:r w:rsidRPr="00DF7213">
        <w:t xml:space="preserve">Kč a na správní výdaje fondu ve výši </w:t>
      </w:r>
      <w:r w:rsidR="00B637DE" w:rsidRPr="00DF7213">
        <w:t>10</w:t>
      </w:r>
      <w:r w:rsidR="0081113B">
        <w:t>3</w:t>
      </w:r>
      <w:r w:rsidR="00B637DE" w:rsidRPr="00DF7213">
        <w:t>,</w:t>
      </w:r>
      <w:r w:rsidR="0081113B">
        <w:t>4</w:t>
      </w:r>
      <w:r w:rsidR="00896C17" w:rsidRPr="00DF7213">
        <w:t> </w:t>
      </w:r>
      <w:r w:rsidRPr="00DF7213">
        <w:t>mil.</w:t>
      </w:r>
      <w:r w:rsidR="00D05990">
        <w:t> </w:t>
      </w:r>
      <w:r w:rsidRPr="00DF7213">
        <w:t>Kč.</w:t>
      </w:r>
    </w:p>
    <w:p w:rsidR="006566B5" w:rsidRPr="006566B5" w:rsidRDefault="006566B5" w:rsidP="005E56DB">
      <w:pPr>
        <w:pStyle w:val="SRTextnomal"/>
      </w:pPr>
      <w:r w:rsidRPr="00526DA1">
        <w:t>V roce 202</w:t>
      </w:r>
      <w:r w:rsidR="009A48F8">
        <w:t>3</w:t>
      </w:r>
      <w:r w:rsidRPr="00526DA1">
        <w:t xml:space="preserve"> jsou výdaje plánovány ve výši</w:t>
      </w:r>
      <w:r w:rsidR="009A48F8">
        <w:t xml:space="preserve"> 2</w:t>
      </w:r>
      <w:r w:rsidR="00B637DE" w:rsidRPr="00526DA1">
        <w:t> </w:t>
      </w:r>
      <w:r w:rsidR="009A48F8">
        <w:t>649</w:t>
      </w:r>
      <w:r w:rsidR="00B637DE" w:rsidRPr="00526DA1">
        <w:t> </w:t>
      </w:r>
      <w:r w:rsidRPr="00526DA1">
        <w:t>mil.</w:t>
      </w:r>
      <w:r w:rsidR="00B637DE" w:rsidRPr="00526DA1">
        <w:t> </w:t>
      </w:r>
      <w:r w:rsidRPr="00526DA1">
        <w:t>Kč, v roce 202</w:t>
      </w:r>
      <w:r w:rsidR="009A48F8">
        <w:t>4</w:t>
      </w:r>
      <w:r w:rsidRPr="00526DA1">
        <w:t xml:space="preserve"> jsou výdaje rozpočtovány ve</w:t>
      </w:r>
      <w:r>
        <w:t xml:space="preserve"> výši </w:t>
      </w:r>
      <w:r w:rsidR="009A48F8">
        <w:t>1</w:t>
      </w:r>
      <w:r w:rsidR="00B637DE">
        <w:t> </w:t>
      </w:r>
      <w:r w:rsidR="009A48F8">
        <w:t>535</w:t>
      </w:r>
      <w:r w:rsidR="00B637DE">
        <w:t> </w:t>
      </w:r>
      <w:r>
        <w:t>mil.</w:t>
      </w:r>
      <w:r w:rsidR="00B637DE">
        <w:t> </w:t>
      </w:r>
      <w:r>
        <w:t>Kč.</w:t>
      </w:r>
    </w:p>
    <w:p w:rsidR="006566B5" w:rsidRDefault="006566B5" w:rsidP="00BD76A8">
      <w:pPr>
        <w:pStyle w:val="SRtitulek1"/>
        <w:sectPr w:rsidR="006566B5" w:rsidSect="00385A41">
          <w:type w:val="continuous"/>
          <w:pgSz w:w="11906" w:h="16838" w:code="9"/>
          <w:pgMar w:top="1134" w:right="1134" w:bottom="1418" w:left="1134" w:header="709" w:footer="709" w:gutter="0"/>
          <w:cols w:num="2" w:space="397"/>
          <w:docGrid w:linePitch="360"/>
        </w:sectPr>
      </w:pPr>
    </w:p>
    <w:p w:rsidR="00627DE9" w:rsidRDefault="00627DE9" w:rsidP="00404E39">
      <w:pPr>
        <w:pStyle w:val="SRtitulek1"/>
      </w:pPr>
      <w:bookmarkStart w:id="156" w:name="_Toc83882895"/>
      <w:r>
        <w:lastRenderedPageBreak/>
        <w:t xml:space="preserve">Tabulka </w:t>
      </w:r>
      <w:r w:rsidR="00D51DCA">
        <w:fldChar w:fldCharType="begin"/>
      </w:r>
      <w:r w:rsidR="00D51DCA">
        <w:instrText xml:space="preserve"> SEQ Tabulka \* ARABIC </w:instrText>
      </w:r>
      <w:r w:rsidR="00D51DCA">
        <w:fldChar w:fldCharType="separate"/>
      </w:r>
      <w:r w:rsidR="00D51DCA">
        <w:rPr>
          <w:noProof/>
        </w:rPr>
        <w:t>30</w:t>
      </w:r>
      <w:r w:rsidR="00D51DCA">
        <w:rPr>
          <w:noProof/>
        </w:rPr>
        <w:fldChar w:fldCharType="end"/>
      </w:r>
      <w:r w:rsidRPr="00627DE9">
        <w:t xml:space="preserve"> </w:t>
      </w:r>
      <w:r w:rsidRPr="00F36BA0">
        <w:t xml:space="preserve">Státní fond podpory investic v letech 2022 – 2024 </w:t>
      </w:r>
      <w:r w:rsidRPr="00F36BA0">
        <w:rPr>
          <w:i/>
        </w:rPr>
        <w:t>(v Kč)</w:t>
      </w:r>
      <w:bookmarkEnd w:id="156"/>
    </w:p>
    <w:p w:rsidR="004B0407" w:rsidRDefault="00992C3F" w:rsidP="004B0407">
      <w:r>
        <w:rPr>
          <w:noProof/>
        </w:rPr>
        <w:pict>
          <v:shape id="_x0000_i1051" type="#_x0000_t75" style="width:481.6pt;height:75.4pt">
            <v:imagedata r:id="rId71" o:title=""/>
          </v:shape>
        </w:pict>
      </w:r>
    </w:p>
    <w:p w:rsidR="004B0407" w:rsidRDefault="004B0407" w:rsidP="005A27EF">
      <w:pPr>
        <w:pStyle w:val="SRNadpis2"/>
      </w:pPr>
      <w:bookmarkStart w:id="157" w:name="_Toc52369419"/>
      <w:bookmarkStart w:id="158" w:name="_Toc83882850"/>
      <w:r>
        <w:t>Státní fond životního prostředí České republiky</w:t>
      </w:r>
      <w:bookmarkEnd w:id="157"/>
      <w:bookmarkEnd w:id="158"/>
    </w:p>
    <w:p w:rsidR="002C7752" w:rsidRDefault="002C7752" w:rsidP="002C7752">
      <w:pPr>
        <w:sectPr w:rsidR="002C7752" w:rsidSect="00385A41">
          <w:type w:val="continuous"/>
          <w:pgSz w:w="11906" w:h="16838" w:code="9"/>
          <w:pgMar w:top="1134" w:right="1134" w:bottom="1418" w:left="1134" w:header="709" w:footer="709" w:gutter="0"/>
          <w:cols w:space="709"/>
          <w:docGrid w:linePitch="360"/>
        </w:sectPr>
      </w:pPr>
    </w:p>
    <w:p w:rsidR="002C7752" w:rsidRPr="00B63918" w:rsidRDefault="002C7752" w:rsidP="005E56DB">
      <w:pPr>
        <w:pStyle w:val="SRTextnomal"/>
      </w:pPr>
      <w:r w:rsidRPr="00B63918">
        <w:lastRenderedPageBreak/>
        <w:t>Příjmy fondu jsou pro rok 20</w:t>
      </w:r>
      <w:r w:rsidR="00DF31F3" w:rsidRPr="00B63918">
        <w:t>2</w:t>
      </w:r>
      <w:r w:rsidR="004C40F5">
        <w:t>2</w:t>
      </w:r>
      <w:r w:rsidRPr="00B63918">
        <w:t xml:space="preserve"> rozpočtovány ve výši </w:t>
      </w:r>
      <w:r w:rsidR="004C40F5">
        <w:t>20,1</w:t>
      </w:r>
      <w:r w:rsidR="000144EC">
        <w:t> </w:t>
      </w:r>
      <w:r w:rsidRPr="00B63918">
        <w:t>ml</w:t>
      </w:r>
      <w:r w:rsidR="004C40F5">
        <w:t>d</w:t>
      </w:r>
      <w:r w:rsidRPr="00B63918">
        <w:t>.</w:t>
      </w:r>
      <w:r w:rsidR="000144EC">
        <w:t> </w:t>
      </w:r>
      <w:r w:rsidRPr="00B63918">
        <w:t xml:space="preserve">Kč, přičemž převážnou část příjmů tvoří </w:t>
      </w:r>
      <w:r w:rsidR="000A0432">
        <w:t>tran</w:t>
      </w:r>
      <w:r w:rsidR="000A0432">
        <w:t>s</w:t>
      </w:r>
      <w:r w:rsidR="000A0432">
        <w:t>fer z</w:t>
      </w:r>
      <w:r w:rsidR="007E714F">
        <w:t xml:space="preserve"> Modernizační</w:t>
      </w:r>
      <w:r w:rsidR="000A0432">
        <w:t>ho</w:t>
      </w:r>
      <w:r w:rsidR="007E714F">
        <w:t xml:space="preserve"> fond</w:t>
      </w:r>
      <w:r w:rsidR="000A0432">
        <w:t>u</w:t>
      </w:r>
      <w:r w:rsidR="007E714F">
        <w:t xml:space="preserve"> (8,0</w:t>
      </w:r>
      <w:r w:rsidR="00590CC1">
        <w:t> </w:t>
      </w:r>
      <w:r w:rsidR="007E714F">
        <w:t>mld.</w:t>
      </w:r>
      <w:r w:rsidR="00590CC1">
        <w:t> </w:t>
      </w:r>
      <w:r w:rsidR="007E714F">
        <w:t>Kč) a transfer na</w:t>
      </w:r>
      <w:r w:rsidR="008F6142">
        <w:t> </w:t>
      </w:r>
      <w:r w:rsidR="007E714F">
        <w:t>Národní plán obnovy (9</w:t>
      </w:r>
      <w:r w:rsidR="000A0432">
        <w:t>,</w:t>
      </w:r>
      <w:r w:rsidR="007E714F">
        <w:t>1</w:t>
      </w:r>
      <w:r w:rsidR="00590CC1">
        <w:t> </w:t>
      </w:r>
      <w:r w:rsidR="007E714F">
        <w:t>mld.</w:t>
      </w:r>
      <w:r w:rsidR="00590CC1">
        <w:t> </w:t>
      </w:r>
      <w:r w:rsidR="007E714F">
        <w:t>Kč)</w:t>
      </w:r>
      <w:r w:rsidR="00523A99" w:rsidRPr="00B63918">
        <w:t>.</w:t>
      </w:r>
    </w:p>
    <w:p w:rsidR="002C7752" w:rsidRPr="00B63918" w:rsidRDefault="002C7752" w:rsidP="005E56DB">
      <w:pPr>
        <w:pStyle w:val="SRTextnomal"/>
      </w:pPr>
      <w:r w:rsidRPr="00B63918">
        <w:t>Výdaje fondu na rok 20</w:t>
      </w:r>
      <w:r w:rsidR="00AD5585" w:rsidRPr="00B63918">
        <w:t>2</w:t>
      </w:r>
      <w:r w:rsidR="004C40F5">
        <w:t>2</w:t>
      </w:r>
      <w:r w:rsidRPr="00B63918">
        <w:t xml:space="preserve"> jsou stanoveny ve výši </w:t>
      </w:r>
      <w:r w:rsidR="004C40F5">
        <w:t>19,1</w:t>
      </w:r>
      <w:r w:rsidR="00896C17" w:rsidRPr="00B63918">
        <w:t> </w:t>
      </w:r>
      <w:r w:rsidRPr="00B63918">
        <w:t>ml</w:t>
      </w:r>
      <w:r w:rsidR="004C40F5">
        <w:t>d</w:t>
      </w:r>
      <w:r w:rsidRPr="00B63918">
        <w:t>.</w:t>
      </w:r>
      <w:r w:rsidR="00C07A2B">
        <w:t> </w:t>
      </w:r>
      <w:r w:rsidRPr="00B63918">
        <w:t xml:space="preserve">Kč. Velkou část výdajů představuje financování Národního programu Životní prostředí, </w:t>
      </w:r>
      <w:r w:rsidR="007E714F">
        <w:t>výdaje na M</w:t>
      </w:r>
      <w:r w:rsidR="007E714F">
        <w:t>o</w:t>
      </w:r>
      <w:r w:rsidR="007E714F">
        <w:lastRenderedPageBreak/>
        <w:t>dernizační fond a výdaje spojené s Národním plánem obnovy.</w:t>
      </w:r>
    </w:p>
    <w:p w:rsidR="003D62A3" w:rsidRDefault="002C7752" w:rsidP="005E56DB">
      <w:pPr>
        <w:pStyle w:val="SRTextnomal"/>
      </w:pPr>
      <w:r w:rsidRPr="00B63918">
        <w:t>V roce 202</w:t>
      </w:r>
      <w:r w:rsidR="004C40F5">
        <w:t>3</w:t>
      </w:r>
      <w:r w:rsidRPr="00B63918">
        <w:t xml:space="preserve"> jsou příjmy fondu navrženy ve výši </w:t>
      </w:r>
      <w:r w:rsidR="003B6699">
        <w:t>1</w:t>
      </w:r>
      <w:r w:rsidR="004C40F5">
        <w:t>2,5</w:t>
      </w:r>
      <w:r w:rsidR="00526DA1" w:rsidRPr="00B63918">
        <w:t> </w:t>
      </w:r>
      <w:r w:rsidRPr="00B63918">
        <w:t>ml</w:t>
      </w:r>
      <w:r w:rsidR="004C40F5">
        <w:t>d</w:t>
      </w:r>
      <w:r w:rsidRPr="00B63918">
        <w:t xml:space="preserve">. Kč a výdaje ve výši </w:t>
      </w:r>
      <w:r w:rsidR="004C40F5">
        <w:t>16,2</w:t>
      </w:r>
      <w:r w:rsidR="00C07A2B">
        <w:t> </w:t>
      </w:r>
      <w:r w:rsidRPr="00B63918">
        <w:t>ml</w:t>
      </w:r>
      <w:r w:rsidR="004C40F5">
        <w:t>d</w:t>
      </w:r>
      <w:r w:rsidRPr="00B63918">
        <w:t>.</w:t>
      </w:r>
      <w:r w:rsidR="00C07A2B">
        <w:t> </w:t>
      </w:r>
      <w:r w:rsidRPr="00B63918">
        <w:t>Kč, v roce 202</w:t>
      </w:r>
      <w:r w:rsidR="004C40F5">
        <w:t>4</w:t>
      </w:r>
      <w:r w:rsidRPr="00B63918">
        <w:t xml:space="preserve"> jsou příjmy rozpočtovány ve výši </w:t>
      </w:r>
      <w:r w:rsidR="003B6699">
        <w:t>1</w:t>
      </w:r>
      <w:r w:rsidR="004C40F5">
        <w:t>2,8</w:t>
      </w:r>
      <w:r w:rsidR="00C07A2B">
        <w:t> </w:t>
      </w:r>
      <w:r w:rsidRPr="00B63918">
        <w:t>ml</w:t>
      </w:r>
      <w:r w:rsidR="004C40F5">
        <w:t>d</w:t>
      </w:r>
      <w:r w:rsidRPr="00B63918">
        <w:t>.</w:t>
      </w:r>
      <w:r w:rsidR="00C07A2B">
        <w:t> </w:t>
      </w:r>
      <w:r w:rsidRPr="00B63918">
        <w:t xml:space="preserve">Kč a výdaje ve výši </w:t>
      </w:r>
      <w:r w:rsidR="004C40F5">
        <w:t>17,5</w:t>
      </w:r>
      <w:r w:rsidR="008F6142">
        <w:t> </w:t>
      </w:r>
      <w:r w:rsidRPr="00B63918">
        <w:t>ml</w:t>
      </w:r>
      <w:r w:rsidR="004C40F5">
        <w:t>d</w:t>
      </w:r>
      <w:r w:rsidRPr="00B63918">
        <w:t>.</w:t>
      </w:r>
      <w:r w:rsidR="00C07A2B">
        <w:t> </w:t>
      </w:r>
      <w:r w:rsidRPr="00B63918">
        <w:t>Kč.</w:t>
      </w:r>
    </w:p>
    <w:p w:rsidR="007A68BA" w:rsidRDefault="007A68BA" w:rsidP="002C7752">
      <w:pPr>
        <w:sectPr w:rsidR="007A68BA" w:rsidSect="00385A41">
          <w:type w:val="continuous"/>
          <w:pgSz w:w="11906" w:h="16838" w:code="9"/>
          <w:pgMar w:top="1134" w:right="1134" w:bottom="1418" w:left="1134" w:header="709" w:footer="709" w:gutter="0"/>
          <w:cols w:num="2" w:space="397"/>
          <w:docGrid w:linePitch="360"/>
        </w:sectPr>
      </w:pPr>
    </w:p>
    <w:p w:rsidR="00627DE9" w:rsidRDefault="00627DE9" w:rsidP="00404E39">
      <w:pPr>
        <w:pStyle w:val="SRtitulek1"/>
      </w:pPr>
      <w:bookmarkStart w:id="159" w:name="_Toc83882896"/>
      <w:r>
        <w:lastRenderedPageBreak/>
        <w:t xml:space="preserve">Tabulka </w:t>
      </w:r>
      <w:r w:rsidR="00D51DCA">
        <w:fldChar w:fldCharType="begin"/>
      </w:r>
      <w:r w:rsidR="00D51DCA">
        <w:instrText xml:space="preserve"> SEQ Tabulka \* ARABIC </w:instrText>
      </w:r>
      <w:r w:rsidR="00D51DCA">
        <w:fldChar w:fldCharType="separate"/>
      </w:r>
      <w:r w:rsidR="00D51DCA">
        <w:rPr>
          <w:noProof/>
        </w:rPr>
        <w:t>31</w:t>
      </w:r>
      <w:r w:rsidR="00D51DCA">
        <w:rPr>
          <w:noProof/>
        </w:rPr>
        <w:fldChar w:fldCharType="end"/>
      </w:r>
      <w:r w:rsidRPr="00627DE9">
        <w:t xml:space="preserve"> </w:t>
      </w:r>
      <w:r w:rsidRPr="000B2898">
        <w:t xml:space="preserve">Státní fond životního prostředí ČR v letech 2022 – 2024 </w:t>
      </w:r>
      <w:r w:rsidRPr="000B2898">
        <w:rPr>
          <w:i/>
        </w:rPr>
        <w:t>(v Kč)</w:t>
      </w:r>
      <w:bookmarkEnd w:id="159"/>
    </w:p>
    <w:p w:rsidR="00DB173E" w:rsidRDefault="00992C3F" w:rsidP="00404E39">
      <w:pPr>
        <w:spacing w:after="0"/>
        <w:rPr>
          <w:noProof/>
        </w:rPr>
      </w:pPr>
      <w:r>
        <w:rPr>
          <w:noProof/>
        </w:rPr>
        <w:pict>
          <v:shape id="_x0000_i1052" type="#_x0000_t75" style="width:481.6pt;height:138.55pt">
            <v:imagedata r:id="rId72" o:title=""/>
          </v:shape>
        </w:pict>
      </w:r>
    </w:p>
    <w:p w:rsidR="00241E5A" w:rsidRPr="00404E39" w:rsidRDefault="00350F85" w:rsidP="00350F85">
      <w:pPr>
        <w:jc w:val="left"/>
        <w:rPr>
          <w:i/>
          <w:sz w:val="18"/>
          <w:szCs w:val="18"/>
        </w:rPr>
      </w:pPr>
      <w:r w:rsidRPr="00350F85">
        <w:rPr>
          <w:i/>
          <w:sz w:val="18"/>
          <w:szCs w:val="18"/>
        </w:rPr>
        <w:t>Poznámka.: *) Přijaté tran</w:t>
      </w:r>
      <w:r>
        <w:rPr>
          <w:i/>
          <w:sz w:val="18"/>
          <w:szCs w:val="18"/>
        </w:rPr>
        <w:t>s</w:t>
      </w:r>
      <w:r w:rsidRPr="00350F85">
        <w:rPr>
          <w:i/>
          <w:sz w:val="18"/>
          <w:szCs w:val="18"/>
        </w:rPr>
        <w:t>fery obsahují i pro</w:t>
      </w:r>
      <w:r>
        <w:rPr>
          <w:i/>
          <w:sz w:val="18"/>
          <w:szCs w:val="18"/>
        </w:rPr>
        <w:t>s</w:t>
      </w:r>
      <w:r w:rsidRPr="00350F85">
        <w:rPr>
          <w:i/>
          <w:sz w:val="18"/>
          <w:szCs w:val="18"/>
        </w:rPr>
        <w:t>tředky z Modernizačního fondu, které dostane přímo SFŽP.</w:t>
      </w:r>
      <w:r>
        <w:rPr>
          <w:i/>
          <w:sz w:val="18"/>
          <w:szCs w:val="18"/>
        </w:rPr>
        <w:t xml:space="preserve">                      </w:t>
      </w:r>
      <w:r w:rsidRPr="00350F85">
        <w:rPr>
          <w:i/>
          <w:sz w:val="18"/>
          <w:szCs w:val="18"/>
        </w:rPr>
        <w:t xml:space="preserve">                       **) SFŽP očekává zapojení nároků z nespotřebovaných výdajů z kapitoly MŽP ve výši 1 269 mil. Kč v roce 2022 a ve výši 380 mil. Kč v</w:t>
      </w:r>
      <w:r>
        <w:rPr>
          <w:i/>
          <w:sz w:val="18"/>
          <w:szCs w:val="18"/>
        </w:rPr>
        <w:t> </w:t>
      </w:r>
      <w:r w:rsidRPr="00350F85">
        <w:rPr>
          <w:i/>
          <w:sz w:val="18"/>
          <w:szCs w:val="18"/>
        </w:rPr>
        <w:t>roce 2023.</w:t>
      </w:r>
    </w:p>
    <w:p w:rsidR="004B0407" w:rsidRDefault="004B0407" w:rsidP="005A27EF">
      <w:pPr>
        <w:pStyle w:val="SRNadpis2"/>
      </w:pPr>
      <w:bookmarkStart w:id="160" w:name="_Toc52369420"/>
      <w:bookmarkStart w:id="161" w:name="_Toc83882851"/>
      <w:r>
        <w:t>Úhrnná bilance státních fondů</w:t>
      </w:r>
      <w:bookmarkEnd w:id="160"/>
      <w:bookmarkEnd w:id="161"/>
    </w:p>
    <w:p w:rsidR="00DC2A75" w:rsidRDefault="00DC2A75" w:rsidP="00DC2A75">
      <w:pPr>
        <w:sectPr w:rsidR="00DC2A75" w:rsidSect="00385A41">
          <w:type w:val="continuous"/>
          <w:pgSz w:w="11906" w:h="16838" w:code="9"/>
          <w:pgMar w:top="1134" w:right="1134" w:bottom="1418" w:left="1134" w:header="709" w:footer="709" w:gutter="0"/>
          <w:cols w:space="709"/>
          <w:docGrid w:linePitch="360"/>
        </w:sectPr>
      </w:pPr>
    </w:p>
    <w:p w:rsidR="003D62A3" w:rsidRDefault="00DC2A75" w:rsidP="005E56DB">
      <w:pPr>
        <w:pStyle w:val="SRTextnomal"/>
      </w:pPr>
      <w:r w:rsidRPr="00DC2A75">
        <w:lastRenderedPageBreak/>
        <w:t>Úhrnná celková bilance základních ukazatelů státních fondů je v rámci střednědobého výhledu na roky 202</w:t>
      </w:r>
      <w:r w:rsidR="00454131">
        <w:t>3</w:t>
      </w:r>
      <w:r w:rsidRPr="00DC2A75">
        <w:t xml:space="preserve"> a 202</w:t>
      </w:r>
      <w:r w:rsidR="00454131">
        <w:t>4</w:t>
      </w:r>
      <w:r w:rsidRPr="00DC2A75">
        <w:t xml:space="preserve"> uvedena spolu s návrhem rozpočtu na rok 20</w:t>
      </w:r>
      <w:r>
        <w:t>2</w:t>
      </w:r>
      <w:r w:rsidR="00454131">
        <w:t>2</w:t>
      </w:r>
      <w:r w:rsidRPr="00DC2A75">
        <w:t xml:space="preserve"> v </w:t>
      </w:r>
      <w:r w:rsidRPr="00DC2A75">
        <w:lastRenderedPageBreak/>
        <w:t>následující tabulce. Výdaje na léta 202</w:t>
      </w:r>
      <w:r w:rsidR="00454131">
        <w:t>3</w:t>
      </w:r>
      <w:r w:rsidRPr="00DC2A75">
        <w:t xml:space="preserve"> a 202</w:t>
      </w:r>
      <w:r w:rsidR="00454131">
        <w:t>4</w:t>
      </w:r>
      <w:r w:rsidRPr="00DC2A75">
        <w:t xml:space="preserve"> neobs</w:t>
      </w:r>
      <w:r w:rsidRPr="00DC2A75">
        <w:t>a</w:t>
      </w:r>
      <w:r w:rsidRPr="00DC2A75">
        <w:t>hují prostředky EU a FM (promítají se až při přípravě ročního rozpočtu).</w:t>
      </w:r>
    </w:p>
    <w:p w:rsidR="007A68BA" w:rsidRDefault="007A68BA" w:rsidP="00DC2A75">
      <w:pPr>
        <w:sectPr w:rsidR="007A68BA" w:rsidSect="00385A41">
          <w:type w:val="continuous"/>
          <w:pgSz w:w="11906" w:h="16838" w:code="9"/>
          <w:pgMar w:top="1134" w:right="1134" w:bottom="1418" w:left="1134" w:header="709" w:footer="709" w:gutter="0"/>
          <w:cols w:num="2" w:space="397"/>
          <w:docGrid w:linePitch="360"/>
        </w:sectPr>
      </w:pPr>
    </w:p>
    <w:p w:rsidR="00627DE9" w:rsidRDefault="00627DE9" w:rsidP="00404E39">
      <w:pPr>
        <w:pStyle w:val="SRtitulek1"/>
      </w:pPr>
      <w:bookmarkStart w:id="162" w:name="_Toc83882897"/>
      <w:r>
        <w:lastRenderedPageBreak/>
        <w:t xml:space="preserve">Tabulka </w:t>
      </w:r>
      <w:r w:rsidR="00D51DCA">
        <w:fldChar w:fldCharType="begin"/>
      </w:r>
      <w:r w:rsidR="00D51DCA">
        <w:instrText xml:space="preserve"> SEQ Tabulka \* ARABIC </w:instrText>
      </w:r>
      <w:r w:rsidR="00D51DCA">
        <w:fldChar w:fldCharType="separate"/>
      </w:r>
      <w:r w:rsidR="00D51DCA">
        <w:rPr>
          <w:noProof/>
        </w:rPr>
        <w:t>32</w:t>
      </w:r>
      <w:r w:rsidR="00D51DCA">
        <w:rPr>
          <w:noProof/>
        </w:rPr>
        <w:fldChar w:fldCharType="end"/>
      </w:r>
      <w:r w:rsidRPr="00627DE9">
        <w:t xml:space="preserve"> </w:t>
      </w:r>
      <w:r w:rsidRPr="00CC3415">
        <w:t xml:space="preserve">Úhrnná bilance státních fondů v letech 2022 – 2024 </w:t>
      </w:r>
      <w:r w:rsidRPr="00CC3415">
        <w:rPr>
          <w:i/>
        </w:rPr>
        <w:t>(v Kč)</w:t>
      </w:r>
      <w:bookmarkEnd w:id="162"/>
    </w:p>
    <w:p w:rsidR="000F2C19" w:rsidRPr="00765AC1" w:rsidRDefault="00992C3F" w:rsidP="004B0407">
      <w:pPr>
        <w:rPr>
          <w:i/>
          <w:sz w:val="18"/>
          <w:szCs w:val="18"/>
        </w:rPr>
      </w:pPr>
      <w:r>
        <w:rPr>
          <w:noProof/>
        </w:rPr>
        <w:pict>
          <v:shape id="_x0000_i1053" type="#_x0000_t75" style="width:481.6pt;height:285.3pt">
            <v:imagedata r:id="rId73" o:title=""/>
          </v:shape>
        </w:pict>
      </w:r>
      <w:r w:rsidR="00765AC1" w:rsidRPr="00765AC1">
        <w:rPr>
          <w:i/>
          <w:sz w:val="18"/>
          <w:szCs w:val="18"/>
        </w:rPr>
        <w:t>Poznámka: Přijaté tran</w:t>
      </w:r>
      <w:r w:rsidR="000B3EF0">
        <w:rPr>
          <w:i/>
          <w:sz w:val="18"/>
          <w:szCs w:val="18"/>
        </w:rPr>
        <w:t>s</w:t>
      </w:r>
      <w:r w:rsidR="00765AC1" w:rsidRPr="00765AC1">
        <w:rPr>
          <w:i/>
          <w:sz w:val="18"/>
          <w:szCs w:val="18"/>
        </w:rPr>
        <w:t>fery obsahují i prostředky z Modernizačního fondu, které dostane přímo SFŽP.</w:t>
      </w:r>
    </w:p>
    <w:p w:rsidR="004B0407" w:rsidRDefault="000F2C19" w:rsidP="000F2C19">
      <w:pPr>
        <w:spacing w:after="0"/>
        <w:jc w:val="left"/>
      </w:pPr>
      <w:r>
        <w:br w:type="page"/>
      </w:r>
    </w:p>
    <w:p w:rsidR="004B0407" w:rsidRDefault="00B25B03" w:rsidP="00294399">
      <w:pPr>
        <w:pStyle w:val="SRNadpisAB"/>
      </w:pPr>
      <w:bookmarkStart w:id="163" w:name="_Toc52369421"/>
      <w:bookmarkStart w:id="164" w:name="_Toc83882852"/>
      <w:r>
        <w:lastRenderedPageBreak/>
        <w:t xml:space="preserve">Další vybrané </w:t>
      </w:r>
      <w:r w:rsidRPr="00BC5989">
        <w:t>údaje</w:t>
      </w:r>
      <w:r>
        <w:t xml:space="preserve"> střednědobého výhledu na léta 202</w:t>
      </w:r>
      <w:r w:rsidR="00E4261D">
        <w:t>3</w:t>
      </w:r>
      <w:r>
        <w:t xml:space="preserve"> a 202</w:t>
      </w:r>
      <w:bookmarkEnd w:id="163"/>
      <w:r w:rsidR="00E4261D">
        <w:t>4</w:t>
      </w:r>
      <w:bookmarkEnd w:id="164"/>
    </w:p>
    <w:p w:rsidR="00B25B03" w:rsidRPr="000A0D0D" w:rsidRDefault="00B25B03" w:rsidP="005A27EF">
      <w:pPr>
        <w:pStyle w:val="SRNadpis1"/>
      </w:pPr>
      <w:bookmarkStart w:id="165" w:name="_Toc52369422"/>
      <w:bookmarkStart w:id="166" w:name="_Toc83882853"/>
      <w:r w:rsidRPr="000A0D0D">
        <w:t>Výdaje na programy nebo projekty spolufinancované z rozpočtu Evropské unie v letech 202</w:t>
      </w:r>
      <w:r w:rsidR="00E4261D" w:rsidRPr="000A0D0D">
        <w:t>3</w:t>
      </w:r>
      <w:r w:rsidRPr="000A0D0D">
        <w:t xml:space="preserve"> – 202</w:t>
      </w:r>
      <w:bookmarkEnd w:id="165"/>
      <w:r w:rsidR="00E4261D" w:rsidRPr="000A0D0D">
        <w:t>4</w:t>
      </w:r>
      <w:bookmarkEnd w:id="166"/>
    </w:p>
    <w:p w:rsidR="00E57A59" w:rsidRPr="00E57A59" w:rsidRDefault="00E57A59" w:rsidP="005A27EF">
      <w:pPr>
        <w:pStyle w:val="SRNadpis2"/>
      </w:pPr>
      <w:bookmarkStart w:id="167" w:name="_Toc83882854"/>
      <w:r w:rsidRPr="00E57A59">
        <w:t>Výdaje na operační programy programového období 2007-2013</w:t>
      </w:r>
      <w:bookmarkEnd w:id="167"/>
    </w:p>
    <w:p w:rsidR="00E57A59" w:rsidRDefault="00E57A59" w:rsidP="00E57A59">
      <w:pPr>
        <w:sectPr w:rsidR="00E57A59" w:rsidSect="00385A41">
          <w:type w:val="continuous"/>
          <w:pgSz w:w="11906" w:h="16838" w:code="9"/>
          <w:pgMar w:top="1134" w:right="1134" w:bottom="1418" w:left="1134" w:header="709" w:footer="709" w:gutter="0"/>
          <w:cols w:space="709"/>
          <w:docGrid w:linePitch="360"/>
        </w:sectPr>
      </w:pPr>
    </w:p>
    <w:p w:rsidR="00E57A59" w:rsidRDefault="003F5446" w:rsidP="005E56DB">
      <w:pPr>
        <w:pStyle w:val="SRTextnomal"/>
      </w:pPr>
      <w:r w:rsidRPr="003F5446">
        <w:lastRenderedPageBreak/>
        <w:t>Financování projektů z programového období 2007-2013 bylo ukončeno a z tohoto důvodu není zapotřebí v l</w:t>
      </w:r>
      <w:r w:rsidRPr="003F5446">
        <w:t>e</w:t>
      </w:r>
      <w:r w:rsidRPr="003F5446">
        <w:t>tech 2023 a 2024 rozpočtovat prostředky na předfina</w:t>
      </w:r>
      <w:r w:rsidRPr="003F5446">
        <w:t>n</w:t>
      </w:r>
      <w:r w:rsidRPr="003F5446">
        <w:t>cování podílu EU a na národní spolufinancování ze státního rozpočtu k projektům z tohoto období. V so</w:t>
      </w:r>
      <w:r w:rsidRPr="003F5446">
        <w:t>u</w:t>
      </w:r>
      <w:r w:rsidRPr="003F5446">
        <w:t>vislosti s tímto obdobím probíhá již jen proces jeho uz</w:t>
      </w:r>
      <w:r w:rsidRPr="003F5446">
        <w:t>a</w:t>
      </w:r>
      <w:r w:rsidRPr="003F5446">
        <w:t xml:space="preserve">vírání, který zahrnuje řešení sporných případů, </w:t>
      </w:r>
      <w:r w:rsidRPr="003F5446">
        <w:lastRenderedPageBreak/>
        <w:t>nesrovnalostí a vypořádání finančních vztahů mezi E</w:t>
      </w:r>
      <w:r w:rsidRPr="003F5446">
        <w:t>v</w:t>
      </w:r>
      <w:r w:rsidRPr="003F5446">
        <w:t>ropskou unií a Českou republikou. V rámci tohoto prob</w:t>
      </w:r>
      <w:r w:rsidRPr="003F5446">
        <w:t>í</w:t>
      </w:r>
      <w:r w:rsidRPr="003F5446">
        <w:t>hajícího procesu může v období střednědobého výhledu případně proběhnout převod prostředků na příjmové účty státního rozpočtu nebo úhrada nezpůsobilých výd</w:t>
      </w:r>
      <w:r w:rsidRPr="003F5446">
        <w:t>a</w:t>
      </w:r>
      <w:r w:rsidRPr="003F5446">
        <w:t>jů ze státního rozpočtu nebo Národního fondu zpět E</w:t>
      </w:r>
      <w:r w:rsidRPr="003F5446">
        <w:t>v</w:t>
      </w:r>
      <w:r w:rsidRPr="003F5446">
        <w:t>ropské komisi.</w:t>
      </w:r>
    </w:p>
    <w:p w:rsidR="00E57A59" w:rsidRDefault="00E57A59" w:rsidP="00E57A59">
      <w:pPr>
        <w:sectPr w:rsidR="00E57A59" w:rsidSect="00385A41">
          <w:type w:val="continuous"/>
          <w:pgSz w:w="11906" w:h="16838" w:code="9"/>
          <w:pgMar w:top="1134" w:right="1134" w:bottom="1418" w:left="1134" w:header="709" w:footer="709" w:gutter="0"/>
          <w:cols w:num="2" w:space="397"/>
          <w:docGrid w:linePitch="360"/>
        </w:sectPr>
      </w:pPr>
    </w:p>
    <w:p w:rsidR="00E57A59" w:rsidRPr="00E57A59" w:rsidRDefault="00E57A59" w:rsidP="005A27EF">
      <w:pPr>
        <w:pStyle w:val="SRNadpis2"/>
      </w:pPr>
      <w:bookmarkStart w:id="168" w:name="_Toc83882855"/>
      <w:r w:rsidRPr="00E57A59">
        <w:lastRenderedPageBreak/>
        <w:t>Výdaje na operační programy programového období 2014-2020</w:t>
      </w:r>
      <w:bookmarkEnd w:id="168"/>
    </w:p>
    <w:p w:rsidR="00E57A59" w:rsidRDefault="00E57A59" w:rsidP="00E57A59">
      <w:pPr>
        <w:sectPr w:rsidR="00E57A59" w:rsidSect="00385A41">
          <w:type w:val="continuous"/>
          <w:pgSz w:w="11906" w:h="16838" w:code="9"/>
          <w:pgMar w:top="1134" w:right="1134" w:bottom="1418" w:left="1134" w:header="709" w:footer="709" w:gutter="0"/>
          <w:cols w:space="709"/>
          <w:docGrid w:linePitch="360"/>
        </w:sectPr>
      </w:pPr>
    </w:p>
    <w:p w:rsidR="003D62A3" w:rsidRDefault="003F5446" w:rsidP="005E56DB">
      <w:pPr>
        <w:pStyle w:val="SRTextnomal"/>
      </w:pPr>
      <w:r w:rsidRPr="003F5446">
        <w:lastRenderedPageBreak/>
        <w:t>V rámci ESI fondů v programovém období 2014</w:t>
      </w:r>
      <w:r w:rsidR="00EB3493">
        <w:t>-</w:t>
      </w:r>
      <w:r w:rsidRPr="003F5446">
        <w:t>2020 má Česká republika nárok vyčerpat alokaci ve výši 22,6 mld. EUR (vč. navýšení o prostředky REACT-EU) a tato alokace se musí vyčerpat v souladu s pravidlem n+3 do 31. 12. 2023. Jakékoliv další výdaje příjemců po tomto datu n</w:t>
      </w:r>
      <w:r w:rsidRPr="003F5446">
        <w:t>e</w:t>
      </w:r>
      <w:r w:rsidRPr="003F5446">
        <w:t>budou z hlediska programů období 2014-2020 způsobilé. Nutným předpokladem pro vyčerpání alokace je realiz</w:t>
      </w:r>
      <w:r w:rsidRPr="003F5446">
        <w:t>a</w:t>
      </w:r>
      <w:r w:rsidRPr="003F5446">
        <w:t xml:space="preserve">ce projektů a s tím související předfinancování podílu EU </w:t>
      </w:r>
      <w:r w:rsidRPr="003F5446">
        <w:lastRenderedPageBreak/>
        <w:t>ze státního rozpočtu. Vzhledem k tomu, že podle údajů MMR  bylo k 30. 6. 2021 příjemcům projektů na základě žádostí o platbu dosud celkem proplaceno 65,6 % alok</w:t>
      </w:r>
      <w:r w:rsidRPr="003F5446">
        <w:t>a</w:t>
      </w:r>
      <w:r w:rsidRPr="003F5446">
        <w:t>ce, zbývajících 34,4 % alokace bude zapotřebí proplatit v</w:t>
      </w:r>
      <w:r w:rsidR="00A0549F">
        <w:t> </w:t>
      </w:r>
      <w:r w:rsidRPr="003F5446">
        <w:t>letech 2021 až 2023 (případně na začátku roku 2024). Proto lze i v letech 2023-2024 očekávat významné p</w:t>
      </w:r>
      <w:r w:rsidRPr="003F5446">
        <w:t>o</w:t>
      </w:r>
      <w:r w:rsidRPr="003F5446">
        <w:t>třeby organizačních složek státu k financování opera</w:t>
      </w:r>
      <w:r w:rsidRPr="003F5446">
        <w:t>č</w:t>
      </w:r>
      <w:r w:rsidRPr="003F5446">
        <w:t>ních programů EU.</w:t>
      </w:r>
      <w:r>
        <w:t xml:space="preserve"> </w:t>
      </w:r>
    </w:p>
    <w:p w:rsidR="007A68BA" w:rsidRDefault="007A68BA" w:rsidP="00E57A59">
      <w:pPr>
        <w:sectPr w:rsidR="007A68BA" w:rsidSect="00385A41">
          <w:type w:val="continuous"/>
          <w:pgSz w:w="11906" w:h="16838" w:code="9"/>
          <w:pgMar w:top="1134" w:right="1134" w:bottom="1418" w:left="1134" w:header="709" w:footer="709" w:gutter="0"/>
          <w:cols w:num="2" w:space="397"/>
          <w:docGrid w:linePitch="360"/>
        </w:sectPr>
      </w:pPr>
    </w:p>
    <w:p w:rsidR="00E57A59" w:rsidRPr="00E57A59" w:rsidRDefault="00E57A59" w:rsidP="005A27EF">
      <w:pPr>
        <w:pStyle w:val="SRNadpis2"/>
      </w:pPr>
      <w:bookmarkStart w:id="169" w:name="_Toc83882856"/>
      <w:r w:rsidRPr="00E57A59">
        <w:lastRenderedPageBreak/>
        <w:t>Výdaje na operační programy programového období 2021-2027</w:t>
      </w:r>
      <w:bookmarkEnd w:id="169"/>
    </w:p>
    <w:p w:rsidR="00E57A59" w:rsidRDefault="00E57A59" w:rsidP="00E57A59">
      <w:pPr>
        <w:sectPr w:rsidR="00E57A59" w:rsidSect="00385A41">
          <w:type w:val="continuous"/>
          <w:pgSz w:w="11906" w:h="16838" w:code="9"/>
          <w:pgMar w:top="1134" w:right="1134" w:bottom="1418" w:left="1134" w:header="709" w:footer="709" w:gutter="0"/>
          <w:cols w:space="709"/>
          <w:docGrid w:linePitch="360"/>
        </w:sectPr>
      </w:pPr>
    </w:p>
    <w:p w:rsidR="003F5446" w:rsidRPr="003F5446" w:rsidRDefault="003F5446" w:rsidP="005E56DB">
      <w:pPr>
        <w:pStyle w:val="SRTextnomal"/>
      </w:pPr>
      <w:r w:rsidRPr="003F5446">
        <w:lastRenderedPageBreak/>
        <w:t>Pro ČR bylo pro programové období 2021-2027 alokov</w:t>
      </w:r>
      <w:r w:rsidRPr="003F5446">
        <w:t>á</w:t>
      </w:r>
      <w:r w:rsidRPr="003F5446">
        <w:t>no celkem 21,05 mld. EUR (včetně alokace na FST) a vláda 1. března 2021 schválila rozdělení těchto pr</w:t>
      </w:r>
      <w:r w:rsidRPr="003F5446">
        <w:t>o</w:t>
      </w:r>
      <w:r w:rsidRPr="003F5446">
        <w:t xml:space="preserve">středků mezi operační programy ČR. </w:t>
      </w:r>
    </w:p>
    <w:p w:rsidR="003F5446" w:rsidRPr="003F5446" w:rsidRDefault="003F5446" w:rsidP="005E56DB">
      <w:pPr>
        <w:pStyle w:val="SRTextnomal"/>
      </w:pPr>
      <w:r w:rsidRPr="003F5446">
        <w:t>Lze předpokládat, že v roce 2022 bude zahájeno fina</w:t>
      </w:r>
      <w:r w:rsidRPr="003F5446">
        <w:t>n</w:t>
      </w:r>
      <w:r w:rsidRPr="003F5446">
        <w:t xml:space="preserve">cování prvních projektů z nadcházejícího programového období a v období střednědobého výhledu by tedy již realizace operačních programů měla postupně nabíhat a mělo by tak docházet k setrvalému čerpání prostředků ze státního rozpočtu na předfinancování podílu EU a na podíl národního spolufinancování ze státního rozpočtu. </w:t>
      </w:r>
    </w:p>
    <w:p w:rsidR="003F5446" w:rsidRPr="003F5446" w:rsidRDefault="003F5446" w:rsidP="005E56DB">
      <w:pPr>
        <w:pStyle w:val="SRTextnomal"/>
      </w:pPr>
      <w:r w:rsidRPr="003F5446">
        <w:t>Pro roky 2023 a 2024 bude typické, že bude docházet k souběhu financování operačních programů ze dvou programových období. Bude probíhat významné doče</w:t>
      </w:r>
      <w:r w:rsidRPr="003F5446">
        <w:t>r</w:t>
      </w:r>
      <w:r w:rsidRPr="003F5446">
        <w:t>pávání prostředků na ukončované programové období 2014-2020 a zároveň se plně rozběhne finanční realizace operačních programů nového programového období. V těchto letech tak lze očekávat zvýšené požadavky r</w:t>
      </w:r>
      <w:r w:rsidRPr="003F5446">
        <w:t>e</w:t>
      </w:r>
      <w:r w:rsidRPr="003F5446">
        <w:t xml:space="preserve">sortů na financování operačních programů obou období ve snaze úspěšně dočerpat operační programy </w:t>
      </w:r>
      <w:r w:rsidRPr="003F5446">
        <w:lastRenderedPageBreak/>
        <w:t xml:space="preserve">z programového období 2014-2020 a zároveň zabezpečit stabilní realizaci operačních programů z programového období 2021-2027. </w:t>
      </w:r>
    </w:p>
    <w:p w:rsidR="004547D7" w:rsidRDefault="003F5446" w:rsidP="005E56DB">
      <w:pPr>
        <w:pStyle w:val="SRTextnomal"/>
      </w:pPr>
      <w:r w:rsidRPr="003F5446">
        <w:t>Zahájení čerpání prostředků ze státního rozpočtu na n</w:t>
      </w:r>
      <w:r w:rsidRPr="003F5446">
        <w:t>o</w:t>
      </w:r>
      <w:r w:rsidRPr="003F5446">
        <w:t>vé programové období je však podmíněno řadou fakt</w:t>
      </w:r>
      <w:r w:rsidRPr="003F5446">
        <w:t>o</w:t>
      </w:r>
      <w:r w:rsidRPr="003F5446">
        <w:t>rů, které mohou rychlost náběhu plateb ze státního rozpočtu i v letech 2023-2024 ovlivnit. Těmi základními faktory jsou: schválení metodického prostředí pro pr</w:t>
      </w:r>
      <w:r w:rsidRPr="003F5446">
        <w:t>o</w:t>
      </w:r>
      <w:r w:rsidRPr="003F5446">
        <w:t>gramové období 2021-2027, schválení Dohody o par</w:t>
      </w:r>
      <w:r w:rsidRPr="003F5446">
        <w:t>t</w:t>
      </w:r>
      <w:r w:rsidRPr="003F5446">
        <w:t>nerství a následně také operačních programů pro Českou republiku, nastavení spolehlivých řídicích a ko</w:t>
      </w:r>
      <w:r w:rsidRPr="003F5446">
        <w:t>n</w:t>
      </w:r>
      <w:r w:rsidRPr="003F5446">
        <w:t>trolních mechanismů jednotlivými řídicími orgány, v</w:t>
      </w:r>
      <w:r w:rsidRPr="003F5446">
        <w:t>y</w:t>
      </w:r>
      <w:r w:rsidRPr="003F5446">
        <w:t>hlášení konkrétních výzev k předkládání projektů řídicími orgány a spolehlivé nastavení informačních systémů p</w:t>
      </w:r>
      <w:r w:rsidRPr="003F5446">
        <w:t>o</w:t>
      </w:r>
      <w:r w:rsidRPr="003F5446">
        <w:t>užívaných pro ad</w:t>
      </w:r>
      <w:r w:rsidR="000A0D0D">
        <w:t>ministraci operačních programů.</w:t>
      </w:r>
      <w:r w:rsidR="00FE25C4">
        <w:t xml:space="preserve"> </w:t>
      </w:r>
    </w:p>
    <w:p w:rsidR="00FA1692" w:rsidRDefault="00FA1692" w:rsidP="00E57A59"/>
    <w:p w:rsidR="000771AF" w:rsidRDefault="000771AF" w:rsidP="00E57A59"/>
    <w:p w:rsidR="00FA1692" w:rsidRDefault="00FA1692" w:rsidP="00E57A59">
      <w:pPr>
        <w:sectPr w:rsidR="00FA1692" w:rsidSect="00385A41">
          <w:type w:val="continuous"/>
          <w:pgSz w:w="11906" w:h="16838" w:code="9"/>
          <w:pgMar w:top="1134" w:right="1134" w:bottom="1418" w:left="1134" w:header="709" w:footer="709" w:gutter="0"/>
          <w:cols w:num="2" w:space="397"/>
          <w:docGrid w:linePitch="360"/>
        </w:sectPr>
      </w:pPr>
    </w:p>
    <w:p w:rsidR="003F5446" w:rsidRPr="000A0D0D" w:rsidRDefault="003F5446" w:rsidP="005A27EF">
      <w:pPr>
        <w:pStyle w:val="SRNadpis2"/>
      </w:pPr>
      <w:bookmarkStart w:id="170" w:name="_Toc83882857"/>
      <w:r w:rsidRPr="000A0D0D">
        <w:lastRenderedPageBreak/>
        <w:t>Výdaje na nové programy v období 2021-2027</w:t>
      </w:r>
      <w:bookmarkEnd w:id="170"/>
      <w:r w:rsidRPr="000A0D0D">
        <w:t xml:space="preserve"> </w:t>
      </w:r>
    </w:p>
    <w:p w:rsidR="00F726D5" w:rsidRDefault="00F726D5" w:rsidP="003F5446">
      <w:pPr>
        <w:sectPr w:rsidR="00F726D5" w:rsidSect="00385A41">
          <w:type w:val="continuous"/>
          <w:pgSz w:w="11906" w:h="16838" w:code="9"/>
          <w:pgMar w:top="1134" w:right="1134" w:bottom="1418" w:left="1134" w:header="709" w:footer="709" w:gutter="0"/>
          <w:cols w:space="709"/>
          <w:docGrid w:linePitch="360"/>
        </w:sectPr>
      </w:pPr>
    </w:p>
    <w:p w:rsidR="003F5446" w:rsidRPr="00F726D5" w:rsidRDefault="003F5446" w:rsidP="005E56DB">
      <w:pPr>
        <w:pStyle w:val="SRTextnomal"/>
        <w:rPr>
          <w:highlight w:val="lightGray"/>
        </w:rPr>
      </w:pPr>
      <w:r w:rsidRPr="000A0D0D">
        <w:lastRenderedPageBreak/>
        <w:t>Pro období 2021-2027 byly dále schváleny nové progr</w:t>
      </w:r>
      <w:r w:rsidRPr="000A0D0D">
        <w:t>a</w:t>
      </w:r>
      <w:r w:rsidRPr="000A0D0D">
        <w:t>my, které budou vyžadovat předfinancování ze státního rozpočtu a které budou čerpány i v období 2023-2024. Jde zejména o Fond pro spravedlivou transformaci (FST - implementovaný v návaznosti na fondy politiky soudr</w:t>
      </w:r>
      <w:r w:rsidRPr="000A0D0D">
        <w:t>ž</w:t>
      </w:r>
      <w:r w:rsidRPr="000A0D0D">
        <w:t xml:space="preserve">nosti) a Facilitu na podporu oživení a odolnosti (RRF). ČR by dle současných odhadů měla mít k dispozici 7,1 mld. EUR z RRF (financované plně z Nástroje EU na podporu oživení - NGEU) a 1,6 mld. EUR ve FST (z toho cca 700 mil. </w:t>
      </w:r>
      <w:r w:rsidRPr="000A0D0D">
        <w:lastRenderedPageBreak/>
        <w:t>EUR v rámci VFR a cca 900 mil. EUR financovaných z</w:t>
      </w:r>
      <w:r w:rsidR="00122CE2">
        <w:t> </w:t>
      </w:r>
      <w:r w:rsidRPr="000A0D0D">
        <w:t>NGEU). Čerpání z obou programů bude záviset na schválení podkladových dokumentů a připravenosti pr</w:t>
      </w:r>
      <w:r w:rsidRPr="000A0D0D">
        <w:t>o</w:t>
      </w:r>
      <w:r w:rsidRPr="000A0D0D">
        <w:t>jektů. V případě RRF byl připraven národní plán na po</w:t>
      </w:r>
      <w:r w:rsidRPr="000A0D0D">
        <w:t>d</w:t>
      </w:r>
      <w:r w:rsidRPr="000A0D0D">
        <w:t>poru oživení a odolnosti, který již schválila Evropská komise a jehož schválení Radou EU se očekává v září 2021. FST bude implementován prostřednictvím nového Operačního programu Spravedlivá transformace.</w:t>
      </w:r>
    </w:p>
    <w:p w:rsidR="00F726D5" w:rsidRPr="00F726D5" w:rsidRDefault="00F726D5" w:rsidP="005A27EF">
      <w:pPr>
        <w:pStyle w:val="SRNadpis2"/>
        <w:rPr>
          <w:highlight w:val="lightGray"/>
        </w:rPr>
        <w:sectPr w:rsidR="00F726D5" w:rsidRPr="00F726D5" w:rsidSect="0032648B">
          <w:type w:val="continuous"/>
          <w:pgSz w:w="11906" w:h="16838" w:code="9"/>
          <w:pgMar w:top="1134" w:right="1134" w:bottom="1418" w:left="1134" w:header="709" w:footer="709" w:gutter="0"/>
          <w:cols w:num="2" w:space="282"/>
          <w:docGrid w:linePitch="360"/>
        </w:sectPr>
      </w:pPr>
    </w:p>
    <w:p w:rsidR="00E57A59" w:rsidRPr="00E57A59" w:rsidRDefault="00E57A59" w:rsidP="005A27EF">
      <w:pPr>
        <w:pStyle w:val="SRNadpis2"/>
      </w:pPr>
      <w:bookmarkStart w:id="171" w:name="_Toc83882858"/>
      <w:r w:rsidRPr="00E57A59">
        <w:lastRenderedPageBreak/>
        <w:t>Výdaje na Společnou zemědělskou politiku</w:t>
      </w:r>
      <w:r w:rsidR="00FE25C4">
        <w:t xml:space="preserve"> 2014-2020</w:t>
      </w:r>
      <w:bookmarkEnd w:id="171"/>
    </w:p>
    <w:p w:rsidR="00E57A59" w:rsidRDefault="00E57A59" w:rsidP="00E57A59">
      <w:pPr>
        <w:sectPr w:rsidR="00E57A59" w:rsidSect="00385A41">
          <w:type w:val="continuous"/>
          <w:pgSz w:w="11906" w:h="16838" w:code="9"/>
          <w:pgMar w:top="1134" w:right="1134" w:bottom="1418" w:left="1134" w:header="709" w:footer="709" w:gutter="0"/>
          <w:cols w:space="709"/>
          <w:docGrid w:linePitch="360"/>
        </w:sectPr>
      </w:pPr>
    </w:p>
    <w:p w:rsidR="00E57A59" w:rsidRDefault="007A7B19" w:rsidP="005E56DB">
      <w:pPr>
        <w:pStyle w:val="SRTextnomal"/>
      </w:pPr>
      <w:r w:rsidRPr="007A7B19">
        <w:lastRenderedPageBreak/>
        <w:t xml:space="preserve">Financování Společné zemědělské politiky je tvořeno dvěma hlavními zdroji: přímými platbami a prostředky na rozvoj venkova. Předfinancování přímých plateb ze státního rozpočtu je na období roku 2020 stanoveno na základě schválených alokací, přičemž na přímé platby může ČR v programovém období 2014-2020 čerpat téměř 6 mld. EUR a na rozvoj venkova 2,3 mld. EUR. Z </w:t>
      </w:r>
      <w:r w:rsidRPr="007A7B19">
        <w:lastRenderedPageBreak/>
        <w:t>rozpočtu EU jsou přímé platby propláceny vždy až v roce následujícím po roce jejich vyplacení ze státního rozpo</w:t>
      </w:r>
      <w:r w:rsidRPr="007A7B19">
        <w:t>č</w:t>
      </w:r>
      <w:r w:rsidRPr="007A7B19">
        <w:t>tu. Co se týká míry spolufinancování EU, v případě E</w:t>
      </w:r>
      <w:r w:rsidRPr="007A7B19">
        <w:t>v</w:t>
      </w:r>
      <w:r w:rsidRPr="007A7B19">
        <w:t xml:space="preserve">ropského zemědělského fondu pro rozvoj venkova byla míra národního spolufinancování vládou navýšena na 35 % (usnesení vlády č. 681 z 20. 8. 2015) a u Evropského námořního a rybářského fondu činí 25 %. </w:t>
      </w:r>
      <w:r>
        <w:t xml:space="preserve"> </w:t>
      </w:r>
    </w:p>
    <w:p w:rsidR="00E57A59" w:rsidRDefault="00E57A59" w:rsidP="00E57A59">
      <w:pPr>
        <w:sectPr w:rsidR="00E57A59" w:rsidSect="0016339A">
          <w:type w:val="continuous"/>
          <w:pgSz w:w="11906" w:h="16838" w:code="9"/>
          <w:pgMar w:top="1134" w:right="1134" w:bottom="1418" w:left="1134" w:header="709" w:footer="709" w:gutter="0"/>
          <w:cols w:num="2" w:space="397"/>
          <w:docGrid w:linePitch="360"/>
        </w:sectPr>
      </w:pPr>
    </w:p>
    <w:p w:rsidR="00E57A59" w:rsidRPr="00E57A59" w:rsidRDefault="00E57A59" w:rsidP="005A27EF">
      <w:pPr>
        <w:pStyle w:val="SRNadpis2"/>
      </w:pPr>
      <w:bookmarkStart w:id="172" w:name="_Toc83882859"/>
      <w:r w:rsidRPr="00E57A59">
        <w:lastRenderedPageBreak/>
        <w:t>Výdaje na Společnou zemědělskou politiku v období 2021-2027</w:t>
      </w:r>
      <w:bookmarkEnd w:id="172"/>
    </w:p>
    <w:p w:rsidR="00E57A59" w:rsidRDefault="00E57A59" w:rsidP="00E57A59">
      <w:pPr>
        <w:sectPr w:rsidR="00E57A59" w:rsidSect="00385A41">
          <w:type w:val="continuous"/>
          <w:pgSz w:w="11906" w:h="16838" w:code="9"/>
          <w:pgMar w:top="1134" w:right="1134" w:bottom="1418" w:left="1134" w:header="709" w:footer="709" w:gutter="0"/>
          <w:cols w:space="709"/>
          <w:docGrid w:linePitch="360"/>
        </w:sectPr>
      </w:pPr>
    </w:p>
    <w:p w:rsidR="00E57A59" w:rsidRPr="00E57A59" w:rsidRDefault="007A7B19" w:rsidP="005E56DB">
      <w:pPr>
        <w:pStyle w:val="SRTextnomal"/>
      </w:pPr>
      <w:r w:rsidRPr="007A7B19">
        <w:lastRenderedPageBreak/>
        <w:t>Společná zemědělská politika pro nové programové o</w:t>
      </w:r>
      <w:r w:rsidRPr="007A7B19">
        <w:t>b</w:t>
      </w:r>
      <w:r w:rsidRPr="007A7B19">
        <w:t>dobí prošla zásadními změnami. Veškeré výdaje budou implementovány v rámci národního strategického plánu. Nové programové období pro Společnou zemědělskou politiku bude v letech 2022 a 2023 připravováno a zah</w:t>
      </w:r>
      <w:r w:rsidRPr="007A7B19">
        <w:t>a</w:t>
      </w:r>
      <w:r w:rsidRPr="007A7B19">
        <w:t>jováno, veškeré výdaje v rámci nového programového období budou způsobilé až po schválení národního str</w:t>
      </w:r>
      <w:r w:rsidRPr="007A7B19">
        <w:t>a</w:t>
      </w:r>
      <w:r w:rsidRPr="007A7B19">
        <w:t>tegického plánu. V letech 2022 i 2023 již však budou pr</w:t>
      </w:r>
      <w:r w:rsidRPr="007A7B19">
        <w:t>o</w:t>
      </w:r>
      <w:r w:rsidRPr="007A7B19">
        <w:t>pláceny částky přímých plateb, kdy obdobně jako v minulých letech budou přímé platby propláceny ze stá</w:t>
      </w:r>
      <w:r w:rsidRPr="007A7B19">
        <w:t>t</w:t>
      </w:r>
      <w:r w:rsidRPr="007A7B19">
        <w:lastRenderedPageBreak/>
        <w:t>ního rozpočtu a z rozpočtu EU budou proplaceny až v r</w:t>
      </w:r>
      <w:r w:rsidRPr="007A7B19">
        <w:t>o</w:t>
      </w:r>
      <w:r w:rsidRPr="007A7B19">
        <w:t>ce následujícím. Současně bude v letech 2021-2023 př</w:t>
      </w:r>
      <w:r w:rsidRPr="007A7B19">
        <w:t>í</w:t>
      </w:r>
      <w:r w:rsidRPr="007A7B19">
        <w:t>jemcům proplácena zbývající část dosud nevyčerpané alokace Programu rozvoje venkova 2014-2020 v rámci tzv. přechodného období. Zbývající alokace Programu rozvoje venkova 2014-2020 byla v roce 2021 navýšena o</w:t>
      </w:r>
      <w:r w:rsidR="00122CE2">
        <w:t> </w:t>
      </w:r>
      <w:r w:rsidRPr="007A7B19">
        <w:t>prostředky z fondu EURI. Míra národního spolufinanc</w:t>
      </w:r>
      <w:r w:rsidRPr="007A7B19">
        <w:t>o</w:t>
      </w:r>
      <w:r w:rsidRPr="007A7B19">
        <w:t>vání k prostředkům přechodného období bude nadále ve</w:t>
      </w:r>
      <w:r w:rsidR="00122CE2">
        <w:t> </w:t>
      </w:r>
      <w:r w:rsidRPr="007A7B19">
        <w:t>výši 35 %.</w:t>
      </w:r>
    </w:p>
    <w:p w:rsidR="00730A34" w:rsidRDefault="00730A34" w:rsidP="00730A34">
      <w:pPr>
        <w:spacing w:before="240"/>
        <w:rPr>
          <w:b/>
        </w:rPr>
        <w:sectPr w:rsidR="00730A34" w:rsidSect="00730A34">
          <w:type w:val="continuous"/>
          <w:pgSz w:w="11906" w:h="16838" w:code="9"/>
          <w:pgMar w:top="1134" w:right="1134" w:bottom="1418" w:left="1134" w:header="709" w:footer="709" w:gutter="0"/>
          <w:cols w:num="2" w:space="282"/>
          <w:docGrid w:linePitch="360"/>
        </w:sectPr>
      </w:pPr>
    </w:p>
    <w:p w:rsidR="00E57A59" w:rsidRDefault="00E57A59" w:rsidP="000B3F17">
      <w:pPr>
        <w:sectPr w:rsidR="00E57A59" w:rsidSect="00941E61">
          <w:type w:val="continuous"/>
          <w:pgSz w:w="11906" w:h="16838" w:code="9"/>
          <w:pgMar w:top="1134" w:right="1134" w:bottom="1418" w:left="1134" w:header="709" w:footer="709" w:gutter="0"/>
          <w:cols w:num="2" w:space="282"/>
          <w:docGrid w:linePitch="360"/>
        </w:sectPr>
      </w:pPr>
    </w:p>
    <w:p w:rsidR="00627DE9" w:rsidRDefault="00627DE9" w:rsidP="00404E39">
      <w:pPr>
        <w:pStyle w:val="SRtitulek1"/>
        <w:rPr>
          <w:i/>
        </w:rPr>
      </w:pPr>
      <w:bookmarkStart w:id="173" w:name="_Toc83882898"/>
      <w:r>
        <w:lastRenderedPageBreak/>
        <w:t xml:space="preserve">Tabulka </w:t>
      </w:r>
      <w:r w:rsidR="00D51DCA">
        <w:fldChar w:fldCharType="begin"/>
      </w:r>
      <w:r w:rsidR="00D51DCA">
        <w:instrText xml:space="preserve"> SEQ Tabulka \* ARABIC </w:instrText>
      </w:r>
      <w:r w:rsidR="00D51DCA">
        <w:fldChar w:fldCharType="separate"/>
      </w:r>
      <w:r w:rsidR="00D51DCA">
        <w:rPr>
          <w:noProof/>
        </w:rPr>
        <w:t>33</w:t>
      </w:r>
      <w:r w:rsidR="00D51DCA">
        <w:rPr>
          <w:noProof/>
        </w:rPr>
        <w:fldChar w:fldCharType="end"/>
      </w:r>
      <w:r w:rsidRPr="00627DE9">
        <w:t xml:space="preserve"> </w:t>
      </w:r>
      <w:r w:rsidRPr="00DD7C16">
        <w:t xml:space="preserve">Odhad skutečných výdajů </w:t>
      </w:r>
      <w:r w:rsidR="00B253BA">
        <w:t>SR</w:t>
      </w:r>
      <w:r w:rsidRPr="00DD7C16">
        <w:t xml:space="preserve"> na předfinancování politik EU v letech 2023 – 2024 </w:t>
      </w:r>
      <w:r w:rsidRPr="00DD7C16">
        <w:rPr>
          <w:i/>
        </w:rPr>
        <w:t>(v mil.</w:t>
      </w:r>
      <w:r w:rsidR="00B253BA">
        <w:rPr>
          <w:i/>
        </w:rPr>
        <w:t xml:space="preserve"> Kč)</w:t>
      </w:r>
      <w:bookmarkEnd w:id="173"/>
    </w:p>
    <w:p w:rsidR="00DB468A" w:rsidRDefault="00992C3F" w:rsidP="00404E39">
      <w:pPr>
        <w:spacing w:after="0"/>
        <w:rPr>
          <w:i/>
        </w:rPr>
      </w:pPr>
      <w:r>
        <w:rPr>
          <w:noProof/>
        </w:rPr>
        <w:pict>
          <v:shape id="_x0000_i1054" type="#_x0000_t75" style="width:360.7pt;height:358.65pt">
            <v:imagedata r:id="rId74" o:title=""/>
          </v:shape>
        </w:pict>
      </w:r>
    </w:p>
    <w:p w:rsidR="000F2C19" w:rsidRPr="00404E39" w:rsidRDefault="00D54BB5" w:rsidP="00404E39">
      <w:pPr>
        <w:spacing w:after="0"/>
        <w:rPr>
          <w:i/>
          <w:sz w:val="18"/>
          <w:szCs w:val="18"/>
        </w:rPr>
      </w:pPr>
      <w:r w:rsidRPr="00404E39">
        <w:rPr>
          <w:i/>
          <w:sz w:val="18"/>
          <w:szCs w:val="18"/>
        </w:rPr>
        <w:t>Poznámka: *) I. pilíř zahrnuje přímé platby, **) II. pilíř zahrnuje rozvoj venkova a OP Rybářství.</w:t>
      </w:r>
    </w:p>
    <w:p w:rsidR="00A4425A" w:rsidRPr="00A4425A" w:rsidRDefault="000F2C19" w:rsidP="000F2C19">
      <w:pPr>
        <w:spacing w:after="0"/>
        <w:jc w:val="left"/>
      </w:pPr>
      <w:r>
        <w:br w:type="page"/>
      </w:r>
    </w:p>
    <w:p w:rsidR="00B25B03" w:rsidRPr="0050007C" w:rsidRDefault="00B25B03" w:rsidP="005A27EF">
      <w:pPr>
        <w:pStyle w:val="SRNadpis1"/>
      </w:pPr>
      <w:bookmarkStart w:id="174" w:name="_Toc52369423"/>
      <w:bookmarkStart w:id="175" w:name="_Toc83882860"/>
      <w:r w:rsidRPr="0050007C">
        <w:lastRenderedPageBreak/>
        <w:t>Výdaje na finanční mechanismy EHP/Norska 202</w:t>
      </w:r>
      <w:r w:rsidR="00735C04" w:rsidRPr="0050007C">
        <w:t>3</w:t>
      </w:r>
      <w:r w:rsidR="005A27EF">
        <w:t> </w:t>
      </w:r>
      <w:r w:rsidR="005A27EF">
        <w:noBreakHyphen/>
        <w:t> </w:t>
      </w:r>
      <w:r w:rsidRPr="0050007C">
        <w:t>202</w:t>
      </w:r>
      <w:r w:rsidR="00735C04" w:rsidRPr="0050007C">
        <w:t>4</w:t>
      </w:r>
      <w:bookmarkEnd w:id="174"/>
      <w:bookmarkEnd w:id="175"/>
    </w:p>
    <w:p w:rsidR="00AE151F" w:rsidRDefault="00AE151F" w:rsidP="00AE151F">
      <w:pPr>
        <w:sectPr w:rsidR="00AE151F" w:rsidSect="00385A41">
          <w:type w:val="continuous"/>
          <w:pgSz w:w="11906" w:h="16838" w:code="9"/>
          <w:pgMar w:top="1134" w:right="1134" w:bottom="1418" w:left="1134" w:header="709" w:footer="709" w:gutter="0"/>
          <w:cols w:space="709"/>
          <w:docGrid w:linePitch="360"/>
        </w:sectPr>
      </w:pPr>
    </w:p>
    <w:p w:rsidR="0050007C" w:rsidRDefault="0050007C" w:rsidP="0050007C">
      <w:r>
        <w:lastRenderedPageBreak/>
        <w:t xml:space="preserve">U programů finančních mechanismů bude v letech 2023 a 2024 probíhat implementace programů a projektů z třetího grantového období 2014-2021 (FM EHP/Norsko III). </w:t>
      </w:r>
    </w:p>
    <w:p w:rsidR="0050007C" w:rsidRDefault="0050007C" w:rsidP="005E56DB">
      <w:pPr>
        <w:pStyle w:val="SRTextnomal"/>
      </w:pPr>
      <w:r>
        <w:t>V rámci FM EHP/Norsko III byly v letech 2019 - 2021 p</w:t>
      </w:r>
      <w:r>
        <w:t>o</w:t>
      </w:r>
      <w:r>
        <w:t>stupně vyhlašovány výzvy v rámci jednotlivých programů podpory s následným zahájením realizace jednotlivých projektů. Jsou vypláceny zálohy a následně prováděny průběžné/závěrečné platby konečným příjemcům pr</w:t>
      </w:r>
      <w:r>
        <w:t>o</w:t>
      </w:r>
      <w:r>
        <w:t>jektů a od roku 2021 tak postupně narůstá čerpání f</w:t>
      </w:r>
      <w:r>
        <w:t>i</w:t>
      </w:r>
      <w:r>
        <w:t>nančních prostředků. Realizace projektů musí být ukončena do dubna 2024, v tomto roce bude vypláceno také zádržné. Průběžně jsou také čerpány finanční pr</w:t>
      </w:r>
      <w:r>
        <w:t>o</w:t>
      </w:r>
      <w:r>
        <w:lastRenderedPageBreak/>
        <w:t>středky na technickou asistenci a řízení jednotlivých pr</w:t>
      </w:r>
      <w:r>
        <w:t>o</w:t>
      </w:r>
      <w:r>
        <w:t xml:space="preserve">gramů, kde očekáváme čerpání až do roku 2025. </w:t>
      </w:r>
    </w:p>
    <w:p w:rsidR="0050007C" w:rsidRDefault="0050007C" w:rsidP="005E56DB">
      <w:pPr>
        <w:pStyle w:val="SRTextnomal"/>
      </w:pPr>
      <w:r>
        <w:t>Oproti druhému grantovému období je ve třetím gra</w:t>
      </w:r>
      <w:r>
        <w:t>n</w:t>
      </w:r>
      <w:r>
        <w:t>tovém období ČR zavázána zajistit z národních zdrojů (tj. státního rozpočtu) 15% spolufinancování všech výdajů na úrovni jednotlivých programů. Tento fakt má vliv na výši prostředků určených na spolufinancování ze státn</w:t>
      </w:r>
      <w:r>
        <w:t>í</w:t>
      </w:r>
      <w:r>
        <w:t>ho rozpočtu (v celkovém objemu se jedná o cca 650 mil. Kč).</w:t>
      </w:r>
    </w:p>
    <w:p w:rsidR="00AE151F" w:rsidRPr="00AE151F" w:rsidRDefault="0050007C" w:rsidP="005E56DB">
      <w:pPr>
        <w:pStyle w:val="SRTextnomal"/>
      </w:pPr>
      <w:r>
        <w:t>Jednání o druhém programov</w:t>
      </w:r>
      <w:r w:rsidR="00F051EA">
        <w:t>ém</w:t>
      </w:r>
      <w:r>
        <w:t xml:space="preserve"> období Programu šv</w:t>
      </w:r>
      <w:r>
        <w:t>ý</w:t>
      </w:r>
      <w:r>
        <w:t>carsko-české spolupráce ještě nebyla ukončena. S ohl</w:t>
      </w:r>
      <w:r>
        <w:t>e</w:t>
      </w:r>
      <w:r>
        <w:t xml:space="preserve">dem na aktuální stav vyjednávání se čerpání případného příspěvku očekává nejdříve v roce 2023. </w:t>
      </w:r>
    </w:p>
    <w:p w:rsidR="00DB173E" w:rsidRDefault="00DB173E">
      <w:pPr>
        <w:spacing w:after="0"/>
        <w:jc w:val="left"/>
        <w:sectPr w:rsidR="00DB173E" w:rsidSect="00385A41">
          <w:type w:val="continuous"/>
          <w:pgSz w:w="11906" w:h="16838" w:code="9"/>
          <w:pgMar w:top="1134" w:right="1134" w:bottom="1418" w:left="1134" w:header="709" w:footer="709" w:gutter="0"/>
          <w:cols w:num="2" w:space="397"/>
          <w:docGrid w:linePitch="360"/>
        </w:sectPr>
      </w:pPr>
    </w:p>
    <w:p w:rsidR="000F2C19" w:rsidRDefault="000F2C19">
      <w:pPr>
        <w:spacing w:after="0"/>
        <w:jc w:val="left"/>
        <w:rPr>
          <w:rFonts w:cs="Arial"/>
          <w:b/>
          <w:bCs/>
          <w:kern w:val="32"/>
          <w:sz w:val="40"/>
          <w:szCs w:val="32"/>
        </w:rPr>
      </w:pPr>
      <w:r>
        <w:lastRenderedPageBreak/>
        <w:br w:type="page"/>
      </w:r>
    </w:p>
    <w:p w:rsidR="00AE151F" w:rsidRDefault="00AE151F" w:rsidP="00B25B03">
      <w:pPr>
        <w:pStyle w:val="Nadpis1"/>
        <w:sectPr w:rsidR="00AE151F" w:rsidSect="00385A41">
          <w:type w:val="continuous"/>
          <w:pgSz w:w="11906" w:h="16838" w:code="9"/>
          <w:pgMar w:top="1134" w:right="1134" w:bottom="1418" w:left="1134" w:header="709" w:footer="709" w:gutter="0"/>
          <w:cols w:num="2" w:space="709"/>
          <w:docGrid w:linePitch="360"/>
        </w:sectPr>
      </w:pPr>
    </w:p>
    <w:p w:rsidR="00B25B03" w:rsidRPr="002A1559" w:rsidRDefault="00B25B03" w:rsidP="005A27EF">
      <w:pPr>
        <w:pStyle w:val="SRNadpis1"/>
      </w:pPr>
      <w:bookmarkStart w:id="176" w:name="_Toc52369424"/>
      <w:bookmarkStart w:id="177" w:name="_Toc83882861"/>
      <w:r w:rsidRPr="002A1559">
        <w:lastRenderedPageBreak/>
        <w:t>Výdaje na programy, u nichž výši účasti státního rozpočtu na jejich financování schválila vláda</w:t>
      </w:r>
      <w:bookmarkEnd w:id="176"/>
      <w:bookmarkEnd w:id="177"/>
    </w:p>
    <w:p w:rsidR="00397223" w:rsidRDefault="00397223" w:rsidP="00397223">
      <w:pPr>
        <w:sectPr w:rsidR="00397223" w:rsidSect="00385A41">
          <w:type w:val="continuous"/>
          <w:pgSz w:w="11906" w:h="16838" w:code="9"/>
          <w:pgMar w:top="1134" w:right="1134" w:bottom="1418" w:left="1134" w:header="709" w:footer="709" w:gutter="0"/>
          <w:cols w:space="709"/>
          <w:docGrid w:linePitch="360"/>
        </w:sectPr>
      </w:pPr>
    </w:p>
    <w:p w:rsidR="002A1559" w:rsidRDefault="002A1559" w:rsidP="00D76CD8">
      <w:pPr>
        <w:pStyle w:val="SRTextnomal"/>
      </w:pPr>
      <w:r>
        <w:lastRenderedPageBreak/>
        <w:t>Pro rok 2022 je v programovém financování vedeno ce</w:t>
      </w:r>
      <w:r>
        <w:t>l</w:t>
      </w:r>
      <w:r>
        <w:t>kem 24 programů, u nichž účast státního rozpočtu v l</w:t>
      </w:r>
      <w:r>
        <w:t>e</w:t>
      </w:r>
      <w:r>
        <w:t>tech jejich realizace v úhrnu přesahuje částku 5 mld. Kč. Vzhledem k významu těchto programů jsou jejich dok</w:t>
      </w:r>
      <w:r>
        <w:t>u</w:t>
      </w:r>
      <w:r>
        <w:t>mentace a výše účasti státního rozpočtu na jejich fina</w:t>
      </w:r>
      <w:r>
        <w:t>n</w:t>
      </w:r>
      <w:r>
        <w:t xml:space="preserve">cování, v souladu s § 13 zákona č. 218/2000 Sb. (rozpočtová pravidla), schvalovány na úrovni vlády ČR. </w:t>
      </w:r>
    </w:p>
    <w:p w:rsidR="002A1559" w:rsidRDefault="002A1559" w:rsidP="00D76CD8">
      <w:pPr>
        <w:pStyle w:val="SRTextnomal"/>
      </w:pPr>
      <w:r>
        <w:t>Výrazně nižší součet celkových výdajů uvedených</w:t>
      </w:r>
      <w:r w:rsidR="006A7863">
        <w:t xml:space="preserve"> v</w:t>
      </w:r>
      <w:r>
        <w:t xml:space="preserve"> t</w:t>
      </w:r>
      <w:r>
        <w:t>a</w:t>
      </w:r>
      <w:r>
        <w:t>bulce v letech 2023 a 2024 oproti roku 2022 vyplývá zejména z faktu, že ve střednědobém výhledu nejsou uvedeny výdaje, na jejichž úhradu budou použity finan</w:t>
      </w:r>
      <w:r>
        <w:t>č</w:t>
      </w:r>
      <w:r>
        <w:t xml:space="preserve">ní prostředky ze zdrojů fondů EU.  </w:t>
      </w:r>
    </w:p>
    <w:p w:rsidR="002A1559" w:rsidRDefault="002A1559" w:rsidP="00D76CD8">
      <w:pPr>
        <w:pStyle w:val="SRTextnomal"/>
      </w:pPr>
      <w:r>
        <w:t>Dlouhodobě největší objem finančních prostředků vyž</w:t>
      </w:r>
      <w:r>
        <w:t>a</w:t>
      </w:r>
      <w:r>
        <w:t xml:space="preserve">duje realizace programu 127 770 Podpora financování dopravy. </w:t>
      </w:r>
    </w:p>
    <w:p w:rsidR="002A1559" w:rsidRDefault="002A1559" w:rsidP="00D76CD8">
      <w:pPr>
        <w:pStyle w:val="SRTextnomal"/>
      </w:pPr>
      <w:r>
        <w:t>Nejvíce programů schválených vládou má ve své gesci Ministerstvo obrany. Ve sledovaném období bude real</w:t>
      </w:r>
      <w:r>
        <w:t>i</w:t>
      </w:r>
      <w:r>
        <w:t>zovat 8 takovýchto programů, nově bylo vládou schvál</w:t>
      </w:r>
      <w:r>
        <w:t>e</w:t>
      </w:r>
      <w:r>
        <w:lastRenderedPageBreak/>
        <w:t>no financování programu 107 690 Udržení a rozvoj schopností logistické podpory a programu 107 460 Ud</w:t>
      </w:r>
      <w:r>
        <w:t>r</w:t>
      </w:r>
      <w:r>
        <w:t>žení a rozvoj schopností spojovacího vojska AČR a info</w:t>
      </w:r>
      <w:r>
        <w:t>r</w:t>
      </w:r>
      <w:r>
        <w:t>matizace MO.</w:t>
      </w:r>
    </w:p>
    <w:p w:rsidR="002A1559" w:rsidRDefault="002A1559" w:rsidP="00D76CD8">
      <w:pPr>
        <w:pStyle w:val="SRTextnomal"/>
      </w:pPr>
      <w:r>
        <w:t>Vládou ČR byly schváleny k realizaci formou program</w:t>
      </w:r>
      <w:r>
        <w:t>o</w:t>
      </w:r>
      <w:r>
        <w:t>vého financování i některé operační programy progr</w:t>
      </w:r>
      <w:r>
        <w:t>a</w:t>
      </w:r>
      <w:r>
        <w:t>mového období 2014–2020 určené k čerpání finančních prostředků z Evropských strukturálních a investičních fondů. Ve sledovaném období bude čerpání z těchto fondů dokončováno s využitím principu „pravidla n+3“. Mimořádnými dodatečnými zdroji EU byl posílen Int</w:t>
      </w:r>
      <w:r>
        <w:t>e</w:t>
      </w:r>
      <w:r>
        <w:t>grovaný regionální program 2014–2020, tyto prostředky jsou určeny na podporu zotavení z krize v souvislosti s</w:t>
      </w:r>
      <w:r w:rsidR="006A7863">
        <w:t> </w:t>
      </w:r>
      <w:r>
        <w:t>pandemií COVID-19.</w:t>
      </w:r>
    </w:p>
    <w:p w:rsidR="00397223" w:rsidRPr="00397223" w:rsidRDefault="002A1559" w:rsidP="00D76CD8">
      <w:pPr>
        <w:pStyle w:val="SRTextnomal"/>
      </w:pPr>
      <w:r>
        <w:t>Přehled programů realizovaných se zapojením prostře</w:t>
      </w:r>
      <w:r>
        <w:t>d</w:t>
      </w:r>
      <w:r>
        <w:t>ků státního rozpočtu v roce 2022 a předpokládaný vývoj jejich financování v rámci střednědobého výhledu v l</w:t>
      </w:r>
      <w:r>
        <w:t>e</w:t>
      </w:r>
      <w:r>
        <w:t xml:space="preserve">tech 2023 a 2024 je uveden v následující tabulce. </w:t>
      </w:r>
    </w:p>
    <w:p w:rsidR="00397223" w:rsidRDefault="00397223" w:rsidP="00BD76A8">
      <w:pPr>
        <w:pStyle w:val="SRtitulek1"/>
        <w:sectPr w:rsidR="00397223" w:rsidSect="00385A41">
          <w:type w:val="continuous"/>
          <w:pgSz w:w="11906" w:h="16838" w:code="9"/>
          <w:pgMar w:top="1134" w:right="1134" w:bottom="1418" w:left="1134" w:header="709" w:footer="709" w:gutter="0"/>
          <w:cols w:num="2" w:space="397"/>
          <w:docGrid w:linePitch="360"/>
        </w:sectPr>
      </w:pPr>
    </w:p>
    <w:p w:rsidR="00627DE9" w:rsidRDefault="00627DE9" w:rsidP="00404E39">
      <w:pPr>
        <w:pStyle w:val="SRtitulek1"/>
        <w:rPr>
          <w:i/>
        </w:rPr>
      </w:pPr>
      <w:bookmarkStart w:id="178" w:name="_Toc83882899"/>
      <w:r>
        <w:lastRenderedPageBreak/>
        <w:t xml:space="preserve">Tabulka </w:t>
      </w:r>
      <w:r w:rsidR="00D51DCA">
        <w:fldChar w:fldCharType="begin"/>
      </w:r>
      <w:r w:rsidR="00D51DCA">
        <w:instrText xml:space="preserve"> SEQ Tabulka \* ARABIC </w:instrText>
      </w:r>
      <w:r w:rsidR="00D51DCA">
        <w:fldChar w:fldCharType="separate"/>
      </w:r>
      <w:r w:rsidR="00D51DCA">
        <w:rPr>
          <w:noProof/>
        </w:rPr>
        <w:t>34</w:t>
      </w:r>
      <w:r w:rsidR="00D51DCA">
        <w:rPr>
          <w:noProof/>
        </w:rPr>
        <w:fldChar w:fldCharType="end"/>
      </w:r>
      <w:r w:rsidRPr="00627DE9">
        <w:t xml:space="preserve"> </w:t>
      </w:r>
      <w:r w:rsidRPr="007C0AA6">
        <w:t xml:space="preserve">Výdaje na programy v letech 2022 – 2024 </w:t>
      </w:r>
      <w:r w:rsidRPr="007C0AA6">
        <w:rPr>
          <w:i/>
        </w:rPr>
        <w:t>(v mil. Kč)</w:t>
      </w:r>
      <w:bookmarkEnd w:id="178"/>
    </w:p>
    <w:p w:rsidR="00583E7A" w:rsidRDefault="00992C3F" w:rsidP="00EF3F7D">
      <w:r>
        <w:pict>
          <v:shape id="_x0000_i1055" type="#_x0000_t75" style="width:481.6pt;height:301.6pt">
            <v:imagedata r:id="rId75" o:title=""/>
          </v:shape>
        </w:pict>
      </w:r>
    </w:p>
    <w:p w:rsidR="00583E7A" w:rsidRDefault="00583E7A" w:rsidP="00397223">
      <w:pPr>
        <w:rPr>
          <w:noProof/>
        </w:rPr>
      </w:pPr>
      <w:r>
        <w:rPr>
          <w:noProof/>
        </w:rPr>
        <w:br w:type="page"/>
      </w:r>
    </w:p>
    <w:p w:rsidR="00397223" w:rsidRDefault="00397223" w:rsidP="00397223"/>
    <w:p w:rsidR="00397223" w:rsidRDefault="00397223" w:rsidP="00397223">
      <w:pPr>
        <w:sectPr w:rsidR="00397223" w:rsidSect="00385A41">
          <w:type w:val="continuous"/>
          <w:pgSz w:w="11906" w:h="16838" w:code="9"/>
          <w:pgMar w:top="1134" w:right="1134" w:bottom="1418" w:left="1134" w:header="709" w:footer="709" w:gutter="0"/>
          <w:cols w:space="709"/>
          <w:docGrid w:linePitch="360"/>
        </w:sectPr>
      </w:pPr>
    </w:p>
    <w:p w:rsidR="00397223" w:rsidRDefault="00397223" w:rsidP="00DB484C">
      <w:pPr>
        <w:spacing w:after="0"/>
        <w:jc w:val="left"/>
        <w:sectPr w:rsidR="00397223" w:rsidSect="00385A41">
          <w:type w:val="continuous"/>
          <w:pgSz w:w="11906" w:h="16838" w:code="9"/>
          <w:pgMar w:top="1134" w:right="1134" w:bottom="1418" w:left="1134" w:header="709" w:footer="709" w:gutter="0"/>
          <w:cols w:num="2" w:space="709"/>
          <w:docGrid w:linePitch="360"/>
        </w:sectPr>
      </w:pPr>
    </w:p>
    <w:p w:rsidR="00B25B03" w:rsidRPr="000A0D0D" w:rsidRDefault="00DF1D38" w:rsidP="005A27EF">
      <w:pPr>
        <w:pStyle w:val="SRNadpis1"/>
      </w:pPr>
      <w:bookmarkStart w:id="179" w:name="_Toc52369425"/>
      <w:bookmarkStart w:id="180" w:name="_Toc83882862"/>
      <w:r w:rsidRPr="000A0D0D">
        <w:lastRenderedPageBreak/>
        <w:t>Přehled závazků fyzických a právnických osob, za které se zaručily jménem státu jeho organizační složky</w:t>
      </w:r>
      <w:bookmarkEnd w:id="179"/>
      <w:bookmarkEnd w:id="180"/>
    </w:p>
    <w:p w:rsidR="00E25C6E" w:rsidRDefault="00E25C6E" w:rsidP="00E25C6E">
      <w:pPr>
        <w:sectPr w:rsidR="00E25C6E" w:rsidSect="00385A41">
          <w:type w:val="continuous"/>
          <w:pgSz w:w="11906" w:h="16838" w:code="9"/>
          <w:pgMar w:top="1134" w:right="1134" w:bottom="1418" w:left="1134" w:header="709" w:footer="709" w:gutter="0"/>
          <w:cols w:space="709"/>
          <w:docGrid w:linePitch="360"/>
        </w:sectPr>
      </w:pPr>
    </w:p>
    <w:p w:rsidR="00AC6E27" w:rsidRDefault="00AC6E27" w:rsidP="00D76CD8">
      <w:pPr>
        <w:pStyle w:val="SRTextnomal"/>
      </w:pPr>
      <w:r>
        <w:lastRenderedPageBreak/>
        <w:t>Dlouhodobé investiční úvěry poskytnuté Evropskou i</w:t>
      </w:r>
      <w:r>
        <w:t>n</w:t>
      </w:r>
      <w:r>
        <w:t>vestiční bankou v letech 1996 – 2000, určené na fina</w:t>
      </w:r>
      <w:r>
        <w:t>n</w:t>
      </w:r>
      <w:r>
        <w:t>cování infrastrukturálních programů (silnice, dálnice, odstranění povodňových škod, vodohospodářské stavby) jsou všechny již vyčerpány a dochází pouze k jejich spl</w:t>
      </w:r>
      <w:r>
        <w:t>á</w:t>
      </w:r>
      <w:r>
        <w:t>cení. Aktuálně zbývá splatit již pouze jeden úvěr, který byl čerpán na odstranění povodňových škod a bude d</w:t>
      </w:r>
      <w:r>
        <w:t>o</w:t>
      </w:r>
      <w:r>
        <w:t>placen v roce 2022.</w:t>
      </w:r>
    </w:p>
    <w:p w:rsidR="00AC6E27" w:rsidRDefault="00AC6E27" w:rsidP="00D76CD8">
      <w:pPr>
        <w:pStyle w:val="SRTextnomal"/>
      </w:pPr>
      <w:r>
        <w:t xml:space="preserve">Zdrojem splátek je státní rozpočet, který se již při jejich přijetí ke splácení přímo zavázal. Příjemcem a zároveň finančním manažerem úvěru je </w:t>
      </w:r>
      <w:r w:rsidR="00214A79">
        <w:t>Národní rozvojová ba</w:t>
      </w:r>
      <w:r w:rsidR="00214A79">
        <w:t>n</w:t>
      </w:r>
      <w:r w:rsidR="00214A79">
        <w:lastRenderedPageBreak/>
        <w:t xml:space="preserve">ka, a.s. (do 31. 8. 2021 </w:t>
      </w:r>
      <w:r>
        <w:t>Českomoravská záruční a rozv</w:t>
      </w:r>
      <w:r>
        <w:t>o</w:t>
      </w:r>
      <w:r>
        <w:t>jová banka, a.s.</w:t>
      </w:r>
      <w:r w:rsidR="00214A79">
        <w:t>)</w:t>
      </w:r>
      <w:r>
        <w:t xml:space="preserve"> Od roku 2003 jsou úvěry na financování obdobných programů financovány přímými úvěry státu a</w:t>
      </w:r>
      <w:r w:rsidR="00214A79">
        <w:t> </w:t>
      </w:r>
      <w:r>
        <w:t>instrument státních záruk již z tohoto titulu není využ</w:t>
      </w:r>
      <w:r>
        <w:t>í</w:t>
      </w:r>
      <w:r>
        <w:t xml:space="preserve">ván. </w:t>
      </w:r>
    </w:p>
    <w:p w:rsidR="000F2C19" w:rsidRDefault="00AC6E27" w:rsidP="00D76CD8">
      <w:pPr>
        <w:pStyle w:val="SRTextnomal"/>
        <w:rPr>
          <w:rFonts w:cs="Arial"/>
          <w:b/>
          <w:bCs/>
          <w:kern w:val="32"/>
          <w:sz w:val="40"/>
          <w:szCs w:val="32"/>
        </w:rPr>
      </w:pPr>
      <w:r>
        <w:t>Přehled výše plateb státní záruky pro roky 202</w:t>
      </w:r>
      <w:r w:rsidR="00DF25D8">
        <w:t>2</w:t>
      </w:r>
      <w:r>
        <w:t>-202</w:t>
      </w:r>
      <w:r w:rsidR="00DF25D8">
        <w:t>4</w:t>
      </w:r>
      <w:r>
        <w:t xml:space="preserve"> obsahuje </w:t>
      </w:r>
      <w:r w:rsidRPr="00275C60">
        <w:t>tabulka č. 6 v</w:t>
      </w:r>
      <w:r>
        <w:t xml:space="preserve"> Tabulkové části. V nejbližších l</w:t>
      </w:r>
      <w:r>
        <w:t>e</w:t>
      </w:r>
      <w:r>
        <w:t>tech se nárůst objemu záruk o nově poskytnuté úvěry neočekává. Nové impulzy, které by vedly k požadavkům na úvěrové financování projektů za podpory státních z</w:t>
      </w:r>
      <w:r>
        <w:t>á</w:t>
      </w:r>
      <w:r>
        <w:t xml:space="preserve">ruk, nebyly zaznamenány. </w:t>
      </w:r>
      <w:r w:rsidR="000F2C19">
        <w:br w:type="page"/>
      </w:r>
    </w:p>
    <w:p w:rsidR="00E25C6E" w:rsidRDefault="00E25C6E" w:rsidP="00DF1D38">
      <w:pPr>
        <w:pStyle w:val="Nadpis1"/>
        <w:sectPr w:rsidR="00E25C6E" w:rsidSect="00385A41">
          <w:type w:val="continuous"/>
          <w:pgSz w:w="11906" w:h="16838" w:code="9"/>
          <w:pgMar w:top="1134" w:right="1134" w:bottom="1418" w:left="1134" w:header="709" w:footer="709" w:gutter="0"/>
          <w:cols w:num="2" w:space="397"/>
          <w:docGrid w:linePitch="360"/>
        </w:sectPr>
      </w:pPr>
    </w:p>
    <w:p w:rsidR="00DF1D38" w:rsidRPr="000A0D0D" w:rsidRDefault="00DF1D38" w:rsidP="005A27EF">
      <w:pPr>
        <w:pStyle w:val="SRNadpis1"/>
      </w:pPr>
      <w:bookmarkStart w:id="181" w:name="_Toc52369426"/>
      <w:bookmarkStart w:id="182" w:name="_Toc83882863"/>
      <w:r w:rsidRPr="000A0D0D">
        <w:lastRenderedPageBreak/>
        <w:t>Vývoj státního dluhu, příjmů a výdajů kapitoly Státní dluh</w:t>
      </w:r>
      <w:bookmarkEnd w:id="181"/>
      <w:bookmarkEnd w:id="182"/>
    </w:p>
    <w:p w:rsidR="001205D1" w:rsidRDefault="001205D1" w:rsidP="001205D1">
      <w:pPr>
        <w:sectPr w:rsidR="001205D1" w:rsidSect="00385A41">
          <w:type w:val="continuous"/>
          <w:pgSz w:w="11906" w:h="16838" w:code="9"/>
          <w:pgMar w:top="1134" w:right="1134" w:bottom="1418" w:left="1134" w:header="709" w:footer="709" w:gutter="0"/>
          <w:cols w:space="709"/>
          <w:docGrid w:linePitch="360"/>
        </w:sectPr>
      </w:pPr>
    </w:p>
    <w:p w:rsidR="00D647E4" w:rsidRPr="00D647E4" w:rsidRDefault="00D647E4" w:rsidP="00D76CD8">
      <w:pPr>
        <w:pStyle w:val="SRTextnomal"/>
      </w:pPr>
      <w:r w:rsidRPr="00D647E4">
        <w:lastRenderedPageBreak/>
        <w:t>Střednědobý výhled pro kapitolu Státní dluh na léta 2022 až 2024, doplněný o výhled vývoje státního dluhu, byl zpracován na základě předpokladu, že splatný státní dluh bude refinancován prostřednictvím emisní činnosti na domácím trhu.</w:t>
      </w:r>
    </w:p>
    <w:p w:rsidR="001205D1" w:rsidRPr="001205D1" w:rsidRDefault="00D647E4" w:rsidP="00EC6981">
      <w:pPr>
        <w:pStyle w:val="SRTextnomal"/>
      </w:pPr>
      <w:r w:rsidRPr="00D647E4">
        <w:t>Růst státního dluhu České republiky je dán zvýšenou emisní činností s cílem pokrytí krizové potřeby financ</w:t>
      </w:r>
      <w:r w:rsidRPr="00D647E4">
        <w:t>o</w:t>
      </w:r>
      <w:r w:rsidRPr="00D647E4">
        <w:lastRenderedPageBreak/>
        <w:t xml:space="preserve">vání, která je významně ovlivněna opatřeními </w:t>
      </w:r>
      <w:r w:rsidR="00B67F3C">
        <w:t>v</w:t>
      </w:r>
      <w:r w:rsidRPr="00D647E4">
        <w:t>lády Č</w:t>
      </w:r>
      <w:r w:rsidR="00B67F3C">
        <w:t>R</w:t>
      </w:r>
      <w:r w:rsidRPr="00D647E4">
        <w:t xml:space="preserve"> za účelem snížení negativních dopadů pandemického š</w:t>
      </w:r>
      <w:r w:rsidRPr="00D647E4">
        <w:t>í</w:t>
      </w:r>
      <w:r w:rsidRPr="00D647E4">
        <w:t>ření koronaviru SARS-CoV-2. Krizový schodek státního rozpočtu byl v rámci novelizace zákona o státním ro</w:t>
      </w:r>
      <w:r w:rsidRPr="00D647E4">
        <w:t>z</w:t>
      </w:r>
      <w:r w:rsidRPr="00D647E4">
        <w:t>počtu České republiky na rok 2021 navýšen z 320 mld. Kč na 500 mld. Kč.</w:t>
      </w:r>
    </w:p>
    <w:p w:rsidR="001205D1" w:rsidRDefault="001205D1" w:rsidP="00BD76A8">
      <w:pPr>
        <w:pStyle w:val="SRtitulek1"/>
        <w:sectPr w:rsidR="001205D1" w:rsidSect="00385A41">
          <w:type w:val="continuous"/>
          <w:pgSz w:w="11906" w:h="16838" w:code="9"/>
          <w:pgMar w:top="1134" w:right="1134" w:bottom="1418" w:left="1134" w:header="709" w:footer="709" w:gutter="0"/>
          <w:cols w:num="2" w:space="397"/>
          <w:docGrid w:linePitch="360"/>
        </w:sectPr>
      </w:pPr>
    </w:p>
    <w:p w:rsidR="00627DE9" w:rsidRDefault="00627DE9" w:rsidP="00404E39">
      <w:pPr>
        <w:pStyle w:val="SRtitulek1"/>
      </w:pPr>
      <w:bookmarkStart w:id="183" w:name="_Toc83882900"/>
      <w:r>
        <w:lastRenderedPageBreak/>
        <w:t xml:space="preserve">Tabulka </w:t>
      </w:r>
      <w:r w:rsidR="00D51DCA">
        <w:fldChar w:fldCharType="begin"/>
      </w:r>
      <w:r w:rsidR="00D51DCA">
        <w:instrText xml:space="preserve"> SEQ Tabulka \* ARABIC </w:instrText>
      </w:r>
      <w:r w:rsidR="00D51DCA">
        <w:fldChar w:fldCharType="separate"/>
      </w:r>
      <w:r w:rsidR="00D51DCA">
        <w:rPr>
          <w:noProof/>
        </w:rPr>
        <w:t>35</w:t>
      </w:r>
      <w:r w:rsidR="00D51DCA">
        <w:rPr>
          <w:noProof/>
        </w:rPr>
        <w:fldChar w:fldCharType="end"/>
      </w:r>
      <w:r w:rsidRPr="00627DE9">
        <w:t xml:space="preserve"> </w:t>
      </w:r>
      <w:r w:rsidRPr="00F66B94">
        <w:t>Vývoj státního dluhu a jeho podíl na HDP v letech 2007 – 2024</w:t>
      </w:r>
      <w:bookmarkEnd w:id="183"/>
    </w:p>
    <w:p w:rsidR="001205D1" w:rsidRDefault="00992C3F" w:rsidP="00DB01CA">
      <w:r>
        <w:rPr>
          <w:noProof/>
        </w:rPr>
        <w:pict>
          <v:shape id="_x0000_i1056" type="#_x0000_t75" style="width:482.95pt;height:69.95pt">
            <v:imagedata r:id="rId76" o:title=""/>
          </v:shape>
        </w:pict>
      </w:r>
    </w:p>
    <w:p w:rsidR="001205D1" w:rsidRDefault="001205D1" w:rsidP="001205D1">
      <w:pPr>
        <w:jc w:val="center"/>
        <w:sectPr w:rsidR="001205D1" w:rsidSect="00385A41">
          <w:type w:val="continuous"/>
          <w:pgSz w:w="11906" w:h="16838" w:code="9"/>
          <w:pgMar w:top="1134" w:right="1134" w:bottom="1418" w:left="1134" w:header="709" w:footer="709" w:gutter="0"/>
          <w:cols w:space="709"/>
          <w:docGrid w:linePitch="360"/>
        </w:sectPr>
      </w:pPr>
    </w:p>
    <w:p w:rsidR="00DB173E" w:rsidRDefault="001205D1" w:rsidP="00D76CD8">
      <w:pPr>
        <w:pStyle w:val="SRTextnomal"/>
      </w:pPr>
      <w:r w:rsidRPr="001205D1">
        <w:lastRenderedPageBreak/>
        <w:t>Skutečný vývoj státního dluhu v letech 202</w:t>
      </w:r>
      <w:r w:rsidR="00D647E4">
        <w:t>1</w:t>
      </w:r>
      <w:r w:rsidRPr="001205D1">
        <w:t xml:space="preserve"> až 202</w:t>
      </w:r>
      <w:r w:rsidR="00D647E4">
        <w:t>4</w:t>
      </w:r>
      <w:r w:rsidRPr="001205D1">
        <w:t xml:space="preserve"> však bude záviset zejména na dosažených výsledcích hospodaření státního rozpočtu v těchto letech. Tyto v</w:t>
      </w:r>
      <w:r w:rsidRPr="001205D1">
        <w:t>ý</w:t>
      </w:r>
      <w:r w:rsidRPr="001205D1">
        <w:lastRenderedPageBreak/>
        <w:t>sledky pak ovlivňují i příslušné výdaje na obsluhu státn</w:t>
      </w:r>
      <w:r w:rsidRPr="001205D1">
        <w:t>í</w:t>
      </w:r>
      <w:r w:rsidRPr="001205D1">
        <w:t>ho dluhu, které však budou záviset rovněž na budoucím vývoji na finančních trzích</w:t>
      </w:r>
      <w:r w:rsidR="007A68BA">
        <w:t>.</w:t>
      </w:r>
    </w:p>
    <w:p w:rsidR="007A68BA" w:rsidRDefault="007A68BA" w:rsidP="001205D1">
      <w:pPr>
        <w:sectPr w:rsidR="007A68BA" w:rsidSect="00385A41">
          <w:type w:val="continuous"/>
          <w:pgSz w:w="11906" w:h="16838" w:code="9"/>
          <w:pgMar w:top="1134" w:right="1134" w:bottom="1418" w:left="1134" w:header="709" w:footer="709" w:gutter="0"/>
          <w:cols w:num="2" w:space="397"/>
          <w:docGrid w:linePitch="360"/>
        </w:sectPr>
      </w:pPr>
    </w:p>
    <w:p w:rsidR="00B54436" w:rsidRDefault="00B54436" w:rsidP="00404E39">
      <w:pPr>
        <w:pStyle w:val="SRtitulek1"/>
      </w:pPr>
      <w:bookmarkStart w:id="184" w:name="_Toc83882915"/>
      <w:r>
        <w:lastRenderedPageBreak/>
        <w:t xml:space="preserve">Graf </w:t>
      </w:r>
      <w:r w:rsidR="00D51DCA">
        <w:fldChar w:fldCharType="begin"/>
      </w:r>
      <w:r w:rsidR="00D51DCA">
        <w:instrText xml:space="preserve"> SEQ Graf \* ARABIC </w:instrText>
      </w:r>
      <w:r w:rsidR="00D51DCA">
        <w:fldChar w:fldCharType="separate"/>
      </w:r>
      <w:r w:rsidR="00D51DCA">
        <w:rPr>
          <w:noProof/>
        </w:rPr>
        <w:t>14</w:t>
      </w:r>
      <w:r w:rsidR="00D51DCA">
        <w:rPr>
          <w:noProof/>
        </w:rPr>
        <w:fldChar w:fldCharType="end"/>
      </w:r>
      <w:r w:rsidRPr="00B54436">
        <w:t xml:space="preserve"> </w:t>
      </w:r>
      <w:r w:rsidRPr="007C3F91">
        <w:t>Vývoj státního dluhu a jeho střednědobý výhled v letech 2007 - 2024</w:t>
      </w:r>
      <w:bookmarkEnd w:id="184"/>
    </w:p>
    <w:p w:rsidR="00DA7F7A" w:rsidRPr="001205D1" w:rsidRDefault="007C3F91" w:rsidP="00DB01CA">
      <w:pPr>
        <w:jc w:val="left"/>
      </w:pPr>
      <w:r>
        <w:rPr>
          <w:noProof/>
        </w:rPr>
        <w:drawing>
          <wp:inline distT="0" distB="0" distL="0" distR="0" wp14:anchorId="3DB94002" wp14:editId="06D97242">
            <wp:extent cx="5724525" cy="4620895"/>
            <wp:effectExtent l="0" t="0" r="9525" b="8255"/>
            <wp:docPr id="45" name="Obráze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724525" cy="4620895"/>
                    </a:xfrm>
                    <a:prstGeom prst="rect">
                      <a:avLst/>
                    </a:prstGeom>
                    <a:noFill/>
                  </pic:spPr>
                </pic:pic>
              </a:graphicData>
            </a:graphic>
          </wp:inline>
        </w:drawing>
      </w:r>
    </w:p>
    <w:p w:rsidR="001205D1" w:rsidRDefault="001205D1" w:rsidP="00BD76A8">
      <w:pPr>
        <w:pStyle w:val="SRtitulek1"/>
        <w:sectPr w:rsidR="001205D1" w:rsidSect="00385A41">
          <w:type w:val="continuous"/>
          <w:pgSz w:w="11906" w:h="16838" w:code="9"/>
          <w:pgMar w:top="1134" w:right="1134" w:bottom="1418" w:left="1134" w:header="709" w:footer="709" w:gutter="0"/>
          <w:cols w:space="709"/>
          <w:docGrid w:linePitch="360"/>
        </w:sectPr>
      </w:pPr>
    </w:p>
    <w:p w:rsidR="00627DE9" w:rsidRDefault="00627DE9" w:rsidP="00404E39">
      <w:pPr>
        <w:pStyle w:val="SRtitulek1"/>
      </w:pPr>
      <w:bookmarkStart w:id="185" w:name="_Toc83882901"/>
      <w:r>
        <w:lastRenderedPageBreak/>
        <w:t xml:space="preserve">Tabulka </w:t>
      </w:r>
      <w:r w:rsidR="00D51DCA">
        <w:fldChar w:fldCharType="begin"/>
      </w:r>
      <w:r w:rsidR="00D51DCA">
        <w:instrText xml:space="preserve"> SEQ Tabulka \* ARABIC </w:instrText>
      </w:r>
      <w:r w:rsidR="00D51DCA">
        <w:fldChar w:fldCharType="separate"/>
      </w:r>
      <w:r w:rsidR="00D51DCA">
        <w:rPr>
          <w:noProof/>
        </w:rPr>
        <w:t>36</w:t>
      </w:r>
      <w:r w:rsidR="00D51DCA">
        <w:rPr>
          <w:noProof/>
        </w:rPr>
        <w:fldChar w:fldCharType="end"/>
      </w:r>
      <w:r w:rsidRPr="00627DE9">
        <w:t xml:space="preserve"> </w:t>
      </w:r>
      <w:r w:rsidRPr="00DE37C6">
        <w:t>Základní ukazatele státního rozpočtu v kapitole Státní dluh v letech 201</w:t>
      </w:r>
      <w:r>
        <w:t>7</w:t>
      </w:r>
      <w:r w:rsidRPr="00DE37C6">
        <w:t xml:space="preserve"> – 2024 </w:t>
      </w:r>
      <w:r w:rsidRPr="00DE37C6">
        <w:rPr>
          <w:i/>
        </w:rPr>
        <w:t>(v mil. Kč)</w:t>
      </w:r>
      <w:bookmarkEnd w:id="185"/>
    </w:p>
    <w:p w:rsidR="001A26FA" w:rsidRDefault="00992C3F" w:rsidP="00A644EF">
      <w:pPr>
        <w:pStyle w:val="Zdrojpodtabulkounebografem"/>
        <w:contextualSpacing w:val="0"/>
        <w:jc w:val="left"/>
      </w:pPr>
      <w:r>
        <w:pict>
          <v:shape id="_x0000_i1057" type="#_x0000_t75" style="width:482.25pt;height:66.55pt">
            <v:imagedata r:id="rId78" o:title=""/>
          </v:shape>
        </w:pict>
      </w:r>
      <w:r w:rsidR="001A26FA" w:rsidRPr="001A26FA">
        <w:t>Poznámka: Od roku 2016 došlo ke změně metodiky rozpočtování kapitoly Státní dluhu spočívající ve vzájemném měsíčním započítávání realizovaných úrokových příjmů a výdajů.</w:t>
      </w:r>
    </w:p>
    <w:p w:rsidR="00DA7F7A" w:rsidRDefault="00DA7F7A" w:rsidP="00DA7F7A">
      <w:pPr>
        <w:pStyle w:val="Zdrojpodtabulkounebografem"/>
        <w:jc w:val="left"/>
        <w:sectPr w:rsidR="00DA7F7A" w:rsidSect="00385A41">
          <w:type w:val="continuous"/>
          <w:pgSz w:w="11906" w:h="16838" w:code="9"/>
          <w:pgMar w:top="1134" w:right="1134" w:bottom="1418" w:left="1134" w:header="709" w:footer="709" w:gutter="0"/>
          <w:cols w:space="709"/>
          <w:docGrid w:linePitch="360"/>
        </w:sectPr>
      </w:pPr>
    </w:p>
    <w:p w:rsidR="00DE5379" w:rsidRPr="00AC6E27" w:rsidRDefault="00D647E4" w:rsidP="009333CF">
      <w:pPr>
        <w:pStyle w:val="SRTextnomal"/>
        <w:rPr>
          <w:highlight w:val="cyan"/>
        </w:rPr>
      </w:pPr>
      <w:r w:rsidRPr="002E2F3D">
        <w:lastRenderedPageBreak/>
        <w:t>Dne 20. února 2015 nabyl účinnosti zákon č. 25/2015 Sb., kterým se mění zákon č. 218/2000 Sb., o rozpočt</w:t>
      </w:r>
      <w:r w:rsidRPr="002E2F3D">
        <w:t>o</w:t>
      </w:r>
      <w:r w:rsidRPr="002E2F3D">
        <w:t>vých pravidlech a o změně některých souvisejících zák</w:t>
      </w:r>
      <w:r w:rsidRPr="002E2F3D">
        <w:t>o</w:t>
      </w:r>
      <w:r w:rsidRPr="002E2F3D">
        <w:t>nů (rozpočtová pravidla), ve znění pozdějších předpisů. V</w:t>
      </w:r>
      <w:r>
        <w:t> </w:t>
      </w:r>
      <w:r w:rsidRPr="002E2F3D">
        <w:t>rámci změny rozpočtových pravidel nastala možnost sečíst a vzájemně započíst příjmy podle § 6 odst. 1 a v</w:t>
      </w:r>
      <w:r w:rsidRPr="002E2F3D">
        <w:t>ý</w:t>
      </w:r>
      <w:r w:rsidRPr="002E2F3D">
        <w:t>daje podle § 7 odst. 1, jestliže souvisejí s  řízením likvid</w:t>
      </w:r>
      <w:r w:rsidRPr="002E2F3D">
        <w:t>i</w:t>
      </w:r>
      <w:r w:rsidRPr="002E2F3D">
        <w:t>ty státní pokladny nebo řízením státního dluhu. V důsledku realizace vzájemného zápočtu výdajů a př</w:t>
      </w:r>
      <w:r w:rsidRPr="002E2F3D">
        <w:t>í</w:t>
      </w:r>
      <w:r w:rsidRPr="002E2F3D">
        <w:lastRenderedPageBreak/>
        <w:t>jmů jsou příjmy kapitoly počínaje rokem 2016 rozpočt</w:t>
      </w:r>
      <w:r w:rsidRPr="002E2F3D">
        <w:t>o</w:t>
      </w:r>
      <w:r w:rsidRPr="002E2F3D">
        <w:t>vány v nulové výši.</w:t>
      </w:r>
      <w:r>
        <w:t xml:space="preserve"> </w:t>
      </w:r>
      <w:r w:rsidRPr="002E2F3D">
        <w:t xml:space="preserve">Celkové výdaje kapitoly na rok 2022 jsou navrhovány ve výši </w:t>
      </w:r>
      <w:r w:rsidR="00FA6E93">
        <w:t>45</w:t>
      </w:r>
      <w:r w:rsidRPr="002E2F3D">
        <w:t>,0 mld. Kč. Pro rok 2023 jsou celkové výdaje kapitoly navrhovány ve výši 5</w:t>
      </w:r>
      <w:r w:rsidR="00FA6E93">
        <w:t>0</w:t>
      </w:r>
      <w:r w:rsidRPr="002E2F3D">
        <w:t xml:space="preserve">,0 mld. Kč. Pro rok 2024 je stanoven rámec výdajů kapitoly na úrovni </w:t>
      </w:r>
      <w:r w:rsidR="00FA6E93">
        <w:t>57</w:t>
      </w:r>
      <w:r w:rsidRPr="002E2F3D">
        <w:t>,0 mld. Kč. Výdaje budou upřesňovány s ohledem na vývoj úrokových sazeb a s ohledem na vývoj na domácím, případně zahraničním trhu.</w:t>
      </w:r>
    </w:p>
    <w:p w:rsidR="00DB173E" w:rsidRDefault="00DB173E">
      <w:pPr>
        <w:spacing w:after="0"/>
        <w:jc w:val="left"/>
        <w:sectPr w:rsidR="00DB173E" w:rsidSect="00385A41">
          <w:type w:val="continuous"/>
          <w:pgSz w:w="11906" w:h="16838" w:code="9"/>
          <w:pgMar w:top="1134" w:right="1134" w:bottom="1418" w:left="1134" w:header="709" w:footer="709" w:gutter="0"/>
          <w:cols w:num="2" w:space="397"/>
          <w:docGrid w:linePitch="360"/>
        </w:sectPr>
      </w:pPr>
    </w:p>
    <w:p w:rsidR="000F2C19" w:rsidRDefault="000F2C19">
      <w:pPr>
        <w:spacing w:after="0"/>
        <w:jc w:val="left"/>
        <w:rPr>
          <w:rFonts w:cs="Arial"/>
          <w:b/>
          <w:bCs/>
          <w:kern w:val="32"/>
          <w:sz w:val="40"/>
          <w:szCs w:val="32"/>
        </w:rPr>
      </w:pPr>
      <w:r>
        <w:lastRenderedPageBreak/>
        <w:br w:type="page"/>
      </w:r>
    </w:p>
    <w:p w:rsidR="00DA7F7A" w:rsidRDefault="00DA7F7A" w:rsidP="00DF1D38">
      <w:pPr>
        <w:pStyle w:val="Nadpis1"/>
        <w:sectPr w:rsidR="00DA7F7A" w:rsidSect="00385A41">
          <w:type w:val="continuous"/>
          <w:pgSz w:w="11906" w:h="16838" w:code="9"/>
          <w:pgMar w:top="1134" w:right="1134" w:bottom="1418" w:left="1134" w:header="709" w:footer="709" w:gutter="0"/>
          <w:cols w:num="2" w:space="709"/>
          <w:docGrid w:linePitch="360"/>
        </w:sectPr>
      </w:pPr>
    </w:p>
    <w:p w:rsidR="00DF1D38" w:rsidRPr="000A0D0D" w:rsidRDefault="00DF1D38" w:rsidP="005A27EF">
      <w:pPr>
        <w:pStyle w:val="SRNadpis1"/>
      </w:pPr>
      <w:bookmarkStart w:id="186" w:name="_Toc52369427"/>
      <w:bookmarkStart w:id="187" w:name="_Toc83882864"/>
      <w:r w:rsidRPr="000A0D0D">
        <w:lastRenderedPageBreak/>
        <w:t xml:space="preserve">Závazky státu vyplývající z víceletých významných </w:t>
      </w:r>
      <w:r w:rsidRPr="005A27EF">
        <w:t>veřejných</w:t>
      </w:r>
      <w:r w:rsidRPr="000A0D0D">
        <w:t xml:space="preserve"> zakázek a z koncesních smluv</w:t>
      </w:r>
      <w:bookmarkEnd w:id="186"/>
      <w:bookmarkEnd w:id="187"/>
    </w:p>
    <w:p w:rsidR="00F21E10" w:rsidRDefault="00F21E10" w:rsidP="00F21E10">
      <w:pPr>
        <w:sectPr w:rsidR="00F21E10" w:rsidSect="00385A41">
          <w:type w:val="continuous"/>
          <w:pgSz w:w="11906" w:h="16838" w:code="9"/>
          <w:pgMar w:top="1134" w:right="1134" w:bottom="1418" w:left="1134" w:header="709" w:footer="709" w:gutter="0"/>
          <w:cols w:space="709"/>
          <w:docGrid w:linePitch="360"/>
        </w:sectPr>
      </w:pPr>
    </w:p>
    <w:p w:rsidR="00DF25D8" w:rsidRDefault="00DF25D8" w:rsidP="00D76CD8">
      <w:pPr>
        <w:pStyle w:val="SRTextnomal"/>
      </w:pPr>
      <w:r>
        <w:lastRenderedPageBreak/>
        <w:t>Ministerstva zahraničních věcí, obrany, financí, vnitra, práce a sociálních věcí, spravedlnosti, dopravy, kultury a</w:t>
      </w:r>
      <w:r w:rsidR="00C667C1">
        <w:t> </w:t>
      </w:r>
      <w:r>
        <w:t>zemědělství předpokládají na léta 2023 a 2024 realiz</w:t>
      </w:r>
      <w:r>
        <w:t>a</w:t>
      </w:r>
      <w:r>
        <w:t xml:space="preserve">ci 99 resp. 87 smluv na víceleté veřejné zakázky, jejichž předpokládaná hodnota dosahuje 300 mil. Kč a více. </w:t>
      </w:r>
    </w:p>
    <w:p w:rsidR="00DF25D8" w:rsidRDefault="00DF25D8" w:rsidP="00D76CD8">
      <w:pPr>
        <w:pStyle w:val="SRTextnomal"/>
      </w:pPr>
      <w:r>
        <w:t>Celková hodnota výdajů na realizaci těchto smluv v o</w:t>
      </w:r>
      <w:r>
        <w:t>b</w:t>
      </w:r>
      <w:r>
        <w:t>dobí od roku 2023 do ukončení smluv dosáhne 177</w:t>
      </w:r>
      <w:r w:rsidR="00C667C1">
        <w:t> </w:t>
      </w:r>
      <w:r>
        <w:t>mld.</w:t>
      </w:r>
      <w:r w:rsidR="00C667C1">
        <w:t> </w:t>
      </w:r>
      <w:r>
        <w:t>Kč. Nejvyšších hodnot dosahují víceleté zakázky Ministerstva obrany.</w:t>
      </w:r>
    </w:p>
    <w:p w:rsidR="00F21E10" w:rsidRDefault="00DF25D8" w:rsidP="00D76CD8">
      <w:pPr>
        <w:pStyle w:val="SRTextnomal"/>
      </w:pPr>
      <w:r>
        <w:lastRenderedPageBreak/>
        <w:t>Smlouvy na koncese jsou u organizačních složek státu, státních příspěvkových organizací a státních fondů spíše výjimečně využívanou formou zadání a realizace služeb či dodávek. Výdaje zadavatelů na realizaci koncesních smluv představují minoritní část celkové hodnoty smluv, převážná část příjmů konc</w:t>
      </w:r>
      <w:r w:rsidR="00004D33">
        <w:t>esionářů plyne od třetích osob.</w:t>
      </w:r>
    </w:p>
    <w:p w:rsidR="00DB173E" w:rsidRDefault="00DB173E">
      <w:pPr>
        <w:spacing w:after="0"/>
        <w:jc w:val="left"/>
        <w:sectPr w:rsidR="00DB173E" w:rsidSect="00385A41">
          <w:type w:val="continuous"/>
          <w:pgSz w:w="11906" w:h="16838" w:code="9"/>
          <w:pgMar w:top="1134" w:right="1134" w:bottom="1418" w:left="1134" w:header="709" w:footer="709" w:gutter="0"/>
          <w:cols w:num="2" w:space="397"/>
          <w:docGrid w:linePitch="360"/>
        </w:sectPr>
      </w:pPr>
    </w:p>
    <w:p w:rsidR="00DF1D38" w:rsidRPr="00DF1D38" w:rsidRDefault="00DF1D38" w:rsidP="00294399">
      <w:pPr>
        <w:pStyle w:val="SRNadpisAB"/>
      </w:pPr>
      <w:bookmarkStart w:id="188" w:name="_Toc52369428"/>
      <w:bookmarkStart w:id="189" w:name="_Toc83882865"/>
      <w:r>
        <w:lastRenderedPageBreak/>
        <w:t>Tabulková část</w:t>
      </w:r>
      <w:bookmarkEnd w:id="188"/>
      <w:bookmarkEnd w:id="189"/>
    </w:p>
    <w:p w:rsidR="003F38F3" w:rsidRDefault="003F38F3" w:rsidP="00FB6D2E">
      <w:pPr>
        <w:pStyle w:val="Nadpis1"/>
        <w:jc w:val="left"/>
        <w:sectPr w:rsidR="003F38F3" w:rsidSect="00385A41">
          <w:headerReference w:type="even" r:id="rId79"/>
          <w:headerReference w:type="default" r:id="rId80"/>
          <w:footerReference w:type="even" r:id="rId81"/>
          <w:footerReference w:type="default" r:id="rId82"/>
          <w:type w:val="continuous"/>
          <w:pgSz w:w="11906" w:h="16838" w:code="9"/>
          <w:pgMar w:top="1134" w:right="1134" w:bottom="1418" w:left="1134" w:header="709" w:footer="709" w:gutter="0"/>
          <w:cols w:num="2" w:space="397"/>
          <w:docGrid w:linePitch="360"/>
        </w:sectPr>
      </w:pPr>
      <w:bookmarkStart w:id="190" w:name="_Toc206730426"/>
      <w:bookmarkStart w:id="191" w:name="_Toc238787317"/>
      <w:bookmarkStart w:id="192" w:name="_Toc239042731"/>
      <w:bookmarkStart w:id="193" w:name="_Toc239056360"/>
      <w:bookmarkStart w:id="194" w:name="_Toc239056398"/>
      <w:bookmarkStart w:id="195" w:name="_Toc525714686"/>
      <w:bookmarkStart w:id="196" w:name="_Toc515545973"/>
      <w:bookmarkStart w:id="197" w:name="_Toc5956945"/>
      <w:bookmarkEnd w:id="72"/>
    </w:p>
    <w:p w:rsidR="00837825" w:rsidRDefault="00837825" w:rsidP="005027E8">
      <w:pPr>
        <w:rPr>
          <w:rFonts w:cs="Arial"/>
        </w:rPr>
        <w:sectPr w:rsidR="00837825" w:rsidSect="00385A41">
          <w:type w:val="continuous"/>
          <w:pgSz w:w="11906" w:h="16838" w:code="9"/>
          <w:pgMar w:top="1134" w:right="1134" w:bottom="1418" w:left="1134" w:header="709" w:footer="709" w:gutter="0"/>
          <w:cols w:space="708"/>
          <w:docGrid w:linePitch="360"/>
        </w:sectPr>
      </w:pPr>
      <w:bookmarkStart w:id="198" w:name="_Toc238787318"/>
      <w:bookmarkStart w:id="199" w:name="_Toc239042732"/>
      <w:bookmarkStart w:id="200" w:name="_Toc239056361"/>
      <w:bookmarkStart w:id="201" w:name="_Toc239056399"/>
      <w:bookmarkStart w:id="202" w:name="_Toc525714687"/>
      <w:bookmarkEnd w:id="190"/>
      <w:bookmarkEnd w:id="191"/>
      <w:bookmarkEnd w:id="192"/>
      <w:bookmarkEnd w:id="193"/>
      <w:bookmarkEnd w:id="194"/>
      <w:bookmarkEnd w:id="195"/>
      <w:bookmarkEnd w:id="196"/>
      <w:bookmarkEnd w:id="197"/>
    </w:p>
    <w:bookmarkEnd w:id="198"/>
    <w:bookmarkEnd w:id="199"/>
    <w:bookmarkEnd w:id="200"/>
    <w:bookmarkEnd w:id="201"/>
    <w:bookmarkEnd w:id="202"/>
    <w:p w:rsidR="00510568" w:rsidRPr="00510568" w:rsidRDefault="00510568" w:rsidP="00767EA8"/>
    <w:sectPr w:rsidR="00510568" w:rsidRPr="00510568" w:rsidSect="00271415">
      <w:type w:val="continuous"/>
      <w:pgSz w:w="11906" w:h="16838" w:code="9"/>
      <w:pgMar w:top="1134" w:right="1134" w:bottom="1418" w:left="1134" w:header="709" w:footer="709" w:gutter="0"/>
      <w:pgNumType w:start="1"/>
      <w:cols w:num="2" w:space="39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AE4" w:rsidRDefault="00952AE4">
      <w:r>
        <w:separator/>
      </w:r>
    </w:p>
    <w:p w:rsidR="00952AE4" w:rsidRDefault="00952AE4"/>
    <w:p w:rsidR="00952AE4" w:rsidRDefault="00952AE4"/>
  </w:endnote>
  <w:endnote w:type="continuationSeparator" w:id="0">
    <w:p w:rsidR="00952AE4" w:rsidRDefault="00952AE4">
      <w:r>
        <w:continuationSeparator/>
      </w:r>
    </w:p>
    <w:p w:rsidR="00952AE4" w:rsidRDefault="00952AE4"/>
    <w:p w:rsidR="00952AE4" w:rsidRDefault="00952AE4"/>
  </w:endnote>
  <w:endnote w:type="continuationNotice" w:id="1">
    <w:p w:rsidR="00952AE4" w:rsidRDefault="00952A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text" w:horzAnchor="page" w:tblpX="6487" w:tblpY="1"/>
      <w:tblOverlap w:val="never"/>
      <w:tblW w:w="2618" w:type="pct"/>
      <w:tblBorders>
        <w:top w:val="single" w:sz="2" w:space="0" w:color="FFFFFF"/>
        <w:left w:val="single" w:sz="2" w:space="0" w:color="FFFFFF"/>
        <w:bottom w:val="single" w:sz="2" w:space="0" w:color="FFFFFF"/>
        <w:right w:val="single" w:sz="2" w:space="0" w:color="FFFFFF"/>
        <w:insideH w:val="single" w:sz="12" w:space="0" w:color="999999"/>
        <w:insideV w:val="single" w:sz="12" w:space="0" w:color="999999"/>
      </w:tblBorders>
      <w:tblLook w:val="01E0" w:firstRow="1" w:lastRow="1" w:firstColumn="1" w:lastColumn="1" w:noHBand="0" w:noVBand="0"/>
    </w:tblPr>
    <w:tblGrid>
      <w:gridCol w:w="4441"/>
      <w:gridCol w:w="719"/>
    </w:tblGrid>
    <w:tr w:rsidR="00952AE4" w:rsidRPr="006E3BB6" w:rsidTr="000411F9">
      <w:trPr>
        <w:cantSplit/>
      </w:trPr>
      <w:tc>
        <w:tcPr>
          <w:tcW w:w="4303" w:type="pct"/>
          <w:shd w:val="clear" w:color="auto" w:fill="auto"/>
          <w:vAlign w:val="center"/>
        </w:tcPr>
        <w:p w:rsidR="00952AE4" w:rsidRPr="0017797C" w:rsidRDefault="00952AE4" w:rsidP="000411F9">
          <w:pPr>
            <w:suppressAutoHyphens/>
            <w:spacing w:after="0"/>
            <w:jc w:val="right"/>
            <w:rPr>
              <w:b/>
              <w:noProof/>
              <w:color w:val="999999"/>
              <w:sz w:val="16"/>
              <w:szCs w:val="16"/>
            </w:rPr>
          </w:pPr>
          <w:r>
            <w:rPr>
              <w:b/>
              <w:noProof/>
              <w:color w:val="999999"/>
              <w:sz w:val="16"/>
              <w:szCs w:val="16"/>
            </w:rPr>
            <w:fldChar w:fldCharType="begin"/>
          </w:r>
          <w:r>
            <w:rPr>
              <w:b/>
              <w:noProof/>
              <w:color w:val="999999"/>
              <w:sz w:val="16"/>
              <w:szCs w:val="16"/>
            </w:rPr>
            <w:instrText xml:space="preserve"> STYLEREF  "SR_Nadpis sešitu_pro zápatí"  \* MERGEFORMAT </w:instrText>
          </w:r>
          <w:r>
            <w:rPr>
              <w:b/>
              <w:noProof/>
              <w:color w:val="999999"/>
              <w:sz w:val="16"/>
              <w:szCs w:val="16"/>
            </w:rPr>
            <w:fldChar w:fldCharType="separate"/>
          </w:r>
          <w:r w:rsidR="00D51DCA">
            <w:rPr>
              <w:b/>
              <w:noProof/>
              <w:color w:val="999999"/>
              <w:sz w:val="16"/>
              <w:szCs w:val="16"/>
            </w:rPr>
            <w:t>STŘEDNĚDOBÝ VÝHLED STÁTNÍHO ROZPOČTU</w:t>
          </w:r>
          <w:r w:rsidR="00D51DCA">
            <w:rPr>
              <w:b/>
              <w:noProof/>
              <w:color w:val="999999"/>
              <w:sz w:val="16"/>
              <w:szCs w:val="16"/>
            </w:rPr>
            <w:br/>
            <w:t>NA LÉTA 2023 a 2024</w:t>
          </w:r>
          <w:r>
            <w:rPr>
              <w:b/>
              <w:noProof/>
              <w:color w:val="999999"/>
              <w:sz w:val="16"/>
              <w:szCs w:val="16"/>
            </w:rPr>
            <w:fldChar w:fldCharType="end"/>
          </w:r>
        </w:p>
      </w:tc>
      <w:tc>
        <w:tcPr>
          <w:tcW w:w="697" w:type="pct"/>
          <w:shd w:val="clear" w:color="auto" w:fill="auto"/>
          <w:vAlign w:val="center"/>
        </w:tcPr>
        <w:p w:rsidR="00952AE4" w:rsidRPr="006E3BB6" w:rsidRDefault="00952AE4" w:rsidP="000411F9">
          <w:pPr>
            <w:spacing w:after="0"/>
            <w:rPr>
              <w:rStyle w:val="slostrnky"/>
              <w:sz w:val="32"/>
            </w:rPr>
          </w:pPr>
          <w:r w:rsidRPr="00175F17">
            <w:rPr>
              <w:rStyle w:val="slostrnky"/>
              <w:sz w:val="32"/>
              <w:szCs w:val="32"/>
            </w:rPr>
            <w:fldChar w:fldCharType="begin"/>
          </w:r>
          <w:r w:rsidRPr="00175F17">
            <w:rPr>
              <w:rStyle w:val="slostrnky"/>
              <w:sz w:val="32"/>
              <w:szCs w:val="32"/>
            </w:rPr>
            <w:instrText xml:space="preserve"> PAGE </w:instrText>
          </w:r>
          <w:r w:rsidRPr="00175F17">
            <w:rPr>
              <w:rStyle w:val="slostrnky"/>
              <w:sz w:val="32"/>
              <w:szCs w:val="32"/>
            </w:rPr>
            <w:fldChar w:fldCharType="separate"/>
          </w:r>
          <w:r w:rsidR="00D51DCA">
            <w:rPr>
              <w:rStyle w:val="slostrnky"/>
              <w:noProof/>
              <w:sz w:val="32"/>
              <w:szCs w:val="32"/>
            </w:rPr>
            <w:t>4</w:t>
          </w:r>
          <w:r w:rsidRPr="00175F17">
            <w:rPr>
              <w:rStyle w:val="slostrnky"/>
              <w:sz w:val="32"/>
              <w:szCs w:val="32"/>
            </w:rPr>
            <w:fldChar w:fldCharType="end"/>
          </w:r>
        </w:p>
      </w:tc>
    </w:tr>
  </w:tbl>
  <w:p w:rsidR="00952AE4" w:rsidRPr="00553D95" w:rsidRDefault="00952AE4" w:rsidP="0014573C">
    <w:pPr>
      <w:pStyle w:val="Zpat"/>
      <w:jc w:val="right"/>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AE4" w:rsidRPr="00A12A05" w:rsidRDefault="00952AE4" w:rsidP="00E8195E">
    <w:pPr>
      <w:pStyle w:val="Zpat"/>
    </w:pPr>
    <w:r>
      <w:rPr>
        <w:noProof/>
      </w:rPr>
      <mc:AlternateContent>
        <mc:Choice Requires="wps">
          <w:drawing>
            <wp:anchor distT="0" distB="0" distL="114300" distR="114300" simplePos="0" relativeHeight="251663360" behindDoc="0" locked="0" layoutInCell="1" allowOverlap="1" wp14:anchorId="6E27C6D3" wp14:editId="07036BE4">
              <wp:simplePos x="0" y="0"/>
              <wp:positionH relativeFrom="column">
                <wp:posOffset>-113665</wp:posOffset>
              </wp:positionH>
              <wp:positionV relativeFrom="paragraph">
                <wp:posOffset>-1175385</wp:posOffset>
              </wp:positionV>
              <wp:extent cx="2743200" cy="1257300"/>
              <wp:effectExtent l="0" t="0" r="0" b="0"/>
              <wp:wrapNone/>
              <wp:docPr id="36" name="Textové pole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2AE4" w:rsidRPr="000F3D4A" w:rsidRDefault="00952AE4" w:rsidP="00E8195E">
                          <w:pPr>
                            <w:spacing w:after="0"/>
                            <w:jc w:val="left"/>
                            <w:rPr>
                              <w:b/>
                              <w:sz w:val="24"/>
                            </w:rPr>
                          </w:pPr>
                          <w:r w:rsidRPr="000F3D4A">
                            <w:rPr>
                              <w:b/>
                              <w:sz w:val="24"/>
                            </w:rPr>
                            <w:t>Ministerstvo financí České republiky</w:t>
                          </w:r>
                        </w:p>
                        <w:p w:rsidR="00952AE4" w:rsidRPr="000F3D4A" w:rsidRDefault="00952AE4" w:rsidP="00E8195E">
                          <w:pPr>
                            <w:spacing w:after="0"/>
                            <w:jc w:val="left"/>
                            <w:rPr>
                              <w:sz w:val="24"/>
                            </w:rPr>
                          </w:pPr>
                          <w:r w:rsidRPr="000F3D4A">
                            <w:rPr>
                              <w:sz w:val="24"/>
                            </w:rPr>
                            <w:t>Letenská 15</w:t>
                          </w:r>
                        </w:p>
                        <w:p w:rsidR="00952AE4" w:rsidRPr="000F3D4A" w:rsidRDefault="00952AE4" w:rsidP="00E8195E">
                          <w:pPr>
                            <w:spacing w:after="0"/>
                            <w:jc w:val="left"/>
                            <w:rPr>
                              <w:sz w:val="24"/>
                            </w:rPr>
                          </w:pPr>
                          <w:r w:rsidRPr="000F3D4A">
                            <w:rPr>
                              <w:sz w:val="24"/>
                            </w:rPr>
                            <w:t>118 10 Praha 1</w:t>
                          </w:r>
                        </w:p>
                        <w:p w:rsidR="00952AE4" w:rsidRPr="000F3D4A" w:rsidRDefault="00952AE4" w:rsidP="00E8195E">
                          <w:pPr>
                            <w:spacing w:before="240" w:after="0"/>
                            <w:rPr>
                              <w:sz w:val="24"/>
                            </w:rPr>
                          </w:pPr>
                          <w:r w:rsidRPr="000F3D4A">
                            <w:rPr>
                              <w:sz w:val="24"/>
                            </w:rPr>
                            <w:t>http://www.mfcr.cz</w:t>
                          </w:r>
                        </w:p>
                      </w:txbxContent>
                    </wps:txbx>
                    <wps:bodyPr rot="0" vert="horz" wrap="square" lIns="91440" tIns="9000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36" o:spid="_x0000_s1030" type="#_x0000_t202" style="position:absolute;left:0;text-align:left;margin-left:-8.95pt;margin-top:-92.55pt;width:3in;height:9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ASwgIAAMQFAAAOAAAAZHJzL2Uyb0RvYy54bWysVFlu2zAQ/S/QOxD8V7RYXiREDhLLKgqk&#10;C5D0ALREWUQpUiVpS2nRA/UcvViHlO04CQoUbfUhkMPhm3kzj3N5NbQc7anSTIoMhxcBRlSUsmJi&#10;m+FP94W3wEgbIirCpaAZfqAaXy1fv7rsu5RGspG8ogoBiNBp32W4MaZLfV+XDW2JvpAdFXBYS9US&#10;A1u19StFekBvuR8Fwczvpao6JUuqNVjz8RAvHX5d09J8qGtNDeIZhtyM+yv339i/v7wk6VaRrmHl&#10;IQ3yF1m0hAkIeoLKiSFop9gLqJaVSmpZm4tStr6sa1ZSxwHYhMEzNncN6ajjAsXR3alM+v/Blu/3&#10;HxViVYYnM4wEaaFH93Qwcv/zB+okpwjsUKS+0yn43nXgbYYbOUCzHWHd3crys0ZCrhoitvRaKdk3&#10;lFSQZGhv+mdXRxxtQTb9O1lBMLIz0gENtWptBaEmCNChWQ+nBkFCqARjNI8n0HWMSjgLo+l8Ahsb&#10;g6TH653S5g2VLbKLDCtQgIMn+1ttRteji40mZME4BztJuXhiAMzRAsHhqj2zabimfkuCZL1YL2Iv&#10;jmZrLw7y3LsuVrE3K8L5NJ/kq1UefrdxwzhtWFVRYcMcBRbGf9bAg9RHaZwkpiVnlYWzKWm13ay4&#10;QnsCAi/cdyjImZv/NA1XL+DyjFIYxcFNlHjFbDH34iKeesk8WHhBmNwksyBO4rx4SumWCfrvlFCf&#10;4WQaTUc1/ZZb4L6X3EjaMgMjhLM2w4uTE0mtBteicq01hPFxfVYKm/5jKaDdx0Y7xVqRjnI1w2Zw&#10;LySy0a2aN7J6AAkrCQIDMcL4g0Uj1VeMehglGdZfdkRRjPhbAc8gCePYzp5xY1PESJ2fbNwGrESU&#10;AJNhc1yuzDirdp1i2waijI9OyGt4NjVzgn7M6PDYYFQ4XoexZmfR+d55PQ7f5S8AAAD//wMAUEsD&#10;BBQABgAIAAAAIQDyOxsv4QAAAAsBAAAPAAAAZHJzL2Rvd25yZXYueG1sTI/BSsNAEIbvgu+wjOBF&#10;2k1KNG2aTRFF0EMFW0uv02RMgtndkN2k69s7PentH+bjn2/yTdCdmGhwrTUK4nkEgkxpq9bUCj73&#10;L7MlCOfRVNhZQwp+yMGmuL7KMavs2XzQtPO14BLjMlTQeN9nUrqyIY1ubnsyvPuyg0bP41DLasAz&#10;l+tOLqLoQWpsDV9osKenhsrv3agVvKbv6R0eDvvn8FZuj4kP6TQGpW5vwuMahKfg/2C46LM6FOx0&#10;sqOpnOgUzOJ0xeglLO9jEIwkccLhxOxiBbLI5f8fil8AAAD//wMAUEsBAi0AFAAGAAgAAAAhALaD&#10;OJL+AAAA4QEAABMAAAAAAAAAAAAAAAAAAAAAAFtDb250ZW50X1R5cGVzXS54bWxQSwECLQAUAAYA&#10;CAAAACEAOP0h/9YAAACUAQAACwAAAAAAAAAAAAAAAAAvAQAAX3JlbHMvLnJlbHNQSwECLQAUAAYA&#10;CAAAACEACbZwEsICAADEBQAADgAAAAAAAAAAAAAAAAAuAgAAZHJzL2Uyb0RvYy54bWxQSwECLQAU&#10;AAYACAAAACEA8jsbL+EAAAALAQAADwAAAAAAAAAAAAAAAAAcBQAAZHJzL2Rvd25yZXYueG1sUEsF&#10;BgAAAAAEAAQA8wAAACoGAAAAAA==&#10;" filled="f" stroked="f">
              <v:textbox inset=",2.5mm,,0">
                <w:txbxContent>
                  <w:p w:rsidR="00952AE4" w:rsidRPr="000F3D4A" w:rsidRDefault="00952AE4" w:rsidP="00E8195E">
                    <w:pPr>
                      <w:spacing w:after="0"/>
                      <w:jc w:val="left"/>
                      <w:rPr>
                        <w:b/>
                        <w:sz w:val="24"/>
                      </w:rPr>
                    </w:pPr>
                    <w:r w:rsidRPr="000F3D4A">
                      <w:rPr>
                        <w:b/>
                        <w:sz w:val="24"/>
                      </w:rPr>
                      <w:t>Ministerstvo financí České republiky</w:t>
                    </w:r>
                  </w:p>
                  <w:p w:rsidR="00952AE4" w:rsidRPr="000F3D4A" w:rsidRDefault="00952AE4" w:rsidP="00E8195E">
                    <w:pPr>
                      <w:spacing w:after="0"/>
                      <w:jc w:val="left"/>
                      <w:rPr>
                        <w:sz w:val="24"/>
                      </w:rPr>
                    </w:pPr>
                    <w:r w:rsidRPr="000F3D4A">
                      <w:rPr>
                        <w:sz w:val="24"/>
                      </w:rPr>
                      <w:t>Letenská 15</w:t>
                    </w:r>
                  </w:p>
                  <w:p w:rsidR="00952AE4" w:rsidRPr="000F3D4A" w:rsidRDefault="00952AE4" w:rsidP="00E8195E">
                    <w:pPr>
                      <w:spacing w:after="0"/>
                      <w:jc w:val="left"/>
                      <w:rPr>
                        <w:sz w:val="24"/>
                      </w:rPr>
                    </w:pPr>
                    <w:r w:rsidRPr="000F3D4A">
                      <w:rPr>
                        <w:sz w:val="24"/>
                      </w:rPr>
                      <w:t>118 10 Praha 1</w:t>
                    </w:r>
                  </w:p>
                  <w:p w:rsidR="00952AE4" w:rsidRPr="000F3D4A" w:rsidRDefault="00952AE4" w:rsidP="00E8195E">
                    <w:pPr>
                      <w:spacing w:before="240" w:after="0"/>
                      <w:rPr>
                        <w:sz w:val="24"/>
                      </w:rPr>
                    </w:pPr>
                    <w:r w:rsidRPr="000F3D4A">
                      <w:rPr>
                        <w:sz w:val="24"/>
                      </w:rPr>
                      <w:t>http://www.mfcr.cz</w:t>
                    </w:r>
                  </w:p>
                </w:txbxContent>
              </v:textbox>
            </v:shape>
          </w:pict>
        </mc:Fallback>
      </mc:AlternateContent>
    </w:r>
    <w:r>
      <w:rPr>
        <w:noProof/>
      </w:rPr>
      <mc:AlternateContent>
        <mc:Choice Requires="wpg">
          <w:drawing>
            <wp:anchor distT="0" distB="0" distL="114300" distR="114300" simplePos="0" relativeHeight="251651072" behindDoc="1" locked="0" layoutInCell="1" allowOverlap="1" wp14:anchorId="294EB836" wp14:editId="4BFDB3CD">
              <wp:simplePos x="0" y="0"/>
              <wp:positionH relativeFrom="column">
                <wp:posOffset>4572000</wp:posOffset>
              </wp:positionH>
              <wp:positionV relativeFrom="paragraph">
                <wp:posOffset>-10036175</wp:posOffset>
              </wp:positionV>
              <wp:extent cx="2352040" cy="10756265"/>
              <wp:effectExtent l="0" t="3175" r="635" b="3810"/>
              <wp:wrapNone/>
              <wp:docPr id="37" name="Skupina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52040" cy="10756265"/>
                        <a:chOff x="8334" y="-41"/>
                        <a:chExt cx="3704" cy="16939"/>
                      </a:xfrm>
                    </wpg:grpSpPr>
                    <wps:wsp>
                      <wps:cNvPr id="38" name="Rectangle 25" descr="BlueBar"/>
                      <wps:cNvSpPr>
                        <a:spLocks noChangeAspect="1" noChangeArrowheads="1"/>
                      </wps:cNvSpPr>
                      <wps:spPr bwMode="auto">
                        <a:xfrm rot="5400000">
                          <a:off x="1674" y="6619"/>
                          <a:ext cx="16920" cy="3600"/>
                        </a:xfrm>
                        <a:prstGeom prst="rect">
                          <a:avLst/>
                        </a:prstGeom>
                        <a:gradFill rotWithShape="1">
                          <a:gsLst>
                            <a:gs pos="0">
                              <a:srgbClr val="995979"/>
                            </a:gs>
                            <a:gs pos="100000">
                              <a:srgbClr val="995979">
                                <a:gamma/>
                                <a:tint val="20000"/>
                                <a:invGamma/>
                              </a:srgb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Text Box 26"/>
                      <wps:cNvSpPr txBox="1">
                        <a:spLocks noChangeAspect="1" noChangeArrowheads="1"/>
                      </wps:cNvSpPr>
                      <wps:spPr bwMode="auto">
                        <a:xfrm>
                          <a:off x="8798" y="-22"/>
                          <a:ext cx="3240" cy="16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2AE4" w:rsidRPr="006F476A" w:rsidRDefault="00952AE4" w:rsidP="00E8195E">
                            <w:pPr>
                              <w:rPr>
                                <w:color w:val="FFFFFF"/>
                              </w:rPr>
                            </w:pP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 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p>
                        </w:txbxContent>
                      </wps:txbx>
                      <wps:bodyPr rot="0" vert="vert" wrap="square" lIns="9000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Skupina 37" o:spid="_x0000_s1031" style="position:absolute;left:0;text-align:left;margin-left:5in;margin-top:-790.25pt;width:185.2pt;height:846.95pt;z-index:-251665408" coordorigin="8334,-41" coordsize="3704,16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fPACwQAAJoLAAAOAAAAZHJzL2Uyb0RvYy54bWzsVtuO2zYQfS/QfyD0rtXFuljCeoP1bVFg&#10;2wTZFH2mJUoiIpEqSVveFv33DknJ9m63QbpFkpf4QaY45HDmzJkjXr85di06ECEpZwsnuPIdRFjB&#10;S8rqhfPrh607d5BUmJW45YwsnEcinTc3P/5wPfQ5CXnD25IIBE6YzId+4TRK9bnnyaIhHZZXvCcM&#10;jBUXHVbwKmqvFHgA713rhb6feAMXZS94QaSE2bU1OjfGf1WRQr2tKkkUahcOxKbMU5jnTj+9m2uc&#10;1wL3DS3GMPArougwZXDoydUaK4z2gv7DVUcLwSWv1FXBO49XFS2IyQGyCfxn2dwJvu9NLnU+1P0J&#10;JoD2GU6vdlv8cngnEC0Xzix1EMMd1Ojh476nDCOYAXiGvs5h1Z3oH/p3wuYIw3tefJRg9p7b9Xtt&#10;F6Pd8DMvwSPeK27gOVai0y4gcXQ0VXg8VYEcFSpgMpzFoR9BsQqwBX4aJ2ES20IVDVRTb5zPZpGD&#10;wO5GwWTajPtnqQ82sznJZpk2ezi3J5tox+h0akA6ecZV/j9cHxrcE1MuqRGbcIUOsLi+BzZiVrcE&#10;hbGDSiILIOKy3ZMlFhZps2+CWVqMEeOrBraRW9mDA4AE/E1TQvChIbiEyA0OkN+FD/0ioWgv1wEJ&#10;Dt7iyNc/U52xKkGSWnCTJDDw4XyqTZBk4ViZWQK7LrHFeS+kuiO8Q3qwcASEa/ziw71Udum0ZOyV&#10;ckvbVgfyG1WNwU8nYowS9tgB6jnkZ0OUot6tWoEOGBo6y+IsnQpcy8vVwTmrl7aYpbjrMESFc0WZ&#10;sh5BUmxWOKfscDeuAPqMTgyV9EkwVU8RtpQhKNAZSyQL3BLoKVsTowomU31Yy/STcZ25xcTOAMRj&#10;xhpsox1/ZkEY+cswc7fJPHWjbRS7WerPXT/IllniR1m03v6l4QqivKFlSdg9ZWTSsSD6PD6PimoV&#10;yCgZGgDcGFiqQ5W8pafon4BpMJ5I8GRZRxXIeks7aFVbCQO0puqGlRZ0TFs79p6Gb8AFDKZ/g4oh&#10;tuay7dodLx+B14bBwEf4AAHfGi7+cNAAYr5w5O97LIiD2p8YcCcLIi0oyrxEcao5LC4tu0sLZgW4&#10;WjjKgbLq4UrZL8a+F7Ru4CRLUcZvQdcqaqite81GBXGPwvK1FCabFOaDps6SH1GYPBMUpI4wP0X+&#10;paVF02YUk3magQBqpQ5DHdNZS2bA7ZNOQ0VsM0xfiEkoPlNLTv30HxvMzzbzzTxyozDZuJG/Xru3&#10;21XkJtsgjdez9Wq1Dp42mBEse18B2r62wT7dV1vzGwG56KuLRtFhTA0ygfpdMz6pGeq4O9qbztQb&#10;L6qI1pJ/URHzcfgGKmJuLXABNAUfL6v6hnn5blTnfKW++RsAAP//AwBQSwMEFAAGAAgAAAAhAOaO&#10;wLTjAAAADgEAAA8AAABkcnMvZG93bnJldi54bWxMj8FuwjAMhu+T9g6RJ+0GSQbdoGuKENp2QpMG&#10;kyZupjFtRZNUTWjL2y+ctpst//r8/dlqNA3rqfO1swrkVAAjWzhd21LB9/59sgDmA1qNjbOk4Eoe&#10;Vvn9XYapdoP9on4XShYh1qeooAqhTTn3RUUG/dS1ZOPt5DqDIa5dyXWHQ4Sbhj8J8cwN1jZ+qLCl&#10;TUXFeXcxCj4GHNYz+dZvz6fN9bBPPn+2kpR6fBjXr8ACjeEvDDf9qA55dDq6i9WeNQpeIj5GFUxk&#10;shAJsFtGLMUc2DFOcjYHnmf8f438FwAA//8DAFBLAQItABQABgAIAAAAIQC2gziS/gAAAOEBAAAT&#10;AAAAAAAAAAAAAAAAAAAAAABbQ29udGVudF9UeXBlc10ueG1sUEsBAi0AFAAGAAgAAAAhADj9If/W&#10;AAAAlAEAAAsAAAAAAAAAAAAAAAAALwEAAF9yZWxzLy5yZWxzUEsBAi0AFAAGAAgAAAAhALYV88AL&#10;BAAAmgsAAA4AAAAAAAAAAAAAAAAALgIAAGRycy9lMm9Eb2MueG1sUEsBAi0AFAAGAAgAAAAhAOaO&#10;wLTjAAAADgEAAA8AAAAAAAAAAAAAAAAAZQYAAGRycy9kb3ducmV2LnhtbFBLBQYAAAAABAAEAPMA&#10;AAB1BwAAAAA=&#10;">
              <v:rect id="Rectangle 25" o:spid="_x0000_s1032" alt="BlueBar" style="position:absolute;left:1674;top:6619;width:16920;height:360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foRcEA&#10;AADbAAAADwAAAGRycy9kb3ducmV2LnhtbERPS2vCQBC+F/oflil4qxstiKSu4gNpqycfvU+z0yRt&#10;djZk1xj99c5B8PjxvSezzlWqpSaUng0M+gko4szbknMDx8P6dQwqRGSLlWcycKEAs+nz0wRT68+8&#10;o3YfcyUhHFI0UMRYp1qHrCCHoe9rYuF+feMwCmxybRs8S7ir9DBJRtphydJQYE3LgrL//clJyXY+&#10;+Ngs/sYRv9vRZftzXS2+Dsb0Xrr5O6hIXXyI7+5Pa+BNxsoX+QF6e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x36EXBAAAA2wAAAA8AAAAAAAAAAAAAAAAAmAIAAGRycy9kb3du&#10;cmV2LnhtbFBLBQYAAAAABAAEAPUAAACGAwAAAAA=&#10;" fillcolor="#995979" stroked="f">
                <v:fill color2="#ebdee4" rotate="t" focus="100%" type="gradient"/>
                <o:lock v:ext="edit" aspectratio="t"/>
              </v:rect>
              <v:shape id="Text Box 26" o:spid="_x0000_s1033" type="#_x0000_t202" style="position:absolute;left:8798;top:-22;width:3240;height:169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LK68UA&#10;AADbAAAADwAAAGRycy9kb3ducmV2LnhtbESPQWvCQBSE74X+h+UVehHdWKGY6CrFUhQ8FKOix0f2&#10;mYRm34bdVeO/dwWhx2FmvmGm88404kLO15YVDAcJCOLC6ppLBbvtT38MwgdkjY1lUnAjD/PZ68sU&#10;M22vvKFLHkoRIewzVFCF0GZS+qIig35gW+LonawzGKJ0pdQOrxFuGvmRJJ/SYM1xocKWFhUVf/nZ&#10;KGhP8ne0LtJV79sfy32+PBzcbanU+1v3NQERqAv/4Wd7pRWMUnh8iT9Az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srrxQAAANsAAAAPAAAAAAAAAAAAAAAAAJgCAABkcnMv&#10;ZG93bnJldi54bWxQSwUGAAAAAAQABAD1AAAAigMAAAAA&#10;" filled="f" stroked="f">
                <o:lock v:ext="edit" aspectratio="t"/>
                <v:textbox style="layout-flow:vertical" inset="2.5mm">
                  <w:txbxContent>
                    <w:p w:rsidR="00952AE4" w:rsidRPr="006F476A" w:rsidRDefault="00952AE4" w:rsidP="00E8195E">
                      <w:pPr>
                        <w:rPr>
                          <w:color w:val="FFFFFF"/>
                        </w:rPr>
                      </w:pP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 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p>
                  </w:txbxContent>
                </v:textbox>
              </v:shape>
            </v:group>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text" w:horzAnchor="page" w:tblpX="568" w:tblpY="1"/>
      <w:tblOverlap w:val="never"/>
      <w:tblW w:w="1730" w:type="pct"/>
      <w:tblBorders>
        <w:top w:val="single" w:sz="2" w:space="0" w:color="FFFFFF"/>
        <w:left w:val="single" w:sz="2" w:space="0" w:color="FFFFFF"/>
        <w:bottom w:val="single" w:sz="2" w:space="0" w:color="FFFFFF"/>
        <w:right w:val="single" w:sz="2" w:space="0" w:color="FFFFFF"/>
        <w:insideH w:val="single" w:sz="12" w:space="0" w:color="999999"/>
        <w:insideV w:val="single" w:sz="12" w:space="0" w:color="999999"/>
      </w:tblBorders>
      <w:tblLook w:val="01E0" w:firstRow="1" w:lastRow="1" w:firstColumn="1" w:lastColumn="1" w:noHBand="0" w:noVBand="0"/>
    </w:tblPr>
    <w:tblGrid>
      <w:gridCol w:w="648"/>
      <w:gridCol w:w="2761"/>
    </w:tblGrid>
    <w:tr w:rsidR="00952AE4" w:rsidRPr="00175F17" w:rsidTr="00540724">
      <w:trPr>
        <w:cantSplit/>
      </w:trPr>
      <w:tc>
        <w:tcPr>
          <w:tcW w:w="950" w:type="pct"/>
          <w:shd w:val="clear" w:color="auto" w:fill="auto"/>
          <w:vAlign w:val="center"/>
        </w:tcPr>
        <w:p w:rsidR="00952AE4" w:rsidRPr="00175F17" w:rsidRDefault="00952AE4" w:rsidP="00540724">
          <w:pPr>
            <w:spacing w:after="0"/>
            <w:jc w:val="right"/>
            <w:rPr>
              <w:color w:val="999999"/>
              <w:sz w:val="16"/>
              <w:szCs w:val="16"/>
            </w:rPr>
          </w:pPr>
          <w:r>
            <w:rPr>
              <w:rStyle w:val="slostrnky"/>
              <w:sz w:val="32"/>
              <w:szCs w:val="32"/>
            </w:rPr>
            <w:fldChar w:fldCharType="begin"/>
          </w:r>
          <w:r>
            <w:rPr>
              <w:rStyle w:val="slostrnky"/>
              <w:sz w:val="32"/>
              <w:szCs w:val="32"/>
            </w:rPr>
            <w:instrText xml:space="preserve"> PAGE  </w:instrText>
          </w:r>
          <w:r>
            <w:rPr>
              <w:rStyle w:val="slostrnky"/>
              <w:sz w:val="32"/>
              <w:szCs w:val="32"/>
            </w:rPr>
            <w:fldChar w:fldCharType="separate"/>
          </w:r>
          <w:r>
            <w:rPr>
              <w:rStyle w:val="slostrnky"/>
              <w:noProof/>
              <w:sz w:val="32"/>
              <w:szCs w:val="32"/>
            </w:rPr>
            <w:t>8</w:t>
          </w:r>
          <w:r>
            <w:rPr>
              <w:rStyle w:val="slostrnky"/>
              <w:sz w:val="32"/>
              <w:szCs w:val="32"/>
            </w:rPr>
            <w:fldChar w:fldCharType="end"/>
          </w:r>
        </w:p>
      </w:tc>
      <w:tc>
        <w:tcPr>
          <w:tcW w:w="4050" w:type="pct"/>
          <w:shd w:val="clear" w:color="auto" w:fill="auto"/>
          <w:vAlign w:val="center"/>
        </w:tcPr>
        <w:p w:rsidR="00952AE4" w:rsidRPr="00175F17" w:rsidRDefault="00952AE4" w:rsidP="00540724">
          <w:pPr>
            <w:suppressAutoHyphens/>
            <w:spacing w:after="0"/>
            <w:jc w:val="left"/>
            <w:rPr>
              <w:color w:val="999999"/>
              <w:sz w:val="32"/>
              <w:szCs w:val="32"/>
            </w:rPr>
          </w:pPr>
          <w:r w:rsidRPr="0017797C">
            <w:rPr>
              <w:b/>
              <w:color w:val="999999"/>
              <w:sz w:val="16"/>
              <w:szCs w:val="16"/>
            </w:rPr>
            <w:t>Zpráva ke státnímu rozpočtu České republiky na rok 2019</w:t>
          </w:r>
        </w:p>
      </w:tc>
    </w:tr>
  </w:tbl>
  <w:p w:rsidR="00952AE4" w:rsidRPr="00A12A05" w:rsidRDefault="00952AE4" w:rsidP="00540724">
    <w:pPr>
      <w:pStyle w:val="Zpat"/>
    </w:pPr>
  </w:p>
  <w:p w:rsidR="00952AE4" w:rsidRDefault="00952AE4"/>
  <w:p w:rsidR="00952AE4" w:rsidRDefault="00952AE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text" w:horzAnchor="page" w:tblpX="10484" w:tblpY="1"/>
      <w:tblOverlap w:val="never"/>
      <w:tblW w:w="2206" w:type="pct"/>
      <w:tblBorders>
        <w:top w:val="single" w:sz="2" w:space="0" w:color="FFFFFF"/>
        <w:left w:val="single" w:sz="2" w:space="0" w:color="FFFFFF"/>
        <w:bottom w:val="single" w:sz="2" w:space="0" w:color="FFFFFF"/>
        <w:right w:val="single" w:sz="2" w:space="0" w:color="FFFFFF"/>
        <w:insideH w:val="single" w:sz="12" w:space="0" w:color="999999"/>
        <w:insideV w:val="single" w:sz="12" w:space="0" w:color="999999"/>
      </w:tblBorders>
      <w:tblLook w:val="01E0" w:firstRow="1" w:lastRow="1" w:firstColumn="1" w:lastColumn="1" w:noHBand="0" w:noVBand="0"/>
    </w:tblPr>
    <w:tblGrid>
      <w:gridCol w:w="5369"/>
      <w:gridCol w:w="1029"/>
    </w:tblGrid>
    <w:tr w:rsidR="00952AE4" w:rsidRPr="00175F17" w:rsidTr="0014573C">
      <w:trPr>
        <w:cantSplit/>
      </w:trPr>
      <w:tc>
        <w:tcPr>
          <w:tcW w:w="4196" w:type="pct"/>
          <w:shd w:val="clear" w:color="auto" w:fill="auto"/>
          <w:noWrap/>
          <w:vAlign w:val="center"/>
        </w:tcPr>
        <w:p w:rsidR="00952AE4" w:rsidRPr="0017797C" w:rsidRDefault="00952AE4" w:rsidP="0004744F">
          <w:pPr>
            <w:suppressAutoHyphens/>
            <w:spacing w:after="0"/>
            <w:ind w:left="1024" w:hanging="1024"/>
            <w:jc w:val="right"/>
            <w:rPr>
              <w:b/>
              <w:noProof/>
              <w:color w:val="999999"/>
              <w:sz w:val="16"/>
              <w:szCs w:val="16"/>
            </w:rPr>
          </w:pPr>
          <w:r>
            <w:rPr>
              <w:b/>
              <w:noProof/>
              <w:color w:val="999999"/>
              <w:sz w:val="16"/>
              <w:szCs w:val="16"/>
            </w:rPr>
            <w:fldChar w:fldCharType="begin"/>
          </w:r>
          <w:r>
            <w:rPr>
              <w:b/>
              <w:noProof/>
              <w:color w:val="999999"/>
              <w:sz w:val="16"/>
              <w:szCs w:val="16"/>
            </w:rPr>
            <w:instrText xml:space="preserve"> STYLEREF  "SR_Nadpis sešitu_pro zápatí"  \* MERGEFORMAT </w:instrText>
          </w:r>
          <w:r>
            <w:rPr>
              <w:b/>
              <w:noProof/>
              <w:color w:val="999999"/>
              <w:sz w:val="16"/>
              <w:szCs w:val="16"/>
            </w:rPr>
            <w:fldChar w:fldCharType="separate"/>
          </w:r>
          <w:r w:rsidR="00D51DCA">
            <w:rPr>
              <w:b/>
              <w:noProof/>
              <w:color w:val="999999"/>
              <w:sz w:val="16"/>
              <w:szCs w:val="16"/>
            </w:rPr>
            <w:t>STŘEDNĚDOBÝ VÝHLED STÁTNÍHO ROZPOČTU</w:t>
          </w:r>
          <w:r w:rsidR="00D51DCA">
            <w:rPr>
              <w:b/>
              <w:noProof/>
              <w:color w:val="999999"/>
              <w:sz w:val="16"/>
              <w:szCs w:val="16"/>
            </w:rPr>
            <w:br/>
            <w:t>NA LÉTA 2023 a 2024</w:t>
          </w:r>
          <w:r>
            <w:rPr>
              <w:b/>
              <w:noProof/>
              <w:color w:val="999999"/>
              <w:sz w:val="16"/>
              <w:szCs w:val="16"/>
            </w:rPr>
            <w:fldChar w:fldCharType="end"/>
          </w:r>
        </w:p>
      </w:tc>
      <w:tc>
        <w:tcPr>
          <w:tcW w:w="804" w:type="pct"/>
          <w:shd w:val="clear" w:color="auto" w:fill="auto"/>
          <w:vAlign w:val="center"/>
        </w:tcPr>
        <w:p w:rsidR="00952AE4" w:rsidRPr="006E3BB6" w:rsidRDefault="00952AE4" w:rsidP="0004744F">
          <w:pPr>
            <w:spacing w:after="0"/>
            <w:rPr>
              <w:rStyle w:val="slostrnky"/>
              <w:sz w:val="32"/>
            </w:rPr>
          </w:pPr>
          <w:r w:rsidRPr="00175F17">
            <w:rPr>
              <w:rStyle w:val="slostrnky"/>
              <w:sz w:val="32"/>
              <w:szCs w:val="32"/>
            </w:rPr>
            <w:fldChar w:fldCharType="begin"/>
          </w:r>
          <w:r w:rsidRPr="00175F17">
            <w:rPr>
              <w:rStyle w:val="slostrnky"/>
              <w:sz w:val="32"/>
              <w:szCs w:val="32"/>
            </w:rPr>
            <w:instrText xml:space="preserve"> PAGE </w:instrText>
          </w:r>
          <w:r w:rsidRPr="00175F17">
            <w:rPr>
              <w:rStyle w:val="slostrnky"/>
              <w:sz w:val="32"/>
              <w:szCs w:val="32"/>
            </w:rPr>
            <w:fldChar w:fldCharType="separate"/>
          </w:r>
          <w:r w:rsidR="00D51DCA">
            <w:rPr>
              <w:rStyle w:val="slostrnky"/>
              <w:noProof/>
              <w:sz w:val="32"/>
              <w:szCs w:val="32"/>
            </w:rPr>
            <w:t>32</w:t>
          </w:r>
          <w:r w:rsidRPr="00175F17">
            <w:rPr>
              <w:rStyle w:val="slostrnky"/>
              <w:sz w:val="32"/>
              <w:szCs w:val="32"/>
            </w:rPr>
            <w:fldChar w:fldCharType="end"/>
          </w:r>
        </w:p>
      </w:tc>
    </w:tr>
  </w:tbl>
  <w:p w:rsidR="00952AE4" w:rsidRPr="00553D95" w:rsidRDefault="00952AE4" w:rsidP="00A373CE">
    <w:pPr>
      <w:pStyle w:val="Zpat"/>
      <w:jc w:val="right"/>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text" w:horzAnchor="page" w:tblpX="7480" w:tblpY="1"/>
      <w:tblOverlap w:val="never"/>
      <w:tblW w:w="2114" w:type="pct"/>
      <w:tblBorders>
        <w:top w:val="single" w:sz="2" w:space="0" w:color="FFFFFF"/>
        <w:left w:val="single" w:sz="2" w:space="0" w:color="FFFFFF"/>
        <w:bottom w:val="single" w:sz="2" w:space="0" w:color="FFFFFF"/>
        <w:right w:val="single" w:sz="2" w:space="0" w:color="FFFFFF"/>
        <w:insideH w:val="single" w:sz="12" w:space="0" w:color="999999"/>
        <w:insideV w:val="single" w:sz="12" w:space="0" w:color="999999"/>
      </w:tblBorders>
      <w:tblLook w:val="01E0" w:firstRow="1" w:lastRow="1" w:firstColumn="1" w:lastColumn="1" w:noHBand="0" w:noVBand="0"/>
    </w:tblPr>
    <w:tblGrid>
      <w:gridCol w:w="3447"/>
      <w:gridCol w:w="719"/>
    </w:tblGrid>
    <w:tr w:rsidR="00952AE4" w:rsidRPr="00175F17" w:rsidTr="000411F9">
      <w:trPr>
        <w:cantSplit/>
      </w:trPr>
      <w:tc>
        <w:tcPr>
          <w:tcW w:w="4137" w:type="pct"/>
          <w:shd w:val="clear" w:color="auto" w:fill="auto"/>
          <w:vAlign w:val="center"/>
        </w:tcPr>
        <w:p w:rsidR="00952AE4" w:rsidRPr="0017797C" w:rsidRDefault="00952AE4" w:rsidP="000411F9">
          <w:pPr>
            <w:suppressAutoHyphens/>
            <w:spacing w:after="0"/>
            <w:jc w:val="right"/>
            <w:rPr>
              <w:b/>
              <w:noProof/>
              <w:color w:val="999999"/>
              <w:sz w:val="16"/>
              <w:szCs w:val="16"/>
            </w:rPr>
          </w:pPr>
          <w:r>
            <w:rPr>
              <w:b/>
              <w:noProof/>
              <w:color w:val="999999"/>
              <w:sz w:val="16"/>
              <w:szCs w:val="16"/>
            </w:rPr>
            <w:fldChar w:fldCharType="begin"/>
          </w:r>
          <w:r>
            <w:rPr>
              <w:b/>
              <w:noProof/>
              <w:color w:val="999999"/>
              <w:sz w:val="16"/>
              <w:szCs w:val="16"/>
            </w:rPr>
            <w:instrText xml:space="preserve"> STYLEREF  "SR_Nadpis sešitu_pro zápatí"  \* MERGEFORMAT </w:instrText>
          </w:r>
          <w:r>
            <w:rPr>
              <w:b/>
              <w:noProof/>
              <w:color w:val="999999"/>
              <w:sz w:val="16"/>
              <w:szCs w:val="16"/>
            </w:rPr>
            <w:fldChar w:fldCharType="separate"/>
          </w:r>
          <w:r w:rsidR="00D51DCA">
            <w:rPr>
              <w:b/>
              <w:noProof/>
              <w:color w:val="999999"/>
              <w:sz w:val="16"/>
              <w:szCs w:val="16"/>
            </w:rPr>
            <w:t>STŘEDNĚDOBÝ VÝHLED STÁTNÍHO ROZPOČTU</w:t>
          </w:r>
          <w:r w:rsidR="00D51DCA">
            <w:rPr>
              <w:b/>
              <w:noProof/>
              <w:color w:val="999999"/>
              <w:sz w:val="16"/>
              <w:szCs w:val="16"/>
            </w:rPr>
            <w:br/>
            <w:t>NA LÉTA 2023 a 2024</w:t>
          </w:r>
          <w:r>
            <w:rPr>
              <w:b/>
              <w:noProof/>
              <w:color w:val="999999"/>
              <w:sz w:val="16"/>
              <w:szCs w:val="16"/>
            </w:rPr>
            <w:fldChar w:fldCharType="end"/>
          </w:r>
        </w:p>
      </w:tc>
      <w:tc>
        <w:tcPr>
          <w:tcW w:w="863" w:type="pct"/>
          <w:shd w:val="clear" w:color="auto" w:fill="auto"/>
          <w:vAlign w:val="center"/>
        </w:tcPr>
        <w:p w:rsidR="00952AE4" w:rsidRPr="006E3BB6" w:rsidRDefault="00952AE4" w:rsidP="000411F9">
          <w:pPr>
            <w:spacing w:after="0"/>
            <w:rPr>
              <w:rStyle w:val="slostrnky"/>
              <w:sz w:val="32"/>
            </w:rPr>
          </w:pPr>
          <w:r w:rsidRPr="00175F17">
            <w:rPr>
              <w:rStyle w:val="slostrnky"/>
              <w:sz w:val="32"/>
              <w:szCs w:val="32"/>
            </w:rPr>
            <w:fldChar w:fldCharType="begin"/>
          </w:r>
          <w:r w:rsidRPr="00175F17">
            <w:rPr>
              <w:rStyle w:val="slostrnky"/>
              <w:sz w:val="32"/>
              <w:szCs w:val="32"/>
            </w:rPr>
            <w:instrText xml:space="preserve"> PAGE </w:instrText>
          </w:r>
          <w:r w:rsidRPr="00175F17">
            <w:rPr>
              <w:rStyle w:val="slostrnky"/>
              <w:sz w:val="32"/>
              <w:szCs w:val="32"/>
            </w:rPr>
            <w:fldChar w:fldCharType="separate"/>
          </w:r>
          <w:r w:rsidR="00D51DCA">
            <w:rPr>
              <w:rStyle w:val="slostrnky"/>
              <w:noProof/>
              <w:sz w:val="32"/>
              <w:szCs w:val="32"/>
            </w:rPr>
            <w:t>50</w:t>
          </w:r>
          <w:r w:rsidRPr="00175F17">
            <w:rPr>
              <w:rStyle w:val="slostrnky"/>
              <w:sz w:val="32"/>
              <w:szCs w:val="32"/>
            </w:rPr>
            <w:fldChar w:fldCharType="end"/>
          </w:r>
        </w:p>
      </w:tc>
    </w:tr>
  </w:tbl>
  <w:p w:rsidR="00952AE4" w:rsidRPr="00553D95" w:rsidRDefault="00952AE4" w:rsidP="00A373CE">
    <w:pPr>
      <w:pStyle w:val="Zpat"/>
      <w:jc w:val="right"/>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text" w:horzAnchor="page" w:tblpX="568" w:tblpY="1"/>
      <w:tblOverlap w:val="never"/>
      <w:tblW w:w="1730" w:type="pct"/>
      <w:tblBorders>
        <w:top w:val="single" w:sz="2" w:space="0" w:color="FFFFFF"/>
        <w:left w:val="single" w:sz="2" w:space="0" w:color="FFFFFF"/>
        <w:bottom w:val="single" w:sz="2" w:space="0" w:color="FFFFFF"/>
        <w:right w:val="single" w:sz="2" w:space="0" w:color="FFFFFF"/>
        <w:insideH w:val="single" w:sz="12" w:space="0" w:color="999999"/>
        <w:insideV w:val="single" w:sz="12" w:space="0" w:color="999999"/>
      </w:tblBorders>
      <w:tblLook w:val="01E0" w:firstRow="1" w:lastRow="1" w:firstColumn="1" w:lastColumn="1" w:noHBand="0" w:noVBand="0"/>
    </w:tblPr>
    <w:tblGrid>
      <w:gridCol w:w="648"/>
      <w:gridCol w:w="2761"/>
    </w:tblGrid>
    <w:tr w:rsidR="00952AE4" w:rsidRPr="00175F17" w:rsidTr="0029574E">
      <w:trPr>
        <w:cantSplit/>
      </w:trPr>
      <w:tc>
        <w:tcPr>
          <w:tcW w:w="950" w:type="pct"/>
          <w:shd w:val="clear" w:color="auto" w:fill="auto"/>
          <w:vAlign w:val="center"/>
        </w:tcPr>
        <w:p w:rsidR="00952AE4" w:rsidRPr="00175F17" w:rsidRDefault="00952AE4" w:rsidP="0029574E">
          <w:pPr>
            <w:spacing w:after="0"/>
            <w:jc w:val="right"/>
            <w:rPr>
              <w:color w:val="999999"/>
              <w:sz w:val="16"/>
              <w:szCs w:val="16"/>
            </w:rPr>
          </w:pPr>
          <w:r>
            <w:rPr>
              <w:rStyle w:val="slostrnky"/>
              <w:sz w:val="32"/>
              <w:szCs w:val="32"/>
            </w:rPr>
            <w:fldChar w:fldCharType="begin"/>
          </w:r>
          <w:r>
            <w:rPr>
              <w:rStyle w:val="slostrnky"/>
              <w:sz w:val="32"/>
              <w:szCs w:val="32"/>
            </w:rPr>
            <w:instrText xml:space="preserve"> PAGE  </w:instrText>
          </w:r>
          <w:r>
            <w:rPr>
              <w:rStyle w:val="slostrnky"/>
              <w:sz w:val="32"/>
              <w:szCs w:val="32"/>
            </w:rPr>
            <w:fldChar w:fldCharType="separate"/>
          </w:r>
          <w:r>
            <w:rPr>
              <w:rStyle w:val="slostrnky"/>
              <w:noProof/>
              <w:sz w:val="32"/>
              <w:szCs w:val="32"/>
            </w:rPr>
            <w:t>2</w:t>
          </w:r>
          <w:r>
            <w:rPr>
              <w:rStyle w:val="slostrnky"/>
              <w:sz w:val="32"/>
              <w:szCs w:val="32"/>
            </w:rPr>
            <w:fldChar w:fldCharType="end"/>
          </w:r>
        </w:p>
      </w:tc>
      <w:tc>
        <w:tcPr>
          <w:tcW w:w="4050" w:type="pct"/>
          <w:shd w:val="clear" w:color="auto" w:fill="auto"/>
          <w:vAlign w:val="center"/>
        </w:tcPr>
        <w:p w:rsidR="00952AE4" w:rsidRPr="00175F17" w:rsidRDefault="00952AE4" w:rsidP="0029574E">
          <w:pPr>
            <w:suppressAutoHyphens/>
            <w:spacing w:after="0"/>
            <w:jc w:val="left"/>
            <w:rPr>
              <w:color w:val="999999"/>
              <w:sz w:val="32"/>
              <w:szCs w:val="32"/>
            </w:rPr>
          </w:pPr>
        </w:p>
      </w:tc>
    </w:tr>
  </w:tbl>
  <w:p w:rsidR="00952AE4" w:rsidRPr="00A12A05" w:rsidRDefault="00952AE4" w:rsidP="00A12A05">
    <w:pPr>
      <w:pStyle w:val="Zpat"/>
    </w:pPr>
    <w:r>
      <w:rPr>
        <w:noProof/>
      </w:rPr>
      <mc:AlternateContent>
        <mc:Choice Requires="wps">
          <w:drawing>
            <wp:anchor distT="0" distB="0" distL="114300" distR="114300" simplePos="0" relativeHeight="251638784" behindDoc="0" locked="0" layoutInCell="1" allowOverlap="1" wp14:anchorId="5EE7A48D" wp14:editId="77A09055">
              <wp:simplePos x="0" y="0"/>
              <wp:positionH relativeFrom="column">
                <wp:posOffset>-113665</wp:posOffset>
              </wp:positionH>
              <wp:positionV relativeFrom="paragraph">
                <wp:posOffset>-1175385</wp:posOffset>
              </wp:positionV>
              <wp:extent cx="2743200" cy="1257300"/>
              <wp:effectExtent l="0" t="0" r="0" b="0"/>
              <wp:wrapNone/>
              <wp:docPr id="8"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2AE4" w:rsidRPr="000F3D4A" w:rsidRDefault="00952AE4" w:rsidP="00035475">
                          <w:pPr>
                            <w:spacing w:before="240" w:after="0"/>
                            <w:rPr>
                              <w:sz w:val="24"/>
                            </w:rPr>
                          </w:pPr>
                        </w:p>
                      </w:txbxContent>
                    </wps:txbx>
                    <wps:bodyPr rot="0" vert="horz" wrap="square" lIns="91440" tIns="9000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34" type="#_x0000_t202" style="position:absolute;left:0;text-align:left;margin-left:-8.95pt;margin-top:-92.55pt;width:3in;height:99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UwitwIAAL4FAAAOAAAAZHJzL2Uyb0RvYy54bWysVNtu2zAMfR+wfxD07voS5WIjTtHG8TCg&#10;uwDtPkCx5ViYLXmSErsb9u+j5CRNWwwYtvnBkCjqkIc84vJ6aBt0YEpzKVIcXgUYMVHIkotdir88&#10;5N4CI22oKGkjBUvxI9P4evX2zbLvEhbJWjYlUwhAhE76LsW1MV3i+7qoWUv1leyYgMNKqpYa2Kqd&#10;XyraA3rb+FEQzPxeqrJTsmBagzUbD/HK4VcVK8ynqtLMoCbFkJtxf+X+W/v3V0ua7BTtal4c06B/&#10;kUVLuYCgZ6iMGor2ir+CanmhpJaVuSpk68uq4gVzHIBNGLxgc1/TjjkuUBzdncuk/x9s8fHwWSFe&#10;phgaJWgLLXpgg0G3ckDR3Jan73QCXvcd+JkB7NBmR1V3d7L4qpGQ65qKHbtRSvY1oyWkF9qb/sXV&#10;EUdbkG3/QZYQh+6NdEBDpVpbO6gGAnRo0+O5NTaXAozRnEyg3xgVcBZG0/kENjYGTU7XO6XNOyZb&#10;ZBcpVtB7B08Pd9qMricXG03InDcN2GnSiGcGwBwtEByu2jObhmvnjziIN4vNgngkmm08EmSZd5Ov&#10;iTfLw/k0m2TrdRb+tHFDktS8LJmwYU7SCsmfte4o8lEUZ3Fp2fDSwtmUtNpt141CBwrSzt13LMiF&#10;m/88DVcv4PKCUhiR4DaKvXy2mHskJ1MvngcLLwjj23gWkJhk+XNKd1ywf6eE+hTH02g6qum33AL3&#10;veZGk5YbGB4Nb0G9ZyeaWA1uROlaayhvxvVFKWz6T6WAdp8a7RRrRTrK1Qzbwb0NYqNbNW9l+QgS&#10;VhIEBmKEwQeLWqrvGPUwRFKsv+2pYhg17wU8gzgkxE6dcWNTxEhdnmzdBqxUFACTYnNars04pfad&#10;4rsaooyPTsgbeDYVd4J+yuj42GBIOF7HgWan0OXeeT2N3dUvAAAA//8DAFBLAwQUAAYACAAAACEA&#10;8jsbL+EAAAALAQAADwAAAGRycy9kb3ducmV2LnhtbEyPwUrDQBCG74LvsIzgRdpNSjRtmk0RRdBD&#10;BVtLr9NkTILZ3ZDdpOvbOz3p7R/m459v8k3QnZhocK01CuJ5BIJMaavW1Ao+9y+zJQjn0VTYWUMK&#10;fsjBpri+yjGr7Nl80LTzteAS4zJU0HjfZ1K6siGNbm57Mrz7soNGz+NQy2rAM5frTi6i6EFqbA1f&#10;aLCnp4bK792oFbym7+kdHg775/BWbo+JD+k0BqVub8LjGoSn4P9guOizOhTsdLKjqZzoFMzidMXo&#10;JSzvYxCMJHHC4cTsYgWyyOX/H4pfAAAA//8DAFBLAQItABQABgAIAAAAIQC2gziS/gAAAOEBAAAT&#10;AAAAAAAAAAAAAAAAAAAAAABbQ29udGVudF9UeXBlc10ueG1sUEsBAi0AFAAGAAgAAAAhADj9If/W&#10;AAAAlAEAAAsAAAAAAAAAAAAAAAAALwEAAF9yZWxzLy5yZWxzUEsBAi0AFAAGAAgAAAAhAEwVTCK3&#10;AgAAvgUAAA4AAAAAAAAAAAAAAAAALgIAAGRycy9lMm9Eb2MueG1sUEsBAi0AFAAGAAgAAAAhAPI7&#10;Gy/hAAAACwEAAA8AAAAAAAAAAAAAAAAAEQUAAGRycy9kb3ducmV2LnhtbFBLBQYAAAAABAAEAPMA&#10;AAAfBgAAAAA=&#10;" filled="f" stroked="f">
              <v:textbox inset=",2.5mm,,0">
                <w:txbxContent>
                  <w:p w:rsidR="00952AE4" w:rsidRPr="000F3D4A" w:rsidRDefault="00952AE4" w:rsidP="00035475">
                    <w:pPr>
                      <w:spacing w:before="240" w:after="0"/>
                      <w:rPr>
                        <w:sz w:val="24"/>
                      </w:rPr>
                    </w:pP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AE4" w:rsidRDefault="00952AE4">
    <w:pPr>
      <w:pStyle w:val="Zpa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AE4" w:rsidRPr="00553D95" w:rsidRDefault="00952AE4" w:rsidP="00553D9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0545777"/>
      <w:docPartObj>
        <w:docPartGallery w:val="Page Numbers (Bottom of Page)"/>
        <w:docPartUnique/>
      </w:docPartObj>
    </w:sdtPr>
    <w:sdtEndPr/>
    <w:sdtContent>
      <w:p w:rsidR="00952AE4" w:rsidRDefault="00952AE4">
        <w:pPr>
          <w:pStyle w:val="Zpat"/>
          <w:jc w:val="center"/>
        </w:pPr>
        <w:r>
          <w:fldChar w:fldCharType="begin"/>
        </w:r>
        <w:r>
          <w:instrText>PAGE   \* MERGEFORMAT</w:instrText>
        </w:r>
        <w:r>
          <w:fldChar w:fldCharType="separate"/>
        </w:r>
        <w:r>
          <w:rPr>
            <w:noProof/>
          </w:rPr>
          <w:t>1</w:t>
        </w:r>
        <w:r>
          <w:fldChar w:fldCharType="end"/>
        </w:r>
      </w:p>
    </w:sdtContent>
  </w:sdt>
  <w:p w:rsidR="00952AE4" w:rsidRDefault="00952AE4" w:rsidP="00985180">
    <w:pPr>
      <w:pStyle w:val="Zpat"/>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text" w:horzAnchor="page" w:tblpX="568" w:tblpY="1"/>
      <w:tblOverlap w:val="never"/>
      <w:tblW w:w="1730" w:type="pct"/>
      <w:tblBorders>
        <w:top w:val="single" w:sz="2" w:space="0" w:color="FFFFFF"/>
        <w:left w:val="single" w:sz="2" w:space="0" w:color="FFFFFF"/>
        <w:bottom w:val="single" w:sz="2" w:space="0" w:color="FFFFFF"/>
        <w:right w:val="single" w:sz="2" w:space="0" w:color="FFFFFF"/>
        <w:insideH w:val="single" w:sz="12" w:space="0" w:color="999999"/>
        <w:insideV w:val="single" w:sz="12" w:space="0" w:color="999999"/>
      </w:tblBorders>
      <w:tblLook w:val="01E0" w:firstRow="1" w:lastRow="1" w:firstColumn="1" w:lastColumn="1" w:noHBand="0" w:noVBand="0"/>
    </w:tblPr>
    <w:tblGrid>
      <w:gridCol w:w="648"/>
      <w:gridCol w:w="2761"/>
    </w:tblGrid>
    <w:tr w:rsidR="00952AE4" w:rsidRPr="00175F17" w:rsidTr="00740E1E">
      <w:trPr>
        <w:cantSplit/>
      </w:trPr>
      <w:tc>
        <w:tcPr>
          <w:tcW w:w="950" w:type="pct"/>
          <w:shd w:val="clear" w:color="auto" w:fill="auto"/>
          <w:vAlign w:val="center"/>
        </w:tcPr>
        <w:p w:rsidR="00952AE4" w:rsidRPr="00175F17" w:rsidRDefault="00952AE4" w:rsidP="00740E1E">
          <w:pPr>
            <w:spacing w:after="0"/>
            <w:jc w:val="right"/>
            <w:rPr>
              <w:color w:val="999999"/>
              <w:sz w:val="16"/>
              <w:szCs w:val="16"/>
            </w:rPr>
          </w:pPr>
          <w:r>
            <w:rPr>
              <w:rStyle w:val="slostrnky"/>
              <w:sz w:val="32"/>
              <w:szCs w:val="32"/>
            </w:rPr>
            <w:fldChar w:fldCharType="begin"/>
          </w:r>
          <w:r>
            <w:rPr>
              <w:rStyle w:val="slostrnky"/>
              <w:sz w:val="32"/>
              <w:szCs w:val="32"/>
            </w:rPr>
            <w:instrText xml:space="preserve"> PAGE  </w:instrText>
          </w:r>
          <w:r>
            <w:rPr>
              <w:rStyle w:val="slostrnky"/>
              <w:sz w:val="32"/>
              <w:szCs w:val="32"/>
            </w:rPr>
            <w:fldChar w:fldCharType="separate"/>
          </w:r>
          <w:r>
            <w:rPr>
              <w:rStyle w:val="slostrnky"/>
              <w:noProof/>
              <w:sz w:val="32"/>
              <w:szCs w:val="32"/>
            </w:rPr>
            <w:t>4</w:t>
          </w:r>
          <w:r>
            <w:rPr>
              <w:rStyle w:val="slostrnky"/>
              <w:sz w:val="32"/>
              <w:szCs w:val="32"/>
            </w:rPr>
            <w:fldChar w:fldCharType="end"/>
          </w:r>
        </w:p>
      </w:tc>
      <w:tc>
        <w:tcPr>
          <w:tcW w:w="4050" w:type="pct"/>
          <w:shd w:val="clear" w:color="auto" w:fill="auto"/>
          <w:vAlign w:val="center"/>
        </w:tcPr>
        <w:p w:rsidR="00952AE4" w:rsidRPr="00175F17" w:rsidRDefault="00952AE4" w:rsidP="00740E1E">
          <w:pPr>
            <w:suppressAutoHyphens/>
            <w:spacing w:after="0"/>
            <w:jc w:val="left"/>
            <w:rPr>
              <w:color w:val="999999"/>
              <w:sz w:val="32"/>
              <w:szCs w:val="32"/>
            </w:rPr>
          </w:pPr>
          <w:r w:rsidRPr="0017797C">
            <w:rPr>
              <w:b/>
              <w:color w:val="999999"/>
              <w:sz w:val="16"/>
              <w:szCs w:val="16"/>
            </w:rPr>
            <w:t>Zpráva ke státnímu rozpočtu České republiky na rok 2019</w:t>
          </w:r>
        </w:p>
      </w:tc>
    </w:tr>
  </w:tbl>
  <w:p w:rsidR="00952AE4" w:rsidRPr="00A12A05" w:rsidRDefault="00952AE4" w:rsidP="00740E1E">
    <w:pPr>
      <w:pStyle w:val="Zpa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text" w:horzAnchor="page" w:tblpX="568" w:tblpY="1"/>
      <w:tblOverlap w:val="never"/>
      <w:tblW w:w="1730" w:type="pct"/>
      <w:tblBorders>
        <w:top w:val="single" w:sz="2" w:space="0" w:color="FFFFFF"/>
        <w:left w:val="single" w:sz="2" w:space="0" w:color="FFFFFF"/>
        <w:bottom w:val="single" w:sz="2" w:space="0" w:color="FFFFFF"/>
        <w:right w:val="single" w:sz="2" w:space="0" w:color="FFFFFF"/>
        <w:insideH w:val="single" w:sz="12" w:space="0" w:color="999999"/>
        <w:insideV w:val="single" w:sz="12" w:space="0" w:color="999999"/>
      </w:tblBorders>
      <w:tblLook w:val="01E0" w:firstRow="1" w:lastRow="1" w:firstColumn="1" w:lastColumn="1" w:noHBand="0" w:noVBand="0"/>
    </w:tblPr>
    <w:tblGrid>
      <w:gridCol w:w="648"/>
      <w:gridCol w:w="2761"/>
    </w:tblGrid>
    <w:tr w:rsidR="00952AE4" w:rsidRPr="00175F17" w:rsidTr="00E8195E">
      <w:trPr>
        <w:cantSplit/>
      </w:trPr>
      <w:tc>
        <w:tcPr>
          <w:tcW w:w="950" w:type="pct"/>
          <w:shd w:val="clear" w:color="auto" w:fill="auto"/>
          <w:vAlign w:val="center"/>
        </w:tcPr>
        <w:p w:rsidR="00952AE4" w:rsidRPr="00175F17" w:rsidRDefault="00952AE4" w:rsidP="00E8195E">
          <w:pPr>
            <w:spacing w:after="0"/>
            <w:jc w:val="right"/>
            <w:rPr>
              <w:color w:val="999999"/>
              <w:sz w:val="16"/>
              <w:szCs w:val="16"/>
            </w:rPr>
          </w:pPr>
          <w:r>
            <w:rPr>
              <w:rStyle w:val="slostrnky"/>
              <w:sz w:val="32"/>
              <w:szCs w:val="32"/>
            </w:rPr>
            <w:fldChar w:fldCharType="begin"/>
          </w:r>
          <w:r>
            <w:rPr>
              <w:rStyle w:val="slostrnky"/>
              <w:sz w:val="32"/>
              <w:szCs w:val="32"/>
            </w:rPr>
            <w:instrText xml:space="preserve"> PAGE  </w:instrText>
          </w:r>
          <w:r>
            <w:rPr>
              <w:rStyle w:val="slostrnky"/>
              <w:sz w:val="32"/>
              <w:szCs w:val="32"/>
            </w:rPr>
            <w:fldChar w:fldCharType="separate"/>
          </w:r>
          <w:r>
            <w:rPr>
              <w:rStyle w:val="slostrnky"/>
              <w:noProof/>
              <w:sz w:val="32"/>
              <w:szCs w:val="32"/>
            </w:rPr>
            <w:t>4</w:t>
          </w:r>
          <w:r>
            <w:rPr>
              <w:rStyle w:val="slostrnky"/>
              <w:sz w:val="32"/>
              <w:szCs w:val="32"/>
            </w:rPr>
            <w:fldChar w:fldCharType="end"/>
          </w:r>
        </w:p>
      </w:tc>
      <w:tc>
        <w:tcPr>
          <w:tcW w:w="4050" w:type="pct"/>
          <w:shd w:val="clear" w:color="auto" w:fill="auto"/>
          <w:vAlign w:val="center"/>
        </w:tcPr>
        <w:p w:rsidR="00952AE4" w:rsidRPr="00175F17" w:rsidRDefault="00952AE4" w:rsidP="00E8195E">
          <w:pPr>
            <w:suppressAutoHyphens/>
            <w:spacing w:after="0"/>
            <w:jc w:val="left"/>
            <w:rPr>
              <w:color w:val="999999"/>
              <w:sz w:val="32"/>
              <w:szCs w:val="32"/>
            </w:rPr>
          </w:pPr>
          <w:r w:rsidRPr="0017797C">
            <w:rPr>
              <w:b/>
              <w:color w:val="999999"/>
              <w:sz w:val="16"/>
              <w:szCs w:val="16"/>
            </w:rPr>
            <w:t>Zpráva ke státnímu rozpočtu České republiky na rok 2019</w:t>
          </w:r>
        </w:p>
      </w:tc>
    </w:tr>
  </w:tbl>
  <w:p w:rsidR="00952AE4" w:rsidRPr="00A12A05" w:rsidRDefault="00952AE4" w:rsidP="00E8195E">
    <w:pPr>
      <w:pStyle w:val="Zpa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text" w:horzAnchor="page" w:tblpX="7054" w:tblpY="1"/>
      <w:tblOverlap w:val="never"/>
      <w:tblW w:w="2330" w:type="pct"/>
      <w:tblBorders>
        <w:top w:val="single" w:sz="2" w:space="0" w:color="FFFFFF"/>
        <w:left w:val="single" w:sz="2" w:space="0" w:color="FFFFFF"/>
        <w:bottom w:val="single" w:sz="2" w:space="0" w:color="FFFFFF"/>
        <w:right w:val="single" w:sz="2" w:space="0" w:color="FFFFFF"/>
        <w:insideH w:val="single" w:sz="12" w:space="0" w:color="999999"/>
        <w:insideV w:val="single" w:sz="12" w:space="0" w:color="999999"/>
      </w:tblBorders>
      <w:tblLook w:val="01E0" w:firstRow="1" w:lastRow="1" w:firstColumn="1" w:lastColumn="1" w:noHBand="0" w:noVBand="0"/>
    </w:tblPr>
    <w:tblGrid>
      <w:gridCol w:w="3873"/>
      <w:gridCol w:w="719"/>
    </w:tblGrid>
    <w:tr w:rsidR="00952AE4" w:rsidRPr="006E3BB6" w:rsidTr="000411F9">
      <w:trPr>
        <w:cantSplit/>
      </w:trPr>
      <w:tc>
        <w:tcPr>
          <w:tcW w:w="4217" w:type="pct"/>
          <w:shd w:val="clear" w:color="auto" w:fill="auto"/>
          <w:vAlign w:val="center"/>
        </w:tcPr>
        <w:p w:rsidR="00952AE4" w:rsidRPr="0017797C" w:rsidRDefault="00952AE4" w:rsidP="000411F9">
          <w:pPr>
            <w:suppressAutoHyphens/>
            <w:spacing w:after="0"/>
            <w:jc w:val="right"/>
            <w:rPr>
              <w:b/>
              <w:noProof/>
              <w:color w:val="999999"/>
              <w:sz w:val="16"/>
              <w:szCs w:val="16"/>
            </w:rPr>
          </w:pPr>
          <w:r>
            <w:rPr>
              <w:b/>
              <w:noProof/>
              <w:color w:val="999999"/>
              <w:sz w:val="16"/>
              <w:szCs w:val="16"/>
            </w:rPr>
            <w:fldChar w:fldCharType="begin"/>
          </w:r>
          <w:r>
            <w:rPr>
              <w:b/>
              <w:noProof/>
              <w:color w:val="999999"/>
              <w:sz w:val="16"/>
              <w:szCs w:val="16"/>
            </w:rPr>
            <w:instrText xml:space="preserve"> STYLEREF  "SR_Nadpis sešitu_pro zápatí"  \* MERGEFORMAT </w:instrText>
          </w:r>
          <w:r>
            <w:rPr>
              <w:b/>
              <w:noProof/>
              <w:color w:val="999999"/>
              <w:sz w:val="16"/>
              <w:szCs w:val="16"/>
            </w:rPr>
            <w:fldChar w:fldCharType="separate"/>
          </w:r>
          <w:r w:rsidR="00D51DCA">
            <w:rPr>
              <w:b/>
              <w:noProof/>
              <w:color w:val="999999"/>
              <w:sz w:val="16"/>
              <w:szCs w:val="16"/>
            </w:rPr>
            <w:t>STŘEDNĚDOBÝ VÝHLED STÁTNÍHO ROZPOČTU</w:t>
          </w:r>
          <w:r w:rsidR="00D51DCA">
            <w:rPr>
              <w:b/>
              <w:noProof/>
              <w:color w:val="999999"/>
              <w:sz w:val="16"/>
              <w:szCs w:val="16"/>
            </w:rPr>
            <w:br/>
            <w:t>NA LÉTA 2023 a 2024</w:t>
          </w:r>
          <w:r>
            <w:rPr>
              <w:b/>
              <w:noProof/>
              <w:color w:val="999999"/>
              <w:sz w:val="16"/>
              <w:szCs w:val="16"/>
            </w:rPr>
            <w:fldChar w:fldCharType="end"/>
          </w:r>
        </w:p>
      </w:tc>
      <w:tc>
        <w:tcPr>
          <w:tcW w:w="783" w:type="pct"/>
          <w:shd w:val="clear" w:color="auto" w:fill="auto"/>
          <w:vAlign w:val="center"/>
        </w:tcPr>
        <w:p w:rsidR="00952AE4" w:rsidRPr="006E3BB6" w:rsidRDefault="00952AE4" w:rsidP="000411F9">
          <w:pPr>
            <w:spacing w:after="0"/>
            <w:rPr>
              <w:rStyle w:val="slostrnky"/>
              <w:sz w:val="32"/>
            </w:rPr>
          </w:pPr>
          <w:r w:rsidRPr="00175F17">
            <w:rPr>
              <w:rStyle w:val="slostrnky"/>
              <w:sz w:val="32"/>
              <w:szCs w:val="32"/>
            </w:rPr>
            <w:fldChar w:fldCharType="begin"/>
          </w:r>
          <w:r w:rsidRPr="00175F17">
            <w:rPr>
              <w:rStyle w:val="slostrnky"/>
              <w:sz w:val="32"/>
              <w:szCs w:val="32"/>
            </w:rPr>
            <w:instrText xml:space="preserve"> PAGE </w:instrText>
          </w:r>
          <w:r w:rsidRPr="00175F17">
            <w:rPr>
              <w:rStyle w:val="slostrnky"/>
              <w:sz w:val="32"/>
              <w:szCs w:val="32"/>
            </w:rPr>
            <w:fldChar w:fldCharType="separate"/>
          </w:r>
          <w:r w:rsidR="00D51DCA">
            <w:rPr>
              <w:rStyle w:val="slostrnky"/>
              <w:noProof/>
              <w:sz w:val="32"/>
              <w:szCs w:val="32"/>
            </w:rPr>
            <w:t>12</w:t>
          </w:r>
          <w:r w:rsidRPr="00175F17">
            <w:rPr>
              <w:rStyle w:val="slostrnky"/>
              <w:sz w:val="32"/>
              <w:szCs w:val="32"/>
            </w:rPr>
            <w:fldChar w:fldCharType="end"/>
          </w:r>
        </w:p>
      </w:tc>
    </w:tr>
  </w:tbl>
  <w:p w:rsidR="00952AE4" w:rsidRPr="00A12A05" w:rsidRDefault="00952AE4" w:rsidP="00E8195E">
    <w:pPr>
      <w:pStyle w:val="Zpa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text" w:horzAnchor="page" w:tblpX="568" w:tblpY="1"/>
      <w:tblOverlap w:val="never"/>
      <w:tblW w:w="1730" w:type="pct"/>
      <w:tblBorders>
        <w:top w:val="single" w:sz="2" w:space="0" w:color="FFFFFF"/>
        <w:left w:val="single" w:sz="2" w:space="0" w:color="FFFFFF"/>
        <w:bottom w:val="single" w:sz="2" w:space="0" w:color="FFFFFF"/>
        <w:right w:val="single" w:sz="2" w:space="0" w:color="FFFFFF"/>
        <w:insideH w:val="single" w:sz="12" w:space="0" w:color="999999"/>
        <w:insideV w:val="single" w:sz="12" w:space="0" w:color="999999"/>
      </w:tblBorders>
      <w:tblLook w:val="01E0" w:firstRow="1" w:lastRow="1" w:firstColumn="1" w:lastColumn="1" w:noHBand="0" w:noVBand="0"/>
    </w:tblPr>
    <w:tblGrid>
      <w:gridCol w:w="648"/>
      <w:gridCol w:w="2761"/>
    </w:tblGrid>
    <w:tr w:rsidR="00952AE4" w:rsidRPr="00175F17" w:rsidTr="00E8195E">
      <w:trPr>
        <w:cantSplit/>
      </w:trPr>
      <w:tc>
        <w:tcPr>
          <w:tcW w:w="950" w:type="pct"/>
          <w:shd w:val="clear" w:color="auto" w:fill="auto"/>
          <w:vAlign w:val="center"/>
        </w:tcPr>
        <w:p w:rsidR="00952AE4" w:rsidRPr="00175F17" w:rsidRDefault="00952AE4" w:rsidP="00E8195E">
          <w:pPr>
            <w:spacing w:after="0"/>
            <w:jc w:val="right"/>
            <w:rPr>
              <w:color w:val="999999"/>
              <w:sz w:val="16"/>
              <w:szCs w:val="16"/>
            </w:rPr>
          </w:pPr>
          <w:r>
            <w:rPr>
              <w:rStyle w:val="slostrnky"/>
              <w:sz w:val="32"/>
              <w:szCs w:val="32"/>
            </w:rPr>
            <w:fldChar w:fldCharType="begin"/>
          </w:r>
          <w:r>
            <w:rPr>
              <w:rStyle w:val="slostrnky"/>
              <w:sz w:val="32"/>
              <w:szCs w:val="32"/>
            </w:rPr>
            <w:instrText xml:space="preserve"> PAGE  </w:instrText>
          </w:r>
          <w:r>
            <w:rPr>
              <w:rStyle w:val="slostrnky"/>
              <w:sz w:val="32"/>
              <w:szCs w:val="32"/>
            </w:rPr>
            <w:fldChar w:fldCharType="separate"/>
          </w:r>
          <w:r>
            <w:rPr>
              <w:rStyle w:val="slostrnky"/>
              <w:noProof/>
              <w:sz w:val="32"/>
              <w:szCs w:val="32"/>
            </w:rPr>
            <w:t>8</w:t>
          </w:r>
          <w:r>
            <w:rPr>
              <w:rStyle w:val="slostrnky"/>
              <w:sz w:val="32"/>
              <w:szCs w:val="32"/>
            </w:rPr>
            <w:fldChar w:fldCharType="end"/>
          </w:r>
        </w:p>
      </w:tc>
      <w:tc>
        <w:tcPr>
          <w:tcW w:w="4050" w:type="pct"/>
          <w:shd w:val="clear" w:color="auto" w:fill="auto"/>
          <w:vAlign w:val="center"/>
        </w:tcPr>
        <w:p w:rsidR="00952AE4" w:rsidRPr="00175F17" w:rsidRDefault="00952AE4" w:rsidP="00E8195E">
          <w:pPr>
            <w:suppressAutoHyphens/>
            <w:spacing w:after="0"/>
            <w:jc w:val="left"/>
            <w:rPr>
              <w:color w:val="999999"/>
              <w:sz w:val="32"/>
              <w:szCs w:val="32"/>
            </w:rPr>
          </w:pPr>
          <w:r w:rsidRPr="0017797C">
            <w:rPr>
              <w:b/>
              <w:color w:val="999999"/>
              <w:sz w:val="16"/>
              <w:szCs w:val="16"/>
            </w:rPr>
            <w:t>Zpráva ke státnímu rozpočtu České republiky na rok 2019</w:t>
          </w:r>
        </w:p>
      </w:tc>
    </w:tr>
  </w:tbl>
  <w:p w:rsidR="00952AE4" w:rsidRPr="00A12A05" w:rsidRDefault="00952AE4" w:rsidP="00E8195E">
    <w:pPr>
      <w:pStyle w:val="Zpat"/>
    </w:pPr>
  </w:p>
  <w:p w:rsidR="00952AE4" w:rsidRDefault="00952AE4"/>
  <w:p w:rsidR="00952AE4" w:rsidRDefault="00952AE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text" w:horzAnchor="page" w:tblpX="568" w:tblpY="1"/>
      <w:tblOverlap w:val="never"/>
      <w:tblW w:w="1730" w:type="pct"/>
      <w:tblBorders>
        <w:top w:val="single" w:sz="2" w:space="0" w:color="FFFFFF"/>
        <w:left w:val="single" w:sz="2" w:space="0" w:color="FFFFFF"/>
        <w:bottom w:val="single" w:sz="2" w:space="0" w:color="FFFFFF"/>
        <w:right w:val="single" w:sz="2" w:space="0" w:color="FFFFFF"/>
        <w:insideH w:val="single" w:sz="12" w:space="0" w:color="999999"/>
        <w:insideV w:val="single" w:sz="12" w:space="0" w:color="999999"/>
      </w:tblBorders>
      <w:tblLook w:val="01E0" w:firstRow="1" w:lastRow="1" w:firstColumn="1" w:lastColumn="1" w:noHBand="0" w:noVBand="0"/>
    </w:tblPr>
    <w:tblGrid>
      <w:gridCol w:w="648"/>
      <w:gridCol w:w="2761"/>
    </w:tblGrid>
    <w:tr w:rsidR="00952AE4" w:rsidRPr="00175F17" w:rsidTr="00E8195E">
      <w:trPr>
        <w:cantSplit/>
      </w:trPr>
      <w:tc>
        <w:tcPr>
          <w:tcW w:w="950" w:type="pct"/>
          <w:shd w:val="clear" w:color="auto" w:fill="auto"/>
          <w:vAlign w:val="center"/>
        </w:tcPr>
        <w:p w:rsidR="00952AE4" w:rsidRPr="00175F17" w:rsidRDefault="00952AE4" w:rsidP="00E8195E">
          <w:pPr>
            <w:spacing w:after="0"/>
            <w:jc w:val="right"/>
            <w:rPr>
              <w:color w:val="999999"/>
              <w:sz w:val="16"/>
              <w:szCs w:val="16"/>
            </w:rPr>
          </w:pPr>
          <w:r>
            <w:rPr>
              <w:rStyle w:val="slostrnky"/>
              <w:sz w:val="32"/>
              <w:szCs w:val="32"/>
            </w:rPr>
            <w:fldChar w:fldCharType="begin"/>
          </w:r>
          <w:r>
            <w:rPr>
              <w:rStyle w:val="slostrnky"/>
              <w:sz w:val="32"/>
              <w:szCs w:val="32"/>
            </w:rPr>
            <w:instrText xml:space="preserve"> PAGE  </w:instrText>
          </w:r>
          <w:r>
            <w:rPr>
              <w:rStyle w:val="slostrnky"/>
              <w:sz w:val="32"/>
              <w:szCs w:val="32"/>
            </w:rPr>
            <w:fldChar w:fldCharType="separate"/>
          </w:r>
          <w:r>
            <w:rPr>
              <w:rStyle w:val="slostrnky"/>
              <w:noProof/>
              <w:sz w:val="32"/>
              <w:szCs w:val="32"/>
            </w:rPr>
            <w:t>8</w:t>
          </w:r>
          <w:r>
            <w:rPr>
              <w:rStyle w:val="slostrnky"/>
              <w:sz w:val="32"/>
              <w:szCs w:val="32"/>
            </w:rPr>
            <w:fldChar w:fldCharType="end"/>
          </w:r>
        </w:p>
      </w:tc>
      <w:tc>
        <w:tcPr>
          <w:tcW w:w="4050" w:type="pct"/>
          <w:shd w:val="clear" w:color="auto" w:fill="auto"/>
          <w:vAlign w:val="center"/>
        </w:tcPr>
        <w:p w:rsidR="00952AE4" w:rsidRPr="00175F17" w:rsidRDefault="00952AE4" w:rsidP="00E8195E">
          <w:pPr>
            <w:suppressAutoHyphens/>
            <w:spacing w:after="0"/>
            <w:jc w:val="left"/>
            <w:rPr>
              <w:color w:val="999999"/>
              <w:sz w:val="32"/>
              <w:szCs w:val="32"/>
            </w:rPr>
          </w:pPr>
          <w:r w:rsidRPr="0017797C">
            <w:rPr>
              <w:b/>
              <w:color w:val="999999"/>
              <w:sz w:val="16"/>
              <w:szCs w:val="16"/>
            </w:rPr>
            <w:t>Zpráva ke státnímu rozpočtu České republiky na rok 2019</w:t>
          </w:r>
        </w:p>
      </w:tc>
    </w:tr>
  </w:tbl>
  <w:p w:rsidR="00952AE4" w:rsidRPr="00A12A05" w:rsidRDefault="00952AE4" w:rsidP="00E8195E">
    <w:pPr>
      <w:pStyle w:val="Zpat"/>
    </w:pPr>
  </w:p>
  <w:p w:rsidR="00952AE4" w:rsidRDefault="00952AE4"/>
  <w:p w:rsidR="00952AE4" w:rsidRDefault="00952AE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AE4" w:rsidRPr="00A12A05" w:rsidRDefault="00952AE4" w:rsidP="00E8195E">
    <w:pPr>
      <w:pStyle w:val="Zpat"/>
    </w:pPr>
    <w:r>
      <w:rPr>
        <w:noProof/>
      </w:rPr>
      <mc:AlternateContent>
        <mc:Choice Requires="wps">
          <w:drawing>
            <wp:anchor distT="0" distB="0" distL="114300" distR="114300" simplePos="0" relativeHeight="251687936" behindDoc="0" locked="0" layoutInCell="1" allowOverlap="1" wp14:anchorId="43DE4861" wp14:editId="418B8695">
              <wp:simplePos x="0" y="0"/>
              <wp:positionH relativeFrom="column">
                <wp:posOffset>-113665</wp:posOffset>
              </wp:positionH>
              <wp:positionV relativeFrom="paragraph">
                <wp:posOffset>-1175385</wp:posOffset>
              </wp:positionV>
              <wp:extent cx="2743200" cy="1257300"/>
              <wp:effectExtent l="0" t="0" r="0" b="0"/>
              <wp:wrapNone/>
              <wp:docPr id="32" name="Textové pole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2AE4" w:rsidRPr="000F3D4A" w:rsidRDefault="00952AE4" w:rsidP="00E8195E">
                          <w:pPr>
                            <w:spacing w:after="0"/>
                            <w:jc w:val="left"/>
                            <w:rPr>
                              <w:b/>
                              <w:sz w:val="24"/>
                            </w:rPr>
                          </w:pPr>
                          <w:r w:rsidRPr="000F3D4A">
                            <w:rPr>
                              <w:b/>
                              <w:sz w:val="24"/>
                            </w:rPr>
                            <w:t>Ministerstvo financí České republiky</w:t>
                          </w:r>
                        </w:p>
                        <w:p w:rsidR="00952AE4" w:rsidRPr="000F3D4A" w:rsidRDefault="00952AE4" w:rsidP="00E8195E">
                          <w:pPr>
                            <w:spacing w:after="0"/>
                            <w:jc w:val="left"/>
                            <w:rPr>
                              <w:sz w:val="24"/>
                            </w:rPr>
                          </w:pPr>
                          <w:r w:rsidRPr="000F3D4A">
                            <w:rPr>
                              <w:sz w:val="24"/>
                            </w:rPr>
                            <w:t>Letenská 15</w:t>
                          </w:r>
                        </w:p>
                        <w:p w:rsidR="00952AE4" w:rsidRPr="000F3D4A" w:rsidRDefault="00952AE4" w:rsidP="00E8195E">
                          <w:pPr>
                            <w:spacing w:after="0"/>
                            <w:jc w:val="left"/>
                            <w:rPr>
                              <w:sz w:val="24"/>
                            </w:rPr>
                          </w:pPr>
                          <w:r w:rsidRPr="000F3D4A">
                            <w:rPr>
                              <w:sz w:val="24"/>
                            </w:rPr>
                            <w:t>118 10 Praha 1</w:t>
                          </w:r>
                        </w:p>
                        <w:p w:rsidR="00952AE4" w:rsidRPr="000F3D4A" w:rsidRDefault="00952AE4" w:rsidP="00E8195E">
                          <w:pPr>
                            <w:spacing w:before="240" w:after="0"/>
                            <w:rPr>
                              <w:sz w:val="24"/>
                            </w:rPr>
                          </w:pPr>
                          <w:r w:rsidRPr="000F3D4A">
                            <w:rPr>
                              <w:sz w:val="24"/>
                            </w:rPr>
                            <w:t>http://www.mfcr.cz</w:t>
                          </w:r>
                        </w:p>
                      </w:txbxContent>
                    </wps:txbx>
                    <wps:bodyPr rot="0" vert="horz" wrap="square" lIns="91440" tIns="9000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32" o:spid="_x0000_s1026" type="#_x0000_t202" style="position:absolute;left:0;text-align:left;margin-left:-8.95pt;margin-top:-92.55pt;width:3in;height:9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1PTvgIAAL0FAAAOAAAAZHJzL2Uyb0RvYy54bWysVFlu2zAQ/S/QOxD8V7RYXiREDhLLKgqk&#10;C5D0ALREWUQpUiVpS2nRA/UcvViHlO04CQoUbfUhkMPhm3kzj3N5NbQc7anSTIoMhxcBRlSUsmJi&#10;m+FP94W3wEgbIirCpaAZfqAaXy1fv7rsu5RGspG8ogoBiNBp32W4MaZLfV+XDW2JvpAdFXBYS9US&#10;A1u19StFekBvuR8Fwczvpao6JUuqNVjz8RAvHX5d09J8qGtNDeIZhtyM+yv339i/v7wk6VaRrmHl&#10;IQ3yF1m0hAkIeoLKiSFop9gLqJaVSmpZm4tStr6sa1ZSxwHYhMEzNncN6ajjAsXR3alM+v/Blu/3&#10;HxViVYYnEUaCtNCjezoYuf/5A3WSUwR2KFLf6RR87zrwNsONHKDZjrDubmX5WSMhVw0RW3qtlOwb&#10;SipIMrQ3/bOrI462IJv+nawgGNkZ6YCGWrW2glATBOjQrIdTgyAhVIIxmscT6DpGJZyF0XQ+gY2N&#10;QdLj9U5p84bKFtlFhhUowMGT/a02o+vRxUYTsmCcg52kXDwxAOZogeBw1Z7ZNFxTvyVBsl6sF7EX&#10;R7O1Fwd57l0Xq9ibFeF8mk/y1SoPv9u4YZw2rKqosGGOAgvjP2vgQeqjNE4S05KzysLZlLTablZc&#10;oT0BgRfuOxTkzM1/moarF3B5RimM4uAmSrxitph7cRFPvWQeLLwgTG6SWRAncV48pXTLBP13SqjP&#10;cDKNpqOafsstcN9LbiRtmYERwlmb4cXJiaRWg2tRudYawvi4PiuFTf+xFNDuY6OdYq1IR7maYTMA&#10;ipXxRlYPoF0lQVmgQph7sGik+opRDzMkw/rLjiiKEX8rQP9JGMd26IwbmxtG6vxk4zZgJaIEmAyb&#10;43JlxiG16xTbNhBlfG1CXsN7qZlT8mNGh1cGM8IROswzO4TO987rceoufwEAAP//AwBQSwMEFAAG&#10;AAgAAAAhAPI7Gy/hAAAACwEAAA8AAABkcnMvZG93bnJldi54bWxMj8FKw0AQhu+C77CM4EXaTUo0&#10;bZpNEUXQQwVbS6/TZEyC2d2Q3aTr2zs96e0f5uOfb/JN0J2YaHCtNQrieQSCTGmr1tQKPvcvsyUI&#10;59FU2FlDCn7Iwaa4vsoxq+zZfNC087XgEuMyVNB432dSurIhjW5uezK8+7KDRs/jUMtqwDOX604u&#10;ouhBamwNX2iwp6eGyu/dqBW8pu/pHR4O++fwVm6PiQ/pNAalbm/C4xqEp+D/YLjoszoU7HSyo6mc&#10;6BTM4nTF6CUs72MQjCRxwuHE7GIFssjl/x+KXwAAAP//AwBQSwECLQAUAAYACAAAACEAtoM4kv4A&#10;AADhAQAAEwAAAAAAAAAAAAAAAAAAAAAAW0NvbnRlbnRfVHlwZXNdLnhtbFBLAQItABQABgAIAAAA&#10;IQA4/SH/1gAAAJQBAAALAAAAAAAAAAAAAAAAAC8BAABfcmVscy8ucmVsc1BLAQItABQABgAIAAAA&#10;IQD5Y1PTvgIAAL0FAAAOAAAAAAAAAAAAAAAAAC4CAABkcnMvZTJvRG9jLnhtbFBLAQItABQABgAI&#10;AAAAIQDyOxsv4QAAAAsBAAAPAAAAAAAAAAAAAAAAABgFAABkcnMvZG93bnJldi54bWxQSwUGAAAA&#10;AAQABADzAAAAJgYAAAAA&#10;" filled="f" stroked="f">
              <v:textbox inset=",2.5mm,,0">
                <w:txbxContent>
                  <w:p w:rsidR="00952AE4" w:rsidRPr="000F3D4A" w:rsidRDefault="00952AE4" w:rsidP="00E8195E">
                    <w:pPr>
                      <w:spacing w:after="0"/>
                      <w:jc w:val="left"/>
                      <w:rPr>
                        <w:b/>
                        <w:sz w:val="24"/>
                      </w:rPr>
                    </w:pPr>
                    <w:r w:rsidRPr="000F3D4A">
                      <w:rPr>
                        <w:b/>
                        <w:sz w:val="24"/>
                      </w:rPr>
                      <w:t>Ministerstvo financí České republiky</w:t>
                    </w:r>
                  </w:p>
                  <w:p w:rsidR="00952AE4" w:rsidRPr="000F3D4A" w:rsidRDefault="00952AE4" w:rsidP="00E8195E">
                    <w:pPr>
                      <w:spacing w:after="0"/>
                      <w:jc w:val="left"/>
                      <w:rPr>
                        <w:sz w:val="24"/>
                      </w:rPr>
                    </w:pPr>
                    <w:r w:rsidRPr="000F3D4A">
                      <w:rPr>
                        <w:sz w:val="24"/>
                      </w:rPr>
                      <w:t>Letenská 15</w:t>
                    </w:r>
                  </w:p>
                  <w:p w:rsidR="00952AE4" w:rsidRPr="000F3D4A" w:rsidRDefault="00952AE4" w:rsidP="00E8195E">
                    <w:pPr>
                      <w:spacing w:after="0"/>
                      <w:jc w:val="left"/>
                      <w:rPr>
                        <w:sz w:val="24"/>
                      </w:rPr>
                    </w:pPr>
                    <w:r w:rsidRPr="000F3D4A">
                      <w:rPr>
                        <w:sz w:val="24"/>
                      </w:rPr>
                      <w:t>118 10 Praha 1</w:t>
                    </w:r>
                  </w:p>
                  <w:p w:rsidR="00952AE4" w:rsidRPr="000F3D4A" w:rsidRDefault="00952AE4" w:rsidP="00E8195E">
                    <w:pPr>
                      <w:spacing w:before="240" w:after="0"/>
                      <w:rPr>
                        <w:sz w:val="24"/>
                      </w:rPr>
                    </w:pPr>
                    <w:r w:rsidRPr="000F3D4A">
                      <w:rPr>
                        <w:sz w:val="24"/>
                      </w:rPr>
                      <w:t>http://www.mfcr.cz</w:t>
                    </w:r>
                  </w:p>
                </w:txbxContent>
              </v:textbox>
            </v:shape>
          </w:pict>
        </mc:Fallback>
      </mc:AlternateContent>
    </w:r>
    <w:r>
      <w:rPr>
        <w:noProof/>
      </w:rPr>
      <mc:AlternateContent>
        <mc:Choice Requires="wpg">
          <w:drawing>
            <wp:anchor distT="0" distB="0" distL="114300" distR="114300" simplePos="0" relativeHeight="251675648" behindDoc="1" locked="0" layoutInCell="1" allowOverlap="1" wp14:anchorId="20B6D7B3" wp14:editId="217DB224">
              <wp:simplePos x="0" y="0"/>
              <wp:positionH relativeFrom="column">
                <wp:posOffset>4572000</wp:posOffset>
              </wp:positionH>
              <wp:positionV relativeFrom="paragraph">
                <wp:posOffset>-10036175</wp:posOffset>
              </wp:positionV>
              <wp:extent cx="2352040" cy="10756265"/>
              <wp:effectExtent l="0" t="3175" r="635" b="3810"/>
              <wp:wrapNone/>
              <wp:docPr id="33" name="Skupina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52040" cy="10756265"/>
                        <a:chOff x="8334" y="-41"/>
                        <a:chExt cx="3704" cy="16939"/>
                      </a:xfrm>
                    </wpg:grpSpPr>
                    <wps:wsp>
                      <wps:cNvPr id="34" name="Rectangle 25" descr="BlueBar"/>
                      <wps:cNvSpPr>
                        <a:spLocks noChangeAspect="1" noChangeArrowheads="1"/>
                      </wps:cNvSpPr>
                      <wps:spPr bwMode="auto">
                        <a:xfrm rot="5400000">
                          <a:off x="1674" y="6619"/>
                          <a:ext cx="16920" cy="3600"/>
                        </a:xfrm>
                        <a:prstGeom prst="rect">
                          <a:avLst/>
                        </a:prstGeom>
                        <a:gradFill rotWithShape="1">
                          <a:gsLst>
                            <a:gs pos="0">
                              <a:srgbClr val="995979"/>
                            </a:gs>
                            <a:gs pos="100000">
                              <a:srgbClr val="995979">
                                <a:gamma/>
                                <a:tint val="20000"/>
                                <a:invGamma/>
                              </a:srgb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Text Box 26"/>
                      <wps:cNvSpPr txBox="1">
                        <a:spLocks noChangeAspect="1" noChangeArrowheads="1"/>
                      </wps:cNvSpPr>
                      <wps:spPr bwMode="auto">
                        <a:xfrm>
                          <a:off x="8798" y="-22"/>
                          <a:ext cx="3240" cy="16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2AE4" w:rsidRPr="006F476A" w:rsidRDefault="00952AE4" w:rsidP="00E8195E">
                            <w:pPr>
                              <w:rPr>
                                <w:color w:val="FFFFFF"/>
                              </w:rPr>
                            </w:pP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 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p>
                        </w:txbxContent>
                      </wps:txbx>
                      <wps:bodyPr rot="0" vert="vert" wrap="square" lIns="9000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Skupina 33" o:spid="_x0000_s1027" style="position:absolute;left:0;text-align:left;margin-left:5in;margin-top:-790.25pt;width:185.2pt;height:846.95pt;z-index:-251640832" coordorigin="8334,-41" coordsize="3704,16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YnhDQQAAJoLAAAOAAAAZHJzL2Uyb0RvYy54bWzsVk2P2zYQvRfofyB01+pbtoT1BuuvRYFt&#10;G3RT9ExLlEREIlWStrwN8t87JCXb66ZBukXSS32QKQ45nHnz5om3b45diw5ESMrZwglufAcRVvCS&#10;snrh/Ppu684dJBVmJW45IwvnmUjnzd33390OfU5C3vC2JAKBEybzoV84jVJ97nmyaEiH5Q3vCQNj&#10;xUWHFbyK2isFHsB713qh76fewEXZC14QKWF2bY3OnfFfVaRQP1eVJAq1CwdiU+YpzHOnn97dLc5r&#10;gfuGFmMY+BVRdJgyOPTkao0VRntB/+Kqo4XgklfqpuCdx6uKFsTkANkE/lU2D4Lve5NLnQ91f4IJ&#10;oL3C6dVui58ObwWi5cKJIgcx3EGNnt7ve8owghmAZ+jrHFY9iP6pfytsjjB85MV7CWbv2q7fa7sY&#10;7YYfeQke8V5xA8+xEp12AYmjo6nC86kK5KhQAZNhlIR+DMUqwBb4syQN08QWqmigmnrjPIpiB4Hd&#10;jYPJtBn3RzMfbGZzmkWZNns4tyebaMfodGpAOnnGVf47XJ8a3BNTLqkRm3CFYCyuvwAbMatbgsLE&#10;QSWRBRBx2e7JEguLtNk3wSwtxojxVQPbyL3swQFAAv6mKSH40BBcQuQGB8jvwod+kVC0T9cBCQ7e&#10;ktjXP1OdsSpBOrPgpmlg4MP5VJsgzcKxMlEKuy6xxXkvpHogvEN6sHAEhGv84sOjVHbptGTslXJL&#10;21YH8htVjcFPJ2KMEvbYAeo55GdDlKLerVqBDhgaOsuSbDYVuJaXq4NzVp/aYpbirsMQFc4VZcp6&#10;BEmxWeGcssPDuALoMzoxVNInwVQ9RdhShqBAZyyRLHBLoKdsTYwqmEz1YS3TT8Z15hYTOwMQjxlr&#10;sI12fMiCMPaXYeZu0/nMjbdx4mYzf+76QbbMUj/O4vX2o4YriPOGliVhj5SRSceC+Mv4PCqqVSCj&#10;ZGgAcBNgqQ5V8paeon8BpsF4IsGLZR1VIOst7aBVbSUM0JqqG1Za0DFt7dh7Gb4BFzCY/g0qhtia&#10;y7Zrd7x8Bl4bBgMf4QMEfGu4+MNBA4j5wpG/77EgDmp/YMCdLIi1oCjzEiczzWFxadldWjArwNXC&#10;UQ6UVQ9Xyn4x9r2gdQMnWYoyfg+6VlFDbd1rNiqIexSWb6UwoCZWYd5p6iz5EYXplaAgdYT5KfKv&#10;LS2aNqOYzGcZXAG0UoehjumsJRFw+6TTUBHbDNMXYhKKL9SSUz/9wwbzs818M4/dOEw3buyv1+79&#10;dhW76TaYJetovVqtg5cNZgTL3leAtq9tsM/31db8RkAu+uqiUXQYU4NMoP6vGZ/VDHXcHc1Nx6jy&#10;uV+vVERryd+oiPk4/AcqYm4tcAE0BR8vq/qGefluVOd8pb77EwAA//8DAFBLAwQUAAYACAAAACEA&#10;5o7AtOMAAAAOAQAADwAAAGRycy9kb3ducmV2LnhtbEyPwW7CMAyG75P2DpEn7QZJBt2ga4oQ2nZC&#10;kwaTJm6mMW1Fk1RNaMvbL5y2my3/+vz92Wo0Deup87WzCuRUACNbOF3bUsH3/n2yAOYDWo2Ns6Tg&#10;Sh5W+f1dhql2g/2ifhdKFiHWp6igCqFNOfdFRQb91LVk4+3kOoMhrl3JdYdDhJuGPwnxzA3WNn6o&#10;sKVNRcV5dzEKPgYc1jP51m/Pp831sE8+f7aSlHp8GNevwAKN4S8MN/2oDnl0OrqL1Z41Cl4iPkYV&#10;TGSyEAmwW0YsxRzYMU5yNgeeZ/x/jfwXAAD//wMAUEsBAi0AFAAGAAgAAAAhALaDOJL+AAAA4QEA&#10;ABMAAAAAAAAAAAAAAAAAAAAAAFtDb250ZW50X1R5cGVzXS54bWxQSwECLQAUAAYACAAAACEAOP0h&#10;/9YAAACUAQAACwAAAAAAAAAAAAAAAAAvAQAAX3JlbHMvLnJlbHNQSwECLQAUAAYACAAAACEAqTWJ&#10;4Q0EAACaCwAADgAAAAAAAAAAAAAAAAAuAgAAZHJzL2Uyb0RvYy54bWxQSwECLQAUAAYACAAAACEA&#10;5o7AtOMAAAAOAQAADwAAAAAAAAAAAAAAAABnBgAAZHJzL2Rvd25yZXYueG1sUEsFBgAAAAAEAAQA&#10;8wAAAHcHAAAAAA==&#10;">
              <v:rect id="Rectangle 25" o:spid="_x0000_s1028" alt="BlueBar" style="position:absolute;left:1674;top:6619;width:16920;height:360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iQMQA&#10;AADbAAAADwAAAGRycy9kb3ducmV2LnhtbESPS2vCQBSF90L/w3AL7nRiLSLRSdCK2NaVr/1t5jZJ&#10;m7kTMmOM/fUdQXB5OI+PM087U4mWGldaVjAaRiCIM6tLzhUcD+vBFITzyBory6TgSg7S5Kk3x1jb&#10;C++o3ftchBF2MSoovK9jKV1WkEE3tDVx8L5tY9AH2eRSN3gJ46aSL1E0kQZLDoQCa3orKPvdn02A&#10;bBejzefyZ+rx1E6u26+/1fLjoFT/uVvMQHjq/CN8b79rBeNXuH0JP0A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064kDEAAAA2wAAAA8AAAAAAAAAAAAAAAAAmAIAAGRycy9k&#10;b3ducmV2LnhtbFBLBQYAAAAABAAEAPUAAACJAwAAAAA=&#10;" fillcolor="#995979" stroked="f">
                <v:fill color2="#ebdee4" rotate="t" focus="100%" type="gradient"/>
                <o:lock v:ext="edit" aspectratio="t"/>
              </v:rect>
              <v:shape id="Text Box 26" o:spid="_x0000_s1029" type="#_x0000_t202" style="position:absolute;left:8798;top:-22;width:3240;height:169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A7sUA&#10;AADbAAAADwAAAGRycy9kb3ducmV2LnhtbESPQWsCMRSE74X+h/AKXkSzVVp0a5SiiIIHcavo8bF5&#10;7i7dvCxJ1PXfm4LQ4zAz3zCTWWtqcSXnK8sK3vsJCOLc6ooLBfufZW8EwgdkjbVlUnAnD7Pp68sE&#10;U21vvKNrFgoRIexTVFCG0KRS+rwkg75vG+Lona0zGKJ0hdQObxFuajlIkk9psOK4UGJD85Ly3+xi&#10;FDRnuR1u8vG6u/Cn4pCtjkd3XynVeWu/v0AEasN/+NleawXDD/j7En+An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8DuxQAAANsAAAAPAAAAAAAAAAAAAAAAAJgCAABkcnMv&#10;ZG93bnJldi54bWxQSwUGAAAAAAQABAD1AAAAigMAAAAA&#10;" filled="f" stroked="f">
                <o:lock v:ext="edit" aspectratio="t"/>
                <v:textbox style="layout-flow:vertical" inset="2.5mm">
                  <w:txbxContent>
                    <w:p w:rsidR="00952AE4" w:rsidRPr="006F476A" w:rsidRDefault="00952AE4" w:rsidP="00E8195E">
                      <w:pPr>
                        <w:rPr>
                          <w:color w:val="FFFFFF"/>
                        </w:rPr>
                      </w:pP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 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r w:rsidRPr="002C30E3">
                        <w:rPr>
                          <w:color w:val="FFFFFF"/>
                        </w:rPr>
                        <w:t xml:space="preserve"> </w:t>
                      </w:r>
                      <w:r>
                        <w:rPr>
                          <w:color w:val="FFFFFF"/>
                        </w:rPr>
                        <w:t>východiska a priority návrhu státního rozpočtu, výdajový rámec</w:t>
                      </w:r>
                      <w:r w:rsidRPr="006F476A">
                        <w:rPr>
                          <w:color w:val="FFFFFF"/>
                        </w:rPr>
                        <w:t>,</w:t>
                      </w:r>
                      <w:r>
                        <w:rPr>
                          <w:color w:val="FFFFFF"/>
                        </w:rPr>
                        <w:t xml:space="preserve"> daňové a sociální příjmy, ostatní příjmy, mandatorní výdaje, kapitálové výdaje, běžné výdaje, finanční vztahy k rozpočtu EU a finančním mechanismům,</w:t>
                      </w:r>
                    </w:p>
                  </w:txbxContent>
                </v:textbox>
              </v:shap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AE4" w:rsidRDefault="00952AE4" w:rsidP="004B7539">
      <w:pPr>
        <w:spacing w:after="0"/>
      </w:pPr>
      <w:r>
        <w:separator/>
      </w:r>
    </w:p>
  </w:footnote>
  <w:footnote w:type="continuationSeparator" w:id="0">
    <w:p w:rsidR="00952AE4" w:rsidRDefault="00952AE4">
      <w:r>
        <w:continuationSeparator/>
      </w:r>
    </w:p>
    <w:p w:rsidR="00952AE4" w:rsidRDefault="00952AE4"/>
  </w:footnote>
  <w:footnote w:type="continuationNotice" w:id="1">
    <w:p w:rsidR="00952AE4" w:rsidRDefault="00952AE4">
      <w:pPr>
        <w:spacing w:after="0"/>
      </w:pPr>
    </w:p>
  </w:footnote>
  <w:footnote w:id="2">
    <w:p w:rsidR="00952AE4" w:rsidRDefault="00952AE4" w:rsidP="004C729B">
      <w:pPr>
        <w:pStyle w:val="Textpoznpodarou"/>
      </w:pPr>
      <w:r>
        <w:rPr>
          <w:rStyle w:val="Znakapoznpodarou"/>
        </w:rPr>
        <w:footnoteRef/>
      </w:r>
      <w:r>
        <w:t xml:space="preserve"> V rámci upraveného systému vlastních zdrojů je snížen EU podíl na příjmech z cel na 75 % (oproti předchozím 80 %), zaveden je nový vlastní zdroj z nerecyklovaného plastového obalového odpadu (hraz</w:t>
      </w:r>
      <w:r>
        <w:t>e</w:t>
      </w:r>
      <w:r>
        <w:t>ný ze státního rozpočtu), pro vybrané členské státy jsou aplikovány (významné) paušální slevy na odvodech ze zdroje z HND.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AE4" w:rsidRDefault="00952AE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AE4" w:rsidRDefault="00952AE4">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AE4" w:rsidRDefault="00952AE4" w:rsidP="00E8195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AE4" w:rsidRDefault="00952AE4" w:rsidP="00E8195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AE4" w:rsidRDefault="00952AE4">
    <w:pPr>
      <w:pStyle w:val="Zhlav"/>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AE4" w:rsidRDefault="00952AE4">
    <w:pPr>
      <w:pStyle w:val="Zhlav"/>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AE4" w:rsidRDefault="00952AE4" w:rsidP="0054072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AE4" w:rsidRDefault="00952AE4">
    <w:pPr>
      <w:pStyle w:val="Zhlav"/>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AE4" w:rsidRPr="00EA5EF4" w:rsidRDefault="00952AE4" w:rsidP="00EA5EF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80925"/>
    <w:multiLevelType w:val="hybridMultilevel"/>
    <w:tmpl w:val="E5129D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9FC4895"/>
    <w:multiLevelType w:val="hybridMultilevel"/>
    <w:tmpl w:val="8C0E7A5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B04516C"/>
    <w:multiLevelType w:val="hybridMultilevel"/>
    <w:tmpl w:val="E21AB1F4"/>
    <w:lvl w:ilvl="0" w:tplc="63066626">
      <w:start w:val="1"/>
      <w:numFmt w:val="bullet"/>
      <w:pStyle w:val="SROdrka"/>
      <w:lvlText w:val=""/>
      <w:lvlJc w:val="left"/>
      <w:pPr>
        <w:tabs>
          <w:tab w:val="num" w:pos="170"/>
        </w:tabs>
        <w:ind w:left="1078" w:hanging="1078"/>
      </w:pPr>
      <w:rPr>
        <w:rFonts w:ascii="Symbol" w:hAnsi="Symbol" w:hint="default"/>
      </w:rPr>
    </w:lvl>
    <w:lvl w:ilvl="1" w:tplc="7DC8EA06">
      <w:start w:val="5"/>
      <w:numFmt w:val="upperLetter"/>
      <w:lvlText w:val="%2."/>
      <w:lvlJc w:val="left"/>
      <w:pPr>
        <w:tabs>
          <w:tab w:val="num" w:pos="1080"/>
        </w:tabs>
        <w:ind w:left="1080" w:hanging="360"/>
      </w:pPr>
      <w:rPr>
        <w:rFonts w:cs="Times New Roman" w:hint="default"/>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
    <w:nsid w:val="10456CBE"/>
    <w:multiLevelType w:val="hybridMultilevel"/>
    <w:tmpl w:val="142661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0717508"/>
    <w:multiLevelType w:val="singleLevel"/>
    <w:tmpl w:val="04050001"/>
    <w:lvl w:ilvl="0">
      <w:start w:val="1"/>
      <w:numFmt w:val="bullet"/>
      <w:lvlText w:val=""/>
      <w:lvlJc w:val="left"/>
      <w:pPr>
        <w:tabs>
          <w:tab w:val="num" w:pos="284"/>
        </w:tabs>
      </w:pPr>
      <w:rPr>
        <w:rFonts w:ascii="Symbol" w:hAnsi="Symbol" w:hint="default"/>
      </w:rPr>
    </w:lvl>
  </w:abstractNum>
  <w:abstractNum w:abstractNumId="5">
    <w:nsid w:val="18104C51"/>
    <w:multiLevelType w:val="hybridMultilevel"/>
    <w:tmpl w:val="2F44D2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9AA44D8"/>
    <w:multiLevelType w:val="hybridMultilevel"/>
    <w:tmpl w:val="B9EC4AB2"/>
    <w:lvl w:ilvl="0" w:tplc="D9841CF8">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
    <w:nsid w:val="25DF0FC9"/>
    <w:multiLevelType w:val="hybridMultilevel"/>
    <w:tmpl w:val="841C89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79E15A6"/>
    <w:multiLevelType w:val="multilevel"/>
    <w:tmpl w:val="5B32130C"/>
    <w:lvl w:ilvl="0">
      <w:start w:val="1"/>
      <w:numFmt w:val="decimal"/>
      <w:pStyle w:val="SRNadpis1"/>
      <w:lvlText w:val="%1"/>
      <w:lvlJc w:val="left"/>
      <w:pPr>
        <w:tabs>
          <w:tab w:val="num" w:pos="567"/>
        </w:tabs>
        <w:ind w:left="0" w:firstLine="0"/>
      </w:pPr>
      <w:rPr>
        <w:rFonts w:ascii="Calibri" w:hAnsi="Calibri" w:hint="default"/>
        <w:color w:val="auto"/>
      </w:rPr>
    </w:lvl>
    <w:lvl w:ilvl="1">
      <w:start w:val="1"/>
      <w:numFmt w:val="decimal"/>
      <w:pStyle w:val="SRNadpis2"/>
      <w:lvlText w:val="%1.%2"/>
      <w:lvlJc w:val="left"/>
      <w:pPr>
        <w:tabs>
          <w:tab w:val="num" w:pos="567"/>
        </w:tabs>
        <w:ind w:left="0" w:firstLine="0"/>
      </w:pPr>
      <w:rPr>
        <w:rFonts w:hint="default"/>
        <w:b/>
      </w:rPr>
    </w:lvl>
    <w:lvl w:ilvl="2">
      <w:start w:val="1"/>
      <w:numFmt w:val="decimal"/>
      <w:pStyle w:val="SRNadpis3"/>
      <w:lvlText w:val="%1.%2.%3"/>
      <w:lvlJc w:val="left"/>
      <w:pPr>
        <w:tabs>
          <w:tab w:val="num" w:pos="567"/>
        </w:tabs>
        <w:ind w:left="0" w:firstLine="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SRNadpis4"/>
      <w:lvlText w:val="%1.%2.%3.%4"/>
      <w:lvlJc w:val="left"/>
      <w:pPr>
        <w:tabs>
          <w:tab w:val="num" w:pos="567"/>
        </w:tabs>
        <w:ind w:left="0" w:firstLine="0"/>
      </w:pPr>
      <w:rPr>
        <w:rFonts w:hint="default"/>
      </w:rPr>
    </w:lvl>
    <w:lvl w:ilvl="4">
      <w:start w:val="1"/>
      <w:numFmt w:val="decimal"/>
      <w:lvlText w:val="%1.%2.%3.%4.%5"/>
      <w:lvlJc w:val="left"/>
      <w:pPr>
        <w:tabs>
          <w:tab w:val="num" w:pos="567"/>
        </w:tabs>
        <w:ind w:left="0" w:firstLine="0"/>
      </w:pPr>
      <w:rPr>
        <w:rFonts w:hint="default"/>
      </w:rPr>
    </w:lvl>
    <w:lvl w:ilvl="5">
      <w:start w:val="1"/>
      <w:numFmt w:val="decimal"/>
      <w:lvlText w:val="%1.%2.%3.%4.%5.%6"/>
      <w:lvlJc w:val="left"/>
      <w:pPr>
        <w:tabs>
          <w:tab w:val="num" w:pos="567"/>
        </w:tabs>
        <w:ind w:left="0" w:firstLine="0"/>
      </w:pPr>
      <w:rPr>
        <w:rFonts w:hint="default"/>
      </w:rPr>
    </w:lvl>
    <w:lvl w:ilvl="6">
      <w:start w:val="1"/>
      <w:numFmt w:val="decimal"/>
      <w:lvlText w:val="%1.%2.%3.%4.%5.%6.%7"/>
      <w:lvlJc w:val="left"/>
      <w:pPr>
        <w:tabs>
          <w:tab w:val="num" w:pos="567"/>
        </w:tabs>
        <w:ind w:left="0" w:firstLine="0"/>
      </w:pPr>
      <w:rPr>
        <w:rFonts w:hint="default"/>
      </w:rPr>
    </w:lvl>
    <w:lvl w:ilvl="7">
      <w:start w:val="1"/>
      <w:numFmt w:val="decimal"/>
      <w:lvlText w:val="%1.%2.%3.%4.%5.%6.%7.%8"/>
      <w:lvlJc w:val="left"/>
      <w:pPr>
        <w:tabs>
          <w:tab w:val="num" w:pos="567"/>
        </w:tabs>
        <w:ind w:left="0" w:firstLine="0"/>
      </w:pPr>
      <w:rPr>
        <w:rFonts w:hint="default"/>
      </w:rPr>
    </w:lvl>
    <w:lvl w:ilvl="8">
      <w:start w:val="1"/>
      <w:numFmt w:val="decimal"/>
      <w:lvlText w:val="%1.%2.%3.%4.%5.%6.%7.%8.%9"/>
      <w:lvlJc w:val="left"/>
      <w:pPr>
        <w:tabs>
          <w:tab w:val="num" w:pos="567"/>
        </w:tabs>
        <w:ind w:left="0" w:firstLine="0"/>
      </w:pPr>
      <w:rPr>
        <w:rFonts w:hint="default"/>
      </w:rPr>
    </w:lvl>
  </w:abstractNum>
  <w:abstractNum w:abstractNumId="9">
    <w:nsid w:val="2DE152CB"/>
    <w:multiLevelType w:val="hybridMultilevel"/>
    <w:tmpl w:val="ED06804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2883A2C"/>
    <w:multiLevelType w:val="hybridMultilevel"/>
    <w:tmpl w:val="D34235B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nsid w:val="3A2C5894"/>
    <w:multiLevelType w:val="hybridMultilevel"/>
    <w:tmpl w:val="BF187128"/>
    <w:lvl w:ilvl="0" w:tplc="04050019">
      <w:start w:val="1"/>
      <w:numFmt w:val="low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B882294"/>
    <w:multiLevelType w:val="hybridMultilevel"/>
    <w:tmpl w:val="A140B648"/>
    <w:lvl w:ilvl="0" w:tplc="2B76D952">
      <w:start w:val="1"/>
      <w:numFmt w:val="bullet"/>
      <w:lvlText w:val=""/>
      <w:lvlJc w:val="left"/>
      <w:pPr>
        <w:tabs>
          <w:tab w:val="num" w:pos="567"/>
        </w:tabs>
        <w:ind w:left="567" w:hanging="56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3E5045D1"/>
    <w:multiLevelType w:val="hybridMultilevel"/>
    <w:tmpl w:val="8DBCE902"/>
    <w:lvl w:ilvl="0" w:tplc="315AC7A4">
      <w:start w:val="3"/>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1F76747"/>
    <w:multiLevelType w:val="hybridMultilevel"/>
    <w:tmpl w:val="B34034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D8D62E4"/>
    <w:multiLevelType w:val="hybridMultilevel"/>
    <w:tmpl w:val="116800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DA445BC"/>
    <w:multiLevelType w:val="hybridMultilevel"/>
    <w:tmpl w:val="F880EF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EC80DAA"/>
    <w:multiLevelType w:val="hybridMultilevel"/>
    <w:tmpl w:val="EF68F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0E07329"/>
    <w:multiLevelType w:val="hybridMultilevel"/>
    <w:tmpl w:val="4288ED58"/>
    <w:lvl w:ilvl="0" w:tplc="C1B006F4">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7762462"/>
    <w:multiLevelType w:val="hybridMultilevel"/>
    <w:tmpl w:val="B32C2EE2"/>
    <w:lvl w:ilvl="0" w:tplc="2B56D00E">
      <w:start w:val="1"/>
      <w:numFmt w:val="bullet"/>
      <w:pStyle w:val="Styl1mmmmm"/>
      <w:lvlText w:val=""/>
      <w:lvlJc w:val="left"/>
      <w:pPr>
        <w:tabs>
          <w:tab w:val="num" w:pos="1560"/>
        </w:tabs>
        <w:ind w:left="1758" w:hanging="197"/>
      </w:pPr>
      <w:rPr>
        <w:rFonts w:ascii="Symbol" w:hAnsi="Symbol" w:hint="default"/>
      </w:rPr>
    </w:lvl>
    <w:lvl w:ilvl="1" w:tplc="04050003" w:tentative="1">
      <w:start w:val="1"/>
      <w:numFmt w:val="bullet"/>
      <w:lvlText w:val="o"/>
      <w:lvlJc w:val="left"/>
      <w:pPr>
        <w:tabs>
          <w:tab w:val="num" w:pos="1724"/>
        </w:tabs>
        <w:ind w:left="1724" w:hanging="360"/>
      </w:pPr>
      <w:rPr>
        <w:rFonts w:ascii="Courier New" w:hAnsi="Courier New" w:cs="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cs="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cs="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20">
    <w:nsid w:val="5C5C0EFB"/>
    <w:multiLevelType w:val="hybridMultilevel"/>
    <w:tmpl w:val="C4E664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CC9639E"/>
    <w:multiLevelType w:val="multilevel"/>
    <w:tmpl w:val="DF30E1C8"/>
    <w:styleLink w:val="StylSodrkami"/>
    <w:lvl w:ilvl="0">
      <w:start w:val="1"/>
      <w:numFmt w:val="bullet"/>
      <w:lvlText w:val="−"/>
      <w:lvlJc w:val="left"/>
      <w:pPr>
        <w:tabs>
          <w:tab w:val="num" w:pos="720"/>
        </w:tabs>
        <w:ind w:left="720" w:hanging="360"/>
      </w:pPr>
      <w:rPr>
        <w:rFonts w:ascii="Calibri" w:hAnsi="Calibri"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68BB2955"/>
    <w:multiLevelType w:val="hybridMultilevel"/>
    <w:tmpl w:val="CD864CB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nsid w:val="691B035A"/>
    <w:multiLevelType w:val="hybridMultilevel"/>
    <w:tmpl w:val="904E9E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E783B01"/>
    <w:multiLevelType w:val="hybridMultilevel"/>
    <w:tmpl w:val="CAD4AC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nsid w:val="70B52EC6"/>
    <w:multiLevelType w:val="multilevel"/>
    <w:tmpl w:val="244CD51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7A014842"/>
    <w:multiLevelType w:val="multilevel"/>
    <w:tmpl w:val="723E3246"/>
    <w:lvl w:ilvl="0">
      <w:start w:val="1"/>
      <w:numFmt w:val="upperLetter"/>
      <w:pStyle w:val="SRNadpisAB"/>
      <w:lvlText w:val="%1"/>
      <w:lvlJc w:val="left"/>
      <w:pPr>
        <w:tabs>
          <w:tab w:val="num" w:pos="567"/>
        </w:tabs>
        <w:ind w:left="567" w:hanging="567"/>
      </w:pPr>
      <w:rPr>
        <w:rFonts w:ascii="Calibri" w:hAnsi="Calibri" w:hint="default"/>
        <w:color w:val="auto"/>
      </w:rPr>
    </w:lvl>
    <w:lvl w:ilvl="1">
      <w:start w:val="1"/>
      <w:numFmt w:val="decimal"/>
      <w:lvlText w:val="%1.%2"/>
      <w:lvlJc w:val="left"/>
      <w:pPr>
        <w:tabs>
          <w:tab w:val="num" w:pos="567"/>
        </w:tabs>
        <w:ind w:left="567" w:hanging="567"/>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7B6B1526"/>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7C9A7F40"/>
    <w:multiLevelType w:val="hybridMultilevel"/>
    <w:tmpl w:val="ED881F64"/>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21"/>
  </w:num>
  <w:num w:numId="3">
    <w:abstractNumId w:val="26"/>
  </w:num>
  <w:num w:numId="4">
    <w:abstractNumId w:val="28"/>
  </w:num>
  <w:num w:numId="5">
    <w:abstractNumId w:val="10"/>
  </w:num>
  <w:num w:numId="6">
    <w:abstractNumId w:val="13"/>
  </w:num>
  <w:num w:numId="7">
    <w:abstractNumId w:val="19"/>
  </w:num>
  <w:num w:numId="8">
    <w:abstractNumId w:val="18"/>
  </w:num>
  <w:num w:numId="9">
    <w:abstractNumId w:val="22"/>
  </w:num>
  <w:num w:numId="10">
    <w:abstractNumId w:val="17"/>
  </w:num>
  <w:num w:numId="11">
    <w:abstractNumId w:val="23"/>
  </w:num>
  <w:num w:numId="12">
    <w:abstractNumId w:val="15"/>
  </w:num>
  <w:num w:numId="13">
    <w:abstractNumId w:val="4"/>
  </w:num>
  <w:num w:numId="14">
    <w:abstractNumId w:val="6"/>
  </w:num>
  <w:num w:numId="15">
    <w:abstractNumId w:val="14"/>
  </w:num>
  <w:num w:numId="16">
    <w:abstractNumId w:val="5"/>
  </w:num>
  <w:num w:numId="17">
    <w:abstractNumId w:val="25"/>
  </w:num>
  <w:num w:numId="18">
    <w:abstractNumId w:val="12"/>
  </w:num>
  <w:num w:numId="19">
    <w:abstractNumId w:val="2"/>
  </w:num>
  <w:num w:numId="20">
    <w:abstractNumId w:val="8"/>
  </w:num>
  <w:num w:numId="21">
    <w:abstractNumId w:val="8"/>
  </w:num>
  <w:num w:numId="22">
    <w:abstractNumId w:val="11"/>
  </w:num>
  <w:num w:numId="23">
    <w:abstractNumId w:val="1"/>
  </w:num>
  <w:num w:numId="24">
    <w:abstractNumId w:val="0"/>
  </w:num>
  <w:num w:numId="25">
    <w:abstractNumId w:val="16"/>
  </w:num>
  <w:num w:numId="26">
    <w:abstractNumId w:val="20"/>
  </w:num>
  <w:num w:numId="27">
    <w:abstractNumId w:val="7"/>
  </w:num>
  <w:num w:numId="28">
    <w:abstractNumId w:val="3"/>
  </w:num>
  <w:num w:numId="29">
    <w:abstractNumId w:val="24"/>
  </w:num>
  <w:num w:numId="30">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8" w:nlCheck="1" w:checkStyle="0"/>
  <w:activeWritingStyle w:appName="MSWord" w:lang="en-US" w:vendorID="64" w:dllVersion="131078" w:nlCheck="1" w:checkStyle="0"/>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ocumentProtection w:edit="forms" w:enforcement="0"/>
  <w:defaultTabStop w:val="709"/>
  <w:autoHyphenation/>
  <w:consecutiveHyphenLimit w:val="2"/>
  <w:hyphenationZone w:val="142"/>
  <w:doNotShadeFormData/>
  <w:characterSpacingControl w:val="doNotCompress"/>
  <w:hdrShapeDefaults>
    <o:shapedefaults v:ext="edit" spidmax="94209" strokecolor="#31527b">
      <v:stroke endarrow="open" color="#31527b" weight="1.5pt"/>
      <o:colormru v:ext="edit" colors="#995979"/>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F17"/>
    <w:rsid w:val="0000019B"/>
    <w:rsid w:val="000001AA"/>
    <w:rsid w:val="000001FB"/>
    <w:rsid w:val="00000669"/>
    <w:rsid w:val="00001159"/>
    <w:rsid w:val="00001569"/>
    <w:rsid w:val="000017D2"/>
    <w:rsid w:val="00001A34"/>
    <w:rsid w:val="00001BDB"/>
    <w:rsid w:val="00001E20"/>
    <w:rsid w:val="0000208E"/>
    <w:rsid w:val="000022F4"/>
    <w:rsid w:val="00002301"/>
    <w:rsid w:val="000028F8"/>
    <w:rsid w:val="00002AF3"/>
    <w:rsid w:val="00002D37"/>
    <w:rsid w:val="000030D2"/>
    <w:rsid w:val="00003AC6"/>
    <w:rsid w:val="00003C79"/>
    <w:rsid w:val="00003D57"/>
    <w:rsid w:val="000042C5"/>
    <w:rsid w:val="00004468"/>
    <w:rsid w:val="00004803"/>
    <w:rsid w:val="00004C9C"/>
    <w:rsid w:val="00004D33"/>
    <w:rsid w:val="00005363"/>
    <w:rsid w:val="0000571D"/>
    <w:rsid w:val="00005A2A"/>
    <w:rsid w:val="00005A64"/>
    <w:rsid w:val="00005F57"/>
    <w:rsid w:val="000062DF"/>
    <w:rsid w:val="00006492"/>
    <w:rsid w:val="00006536"/>
    <w:rsid w:val="0000675C"/>
    <w:rsid w:val="00006D27"/>
    <w:rsid w:val="00006E0F"/>
    <w:rsid w:val="00007069"/>
    <w:rsid w:val="00007221"/>
    <w:rsid w:val="00007A39"/>
    <w:rsid w:val="0001044A"/>
    <w:rsid w:val="00010496"/>
    <w:rsid w:val="000106F2"/>
    <w:rsid w:val="00010C58"/>
    <w:rsid w:val="00010C64"/>
    <w:rsid w:val="00010E98"/>
    <w:rsid w:val="000112F3"/>
    <w:rsid w:val="000120C8"/>
    <w:rsid w:val="0001212F"/>
    <w:rsid w:val="0001237F"/>
    <w:rsid w:val="00013431"/>
    <w:rsid w:val="00013A94"/>
    <w:rsid w:val="00013EEA"/>
    <w:rsid w:val="00013F50"/>
    <w:rsid w:val="0001400F"/>
    <w:rsid w:val="000144DF"/>
    <w:rsid w:val="000144EC"/>
    <w:rsid w:val="0001450B"/>
    <w:rsid w:val="000147F2"/>
    <w:rsid w:val="0001481D"/>
    <w:rsid w:val="000152AA"/>
    <w:rsid w:val="00015BB3"/>
    <w:rsid w:val="00015DE7"/>
    <w:rsid w:val="0001615D"/>
    <w:rsid w:val="0001696E"/>
    <w:rsid w:val="000169AD"/>
    <w:rsid w:val="00016D0F"/>
    <w:rsid w:val="000170CA"/>
    <w:rsid w:val="0001725B"/>
    <w:rsid w:val="0001725D"/>
    <w:rsid w:val="00017B25"/>
    <w:rsid w:val="00017EBA"/>
    <w:rsid w:val="0002010F"/>
    <w:rsid w:val="00020131"/>
    <w:rsid w:val="000201F5"/>
    <w:rsid w:val="00020225"/>
    <w:rsid w:val="00020384"/>
    <w:rsid w:val="0002055B"/>
    <w:rsid w:val="0002076F"/>
    <w:rsid w:val="000207A3"/>
    <w:rsid w:val="00020E40"/>
    <w:rsid w:val="0002129D"/>
    <w:rsid w:val="000217BC"/>
    <w:rsid w:val="00021A67"/>
    <w:rsid w:val="00022191"/>
    <w:rsid w:val="00022370"/>
    <w:rsid w:val="000224AC"/>
    <w:rsid w:val="00022A03"/>
    <w:rsid w:val="00023827"/>
    <w:rsid w:val="00023C00"/>
    <w:rsid w:val="000241C0"/>
    <w:rsid w:val="0002433D"/>
    <w:rsid w:val="0002438F"/>
    <w:rsid w:val="0002475E"/>
    <w:rsid w:val="00024CF6"/>
    <w:rsid w:val="00025087"/>
    <w:rsid w:val="0002554F"/>
    <w:rsid w:val="00025740"/>
    <w:rsid w:val="000257EE"/>
    <w:rsid w:val="00025B00"/>
    <w:rsid w:val="00025C18"/>
    <w:rsid w:val="00025DE0"/>
    <w:rsid w:val="00025E18"/>
    <w:rsid w:val="00026073"/>
    <w:rsid w:val="00026202"/>
    <w:rsid w:val="0002654D"/>
    <w:rsid w:val="00026D05"/>
    <w:rsid w:val="000273F6"/>
    <w:rsid w:val="00027966"/>
    <w:rsid w:val="000279D1"/>
    <w:rsid w:val="00027B97"/>
    <w:rsid w:val="00027D51"/>
    <w:rsid w:val="00027DBB"/>
    <w:rsid w:val="000309D8"/>
    <w:rsid w:val="000309EE"/>
    <w:rsid w:val="00030E28"/>
    <w:rsid w:val="0003109D"/>
    <w:rsid w:val="00031499"/>
    <w:rsid w:val="00031682"/>
    <w:rsid w:val="00031F0E"/>
    <w:rsid w:val="00032079"/>
    <w:rsid w:val="0003207C"/>
    <w:rsid w:val="000322DA"/>
    <w:rsid w:val="00032FFA"/>
    <w:rsid w:val="00033964"/>
    <w:rsid w:val="00033A4F"/>
    <w:rsid w:val="00033F7C"/>
    <w:rsid w:val="0003445F"/>
    <w:rsid w:val="000345EC"/>
    <w:rsid w:val="0003469F"/>
    <w:rsid w:val="000347BE"/>
    <w:rsid w:val="000347F4"/>
    <w:rsid w:val="00034BB2"/>
    <w:rsid w:val="000350B2"/>
    <w:rsid w:val="00035475"/>
    <w:rsid w:val="0003553C"/>
    <w:rsid w:val="00035A7C"/>
    <w:rsid w:val="00035B0F"/>
    <w:rsid w:val="00035CEE"/>
    <w:rsid w:val="00035DC8"/>
    <w:rsid w:val="00036421"/>
    <w:rsid w:val="0003676C"/>
    <w:rsid w:val="00036BFA"/>
    <w:rsid w:val="00036C8F"/>
    <w:rsid w:val="00036D3E"/>
    <w:rsid w:val="00036DBA"/>
    <w:rsid w:val="000371C5"/>
    <w:rsid w:val="00037239"/>
    <w:rsid w:val="0003792A"/>
    <w:rsid w:val="0003796E"/>
    <w:rsid w:val="00037AAF"/>
    <w:rsid w:val="00037D61"/>
    <w:rsid w:val="00040088"/>
    <w:rsid w:val="000400B8"/>
    <w:rsid w:val="0004073C"/>
    <w:rsid w:val="000408C6"/>
    <w:rsid w:val="00040933"/>
    <w:rsid w:val="00040EAF"/>
    <w:rsid w:val="00040EEC"/>
    <w:rsid w:val="000411F9"/>
    <w:rsid w:val="000411FA"/>
    <w:rsid w:val="0004168A"/>
    <w:rsid w:val="0004236F"/>
    <w:rsid w:val="00042895"/>
    <w:rsid w:val="000430B1"/>
    <w:rsid w:val="0004313C"/>
    <w:rsid w:val="000436C5"/>
    <w:rsid w:val="00043A87"/>
    <w:rsid w:val="00043E8B"/>
    <w:rsid w:val="0004421D"/>
    <w:rsid w:val="00044283"/>
    <w:rsid w:val="000445FD"/>
    <w:rsid w:val="00044691"/>
    <w:rsid w:val="00044FD6"/>
    <w:rsid w:val="000457EE"/>
    <w:rsid w:val="00045A1E"/>
    <w:rsid w:val="00045ABD"/>
    <w:rsid w:val="0004613E"/>
    <w:rsid w:val="0004632A"/>
    <w:rsid w:val="000464A4"/>
    <w:rsid w:val="000466AC"/>
    <w:rsid w:val="00046BE1"/>
    <w:rsid w:val="000472DB"/>
    <w:rsid w:val="0004744F"/>
    <w:rsid w:val="00047B5A"/>
    <w:rsid w:val="0005019F"/>
    <w:rsid w:val="00050343"/>
    <w:rsid w:val="00050418"/>
    <w:rsid w:val="000508C4"/>
    <w:rsid w:val="00050D5A"/>
    <w:rsid w:val="00050F88"/>
    <w:rsid w:val="00051038"/>
    <w:rsid w:val="0005104B"/>
    <w:rsid w:val="00051555"/>
    <w:rsid w:val="0005169F"/>
    <w:rsid w:val="000516ED"/>
    <w:rsid w:val="000517EB"/>
    <w:rsid w:val="0005180B"/>
    <w:rsid w:val="00051AAF"/>
    <w:rsid w:val="00051FF8"/>
    <w:rsid w:val="0005262C"/>
    <w:rsid w:val="00052AAB"/>
    <w:rsid w:val="00053F95"/>
    <w:rsid w:val="00054055"/>
    <w:rsid w:val="000541B3"/>
    <w:rsid w:val="000545AE"/>
    <w:rsid w:val="000549DC"/>
    <w:rsid w:val="00054C08"/>
    <w:rsid w:val="00054D5B"/>
    <w:rsid w:val="00054EF0"/>
    <w:rsid w:val="00055276"/>
    <w:rsid w:val="000559DE"/>
    <w:rsid w:val="00056247"/>
    <w:rsid w:val="00056547"/>
    <w:rsid w:val="0005659D"/>
    <w:rsid w:val="000565F9"/>
    <w:rsid w:val="000569F3"/>
    <w:rsid w:val="00056ACD"/>
    <w:rsid w:val="000574D3"/>
    <w:rsid w:val="000575D8"/>
    <w:rsid w:val="00057ADD"/>
    <w:rsid w:val="00060412"/>
    <w:rsid w:val="00060534"/>
    <w:rsid w:val="00061337"/>
    <w:rsid w:val="000618FB"/>
    <w:rsid w:val="00061B2F"/>
    <w:rsid w:val="00061CFD"/>
    <w:rsid w:val="0006229D"/>
    <w:rsid w:val="00062B0C"/>
    <w:rsid w:val="00062CD1"/>
    <w:rsid w:val="000630CA"/>
    <w:rsid w:val="000631A3"/>
    <w:rsid w:val="000632BE"/>
    <w:rsid w:val="00063A25"/>
    <w:rsid w:val="00063B70"/>
    <w:rsid w:val="00063EAD"/>
    <w:rsid w:val="00063F5A"/>
    <w:rsid w:val="00064668"/>
    <w:rsid w:val="00064A6D"/>
    <w:rsid w:val="0006560A"/>
    <w:rsid w:val="00065822"/>
    <w:rsid w:val="00066051"/>
    <w:rsid w:val="0006640B"/>
    <w:rsid w:val="0006653D"/>
    <w:rsid w:val="000668F0"/>
    <w:rsid w:val="0006695E"/>
    <w:rsid w:val="0007007F"/>
    <w:rsid w:val="000702A3"/>
    <w:rsid w:val="000703CB"/>
    <w:rsid w:val="000704B0"/>
    <w:rsid w:val="00070C0B"/>
    <w:rsid w:val="00070CF7"/>
    <w:rsid w:val="00070CFA"/>
    <w:rsid w:val="00070DF6"/>
    <w:rsid w:val="000714D8"/>
    <w:rsid w:val="0007157F"/>
    <w:rsid w:val="00071EFB"/>
    <w:rsid w:val="000723FF"/>
    <w:rsid w:val="000726B6"/>
    <w:rsid w:val="00072797"/>
    <w:rsid w:val="000727D8"/>
    <w:rsid w:val="0007287E"/>
    <w:rsid w:val="0007291B"/>
    <w:rsid w:val="00072C46"/>
    <w:rsid w:val="00072E99"/>
    <w:rsid w:val="00075230"/>
    <w:rsid w:val="00075627"/>
    <w:rsid w:val="000757C3"/>
    <w:rsid w:val="00075CB0"/>
    <w:rsid w:val="00076108"/>
    <w:rsid w:val="0007618A"/>
    <w:rsid w:val="000761DE"/>
    <w:rsid w:val="000762E6"/>
    <w:rsid w:val="00076561"/>
    <w:rsid w:val="00076A61"/>
    <w:rsid w:val="00076AEB"/>
    <w:rsid w:val="00076B06"/>
    <w:rsid w:val="00076CFE"/>
    <w:rsid w:val="00076E3F"/>
    <w:rsid w:val="000771AF"/>
    <w:rsid w:val="0007753A"/>
    <w:rsid w:val="000775A7"/>
    <w:rsid w:val="00077752"/>
    <w:rsid w:val="0007797D"/>
    <w:rsid w:val="00077CA3"/>
    <w:rsid w:val="00080131"/>
    <w:rsid w:val="00080280"/>
    <w:rsid w:val="000802D7"/>
    <w:rsid w:val="0008035C"/>
    <w:rsid w:val="00080542"/>
    <w:rsid w:val="00080C8F"/>
    <w:rsid w:val="00080EE8"/>
    <w:rsid w:val="000811B0"/>
    <w:rsid w:val="00081A57"/>
    <w:rsid w:val="00081A67"/>
    <w:rsid w:val="00082F1B"/>
    <w:rsid w:val="0008312C"/>
    <w:rsid w:val="00083B05"/>
    <w:rsid w:val="00083D19"/>
    <w:rsid w:val="00083EFC"/>
    <w:rsid w:val="00084129"/>
    <w:rsid w:val="000842CD"/>
    <w:rsid w:val="00084C0C"/>
    <w:rsid w:val="00084E06"/>
    <w:rsid w:val="00085078"/>
    <w:rsid w:val="00085520"/>
    <w:rsid w:val="000856A0"/>
    <w:rsid w:val="00085E55"/>
    <w:rsid w:val="000862D1"/>
    <w:rsid w:val="00086F93"/>
    <w:rsid w:val="00087BF5"/>
    <w:rsid w:val="00087F13"/>
    <w:rsid w:val="00090071"/>
    <w:rsid w:val="0009053C"/>
    <w:rsid w:val="00090897"/>
    <w:rsid w:val="00090C49"/>
    <w:rsid w:val="00090D0B"/>
    <w:rsid w:val="000913BF"/>
    <w:rsid w:val="00091661"/>
    <w:rsid w:val="00091E20"/>
    <w:rsid w:val="000923DE"/>
    <w:rsid w:val="000923F4"/>
    <w:rsid w:val="00092A1B"/>
    <w:rsid w:val="00093112"/>
    <w:rsid w:val="00093221"/>
    <w:rsid w:val="00093490"/>
    <w:rsid w:val="000936EF"/>
    <w:rsid w:val="000939F1"/>
    <w:rsid w:val="0009402D"/>
    <w:rsid w:val="00094277"/>
    <w:rsid w:val="00094559"/>
    <w:rsid w:val="0009497F"/>
    <w:rsid w:val="000949A7"/>
    <w:rsid w:val="000952DB"/>
    <w:rsid w:val="0009585A"/>
    <w:rsid w:val="00095C9B"/>
    <w:rsid w:val="00095E19"/>
    <w:rsid w:val="00095F0B"/>
    <w:rsid w:val="00096AAA"/>
    <w:rsid w:val="00096AD7"/>
    <w:rsid w:val="00097580"/>
    <w:rsid w:val="000A0432"/>
    <w:rsid w:val="000A0A1C"/>
    <w:rsid w:val="000A0A32"/>
    <w:rsid w:val="000A0D0D"/>
    <w:rsid w:val="000A0F1F"/>
    <w:rsid w:val="000A108C"/>
    <w:rsid w:val="000A121E"/>
    <w:rsid w:val="000A1720"/>
    <w:rsid w:val="000A19F7"/>
    <w:rsid w:val="000A1E3D"/>
    <w:rsid w:val="000A1EA7"/>
    <w:rsid w:val="000A2961"/>
    <w:rsid w:val="000A2AAD"/>
    <w:rsid w:val="000A2D43"/>
    <w:rsid w:val="000A325D"/>
    <w:rsid w:val="000A3466"/>
    <w:rsid w:val="000A389D"/>
    <w:rsid w:val="000A39F0"/>
    <w:rsid w:val="000A3A68"/>
    <w:rsid w:val="000A3A7E"/>
    <w:rsid w:val="000A3E7F"/>
    <w:rsid w:val="000A3FF9"/>
    <w:rsid w:val="000A40EF"/>
    <w:rsid w:val="000A44B8"/>
    <w:rsid w:val="000A48EE"/>
    <w:rsid w:val="000A4E33"/>
    <w:rsid w:val="000A51EB"/>
    <w:rsid w:val="000A5444"/>
    <w:rsid w:val="000A54FB"/>
    <w:rsid w:val="000A5944"/>
    <w:rsid w:val="000A5D53"/>
    <w:rsid w:val="000A5E4C"/>
    <w:rsid w:val="000A5FAD"/>
    <w:rsid w:val="000A60BB"/>
    <w:rsid w:val="000A6E12"/>
    <w:rsid w:val="000A6E1A"/>
    <w:rsid w:val="000A76DF"/>
    <w:rsid w:val="000A7CC7"/>
    <w:rsid w:val="000A7D26"/>
    <w:rsid w:val="000B00DF"/>
    <w:rsid w:val="000B0192"/>
    <w:rsid w:val="000B019A"/>
    <w:rsid w:val="000B0329"/>
    <w:rsid w:val="000B042E"/>
    <w:rsid w:val="000B0449"/>
    <w:rsid w:val="000B0562"/>
    <w:rsid w:val="000B0F1C"/>
    <w:rsid w:val="000B1310"/>
    <w:rsid w:val="000B1A59"/>
    <w:rsid w:val="000B1ABA"/>
    <w:rsid w:val="000B2795"/>
    <w:rsid w:val="000B2898"/>
    <w:rsid w:val="000B2B17"/>
    <w:rsid w:val="000B32C5"/>
    <w:rsid w:val="000B3B1C"/>
    <w:rsid w:val="000B3EF0"/>
    <w:rsid w:val="000B3F17"/>
    <w:rsid w:val="000B4959"/>
    <w:rsid w:val="000B568D"/>
    <w:rsid w:val="000B59A0"/>
    <w:rsid w:val="000B5C41"/>
    <w:rsid w:val="000B688E"/>
    <w:rsid w:val="000B6E58"/>
    <w:rsid w:val="000B7051"/>
    <w:rsid w:val="000B7AF0"/>
    <w:rsid w:val="000C0345"/>
    <w:rsid w:val="000C0ABC"/>
    <w:rsid w:val="000C0BFA"/>
    <w:rsid w:val="000C0D8F"/>
    <w:rsid w:val="000C1986"/>
    <w:rsid w:val="000C2055"/>
    <w:rsid w:val="000C29EA"/>
    <w:rsid w:val="000C2DF8"/>
    <w:rsid w:val="000C2EE4"/>
    <w:rsid w:val="000C3305"/>
    <w:rsid w:val="000C3979"/>
    <w:rsid w:val="000C3F12"/>
    <w:rsid w:val="000C4404"/>
    <w:rsid w:val="000C47A3"/>
    <w:rsid w:val="000C4C3B"/>
    <w:rsid w:val="000C4CEE"/>
    <w:rsid w:val="000C4E18"/>
    <w:rsid w:val="000C4E25"/>
    <w:rsid w:val="000C51AD"/>
    <w:rsid w:val="000C5484"/>
    <w:rsid w:val="000C569B"/>
    <w:rsid w:val="000C5D7F"/>
    <w:rsid w:val="000C5DAC"/>
    <w:rsid w:val="000C65BE"/>
    <w:rsid w:val="000C6BB5"/>
    <w:rsid w:val="000C702D"/>
    <w:rsid w:val="000C7179"/>
    <w:rsid w:val="000C75DD"/>
    <w:rsid w:val="000D03C5"/>
    <w:rsid w:val="000D06C2"/>
    <w:rsid w:val="000D0BEC"/>
    <w:rsid w:val="000D0DE1"/>
    <w:rsid w:val="000D117D"/>
    <w:rsid w:val="000D123E"/>
    <w:rsid w:val="000D188A"/>
    <w:rsid w:val="000D1C11"/>
    <w:rsid w:val="000D2126"/>
    <w:rsid w:val="000D23E7"/>
    <w:rsid w:val="000D28EC"/>
    <w:rsid w:val="000D2B7A"/>
    <w:rsid w:val="000D3058"/>
    <w:rsid w:val="000D30C9"/>
    <w:rsid w:val="000D3889"/>
    <w:rsid w:val="000D3898"/>
    <w:rsid w:val="000D3B7C"/>
    <w:rsid w:val="000D3C02"/>
    <w:rsid w:val="000D4486"/>
    <w:rsid w:val="000D4731"/>
    <w:rsid w:val="000D4B86"/>
    <w:rsid w:val="000D4F50"/>
    <w:rsid w:val="000D52F0"/>
    <w:rsid w:val="000D56A3"/>
    <w:rsid w:val="000D5FEB"/>
    <w:rsid w:val="000D64BA"/>
    <w:rsid w:val="000D6711"/>
    <w:rsid w:val="000D6D01"/>
    <w:rsid w:val="000D6FFA"/>
    <w:rsid w:val="000D709E"/>
    <w:rsid w:val="000D7324"/>
    <w:rsid w:val="000D768C"/>
    <w:rsid w:val="000D7C3F"/>
    <w:rsid w:val="000D7DFA"/>
    <w:rsid w:val="000E0EA6"/>
    <w:rsid w:val="000E1172"/>
    <w:rsid w:val="000E1558"/>
    <w:rsid w:val="000E1583"/>
    <w:rsid w:val="000E1F6F"/>
    <w:rsid w:val="000E20EE"/>
    <w:rsid w:val="000E213D"/>
    <w:rsid w:val="000E2241"/>
    <w:rsid w:val="000E25B7"/>
    <w:rsid w:val="000E2652"/>
    <w:rsid w:val="000E2F2C"/>
    <w:rsid w:val="000E2F52"/>
    <w:rsid w:val="000E2F67"/>
    <w:rsid w:val="000E318C"/>
    <w:rsid w:val="000E321C"/>
    <w:rsid w:val="000E35E7"/>
    <w:rsid w:val="000E3C52"/>
    <w:rsid w:val="000E3CB0"/>
    <w:rsid w:val="000E3DB8"/>
    <w:rsid w:val="000E4F4B"/>
    <w:rsid w:val="000E522C"/>
    <w:rsid w:val="000E5A1E"/>
    <w:rsid w:val="000E5D26"/>
    <w:rsid w:val="000E5E9C"/>
    <w:rsid w:val="000E60F2"/>
    <w:rsid w:val="000E6592"/>
    <w:rsid w:val="000E6934"/>
    <w:rsid w:val="000E6DD6"/>
    <w:rsid w:val="000E6E03"/>
    <w:rsid w:val="000E7A40"/>
    <w:rsid w:val="000E7B30"/>
    <w:rsid w:val="000E7BB1"/>
    <w:rsid w:val="000E7F57"/>
    <w:rsid w:val="000E7FC2"/>
    <w:rsid w:val="000E7FE9"/>
    <w:rsid w:val="000F0074"/>
    <w:rsid w:val="000F0329"/>
    <w:rsid w:val="000F04DA"/>
    <w:rsid w:val="000F0820"/>
    <w:rsid w:val="000F0B1D"/>
    <w:rsid w:val="000F1358"/>
    <w:rsid w:val="000F143C"/>
    <w:rsid w:val="000F1AFB"/>
    <w:rsid w:val="000F1CCC"/>
    <w:rsid w:val="000F1F49"/>
    <w:rsid w:val="000F2606"/>
    <w:rsid w:val="000F276B"/>
    <w:rsid w:val="000F2C19"/>
    <w:rsid w:val="000F341C"/>
    <w:rsid w:val="000F3C52"/>
    <w:rsid w:val="000F3D4A"/>
    <w:rsid w:val="000F3FC8"/>
    <w:rsid w:val="000F4377"/>
    <w:rsid w:val="000F4696"/>
    <w:rsid w:val="000F478F"/>
    <w:rsid w:val="000F48A8"/>
    <w:rsid w:val="000F4D04"/>
    <w:rsid w:val="000F4ED8"/>
    <w:rsid w:val="000F5257"/>
    <w:rsid w:val="000F5D39"/>
    <w:rsid w:val="000F660E"/>
    <w:rsid w:val="000F6A87"/>
    <w:rsid w:val="000F6B96"/>
    <w:rsid w:val="000F727F"/>
    <w:rsid w:val="000F7A1D"/>
    <w:rsid w:val="00100013"/>
    <w:rsid w:val="0010023D"/>
    <w:rsid w:val="00100955"/>
    <w:rsid w:val="00101749"/>
    <w:rsid w:val="00101787"/>
    <w:rsid w:val="00101D61"/>
    <w:rsid w:val="00102912"/>
    <w:rsid w:val="00102C25"/>
    <w:rsid w:val="00102EE3"/>
    <w:rsid w:val="0010325A"/>
    <w:rsid w:val="001037A5"/>
    <w:rsid w:val="001038BE"/>
    <w:rsid w:val="001042FF"/>
    <w:rsid w:val="00104535"/>
    <w:rsid w:val="0010454E"/>
    <w:rsid w:val="00104DAE"/>
    <w:rsid w:val="0010568A"/>
    <w:rsid w:val="00105E1C"/>
    <w:rsid w:val="00105F2C"/>
    <w:rsid w:val="00106C33"/>
    <w:rsid w:val="001076E7"/>
    <w:rsid w:val="0010781F"/>
    <w:rsid w:val="0011051C"/>
    <w:rsid w:val="001106E3"/>
    <w:rsid w:val="00110A3A"/>
    <w:rsid w:val="00110DFC"/>
    <w:rsid w:val="001111B5"/>
    <w:rsid w:val="001116C2"/>
    <w:rsid w:val="00111701"/>
    <w:rsid w:val="001117F2"/>
    <w:rsid w:val="00111D7A"/>
    <w:rsid w:val="00112547"/>
    <w:rsid w:val="0011270D"/>
    <w:rsid w:val="0011289B"/>
    <w:rsid w:val="00113C61"/>
    <w:rsid w:val="00113FA9"/>
    <w:rsid w:val="00114213"/>
    <w:rsid w:val="0011448E"/>
    <w:rsid w:val="001148E8"/>
    <w:rsid w:val="00114B1D"/>
    <w:rsid w:val="00114D65"/>
    <w:rsid w:val="00114DA4"/>
    <w:rsid w:val="00114E19"/>
    <w:rsid w:val="00114E75"/>
    <w:rsid w:val="00114F62"/>
    <w:rsid w:val="001150AF"/>
    <w:rsid w:val="00115558"/>
    <w:rsid w:val="001156A5"/>
    <w:rsid w:val="00115750"/>
    <w:rsid w:val="00115A60"/>
    <w:rsid w:val="00115D6B"/>
    <w:rsid w:val="001168D2"/>
    <w:rsid w:val="00116C89"/>
    <w:rsid w:val="001170F6"/>
    <w:rsid w:val="00117118"/>
    <w:rsid w:val="0011763A"/>
    <w:rsid w:val="00117A29"/>
    <w:rsid w:val="00117A3D"/>
    <w:rsid w:val="00117AA0"/>
    <w:rsid w:val="001205D1"/>
    <w:rsid w:val="00120ECE"/>
    <w:rsid w:val="00121010"/>
    <w:rsid w:val="00121671"/>
    <w:rsid w:val="0012211F"/>
    <w:rsid w:val="00122183"/>
    <w:rsid w:val="00122272"/>
    <w:rsid w:val="00122CE2"/>
    <w:rsid w:val="00122E3A"/>
    <w:rsid w:val="00122E9F"/>
    <w:rsid w:val="00123735"/>
    <w:rsid w:val="0012380E"/>
    <w:rsid w:val="00123CE7"/>
    <w:rsid w:val="0012408F"/>
    <w:rsid w:val="0012499B"/>
    <w:rsid w:val="00125050"/>
    <w:rsid w:val="001254D7"/>
    <w:rsid w:val="00125888"/>
    <w:rsid w:val="00125982"/>
    <w:rsid w:val="00125DAC"/>
    <w:rsid w:val="00125F16"/>
    <w:rsid w:val="001266F3"/>
    <w:rsid w:val="00126719"/>
    <w:rsid w:val="00127336"/>
    <w:rsid w:val="001274D5"/>
    <w:rsid w:val="0012750D"/>
    <w:rsid w:val="0013024E"/>
    <w:rsid w:val="001310BB"/>
    <w:rsid w:val="00131343"/>
    <w:rsid w:val="0013142A"/>
    <w:rsid w:val="0013178B"/>
    <w:rsid w:val="00131BB8"/>
    <w:rsid w:val="0013223B"/>
    <w:rsid w:val="001322FE"/>
    <w:rsid w:val="00132A1E"/>
    <w:rsid w:val="00132F51"/>
    <w:rsid w:val="00133298"/>
    <w:rsid w:val="0013343B"/>
    <w:rsid w:val="00133554"/>
    <w:rsid w:val="00133860"/>
    <w:rsid w:val="001344DB"/>
    <w:rsid w:val="00134877"/>
    <w:rsid w:val="00134904"/>
    <w:rsid w:val="00134907"/>
    <w:rsid w:val="00134E64"/>
    <w:rsid w:val="00134F1E"/>
    <w:rsid w:val="00135015"/>
    <w:rsid w:val="0013536E"/>
    <w:rsid w:val="00135EB3"/>
    <w:rsid w:val="00135F4B"/>
    <w:rsid w:val="00135F72"/>
    <w:rsid w:val="00136355"/>
    <w:rsid w:val="001363E0"/>
    <w:rsid w:val="00136AC0"/>
    <w:rsid w:val="00136D6E"/>
    <w:rsid w:val="00136FAE"/>
    <w:rsid w:val="001374EF"/>
    <w:rsid w:val="00137C5B"/>
    <w:rsid w:val="00137D20"/>
    <w:rsid w:val="00137EB4"/>
    <w:rsid w:val="0014025A"/>
    <w:rsid w:val="00140367"/>
    <w:rsid w:val="001405C4"/>
    <w:rsid w:val="00141006"/>
    <w:rsid w:val="001419C7"/>
    <w:rsid w:val="00141B92"/>
    <w:rsid w:val="00141E37"/>
    <w:rsid w:val="00141F64"/>
    <w:rsid w:val="001420BA"/>
    <w:rsid w:val="00142231"/>
    <w:rsid w:val="0014270A"/>
    <w:rsid w:val="00142E99"/>
    <w:rsid w:val="0014311A"/>
    <w:rsid w:val="00143B59"/>
    <w:rsid w:val="00143F31"/>
    <w:rsid w:val="00143FC5"/>
    <w:rsid w:val="00144771"/>
    <w:rsid w:val="00144E12"/>
    <w:rsid w:val="00144FCF"/>
    <w:rsid w:val="00145393"/>
    <w:rsid w:val="0014551F"/>
    <w:rsid w:val="001455A8"/>
    <w:rsid w:val="001455FB"/>
    <w:rsid w:val="0014573C"/>
    <w:rsid w:val="00145859"/>
    <w:rsid w:val="00145B8F"/>
    <w:rsid w:val="00145CE0"/>
    <w:rsid w:val="00145DFA"/>
    <w:rsid w:val="00145FFD"/>
    <w:rsid w:val="001461CF"/>
    <w:rsid w:val="00146677"/>
    <w:rsid w:val="001467AF"/>
    <w:rsid w:val="00146853"/>
    <w:rsid w:val="00146923"/>
    <w:rsid w:val="00146AA5"/>
    <w:rsid w:val="0014716B"/>
    <w:rsid w:val="0014770B"/>
    <w:rsid w:val="00147BB0"/>
    <w:rsid w:val="00147F82"/>
    <w:rsid w:val="00150579"/>
    <w:rsid w:val="00150A28"/>
    <w:rsid w:val="00151537"/>
    <w:rsid w:val="00151702"/>
    <w:rsid w:val="0015183D"/>
    <w:rsid w:val="00151891"/>
    <w:rsid w:val="00151AB5"/>
    <w:rsid w:val="00151B85"/>
    <w:rsid w:val="00151C37"/>
    <w:rsid w:val="00152126"/>
    <w:rsid w:val="00152316"/>
    <w:rsid w:val="0015254F"/>
    <w:rsid w:val="00152AC2"/>
    <w:rsid w:val="00152CA1"/>
    <w:rsid w:val="0015350F"/>
    <w:rsid w:val="001537CA"/>
    <w:rsid w:val="00153940"/>
    <w:rsid w:val="00153E90"/>
    <w:rsid w:val="00153EC3"/>
    <w:rsid w:val="0015443E"/>
    <w:rsid w:val="00154B53"/>
    <w:rsid w:val="001559E6"/>
    <w:rsid w:val="00155DFC"/>
    <w:rsid w:val="00156034"/>
    <w:rsid w:val="0015606B"/>
    <w:rsid w:val="001562AF"/>
    <w:rsid w:val="001566EA"/>
    <w:rsid w:val="001567D6"/>
    <w:rsid w:val="00156839"/>
    <w:rsid w:val="001569AD"/>
    <w:rsid w:val="00156F5B"/>
    <w:rsid w:val="00157A4F"/>
    <w:rsid w:val="00160245"/>
    <w:rsid w:val="001605BF"/>
    <w:rsid w:val="0016099A"/>
    <w:rsid w:val="00160B32"/>
    <w:rsid w:val="0016157B"/>
    <w:rsid w:val="001615DA"/>
    <w:rsid w:val="0016164D"/>
    <w:rsid w:val="00161775"/>
    <w:rsid w:val="00161AB4"/>
    <w:rsid w:val="00162123"/>
    <w:rsid w:val="0016233F"/>
    <w:rsid w:val="001623B0"/>
    <w:rsid w:val="001625F4"/>
    <w:rsid w:val="00162DCE"/>
    <w:rsid w:val="001630B6"/>
    <w:rsid w:val="001631D4"/>
    <w:rsid w:val="0016339A"/>
    <w:rsid w:val="001636CC"/>
    <w:rsid w:val="001636E3"/>
    <w:rsid w:val="00163818"/>
    <w:rsid w:val="00163887"/>
    <w:rsid w:val="00163AA3"/>
    <w:rsid w:val="00163D62"/>
    <w:rsid w:val="0016441A"/>
    <w:rsid w:val="00164D5F"/>
    <w:rsid w:val="00164E27"/>
    <w:rsid w:val="0016529D"/>
    <w:rsid w:val="00165315"/>
    <w:rsid w:val="00165681"/>
    <w:rsid w:val="00165D37"/>
    <w:rsid w:val="00166054"/>
    <w:rsid w:val="001661A4"/>
    <w:rsid w:val="0016633F"/>
    <w:rsid w:val="00166CEE"/>
    <w:rsid w:val="00166CFA"/>
    <w:rsid w:val="00167073"/>
    <w:rsid w:val="00167330"/>
    <w:rsid w:val="00167339"/>
    <w:rsid w:val="0016746A"/>
    <w:rsid w:val="0016764D"/>
    <w:rsid w:val="0016799A"/>
    <w:rsid w:val="00167EE8"/>
    <w:rsid w:val="001702CC"/>
    <w:rsid w:val="0017050D"/>
    <w:rsid w:val="00170587"/>
    <w:rsid w:val="001709D7"/>
    <w:rsid w:val="00170B8B"/>
    <w:rsid w:val="00170F6A"/>
    <w:rsid w:val="001712FF"/>
    <w:rsid w:val="0017137F"/>
    <w:rsid w:val="00171720"/>
    <w:rsid w:val="00171B3B"/>
    <w:rsid w:val="00171E44"/>
    <w:rsid w:val="00172A98"/>
    <w:rsid w:val="001731C0"/>
    <w:rsid w:val="00173523"/>
    <w:rsid w:val="001738E6"/>
    <w:rsid w:val="00173A3E"/>
    <w:rsid w:val="00173CE7"/>
    <w:rsid w:val="001744FB"/>
    <w:rsid w:val="00174563"/>
    <w:rsid w:val="00174568"/>
    <w:rsid w:val="0017490B"/>
    <w:rsid w:val="00174C04"/>
    <w:rsid w:val="00174D7E"/>
    <w:rsid w:val="001758EB"/>
    <w:rsid w:val="00175F17"/>
    <w:rsid w:val="00175FE9"/>
    <w:rsid w:val="0017623E"/>
    <w:rsid w:val="0017647B"/>
    <w:rsid w:val="00176A4C"/>
    <w:rsid w:val="00176A69"/>
    <w:rsid w:val="00176D51"/>
    <w:rsid w:val="00176E6D"/>
    <w:rsid w:val="00176EE5"/>
    <w:rsid w:val="001773BD"/>
    <w:rsid w:val="00177654"/>
    <w:rsid w:val="001776A2"/>
    <w:rsid w:val="001778C0"/>
    <w:rsid w:val="0017797C"/>
    <w:rsid w:val="001800D0"/>
    <w:rsid w:val="001811CE"/>
    <w:rsid w:val="00181F5A"/>
    <w:rsid w:val="00182E10"/>
    <w:rsid w:val="001831AE"/>
    <w:rsid w:val="001832F7"/>
    <w:rsid w:val="001835EA"/>
    <w:rsid w:val="001838CE"/>
    <w:rsid w:val="00183931"/>
    <w:rsid w:val="0018397F"/>
    <w:rsid w:val="00183B26"/>
    <w:rsid w:val="00183C68"/>
    <w:rsid w:val="00183FD3"/>
    <w:rsid w:val="001842D2"/>
    <w:rsid w:val="00184990"/>
    <w:rsid w:val="00184EC8"/>
    <w:rsid w:val="0018512F"/>
    <w:rsid w:val="0018561F"/>
    <w:rsid w:val="0018586A"/>
    <w:rsid w:val="00185B76"/>
    <w:rsid w:val="0018613D"/>
    <w:rsid w:val="0018639F"/>
    <w:rsid w:val="0018714D"/>
    <w:rsid w:val="001871E7"/>
    <w:rsid w:val="001876B3"/>
    <w:rsid w:val="001878B3"/>
    <w:rsid w:val="00187D80"/>
    <w:rsid w:val="00187F5B"/>
    <w:rsid w:val="001901A0"/>
    <w:rsid w:val="00190519"/>
    <w:rsid w:val="001909B1"/>
    <w:rsid w:val="00190B14"/>
    <w:rsid w:val="00190DE6"/>
    <w:rsid w:val="00190DE9"/>
    <w:rsid w:val="00191B27"/>
    <w:rsid w:val="00191F46"/>
    <w:rsid w:val="00191FBC"/>
    <w:rsid w:val="0019213E"/>
    <w:rsid w:val="00192158"/>
    <w:rsid w:val="0019218B"/>
    <w:rsid w:val="00192480"/>
    <w:rsid w:val="001925C0"/>
    <w:rsid w:val="00192BFD"/>
    <w:rsid w:val="00192F15"/>
    <w:rsid w:val="001936FD"/>
    <w:rsid w:val="00193DF4"/>
    <w:rsid w:val="001942CA"/>
    <w:rsid w:val="00194768"/>
    <w:rsid w:val="00194929"/>
    <w:rsid w:val="00194EB4"/>
    <w:rsid w:val="00195122"/>
    <w:rsid w:val="001955B6"/>
    <w:rsid w:val="001957E5"/>
    <w:rsid w:val="00195870"/>
    <w:rsid w:val="00195C3C"/>
    <w:rsid w:val="00195F6B"/>
    <w:rsid w:val="001960E7"/>
    <w:rsid w:val="001966D9"/>
    <w:rsid w:val="00197150"/>
    <w:rsid w:val="0019722C"/>
    <w:rsid w:val="0019754D"/>
    <w:rsid w:val="00197992"/>
    <w:rsid w:val="001979FE"/>
    <w:rsid w:val="001A0496"/>
    <w:rsid w:val="001A07D7"/>
    <w:rsid w:val="001A1541"/>
    <w:rsid w:val="001A165F"/>
    <w:rsid w:val="001A1892"/>
    <w:rsid w:val="001A18AE"/>
    <w:rsid w:val="001A1A9C"/>
    <w:rsid w:val="001A1DD2"/>
    <w:rsid w:val="001A1EAA"/>
    <w:rsid w:val="001A22D2"/>
    <w:rsid w:val="001A26FA"/>
    <w:rsid w:val="001A2855"/>
    <w:rsid w:val="001A2A8B"/>
    <w:rsid w:val="001A31C1"/>
    <w:rsid w:val="001A41CC"/>
    <w:rsid w:val="001A481A"/>
    <w:rsid w:val="001A49CB"/>
    <w:rsid w:val="001A50BA"/>
    <w:rsid w:val="001A54CE"/>
    <w:rsid w:val="001A569F"/>
    <w:rsid w:val="001A5879"/>
    <w:rsid w:val="001A5C86"/>
    <w:rsid w:val="001A5EA9"/>
    <w:rsid w:val="001A5F7D"/>
    <w:rsid w:val="001A616B"/>
    <w:rsid w:val="001A64A9"/>
    <w:rsid w:val="001A6624"/>
    <w:rsid w:val="001A69C2"/>
    <w:rsid w:val="001A69E2"/>
    <w:rsid w:val="001A6A5D"/>
    <w:rsid w:val="001A6CB7"/>
    <w:rsid w:val="001A704E"/>
    <w:rsid w:val="001A75C7"/>
    <w:rsid w:val="001A763C"/>
    <w:rsid w:val="001A7852"/>
    <w:rsid w:val="001A7952"/>
    <w:rsid w:val="001A7B80"/>
    <w:rsid w:val="001A7FF1"/>
    <w:rsid w:val="001B007C"/>
    <w:rsid w:val="001B021B"/>
    <w:rsid w:val="001B025B"/>
    <w:rsid w:val="001B0330"/>
    <w:rsid w:val="001B03B9"/>
    <w:rsid w:val="001B057B"/>
    <w:rsid w:val="001B062C"/>
    <w:rsid w:val="001B087D"/>
    <w:rsid w:val="001B08B4"/>
    <w:rsid w:val="001B0B09"/>
    <w:rsid w:val="001B0E03"/>
    <w:rsid w:val="001B1741"/>
    <w:rsid w:val="001B1B0C"/>
    <w:rsid w:val="001B1C82"/>
    <w:rsid w:val="001B1D21"/>
    <w:rsid w:val="001B1EEC"/>
    <w:rsid w:val="001B1F60"/>
    <w:rsid w:val="001B22B0"/>
    <w:rsid w:val="001B2991"/>
    <w:rsid w:val="001B299D"/>
    <w:rsid w:val="001B2CE0"/>
    <w:rsid w:val="001B3063"/>
    <w:rsid w:val="001B30D5"/>
    <w:rsid w:val="001B312C"/>
    <w:rsid w:val="001B3409"/>
    <w:rsid w:val="001B3713"/>
    <w:rsid w:val="001B3B2C"/>
    <w:rsid w:val="001B3FFB"/>
    <w:rsid w:val="001B439C"/>
    <w:rsid w:val="001B48DB"/>
    <w:rsid w:val="001B4C56"/>
    <w:rsid w:val="001B4E32"/>
    <w:rsid w:val="001B4EA9"/>
    <w:rsid w:val="001B5A16"/>
    <w:rsid w:val="001B5DB0"/>
    <w:rsid w:val="001B6530"/>
    <w:rsid w:val="001B66FE"/>
    <w:rsid w:val="001B679F"/>
    <w:rsid w:val="001B68AD"/>
    <w:rsid w:val="001B7ECC"/>
    <w:rsid w:val="001C09CF"/>
    <w:rsid w:val="001C0B6C"/>
    <w:rsid w:val="001C0EF2"/>
    <w:rsid w:val="001C1125"/>
    <w:rsid w:val="001C170D"/>
    <w:rsid w:val="001C1DAA"/>
    <w:rsid w:val="001C23C7"/>
    <w:rsid w:val="001C27FB"/>
    <w:rsid w:val="001C2A53"/>
    <w:rsid w:val="001C2D17"/>
    <w:rsid w:val="001C3000"/>
    <w:rsid w:val="001C31A2"/>
    <w:rsid w:val="001C32EC"/>
    <w:rsid w:val="001C383E"/>
    <w:rsid w:val="001C3A36"/>
    <w:rsid w:val="001C3FBE"/>
    <w:rsid w:val="001C5064"/>
    <w:rsid w:val="001C56A4"/>
    <w:rsid w:val="001C5A75"/>
    <w:rsid w:val="001C5F4B"/>
    <w:rsid w:val="001C64D5"/>
    <w:rsid w:val="001C6898"/>
    <w:rsid w:val="001C6C35"/>
    <w:rsid w:val="001C71E3"/>
    <w:rsid w:val="001C7403"/>
    <w:rsid w:val="001C7A45"/>
    <w:rsid w:val="001C7D7E"/>
    <w:rsid w:val="001D0251"/>
    <w:rsid w:val="001D06BC"/>
    <w:rsid w:val="001D0A83"/>
    <w:rsid w:val="001D12B9"/>
    <w:rsid w:val="001D1CDA"/>
    <w:rsid w:val="001D230D"/>
    <w:rsid w:val="001D2353"/>
    <w:rsid w:val="001D25DE"/>
    <w:rsid w:val="001D3CED"/>
    <w:rsid w:val="001D3F5D"/>
    <w:rsid w:val="001D4257"/>
    <w:rsid w:val="001D4369"/>
    <w:rsid w:val="001D4C5D"/>
    <w:rsid w:val="001D52D5"/>
    <w:rsid w:val="001D530C"/>
    <w:rsid w:val="001D53A7"/>
    <w:rsid w:val="001D5432"/>
    <w:rsid w:val="001D5953"/>
    <w:rsid w:val="001D5D06"/>
    <w:rsid w:val="001D5E2A"/>
    <w:rsid w:val="001D64F0"/>
    <w:rsid w:val="001D663C"/>
    <w:rsid w:val="001D6D10"/>
    <w:rsid w:val="001D6DA3"/>
    <w:rsid w:val="001D754B"/>
    <w:rsid w:val="001D7578"/>
    <w:rsid w:val="001D7DBE"/>
    <w:rsid w:val="001D7E28"/>
    <w:rsid w:val="001D7E4B"/>
    <w:rsid w:val="001E0580"/>
    <w:rsid w:val="001E0B84"/>
    <w:rsid w:val="001E0CBA"/>
    <w:rsid w:val="001E0E6E"/>
    <w:rsid w:val="001E12B6"/>
    <w:rsid w:val="001E155D"/>
    <w:rsid w:val="001E2684"/>
    <w:rsid w:val="001E2A52"/>
    <w:rsid w:val="001E2E91"/>
    <w:rsid w:val="001E2EC1"/>
    <w:rsid w:val="001E3017"/>
    <w:rsid w:val="001E4139"/>
    <w:rsid w:val="001E42C9"/>
    <w:rsid w:val="001E43B1"/>
    <w:rsid w:val="001E4679"/>
    <w:rsid w:val="001E49A1"/>
    <w:rsid w:val="001E49CE"/>
    <w:rsid w:val="001E4AA5"/>
    <w:rsid w:val="001E4C61"/>
    <w:rsid w:val="001E5614"/>
    <w:rsid w:val="001E5A8A"/>
    <w:rsid w:val="001E5E53"/>
    <w:rsid w:val="001E6E0B"/>
    <w:rsid w:val="001E73E8"/>
    <w:rsid w:val="001E7A6F"/>
    <w:rsid w:val="001F05EB"/>
    <w:rsid w:val="001F075D"/>
    <w:rsid w:val="001F0BDE"/>
    <w:rsid w:val="001F108A"/>
    <w:rsid w:val="001F145F"/>
    <w:rsid w:val="001F15C5"/>
    <w:rsid w:val="001F1651"/>
    <w:rsid w:val="001F19E2"/>
    <w:rsid w:val="001F1F9A"/>
    <w:rsid w:val="001F2037"/>
    <w:rsid w:val="001F222D"/>
    <w:rsid w:val="001F24DD"/>
    <w:rsid w:val="001F24FC"/>
    <w:rsid w:val="001F3403"/>
    <w:rsid w:val="001F3583"/>
    <w:rsid w:val="001F382D"/>
    <w:rsid w:val="001F3C10"/>
    <w:rsid w:val="001F3E32"/>
    <w:rsid w:val="001F3F4A"/>
    <w:rsid w:val="001F4503"/>
    <w:rsid w:val="001F45BB"/>
    <w:rsid w:val="001F48AD"/>
    <w:rsid w:val="001F495F"/>
    <w:rsid w:val="001F4F62"/>
    <w:rsid w:val="001F4F6A"/>
    <w:rsid w:val="001F5427"/>
    <w:rsid w:val="001F5527"/>
    <w:rsid w:val="001F55A1"/>
    <w:rsid w:val="001F55B5"/>
    <w:rsid w:val="001F5942"/>
    <w:rsid w:val="001F5B07"/>
    <w:rsid w:val="001F5B97"/>
    <w:rsid w:val="001F5C13"/>
    <w:rsid w:val="001F5FD1"/>
    <w:rsid w:val="001F7021"/>
    <w:rsid w:val="001F727E"/>
    <w:rsid w:val="001F7427"/>
    <w:rsid w:val="001F7516"/>
    <w:rsid w:val="001F78F1"/>
    <w:rsid w:val="001F7E0F"/>
    <w:rsid w:val="00200CA1"/>
    <w:rsid w:val="002012F5"/>
    <w:rsid w:val="00201378"/>
    <w:rsid w:val="0020150D"/>
    <w:rsid w:val="0020169C"/>
    <w:rsid w:val="00202478"/>
    <w:rsid w:val="00202C66"/>
    <w:rsid w:val="00202F3F"/>
    <w:rsid w:val="00203000"/>
    <w:rsid w:val="00203101"/>
    <w:rsid w:val="0020329A"/>
    <w:rsid w:val="00203307"/>
    <w:rsid w:val="00203500"/>
    <w:rsid w:val="00203C12"/>
    <w:rsid w:val="00203D35"/>
    <w:rsid w:val="00203F52"/>
    <w:rsid w:val="0020411D"/>
    <w:rsid w:val="0020470A"/>
    <w:rsid w:val="002047D1"/>
    <w:rsid w:val="002055F1"/>
    <w:rsid w:val="002057BA"/>
    <w:rsid w:val="00205A62"/>
    <w:rsid w:val="002061DA"/>
    <w:rsid w:val="002063CD"/>
    <w:rsid w:val="00206838"/>
    <w:rsid w:val="00206AE2"/>
    <w:rsid w:val="00206CB7"/>
    <w:rsid w:val="00206D0D"/>
    <w:rsid w:val="00207442"/>
    <w:rsid w:val="002102DD"/>
    <w:rsid w:val="0021079D"/>
    <w:rsid w:val="00210D12"/>
    <w:rsid w:val="00210FEB"/>
    <w:rsid w:val="00211016"/>
    <w:rsid w:val="00211419"/>
    <w:rsid w:val="0021151D"/>
    <w:rsid w:val="002119BD"/>
    <w:rsid w:val="00211B17"/>
    <w:rsid w:val="00211DD4"/>
    <w:rsid w:val="00211EC6"/>
    <w:rsid w:val="00212745"/>
    <w:rsid w:val="002129CD"/>
    <w:rsid w:val="002129FC"/>
    <w:rsid w:val="00212E14"/>
    <w:rsid w:val="00213123"/>
    <w:rsid w:val="002135E6"/>
    <w:rsid w:val="002137F2"/>
    <w:rsid w:val="00213A87"/>
    <w:rsid w:val="00214152"/>
    <w:rsid w:val="0021415E"/>
    <w:rsid w:val="002142AD"/>
    <w:rsid w:val="002143C7"/>
    <w:rsid w:val="002145AC"/>
    <w:rsid w:val="002146AB"/>
    <w:rsid w:val="00214980"/>
    <w:rsid w:val="00214A79"/>
    <w:rsid w:val="00214B25"/>
    <w:rsid w:val="00215186"/>
    <w:rsid w:val="0021542D"/>
    <w:rsid w:val="002155BB"/>
    <w:rsid w:val="002155D7"/>
    <w:rsid w:val="00215E65"/>
    <w:rsid w:val="00216323"/>
    <w:rsid w:val="002164C0"/>
    <w:rsid w:val="0021665E"/>
    <w:rsid w:val="002166B8"/>
    <w:rsid w:val="00216718"/>
    <w:rsid w:val="0021684B"/>
    <w:rsid w:val="002173C0"/>
    <w:rsid w:val="00217B63"/>
    <w:rsid w:val="00217F12"/>
    <w:rsid w:val="0022012F"/>
    <w:rsid w:val="002201CF"/>
    <w:rsid w:val="00220482"/>
    <w:rsid w:val="00220635"/>
    <w:rsid w:val="00220D22"/>
    <w:rsid w:val="00221257"/>
    <w:rsid w:val="002214D7"/>
    <w:rsid w:val="00221538"/>
    <w:rsid w:val="002216AA"/>
    <w:rsid w:val="0022179F"/>
    <w:rsid w:val="002217CF"/>
    <w:rsid w:val="00221A5D"/>
    <w:rsid w:val="00221AC9"/>
    <w:rsid w:val="00222624"/>
    <w:rsid w:val="00222767"/>
    <w:rsid w:val="002239FA"/>
    <w:rsid w:val="002240A1"/>
    <w:rsid w:val="002240DE"/>
    <w:rsid w:val="00224397"/>
    <w:rsid w:val="002244CA"/>
    <w:rsid w:val="002244EA"/>
    <w:rsid w:val="00224C6E"/>
    <w:rsid w:val="00224F46"/>
    <w:rsid w:val="00225100"/>
    <w:rsid w:val="0022568E"/>
    <w:rsid w:val="00225C39"/>
    <w:rsid w:val="00225FBF"/>
    <w:rsid w:val="00226353"/>
    <w:rsid w:val="002265DD"/>
    <w:rsid w:val="00226C67"/>
    <w:rsid w:val="002270DD"/>
    <w:rsid w:val="0022744F"/>
    <w:rsid w:val="00227959"/>
    <w:rsid w:val="00227BEB"/>
    <w:rsid w:val="0023051C"/>
    <w:rsid w:val="00231145"/>
    <w:rsid w:val="00231531"/>
    <w:rsid w:val="002316EB"/>
    <w:rsid w:val="00231736"/>
    <w:rsid w:val="002329AC"/>
    <w:rsid w:val="00232C64"/>
    <w:rsid w:val="00233142"/>
    <w:rsid w:val="002331EA"/>
    <w:rsid w:val="00233599"/>
    <w:rsid w:val="002337FB"/>
    <w:rsid w:val="002338D3"/>
    <w:rsid w:val="00233B9F"/>
    <w:rsid w:val="00233E47"/>
    <w:rsid w:val="002342C0"/>
    <w:rsid w:val="002342E1"/>
    <w:rsid w:val="0023479D"/>
    <w:rsid w:val="002348FA"/>
    <w:rsid w:val="002349E9"/>
    <w:rsid w:val="002353D9"/>
    <w:rsid w:val="0023575A"/>
    <w:rsid w:val="00235C58"/>
    <w:rsid w:val="00235D17"/>
    <w:rsid w:val="002364BD"/>
    <w:rsid w:val="00236D7A"/>
    <w:rsid w:val="00236F7E"/>
    <w:rsid w:val="00237082"/>
    <w:rsid w:val="002372A7"/>
    <w:rsid w:val="002372FD"/>
    <w:rsid w:val="00237D41"/>
    <w:rsid w:val="00237DE1"/>
    <w:rsid w:val="00237EAC"/>
    <w:rsid w:val="00240F8F"/>
    <w:rsid w:val="00241B27"/>
    <w:rsid w:val="00241C4F"/>
    <w:rsid w:val="00241E5A"/>
    <w:rsid w:val="002423EF"/>
    <w:rsid w:val="00242CE1"/>
    <w:rsid w:val="002433B3"/>
    <w:rsid w:val="00243543"/>
    <w:rsid w:val="002436F2"/>
    <w:rsid w:val="002437BA"/>
    <w:rsid w:val="0024429B"/>
    <w:rsid w:val="0024467C"/>
    <w:rsid w:val="00244868"/>
    <w:rsid w:val="00244A0B"/>
    <w:rsid w:val="002455A5"/>
    <w:rsid w:val="00245A4A"/>
    <w:rsid w:val="00245BF6"/>
    <w:rsid w:val="00246013"/>
    <w:rsid w:val="002460E5"/>
    <w:rsid w:val="00246256"/>
    <w:rsid w:val="00246266"/>
    <w:rsid w:val="00246BBE"/>
    <w:rsid w:val="00247234"/>
    <w:rsid w:val="00247BC5"/>
    <w:rsid w:val="00247D15"/>
    <w:rsid w:val="00250248"/>
    <w:rsid w:val="002504A6"/>
    <w:rsid w:val="00251342"/>
    <w:rsid w:val="00251377"/>
    <w:rsid w:val="0025161A"/>
    <w:rsid w:val="00251A3B"/>
    <w:rsid w:val="00251CFC"/>
    <w:rsid w:val="00251D88"/>
    <w:rsid w:val="00251EC0"/>
    <w:rsid w:val="00251F2A"/>
    <w:rsid w:val="00251F47"/>
    <w:rsid w:val="00252119"/>
    <w:rsid w:val="00252783"/>
    <w:rsid w:val="0025292F"/>
    <w:rsid w:val="002529BA"/>
    <w:rsid w:val="00252B2D"/>
    <w:rsid w:val="00252C81"/>
    <w:rsid w:val="002530F5"/>
    <w:rsid w:val="002535FD"/>
    <w:rsid w:val="00253665"/>
    <w:rsid w:val="00254199"/>
    <w:rsid w:val="002544C4"/>
    <w:rsid w:val="002547B8"/>
    <w:rsid w:val="002547FA"/>
    <w:rsid w:val="0025487D"/>
    <w:rsid w:val="00254FE0"/>
    <w:rsid w:val="0025549A"/>
    <w:rsid w:val="002554CD"/>
    <w:rsid w:val="002555EC"/>
    <w:rsid w:val="002558BB"/>
    <w:rsid w:val="002558CD"/>
    <w:rsid w:val="002559AB"/>
    <w:rsid w:val="00255E22"/>
    <w:rsid w:val="00256291"/>
    <w:rsid w:val="002568E9"/>
    <w:rsid w:val="00256FFD"/>
    <w:rsid w:val="00257301"/>
    <w:rsid w:val="002576EC"/>
    <w:rsid w:val="002577D1"/>
    <w:rsid w:val="00257B1E"/>
    <w:rsid w:val="00257FAA"/>
    <w:rsid w:val="00260569"/>
    <w:rsid w:val="00260766"/>
    <w:rsid w:val="00260D8C"/>
    <w:rsid w:val="002617CB"/>
    <w:rsid w:val="00262D60"/>
    <w:rsid w:val="00263452"/>
    <w:rsid w:val="0026345A"/>
    <w:rsid w:val="00264416"/>
    <w:rsid w:val="0026473D"/>
    <w:rsid w:val="002647D4"/>
    <w:rsid w:val="0026481C"/>
    <w:rsid w:val="00264B39"/>
    <w:rsid w:val="00265207"/>
    <w:rsid w:val="00265BED"/>
    <w:rsid w:val="00265D15"/>
    <w:rsid w:val="0026628A"/>
    <w:rsid w:val="00266405"/>
    <w:rsid w:val="00266488"/>
    <w:rsid w:val="002665DA"/>
    <w:rsid w:val="002668E8"/>
    <w:rsid w:val="002669D1"/>
    <w:rsid w:val="00266A3E"/>
    <w:rsid w:val="00266B7D"/>
    <w:rsid w:val="00266BFB"/>
    <w:rsid w:val="00267AE1"/>
    <w:rsid w:val="00267B86"/>
    <w:rsid w:val="00267DE6"/>
    <w:rsid w:val="0027015E"/>
    <w:rsid w:val="00270254"/>
    <w:rsid w:val="002704C2"/>
    <w:rsid w:val="0027055C"/>
    <w:rsid w:val="00270AD1"/>
    <w:rsid w:val="00271415"/>
    <w:rsid w:val="002716DC"/>
    <w:rsid w:val="002718FC"/>
    <w:rsid w:val="00271E2A"/>
    <w:rsid w:val="002726E4"/>
    <w:rsid w:val="00272906"/>
    <w:rsid w:val="00272928"/>
    <w:rsid w:val="00272A7F"/>
    <w:rsid w:val="00272BEC"/>
    <w:rsid w:val="00272D87"/>
    <w:rsid w:val="0027327A"/>
    <w:rsid w:val="0027416D"/>
    <w:rsid w:val="002742E6"/>
    <w:rsid w:val="002743B3"/>
    <w:rsid w:val="002749EE"/>
    <w:rsid w:val="00274F53"/>
    <w:rsid w:val="00275263"/>
    <w:rsid w:val="0027528B"/>
    <w:rsid w:val="002753BD"/>
    <w:rsid w:val="002758F5"/>
    <w:rsid w:val="00275C60"/>
    <w:rsid w:val="00276094"/>
    <w:rsid w:val="0027629D"/>
    <w:rsid w:val="0027640E"/>
    <w:rsid w:val="00276544"/>
    <w:rsid w:val="00276DFA"/>
    <w:rsid w:val="00277224"/>
    <w:rsid w:val="0027733D"/>
    <w:rsid w:val="00277399"/>
    <w:rsid w:val="0027741D"/>
    <w:rsid w:val="002775B0"/>
    <w:rsid w:val="0027765B"/>
    <w:rsid w:val="00277C58"/>
    <w:rsid w:val="00280221"/>
    <w:rsid w:val="00280DD1"/>
    <w:rsid w:val="0028143E"/>
    <w:rsid w:val="0028151E"/>
    <w:rsid w:val="00282188"/>
    <w:rsid w:val="002828DD"/>
    <w:rsid w:val="00282C0C"/>
    <w:rsid w:val="00282F94"/>
    <w:rsid w:val="00283270"/>
    <w:rsid w:val="00283315"/>
    <w:rsid w:val="0028356E"/>
    <w:rsid w:val="00283672"/>
    <w:rsid w:val="0028380E"/>
    <w:rsid w:val="00283ADC"/>
    <w:rsid w:val="00283CEF"/>
    <w:rsid w:val="00283DB3"/>
    <w:rsid w:val="00283F34"/>
    <w:rsid w:val="00284078"/>
    <w:rsid w:val="002841E5"/>
    <w:rsid w:val="0028439F"/>
    <w:rsid w:val="00284E3E"/>
    <w:rsid w:val="00285859"/>
    <w:rsid w:val="00285EC9"/>
    <w:rsid w:val="00285F41"/>
    <w:rsid w:val="002863AC"/>
    <w:rsid w:val="00286A49"/>
    <w:rsid w:val="00286B88"/>
    <w:rsid w:val="00286C61"/>
    <w:rsid w:val="00287DC3"/>
    <w:rsid w:val="00287E1A"/>
    <w:rsid w:val="00287F9B"/>
    <w:rsid w:val="00290244"/>
    <w:rsid w:val="002905FF"/>
    <w:rsid w:val="00290A76"/>
    <w:rsid w:val="00290CB3"/>
    <w:rsid w:val="00290E53"/>
    <w:rsid w:val="00291175"/>
    <w:rsid w:val="00291518"/>
    <w:rsid w:val="00291D57"/>
    <w:rsid w:val="00291FF5"/>
    <w:rsid w:val="00292856"/>
    <w:rsid w:val="00293053"/>
    <w:rsid w:val="00294399"/>
    <w:rsid w:val="0029443C"/>
    <w:rsid w:val="002944FA"/>
    <w:rsid w:val="00294670"/>
    <w:rsid w:val="00294872"/>
    <w:rsid w:val="002949CA"/>
    <w:rsid w:val="00294AA5"/>
    <w:rsid w:val="00294E88"/>
    <w:rsid w:val="0029574E"/>
    <w:rsid w:val="002958F8"/>
    <w:rsid w:val="002959B0"/>
    <w:rsid w:val="00295BB0"/>
    <w:rsid w:val="00296464"/>
    <w:rsid w:val="002964C2"/>
    <w:rsid w:val="0029662A"/>
    <w:rsid w:val="00296727"/>
    <w:rsid w:val="0029706E"/>
    <w:rsid w:val="00297329"/>
    <w:rsid w:val="00297586"/>
    <w:rsid w:val="0029763F"/>
    <w:rsid w:val="00297904"/>
    <w:rsid w:val="002979BC"/>
    <w:rsid w:val="00297DD0"/>
    <w:rsid w:val="00297F7F"/>
    <w:rsid w:val="002A017C"/>
    <w:rsid w:val="002A09AA"/>
    <w:rsid w:val="002A0B89"/>
    <w:rsid w:val="002A0E62"/>
    <w:rsid w:val="002A1559"/>
    <w:rsid w:val="002A1930"/>
    <w:rsid w:val="002A1D51"/>
    <w:rsid w:val="002A1E8A"/>
    <w:rsid w:val="002A2CB1"/>
    <w:rsid w:val="002A2F5E"/>
    <w:rsid w:val="002A3097"/>
    <w:rsid w:val="002A34F7"/>
    <w:rsid w:val="002A3A6D"/>
    <w:rsid w:val="002A3D52"/>
    <w:rsid w:val="002A44E3"/>
    <w:rsid w:val="002A4680"/>
    <w:rsid w:val="002A47BB"/>
    <w:rsid w:val="002A5007"/>
    <w:rsid w:val="002A51AA"/>
    <w:rsid w:val="002A52BB"/>
    <w:rsid w:val="002A54ED"/>
    <w:rsid w:val="002A5649"/>
    <w:rsid w:val="002A56DC"/>
    <w:rsid w:val="002A5BB0"/>
    <w:rsid w:val="002A6053"/>
    <w:rsid w:val="002A697C"/>
    <w:rsid w:val="002A6EFC"/>
    <w:rsid w:val="002A6F3C"/>
    <w:rsid w:val="002A70C9"/>
    <w:rsid w:val="002A71BB"/>
    <w:rsid w:val="002A7760"/>
    <w:rsid w:val="002A7D7F"/>
    <w:rsid w:val="002B0497"/>
    <w:rsid w:val="002B04A4"/>
    <w:rsid w:val="002B052F"/>
    <w:rsid w:val="002B06F0"/>
    <w:rsid w:val="002B0875"/>
    <w:rsid w:val="002B08F2"/>
    <w:rsid w:val="002B1062"/>
    <w:rsid w:val="002B123A"/>
    <w:rsid w:val="002B155C"/>
    <w:rsid w:val="002B1A7C"/>
    <w:rsid w:val="002B250A"/>
    <w:rsid w:val="002B2531"/>
    <w:rsid w:val="002B26C1"/>
    <w:rsid w:val="002B2D0C"/>
    <w:rsid w:val="002B2F42"/>
    <w:rsid w:val="002B3027"/>
    <w:rsid w:val="002B401B"/>
    <w:rsid w:val="002B4232"/>
    <w:rsid w:val="002B461A"/>
    <w:rsid w:val="002B4782"/>
    <w:rsid w:val="002B5014"/>
    <w:rsid w:val="002B54C1"/>
    <w:rsid w:val="002B54E2"/>
    <w:rsid w:val="002B54E8"/>
    <w:rsid w:val="002B5AE6"/>
    <w:rsid w:val="002B5BA2"/>
    <w:rsid w:val="002B5E97"/>
    <w:rsid w:val="002B6593"/>
    <w:rsid w:val="002B713C"/>
    <w:rsid w:val="002B72BC"/>
    <w:rsid w:val="002C036F"/>
    <w:rsid w:val="002C0540"/>
    <w:rsid w:val="002C05C7"/>
    <w:rsid w:val="002C0821"/>
    <w:rsid w:val="002C09FB"/>
    <w:rsid w:val="002C0BA2"/>
    <w:rsid w:val="002C0DF0"/>
    <w:rsid w:val="002C16D2"/>
    <w:rsid w:val="002C199A"/>
    <w:rsid w:val="002C1A8B"/>
    <w:rsid w:val="002C1B0D"/>
    <w:rsid w:val="002C284A"/>
    <w:rsid w:val="002C28B0"/>
    <w:rsid w:val="002C2BEA"/>
    <w:rsid w:val="002C2D76"/>
    <w:rsid w:val="002C30E3"/>
    <w:rsid w:val="002C397A"/>
    <w:rsid w:val="002C3F5F"/>
    <w:rsid w:val="002C4CE2"/>
    <w:rsid w:val="002C507D"/>
    <w:rsid w:val="002C525C"/>
    <w:rsid w:val="002C5390"/>
    <w:rsid w:val="002C5672"/>
    <w:rsid w:val="002C58A4"/>
    <w:rsid w:val="002C5BB0"/>
    <w:rsid w:val="002C5DC9"/>
    <w:rsid w:val="002C622D"/>
    <w:rsid w:val="002C6325"/>
    <w:rsid w:val="002C6390"/>
    <w:rsid w:val="002C6D1C"/>
    <w:rsid w:val="002C73AC"/>
    <w:rsid w:val="002C73F3"/>
    <w:rsid w:val="002C75F8"/>
    <w:rsid w:val="002C7752"/>
    <w:rsid w:val="002C7960"/>
    <w:rsid w:val="002C7D29"/>
    <w:rsid w:val="002C7EF9"/>
    <w:rsid w:val="002D01C1"/>
    <w:rsid w:val="002D023C"/>
    <w:rsid w:val="002D0783"/>
    <w:rsid w:val="002D097A"/>
    <w:rsid w:val="002D0B9B"/>
    <w:rsid w:val="002D0EEA"/>
    <w:rsid w:val="002D14B8"/>
    <w:rsid w:val="002D17EC"/>
    <w:rsid w:val="002D192B"/>
    <w:rsid w:val="002D1F08"/>
    <w:rsid w:val="002D1F65"/>
    <w:rsid w:val="002D2844"/>
    <w:rsid w:val="002D307B"/>
    <w:rsid w:val="002D366A"/>
    <w:rsid w:val="002D3A27"/>
    <w:rsid w:val="002D3B4A"/>
    <w:rsid w:val="002D3BE6"/>
    <w:rsid w:val="002D3CB3"/>
    <w:rsid w:val="002D476E"/>
    <w:rsid w:val="002D47DB"/>
    <w:rsid w:val="002D4A7B"/>
    <w:rsid w:val="002D4BA6"/>
    <w:rsid w:val="002D4F18"/>
    <w:rsid w:val="002D503F"/>
    <w:rsid w:val="002D534A"/>
    <w:rsid w:val="002D56DF"/>
    <w:rsid w:val="002D5980"/>
    <w:rsid w:val="002D62B6"/>
    <w:rsid w:val="002D6E06"/>
    <w:rsid w:val="002D6E52"/>
    <w:rsid w:val="002D7532"/>
    <w:rsid w:val="002D792F"/>
    <w:rsid w:val="002D7B45"/>
    <w:rsid w:val="002D7E8B"/>
    <w:rsid w:val="002D7F1D"/>
    <w:rsid w:val="002E0170"/>
    <w:rsid w:val="002E11EE"/>
    <w:rsid w:val="002E1883"/>
    <w:rsid w:val="002E192E"/>
    <w:rsid w:val="002E193C"/>
    <w:rsid w:val="002E1BC5"/>
    <w:rsid w:val="002E383E"/>
    <w:rsid w:val="002E3862"/>
    <w:rsid w:val="002E3A6C"/>
    <w:rsid w:val="002E3C41"/>
    <w:rsid w:val="002E4F84"/>
    <w:rsid w:val="002E59DB"/>
    <w:rsid w:val="002E5A5B"/>
    <w:rsid w:val="002E6002"/>
    <w:rsid w:val="002E60E1"/>
    <w:rsid w:val="002E634A"/>
    <w:rsid w:val="002E6C17"/>
    <w:rsid w:val="002E7442"/>
    <w:rsid w:val="002E7965"/>
    <w:rsid w:val="002E7C2A"/>
    <w:rsid w:val="002F0BC9"/>
    <w:rsid w:val="002F0EF9"/>
    <w:rsid w:val="002F0FB1"/>
    <w:rsid w:val="002F10F5"/>
    <w:rsid w:val="002F1186"/>
    <w:rsid w:val="002F16B1"/>
    <w:rsid w:val="002F1B93"/>
    <w:rsid w:val="002F2237"/>
    <w:rsid w:val="002F2BF3"/>
    <w:rsid w:val="002F313A"/>
    <w:rsid w:val="002F3485"/>
    <w:rsid w:val="002F3558"/>
    <w:rsid w:val="002F3C32"/>
    <w:rsid w:val="002F3DC3"/>
    <w:rsid w:val="002F456F"/>
    <w:rsid w:val="002F470D"/>
    <w:rsid w:val="002F49F8"/>
    <w:rsid w:val="002F4A6B"/>
    <w:rsid w:val="002F5F18"/>
    <w:rsid w:val="002F5F4E"/>
    <w:rsid w:val="002F627D"/>
    <w:rsid w:val="002F701C"/>
    <w:rsid w:val="002F7560"/>
    <w:rsid w:val="002F77E5"/>
    <w:rsid w:val="002F7CF2"/>
    <w:rsid w:val="002F7D34"/>
    <w:rsid w:val="00301A69"/>
    <w:rsid w:val="00302037"/>
    <w:rsid w:val="003027DE"/>
    <w:rsid w:val="00302A03"/>
    <w:rsid w:val="00302B12"/>
    <w:rsid w:val="00302E48"/>
    <w:rsid w:val="0030306B"/>
    <w:rsid w:val="00303374"/>
    <w:rsid w:val="00303D39"/>
    <w:rsid w:val="00303FBC"/>
    <w:rsid w:val="00304B87"/>
    <w:rsid w:val="0030503E"/>
    <w:rsid w:val="003051BA"/>
    <w:rsid w:val="00305262"/>
    <w:rsid w:val="003058E8"/>
    <w:rsid w:val="00305FE1"/>
    <w:rsid w:val="0030600A"/>
    <w:rsid w:val="00306024"/>
    <w:rsid w:val="003060AB"/>
    <w:rsid w:val="0030657E"/>
    <w:rsid w:val="003065AA"/>
    <w:rsid w:val="00306606"/>
    <w:rsid w:val="00306640"/>
    <w:rsid w:val="003066E9"/>
    <w:rsid w:val="0030709E"/>
    <w:rsid w:val="0030711A"/>
    <w:rsid w:val="00307581"/>
    <w:rsid w:val="00307A0F"/>
    <w:rsid w:val="00307BC2"/>
    <w:rsid w:val="00307D39"/>
    <w:rsid w:val="00307E89"/>
    <w:rsid w:val="00310199"/>
    <w:rsid w:val="003101AE"/>
    <w:rsid w:val="003101DE"/>
    <w:rsid w:val="003102A0"/>
    <w:rsid w:val="00311050"/>
    <w:rsid w:val="003110B7"/>
    <w:rsid w:val="003113DB"/>
    <w:rsid w:val="00311BBE"/>
    <w:rsid w:val="00311C4C"/>
    <w:rsid w:val="00311E26"/>
    <w:rsid w:val="003122E0"/>
    <w:rsid w:val="00312A4A"/>
    <w:rsid w:val="003130AD"/>
    <w:rsid w:val="00313280"/>
    <w:rsid w:val="00314004"/>
    <w:rsid w:val="003140DE"/>
    <w:rsid w:val="00314257"/>
    <w:rsid w:val="003143B9"/>
    <w:rsid w:val="00314472"/>
    <w:rsid w:val="00314490"/>
    <w:rsid w:val="003144B2"/>
    <w:rsid w:val="003145CD"/>
    <w:rsid w:val="00314B8B"/>
    <w:rsid w:val="003154F0"/>
    <w:rsid w:val="0031553E"/>
    <w:rsid w:val="00315B17"/>
    <w:rsid w:val="00315B66"/>
    <w:rsid w:val="00315C3A"/>
    <w:rsid w:val="00316541"/>
    <w:rsid w:val="00316638"/>
    <w:rsid w:val="003168C1"/>
    <w:rsid w:val="00317183"/>
    <w:rsid w:val="0031731E"/>
    <w:rsid w:val="003173C9"/>
    <w:rsid w:val="003174C7"/>
    <w:rsid w:val="003176D3"/>
    <w:rsid w:val="003178BF"/>
    <w:rsid w:val="00317F8C"/>
    <w:rsid w:val="0032033B"/>
    <w:rsid w:val="00320AC7"/>
    <w:rsid w:val="00320E85"/>
    <w:rsid w:val="0032129E"/>
    <w:rsid w:val="0032148F"/>
    <w:rsid w:val="0032151F"/>
    <w:rsid w:val="00322354"/>
    <w:rsid w:val="00322365"/>
    <w:rsid w:val="0032253A"/>
    <w:rsid w:val="003225C7"/>
    <w:rsid w:val="003226AE"/>
    <w:rsid w:val="003227A2"/>
    <w:rsid w:val="00322ACA"/>
    <w:rsid w:val="00322BAC"/>
    <w:rsid w:val="00322BD2"/>
    <w:rsid w:val="00322CD1"/>
    <w:rsid w:val="00323320"/>
    <w:rsid w:val="0032355D"/>
    <w:rsid w:val="00323B0C"/>
    <w:rsid w:val="00324023"/>
    <w:rsid w:val="003242A8"/>
    <w:rsid w:val="00324507"/>
    <w:rsid w:val="003248B8"/>
    <w:rsid w:val="00324B9D"/>
    <w:rsid w:val="0032506D"/>
    <w:rsid w:val="00325179"/>
    <w:rsid w:val="003256AA"/>
    <w:rsid w:val="00325823"/>
    <w:rsid w:val="00325A73"/>
    <w:rsid w:val="00325DB1"/>
    <w:rsid w:val="00326075"/>
    <w:rsid w:val="0032648B"/>
    <w:rsid w:val="00326640"/>
    <w:rsid w:val="00326843"/>
    <w:rsid w:val="00326866"/>
    <w:rsid w:val="0032688D"/>
    <w:rsid w:val="00326EBE"/>
    <w:rsid w:val="00326FBA"/>
    <w:rsid w:val="00327323"/>
    <w:rsid w:val="00327AC3"/>
    <w:rsid w:val="00327C86"/>
    <w:rsid w:val="003303B8"/>
    <w:rsid w:val="00330444"/>
    <w:rsid w:val="00330667"/>
    <w:rsid w:val="00331074"/>
    <w:rsid w:val="00331258"/>
    <w:rsid w:val="00331536"/>
    <w:rsid w:val="0033160A"/>
    <w:rsid w:val="00331C4A"/>
    <w:rsid w:val="00331E41"/>
    <w:rsid w:val="00331ED9"/>
    <w:rsid w:val="00332009"/>
    <w:rsid w:val="003323B2"/>
    <w:rsid w:val="0033242E"/>
    <w:rsid w:val="00332D91"/>
    <w:rsid w:val="00333227"/>
    <w:rsid w:val="003337C5"/>
    <w:rsid w:val="00333881"/>
    <w:rsid w:val="003339D4"/>
    <w:rsid w:val="00333A9D"/>
    <w:rsid w:val="00333B65"/>
    <w:rsid w:val="00334514"/>
    <w:rsid w:val="0033477A"/>
    <w:rsid w:val="00334989"/>
    <w:rsid w:val="00334E50"/>
    <w:rsid w:val="0033504B"/>
    <w:rsid w:val="00335843"/>
    <w:rsid w:val="00335A5E"/>
    <w:rsid w:val="00335DA4"/>
    <w:rsid w:val="00335F4D"/>
    <w:rsid w:val="0033648E"/>
    <w:rsid w:val="00336654"/>
    <w:rsid w:val="00336660"/>
    <w:rsid w:val="00336F01"/>
    <w:rsid w:val="003370A1"/>
    <w:rsid w:val="003371FE"/>
    <w:rsid w:val="003374D4"/>
    <w:rsid w:val="00337C06"/>
    <w:rsid w:val="00337CFC"/>
    <w:rsid w:val="00340512"/>
    <w:rsid w:val="00340630"/>
    <w:rsid w:val="003406DE"/>
    <w:rsid w:val="00340B2A"/>
    <w:rsid w:val="00341AB7"/>
    <w:rsid w:val="00342890"/>
    <w:rsid w:val="0034289F"/>
    <w:rsid w:val="00342CDB"/>
    <w:rsid w:val="003431C1"/>
    <w:rsid w:val="00343854"/>
    <w:rsid w:val="0034396F"/>
    <w:rsid w:val="003439DA"/>
    <w:rsid w:val="0034428A"/>
    <w:rsid w:val="00344301"/>
    <w:rsid w:val="00344354"/>
    <w:rsid w:val="003449F8"/>
    <w:rsid w:val="00344DC1"/>
    <w:rsid w:val="00344E1E"/>
    <w:rsid w:val="00344F98"/>
    <w:rsid w:val="00345B10"/>
    <w:rsid w:val="00346233"/>
    <w:rsid w:val="003466DC"/>
    <w:rsid w:val="00346C3E"/>
    <w:rsid w:val="003471C8"/>
    <w:rsid w:val="00347EBE"/>
    <w:rsid w:val="00350048"/>
    <w:rsid w:val="00350324"/>
    <w:rsid w:val="0035049E"/>
    <w:rsid w:val="0035065E"/>
    <w:rsid w:val="0035098A"/>
    <w:rsid w:val="00350ACC"/>
    <w:rsid w:val="00350E8C"/>
    <w:rsid w:val="00350F85"/>
    <w:rsid w:val="0035171B"/>
    <w:rsid w:val="00351F20"/>
    <w:rsid w:val="00352300"/>
    <w:rsid w:val="0035230F"/>
    <w:rsid w:val="00352787"/>
    <w:rsid w:val="003528C6"/>
    <w:rsid w:val="00352AFF"/>
    <w:rsid w:val="00352DC3"/>
    <w:rsid w:val="00352F6A"/>
    <w:rsid w:val="00352FD0"/>
    <w:rsid w:val="00353176"/>
    <w:rsid w:val="00353418"/>
    <w:rsid w:val="00353F54"/>
    <w:rsid w:val="0035435C"/>
    <w:rsid w:val="003543E5"/>
    <w:rsid w:val="00354420"/>
    <w:rsid w:val="003544CC"/>
    <w:rsid w:val="0035467E"/>
    <w:rsid w:val="0035492F"/>
    <w:rsid w:val="00354A44"/>
    <w:rsid w:val="00354E16"/>
    <w:rsid w:val="00354FD5"/>
    <w:rsid w:val="00355008"/>
    <w:rsid w:val="0035511D"/>
    <w:rsid w:val="00355383"/>
    <w:rsid w:val="003555A0"/>
    <w:rsid w:val="003555FF"/>
    <w:rsid w:val="00356031"/>
    <w:rsid w:val="003561DE"/>
    <w:rsid w:val="00356226"/>
    <w:rsid w:val="003562B5"/>
    <w:rsid w:val="0035676F"/>
    <w:rsid w:val="00356D16"/>
    <w:rsid w:val="00356EDC"/>
    <w:rsid w:val="003570D4"/>
    <w:rsid w:val="0035745A"/>
    <w:rsid w:val="003578DE"/>
    <w:rsid w:val="00360448"/>
    <w:rsid w:val="003607D2"/>
    <w:rsid w:val="00360A42"/>
    <w:rsid w:val="00360B6D"/>
    <w:rsid w:val="00360D51"/>
    <w:rsid w:val="00361808"/>
    <w:rsid w:val="00361B40"/>
    <w:rsid w:val="00361C65"/>
    <w:rsid w:val="00362292"/>
    <w:rsid w:val="00362400"/>
    <w:rsid w:val="003628A7"/>
    <w:rsid w:val="00363AE9"/>
    <w:rsid w:val="00363D7C"/>
    <w:rsid w:val="00363E33"/>
    <w:rsid w:val="0036468F"/>
    <w:rsid w:val="00364775"/>
    <w:rsid w:val="00364865"/>
    <w:rsid w:val="00364FCF"/>
    <w:rsid w:val="00365116"/>
    <w:rsid w:val="00365326"/>
    <w:rsid w:val="003653AF"/>
    <w:rsid w:val="00365991"/>
    <w:rsid w:val="00365A55"/>
    <w:rsid w:val="00366444"/>
    <w:rsid w:val="00366644"/>
    <w:rsid w:val="003666F4"/>
    <w:rsid w:val="00366B50"/>
    <w:rsid w:val="00367086"/>
    <w:rsid w:val="0036758B"/>
    <w:rsid w:val="00367A36"/>
    <w:rsid w:val="00367E0F"/>
    <w:rsid w:val="00370886"/>
    <w:rsid w:val="0037097B"/>
    <w:rsid w:val="00371123"/>
    <w:rsid w:val="003714E5"/>
    <w:rsid w:val="003716F5"/>
    <w:rsid w:val="00371747"/>
    <w:rsid w:val="003717E7"/>
    <w:rsid w:val="003718B0"/>
    <w:rsid w:val="003719C1"/>
    <w:rsid w:val="00371BFE"/>
    <w:rsid w:val="003729B1"/>
    <w:rsid w:val="00372BE2"/>
    <w:rsid w:val="003735F9"/>
    <w:rsid w:val="00373FA6"/>
    <w:rsid w:val="003748A2"/>
    <w:rsid w:val="00374957"/>
    <w:rsid w:val="003749AB"/>
    <w:rsid w:val="00374C6B"/>
    <w:rsid w:val="00374CC1"/>
    <w:rsid w:val="00375D60"/>
    <w:rsid w:val="003760D7"/>
    <w:rsid w:val="003770B6"/>
    <w:rsid w:val="00377116"/>
    <w:rsid w:val="00377A54"/>
    <w:rsid w:val="00377A82"/>
    <w:rsid w:val="003801C7"/>
    <w:rsid w:val="003802E5"/>
    <w:rsid w:val="00380E3E"/>
    <w:rsid w:val="003814F4"/>
    <w:rsid w:val="003815DB"/>
    <w:rsid w:val="0038163E"/>
    <w:rsid w:val="0038224A"/>
    <w:rsid w:val="00382645"/>
    <w:rsid w:val="00382C16"/>
    <w:rsid w:val="00382DF0"/>
    <w:rsid w:val="003831C4"/>
    <w:rsid w:val="0038342F"/>
    <w:rsid w:val="003839B4"/>
    <w:rsid w:val="00383A02"/>
    <w:rsid w:val="00383A1A"/>
    <w:rsid w:val="00383FD1"/>
    <w:rsid w:val="003844DA"/>
    <w:rsid w:val="003848AC"/>
    <w:rsid w:val="00384A60"/>
    <w:rsid w:val="00385197"/>
    <w:rsid w:val="003857ED"/>
    <w:rsid w:val="00385A41"/>
    <w:rsid w:val="00385FC7"/>
    <w:rsid w:val="0038601B"/>
    <w:rsid w:val="003862F0"/>
    <w:rsid w:val="00386464"/>
    <w:rsid w:val="00386EEE"/>
    <w:rsid w:val="003876A6"/>
    <w:rsid w:val="00387795"/>
    <w:rsid w:val="003879CC"/>
    <w:rsid w:val="00387A24"/>
    <w:rsid w:val="00387E83"/>
    <w:rsid w:val="003900FB"/>
    <w:rsid w:val="00390106"/>
    <w:rsid w:val="003906C7"/>
    <w:rsid w:val="00390F77"/>
    <w:rsid w:val="003912D1"/>
    <w:rsid w:val="00391749"/>
    <w:rsid w:val="00391B88"/>
    <w:rsid w:val="003922DF"/>
    <w:rsid w:val="003928CA"/>
    <w:rsid w:val="00392A03"/>
    <w:rsid w:val="00392ACA"/>
    <w:rsid w:val="00392B29"/>
    <w:rsid w:val="00392BB5"/>
    <w:rsid w:val="00393185"/>
    <w:rsid w:val="00393446"/>
    <w:rsid w:val="00393D0C"/>
    <w:rsid w:val="00393EBB"/>
    <w:rsid w:val="00394143"/>
    <w:rsid w:val="003942CB"/>
    <w:rsid w:val="00394565"/>
    <w:rsid w:val="00394C68"/>
    <w:rsid w:val="00395DF4"/>
    <w:rsid w:val="00396071"/>
    <w:rsid w:val="00396180"/>
    <w:rsid w:val="003963C4"/>
    <w:rsid w:val="0039647E"/>
    <w:rsid w:val="0039658E"/>
    <w:rsid w:val="00396672"/>
    <w:rsid w:val="00396D5D"/>
    <w:rsid w:val="00396E60"/>
    <w:rsid w:val="00397223"/>
    <w:rsid w:val="0039732F"/>
    <w:rsid w:val="003977E6"/>
    <w:rsid w:val="0039798F"/>
    <w:rsid w:val="00397B11"/>
    <w:rsid w:val="00397C0F"/>
    <w:rsid w:val="00397D25"/>
    <w:rsid w:val="003A0344"/>
    <w:rsid w:val="003A0806"/>
    <w:rsid w:val="003A0B1F"/>
    <w:rsid w:val="003A0B3F"/>
    <w:rsid w:val="003A124F"/>
    <w:rsid w:val="003A1354"/>
    <w:rsid w:val="003A1935"/>
    <w:rsid w:val="003A19A7"/>
    <w:rsid w:val="003A1A9B"/>
    <w:rsid w:val="003A2122"/>
    <w:rsid w:val="003A2A39"/>
    <w:rsid w:val="003A2B91"/>
    <w:rsid w:val="003A2BCA"/>
    <w:rsid w:val="003A2F28"/>
    <w:rsid w:val="003A2F70"/>
    <w:rsid w:val="003A34B2"/>
    <w:rsid w:val="003A34C9"/>
    <w:rsid w:val="003A4B23"/>
    <w:rsid w:val="003A4B73"/>
    <w:rsid w:val="003A5856"/>
    <w:rsid w:val="003A5AA8"/>
    <w:rsid w:val="003A5AD8"/>
    <w:rsid w:val="003A5B1E"/>
    <w:rsid w:val="003A5D11"/>
    <w:rsid w:val="003A62D8"/>
    <w:rsid w:val="003A6CB6"/>
    <w:rsid w:val="003A706E"/>
    <w:rsid w:val="003A726F"/>
    <w:rsid w:val="003A7415"/>
    <w:rsid w:val="003A7666"/>
    <w:rsid w:val="003A76E1"/>
    <w:rsid w:val="003A76F4"/>
    <w:rsid w:val="003B068B"/>
    <w:rsid w:val="003B0FAD"/>
    <w:rsid w:val="003B0FF4"/>
    <w:rsid w:val="003B10C6"/>
    <w:rsid w:val="003B1A22"/>
    <w:rsid w:val="003B1F80"/>
    <w:rsid w:val="003B21AE"/>
    <w:rsid w:val="003B24AB"/>
    <w:rsid w:val="003B24C9"/>
    <w:rsid w:val="003B2CEF"/>
    <w:rsid w:val="003B340E"/>
    <w:rsid w:val="003B3526"/>
    <w:rsid w:val="003B354B"/>
    <w:rsid w:val="003B3768"/>
    <w:rsid w:val="003B3DCD"/>
    <w:rsid w:val="003B4CE9"/>
    <w:rsid w:val="003B5C3A"/>
    <w:rsid w:val="003B64EB"/>
    <w:rsid w:val="003B6699"/>
    <w:rsid w:val="003B673F"/>
    <w:rsid w:val="003B6A39"/>
    <w:rsid w:val="003B6BD2"/>
    <w:rsid w:val="003B6D5C"/>
    <w:rsid w:val="003B6EEA"/>
    <w:rsid w:val="003B71D2"/>
    <w:rsid w:val="003B73C7"/>
    <w:rsid w:val="003B77B6"/>
    <w:rsid w:val="003B79C0"/>
    <w:rsid w:val="003B7C07"/>
    <w:rsid w:val="003B7C84"/>
    <w:rsid w:val="003C0284"/>
    <w:rsid w:val="003C03E9"/>
    <w:rsid w:val="003C0424"/>
    <w:rsid w:val="003C0E9B"/>
    <w:rsid w:val="003C1475"/>
    <w:rsid w:val="003C1A2B"/>
    <w:rsid w:val="003C1BA4"/>
    <w:rsid w:val="003C1D47"/>
    <w:rsid w:val="003C238C"/>
    <w:rsid w:val="003C25BA"/>
    <w:rsid w:val="003C260F"/>
    <w:rsid w:val="003C2688"/>
    <w:rsid w:val="003C26ED"/>
    <w:rsid w:val="003C2C90"/>
    <w:rsid w:val="003C2D4E"/>
    <w:rsid w:val="003C2E23"/>
    <w:rsid w:val="003C2E29"/>
    <w:rsid w:val="003C346D"/>
    <w:rsid w:val="003C34D0"/>
    <w:rsid w:val="003C3588"/>
    <w:rsid w:val="003C3740"/>
    <w:rsid w:val="003C3859"/>
    <w:rsid w:val="003C38DC"/>
    <w:rsid w:val="003C3929"/>
    <w:rsid w:val="003C3DD7"/>
    <w:rsid w:val="003C3EED"/>
    <w:rsid w:val="003C42A7"/>
    <w:rsid w:val="003C4929"/>
    <w:rsid w:val="003C4FCD"/>
    <w:rsid w:val="003C508A"/>
    <w:rsid w:val="003C5B67"/>
    <w:rsid w:val="003C5C85"/>
    <w:rsid w:val="003C5E03"/>
    <w:rsid w:val="003C5FEF"/>
    <w:rsid w:val="003C6473"/>
    <w:rsid w:val="003C6524"/>
    <w:rsid w:val="003C6540"/>
    <w:rsid w:val="003C6724"/>
    <w:rsid w:val="003C6800"/>
    <w:rsid w:val="003C6B2B"/>
    <w:rsid w:val="003C6C2E"/>
    <w:rsid w:val="003C7589"/>
    <w:rsid w:val="003C75A0"/>
    <w:rsid w:val="003C7612"/>
    <w:rsid w:val="003C7F9B"/>
    <w:rsid w:val="003D0F40"/>
    <w:rsid w:val="003D1CF9"/>
    <w:rsid w:val="003D2727"/>
    <w:rsid w:val="003D281A"/>
    <w:rsid w:val="003D2909"/>
    <w:rsid w:val="003D2D5B"/>
    <w:rsid w:val="003D3155"/>
    <w:rsid w:val="003D37A2"/>
    <w:rsid w:val="003D3AD8"/>
    <w:rsid w:val="003D3FC7"/>
    <w:rsid w:val="003D443A"/>
    <w:rsid w:val="003D52F1"/>
    <w:rsid w:val="003D53B3"/>
    <w:rsid w:val="003D6130"/>
    <w:rsid w:val="003D6158"/>
    <w:rsid w:val="003D62A3"/>
    <w:rsid w:val="003D71B4"/>
    <w:rsid w:val="003D73BC"/>
    <w:rsid w:val="003D7E08"/>
    <w:rsid w:val="003E069D"/>
    <w:rsid w:val="003E076A"/>
    <w:rsid w:val="003E11CE"/>
    <w:rsid w:val="003E1356"/>
    <w:rsid w:val="003E1B4A"/>
    <w:rsid w:val="003E2455"/>
    <w:rsid w:val="003E253D"/>
    <w:rsid w:val="003E2603"/>
    <w:rsid w:val="003E2698"/>
    <w:rsid w:val="003E2B68"/>
    <w:rsid w:val="003E2CBD"/>
    <w:rsid w:val="003E3634"/>
    <w:rsid w:val="003E36F8"/>
    <w:rsid w:val="003E3C5C"/>
    <w:rsid w:val="003E3E94"/>
    <w:rsid w:val="003E404D"/>
    <w:rsid w:val="003E433A"/>
    <w:rsid w:val="003E4A77"/>
    <w:rsid w:val="003E54F3"/>
    <w:rsid w:val="003E5721"/>
    <w:rsid w:val="003E5985"/>
    <w:rsid w:val="003E5A5F"/>
    <w:rsid w:val="003E5CFC"/>
    <w:rsid w:val="003E5DA7"/>
    <w:rsid w:val="003E63EC"/>
    <w:rsid w:val="003E6D4E"/>
    <w:rsid w:val="003E7060"/>
    <w:rsid w:val="003F1A0E"/>
    <w:rsid w:val="003F1CE9"/>
    <w:rsid w:val="003F255A"/>
    <w:rsid w:val="003F2C2E"/>
    <w:rsid w:val="003F305D"/>
    <w:rsid w:val="003F3171"/>
    <w:rsid w:val="003F34ED"/>
    <w:rsid w:val="003F3632"/>
    <w:rsid w:val="003F38F3"/>
    <w:rsid w:val="003F3D45"/>
    <w:rsid w:val="003F4056"/>
    <w:rsid w:val="003F416E"/>
    <w:rsid w:val="003F41F3"/>
    <w:rsid w:val="003F4358"/>
    <w:rsid w:val="003F45C9"/>
    <w:rsid w:val="003F4681"/>
    <w:rsid w:val="003F4A90"/>
    <w:rsid w:val="003F4C4B"/>
    <w:rsid w:val="003F4F51"/>
    <w:rsid w:val="003F4F6D"/>
    <w:rsid w:val="003F5446"/>
    <w:rsid w:val="003F5A04"/>
    <w:rsid w:val="003F5FAF"/>
    <w:rsid w:val="003F638A"/>
    <w:rsid w:val="003F6970"/>
    <w:rsid w:val="003F6A54"/>
    <w:rsid w:val="003F6CC8"/>
    <w:rsid w:val="003F7340"/>
    <w:rsid w:val="003F7504"/>
    <w:rsid w:val="003F76D4"/>
    <w:rsid w:val="003F7B67"/>
    <w:rsid w:val="003F7C7E"/>
    <w:rsid w:val="003F7F5E"/>
    <w:rsid w:val="00400155"/>
    <w:rsid w:val="0040021A"/>
    <w:rsid w:val="00400308"/>
    <w:rsid w:val="00400856"/>
    <w:rsid w:val="00400BD1"/>
    <w:rsid w:val="00400FC5"/>
    <w:rsid w:val="00401058"/>
    <w:rsid w:val="0040112F"/>
    <w:rsid w:val="004011A2"/>
    <w:rsid w:val="004013DC"/>
    <w:rsid w:val="0040178B"/>
    <w:rsid w:val="004018AE"/>
    <w:rsid w:val="00401AC8"/>
    <w:rsid w:val="00401C89"/>
    <w:rsid w:val="00402CF5"/>
    <w:rsid w:val="00402E5E"/>
    <w:rsid w:val="0040308A"/>
    <w:rsid w:val="004037C6"/>
    <w:rsid w:val="00403C16"/>
    <w:rsid w:val="00403F01"/>
    <w:rsid w:val="004041C4"/>
    <w:rsid w:val="00404985"/>
    <w:rsid w:val="00404A34"/>
    <w:rsid w:val="00404E39"/>
    <w:rsid w:val="00404EEE"/>
    <w:rsid w:val="0040514A"/>
    <w:rsid w:val="0040555D"/>
    <w:rsid w:val="00405811"/>
    <w:rsid w:val="00405D5F"/>
    <w:rsid w:val="00405FDD"/>
    <w:rsid w:val="00406324"/>
    <w:rsid w:val="0040636D"/>
    <w:rsid w:val="00407139"/>
    <w:rsid w:val="004078AD"/>
    <w:rsid w:val="0041028A"/>
    <w:rsid w:val="0041041E"/>
    <w:rsid w:val="00410424"/>
    <w:rsid w:val="00410569"/>
    <w:rsid w:val="00411D66"/>
    <w:rsid w:val="00412840"/>
    <w:rsid w:val="00412B86"/>
    <w:rsid w:val="00412E51"/>
    <w:rsid w:val="0041362E"/>
    <w:rsid w:val="00413B07"/>
    <w:rsid w:val="00413FCE"/>
    <w:rsid w:val="0041473F"/>
    <w:rsid w:val="004148AA"/>
    <w:rsid w:val="00414D81"/>
    <w:rsid w:val="0041569F"/>
    <w:rsid w:val="004157CE"/>
    <w:rsid w:val="0041582D"/>
    <w:rsid w:val="00415CBA"/>
    <w:rsid w:val="00416655"/>
    <w:rsid w:val="00416982"/>
    <w:rsid w:val="00416B09"/>
    <w:rsid w:val="00416BD9"/>
    <w:rsid w:val="00416C32"/>
    <w:rsid w:val="004171E7"/>
    <w:rsid w:val="0041783E"/>
    <w:rsid w:val="00417B34"/>
    <w:rsid w:val="00420195"/>
    <w:rsid w:val="00420458"/>
    <w:rsid w:val="004208F7"/>
    <w:rsid w:val="0042099C"/>
    <w:rsid w:val="00420C6E"/>
    <w:rsid w:val="00420F30"/>
    <w:rsid w:val="00421023"/>
    <w:rsid w:val="00422514"/>
    <w:rsid w:val="004225E7"/>
    <w:rsid w:val="004227F1"/>
    <w:rsid w:val="00422A0A"/>
    <w:rsid w:val="00423101"/>
    <w:rsid w:val="00423F62"/>
    <w:rsid w:val="0042494D"/>
    <w:rsid w:val="004250FD"/>
    <w:rsid w:val="0042516B"/>
    <w:rsid w:val="00425220"/>
    <w:rsid w:val="004253C0"/>
    <w:rsid w:val="00425E0D"/>
    <w:rsid w:val="00425F0C"/>
    <w:rsid w:val="00425F32"/>
    <w:rsid w:val="004263D9"/>
    <w:rsid w:val="00426454"/>
    <w:rsid w:val="00426784"/>
    <w:rsid w:val="004268B7"/>
    <w:rsid w:val="00426E34"/>
    <w:rsid w:val="0042706E"/>
    <w:rsid w:val="00427A57"/>
    <w:rsid w:val="0043020C"/>
    <w:rsid w:val="004304B2"/>
    <w:rsid w:val="004304BC"/>
    <w:rsid w:val="004305B9"/>
    <w:rsid w:val="00430837"/>
    <w:rsid w:val="004309E1"/>
    <w:rsid w:val="00430C42"/>
    <w:rsid w:val="00430C8B"/>
    <w:rsid w:val="00430F38"/>
    <w:rsid w:val="004312E8"/>
    <w:rsid w:val="004315FF"/>
    <w:rsid w:val="00431A55"/>
    <w:rsid w:val="00431E07"/>
    <w:rsid w:val="00431E7C"/>
    <w:rsid w:val="00431F1F"/>
    <w:rsid w:val="0043210F"/>
    <w:rsid w:val="00432463"/>
    <w:rsid w:val="00432856"/>
    <w:rsid w:val="004328AE"/>
    <w:rsid w:val="00432B6B"/>
    <w:rsid w:val="00432D52"/>
    <w:rsid w:val="00432D82"/>
    <w:rsid w:val="0043323E"/>
    <w:rsid w:val="004339D3"/>
    <w:rsid w:val="00433CC2"/>
    <w:rsid w:val="00433D71"/>
    <w:rsid w:val="00433D87"/>
    <w:rsid w:val="00433F4E"/>
    <w:rsid w:val="00434923"/>
    <w:rsid w:val="004355A4"/>
    <w:rsid w:val="004355B8"/>
    <w:rsid w:val="00436093"/>
    <w:rsid w:val="00436EC8"/>
    <w:rsid w:val="00436F2E"/>
    <w:rsid w:val="004378EA"/>
    <w:rsid w:val="00437BE3"/>
    <w:rsid w:val="00440525"/>
    <w:rsid w:val="00440C0D"/>
    <w:rsid w:val="0044129E"/>
    <w:rsid w:val="00441A46"/>
    <w:rsid w:val="00441C7F"/>
    <w:rsid w:val="00441DE7"/>
    <w:rsid w:val="00441EFC"/>
    <w:rsid w:val="00443B3E"/>
    <w:rsid w:val="00443E40"/>
    <w:rsid w:val="0044411B"/>
    <w:rsid w:val="004443DC"/>
    <w:rsid w:val="004444DF"/>
    <w:rsid w:val="0044479A"/>
    <w:rsid w:val="00445352"/>
    <w:rsid w:val="00446123"/>
    <w:rsid w:val="00446437"/>
    <w:rsid w:val="0044644F"/>
    <w:rsid w:val="00446802"/>
    <w:rsid w:val="0044692C"/>
    <w:rsid w:val="00446B9F"/>
    <w:rsid w:val="00446E60"/>
    <w:rsid w:val="004472CC"/>
    <w:rsid w:val="004478E4"/>
    <w:rsid w:val="0044794C"/>
    <w:rsid w:val="004502D8"/>
    <w:rsid w:val="00450422"/>
    <w:rsid w:val="00450536"/>
    <w:rsid w:val="004511DD"/>
    <w:rsid w:val="0045129B"/>
    <w:rsid w:val="0045164B"/>
    <w:rsid w:val="004516AB"/>
    <w:rsid w:val="0045189C"/>
    <w:rsid w:val="00451B52"/>
    <w:rsid w:val="00451E62"/>
    <w:rsid w:val="00452381"/>
    <w:rsid w:val="00452B01"/>
    <w:rsid w:val="004531BE"/>
    <w:rsid w:val="0045395A"/>
    <w:rsid w:val="00453F3E"/>
    <w:rsid w:val="004540B1"/>
    <w:rsid w:val="00454131"/>
    <w:rsid w:val="00454235"/>
    <w:rsid w:val="00454443"/>
    <w:rsid w:val="004547D7"/>
    <w:rsid w:val="00454D53"/>
    <w:rsid w:val="00456100"/>
    <w:rsid w:val="00456499"/>
    <w:rsid w:val="0045696B"/>
    <w:rsid w:val="00456A53"/>
    <w:rsid w:val="00456C0F"/>
    <w:rsid w:val="00456D38"/>
    <w:rsid w:val="00457429"/>
    <w:rsid w:val="00457CD6"/>
    <w:rsid w:val="0046001D"/>
    <w:rsid w:val="00460227"/>
    <w:rsid w:val="00460498"/>
    <w:rsid w:val="00460730"/>
    <w:rsid w:val="004608B5"/>
    <w:rsid w:val="004609E5"/>
    <w:rsid w:val="004610CF"/>
    <w:rsid w:val="0046236F"/>
    <w:rsid w:val="00462397"/>
    <w:rsid w:val="004629D1"/>
    <w:rsid w:val="00462C34"/>
    <w:rsid w:val="00463012"/>
    <w:rsid w:val="00463245"/>
    <w:rsid w:val="004637B4"/>
    <w:rsid w:val="004637D0"/>
    <w:rsid w:val="00463CFF"/>
    <w:rsid w:val="00464419"/>
    <w:rsid w:val="00464635"/>
    <w:rsid w:val="0046510E"/>
    <w:rsid w:val="00465D76"/>
    <w:rsid w:val="00466853"/>
    <w:rsid w:val="004668CB"/>
    <w:rsid w:val="00466F54"/>
    <w:rsid w:val="00467499"/>
    <w:rsid w:val="00467752"/>
    <w:rsid w:val="00467766"/>
    <w:rsid w:val="0047016C"/>
    <w:rsid w:val="004708DF"/>
    <w:rsid w:val="00470996"/>
    <w:rsid w:val="00470BC1"/>
    <w:rsid w:val="00470FE1"/>
    <w:rsid w:val="004711F8"/>
    <w:rsid w:val="0047233A"/>
    <w:rsid w:val="0047263A"/>
    <w:rsid w:val="004730BE"/>
    <w:rsid w:val="0047323D"/>
    <w:rsid w:val="00473425"/>
    <w:rsid w:val="004734F8"/>
    <w:rsid w:val="00473897"/>
    <w:rsid w:val="00474124"/>
    <w:rsid w:val="004742BE"/>
    <w:rsid w:val="004743CC"/>
    <w:rsid w:val="0047444A"/>
    <w:rsid w:val="004744D6"/>
    <w:rsid w:val="004747BB"/>
    <w:rsid w:val="00474C02"/>
    <w:rsid w:val="00474E5C"/>
    <w:rsid w:val="00474ECA"/>
    <w:rsid w:val="004750B5"/>
    <w:rsid w:val="004758F7"/>
    <w:rsid w:val="00475B53"/>
    <w:rsid w:val="00475CC6"/>
    <w:rsid w:val="00475F06"/>
    <w:rsid w:val="00476111"/>
    <w:rsid w:val="004762F6"/>
    <w:rsid w:val="00476377"/>
    <w:rsid w:val="004764B0"/>
    <w:rsid w:val="00476650"/>
    <w:rsid w:val="0047698E"/>
    <w:rsid w:val="00476B9D"/>
    <w:rsid w:val="00477A70"/>
    <w:rsid w:val="00477E89"/>
    <w:rsid w:val="00480DC3"/>
    <w:rsid w:val="004811B6"/>
    <w:rsid w:val="00481410"/>
    <w:rsid w:val="00481500"/>
    <w:rsid w:val="00481661"/>
    <w:rsid w:val="004816F0"/>
    <w:rsid w:val="004817C5"/>
    <w:rsid w:val="00481DF2"/>
    <w:rsid w:val="00481E87"/>
    <w:rsid w:val="004822AD"/>
    <w:rsid w:val="00482A49"/>
    <w:rsid w:val="00482B8D"/>
    <w:rsid w:val="00482FED"/>
    <w:rsid w:val="004833A1"/>
    <w:rsid w:val="004837BE"/>
    <w:rsid w:val="00483829"/>
    <w:rsid w:val="0048384E"/>
    <w:rsid w:val="00483D86"/>
    <w:rsid w:val="00483DDA"/>
    <w:rsid w:val="00483E74"/>
    <w:rsid w:val="00483FAF"/>
    <w:rsid w:val="00484091"/>
    <w:rsid w:val="0048413E"/>
    <w:rsid w:val="004843A4"/>
    <w:rsid w:val="00484B10"/>
    <w:rsid w:val="00484D35"/>
    <w:rsid w:val="004852BD"/>
    <w:rsid w:val="004854A1"/>
    <w:rsid w:val="00485F63"/>
    <w:rsid w:val="00486049"/>
    <w:rsid w:val="00486DC6"/>
    <w:rsid w:val="00486DCD"/>
    <w:rsid w:val="00487EF3"/>
    <w:rsid w:val="004904D6"/>
    <w:rsid w:val="00490A49"/>
    <w:rsid w:val="00490C2D"/>
    <w:rsid w:val="00490DE7"/>
    <w:rsid w:val="004910CB"/>
    <w:rsid w:val="00491AB6"/>
    <w:rsid w:val="00492810"/>
    <w:rsid w:val="004928F6"/>
    <w:rsid w:val="00492B35"/>
    <w:rsid w:val="00493043"/>
    <w:rsid w:val="00493A88"/>
    <w:rsid w:val="00493BBB"/>
    <w:rsid w:val="00494441"/>
    <w:rsid w:val="00494BE0"/>
    <w:rsid w:val="00494DEF"/>
    <w:rsid w:val="00494F50"/>
    <w:rsid w:val="0049578E"/>
    <w:rsid w:val="00495BB0"/>
    <w:rsid w:val="00495BF0"/>
    <w:rsid w:val="004960C2"/>
    <w:rsid w:val="0049670A"/>
    <w:rsid w:val="00496765"/>
    <w:rsid w:val="00496790"/>
    <w:rsid w:val="00496F67"/>
    <w:rsid w:val="00497082"/>
    <w:rsid w:val="004975E0"/>
    <w:rsid w:val="0049782F"/>
    <w:rsid w:val="00497B37"/>
    <w:rsid w:val="004A070E"/>
    <w:rsid w:val="004A0756"/>
    <w:rsid w:val="004A105A"/>
    <w:rsid w:val="004A1252"/>
    <w:rsid w:val="004A14F0"/>
    <w:rsid w:val="004A1716"/>
    <w:rsid w:val="004A1A5E"/>
    <w:rsid w:val="004A27A9"/>
    <w:rsid w:val="004A2FA5"/>
    <w:rsid w:val="004A308C"/>
    <w:rsid w:val="004A3145"/>
    <w:rsid w:val="004A3482"/>
    <w:rsid w:val="004A3A76"/>
    <w:rsid w:val="004A3D19"/>
    <w:rsid w:val="004A4024"/>
    <w:rsid w:val="004A40B2"/>
    <w:rsid w:val="004A447E"/>
    <w:rsid w:val="004A4B1B"/>
    <w:rsid w:val="004A4D47"/>
    <w:rsid w:val="004A4E44"/>
    <w:rsid w:val="004A5794"/>
    <w:rsid w:val="004A5942"/>
    <w:rsid w:val="004A5DE1"/>
    <w:rsid w:val="004A64E6"/>
    <w:rsid w:val="004A716E"/>
    <w:rsid w:val="004A7B34"/>
    <w:rsid w:val="004B0407"/>
    <w:rsid w:val="004B0A7D"/>
    <w:rsid w:val="004B0BC8"/>
    <w:rsid w:val="004B120A"/>
    <w:rsid w:val="004B159A"/>
    <w:rsid w:val="004B172D"/>
    <w:rsid w:val="004B17E0"/>
    <w:rsid w:val="004B1873"/>
    <w:rsid w:val="004B1FE9"/>
    <w:rsid w:val="004B21B8"/>
    <w:rsid w:val="004B2369"/>
    <w:rsid w:val="004B2E51"/>
    <w:rsid w:val="004B3077"/>
    <w:rsid w:val="004B35C9"/>
    <w:rsid w:val="004B3B15"/>
    <w:rsid w:val="004B3B23"/>
    <w:rsid w:val="004B4343"/>
    <w:rsid w:val="004B44AB"/>
    <w:rsid w:val="004B4555"/>
    <w:rsid w:val="004B4916"/>
    <w:rsid w:val="004B4934"/>
    <w:rsid w:val="004B5647"/>
    <w:rsid w:val="004B576E"/>
    <w:rsid w:val="004B5985"/>
    <w:rsid w:val="004B6617"/>
    <w:rsid w:val="004B6A30"/>
    <w:rsid w:val="004B6A79"/>
    <w:rsid w:val="004B718E"/>
    <w:rsid w:val="004B7345"/>
    <w:rsid w:val="004B7539"/>
    <w:rsid w:val="004B786E"/>
    <w:rsid w:val="004B7A13"/>
    <w:rsid w:val="004B7AF8"/>
    <w:rsid w:val="004B7CF5"/>
    <w:rsid w:val="004B7D2A"/>
    <w:rsid w:val="004B7D2B"/>
    <w:rsid w:val="004B7ED1"/>
    <w:rsid w:val="004C02EA"/>
    <w:rsid w:val="004C0333"/>
    <w:rsid w:val="004C0874"/>
    <w:rsid w:val="004C0A23"/>
    <w:rsid w:val="004C0AC0"/>
    <w:rsid w:val="004C0D3C"/>
    <w:rsid w:val="004C10C9"/>
    <w:rsid w:val="004C1716"/>
    <w:rsid w:val="004C1A83"/>
    <w:rsid w:val="004C35AA"/>
    <w:rsid w:val="004C3686"/>
    <w:rsid w:val="004C37BA"/>
    <w:rsid w:val="004C39F9"/>
    <w:rsid w:val="004C3CA4"/>
    <w:rsid w:val="004C40F5"/>
    <w:rsid w:val="004C500F"/>
    <w:rsid w:val="004C53D9"/>
    <w:rsid w:val="004C5A0F"/>
    <w:rsid w:val="004C5F1C"/>
    <w:rsid w:val="004C60C1"/>
    <w:rsid w:val="004C62F8"/>
    <w:rsid w:val="004C670E"/>
    <w:rsid w:val="004C6BBE"/>
    <w:rsid w:val="004C7085"/>
    <w:rsid w:val="004C71C4"/>
    <w:rsid w:val="004C729B"/>
    <w:rsid w:val="004C7584"/>
    <w:rsid w:val="004C762B"/>
    <w:rsid w:val="004C76CC"/>
    <w:rsid w:val="004C76E8"/>
    <w:rsid w:val="004C78F0"/>
    <w:rsid w:val="004C7BCE"/>
    <w:rsid w:val="004C7C1C"/>
    <w:rsid w:val="004C7EAE"/>
    <w:rsid w:val="004D000E"/>
    <w:rsid w:val="004D0071"/>
    <w:rsid w:val="004D016A"/>
    <w:rsid w:val="004D026D"/>
    <w:rsid w:val="004D02FF"/>
    <w:rsid w:val="004D05D0"/>
    <w:rsid w:val="004D07D4"/>
    <w:rsid w:val="004D0A9D"/>
    <w:rsid w:val="004D11F6"/>
    <w:rsid w:val="004D1355"/>
    <w:rsid w:val="004D1573"/>
    <w:rsid w:val="004D1BB2"/>
    <w:rsid w:val="004D1BCE"/>
    <w:rsid w:val="004D1C55"/>
    <w:rsid w:val="004D25EE"/>
    <w:rsid w:val="004D2707"/>
    <w:rsid w:val="004D2981"/>
    <w:rsid w:val="004D299E"/>
    <w:rsid w:val="004D2AF8"/>
    <w:rsid w:val="004D2C5A"/>
    <w:rsid w:val="004D2FCA"/>
    <w:rsid w:val="004D39FD"/>
    <w:rsid w:val="004D40FB"/>
    <w:rsid w:val="004D430B"/>
    <w:rsid w:val="004D47CE"/>
    <w:rsid w:val="004D4933"/>
    <w:rsid w:val="004D4966"/>
    <w:rsid w:val="004D4B75"/>
    <w:rsid w:val="004D4C0A"/>
    <w:rsid w:val="004D531C"/>
    <w:rsid w:val="004D53B3"/>
    <w:rsid w:val="004D6286"/>
    <w:rsid w:val="004D644B"/>
    <w:rsid w:val="004D6775"/>
    <w:rsid w:val="004D6CCB"/>
    <w:rsid w:val="004D7188"/>
    <w:rsid w:val="004D7207"/>
    <w:rsid w:val="004D76F6"/>
    <w:rsid w:val="004D7E1C"/>
    <w:rsid w:val="004D7FD4"/>
    <w:rsid w:val="004E0009"/>
    <w:rsid w:val="004E005D"/>
    <w:rsid w:val="004E0103"/>
    <w:rsid w:val="004E1138"/>
    <w:rsid w:val="004E12ED"/>
    <w:rsid w:val="004E133F"/>
    <w:rsid w:val="004E1CD3"/>
    <w:rsid w:val="004E1FF6"/>
    <w:rsid w:val="004E218C"/>
    <w:rsid w:val="004E2627"/>
    <w:rsid w:val="004E2E09"/>
    <w:rsid w:val="004E30F7"/>
    <w:rsid w:val="004E33DC"/>
    <w:rsid w:val="004E33FF"/>
    <w:rsid w:val="004E3A63"/>
    <w:rsid w:val="004E3AF0"/>
    <w:rsid w:val="004E3C38"/>
    <w:rsid w:val="004E3FFD"/>
    <w:rsid w:val="004E4A17"/>
    <w:rsid w:val="004E5AE3"/>
    <w:rsid w:val="004E5B71"/>
    <w:rsid w:val="004E5EF4"/>
    <w:rsid w:val="004E660D"/>
    <w:rsid w:val="004E69FD"/>
    <w:rsid w:val="004E6A89"/>
    <w:rsid w:val="004E72D7"/>
    <w:rsid w:val="004E763C"/>
    <w:rsid w:val="004E786F"/>
    <w:rsid w:val="004E7DFA"/>
    <w:rsid w:val="004F00D0"/>
    <w:rsid w:val="004F0473"/>
    <w:rsid w:val="004F0891"/>
    <w:rsid w:val="004F0B75"/>
    <w:rsid w:val="004F0E12"/>
    <w:rsid w:val="004F16E6"/>
    <w:rsid w:val="004F192E"/>
    <w:rsid w:val="004F1D68"/>
    <w:rsid w:val="004F1FC9"/>
    <w:rsid w:val="004F2051"/>
    <w:rsid w:val="004F22C6"/>
    <w:rsid w:val="004F2449"/>
    <w:rsid w:val="004F2DDD"/>
    <w:rsid w:val="004F39E8"/>
    <w:rsid w:val="004F3D59"/>
    <w:rsid w:val="004F4041"/>
    <w:rsid w:val="004F4DA9"/>
    <w:rsid w:val="004F4F03"/>
    <w:rsid w:val="004F4F84"/>
    <w:rsid w:val="004F5227"/>
    <w:rsid w:val="004F5353"/>
    <w:rsid w:val="004F55E3"/>
    <w:rsid w:val="004F58D7"/>
    <w:rsid w:val="004F5924"/>
    <w:rsid w:val="004F59E7"/>
    <w:rsid w:val="004F5B6B"/>
    <w:rsid w:val="004F5DED"/>
    <w:rsid w:val="004F5EDB"/>
    <w:rsid w:val="004F6263"/>
    <w:rsid w:val="004F6E39"/>
    <w:rsid w:val="004F6E4D"/>
    <w:rsid w:val="004F70E0"/>
    <w:rsid w:val="004F7116"/>
    <w:rsid w:val="004F75E8"/>
    <w:rsid w:val="004F76CB"/>
    <w:rsid w:val="004F7BB8"/>
    <w:rsid w:val="004F7D4E"/>
    <w:rsid w:val="0050007C"/>
    <w:rsid w:val="0050035B"/>
    <w:rsid w:val="00500911"/>
    <w:rsid w:val="00501204"/>
    <w:rsid w:val="00501A9B"/>
    <w:rsid w:val="00501E47"/>
    <w:rsid w:val="00502684"/>
    <w:rsid w:val="005027E8"/>
    <w:rsid w:val="00502955"/>
    <w:rsid w:val="00502CB9"/>
    <w:rsid w:val="00502CFB"/>
    <w:rsid w:val="00503440"/>
    <w:rsid w:val="005034D4"/>
    <w:rsid w:val="00503901"/>
    <w:rsid w:val="00504372"/>
    <w:rsid w:val="00504491"/>
    <w:rsid w:val="0050449D"/>
    <w:rsid w:val="005048C1"/>
    <w:rsid w:val="00504C22"/>
    <w:rsid w:val="00504F8A"/>
    <w:rsid w:val="00505AC2"/>
    <w:rsid w:val="00505AE5"/>
    <w:rsid w:val="00505C18"/>
    <w:rsid w:val="00505D67"/>
    <w:rsid w:val="00505DD6"/>
    <w:rsid w:val="00505E30"/>
    <w:rsid w:val="00505E99"/>
    <w:rsid w:val="00505F90"/>
    <w:rsid w:val="00506245"/>
    <w:rsid w:val="00506C57"/>
    <w:rsid w:val="00506D47"/>
    <w:rsid w:val="00506F4E"/>
    <w:rsid w:val="0050723B"/>
    <w:rsid w:val="00507300"/>
    <w:rsid w:val="005078E6"/>
    <w:rsid w:val="005079DF"/>
    <w:rsid w:val="00507DB0"/>
    <w:rsid w:val="005101FC"/>
    <w:rsid w:val="00510568"/>
    <w:rsid w:val="00510C61"/>
    <w:rsid w:val="00510F9B"/>
    <w:rsid w:val="005111DA"/>
    <w:rsid w:val="005112CE"/>
    <w:rsid w:val="005114A7"/>
    <w:rsid w:val="0051166F"/>
    <w:rsid w:val="005118CD"/>
    <w:rsid w:val="00511BF1"/>
    <w:rsid w:val="00511DFF"/>
    <w:rsid w:val="00511E6F"/>
    <w:rsid w:val="00512003"/>
    <w:rsid w:val="0051202A"/>
    <w:rsid w:val="005126ED"/>
    <w:rsid w:val="00512871"/>
    <w:rsid w:val="00512A4E"/>
    <w:rsid w:val="00512A7F"/>
    <w:rsid w:val="00512AB1"/>
    <w:rsid w:val="00513392"/>
    <w:rsid w:val="0051354E"/>
    <w:rsid w:val="005138C7"/>
    <w:rsid w:val="00513A38"/>
    <w:rsid w:val="00513B70"/>
    <w:rsid w:val="00513BF6"/>
    <w:rsid w:val="00513D7A"/>
    <w:rsid w:val="00514010"/>
    <w:rsid w:val="005150D5"/>
    <w:rsid w:val="00515251"/>
    <w:rsid w:val="0051572A"/>
    <w:rsid w:val="00515913"/>
    <w:rsid w:val="00515B08"/>
    <w:rsid w:val="005160EE"/>
    <w:rsid w:val="005161AC"/>
    <w:rsid w:val="0051695F"/>
    <w:rsid w:val="00516DD7"/>
    <w:rsid w:val="00516E56"/>
    <w:rsid w:val="00516F2B"/>
    <w:rsid w:val="005171FD"/>
    <w:rsid w:val="005175C6"/>
    <w:rsid w:val="00517E30"/>
    <w:rsid w:val="00517F33"/>
    <w:rsid w:val="00517F6D"/>
    <w:rsid w:val="00517FA8"/>
    <w:rsid w:val="00520000"/>
    <w:rsid w:val="0052015B"/>
    <w:rsid w:val="005201A3"/>
    <w:rsid w:val="005201DE"/>
    <w:rsid w:val="005204B9"/>
    <w:rsid w:val="00520AD2"/>
    <w:rsid w:val="0052145D"/>
    <w:rsid w:val="00522435"/>
    <w:rsid w:val="00522C17"/>
    <w:rsid w:val="00523083"/>
    <w:rsid w:val="005234A1"/>
    <w:rsid w:val="00523511"/>
    <w:rsid w:val="00523789"/>
    <w:rsid w:val="00523A8B"/>
    <w:rsid w:val="00523A99"/>
    <w:rsid w:val="00523F44"/>
    <w:rsid w:val="005241CE"/>
    <w:rsid w:val="00524663"/>
    <w:rsid w:val="005249D5"/>
    <w:rsid w:val="00525213"/>
    <w:rsid w:val="00525396"/>
    <w:rsid w:val="00525572"/>
    <w:rsid w:val="005255F7"/>
    <w:rsid w:val="00525CB8"/>
    <w:rsid w:val="00525D79"/>
    <w:rsid w:val="00525FF2"/>
    <w:rsid w:val="00526269"/>
    <w:rsid w:val="0052675C"/>
    <w:rsid w:val="00526C1E"/>
    <w:rsid w:val="00526DA1"/>
    <w:rsid w:val="005271BF"/>
    <w:rsid w:val="005273B0"/>
    <w:rsid w:val="005278F6"/>
    <w:rsid w:val="005300A6"/>
    <w:rsid w:val="00530F10"/>
    <w:rsid w:val="00531483"/>
    <w:rsid w:val="00531705"/>
    <w:rsid w:val="00531B22"/>
    <w:rsid w:val="00531BB6"/>
    <w:rsid w:val="00531CBF"/>
    <w:rsid w:val="00531D7C"/>
    <w:rsid w:val="00531DA3"/>
    <w:rsid w:val="0053210E"/>
    <w:rsid w:val="00532222"/>
    <w:rsid w:val="00532D01"/>
    <w:rsid w:val="005336AA"/>
    <w:rsid w:val="00533A6A"/>
    <w:rsid w:val="00533CE7"/>
    <w:rsid w:val="00533EBF"/>
    <w:rsid w:val="00533FC9"/>
    <w:rsid w:val="00534632"/>
    <w:rsid w:val="0053532F"/>
    <w:rsid w:val="005354F3"/>
    <w:rsid w:val="00535569"/>
    <w:rsid w:val="00536007"/>
    <w:rsid w:val="00536517"/>
    <w:rsid w:val="0053688D"/>
    <w:rsid w:val="00536918"/>
    <w:rsid w:val="005379C5"/>
    <w:rsid w:val="00537BA8"/>
    <w:rsid w:val="00537CF3"/>
    <w:rsid w:val="00540724"/>
    <w:rsid w:val="00540C2E"/>
    <w:rsid w:val="00541F87"/>
    <w:rsid w:val="00542262"/>
    <w:rsid w:val="005429DB"/>
    <w:rsid w:val="00542EF9"/>
    <w:rsid w:val="005432CA"/>
    <w:rsid w:val="005436F2"/>
    <w:rsid w:val="00543C00"/>
    <w:rsid w:val="00543C56"/>
    <w:rsid w:val="00543F80"/>
    <w:rsid w:val="00544343"/>
    <w:rsid w:val="00544878"/>
    <w:rsid w:val="005448E4"/>
    <w:rsid w:val="00544A8A"/>
    <w:rsid w:val="00544DAD"/>
    <w:rsid w:val="005450BF"/>
    <w:rsid w:val="00545158"/>
    <w:rsid w:val="00545264"/>
    <w:rsid w:val="00546188"/>
    <w:rsid w:val="0054688D"/>
    <w:rsid w:val="00546E42"/>
    <w:rsid w:val="00547232"/>
    <w:rsid w:val="00547E51"/>
    <w:rsid w:val="00547F10"/>
    <w:rsid w:val="00550345"/>
    <w:rsid w:val="00551652"/>
    <w:rsid w:val="00551B5D"/>
    <w:rsid w:val="00551B86"/>
    <w:rsid w:val="005522AD"/>
    <w:rsid w:val="005527F5"/>
    <w:rsid w:val="00552842"/>
    <w:rsid w:val="0055319A"/>
    <w:rsid w:val="005538A6"/>
    <w:rsid w:val="00553B56"/>
    <w:rsid w:val="00553D95"/>
    <w:rsid w:val="00554170"/>
    <w:rsid w:val="005541AD"/>
    <w:rsid w:val="00554285"/>
    <w:rsid w:val="00554456"/>
    <w:rsid w:val="005550D1"/>
    <w:rsid w:val="00555D04"/>
    <w:rsid w:val="00555E77"/>
    <w:rsid w:val="00555FC2"/>
    <w:rsid w:val="0055608D"/>
    <w:rsid w:val="00556DD6"/>
    <w:rsid w:val="00557182"/>
    <w:rsid w:val="0055751C"/>
    <w:rsid w:val="0055757D"/>
    <w:rsid w:val="0055779F"/>
    <w:rsid w:val="0056006F"/>
    <w:rsid w:val="005600DE"/>
    <w:rsid w:val="005601A3"/>
    <w:rsid w:val="005602A5"/>
    <w:rsid w:val="0056061A"/>
    <w:rsid w:val="00560DD4"/>
    <w:rsid w:val="00560F78"/>
    <w:rsid w:val="005611F3"/>
    <w:rsid w:val="00561289"/>
    <w:rsid w:val="005612AB"/>
    <w:rsid w:val="00562019"/>
    <w:rsid w:val="005620EE"/>
    <w:rsid w:val="0056231C"/>
    <w:rsid w:val="00563207"/>
    <w:rsid w:val="0056363E"/>
    <w:rsid w:val="00563930"/>
    <w:rsid w:val="00563F35"/>
    <w:rsid w:val="00564947"/>
    <w:rsid w:val="00564AFE"/>
    <w:rsid w:val="00564C96"/>
    <w:rsid w:val="00564EF1"/>
    <w:rsid w:val="0056523E"/>
    <w:rsid w:val="005656EF"/>
    <w:rsid w:val="005658E1"/>
    <w:rsid w:val="00565A6B"/>
    <w:rsid w:val="00565D23"/>
    <w:rsid w:val="00566262"/>
    <w:rsid w:val="005677BF"/>
    <w:rsid w:val="00567A61"/>
    <w:rsid w:val="00570551"/>
    <w:rsid w:val="00570DC4"/>
    <w:rsid w:val="005713E8"/>
    <w:rsid w:val="0057142B"/>
    <w:rsid w:val="005717DD"/>
    <w:rsid w:val="00571C70"/>
    <w:rsid w:val="00572358"/>
    <w:rsid w:val="00572CCD"/>
    <w:rsid w:val="00572E9D"/>
    <w:rsid w:val="00572EBC"/>
    <w:rsid w:val="00573176"/>
    <w:rsid w:val="0057363A"/>
    <w:rsid w:val="0057363C"/>
    <w:rsid w:val="00573DDB"/>
    <w:rsid w:val="00574103"/>
    <w:rsid w:val="00574292"/>
    <w:rsid w:val="005744B6"/>
    <w:rsid w:val="00574704"/>
    <w:rsid w:val="00574A50"/>
    <w:rsid w:val="00574D8E"/>
    <w:rsid w:val="0057532A"/>
    <w:rsid w:val="00575505"/>
    <w:rsid w:val="005759FD"/>
    <w:rsid w:val="0057697B"/>
    <w:rsid w:val="00576D45"/>
    <w:rsid w:val="0057705B"/>
    <w:rsid w:val="00577087"/>
    <w:rsid w:val="0057769C"/>
    <w:rsid w:val="00577889"/>
    <w:rsid w:val="00577948"/>
    <w:rsid w:val="00577A44"/>
    <w:rsid w:val="00577E4B"/>
    <w:rsid w:val="00580F7D"/>
    <w:rsid w:val="0058186E"/>
    <w:rsid w:val="00581B06"/>
    <w:rsid w:val="00581C24"/>
    <w:rsid w:val="00581CEA"/>
    <w:rsid w:val="00581EB0"/>
    <w:rsid w:val="0058224E"/>
    <w:rsid w:val="00582800"/>
    <w:rsid w:val="005829B6"/>
    <w:rsid w:val="005830BF"/>
    <w:rsid w:val="00583501"/>
    <w:rsid w:val="00583CA6"/>
    <w:rsid w:val="00583E7A"/>
    <w:rsid w:val="00583EB3"/>
    <w:rsid w:val="00584002"/>
    <w:rsid w:val="00584313"/>
    <w:rsid w:val="0058432C"/>
    <w:rsid w:val="0058472B"/>
    <w:rsid w:val="00584D96"/>
    <w:rsid w:val="00585652"/>
    <w:rsid w:val="005856F6"/>
    <w:rsid w:val="005862BD"/>
    <w:rsid w:val="00586680"/>
    <w:rsid w:val="00586A0D"/>
    <w:rsid w:val="00586C19"/>
    <w:rsid w:val="00586EBA"/>
    <w:rsid w:val="005876A1"/>
    <w:rsid w:val="00590CC1"/>
    <w:rsid w:val="00590DCB"/>
    <w:rsid w:val="00591309"/>
    <w:rsid w:val="005918DF"/>
    <w:rsid w:val="00591AB0"/>
    <w:rsid w:val="005922F6"/>
    <w:rsid w:val="005927F3"/>
    <w:rsid w:val="00592FAF"/>
    <w:rsid w:val="00593687"/>
    <w:rsid w:val="00593866"/>
    <w:rsid w:val="005938D4"/>
    <w:rsid w:val="00594038"/>
    <w:rsid w:val="0059432F"/>
    <w:rsid w:val="0059456C"/>
    <w:rsid w:val="0059459F"/>
    <w:rsid w:val="00594FD6"/>
    <w:rsid w:val="005955DB"/>
    <w:rsid w:val="00595681"/>
    <w:rsid w:val="00595C8A"/>
    <w:rsid w:val="00595D17"/>
    <w:rsid w:val="0059651E"/>
    <w:rsid w:val="00596785"/>
    <w:rsid w:val="00596793"/>
    <w:rsid w:val="005967CD"/>
    <w:rsid w:val="00597187"/>
    <w:rsid w:val="005972F1"/>
    <w:rsid w:val="0059745F"/>
    <w:rsid w:val="005979AD"/>
    <w:rsid w:val="00597BAE"/>
    <w:rsid w:val="00597D21"/>
    <w:rsid w:val="00597D8E"/>
    <w:rsid w:val="005A0555"/>
    <w:rsid w:val="005A0901"/>
    <w:rsid w:val="005A10E7"/>
    <w:rsid w:val="005A14BB"/>
    <w:rsid w:val="005A17FC"/>
    <w:rsid w:val="005A196D"/>
    <w:rsid w:val="005A1BD9"/>
    <w:rsid w:val="005A24FD"/>
    <w:rsid w:val="005A27EF"/>
    <w:rsid w:val="005A2C83"/>
    <w:rsid w:val="005A2F27"/>
    <w:rsid w:val="005A3381"/>
    <w:rsid w:val="005A3519"/>
    <w:rsid w:val="005A3553"/>
    <w:rsid w:val="005A4A94"/>
    <w:rsid w:val="005A4E69"/>
    <w:rsid w:val="005A4F05"/>
    <w:rsid w:val="005A518C"/>
    <w:rsid w:val="005A559A"/>
    <w:rsid w:val="005A5724"/>
    <w:rsid w:val="005A5CDC"/>
    <w:rsid w:val="005A62A2"/>
    <w:rsid w:val="005A6B99"/>
    <w:rsid w:val="005A6C21"/>
    <w:rsid w:val="005A6E5D"/>
    <w:rsid w:val="005A70E6"/>
    <w:rsid w:val="005A72FC"/>
    <w:rsid w:val="005A74BE"/>
    <w:rsid w:val="005A7E06"/>
    <w:rsid w:val="005B0241"/>
    <w:rsid w:val="005B0351"/>
    <w:rsid w:val="005B0568"/>
    <w:rsid w:val="005B061D"/>
    <w:rsid w:val="005B0BF0"/>
    <w:rsid w:val="005B1536"/>
    <w:rsid w:val="005B1B77"/>
    <w:rsid w:val="005B222E"/>
    <w:rsid w:val="005B223C"/>
    <w:rsid w:val="005B24AB"/>
    <w:rsid w:val="005B274C"/>
    <w:rsid w:val="005B28E6"/>
    <w:rsid w:val="005B2984"/>
    <w:rsid w:val="005B29A6"/>
    <w:rsid w:val="005B2B60"/>
    <w:rsid w:val="005B2ED3"/>
    <w:rsid w:val="005B33BE"/>
    <w:rsid w:val="005B3559"/>
    <w:rsid w:val="005B4620"/>
    <w:rsid w:val="005B487D"/>
    <w:rsid w:val="005B53EF"/>
    <w:rsid w:val="005B54F6"/>
    <w:rsid w:val="005B57DA"/>
    <w:rsid w:val="005B5B52"/>
    <w:rsid w:val="005B5E15"/>
    <w:rsid w:val="005B60BC"/>
    <w:rsid w:val="005B65F1"/>
    <w:rsid w:val="005B66A7"/>
    <w:rsid w:val="005B6FCB"/>
    <w:rsid w:val="005B7357"/>
    <w:rsid w:val="005B78AF"/>
    <w:rsid w:val="005B7ED5"/>
    <w:rsid w:val="005B7F7A"/>
    <w:rsid w:val="005C05DF"/>
    <w:rsid w:val="005C0787"/>
    <w:rsid w:val="005C07FD"/>
    <w:rsid w:val="005C0876"/>
    <w:rsid w:val="005C09EF"/>
    <w:rsid w:val="005C0B45"/>
    <w:rsid w:val="005C0D27"/>
    <w:rsid w:val="005C10D1"/>
    <w:rsid w:val="005C1446"/>
    <w:rsid w:val="005C1C74"/>
    <w:rsid w:val="005C2F92"/>
    <w:rsid w:val="005C3097"/>
    <w:rsid w:val="005C312D"/>
    <w:rsid w:val="005C3638"/>
    <w:rsid w:val="005C38CC"/>
    <w:rsid w:val="005C39C5"/>
    <w:rsid w:val="005C3ADC"/>
    <w:rsid w:val="005C4562"/>
    <w:rsid w:val="005C4587"/>
    <w:rsid w:val="005C4932"/>
    <w:rsid w:val="005C4F4D"/>
    <w:rsid w:val="005C56F5"/>
    <w:rsid w:val="005C5AE1"/>
    <w:rsid w:val="005C63FE"/>
    <w:rsid w:val="005C66F0"/>
    <w:rsid w:val="005C679E"/>
    <w:rsid w:val="005C683B"/>
    <w:rsid w:val="005C6C43"/>
    <w:rsid w:val="005C6CA8"/>
    <w:rsid w:val="005C6E20"/>
    <w:rsid w:val="005C7015"/>
    <w:rsid w:val="005C7295"/>
    <w:rsid w:val="005C73A3"/>
    <w:rsid w:val="005D00E8"/>
    <w:rsid w:val="005D00EE"/>
    <w:rsid w:val="005D035A"/>
    <w:rsid w:val="005D0FDC"/>
    <w:rsid w:val="005D1585"/>
    <w:rsid w:val="005D15F5"/>
    <w:rsid w:val="005D212E"/>
    <w:rsid w:val="005D26CA"/>
    <w:rsid w:val="005D291B"/>
    <w:rsid w:val="005D2B36"/>
    <w:rsid w:val="005D2D8B"/>
    <w:rsid w:val="005D2F39"/>
    <w:rsid w:val="005D397B"/>
    <w:rsid w:val="005D39FF"/>
    <w:rsid w:val="005D3A7F"/>
    <w:rsid w:val="005D3BF2"/>
    <w:rsid w:val="005D3D7D"/>
    <w:rsid w:val="005D448C"/>
    <w:rsid w:val="005D4645"/>
    <w:rsid w:val="005D482A"/>
    <w:rsid w:val="005D4884"/>
    <w:rsid w:val="005D49FB"/>
    <w:rsid w:val="005D4C67"/>
    <w:rsid w:val="005D544F"/>
    <w:rsid w:val="005D5780"/>
    <w:rsid w:val="005D669D"/>
    <w:rsid w:val="005D66DC"/>
    <w:rsid w:val="005D69DF"/>
    <w:rsid w:val="005D6AA8"/>
    <w:rsid w:val="005D6AE4"/>
    <w:rsid w:val="005D725E"/>
    <w:rsid w:val="005D765B"/>
    <w:rsid w:val="005D7709"/>
    <w:rsid w:val="005D7771"/>
    <w:rsid w:val="005D7836"/>
    <w:rsid w:val="005D7B14"/>
    <w:rsid w:val="005D7CE5"/>
    <w:rsid w:val="005D7DF4"/>
    <w:rsid w:val="005E06D0"/>
    <w:rsid w:val="005E0D52"/>
    <w:rsid w:val="005E0E25"/>
    <w:rsid w:val="005E0E41"/>
    <w:rsid w:val="005E12F0"/>
    <w:rsid w:val="005E199F"/>
    <w:rsid w:val="005E1A3A"/>
    <w:rsid w:val="005E20C4"/>
    <w:rsid w:val="005E2740"/>
    <w:rsid w:val="005E2B53"/>
    <w:rsid w:val="005E2F75"/>
    <w:rsid w:val="005E31B2"/>
    <w:rsid w:val="005E3B93"/>
    <w:rsid w:val="005E3BFC"/>
    <w:rsid w:val="005E3CC2"/>
    <w:rsid w:val="005E3E6C"/>
    <w:rsid w:val="005E42B0"/>
    <w:rsid w:val="005E4319"/>
    <w:rsid w:val="005E44C3"/>
    <w:rsid w:val="005E4CA1"/>
    <w:rsid w:val="005E54A7"/>
    <w:rsid w:val="005E5545"/>
    <w:rsid w:val="005E5597"/>
    <w:rsid w:val="005E56DB"/>
    <w:rsid w:val="005E5D85"/>
    <w:rsid w:val="005E67EB"/>
    <w:rsid w:val="005E6B24"/>
    <w:rsid w:val="005E6D25"/>
    <w:rsid w:val="005E6D54"/>
    <w:rsid w:val="005E6EF0"/>
    <w:rsid w:val="005E7497"/>
    <w:rsid w:val="005E7746"/>
    <w:rsid w:val="005F06D0"/>
    <w:rsid w:val="005F0992"/>
    <w:rsid w:val="005F0C10"/>
    <w:rsid w:val="005F1254"/>
    <w:rsid w:val="005F1F7B"/>
    <w:rsid w:val="005F28CA"/>
    <w:rsid w:val="005F3202"/>
    <w:rsid w:val="005F321A"/>
    <w:rsid w:val="005F329A"/>
    <w:rsid w:val="005F39EE"/>
    <w:rsid w:val="005F40AB"/>
    <w:rsid w:val="005F4502"/>
    <w:rsid w:val="005F45F2"/>
    <w:rsid w:val="005F4760"/>
    <w:rsid w:val="005F4A48"/>
    <w:rsid w:val="005F4E9A"/>
    <w:rsid w:val="005F604E"/>
    <w:rsid w:val="005F6798"/>
    <w:rsid w:val="005F68C6"/>
    <w:rsid w:val="005F699A"/>
    <w:rsid w:val="005F791A"/>
    <w:rsid w:val="005F7BC7"/>
    <w:rsid w:val="005F7DF3"/>
    <w:rsid w:val="006001EE"/>
    <w:rsid w:val="00600CDB"/>
    <w:rsid w:val="00600D78"/>
    <w:rsid w:val="00600ED8"/>
    <w:rsid w:val="006011D8"/>
    <w:rsid w:val="00601335"/>
    <w:rsid w:val="006014DF"/>
    <w:rsid w:val="00601BD7"/>
    <w:rsid w:val="00601C72"/>
    <w:rsid w:val="00601E4F"/>
    <w:rsid w:val="00602191"/>
    <w:rsid w:val="006025BC"/>
    <w:rsid w:val="006026B6"/>
    <w:rsid w:val="006028C2"/>
    <w:rsid w:val="00602926"/>
    <w:rsid w:val="006031AC"/>
    <w:rsid w:val="0060326F"/>
    <w:rsid w:val="006036B9"/>
    <w:rsid w:val="00604B38"/>
    <w:rsid w:val="00604C90"/>
    <w:rsid w:val="00604CC5"/>
    <w:rsid w:val="006050BF"/>
    <w:rsid w:val="0060589A"/>
    <w:rsid w:val="00605A37"/>
    <w:rsid w:val="00605E5C"/>
    <w:rsid w:val="00606315"/>
    <w:rsid w:val="0060663B"/>
    <w:rsid w:val="00607200"/>
    <w:rsid w:val="00610743"/>
    <w:rsid w:val="00610C10"/>
    <w:rsid w:val="00610C25"/>
    <w:rsid w:val="00610ECB"/>
    <w:rsid w:val="006112AD"/>
    <w:rsid w:val="00611669"/>
    <w:rsid w:val="00611C20"/>
    <w:rsid w:val="00611E0F"/>
    <w:rsid w:val="00612058"/>
    <w:rsid w:val="006125CA"/>
    <w:rsid w:val="006131DA"/>
    <w:rsid w:val="006137CE"/>
    <w:rsid w:val="00613856"/>
    <w:rsid w:val="00614364"/>
    <w:rsid w:val="00614DC4"/>
    <w:rsid w:val="00614E7B"/>
    <w:rsid w:val="006158D9"/>
    <w:rsid w:val="00615C50"/>
    <w:rsid w:val="00615FC7"/>
    <w:rsid w:val="00616168"/>
    <w:rsid w:val="00616196"/>
    <w:rsid w:val="00616CC4"/>
    <w:rsid w:val="006174F8"/>
    <w:rsid w:val="006176CC"/>
    <w:rsid w:val="0062007D"/>
    <w:rsid w:val="00620814"/>
    <w:rsid w:val="00620843"/>
    <w:rsid w:val="00620D3C"/>
    <w:rsid w:val="0062194C"/>
    <w:rsid w:val="00621C8D"/>
    <w:rsid w:val="00621EEE"/>
    <w:rsid w:val="006220E9"/>
    <w:rsid w:val="006223D7"/>
    <w:rsid w:val="006224A3"/>
    <w:rsid w:val="006227DA"/>
    <w:rsid w:val="00622CA1"/>
    <w:rsid w:val="00622E8A"/>
    <w:rsid w:val="0062351E"/>
    <w:rsid w:val="00623644"/>
    <w:rsid w:val="006236B2"/>
    <w:rsid w:val="00623BED"/>
    <w:rsid w:val="00623C3F"/>
    <w:rsid w:val="0062419A"/>
    <w:rsid w:val="00624218"/>
    <w:rsid w:val="00624694"/>
    <w:rsid w:val="00624879"/>
    <w:rsid w:val="00624B10"/>
    <w:rsid w:val="00624B52"/>
    <w:rsid w:val="00625D46"/>
    <w:rsid w:val="00625F02"/>
    <w:rsid w:val="0062629E"/>
    <w:rsid w:val="0062639D"/>
    <w:rsid w:val="00626511"/>
    <w:rsid w:val="00626663"/>
    <w:rsid w:val="006266E6"/>
    <w:rsid w:val="00627158"/>
    <w:rsid w:val="006275BD"/>
    <w:rsid w:val="00627DE9"/>
    <w:rsid w:val="00627DF7"/>
    <w:rsid w:val="00627E5B"/>
    <w:rsid w:val="0063010F"/>
    <w:rsid w:val="00630776"/>
    <w:rsid w:val="006307E2"/>
    <w:rsid w:val="00630DC6"/>
    <w:rsid w:val="006312E2"/>
    <w:rsid w:val="00631378"/>
    <w:rsid w:val="006313D8"/>
    <w:rsid w:val="006314B9"/>
    <w:rsid w:val="006315FB"/>
    <w:rsid w:val="00631810"/>
    <w:rsid w:val="006318F9"/>
    <w:rsid w:val="00631ADC"/>
    <w:rsid w:val="00631B38"/>
    <w:rsid w:val="0063213E"/>
    <w:rsid w:val="00632330"/>
    <w:rsid w:val="006323B2"/>
    <w:rsid w:val="0063275C"/>
    <w:rsid w:val="00632891"/>
    <w:rsid w:val="00632A09"/>
    <w:rsid w:val="00632FA4"/>
    <w:rsid w:val="00633810"/>
    <w:rsid w:val="00633814"/>
    <w:rsid w:val="00633D93"/>
    <w:rsid w:val="00633E00"/>
    <w:rsid w:val="00633E8A"/>
    <w:rsid w:val="006342E8"/>
    <w:rsid w:val="0063431A"/>
    <w:rsid w:val="006344BF"/>
    <w:rsid w:val="00634CB8"/>
    <w:rsid w:val="006352CB"/>
    <w:rsid w:val="00635627"/>
    <w:rsid w:val="00635E61"/>
    <w:rsid w:val="00636E09"/>
    <w:rsid w:val="006370CB"/>
    <w:rsid w:val="00637162"/>
    <w:rsid w:val="00637418"/>
    <w:rsid w:val="0063752F"/>
    <w:rsid w:val="00637889"/>
    <w:rsid w:val="00637933"/>
    <w:rsid w:val="00637C6D"/>
    <w:rsid w:val="00637E82"/>
    <w:rsid w:val="006401E7"/>
    <w:rsid w:val="00640444"/>
    <w:rsid w:val="006404EC"/>
    <w:rsid w:val="0064065E"/>
    <w:rsid w:val="00640964"/>
    <w:rsid w:val="00640F16"/>
    <w:rsid w:val="00641035"/>
    <w:rsid w:val="006411B8"/>
    <w:rsid w:val="00641440"/>
    <w:rsid w:val="00641E1F"/>
    <w:rsid w:val="00642001"/>
    <w:rsid w:val="00642AB9"/>
    <w:rsid w:val="00642E85"/>
    <w:rsid w:val="00642FB5"/>
    <w:rsid w:val="0064325E"/>
    <w:rsid w:val="0064390B"/>
    <w:rsid w:val="00643BF3"/>
    <w:rsid w:val="00643C23"/>
    <w:rsid w:val="00644254"/>
    <w:rsid w:val="006443EF"/>
    <w:rsid w:val="00644CCC"/>
    <w:rsid w:val="00644DC2"/>
    <w:rsid w:val="0064556F"/>
    <w:rsid w:val="00645679"/>
    <w:rsid w:val="006457CD"/>
    <w:rsid w:val="006457DD"/>
    <w:rsid w:val="00646314"/>
    <w:rsid w:val="006466AF"/>
    <w:rsid w:val="00646707"/>
    <w:rsid w:val="0064672D"/>
    <w:rsid w:val="006468D0"/>
    <w:rsid w:val="00646948"/>
    <w:rsid w:val="00646BFD"/>
    <w:rsid w:val="00646CEE"/>
    <w:rsid w:val="00646F71"/>
    <w:rsid w:val="0064732D"/>
    <w:rsid w:val="006474E4"/>
    <w:rsid w:val="00647573"/>
    <w:rsid w:val="00647F96"/>
    <w:rsid w:val="006501BB"/>
    <w:rsid w:val="00650288"/>
    <w:rsid w:val="0065033C"/>
    <w:rsid w:val="0065048C"/>
    <w:rsid w:val="00650E34"/>
    <w:rsid w:val="0065130D"/>
    <w:rsid w:val="00651911"/>
    <w:rsid w:val="00651D38"/>
    <w:rsid w:val="00651E13"/>
    <w:rsid w:val="00652062"/>
    <w:rsid w:val="006528B8"/>
    <w:rsid w:val="006529C3"/>
    <w:rsid w:val="006529E4"/>
    <w:rsid w:val="00653C7B"/>
    <w:rsid w:val="00653CB1"/>
    <w:rsid w:val="006547F7"/>
    <w:rsid w:val="00654982"/>
    <w:rsid w:val="00654D03"/>
    <w:rsid w:val="006555B9"/>
    <w:rsid w:val="006559F2"/>
    <w:rsid w:val="00655B32"/>
    <w:rsid w:val="00655D3D"/>
    <w:rsid w:val="00655FAA"/>
    <w:rsid w:val="00656064"/>
    <w:rsid w:val="006566B5"/>
    <w:rsid w:val="00656953"/>
    <w:rsid w:val="00656F1B"/>
    <w:rsid w:val="006570C4"/>
    <w:rsid w:val="00657475"/>
    <w:rsid w:val="006576EA"/>
    <w:rsid w:val="00657B81"/>
    <w:rsid w:val="006600A3"/>
    <w:rsid w:val="006600D6"/>
    <w:rsid w:val="0066027F"/>
    <w:rsid w:val="00660329"/>
    <w:rsid w:val="00660734"/>
    <w:rsid w:val="00660CD5"/>
    <w:rsid w:val="00660D2D"/>
    <w:rsid w:val="00661375"/>
    <w:rsid w:val="0066158F"/>
    <w:rsid w:val="0066189C"/>
    <w:rsid w:val="00661949"/>
    <w:rsid w:val="00661A20"/>
    <w:rsid w:val="00661AA2"/>
    <w:rsid w:val="00661BC5"/>
    <w:rsid w:val="0066210C"/>
    <w:rsid w:val="00662283"/>
    <w:rsid w:val="006622F7"/>
    <w:rsid w:val="00662635"/>
    <w:rsid w:val="006626D1"/>
    <w:rsid w:val="006627FE"/>
    <w:rsid w:val="00662BCB"/>
    <w:rsid w:val="00662C1B"/>
    <w:rsid w:val="006633FB"/>
    <w:rsid w:val="006636CE"/>
    <w:rsid w:val="00663771"/>
    <w:rsid w:val="00663A12"/>
    <w:rsid w:val="00663AC5"/>
    <w:rsid w:val="00663DDC"/>
    <w:rsid w:val="0066407D"/>
    <w:rsid w:val="00664E22"/>
    <w:rsid w:val="00665085"/>
    <w:rsid w:val="00665126"/>
    <w:rsid w:val="00665325"/>
    <w:rsid w:val="00665482"/>
    <w:rsid w:val="006654D5"/>
    <w:rsid w:val="00665AE7"/>
    <w:rsid w:val="00666081"/>
    <w:rsid w:val="00666155"/>
    <w:rsid w:val="00666210"/>
    <w:rsid w:val="006663EB"/>
    <w:rsid w:val="006667D2"/>
    <w:rsid w:val="00666E65"/>
    <w:rsid w:val="00667176"/>
    <w:rsid w:val="00667EFC"/>
    <w:rsid w:val="00667F1E"/>
    <w:rsid w:val="00670193"/>
    <w:rsid w:val="006703AD"/>
    <w:rsid w:val="00670578"/>
    <w:rsid w:val="006707D9"/>
    <w:rsid w:val="006707EE"/>
    <w:rsid w:val="006715FD"/>
    <w:rsid w:val="00671EF6"/>
    <w:rsid w:val="00672141"/>
    <w:rsid w:val="0067222E"/>
    <w:rsid w:val="00672A92"/>
    <w:rsid w:val="00672CA3"/>
    <w:rsid w:val="00673221"/>
    <w:rsid w:val="0067349C"/>
    <w:rsid w:val="00673507"/>
    <w:rsid w:val="006748C5"/>
    <w:rsid w:val="00674A19"/>
    <w:rsid w:val="00674BE3"/>
    <w:rsid w:val="00674C23"/>
    <w:rsid w:val="00674F21"/>
    <w:rsid w:val="00675644"/>
    <w:rsid w:val="00675E7A"/>
    <w:rsid w:val="00675EBB"/>
    <w:rsid w:val="00675F40"/>
    <w:rsid w:val="0067684D"/>
    <w:rsid w:val="00676938"/>
    <w:rsid w:val="00676C86"/>
    <w:rsid w:val="00676F88"/>
    <w:rsid w:val="006773B3"/>
    <w:rsid w:val="00677745"/>
    <w:rsid w:val="00680F08"/>
    <w:rsid w:val="006813A5"/>
    <w:rsid w:val="0068144B"/>
    <w:rsid w:val="00682241"/>
    <w:rsid w:val="006824CE"/>
    <w:rsid w:val="00682835"/>
    <w:rsid w:val="006830D0"/>
    <w:rsid w:val="00683CAB"/>
    <w:rsid w:val="0068494C"/>
    <w:rsid w:val="006851A1"/>
    <w:rsid w:val="0068561E"/>
    <w:rsid w:val="006856CA"/>
    <w:rsid w:val="006857BD"/>
    <w:rsid w:val="00685908"/>
    <w:rsid w:val="0068649C"/>
    <w:rsid w:val="00686624"/>
    <w:rsid w:val="00686A55"/>
    <w:rsid w:val="00686D68"/>
    <w:rsid w:val="006873FD"/>
    <w:rsid w:val="006876AE"/>
    <w:rsid w:val="00687A13"/>
    <w:rsid w:val="00687D5B"/>
    <w:rsid w:val="00690343"/>
    <w:rsid w:val="006908E3"/>
    <w:rsid w:val="00690B0E"/>
    <w:rsid w:val="00691504"/>
    <w:rsid w:val="0069160F"/>
    <w:rsid w:val="00691E78"/>
    <w:rsid w:val="00692085"/>
    <w:rsid w:val="006925CA"/>
    <w:rsid w:val="00692721"/>
    <w:rsid w:val="00692E9E"/>
    <w:rsid w:val="00693531"/>
    <w:rsid w:val="0069379C"/>
    <w:rsid w:val="00693875"/>
    <w:rsid w:val="00693F19"/>
    <w:rsid w:val="00694430"/>
    <w:rsid w:val="00694517"/>
    <w:rsid w:val="006945AA"/>
    <w:rsid w:val="0069469B"/>
    <w:rsid w:val="006946DC"/>
    <w:rsid w:val="00694CE4"/>
    <w:rsid w:val="00695582"/>
    <w:rsid w:val="006956C3"/>
    <w:rsid w:val="00695B00"/>
    <w:rsid w:val="00695FBA"/>
    <w:rsid w:val="00696308"/>
    <w:rsid w:val="0069653D"/>
    <w:rsid w:val="006967E3"/>
    <w:rsid w:val="00696AF8"/>
    <w:rsid w:val="00696C63"/>
    <w:rsid w:val="00696DFA"/>
    <w:rsid w:val="00696E6B"/>
    <w:rsid w:val="00696FCD"/>
    <w:rsid w:val="00697098"/>
    <w:rsid w:val="006979E0"/>
    <w:rsid w:val="00697C94"/>
    <w:rsid w:val="00697F4C"/>
    <w:rsid w:val="00697F7A"/>
    <w:rsid w:val="006A0062"/>
    <w:rsid w:val="006A04BC"/>
    <w:rsid w:val="006A1300"/>
    <w:rsid w:val="006A142C"/>
    <w:rsid w:val="006A1666"/>
    <w:rsid w:val="006A18EB"/>
    <w:rsid w:val="006A19AD"/>
    <w:rsid w:val="006A1D11"/>
    <w:rsid w:val="006A2136"/>
    <w:rsid w:val="006A2166"/>
    <w:rsid w:val="006A2357"/>
    <w:rsid w:val="006A2639"/>
    <w:rsid w:val="006A2CBA"/>
    <w:rsid w:val="006A2E32"/>
    <w:rsid w:val="006A2EA6"/>
    <w:rsid w:val="006A3BFF"/>
    <w:rsid w:val="006A3CF3"/>
    <w:rsid w:val="006A3E66"/>
    <w:rsid w:val="006A4074"/>
    <w:rsid w:val="006A40A4"/>
    <w:rsid w:val="006A44FE"/>
    <w:rsid w:val="006A458F"/>
    <w:rsid w:val="006A45B6"/>
    <w:rsid w:val="006A4D5E"/>
    <w:rsid w:val="006A5EA5"/>
    <w:rsid w:val="006A6109"/>
    <w:rsid w:val="006A62F0"/>
    <w:rsid w:val="006A648C"/>
    <w:rsid w:val="006A64F6"/>
    <w:rsid w:val="006A66DC"/>
    <w:rsid w:val="006A6A6F"/>
    <w:rsid w:val="006A70F8"/>
    <w:rsid w:val="006A71BE"/>
    <w:rsid w:val="006A7790"/>
    <w:rsid w:val="006A7863"/>
    <w:rsid w:val="006A7995"/>
    <w:rsid w:val="006A7A33"/>
    <w:rsid w:val="006A7C48"/>
    <w:rsid w:val="006A7D05"/>
    <w:rsid w:val="006A7ED2"/>
    <w:rsid w:val="006A7F89"/>
    <w:rsid w:val="006A7FF6"/>
    <w:rsid w:val="006B0136"/>
    <w:rsid w:val="006B052F"/>
    <w:rsid w:val="006B06A7"/>
    <w:rsid w:val="006B0BCB"/>
    <w:rsid w:val="006B0FAD"/>
    <w:rsid w:val="006B111D"/>
    <w:rsid w:val="006B12A8"/>
    <w:rsid w:val="006B1338"/>
    <w:rsid w:val="006B13E2"/>
    <w:rsid w:val="006B15CE"/>
    <w:rsid w:val="006B1694"/>
    <w:rsid w:val="006B17AC"/>
    <w:rsid w:val="006B186A"/>
    <w:rsid w:val="006B18F4"/>
    <w:rsid w:val="006B1A83"/>
    <w:rsid w:val="006B1D11"/>
    <w:rsid w:val="006B23FF"/>
    <w:rsid w:val="006B25AF"/>
    <w:rsid w:val="006B25DB"/>
    <w:rsid w:val="006B2650"/>
    <w:rsid w:val="006B2A6B"/>
    <w:rsid w:val="006B2DEC"/>
    <w:rsid w:val="006B2EAC"/>
    <w:rsid w:val="006B357A"/>
    <w:rsid w:val="006B3AEF"/>
    <w:rsid w:val="006B3E85"/>
    <w:rsid w:val="006B3FCC"/>
    <w:rsid w:val="006B44A3"/>
    <w:rsid w:val="006B452B"/>
    <w:rsid w:val="006B45B9"/>
    <w:rsid w:val="006B49BE"/>
    <w:rsid w:val="006B4D71"/>
    <w:rsid w:val="006B52DA"/>
    <w:rsid w:val="006B55F8"/>
    <w:rsid w:val="006B56E3"/>
    <w:rsid w:val="006B58BD"/>
    <w:rsid w:val="006B596C"/>
    <w:rsid w:val="006B5E0D"/>
    <w:rsid w:val="006B6247"/>
    <w:rsid w:val="006B6313"/>
    <w:rsid w:val="006B650F"/>
    <w:rsid w:val="006B67A9"/>
    <w:rsid w:val="006B71AC"/>
    <w:rsid w:val="006B7733"/>
    <w:rsid w:val="006B7743"/>
    <w:rsid w:val="006B7997"/>
    <w:rsid w:val="006C0180"/>
    <w:rsid w:val="006C09CC"/>
    <w:rsid w:val="006C0B77"/>
    <w:rsid w:val="006C10CA"/>
    <w:rsid w:val="006C1B98"/>
    <w:rsid w:val="006C1D1E"/>
    <w:rsid w:val="006C1FC4"/>
    <w:rsid w:val="006C21C3"/>
    <w:rsid w:val="006C22CF"/>
    <w:rsid w:val="006C2542"/>
    <w:rsid w:val="006C2A2E"/>
    <w:rsid w:val="006C3208"/>
    <w:rsid w:val="006C373C"/>
    <w:rsid w:val="006C394D"/>
    <w:rsid w:val="006C3E88"/>
    <w:rsid w:val="006C3EB3"/>
    <w:rsid w:val="006C4159"/>
    <w:rsid w:val="006C51B7"/>
    <w:rsid w:val="006C5362"/>
    <w:rsid w:val="006C555D"/>
    <w:rsid w:val="006C5AF4"/>
    <w:rsid w:val="006C60FD"/>
    <w:rsid w:val="006C6132"/>
    <w:rsid w:val="006C6600"/>
    <w:rsid w:val="006C68F1"/>
    <w:rsid w:val="006C6C96"/>
    <w:rsid w:val="006C7037"/>
    <w:rsid w:val="006C7C16"/>
    <w:rsid w:val="006D0CF9"/>
    <w:rsid w:val="006D1571"/>
    <w:rsid w:val="006D1D87"/>
    <w:rsid w:val="006D249F"/>
    <w:rsid w:val="006D342C"/>
    <w:rsid w:val="006D3533"/>
    <w:rsid w:val="006D35D1"/>
    <w:rsid w:val="006D36A5"/>
    <w:rsid w:val="006D3CE2"/>
    <w:rsid w:val="006D3DE8"/>
    <w:rsid w:val="006D400B"/>
    <w:rsid w:val="006D4166"/>
    <w:rsid w:val="006D42B9"/>
    <w:rsid w:val="006D446D"/>
    <w:rsid w:val="006D47CB"/>
    <w:rsid w:val="006D4AB8"/>
    <w:rsid w:val="006D4CBD"/>
    <w:rsid w:val="006D523E"/>
    <w:rsid w:val="006D5246"/>
    <w:rsid w:val="006D561E"/>
    <w:rsid w:val="006D58FD"/>
    <w:rsid w:val="006D59B0"/>
    <w:rsid w:val="006D5A1D"/>
    <w:rsid w:val="006D5FC6"/>
    <w:rsid w:val="006D61A1"/>
    <w:rsid w:val="006D622F"/>
    <w:rsid w:val="006D6B39"/>
    <w:rsid w:val="006D6DF3"/>
    <w:rsid w:val="006D6EFF"/>
    <w:rsid w:val="006D704B"/>
    <w:rsid w:val="006D73A6"/>
    <w:rsid w:val="006D75BE"/>
    <w:rsid w:val="006D7CDD"/>
    <w:rsid w:val="006E0C69"/>
    <w:rsid w:val="006E0E2D"/>
    <w:rsid w:val="006E0F4E"/>
    <w:rsid w:val="006E1032"/>
    <w:rsid w:val="006E12DF"/>
    <w:rsid w:val="006E16FF"/>
    <w:rsid w:val="006E1ADD"/>
    <w:rsid w:val="006E1F6C"/>
    <w:rsid w:val="006E2501"/>
    <w:rsid w:val="006E2528"/>
    <w:rsid w:val="006E2863"/>
    <w:rsid w:val="006E2A50"/>
    <w:rsid w:val="006E2CC0"/>
    <w:rsid w:val="006E321C"/>
    <w:rsid w:val="006E34EF"/>
    <w:rsid w:val="006E366B"/>
    <w:rsid w:val="006E3AFB"/>
    <w:rsid w:val="006E3BB6"/>
    <w:rsid w:val="006E3F90"/>
    <w:rsid w:val="006E4007"/>
    <w:rsid w:val="006E44AB"/>
    <w:rsid w:val="006E4576"/>
    <w:rsid w:val="006E52B6"/>
    <w:rsid w:val="006E5AE6"/>
    <w:rsid w:val="006E5DA7"/>
    <w:rsid w:val="006E6020"/>
    <w:rsid w:val="006E6286"/>
    <w:rsid w:val="006E6549"/>
    <w:rsid w:val="006E66FA"/>
    <w:rsid w:val="006E6829"/>
    <w:rsid w:val="006E68C3"/>
    <w:rsid w:val="006E6A90"/>
    <w:rsid w:val="006E7516"/>
    <w:rsid w:val="006F0187"/>
    <w:rsid w:val="006F01B8"/>
    <w:rsid w:val="006F0406"/>
    <w:rsid w:val="006F059D"/>
    <w:rsid w:val="006F1699"/>
    <w:rsid w:val="006F189F"/>
    <w:rsid w:val="006F1FB4"/>
    <w:rsid w:val="006F21EF"/>
    <w:rsid w:val="006F27A4"/>
    <w:rsid w:val="006F2AC7"/>
    <w:rsid w:val="006F2B0A"/>
    <w:rsid w:val="006F2DE5"/>
    <w:rsid w:val="006F3811"/>
    <w:rsid w:val="006F4469"/>
    <w:rsid w:val="006F490F"/>
    <w:rsid w:val="006F4B4B"/>
    <w:rsid w:val="006F4BA5"/>
    <w:rsid w:val="006F528E"/>
    <w:rsid w:val="006F5592"/>
    <w:rsid w:val="006F570D"/>
    <w:rsid w:val="006F5898"/>
    <w:rsid w:val="006F5CA8"/>
    <w:rsid w:val="006F6185"/>
    <w:rsid w:val="006F64F8"/>
    <w:rsid w:val="006F68E5"/>
    <w:rsid w:val="006F69EE"/>
    <w:rsid w:val="006F73E1"/>
    <w:rsid w:val="006F76B3"/>
    <w:rsid w:val="006F7F95"/>
    <w:rsid w:val="007008E2"/>
    <w:rsid w:val="00700EB7"/>
    <w:rsid w:val="007013E4"/>
    <w:rsid w:val="007017CF"/>
    <w:rsid w:val="00701908"/>
    <w:rsid w:val="00701AC8"/>
    <w:rsid w:val="00701B59"/>
    <w:rsid w:val="00701C9D"/>
    <w:rsid w:val="00701D9F"/>
    <w:rsid w:val="007020DE"/>
    <w:rsid w:val="00702427"/>
    <w:rsid w:val="007024AF"/>
    <w:rsid w:val="0070268A"/>
    <w:rsid w:val="00702948"/>
    <w:rsid w:val="00702B4C"/>
    <w:rsid w:val="00702FB8"/>
    <w:rsid w:val="0070322E"/>
    <w:rsid w:val="00703522"/>
    <w:rsid w:val="00703912"/>
    <w:rsid w:val="007039B1"/>
    <w:rsid w:val="007040E7"/>
    <w:rsid w:val="0070474C"/>
    <w:rsid w:val="00704CF2"/>
    <w:rsid w:val="00705012"/>
    <w:rsid w:val="0070574B"/>
    <w:rsid w:val="00705752"/>
    <w:rsid w:val="00705C8B"/>
    <w:rsid w:val="00706533"/>
    <w:rsid w:val="00706A88"/>
    <w:rsid w:val="00707242"/>
    <w:rsid w:val="007077A1"/>
    <w:rsid w:val="007077EB"/>
    <w:rsid w:val="00707B22"/>
    <w:rsid w:val="00710342"/>
    <w:rsid w:val="00711998"/>
    <w:rsid w:val="00711B5C"/>
    <w:rsid w:val="00711D0B"/>
    <w:rsid w:val="00711EA6"/>
    <w:rsid w:val="00711F3A"/>
    <w:rsid w:val="00712044"/>
    <w:rsid w:val="007121DD"/>
    <w:rsid w:val="007127FD"/>
    <w:rsid w:val="00712813"/>
    <w:rsid w:val="00712BA1"/>
    <w:rsid w:val="00712D7F"/>
    <w:rsid w:val="00712DF5"/>
    <w:rsid w:val="0071327C"/>
    <w:rsid w:val="0071337D"/>
    <w:rsid w:val="00713832"/>
    <w:rsid w:val="00713896"/>
    <w:rsid w:val="007139D0"/>
    <w:rsid w:val="00713DA9"/>
    <w:rsid w:val="00714199"/>
    <w:rsid w:val="00714243"/>
    <w:rsid w:val="00714534"/>
    <w:rsid w:val="00714804"/>
    <w:rsid w:val="007148FD"/>
    <w:rsid w:val="00714982"/>
    <w:rsid w:val="00715153"/>
    <w:rsid w:val="00715825"/>
    <w:rsid w:val="00715B95"/>
    <w:rsid w:val="00715BE0"/>
    <w:rsid w:val="00715DB1"/>
    <w:rsid w:val="00715E46"/>
    <w:rsid w:val="007163C2"/>
    <w:rsid w:val="00716519"/>
    <w:rsid w:val="0071694E"/>
    <w:rsid w:val="00716A5E"/>
    <w:rsid w:val="00716ED2"/>
    <w:rsid w:val="00717499"/>
    <w:rsid w:val="007175A0"/>
    <w:rsid w:val="007175F4"/>
    <w:rsid w:val="00717B66"/>
    <w:rsid w:val="00717C49"/>
    <w:rsid w:val="00720A77"/>
    <w:rsid w:val="00720C50"/>
    <w:rsid w:val="00720C63"/>
    <w:rsid w:val="00720F37"/>
    <w:rsid w:val="007213F5"/>
    <w:rsid w:val="00721465"/>
    <w:rsid w:val="007217B0"/>
    <w:rsid w:val="00721D1E"/>
    <w:rsid w:val="00721DEF"/>
    <w:rsid w:val="00721E99"/>
    <w:rsid w:val="007225D8"/>
    <w:rsid w:val="007234C4"/>
    <w:rsid w:val="00723A40"/>
    <w:rsid w:val="00723B5D"/>
    <w:rsid w:val="00723B9D"/>
    <w:rsid w:val="00723F7F"/>
    <w:rsid w:val="007240C1"/>
    <w:rsid w:val="00724326"/>
    <w:rsid w:val="007248F1"/>
    <w:rsid w:val="00724D11"/>
    <w:rsid w:val="00725020"/>
    <w:rsid w:val="00725065"/>
    <w:rsid w:val="007252AE"/>
    <w:rsid w:val="007258B8"/>
    <w:rsid w:val="00725D22"/>
    <w:rsid w:val="007260EB"/>
    <w:rsid w:val="00726171"/>
    <w:rsid w:val="007266EA"/>
    <w:rsid w:val="007267BD"/>
    <w:rsid w:val="00727C7E"/>
    <w:rsid w:val="00730056"/>
    <w:rsid w:val="00730359"/>
    <w:rsid w:val="007304A7"/>
    <w:rsid w:val="0073066C"/>
    <w:rsid w:val="0073081C"/>
    <w:rsid w:val="00730A34"/>
    <w:rsid w:val="0073126A"/>
    <w:rsid w:val="007315E7"/>
    <w:rsid w:val="0073171C"/>
    <w:rsid w:val="00731D3E"/>
    <w:rsid w:val="00732546"/>
    <w:rsid w:val="0073285D"/>
    <w:rsid w:val="00732C35"/>
    <w:rsid w:val="00733428"/>
    <w:rsid w:val="00733925"/>
    <w:rsid w:val="00733992"/>
    <w:rsid w:val="00733CB7"/>
    <w:rsid w:val="00733EF4"/>
    <w:rsid w:val="0073439F"/>
    <w:rsid w:val="00734771"/>
    <w:rsid w:val="00734C04"/>
    <w:rsid w:val="007353DA"/>
    <w:rsid w:val="00735458"/>
    <w:rsid w:val="00735BB9"/>
    <w:rsid w:val="00735C04"/>
    <w:rsid w:val="00735E26"/>
    <w:rsid w:val="0073600F"/>
    <w:rsid w:val="00736595"/>
    <w:rsid w:val="00736978"/>
    <w:rsid w:val="00737112"/>
    <w:rsid w:val="007375BD"/>
    <w:rsid w:val="0073763A"/>
    <w:rsid w:val="007378B9"/>
    <w:rsid w:val="00740179"/>
    <w:rsid w:val="00740402"/>
    <w:rsid w:val="007407A0"/>
    <w:rsid w:val="00740A3C"/>
    <w:rsid w:val="00740E1E"/>
    <w:rsid w:val="00741142"/>
    <w:rsid w:val="00741248"/>
    <w:rsid w:val="0074180A"/>
    <w:rsid w:val="0074236E"/>
    <w:rsid w:val="007429A6"/>
    <w:rsid w:val="00742AA7"/>
    <w:rsid w:val="007430AC"/>
    <w:rsid w:val="007433E4"/>
    <w:rsid w:val="00743720"/>
    <w:rsid w:val="00744031"/>
    <w:rsid w:val="007449A3"/>
    <w:rsid w:val="00744A22"/>
    <w:rsid w:val="00744CD2"/>
    <w:rsid w:val="0074528D"/>
    <w:rsid w:val="007456A0"/>
    <w:rsid w:val="00745B21"/>
    <w:rsid w:val="00745C14"/>
    <w:rsid w:val="00745C3C"/>
    <w:rsid w:val="00745CC3"/>
    <w:rsid w:val="0074671A"/>
    <w:rsid w:val="00746B7B"/>
    <w:rsid w:val="00746EA6"/>
    <w:rsid w:val="007473B3"/>
    <w:rsid w:val="007476C6"/>
    <w:rsid w:val="00747718"/>
    <w:rsid w:val="00747769"/>
    <w:rsid w:val="0075009F"/>
    <w:rsid w:val="00750701"/>
    <w:rsid w:val="00750741"/>
    <w:rsid w:val="0075078B"/>
    <w:rsid w:val="00751092"/>
    <w:rsid w:val="007510F4"/>
    <w:rsid w:val="00751275"/>
    <w:rsid w:val="007515EA"/>
    <w:rsid w:val="007516F8"/>
    <w:rsid w:val="00752029"/>
    <w:rsid w:val="007522DF"/>
    <w:rsid w:val="007524C5"/>
    <w:rsid w:val="00752558"/>
    <w:rsid w:val="007527A4"/>
    <w:rsid w:val="00752DFA"/>
    <w:rsid w:val="00752E27"/>
    <w:rsid w:val="00752E7F"/>
    <w:rsid w:val="00753142"/>
    <w:rsid w:val="0075373E"/>
    <w:rsid w:val="00753D9C"/>
    <w:rsid w:val="00754619"/>
    <w:rsid w:val="00754AC6"/>
    <w:rsid w:val="0075591C"/>
    <w:rsid w:val="00755A4A"/>
    <w:rsid w:val="00755C97"/>
    <w:rsid w:val="00755F50"/>
    <w:rsid w:val="007564E0"/>
    <w:rsid w:val="00756512"/>
    <w:rsid w:val="007565DB"/>
    <w:rsid w:val="00756712"/>
    <w:rsid w:val="007569C4"/>
    <w:rsid w:val="00756B59"/>
    <w:rsid w:val="00756BC6"/>
    <w:rsid w:val="007571DB"/>
    <w:rsid w:val="0075752E"/>
    <w:rsid w:val="00757694"/>
    <w:rsid w:val="007576CB"/>
    <w:rsid w:val="00757956"/>
    <w:rsid w:val="007600C9"/>
    <w:rsid w:val="0076031A"/>
    <w:rsid w:val="0076081D"/>
    <w:rsid w:val="0076088C"/>
    <w:rsid w:val="00760AE6"/>
    <w:rsid w:val="00760B81"/>
    <w:rsid w:val="00760EA1"/>
    <w:rsid w:val="00761255"/>
    <w:rsid w:val="007613E4"/>
    <w:rsid w:val="007615D1"/>
    <w:rsid w:val="007619F5"/>
    <w:rsid w:val="00761FE8"/>
    <w:rsid w:val="007625E1"/>
    <w:rsid w:val="00762E27"/>
    <w:rsid w:val="0076318E"/>
    <w:rsid w:val="00763377"/>
    <w:rsid w:val="007633D1"/>
    <w:rsid w:val="007633E3"/>
    <w:rsid w:val="0076346E"/>
    <w:rsid w:val="00763571"/>
    <w:rsid w:val="0076358F"/>
    <w:rsid w:val="00763D1B"/>
    <w:rsid w:val="00763D87"/>
    <w:rsid w:val="00764320"/>
    <w:rsid w:val="0076456D"/>
    <w:rsid w:val="00764855"/>
    <w:rsid w:val="00764886"/>
    <w:rsid w:val="00765148"/>
    <w:rsid w:val="007657E8"/>
    <w:rsid w:val="007658C0"/>
    <w:rsid w:val="00765AC1"/>
    <w:rsid w:val="00765EA2"/>
    <w:rsid w:val="00766143"/>
    <w:rsid w:val="0076618B"/>
    <w:rsid w:val="00766488"/>
    <w:rsid w:val="0076673B"/>
    <w:rsid w:val="00766890"/>
    <w:rsid w:val="00766AF1"/>
    <w:rsid w:val="00766C0D"/>
    <w:rsid w:val="00766C5E"/>
    <w:rsid w:val="00766D7C"/>
    <w:rsid w:val="00766DDC"/>
    <w:rsid w:val="00767519"/>
    <w:rsid w:val="00767E40"/>
    <w:rsid w:val="00767EA8"/>
    <w:rsid w:val="007701DE"/>
    <w:rsid w:val="00770627"/>
    <w:rsid w:val="00770CF3"/>
    <w:rsid w:val="00770D67"/>
    <w:rsid w:val="00771254"/>
    <w:rsid w:val="007716A5"/>
    <w:rsid w:val="00771954"/>
    <w:rsid w:val="00771AA0"/>
    <w:rsid w:val="00771EA6"/>
    <w:rsid w:val="00772C5B"/>
    <w:rsid w:val="00773061"/>
    <w:rsid w:val="00773181"/>
    <w:rsid w:val="00773AB7"/>
    <w:rsid w:val="00774282"/>
    <w:rsid w:val="007742AE"/>
    <w:rsid w:val="00774365"/>
    <w:rsid w:val="0077444C"/>
    <w:rsid w:val="00774497"/>
    <w:rsid w:val="00774637"/>
    <w:rsid w:val="0077502C"/>
    <w:rsid w:val="007754D6"/>
    <w:rsid w:val="00776261"/>
    <w:rsid w:val="00776564"/>
    <w:rsid w:val="00776CAC"/>
    <w:rsid w:val="00776D00"/>
    <w:rsid w:val="00776D9B"/>
    <w:rsid w:val="00777E11"/>
    <w:rsid w:val="0078003A"/>
    <w:rsid w:val="00780316"/>
    <w:rsid w:val="00780742"/>
    <w:rsid w:val="00781887"/>
    <w:rsid w:val="007822E5"/>
    <w:rsid w:val="00782511"/>
    <w:rsid w:val="007825E1"/>
    <w:rsid w:val="0078296E"/>
    <w:rsid w:val="00783325"/>
    <w:rsid w:val="007833D3"/>
    <w:rsid w:val="00783413"/>
    <w:rsid w:val="00783844"/>
    <w:rsid w:val="00783A7D"/>
    <w:rsid w:val="00783BE5"/>
    <w:rsid w:val="00783FE6"/>
    <w:rsid w:val="007843DB"/>
    <w:rsid w:val="0078527F"/>
    <w:rsid w:val="00785642"/>
    <w:rsid w:val="0078590E"/>
    <w:rsid w:val="00785BF5"/>
    <w:rsid w:val="00785DD3"/>
    <w:rsid w:val="00785E1F"/>
    <w:rsid w:val="00786213"/>
    <w:rsid w:val="007867F0"/>
    <w:rsid w:val="00786947"/>
    <w:rsid w:val="00786B2A"/>
    <w:rsid w:val="007870DC"/>
    <w:rsid w:val="00787149"/>
    <w:rsid w:val="00787199"/>
    <w:rsid w:val="00787690"/>
    <w:rsid w:val="0078787A"/>
    <w:rsid w:val="007878A2"/>
    <w:rsid w:val="00787B83"/>
    <w:rsid w:val="00787BFB"/>
    <w:rsid w:val="00787E97"/>
    <w:rsid w:val="00790E84"/>
    <w:rsid w:val="00791304"/>
    <w:rsid w:val="007913D7"/>
    <w:rsid w:val="00791534"/>
    <w:rsid w:val="00791A96"/>
    <w:rsid w:val="00791AD6"/>
    <w:rsid w:val="00792390"/>
    <w:rsid w:val="007924AA"/>
    <w:rsid w:val="00793450"/>
    <w:rsid w:val="007935AB"/>
    <w:rsid w:val="007937AD"/>
    <w:rsid w:val="00793B16"/>
    <w:rsid w:val="0079411F"/>
    <w:rsid w:val="00794231"/>
    <w:rsid w:val="007944EA"/>
    <w:rsid w:val="00794546"/>
    <w:rsid w:val="00794547"/>
    <w:rsid w:val="00794611"/>
    <w:rsid w:val="00794688"/>
    <w:rsid w:val="007953C2"/>
    <w:rsid w:val="007958CF"/>
    <w:rsid w:val="00795949"/>
    <w:rsid w:val="00795BB8"/>
    <w:rsid w:val="00795ECB"/>
    <w:rsid w:val="007963A6"/>
    <w:rsid w:val="00796820"/>
    <w:rsid w:val="00796C41"/>
    <w:rsid w:val="00796CFE"/>
    <w:rsid w:val="00797067"/>
    <w:rsid w:val="0079771F"/>
    <w:rsid w:val="00797B48"/>
    <w:rsid w:val="00797C18"/>
    <w:rsid w:val="00797EB6"/>
    <w:rsid w:val="007A002C"/>
    <w:rsid w:val="007A0610"/>
    <w:rsid w:val="007A06C1"/>
    <w:rsid w:val="007A07F5"/>
    <w:rsid w:val="007A09B7"/>
    <w:rsid w:val="007A0FC0"/>
    <w:rsid w:val="007A1048"/>
    <w:rsid w:val="007A10CE"/>
    <w:rsid w:val="007A1610"/>
    <w:rsid w:val="007A208A"/>
    <w:rsid w:val="007A405F"/>
    <w:rsid w:val="007A43A8"/>
    <w:rsid w:val="007A46A6"/>
    <w:rsid w:val="007A4AE5"/>
    <w:rsid w:val="007A5974"/>
    <w:rsid w:val="007A5DB5"/>
    <w:rsid w:val="007A6329"/>
    <w:rsid w:val="007A68BA"/>
    <w:rsid w:val="007A6F0C"/>
    <w:rsid w:val="007A71BE"/>
    <w:rsid w:val="007A73BB"/>
    <w:rsid w:val="007A765A"/>
    <w:rsid w:val="007A7B19"/>
    <w:rsid w:val="007A7D4A"/>
    <w:rsid w:val="007B00A7"/>
    <w:rsid w:val="007B0AB5"/>
    <w:rsid w:val="007B185A"/>
    <w:rsid w:val="007B1E78"/>
    <w:rsid w:val="007B22C6"/>
    <w:rsid w:val="007B23E5"/>
    <w:rsid w:val="007B2604"/>
    <w:rsid w:val="007B2B0F"/>
    <w:rsid w:val="007B2D6F"/>
    <w:rsid w:val="007B3035"/>
    <w:rsid w:val="007B3414"/>
    <w:rsid w:val="007B379E"/>
    <w:rsid w:val="007B49FA"/>
    <w:rsid w:val="007B4B6F"/>
    <w:rsid w:val="007B4DC0"/>
    <w:rsid w:val="007B4E1A"/>
    <w:rsid w:val="007B57B0"/>
    <w:rsid w:val="007B5F40"/>
    <w:rsid w:val="007B6376"/>
    <w:rsid w:val="007B63F9"/>
    <w:rsid w:val="007B6877"/>
    <w:rsid w:val="007B6A9C"/>
    <w:rsid w:val="007B71CD"/>
    <w:rsid w:val="007B7A2F"/>
    <w:rsid w:val="007C027E"/>
    <w:rsid w:val="007C0365"/>
    <w:rsid w:val="007C0787"/>
    <w:rsid w:val="007C088B"/>
    <w:rsid w:val="007C0AA6"/>
    <w:rsid w:val="007C168B"/>
    <w:rsid w:val="007C19E5"/>
    <w:rsid w:val="007C1E42"/>
    <w:rsid w:val="007C221F"/>
    <w:rsid w:val="007C25D1"/>
    <w:rsid w:val="007C29AE"/>
    <w:rsid w:val="007C2BC9"/>
    <w:rsid w:val="007C2F3D"/>
    <w:rsid w:val="007C31BA"/>
    <w:rsid w:val="007C3286"/>
    <w:rsid w:val="007C32D2"/>
    <w:rsid w:val="007C3F6B"/>
    <w:rsid w:val="007C3F91"/>
    <w:rsid w:val="007C49C6"/>
    <w:rsid w:val="007C53BC"/>
    <w:rsid w:val="007C5685"/>
    <w:rsid w:val="007C5C1F"/>
    <w:rsid w:val="007C5CAE"/>
    <w:rsid w:val="007C643F"/>
    <w:rsid w:val="007C6780"/>
    <w:rsid w:val="007C69B7"/>
    <w:rsid w:val="007C6D1F"/>
    <w:rsid w:val="007C766F"/>
    <w:rsid w:val="007C7D6C"/>
    <w:rsid w:val="007C7E0A"/>
    <w:rsid w:val="007C7E9E"/>
    <w:rsid w:val="007D00A1"/>
    <w:rsid w:val="007D0A9E"/>
    <w:rsid w:val="007D0B7C"/>
    <w:rsid w:val="007D0ED0"/>
    <w:rsid w:val="007D12EA"/>
    <w:rsid w:val="007D1B09"/>
    <w:rsid w:val="007D1B83"/>
    <w:rsid w:val="007D1BBE"/>
    <w:rsid w:val="007D1C86"/>
    <w:rsid w:val="007D1E2A"/>
    <w:rsid w:val="007D1EFF"/>
    <w:rsid w:val="007D26D0"/>
    <w:rsid w:val="007D2A2C"/>
    <w:rsid w:val="007D2D0E"/>
    <w:rsid w:val="007D3064"/>
    <w:rsid w:val="007D325E"/>
    <w:rsid w:val="007D35F5"/>
    <w:rsid w:val="007D371F"/>
    <w:rsid w:val="007D3748"/>
    <w:rsid w:val="007D388A"/>
    <w:rsid w:val="007D3FC8"/>
    <w:rsid w:val="007D4108"/>
    <w:rsid w:val="007D4230"/>
    <w:rsid w:val="007D4457"/>
    <w:rsid w:val="007D46C9"/>
    <w:rsid w:val="007D46DD"/>
    <w:rsid w:val="007D4CB1"/>
    <w:rsid w:val="007D51E4"/>
    <w:rsid w:val="007D528D"/>
    <w:rsid w:val="007D52F9"/>
    <w:rsid w:val="007D5498"/>
    <w:rsid w:val="007D5C0E"/>
    <w:rsid w:val="007D61BA"/>
    <w:rsid w:val="007D63EF"/>
    <w:rsid w:val="007D6532"/>
    <w:rsid w:val="007D6AB7"/>
    <w:rsid w:val="007D6FDB"/>
    <w:rsid w:val="007D721D"/>
    <w:rsid w:val="007D7602"/>
    <w:rsid w:val="007D76E8"/>
    <w:rsid w:val="007D79E0"/>
    <w:rsid w:val="007D7EBE"/>
    <w:rsid w:val="007E01B9"/>
    <w:rsid w:val="007E0481"/>
    <w:rsid w:val="007E0533"/>
    <w:rsid w:val="007E05A9"/>
    <w:rsid w:val="007E0950"/>
    <w:rsid w:val="007E0CC1"/>
    <w:rsid w:val="007E1108"/>
    <w:rsid w:val="007E1872"/>
    <w:rsid w:val="007E1C2F"/>
    <w:rsid w:val="007E1E0C"/>
    <w:rsid w:val="007E1F7F"/>
    <w:rsid w:val="007E2203"/>
    <w:rsid w:val="007E258E"/>
    <w:rsid w:val="007E26AB"/>
    <w:rsid w:val="007E27AC"/>
    <w:rsid w:val="007E3399"/>
    <w:rsid w:val="007E373C"/>
    <w:rsid w:val="007E39CB"/>
    <w:rsid w:val="007E3EDA"/>
    <w:rsid w:val="007E3F69"/>
    <w:rsid w:val="007E4B9C"/>
    <w:rsid w:val="007E4DCE"/>
    <w:rsid w:val="007E4E80"/>
    <w:rsid w:val="007E4F4E"/>
    <w:rsid w:val="007E51A9"/>
    <w:rsid w:val="007E5400"/>
    <w:rsid w:val="007E5671"/>
    <w:rsid w:val="007E5781"/>
    <w:rsid w:val="007E6387"/>
    <w:rsid w:val="007E63F4"/>
    <w:rsid w:val="007E68E4"/>
    <w:rsid w:val="007E714F"/>
    <w:rsid w:val="007E73D5"/>
    <w:rsid w:val="007E756C"/>
    <w:rsid w:val="007E75B0"/>
    <w:rsid w:val="007E7B00"/>
    <w:rsid w:val="007F07B4"/>
    <w:rsid w:val="007F1152"/>
    <w:rsid w:val="007F1347"/>
    <w:rsid w:val="007F14ED"/>
    <w:rsid w:val="007F17D7"/>
    <w:rsid w:val="007F1DB3"/>
    <w:rsid w:val="007F2650"/>
    <w:rsid w:val="007F26CC"/>
    <w:rsid w:val="007F283F"/>
    <w:rsid w:val="007F2B13"/>
    <w:rsid w:val="007F2D22"/>
    <w:rsid w:val="007F2F8D"/>
    <w:rsid w:val="007F32B1"/>
    <w:rsid w:val="007F3444"/>
    <w:rsid w:val="007F3630"/>
    <w:rsid w:val="007F3C30"/>
    <w:rsid w:val="007F43F4"/>
    <w:rsid w:val="007F4987"/>
    <w:rsid w:val="007F5396"/>
    <w:rsid w:val="007F59D8"/>
    <w:rsid w:val="007F660E"/>
    <w:rsid w:val="007F670E"/>
    <w:rsid w:val="007F68BE"/>
    <w:rsid w:val="007F6AFB"/>
    <w:rsid w:val="007F6ECC"/>
    <w:rsid w:val="007F7379"/>
    <w:rsid w:val="007F7542"/>
    <w:rsid w:val="007F77AA"/>
    <w:rsid w:val="007F7ED5"/>
    <w:rsid w:val="00800027"/>
    <w:rsid w:val="00800551"/>
    <w:rsid w:val="008008E5"/>
    <w:rsid w:val="00800F8C"/>
    <w:rsid w:val="00800F9E"/>
    <w:rsid w:val="008011F0"/>
    <w:rsid w:val="008013EF"/>
    <w:rsid w:val="00801527"/>
    <w:rsid w:val="008017CB"/>
    <w:rsid w:val="008019F9"/>
    <w:rsid w:val="00802AB3"/>
    <w:rsid w:val="00802DE3"/>
    <w:rsid w:val="00802ECB"/>
    <w:rsid w:val="0080364F"/>
    <w:rsid w:val="0080437F"/>
    <w:rsid w:val="00804F06"/>
    <w:rsid w:val="00805385"/>
    <w:rsid w:val="00805612"/>
    <w:rsid w:val="00805698"/>
    <w:rsid w:val="00805FBF"/>
    <w:rsid w:val="00806082"/>
    <w:rsid w:val="00806098"/>
    <w:rsid w:val="0080664B"/>
    <w:rsid w:val="0080673A"/>
    <w:rsid w:val="008067CC"/>
    <w:rsid w:val="00806CF1"/>
    <w:rsid w:val="00807536"/>
    <w:rsid w:val="008079A0"/>
    <w:rsid w:val="00807A98"/>
    <w:rsid w:val="00807CC9"/>
    <w:rsid w:val="00807E81"/>
    <w:rsid w:val="00810161"/>
    <w:rsid w:val="008105B5"/>
    <w:rsid w:val="0081113B"/>
    <w:rsid w:val="00811A49"/>
    <w:rsid w:val="00811BB1"/>
    <w:rsid w:val="00811D4B"/>
    <w:rsid w:val="008128F8"/>
    <w:rsid w:val="0081298B"/>
    <w:rsid w:val="008130AB"/>
    <w:rsid w:val="008135DE"/>
    <w:rsid w:val="0081426F"/>
    <w:rsid w:val="0081456B"/>
    <w:rsid w:val="00814F5D"/>
    <w:rsid w:val="0081554D"/>
    <w:rsid w:val="0081571A"/>
    <w:rsid w:val="00815A56"/>
    <w:rsid w:val="00815C0D"/>
    <w:rsid w:val="00815ECD"/>
    <w:rsid w:val="0081607B"/>
    <w:rsid w:val="00816127"/>
    <w:rsid w:val="0081612E"/>
    <w:rsid w:val="00816218"/>
    <w:rsid w:val="0081638A"/>
    <w:rsid w:val="008167C2"/>
    <w:rsid w:val="0081687E"/>
    <w:rsid w:val="00816AD4"/>
    <w:rsid w:val="00816CF5"/>
    <w:rsid w:val="00816EB7"/>
    <w:rsid w:val="00817548"/>
    <w:rsid w:val="00817C78"/>
    <w:rsid w:val="008207AF"/>
    <w:rsid w:val="0082090B"/>
    <w:rsid w:val="008212E6"/>
    <w:rsid w:val="00821909"/>
    <w:rsid w:val="00821B61"/>
    <w:rsid w:val="00821C42"/>
    <w:rsid w:val="00821C9F"/>
    <w:rsid w:val="00821D07"/>
    <w:rsid w:val="00821EB4"/>
    <w:rsid w:val="00822478"/>
    <w:rsid w:val="0082250A"/>
    <w:rsid w:val="008226EC"/>
    <w:rsid w:val="008227CC"/>
    <w:rsid w:val="008228A0"/>
    <w:rsid w:val="00822D08"/>
    <w:rsid w:val="008234B4"/>
    <w:rsid w:val="008235CC"/>
    <w:rsid w:val="0082407F"/>
    <w:rsid w:val="00824624"/>
    <w:rsid w:val="008246FD"/>
    <w:rsid w:val="008247F9"/>
    <w:rsid w:val="008248B4"/>
    <w:rsid w:val="00824A8A"/>
    <w:rsid w:val="00824C62"/>
    <w:rsid w:val="00824E82"/>
    <w:rsid w:val="008257A5"/>
    <w:rsid w:val="00825FA2"/>
    <w:rsid w:val="00826592"/>
    <w:rsid w:val="00826DF1"/>
    <w:rsid w:val="008275AC"/>
    <w:rsid w:val="00830389"/>
    <w:rsid w:val="00830614"/>
    <w:rsid w:val="008306B5"/>
    <w:rsid w:val="008308C0"/>
    <w:rsid w:val="00831575"/>
    <w:rsid w:val="0083164D"/>
    <w:rsid w:val="008321F5"/>
    <w:rsid w:val="008325D6"/>
    <w:rsid w:val="0083269E"/>
    <w:rsid w:val="00832773"/>
    <w:rsid w:val="008329D1"/>
    <w:rsid w:val="00832B9E"/>
    <w:rsid w:val="00832DFF"/>
    <w:rsid w:val="0083356B"/>
    <w:rsid w:val="008339FC"/>
    <w:rsid w:val="00833D2C"/>
    <w:rsid w:val="00833D6F"/>
    <w:rsid w:val="00833D92"/>
    <w:rsid w:val="00833F27"/>
    <w:rsid w:val="00834209"/>
    <w:rsid w:val="008342CF"/>
    <w:rsid w:val="00834674"/>
    <w:rsid w:val="00834AD2"/>
    <w:rsid w:val="00834D1D"/>
    <w:rsid w:val="00835245"/>
    <w:rsid w:val="008358E4"/>
    <w:rsid w:val="00835BBE"/>
    <w:rsid w:val="0083645E"/>
    <w:rsid w:val="00836590"/>
    <w:rsid w:val="00836C4A"/>
    <w:rsid w:val="00837773"/>
    <w:rsid w:val="00837825"/>
    <w:rsid w:val="00837AFB"/>
    <w:rsid w:val="00837C68"/>
    <w:rsid w:val="00837EAE"/>
    <w:rsid w:val="008400F3"/>
    <w:rsid w:val="0084014C"/>
    <w:rsid w:val="00840825"/>
    <w:rsid w:val="00840EDC"/>
    <w:rsid w:val="00841271"/>
    <w:rsid w:val="008413DA"/>
    <w:rsid w:val="00842A12"/>
    <w:rsid w:val="00843CDF"/>
    <w:rsid w:val="00843D82"/>
    <w:rsid w:val="00844518"/>
    <w:rsid w:val="00844AC7"/>
    <w:rsid w:val="0084517E"/>
    <w:rsid w:val="008454FA"/>
    <w:rsid w:val="0084581C"/>
    <w:rsid w:val="00845A0D"/>
    <w:rsid w:val="00845FC7"/>
    <w:rsid w:val="008461E8"/>
    <w:rsid w:val="00847173"/>
    <w:rsid w:val="008476FF"/>
    <w:rsid w:val="00847885"/>
    <w:rsid w:val="00847A5D"/>
    <w:rsid w:val="0085024C"/>
    <w:rsid w:val="00850756"/>
    <w:rsid w:val="00850772"/>
    <w:rsid w:val="00850BF8"/>
    <w:rsid w:val="00850F70"/>
    <w:rsid w:val="00850FB6"/>
    <w:rsid w:val="008510B2"/>
    <w:rsid w:val="00851358"/>
    <w:rsid w:val="0085136C"/>
    <w:rsid w:val="0085170D"/>
    <w:rsid w:val="00851890"/>
    <w:rsid w:val="008518BE"/>
    <w:rsid w:val="00851AE8"/>
    <w:rsid w:val="00851B15"/>
    <w:rsid w:val="008526AD"/>
    <w:rsid w:val="00853105"/>
    <w:rsid w:val="00853611"/>
    <w:rsid w:val="00854DAC"/>
    <w:rsid w:val="00854E15"/>
    <w:rsid w:val="00854EB6"/>
    <w:rsid w:val="00855120"/>
    <w:rsid w:val="00855321"/>
    <w:rsid w:val="008554AE"/>
    <w:rsid w:val="008559BF"/>
    <w:rsid w:val="00855B65"/>
    <w:rsid w:val="00855CBD"/>
    <w:rsid w:val="00855E5B"/>
    <w:rsid w:val="00855E80"/>
    <w:rsid w:val="008564ED"/>
    <w:rsid w:val="00856731"/>
    <w:rsid w:val="00856904"/>
    <w:rsid w:val="008577C6"/>
    <w:rsid w:val="008577CA"/>
    <w:rsid w:val="00857802"/>
    <w:rsid w:val="00857CBD"/>
    <w:rsid w:val="0086038D"/>
    <w:rsid w:val="00860B40"/>
    <w:rsid w:val="00860E49"/>
    <w:rsid w:val="0086134F"/>
    <w:rsid w:val="00861AC6"/>
    <w:rsid w:val="00861B3D"/>
    <w:rsid w:val="00861B73"/>
    <w:rsid w:val="00861B95"/>
    <w:rsid w:val="0086221F"/>
    <w:rsid w:val="008624D6"/>
    <w:rsid w:val="0086253C"/>
    <w:rsid w:val="00862A83"/>
    <w:rsid w:val="008633A0"/>
    <w:rsid w:val="00863739"/>
    <w:rsid w:val="00863B9A"/>
    <w:rsid w:val="0086403A"/>
    <w:rsid w:val="00864423"/>
    <w:rsid w:val="008649F4"/>
    <w:rsid w:val="00864C60"/>
    <w:rsid w:val="00864DFE"/>
    <w:rsid w:val="00864FD2"/>
    <w:rsid w:val="008650FE"/>
    <w:rsid w:val="008659BF"/>
    <w:rsid w:val="00865F9B"/>
    <w:rsid w:val="008662F9"/>
    <w:rsid w:val="00866643"/>
    <w:rsid w:val="00866748"/>
    <w:rsid w:val="00866D85"/>
    <w:rsid w:val="00866EBD"/>
    <w:rsid w:val="00866F4A"/>
    <w:rsid w:val="008671E1"/>
    <w:rsid w:val="008674B5"/>
    <w:rsid w:val="008675E0"/>
    <w:rsid w:val="008676BB"/>
    <w:rsid w:val="00867A75"/>
    <w:rsid w:val="00870063"/>
    <w:rsid w:val="00870069"/>
    <w:rsid w:val="00870924"/>
    <w:rsid w:val="00870B77"/>
    <w:rsid w:val="00870D07"/>
    <w:rsid w:val="00870FF7"/>
    <w:rsid w:val="0087101F"/>
    <w:rsid w:val="00871290"/>
    <w:rsid w:val="00871757"/>
    <w:rsid w:val="00871B01"/>
    <w:rsid w:val="00872C15"/>
    <w:rsid w:val="00873366"/>
    <w:rsid w:val="00873374"/>
    <w:rsid w:val="008733DB"/>
    <w:rsid w:val="00873403"/>
    <w:rsid w:val="00873521"/>
    <w:rsid w:val="008737EB"/>
    <w:rsid w:val="008740DA"/>
    <w:rsid w:val="008741B5"/>
    <w:rsid w:val="0087449A"/>
    <w:rsid w:val="00874C08"/>
    <w:rsid w:val="00874F18"/>
    <w:rsid w:val="008751BE"/>
    <w:rsid w:val="00875536"/>
    <w:rsid w:val="00875834"/>
    <w:rsid w:val="00875D39"/>
    <w:rsid w:val="00876509"/>
    <w:rsid w:val="008766D3"/>
    <w:rsid w:val="008771C2"/>
    <w:rsid w:val="00877340"/>
    <w:rsid w:val="0087754A"/>
    <w:rsid w:val="00877825"/>
    <w:rsid w:val="0087792D"/>
    <w:rsid w:val="00877B51"/>
    <w:rsid w:val="00877BE7"/>
    <w:rsid w:val="00880254"/>
    <w:rsid w:val="008803B4"/>
    <w:rsid w:val="00880CD8"/>
    <w:rsid w:val="008826EB"/>
    <w:rsid w:val="00882A69"/>
    <w:rsid w:val="00882BB7"/>
    <w:rsid w:val="00882D92"/>
    <w:rsid w:val="00882E50"/>
    <w:rsid w:val="008836B1"/>
    <w:rsid w:val="008838A0"/>
    <w:rsid w:val="00883CFB"/>
    <w:rsid w:val="00883E14"/>
    <w:rsid w:val="00883EC0"/>
    <w:rsid w:val="00884165"/>
    <w:rsid w:val="00884554"/>
    <w:rsid w:val="00884910"/>
    <w:rsid w:val="00884A29"/>
    <w:rsid w:val="008853D6"/>
    <w:rsid w:val="0088556C"/>
    <w:rsid w:val="0088561C"/>
    <w:rsid w:val="0088578D"/>
    <w:rsid w:val="00885B3E"/>
    <w:rsid w:val="00885CA4"/>
    <w:rsid w:val="00886475"/>
    <w:rsid w:val="00886BAA"/>
    <w:rsid w:val="00886EEF"/>
    <w:rsid w:val="00887352"/>
    <w:rsid w:val="008905AF"/>
    <w:rsid w:val="00890830"/>
    <w:rsid w:val="008909DF"/>
    <w:rsid w:val="00890FFE"/>
    <w:rsid w:val="00891153"/>
    <w:rsid w:val="008911A8"/>
    <w:rsid w:val="0089174B"/>
    <w:rsid w:val="008919B6"/>
    <w:rsid w:val="00891A2E"/>
    <w:rsid w:val="00891F2F"/>
    <w:rsid w:val="00892144"/>
    <w:rsid w:val="00892189"/>
    <w:rsid w:val="0089224B"/>
    <w:rsid w:val="00892270"/>
    <w:rsid w:val="00892402"/>
    <w:rsid w:val="00892603"/>
    <w:rsid w:val="0089333D"/>
    <w:rsid w:val="00893981"/>
    <w:rsid w:val="008939A9"/>
    <w:rsid w:val="00893A36"/>
    <w:rsid w:val="00893AEF"/>
    <w:rsid w:val="00893E3D"/>
    <w:rsid w:val="00893FEC"/>
    <w:rsid w:val="008941A8"/>
    <w:rsid w:val="00894799"/>
    <w:rsid w:val="00894C5F"/>
    <w:rsid w:val="00894D5C"/>
    <w:rsid w:val="00894DEF"/>
    <w:rsid w:val="008955B2"/>
    <w:rsid w:val="00895DE9"/>
    <w:rsid w:val="00895E51"/>
    <w:rsid w:val="00895F74"/>
    <w:rsid w:val="0089613B"/>
    <w:rsid w:val="0089691A"/>
    <w:rsid w:val="00896C17"/>
    <w:rsid w:val="00896E49"/>
    <w:rsid w:val="00896FF1"/>
    <w:rsid w:val="00897362"/>
    <w:rsid w:val="008977E4"/>
    <w:rsid w:val="0089791F"/>
    <w:rsid w:val="00897A83"/>
    <w:rsid w:val="008A0079"/>
    <w:rsid w:val="008A0150"/>
    <w:rsid w:val="008A07D6"/>
    <w:rsid w:val="008A0C93"/>
    <w:rsid w:val="008A1155"/>
    <w:rsid w:val="008A15F2"/>
    <w:rsid w:val="008A1BA7"/>
    <w:rsid w:val="008A2072"/>
    <w:rsid w:val="008A27DA"/>
    <w:rsid w:val="008A2924"/>
    <w:rsid w:val="008A2973"/>
    <w:rsid w:val="008A29CD"/>
    <w:rsid w:val="008A2CBD"/>
    <w:rsid w:val="008A2F78"/>
    <w:rsid w:val="008A3652"/>
    <w:rsid w:val="008A3A81"/>
    <w:rsid w:val="008A4F24"/>
    <w:rsid w:val="008A50FB"/>
    <w:rsid w:val="008A5C76"/>
    <w:rsid w:val="008A5E66"/>
    <w:rsid w:val="008A5ED2"/>
    <w:rsid w:val="008A646A"/>
    <w:rsid w:val="008A67D3"/>
    <w:rsid w:val="008A6C60"/>
    <w:rsid w:val="008A7323"/>
    <w:rsid w:val="008A7326"/>
    <w:rsid w:val="008A7579"/>
    <w:rsid w:val="008A77B3"/>
    <w:rsid w:val="008A79B6"/>
    <w:rsid w:val="008A7CA0"/>
    <w:rsid w:val="008B011A"/>
    <w:rsid w:val="008B01F2"/>
    <w:rsid w:val="008B047F"/>
    <w:rsid w:val="008B0498"/>
    <w:rsid w:val="008B05CC"/>
    <w:rsid w:val="008B079D"/>
    <w:rsid w:val="008B07F2"/>
    <w:rsid w:val="008B0949"/>
    <w:rsid w:val="008B0B7B"/>
    <w:rsid w:val="008B0D92"/>
    <w:rsid w:val="008B0EF7"/>
    <w:rsid w:val="008B1738"/>
    <w:rsid w:val="008B2255"/>
    <w:rsid w:val="008B323B"/>
    <w:rsid w:val="008B32D9"/>
    <w:rsid w:val="008B3579"/>
    <w:rsid w:val="008B3969"/>
    <w:rsid w:val="008B3A1B"/>
    <w:rsid w:val="008B4F35"/>
    <w:rsid w:val="008B4F67"/>
    <w:rsid w:val="008B562F"/>
    <w:rsid w:val="008B5B12"/>
    <w:rsid w:val="008B67A6"/>
    <w:rsid w:val="008B6A10"/>
    <w:rsid w:val="008B6D43"/>
    <w:rsid w:val="008B705A"/>
    <w:rsid w:val="008B7B89"/>
    <w:rsid w:val="008B7C41"/>
    <w:rsid w:val="008B7D3E"/>
    <w:rsid w:val="008C05BB"/>
    <w:rsid w:val="008C07C6"/>
    <w:rsid w:val="008C0A87"/>
    <w:rsid w:val="008C0D87"/>
    <w:rsid w:val="008C17EE"/>
    <w:rsid w:val="008C182F"/>
    <w:rsid w:val="008C1E12"/>
    <w:rsid w:val="008C212B"/>
    <w:rsid w:val="008C2AED"/>
    <w:rsid w:val="008C32D2"/>
    <w:rsid w:val="008C35AF"/>
    <w:rsid w:val="008C37AC"/>
    <w:rsid w:val="008C3968"/>
    <w:rsid w:val="008C3BC0"/>
    <w:rsid w:val="008C3CA0"/>
    <w:rsid w:val="008C4283"/>
    <w:rsid w:val="008C4C03"/>
    <w:rsid w:val="008C4E08"/>
    <w:rsid w:val="008C529F"/>
    <w:rsid w:val="008C556E"/>
    <w:rsid w:val="008C570C"/>
    <w:rsid w:val="008C5AED"/>
    <w:rsid w:val="008C6000"/>
    <w:rsid w:val="008C611F"/>
    <w:rsid w:val="008C659C"/>
    <w:rsid w:val="008C6659"/>
    <w:rsid w:val="008C6C00"/>
    <w:rsid w:val="008C7B38"/>
    <w:rsid w:val="008C7D44"/>
    <w:rsid w:val="008D01C8"/>
    <w:rsid w:val="008D026F"/>
    <w:rsid w:val="008D0329"/>
    <w:rsid w:val="008D0CA8"/>
    <w:rsid w:val="008D17E4"/>
    <w:rsid w:val="008D1AE6"/>
    <w:rsid w:val="008D2853"/>
    <w:rsid w:val="008D2AC4"/>
    <w:rsid w:val="008D2CA7"/>
    <w:rsid w:val="008D2ED8"/>
    <w:rsid w:val="008D3E34"/>
    <w:rsid w:val="008D3FBB"/>
    <w:rsid w:val="008D4C58"/>
    <w:rsid w:val="008D5237"/>
    <w:rsid w:val="008D5C3F"/>
    <w:rsid w:val="008D6345"/>
    <w:rsid w:val="008D6B11"/>
    <w:rsid w:val="008D6F7B"/>
    <w:rsid w:val="008D791D"/>
    <w:rsid w:val="008D7C74"/>
    <w:rsid w:val="008E0740"/>
    <w:rsid w:val="008E10F9"/>
    <w:rsid w:val="008E1310"/>
    <w:rsid w:val="008E1569"/>
    <w:rsid w:val="008E16F7"/>
    <w:rsid w:val="008E1803"/>
    <w:rsid w:val="008E2319"/>
    <w:rsid w:val="008E24A1"/>
    <w:rsid w:val="008E268F"/>
    <w:rsid w:val="008E2A0E"/>
    <w:rsid w:val="008E2E06"/>
    <w:rsid w:val="008E2E20"/>
    <w:rsid w:val="008E3B50"/>
    <w:rsid w:val="008E3D06"/>
    <w:rsid w:val="008E4458"/>
    <w:rsid w:val="008E456D"/>
    <w:rsid w:val="008E47D3"/>
    <w:rsid w:val="008E4EA1"/>
    <w:rsid w:val="008E5205"/>
    <w:rsid w:val="008E552E"/>
    <w:rsid w:val="008E5FDD"/>
    <w:rsid w:val="008E6F69"/>
    <w:rsid w:val="008E7D99"/>
    <w:rsid w:val="008F0552"/>
    <w:rsid w:val="008F0730"/>
    <w:rsid w:val="008F09D1"/>
    <w:rsid w:val="008F09DB"/>
    <w:rsid w:val="008F0B37"/>
    <w:rsid w:val="008F0EB2"/>
    <w:rsid w:val="008F121A"/>
    <w:rsid w:val="008F177C"/>
    <w:rsid w:val="008F1A4F"/>
    <w:rsid w:val="008F257D"/>
    <w:rsid w:val="008F26D8"/>
    <w:rsid w:val="008F2B2F"/>
    <w:rsid w:val="008F2FAE"/>
    <w:rsid w:val="008F2FBB"/>
    <w:rsid w:val="008F314A"/>
    <w:rsid w:val="008F32B5"/>
    <w:rsid w:val="008F3426"/>
    <w:rsid w:val="008F366F"/>
    <w:rsid w:val="008F3B26"/>
    <w:rsid w:val="008F3DBC"/>
    <w:rsid w:val="008F40AC"/>
    <w:rsid w:val="008F42D7"/>
    <w:rsid w:val="008F4A87"/>
    <w:rsid w:val="008F4D9A"/>
    <w:rsid w:val="008F5DB2"/>
    <w:rsid w:val="008F6142"/>
    <w:rsid w:val="008F62CE"/>
    <w:rsid w:val="008F63EF"/>
    <w:rsid w:val="008F7839"/>
    <w:rsid w:val="008F7C41"/>
    <w:rsid w:val="009001AA"/>
    <w:rsid w:val="00900219"/>
    <w:rsid w:val="0090076F"/>
    <w:rsid w:val="00901040"/>
    <w:rsid w:val="00901780"/>
    <w:rsid w:val="00901A2D"/>
    <w:rsid w:val="00901E2F"/>
    <w:rsid w:val="00901FAF"/>
    <w:rsid w:val="0090219B"/>
    <w:rsid w:val="00902D8E"/>
    <w:rsid w:val="009031A5"/>
    <w:rsid w:val="009036EB"/>
    <w:rsid w:val="00903A3D"/>
    <w:rsid w:val="00903A61"/>
    <w:rsid w:val="00903A77"/>
    <w:rsid w:val="00904157"/>
    <w:rsid w:val="00904397"/>
    <w:rsid w:val="009048B7"/>
    <w:rsid w:val="00904984"/>
    <w:rsid w:val="00904B1D"/>
    <w:rsid w:val="009051D5"/>
    <w:rsid w:val="00905448"/>
    <w:rsid w:val="009054BB"/>
    <w:rsid w:val="00905F1D"/>
    <w:rsid w:val="00906022"/>
    <w:rsid w:val="009060A1"/>
    <w:rsid w:val="009068A9"/>
    <w:rsid w:val="00907200"/>
    <w:rsid w:val="00907261"/>
    <w:rsid w:val="00907369"/>
    <w:rsid w:val="00907537"/>
    <w:rsid w:val="009079BE"/>
    <w:rsid w:val="00907CBF"/>
    <w:rsid w:val="00910CAC"/>
    <w:rsid w:val="009111BA"/>
    <w:rsid w:val="009111CA"/>
    <w:rsid w:val="00911C26"/>
    <w:rsid w:val="0091213B"/>
    <w:rsid w:val="0091218D"/>
    <w:rsid w:val="009123A3"/>
    <w:rsid w:val="00912814"/>
    <w:rsid w:val="00912826"/>
    <w:rsid w:val="00912C41"/>
    <w:rsid w:val="00912D37"/>
    <w:rsid w:val="00913A9C"/>
    <w:rsid w:val="00913D03"/>
    <w:rsid w:val="00914044"/>
    <w:rsid w:val="0091417E"/>
    <w:rsid w:val="00915098"/>
    <w:rsid w:val="0091552D"/>
    <w:rsid w:val="009159FC"/>
    <w:rsid w:val="0091618C"/>
    <w:rsid w:val="009165B0"/>
    <w:rsid w:val="009165B7"/>
    <w:rsid w:val="0091695A"/>
    <w:rsid w:val="00917218"/>
    <w:rsid w:val="009174E1"/>
    <w:rsid w:val="009174E7"/>
    <w:rsid w:val="009176A0"/>
    <w:rsid w:val="00917C63"/>
    <w:rsid w:val="00917CC9"/>
    <w:rsid w:val="00917E44"/>
    <w:rsid w:val="00920403"/>
    <w:rsid w:val="00920B7D"/>
    <w:rsid w:val="00921089"/>
    <w:rsid w:val="00922164"/>
    <w:rsid w:val="00922327"/>
    <w:rsid w:val="00922384"/>
    <w:rsid w:val="00922948"/>
    <w:rsid w:val="009233A6"/>
    <w:rsid w:val="0092347E"/>
    <w:rsid w:val="009236DD"/>
    <w:rsid w:val="00923AD1"/>
    <w:rsid w:val="00923B5E"/>
    <w:rsid w:val="0092428F"/>
    <w:rsid w:val="009243A3"/>
    <w:rsid w:val="0092453C"/>
    <w:rsid w:val="009246E2"/>
    <w:rsid w:val="00925040"/>
    <w:rsid w:val="0092539E"/>
    <w:rsid w:val="00925C40"/>
    <w:rsid w:val="00925CB5"/>
    <w:rsid w:val="0092626A"/>
    <w:rsid w:val="00926F82"/>
    <w:rsid w:val="00927067"/>
    <w:rsid w:val="00927119"/>
    <w:rsid w:val="00927156"/>
    <w:rsid w:val="0092787F"/>
    <w:rsid w:val="00930446"/>
    <w:rsid w:val="0093051E"/>
    <w:rsid w:val="00930803"/>
    <w:rsid w:val="0093149F"/>
    <w:rsid w:val="00931B32"/>
    <w:rsid w:val="00931BAE"/>
    <w:rsid w:val="00931BE3"/>
    <w:rsid w:val="00932053"/>
    <w:rsid w:val="00932268"/>
    <w:rsid w:val="00932299"/>
    <w:rsid w:val="009327DF"/>
    <w:rsid w:val="00932D29"/>
    <w:rsid w:val="009333CF"/>
    <w:rsid w:val="009336C3"/>
    <w:rsid w:val="0093390B"/>
    <w:rsid w:val="00933B0A"/>
    <w:rsid w:val="00933D3E"/>
    <w:rsid w:val="00934B87"/>
    <w:rsid w:val="00934C2D"/>
    <w:rsid w:val="00934CD5"/>
    <w:rsid w:val="00935042"/>
    <w:rsid w:val="009351ED"/>
    <w:rsid w:val="009357C2"/>
    <w:rsid w:val="00935963"/>
    <w:rsid w:val="00935B63"/>
    <w:rsid w:val="00935C35"/>
    <w:rsid w:val="00935EF4"/>
    <w:rsid w:val="00936C40"/>
    <w:rsid w:val="0093700D"/>
    <w:rsid w:val="009371C3"/>
    <w:rsid w:val="00937320"/>
    <w:rsid w:val="0093798F"/>
    <w:rsid w:val="00937D88"/>
    <w:rsid w:val="00937D89"/>
    <w:rsid w:val="00937ED9"/>
    <w:rsid w:val="0094005B"/>
    <w:rsid w:val="00940519"/>
    <w:rsid w:val="009408DB"/>
    <w:rsid w:val="009409D5"/>
    <w:rsid w:val="00940A4C"/>
    <w:rsid w:val="00941E61"/>
    <w:rsid w:val="009420A8"/>
    <w:rsid w:val="009428DA"/>
    <w:rsid w:val="00942CFC"/>
    <w:rsid w:val="00942D41"/>
    <w:rsid w:val="00942D6E"/>
    <w:rsid w:val="00942FD0"/>
    <w:rsid w:val="00943866"/>
    <w:rsid w:val="00943B6F"/>
    <w:rsid w:val="00943C99"/>
    <w:rsid w:val="00943ECD"/>
    <w:rsid w:val="0094441D"/>
    <w:rsid w:val="009445DF"/>
    <w:rsid w:val="0094480F"/>
    <w:rsid w:val="00945062"/>
    <w:rsid w:val="009450D8"/>
    <w:rsid w:val="00945AEE"/>
    <w:rsid w:val="009462C5"/>
    <w:rsid w:val="009464D0"/>
    <w:rsid w:val="0094674A"/>
    <w:rsid w:val="009469B6"/>
    <w:rsid w:val="00946C49"/>
    <w:rsid w:val="00947025"/>
    <w:rsid w:val="0094768A"/>
    <w:rsid w:val="00947801"/>
    <w:rsid w:val="009478AC"/>
    <w:rsid w:val="00947DCD"/>
    <w:rsid w:val="00950036"/>
    <w:rsid w:val="00950041"/>
    <w:rsid w:val="0095011B"/>
    <w:rsid w:val="009501AC"/>
    <w:rsid w:val="009504A7"/>
    <w:rsid w:val="00950BC6"/>
    <w:rsid w:val="00950F94"/>
    <w:rsid w:val="009512E0"/>
    <w:rsid w:val="009518C1"/>
    <w:rsid w:val="00951A73"/>
    <w:rsid w:val="0095205F"/>
    <w:rsid w:val="00952332"/>
    <w:rsid w:val="00952560"/>
    <w:rsid w:val="00952AE4"/>
    <w:rsid w:val="00952C4A"/>
    <w:rsid w:val="00953439"/>
    <w:rsid w:val="00953917"/>
    <w:rsid w:val="00953DDF"/>
    <w:rsid w:val="00953E19"/>
    <w:rsid w:val="00953E7F"/>
    <w:rsid w:val="00953E8A"/>
    <w:rsid w:val="00953F39"/>
    <w:rsid w:val="0095470C"/>
    <w:rsid w:val="00954888"/>
    <w:rsid w:val="009549A1"/>
    <w:rsid w:val="00955118"/>
    <w:rsid w:val="0095558C"/>
    <w:rsid w:val="00955B8B"/>
    <w:rsid w:val="0095676B"/>
    <w:rsid w:val="00956E98"/>
    <w:rsid w:val="00956F6D"/>
    <w:rsid w:val="00957B47"/>
    <w:rsid w:val="00957DED"/>
    <w:rsid w:val="00960118"/>
    <w:rsid w:val="0096031C"/>
    <w:rsid w:val="009609F3"/>
    <w:rsid w:val="00960ABD"/>
    <w:rsid w:val="00960B81"/>
    <w:rsid w:val="0096106E"/>
    <w:rsid w:val="009613B4"/>
    <w:rsid w:val="00961465"/>
    <w:rsid w:val="00961601"/>
    <w:rsid w:val="009616F1"/>
    <w:rsid w:val="00961930"/>
    <w:rsid w:val="00961A8B"/>
    <w:rsid w:val="00961D7C"/>
    <w:rsid w:val="00961DE0"/>
    <w:rsid w:val="009621BD"/>
    <w:rsid w:val="0096222B"/>
    <w:rsid w:val="00962BCF"/>
    <w:rsid w:val="00962E6E"/>
    <w:rsid w:val="00963291"/>
    <w:rsid w:val="0096385E"/>
    <w:rsid w:val="00963A5F"/>
    <w:rsid w:val="00963B47"/>
    <w:rsid w:val="009647CB"/>
    <w:rsid w:val="00964B78"/>
    <w:rsid w:val="00965195"/>
    <w:rsid w:val="00965206"/>
    <w:rsid w:val="009658D0"/>
    <w:rsid w:val="00965B33"/>
    <w:rsid w:val="0096654F"/>
    <w:rsid w:val="00966C94"/>
    <w:rsid w:val="00966F0D"/>
    <w:rsid w:val="00967168"/>
    <w:rsid w:val="009671C6"/>
    <w:rsid w:val="0096750A"/>
    <w:rsid w:val="0096763D"/>
    <w:rsid w:val="009676B6"/>
    <w:rsid w:val="00967B9C"/>
    <w:rsid w:val="00967BAE"/>
    <w:rsid w:val="00967FE6"/>
    <w:rsid w:val="009702DC"/>
    <w:rsid w:val="00970420"/>
    <w:rsid w:val="00970A66"/>
    <w:rsid w:val="009712B5"/>
    <w:rsid w:val="009716D8"/>
    <w:rsid w:val="00972950"/>
    <w:rsid w:val="009729DE"/>
    <w:rsid w:val="00973118"/>
    <w:rsid w:val="00973190"/>
    <w:rsid w:val="009731DE"/>
    <w:rsid w:val="00973577"/>
    <w:rsid w:val="00973742"/>
    <w:rsid w:val="00973A19"/>
    <w:rsid w:val="00973C04"/>
    <w:rsid w:val="00973FA7"/>
    <w:rsid w:val="009740A3"/>
    <w:rsid w:val="009746F8"/>
    <w:rsid w:val="00974CBE"/>
    <w:rsid w:val="009751A4"/>
    <w:rsid w:val="009751C3"/>
    <w:rsid w:val="00975211"/>
    <w:rsid w:val="0097535B"/>
    <w:rsid w:val="009758FE"/>
    <w:rsid w:val="0097592E"/>
    <w:rsid w:val="00975BC7"/>
    <w:rsid w:val="00975D03"/>
    <w:rsid w:val="00975F62"/>
    <w:rsid w:val="00976AA3"/>
    <w:rsid w:val="009771D4"/>
    <w:rsid w:val="00977635"/>
    <w:rsid w:val="00977644"/>
    <w:rsid w:val="0097772E"/>
    <w:rsid w:val="0098003B"/>
    <w:rsid w:val="00980135"/>
    <w:rsid w:val="0098063F"/>
    <w:rsid w:val="00980810"/>
    <w:rsid w:val="00981466"/>
    <w:rsid w:val="00981A6A"/>
    <w:rsid w:val="00982095"/>
    <w:rsid w:val="009828AB"/>
    <w:rsid w:val="00982E55"/>
    <w:rsid w:val="0098303A"/>
    <w:rsid w:val="00983403"/>
    <w:rsid w:val="0098361F"/>
    <w:rsid w:val="00983946"/>
    <w:rsid w:val="00983DBB"/>
    <w:rsid w:val="00984090"/>
    <w:rsid w:val="00984257"/>
    <w:rsid w:val="0098459D"/>
    <w:rsid w:val="0098479D"/>
    <w:rsid w:val="00984ACB"/>
    <w:rsid w:val="00984DE0"/>
    <w:rsid w:val="00984DEE"/>
    <w:rsid w:val="00985180"/>
    <w:rsid w:val="009851DD"/>
    <w:rsid w:val="009859A9"/>
    <w:rsid w:val="00985DD6"/>
    <w:rsid w:val="009861F7"/>
    <w:rsid w:val="00986E89"/>
    <w:rsid w:val="00987503"/>
    <w:rsid w:val="009875B7"/>
    <w:rsid w:val="00987E20"/>
    <w:rsid w:val="009918C7"/>
    <w:rsid w:val="0099194B"/>
    <w:rsid w:val="00991E40"/>
    <w:rsid w:val="00991E4A"/>
    <w:rsid w:val="00992245"/>
    <w:rsid w:val="009923F1"/>
    <w:rsid w:val="0099245D"/>
    <w:rsid w:val="00992B2E"/>
    <w:rsid w:val="00992BA8"/>
    <w:rsid w:val="00992C3F"/>
    <w:rsid w:val="009937DE"/>
    <w:rsid w:val="00993A7A"/>
    <w:rsid w:val="00993B8C"/>
    <w:rsid w:val="00993D3D"/>
    <w:rsid w:val="00993DF7"/>
    <w:rsid w:val="009942D1"/>
    <w:rsid w:val="009943F2"/>
    <w:rsid w:val="00994B37"/>
    <w:rsid w:val="00994F41"/>
    <w:rsid w:val="0099508E"/>
    <w:rsid w:val="009950C6"/>
    <w:rsid w:val="0099552B"/>
    <w:rsid w:val="0099576B"/>
    <w:rsid w:val="00995BA7"/>
    <w:rsid w:val="00995D63"/>
    <w:rsid w:val="00995F61"/>
    <w:rsid w:val="009960B7"/>
    <w:rsid w:val="009961AD"/>
    <w:rsid w:val="009964ED"/>
    <w:rsid w:val="00996A80"/>
    <w:rsid w:val="00996B53"/>
    <w:rsid w:val="00996DB1"/>
    <w:rsid w:val="009972C2"/>
    <w:rsid w:val="009973C7"/>
    <w:rsid w:val="00997E5A"/>
    <w:rsid w:val="009A0957"/>
    <w:rsid w:val="009A0B3C"/>
    <w:rsid w:val="009A0CC1"/>
    <w:rsid w:val="009A0FEC"/>
    <w:rsid w:val="009A1085"/>
    <w:rsid w:val="009A16F2"/>
    <w:rsid w:val="009A1729"/>
    <w:rsid w:val="009A1AAD"/>
    <w:rsid w:val="009A2295"/>
    <w:rsid w:val="009A2433"/>
    <w:rsid w:val="009A2B18"/>
    <w:rsid w:val="009A2DB9"/>
    <w:rsid w:val="009A3130"/>
    <w:rsid w:val="009A3300"/>
    <w:rsid w:val="009A342A"/>
    <w:rsid w:val="009A3544"/>
    <w:rsid w:val="009A377F"/>
    <w:rsid w:val="009A399B"/>
    <w:rsid w:val="009A3E72"/>
    <w:rsid w:val="009A40BD"/>
    <w:rsid w:val="009A4464"/>
    <w:rsid w:val="009A47E3"/>
    <w:rsid w:val="009A480B"/>
    <w:rsid w:val="009A48F8"/>
    <w:rsid w:val="009A4CDB"/>
    <w:rsid w:val="009A5566"/>
    <w:rsid w:val="009A5718"/>
    <w:rsid w:val="009A5B29"/>
    <w:rsid w:val="009A63A4"/>
    <w:rsid w:val="009A6A90"/>
    <w:rsid w:val="009A70AF"/>
    <w:rsid w:val="009A73E0"/>
    <w:rsid w:val="009A7925"/>
    <w:rsid w:val="009A7931"/>
    <w:rsid w:val="009A7AD1"/>
    <w:rsid w:val="009B01D2"/>
    <w:rsid w:val="009B050B"/>
    <w:rsid w:val="009B0719"/>
    <w:rsid w:val="009B0805"/>
    <w:rsid w:val="009B09E0"/>
    <w:rsid w:val="009B0A4D"/>
    <w:rsid w:val="009B19CB"/>
    <w:rsid w:val="009B1A13"/>
    <w:rsid w:val="009B1C21"/>
    <w:rsid w:val="009B2358"/>
    <w:rsid w:val="009B2445"/>
    <w:rsid w:val="009B254E"/>
    <w:rsid w:val="009B2855"/>
    <w:rsid w:val="009B2A6E"/>
    <w:rsid w:val="009B323D"/>
    <w:rsid w:val="009B339B"/>
    <w:rsid w:val="009B39E3"/>
    <w:rsid w:val="009B3A91"/>
    <w:rsid w:val="009B3C22"/>
    <w:rsid w:val="009B3DB6"/>
    <w:rsid w:val="009B413F"/>
    <w:rsid w:val="009B41D9"/>
    <w:rsid w:val="009B429C"/>
    <w:rsid w:val="009B437C"/>
    <w:rsid w:val="009B4797"/>
    <w:rsid w:val="009B5159"/>
    <w:rsid w:val="009B56C3"/>
    <w:rsid w:val="009B5713"/>
    <w:rsid w:val="009B5A96"/>
    <w:rsid w:val="009B5BF8"/>
    <w:rsid w:val="009B5C92"/>
    <w:rsid w:val="009B5ED6"/>
    <w:rsid w:val="009B68FA"/>
    <w:rsid w:val="009B6A11"/>
    <w:rsid w:val="009B701C"/>
    <w:rsid w:val="009B74CD"/>
    <w:rsid w:val="009B77EC"/>
    <w:rsid w:val="009B78D0"/>
    <w:rsid w:val="009B7AC3"/>
    <w:rsid w:val="009C0CEA"/>
    <w:rsid w:val="009C0F37"/>
    <w:rsid w:val="009C0F40"/>
    <w:rsid w:val="009C135B"/>
    <w:rsid w:val="009C16ED"/>
    <w:rsid w:val="009C1C54"/>
    <w:rsid w:val="009C1FAE"/>
    <w:rsid w:val="009C2327"/>
    <w:rsid w:val="009C3C12"/>
    <w:rsid w:val="009C3D5F"/>
    <w:rsid w:val="009C3F31"/>
    <w:rsid w:val="009C43AD"/>
    <w:rsid w:val="009C43B2"/>
    <w:rsid w:val="009C4887"/>
    <w:rsid w:val="009C5008"/>
    <w:rsid w:val="009C56FA"/>
    <w:rsid w:val="009C610B"/>
    <w:rsid w:val="009C6720"/>
    <w:rsid w:val="009C70E1"/>
    <w:rsid w:val="009C73B4"/>
    <w:rsid w:val="009C7D01"/>
    <w:rsid w:val="009D08AB"/>
    <w:rsid w:val="009D0A79"/>
    <w:rsid w:val="009D0DC9"/>
    <w:rsid w:val="009D1045"/>
    <w:rsid w:val="009D197F"/>
    <w:rsid w:val="009D2729"/>
    <w:rsid w:val="009D27F8"/>
    <w:rsid w:val="009D283B"/>
    <w:rsid w:val="009D3166"/>
    <w:rsid w:val="009D317C"/>
    <w:rsid w:val="009D34D2"/>
    <w:rsid w:val="009D371D"/>
    <w:rsid w:val="009D3E01"/>
    <w:rsid w:val="009D3E8F"/>
    <w:rsid w:val="009D4892"/>
    <w:rsid w:val="009D4A9A"/>
    <w:rsid w:val="009D4BAE"/>
    <w:rsid w:val="009D4BFB"/>
    <w:rsid w:val="009D50D9"/>
    <w:rsid w:val="009D5178"/>
    <w:rsid w:val="009D5477"/>
    <w:rsid w:val="009D579C"/>
    <w:rsid w:val="009D5AA6"/>
    <w:rsid w:val="009D5B7E"/>
    <w:rsid w:val="009D6100"/>
    <w:rsid w:val="009D670F"/>
    <w:rsid w:val="009D68ED"/>
    <w:rsid w:val="009D6D08"/>
    <w:rsid w:val="009D6E0C"/>
    <w:rsid w:val="009D70A8"/>
    <w:rsid w:val="009D75CF"/>
    <w:rsid w:val="009D7603"/>
    <w:rsid w:val="009D78C3"/>
    <w:rsid w:val="009D7943"/>
    <w:rsid w:val="009D7BC3"/>
    <w:rsid w:val="009D7D77"/>
    <w:rsid w:val="009E0102"/>
    <w:rsid w:val="009E02B1"/>
    <w:rsid w:val="009E0732"/>
    <w:rsid w:val="009E08BD"/>
    <w:rsid w:val="009E0CDC"/>
    <w:rsid w:val="009E0CFF"/>
    <w:rsid w:val="009E1088"/>
    <w:rsid w:val="009E10DF"/>
    <w:rsid w:val="009E1797"/>
    <w:rsid w:val="009E1BDB"/>
    <w:rsid w:val="009E20E3"/>
    <w:rsid w:val="009E2281"/>
    <w:rsid w:val="009E2799"/>
    <w:rsid w:val="009E2C43"/>
    <w:rsid w:val="009E2EC4"/>
    <w:rsid w:val="009E2F7F"/>
    <w:rsid w:val="009E2FA8"/>
    <w:rsid w:val="009E387A"/>
    <w:rsid w:val="009E3CBE"/>
    <w:rsid w:val="009E3CD5"/>
    <w:rsid w:val="009E4170"/>
    <w:rsid w:val="009E43BA"/>
    <w:rsid w:val="009E4739"/>
    <w:rsid w:val="009E4B8E"/>
    <w:rsid w:val="009E4F88"/>
    <w:rsid w:val="009E52AB"/>
    <w:rsid w:val="009E6116"/>
    <w:rsid w:val="009E6314"/>
    <w:rsid w:val="009E66A2"/>
    <w:rsid w:val="009E68A9"/>
    <w:rsid w:val="009E7630"/>
    <w:rsid w:val="009E7AA3"/>
    <w:rsid w:val="009E7B2C"/>
    <w:rsid w:val="009E7E7D"/>
    <w:rsid w:val="009F0074"/>
    <w:rsid w:val="009F020B"/>
    <w:rsid w:val="009F0547"/>
    <w:rsid w:val="009F0550"/>
    <w:rsid w:val="009F06F7"/>
    <w:rsid w:val="009F0AEE"/>
    <w:rsid w:val="009F1061"/>
    <w:rsid w:val="009F1481"/>
    <w:rsid w:val="009F1BBE"/>
    <w:rsid w:val="009F20A1"/>
    <w:rsid w:val="009F26B4"/>
    <w:rsid w:val="009F2A4C"/>
    <w:rsid w:val="009F3114"/>
    <w:rsid w:val="009F3A4D"/>
    <w:rsid w:val="009F4098"/>
    <w:rsid w:val="009F4425"/>
    <w:rsid w:val="009F4451"/>
    <w:rsid w:val="009F4778"/>
    <w:rsid w:val="009F4EA9"/>
    <w:rsid w:val="009F51F6"/>
    <w:rsid w:val="009F5296"/>
    <w:rsid w:val="009F5621"/>
    <w:rsid w:val="009F5B73"/>
    <w:rsid w:val="009F6189"/>
    <w:rsid w:val="009F65D5"/>
    <w:rsid w:val="009F6ABF"/>
    <w:rsid w:val="009F728C"/>
    <w:rsid w:val="00A002F5"/>
    <w:rsid w:val="00A0077C"/>
    <w:rsid w:val="00A00A43"/>
    <w:rsid w:val="00A013F5"/>
    <w:rsid w:val="00A01A1A"/>
    <w:rsid w:val="00A01BE5"/>
    <w:rsid w:val="00A01DF1"/>
    <w:rsid w:val="00A02483"/>
    <w:rsid w:val="00A034B4"/>
    <w:rsid w:val="00A036AD"/>
    <w:rsid w:val="00A0383D"/>
    <w:rsid w:val="00A03CD7"/>
    <w:rsid w:val="00A04E2D"/>
    <w:rsid w:val="00A05442"/>
    <w:rsid w:val="00A0549F"/>
    <w:rsid w:val="00A05725"/>
    <w:rsid w:val="00A05A50"/>
    <w:rsid w:val="00A05C21"/>
    <w:rsid w:val="00A06F63"/>
    <w:rsid w:val="00A06FDE"/>
    <w:rsid w:val="00A07510"/>
    <w:rsid w:val="00A07540"/>
    <w:rsid w:val="00A07966"/>
    <w:rsid w:val="00A07A49"/>
    <w:rsid w:val="00A07B17"/>
    <w:rsid w:val="00A07F16"/>
    <w:rsid w:val="00A10038"/>
    <w:rsid w:val="00A10DDA"/>
    <w:rsid w:val="00A11A90"/>
    <w:rsid w:val="00A12A05"/>
    <w:rsid w:val="00A12E5D"/>
    <w:rsid w:val="00A13A75"/>
    <w:rsid w:val="00A13CC0"/>
    <w:rsid w:val="00A13E68"/>
    <w:rsid w:val="00A140D4"/>
    <w:rsid w:val="00A15174"/>
    <w:rsid w:val="00A15839"/>
    <w:rsid w:val="00A15BFD"/>
    <w:rsid w:val="00A15E20"/>
    <w:rsid w:val="00A1615E"/>
    <w:rsid w:val="00A167AB"/>
    <w:rsid w:val="00A16840"/>
    <w:rsid w:val="00A169B0"/>
    <w:rsid w:val="00A169BC"/>
    <w:rsid w:val="00A16A79"/>
    <w:rsid w:val="00A16A84"/>
    <w:rsid w:val="00A17192"/>
    <w:rsid w:val="00A17936"/>
    <w:rsid w:val="00A17D6C"/>
    <w:rsid w:val="00A17E1B"/>
    <w:rsid w:val="00A17FE1"/>
    <w:rsid w:val="00A20419"/>
    <w:rsid w:val="00A206C8"/>
    <w:rsid w:val="00A214FA"/>
    <w:rsid w:val="00A21554"/>
    <w:rsid w:val="00A21A07"/>
    <w:rsid w:val="00A21A65"/>
    <w:rsid w:val="00A21EAF"/>
    <w:rsid w:val="00A222DF"/>
    <w:rsid w:val="00A223DF"/>
    <w:rsid w:val="00A2276F"/>
    <w:rsid w:val="00A227FA"/>
    <w:rsid w:val="00A22E86"/>
    <w:rsid w:val="00A22FF0"/>
    <w:rsid w:val="00A233D1"/>
    <w:rsid w:val="00A242B3"/>
    <w:rsid w:val="00A242EC"/>
    <w:rsid w:val="00A2462C"/>
    <w:rsid w:val="00A24881"/>
    <w:rsid w:val="00A252FA"/>
    <w:rsid w:val="00A2530D"/>
    <w:rsid w:val="00A2558F"/>
    <w:rsid w:val="00A258CD"/>
    <w:rsid w:val="00A261AE"/>
    <w:rsid w:val="00A26406"/>
    <w:rsid w:val="00A26423"/>
    <w:rsid w:val="00A264BB"/>
    <w:rsid w:val="00A264C5"/>
    <w:rsid w:val="00A2683B"/>
    <w:rsid w:val="00A272AC"/>
    <w:rsid w:val="00A27368"/>
    <w:rsid w:val="00A275CF"/>
    <w:rsid w:val="00A275DC"/>
    <w:rsid w:val="00A27827"/>
    <w:rsid w:val="00A27A8F"/>
    <w:rsid w:val="00A27CD8"/>
    <w:rsid w:val="00A27FAB"/>
    <w:rsid w:val="00A30EFC"/>
    <w:rsid w:val="00A30F0C"/>
    <w:rsid w:val="00A31206"/>
    <w:rsid w:val="00A31213"/>
    <w:rsid w:val="00A315F3"/>
    <w:rsid w:val="00A31703"/>
    <w:rsid w:val="00A31ECD"/>
    <w:rsid w:val="00A3205B"/>
    <w:rsid w:val="00A32335"/>
    <w:rsid w:val="00A3273E"/>
    <w:rsid w:val="00A327C5"/>
    <w:rsid w:val="00A32ADA"/>
    <w:rsid w:val="00A32F4E"/>
    <w:rsid w:val="00A33FA3"/>
    <w:rsid w:val="00A34178"/>
    <w:rsid w:val="00A34558"/>
    <w:rsid w:val="00A346B8"/>
    <w:rsid w:val="00A3495A"/>
    <w:rsid w:val="00A34A35"/>
    <w:rsid w:val="00A34CB1"/>
    <w:rsid w:val="00A34E66"/>
    <w:rsid w:val="00A34ECF"/>
    <w:rsid w:val="00A34F3E"/>
    <w:rsid w:val="00A355DB"/>
    <w:rsid w:val="00A355F6"/>
    <w:rsid w:val="00A35928"/>
    <w:rsid w:val="00A36062"/>
    <w:rsid w:val="00A367F8"/>
    <w:rsid w:val="00A36AB8"/>
    <w:rsid w:val="00A36C94"/>
    <w:rsid w:val="00A36F8E"/>
    <w:rsid w:val="00A37198"/>
    <w:rsid w:val="00A372AE"/>
    <w:rsid w:val="00A373CE"/>
    <w:rsid w:val="00A3758D"/>
    <w:rsid w:val="00A377D1"/>
    <w:rsid w:val="00A37989"/>
    <w:rsid w:val="00A37CC7"/>
    <w:rsid w:val="00A37EB0"/>
    <w:rsid w:val="00A402F7"/>
    <w:rsid w:val="00A405A0"/>
    <w:rsid w:val="00A409F1"/>
    <w:rsid w:val="00A40A3F"/>
    <w:rsid w:val="00A41DC2"/>
    <w:rsid w:val="00A421CB"/>
    <w:rsid w:val="00A422C2"/>
    <w:rsid w:val="00A4235E"/>
    <w:rsid w:val="00A42704"/>
    <w:rsid w:val="00A42B86"/>
    <w:rsid w:val="00A42F46"/>
    <w:rsid w:val="00A439F3"/>
    <w:rsid w:val="00A43A8A"/>
    <w:rsid w:val="00A43AF5"/>
    <w:rsid w:val="00A43BF9"/>
    <w:rsid w:val="00A441D8"/>
    <w:rsid w:val="00A4425A"/>
    <w:rsid w:val="00A442AD"/>
    <w:rsid w:val="00A44429"/>
    <w:rsid w:val="00A446E2"/>
    <w:rsid w:val="00A44822"/>
    <w:rsid w:val="00A448F9"/>
    <w:rsid w:val="00A44F60"/>
    <w:rsid w:val="00A45036"/>
    <w:rsid w:val="00A453A4"/>
    <w:rsid w:val="00A459BA"/>
    <w:rsid w:val="00A45DC2"/>
    <w:rsid w:val="00A46704"/>
    <w:rsid w:val="00A46A07"/>
    <w:rsid w:val="00A46DEA"/>
    <w:rsid w:val="00A47B15"/>
    <w:rsid w:val="00A47E96"/>
    <w:rsid w:val="00A47ECF"/>
    <w:rsid w:val="00A5005B"/>
    <w:rsid w:val="00A50138"/>
    <w:rsid w:val="00A5043B"/>
    <w:rsid w:val="00A5050E"/>
    <w:rsid w:val="00A50744"/>
    <w:rsid w:val="00A509CC"/>
    <w:rsid w:val="00A511F9"/>
    <w:rsid w:val="00A5208E"/>
    <w:rsid w:val="00A522D6"/>
    <w:rsid w:val="00A52745"/>
    <w:rsid w:val="00A528F1"/>
    <w:rsid w:val="00A529B4"/>
    <w:rsid w:val="00A52C86"/>
    <w:rsid w:val="00A52D08"/>
    <w:rsid w:val="00A52DBF"/>
    <w:rsid w:val="00A52E64"/>
    <w:rsid w:val="00A53CB5"/>
    <w:rsid w:val="00A53D85"/>
    <w:rsid w:val="00A53F99"/>
    <w:rsid w:val="00A53FA9"/>
    <w:rsid w:val="00A54188"/>
    <w:rsid w:val="00A54DD0"/>
    <w:rsid w:val="00A54FC7"/>
    <w:rsid w:val="00A550F1"/>
    <w:rsid w:val="00A551FB"/>
    <w:rsid w:val="00A55209"/>
    <w:rsid w:val="00A55332"/>
    <w:rsid w:val="00A559FF"/>
    <w:rsid w:val="00A55B55"/>
    <w:rsid w:val="00A55BE6"/>
    <w:rsid w:val="00A564DA"/>
    <w:rsid w:val="00A5652E"/>
    <w:rsid w:val="00A565DC"/>
    <w:rsid w:val="00A568AD"/>
    <w:rsid w:val="00A56AB0"/>
    <w:rsid w:val="00A56AEB"/>
    <w:rsid w:val="00A56C93"/>
    <w:rsid w:val="00A56CFE"/>
    <w:rsid w:val="00A56EF8"/>
    <w:rsid w:val="00A5709B"/>
    <w:rsid w:val="00A570C0"/>
    <w:rsid w:val="00A57166"/>
    <w:rsid w:val="00A5789D"/>
    <w:rsid w:val="00A60F53"/>
    <w:rsid w:val="00A61144"/>
    <w:rsid w:val="00A615D0"/>
    <w:rsid w:val="00A61FF0"/>
    <w:rsid w:val="00A62120"/>
    <w:rsid w:val="00A62160"/>
    <w:rsid w:val="00A629D7"/>
    <w:rsid w:val="00A62DA9"/>
    <w:rsid w:val="00A630C7"/>
    <w:rsid w:val="00A633BC"/>
    <w:rsid w:val="00A633BF"/>
    <w:rsid w:val="00A63741"/>
    <w:rsid w:val="00A64078"/>
    <w:rsid w:val="00A6408B"/>
    <w:rsid w:val="00A64256"/>
    <w:rsid w:val="00A644EF"/>
    <w:rsid w:val="00A64876"/>
    <w:rsid w:val="00A64AE8"/>
    <w:rsid w:val="00A65777"/>
    <w:rsid w:val="00A6587E"/>
    <w:rsid w:val="00A65883"/>
    <w:rsid w:val="00A659D5"/>
    <w:rsid w:val="00A65DAD"/>
    <w:rsid w:val="00A661C6"/>
    <w:rsid w:val="00A66458"/>
    <w:rsid w:val="00A66865"/>
    <w:rsid w:val="00A669CC"/>
    <w:rsid w:val="00A669E2"/>
    <w:rsid w:val="00A66A0A"/>
    <w:rsid w:val="00A66BDD"/>
    <w:rsid w:val="00A6709F"/>
    <w:rsid w:val="00A67E5D"/>
    <w:rsid w:val="00A67EED"/>
    <w:rsid w:val="00A67FAD"/>
    <w:rsid w:val="00A70384"/>
    <w:rsid w:val="00A70663"/>
    <w:rsid w:val="00A70ACA"/>
    <w:rsid w:val="00A71086"/>
    <w:rsid w:val="00A71964"/>
    <w:rsid w:val="00A71A3B"/>
    <w:rsid w:val="00A71B2E"/>
    <w:rsid w:val="00A71B5D"/>
    <w:rsid w:val="00A71E82"/>
    <w:rsid w:val="00A72065"/>
    <w:rsid w:val="00A72534"/>
    <w:rsid w:val="00A72A49"/>
    <w:rsid w:val="00A72C79"/>
    <w:rsid w:val="00A72CCB"/>
    <w:rsid w:val="00A732DA"/>
    <w:rsid w:val="00A73451"/>
    <w:rsid w:val="00A737DC"/>
    <w:rsid w:val="00A739BA"/>
    <w:rsid w:val="00A73C36"/>
    <w:rsid w:val="00A743C0"/>
    <w:rsid w:val="00A749F4"/>
    <w:rsid w:val="00A74BE5"/>
    <w:rsid w:val="00A74F2D"/>
    <w:rsid w:val="00A7501F"/>
    <w:rsid w:val="00A75861"/>
    <w:rsid w:val="00A75CED"/>
    <w:rsid w:val="00A7646E"/>
    <w:rsid w:val="00A765EA"/>
    <w:rsid w:val="00A76623"/>
    <w:rsid w:val="00A76837"/>
    <w:rsid w:val="00A76A23"/>
    <w:rsid w:val="00A76ADD"/>
    <w:rsid w:val="00A76C3D"/>
    <w:rsid w:val="00A76D72"/>
    <w:rsid w:val="00A76D82"/>
    <w:rsid w:val="00A7711A"/>
    <w:rsid w:val="00A77B3C"/>
    <w:rsid w:val="00A8014E"/>
    <w:rsid w:val="00A80C48"/>
    <w:rsid w:val="00A80F3C"/>
    <w:rsid w:val="00A8115F"/>
    <w:rsid w:val="00A81785"/>
    <w:rsid w:val="00A8269B"/>
    <w:rsid w:val="00A82C32"/>
    <w:rsid w:val="00A82D28"/>
    <w:rsid w:val="00A83562"/>
    <w:rsid w:val="00A835B8"/>
    <w:rsid w:val="00A8370E"/>
    <w:rsid w:val="00A8396C"/>
    <w:rsid w:val="00A83B3A"/>
    <w:rsid w:val="00A83B7F"/>
    <w:rsid w:val="00A84358"/>
    <w:rsid w:val="00A84BAC"/>
    <w:rsid w:val="00A84C74"/>
    <w:rsid w:val="00A854D8"/>
    <w:rsid w:val="00A8555F"/>
    <w:rsid w:val="00A855B4"/>
    <w:rsid w:val="00A85807"/>
    <w:rsid w:val="00A859A8"/>
    <w:rsid w:val="00A85BA9"/>
    <w:rsid w:val="00A85C69"/>
    <w:rsid w:val="00A85CFB"/>
    <w:rsid w:val="00A85DFA"/>
    <w:rsid w:val="00A86DE7"/>
    <w:rsid w:val="00A87A21"/>
    <w:rsid w:val="00A87AE4"/>
    <w:rsid w:val="00A87D23"/>
    <w:rsid w:val="00A87FC0"/>
    <w:rsid w:val="00A9042A"/>
    <w:rsid w:val="00A9087C"/>
    <w:rsid w:val="00A90906"/>
    <w:rsid w:val="00A90BED"/>
    <w:rsid w:val="00A912B7"/>
    <w:rsid w:val="00A918D7"/>
    <w:rsid w:val="00A91B6C"/>
    <w:rsid w:val="00A91C78"/>
    <w:rsid w:val="00A92747"/>
    <w:rsid w:val="00A92CC9"/>
    <w:rsid w:val="00A930AE"/>
    <w:rsid w:val="00A935F4"/>
    <w:rsid w:val="00A938CE"/>
    <w:rsid w:val="00A938E3"/>
    <w:rsid w:val="00A93AB3"/>
    <w:rsid w:val="00A93D22"/>
    <w:rsid w:val="00A93ED4"/>
    <w:rsid w:val="00A94020"/>
    <w:rsid w:val="00A9456D"/>
    <w:rsid w:val="00A94CE0"/>
    <w:rsid w:val="00A94E04"/>
    <w:rsid w:val="00A94E85"/>
    <w:rsid w:val="00A95149"/>
    <w:rsid w:val="00A951C5"/>
    <w:rsid w:val="00A954C8"/>
    <w:rsid w:val="00A955E0"/>
    <w:rsid w:val="00A95867"/>
    <w:rsid w:val="00A95EDA"/>
    <w:rsid w:val="00A96289"/>
    <w:rsid w:val="00A96408"/>
    <w:rsid w:val="00A96A04"/>
    <w:rsid w:val="00A96CAF"/>
    <w:rsid w:val="00A96D7C"/>
    <w:rsid w:val="00A96E6F"/>
    <w:rsid w:val="00A96E74"/>
    <w:rsid w:val="00A96EC4"/>
    <w:rsid w:val="00A96FF5"/>
    <w:rsid w:val="00A9717F"/>
    <w:rsid w:val="00A97762"/>
    <w:rsid w:val="00A97DAD"/>
    <w:rsid w:val="00AA08A4"/>
    <w:rsid w:val="00AA10F4"/>
    <w:rsid w:val="00AA12B8"/>
    <w:rsid w:val="00AA16A5"/>
    <w:rsid w:val="00AA1875"/>
    <w:rsid w:val="00AA1944"/>
    <w:rsid w:val="00AA1E11"/>
    <w:rsid w:val="00AA1F19"/>
    <w:rsid w:val="00AA27E8"/>
    <w:rsid w:val="00AA2A9C"/>
    <w:rsid w:val="00AA2C03"/>
    <w:rsid w:val="00AA2C6A"/>
    <w:rsid w:val="00AA2E2F"/>
    <w:rsid w:val="00AA394C"/>
    <w:rsid w:val="00AA3BD5"/>
    <w:rsid w:val="00AA3DFF"/>
    <w:rsid w:val="00AA4302"/>
    <w:rsid w:val="00AA4626"/>
    <w:rsid w:val="00AA4BD2"/>
    <w:rsid w:val="00AA4E4B"/>
    <w:rsid w:val="00AA4F8F"/>
    <w:rsid w:val="00AA5052"/>
    <w:rsid w:val="00AA5295"/>
    <w:rsid w:val="00AA5533"/>
    <w:rsid w:val="00AA5A7E"/>
    <w:rsid w:val="00AA5AF1"/>
    <w:rsid w:val="00AA5F22"/>
    <w:rsid w:val="00AA65AC"/>
    <w:rsid w:val="00AA6972"/>
    <w:rsid w:val="00AA7495"/>
    <w:rsid w:val="00AA7565"/>
    <w:rsid w:val="00AA766C"/>
    <w:rsid w:val="00AA79D9"/>
    <w:rsid w:val="00AA7BF9"/>
    <w:rsid w:val="00AA7ED5"/>
    <w:rsid w:val="00AB06CE"/>
    <w:rsid w:val="00AB0AD6"/>
    <w:rsid w:val="00AB1097"/>
    <w:rsid w:val="00AB14F1"/>
    <w:rsid w:val="00AB1597"/>
    <w:rsid w:val="00AB1B6F"/>
    <w:rsid w:val="00AB1BB2"/>
    <w:rsid w:val="00AB1C7A"/>
    <w:rsid w:val="00AB1E02"/>
    <w:rsid w:val="00AB2CEA"/>
    <w:rsid w:val="00AB30F7"/>
    <w:rsid w:val="00AB310F"/>
    <w:rsid w:val="00AB3199"/>
    <w:rsid w:val="00AB37AF"/>
    <w:rsid w:val="00AB4DFD"/>
    <w:rsid w:val="00AB53D4"/>
    <w:rsid w:val="00AB542A"/>
    <w:rsid w:val="00AB552F"/>
    <w:rsid w:val="00AB5DB1"/>
    <w:rsid w:val="00AB613B"/>
    <w:rsid w:val="00AB662F"/>
    <w:rsid w:val="00AB6663"/>
    <w:rsid w:val="00AB72FF"/>
    <w:rsid w:val="00AB7F21"/>
    <w:rsid w:val="00AC07CF"/>
    <w:rsid w:val="00AC0A1E"/>
    <w:rsid w:val="00AC253E"/>
    <w:rsid w:val="00AC2A8A"/>
    <w:rsid w:val="00AC2CDA"/>
    <w:rsid w:val="00AC310C"/>
    <w:rsid w:val="00AC3259"/>
    <w:rsid w:val="00AC3F92"/>
    <w:rsid w:val="00AC41D9"/>
    <w:rsid w:val="00AC4601"/>
    <w:rsid w:val="00AC474B"/>
    <w:rsid w:val="00AC5089"/>
    <w:rsid w:val="00AC5660"/>
    <w:rsid w:val="00AC5893"/>
    <w:rsid w:val="00AC5FAC"/>
    <w:rsid w:val="00AC61AC"/>
    <w:rsid w:val="00AC61F2"/>
    <w:rsid w:val="00AC6E27"/>
    <w:rsid w:val="00AC6FDE"/>
    <w:rsid w:val="00AC7739"/>
    <w:rsid w:val="00AC7BFF"/>
    <w:rsid w:val="00AC7D49"/>
    <w:rsid w:val="00AC7EDA"/>
    <w:rsid w:val="00AD0113"/>
    <w:rsid w:val="00AD02D5"/>
    <w:rsid w:val="00AD0828"/>
    <w:rsid w:val="00AD0DC7"/>
    <w:rsid w:val="00AD0DE2"/>
    <w:rsid w:val="00AD1018"/>
    <w:rsid w:val="00AD1232"/>
    <w:rsid w:val="00AD12FC"/>
    <w:rsid w:val="00AD175B"/>
    <w:rsid w:val="00AD17E2"/>
    <w:rsid w:val="00AD1A4C"/>
    <w:rsid w:val="00AD1CEA"/>
    <w:rsid w:val="00AD1D7F"/>
    <w:rsid w:val="00AD21E9"/>
    <w:rsid w:val="00AD2354"/>
    <w:rsid w:val="00AD25C1"/>
    <w:rsid w:val="00AD2774"/>
    <w:rsid w:val="00AD317A"/>
    <w:rsid w:val="00AD33B5"/>
    <w:rsid w:val="00AD3849"/>
    <w:rsid w:val="00AD3928"/>
    <w:rsid w:val="00AD42E9"/>
    <w:rsid w:val="00AD4618"/>
    <w:rsid w:val="00AD4FBC"/>
    <w:rsid w:val="00AD5585"/>
    <w:rsid w:val="00AD57EE"/>
    <w:rsid w:val="00AD5876"/>
    <w:rsid w:val="00AD60BF"/>
    <w:rsid w:val="00AD6284"/>
    <w:rsid w:val="00AD6BEC"/>
    <w:rsid w:val="00AD6C87"/>
    <w:rsid w:val="00AD6EC9"/>
    <w:rsid w:val="00AD79B5"/>
    <w:rsid w:val="00AD7CB7"/>
    <w:rsid w:val="00AD7E2D"/>
    <w:rsid w:val="00AE005C"/>
    <w:rsid w:val="00AE0126"/>
    <w:rsid w:val="00AE02D3"/>
    <w:rsid w:val="00AE0851"/>
    <w:rsid w:val="00AE08A7"/>
    <w:rsid w:val="00AE0A82"/>
    <w:rsid w:val="00AE0AC7"/>
    <w:rsid w:val="00AE0D2B"/>
    <w:rsid w:val="00AE0F59"/>
    <w:rsid w:val="00AE151F"/>
    <w:rsid w:val="00AE18DE"/>
    <w:rsid w:val="00AE1B58"/>
    <w:rsid w:val="00AE224D"/>
    <w:rsid w:val="00AE251B"/>
    <w:rsid w:val="00AE28F1"/>
    <w:rsid w:val="00AE2962"/>
    <w:rsid w:val="00AE2F2D"/>
    <w:rsid w:val="00AE3F75"/>
    <w:rsid w:val="00AE45DB"/>
    <w:rsid w:val="00AE4BE2"/>
    <w:rsid w:val="00AE4CBC"/>
    <w:rsid w:val="00AE4E09"/>
    <w:rsid w:val="00AE4E30"/>
    <w:rsid w:val="00AE5678"/>
    <w:rsid w:val="00AE56FD"/>
    <w:rsid w:val="00AE571C"/>
    <w:rsid w:val="00AE5F00"/>
    <w:rsid w:val="00AE6110"/>
    <w:rsid w:val="00AE61B4"/>
    <w:rsid w:val="00AE6807"/>
    <w:rsid w:val="00AE6C72"/>
    <w:rsid w:val="00AE6E63"/>
    <w:rsid w:val="00AE70E7"/>
    <w:rsid w:val="00AE72B7"/>
    <w:rsid w:val="00AE7481"/>
    <w:rsid w:val="00AE74B8"/>
    <w:rsid w:val="00AE7564"/>
    <w:rsid w:val="00AF0038"/>
    <w:rsid w:val="00AF003F"/>
    <w:rsid w:val="00AF10E3"/>
    <w:rsid w:val="00AF1644"/>
    <w:rsid w:val="00AF1A06"/>
    <w:rsid w:val="00AF1BE1"/>
    <w:rsid w:val="00AF1D52"/>
    <w:rsid w:val="00AF21F6"/>
    <w:rsid w:val="00AF2251"/>
    <w:rsid w:val="00AF265B"/>
    <w:rsid w:val="00AF2C41"/>
    <w:rsid w:val="00AF39BF"/>
    <w:rsid w:val="00AF3BED"/>
    <w:rsid w:val="00AF47FD"/>
    <w:rsid w:val="00AF4D6E"/>
    <w:rsid w:val="00AF5020"/>
    <w:rsid w:val="00AF517D"/>
    <w:rsid w:val="00AF51F1"/>
    <w:rsid w:val="00AF5375"/>
    <w:rsid w:val="00AF5551"/>
    <w:rsid w:val="00AF55DA"/>
    <w:rsid w:val="00AF568E"/>
    <w:rsid w:val="00AF574C"/>
    <w:rsid w:val="00AF5A1D"/>
    <w:rsid w:val="00AF5E2B"/>
    <w:rsid w:val="00AF6313"/>
    <w:rsid w:val="00AF6656"/>
    <w:rsid w:val="00AF6B71"/>
    <w:rsid w:val="00AF6C9A"/>
    <w:rsid w:val="00AF6DB4"/>
    <w:rsid w:val="00AF6FB1"/>
    <w:rsid w:val="00AF740C"/>
    <w:rsid w:val="00AF7DF9"/>
    <w:rsid w:val="00B003FC"/>
    <w:rsid w:val="00B00788"/>
    <w:rsid w:val="00B00B0B"/>
    <w:rsid w:val="00B01049"/>
    <w:rsid w:val="00B01276"/>
    <w:rsid w:val="00B01A27"/>
    <w:rsid w:val="00B02215"/>
    <w:rsid w:val="00B023D1"/>
    <w:rsid w:val="00B03210"/>
    <w:rsid w:val="00B039E7"/>
    <w:rsid w:val="00B03D4F"/>
    <w:rsid w:val="00B04723"/>
    <w:rsid w:val="00B04C56"/>
    <w:rsid w:val="00B04C83"/>
    <w:rsid w:val="00B0535C"/>
    <w:rsid w:val="00B05968"/>
    <w:rsid w:val="00B059FF"/>
    <w:rsid w:val="00B06088"/>
    <w:rsid w:val="00B0611C"/>
    <w:rsid w:val="00B061D4"/>
    <w:rsid w:val="00B06387"/>
    <w:rsid w:val="00B06667"/>
    <w:rsid w:val="00B06A3C"/>
    <w:rsid w:val="00B06DCE"/>
    <w:rsid w:val="00B072D3"/>
    <w:rsid w:val="00B07910"/>
    <w:rsid w:val="00B07C77"/>
    <w:rsid w:val="00B103E0"/>
    <w:rsid w:val="00B10A1E"/>
    <w:rsid w:val="00B10B8F"/>
    <w:rsid w:val="00B10F4D"/>
    <w:rsid w:val="00B1117D"/>
    <w:rsid w:val="00B1178A"/>
    <w:rsid w:val="00B117E9"/>
    <w:rsid w:val="00B119CF"/>
    <w:rsid w:val="00B11A1A"/>
    <w:rsid w:val="00B120B4"/>
    <w:rsid w:val="00B1217B"/>
    <w:rsid w:val="00B12A46"/>
    <w:rsid w:val="00B12EB9"/>
    <w:rsid w:val="00B12FC5"/>
    <w:rsid w:val="00B13414"/>
    <w:rsid w:val="00B13A0B"/>
    <w:rsid w:val="00B13D06"/>
    <w:rsid w:val="00B13EE4"/>
    <w:rsid w:val="00B1436F"/>
    <w:rsid w:val="00B144E3"/>
    <w:rsid w:val="00B145EA"/>
    <w:rsid w:val="00B14DBC"/>
    <w:rsid w:val="00B14F62"/>
    <w:rsid w:val="00B154AB"/>
    <w:rsid w:val="00B15764"/>
    <w:rsid w:val="00B1578D"/>
    <w:rsid w:val="00B15AAF"/>
    <w:rsid w:val="00B16995"/>
    <w:rsid w:val="00B169F6"/>
    <w:rsid w:val="00B16CAD"/>
    <w:rsid w:val="00B16DAF"/>
    <w:rsid w:val="00B171C4"/>
    <w:rsid w:val="00B171DA"/>
    <w:rsid w:val="00B172E9"/>
    <w:rsid w:val="00B17784"/>
    <w:rsid w:val="00B178F8"/>
    <w:rsid w:val="00B17A40"/>
    <w:rsid w:val="00B17C2E"/>
    <w:rsid w:val="00B17E6A"/>
    <w:rsid w:val="00B2010B"/>
    <w:rsid w:val="00B2088D"/>
    <w:rsid w:val="00B20A05"/>
    <w:rsid w:val="00B21031"/>
    <w:rsid w:val="00B211DB"/>
    <w:rsid w:val="00B216BD"/>
    <w:rsid w:val="00B21EBF"/>
    <w:rsid w:val="00B2248B"/>
    <w:rsid w:val="00B23190"/>
    <w:rsid w:val="00B2330E"/>
    <w:rsid w:val="00B23408"/>
    <w:rsid w:val="00B237A1"/>
    <w:rsid w:val="00B23D1C"/>
    <w:rsid w:val="00B23D95"/>
    <w:rsid w:val="00B24851"/>
    <w:rsid w:val="00B24BCE"/>
    <w:rsid w:val="00B2521A"/>
    <w:rsid w:val="00B2531A"/>
    <w:rsid w:val="00B253BA"/>
    <w:rsid w:val="00B256A5"/>
    <w:rsid w:val="00B256F3"/>
    <w:rsid w:val="00B25825"/>
    <w:rsid w:val="00B25B03"/>
    <w:rsid w:val="00B26268"/>
    <w:rsid w:val="00B263A2"/>
    <w:rsid w:val="00B2657F"/>
    <w:rsid w:val="00B269BF"/>
    <w:rsid w:val="00B26A44"/>
    <w:rsid w:val="00B27896"/>
    <w:rsid w:val="00B27ED3"/>
    <w:rsid w:val="00B3053E"/>
    <w:rsid w:val="00B30912"/>
    <w:rsid w:val="00B30CD1"/>
    <w:rsid w:val="00B31364"/>
    <w:rsid w:val="00B31437"/>
    <w:rsid w:val="00B314D5"/>
    <w:rsid w:val="00B3165A"/>
    <w:rsid w:val="00B3191F"/>
    <w:rsid w:val="00B31CD9"/>
    <w:rsid w:val="00B31FF9"/>
    <w:rsid w:val="00B326D4"/>
    <w:rsid w:val="00B32722"/>
    <w:rsid w:val="00B33986"/>
    <w:rsid w:val="00B33F98"/>
    <w:rsid w:val="00B342ED"/>
    <w:rsid w:val="00B345AC"/>
    <w:rsid w:val="00B34C0A"/>
    <w:rsid w:val="00B34C3E"/>
    <w:rsid w:val="00B35040"/>
    <w:rsid w:val="00B3564C"/>
    <w:rsid w:val="00B356C8"/>
    <w:rsid w:val="00B3586D"/>
    <w:rsid w:val="00B35A43"/>
    <w:rsid w:val="00B35B4F"/>
    <w:rsid w:val="00B35C92"/>
    <w:rsid w:val="00B368C8"/>
    <w:rsid w:val="00B36967"/>
    <w:rsid w:val="00B36A7C"/>
    <w:rsid w:val="00B36E80"/>
    <w:rsid w:val="00B36F0E"/>
    <w:rsid w:val="00B3706A"/>
    <w:rsid w:val="00B3727E"/>
    <w:rsid w:val="00B37405"/>
    <w:rsid w:val="00B37685"/>
    <w:rsid w:val="00B37A29"/>
    <w:rsid w:val="00B37D59"/>
    <w:rsid w:val="00B40006"/>
    <w:rsid w:val="00B40CA7"/>
    <w:rsid w:val="00B40ED3"/>
    <w:rsid w:val="00B4117B"/>
    <w:rsid w:val="00B4173F"/>
    <w:rsid w:val="00B419BB"/>
    <w:rsid w:val="00B41C7C"/>
    <w:rsid w:val="00B4205D"/>
    <w:rsid w:val="00B43865"/>
    <w:rsid w:val="00B43EBC"/>
    <w:rsid w:val="00B44BB9"/>
    <w:rsid w:val="00B44D93"/>
    <w:rsid w:val="00B44F0B"/>
    <w:rsid w:val="00B45257"/>
    <w:rsid w:val="00B45657"/>
    <w:rsid w:val="00B45888"/>
    <w:rsid w:val="00B458C3"/>
    <w:rsid w:val="00B45D51"/>
    <w:rsid w:val="00B45EF8"/>
    <w:rsid w:val="00B465EA"/>
    <w:rsid w:val="00B4660B"/>
    <w:rsid w:val="00B467D8"/>
    <w:rsid w:val="00B46E0C"/>
    <w:rsid w:val="00B472D8"/>
    <w:rsid w:val="00B475B8"/>
    <w:rsid w:val="00B475EA"/>
    <w:rsid w:val="00B47727"/>
    <w:rsid w:val="00B47F23"/>
    <w:rsid w:val="00B47F77"/>
    <w:rsid w:val="00B504E3"/>
    <w:rsid w:val="00B506E6"/>
    <w:rsid w:val="00B507AC"/>
    <w:rsid w:val="00B510B9"/>
    <w:rsid w:val="00B51118"/>
    <w:rsid w:val="00B515C1"/>
    <w:rsid w:val="00B517D0"/>
    <w:rsid w:val="00B51942"/>
    <w:rsid w:val="00B51B5B"/>
    <w:rsid w:val="00B51C79"/>
    <w:rsid w:val="00B520EC"/>
    <w:rsid w:val="00B5299C"/>
    <w:rsid w:val="00B531B2"/>
    <w:rsid w:val="00B53661"/>
    <w:rsid w:val="00B53BDF"/>
    <w:rsid w:val="00B53C3F"/>
    <w:rsid w:val="00B542E1"/>
    <w:rsid w:val="00B54436"/>
    <w:rsid w:val="00B544C9"/>
    <w:rsid w:val="00B5474D"/>
    <w:rsid w:val="00B5559B"/>
    <w:rsid w:val="00B55644"/>
    <w:rsid w:val="00B559BD"/>
    <w:rsid w:val="00B55B7F"/>
    <w:rsid w:val="00B55FE8"/>
    <w:rsid w:val="00B5611D"/>
    <w:rsid w:val="00B563F3"/>
    <w:rsid w:val="00B56EEA"/>
    <w:rsid w:val="00B57565"/>
    <w:rsid w:val="00B57654"/>
    <w:rsid w:val="00B577A6"/>
    <w:rsid w:val="00B578AF"/>
    <w:rsid w:val="00B6027F"/>
    <w:rsid w:val="00B602D4"/>
    <w:rsid w:val="00B60427"/>
    <w:rsid w:val="00B604F0"/>
    <w:rsid w:val="00B608C2"/>
    <w:rsid w:val="00B60B52"/>
    <w:rsid w:val="00B60DBD"/>
    <w:rsid w:val="00B610A1"/>
    <w:rsid w:val="00B61451"/>
    <w:rsid w:val="00B616C4"/>
    <w:rsid w:val="00B626B7"/>
    <w:rsid w:val="00B62719"/>
    <w:rsid w:val="00B62951"/>
    <w:rsid w:val="00B637DE"/>
    <w:rsid w:val="00B63918"/>
    <w:rsid w:val="00B63B89"/>
    <w:rsid w:val="00B64B12"/>
    <w:rsid w:val="00B6547F"/>
    <w:rsid w:val="00B66ABF"/>
    <w:rsid w:val="00B66C2C"/>
    <w:rsid w:val="00B66C7E"/>
    <w:rsid w:val="00B66C8C"/>
    <w:rsid w:val="00B66EE0"/>
    <w:rsid w:val="00B670A0"/>
    <w:rsid w:val="00B670F7"/>
    <w:rsid w:val="00B6734B"/>
    <w:rsid w:val="00B6740B"/>
    <w:rsid w:val="00B674C2"/>
    <w:rsid w:val="00B67F3C"/>
    <w:rsid w:val="00B70101"/>
    <w:rsid w:val="00B704B8"/>
    <w:rsid w:val="00B706C4"/>
    <w:rsid w:val="00B70E5B"/>
    <w:rsid w:val="00B710A1"/>
    <w:rsid w:val="00B7132F"/>
    <w:rsid w:val="00B713C0"/>
    <w:rsid w:val="00B717A9"/>
    <w:rsid w:val="00B71AA6"/>
    <w:rsid w:val="00B71B0D"/>
    <w:rsid w:val="00B71D18"/>
    <w:rsid w:val="00B71E3D"/>
    <w:rsid w:val="00B71E7F"/>
    <w:rsid w:val="00B71F19"/>
    <w:rsid w:val="00B721B6"/>
    <w:rsid w:val="00B721C3"/>
    <w:rsid w:val="00B724B3"/>
    <w:rsid w:val="00B7290D"/>
    <w:rsid w:val="00B72980"/>
    <w:rsid w:val="00B731ED"/>
    <w:rsid w:val="00B735D8"/>
    <w:rsid w:val="00B739C3"/>
    <w:rsid w:val="00B73B87"/>
    <w:rsid w:val="00B74E3E"/>
    <w:rsid w:val="00B75102"/>
    <w:rsid w:val="00B754D7"/>
    <w:rsid w:val="00B75657"/>
    <w:rsid w:val="00B756CB"/>
    <w:rsid w:val="00B75880"/>
    <w:rsid w:val="00B760B0"/>
    <w:rsid w:val="00B76751"/>
    <w:rsid w:val="00B7684B"/>
    <w:rsid w:val="00B76F06"/>
    <w:rsid w:val="00B7714A"/>
    <w:rsid w:val="00B77176"/>
    <w:rsid w:val="00B77324"/>
    <w:rsid w:val="00B775A8"/>
    <w:rsid w:val="00B77C09"/>
    <w:rsid w:val="00B77E07"/>
    <w:rsid w:val="00B800C8"/>
    <w:rsid w:val="00B80467"/>
    <w:rsid w:val="00B8067E"/>
    <w:rsid w:val="00B8095A"/>
    <w:rsid w:val="00B80DAE"/>
    <w:rsid w:val="00B80EA0"/>
    <w:rsid w:val="00B8151E"/>
    <w:rsid w:val="00B81786"/>
    <w:rsid w:val="00B81CC0"/>
    <w:rsid w:val="00B82506"/>
    <w:rsid w:val="00B82788"/>
    <w:rsid w:val="00B827F8"/>
    <w:rsid w:val="00B833F2"/>
    <w:rsid w:val="00B838F9"/>
    <w:rsid w:val="00B83B1F"/>
    <w:rsid w:val="00B83B7B"/>
    <w:rsid w:val="00B83D43"/>
    <w:rsid w:val="00B8441F"/>
    <w:rsid w:val="00B84827"/>
    <w:rsid w:val="00B84B4A"/>
    <w:rsid w:val="00B84CB7"/>
    <w:rsid w:val="00B84E7F"/>
    <w:rsid w:val="00B84EBC"/>
    <w:rsid w:val="00B85376"/>
    <w:rsid w:val="00B855DF"/>
    <w:rsid w:val="00B8567B"/>
    <w:rsid w:val="00B85EA3"/>
    <w:rsid w:val="00B864EE"/>
    <w:rsid w:val="00B86A0A"/>
    <w:rsid w:val="00B86EA6"/>
    <w:rsid w:val="00B87290"/>
    <w:rsid w:val="00B872D0"/>
    <w:rsid w:val="00B875B9"/>
    <w:rsid w:val="00B87988"/>
    <w:rsid w:val="00B87A57"/>
    <w:rsid w:val="00B87A8A"/>
    <w:rsid w:val="00B87B41"/>
    <w:rsid w:val="00B87C20"/>
    <w:rsid w:val="00B90369"/>
    <w:rsid w:val="00B90A08"/>
    <w:rsid w:val="00B90F75"/>
    <w:rsid w:val="00B914B7"/>
    <w:rsid w:val="00B91677"/>
    <w:rsid w:val="00B91823"/>
    <w:rsid w:val="00B92177"/>
    <w:rsid w:val="00B923A8"/>
    <w:rsid w:val="00B92B50"/>
    <w:rsid w:val="00B9324B"/>
    <w:rsid w:val="00B93A7A"/>
    <w:rsid w:val="00B93C51"/>
    <w:rsid w:val="00B943AF"/>
    <w:rsid w:val="00B944A9"/>
    <w:rsid w:val="00B9453A"/>
    <w:rsid w:val="00B950BE"/>
    <w:rsid w:val="00B953E1"/>
    <w:rsid w:val="00B95770"/>
    <w:rsid w:val="00B95D99"/>
    <w:rsid w:val="00B95E14"/>
    <w:rsid w:val="00B964F9"/>
    <w:rsid w:val="00B96666"/>
    <w:rsid w:val="00B96830"/>
    <w:rsid w:val="00B96B4F"/>
    <w:rsid w:val="00B96CA2"/>
    <w:rsid w:val="00B96F13"/>
    <w:rsid w:val="00B9773D"/>
    <w:rsid w:val="00BA01A6"/>
    <w:rsid w:val="00BA047A"/>
    <w:rsid w:val="00BA059F"/>
    <w:rsid w:val="00BA0704"/>
    <w:rsid w:val="00BA0853"/>
    <w:rsid w:val="00BA0C1D"/>
    <w:rsid w:val="00BA0C89"/>
    <w:rsid w:val="00BA146E"/>
    <w:rsid w:val="00BA1A24"/>
    <w:rsid w:val="00BA1A72"/>
    <w:rsid w:val="00BA1CFA"/>
    <w:rsid w:val="00BA1D6F"/>
    <w:rsid w:val="00BA1ECD"/>
    <w:rsid w:val="00BA2184"/>
    <w:rsid w:val="00BA2AFE"/>
    <w:rsid w:val="00BA2B61"/>
    <w:rsid w:val="00BA338D"/>
    <w:rsid w:val="00BA36C2"/>
    <w:rsid w:val="00BA45EA"/>
    <w:rsid w:val="00BA45EF"/>
    <w:rsid w:val="00BA4996"/>
    <w:rsid w:val="00BA4C6C"/>
    <w:rsid w:val="00BA4C73"/>
    <w:rsid w:val="00BA4D59"/>
    <w:rsid w:val="00BA4D7B"/>
    <w:rsid w:val="00BA4DD3"/>
    <w:rsid w:val="00BA52C3"/>
    <w:rsid w:val="00BA583D"/>
    <w:rsid w:val="00BA5AC7"/>
    <w:rsid w:val="00BA5F8C"/>
    <w:rsid w:val="00BA636B"/>
    <w:rsid w:val="00BA6513"/>
    <w:rsid w:val="00BA6723"/>
    <w:rsid w:val="00BA711D"/>
    <w:rsid w:val="00BA719A"/>
    <w:rsid w:val="00BA72D2"/>
    <w:rsid w:val="00BA7AA3"/>
    <w:rsid w:val="00BB01F1"/>
    <w:rsid w:val="00BB0605"/>
    <w:rsid w:val="00BB0D3B"/>
    <w:rsid w:val="00BB0E7C"/>
    <w:rsid w:val="00BB0F65"/>
    <w:rsid w:val="00BB12D0"/>
    <w:rsid w:val="00BB15F8"/>
    <w:rsid w:val="00BB1B80"/>
    <w:rsid w:val="00BB1C61"/>
    <w:rsid w:val="00BB2699"/>
    <w:rsid w:val="00BB2996"/>
    <w:rsid w:val="00BB2BEE"/>
    <w:rsid w:val="00BB3844"/>
    <w:rsid w:val="00BB3E0C"/>
    <w:rsid w:val="00BB3FB6"/>
    <w:rsid w:val="00BB4B83"/>
    <w:rsid w:val="00BB4CC1"/>
    <w:rsid w:val="00BB4ECF"/>
    <w:rsid w:val="00BB5068"/>
    <w:rsid w:val="00BB55C3"/>
    <w:rsid w:val="00BB5BE2"/>
    <w:rsid w:val="00BB5CB9"/>
    <w:rsid w:val="00BB5E21"/>
    <w:rsid w:val="00BB6C75"/>
    <w:rsid w:val="00BB707B"/>
    <w:rsid w:val="00BB7086"/>
    <w:rsid w:val="00BB7767"/>
    <w:rsid w:val="00BB7BD5"/>
    <w:rsid w:val="00BB7E22"/>
    <w:rsid w:val="00BC0424"/>
    <w:rsid w:val="00BC0B96"/>
    <w:rsid w:val="00BC0EC3"/>
    <w:rsid w:val="00BC11C9"/>
    <w:rsid w:val="00BC12CA"/>
    <w:rsid w:val="00BC15A3"/>
    <w:rsid w:val="00BC1987"/>
    <w:rsid w:val="00BC1E6D"/>
    <w:rsid w:val="00BC2105"/>
    <w:rsid w:val="00BC23C7"/>
    <w:rsid w:val="00BC29A0"/>
    <w:rsid w:val="00BC2D27"/>
    <w:rsid w:val="00BC2E86"/>
    <w:rsid w:val="00BC4465"/>
    <w:rsid w:val="00BC4648"/>
    <w:rsid w:val="00BC4B86"/>
    <w:rsid w:val="00BC53E3"/>
    <w:rsid w:val="00BC574C"/>
    <w:rsid w:val="00BC5989"/>
    <w:rsid w:val="00BC5A70"/>
    <w:rsid w:val="00BC5BDD"/>
    <w:rsid w:val="00BC5CB5"/>
    <w:rsid w:val="00BC5D6A"/>
    <w:rsid w:val="00BC5DB2"/>
    <w:rsid w:val="00BC667D"/>
    <w:rsid w:val="00BC6B2C"/>
    <w:rsid w:val="00BC6E56"/>
    <w:rsid w:val="00BC728A"/>
    <w:rsid w:val="00BC7330"/>
    <w:rsid w:val="00BC73B4"/>
    <w:rsid w:val="00BC7BCB"/>
    <w:rsid w:val="00BD0824"/>
    <w:rsid w:val="00BD0927"/>
    <w:rsid w:val="00BD0963"/>
    <w:rsid w:val="00BD0AD4"/>
    <w:rsid w:val="00BD10A0"/>
    <w:rsid w:val="00BD11BA"/>
    <w:rsid w:val="00BD17D3"/>
    <w:rsid w:val="00BD193E"/>
    <w:rsid w:val="00BD1C37"/>
    <w:rsid w:val="00BD1E28"/>
    <w:rsid w:val="00BD1EE6"/>
    <w:rsid w:val="00BD1F61"/>
    <w:rsid w:val="00BD20E1"/>
    <w:rsid w:val="00BD254B"/>
    <w:rsid w:val="00BD25F3"/>
    <w:rsid w:val="00BD28B4"/>
    <w:rsid w:val="00BD29D8"/>
    <w:rsid w:val="00BD3319"/>
    <w:rsid w:val="00BD3549"/>
    <w:rsid w:val="00BD3566"/>
    <w:rsid w:val="00BD387D"/>
    <w:rsid w:val="00BD39B3"/>
    <w:rsid w:val="00BD3F6C"/>
    <w:rsid w:val="00BD4133"/>
    <w:rsid w:val="00BD4350"/>
    <w:rsid w:val="00BD43C4"/>
    <w:rsid w:val="00BD44E5"/>
    <w:rsid w:val="00BD44EC"/>
    <w:rsid w:val="00BD4528"/>
    <w:rsid w:val="00BD4D7C"/>
    <w:rsid w:val="00BD4E60"/>
    <w:rsid w:val="00BD51D4"/>
    <w:rsid w:val="00BD5391"/>
    <w:rsid w:val="00BD54C6"/>
    <w:rsid w:val="00BD62DC"/>
    <w:rsid w:val="00BD6413"/>
    <w:rsid w:val="00BD6E29"/>
    <w:rsid w:val="00BD7174"/>
    <w:rsid w:val="00BD74D9"/>
    <w:rsid w:val="00BD76A8"/>
    <w:rsid w:val="00BD79DD"/>
    <w:rsid w:val="00BE08AF"/>
    <w:rsid w:val="00BE0AC5"/>
    <w:rsid w:val="00BE0D3C"/>
    <w:rsid w:val="00BE0E8F"/>
    <w:rsid w:val="00BE2786"/>
    <w:rsid w:val="00BE2912"/>
    <w:rsid w:val="00BE3628"/>
    <w:rsid w:val="00BE3736"/>
    <w:rsid w:val="00BE378A"/>
    <w:rsid w:val="00BE3F0C"/>
    <w:rsid w:val="00BE41B5"/>
    <w:rsid w:val="00BE459D"/>
    <w:rsid w:val="00BE45F5"/>
    <w:rsid w:val="00BE47D9"/>
    <w:rsid w:val="00BE49B2"/>
    <w:rsid w:val="00BE4C33"/>
    <w:rsid w:val="00BE4F1A"/>
    <w:rsid w:val="00BE53D2"/>
    <w:rsid w:val="00BE55C8"/>
    <w:rsid w:val="00BE57E0"/>
    <w:rsid w:val="00BE58D0"/>
    <w:rsid w:val="00BE5CA8"/>
    <w:rsid w:val="00BE5EEA"/>
    <w:rsid w:val="00BE5FBA"/>
    <w:rsid w:val="00BE5FCD"/>
    <w:rsid w:val="00BE60D9"/>
    <w:rsid w:val="00BE6701"/>
    <w:rsid w:val="00BE7527"/>
    <w:rsid w:val="00BE7EB2"/>
    <w:rsid w:val="00BF04C6"/>
    <w:rsid w:val="00BF086B"/>
    <w:rsid w:val="00BF098A"/>
    <w:rsid w:val="00BF098C"/>
    <w:rsid w:val="00BF1143"/>
    <w:rsid w:val="00BF153B"/>
    <w:rsid w:val="00BF15A5"/>
    <w:rsid w:val="00BF1B76"/>
    <w:rsid w:val="00BF2536"/>
    <w:rsid w:val="00BF2712"/>
    <w:rsid w:val="00BF2B3C"/>
    <w:rsid w:val="00BF2EC4"/>
    <w:rsid w:val="00BF309B"/>
    <w:rsid w:val="00BF330F"/>
    <w:rsid w:val="00BF36F8"/>
    <w:rsid w:val="00BF3AAF"/>
    <w:rsid w:val="00BF4146"/>
    <w:rsid w:val="00BF42B0"/>
    <w:rsid w:val="00BF43B4"/>
    <w:rsid w:val="00BF49DD"/>
    <w:rsid w:val="00BF4AAD"/>
    <w:rsid w:val="00BF509B"/>
    <w:rsid w:val="00BF5298"/>
    <w:rsid w:val="00BF5AD6"/>
    <w:rsid w:val="00BF5BDD"/>
    <w:rsid w:val="00BF5BE4"/>
    <w:rsid w:val="00BF632E"/>
    <w:rsid w:val="00BF6354"/>
    <w:rsid w:val="00BF65FA"/>
    <w:rsid w:val="00BF6C18"/>
    <w:rsid w:val="00BF6D2F"/>
    <w:rsid w:val="00BF7164"/>
    <w:rsid w:val="00BF72EB"/>
    <w:rsid w:val="00BF77C1"/>
    <w:rsid w:val="00BF79D9"/>
    <w:rsid w:val="00BF7CEC"/>
    <w:rsid w:val="00C00376"/>
    <w:rsid w:val="00C01F11"/>
    <w:rsid w:val="00C01FAD"/>
    <w:rsid w:val="00C02932"/>
    <w:rsid w:val="00C0298E"/>
    <w:rsid w:val="00C035B9"/>
    <w:rsid w:val="00C03953"/>
    <w:rsid w:val="00C03C63"/>
    <w:rsid w:val="00C0400E"/>
    <w:rsid w:val="00C04030"/>
    <w:rsid w:val="00C041CE"/>
    <w:rsid w:val="00C0433C"/>
    <w:rsid w:val="00C04E41"/>
    <w:rsid w:val="00C052F5"/>
    <w:rsid w:val="00C0545C"/>
    <w:rsid w:val="00C056CA"/>
    <w:rsid w:val="00C05731"/>
    <w:rsid w:val="00C063F4"/>
    <w:rsid w:val="00C065D5"/>
    <w:rsid w:val="00C075A6"/>
    <w:rsid w:val="00C0787A"/>
    <w:rsid w:val="00C07884"/>
    <w:rsid w:val="00C07A2B"/>
    <w:rsid w:val="00C10426"/>
    <w:rsid w:val="00C10C37"/>
    <w:rsid w:val="00C10C77"/>
    <w:rsid w:val="00C10E9E"/>
    <w:rsid w:val="00C10EEF"/>
    <w:rsid w:val="00C11710"/>
    <w:rsid w:val="00C11719"/>
    <w:rsid w:val="00C11D8A"/>
    <w:rsid w:val="00C120FE"/>
    <w:rsid w:val="00C12134"/>
    <w:rsid w:val="00C122E7"/>
    <w:rsid w:val="00C12869"/>
    <w:rsid w:val="00C13379"/>
    <w:rsid w:val="00C13DDF"/>
    <w:rsid w:val="00C13FC2"/>
    <w:rsid w:val="00C14105"/>
    <w:rsid w:val="00C14386"/>
    <w:rsid w:val="00C1451D"/>
    <w:rsid w:val="00C150EA"/>
    <w:rsid w:val="00C153AE"/>
    <w:rsid w:val="00C15DCC"/>
    <w:rsid w:val="00C162DD"/>
    <w:rsid w:val="00C164E4"/>
    <w:rsid w:val="00C16790"/>
    <w:rsid w:val="00C174AF"/>
    <w:rsid w:val="00C20723"/>
    <w:rsid w:val="00C209F1"/>
    <w:rsid w:val="00C210A0"/>
    <w:rsid w:val="00C21AE8"/>
    <w:rsid w:val="00C21C15"/>
    <w:rsid w:val="00C2212E"/>
    <w:rsid w:val="00C22192"/>
    <w:rsid w:val="00C22414"/>
    <w:rsid w:val="00C22507"/>
    <w:rsid w:val="00C22D51"/>
    <w:rsid w:val="00C23004"/>
    <w:rsid w:val="00C230F8"/>
    <w:rsid w:val="00C2347A"/>
    <w:rsid w:val="00C23687"/>
    <w:rsid w:val="00C2390F"/>
    <w:rsid w:val="00C23D9A"/>
    <w:rsid w:val="00C23DF5"/>
    <w:rsid w:val="00C24340"/>
    <w:rsid w:val="00C244F2"/>
    <w:rsid w:val="00C24B10"/>
    <w:rsid w:val="00C250F7"/>
    <w:rsid w:val="00C25183"/>
    <w:rsid w:val="00C256EB"/>
    <w:rsid w:val="00C257FA"/>
    <w:rsid w:val="00C2587A"/>
    <w:rsid w:val="00C25D6D"/>
    <w:rsid w:val="00C26AED"/>
    <w:rsid w:val="00C26D0A"/>
    <w:rsid w:val="00C27100"/>
    <w:rsid w:val="00C2727E"/>
    <w:rsid w:val="00C275DC"/>
    <w:rsid w:val="00C2782D"/>
    <w:rsid w:val="00C27A68"/>
    <w:rsid w:val="00C30170"/>
    <w:rsid w:val="00C3047F"/>
    <w:rsid w:val="00C310A3"/>
    <w:rsid w:val="00C3136B"/>
    <w:rsid w:val="00C31539"/>
    <w:rsid w:val="00C3165D"/>
    <w:rsid w:val="00C316A8"/>
    <w:rsid w:val="00C3222C"/>
    <w:rsid w:val="00C3272F"/>
    <w:rsid w:val="00C3290E"/>
    <w:rsid w:val="00C32B54"/>
    <w:rsid w:val="00C32D52"/>
    <w:rsid w:val="00C330AC"/>
    <w:rsid w:val="00C33827"/>
    <w:rsid w:val="00C339C5"/>
    <w:rsid w:val="00C33C59"/>
    <w:rsid w:val="00C33E16"/>
    <w:rsid w:val="00C33FC5"/>
    <w:rsid w:val="00C341C7"/>
    <w:rsid w:val="00C34315"/>
    <w:rsid w:val="00C343BC"/>
    <w:rsid w:val="00C348D9"/>
    <w:rsid w:val="00C348EB"/>
    <w:rsid w:val="00C34953"/>
    <w:rsid w:val="00C349FB"/>
    <w:rsid w:val="00C34FA4"/>
    <w:rsid w:val="00C35607"/>
    <w:rsid w:val="00C35788"/>
    <w:rsid w:val="00C3578F"/>
    <w:rsid w:val="00C35A8E"/>
    <w:rsid w:val="00C361D3"/>
    <w:rsid w:val="00C369B4"/>
    <w:rsid w:val="00C36AAB"/>
    <w:rsid w:val="00C36B2C"/>
    <w:rsid w:val="00C36EFC"/>
    <w:rsid w:val="00C36FD5"/>
    <w:rsid w:val="00C370EE"/>
    <w:rsid w:val="00C3717B"/>
    <w:rsid w:val="00C3764A"/>
    <w:rsid w:val="00C379B3"/>
    <w:rsid w:val="00C401DC"/>
    <w:rsid w:val="00C4043F"/>
    <w:rsid w:val="00C404FA"/>
    <w:rsid w:val="00C4074C"/>
    <w:rsid w:val="00C407BB"/>
    <w:rsid w:val="00C40803"/>
    <w:rsid w:val="00C409A7"/>
    <w:rsid w:val="00C40E32"/>
    <w:rsid w:val="00C4142D"/>
    <w:rsid w:val="00C41720"/>
    <w:rsid w:val="00C4193F"/>
    <w:rsid w:val="00C41AD8"/>
    <w:rsid w:val="00C41F9D"/>
    <w:rsid w:val="00C41FCE"/>
    <w:rsid w:val="00C42232"/>
    <w:rsid w:val="00C42377"/>
    <w:rsid w:val="00C424DA"/>
    <w:rsid w:val="00C425C5"/>
    <w:rsid w:val="00C4277D"/>
    <w:rsid w:val="00C42AE2"/>
    <w:rsid w:val="00C42C34"/>
    <w:rsid w:val="00C43151"/>
    <w:rsid w:val="00C4339F"/>
    <w:rsid w:val="00C43C2B"/>
    <w:rsid w:val="00C43D34"/>
    <w:rsid w:val="00C44BF0"/>
    <w:rsid w:val="00C44FAF"/>
    <w:rsid w:val="00C451FD"/>
    <w:rsid w:val="00C45701"/>
    <w:rsid w:val="00C45C22"/>
    <w:rsid w:val="00C45F1C"/>
    <w:rsid w:val="00C46061"/>
    <w:rsid w:val="00C4668C"/>
    <w:rsid w:val="00C46C0C"/>
    <w:rsid w:val="00C46F4B"/>
    <w:rsid w:val="00C470E2"/>
    <w:rsid w:val="00C478B9"/>
    <w:rsid w:val="00C47F20"/>
    <w:rsid w:val="00C5011D"/>
    <w:rsid w:val="00C50171"/>
    <w:rsid w:val="00C50389"/>
    <w:rsid w:val="00C506B5"/>
    <w:rsid w:val="00C50C8D"/>
    <w:rsid w:val="00C510A6"/>
    <w:rsid w:val="00C51EC0"/>
    <w:rsid w:val="00C52928"/>
    <w:rsid w:val="00C529A3"/>
    <w:rsid w:val="00C52C68"/>
    <w:rsid w:val="00C5326E"/>
    <w:rsid w:val="00C54190"/>
    <w:rsid w:val="00C5461C"/>
    <w:rsid w:val="00C552F9"/>
    <w:rsid w:val="00C5556B"/>
    <w:rsid w:val="00C5574F"/>
    <w:rsid w:val="00C55B5F"/>
    <w:rsid w:val="00C55BCE"/>
    <w:rsid w:val="00C55ED4"/>
    <w:rsid w:val="00C56161"/>
    <w:rsid w:val="00C5650C"/>
    <w:rsid w:val="00C569CA"/>
    <w:rsid w:val="00C56B19"/>
    <w:rsid w:val="00C57888"/>
    <w:rsid w:val="00C57AAF"/>
    <w:rsid w:val="00C57BDC"/>
    <w:rsid w:val="00C60C43"/>
    <w:rsid w:val="00C60C84"/>
    <w:rsid w:val="00C616F7"/>
    <w:rsid w:val="00C61920"/>
    <w:rsid w:val="00C621D0"/>
    <w:rsid w:val="00C626A5"/>
    <w:rsid w:val="00C628D1"/>
    <w:rsid w:val="00C63099"/>
    <w:rsid w:val="00C63284"/>
    <w:rsid w:val="00C638E3"/>
    <w:rsid w:val="00C63C9D"/>
    <w:rsid w:val="00C63D93"/>
    <w:rsid w:val="00C64F19"/>
    <w:rsid w:val="00C6530C"/>
    <w:rsid w:val="00C659FE"/>
    <w:rsid w:val="00C65AA0"/>
    <w:rsid w:val="00C65E13"/>
    <w:rsid w:val="00C66529"/>
    <w:rsid w:val="00C667C1"/>
    <w:rsid w:val="00C6690E"/>
    <w:rsid w:val="00C67106"/>
    <w:rsid w:val="00C6730F"/>
    <w:rsid w:val="00C67391"/>
    <w:rsid w:val="00C677FC"/>
    <w:rsid w:val="00C700C3"/>
    <w:rsid w:val="00C70D04"/>
    <w:rsid w:val="00C710F2"/>
    <w:rsid w:val="00C71167"/>
    <w:rsid w:val="00C7128F"/>
    <w:rsid w:val="00C7147B"/>
    <w:rsid w:val="00C71EE0"/>
    <w:rsid w:val="00C71F14"/>
    <w:rsid w:val="00C724DB"/>
    <w:rsid w:val="00C72768"/>
    <w:rsid w:val="00C72963"/>
    <w:rsid w:val="00C72CB2"/>
    <w:rsid w:val="00C732A4"/>
    <w:rsid w:val="00C737D9"/>
    <w:rsid w:val="00C73A3D"/>
    <w:rsid w:val="00C73B6F"/>
    <w:rsid w:val="00C73E0C"/>
    <w:rsid w:val="00C73E8C"/>
    <w:rsid w:val="00C74538"/>
    <w:rsid w:val="00C7532A"/>
    <w:rsid w:val="00C7569D"/>
    <w:rsid w:val="00C75C3C"/>
    <w:rsid w:val="00C7622D"/>
    <w:rsid w:val="00C767B8"/>
    <w:rsid w:val="00C7696A"/>
    <w:rsid w:val="00C76B6A"/>
    <w:rsid w:val="00C76FE3"/>
    <w:rsid w:val="00C77027"/>
    <w:rsid w:val="00C778CA"/>
    <w:rsid w:val="00C77D08"/>
    <w:rsid w:val="00C77F6C"/>
    <w:rsid w:val="00C80349"/>
    <w:rsid w:val="00C804FA"/>
    <w:rsid w:val="00C809BB"/>
    <w:rsid w:val="00C80E16"/>
    <w:rsid w:val="00C81083"/>
    <w:rsid w:val="00C8137B"/>
    <w:rsid w:val="00C8166E"/>
    <w:rsid w:val="00C8171F"/>
    <w:rsid w:val="00C81C06"/>
    <w:rsid w:val="00C81C67"/>
    <w:rsid w:val="00C823F2"/>
    <w:rsid w:val="00C82629"/>
    <w:rsid w:val="00C827B7"/>
    <w:rsid w:val="00C829FC"/>
    <w:rsid w:val="00C82CE2"/>
    <w:rsid w:val="00C82CF6"/>
    <w:rsid w:val="00C82DB3"/>
    <w:rsid w:val="00C832A3"/>
    <w:rsid w:val="00C832DB"/>
    <w:rsid w:val="00C83804"/>
    <w:rsid w:val="00C8401E"/>
    <w:rsid w:val="00C844AA"/>
    <w:rsid w:val="00C84F34"/>
    <w:rsid w:val="00C8537C"/>
    <w:rsid w:val="00C8541E"/>
    <w:rsid w:val="00C86446"/>
    <w:rsid w:val="00C864E6"/>
    <w:rsid w:val="00C86521"/>
    <w:rsid w:val="00C872F9"/>
    <w:rsid w:val="00C8799F"/>
    <w:rsid w:val="00C87C7F"/>
    <w:rsid w:val="00C87EA8"/>
    <w:rsid w:val="00C900D9"/>
    <w:rsid w:val="00C903A2"/>
    <w:rsid w:val="00C90AAB"/>
    <w:rsid w:val="00C90DD5"/>
    <w:rsid w:val="00C90DEF"/>
    <w:rsid w:val="00C914F7"/>
    <w:rsid w:val="00C91745"/>
    <w:rsid w:val="00C91FBD"/>
    <w:rsid w:val="00C9298B"/>
    <w:rsid w:val="00C92FF7"/>
    <w:rsid w:val="00C93156"/>
    <w:rsid w:val="00C932C4"/>
    <w:rsid w:val="00C93A91"/>
    <w:rsid w:val="00C93CA8"/>
    <w:rsid w:val="00C941A2"/>
    <w:rsid w:val="00C94840"/>
    <w:rsid w:val="00C94956"/>
    <w:rsid w:val="00C94AEB"/>
    <w:rsid w:val="00C952F4"/>
    <w:rsid w:val="00C955BC"/>
    <w:rsid w:val="00C957D5"/>
    <w:rsid w:val="00C95808"/>
    <w:rsid w:val="00C95C02"/>
    <w:rsid w:val="00C961A7"/>
    <w:rsid w:val="00C96319"/>
    <w:rsid w:val="00C964B3"/>
    <w:rsid w:val="00C965F1"/>
    <w:rsid w:val="00C96AB1"/>
    <w:rsid w:val="00C96C05"/>
    <w:rsid w:val="00C96CB8"/>
    <w:rsid w:val="00C9783D"/>
    <w:rsid w:val="00CA0006"/>
    <w:rsid w:val="00CA01FF"/>
    <w:rsid w:val="00CA023A"/>
    <w:rsid w:val="00CA0489"/>
    <w:rsid w:val="00CA064C"/>
    <w:rsid w:val="00CA0701"/>
    <w:rsid w:val="00CA0F5D"/>
    <w:rsid w:val="00CA1A70"/>
    <w:rsid w:val="00CA20CD"/>
    <w:rsid w:val="00CA2686"/>
    <w:rsid w:val="00CA2A86"/>
    <w:rsid w:val="00CA319B"/>
    <w:rsid w:val="00CA347B"/>
    <w:rsid w:val="00CA378F"/>
    <w:rsid w:val="00CA38A3"/>
    <w:rsid w:val="00CA3C10"/>
    <w:rsid w:val="00CA3ED9"/>
    <w:rsid w:val="00CA45C4"/>
    <w:rsid w:val="00CA470C"/>
    <w:rsid w:val="00CA471F"/>
    <w:rsid w:val="00CA4AB1"/>
    <w:rsid w:val="00CA50D9"/>
    <w:rsid w:val="00CA55A9"/>
    <w:rsid w:val="00CA59A0"/>
    <w:rsid w:val="00CA5DA1"/>
    <w:rsid w:val="00CA66A9"/>
    <w:rsid w:val="00CA6B31"/>
    <w:rsid w:val="00CA6FCC"/>
    <w:rsid w:val="00CA7494"/>
    <w:rsid w:val="00CA74A9"/>
    <w:rsid w:val="00CA7585"/>
    <w:rsid w:val="00CA7AFD"/>
    <w:rsid w:val="00CA7FF9"/>
    <w:rsid w:val="00CB028D"/>
    <w:rsid w:val="00CB0B6A"/>
    <w:rsid w:val="00CB13A5"/>
    <w:rsid w:val="00CB2171"/>
    <w:rsid w:val="00CB253C"/>
    <w:rsid w:val="00CB2ADA"/>
    <w:rsid w:val="00CB2D9F"/>
    <w:rsid w:val="00CB3043"/>
    <w:rsid w:val="00CB389F"/>
    <w:rsid w:val="00CB4139"/>
    <w:rsid w:val="00CB41AE"/>
    <w:rsid w:val="00CB434E"/>
    <w:rsid w:val="00CB480B"/>
    <w:rsid w:val="00CB4991"/>
    <w:rsid w:val="00CB4A34"/>
    <w:rsid w:val="00CB4BCB"/>
    <w:rsid w:val="00CB4E4F"/>
    <w:rsid w:val="00CB4F83"/>
    <w:rsid w:val="00CB51E9"/>
    <w:rsid w:val="00CB531F"/>
    <w:rsid w:val="00CB5338"/>
    <w:rsid w:val="00CB59A1"/>
    <w:rsid w:val="00CB5D51"/>
    <w:rsid w:val="00CB615D"/>
    <w:rsid w:val="00CB63DF"/>
    <w:rsid w:val="00CB7BE0"/>
    <w:rsid w:val="00CB7D9B"/>
    <w:rsid w:val="00CC0047"/>
    <w:rsid w:val="00CC021C"/>
    <w:rsid w:val="00CC02F3"/>
    <w:rsid w:val="00CC0555"/>
    <w:rsid w:val="00CC08F3"/>
    <w:rsid w:val="00CC0E7F"/>
    <w:rsid w:val="00CC1108"/>
    <w:rsid w:val="00CC138A"/>
    <w:rsid w:val="00CC1854"/>
    <w:rsid w:val="00CC185D"/>
    <w:rsid w:val="00CC1C1A"/>
    <w:rsid w:val="00CC1E1A"/>
    <w:rsid w:val="00CC2049"/>
    <w:rsid w:val="00CC29A8"/>
    <w:rsid w:val="00CC29E3"/>
    <w:rsid w:val="00CC2AA2"/>
    <w:rsid w:val="00CC2DEC"/>
    <w:rsid w:val="00CC2EE2"/>
    <w:rsid w:val="00CC3010"/>
    <w:rsid w:val="00CC3415"/>
    <w:rsid w:val="00CC34B3"/>
    <w:rsid w:val="00CC3871"/>
    <w:rsid w:val="00CC3E04"/>
    <w:rsid w:val="00CC3ED1"/>
    <w:rsid w:val="00CC4142"/>
    <w:rsid w:val="00CC4328"/>
    <w:rsid w:val="00CC44EB"/>
    <w:rsid w:val="00CC49F0"/>
    <w:rsid w:val="00CC5269"/>
    <w:rsid w:val="00CC5C18"/>
    <w:rsid w:val="00CC5CFB"/>
    <w:rsid w:val="00CC617F"/>
    <w:rsid w:val="00CC6483"/>
    <w:rsid w:val="00CC6720"/>
    <w:rsid w:val="00CC6B9F"/>
    <w:rsid w:val="00CC6DCE"/>
    <w:rsid w:val="00CC6E58"/>
    <w:rsid w:val="00CC6EDC"/>
    <w:rsid w:val="00CC74D5"/>
    <w:rsid w:val="00CC74E6"/>
    <w:rsid w:val="00CC75F8"/>
    <w:rsid w:val="00CC7876"/>
    <w:rsid w:val="00CC7F8E"/>
    <w:rsid w:val="00CD0261"/>
    <w:rsid w:val="00CD0724"/>
    <w:rsid w:val="00CD084A"/>
    <w:rsid w:val="00CD180E"/>
    <w:rsid w:val="00CD18B9"/>
    <w:rsid w:val="00CD1D35"/>
    <w:rsid w:val="00CD238E"/>
    <w:rsid w:val="00CD2663"/>
    <w:rsid w:val="00CD2869"/>
    <w:rsid w:val="00CD2EBF"/>
    <w:rsid w:val="00CD2F96"/>
    <w:rsid w:val="00CD317E"/>
    <w:rsid w:val="00CD3226"/>
    <w:rsid w:val="00CD3432"/>
    <w:rsid w:val="00CD352A"/>
    <w:rsid w:val="00CD43CE"/>
    <w:rsid w:val="00CD4573"/>
    <w:rsid w:val="00CD458D"/>
    <w:rsid w:val="00CD4A63"/>
    <w:rsid w:val="00CD4CCF"/>
    <w:rsid w:val="00CD55C2"/>
    <w:rsid w:val="00CD591C"/>
    <w:rsid w:val="00CD5EC6"/>
    <w:rsid w:val="00CD6201"/>
    <w:rsid w:val="00CD695A"/>
    <w:rsid w:val="00CD6965"/>
    <w:rsid w:val="00CD6A93"/>
    <w:rsid w:val="00CD6D70"/>
    <w:rsid w:val="00CD767A"/>
    <w:rsid w:val="00CD7847"/>
    <w:rsid w:val="00CD793B"/>
    <w:rsid w:val="00CD7B32"/>
    <w:rsid w:val="00CE0309"/>
    <w:rsid w:val="00CE074F"/>
    <w:rsid w:val="00CE0BA3"/>
    <w:rsid w:val="00CE0D11"/>
    <w:rsid w:val="00CE1923"/>
    <w:rsid w:val="00CE2081"/>
    <w:rsid w:val="00CE2483"/>
    <w:rsid w:val="00CE2605"/>
    <w:rsid w:val="00CE293F"/>
    <w:rsid w:val="00CE306C"/>
    <w:rsid w:val="00CE30B7"/>
    <w:rsid w:val="00CE3299"/>
    <w:rsid w:val="00CE3CB6"/>
    <w:rsid w:val="00CE42C8"/>
    <w:rsid w:val="00CE47E2"/>
    <w:rsid w:val="00CE4CF4"/>
    <w:rsid w:val="00CE4E44"/>
    <w:rsid w:val="00CE51F3"/>
    <w:rsid w:val="00CE658E"/>
    <w:rsid w:val="00CE6B00"/>
    <w:rsid w:val="00CE798B"/>
    <w:rsid w:val="00CE7B3C"/>
    <w:rsid w:val="00CE7EAE"/>
    <w:rsid w:val="00CF0290"/>
    <w:rsid w:val="00CF048A"/>
    <w:rsid w:val="00CF065E"/>
    <w:rsid w:val="00CF0A36"/>
    <w:rsid w:val="00CF0C9A"/>
    <w:rsid w:val="00CF1339"/>
    <w:rsid w:val="00CF1513"/>
    <w:rsid w:val="00CF15B0"/>
    <w:rsid w:val="00CF1D95"/>
    <w:rsid w:val="00CF2091"/>
    <w:rsid w:val="00CF20EE"/>
    <w:rsid w:val="00CF2308"/>
    <w:rsid w:val="00CF2462"/>
    <w:rsid w:val="00CF25E3"/>
    <w:rsid w:val="00CF2671"/>
    <w:rsid w:val="00CF268F"/>
    <w:rsid w:val="00CF2877"/>
    <w:rsid w:val="00CF2FB7"/>
    <w:rsid w:val="00CF3237"/>
    <w:rsid w:val="00CF35F0"/>
    <w:rsid w:val="00CF4ABC"/>
    <w:rsid w:val="00CF4F0F"/>
    <w:rsid w:val="00CF4F8E"/>
    <w:rsid w:val="00CF512C"/>
    <w:rsid w:val="00CF58BE"/>
    <w:rsid w:val="00CF5F0F"/>
    <w:rsid w:val="00CF62B2"/>
    <w:rsid w:val="00CF7438"/>
    <w:rsid w:val="00CF79E0"/>
    <w:rsid w:val="00CF7C12"/>
    <w:rsid w:val="00CF7C2C"/>
    <w:rsid w:val="00D00049"/>
    <w:rsid w:val="00D00604"/>
    <w:rsid w:val="00D00997"/>
    <w:rsid w:val="00D00B9B"/>
    <w:rsid w:val="00D00F93"/>
    <w:rsid w:val="00D00FD4"/>
    <w:rsid w:val="00D01249"/>
    <w:rsid w:val="00D013E8"/>
    <w:rsid w:val="00D01649"/>
    <w:rsid w:val="00D0206E"/>
    <w:rsid w:val="00D020E1"/>
    <w:rsid w:val="00D027E2"/>
    <w:rsid w:val="00D0315E"/>
    <w:rsid w:val="00D035FC"/>
    <w:rsid w:val="00D03ACC"/>
    <w:rsid w:val="00D03F72"/>
    <w:rsid w:val="00D042E4"/>
    <w:rsid w:val="00D044F7"/>
    <w:rsid w:val="00D0452C"/>
    <w:rsid w:val="00D04B45"/>
    <w:rsid w:val="00D05990"/>
    <w:rsid w:val="00D05B79"/>
    <w:rsid w:val="00D063BC"/>
    <w:rsid w:val="00D063CD"/>
    <w:rsid w:val="00D0693F"/>
    <w:rsid w:val="00D06B4E"/>
    <w:rsid w:val="00D06F53"/>
    <w:rsid w:val="00D070CC"/>
    <w:rsid w:val="00D07158"/>
    <w:rsid w:val="00D072AB"/>
    <w:rsid w:val="00D07453"/>
    <w:rsid w:val="00D07B33"/>
    <w:rsid w:val="00D07B8B"/>
    <w:rsid w:val="00D07C10"/>
    <w:rsid w:val="00D07E7E"/>
    <w:rsid w:val="00D100F1"/>
    <w:rsid w:val="00D10A4A"/>
    <w:rsid w:val="00D11000"/>
    <w:rsid w:val="00D11085"/>
    <w:rsid w:val="00D111DF"/>
    <w:rsid w:val="00D11296"/>
    <w:rsid w:val="00D1228F"/>
    <w:rsid w:val="00D12561"/>
    <w:rsid w:val="00D126A6"/>
    <w:rsid w:val="00D12D34"/>
    <w:rsid w:val="00D12E6D"/>
    <w:rsid w:val="00D13326"/>
    <w:rsid w:val="00D13872"/>
    <w:rsid w:val="00D1426C"/>
    <w:rsid w:val="00D1479B"/>
    <w:rsid w:val="00D14A52"/>
    <w:rsid w:val="00D14A93"/>
    <w:rsid w:val="00D14FF4"/>
    <w:rsid w:val="00D155BD"/>
    <w:rsid w:val="00D15987"/>
    <w:rsid w:val="00D15AE3"/>
    <w:rsid w:val="00D15B1C"/>
    <w:rsid w:val="00D15B71"/>
    <w:rsid w:val="00D15DBF"/>
    <w:rsid w:val="00D1643C"/>
    <w:rsid w:val="00D16C71"/>
    <w:rsid w:val="00D16D47"/>
    <w:rsid w:val="00D16F8A"/>
    <w:rsid w:val="00D1720A"/>
    <w:rsid w:val="00D17A5B"/>
    <w:rsid w:val="00D17FCA"/>
    <w:rsid w:val="00D20147"/>
    <w:rsid w:val="00D20F25"/>
    <w:rsid w:val="00D210A3"/>
    <w:rsid w:val="00D21298"/>
    <w:rsid w:val="00D218C3"/>
    <w:rsid w:val="00D218EE"/>
    <w:rsid w:val="00D21BD4"/>
    <w:rsid w:val="00D21C88"/>
    <w:rsid w:val="00D23519"/>
    <w:rsid w:val="00D23550"/>
    <w:rsid w:val="00D23D40"/>
    <w:rsid w:val="00D2416B"/>
    <w:rsid w:val="00D244BD"/>
    <w:rsid w:val="00D248E1"/>
    <w:rsid w:val="00D24A8C"/>
    <w:rsid w:val="00D24D55"/>
    <w:rsid w:val="00D24D78"/>
    <w:rsid w:val="00D24EC4"/>
    <w:rsid w:val="00D25385"/>
    <w:rsid w:val="00D254CF"/>
    <w:rsid w:val="00D25665"/>
    <w:rsid w:val="00D257CE"/>
    <w:rsid w:val="00D25AF3"/>
    <w:rsid w:val="00D25EA8"/>
    <w:rsid w:val="00D262D1"/>
    <w:rsid w:val="00D26457"/>
    <w:rsid w:val="00D264C0"/>
    <w:rsid w:val="00D264D5"/>
    <w:rsid w:val="00D264DD"/>
    <w:rsid w:val="00D26F35"/>
    <w:rsid w:val="00D26F7A"/>
    <w:rsid w:val="00D27153"/>
    <w:rsid w:val="00D271DF"/>
    <w:rsid w:val="00D27345"/>
    <w:rsid w:val="00D27BF5"/>
    <w:rsid w:val="00D27FF1"/>
    <w:rsid w:val="00D30140"/>
    <w:rsid w:val="00D30737"/>
    <w:rsid w:val="00D30CFE"/>
    <w:rsid w:val="00D31559"/>
    <w:rsid w:val="00D31B27"/>
    <w:rsid w:val="00D31C48"/>
    <w:rsid w:val="00D31DEA"/>
    <w:rsid w:val="00D3207A"/>
    <w:rsid w:val="00D32236"/>
    <w:rsid w:val="00D3267D"/>
    <w:rsid w:val="00D33211"/>
    <w:rsid w:val="00D335F1"/>
    <w:rsid w:val="00D33880"/>
    <w:rsid w:val="00D338A5"/>
    <w:rsid w:val="00D33A0B"/>
    <w:rsid w:val="00D33FA8"/>
    <w:rsid w:val="00D34026"/>
    <w:rsid w:val="00D341A9"/>
    <w:rsid w:val="00D34594"/>
    <w:rsid w:val="00D349FE"/>
    <w:rsid w:val="00D34CBA"/>
    <w:rsid w:val="00D34D7B"/>
    <w:rsid w:val="00D34FE1"/>
    <w:rsid w:val="00D3520A"/>
    <w:rsid w:val="00D35246"/>
    <w:rsid w:val="00D35853"/>
    <w:rsid w:val="00D36268"/>
    <w:rsid w:val="00D3669D"/>
    <w:rsid w:val="00D36DC8"/>
    <w:rsid w:val="00D36F32"/>
    <w:rsid w:val="00D375E2"/>
    <w:rsid w:val="00D400E9"/>
    <w:rsid w:val="00D405CE"/>
    <w:rsid w:val="00D406F6"/>
    <w:rsid w:val="00D4098F"/>
    <w:rsid w:val="00D40A09"/>
    <w:rsid w:val="00D40C08"/>
    <w:rsid w:val="00D40FD9"/>
    <w:rsid w:val="00D419D4"/>
    <w:rsid w:val="00D42203"/>
    <w:rsid w:val="00D42B3F"/>
    <w:rsid w:val="00D430FE"/>
    <w:rsid w:val="00D434C1"/>
    <w:rsid w:val="00D440F2"/>
    <w:rsid w:val="00D444BF"/>
    <w:rsid w:val="00D4459F"/>
    <w:rsid w:val="00D44776"/>
    <w:rsid w:val="00D447A4"/>
    <w:rsid w:val="00D448C7"/>
    <w:rsid w:val="00D44C44"/>
    <w:rsid w:val="00D45C2E"/>
    <w:rsid w:val="00D4617F"/>
    <w:rsid w:val="00D463B3"/>
    <w:rsid w:val="00D4680E"/>
    <w:rsid w:val="00D469D0"/>
    <w:rsid w:val="00D46E19"/>
    <w:rsid w:val="00D47933"/>
    <w:rsid w:val="00D47BFB"/>
    <w:rsid w:val="00D50348"/>
    <w:rsid w:val="00D50E71"/>
    <w:rsid w:val="00D50F6F"/>
    <w:rsid w:val="00D512DF"/>
    <w:rsid w:val="00D51498"/>
    <w:rsid w:val="00D517F6"/>
    <w:rsid w:val="00D51DCA"/>
    <w:rsid w:val="00D521FD"/>
    <w:rsid w:val="00D52450"/>
    <w:rsid w:val="00D52760"/>
    <w:rsid w:val="00D52BE2"/>
    <w:rsid w:val="00D52E7D"/>
    <w:rsid w:val="00D533FF"/>
    <w:rsid w:val="00D53667"/>
    <w:rsid w:val="00D53AC2"/>
    <w:rsid w:val="00D53C26"/>
    <w:rsid w:val="00D54061"/>
    <w:rsid w:val="00D54BB5"/>
    <w:rsid w:val="00D54DE9"/>
    <w:rsid w:val="00D54E0E"/>
    <w:rsid w:val="00D55304"/>
    <w:rsid w:val="00D553B5"/>
    <w:rsid w:val="00D5560C"/>
    <w:rsid w:val="00D55780"/>
    <w:rsid w:val="00D55AA6"/>
    <w:rsid w:val="00D55B23"/>
    <w:rsid w:val="00D55D5B"/>
    <w:rsid w:val="00D55D94"/>
    <w:rsid w:val="00D5601B"/>
    <w:rsid w:val="00D56179"/>
    <w:rsid w:val="00D56960"/>
    <w:rsid w:val="00D56A3A"/>
    <w:rsid w:val="00D56F19"/>
    <w:rsid w:val="00D570D7"/>
    <w:rsid w:val="00D572FE"/>
    <w:rsid w:val="00D575A0"/>
    <w:rsid w:val="00D577FA"/>
    <w:rsid w:val="00D57912"/>
    <w:rsid w:val="00D579C0"/>
    <w:rsid w:val="00D57B5C"/>
    <w:rsid w:val="00D57C57"/>
    <w:rsid w:val="00D6056D"/>
    <w:rsid w:val="00D60571"/>
    <w:rsid w:val="00D608A1"/>
    <w:rsid w:val="00D6091D"/>
    <w:rsid w:val="00D60E28"/>
    <w:rsid w:val="00D6114F"/>
    <w:rsid w:val="00D61504"/>
    <w:rsid w:val="00D61E06"/>
    <w:rsid w:val="00D62094"/>
    <w:rsid w:val="00D62226"/>
    <w:rsid w:val="00D62B8D"/>
    <w:rsid w:val="00D62E87"/>
    <w:rsid w:val="00D63086"/>
    <w:rsid w:val="00D63B84"/>
    <w:rsid w:val="00D63C5C"/>
    <w:rsid w:val="00D63C94"/>
    <w:rsid w:val="00D647E4"/>
    <w:rsid w:val="00D64C53"/>
    <w:rsid w:val="00D64CBF"/>
    <w:rsid w:val="00D655C6"/>
    <w:rsid w:val="00D65B23"/>
    <w:rsid w:val="00D66758"/>
    <w:rsid w:val="00D668C6"/>
    <w:rsid w:val="00D66DD3"/>
    <w:rsid w:val="00D66EA6"/>
    <w:rsid w:val="00D6760A"/>
    <w:rsid w:val="00D67650"/>
    <w:rsid w:val="00D679F4"/>
    <w:rsid w:val="00D67ABF"/>
    <w:rsid w:val="00D67CE5"/>
    <w:rsid w:val="00D7007C"/>
    <w:rsid w:val="00D70194"/>
    <w:rsid w:val="00D70670"/>
    <w:rsid w:val="00D7096D"/>
    <w:rsid w:val="00D70A1C"/>
    <w:rsid w:val="00D70A7F"/>
    <w:rsid w:val="00D71151"/>
    <w:rsid w:val="00D719BC"/>
    <w:rsid w:val="00D71BA6"/>
    <w:rsid w:val="00D7218D"/>
    <w:rsid w:val="00D722A2"/>
    <w:rsid w:val="00D72B72"/>
    <w:rsid w:val="00D72F1E"/>
    <w:rsid w:val="00D73160"/>
    <w:rsid w:val="00D744C1"/>
    <w:rsid w:val="00D745FC"/>
    <w:rsid w:val="00D74D64"/>
    <w:rsid w:val="00D7502B"/>
    <w:rsid w:val="00D7533B"/>
    <w:rsid w:val="00D75744"/>
    <w:rsid w:val="00D75C9D"/>
    <w:rsid w:val="00D766B6"/>
    <w:rsid w:val="00D76785"/>
    <w:rsid w:val="00D76999"/>
    <w:rsid w:val="00D76CD8"/>
    <w:rsid w:val="00D76CDA"/>
    <w:rsid w:val="00D76D74"/>
    <w:rsid w:val="00D76D94"/>
    <w:rsid w:val="00D76FDA"/>
    <w:rsid w:val="00D774AA"/>
    <w:rsid w:val="00D779A1"/>
    <w:rsid w:val="00D77A57"/>
    <w:rsid w:val="00D77C08"/>
    <w:rsid w:val="00D77CB1"/>
    <w:rsid w:val="00D80948"/>
    <w:rsid w:val="00D80A92"/>
    <w:rsid w:val="00D80F8F"/>
    <w:rsid w:val="00D810ED"/>
    <w:rsid w:val="00D8124C"/>
    <w:rsid w:val="00D81319"/>
    <w:rsid w:val="00D8160C"/>
    <w:rsid w:val="00D81713"/>
    <w:rsid w:val="00D818BE"/>
    <w:rsid w:val="00D81C69"/>
    <w:rsid w:val="00D81F7B"/>
    <w:rsid w:val="00D826D2"/>
    <w:rsid w:val="00D82880"/>
    <w:rsid w:val="00D82899"/>
    <w:rsid w:val="00D82A86"/>
    <w:rsid w:val="00D82D33"/>
    <w:rsid w:val="00D83A28"/>
    <w:rsid w:val="00D844F7"/>
    <w:rsid w:val="00D8531C"/>
    <w:rsid w:val="00D85389"/>
    <w:rsid w:val="00D862EA"/>
    <w:rsid w:val="00D87397"/>
    <w:rsid w:val="00D874C2"/>
    <w:rsid w:val="00D87825"/>
    <w:rsid w:val="00D87C1A"/>
    <w:rsid w:val="00D87CB9"/>
    <w:rsid w:val="00D87CF5"/>
    <w:rsid w:val="00D87E24"/>
    <w:rsid w:val="00D90223"/>
    <w:rsid w:val="00D90534"/>
    <w:rsid w:val="00D90A43"/>
    <w:rsid w:val="00D90F45"/>
    <w:rsid w:val="00D9113F"/>
    <w:rsid w:val="00D91B0F"/>
    <w:rsid w:val="00D91FF9"/>
    <w:rsid w:val="00D92188"/>
    <w:rsid w:val="00D921DA"/>
    <w:rsid w:val="00D92604"/>
    <w:rsid w:val="00D92637"/>
    <w:rsid w:val="00D936DC"/>
    <w:rsid w:val="00D93A88"/>
    <w:rsid w:val="00D93B78"/>
    <w:rsid w:val="00D9480B"/>
    <w:rsid w:val="00D948ED"/>
    <w:rsid w:val="00D94C78"/>
    <w:rsid w:val="00D94EAE"/>
    <w:rsid w:val="00D951C4"/>
    <w:rsid w:val="00D95698"/>
    <w:rsid w:val="00D9600D"/>
    <w:rsid w:val="00D96547"/>
    <w:rsid w:val="00D96976"/>
    <w:rsid w:val="00D96DB8"/>
    <w:rsid w:val="00D96F9A"/>
    <w:rsid w:val="00D9716D"/>
    <w:rsid w:val="00D977F0"/>
    <w:rsid w:val="00D97B75"/>
    <w:rsid w:val="00D97BFE"/>
    <w:rsid w:val="00D97C78"/>
    <w:rsid w:val="00D97F69"/>
    <w:rsid w:val="00DA141C"/>
    <w:rsid w:val="00DA1472"/>
    <w:rsid w:val="00DA1519"/>
    <w:rsid w:val="00DA184C"/>
    <w:rsid w:val="00DA1A28"/>
    <w:rsid w:val="00DA1F61"/>
    <w:rsid w:val="00DA2E51"/>
    <w:rsid w:val="00DA30E8"/>
    <w:rsid w:val="00DA36FF"/>
    <w:rsid w:val="00DA37A1"/>
    <w:rsid w:val="00DA37DA"/>
    <w:rsid w:val="00DA3977"/>
    <w:rsid w:val="00DA3F69"/>
    <w:rsid w:val="00DA49A2"/>
    <w:rsid w:val="00DA4E59"/>
    <w:rsid w:val="00DA4F7B"/>
    <w:rsid w:val="00DA4F8E"/>
    <w:rsid w:val="00DA52CB"/>
    <w:rsid w:val="00DA5692"/>
    <w:rsid w:val="00DA601A"/>
    <w:rsid w:val="00DA60FA"/>
    <w:rsid w:val="00DA62DB"/>
    <w:rsid w:val="00DA6420"/>
    <w:rsid w:val="00DA64A4"/>
    <w:rsid w:val="00DA64F8"/>
    <w:rsid w:val="00DA70E7"/>
    <w:rsid w:val="00DA767D"/>
    <w:rsid w:val="00DA76AB"/>
    <w:rsid w:val="00DA7D9F"/>
    <w:rsid w:val="00DA7F7A"/>
    <w:rsid w:val="00DB01CA"/>
    <w:rsid w:val="00DB028B"/>
    <w:rsid w:val="00DB0917"/>
    <w:rsid w:val="00DB094E"/>
    <w:rsid w:val="00DB0B39"/>
    <w:rsid w:val="00DB0C21"/>
    <w:rsid w:val="00DB12D2"/>
    <w:rsid w:val="00DB173E"/>
    <w:rsid w:val="00DB187F"/>
    <w:rsid w:val="00DB25F1"/>
    <w:rsid w:val="00DB366D"/>
    <w:rsid w:val="00DB37A9"/>
    <w:rsid w:val="00DB3D57"/>
    <w:rsid w:val="00DB3E73"/>
    <w:rsid w:val="00DB4392"/>
    <w:rsid w:val="00DB44F7"/>
    <w:rsid w:val="00DB468A"/>
    <w:rsid w:val="00DB484C"/>
    <w:rsid w:val="00DB5A6C"/>
    <w:rsid w:val="00DB5C04"/>
    <w:rsid w:val="00DB655C"/>
    <w:rsid w:val="00DB6D01"/>
    <w:rsid w:val="00DB6FA9"/>
    <w:rsid w:val="00DB72B4"/>
    <w:rsid w:val="00DB72DE"/>
    <w:rsid w:val="00DB74C2"/>
    <w:rsid w:val="00DB75CE"/>
    <w:rsid w:val="00DB7CD6"/>
    <w:rsid w:val="00DB7CED"/>
    <w:rsid w:val="00DB7D36"/>
    <w:rsid w:val="00DC0293"/>
    <w:rsid w:val="00DC0441"/>
    <w:rsid w:val="00DC06F1"/>
    <w:rsid w:val="00DC0ABE"/>
    <w:rsid w:val="00DC0E66"/>
    <w:rsid w:val="00DC1C71"/>
    <w:rsid w:val="00DC202B"/>
    <w:rsid w:val="00DC2256"/>
    <w:rsid w:val="00DC24C7"/>
    <w:rsid w:val="00DC2778"/>
    <w:rsid w:val="00DC2A75"/>
    <w:rsid w:val="00DC2BA0"/>
    <w:rsid w:val="00DC3173"/>
    <w:rsid w:val="00DC3542"/>
    <w:rsid w:val="00DC36B4"/>
    <w:rsid w:val="00DC36F3"/>
    <w:rsid w:val="00DC377A"/>
    <w:rsid w:val="00DC38FA"/>
    <w:rsid w:val="00DC3F31"/>
    <w:rsid w:val="00DC438C"/>
    <w:rsid w:val="00DC449D"/>
    <w:rsid w:val="00DC4F0A"/>
    <w:rsid w:val="00DC4FDE"/>
    <w:rsid w:val="00DC54A9"/>
    <w:rsid w:val="00DC5C1C"/>
    <w:rsid w:val="00DC5FBE"/>
    <w:rsid w:val="00DC60D6"/>
    <w:rsid w:val="00DC612A"/>
    <w:rsid w:val="00DC65B3"/>
    <w:rsid w:val="00DC6777"/>
    <w:rsid w:val="00DC6917"/>
    <w:rsid w:val="00DC7237"/>
    <w:rsid w:val="00DC79CC"/>
    <w:rsid w:val="00DC7BA7"/>
    <w:rsid w:val="00DC7C4E"/>
    <w:rsid w:val="00DD06C7"/>
    <w:rsid w:val="00DD1002"/>
    <w:rsid w:val="00DD106D"/>
    <w:rsid w:val="00DD1295"/>
    <w:rsid w:val="00DD1812"/>
    <w:rsid w:val="00DD190A"/>
    <w:rsid w:val="00DD1982"/>
    <w:rsid w:val="00DD199C"/>
    <w:rsid w:val="00DD1C2D"/>
    <w:rsid w:val="00DD1CDA"/>
    <w:rsid w:val="00DD206B"/>
    <w:rsid w:val="00DD2C54"/>
    <w:rsid w:val="00DD2F89"/>
    <w:rsid w:val="00DD3347"/>
    <w:rsid w:val="00DD351F"/>
    <w:rsid w:val="00DD36E0"/>
    <w:rsid w:val="00DD3838"/>
    <w:rsid w:val="00DD4355"/>
    <w:rsid w:val="00DD49B8"/>
    <w:rsid w:val="00DD4F84"/>
    <w:rsid w:val="00DD4FF9"/>
    <w:rsid w:val="00DD516B"/>
    <w:rsid w:val="00DD5182"/>
    <w:rsid w:val="00DD51A2"/>
    <w:rsid w:val="00DD5403"/>
    <w:rsid w:val="00DD5488"/>
    <w:rsid w:val="00DD582D"/>
    <w:rsid w:val="00DD6907"/>
    <w:rsid w:val="00DD6F9A"/>
    <w:rsid w:val="00DD70CA"/>
    <w:rsid w:val="00DD70CB"/>
    <w:rsid w:val="00DD7227"/>
    <w:rsid w:val="00DD723B"/>
    <w:rsid w:val="00DD7576"/>
    <w:rsid w:val="00DD76C9"/>
    <w:rsid w:val="00DD7817"/>
    <w:rsid w:val="00DD7BF0"/>
    <w:rsid w:val="00DD7C16"/>
    <w:rsid w:val="00DD7C3B"/>
    <w:rsid w:val="00DD7DBB"/>
    <w:rsid w:val="00DE02DC"/>
    <w:rsid w:val="00DE05EF"/>
    <w:rsid w:val="00DE0E61"/>
    <w:rsid w:val="00DE114D"/>
    <w:rsid w:val="00DE12DA"/>
    <w:rsid w:val="00DE144F"/>
    <w:rsid w:val="00DE182D"/>
    <w:rsid w:val="00DE2B71"/>
    <w:rsid w:val="00DE2CDE"/>
    <w:rsid w:val="00DE2D51"/>
    <w:rsid w:val="00DE3097"/>
    <w:rsid w:val="00DE360D"/>
    <w:rsid w:val="00DE37C6"/>
    <w:rsid w:val="00DE3A29"/>
    <w:rsid w:val="00DE3C30"/>
    <w:rsid w:val="00DE3D23"/>
    <w:rsid w:val="00DE434D"/>
    <w:rsid w:val="00DE4394"/>
    <w:rsid w:val="00DE4672"/>
    <w:rsid w:val="00DE47FA"/>
    <w:rsid w:val="00DE508F"/>
    <w:rsid w:val="00DE52B1"/>
    <w:rsid w:val="00DE5379"/>
    <w:rsid w:val="00DE55D8"/>
    <w:rsid w:val="00DE58C5"/>
    <w:rsid w:val="00DE598E"/>
    <w:rsid w:val="00DE5D9F"/>
    <w:rsid w:val="00DE6552"/>
    <w:rsid w:val="00DE6AFF"/>
    <w:rsid w:val="00DE73C5"/>
    <w:rsid w:val="00DE76C4"/>
    <w:rsid w:val="00DE796B"/>
    <w:rsid w:val="00DE7D9E"/>
    <w:rsid w:val="00DF0885"/>
    <w:rsid w:val="00DF1009"/>
    <w:rsid w:val="00DF103D"/>
    <w:rsid w:val="00DF10ED"/>
    <w:rsid w:val="00DF1D38"/>
    <w:rsid w:val="00DF23D3"/>
    <w:rsid w:val="00DF25D8"/>
    <w:rsid w:val="00DF26C1"/>
    <w:rsid w:val="00DF2D07"/>
    <w:rsid w:val="00DF31F3"/>
    <w:rsid w:val="00DF36D8"/>
    <w:rsid w:val="00DF3B5B"/>
    <w:rsid w:val="00DF3E5B"/>
    <w:rsid w:val="00DF3FA3"/>
    <w:rsid w:val="00DF483D"/>
    <w:rsid w:val="00DF4EAD"/>
    <w:rsid w:val="00DF5A7B"/>
    <w:rsid w:val="00DF5DB2"/>
    <w:rsid w:val="00DF5DD7"/>
    <w:rsid w:val="00DF5E8F"/>
    <w:rsid w:val="00DF5F38"/>
    <w:rsid w:val="00DF5F3B"/>
    <w:rsid w:val="00DF5F85"/>
    <w:rsid w:val="00DF605F"/>
    <w:rsid w:val="00DF620D"/>
    <w:rsid w:val="00DF633F"/>
    <w:rsid w:val="00DF648E"/>
    <w:rsid w:val="00DF652F"/>
    <w:rsid w:val="00DF675E"/>
    <w:rsid w:val="00DF67A1"/>
    <w:rsid w:val="00DF68F1"/>
    <w:rsid w:val="00DF6C7F"/>
    <w:rsid w:val="00DF7213"/>
    <w:rsid w:val="00DF72E2"/>
    <w:rsid w:val="00DF74C2"/>
    <w:rsid w:val="00DF7811"/>
    <w:rsid w:val="00DF79B9"/>
    <w:rsid w:val="00E002E3"/>
    <w:rsid w:val="00E003B2"/>
    <w:rsid w:val="00E0055E"/>
    <w:rsid w:val="00E00EA0"/>
    <w:rsid w:val="00E01028"/>
    <w:rsid w:val="00E011CB"/>
    <w:rsid w:val="00E0130A"/>
    <w:rsid w:val="00E014CA"/>
    <w:rsid w:val="00E01648"/>
    <w:rsid w:val="00E01BAB"/>
    <w:rsid w:val="00E01C1D"/>
    <w:rsid w:val="00E02184"/>
    <w:rsid w:val="00E026DE"/>
    <w:rsid w:val="00E02F72"/>
    <w:rsid w:val="00E03089"/>
    <w:rsid w:val="00E032E4"/>
    <w:rsid w:val="00E03677"/>
    <w:rsid w:val="00E03D7A"/>
    <w:rsid w:val="00E04170"/>
    <w:rsid w:val="00E05244"/>
    <w:rsid w:val="00E05C13"/>
    <w:rsid w:val="00E063EE"/>
    <w:rsid w:val="00E06615"/>
    <w:rsid w:val="00E06992"/>
    <w:rsid w:val="00E06E67"/>
    <w:rsid w:val="00E06F54"/>
    <w:rsid w:val="00E06F6A"/>
    <w:rsid w:val="00E073CF"/>
    <w:rsid w:val="00E0777F"/>
    <w:rsid w:val="00E077AC"/>
    <w:rsid w:val="00E07F89"/>
    <w:rsid w:val="00E10AC4"/>
    <w:rsid w:val="00E10D3B"/>
    <w:rsid w:val="00E10D9E"/>
    <w:rsid w:val="00E11091"/>
    <w:rsid w:val="00E114CA"/>
    <w:rsid w:val="00E115C9"/>
    <w:rsid w:val="00E11719"/>
    <w:rsid w:val="00E11A00"/>
    <w:rsid w:val="00E12030"/>
    <w:rsid w:val="00E12265"/>
    <w:rsid w:val="00E122F3"/>
    <w:rsid w:val="00E12E01"/>
    <w:rsid w:val="00E12E35"/>
    <w:rsid w:val="00E13203"/>
    <w:rsid w:val="00E133CC"/>
    <w:rsid w:val="00E139CB"/>
    <w:rsid w:val="00E13D5F"/>
    <w:rsid w:val="00E13F28"/>
    <w:rsid w:val="00E140B3"/>
    <w:rsid w:val="00E1435C"/>
    <w:rsid w:val="00E1463A"/>
    <w:rsid w:val="00E1496A"/>
    <w:rsid w:val="00E1499B"/>
    <w:rsid w:val="00E14B68"/>
    <w:rsid w:val="00E14D55"/>
    <w:rsid w:val="00E15211"/>
    <w:rsid w:val="00E1548A"/>
    <w:rsid w:val="00E15E49"/>
    <w:rsid w:val="00E16347"/>
    <w:rsid w:val="00E163EF"/>
    <w:rsid w:val="00E1643B"/>
    <w:rsid w:val="00E16CD2"/>
    <w:rsid w:val="00E16CF8"/>
    <w:rsid w:val="00E16D4A"/>
    <w:rsid w:val="00E16DD8"/>
    <w:rsid w:val="00E17154"/>
    <w:rsid w:val="00E174C3"/>
    <w:rsid w:val="00E17552"/>
    <w:rsid w:val="00E17867"/>
    <w:rsid w:val="00E1796A"/>
    <w:rsid w:val="00E17BA0"/>
    <w:rsid w:val="00E2037F"/>
    <w:rsid w:val="00E20431"/>
    <w:rsid w:val="00E205C4"/>
    <w:rsid w:val="00E20926"/>
    <w:rsid w:val="00E20CFE"/>
    <w:rsid w:val="00E20DF5"/>
    <w:rsid w:val="00E20F4F"/>
    <w:rsid w:val="00E2108C"/>
    <w:rsid w:val="00E21123"/>
    <w:rsid w:val="00E2170E"/>
    <w:rsid w:val="00E2174F"/>
    <w:rsid w:val="00E218CF"/>
    <w:rsid w:val="00E22075"/>
    <w:rsid w:val="00E22163"/>
    <w:rsid w:val="00E22E3F"/>
    <w:rsid w:val="00E22F78"/>
    <w:rsid w:val="00E22FBE"/>
    <w:rsid w:val="00E23B67"/>
    <w:rsid w:val="00E23B78"/>
    <w:rsid w:val="00E23B8A"/>
    <w:rsid w:val="00E23C63"/>
    <w:rsid w:val="00E243BB"/>
    <w:rsid w:val="00E250F8"/>
    <w:rsid w:val="00E2580B"/>
    <w:rsid w:val="00E25AFE"/>
    <w:rsid w:val="00E25C6E"/>
    <w:rsid w:val="00E25FDC"/>
    <w:rsid w:val="00E26913"/>
    <w:rsid w:val="00E26C42"/>
    <w:rsid w:val="00E26ED0"/>
    <w:rsid w:val="00E27722"/>
    <w:rsid w:val="00E27AE5"/>
    <w:rsid w:val="00E27B74"/>
    <w:rsid w:val="00E27CBD"/>
    <w:rsid w:val="00E305F7"/>
    <w:rsid w:val="00E30A92"/>
    <w:rsid w:val="00E30BED"/>
    <w:rsid w:val="00E31015"/>
    <w:rsid w:val="00E3237F"/>
    <w:rsid w:val="00E32DBC"/>
    <w:rsid w:val="00E32DEB"/>
    <w:rsid w:val="00E32EB2"/>
    <w:rsid w:val="00E32F76"/>
    <w:rsid w:val="00E33237"/>
    <w:rsid w:val="00E336FA"/>
    <w:rsid w:val="00E337F6"/>
    <w:rsid w:val="00E33AA2"/>
    <w:rsid w:val="00E34675"/>
    <w:rsid w:val="00E34954"/>
    <w:rsid w:val="00E34A64"/>
    <w:rsid w:val="00E34FF3"/>
    <w:rsid w:val="00E35EB1"/>
    <w:rsid w:val="00E35F17"/>
    <w:rsid w:val="00E36372"/>
    <w:rsid w:val="00E363F8"/>
    <w:rsid w:val="00E36788"/>
    <w:rsid w:val="00E36BF0"/>
    <w:rsid w:val="00E36E04"/>
    <w:rsid w:val="00E373AA"/>
    <w:rsid w:val="00E375E2"/>
    <w:rsid w:val="00E406E8"/>
    <w:rsid w:val="00E40B3C"/>
    <w:rsid w:val="00E40B9C"/>
    <w:rsid w:val="00E40FA6"/>
    <w:rsid w:val="00E41275"/>
    <w:rsid w:val="00E415A3"/>
    <w:rsid w:val="00E41613"/>
    <w:rsid w:val="00E41653"/>
    <w:rsid w:val="00E41E22"/>
    <w:rsid w:val="00E41E2B"/>
    <w:rsid w:val="00E4261D"/>
    <w:rsid w:val="00E42655"/>
    <w:rsid w:val="00E4265B"/>
    <w:rsid w:val="00E42ED9"/>
    <w:rsid w:val="00E42EFD"/>
    <w:rsid w:val="00E42FAA"/>
    <w:rsid w:val="00E43168"/>
    <w:rsid w:val="00E4344F"/>
    <w:rsid w:val="00E44B9A"/>
    <w:rsid w:val="00E4505D"/>
    <w:rsid w:val="00E45754"/>
    <w:rsid w:val="00E45755"/>
    <w:rsid w:val="00E457BF"/>
    <w:rsid w:val="00E45A12"/>
    <w:rsid w:val="00E45A69"/>
    <w:rsid w:val="00E45B00"/>
    <w:rsid w:val="00E45E40"/>
    <w:rsid w:val="00E46243"/>
    <w:rsid w:val="00E463DB"/>
    <w:rsid w:val="00E46CEA"/>
    <w:rsid w:val="00E46E49"/>
    <w:rsid w:val="00E4720B"/>
    <w:rsid w:val="00E472AD"/>
    <w:rsid w:val="00E477D0"/>
    <w:rsid w:val="00E478B0"/>
    <w:rsid w:val="00E47A04"/>
    <w:rsid w:val="00E50269"/>
    <w:rsid w:val="00E50BC0"/>
    <w:rsid w:val="00E51BDD"/>
    <w:rsid w:val="00E51D02"/>
    <w:rsid w:val="00E52680"/>
    <w:rsid w:val="00E52E9C"/>
    <w:rsid w:val="00E530BD"/>
    <w:rsid w:val="00E53E92"/>
    <w:rsid w:val="00E53F39"/>
    <w:rsid w:val="00E540E5"/>
    <w:rsid w:val="00E5414A"/>
    <w:rsid w:val="00E541E6"/>
    <w:rsid w:val="00E5427F"/>
    <w:rsid w:val="00E5481A"/>
    <w:rsid w:val="00E549BF"/>
    <w:rsid w:val="00E54DDB"/>
    <w:rsid w:val="00E54E83"/>
    <w:rsid w:val="00E54ECF"/>
    <w:rsid w:val="00E54F34"/>
    <w:rsid w:val="00E5505A"/>
    <w:rsid w:val="00E5505C"/>
    <w:rsid w:val="00E5508A"/>
    <w:rsid w:val="00E554B5"/>
    <w:rsid w:val="00E554EC"/>
    <w:rsid w:val="00E55533"/>
    <w:rsid w:val="00E5576A"/>
    <w:rsid w:val="00E55BDC"/>
    <w:rsid w:val="00E55CDA"/>
    <w:rsid w:val="00E56394"/>
    <w:rsid w:val="00E56BB9"/>
    <w:rsid w:val="00E5734E"/>
    <w:rsid w:val="00E57587"/>
    <w:rsid w:val="00E579BB"/>
    <w:rsid w:val="00E57A59"/>
    <w:rsid w:val="00E57AB3"/>
    <w:rsid w:val="00E57D0A"/>
    <w:rsid w:val="00E57E88"/>
    <w:rsid w:val="00E60414"/>
    <w:rsid w:val="00E6042F"/>
    <w:rsid w:val="00E6074D"/>
    <w:rsid w:val="00E60F23"/>
    <w:rsid w:val="00E619F1"/>
    <w:rsid w:val="00E61F1D"/>
    <w:rsid w:val="00E61F8F"/>
    <w:rsid w:val="00E62418"/>
    <w:rsid w:val="00E6244B"/>
    <w:rsid w:val="00E62471"/>
    <w:rsid w:val="00E62638"/>
    <w:rsid w:val="00E626EB"/>
    <w:rsid w:val="00E628C7"/>
    <w:rsid w:val="00E62924"/>
    <w:rsid w:val="00E62A08"/>
    <w:rsid w:val="00E63183"/>
    <w:rsid w:val="00E631A4"/>
    <w:rsid w:val="00E63D87"/>
    <w:rsid w:val="00E647B1"/>
    <w:rsid w:val="00E647DE"/>
    <w:rsid w:val="00E648FD"/>
    <w:rsid w:val="00E64BED"/>
    <w:rsid w:val="00E65217"/>
    <w:rsid w:val="00E658FD"/>
    <w:rsid w:val="00E65DAD"/>
    <w:rsid w:val="00E6631B"/>
    <w:rsid w:val="00E666D3"/>
    <w:rsid w:val="00E66A6E"/>
    <w:rsid w:val="00E66C60"/>
    <w:rsid w:val="00E66D7D"/>
    <w:rsid w:val="00E66EE9"/>
    <w:rsid w:val="00E6777C"/>
    <w:rsid w:val="00E67983"/>
    <w:rsid w:val="00E67E70"/>
    <w:rsid w:val="00E70072"/>
    <w:rsid w:val="00E7017B"/>
    <w:rsid w:val="00E71A64"/>
    <w:rsid w:val="00E72B04"/>
    <w:rsid w:val="00E730F2"/>
    <w:rsid w:val="00E73765"/>
    <w:rsid w:val="00E73785"/>
    <w:rsid w:val="00E73960"/>
    <w:rsid w:val="00E73B89"/>
    <w:rsid w:val="00E73BB3"/>
    <w:rsid w:val="00E742ED"/>
    <w:rsid w:val="00E7461E"/>
    <w:rsid w:val="00E74969"/>
    <w:rsid w:val="00E74F37"/>
    <w:rsid w:val="00E75152"/>
    <w:rsid w:val="00E758A1"/>
    <w:rsid w:val="00E75A41"/>
    <w:rsid w:val="00E75BD9"/>
    <w:rsid w:val="00E75CBA"/>
    <w:rsid w:val="00E7670A"/>
    <w:rsid w:val="00E76ADE"/>
    <w:rsid w:val="00E76B19"/>
    <w:rsid w:val="00E76D48"/>
    <w:rsid w:val="00E76FAF"/>
    <w:rsid w:val="00E7705F"/>
    <w:rsid w:val="00E7712B"/>
    <w:rsid w:val="00E77583"/>
    <w:rsid w:val="00E77957"/>
    <w:rsid w:val="00E779D9"/>
    <w:rsid w:val="00E77F16"/>
    <w:rsid w:val="00E77FF2"/>
    <w:rsid w:val="00E80178"/>
    <w:rsid w:val="00E80C8A"/>
    <w:rsid w:val="00E81565"/>
    <w:rsid w:val="00E8195E"/>
    <w:rsid w:val="00E81EBE"/>
    <w:rsid w:val="00E8206B"/>
    <w:rsid w:val="00E824CE"/>
    <w:rsid w:val="00E82617"/>
    <w:rsid w:val="00E82903"/>
    <w:rsid w:val="00E82A00"/>
    <w:rsid w:val="00E82BA2"/>
    <w:rsid w:val="00E82BFB"/>
    <w:rsid w:val="00E82D97"/>
    <w:rsid w:val="00E8314B"/>
    <w:rsid w:val="00E835EF"/>
    <w:rsid w:val="00E83F6B"/>
    <w:rsid w:val="00E841C0"/>
    <w:rsid w:val="00E847B8"/>
    <w:rsid w:val="00E847E4"/>
    <w:rsid w:val="00E84AFE"/>
    <w:rsid w:val="00E85566"/>
    <w:rsid w:val="00E856D5"/>
    <w:rsid w:val="00E856E3"/>
    <w:rsid w:val="00E8574A"/>
    <w:rsid w:val="00E859EB"/>
    <w:rsid w:val="00E85C6A"/>
    <w:rsid w:val="00E85CBD"/>
    <w:rsid w:val="00E85D67"/>
    <w:rsid w:val="00E85F6A"/>
    <w:rsid w:val="00E86445"/>
    <w:rsid w:val="00E8650A"/>
    <w:rsid w:val="00E86EB4"/>
    <w:rsid w:val="00E86EC9"/>
    <w:rsid w:val="00E86FFC"/>
    <w:rsid w:val="00E876E8"/>
    <w:rsid w:val="00E8796D"/>
    <w:rsid w:val="00E90071"/>
    <w:rsid w:val="00E90389"/>
    <w:rsid w:val="00E90C35"/>
    <w:rsid w:val="00E9100A"/>
    <w:rsid w:val="00E910F2"/>
    <w:rsid w:val="00E919DE"/>
    <w:rsid w:val="00E91CC0"/>
    <w:rsid w:val="00E92CCC"/>
    <w:rsid w:val="00E92EED"/>
    <w:rsid w:val="00E93129"/>
    <w:rsid w:val="00E934F9"/>
    <w:rsid w:val="00E93534"/>
    <w:rsid w:val="00E9357C"/>
    <w:rsid w:val="00E937EF"/>
    <w:rsid w:val="00E93A9A"/>
    <w:rsid w:val="00E93C8C"/>
    <w:rsid w:val="00E944F8"/>
    <w:rsid w:val="00E94F78"/>
    <w:rsid w:val="00E96146"/>
    <w:rsid w:val="00E961D7"/>
    <w:rsid w:val="00E963F9"/>
    <w:rsid w:val="00E966FE"/>
    <w:rsid w:val="00E96D5C"/>
    <w:rsid w:val="00E96F8F"/>
    <w:rsid w:val="00E97B51"/>
    <w:rsid w:val="00EA02B5"/>
    <w:rsid w:val="00EA03E7"/>
    <w:rsid w:val="00EA0E08"/>
    <w:rsid w:val="00EA1178"/>
    <w:rsid w:val="00EA12ED"/>
    <w:rsid w:val="00EA1372"/>
    <w:rsid w:val="00EA1648"/>
    <w:rsid w:val="00EA2044"/>
    <w:rsid w:val="00EA3113"/>
    <w:rsid w:val="00EA3218"/>
    <w:rsid w:val="00EA33C9"/>
    <w:rsid w:val="00EA3452"/>
    <w:rsid w:val="00EA366B"/>
    <w:rsid w:val="00EA3A3B"/>
    <w:rsid w:val="00EA4119"/>
    <w:rsid w:val="00EA43F4"/>
    <w:rsid w:val="00EA4473"/>
    <w:rsid w:val="00EA4641"/>
    <w:rsid w:val="00EA484E"/>
    <w:rsid w:val="00EA497F"/>
    <w:rsid w:val="00EA5020"/>
    <w:rsid w:val="00EA55AF"/>
    <w:rsid w:val="00EA5C81"/>
    <w:rsid w:val="00EA5EF4"/>
    <w:rsid w:val="00EA6242"/>
    <w:rsid w:val="00EA6414"/>
    <w:rsid w:val="00EA6E87"/>
    <w:rsid w:val="00EA76C4"/>
    <w:rsid w:val="00EA797A"/>
    <w:rsid w:val="00EA7A78"/>
    <w:rsid w:val="00EB0058"/>
    <w:rsid w:val="00EB048E"/>
    <w:rsid w:val="00EB0497"/>
    <w:rsid w:val="00EB0DC0"/>
    <w:rsid w:val="00EB0F08"/>
    <w:rsid w:val="00EB10EA"/>
    <w:rsid w:val="00EB12FC"/>
    <w:rsid w:val="00EB16D6"/>
    <w:rsid w:val="00EB1726"/>
    <w:rsid w:val="00EB1BA3"/>
    <w:rsid w:val="00EB1FF4"/>
    <w:rsid w:val="00EB248B"/>
    <w:rsid w:val="00EB25E0"/>
    <w:rsid w:val="00EB2758"/>
    <w:rsid w:val="00EB29FF"/>
    <w:rsid w:val="00EB2CA4"/>
    <w:rsid w:val="00EB2CAC"/>
    <w:rsid w:val="00EB2D09"/>
    <w:rsid w:val="00EB3493"/>
    <w:rsid w:val="00EB3EA2"/>
    <w:rsid w:val="00EB3EC0"/>
    <w:rsid w:val="00EB4207"/>
    <w:rsid w:val="00EB4749"/>
    <w:rsid w:val="00EB4E86"/>
    <w:rsid w:val="00EB502E"/>
    <w:rsid w:val="00EB52F1"/>
    <w:rsid w:val="00EB5399"/>
    <w:rsid w:val="00EB53C0"/>
    <w:rsid w:val="00EB5758"/>
    <w:rsid w:val="00EB60EF"/>
    <w:rsid w:val="00EB64B8"/>
    <w:rsid w:val="00EB670C"/>
    <w:rsid w:val="00EB6777"/>
    <w:rsid w:val="00EB6EB9"/>
    <w:rsid w:val="00EB6EE7"/>
    <w:rsid w:val="00EB6EFB"/>
    <w:rsid w:val="00EB705A"/>
    <w:rsid w:val="00EB77F5"/>
    <w:rsid w:val="00EB7EA9"/>
    <w:rsid w:val="00EC02AB"/>
    <w:rsid w:val="00EC0396"/>
    <w:rsid w:val="00EC03D8"/>
    <w:rsid w:val="00EC0765"/>
    <w:rsid w:val="00EC0CA5"/>
    <w:rsid w:val="00EC0EAF"/>
    <w:rsid w:val="00EC1062"/>
    <w:rsid w:val="00EC1122"/>
    <w:rsid w:val="00EC184F"/>
    <w:rsid w:val="00EC1BAF"/>
    <w:rsid w:val="00EC21B3"/>
    <w:rsid w:val="00EC23C5"/>
    <w:rsid w:val="00EC23D6"/>
    <w:rsid w:val="00EC2669"/>
    <w:rsid w:val="00EC2BEB"/>
    <w:rsid w:val="00EC2FE8"/>
    <w:rsid w:val="00EC413D"/>
    <w:rsid w:val="00EC4494"/>
    <w:rsid w:val="00EC501B"/>
    <w:rsid w:val="00EC5203"/>
    <w:rsid w:val="00EC5450"/>
    <w:rsid w:val="00EC5756"/>
    <w:rsid w:val="00EC58E0"/>
    <w:rsid w:val="00EC5947"/>
    <w:rsid w:val="00EC6478"/>
    <w:rsid w:val="00EC6981"/>
    <w:rsid w:val="00EC712E"/>
    <w:rsid w:val="00EC7766"/>
    <w:rsid w:val="00EC7D4D"/>
    <w:rsid w:val="00EC7DCD"/>
    <w:rsid w:val="00ED09E4"/>
    <w:rsid w:val="00ED0A47"/>
    <w:rsid w:val="00ED0D71"/>
    <w:rsid w:val="00ED1012"/>
    <w:rsid w:val="00ED14FE"/>
    <w:rsid w:val="00ED15C1"/>
    <w:rsid w:val="00ED1A08"/>
    <w:rsid w:val="00ED28C0"/>
    <w:rsid w:val="00ED2E36"/>
    <w:rsid w:val="00ED2E61"/>
    <w:rsid w:val="00ED2FE1"/>
    <w:rsid w:val="00ED34C6"/>
    <w:rsid w:val="00ED35E1"/>
    <w:rsid w:val="00ED3824"/>
    <w:rsid w:val="00ED3969"/>
    <w:rsid w:val="00ED39EE"/>
    <w:rsid w:val="00ED3A81"/>
    <w:rsid w:val="00ED3C62"/>
    <w:rsid w:val="00ED3D35"/>
    <w:rsid w:val="00ED3F57"/>
    <w:rsid w:val="00ED460D"/>
    <w:rsid w:val="00ED47E6"/>
    <w:rsid w:val="00ED496A"/>
    <w:rsid w:val="00ED4AAB"/>
    <w:rsid w:val="00ED4B13"/>
    <w:rsid w:val="00ED4BEE"/>
    <w:rsid w:val="00ED4F60"/>
    <w:rsid w:val="00ED538E"/>
    <w:rsid w:val="00ED5804"/>
    <w:rsid w:val="00ED5D26"/>
    <w:rsid w:val="00ED635E"/>
    <w:rsid w:val="00ED6941"/>
    <w:rsid w:val="00ED7C7C"/>
    <w:rsid w:val="00EE0326"/>
    <w:rsid w:val="00EE1184"/>
    <w:rsid w:val="00EE136D"/>
    <w:rsid w:val="00EE22FB"/>
    <w:rsid w:val="00EE2C7A"/>
    <w:rsid w:val="00EE2CC2"/>
    <w:rsid w:val="00EE2E8B"/>
    <w:rsid w:val="00EE32BF"/>
    <w:rsid w:val="00EE371E"/>
    <w:rsid w:val="00EE392A"/>
    <w:rsid w:val="00EE3F28"/>
    <w:rsid w:val="00EE49A4"/>
    <w:rsid w:val="00EE4A4F"/>
    <w:rsid w:val="00EE4AB8"/>
    <w:rsid w:val="00EE4B20"/>
    <w:rsid w:val="00EE4F79"/>
    <w:rsid w:val="00EE5697"/>
    <w:rsid w:val="00EE5761"/>
    <w:rsid w:val="00EE57A5"/>
    <w:rsid w:val="00EE5A2E"/>
    <w:rsid w:val="00EE5E9A"/>
    <w:rsid w:val="00EE6489"/>
    <w:rsid w:val="00EE64C2"/>
    <w:rsid w:val="00EE6656"/>
    <w:rsid w:val="00EE6990"/>
    <w:rsid w:val="00EE6FA7"/>
    <w:rsid w:val="00EE6FBB"/>
    <w:rsid w:val="00EE7250"/>
    <w:rsid w:val="00EE789C"/>
    <w:rsid w:val="00EE7991"/>
    <w:rsid w:val="00EF025D"/>
    <w:rsid w:val="00EF027D"/>
    <w:rsid w:val="00EF051A"/>
    <w:rsid w:val="00EF052B"/>
    <w:rsid w:val="00EF0909"/>
    <w:rsid w:val="00EF0C94"/>
    <w:rsid w:val="00EF0E2F"/>
    <w:rsid w:val="00EF0EB0"/>
    <w:rsid w:val="00EF16DA"/>
    <w:rsid w:val="00EF17EC"/>
    <w:rsid w:val="00EF1E3D"/>
    <w:rsid w:val="00EF262A"/>
    <w:rsid w:val="00EF27A2"/>
    <w:rsid w:val="00EF286F"/>
    <w:rsid w:val="00EF2AF0"/>
    <w:rsid w:val="00EF2C23"/>
    <w:rsid w:val="00EF2D0F"/>
    <w:rsid w:val="00EF3A74"/>
    <w:rsid w:val="00EF3C20"/>
    <w:rsid w:val="00EF3E35"/>
    <w:rsid w:val="00EF3F7D"/>
    <w:rsid w:val="00EF461C"/>
    <w:rsid w:val="00EF4665"/>
    <w:rsid w:val="00EF4BE4"/>
    <w:rsid w:val="00EF4D7C"/>
    <w:rsid w:val="00EF5043"/>
    <w:rsid w:val="00EF51DE"/>
    <w:rsid w:val="00EF5269"/>
    <w:rsid w:val="00EF5ABD"/>
    <w:rsid w:val="00EF5D37"/>
    <w:rsid w:val="00EF5D65"/>
    <w:rsid w:val="00EF6087"/>
    <w:rsid w:val="00EF6159"/>
    <w:rsid w:val="00EF61D8"/>
    <w:rsid w:val="00EF6278"/>
    <w:rsid w:val="00EF6790"/>
    <w:rsid w:val="00EF6B13"/>
    <w:rsid w:val="00EF6FCE"/>
    <w:rsid w:val="00EF789C"/>
    <w:rsid w:val="00EF78A1"/>
    <w:rsid w:val="00EF798C"/>
    <w:rsid w:val="00EF7C0D"/>
    <w:rsid w:val="00EF7C23"/>
    <w:rsid w:val="00EF7DB8"/>
    <w:rsid w:val="00F00252"/>
    <w:rsid w:val="00F0052F"/>
    <w:rsid w:val="00F007FD"/>
    <w:rsid w:val="00F008AA"/>
    <w:rsid w:val="00F00DBE"/>
    <w:rsid w:val="00F018F7"/>
    <w:rsid w:val="00F01D06"/>
    <w:rsid w:val="00F0220F"/>
    <w:rsid w:val="00F024A4"/>
    <w:rsid w:val="00F025E3"/>
    <w:rsid w:val="00F027C4"/>
    <w:rsid w:val="00F02A15"/>
    <w:rsid w:val="00F02A35"/>
    <w:rsid w:val="00F02CBA"/>
    <w:rsid w:val="00F02FB1"/>
    <w:rsid w:val="00F03051"/>
    <w:rsid w:val="00F03785"/>
    <w:rsid w:val="00F03C91"/>
    <w:rsid w:val="00F040C3"/>
    <w:rsid w:val="00F040F2"/>
    <w:rsid w:val="00F0413C"/>
    <w:rsid w:val="00F0421E"/>
    <w:rsid w:val="00F04687"/>
    <w:rsid w:val="00F04918"/>
    <w:rsid w:val="00F04A40"/>
    <w:rsid w:val="00F04D53"/>
    <w:rsid w:val="00F051EA"/>
    <w:rsid w:val="00F05256"/>
    <w:rsid w:val="00F0583C"/>
    <w:rsid w:val="00F05CA8"/>
    <w:rsid w:val="00F06BBD"/>
    <w:rsid w:val="00F06F61"/>
    <w:rsid w:val="00F0731A"/>
    <w:rsid w:val="00F077F5"/>
    <w:rsid w:val="00F0782E"/>
    <w:rsid w:val="00F07ECC"/>
    <w:rsid w:val="00F1001B"/>
    <w:rsid w:val="00F10170"/>
    <w:rsid w:val="00F102E9"/>
    <w:rsid w:val="00F103C1"/>
    <w:rsid w:val="00F106F0"/>
    <w:rsid w:val="00F107AA"/>
    <w:rsid w:val="00F10EF9"/>
    <w:rsid w:val="00F116C1"/>
    <w:rsid w:val="00F117FA"/>
    <w:rsid w:val="00F1245B"/>
    <w:rsid w:val="00F1265A"/>
    <w:rsid w:val="00F12716"/>
    <w:rsid w:val="00F1289C"/>
    <w:rsid w:val="00F12AAD"/>
    <w:rsid w:val="00F12FBC"/>
    <w:rsid w:val="00F13008"/>
    <w:rsid w:val="00F131A1"/>
    <w:rsid w:val="00F13685"/>
    <w:rsid w:val="00F13CDC"/>
    <w:rsid w:val="00F13DBA"/>
    <w:rsid w:val="00F14018"/>
    <w:rsid w:val="00F14112"/>
    <w:rsid w:val="00F14CBA"/>
    <w:rsid w:val="00F1532B"/>
    <w:rsid w:val="00F1567D"/>
    <w:rsid w:val="00F15B64"/>
    <w:rsid w:val="00F160CB"/>
    <w:rsid w:val="00F16564"/>
    <w:rsid w:val="00F1675E"/>
    <w:rsid w:val="00F167B6"/>
    <w:rsid w:val="00F16CCA"/>
    <w:rsid w:val="00F170C1"/>
    <w:rsid w:val="00F17155"/>
    <w:rsid w:val="00F17693"/>
    <w:rsid w:val="00F17BB0"/>
    <w:rsid w:val="00F17D76"/>
    <w:rsid w:val="00F17D83"/>
    <w:rsid w:val="00F17DFB"/>
    <w:rsid w:val="00F210AA"/>
    <w:rsid w:val="00F21516"/>
    <w:rsid w:val="00F2169B"/>
    <w:rsid w:val="00F21E10"/>
    <w:rsid w:val="00F2239A"/>
    <w:rsid w:val="00F2285C"/>
    <w:rsid w:val="00F22BA2"/>
    <w:rsid w:val="00F22BDE"/>
    <w:rsid w:val="00F22DBB"/>
    <w:rsid w:val="00F22ED6"/>
    <w:rsid w:val="00F233D4"/>
    <w:rsid w:val="00F237FE"/>
    <w:rsid w:val="00F23A46"/>
    <w:rsid w:val="00F23BC4"/>
    <w:rsid w:val="00F246A8"/>
    <w:rsid w:val="00F247FF"/>
    <w:rsid w:val="00F24CB5"/>
    <w:rsid w:val="00F2509B"/>
    <w:rsid w:val="00F26084"/>
    <w:rsid w:val="00F2660A"/>
    <w:rsid w:val="00F26C5D"/>
    <w:rsid w:val="00F26D65"/>
    <w:rsid w:val="00F26FF1"/>
    <w:rsid w:val="00F27027"/>
    <w:rsid w:val="00F27041"/>
    <w:rsid w:val="00F2719E"/>
    <w:rsid w:val="00F27531"/>
    <w:rsid w:val="00F27C1B"/>
    <w:rsid w:val="00F302FF"/>
    <w:rsid w:val="00F30455"/>
    <w:rsid w:val="00F30B44"/>
    <w:rsid w:val="00F30F5D"/>
    <w:rsid w:val="00F310EA"/>
    <w:rsid w:val="00F31670"/>
    <w:rsid w:val="00F31C14"/>
    <w:rsid w:val="00F31FD5"/>
    <w:rsid w:val="00F326F5"/>
    <w:rsid w:val="00F3284E"/>
    <w:rsid w:val="00F33DC5"/>
    <w:rsid w:val="00F348FC"/>
    <w:rsid w:val="00F34C14"/>
    <w:rsid w:val="00F34EB5"/>
    <w:rsid w:val="00F3510A"/>
    <w:rsid w:val="00F35653"/>
    <w:rsid w:val="00F356B4"/>
    <w:rsid w:val="00F35BF3"/>
    <w:rsid w:val="00F360F7"/>
    <w:rsid w:val="00F3615E"/>
    <w:rsid w:val="00F36442"/>
    <w:rsid w:val="00F36901"/>
    <w:rsid w:val="00F36AC9"/>
    <w:rsid w:val="00F36BA0"/>
    <w:rsid w:val="00F36FED"/>
    <w:rsid w:val="00F37637"/>
    <w:rsid w:val="00F37FCF"/>
    <w:rsid w:val="00F409E4"/>
    <w:rsid w:val="00F412FC"/>
    <w:rsid w:val="00F41930"/>
    <w:rsid w:val="00F41DDA"/>
    <w:rsid w:val="00F41F2A"/>
    <w:rsid w:val="00F4240E"/>
    <w:rsid w:val="00F429A4"/>
    <w:rsid w:val="00F434A1"/>
    <w:rsid w:val="00F43722"/>
    <w:rsid w:val="00F43C8B"/>
    <w:rsid w:val="00F43DAF"/>
    <w:rsid w:val="00F43DFE"/>
    <w:rsid w:val="00F43FFE"/>
    <w:rsid w:val="00F440DB"/>
    <w:rsid w:val="00F4455E"/>
    <w:rsid w:val="00F44641"/>
    <w:rsid w:val="00F4484B"/>
    <w:rsid w:val="00F449FB"/>
    <w:rsid w:val="00F44B16"/>
    <w:rsid w:val="00F44D6A"/>
    <w:rsid w:val="00F455D1"/>
    <w:rsid w:val="00F4577E"/>
    <w:rsid w:val="00F457F1"/>
    <w:rsid w:val="00F45DB8"/>
    <w:rsid w:val="00F45E13"/>
    <w:rsid w:val="00F4645C"/>
    <w:rsid w:val="00F4657E"/>
    <w:rsid w:val="00F465D7"/>
    <w:rsid w:val="00F4674C"/>
    <w:rsid w:val="00F46E0D"/>
    <w:rsid w:val="00F46E2D"/>
    <w:rsid w:val="00F46F8D"/>
    <w:rsid w:val="00F47244"/>
    <w:rsid w:val="00F4760C"/>
    <w:rsid w:val="00F47799"/>
    <w:rsid w:val="00F47B62"/>
    <w:rsid w:val="00F47C4C"/>
    <w:rsid w:val="00F47FE1"/>
    <w:rsid w:val="00F5023E"/>
    <w:rsid w:val="00F50633"/>
    <w:rsid w:val="00F5063D"/>
    <w:rsid w:val="00F508ED"/>
    <w:rsid w:val="00F51191"/>
    <w:rsid w:val="00F518B5"/>
    <w:rsid w:val="00F51A20"/>
    <w:rsid w:val="00F51B21"/>
    <w:rsid w:val="00F51C3D"/>
    <w:rsid w:val="00F51CB1"/>
    <w:rsid w:val="00F526E1"/>
    <w:rsid w:val="00F527B3"/>
    <w:rsid w:val="00F5284F"/>
    <w:rsid w:val="00F529A9"/>
    <w:rsid w:val="00F52EAF"/>
    <w:rsid w:val="00F5363E"/>
    <w:rsid w:val="00F5371A"/>
    <w:rsid w:val="00F5379E"/>
    <w:rsid w:val="00F53DC0"/>
    <w:rsid w:val="00F53F51"/>
    <w:rsid w:val="00F53FCE"/>
    <w:rsid w:val="00F54759"/>
    <w:rsid w:val="00F54C8D"/>
    <w:rsid w:val="00F54D25"/>
    <w:rsid w:val="00F551E0"/>
    <w:rsid w:val="00F5539E"/>
    <w:rsid w:val="00F55568"/>
    <w:rsid w:val="00F55EB7"/>
    <w:rsid w:val="00F561FB"/>
    <w:rsid w:val="00F5623F"/>
    <w:rsid w:val="00F57047"/>
    <w:rsid w:val="00F5721E"/>
    <w:rsid w:val="00F57709"/>
    <w:rsid w:val="00F57D9F"/>
    <w:rsid w:val="00F57DF6"/>
    <w:rsid w:val="00F602DE"/>
    <w:rsid w:val="00F61075"/>
    <w:rsid w:val="00F61088"/>
    <w:rsid w:val="00F61098"/>
    <w:rsid w:val="00F6142A"/>
    <w:rsid w:val="00F6184E"/>
    <w:rsid w:val="00F61CEF"/>
    <w:rsid w:val="00F62A22"/>
    <w:rsid w:val="00F62CF5"/>
    <w:rsid w:val="00F63063"/>
    <w:rsid w:val="00F6374E"/>
    <w:rsid w:val="00F64382"/>
    <w:rsid w:val="00F643A7"/>
    <w:rsid w:val="00F65072"/>
    <w:rsid w:val="00F65119"/>
    <w:rsid w:val="00F65400"/>
    <w:rsid w:val="00F6562A"/>
    <w:rsid w:val="00F658F6"/>
    <w:rsid w:val="00F659AF"/>
    <w:rsid w:val="00F66111"/>
    <w:rsid w:val="00F6617D"/>
    <w:rsid w:val="00F6661E"/>
    <w:rsid w:val="00F66B94"/>
    <w:rsid w:val="00F67DA0"/>
    <w:rsid w:val="00F70412"/>
    <w:rsid w:val="00F705EA"/>
    <w:rsid w:val="00F70645"/>
    <w:rsid w:val="00F706F4"/>
    <w:rsid w:val="00F70823"/>
    <w:rsid w:val="00F7183C"/>
    <w:rsid w:val="00F7196E"/>
    <w:rsid w:val="00F72096"/>
    <w:rsid w:val="00F72180"/>
    <w:rsid w:val="00F721D3"/>
    <w:rsid w:val="00F726D5"/>
    <w:rsid w:val="00F72AAD"/>
    <w:rsid w:val="00F72AB4"/>
    <w:rsid w:val="00F72DD9"/>
    <w:rsid w:val="00F73016"/>
    <w:rsid w:val="00F73634"/>
    <w:rsid w:val="00F7381A"/>
    <w:rsid w:val="00F73EA3"/>
    <w:rsid w:val="00F742C2"/>
    <w:rsid w:val="00F7436F"/>
    <w:rsid w:val="00F743AD"/>
    <w:rsid w:val="00F74811"/>
    <w:rsid w:val="00F7515B"/>
    <w:rsid w:val="00F75762"/>
    <w:rsid w:val="00F75958"/>
    <w:rsid w:val="00F763ED"/>
    <w:rsid w:val="00F7645E"/>
    <w:rsid w:val="00F765B1"/>
    <w:rsid w:val="00F76B14"/>
    <w:rsid w:val="00F76ED6"/>
    <w:rsid w:val="00F77244"/>
    <w:rsid w:val="00F7743F"/>
    <w:rsid w:val="00F775A1"/>
    <w:rsid w:val="00F7796D"/>
    <w:rsid w:val="00F77C7B"/>
    <w:rsid w:val="00F801BC"/>
    <w:rsid w:val="00F80590"/>
    <w:rsid w:val="00F805C1"/>
    <w:rsid w:val="00F80C23"/>
    <w:rsid w:val="00F80C88"/>
    <w:rsid w:val="00F8103B"/>
    <w:rsid w:val="00F81B02"/>
    <w:rsid w:val="00F81ECD"/>
    <w:rsid w:val="00F825E4"/>
    <w:rsid w:val="00F829CA"/>
    <w:rsid w:val="00F82A40"/>
    <w:rsid w:val="00F82A92"/>
    <w:rsid w:val="00F82C9F"/>
    <w:rsid w:val="00F82D93"/>
    <w:rsid w:val="00F831AE"/>
    <w:rsid w:val="00F831B1"/>
    <w:rsid w:val="00F83ACD"/>
    <w:rsid w:val="00F842B9"/>
    <w:rsid w:val="00F846B3"/>
    <w:rsid w:val="00F84B2C"/>
    <w:rsid w:val="00F84CFE"/>
    <w:rsid w:val="00F84E2F"/>
    <w:rsid w:val="00F8525C"/>
    <w:rsid w:val="00F852EB"/>
    <w:rsid w:val="00F85364"/>
    <w:rsid w:val="00F8566B"/>
    <w:rsid w:val="00F85884"/>
    <w:rsid w:val="00F863E7"/>
    <w:rsid w:val="00F868C5"/>
    <w:rsid w:val="00F873E5"/>
    <w:rsid w:val="00F87D4F"/>
    <w:rsid w:val="00F901CF"/>
    <w:rsid w:val="00F901D7"/>
    <w:rsid w:val="00F9125A"/>
    <w:rsid w:val="00F91CD2"/>
    <w:rsid w:val="00F9229F"/>
    <w:rsid w:val="00F9258D"/>
    <w:rsid w:val="00F92EF7"/>
    <w:rsid w:val="00F92F77"/>
    <w:rsid w:val="00F93182"/>
    <w:rsid w:val="00F935AF"/>
    <w:rsid w:val="00F93735"/>
    <w:rsid w:val="00F93FDD"/>
    <w:rsid w:val="00F94031"/>
    <w:rsid w:val="00F949BF"/>
    <w:rsid w:val="00F94C0B"/>
    <w:rsid w:val="00F94D3D"/>
    <w:rsid w:val="00F955CE"/>
    <w:rsid w:val="00F95AB4"/>
    <w:rsid w:val="00F95FE2"/>
    <w:rsid w:val="00F9612A"/>
    <w:rsid w:val="00F96217"/>
    <w:rsid w:val="00F9642A"/>
    <w:rsid w:val="00F96A04"/>
    <w:rsid w:val="00F96ABC"/>
    <w:rsid w:val="00F96E38"/>
    <w:rsid w:val="00F974DF"/>
    <w:rsid w:val="00F97BA5"/>
    <w:rsid w:val="00F97BE0"/>
    <w:rsid w:val="00F97C08"/>
    <w:rsid w:val="00FA02AC"/>
    <w:rsid w:val="00FA0640"/>
    <w:rsid w:val="00FA08E4"/>
    <w:rsid w:val="00FA0AFD"/>
    <w:rsid w:val="00FA12B6"/>
    <w:rsid w:val="00FA1459"/>
    <w:rsid w:val="00FA1692"/>
    <w:rsid w:val="00FA1AE8"/>
    <w:rsid w:val="00FA1EDA"/>
    <w:rsid w:val="00FA2323"/>
    <w:rsid w:val="00FA2626"/>
    <w:rsid w:val="00FA27AC"/>
    <w:rsid w:val="00FA2A41"/>
    <w:rsid w:val="00FA2B4B"/>
    <w:rsid w:val="00FA2E18"/>
    <w:rsid w:val="00FA313B"/>
    <w:rsid w:val="00FA317A"/>
    <w:rsid w:val="00FA3908"/>
    <w:rsid w:val="00FA3A63"/>
    <w:rsid w:val="00FA48DA"/>
    <w:rsid w:val="00FA5068"/>
    <w:rsid w:val="00FA5421"/>
    <w:rsid w:val="00FA5932"/>
    <w:rsid w:val="00FA5C22"/>
    <w:rsid w:val="00FA5EE8"/>
    <w:rsid w:val="00FA6CB3"/>
    <w:rsid w:val="00FA6E93"/>
    <w:rsid w:val="00FA7280"/>
    <w:rsid w:val="00FA7464"/>
    <w:rsid w:val="00FA79F7"/>
    <w:rsid w:val="00FA7EFD"/>
    <w:rsid w:val="00FB00A6"/>
    <w:rsid w:val="00FB01C5"/>
    <w:rsid w:val="00FB10BD"/>
    <w:rsid w:val="00FB11A5"/>
    <w:rsid w:val="00FB132B"/>
    <w:rsid w:val="00FB1BE7"/>
    <w:rsid w:val="00FB1C52"/>
    <w:rsid w:val="00FB1FBD"/>
    <w:rsid w:val="00FB20AE"/>
    <w:rsid w:val="00FB2512"/>
    <w:rsid w:val="00FB2866"/>
    <w:rsid w:val="00FB2ACC"/>
    <w:rsid w:val="00FB3682"/>
    <w:rsid w:val="00FB3B5F"/>
    <w:rsid w:val="00FB3BA4"/>
    <w:rsid w:val="00FB416D"/>
    <w:rsid w:val="00FB44F2"/>
    <w:rsid w:val="00FB4D07"/>
    <w:rsid w:val="00FB4D7E"/>
    <w:rsid w:val="00FB521E"/>
    <w:rsid w:val="00FB5247"/>
    <w:rsid w:val="00FB6425"/>
    <w:rsid w:val="00FB6921"/>
    <w:rsid w:val="00FB6D2E"/>
    <w:rsid w:val="00FB6E48"/>
    <w:rsid w:val="00FB6F25"/>
    <w:rsid w:val="00FB7347"/>
    <w:rsid w:val="00FB746D"/>
    <w:rsid w:val="00FB7470"/>
    <w:rsid w:val="00FB777D"/>
    <w:rsid w:val="00FB7B05"/>
    <w:rsid w:val="00FB7F2B"/>
    <w:rsid w:val="00FB7F41"/>
    <w:rsid w:val="00FB7F76"/>
    <w:rsid w:val="00FC0157"/>
    <w:rsid w:val="00FC0396"/>
    <w:rsid w:val="00FC06B9"/>
    <w:rsid w:val="00FC07AC"/>
    <w:rsid w:val="00FC109F"/>
    <w:rsid w:val="00FC17F6"/>
    <w:rsid w:val="00FC2635"/>
    <w:rsid w:val="00FC2FEE"/>
    <w:rsid w:val="00FC3188"/>
    <w:rsid w:val="00FC34B6"/>
    <w:rsid w:val="00FC421C"/>
    <w:rsid w:val="00FC434E"/>
    <w:rsid w:val="00FC46ED"/>
    <w:rsid w:val="00FC4790"/>
    <w:rsid w:val="00FC490B"/>
    <w:rsid w:val="00FC524E"/>
    <w:rsid w:val="00FC5524"/>
    <w:rsid w:val="00FC5539"/>
    <w:rsid w:val="00FC595C"/>
    <w:rsid w:val="00FC5B1C"/>
    <w:rsid w:val="00FC5B67"/>
    <w:rsid w:val="00FC5F83"/>
    <w:rsid w:val="00FC617D"/>
    <w:rsid w:val="00FC630A"/>
    <w:rsid w:val="00FC6B6B"/>
    <w:rsid w:val="00FC6BE7"/>
    <w:rsid w:val="00FC6D2C"/>
    <w:rsid w:val="00FC6F07"/>
    <w:rsid w:val="00FC6F41"/>
    <w:rsid w:val="00FC7A03"/>
    <w:rsid w:val="00FC7CEC"/>
    <w:rsid w:val="00FC7D5D"/>
    <w:rsid w:val="00FC7E01"/>
    <w:rsid w:val="00FC7E54"/>
    <w:rsid w:val="00FD0496"/>
    <w:rsid w:val="00FD05D7"/>
    <w:rsid w:val="00FD0843"/>
    <w:rsid w:val="00FD08CF"/>
    <w:rsid w:val="00FD0B22"/>
    <w:rsid w:val="00FD10D5"/>
    <w:rsid w:val="00FD241E"/>
    <w:rsid w:val="00FD2517"/>
    <w:rsid w:val="00FD2817"/>
    <w:rsid w:val="00FD28E1"/>
    <w:rsid w:val="00FD29D4"/>
    <w:rsid w:val="00FD3330"/>
    <w:rsid w:val="00FD34C3"/>
    <w:rsid w:val="00FD3E6C"/>
    <w:rsid w:val="00FD4086"/>
    <w:rsid w:val="00FD4190"/>
    <w:rsid w:val="00FD424A"/>
    <w:rsid w:val="00FD4443"/>
    <w:rsid w:val="00FD4A89"/>
    <w:rsid w:val="00FD4C87"/>
    <w:rsid w:val="00FD4D6B"/>
    <w:rsid w:val="00FD5288"/>
    <w:rsid w:val="00FD5A29"/>
    <w:rsid w:val="00FD5B54"/>
    <w:rsid w:val="00FD5EBB"/>
    <w:rsid w:val="00FD62A6"/>
    <w:rsid w:val="00FD6521"/>
    <w:rsid w:val="00FD6DDB"/>
    <w:rsid w:val="00FD79F0"/>
    <w:rsid w:val="00FD7ACD"/>
    <w:rsid w:val="00FE0906"/>
    <w:rsid w:val="00FE09A0"/>
    <w:rsid w:val="00FE0F18"/>
    <w:rsid w:val="00FE1019"/>
    <w:rsid w:val="00FE11CA"/>
    <w:rsid w:val="00FE1DFC"/>
    <w:rsid w:val="00FE2324"/>
    <w:rsid w:val="00FE25A7"/>
    <w:rsid w:val="00FE25C4"/>
    <w:rsid w:val="00FE31C5"/>
    <w:rsid w:val="00FE32ED"/>
    <w:rsid w:val="00FE4502"/>
    <w:rsid w:val="00FE4AA6"/>
    <w:rsid w:val="00FE4DE9"/>
    <w:rsid w:val="00FE4E66"/>
    <w:rsid w:val="00FE4FC8"/>
    <w:rsid w:val="00FE510C"/>
    <w:rsid w:val="00FE538D"/>
    <w:rsid w:val="00FE5445"/>
    <w:rsid w:val="00FE5983"/>
    <w:rsid w:val="00FE5BE5"/>
    <w:rsid w:val="00FE66D2"/>
    <w:rsid w:val="00FE66F2"/>
    <w:rsid w:val="00FE740A"/>
    <w:rsid w:val="00FE7A64"/>
    <w:rsid w:val="00FE7BEE"/>
    <w:rsid w:val="00FE7EE1"/>
    <w:rsid w:val="00FF00E6"/>
    <w:rsid w:val="00FF0201"/>
    <w:rsid w:val="00FF0423"/>
    <w:rsid w:val="00FF048E"/>
    <w:rsid w:val="00FF0898"/>
    <w:rsid w:val="00FF0D5C"/>
    <w:rsid w:val="00FF0E36"/>
    <w:rsid w:val="00FF1433"/>
    <w:rsid w:val="00FF1A94"/>
    <w:rsid w:val="00FF1B4D"/>
    <w:rsid w:val="00FF21AE"/>
    <w:rsid w:val="00FF230B"/>
    <w:rsid w:val="00FF255F"/>
    <w:rsid w:val="00FF2681"/>
    <w:rsid w:val="00FF275E"/>
    <w:rsid w:val="00FF2FEE"/>
    <w:rsid w:val="00FF313C"/>
    <w:rsid w:val="00FF384E"/>
    <w:rsid w:val="00FF388E"/>
    <w:rsid w:val="00FF3D6F"/>
    <w:rsid w:val="00FF49AF"/>
    <w:rsid w:val="00FF4C87"/>
    <w:rsid w:val="00FF4FA1"/>
    <w:rsid w:val="00FF5023"/>
    <w:rsid w:val="00FF5171"/>
    <w:rsid w:val="00FF536D"/>
    <w:rsid w:val="00FF55F3"/>
    <w:rsid w:val="00FF578F"/>
    <w:rsid w:val="00FF5B60"/>
    <w:rsid w:val="00FF60E2"/>
    <w:rsid w:val="00FF638B"/>
    <w:rsid w:val="00FF67E9"/>
    <w:rsid w:val="00FF692B"/>
    <w:rsid w:val="00FF6A6A"/>
    <w:rsid w:val="00FF70C1"/>
    <w:rsid w:val="00FF7384"/>
    <w:rsid w:val="00FF7F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strokecolor="#31527b">
      <v:stroke endarrow="open" color="#31527b" weight="1.5pt"/>
      <o:colormru v:ext="edit" colors="#99597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cs-CZ" w:eastAsia="cs-CZ"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nhideWhenUsed="0" w:qFormat="1"/>
    <w:lsdException w:name="heading 2" w:locked="0" w:semiHidden="0" w:unhideWhenUsed="0" w:qFormat="1"/>
    <w:lsdException w:name="heading 3" w:locked="0" w:semiHidden="0" w:unhideWhenUsed="0" w:qFormat="1"/>
    <w:lsdException w:name="heading 4" w:locked="0" w:semiHidden="0" w:unhideWhenUsed="0" w:qFormat="1"/>
    <w:lsdException w:name="heading 5" w:locked="0" w:semiHidden="0" w:unhideWhenUsed="0" w:qFormat="1"/>
    <w:lsdException w:name="heading 6" w:locked="0" w:semiHidden="0" w:unhideWhenUsed="0" w:qFormat="1"/>
    <w:lsdException w:name="heading 7" w:locked="0" w:qFormat="1"/>
    <w:lsdException w:name="heading 8" w:locked="0" w:qFormat="1"/>
    <w:lsdException w:name="heading 9" w:locked="0" w:qFormat="1"/>
    <w:lsdException w:name="toc 1" w:uiPriority="39"/>
    <w:lsdException w:name="toc 2" w:uiPriority="39"/>
    <w:lsdException w:name="toc 3" w:locked="0" w:uiPriority="39"/>
    <w:lsdException w:name="toc 4" w:locked="0"/>
    <w:lsdException w:name="toc 5" w:locked="0"/>
    <w:lsdException w:name="toc 6" w:locked="0"/>
    <w:lsdException w:name="toc 7" w:locked="0"/>
    <w:lsdException w:name="toc 8" w:locked="0"/>
    <w:lsdException w:name="toc 9" w:locked="0"/>
    <w:lsdException w:name="Normal Indent" w:locked="0"/>
    <w:lsdException w:name="footnote text" w:locked="0" w:uiPriority="99"/>
    <w:lsdException w:name="annotation text" w:locked="0"/>
    <w:lsdException w:name="caption" w:locked="0" w:qFormat="1"/>
    <w:lsdException w:name="table of figures" w:locked="0" w:uiPriority="99"/>
    <w:lsdException w:name="footnote reference" w:locked="0"/>
    <w:lsdException w:name="annotation reference" w:locked="0"/>
    <w:lsdException w:name="List Number" w:semiHidden="0" w:unhideWhenUsed="0"/>
    <w:lsdException w:name="List 4" w:semiHidden="0" w:unhideWhenUsed="0"/>
    <w:lsdException w:name="List 5" w:semiHidden="0" w:unhideWhenUsed="0"/>
    <w:lsdException w:name="Title" w:locked="0" w:semiHidden="0" w:unhideWhenUsed="0"/>
    <w:lsdException w:name="Signature" w:locked="0"/>
    <w:lsdException w:name="Default Paragraph Font" w:locked="0" w:uiPriority="1"/>
    <w:lsdException w:name="Subtitle" w:semiHidden="0" w:unhideWhenUsed="0"/>
    <w:lsdException w:name="Salutation"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lsdException w:name="Document Map" w:locked="0"/>
    <w:lsdException w:name="E-mail Signature" w:locked="0"/>
    <w:lsdException w:name="HTML Top of Form" w:locked="0"/>
    <w:lsdException w:name="HTML Bottom of Form" w:locked="0"/>
    <w:lsdException w:name="Normal (Web)" w:locked="0"/>
    <w:lsdException w:name="Normal Table" w:locked="0"/>
    <w:lsdException w:name="annotation subject" w:locked="0"/>
    <w:lsdException w:name="No List" w:locked="0" w:uiPriority="99"/>
    <w:lsdException w:name="Outline List 1" w:locked="0"/>
    <w:lsdException w:name="Outline List 2" w:locked="0"/>
    <w:lsdException w:name="Balloon Text" w:locked="0"/>
    <w:lsdException w:name="Table Grid" w:semiHidden="0" w:uiPriority="59" w:unhideWhenUsed="0"/>
    <w:lsdException w:name="Placeholder Text" w:locked="0"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locked="0" w:uiPriority="37"/>
    <w:lsdException w:name="TOC Heading" w:locked="0" w:uiPriority="39" w:qFormat="1"/>
  </w:latentStyles>
  <w:style w:type="paragraph" w:default="1" w:styleId="Normln">
    <w:name w:val="Normal"/>
    <w:hidden/>
    <w:qFormat/>
    <w:rsid w:val="00702948"/>
    <w:pPr>
      <w:spacing w:after="120"/>
      <w:jc w:val="both"/>
    </w:pPr>
  </w:style>
  <w:style w:type="paragraph" w:styleId="Nadpis1">
    <w:name w:val="heading 1"/>
    <w:basedOn w:val="Normln"/>
    <w:next w:val="Normln"/>
    <w:qFormat/>
    <w:rsid w:val="0076456D"/>
    <w:pPr>
      <w:keepNext/>
      <w:outlineLvl w:val="0"/>
    </w:pPr>
    <w:rPr>
      <w:rFonts w:cs="Arial"/>
      <w:b/>
      <w:bCs/>
      <w:kern w:val="32"/>
      <w:sz w:val="40"/>
      <w:szCs w:val="32"/>
    </w:rPr>
  </w:style>
  <w:style w:type="paragraph" w:styleId="Nadpis2">
    <w:name w:val="heading 2"/>
    <w:basedOn w:val="Normln"/>
    <w:next w:val="Normln"/>
    <w:qFormat/>
    <w:rsid w:val="0001725D"/>
    <w:pPr>
      <w:keepNext/>
      <w:pBdr>
        <w:bottom w:val="single" w:sz="12" w:space="1" w:color="E5DFEC"/>
      </w:pBdr>
      <w:spacing w:before="480" w:after="60"/>
      <w:outlineLvl w:val="1"/>
    </w:pPr>
    <w:rPr>
      <w:rFonts w:cs="Arial"/>
      <w:b/>
      <w:bCs/>
      <w:iCs/>
      <w:sz w:val="28"/>
      <w:szCs w:val="28"/>
    </w:rPr>
  </w:style>
  <w:style w:type="paragraph" w:styleId="Nadpis3">
    <w:name w:val="heading 3"/>
    <w:basedOn w:val="Normln"/>
    <w:next w:val="Normln"/>
    <w:qFormat/>
    <w:rsid w:val="00481661"/>
    <w:pPr>
      <w:keepNext/>
      <w:spacing w:before="240" w:after="0"/>
      <w:outlineLvl w:val="2"/>
    </w:pPr>
    <w:rPr>
      <w:rFonts w:cs="Arial"/>
      <w:b/>
      <w:bCs/>
      <w:sz w:val="24"/>
      <w:szCs w:val="26"/>
    </w:rPr>
  </w:style>
  <w:style w:type="paragraph" w:styleId="Nadpis4">
    <w:name w:val="heading 4"/>
    <w:basedOn w:val="Nadpis3"/>
    <w:next w:val="Normln"/>
    <w:qFormat/>
    <w:rsid w:val="00481661"/>
    <w:pPr>
      <w:tabs>
        <w:tab w:val="num" w:pos="864"/>
      </w:tabs>
      <w:spacing w:before="120"/>
      <w:outlineLvl w:val="3"/>
    </w:pPr>
    <w:rPr>
      <w:bCs w:val="0"/>
      <w:sz w:val="20"/>
      <w:szCs w:val="28"/>
    </w:rPr>
  </w:style>
  <w:style w:type="paragraph" w:styleId="Nadpis5">
    <w:name w:val="heading 5"/>
    <w:basedOn w:val="Normln"/>
    <w:next w:val="Normln"/>
    <w:qFormat/>
    <w:rsid w:val="00D1643C"/>
    <w:pPr>
      <w:keepNext/>
      <w:tabs>
        <w:tab w:val="num" w:pos="1008"/>
      </w:tabs>
      <w:spacing w:before="480" w:after="480"/>
      <w:ind w:left="1009" w:hanging="1009"/>
      <w:outlineLvl w:val="4"/>
    </w:pPr>
    <w:rPr>
      <w:rFonts w:ascii="Arial" w:hAnsi="Arial"/>
      <w:b/>
      <w:bCs/>
    </w:rPr>
  </w:style>
  <w:style w:type="paragraph" w:styleId="Nadpis6">
    <w:name w:val="heading 6"/>
    <w:basedOn w:val="Normln"/>
    <w:next w:val="Normln"/>
    <w:qFormat/>
    <w:rsid w:val="00D14A52"/>
    <w:pPr>
      <w:keepNext/>
      <w:keepLines/>
      <w:pageBreakBefore/>
      <w:tabs>
        <w:tab w:val="num" w:pos="1152"/>
      </w:tabs>
      <w:outlineLvl w:val="5"/>
    </w:pPr>
    <w:rPr>
      <w:b/>
      <w:bCs/>
      <w:sz w:val="40"/>
      <w:szCs w:val="22"/>
    </w:rPr>
  </w:style>
  <w:style w:type="paragraph" w:styleId="Nadpis7">
    <w:name w:val="heading 7"/>
    <w:basedOn w:val="Normln"/>
    <w:next w:val="Normln"/>
    <w:qFormat/>
    <w:rsid w:val="00D1643C"/>
    <w:pPr>
      <w:tabs>
        <w:tab w:val="num" w:pos="1296"/>
      </w:tabs>
      <w:spacing w:before="240" w:after="60"/>
      <w:ind w:left="1296" w:hanging="1296"/>
      <w:outlineLvl w:val="6"/>
    </w:pPr>
    <w:rPr>
      <w:rFonts w:ascii="Times New Roman" w:hAnsi="Times New Roman"/>
      <w:sz w:val="24"/>
    </w:rPr>
  </w:style>
  <w:style w:type="paragraph" w:styleId="Nadpis8">
    <w:name w:val="heading 8"/>
    <w:basedOn w:val="Normln"/>
    <w:next w:val="Normln"/>
    <w:qFormat/>
    <w:rsid w:val="00D1643C"/>
    <w:pPr>
      <w:tabs>
        <w:tab w:val="num" w:pos="1440"/>
      </w:tabs>
      <w:spacing w:before="240" w:after="60"/>
      <w:ind w:left="1440" w:hanging="1440"/>
      <w:outlineLvl w:val="7"/>
    </w:pPr>
    <w:rPr>
      <w:rFonts w:ascii="Times New Roman" w:hAnsi="Times New Roman"/>
      <w:i/>
      <w:iCs/>
      <w:sz w:val="24"/>
    </w:rPr>
  </w:style>
  <w:style w:type="paragraph" w:styleId="Nadpis9">
    <w:name w:val="heading 9"/>
    <w:basedOn w:val="Normln"/>
    <w:next w:val="Normln"/>
    <w:qFormat/>
    <w:rsid w:val="00D1643C"/>
    <w:pPr>
      <w:keepNext/>
      <w:tabs>
        <w:tab w:val="num" w:pos="1584"/>
      </w:tabs>
      <w:ind w:left="1584" w:hanging="1584"/>
      <w:jc w:val="center"/>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locked/>
    <w:rsid w:val="00175F17"/>
    <w:pPr>
      <w:tabs>
        <w:tab w:val="center" w:pos="4536"/>
        <w:tab w:val="right" w:pos="9072"/>
      </w:tabs>
    </w:pPr>
  </w:style>
  <w:style w:type="paragraph" w:styleId="Zpat">
    <w:name w:val="footer"/>
    <w:basedOn w:val="Normln"/>
    <w:link w:val="ZpatChar"/>
    <w:locked/>
    <w:rsid w:val="00175F17"/>
    <w:pPr>
      <w:tabs>
        <w:tab w:val="center" w:pos="4536"/>
        <w:tab w:val="right" w:pos="9072"/>
      </w:tabs>
    </w:pPr>
  </w:style>
  <w:style w:type="character" w:styleId="slostrnky">
    <w:name w:val="page number"/>
    <w:locked/>
    <w:rsid w:val="00175F17"/>
    <w:rPr>
      <w:rFonts w:ascii="Calibri" w:hAnsi="Calibri"/>
      <w:sz w:val="16"/>
    </w:rPr>
  </w:style>
  <w:style w:type="character" w:styleId="Hypertextovodkaz">
    <w:name w:val="Hyperlink"/>
    <w:uiPriority w:val="99"/>
    <w:locked/>
    <w:rsid w:val="007C5685"/>
    <w:rPr>
      <w:color w:val="0000FF"/>
      <w:u w:val="single"/>
    </w:rPr>
  </w:style>
  <w:style w:type="paragraph" w:styleId="Obsah1">
    <w:name w:val="toc 1"/>
    <w:basedOn w:val="Normln"/>
    <w:next w:val="Normln"/>
    <w:autoRedefine/>
    <w:uiPriority w:val="39"/>
    <w:locked/>
    <w:rsid w:val="006A45B6"/>
    <w:pPr>
      <w:tabs>
        <w:tab w:val="left" w:pos="284"/>
        <w:tab w:val="right" w:leader="dot" w:pos="9628"/>
      </w:tabs>
      <w:spacing w:before="120" w:after="60"/>
    </w:pPr>
    <w:rPr>
      <w:b/>
      <w:noProof/>
    </w:rPr>
  </w:style>
  <w:style w:type="paragraph" w:styleId="Obsah2">
    <w:name w:val="toc 2"/>
    <w:basedOn w:val="Normln"/>
    <w:next w:val="Normln"/>
    <w:autoRedefine/>
    <w:uiPriority w:val="39"/>
    <w:locked/>
    <w:rsid w:val="00452381"/>
    <w:pPr>
      <w:tabs>
        <w:tab w:val="left" w:pos="960"/>
        <w:tab w:val="right" w:leader="dot" w:pos="9628"/>
      </w:tabs>
      <w:spacing w:after="60"/>
      <w:ind w:left="397"/>
    </w:pPr>
  </w:style>
  <w:style w:type="paragraph" w:customStyle="1" w:styleId="Nadpiszacatek">
    <w:name w:val="Nadpis zacatek"/>
    <w:basedOn w:val="Normln"/>
    <w:semiHidden/>
    <w:rsid w:val="00D15AE3"/>
    <w:pPr>
      <w:spacing w:after="240"/>
    </w:pPr>
    <w:rPr>
      <w:b/>
      <w:bCs/>
      <w:sz w:val="32"/>
    </w:rPr>
  </w:style>
  <w:style w:type="paragraph" w:styleId="Seznamobrzk">
    <w:name w:val="table of figures"/>
    <w:basedOn w:val="Normln"/>
    <w:next w:val="Normln"/>
    <w:uiPriority w:val="99"/>
    <w:rsid w:val="009E7B2C"/>
    <w:pPr>
      <w:tabs>
        <w:tab w:val="right" w:leader="dot" w:pos="9639"/>
      </w:tabs>
      <w:spacing w:after="60"/>
    </w:pPr>
  </w:style>
  <w:style w:type="paragraph" w:customStyle="1" w:styleId="SRNadpismal">
    <w:name w:val="SR_Nadpis malý"/>
    <w:next w:val="Normln"/>
    <w:qFormat/>
    <w:rsid w:val="003E63EC"/>
    <w:pPr>
      <w:keepNext/>
      <w:keepLines/>
      <w:spacing w:before="360" w:after="60"/>
      <w:jc w:val="both"/>
    </w:pPr>
    <w:rPr>
      <w:b/>
      <w:sz w:val="32"/>
      <w:szCs w:val="24"/>
    </w:rPr>
  </w:style>
  <w:style w:type="paragraph" w:customStyle="1" w:styleId="Seznamliteratury">
    <w:name w:val="Seznam literatury"/>
    <w:basedOn w:val="Normln"/>
    <w:uiPriority w:val="99"/>
    <w:qFormat/>
    <w:rsid w:val="00171720"/>
    <w:pPr>
      <w:ind w:left="540" w:hanging="540"/>
    </w:pPr>
  </w:style>
  <w:style w:type="paragraph" w:styleId="Titulek">
    <w:name w:val="caption"/>
    <w:basedOn w:val="Normln"/>
    <w:next w:val="Normln"/>
    <w:link w:val="TitulekChar"/>
    <w:qFormat/>
    <w:rsid w:val="00664E22"/>
    <w:pPr>
      <w:keepNext/>
      <w:keepLines/>
      <w:spacing w:before="240" w:after="0"/>
    </w:pPr>
    <w:rPr>
      <w:b/>
      <w:bCs/>
    </w:rPr>
  </w:style>
  <w:style w:type="paragraph" w:customStyle="1" w:styleId="Odkazyvvodnmboxu">
    <w:name w:val="Odkazy v úvodním boxu"/>
    <w:basedOn w:val="Normln"/>
    <w:rsid w:val="007C5685"/>
    <w:pPr>
      <w:ind w:left="567"/>
    </w:pPr>
    <w:rPr>
      <w:b/>
      <w:bCs/>
      <w:i/>
      <w:iCs/>
    </w:rPr>
  </w:style>
  <w:style w:type="paragraph" w:customStyle="1" w:styleId="Seznamzkratek">
    <w:name w:val="Seznam zkratek"/>
    <w:basedOn w:val="Normln"/>
    <w:rsid w:val="00D1643C"/>
    <w:pPr>
      <w:tabs>
        <w:tab w:val="left" w:leader="dot" w:pos="3119"/>
      </w:tabs>
      <w:spacing w:after="0" w:line="264" w:lineRule="auto"/>
    </w:pPr>
  </w:style>
  <w:style w:type="paragraph" w:customStyle="1" w:styleId="Zdrojpoznmkapodtabulkougrafem">
    <w:name w:val="Zdroj/poznámka pod tabulkou/grafem"/>
    <w:basedOn w:val="Normln"/>
    <w:next w:val="Normln"/>
    <w:link w:val="ZdrojpoznmkapodtabulkougrafemCharChar"/>
    <w:rsid w:val="0018512F"/>
    <w:pPr>
      <w:spacing w:after="240"/>
      <w:contextualSpacing/>
    </w:pPr>
    <w:rPr>
      <w:i/>
      <w:sz w:val="16"/>
      <w:szCs w:val="16"/>
    </w:rPr>
  </w:style>
  <w:style w:type="character" w:customStyle="1" w:styleId="ZdrojpoznmkapodtabulkougrafemCharChar">
    <w:name w:val="Zdroj/poznámka pod tabulkou/grafem Char Char"/>
    <w:link w:val="Zdrojpoznmkapodtabulkougrafem"/>
    <w:rsid w:val="0018512F"/>
    <w:rPr>
      <w:rFonts w:ascii="Calibri" w:hAnsi="Calibri"/>
      <w:i/>
      <w:sz w:val="16"/>
      <w:szCs w:val="16"/>
    </w:rPr>
  </w:style>
  <w:style w:type="table" w:styleId="Mkatabulky">
    <w:name w:val="Table Grid"/>
    <w:basedOn w:val="Normlntabulka"/>
    <w:uiPriority w:val="59"/>
    <w:locked/>
    <w:rsid w:val="00650288"/>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Nadpis1bezsla">
    <w:name w:val="Styl Nadpis 1 bez čísla"/>
    <w:basedOn w:val="Nadpis1"/>
    <w:semiHidden/>
    <w:locked/>
    <w:rsid w:val="00C341C7"/>
    <w:rPr>
      <w:rFonts w:cs="Times New Roman"/>
      <w:szCs w:val="20"/>
    </w:rPr>
  </w:style>
  <w:style w:type="paragraph" w:customStyle="1" w:styleId="Jednotkypodnadpisemgrafunebotabulky">
    <w:name w:val="Jednotky pod nadpisem grafu nebo tabulky"/>
    <w:basedOn w:val="Normln"/>
    <w:rsid w:val="00032079"/>
    <w:pPr>
      <w:keepNext/>
      <w:spacing w:after="0"/>
    </w:pPr>
    <w:rPr>
      <w:i/>
      <w:iCs/>
      <w:sz w:val="16"/>
    </w:rPr>
  </w:style>
  <w:style w:type="character" w:styleId="Znakapoznpodarou">
    <w:name w:val="footnote reference"/>
    <w:aliases w:val="Footnote symbol,Footnote reference number,Times 10 Point,Exposant 3 Point,EN Footnote Reference,note TESI, Exposant 3 Point,PGI Fußnote Ziffer + Times New Roman,12 b.,Zúžené o ...,PGI Fußnote Ziffer,BVI fnr"/>
    <w:rsid w:val="005101FC"/>
    <w:rPr>
      <w:vertAlign w:val="superscript"/>
    </w:rPr>
  </w:style>
  <w:style w:type="paragraph" w:customStyle="1" w:styleId="Titulky">
    <w:name w:val="Titulky"/>
    <w:basedOn w:val="Titulek"/>
    <w:semiHidden/>
    <w:rsid w:val="00AB37AF"/>
    <w:pPr>
      <w:keepLines w:val="0"/>
      <w:spacing w:beforeLines="75" w:before="180"/>
      <w:jc w:val="left"/>
    </w:pPr>
    <w:rPr>
      <w:rFonts w:ascii="Arial" w:hAnsi="Arial"/>
    </w:rPr>
  </w:style>
  <w:style w:type="paragraph" w:customStyle="1" w:styleId="Fisklnvhled1strana">
    <w:name w:val="Fiskální výhled (1. strana)"/>
    <w:basedOn w:val="Zpat"/>
    <w:next w:val="eskrepubliky1strana"/>
    <w:semiHidden/>
    <w:locked/>
    <w:rsid w:val="002669D1"/>
    <w:pPr>
      <w:spacing w:before="7800" w:after="0"/>
      <w:ind w:left="1440" w:right="-289"/>
      <w:jc w:val="right"/>
    </w:pPr>
    <w:rPr>
      <w:b/>
      <w:bCs/>
      <w:spacing w:val="10"/>
      <w:sz w:val="96"/>
    </w:rPr>
  </w:style>
  <w:style w:type="paragraph" w:customStyle="1" w:styleId="eskrepubliky1strana">
    <w:name w:val="České republiky (1. strana)"/>
    <w:basedOn w:val="Zpat"/>
    <w:semiHidden/>
    <w:locked/>
    <w:rsid w:val="002669D1"/>
    <w:pPr>
      <w:spacing w:after="0"/>
      <w:ind w:left="1440" w:right="-288"/>
      <w:jc w:val="right"/>
    </w:pPr>
    <w:rPr>
      <w:b/>
      <w:bCs/>
      <w:sz w:val="56"/>
    </w:rPr>
  </w:style>
  <w:style w:type="paragraph" w:customStyle="1" w:styleId="Zdrojpodtabulkounebografem">
    <w:name w:val="Zdroj pod tabulkou nebo grafem"/>
    <w:basedOn w:val="Normln"/>
    <w:next w:val="Normln"/>
    <w:link w:val="ZdrojpodtabulkounebografemChar"/>
    <w:qFormat/>
    <w:rsid w:val="00597D21"/>
    <w:pPr>
      <w:spacing w:after="240"/>
      <w:contextualSpacing/>
    </w:pPr>
    <w:rPr>
      <w:i/>
      <w:sz w:val="16"/>
      <w:szCs w:val="16"/>
    </w:rPr>
  </w:style>
  <w:style w:type="paragraph" w:styleId="Textbubliny">
    <w:name w:val="Balloon Text"/>
    <w:basedOn w:val="Normln"/>
    <w:semiHidden/>
    <w:rsid w:val="005D2D8B"/>
    <w:rPr>
      <w:rFonts w:ascii="Tahoma" w:hAnsi="Tahoma" w:cs="Tahoma"/>
      <w:sz w:val="16"/>
      <w:szCs w:val="16"/>
    </w:rPr>
  </w:style>
  <w:style w:type="paragraph" w:customStyle="1" w:styleId="Titulek-jednotkypodnadpisemgrafunebotabulky">
    <w:name w:val="Titulek - jednotky pod nadpisem grafu nebo tabulky"/>
    <w:basedOn w:val="Normln"/>
    <w:rsid w:val="00342CDB"/>
    <w:pPr>
      <w:keepNext/>
      <w:keepLines/>
      <w:spacing w:after="0"/>
    </w:pPr>
    <w:rPr>
      <w:i/>
      <w:iCs/>
      <w:sz w:val="16"/>
    </w:rPr>
  </w:style>
  <w:style w:type="paragraph" w:styleId="Rozloendokumentu">
    <w:name w:val="Document Map"/>
    <w:basedOn w:val="Normln"/>
    <w:semiHidden/>
    <w:rsid w:val="006C3EB3"/>
    <w:pPr>
      <w:shd w:val="clear" w:color="auto" w:fill="000080"/>
    </w:pPr>
    <w:rPr>
      <w:rFonts w:ascii="Tahoma" w:hAnsi="Tahoma" w:cs="Tahoma"/>
    </w:rPr>
  </w:style>
  <w:style w:type="character" w:styleId="Odkaznakoment">
    <w:name w:val="annotation reference"/>
    <w:rsid w:val="00125F16"/>
    <w:rPr>
      <w:sz w:val="16"/>
      <w:szCs w:val="16"/>
    </w:rPr>
  </w:style>
  <w:style w:type="paragraph" w:styleId="Textkomente">
    <w:name w:val="annotation text"/>
    <w:basedOn w:val="Normln"/>
    <w:link w:val="TextkomenteChar"/>
    <w:rsid w:val="00125F16"/>
  </w:style>
  <w:style w:type="paragraph" w:styleId="Pedmtkomente">
    <w:name w:val="annotation subject"/>
    <w:basedOn w:val="Textkomente"/>
    <w:next w:val="Textkomente"/>
    <w:semiHidden/>
    <w:rsid w:val="00125F16"/>
    <w:rPr>
      <w:b/>
      <w:bCs/>
    </w:rPr>
  </w:style>
  <w:style w:type="paragraph" w:styleId="Zkladntext">
    <w:name w:val="Body Text"/>
    <w:basedOn w:val="Normln"/>
    <w:link w:val="ZkladntextChar"/>
    <w:locked/>
    <w:rsid w:val="00544878"/>
    <w:rPr>
      <w:lang w:eastAsia="en-US"/>
    </w:rPr>
  </w:style>
  <w:style w:type="character" w:customStyle="1" w:styleId="ZkladntextChar">
    <w:name w:val="Základní text Char"/>
    <w:link w:val="Zkladntext"/>
    <w:rsid w:val="00544878"/>
    <w:rPr>
      <w:rFonts w:ascii="Calibri" w:hAnsi="Calibri"/>
      <w:szCs w:val="24"/>
    </w:rPr>
  </w:style>
  <w:style w:type="paragraph" w:styleId="Textpoznpodarou">
    <w:name w:val="footnote text"/>
    <w:aliases w:val="Schriftart: 9 pt,Schriftart: 10 pt,Schriftart: 8 pt,Char,Text pozn. pod čarou1,Char Char Char1,Char Char1,Footnote Text Char1"/>
    <w:basedOn w:val="Normln"/>
    <w:link w:val="TextpoznpodarouChar"/>
    <w:uiPriority w:val="99"/>
    <w:rsid w:val="007F3630"/>
    <w:rPr>
      <w:sz w:val="16"/>
    </w:rPr>
  </w:style>
  <w:style w:type="numbering" w:customStyle="1" w:styleId="StylSodrkami">
    <w:name w:val="Styl S odrážkami"/>
    <w:basedOn w:val="Bezseznamu"/>
    <w:rsid w:val="00866D85"/>
    <w:pPr>
      <w:numPr>
        <w:numId w:val="2"/>
      </w:numPr>
    </w:pPr>
  </w:style>
  <w:style w:type="paragraph" w:customStyle="1" w:styleId="SRNadpisAB">
    <w:name w:val="SR_Nadpis AB"/>
    <w:basedOn w:val="Nadpis1"/>
    <w:rsid w:val="00294399"/>
    <w:pPr>
      <w:pageBreakBefore/>
      <w:numPr>
        <w:numId w:val="3"/>
      </w:numPr>
      <w:tabs>
        <w:tab w:val="clear" w:pos="567"/>
      </w:tabs>
      <w:spacing w:before="240" w:after="240"/>
      <w:ind w:left="709" w:hanging="709"/>
    </w:pPr>
  </w:style>
  <w:style w:type="character" w:customStyle="1" w:styleId="TitulekChar">
    <w:name w:val="Titulek Char"/>
    <w:link w:val="Titulek"/>
    <w:rsid w:val="00664E22"/>
    <w:rPr>
      <w:rFonts w:ascii="Calibri" w:hAnsi="Calibri"/>
      <w:b/>
      <w:bCs/>
      <w:lang w:val="cs-CZ" w:eastAsia="cs-CZ" w:bidi="ar-SA"/>
    </w:rPr>
  </w:style>
  <w:style w:type="paragraph" w:styleId="Revize">
    <w:name w:val="Revision"/>
    <w:hidden/>
    <w:uiPriority w:val="99"/>
    <w:semiHidden/>
    <w:rsid w:val="00A90BED"/>
  </w:style>
  <w:style w:type="character" w:customStyle="1" w:styleId="ZdrojpodtabulkounebografemChar">
    <w:name w:val="Zdroj pod tabulkou nebo grafem Char"/>
    <w:link w:val="Zdrojpodtabulkounebografem"/>
    <w:rsid w:val="00597D21"/>
    <w:rPr>
      <w:rFonts w:ascii="Calibri" w:hAnsi="Calibri"/>
      <w:i/>
      <w:sz w:val="16"/>
      <w:szCs w:val="16"/>
      <w:lang w:val="cs-CZ" w:eastAsia="cs-CZ" w:bidi="ar-SA"/>
    </w:rPr>
  </w:style>
  <w:style w:type="paragraph" w:customStyle="1" w:styleId="StylZdrojpoznmkapodtabulkougrafemnenKurzva">
    <w:name w:val="Styl Zdroj/poznámka pod tabulkou/grafem + není Kurzíva"/>
    <w:basedOn w:val="Zdrojpoznmkapodtabulkougrafem"/>
    <w:semiHidden/>
    <w:rsid w:val="002B461A"/>
    <w:rPr>
      <w:i w:val="0"/>
    </w:rPr>
  </w:style>
  <w:style w:type="paragraph" w:customStyle="1" w:styleId="Seznamtabulekaobrzk">
    <w:name w:val="Seznam tabulek a obrázků"/>
    <w:basedOn w:val="Seznamobrzk"/>
    <w:next w:val="Normln"/>
    <w:rsid w:val="001F24FC"/>
    <w:pPr>
      <w:spacing w:line="20" w:lineRule="atLeast"/>
    </w:pPr>
  </w:style>
  <w:style w:type="paragraph" w:customStyle="1" w:styleId="Tunodstavec">
    <w:name w:val="Tučný odstavec"/>
    <w:basedOn w:val="Normln"/>
    <w:link w:val="TunodstavecChar1"/>
    <w:rsid w:val="002C622D"/>
    <w:pPr>
      <w:spacing w:before="240" w:line="264" w:lineRule="auto"/>
    </w:pPr>
    <w:rPr>
      <w:rFonts w:ascii="Times New Roman" w:hAnsi="Times New Roman"/>
      <w:b/>
      <w:bCs/>
      <w:sz w:val="22"/>
    </w:rPr>
  </w:style>
  <w:style w:type="paragraph" w:customStyle="1" w:styleId="vod">
    <w:name w:val="Úvod"/>
    <w:basedOn w:val="Nadpis1"/>
    <w:next w:val="Normln"/>
    <w:semiHidden/>
    <w:rsid w:val="001F24FC"/>
    <w:rPr>
      <w:rFonts w:cs="Times New Roman"/>
      <w:szCs w:val="20"/>
    </w:rPr>
  </w:style>
  <w:style w:type="character" w:customStyle="1" w:styleId="TunodstavecChar1">
    <w:name w:val="Tučný odstavec Char1"/>
    <w:link w:val="Tunodstavec"/>
    <w:rsid w:val="00B60DBD"/>
    <w:rPr>
      <w:b/>
      <w:bCs/>
      <w:sz w:val="22"/>
    </w:rPr>
  </w:style>
  <w:style w:type="paragraph" w:customStyle="1" w:styleId="Box-text">
    <w:name w:val="Box - text"/>
    <w:basedOn w:val="Normln"/>
    <w:uiPriority w:val="1"/>
    <w:qFormat/>
    <w:rsid w:val="006813A5"/>
    <w:rPr>
      <w:sz w:val="18"/>
    </w:rPr>
  </w:style>
  <w:style w:type="paragraph" w:customStyle="1" w:styleId="Stednmka21">
    <w:name w:val="Střední mřížka 21"/>
    <w:uiPriority w:val="1"/>
    <w:locked/>
    <w:rsid w:val="00EF6278"/>
    <w:pPr>
      <w:spacing w:after="120"/>
      <w:jc w:val="both"/>
    </w:pPr>
    <w:rPr>
      <w:rFonts w:eastAsia="Calibri"/>
      <w:sz w:val="22"/>
      <w:szCs w:val="22"/>
      <w:lang w:eastAsia="en-US"/>
    </w:rPr>
  </w:style>
  <w:style w:type="paragraph" w:customStyle="1" w:styleId="Box-nadpis">
    <w:name w:val="Box - nadpis"/>
    <w:basedOn w:val="SRNadpismal"/>
    <w:next w:val="Box-text"/>
    <w:uiPriority w:val="1"/>
    <w:qFormat/>
    <w:rsid w:val="00556DD6"/>
    <w:pPr>
      <w:spacing w:before="120"/>
    </w:pPr>
    <w:rPr>
      <w:bCs/>
      <w:sz w:val="20"/>
      <w:szCs w:val="20"/>
    </w:rPr>
  </w:style>
  <w:style w:type="character" w:customStyle="1" w:styleId="TextpoznpodarouChar">
    <w:name w:val="Text pozn. pod čarou Char"/>
    <w:aliases w:val="Schriftart: 9 pt Char1,Schriftart: 10 pt Char1,Schriftart: 8 pt Char1,Char Char2,Text pozn. pod čarou1 Char1,Char Char Char1 Char1,Char Char1 Char1,Footnote Text Char1 Char1"/>
    <w:link w:val="Textpoznpodarou"/>
    <w:uiPriority w:val="99"/>
    <w:rsid w:val="007F3630"/>
    <w:rPr>
      <w:sz w:val="16"/>
    </w:rPr>
  </w:style>
  <w:style w:type="character" w:customStyle="1" w:styleId="ZhlavChar">
    <w:name w:val="Záhlaví Char"/>
    <w:link w:val="Zhlav"/>
    <w:rsid w:val="000D7324"/>
  </w:style>
  <w:style w:type="character" w:customStyle="1" w:styleId="ZpatChar">
    <w:name w:val="Zápatí Char"/>
    <w:link w:val="Zpat"/>
    <w:rsid w:val="000D7324"/>
  </w:style>
  <w:style w:type="paragraph" w:styleId="Odstavecseseznamem">
    <w:name w:val="List Paragraph"/>
    <w:basedOn w:val="Normln"/>
    <w:uiPriority w:val="34"/>
    <w:qFormat/>
    <w:locked/>
    <w:rsid w:val="00965B33"/>
    <w:pPr>
      <w:ind w:left="720"/>
      <w:contextualSpacing/>
    </w:pPr>
    <w:rPr>
      <w:rFonts w:eastAsia="Calibri"/>
    </w:rPr>
  </w:style>
  <w:style w:type="character" w:styleId="Siln">
    <w:name w:val="Strong"/>
    <w:uiPriority w:val="22"/>
    <w:qFormat/>
    <w:locked/>
    <w:rsid w:val="001F3C10"/>
    <w:rPr>
      <w:b/>
      <w:bCs/>
    </w:rPr>
  </w:style>
  <w:style w:type="character" w:customStyle="1" w:styleId="TextpoznpodarouChar1">
    <w:name w:val="Text pozn. pod čarou Char1"/>
    <w:aliases w:val="Schriftart: 9 pt Char,Schriftart: 10 pt Char,Schriftart: 8 pt Char,Text pozn. pod čarou Char Char, Char Char,Char Char,Text pozn. pod čarou1 Char,Char Char Char1 Char,Char Char1 Char,Footnote Text Char1 Char"/>
    <w:semiHidden/>
    <w:rsid w:val="00EC0EAF"/>
    <w:rPr>
      <w:lang w:val="cs-CZ" w:eastAsia="cs-CZ" w:bidi="ar-SA"/>
    </w:rPr>
  </w:style>
  <w:style w:type="paragraph" w:customStyle="1" w:styleId="Poznmkaazdroj">
    <w:name w:val="Poznámka a zdroj"/>
    <w:basedOn w:val="Normln"/>
    <w:next w:val="Normln"/>
    <w:uiPriority w:val="7"/>
    <w:qFormat/>
    <w:rsid w:val="00B57565"/>
    <w:pPr>
      <w:spacing w:after="240"/>
      <w:contextualSpacing/>
    </w:pPr>
    <w:rPr>
      <w:rFonts w:eastAsia="Calibri"/>
      <w:i/>
      <w:sz w:val="16"/>
      <w:lang w:eastAsia="en-US"/>
    </w:rPr>
  </w:style>
  <w:style w:type="character" w:customStyle="1" w:styleId="TextkomenteChar">
    <w:name w:val="Text komentáře Char"/>
    <w:link w:val="Textkomente"/>
    <w:rsid w:val="00AB4DFD"/>
  </w:style>
  <w:style w:type="paragraph" w:customStyle="1" w:styleId="Barevnstnovnzvraznn11">
    <w:name w:val="Barevné stínování – zvýraznění 11"/>
    <w:hidden/>
    <w:uiPriority w:val="99"/>
    <w:semiHidden/>
    <w:rsid w:val="00AB4DFD"/>
  </w:style>
  <w:style w:type="paragraph" w:customStyle="1" w:styleId="Jednotka">
    <w:name w:val="Jednotka"/>
    <w:basedOn w:val="Normln"/>
    <w:next w:val="Bezmezer"/>
    <w:uiPriority w:val="7"/>
    <w:qFormat/>
    <w:rsid w:val="00752029"/>
    <w:pPr>
      <w:keepNext/>
      <w:keepLines/>
      <w:spacing w:after="0"/>
      <w:jc w:val="left"/>
    </w:pPr>
    <w:rPr>
      <w:rFonts w:eastAsia="Calibri"/>
      <w:i/>
      <w:sz w:val="16"/>
      <w:szCs w:val="16"/>
      <w:lang w:eastAsia="en-US"/>
    </w:rPr>
  </w:style>
  <w:style w:type="paragraph" w:styleId="Bezmezer">
    <w:name w:val="No Spacing"/>
    <w:uiPriority w:val="1"/>
    <w:qFormat/>
    <w:locked/>
    <w:rsid w:val="00752029"/>
    <w:pPr>
      <w:jc w:val="both"/>
    </w:pPr>
  </w:style>
  <w:style w:type="paragraph" w:customStyle="1" w:styleId="Zdrojelit">
    <w:name w:val="Zdroje lit."/>
    <w:basedOn w:val="Normln"/>
    <w:qFormat/>
    <w:rsid w:val="006C10CA"/>
    <w:pPr>
      <w:ind w:left="540" w:hanging="540"/>
    </w:pPr>
  </w:style>
  <w:style w:type="paragraph" w:styleId="Zkladntextodsazen">
    <w:name w:val="Body Text Indent"/>
    <w:basedOn w:val="Normln"/>
    <w:link w:val="ZkladntextodsazenChar"/>
    <w:locked/>
    <w:rsid w:val="002B0497"/>
    <w:pPr>
      <w:ind w:left="283"/>
    </w:pPr>
  </w:style>
  <w:style w:type="character" w:customStyle="1" w:styleId="ZkladntextodsazenChar">
    <w:name w:val="Základní text odsazený Char"/>
    <w:basedOn w:val="Standardnpsmoodstavce"/>
    <w:link w:val="Zkladntextodsazen"/>
    <w:rsid w:val="002B0497"/>
  </w:style>
  <w:style w:type="paragraph" w:customStyle="1" w:styleId="Zkladntext21">
    <w:name w:val="Základní text 21"/>
    <w:basedOn w:val="Normln"/>
    <w:rsid w:val="004208F7"/>
    <w:pPr>
      <w:overflowPunct w:val="0"/>
      <w:autoSpaceDE w:val="0"/>
      <w:autoSpaceDN w:val="0"/>
      <w:adjustRightInd w:val="0"/>
      <w:spacing w:after="0" w:line="360" w:lineRule="auto"/>
      <w:ind w:firstLine="709"/>
      <w:textAlignment w:val="baseline"/>
    </w:pPr>
    <w:rPr>
      <w:rFonts w:ascii="Times New Roman" w:hAnsi="Times New Roman"/>
      <w:sz w:val="24"/>
    </w:rPr>
  </w:style>
  <w:style w:type="paragraph" w:styleId="Nadpisobsahu">
    <w:name w:val="TOC Heading"/>
    <w:basedOn w:val="Nadpis1"/>
    <w:next w:val="Normln"/>
    <w:uiPriority w:val="39"/>
    <w:semiHidden/>
    <w:unhideWhenUsed/>
    <w:qFormat/>
    <w:rsid w:val="008D01C8"/>
    <w:pPr>
      <w:keepLines/>
      <w:spacing w:before="480" w:after="0" w:line="276" w:lineRule="auto"/>
      <w:jc w:val="left"/>
      <w:outlineLvl w:val="9"/>
    </w:pPr>
    <w:rPr>
      <w:rFonts w:ascii="Cambria" w:hAnsi="Cambria" w:cs="Times New Roman"/>
      <w:color w:val="365F91"/>
      <w:kern w:val="0"/>
      <w:sz w:val="28"/>
      <w:szCs w:val="28"/>
    </w:rPr>
  </w:style>
  <w:style w:type="paragraph" w:styleId="Obsah3">
    <w:name w:val="toc 3"/>
    <w:basedOn w:val="Normln"/>
    <w:next w:val="Normln"/>
    <w:autoRedefine/>
    <w:uiPriority w:val="39"/>
    <w:rsid w:val="00452381"/>
    <w:pPr>
      <w:ind w:left="567"/>
    </w:pPr>
  </w:style>
  <w:style w:type="paragraph" w:customStyle="1" w:styleId="StylTitulekTun">
    <w:name w:val="Styl Titulek + Tučné"/>
    <w:basedOn w:val="Titulek"/>
    <w:link w:val="StylTitulekTunChar"/>
    <w:rsid w:val="00150579"/>
    <w:pPr>
      <w:keepLines w:val="0"/>
      <w:jc w:val="left"/>
    </w:pPr>
  </w:style>
  <w:style w:type="character" w:customStyle="1" w:styleId="StylTitulekTunChar">
    <w:name w:val="Styl Titulek + Tučné Char"/>
    <w:link w:val="StylTitulekTun"/>
    <w:rsid w:val="00150579"/>
    <w:rPr>
      <w:b/>
      <w:bCs/>
    </w:rPr>
  </w:style>
  <w:style w:type="paragraph" w:customStyle="1" w:styleId="Styl1mmmmm">
    <w:name w:val="Styl1mmmmm"/>
    <w:basedOn w:val="Normln"/>
    <w:rsid w:val="00150579"/>
    <w:pPr>
      <w:numPr>
        <w:numId w:val="7"/>
      </w:numPr>
      <w:spacing w:after="0" w:line="360" w:lineRule="auto"/>
    </w:pPr>
    <w:rPr>
      <w:rFonts w:ascii="Times New Roman" w:hAnsi="Times New Roman"/>
      <w:sz w:val="24"/>
      <w:szCs w:val="24"/>
    </w:rPr>
  </w:style>
  <w:style w:type="paragraph" w:customStyle="1" w:styleId="Odstavecseseznamem1">
    <w:name w:val="Odstavec se seznamem1"/>
    <w:basedOn w:val="Normln"/>
    <w:rsid w:val="004F55E3"/>
    <w:pPr>
      <w:spacing w:after="0"/>
      <w:ind w:left="720"/>
      <w:contextualSpacing/>
      <w:jc w:val="left"/>
    </w:pPr>
    <w:rPr>
      <w:rFonts w:ascii="Times New Roman" w:hAnsi="Times New Roman"/>
      <w:sz w:val="24"/>
      <w:szCs w:val="24"/>
    </w:rPr>
  </w:style>
  <w:style w:type="paragraph" w:customStyle="1" w:styleId="Odstavecseseznamem11">
    <w:name w:val="Odstavec se seznamem11"/>
    <w:basedOn w:val="Normln"/>
    <w:rsid w:val="00062CD1"/>
    <w:pPr>
      <w:spacing w:after="0"/>
      <w:ind w:left="720"/>
      <w:contextualSpacing/>
      <w:jc w:val="left"/>
    </w:pPr>
    <w:rPr>
      <w:rFonts w:ascii="Times New Roman" w:hAnsi="Times New Roman"/>
      <w:sz w:val="24"/>
      <w:szCs w:val="24"/>
    </w:rPr>
  </w:style>
  <w:style w:type="paragraph" w:customStyle="1" w:styleId="Popisky">
    <w:name w:val="Popisky"/>
    <w:rsid w:val="00801527"/>
    <w:rPr>
      <w:rFonts w:ascii="Arial" w:hAnsi="Arial"/>
    </w:rPr>
  </w:style>
  <w:style w:type="character" w:customStyle="1" w:styleId="Tuntext">
    <w:name w:val="Tučný text"/>
    <w:uiPriority w:val="99"/>
    <w:rsid w:val="008A0150"/>
    <w:rPr>
      <w:b/>
      <w:sz w:val="24"/>
    </w:rPr>
  </w:style>
  <w:style w:type="character" w:styleId="Sledovanodkaz">
    <w:name w:val="FollowedHyperlink"/>
    <w:basedOn w:val="Standardnpsmoodstavce"/>
    <w:locked/>
    <w:rsid w:val="00AE151F"/>
    <w:rPr>
      <w:color w:val="800080" w:themeColor="followedHyperlink"/>
      <w:u w:val="single"/>
    </w:rPr>
  </w:style>
  <w:style w:type="paragraph" w:customStyle="1" w:styleId="SRNadpisseituprozpat">
    <w:name w:val="SR_Nadpis sešitu_pro zápatí"/>
    <w:basedOn w:val="Normln"/>
    <w:qFormat/>
    <w:rsid w:val="00003D57"/>
    <w:pPr>
      <w:spacing w:before="3480" w:after="0"/>
      <w:jc w:val="center"/>
    </w:pPr>
    <w:rPr>
      <w:b/>
      <w:spacing w:val="10"/>
      <w:sz w:val="36"/>
      <w:szCs w:val="36"/>
    </w:rPr>
  </w:style>
  <w:style w:type="paragraph" w:customStyle="1" w:styleId="SRTextnomal">
    <w:name w:val="SR_Text nomal"/>
    <w:basedOn w:val="Normln"/>
    <w:qFormat/>
    <w:rsid w:val="009E7B2C"/>
    <w:pPr>
      <w:spacing w:before="120"/>
    </w:pPr>
  </w:style>
  <w:style w:type="paragraph" w:customStyle="1" w:styleId="SRNadpis1">
    <w:name w:val="SR_Nadpis 1"/>
    <w:basedOn w:val="Nadpis1"/>
    <w:qFormat/>
    <w:rsid w:val="005A27EF"/>
    <w:pPr>
      <w:numPr>
        <w:numId w:val="1"/>
      </w:numPr>
      <w:suppressAutoHyphens/>
    </w:pPr>
  </w:style>
  <w:style w:type="paragraph" w:customStyle="1" w:styleId="SRtitulek1">
    <w:name w:val="SR_titulek 1"/>
    <w:basedOn w:val="Titulek"/>
    <w:qFormat/>
    <w:rsid w:val="009B56C3"/>
    <w:pPr>
      <w:spacing w:after="120"/>
    </w:pPr>
  </w:style>
  <w:style w:type="paragraph" w:customStyle="1" w:styleId="SRNadpis2">
    <w:name w:val="SR_Nadpis 2"/>
    <w:basedOn w:val="Nadpis2"/>
    <w:qFormat/>
    <w:rsid w:val="005A27EF"/>
    <w:pPr>
      <w:keepLines/>
      <w:numPr>
        <w:ilvl w:val="1"/>
        <w:numId w:val="1"/>
      </w:numPr>
      <w:jc w:val="left"/>
    </w:pPr>
  </w:style>
  <w:style w:type="paragraph" w:customStyle="1" w:styleId="SRNadpis3">
    <w:name w:val="SR_Nadpis 3"/>
    <w:basedOn w:val="Nadpis3"/>
    <w:qFormat/>
    <w:rsid w:val="009E7B2C"/>
    <w:pPr>
      <w:numPr>
        <w:ilvl w:val="2"/>
        <w:numId w:val="1"/>
      </w:numPr>
      <w:spacing w:after="120"/>
    </w:pPr>
  </w:style>
  <w:style w:type="paragraph" w:customStyle="1" w:styleId="SROdrka">
    <w:name w:val="SR_Odrážka"/>
    <w:basedOn w:val="Normln"/>
    <w:qFormat/>
    <w:rsid w:val="0058224E"/>
    <w:pPr>
      <w:numPr>
        <w:numId w:val="19"/>
      </w:numPr>
      <w:tabs>
        <w:tab w:val="clear" w:pos="170"/>
      </w:tabs>
      <w:spacing w:before="120"/>
      <w:ind w:left="284" w:hanging="284"/>
    </w:pPr>
  </w:style>
  <w:style w:type="paragraph" w:customStyle="1" w:styleId="SRNadpis4">
    <w:name w:val="SR_Nadpis 4"/>
    <w:basedOn w:val="Nadpis4"/>
    <w:qFormat/>
    <w:rsid w:val="00EF6FCE"/>
    <w:pPr>
      <w:numPr>
        <w:ilvl w:val="3"/>
        <w:numId w:val="1"/>
      </w:numPr>
      <w:tabs>
        <w:tab w:val="clear" w:pos="567"/>
        <w:tab w:val="num" w:pos="851"/>
      </w:tabs>
      <w:spacing w:after="120"/>
    </w:pPr>
  </w:style>
  <w:style w:type="paragraph" w:customStyle="1" w:styleId="NadpisAB">
    <w:name w:val="Nadpis AB"/>
    <w:basedOn w:val="Nadpis1"/>
    <w:rsid w:val="00B47F77"/>
    <w:pPr>
      <w:pageBreakBefore/>
      <w:tabs>
        <w:tab w:val="num" w:pos="567"/>
      </w:tabs>
      <w:ind w:left="567" w:hanging="567"/>
      <w:jc w:val="left"/>
    </w:pPr>
  </w:style>
  <w:style w:type="paragraph" w:customStyle="1" w:styleId="ZKDvousloupcov">
    <w:name w:val="ZK_Dvousloupcový"/>
    <w:basedOn w:val="Normln"/>
    <w:link w:val="ZKDvousloupcovChar"/>
    <w:rsid w:val="00B47F77"/>
    <w:rPr>
      <w:kern w:val="20"/>
      <w:szCs w:val="24"/>
    </w:rPr>
  </w:style>
  <w:style w:type="character" w:customStyle="1" w:styleId="ZKDvousloupcovChar">
    <w:name w:val="ZK_Dvousloupcový Char"/>
    <w:link w:val="ZKDvousloupcov"/>
    <w:rsid w:val="00B47F77"/>
    <w:rPr>
      <w:kern w:val="20"/>
      <w:szCs w:val="24"/>
    </w:rPr>
  </w:style>
  <w:style w:type="paragraph" w:customStyle="1" w:styleId="Obsah">
    <w:name w:val="Obsah"/>
    <w:qFormat/>
    <w:rsid w:val="00CC02F3"/>
    <w:rPr>
      <w:b/>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cs-CZ" w:eastAsia="cs-CZ"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nhideWhenUsed="0" w:qFormat="1"/>
    <w:lsdException w:name="heading 2" w:locked="0" w:semiHidden="0" w:unhideWhenUsed="0" w:qFormat="1"/>
    <w:lsdException w:name="heading 3" w:locked="0" w:semiHidden="0" w:unhideWhenUsed="0" w:qFormat="1"/>
    <w:lsdException w:name="heading 4" w:locked="0" w:semiHidden="0" w:unhideWhenUsed="0" w:qFormat="1"/>
    <w:lsdException w:name="heading 5" w:locked="0" w:semiHidden="0" w:unhideWhenUsed="0" w:qFormat="1"/>
    <w:lsdException w:name="heading 6" w:locked="0" w:semiHidden="0" w:unhideWhenUsed="0" w:qFormat="1"/>
    <w:lsdException w:name="heading 7" w:locked="0" w:qFormat="1"/>
    <w:lsdException w:name="heading 8" w:locked="0" w:qFormat="1"/>
    <w:lsdException w:name="heading 9" w:locked="0" w:qFormat="1"/>
    <w:lsdException w:name="toc 1" w:uiPriority="39"/>
    <w:lsdException w:name="toc 2" w:uiPriority="39"/>
    <w:lsdException w:name="toc 3" w:locked="0" w:uiPriority="39"/>
    <w:lsdException w:name="toc 4" w:locked="0"/>
    <w:lsdException w:name="toc 5" w:locked="0"/>
    <w:lsdException w:name="toc 6" w:locked="0"/>
    <w:lsdException w:name="toc 7" w:locked="0"/>
    <w:lsdException w:name="toc 8" w:locked="0"/>
    <w:lsdException w:name="toc 9" w:locked="0"/>
    <w:lsdException w:name="Normal Indent" w:locked="0"/>
    <w:lsdException w:name="footnote text" w:locked="0" w:uiPriority="99"/>
    <w:lsdException w:name="annotation text" w:locked="0"/>
    <w:lsdException w:name="caption" w:locked="0" w:qFormat="1"/>
    <w:lsdException w:name="table of figures" w:locked="0" w:uiPriority="99"/>
    <w:lsdException w:name="footnote reference" w:locked="0"/>
    <w:lsdException w:name="annotation reference" w:locked="0"/>
    <w:lsdException w:name="List Number" w:semiHidden="0" w:unhideWhenUsed="0"/>
    <w:lsdException w:name="List 4" w:semiHidden="0" w:unhideWhenUsed="0"/>
    <w:lsdException w:name="List 5" w:semiHidden="0" w:unhideWhenUsed="0"/>
    <w:lsdException w:name="Title" w:locked="0" w:semiHidden="0" w:unhideWhenUsed="0"/>
    <w:lsdException w:name="Signature" w:locked="0"/>
    <w:lsdException w:name="Default Paragraph Font" w:locked="0" w:uiPriority="1"/>
    <w:lsdException w:name="Subtitle" w:semiHidden="0" w:unhideWhenUsed="0"/>
    <w:lsdException w:name="Salutation"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lsdException w:name="Document Map" w:locked="0"/>
    <w:lsdException w:name="E-mail Signature" w:locked="0"/>
    <w:lsdException w:name="HTML Top of Form" w:locked="0"/>
    <w:lsdException w:name="HTML Bottom of Form" w:locked="0"/>
    <w:lsdException w:name="Normal (Web)" w:locked="0"/>
    <w:lsdException w:name="Normal Table" w:locked="0"/>
    <w:lsdException w:name="annotation subject" w:locked="0"/>
    <w:lsdException w:name="No List" w:locked="0" w:uiPriority="99"/>
    <w:lsdException w:name="Outline List 1" w:locked="0"/>
    <w:lsdException w:name="Outline List 2" w:locked="0"/>
    <w:lsdException w:name="Balloon Text" w:locked="0"/>
    <w:lsdException w:name="Table Grid" w:semiHidden="0" w:uiPriority="59" w:unhideWhenUsed="0"/>
    <w:lsdException w:name="Placeholder Text" w:locked="0"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locked="0" w:uiPriority="37"/>
    <w:lsdException w:name="TOC Heading" w:locked="0" w:uiPriority="39" w:qFormat="1"/>
  </w:latentStyles>
  <w:style w:type="paragraph" w:default="1" w:styleId="Normln">
    <w:name w:val="Normal"/>
    <w:hidden/>
    <w:qFormat/>
    <w:rsid w:val="00702948"/>
    <w:pPr>
      <w:spacing w:after="120"/>
      <w:jc w:val="both"/>
    </w:pPr>
  </w:style>
  <w:style w:type="paragraph" w:styleId="Nadpis1">
    <w:name w:val="heading 1"/>
    <w:basedOn w:val="Normln"/>
    <w:next w:val="Normln"/>
    <w:qFormat/>
    <w:rsid w:val="0076456D"/>
    <w:pPr>
      <w:keepNext/>
      <w:outlineLvl w:val="0"/>
    </w:pPr>
    <w:rPr>
      <w:rFonts w:cs="Arial"/>
      <w:b/>
      <w:bCs/>
      <w:kern w:val="32"/>
      <w:sz w:val="40"/>
      <w:szCs w:val="32"/>
    </w:rPr>
  </w:style>
  <w:style w:type="paragraph" w:styleId="Nadpis2">
    <w:name w:val="heading 2"/>
    <w:basedOn w:val="Normln"/>
    <w:next w:val="Normln"/>
    <w:qFormat/>
    <w:rsid w:val="0001725D"/>
    <w:pPr>
      <w:keepNext/>
      <w:pBdr>
        <w:bottom w:val="single" w:sz="12" w:space="1" w:color="E5DFEC"/>
      </w:pBdr>
      <w:spacing w:before="480" w:after="60"/>
      <w:outlineLvl w:val="1"/>
    </w:pPr>
    <w:rPr>
      <w:rFonts w:cs="Arial"/>
      <w:b/>
      <w:bCs/>
      <w:iCs/>
      <w:sz w:val="28"/>
      <w:szCs w:val="28"/>
    </w:rPr>
  </w:style>
  <w:style w:type="paragraph" w:styleId="Nadpis3">
    <w:name w:val="heading 3"/>
    <w:basedOn w:val="Normln"/>
    <w:next w:val="Normln"/>
    <w:qFormat/>
    <w:rsid w:val="00481661"/>
    <w:pPr>
      <w:keepNext/>
      <w:spacing w:before="240" w:after="0"/>
      <w:outlineLvl w:val="2"/>
    </w:pPr>
    <w:rPr>
      <w:rFonts w:cs="Arial"/>
      <w:b/>
      <w:bCs/>
      <w:sz w:val="24"/>
      <w:szCs w:val="26"/>
    </w:rPr>
  </w:style>
  <w:style w:type="paragraph" w:styleId="Nadpis4">
    <w:name w:val="heading 4"/>
    <w:basedOn w:val="Nadpis3"/>
    <w:next w:val="Normln"/>
    <w:qFormat/>
    <w:rsid w:val="00481661"/>
    <w:pPr>
      <w:tabs>
        <w:tab w:val="num" w:pos="864"/>
      </w:tabs>
      <w:spacing w:before="120"/>
      <w:outlineLvl w:val="3"/>
    </w:pPr>
    <w:rPr>
      <w:bCs w:val="0"/>
      <w:sz w:val="20"/>
      <w:szCs w:val="28"/>
    </w:rPr>
  </w:style>
  <w:style w:type="paragraph" w:styleId="Nadpis5">
    <w:name w:val="heading 5"/>
    <w:basedOn w:val="Normln"/>
    <w:next w:val="Normln"/>
    <w:qFormat/>
    <w:rsid w:val="00D1643C"/>
    <w:pPr>
      <w:keepNext/>
      <w:tabs>
        <w:tab w:val="num" w:pos="1008"/>
      </w:tabs>
      <w:spacing w:before="480" w:after="480"/>
      <w:ind w:left="1009" w:hanging="1009"/>
      <w:outlineLvl w:val="4"/>
    </w:pPr>
    <w:rPr>
      <w:rFonts w:ascii="Arial" w:hAnsi="Arial"/>
      <w:b/>
      <w:bCs/>
    </w:rPr>
  </w:style>
  <w:style w:type="paragraph" w:styleId="Nadpis6">
    <w:name w:val="heading 6"/>
    <w:basedOn w:val="Normln"/>
    <w:next w:val="Normln"/>
    <w:qFormat/>
    <w:rsid w:val="00D14A52"/>
    <w:pPr>
      <w:keepNext/>
      <w:keepLines/>
      <w:pageBreakBefore/>
      <w:tabs>
        <w:tab w:val="num" w:pos="1152"/>
      </w:tabs>
      <w:outlineLvl w:val="5"/>
    </w:pPr>
    <w:rPr>
      <w:b/>
      <w:bCs/>
      <w:sz w:val="40"/>
      <w:szCs w:val="22"/>
    </w:rPr>
  </w:style>
  <w:style w:type="paragraph" w:styleId="Nadpis7">
    <w:name w:val="heading 7"/>
    <w:basedOn w:val="Normln"/>
    <w:next w:val="Normln"/>
    <w:qFormat/>
    <w:rsid w:val="00D1643C"/>
    <w:pPr>
      <w:tabs>
        <w:tab w:val="num" w:pos="1296"/>
      </w:tabs>
      <w:spacing w:before="240" w:after="60"/>
      <w:ind w:left="1296" w:hanging="1296"/>
      <w:outlineLvl w:val="6"/>
    </w:pPr>
    <w:rPr>
      <w:rFonts w:ascii="Times New Roman" w:hAnsi="Times New Roman"/>
      <w:sz w:val="24"/>
    </w:rPr>
  </w:style>
  <w:style w:type="paragraph" w:styleId="Nadpis8">
    <w:name w:val="heading 8"/>
    <w:basedOn w:val="Normln"/>
    <w:next w:val="Normln"/>
    <w:qFormat/>
    <w:rsid w:val="00D1643C"/>
    <w:pPr>
      <w:tabs>
        <w:tab w:val="num" w:pos="1440"/>
      </w:tabs>
      <w:spacing w:before="240" w:after="60"/>
      <w:ind w:left="1440" w:hanging="1440"/>
      <w:outlineLvl w:val="7"/>
    </w:pPr>
    <w:rPr>
      <w:rFonts w:ascii="Times New Roman" w:hAnsi="Times New Roman"/>
      <w:i/>
      <w:iCs/>
      <w:sz w:val="24"/>
    </w:rPr>
  </w:style>
  <w:style w:type="paragraph" w:styleId="Nadpis9">
    <w:name w:val="heading 9"/>
    <w:basedOn w:val="Normln"/>
    <w:next w:val="Normln"/>
    <w:qFormat/>
    <w:rsid w:val="00D1643C"/>
    <w:pPr>
      <w:keepNext/>
      <w:tabs>
        <w:tab w:val="num" w:pos="1584"/>
      </w:tabs>
      <w:ind w:left="1584" w:hanging="1584"/>
      <w:jc w:val="center"/>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locked/>
    <w:rsid w:val="00175F17"/>
    <w:pPr>
      <w:tabs>
        <w:tab w:val="center" w:pos="4536"/>
        <w:tab w:val="right" w:pos="9072"/>
      </w:tabs>
    </w:pPr>
  </w:style>
  <w:style w:type="paragraph" w:styleId="Zpat">
    <w:name w:val="footer"/>
    <w:basedOn w:val="Normln"/>
    <w:link w:val="ZpatChar"/>
    <w:locked/>
    <w:rsid w:val="00175F17"/>
    <w:pPr>
      <w:tabs>
        <w:tab w:val="center" w:pos="4536"/>
        <w:tab w:val="right" w:pos="9072"/>
      </w:tabs>
    </w:pPr>
  </w:style>
  <w:style w:type="character" w:styleId="slostrnky">
    <w:name w:val="page number"/>
    <w:locked/>
    <w:rsid w:val="00175F17"/>
    <w:rPr>
      <w:rFonts w:ascii="Calibri" w:hAnsi="Calibri"/>
      <w:sz w:val="16"/>
    </w:rPr>
  </w:style>
  <w:style w:type="character" w:styleId="Hypertextovodkaz">
    <w:name w:val="Hyperlink"/>
    <w:uiPriority w:val="99"/>
    <w:locked/>
    <w:rsid w:val="007C5685"/>
    <w:rPr>
      <w:color w:val="0000FF"/>
      <w:u w:val="single"/>
    </w:rPr>
  </w:style>
  <w:style w:type="paragraph" w:styleId="Obsah1">
    <w:name w:val="toc 1"/>
    <w:basedOn w:val="Normln"/>
    <w:next w:val="Normln"/>
    <w:autoRedefine/>
    <w:uiPriority w:val="39"/>
    <w:locked/>
    <w:rsid w:val="006A45B6"/>
    <w:pPr>
      <w:tabs>
        <w:tab w:val="left" w:pos="284"/>
        <w:tab w:val="right" w:leader="dot" w:pos="9628"/>
      </w:tabs>
      <w:spacing w:before="120" w:after="60"/>
    </w:pPr>
    <w:rPr>
      <w:b/>
      <w:noProof/>
    </w:rPr>
  </w:style>
  <w:style w:type="paragraph" w:styleId="Obsah2">
    <w:name w:val="toc 2"/>
    <w:basedOn w:val="Normln"/>
    <w:next w:val="Normln"/>
    <w:autoRedefine/>
    <w:uiPriority w:val="39"/>
    <w:locked/>
    <w:rsid w:val="00452381"/>
    <w:pPr>
      <w:tabs>
        <w:tab w:val="left" w:pos="960"/>
        <w:tab w:val="right" w:leader="dot" w:pos="9628"/>
      </w:tabs>
      <w:spacing w:after="60"/>
      <w:ind w:left="397"/>
    </w:pPr>
  </w:style>
  <w:style w:type="paragraph" w:customStyle="1" w:styleId="Nadpiszacatek">
    <w:name w:val="Nadpis zacatek"/>
    <w:basedOn w:val="Normln"/>
    <w:semiHidden/>
    <w:rsid w:val="00D15AE3"/>
    <w:pPr>
      <w:spacing w:after="240"/>
    </w:pPr>
    <w:rPr>
      <w:b/>
      <w:bCs/>
      <w:sz w:val="32"/>
    </w:rPr>
  </w:style>
  <w:style w:type="paragraph" w:styleId="Seznamobrzk">
    <w:name w:val="table of figures"/>
    <w:basedOn w:val="Normln"/>
    <w:next w:val="Normln"/>
    <w:uiPriority w:val="99"/>
    <w:rsid w:val="009E7B2C"/>
    <w:pPr>
      <w:tabs>
        <w:tab w:val="right" w:leader="dot" w:pos="9639"/>
      </w:tabs>
      <w:spacing w:after="60"/>
    </w:pPr>
  </w:style>
  <w:style w:type="paragraph" w:customStyle="1" w:styleId="SRNadpismal">
    <w:name w:val="SR_Nadpis malý"/>
    <w:next w:val="Normln"/>
    <w:qFormat/>
    <w:rsid w:val="003E63EC"/>
    <w:pPr>
      <w:keepNext/>
      <w:keepLines/>
      <w:spacing w:before="360" w:after="60"/>
      <w:jc w:val="both"/>
    </w:pPr>
    <w:rPr>
      <w:b/>
      <w:sz w:val="32"/>
      <w:szCs w:val="24"/>
    </w:rPr>
  </w:style>
  <w:style w:type="paragraph" w:customStyle="1" w:styleId="Seznamliteratury">
    <w:name w:val="Seznam literatury"/>
    <w:basedOn w:val="Normln"/>
    <w:uiPriority w:val="99"/>
    <w:qFormat/>
    <w:rsid w:val="00171720"/>
    <w:pPr>
      <w:ind w:left="540" w:hanging="540"/>
    </w:pPr>
  </w:style>
  <w:style w:type="paragraph" w:styleId="Titulek">
    <w:name w:val="caption"/>
    <w:basedOn w:val="Normln"/>
    <w:next w:val="Normln"/>
    <w:link w:val="TitulekChar"/>
    <w:qFormat/>
    <w:rsid w:val="00664E22"/>
    <w:pPr>
      <w:keepNext/>
      <w:keepLines/>
      <w:spacing w:before="240" w:after="0"/>
    </w:pPr>
    <w:rPr>
      <w:b/>
      <w:bCs/>
    </w:rPr>
  </w:style>
  <w:style w:type="paragraph" w:customStyle="1" w:styleId="Odkazyvvodnmboxu">
    <w:name w:val="Odkazy v úvodním boxu"/>
    <w:basedOn w:val="Normln"/>
    <w:rsid w:val="007C5685"/>
    <w:pPr>
      <w:ind w:left="567"/>
    </w:pPr>
    <w:rPr>
      <w:b/>
      <w:bCs/>
      <w:i/>
      <w:iCs/>
    </w:rPr>
  </w:style>
  <w:style w:type="paragraph" w:customStyle="1" w:styleId="Seznamzkratek">
    <w:name w:val="Seznam zkratek"/>
    <w:basedOn w:val="Normln"/>
    <w:rsid w:val="00D1643C"/>
    <w:pPr>
      <w:tabs>
        <w:tab w:val="left" w:leader="dot" w:pos="3119"/>
      </w:tabs>
      <w:spacing w:after="0" w:line="264" w:lineRule="auto"/>
    </w:pPr>
  </w:style>
  <w:style w:type="paragraph" w:customStyle="1" w:styleId="Zdrojpoznmkapodtabulkougrafem">
    <w:name w:val="Zdroj/poznámka pod tabulkou/grafem"/>
    <w:basedOn w:val="Normln"/>
    <w:next w:val="Normln"/>
    <w:link w:val="ZdrojpoznmkapodtabulkougrafemCharChar"/>
    <w:rsid w:val="0018512F"/>
    <w:pPr>
      <w:spacing w:after="240"/>
      <w:contextualSpacing/>
    </w:pPr>
    <w:rPr>
      <w:i/>
      <w:sz w:val="16"/>
      <w:szCs w:val="16"/>
    </w:rPr>
  </w:style>
  <w:style w:type="character" w:customStyle="1" w:styleId="ZdrojpoznmkapodtabulkougrafemCharChar">
    <w:name w:val="Zdroj/poznámka pod tabulkou/grafem Char Char"/>
    <w:link w:val="Zdrojpoznmkapodtabulkougrafem"/>
    <w:rsid w:val="0018512F"/>
    <w:rPr>
      <w:rFonts w:ascii="Calibri" w:hAnsi="Calibri"/>
      <w:i/>
      <w:sz w:val="16"/>
      <w:szCs w:val="16"/>
    </w:rPr>
  </w:style>
  <w:style w:type="table" w:styleId="Mkatabulky">
    <w:name w:val="Table Grid"/>
    <w:basedOn w:val="Normlntabulka"/>
    <w:uiPriority w:val="59"/>
    <w:locked/>
    <w:rsid w:val="00650288"/>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Nadpis1bezsla">
    <w:name w:val="Styl Nadpis 1 bez čísla"/>
    <w:basedOn w:val="Nadpis1"/>
    <w:semiHidden/>
    <w:locked/>
    <w:rsid w:val="00C341C7"/>
    <w:rPr>
      <w:rFonts w:cs="Times New Roman"/>
      <w:szCs w:val="20"/>
    </w:rPr>
  </w:style>
  <w:style w:type="paragraph" w:customStyle="1" w:styleId="Jednotkypodnadpisemgrafunebotabulky">
    <w:name w:val="Jednotky pod nadpisem grafu nebo tabulky"/>
    <w:basedOn w:val="Normln"/>
    <w:rsid w:val="00032079"/>
    <w:pPr>
      <w:keepNext/>
      <w:spacing w:after="0"/>
    </w:pPr>
    <w:rPr>
      <w:i/>
      <w:iCs/>
      <w:sz w:val="16"/>
    </w:rPr>
  </w:style>
  <w:style w:type="character" w:styleId="Znakapoznpodarou">
    <w:name w:val="footnote reference"/>
    <w:aliases w:val="Footnote symbol,Footnote reference number,Times 10 Point,Exposant 3 Point,EN Footnote Reference,note TESI, Exposant 3 Point,PGI Fußnote Ziffer + Times New Roman,12 b.,Zúžené o ...,PGI Fußnote Ziffer,BVI fnr"/>
    <w:rsid w:val="005101FC"/>
    <w:rPr>
      <w:vertAlign w:val="superscript"/>
    </w:rPr>
  </w:style>
  <w:style w:type="paragraph" w:customStyle="1" w:styleId="Titulky">
    <w:name w:val="Titulky"/>
    <w:basedOn w:val="Titulek"/>
    <w:semiHidden/>
    <w:rsid w:val="00AB37AF"/>
    <w:pPr>
      <w:keepLines w:val="0"/>
      <w:spacing w:beforeLines="75" w:before="180"/>
      <w:jc w:val="left"/>
    </w:pPr>
    <w:rPr>
      <w:rFonts w:ascii="Arial" w:hAnsi="Arial"/>
    </w:rPr>
  </w:style>
  <w:style w:type="paragraph" w:customStyle="1" w:styleId="Fisklnvhled1strana">
    <w:name w:val="Fiskální výhled (1. strana)"/>
    <w:basedOn w:val="Zpat"/>
    <w:next w:val="eskrepubliky1strana"/>
    <w:semiHidden/>
    <w:locked/>
    <w:rsid w:val="002669D1"/>
    <w:pPr>
      <w:spacing w:before="7800" w:after="0"/>
      <w:ind w:left="1440" w:right="-289"/>
      <w:jc w:val="right"/>
    </w:pPr>
    <w:rPr>
      <w:b/>
      <w:bCs/>
      <w:spacing w:val="10"/>
      <w:sz w:val="96"/>
    </w:rPr>
  </w:style>
  <w:style w:type="paragraph" w:customStyle="1" w:styleId="eskrepubliky1strana">
    <w:name w:val="České republiky (1. strana)"/>
    <w:basedOn w:val="Zpat"/>
    <w:semiHidden/>
    <w:locked/>
    <w:rsid w:val="002669D1"/>
    <w:pPr>
      <w:spacing w:after="0"/>
      <w:ind w:left="1440" w:right="-288"/>
      <w:jc w:val="right"/>
    </w:pPr>
    <w:rPr>
      <w:b/>
      <w:bCs/>
      <w:sz w:val="56"/>
    </w:rPr>
  </w:style>
  <w:style w:type="paragraph" w:customStyle="1" w:styleId="Zdrojpodtabulkounebografem">
    <w:name w:val="Zdroj pod tabulkou nebo grafem"/>
    <w:basedOn w:val="Normln"/>
    <w:next w:val="Normln"/>
    <w:link w:val="ZdrojpodtabulkounebografemChar"/>
    <w:qFormat/>
    <w:rsid w:val="00597D21"/>
    <w:pPr>
      <w:spacing w:after="240"/>
      <w:contextualSpacing/>
    </w:pPr>
    <w:rPr>
      <w:i/>
      <w:sz w:val="16"/>
      <w:szCs w:val="16"/>
    </w:rPr>
  </w:style>
  <w:style w:type="paragraph" w:styleId="Textbubliny">
    <w:name w:val="Balloon Text"/>
    <w:basedOn w:val="Normln"/>
    <w:semiHidden/>
    <w:rsid w:val="005D2D8B"/>
    <w:rPr>
      <w:rFonts w:ascii="Tahoma" w:hAnsi="Tahoma" w:cs="Tahoma"/>
      <w:sz w:val="16"/>
      <w:szCs w:val="16"/>
    </w:rPr>
  </w:style>
  <w:style w:type="paragraph" w:customStyle="1" w:styleId="Titulek-jednotkypodnadpisemgrafunebotabulky">
    <w:name w:val="Titulek - jednotky pod nadpisem grafu nebo tabulky"/>
    <w:basedOn w:val="Normln"/>
    <w:rsid w:val="00342CDB"/>
    <w:pPr>
      <w:keepNext/>
      <w:keepLines/>
      <w:spacing w:after="0"/>
    </w:pPr>
    <w:rPr>
      <w:i/>
      <w:iCs/>
      <w:sz w:val="16"/>
    </w:rPr>
  </w:style>
  <w:style w:type="paragraph" w:styleId="Rozloendokumentu">
    <w:name w:val="Document Map"/>
    <w:basedOn w:val="Normln"/>
    <w:semiHidden/>
    <w:rsid w:val="006C3EB3"/>
    <w:pPr>
      <w:shd w:val="clear" w:color="auto" w:fill="000080"/>
    </w:pPr>
    <w:rPr>
      <w:rFonts w:ascii="Tahoma" w:hAnsi="Tahoma" w:cs="Tahoma"/>
    </w:rPr>
  </w:style>
  <w:style w:type="character" w:styleId="Odkaznakoment">
    <w:name w:val="annotation reference"/>
    <w:rsid w:val="00125F16"/>
    <w:rPr>
      <w:sz w:val="16"/>
      <w:szCs w:val="16"/>
    </w:rPr>
  </w:style>
  <w:style w:type="paragraph" w:styleId="Textkomente">
    <w:name w:val="annotation text"/>
    <w:basedOn w:val="Normln"/>
    <w:link w:val="TextkomenteChar"/>
    <w:rsid w:val="00125F16"/>
  </w:style>
  <w:style w:type="paragraph" w:styleId="Pedmtkomente">
    <w:name w:val="annotation subject"/>
    <w:basedOn w:val="Textkomente"/>
    <w:next w:val="Textkomente"/>
    <w:semiHidden/>
    <w:rsid w:val="00125F16"/>
    <w:rPr>
      <w:b/>
      <w:bCs/>
    </w:rPr>
  </w:style>
  <w:style w:type="paragraph" w:styleId="Zkladntext">
    <w:name w:val="Body Text"/>
    <w:basedOn w:val="Normln"/>
    <w:link w:val="ZkladntextChar"/>
    <w:locked/>
    <w:rsid w:val="00544878"/>
    <w:rPr>
      <w:lang w:eastAsia="en-US"/>
    </w:rPr>
  </w:style>
  <w:style w:type="character" w:customStyle="1" w:styleId="ZkladntextChar">
    <w:name w:val="Základní text Char"/>
    <w:link w:val="Zkladntext"/>
    <w:rsid w:val="00544878"/>
    <w:rPr>
      <w:rFonts w:ascii="Calibri" w:hAnsi="Calibri"/>
      <w:szCs w:val="24"/>
    </w:rPr>
  </w:style>
  <w:style w:type="paragraph" w:styleId="Textpoznpodarou">
    <w:name w:val="footnote text"/>
    <w:aliases w:val="Schriftart: 9 pt,Schriftart: 10 pt,Schriftart: 8 pt,Char,Text pozn. pod čarou1,Char Char Char1,Char Char1,Footnote Text Char1"/>
    <w:basedOn w:val="Normln"/>
    <w:link w:val="TextpoznpodarouChar"/>
    <w:uiPriority w:val="99"/>
    <w:rsid w:val="007F3630"/>
    <w:rPr>
      <w:sz w:val="16"/>
    </w:rPr>
  </w:style>
  <w:style w:type="numbering" w:customStyle="1" w:styleId="StylSodrkami">
    <w:name w:val="Styl S odrážkami"/>
    <w:basedOn w:val="Bezseznamu"/>
    <w:rsid w:val="00866D85"/>
    <w:pPr>
      <w:numPr>
        <w:numId w:val="2"/>
      </w:numPr>
    </w:pPr>
  </w:style>
  <w:style w:type="paragraph" w:customStyle="1" w:styleId="SRNadpisAB">
    <w:name w:val="SR_Nadpis AB"/>
    <w:basedOn w:val="Nadpis1"/>
    <w:rsid w:val="00294399"/>
    <w:pPr>
      <w:pageBreakBefore/>
      <w:numPr>
        <w:numId w:val="3"/>
      </w:numPr>
      <w:tabs>
        <w:tab w:val="clear" w:pos="567"/>
      </w:tabs>
      <w:spacing w:before="240" w:after="240"/>
      <w:ind w:left="709" w:hanging="709"/>
    </w:pPr>
  </w:style>
  <w:style w:type="character" w:customStyle="1" w:styleId="TitulekChar">
    <w:name w:val="Titulek Char"/>
    <w:link w:val="Titulek"/>
    <w:rsid w:val="00664E22"/>
    <w:rPr>
      <w:rFonts w:ascii="Calibri" w:hAnsi="Calibri"/>
      <w:b/>
      <w:bCs/>
      <w:lang w:val="cs-CZ" w:eastAsia="cs-CZ" w:bidi="ar-SA"/>
    </w:rPr>
  </w:style>
  <w:style w:type="paragraph" w:styleId="Revize">
    <w:name w:val="Revision"/>
    <w:hidden/>
    <w:uiPriority w:val="99"/>
    <w:semiHidden/>
    <w:rsid w:val="00A90BED"/>
  </w:style>
  <w:style w:type="character" w:customStyle="1" w:styleId="ZdrojpodtabulkounebografemChar">
    <w:name w:val="Zdroj pod tabulkou nebo grafem Char"/>
    <w:link w:val="Zdrojpodtabulkounebografem"/>
    <w:rsid w:val="00597D21"/>
    <w:rPr>
      <w:rFonts w:ascii="Calibri" w:hAnsi="Calibri"/>
      <w:i/>
      <w:sz w:val="16"/>
      <w:szCs w:val="16"/>
      <w:lang w:val="cs-CZ" w:eastAsia="cs-CZ" w:bidi="ar-SA"/>
    </w:rPr>
  </w:style>
  <w:style w:type="paragraph" w:customStyle="1" w:styleId="StylZdrojpoznmkapodtabulkougrafemnenKurzva">
    <w:name w:val="Styl Zdroj/poznámka pod tabulkou/grafem + není Kurzíva"/>
    <w:basedOn w:val="Zdrojpoznmkapodtabulkougrafem"/>
    <w:semiHidden/>
    <w:rsid w:val="002B461A"/>
    <w:rPr>
      <w:i w:val="0"/>
    </w:rPr>
  </w:style>
  <w:style w:type="paragraph" w:customStyle="1" w:styleId="Seznamtabulekaobrzk">
    <w:name w:val="Seznam tabulek a obrázků"/>
    <w:basedOn w:val="Seznamobrzk"/>
    <w:next w:val="Normln"/>
    <w:rsid w:val="001F24FC"/>
    <w:pPr>
      <w:spacing w:line="20" w:lineRule="atLeast"/>
    </w:pPr>
  </w:style>
  <w:style w:type="paragraph" w:customStyle="1" w:styleId="Tunodstavec">
    <w:name w:val="Tučný odstavec"/>
    <w:basedOn w:val="Normln"/>
    <w:link w:val="TunodstavecChar1"/>
    <w:rsid w:val="002C622D"/>
    <w:pPr>
      <w:spacing w:before="240" w:line="264" w:lineRule="auto"/>
    </w:pPr>
    <w:rPr>
      <w:rFonts w:ascii="Times New Roman" w:hAnsi="Times New Roman"/>
      <w:b/>
      <w:bCs/>
      <w:sz w:val="22"/>
    </w:rPr>
  </w:style>
  <w:style w:type="paragraph" w:customStyle="1" w:styleId="vod">
    <w:name w:val="Úvod"/>
    <w:basedOn w:val="Nadpis1"/>
    <w:next w:val="Normln"/>
    <w:semiHidden/>
    <w:rsid w:val="001F24FC"/>
    <w:rPr>
      <w:rFonts w:cs="Times New Roman"/>
      <w:szCs w:val="20"/>
    </w:rPr>
  </w:style>
  <w:style w:type="character" w:customStyle="1" w:styleId="TunodstavecChar1">
    <w:name w:val="Tučný odstavec Char1"/>
    <w:link w:val="Tunodstavec"/>
    <w:rsid w:val="00B60DBD"/>
    <w:rPr>
      <w:b/>
      <w:bCs/>
      <w:sz w:val="22"/>
    </w:rPr>
  </w:style>
  <w:style w:type="paragraph" w:customStyle="1" w:styleId="Box-text">
    <w:name w:val="Box - text"/>
    <w:basedOn w:val="Normln"/>
    <w:uiPriority w:val="1"/>
    <w:qFormat/>
    <w:rsid w:val="006813A5"/>
    <w:rPr>
      <w:sz w:val="18"/>
    </w:rPr>
  </w:style>
  <w:style w:type="paragraph" w:customStyle="1" w:styleId="Stednmka21">
    <w:name w:val="Střední mřížka 21"/>
    <w:uiPriority w:val="1"/>
    <w:locked/>
    <w:rsid w:val="00EF6278"/>
    <w:pPr>
      <w:spacing w:after="120"/>
      <w:jc w:val="both"/>
    </w:pPr>
    <w:rPr>
      <w:rFonts w:eastAsia="Calibri"/>
      <w:sz w:val="22"/>
      <w:szCs w:val="22"/>
      <w:lang w:eastAsia="en-US"/>
    </w:rPr>
  </w:style>
  <w:style w:type="paragraph" w:customStyle="1" w:styleId="Box-nadpis">
    <w:name w:val="Box - nadpis"/>
    <w:basedOn w:val="SRNadpismal"/>
    <w:next w:val="Box-text"/>
    <w:uiPriority w:val="1"/>
    <w:qFormat/>
    <w:rsid w:val="00556DD6"/>
    <w:pPr>
      <w:spacing w:before="120"/>
    </w:pPr>
    <w:rPr>
      <w:bCs/>
      <w:sz w:val="20"/>
      <w:szCs w:val="20"/>
    </w:rPr>
  </w:style>
  <w:style w:type="character" w:customStyle="1" w:styleId="TextpoznpodarouChar">
    <w:name w:val="Text pozn. pod čarou Char"/>
    <w:aliases w:val="Schriftart: 9 pt Char1,Schriftart: 10 pt Char1,Schriftart: 8 pt Char1,Char Char2,Text pozn. pod čarou1 Char1,Char Char Char1 Char1,Char Char1 Char1,Footnote Text Char1 Char1"/>
    <w:link w:val="Textpoznpodarou"/>
    <w:uiPriority w:val="99"/>
    <w:rsid w:val="007F3630"/>
    <w:rPr>
      <w:sz w:val="16"/>
    </w:rPr>
  </w:style>
  <w:style w:type="character" w:customStyle="1" w:styleId="ZhlavChar">
    <w:name w:val="Záhlaví Char"/>
    <w:link w:val="Zhlav"/>
    <w:rsid w:val="000D7324"/>
  </w:style>
  <w:style w:type="character" w:customStyle="1" w:styleId="ZpatChar">
    <w:name w:val="Zápatí Char"/>
    <w:link w:val="Zpat"/>
    <w:rsid w:val="000D7324"/>
  </w:style>
  <w:style w:type="paragraph" w:styleId="Odstavecseseznamem">
    <w:name w:val="List Paragraph"/>
    <w:basedOn w:val="Normln"/>
    <w:uiPriority w:val="34"/>
    <w:qFormat/>
    <w:locked/>
    <w:rsid w:val="00965B33"/>
    <w:pPr>
      <w:ind w:left="720"/>
      <w:contextualSpacing/>
    </w:pPr>
    <w:rPr>
      <w:rFonts w:eastAsia="Calibri"/>
    </w:rPr>
  </w:style>
  <w:style w:type="character" w:styleId="Siln">
    <w:name w:val="Strong"/>
    <w:uiPriority w:val="22"/>
    <w:qFormat/>
    <w:locked/>
    <w:rsid w:val="001F3C10"/>
    <w:rPr>
      <w:b/>
      <w:bCs/>
    </w:rPr>
  </w:style>
  <w:style w:type="character" w:customStyle="1" w:styleId="TextpoznpodarouChar1">
    <w:name w:val="Text pozn. pod čarou Char1"/>
    <w:aliases w:val="Schriftart: 9 pt Char,Schriftart: 10 pt Char,Schriftart: 8 pt Char,Text pozn. pod čarou Char Char, Char Char,Char Char,Text pozn. pod čarou1 Char,Char Char Char1 Char,Char Char1 Char,Footnote Text Char1 Char"/>
    <w:semiHidden/>
    <w:rsid w:val="00EC0EAF"/>
    <w:rPr>
      <w:lang w:val="cs-CZ" w:eastAsia="cs-CZ" w:bidi="ar-SA"/>
    </w:rPr>
  </w:style>
  <w:style w:type="paragraph" w:customStyle="1" w:styleId="Poznmkaazdroj">
    <w:name w:val="Poznámka a zdroj"/>
    <w:basedOn w:val="Normln"/>
    <w:next w:val="Normln"/>
    <w:uiPriority w:val="7"/>
    <w:qFormat/>
    <w:rsid w:val="00B57565"/>
    <w:pPr>
      <w:spacing w:after="240"/>
      <w:contextualSpacing/>
    </w:pPr>
    <w:rPr>
      <w:rFonts w:eastAsia="Calibri"/>
      <w:i/>
      <w:sz w:val="16"/>
      <w:lang w:eastAsia="en-US"/>
    </w:rPr>
  </w:style>
  <w:style w:type="character" w:customStyle="1" w:styleId="TextkomenteChar">
    <w:name w:val="Text komentáře Char"/>
    <w:link w:val="Textkomente"/>
    <w:rsid w:val="00AB4DFD"/>
  </w:style>
  <w:style w:type="paragraph" w:customStyle="1" w:styleId="Barevnstnovnzvraznn11">
    <w:name w:val="Barevné stínování – zvýraznění 11"/>
    <w:hidden/>
    <w:uiPriority w:val="99"/>
    <w:semiHidden/>
    <w:rsid w:val="00AB4DFD"/>
  </w:style>
  <w:style w:type="paragraph" w:customStyle="1" w:styleId="Jednotka">
    <w:name w:val="Jednotka"/>
    <w:basedOn w:val="Normln"/>
    <w:next w:val="Bezmezer"/>
    <w:uiPriority w:val="7"/>
    <w:qFormat/>
    <w:rsid w:val="00752029"/>
    <w:pPr>
      <w:keepNext/>
      <w:keepLines/>
      <w:spacing w:after="0"/>
      <w:jc w:val="left"/>
    </w:pPr>
    <w:rPr>
      <w:rFonts w:eastAsia="Calibri"/>
      <w:i/>
      <w:sz w:val="16"/>
      <w:szCs w:val="16"/>
      <w:lang w:eastAsia="en-US"/>
    </w:rPr>
  </w:style>
  <w:style w:type="paragraph" w:styleId="Bezmezer">
    <w:name w:val="No Spacing"/>
    <w:uiPriority w:val="1"/>
    <w:qFormat/>
    <w:locked/>
    <w:rsid w:val="00752029"/>
    <w:pPr>
      <w:jc w:val="both"/>
    </w:pPr>
  </w:style>
  <w:style w:type="paragraph" w:customStyle="1" w:styleId="Zdrojelit">
    <w:name w:val="Zdroje lit."/>
    <w:basedOn w:val="Normln"/>
    <w:qFormat/>
    <w:rsid w:val="006C10CA"/>
    <w:pPr>
      <w:ind w:left="540" w:hanging="540"/>
    </w:pPr>
  </w:style>
  <w:style w:type="paragraph" w:styleId="Zkladntextodsazen">
    <w:name w:val="Body Text Indent"/>
    <w:basedOn w:val="Normln"/>
    <w:link w:val="ZkladntextodsazenChar"/>
    <w:locked/>
    <w:rsid w:val="002B0497"/>
    <w:pPr>
      <w:ind w:left="283"/>
    </w:pPr>
  </w:style>
  <w:style w:type="character" w:customStyle="1" w:styleId="ZkladntextodsazenChar">
    <w:name w:val="Základní text odsazený Char"/>
    <w:basedOn w:val="Standardnpsmoodstavce"/>
    <w:link w:val="Zkladntextodsazen"/>
    <w:rsid w:val="002B0497"/>
  </w:style>
  <w:style w:type="paragraph" w:customStyle="1" w:styleId="Zkladntext21">
    <w:name w:val="Základní text 21"/>
    <w:basedOn w:val="Normln"/>
    <w:rsid w:val="004208F7"/>
    <w:pPr>
      <w:overflowPunct w:val="0"/>
      <w:autoSpaceDE w:val="0"/>
      <w:autoSpaceDN w:val="0"/>
      <w:adjustRightInd w:val="0"/>
      <w:spacing w:after="0" w:line="360" w:lineRule="auto"/>
      <w:ind w:firstLine="709"/>
      <w:textAlignment w:val="baseline"/>
    </w:pPr>
    <w:rPr>
      <w:rFonts w:ascii="Times New Roman" w:hAnsi="Times New Roman"/>
      <w:sz w:val="24"/>
    </w:rPr>
  </w:style>
  <w:style w:type="paragraph" w:styleId="Nadpisobsahu">
    <w:name w:val="TOC Heading"/>
    <w:basedOn w:val="Nadpis1"/>
    <w:next w:val="Normln"/>
    <w:uiPriority w:val="39"/>
    <w:semiHidden/>
    <w:unhideWhenUsed/>
    <w:qFormat/>
    <w:rsid w:val="008D01C8"/>
    <w:pPr>
      <w:keepLines/>
      <w:spacing w:before="480" w:after="0" w:line="276" w:lineRule="auto"/>
      <w:jc w:val="left"/>
      <w:outlineLvl w:val="9"/>
    </w:pPr>
    <w:rPr>
      <w:rFonts w:ascii="Cambria" w:hAnsi="Cambria" w:cs="Times New Roman"/>
      <w:color w:val="365F91"/>
      <w:kern w:val="0"/>
      <w:sz w:val="28"/>
      <w:szCs w:val="28"/>
    </w:rPr>
  </w:style>
  <w:style w:type="paragraph" w:styleId="Obsah3">
    <w:name w:val="toc 3"/>
    <w:basedOn w:val="Normln"/>
    <w:next w:val="Normln"/>
    <w:autoRedefine/>
    <w:uiPriority w:val="39"/>
    <w:rsid w:val="00452381"/>
    <w:pPr>
      <w:ind w:left="567"/>
    </w:pPr>
  </w:style>
  <w:style w:type="paragraph" w:customStyle="1" w:styleId="StylTitulekTun">
    <w:name w:val="Styl Titulek + Tučné"/>
    <w:basedOn w:val="Titulek"/>
    <w:link w:val="StylTitulekTunChar"/>
    <w:rsid w:val="00150579"/>
    <w:pPr>
      <w:keepLines w:val="0"/>
      <w:jc w:val="left"/>
    </w:pPr>
  </w:style>
  <w:style w:type="character" w:customStyle="1" w:styleId="StylTitulekTunChar">
    <w:name w:val="Styl Titulek + Tučné Char"/>
    <w:link w:val="StylTitulekTun"/>
    <w:rsid w:val="00150579"/>
    <w:rPr>
      <w:b/>
      <w:bCs/>
    </w:rPr>
  </w:style>
  <w:style w:type="paragraph" w:customStyle="1" w:styleId="Styl1mmmmm">
    <w:name w:val="Styl1mmmmm"/>
    <w:basedOn w:val="Normln"/>
    <w:rsid w:val="00150579"/>
    <w:pPr>
      <w:numPr>
        <w:numId w:val="7"/>
      </w:numPr>
      <w:spacing w:after="0" w:line="360" w:lineRule="auto"/>
    </w:pPr>
    <w:rPr>
      <w:rFonts w:ascii="Times New Roman" w:hAnsi="Times New Roman"/>
      <w:sz w:val="24"/>
      <w:szCs w:val="24"/>
    </w:rPr>
  </w:style>
  <w:style w:type="paragraph" w:customStyle="1" w:styleId="Odstavecseseznamem1">
    <w:name w:val="Odstavec se seznamem1"/>
    <w:basedOn w:val="Normln"/>
    <w:rsid w:val="004F55E3"/>
    <w:pPr>
      <w:spacing w:after="0"/>
      <w:ind w:left="720"/>
      <w:contextualSpacing/>
      <w:jc w:val="left"/>
    </w:pPr>
    <w:rPr>
      <w:rFonts w:ascii="Times New Roman" w:hAnsi="Times New Roman"/>
      <w:sz w:val="24"/>
      <w:szCs w:val="24"/>
    </w:rPr>
  </w:style>
  <w:style w:type="paragraph" w:customStyle="1" w:styleId="Odstavecseseznamem11">
    <w:name w:val="Odstavec se seznamem11"/>
    <w:basedOn w:val="Normln"/>
    <w:rsid w:val="00062CD1"/>
    <w:pPr>
      <w:spacing w:after="0"/>
      <w:ind w:left="720"/>
      <w:contextualSpacing/>
      <w:jc w:val="left"/>
    </w:pPr>
    <w:rPr>
      <w:rFonts w:ascii="Times New Roman" w:hAnsi="Times New Roman"/>
      <w:sz w:val="24"/>
      <w:szCs w:val="24"/>
    </w:rPr>
  </w:style>
  <w:style w:type="paragraph" w:customStyle="1" w:styleId="Popisky">
    <w:name w:val="Popisky"/>
    <w:rsid w:val="00801527"/>
    <w:rPr>
      <w:rFonts w:ascii="Arial" w:hAnsi="Arial"/>
    </w:rPr>
  </w:style>
  <w:style w:type="character" w:customStyle="1" w:styleId="Tuntext">
    <w:name w:val="Tučný text"/>
    <w:uiPriority w:val="99"/>
    <w:rsid w:val="008A0150"/>
    <w:rPr>
      <w:b/>
      <w:sz w:val="24"/>
    </w:rPr>
  </w:style>
  <w:style w:type="character" w:styleId="Sledovanodkaz">
    <w:name w:val="FollowedHyperlink"/>
    <w:basedOn w:val="Standardnpsmoodstavce"/>
    <w:locked/>
    <w:rsid w:val="00AE151F"/>
    <w:rPr>
      <w:color w:val="800080" w:themeColor="followedHyperlink"/>
      <w:u w:val="single"/>
    </w:rPr>
  </w:style>
  <w:style w:type="paragraph" w:customStyle="1" w:styleId="SRNadpisseituprozpat">
    <w:name w:val="SR_Nadpis sešitu_pro zápatí"/>
    <w:basedOn w:val="Normln"/>
    <w:qFormat/>
    <w:rsid w:val="00003D57"/>
    <w:pPr>
      <w:spacing w:before="3480" w:after="0"/>
      <w:jc w:val="center"/>
    </w:pPr>
    <w:rPr>
      <w:b/>
      <w:spacing w:val="10"/>
      <w:sz w:val="36"/>
      <w:szCs w:val="36"/>
    </w:rPr>
  </w:style>
  <w:style w:type="paragraph" w:customStyle="1" w:styleId="SRTextnomal">
    <w:name w:val="SR_Text nomal"/>
    <w:basedOn w:val="Normln"/>
    <w:qFormat/>
    <w:rsid w:val="009E7B2C"/>
    <w:pPr>
      <w:spacing w:before="120"/>
    </w:pPr>
  </w:style>
  <w:style w:type="paragraph" w:customStyle="1" w:styleId="SRNadpis1">
    <w:name w:val="SR_Nadpis 1"/>
    <w:basedOn w:val="Nadpis1"/>
    <w:qFormat/>
    <w:rsid w:val="005A27EF"/>
    <w:pPr>
      <w:numPr>
        <w:numId w:val="1"/>
      </w:numPr>
      <w:suppressAutoHyphens/>
    </w:pPr>
  </w:style>
  <w:style w:type="paragraph" w:customStyle="1" w:styleId="SRtitulek1">
    <w:name w:val="SR_titulek 1"/>
    <w:basedOn w:val="Titulek"/>
    <w:qFormat/>
    <w:rsid w:val="009B56C3"/>
    <w:pPr>
      <w:spacing w:after="120"/>
    </w:pPr>
  </w:style>
  <w:style w:type="paragraph" w:customStyle="1" w:styleId="SRNadpis2">
    <w:name w:val="SR_Nadpis 2"/>
    <w:basedOn w:val="Nadpis2"/>
    <w:qFormat/>
    <w:rsid w:val="005A27EF"/>
    <w:pPr>
      <w:keepLines/>
      <w:numPr>
        <w:ilvl w:val="1"/>
        <w:numId w:val="1"/>
      </w:numPr>
      <w:jc w:val="left"/>
    </w:pPr>
  </w:style>
  <w:style w:type="paragraph" w:customStyle="1" w:styleId="SRNadpis3">
    <w:name w:val="SR_Nadpis 3"/>
    <w:basedOn w:val="Nadpis3"/>
    <w:qFormat/>
    <w:rsid w:val="009E7B2C"/>
    <w:pPr>
      <w:numPr>
        <w:ilvl w:val="2"/>
        <w:numId w:val="1"/>
      </w:numPr>
      <w:spacing w:after="120"/>
    </w:pPr>
  </w:style>
  <w:style w:type="paragraph" w:customStyle="1" w:styleId="SROdrka">
    <w:name w:val="SR_Odrážka"/>
    <w:basedOn w:val="Normln"/>
    <w:qFormat/>
    <w:rsid w:val="0058224E"/>
    <w:pPr>
      <w:numPr>
        <w:numId w:val="19"/>
      </w:numPr>
      <w:tabs>
        <w:tab w:val="clear" w:pos="170"/>
      </w:tabs>
      <w:spacing w:before="120"/>
      <w:ind w:left="284" w:hanging="284"/>
    </w:pPr>
  </w:style>
  <w:style w:type="paragraph" w:customStyle="1" w:styleId="SRNadpis4">
    <w:name w:val="SR_Nadpis 4"/>
    <w:basedOn w:val="Nadpis4"/>
    <w:qFormat/>
    <w:rsid w:val="00EF6FCE"/>
    <w:pPr>
      <w:numPr>
        <w:ilvl w:val="3"/>
        <w:numId w:val="1"/>
      </w:numPr>
      <w:tabs>
        <w:tab w:val="clear" w:pos="567"/>
        <w:tab w:val="num" w:pos="851"/>
      </w:tabs>
      <w:spacing w:after="120"/>
    </w:pPr>
  </w:style>
  <w:style w:type="paragraph" w:customStyle="1" w:styleId="NadpisAB">
    <w:name w:val="Nadpis AB"/>
    <w:basedOn w:val="Nadpis1"/>
    <w:rsid w:val="00B47F77"/>
    <w:pPr>
      <w:pageBreakBefore/>
      <w:tabs>
        <w:tab w:val="num" w:pos="567"/>
      </w:tabs>
      <w:ind w:left="567" w:hanging="567"/>
      <w:jc w:val="left"/>
    </w:pPr>
  </w:style>
  <w:style w:type="paragraph" w:customStyle="1" w:styleId="ZKDvousloupcov">
    <w:name w:val="ZK_Dvousloupcový"/>
    <w:basedOn w:val="Normln"/>
    <w:link w:val="ZKDvousloupcovChar"/>
    <w:rsid w:val="00B47F77"/>
    <w:rPr>
      <w:kern w:val="20"/>
      <w:szCs w:val="24"/>
    </w:rPr>
  </w:style>
  <w:style w:type="character" w:customStyle="1" w:styleId="ZKDvousloupcovChar">
    <w:name w:val="ZK_Dvousloupcový Char"/>
    <w:link w:val="ZKDvousloupcov"/>
    <w:rsid w:val="00B47F77"/>
    <w:rPr>
      <w:kern w:val="20"/>
      <w:szCs w:val="24"/>
    </w:rPr>
  </w:style>
  <w:style w:type="paragraph" w:customStyle="1" w:styleId="Obsah">
    <w:name w:val="Obsah"/>
    <w:qFormat/>
    <w:rsid w:val="00CC02F3"/>
    <w:rPr>
      <w:b/>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2539">
      <w:bodyDiv w:val="1"/>
      <w:marLeft w:val="0"/>
      <w:marRight w:val="0"/>
      <w:marTop w:val="0"/>
      <w:marBottom w:val="0"/>
      <w:divBdr>
        <w:top w:val="none" w:sz="0" w:space="0" w:color="auto"/>
        <w:left w:val="none" w:sz="0" w:space="0" w:color="auto"/>
        <w:bottom w:val="none" w:sz="0" w:space="0" w:color="auto"/>
        <w:right w:val="none" w:sz="0" w:space="0" w:color="auto"/>
      </w:divBdr>
    </w:div>
    <w:div w:id="14231432">
      <w:bodyDiv w:val="1"/>
      <w:marLeft w:val="0"/>
      <w:marRight w:val="0"/>
      <w:marTop w:val="0"/>
      <w:marBottom w:val="0"/>
      <w:divBdr>
        <w:top w:val="none" w:sz="0" w:space="0" w:color="auto"/>
        <w:left w:val="none" w:sz="0" w:space="0" w:color="auto"/>
        <w:bottom w:val="none" w:sz="0" w:space="0" w:color="auto"/>
        <w:right w:val="none" w:sz="0" w:space="0" w:color="auto"/>
      </w:divBdr>
    </w:div>
    <w:div w:id="61223538">
      <w:bodyDiv w:val="1"/>
      <w:marLeft w:val="0"/>
      <w:marRight w:val="0"/>
      <w:marTop w:val="0"/>
      <w:marBottom w:val="0"/>
      <w:divBdr>
        <w:top w:val="none" w:sz="0" w:space="0" w:color="auto"/>
        <w:left w:val="none" w:sz="0" w:space="0" w:color="auto"/>
        <w:bottom w:val="none" w:sz="0" w:space="0" w:color="auto"/>
        <w:right w:val="none" w:sz="0" w:space="0" w:color="auto"/>
      </w:divBdr>
    </w:div>
    <w:div w:id="66997437">
      <w:bodyDiv w:val="1"/>
      <w:marLeft w:val="0"/>
      <w:marRight w:val="0"/>
      <w:marTop w:val="0"/>
      <w:marBottom w:val="0"/>
      <w:divBdr>
        <w:top w:val="none" w:sz="0" w:space="0" w:color="auto"/>
        <w:left w:val="none" w:sz="0" w:space="0" w:color="auto"/>
        <w:bottom w:val="none" w:sz="0" w:space="0" w:color="auto"/>
        <w:right w:val="none" w:sz="0" w:space="0" w:color="auto"/>
      </w:divBdr>
    </w:div>
    <w:div w:id="116879764">
      <w:bodyDiv w:val="1"/>
      <w:marLeft w:val="0"/>
      <w:marRight w:val="0"/>
      <w:marTop w:val="0"/>
      <w:marBottom w:val="0"/>
      <w:divBdr>
        <w:top w:val="none" w:sz="0" w:space="0" w:color="auto"/>
        <w:left w:val="none" w:sz="0" w:space="0" w:color="auto"/>
        <w:bottom w:val="none" w:sz="0" w:space="0" w:color="auto"/>
        <w:right w:val="none" w:sz="0" w:space="0" w:color="auto"/>
      </w:divBdr>
    </w:div>
    <w:div w:id="122618123">
      <w:bodyDiv w:val="1"/>
      <w:marLeft w:val="0"/>
      <w:marRight w:val="0"/>
      <w:marTop w:val="0"/>
      <w:marBottom w:val="0"/>
      <w:divBdr>
        <w:top w:val="none" w:sz="0" w:space="0" w:color="auto"/>
        <w:left w:val="none" w:sz="0" w:space="0" w:color="auto"/>
        <w:bottom w:val="none" w:sz="0" w:space="0" w:color="auto"/>
        <w:right w:val="none" w:sz="0" w:space="0" w:color="auto"/>
      </w:divBdr>
    </w:div>
    <w:div w:id="139663159">
      <w:bodyDiv w:val="1"/>
      <w:marLeft w:val="0"/>
      <w:marRight w:val="0"/>
      <w:marTop w:val="0"/>
      <w:marBottom w:val="0"/>
      <w:divBdr>
        <w:top w:val="none" w:sz="0" w:space="0" w:color="auto"/>
        <w:left w:val="none" w:sz="0" w:space="0" w:color="auto"/>
        <w:bottom w:val="none" w:sz="0" w:space="0" w:color="auto"/>
        <w:right w:val="none" w:sz="0" w:space="0" w:color="auto"/>
      </w:divBdr>
    </w:div>
    <w:div w:id="232587717">
      <w:bodyDiv w:val="1"/>
      <w:marLeft w:val="0"/>
      <w:marRight w:val="0"/>
      <w:marTop w:val="0"/>
      <w:marBottom w:val="0"/>
      <w:divBdr>
        <w:top w:val="none" w:sz="0" w:space="0" w:color="auto"/>
        <w:left w:val="none" w:sz="0" w:space="0" w:color="auto"/>
        <w:bottom w:val="none" w:sz="0" w:space="0" w:color="auto"/>
        <w:right w:val="none" w:sz="0" w:space="0" w:color="auto"/>
      </w:divBdr>
    </w:div>
    <w:div w:id="250745427">
      <w:bodyDiv w:val="1"/>
      <w:marLeft w:val="0"/>
      <w:marRight w:val="0"/>
      <w:marTop w:val="0"/>
      <w:marBottom w:val="0"/>
      <w:divBdr>
        <w:top w:val="none" w:sz="0" w:space="0" w:color="auto"/>
        <w:left w:val="none" w:sz="0" w:space="0" w:color="auto"/>
        <w:bottom w:val="none" w:sz="0" w:space="0" w:color="auto"/>
        <w:right w:val="none" w:sz="0" w:space="0" w:color="auto"/>
      </w:divBdr>
    </w:div>
    <w:div w:id="280184735">
      <w:bodyDiv w:val="1"/>
      <w:marLeft w:val="0"/>
      <w:marRight w:val="0"/>
      <w:marTop w:val="0"/>
      <w:marBottom w:val="0"/>
      <w:divBdr>
        <w:top w:val="none" w:sz="0" w:space="0" w:color="auto"/>
        <w:left w:val="none" w:sz="0" w:space="0" w:color="auto"/>
        <w:bottom w:val="none" w:sz="0" w:space="0" w:color="auto"/>
        <w:right w:val="none" w:sz="0" w:space="0" w:color="auto"/>
      </w:divBdr>
    </w:div>
    <w:div w:id="299656054">
      <w:bodyDiv w:val="1"/>
      <w:marLeft w:val="0"/>
      <w:marRight w:val="0"/>
      <w:marTop w:val="0"/>
      <w:marBottom w:val="0"/>
      <w:divBdr>
        <w:top w:val="none" w:sz="0" w:space="0" w:color="auto"/>
        <w:left w:val="none" w:sz="0" w:space="0" w:color="auto"/>
        <w:bottom w:val="none" w:sz="0" w:space="0" w:color="auto"/>
        <w:right w:val="none" w:sz="0" w:space="0" w:color="auto"/>
      </w:divBdr>
    </w:div>
    <w:div w:id="317618949">
      <w:bodyDiv w:val="1"/>
      <w:marLeft w:val="0"/>
      <w:marRight w:val="0"/>
      <w:marTop w:val="0"/>
      <w:marBottom w:val="0"/>
      <w:divBdr>
        <w:top w:val="none" w:sz="0" w:space="0" w:color="auto"/>
        <w:left w:val="none" w:sz="0" w:space="0" w:color="auto"/>
        <w:bottom w:val="none" w:sz="0" w:space="0" w:color="auto"/>
        <w:right w:val="none" w:sz="0" w:space="0" w:color="auto"/>
      </w:divBdr>
    </w:div>
    <w:div w:id="351961072">
      <w:bodyDiv w:val="1"/>
      <w:marLeft w:val="0"/>
      <w:marRight w:val="0"/>
      <w:marTop w:val="0"/>
      <w:marBottom w:val="0"/>
      <w:divBdr>
        <w:top w:val="none" w:sz="0" w:space="0" w:color="auto"/>
        <w:left w:val="none" w:sz="0" w:space="0" w:color="auto"/>
        <w:bottom w:val="none" w:sz="0" w:space="0" w:color="auto"/>
        <w:right w:val="none" w:sz="0" w:space="0" w:color="auto"/>
      </w:divBdr>
    </w:div>
    <w:div w:id="369189164">
      <w:bodyDiv w:val="1"/>
      <w:marLeft w:val="0"/>
      <w:marRight w:val="0"/>
      <w:marTop w:val="0"/>
      <w:marBottom w:val="0"/>
      <w:divBdr>
        <w:top w:val="none" w:sz="0" w:space="0" w:color="auto"/>
        <w:left w:val="none" w:sz="0" w:space="0" w:color="auto"/>
        <w:bottom w:val="none" w:sz="0" w:space="0" w:color="auto"/>
        <w:right w:val="none" w:sz="0" w:space="0" w:color="auto"/>
      </w:divBdr>
    </w:div>
    <w:div w:id="399906009">
      <w:bodyDiv w:val="1"/>
      <w:marLeft w:val="0"/>
      <w:marRight w:val="0"/>
      <w:marTop w:val="0"/>
      <w:marBottom w:val="0"/>
      <w:divBdr>
        <w:top w:val="none" w:sz="0" w:space="0" w:color="auto"/>
        <w:left w:val="none" w:sz="0" w:space="0" w:color="auto"/>
        <w:bottom w:val="none" w:sz="0" w:space="0" w:color="auto"/>
        <w:right w:val="none" w:sz="0" w:space="0" w:color="auto"/>
      </w:divBdr>
    </w:div>
    <w:div w:id="406610183">
      <w:bodyDiv w:val="1"/>
      <w:marLeft w:val="0"/>
      <w:marRight w:val="0"/>
      <w:marTop w:val="0"/>
      <w:marBottom w:val="0"/>
      <w:divBdr>
        <w:top w:val="none" w:sz="0" w:space="0" w:color="auto"/>
        <w:left w:val="none" w:sz="0" w:space="0" w:color="auto"/>
        <w:bottom w:val="none" w:sz="0" w:space="0" w:color="auto"/>
        <w:right w:val="none" w:sz="0" w:space="0" w:color="auto"/>
      </w:divBdr>
    </w:div>
    <w:div w:id="517279104">
      <w:bodyDiv w:val="1"/>
      <w:marLeft w:val="0"/>
      <w:marRight w:val="0"/>
      <w:marTop w:val="0"/>
      <w:marBottom w:val="0"/>
      <w:divBdr>
        <w:top w:val="none" w:sz="0" w:space="0" w:color="auto"/>
        <w:left w:val="none" w:sz="0" w:space="0" w:color="auto"/>
        <w:bottom w:val="none" w:sz="0" w:space="0" w:color="auto"/>
        <w:right w:val="none" w:sz="0" w:space="0" w:color="auto"/>
      </w:divBdr>
    </w:div>
    <w:div w:id="524904283">
      <w:bodyDiv w:val="1"/>
      <w:marLeft w:val="0"/>
      <w:marRight w:val="0"/>
      <w:marTop w:val="0"/>
      <w:marBottom w:val="0"/>
      <w:divBdr>
        <w:top w:val="none" w:sz="0" w:space="0" w:color="auto"/>
        <w:left w:val="none" w:sz="0" w:space="0" w:color="auto"/>
        <w:bottom w:val="none" w:sz="0" w:space="0" w:color="auto"/>
        <w:right w:val="none" w:sz="0" w:space="0" w:color="auto"/>
      </w:divBdr>
    </w:div>
    <w:div w:id="583224377">
      <w:bodyDiv w:val="1"/>
      <w:marLeft w:val="0"/>
      <w:marRight w:val="0"/>
      <w:marTop w:val="0"/>
      <w:marBottom w:val="0"/>
      <w:divBdr>
        <w:top w:val="none" w:sz="0" w:space="0" w:color="auto"/>
        <w:left w:val="none" w:sz="0" w:space="0" w:color="auto"/>
        <w:bottom w:val="none" w:sz="0" w:space="0" w:color="auto"/>
        <w:right w:val="none" w:sz="0" w:space="0" w:color="auto"/>
      </w:divBdr>
    </w:div>
    <w:div w:id="589774275">
      <w:bodyDiv w:val="1"/>
      <w:marLeft w:val="0"/>
      <w:marRight w:val="0"/>
      <w:marTop w:val="0"/>
      <w:marBottom w:val="0"/>
      <w:divBdr>
        <w:top w:val="none" w:sz="0" w:space="0" w:color="auto"/>
        <w:left w:val="none" w:sz="0" w:space="0" w:color="auto"/>
        <w:bottom w:val="none" w:sz="0" w:space="0" w:color="auto"/>
        <w:right w:val="none" w:sz="0" w:space="0" w:color="auto"/>
      </w:divBdr>
    </w:div>
    <w:div w:id="608705051">
      <w:bodyDiv w:val="1"/>
      <w:marLeft w:val="0"/>
      <w:marRight w:val="0"/>
      <w:marTop w:val="0"/>
      <w:marBottom w:val="0"/>
      <w:divBdr>
        <w:top w:val="none" w:sz="0" w:space="0" w:color="auto"/>
        <w:left w:val="none" w:sz="0" w:space="0" w:color="auto"/>
        <w:bottom w:val="none" w:sz="0" w:space="0" w:color="auto"/>
        <w:right w:val="none" w:sz="0" w:space="0" w:color="auto"/>
      </w:divBdr>
    </w:div>
    <w:div w:id="609318329">
      <w:bodyDiv w:val="1"/>
      <w:marLeft w:val="0"/>
      <w:marRight w:val="0"/>
      <w:marTop w:val="0"/>
      <w:marBottom w:val="0"/>
      <w:divBdr>
        <w:top w:val="none" w:sz="0" w:space="0" w:color="auto"/>
        <w:left w:val="none" w:sz="0" w:space="0" w:color="auto"/>
        <w:bottom w:val="none" w:sz="0" w:space="0" w:color="auto"/>
        <w:right w:val="none" w:sz="0" w:space="0" w:color="auto"/>
      </w:divBdr>
    </w:div>
    <w:div w:id="618071154">
      <w:bodyDiv w:val="1"/>
      <w:marLeft w:val="0"/>
      <w:marRight w:val="0"/>
      <w:marTop w:val="0"/>
      <w:marBottom w:val="0"/>
      <w:divBdr>
        <w:top w:val="none" w:sz="0" w:space="0" w:color="auto"/>
        <w:left w:val="none" w:sz="0" w:space="0" w:color="auto"/>
        <w:bottom w:val="none" w:sz="0" w:space="0" w:color="auto"/>
        <w:right w:val="none" w:sz="0" w:space="0" w:color="auto"/>
      </w:divBdr>
    </w:div>
    <w:div w:id="622034651">
      <w:bodyDiv w:val="1"/>
      <w:marLeft w:val="0"/>
      <w:marRight w:val="0"/>
      <w:marTop w:val="0"/>
      <w:marBottom w:val="0"/>
      <w:divBdr>
        <w:top w:val="none" w:sz="0" w:space="0" w:color="auto"/>
        <w:left w:val="none" w:sz="0" w:space="0" w:color="auto"/>
        <w:bottom w:val="none" w:sz="0" w:space="0" w:color="auto"/>
        <w:right w:val="none" w:sz="0" w:space="0" w:color="auto"/>
      </w:divBdr>
    </w:div>
    <w:div w:id="643194760">
      <w:bodyDiv w:val="1"/>
      <w:marLeft w:val="0"/>
      <w:marRight w:val="0"/>
      <w:marTop w:val="0"/>
      <w:marBottom w:val="0"/>
      <w:divBdr>
        <w:top w:val="none" w:sz="0" w:space="0" w:color="auto"/>
        <w:left w:val="none" w:sz="0" w:space="0" w:color="auto"/>
        <w:bottom w:val="none" w:sz="0" w:space="0" w:color="auto"/>
        <w:right w:val="none" w:sz="0" w:space="0" w:color="auto"/>
      </w:divBdr>
    </w:div>
    <w:div w:id="660810564">
      <w:bodyDiv w:val="1"/>
      <w:marLeft w:val="0"/>
      <w:marRight w:val="0"/>
      <w:marTop w:val="0"/>
      <w:marBottom w:val="0"/>
      <w:divBdr>
        <w:top w:val="none" w:sz="0" w:space="0" w:color="auto"/>
        <w:left w:val="none" w:sz="0" w:space="0" w:color="auto"/>
        <w:bottom w:val="none" w:sz="0" w:space="0" w:color="auto"/>
        <w:right w:val="none" w:sz="0" w:space="0" w:color="auto"/>
      </w:divBdr>
    </w:div>
    <w:div w:id="669600904">
      <w:bodyDiv w:val="1"/>
      <w:marLeft w:val="0"/>
      <w:marRight w:val="0"/>
      <w:marTop w:val="0"/>
      <w:marBottom w:val="0"/>
      <w:divBdr>
        <w:top w:val="none" w:sz="0" w:space="0" w:color="auto"/>
        <w:left w:val="none" w:sz="0" w:space="0" w:color="auto"/>
        <w:bottom w:val="none" w:sz="0" w:space="0" w:color="auto"/>
        <w:right w:val="none" w:sz="0" w:space="0" w:color="auto"/>
      </w:divBdr>
    </w:div>
    <w:div w:id="679239130">
      <w:bodyDiv w:val="1"/>
      <w:marLeft w:val="0"/>
      <w:marRight w:val="0"/>
      <w:marTop w:val="0"/>
      <w:marBottom w:val="0"/>
      <w:divBdr>
        <w:top w:val="none" w:sz="0" w:space="0" w:color="auto"/>
        <w:left w:val="none" w:sz="0" w:space="0" w:color="auto"/>
        <w:bottom w:val="none" w:sz="0" w:space="0" w:color="auto"/>
        <w:right w:val="none" w:sz="0" w:space="0" w:color="auto"/>
      </w:divBdr>
    </w:div>
    <w:div w:id="737169208">
      <w:bodyDiv w:val="1"/>
      <w:marLeft w:val="0"/>
      <w:marRight w:val="0"/>
      <w:marTop w:val="0"/>
      <w:marBottom w:val="0"/>
      <w:divBdr>
        <w:top w:val="none" w:sz="0" w:space="0" w:color="auto"/>
        <w:left w:val="none" w:sz="0" w:space="0" w:color="auto"/>
        <w:bottom w:val="none" w:sz="0" w:space="0" w:color="auto"/>
        <w:right w:val="none" w:sz="0" w:space="0" w:color="auto"/>
      </w:divBdr>
    </w:div>
    <w:div w:id="744449254">
      <w:bodyDiv w:val="1"/>
      <w:marLeft w:val="0"/>
      <w:marRight w:val="0"/>
      <w:marTop w:val="0"/>
      <w:marBottom w:val="0"/>
      <w:divBdr>
        <w:top w:val="none" w:sz="0" w:space="0" w:color="auto"/>
        <w:left w:val="none" w:sz="0" w:space="0" w:color="auto"/>
        <w:bottom w:val="none" w:sz="0" w:space="0" w:color="auto"/>
        <w:right w:val="none" w:sz="0" w:space="0" w:color="auto"/>
      </w:divBdr>
    </w:div>
    <w:div w:id="760031139">
      <w:bodyDiv w:val="1"/>
      <w:marLeft w:val="0"/>
      <w:marRight w:val="0"/>
      <w:marTop w:val="0"/>
      <w:marBottom w:val="0"/>
      <w:divBdr>
        <w:top w:val="none" w:sz="0" w:space="0" w:color="auto"/>
        <w:left w:val="none" w:sz="0" w:space="0" w:color="auto"/>
        <w:bottom w:val="none" w:sz="0" w:space="0" w:color="auto"/>
        <w:right w:val="none" w:sz="0" w:space="0" w:color="auto"/>
      </w:divBdr>
    </w:div>
    <w:div w:id="760835129">
      <w:bodyDiv w:val="1"/>
      <w:marLeft w:val="0"/>
      <w:marRight w:val="0"/>
      <w:marTop w:val="0"/>
      <w:marBottom w:val="0"/>
      <w:divBdr>
        <w:top w:val="none" w:sz="0" w:space="0" w:color="auto"/>
        <w:left w:val="none" w:sz="0" w:space="0" w:color="auto"/>
        <w:bottom w:val="none" w:sz="0" w:space="0" w:color="auto"/>
        <w:right w:val="none" w:sz="0" w:space="0" w:color="auto"/>
      </w:divBdr>
    </w:div>
    <w:div w:id="776172248">
      <w:bodyDiv w:val="1"/>
      <w:marLeft w:val="0"/>
      <w:marRight w:val="0"/>
      <w:marTop w:val="0"/>
      <w:marBottom w:val="0"/>
      <w:divBdr>
        <w:top w:val="none" w:sz="0" w:space="0" w:color="auto"/>
        <w:left w:val="none" w:sz="0" w:space="0" w:color="auto"/>
        <w:bottom w:val="none" w:sz="0" w:space="0" w:color="auto"/>
        <w:right w:val="none" w:sz="0" w:space="0" w:color="auto"/>
      </w:divBdr>
    </w:div>
    <w:div w:id="778912386">
      <w:bodyDiv w:val="1"/>
      <w:marLeft w:val="0"/>
      <w:marRight w:val="0"/>
      <w:marTop w:val="0"/>
      <w:marBottom w:val="0"/>
      <w:divBdr>
        <w:top w:val="none" w:sz="0" w:space="0" w:color="auto"/>
        <w:left w:val="none" w:sz="0" w:space="0" w:color="auto"/>
        <w:bottom w:val="none" w:sz="0" w:space="0" w:color="auto"/>
        <w:right w:val="none" w:sz="0" w:space="0" w:color="auto"/>
      </w:divBdr>
    </w:div>
    <w:div w:id="790711464">
      <w:bodyDiv w:val="1"/>
      <w:marLeft w:val="0"/>
      <w:marRight w:val="0"/>
      <w:marTop w:val="0"/>
      <w:marBottom w:val="0"/>
      <w:divBdr>
        <w:top w:val="none" w:sz="0" w:space="0" w:color="auto"/>
        <w:left w:val="none" w:sz="0" w:space="0" w:color="auto"/>
        <w:bottom w:val="none" w:sz="0" w:space="0" w:color="auto"/>
        <w:right w:val="none" w:sz="0" w:space="0" w:color="auto"/>
      </w:divBdr>
    </w:div>
    <w:div w:id="798374099">
      <w:bodyDiv w:val="1"/>
      <w:marLeft w:val="0"/>
      <w:marRight w:val="0"/>
      <w:marTop w:val="0"/>
      <w:marBottom w:val="0"/>
      <w:divBdr>
        <w:top w:val="none" w:sz="0" w:space="0" w:color="auto"/>
        <w:left w:val="none" w:sz="0" w:space="0" w:color="auto"/>
        <w:bottom w:val="none" w:sz="0" w:space="0" w:color="auto"/>
        <w:right w:val="none" w:sz="0" w:space="0" w:color="auto"/>
      </w:divBdr>
    </w:div>
    <w:div w:id="826357284">
      <w:bodyDiv w:val="1"/>
      <w:marLeft w:val="0"/>
      <w:marRight w:val="0"/>
      <w:marTop w:val="0"/>
      <w:marBottom w:val="0"/>
      <w:divBdr>
        <w:top w:val="none" w:sz="0" w:space="0" w:color="auto"/>
        <w:left w:val="none" w:sz="0" w:space="0" w:color="auto"/>
        <w:bottom w:val="none" w:sz="0" w:space="0" w:color="auto"/>
        <w:right w:val="none" w:sz="0" w:space="0" w:color="auto"/>
      </w:divBdr>
    </w:div>
    <w:div w:id="941497094">
      <w:bodyDiv w:val="1"/>
      <w:marLeft w:val="0"/>
      <w:marRight w:val="0"/>
      <w:marTop w:val="0"/>
      <w:marBottom w:val="0"/>
      <w:divBdr>
        <w:top w:val="none" w:sz="0" w:space="0" w:color="auto"/>
        <w:left w:val="none" w:sz="0" w:space="0" w:color="auto"/>
        <w:bottom w:val="none" w:sz="0" w:space="0" w:color="auto"/>
        <w:right w:val="none" w:sz="0" w:space="0" w:color="auto"/>
      </w:divBdr>
    </w:div>
    <w:div w:id="961306549">
      <w:bodyDiv w:val="1"/>
      <w:marLeft w:val="0"/>
      <w:marRight w:val="0"/>
      <w:marTop w:val="0"/>
      <w:marBottom w:val="0"/>
      <w:divBdr>
        <w:top w:val="none" w:sz="0" w:space="0" w:color="auto"/>
        <w:left w:val="none" w:sz="0" w:space="0" w:color="auto"/>
        <w:bottom w:val="none" w:sz="0" w:space="0" w:color="auto"/>
        <w:right w:val="none" w:sz="0" w:space="0" w:color="auto"/>
      </w:divBdr>
    </w:div>
    <w:div w:id="998270029">
      <w:bodyDiv w:val="1"/>
      <w:marLeft w:val="0"/>
      <w:marRight w:val="0"/>
      <w:marTop w:val="0"/>
      <w:marBottom w:val="0"/>
      <w:divBdr>
        <w:top w:val="none" w:sz="0" w:space="0" w:color="auto"/>
        <w:left w:val="none" w:sz="0" w:space="0" w:color="auto"/>
        <w:bottom w:val="none" w:sz="0" w:space="0" w:color="auto"/>
        <w:right w:val="none" w:sz="0" w:space="0" w:color="auto"/>
      </w:divBdr>
    </w:div>
    <w:div w:id="1024867766">
      <w:bodyDiv w:val="1"/>
      <w:marLeft w:val="0"/>
      <w:marRight w:val="0"/>
      <w:marTop w:val="0"/>
      <w:marBottom w:val="0"/>
      <w:divBdr>
        <w:top w:val="none" w:sz="0" w:space="0" w:color="auto"/>
        <w:left w:val="none" w:sz="0" w:space="0" w:color="auto"/>
        <w:bottom w:val="none" w:sz="0" w:space="0" w:color="auto"/>
        <w:right w:val="none" w:sz="0" w:space="0" w:color="auto"/>
      </w:divBdr>
    </w:div>
    <w:div w:id="1048647201">
      <w:bodyDiv w:val="1"/>
      <w:marLeft w:val="0"/>
      <w:marRight w:val="0"/>
      <w:marTop w:val="0"/>
      <w:marBottom w:val="0"/>
      <w:divBdr>
        <w:top w:val="none" w:sz="0" w:space="0" w:color="auto"/>
        <w:left w:val="none" w:sz="0" w:space="0" w:color="auto"/>
        <w:bottom w:val="none" w:sz="0" w:space="0" w:color="auto"/>
        <w:right w:val="none" w:sz="0" w:space="0" w:color="auto"/>
      </w:divBdr>
    </w:div>
    <w:div w:id="1052266590">
      <w:bodyDiv w:val="1"/>
      <w:marLeft w:val="0"/>
      <w:marRight w:val="0"/>
      <w:marTop w:val="0"/>
      <w:marBottom w:val="0"/>
      <w:divBdr>
        <w:top w:val="none" w:sz="0" w:space="0" w:color="auto"/>
        <w:left w:val="none" w:sz="0" w:space="0" w:color="auto"/>
        <w:bottom w:val="none" w:sz="0" w:space="0" w:color="auto"/>
        <w:right w:val="none" w:sz="0" w:space="0" w:color="auto"/>
      </w:divBdr>
    </w:div>
    <w:div w:id="1117142629">
      <w:bodyDiv w:val="1"/>
      <w:marLeft w:val="0"/>
      <w:marRight w:val="0"/>
      <w:marTop w:val="0"/>
      <w:marBottom w:val="0"/>
      <w:divBdr>
        <w:top w:val="none" w:sz="0" w:space="0" w:color="auto"/>
        <w:left w:val="none" w:sz="0" w:space="0" w:color="auto"/>
        <w:bottom w:val="none" w:sz="0" w:space="0" w:color="auto"/>
        <w:right w:val="none" w:sz="0" w:space="0" w:color="auto"/>
      </w:divBdr>
    </w:div>
    <w:div w:id="1124035577">
      <w:bodyDiv w:val="1"/>
      <w:marLeft w:val="0"/>
      <w:marRight w:val="0"/>
      <w:marTop w:val="0"/>
      <w:marBottom w:val="0"/>
      <w:divBdr>
        <w:top w:val="none" w:sz="0" w:space="0" w:color="auto"/>
        <w:left w:val="none" w:sz="0" w:space="0" w:color="auto"/>
        <w:bottom w:val="none" w:sz="0" w:space="0" w:color="auto"/>
        <w:right w:val="none" w:sz="0" w:space="0" w:color="auto"/>
      </w:divBdr>
    </w:div>
    <w:div w:id="1125731547">
      <w:bodyDiv w:val="1"/>
      <w:marLeft w:val="0"/>
      <w:marRight w:val="0"/>
      <w:marTop w:val="0"/>
      <w:marBottom w:val="0"/>
      <w:divBdr>
        <w:top w:val="none" w:sz="0" w:space="0" w:color="auto"/>
        <w:left w:val="none" w:sz="0" w:space="0" w:color="auto"/>
        <w:bottom w:val="none" w:sz="0" w:space="0" w:color="auto"/>
        <w:right w:val="none" w:sz="0" w:space="0" w:color="auto"/>
      </w:divBdr>
    </w:div>
    <w:div w:id="1129786314">
      <w:bodyDiv w:val="1"/>
      <w:marLeft w:val="0"/>
      <w:marRight w:val="0"/>
      <w:marTop w:val="0"/>
      <w:marBottom w:val="0"/>
      <w:divBdr>
        <w:top w:val="none" w:sz="0" w:space="0" w:color="auto"/>
        <w:left w:val="none" w:sz="0" w:space="0" w:color="auto"/>
        <w:bottom w:val="none" w:sz="0" w:space="0" w:color="auto"/>
        <w:right w:val="none" w:sz="0" w:space="0" w:color="auto"/>
      </w:divBdr>
    </w:div>
    <w:div w:id="1238396326">
      <w:bodyDiv w:val="1"/>
      <w:marLeft w:val="0"/>
      <w:marRight w:val="0"/>
      <w:marTop w:val="0"/>
      <w:marBottom w:val="0"/>
      <w:divBdr>
        <w:top w:val="none" w:sz="0" w:space="0" w:color="auto"/>
        <w:left w:val="none" w:sz="0" w:space="0" w:color="auto"/>
        <w:bottom w:val="none" w:sz="0" w:space="0" w:color="auto"/>
        <w:right w:val="none" w:sz="0" w:space="0" w:color="auto"/>
      </w:divBdr>
    </w:div>
    <w:div w:id="1248925423">
      <w:bodyDiv w:val="1"/>
      <w:marLeft w:val="0"/>
      <w:marRight w:val="0"/>
      <w:marTop w:val="0"/>
      <w:marBottom w:val="0"/>
      <w:divBdr>
        <w:top w:val="none" w:sz="0" w:space="0" w:color="auto"/>
        <w:left w:val="none" w:sz="0" w:space="0" w:color="auto"/>
        <w:bottom w:val="none" w:sz="0" w:space="0" w:color="auto"/>
        <w:right w:val="none" w:sz="0" w:space="0" w:color="auto"/>
      </w:divBdr>
    </w:div>
    <w:div w:id="1261447947">
      <w:bodyDiv w:val="1"/>
      <w:marLeft w:val="0"/>
      <w:marRight w:val="0"/>
      <w:marTop w:val="0"/>
      <w:marBottom w:val="0"/>
      <w:divBdr>
        <w:top w:val="none" w:sz="0" w:space="0" w:color="auto"/>
        <w:left w:val="none" w:sz="0" w:space="0" w:color="auto"/>
        <w:bottom w:val="none" w:sz="0" w:space="0" w:color="auto"/>
        <w:right w:val="none" w:sz="0" w:space="0" w:color="auto"/>
      </w:divBdr>
    </w:div>
    <w:div w:id="1276594667">
      <w:bodyDiv w:val="1"/>
      <w:marLeft w:val="0"/>
      <w:marRight w:val="0"/>
      <w:marTop w:val="0"/>
      <w:marBottom w:val="0"/>
      <w:divBdr>
        <w:top w:val="none" w:sz="0" w:space="0" w:color="auto"/>
        <w:left w:val="none" w:sz="0" w:space="0" w:color="auto"/>
        <w:bottom w:val="none" w:sz="0" w:space="0" w:color="auto"/>
        <w:right w:val="none" w:sz="0" w:space="0" w:color="auto"/>
      </w:divBdr>
    </w:div>
    <w:div w:id="1371416121">
      <w:bodyDiv w:val="1"/>
      <w:marLeft w:val="0"/>
      <w:marRight w:val="0"/>
      <w:marTop w:val="0"/>
      <w:marBottom w:val="0"/>
      <w:divBdr>
        <w:top w:val="none" w:sz="0" w:space="0" w:color="auto"/>
        <w:left w:val="none" w:sz="0" w:space="0" w:color="auto"/>
        <w:bottom w:val="none" w:sz="0" w:space="0" w:color="auto"/>
        <w:right w:val="none" w:sz="0" w:space="0" w:color="auto"/>
      </w:divBdr>
    </w:div>
    <w:div w:id="1388995847">
      <w:bodyDiv w:val="1"/>
      <w:marLeft w:val="0"/>
      <w:marRight w:val="0"/>
      <w:marTop w:val="0"/>
      <w:marBottom w:val="0"/>
      <w:divBdr>
        <w:top w:val="none" w:sz="0" w:space="0" w:color="auto"/>
        <w:left w:val="none" w:sz="0" w:space="0" w:color="auto"/>
        <w:bottom w:val="none" w:sz="0" w:space="0" w:color="auto"/>
        <w:right w:val="none" w:sz="0" w:space="0" w:color="auto"/>
      </w:divBdr>
    </w:div>
    <w:div w:id="1421292295">
      <w:bodyDiv w:val="1"/>
      <w:marLeft w:val="0"/>
      <w:marRight w:val="0"/>
      <w:marTop w:val="0"/>
      <w:marBottom w:val="0"/>
      <w:divBdr>
        <w:top w:val="none" w:sz="0" w:space="0" w:color="auto"/>
        <w:left w:val="none" w:sz="0" w:space="0" w:color="auto"/>
        <w:bottom w:val="none" w:sz="0" w:space="0" w:color="auto"/>
        <w:right w:val="none" w:sz="0" w:space="0" w:color="auto"/>
      </w:divBdr>
    </w:div>
    <w:div w:id="1432776862">
      <w:bodyDiv w:val="1"/>
      <w:marLeft w:val="0"/>
      <w:marRight w:val="0"/>
      <w:marTop w:val="0"/>
      <w:marBottom w:val="0"/>
      <w:divBdr>
        <w:top w:val="none" w:sz="0" w:space="0" w:color="auto"/>
        <w:left w:val="none" w:sz="0" w:space="0" w:color="auto"/>
        <w:bottom w:val="none" w:sz="0" w:space="0" w:color="auto"/>
        <w:right w:val="none" w:sz="0" w:space="0" w:color="auto"/>
      </w:divBdr>
    </w:div>
    <w:div w:id="1442996939">
      <w:bodyDiv w:val="1"/>
      <w:marLeft w:val="0"/>
      <w:marRight w:val="0"/>
      <w:marTop w:val="0"/>
      <w:marBottom w:val="0"/>
      <w:divBdr>
        <w:top w:val="none" w:sz="0" w:space="0" w:color="auto"/>
        <w:left w:val="none" w:sz="0" w:space="0" w:color="auto"/>
        <w:bottom w:val="none" w:sz="0" w:space="0" w:color="auto"/>
        <w:right w:val="none" w:sz="0" w:space="0" w:color="auto"/>
      </w:divBdr>
    </w:div>
    <w:div w:id="1467773916">
      <w:bodyDiv w:val="1"/>
      <w:marLeft w:val="0"/>
      <w:marRight w:val="0"/>
      <w:marTop w:val="0"/>
      <w:marBottom w:val="0"/>
      <w:divBdr>
        <w:top w:val="none" w:sz="0" w:space="0" w:color="auto"/>
        <w:left w:val="none" w:sz="0" w:space="0" w:color="auto"/>
        <w:bottom w:val="none" w:sz="0" w:space="0" w:color="auto"/>
        <w:right w:val="none" w:sz="0" w:space="0" w:color="auto"/>
      </w:divBdr>
    </w:div>
    <w:div w:id="1484470118">
      <w:bodyDiv w:val="1"/>
      <w:marLeft w:val="0"/>
      <w:marRight w:val="0"/>
      <w:marTop w:val="0"/>
      <w:marBottom w:val="0"/>
      <w:divBdr>
        <w:top w:val="none" w:sz="0" w:space="0" w:color="auto"/>
        <w:left w:val="none" w:sz="0" w:space="0" w:color="auto"/>
        <w:bottom w:val="none" w:sz="0" w:space="0" w:color="auto"/>
        <w:right w:val="none" w:sz="0" w:space="0" w:color="auto"/>
      </w:divBdr>
    </w:div>
    <w:div w:id="1487237504">
      <w:bodyDiv w:val="1"/>
      <w:marLeft w:val="0"/>
      <w:marRight w:val="0"/>
      <w:marTop w:val="0"/>
      <w:marBottom w:val="0"/>
      <w:divBdr>
        <w:top w:val="none" w:sz="0" w:space="0" w:color="auto"/>
        <w:left w:val="none" w:sz="0" w:space="0" w:color="auto"/>
        <w:bottom w:val="none" w:sz="0" w:space="0" w:color="auto"/>
        <w:right w:val="none" w:sz="0" w:space="0" w:color="auto"/>
      </w:divBdr>
    </w:div>
    <w:div w:id="1518958638">
      <w:bodyDiv w:val="1"/>
      <w:marLeft w:val="0"/>
      <w:marRight w:val="0"/>
      <w:marTop w:val="0"/>
      <w:marBottom w:val="0"/>
      <w:divBdr>
        <w:top w:val="none" w:sz="0" w:space="0" w:color="auto"/>
        <w:left w:val="none" w:sz="0" w:space="0" w:color="auto"/>
        <w:bottom w:val="none" w:sz="0" w:space="0" w:color="auto"/>
        <w:right w:val="none" w:sz="0" w:space="0" w:color="auto"/>
      </w:divBdr>
    </w:div>
    <w:div w:id="1520896914">
      <w:bodyDiv w:val="1"/>
      <w:marLeft w:val="0"/>
      <w:marRight w:val="0"/>
      <w:marTop w:val="0"/>
      <w:marBottom w:val="0"/>
      <w:divBdr>
        <w:top w:val="none" w:sz="0" w:space="0" w:color="auto"/>
        <w:left w:val="none" w:sz="0" w:space="0" w:color="auto"/>
        <w:bottom w:val="none" w:sz="0" w:space="0" w:color="auto"/>
        <w:right w:val="none" w:sz="0" w:space="0" w:color="auto"/>
      </w:divBdr>
    </w:div>
    <w:div w:id="1531072094">
      <w:bodyDiv w:val="1"/>
      <w:marLeft w:val="0"/>
      <w:marRight w:val="0"/>
      <w:marTop w:val="0"/>
      <w:marBottom w:val="0"/>
      <w:divBdr>
        <w:top w:val="none" w:sz="0" w:space="0" w:color="auto"/>
        <w:left w:val="none" w:sz="0" w:space="0" w:color="auto"/>
        <w:bottom w:val="none" w:sz="0" w:space="0" w:color="auto"/>
        <w:right w:val="none" w:sz="0" w:space="0" w:color="auto"/>
      </w:divBdr>
      <w:divsChild>
        <w:div w:id="1664316129">
          <w:marLeft w:val="0"/>
          <w:marRight w:val="0"/>
          <w:marTop w:val="0"/>
          <w:marBottom w:val="0"/>
          <w:divBdr>
            <w:top w:val="none" w:sz="0" w:space="0" w:color="auto"/>
            <w:left w:val="none" w:sz="0" w:space="0" w:color="auto"/>
            <w:bottom w:val="none" w:sz="0" w:space="0" w:color="auto"/>
            <w:right w:val="none" w:sz="0" w:space="0" w:color="auto"/>
          </w:divBdr>
          <w:divsChild>
            <w:div w:id="1406494563">
              <w:marLeft w:val="0"/>
              <w:marRight w:val="0"/>
              <w:marTop w:val="0"/>
              <w:marBottom w:val="0"/>
              <w:divBdr>
                <w:top w:val="none" w:sz="0" w:space="0" w:color="auto"/>
                <w:left w:val="none" w:sz="0" w:space="0" w:color="auto"/>
                <w:bottom w:val="none" w:sz="0" w:space="0" w:color="auto"/>
                <w:right w:val="none" w:sz="0" w:space="0" w:color="auto"/>
              </w:divBdr>
              <w:divsChild>
                <w:div w:id="1876117594">
                  <w:marLeft w:val="0"/>
                  <w:marRight w:val="0"/>
                  <w:marTop w:val="0"/>
                  <w:marBottom w:val="0"/>
                  <w:divBdr>
                    <w:top w:val="none" w:sz="0" w:space="0" w:color="auto"/>
                    <w:left w:val="none" w:sz="0" w:space="0" w:color="auto"/>
                    <w:bottom w:val="none" w:sz="0" w:space="0" w:color="auto"/>
                    <w:right w:val="none" w:sz="0" w:space="0" w:color="auto"/>
                  </w:divBdr>
                  <w:divsChild>
                    <w:div w:id="1363215276">
                      <w:marLeft w:val="0"/>
                      <w:marRight w:val="0"/>
                      <w:marTop w:val="0"/>
                      <w:marBottom w:val="0"/>
                      <w:divBdr>
                        <w:top w:val="none" w:sz="0" w:space="0" w:color="auto"/>
                        <w:left w:val="none" w:sz="0" w:space="0" w:color="auto"/>
                        <w:bottom w:val="none" w:sz="0" w:space="0" w:color="auto"/>
                        <w:right w:val="none" w:sz="0" w:space="0" w:color="auto"/>
                      </w:divBdr>
                      <w:divsChild>
                        <w:div w:id="1994681327">
                          <w:marLeft w:val="0"/>
                          <w:marRight w:val="0"/>
                          <w:marTop w:val="45"/>
                          <w:marBottom w:val="0"/>
                          <w:divBdr>
                            <w:top w:val="none" w:sz="0" w:space="0" w:color="auto"/>
                            <w:left w:val="none" w:sz="0" w:space="0" w:color="auto"/>
                            <w:bottom w:val="none" w:sz="0" w:space="0" w:color="auto"/>
                            <w:right w:val="none" w:sz="0" w:space="0" w:color="auto"/>
                          </w:divBdr>
                          <w:divsChild>
                            <w:div w:id="884874659">
                              <w:marLeft w:val="0"/>
                              <w:marRight w:val="0"/>
                              <w:marTop w:val="0"/>
                              <w:marBottom w:val="0"/>
                              <w:divBdr>
                                <w:top w:val="none" w:sz="0" w:space="0" w:color="auto"/>
                                <w:left w:val="none" w:sz="0" w:space="0" w:color="auto"/>
                                <w:bottom w:val="none" w:sz="0" w:space="0" w:color="auto"/>
                                <w:right w:val="none" w:sz="0" w:space="0" w:color="auto"/>
                              </w:divBdr>
                              <w:divsChild>
                                <w:div w:id="1310555399">
                                  <w:marLeft w:val="2070"/>
                                  <w:marRight w:val="3810"/>
                                  <w:marTop w:val="0"/>
                                  <w:marBottom w:val="0"/>
                                  <w:divBdr>
                                    <w:top w:val="none" w:sz="0" w:space="0" w:color="auto"/>
                                    <w:left w:val="none" w:sz="0" w:space="0" w:color="auto"/>
                                    <w:bottom w:val="none" w:sz="0" w:space="0" w:color="auto"/>
                                    <w:right w:val="none" w:sz="0" w:space="0" w:color="auto"/>
                                  </w:divBdr>
                                  <w:divsChild>
                                    <w:div w:id="1797135350">
                                      <w:marLeft w:val="0"/>
                                      <w:marRight w:val="0"/>
                                      <w:marTop w:val="0"/>
                                      <w:marBottom w:val="0"/>
                                      <w:divBdr>
                                        <w:top w:val="none" w:sz="0" w:space="0" w:color="auto"/>
                                        <w:left w:val="none" w:sz="0" w:space="0" w:color="auto"/>
                                        <w:bottom w:val="none" w:sz="0" w:space="0" w:color="auto"/>
                                        <w:right w:val="none" w:sz="0" w:space="0" w:color="auto"/>
                                      </w:divBdr>
                                      <w:divsChild>
                                        <w:div w:id="1999454839">
                                          <w:marLeft w:val="0"/>
                                          <w:marRight w:val="0"/>
                                          <w:marTop w:val="0"/>
                                          <w:marBottom w:val="0"/>
                                          <w:divBdr>
                                            <w:top w:val="none" w:sz="0" w:space="0" w:color="auto"/>
                                            <w:left w:val="none" w:sz="0" w:space="0" w:color="auto"/>
                                            <w:bottom w:val="none" w:sz="0" w:space="0" w:color="auto"/>
                                            <w:right w:val="none" w:sz="0" w:space="0" w:color="auto"/>
                                          </w:divBdr>
                                          <w:divsChild>
                                            <w:div w:id="1261183822">
                                              <w:marLeft w:val="0"/>
                                              <w:marRight w:val="0"/>
                                              <w:marTop w:val="0"/>
                                              <w:marBottom w:val="0"/>
                                              <w:divBdr>
                                                <w:top w:val="none" w:sz="0" w:space="0" w:color="auto"/>
                                                <w:left w:val="none" w:sz="0" w:space="0" w:color="auto"/>
                                                <w:bottom w:val="none" w:sz="0" w:space="0" w:color="auto"/>
                                                <w:right w:val="none" w:sz="0" w:space="0" w:color="auto"/>
                                              </w:divBdr>
                                              <w:divsChild>
                                                <w:div w:id="578563974">
                                                  <w:marLeft w:val="0"/>
                                                  <w:marRight w:val="0"/>
                                                  <w:marTop w:val="0"/>
                                                  <w:marBottom w:val="0"/>
                                                  <w:divBdr>
                                                    <w:top w:val="none" w:sz="0" w:space="0" w:color="auto"/>
                                                    <w:left w:val="none" w:sz="0" w:space="0" w:color="auto"/>
                                                    <w:bottom w:val="none" w:sz="0" w:space="0" w:color="auto"/>
                                                    <w:right w:val="none" w:sz="0" w:space="0" w:color="auto"/>
                                                  </w:divBdr>
                                                  <w:divsChild>
                                                    <w:div w:id="816844859">
                                                      <w:marLeft w:val="0"/>
                                                      <w:marRight w:val="0"/>
                                                      <w:marTop w:val="0"/>
                                                      <w:marBottom w:val="0"/>
                                                      <w:divBdr>
                                                        <w:top w:val="none" w:sz="0" w:space="0" w:color="auto"/>
                                                        <w:left w:val="none" w:sz="0" w:space="0" w:color="auto"/>
                                                        <w:bottom w:val="none" w:sz="0" w:space="0" w:color="auto"/>
                                                        <w:right w:val="none" w:sz="0" w:space="0" w:color="auto"/>
                                                      </w:divBdr>
                                                      <w:divsChild>
                                                        <w:div w:id="15540731">
                                                          <w:marLeft w:val="0"/>
                                                          <w:marRight w:val="0"/>
                                                          <w:marTop w:val="0"/>
                                                          <w:marBottom w:val="345"/>
                                                          <w:divBdr>
                                                            <w:top w:val="none" w:sz="0" w:space="0" w:color="auto"/>
                                                            <w:left w:val="none" w:sz="0" w:space="0" w:color="auto"/>
                                                            <w:bottom w:val="none" w:sz="0" w:space="0" w:color="auto"/>
                                                            <w:right w:val="none" w:sz="0" w:space="0" w:color="auto"/>
                                                          </w:divBdr>
                                                          <w:divsChild>
                                                            <w:div w:id="95491751">
                                                              <w:marLeft w:val="0"/>
                                                              <w:marRight w:val="0"/>
                                                              <w:marTop w:val="0"/>
                                                              <w:marBottom w:val="0"/>
                                                              <w:divBdr>
                                                                <w:top w:val="none" w:sz="0" w:space="0" w:color="auto"/>
                                                                <w:left w:val="none" w:sz="0" w:space="0" w:color="auto"/>
                                                                <w:bottom w:val="none" w:sz="0" w:space="0" w:color="auto"/>
                                                                <w:right w:val="none" w:sz="0" w:space="0" w:color="auto"/>
                                                              </w:divBdr>
                                                              <w:divsChild>
                                                                <w:div w:id="1441948612">
                                                                  <w:marLeft w:val="0"/>
                                                                  <w:marRight w:val="0"/>
                                                                  <w:marTop w:val="0"/>
                                                                  <w:marBottom w:val="0"/>
                                                                  <w:divBdr>
                                                                    <w:top w:val="none" w:sz="0" w:space="0" w:color="auto"/>
                                                                    <w:left w:val="none" w:sz="0" w:space="0" w:color="auto"/>
                                                                    <w:bottom w:val="none" w:sz="0" w:space="0" w:color="auto"/>
                                                                    <w:right w:val="none" w:sz="0" w:space="0" w:color="auto"/>
                                                                  </w:divBdr>
                                                                  <w:divsChild>
                                                                    <w:div w:id="1566256243">
                                                                      <w:marLeft w:val="0"/>
                                                                      <w:marRight w:val="0"/>
                                                                      <w:marTop w:val="0"/>
                                                                      <w:marBottom w:val="0"/>
                                                                      <w:divBdr>
                                                                        <w:top w:val="none" w:sz="0" w:space="0" w:color="auto"/>
                                                                        <w:left w:val="none" w:sz="0" w:space="0" w:color="auto"/>
                                                                        <w:bottom w:val="none" w:sz="0" w:space="0" w:color="auto"/>
                                                                        <w:right w:val="none" w:sz="0" w:space="0" w:color="auto"/>
                                                                      </w:divBdr>
                                                                      <w:divsChild>
                                                                        <w:div w:id="103357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42783079">
      <w:bodyDiv w:val="1"/>
      <w:marLeft w:val="0"/>
      <w:marRight w:val="0"/>
      <w:marTop w:val="0"/>
      <w:marBottom w:val="0"/>
      <w:divBdr>
        <w:top w:val="none" w:sz="0" w:space="0" w:color="auto"/>
        <w:left w:val="none" w:sz="0" w:space="0" w:color="auto"/>
        <w:bottom w:val="none" w:sz="0" w:space="0" w:color="auto"/>
        <w:right w:val="none" w:sz="0" w:space="0" w:color="auto"/>
      </w:divBdr>
    </w:div>
    <w:div w:id="1563444545">
      <w:bodyDiv w:val="1"/>
      <w:marLeft w:val="0"/>
      <w:marRight w:val="0"/>
      <w:marTop w:val="0"/>
      <w:marBottom w:val="0"/>
      <w:divBdr>
        <w:top w:val="none" w:sz="0" w:space="0" w:color="auto"/>
        <w:left w:val="none" w:sz="0" w:space="0" w:color="auto"/>
        <w:bottom w:val="none" w:sz="0" w:space="0" w:color="auto"/>
        <w:right w:val="none" w:sz="0" w:space="0" w:color="auto"/>
      </w:divBdr>
    </w:div>
    <w:div w:id="1577208212">
      <w:bodyDiv w:val="1"/>
      <w:marLeft w:val="0"/>
      <w:marRight w:val="0"/>
      <w:marTop w:val="0"/>
      <w:marBottom w:val="0"/>
      <w:divBdr>
        <w:top w:val="none" w:sz="0" w:space="0" w:color="auto"/>
        <w:left w:val="none" w:sz="0" w:space="0" w:color="auto"/>
        <w:bottom w:val="none" w:sz="0" w:space="0" w:color="auto"/>
        <w:right w:val="none" w:sz="0" w:space="0" w:color="auto"/>
      </w:divBdr>
    </w:div>
    <w:div w:id="1620184310">
      <w:bodyDiv w:val="1"/>
      <w:marLeft w:val="0"/>
      <w:marRight w:val="0"/>
      <w:marTop w:val="0"/>
      <w:marBottom w:val="0"/>
      <w:divBdr>
        <w:top w:val="none" w:sz="0" w:space="0" w:color="auto"/>
        <w:left w:val="none" w:sz="0" w:space="0" w:color="auto"/>
        <w:bottom w:val="none" w:sz="0" w:space="0" w:color="auto"/>
        <w:right w:val="none" w:sz="0" w:space="0" w:color="auto"/>
      </w:divBdr>
    </w:div>
    <w:div w:id="1622570315">
      <w:bodyDiv w:val="1"/>
      <w:marLeft w:val="0"/>
      <w:marRight w:val="0"/>
      <w:marTop w:val="0"/>
      <w:marBottom w:val="0"/>
      <w:divBdr>
        <w:top w:val="none" w:sz="0" w:space="0" w:color="auto"/>
        <w:left w:val="none" w:sz="0" w:space="0" w:color="auto"/>
        <w:bottom w:val="none" w:sz="0" w:space="0" w:color="auto"/>
        <w:right w:val="none" w:sz="0" w:space="0" w:color="auto"/>
      </w:divBdr>
    </w:div>
    <w:div w:id="1622954534">
      <w:bodyDiv w:val="1"/>
      <w:marLeft w:val="0"/>
      <w:marRight w:val="0"/>
      <w:marTop w:val="0"/>
      <w:marBottom w:val="0"/>
      <w:divBdr>
        <w:top w:val="none" w:sz="0" w:space="0" w:color="auto"/>
        <w:left w:val="none" w:sz="0" w:space="0" w:color="auto"/>
        <w:bottom w:val="none" w:sz="0" w:space="0" w:color="auto"/>
        <w:right w:val="none" w:sz="0" w:space="0" w:color="auto"/>
      </w:divBdr>
    </w:div>
    <w:div w:id="1636566635">
      <w:bodyDiv w:val="1"/>
      <w:marLeft w:val="0"/>
      <w:marRight w:val="0"/>
      <w:marTop w:val="0"/>
      <w:marBottom w:val="0"/>
      <w:divBdr>
        <w:top w:val="none" w:sz="0" w:space="0" w:color="auto"/>
        <w:left w:val="none" w:sz="0" w:space="0" w:color="auto"/>
        <w:bottom w:val="none" w:sz="0" w:space="0" w:color="auto"/>
        <w:right w:val="none" w:sz="0" w:space="0" w:color="auto"/>
      </w:divBdr>
    </w:div>
    <w:div w:id="1653946772">
      <w:bodyDiv w:val="1"/>
      <w:marLeft w:val="0"/>
      <w:marRight w:val="0"/>
      <w:marTop w:val="0"/>
      <w:marBottom w:val="0"/>
      <w:divBdr>
        <w:top w:val="none" w:sz="0" w:space="0" w:color="auto"/>
        <w:left w:val="none" w:sz="0" w:space="0" w:color="auto"/>
        <w:bottom w:val="none" w:sz="0" w:space="0" w:color="auto"/>
        <w:right w:val="none" w:sz="0" w:space="0" w:color="auto"/>
      </w:divBdr>
    </w:div>
    <w:div w:id="1686905491">
      <w:bodyDiv w:val="1"/>
      <w:marLeft w:val="0"/>
      <w:marRight w:val="0"/>
      <w:marTop w:val="0"/>
      <w:marBottom w:val="0"/>
      <w:divBdr>
        <w:top w:val="none" w:sz="0" w:space="0" w:color="auto"/>
        <w:left w:val="none" w:sz="0" w:space="0" w:color="auto"/>
        <w:bottom w:val="none" w:sz="0" w:space="0" w:color="auto"/>
        <w:right w:val="none" w:sz="0" w:space="0" w:color="auto"/>
      </w:divBdr>
    </w:div>
    <w:div w:id="1725567822">
      <w:bodyDiv w:val="1"/>
      <w:marLeft w:val="0"/>
      <w:marRight w:val="0"/>
      <w:marTop w:val="0"/>
      <w:marBottom w:val="0"/>
      <w:divBdr>
        <w:top w:val="none" w:sz="0" w:space="0" w:color="auto"/>
        <w:left w:val="none" w:sz="0" w:space="0" w:color="auto"/>
        <w:bottom w:val="none" w:sz="0" w:space="0" w:color="auto"/>
        <w:right w:val="none" w:sz="0" w:space="0" w:color="auto"/>
      </w:divBdr>
    </w:div>
    <w:div w:id="1745906533">
      <w:bodyDiv w:val="1"/>
      <w:marLeft w:val="0"/>
      <w:marRight w:val="0"/>
      <w:marTop w:val="0"/>
      <w:marBottom w:val="0"/>
      <w:divBdr>
        <w:top w:val="none" w:sz="0" w:space="0" w:color="auto"/>
        <w:left w:val="none" w:sz="0" w:space="0" w:color="auto"/>
        <w:bottom w:val="none" w:sz="0" w:space="0" w:color="auto"/>
        <w:right w:val="none" w:sz="0" w:space="0" w:color="auto"/>
      </w:divBdr>
    </w:div>
    <w:div w:id="1761637681">
      <w:bodyDiv w:val="1"/>
      <w:marLeft w:val="0"/>
      <w:marRight w:val="0"/>
      <w:marTop w:val="0"/>
      <w:marBottom w:val="0"/>
      <w:divBdr>
        <w:top w:val="none" w:sz="0" w:space="0" w:color="auto"/>
        <w:left w:val="none" w:sz="0" w:space="0" w:color="auto"/>
        <w:bottom w:val="none" w:sz="0" w:space="0" w:color="auto"/>
        <w:right w:val="none" w:sz="0" w:space="0" w:color="auto"/>
      </w:divBdr>
    </w:div>
    <w:div w:id="1774401861">
      <w:bodyDiv w:val="1"/>
      <w:marLeft w:val="0"/>
      <w:marRight w:val="0"/>
      <w:marTop w:val="0"/>
      <w:marBottom w:val="0"/>
      <w:divBdr>
        <w:top w:val="none" w:sz="0" w:space="0" w:color="auto"/>
        <w:left w:val="none" w:sz="0" w:space="0" w:color="auto"/>
        <w:bottom w:val="none" w:sz="0" w:space="0" w:color="auto"/>
        <w:right w:val="none" w:sz="0" w:space="0" w:color="auto"/>
      </w:divBdr>
    </w:div>
    <w:div w:id="1810900204">
      <w:bodyDiv w:val="1"/>
      <w:marLeft w:val="0"/>
      <w:marRight w:val="0"/>
      <w:marTop w:val="0"/>
      <w:marBottom w:val="0"/>
      <w:divBdr>
        <w:top w:val="none" w:sz="0" w:space="0" w:color="auto"/>
        <w:left w:val="none" w:sz="0" w:space="0" w:color="auto"/>
        <w:bottom w:val="none" w:sz="0" w:space="0" w:color="auto"/>
        <w:right w:val="none" w:sz="0" w:space="0" w:color="auto"/>
      </w:divBdr>
    </w:div>
    <w:div w:id="1816679512">
      <w:bodyDiv w:val="1"/>
      <w:marLeft w:val="0"/>
      <w:marRight w:val="0"/>
      <w:marTop w:val="0"/>
      <w:marBottom w:val="0"/>
      <w:divBdr>
        <w:top w:val="none" w:sz="0" w:space="0" w:color="auto"/>
        <w:left w:val="none" w:sz="0" w:space="0" w:color="auto"/>
        <w:bottom w:val="none" w:sz="0" w:space="0" w:color="auto"/>
        <w:right w:val="none" w:sz="0" w:space="0" w:color="auto"/>
      </w:divBdr>
    </w:div>
    <w:div w:id="1820878128">
      <w:bodyDiv w:val="1"/>
      <w:marLeft w:val="0"/>
      <w:marRight w:val="0"/>
      <w:marTop w:val="0"/>
      <w:marBottom w:val="0"/>
      <w:divBdr>
        <w:top w:val="none" w:sz="0" w:space="0" w:color="auto"/>
        <w:left w:val="none" w:sz="0" w:space="0" w:color="auto"/>
        <w:bottom w:val="none" w:sz="0" w:space="0" w:color="auto"/>
        <w:right w:val="none" w:sz="0" w:space="0" w:color="auto"/>
      </w:divBdr>
    </w:div>
    <w:div w:id="1862816395">
      <w:bodyDiv w:val="1"/>
      <w:marLeft w:val="0"/>
      <w:marRight w:val="0"/>
      <w:marTop w:val="0"/>
      <w:marBottom w:val="0"/>
      <w:divBdr>
        <w:top w:val="none" w:sz="0" w:space="0" w:color="auto"/>
        <w:left w:val="none" w:sz="0" w:space="0" w:color="auto"/>
        <w:bottom w:val="none" w:sz="0" w:space="0" w:color="auto"/>
        <w:right w:val="none" w:sz="0" w:space="0" w:color="auto"/>
      </w:divBdr>
    </w:div>
    <w:div w:id="1866359712">
      <w:bodyDiv w:val="1"/>
      <w:marLeft w:val="0"/>
      <w:marRight w:val="0"/>
      <w:marTop w:val="0"/>
      <w:marBottom w:val="0"/>
      <w:divBdr>
        <w:top w:val="none" w:sz="0" w:space="0" w:color="auto"/>
        <w:left w:val="none" w:sz="0" w:space="0" w:color="auto"/>
        <w:bottom w:val="none" w:sz="0" w:space="0" w:color="auto"/>
        <w:right w:val="none" w:sz="0" w:space="0" w:color="auto"/>
      </w:divBdr>
    </w:div>
    <w:div w:id="1882745613">
      <w:bodyDiv w:val="1"/>
      <w:marLeft w:val="0"/>
      <w:marRight w:val="0"/>
      <w:marTop w:val="0"/>
      <w:marBottom w:val="0"/>
      <w:divBdr>
        <w:top w:val="none" w:sz="0" w:space="0" w:color="auto"/>
        <w:left w:val="none" w:sz="0" w:space="0" w:color="auto"/>
        <w:bottom w:val="none" w:sz="0" w:space="0" w:color="auto"/>
        <w:right w:val="none" w:sz="0" w:space="0" w:color="auto"/>
      </w:divBdr>
    </w:div>
    <w:div w:id="1901820510">
      <w:bodyDiv w:val="1"/>
      <w:marLeft w:val="0"/>
      <w:marRight w:val="0"/>
      <w:marTop w:val="0"/>
      <w:marBottom w:val="0"/>
      <w:divBdr>
        <w:top w:val="none" w:sz="0" w:space="0" w:color="auto"/>
        <w:left w:val="none" w:sz="0" w:space="0" w:color="auto"/>
        <w:bottom w:val="none" w:sz="0" w:space="0" w:color="auto"/>
        <w:right w:val="none" w:sz="0" w:space="0" w:color="auto"/>
      </w:divBdr>
    </w:div>
    <w:div w:id="1903515427">
      <w:bodyDiv w:val="1"/>
      <w:marLeft w:val="0"/>
      <w:marRight w:val="0"/>
      <w:marTop w:val="0"/>
      <w:marBottom w:val="0"/>
      <w:divBdr>
        <w:top w:val="none" w:sz="0" w:space="0" w:color="auto"/>
        <w:left w:val="none" w:sz="0" w:space="0" w:color="auto"/>
        <w:bottom w:val="none" w:sz="0" w:space="0" w:color="auto"/>
        <w:right w:val="none" w:sz="0" w:space="0" w:color="auto"/>
      </w:divBdr>
    </w:div>
    <w:div w:id="1903558825">
      <w:bodyDiv w:val="1"/>
      <w:marLeft w:val="0"/>
      <w:marRight w:val="0"/>
      <w:marTop w:val="0"/>
      <w:marBottom w:val="0"/>
      <w:divBdr>
        <w:top w:val="none" w:sz="0" w:space="0" w:color="auto"/>
        <w:left w:val="none" w:sz="0" w:space="0" w:color="auto"/>
        <w:bottom w:val="none" w:sz="0" w:space="0" w:color="auto"/>
        <w:right w:val="none" w:sz="0" w:space="0" w:color="auto"/>
      </w:divBdr>
    </w:div>
    <w:div w:id="1903712796">
      <w:bodyDiv w:val="1"/>
      <w:marLeft w:val="0"/>
      <w:marRight w:val="0"/>
      <w:marTop w:val="0"/>
      <w:marBottom w:val="0"/>
      <w:divBdr>
        <w:top w:val="none" w:sz="0" w:space="0" w:color="auto"/>
        <w:left w:val="none" w:sz="0" w:space="0" w:color="auto"/>
        <w:bottom w:val="none" w:sz="0" w:space="0" w:color="auto"/>
        <w:right w:val="none" w:sz="0" w:space="0" w:color="auto"/>
      </w:divBdr>
    </w:div>
    <w:div w:id="1957058678">
      <w:bodyDiv w:val="1"/>
      <w:marLeft w:val="0"/>
      <w:marRight w:val="0"/>
      <w:marTop w:val="0"/>
      <w:marBottom w:val="0"/>
      <w:divBdr>
        <w:top w:val="none" w:sz="0" w:space="0" w:color="auto"/>
        <w:left w:val="none" w:sz="0" w:space="0" w:color="auto"/>
        <w:bottom w:val="none" w:sz="0" w:space="0" w:color="auto"/>
        <w:right w:val="none" w:sz="0" w:space="0" w:color="auto"/>
      </w:divBdr>
    </w:div>
    <w:div w:id="1996832092">
      <w:bodyDiv w:val="1"/>
      <w:marLeft w:val="0"/>
      <w:marRight w:val="0"/>
      <w:marTop w:val="0"/>
      <w:marBottom w:val="0"/>
      <w:divBdr>
        <w:top w:val="none" w:sz="0" w:space="0" w:color="auto"/>
        <w:left w:val="none" w:sz="0" w:space="0" w:color="auto"/>
        <w:bottom w:val="none" w:sz="0" w:space="0" w:color="auto"/>
        <w:right w:val="none" w:sz="0" w:space="0" w:color="auto"/>
      </w:divBdr>
    </w:div>
    <w:div w:id="2018605796">
      <w:bodyDiv w:val="1"/>
      <w:marLeft w:val="0"/>
      <w:marRight w:val="0"/>
      <w:marTop w:val="0"/>
      <w:marBottom w:val="0"/>
      <w:divBdr>
        <w:top w:val="none" w:sz="0" w:space="0" w:color="auto"/>
        <w:left w:val="none" w:sz="0" w:space="0" w:color="auto"/>
        <w:bottom w:val="none" w:sz="0" w:space="0" w:color="auto"/>
        <w:right w:val="none" w:sz="0" w:space="0" w:color="auto"/>
      </w:divBdr>
    </w:div>
    <w:div w:id="2049986506">
      <w:bodyDiv w:val="1"/>
      <w:marLeft w:val="0"/>
      <w:marRight w:val="0"/>
      <w:marTop w:val="0"/>
      <w:marBottom w:val="0"/>
      <w:divBdr>
        <w:top w:val="none" w:sz="0" w:space="0" w:color="auto"/>
        <w:left w:val="none" w:sz="0" w:space="0" w:color="auto"/>
        <w:bottom w:val="none" w:sz="0" w:space="0" w:color="auto"/>
        <w:right w:val="none" w:sz="0" w:space="0" w:color="auto"/>
      </w:divBdr>
    </w:div>
    <w:div w:id="2083410354">
      <w:bodyDiv w:val="1"/>
      <w:marLeft w:val="0"/>
      <w:marRight w:val="0"/>
      <w:marTop w:val="0"/>
      <w:marBottom w:val="0"/>
      <w:divBdr>
        <w:top w:val="none" w:sz="0" w:space="0" w:color="auto"/>
        <w:left w:val="none" w:sz="0" w:space="0" w:color="auto"/>
        <w:bottom w:val="none" w:sz="0" w:space="0" w:color="auto"/>
        <w:right w:val="none" w:sz="0" w:space="0" w:color="auto"/>
      </w:divBdr>
    </w:div>
    <w:div w:id="2090106780">
      <w:bodyDiv w:val="1"/>
      <w:marLeft w:val="0"/>
      <w:marRight w:val="0"/>
      <w:marTop w:val="0"/>
      <w:marBottom w:val="0"/>
      <w:divBdr>
        <w:top w:val="none" w:sz="0" w:space="0" w:color="auto"/>
        <w:left w:val="none" w:sz="0" w:space="0" w:color="auto"/>
        <w:bottom w:val="none" w:sz="0" w:space="0" w:color="auto"/>
        <w:right w:val="none" w:sz="0" w:space="0" w:color="auto"/>
      </w:divBdr>
    </w:div>
    <w:div w:id="2092196111">
      <w:bodyDiv w:val="1"/>
      <w:marLeft w:val="0"/>
      <w:marRight w:val="0"/>
      <w:marTop w:val="0"/>
      <w:marBottom w:val="0"/>
      <w:divBdr>
        <w:top w:val="none" w:sz="0" w:space="0" w:color="auto"/>
        <w:left w:val="none" w:sz="0" w:space="0" w:color="auto"/>
        <w:bottom w:val="none" w:sz="0" w:space="0" w:color="auto"/>
        <w:right w:val="none" w:sz="0" w:space="0" w:color="auto"/>
      </w:divBdr>
    </w:div>
    <w:div w:id="2093966508">
      <w:bodyDiv w:val="1"/>
      <w:marLeft w:val="0"/>
      <w:marRight w:val="0"/>
      <w:marTop w:val="0"/>
      <w:marBottom w:val="0"/>
      <w:divBdr>
        <w:top w:val="none" w:sz="0" w:space="0" w:color="auto"/>
        <w:left w:val="none" w:sz="0" w:space="0" w:color="auto"/>
        <w:bottom w:val="none" w:sz="0" w:space="0" w:color="auto"/>
        <w:right w:val="none" w:sz="0" w:space="0" w:color="auto"/>
      </w:divBdr>
    </w:div>
    <w:div w:id="20955410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image" Target="media/image2.emf"/><Relationship Id="rId26" Type="http://schemas.openxmlformats.org/officeDocument/2006/relationships/image" Target="media/image10.emf"/><Relationship Id="rId39" Type="http://schemas.openxmlformats.org/officeDocument/2006/relationships/image" Target="media/image15.emf"/><Relationship Id="rId21" Type="http://schemas.openxmlformats.org/officeDocument/2006/relationships/image" Target="media/image5.emf"/><Relationship Id="rId34" Type="http://schemas.openxmlformats.org/officeDocument/2006/relationships/footer" Target="footer9.xml"/><Relationship Id="rId42" Type="http://schemas.openxmlformats.org/officeDocument/2006/relationships/footer" Target="footer11.xml"/><Relationship Id="rId47" Type="http://schemas.openxmlformats.org/officeDocument/2006/relationships/image" Target="media/image21.emf"/><Relationship Id="rId50" Type="http://schemas.openxmlformats.org/officeDocument/2006/relationships/image" Target="media/image24.emf"/><Relationship Id="rId55" Type="http://schemas.openxmlformats.org/officeDocument/2006/relationships/image" Target="media/image29.emf"/><Relationship Id="rId63" Type="http://schemas.openxmlformats.org/officeDocument/2006/relationships/image" Target="media/image35.emf"/><Relationship Id="rId68" Type="http://schemas.openxmlformats.org/officeDocument/2006/relationships/image" Target="media/image40.emf"/><Relationship Id="rId76" Type="http://schemas.openxmlformats.org/officeDocument/2006/relationships/image" Target="media/image48.emf"/><Relationship Id="rId84"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image" Target="media/image43.emf"/><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image" Target="media/image11.emf"/><Relationship Id="rId11" Type="http://schemas.openxmlformats.org/officeDocument/2006/relationships/footer" Target="footer3.xml"/><Relationship Id="rId24" Type="http://schemas.openxmlformats.org/officeDocument/2006/relationships/image" Target="media/image8.emf"/><Relationship Id="rId32" Type="http://schemas.openxmlformats.org/officeDocument/2006/relationships/image" Target="media/image12.emf"/><Relationship Id="rId37" Type="http://schemas.openxmlformats.org/officeDocument/2006/relationships/footer" Target="footer10.xml"/><Relationship Id="rId40" Type="http://schemas.openxmlformats.org/officeDocument/2006/relationships/image" Target="media/image16.emf"/><Relationship Id="rId45" Type="http://schemas.openxmlformats.org/officeDocument/2006/relationships/image" Target="media/image19.emf"/><Relationship Id="rId53" Type="http://schemas.openxmlformats.org/officeDocument/2006/relationships/image" Target="media/image27.emf"/><Relationship Id="rId58" Type="http://schemas.openxmlformats.org/officeDocument/2006/relationships/image" Target="media/image32.emf"/><Relationship Id="rId66" Type="http://schemas.openxmlformats.org/officeDocument/2006/relationships/image" Target="media/image38.emf"/><Relationship Id="rId74" Type="http://schemas.openxmlformats.org/officeDocument/2006/relationships/image" Target="media/image46.emf"/><Relationship Id="rId79" Type="http://schemas.openxmlformats.org/officeDocument/2006/relationships/header" Target="header8.xml"/><Relationship Id="rId5" Type="http://schemas.openxmlformats.org/officeDocument/2006/relationships/settings" Target="settings.xml"/><Relationship Id="rId61" Type="http://schemas.openxmlformats.org/officeDocument/2006/relationships/footer" Target="footer13.xml"/><Relationship Id="rId82" Type="http://schemas.openxmlformats.org/officeDocument/2006/relationships/footer" Target="footer15.xml"/><Relationship Id="rId10" Type="http://schemas.openxmlformats.org/officeDocument/2006/relationships/footer" Target="footer2.xml"/><Relationship Id="rId19" Type="http://schemas.openxmlformats.org/officeDocument/2006/relationships/image" Target="media/image3.emf"/><Relationship Id="rId31" Type="http://schemas.openxmlformats.org/officeDocument/2006/relationships/footer" Target="footer8.xml"/><Relationship Id="rId44" Type="http://schemas.openxmlformats.org/officeDocument/2006/relationships/image" Target="media/image18.emf"/><Relationship Id="rId52" Type="http://schemas.openxmlformats.org/officeDocument/2006/relationships/image" Target="media/image26.emf"/><Relationship Id="rId60" Type="http://schemas.openxmlformats.org/officeDocument/2006/relationships/footer" Target="footer12.xml"/><Relationship Id="rId65" Type="http://schemas.openxmlformats.org/officeDocument/2006/relationships/image" Target="media/image37.emf"/><Relationship Id="rId73" Type="http://schemas.openxmlformats.org/officeDocument/2006/relationships/image" Target="media/image45.emf"/><Relationship Id="rId78" Type="http://schemas.openxmlformats.org/officeDocument/2006/relationships/image" Target="media/image50.emf"/><Relationship Id="rId81" Type="http://schemas.openxmlformats.org/officeDocument/2006/relationships/footer" Target="footer14.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image" Target="media/image6.emf"/><Relationship Id="rId27" Type="http://schemas.openxmlformats.org/officeDocument/2006/relationships/header" Target="header3.xml"/><Relationship Id="rId30" Type="http://schemas.openxmlformats.org/officeDocument/2006/relationships/header" Target="header4.xml"/><Relationship Id="rId35" Type="http://schemas.openxmlformats.org/officeDocument/2006/relationships/image" Target="media/image13.emf"/><Relationship Id="rId43" Type="http://schemas.openxmlformats.org/officeDocument/2006/relationships/image" Target="media/image17.emf"/><Relationship Id="rId48" Type="http://schemas.openxmlformats.org/officeDocument/2006/relationships/image" Target="media/image22.emf"/><Relationship Id="rId56" Type="http://schemas.openxmlformats.org/officeDocument/2006/relationships/image" Target="media/image30.emf"/><Relationship Id="rId64" Type="http://schemas.openxmlformats.org/officeDocument/2006/relationships/image" Target="media/image36.emf"/><Relationship Id="rId69" Type="http://schemas.openxmlformats.org/officeDocument/2006/relationships/image" Target="media/image41.emf"/><Relationship Id="rId77" Type="http://schemas.openxmlformats.org/officeDocument/2006/relationships/image" Target="media/image49.png"/><Relationship Id="rId8" Type="http://schemas.openxmlformats.org/officeDocument/2006/relationships/endnotes" Target="endnotes.xml"/><Relationship Id="rId51" Type="http://schemas.openxmlformats.org/officeDocument/2006/relationships/image" Target="media/image25.emf"/><Relationship Id="rId72" Type="http://schemas.openxmlformats.org/officeDocument/2006/relationships/image" Target="media/image44.emf"/><Relationship Id="rId80" Type="http://schemas.openxmlformats.org/officeDocument/2006/relationships/header" Target="header9.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1.emf"/><Relationship Id="rId25" Type="http://schemas.openxmlformats.org/officeDocument/2006/relationships/image" Target="media/image9.emf"/><Relationship Id="rId33" Type="http://schemas.openxmlformats.org/officeDocument/2006/relationships/header" Target="header5.xml"/><Relationship Id="rId38" Type="http://schemas.openxmlformats.org/officeDocument/2006/relationships/image" Target="media/image14.emf"/><Relationship Id="rId46" Type="http://schemas.openxmlformats.org/officeDocument/2006/relationships/image" Target="media/image20.emf"/><Relationship Id="rId59" Type="http://schemas.openxmlformats.org/officeDocument/2006/relationships/image" Target="media/image33.emf"/><Relationship Id="rId67" Type="http://schemas.openxmlformats.org/officeDocument/2006/relationships/image" Target="media/image39.emf"/><Relationship Id="rId20" Type="http://schemas.openxmlformats.org/officeDocument/2006/relationships/image" Target="media/image4.emf"/><Relationship Id="rId41" Type="http://schemas.openxmlformats.org/officeDocument/2006/relationships/header" Target="header7.xml"/><Relationship Id="rId54" Type="http://schemas.openxmlformats.org/officeDocument/2006/relationships/image" Target="media/image28.emf"/><Relationship Id="rId62" Type="http://schemas.openxmlformats.org/officeDocument/2006/relationships/image" Target="media/image34.emf"/><Relationship Id="rId70" Type="http://schemas.openxmlformats.org/officeDocument/2006/relationships/image" Target="media/image42.emf"/><Relationship Id="rId75" Type="http://schemas.openxmlformats.org/officeDocument/2006/relationships/image" Target="media/image47.emf"/><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image" Target="media/image7.emf"/><Relationship Id="rId28" Type="http://schemas.openxmlformats.org/officeDocument/2006/relationships/footer" Target="footer7.xml"/><Relationship Id="rId36" Type="http://schemas.openxmlformats.org/officeDocument/2006/relationships/header" Target="header6.xml"/><Relationship Id="rId49" Type="http://schemas.openxmlformats.org/officeDocument/2006/relationships/image" Target="media/image23.emf"/><Relationship Id="rId57" Type="http://schemas.openxmlformats.org/officeDocument/2006/relationships/image" Target="media/image3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F0CD3-7DE8-44BF-8B4A-8BCB8C253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52</Pages>
  <Words>19855</Words>
  <Characters>117886</Characters>
  <Application>Microsoft Office Word</Application>
  <DocSecurity>0</DocSecurity>
  <Lines>982</Lines>
  <Paragraphs>274</Paragraphs>
  <ScaleCrop>false</ScaleCrop>
  <HeadingPairs>
    <vt:vector size="2" baseType="variant">
      <vt:variant>
        <vt:lpstr>Název</vt:lpstr>
      </vt:variant>
      <vt:variant>
        <vt:i4>1</vt:i4>
      </vt:variant>
    </vt:vector>
  </HeadingPairs>
  <TitlesOfParts>
    <vt:vector size="1" baseType="lpstr">
      <vt:lpstr>Fiskální výhled České republiky (listopad 2018)</vt:lpstr>
    </vt:vector>
  </TitlesOfParts>
  <Company>Ministerstvo financí</Company>
  <LinksUpToDate>false</LinksUpToDate>
  <CharactersWithSpaces>137467</CharactersWithSpaces>
  <SharedDoc>false</SharedDoc>
  <HLinks>
    <vt:vector size="336" baseType="variant">
      <vt:variant>
        <vt:i4>1114170</vt:i4>
      </vt:variant>
      <vt:variant>
        <vt:i4>335</vt:i4>
      </vt:variant>
      <vt:variant>
        <vt:i4>0</vt:i4>
      </vt:variant>
      <vt:variant>
        <vt:i4>5</vt:i4>
      </vt:variant>
      <vt:variant>
        <vt:lpwstr/>
      </vt:variant>
      <vt:variant>
        <vt:lpwstr>_Toc14941731</vt:lpwstr>
      </vt:variant>
      <vt:variant>
        <vt:i4>1376319</vt:i4>
      </vt:variant>
      <vt:variant>
        <vt:i4>326</vt:i4>
      </vt:variant>
      <vt:variant>
        <vt:i4>0</vt:i4>
      </vt:variant>
      <vt:variant>
        <vt:i4>5</vt:i4>
      </vt:variant>
      <vt:variant>
        <vt:lpwstr/>
      </vt:variant>
      <vt:variant>
        <vt:lpwstr>_Toc14791689</vt:lpwstr>
      </vt:variant>
      <vt:variant>
        <vt:i4>1310783</vt:i4>
      </vt:variant>
      <vt:variant>
        <vt:i4>320</vt:i4>
      </vt:variant>
      <vt:variant>
        <vt:i4>0</vt:i4>
      </vt:variant>
      <vt:variant>
        <vt:i4>5</vt:i4>
      </vt:variant>
      <vt:variant>
        <vt:lpwstr/>
      </vt:variant>
      <vt:variant>
        <vt:lpwstr>_Toc14791688</vt:lpwstr>
      </vt:variant>
      <vt:variant>
        <vt:i4>1769535</vt:i4>
      </vt:variant>
      <vt:variant>
        <vt:i4>314</vt:i4>
      </vt:variant>
      <vt:variant>
        <vt:i4>0</vt:i4>
      </vt:variant>
      <vt:variant>
        <vt:i4>5</vt:i4>
      </vt:variant>
      <vt:variant>
        <vt:lpwstr/>
      </vt:variant>
      <vt:variant>
        <vt:lpwstr>_Toc14791687</vt:lpwstr>
      </vt:variant>
      <vt:variant>
        <vt:i4>1703999</vt:i4>
      </vt:variant>
      <vt:variant>
        <vt:i4>308</vt:i4>
      </vt:variant>
      <vt:variant>
        <vt:i4>0</vt:i4>
      </vt:variant>
      <vt:variant>
        <vt:i4>5</vt:i4>
      </vt:variant>
      <vt:variant>
        <vt:lpwstr/>
      </vt:variant>
      <vt:variant>
        <vt:lpwstr>_Toc14791686</vt:lpwstr>
      </vt:variant>
      <vt:variant>
        <vt:i4>1638463</vt:i4>
      </vt:variant>
      <vt:variant>
        <vt:i4>302</vt:i4>
      </vt:variant>
      <vt:variant>
        <vt:i4>0</vt:i4>
      </vt:variant>
      <vt:variant>
        <vt:i4>5</vt:i4>
      </vt:variant>
      <vt:variant>
        <vt:lpwstr/>
      </vt:variant>
      <vt:variant>
        <vt:lpwstr>_Toc14791685</vt:lpwstr>
      </vt:variant>
      <vt:variant>
        <vt:i4>1572927</vt:i4>
      </vt:variant>
      <vt:variant>
        <vt:i4>296</vt:i4>
      </vt:variant>
      <vt:variant>
        <vt:i4>0</vt:i4>
      </vt:variant>
      <vt:variant>
        <vt:i4>5</vt:i4>
      </vt:variant>
      <vt:variant>
        <vt:lpwstr/>
      </vt:variant>
      <vt:variant>
        <vt:lpwstr>_Toc14791684</vt:lpwstr>
      </vt:variant>
      <vt:variant>
        <vt:i4>2031679</vt:i4>
      </vt:variant>
      <vt:variant>
        <vt:i4>290</vt:i4>
      </vt:variant>
      <vt:variant>
        <vt:i4>0</vt:i4>
      </vt:variant>
      <vt:variant>
        <vt:i4>5</vt:i4>
      </vt:variant>
      <vt:variant>
        <vt:lpwstr/>
      </vt:variant>
      <vt:variant>
        <vt:lpwstr>_Toc14791683</vt:lpwstr>
      </vt:variant>
      <vt:variant>
        <vt:i4>1966143</vt:i4>
      </vt:variant>
      <vt:variant>
        <vt:i4>284</vt:i4>
      </vt:variant>
      <vt:variant>
        <vt:i4>0</vt:i4>
      </vt:variant>
      <vt:variant>
        <vt:i4>5</vt:i4>
      </vt:variant>
      <vt:variant>
        <vt:lpwstr/>
      </vt:variant>
      <vt:variant>
        <vt:lpwstr>_Toc14791682</vt:lpwstr>
      </vt:variant>
      <vt:variant>
        <vt:i4>1900607</vt:i4>
      </vt:variant>
      <vt:variant>
        <vt:i4>278</vt:i4>
      </vt:variant>
      <vt:variant>
        <vt:i4>0</vt:i4>
      </vt:variant>
      <vt:variant>
        <vt:i4>5</vt:i4>
      </vt:variant>
      <vt:variant>
        <vt:lpwstr/>
      </vt:variant>
      <vt:variant>
        <vt:lpwstr>_Toc14791681</vt:lpwstr>
      </vt:variant>
      <vt:variant>
        <vt:i4>1835071</vt:i4>
      </vt:variant>
      <vt:variant>
        <vt:i4>272</vt:i4>
      </vt:variant>
      <vt:variant>
        <vt:i4>0</vt:i4>
      </vt:variant>
      <vt:variant>
        <vt:i4>5</vt:i4>
      </vt:variant>
      <vt:variant>
        <vt:lpwstr/>
      </vt:variant>
      <vt:variant>
        <vt:lpwstr>_Toc14791680</vt:lpwstr>
      </vt:variant>
      <vt:variant>
        <vt:i4>1376304</vt:i4>
      </vt:variant>
      <vt:variant>
        <vt:i4>266</vt:i4>
      </vt:variant>
      <vt:variant>
        <vt:i4>0</vt:i4>
      </vt:variant>
      <vt:variant>
        <vt:i4>5</vt:i4>
      </vt:variant>
      <vt:variant>
        <vt:lpwstr/>
      </vt:variant>
      <vt:variant>
        <vt:lpwstr>_Toc14791679</vt:lpwstr>
      </vt:variant>
      <vt:variant>
        <vt:i4>1310768</vt:i4>
      </vt:variant>
      <vt:variant>
        <vt:i4>260</vt:i4>
      </vt:variant>
      <vt:variant>
        <vt:i4>0</vt:i4>
      </vt:variant>
      <vt:variant>
        <vt:i4>5</vt:i4>
      </vt:variant>
      <vt:variant>
        <vt:lpwstr/>
      </vt:variant>
      <vt:variant>
        <vt:lpwstr>_Toc14791678</vt:lpwstr>
      </vt:variant>
      <vt:variant>
        <vt:i4>1769520</vt:i4>
      </vt:variant>
      <vt:variant>
        <vt:i4>254</vt:i4>
      </vt:variant>
      <vt:variant>
        <vt:i4>0</vt:i4>
      </vt:variant>
      <vt:variant>
        <vt:i4>5</vt:i4>
      </vt:variant>
      <vt:variant>
        <vt:lpwstr/>
      </vt:variant>
      <vt:variant>
        <vt:lpwstr>_Toc14791677</vt:lpwstr>
      </vt:variant>
      <vt:variant>
        <vt:i4>1703984</vt:i4>
      </vt:variant>
      <vt:variant>
        <vt:i4>248</vt:i4>
      </vt:variant>
      <vt:variant>
        <vt:i4>0</vt:i4>
      </vt:variant>
      <vt:variant>
        <vt:i4>5</vt:i4>
      </vt:variant>
      <vt:variant>
        <vt:lpwstr/>
      </vt:variant>
      <vt:variant>
        <vt:lpwstr>_Toc14791676</vt:lpwstr>
      </vt:variant>
      <vt:variant>
        <vt:i4>1638448</vt:i4>
      </vt:variant>
      <vt:variant>
        <vt:i4>242</vt:i4>
      </vt:variant>
      <vt:variant>
        <vt:i4>0</vt:i4>
      </vt:variant>
      <vt:variant>
        <vt:i4>5</vt:i4>
      </vt:variant>
      <vt:variant>
        <vt:lpwstr/>
      </vt:variant>
      <vt:variant>
        <vt:lpwstr>_Toc14791675</vt:lpwstr>
      </vt:variant>
      <vt:variant>
        <vt:i4>1572912</vt:i4>
      </vt:variant>
      <vt:variant>
        <vt:i4>236</vt:i4>
      </vt:variant>
      <vt:variant>
        <vt:i4>0</vt:i4>
      </vt:variant>
      <vt:variant>
        <vt:i4>5</vt:i4>
      </vt:variant>
      <vt:variant>
        <vt:lpwstr/>
      </vt:variant>
      <vt:variant>
        <vt:lpwstr>_Toc14791674</vt:lpwstr>
      </vt:variant>
      <vt:variant>
        <vt:i4>2031664</vt:i4>
      </vt:variant>
      <vt:variant>
        <vt:i4>230</vt:i4>
      </vt:variant>
      <vt:variant>
        <vt:i4>0</vt:i4>
      </vt:variant>
      <vt:variant>
        <vt:i4>5</vt:i4>
      </vt:variant>
      <vt:variant>
        <vt:lpwstr/>
      </vt:variant>
      <vt:variant>
        <vt:lpwstr>_Toc14791673</vt:lpwstr>
      </vt:variant>
      <vt:variant>
        <vt:i4>1966128</vt:i4>
      </vt:variant>
      <vt:variant>
        <vt:i4>224</vt:i4>
      </vt:variant>
      <vt:variant>
        <vt:i4>0</vt:i4>
      </vt:variant>
      <vt:variant>
        <vt:i4>5</vt:i4>
      </vt:variant>
      <vt:variant>
        <vt:lpwstr/>
      </vt:variant>
      <vt:variant>
        <vt:lpwstr>_Toc14791672</vt:lpwstr>
      </vt:variant>
      <vt:variant>
        <vt:i4>1900592</vt:i4>
      </vt:variant>
      <vt:variant>
        <vt:i4>218</vt:i4>
      </vt:variant>
      <vt:variant>
        <vt:i4>0</vt:i4>
      </vt:variant>
      <vt:variant>
        <vt:i4>5</vt:i4>
      </vt:variant>
      <vt:variant>
        <vt:lpwstr/>
      </vt:variant>
      <vt:variant>
        <vt:lpwstr>_Toc14791671</vt:lpwstr>
      </vt:variant>
      <vt:variant>
        <vt:i4>1835056</vt:i4>
      </vt:variant>
      <vt:variant>
        <vt:i4>212</vt:i4>
      </vt:variant>
      <vt:variant>
        <vt:i4>0</vt:i4>
      </vt:variant>
      <vt:variant>
        <vt:i4>5</vt:i4>
      </vt:variant>
      <vt:variant>
        <vt:lpwstr/>
      </vt:variant>
      <vt:variant>
        <vt:lpwstr>_Toc14791670</vt:lpwstr>
      </vt:variant>
      <vt:variant>
        <vt:i4>1376305</vt:i4>
      </vt:variant>
      <vt:variant>
        <vt:i4>206</vt:i4>
      </vt:variant>
      <vt:variant>
        <vt:i4>0</vt:i4>
      </vt:variant>
      <vt:variant>
        <vt:i4>5</vt:i4>
      </vt:variant>
      <vt:variant>
        <vt:lpwstr/>
      </vt:variant>
      <vt:variant>
        <vt:lpwstr>_Toc14791669</vt:lpwstr>
      </vt:variant>
      <vt:variant>
        <vt:i4>1310769</vt:i4>
      </vt:variant>
      <vt:variant>
        <vt:i4>200</vt:i4>
      </vt:variant>
      <vt:variant>
        <vt:i4>0</vt:i4>
      </vt:variant>
      <vt:variant>
        <vt:i4>5</vt:i4>
      </vt:variant>
      <vt:variant>
        <vt:lpwstr/>
      </vt:variant>
      <vt:variant>
        <vt:lpwstr>_Toc14791668</vt:lpwstr>
      </vt:variant>
      <vt:variant>
        <vt:i4>1769521</vt:i4>
      </vt:variant>
      <vt:variant>
        <vt:i4>194</vt:i4>
      </vt:variant>
      <vt:variant>
        <vt:i4>0</vt:i4>
      </vt:variant>
      <vt:variant>
        <vt:i4>5</vt:i4>
      </vt:variant>
      <vt:variant>
        <vt:lpwstr/>
      </vt:variant>
      <vt:variant>
        <vt:lpwstr>_Toc14791667</vt:lpwstr>
      </vt:variant>
      <vt:variant>
        <vt:i4>1703985</vt:i4>
      </vt:variant>
      <vt:variant>
        <vt:i4>188</vt:i4>
      </vt:variant>
      <vt:variant>
        <vt:i4>0</vt:i4>
      </vt:variant>
      <vt:variant>
        <vt:i4>5</vt:i4>
      </vt:variant>
      <vt:variant>
        <vt:lpwstr/>
      </vt:variant>
      <vt:variant>
        <vt:lpwstr>_Toc14791666</vt:lpwstr>
      </vt:variant>
      <vt:variant>
        <vt:i4>1638449</vt:i4>
      </vt:variant>
      <vt:variant>
        <vt:i4>182</vt:i4>
      </vt:variant>
      <vt:variant>
        <vt:i4>0</vt:i4>
      </vt:variant>
      <vt:variant>
        <vt:i4>5</vt:i4>
      </vt:variant>
      <vt:variant>
        <vt:lpwstr/>
      </vt:variant>
      <vt:variant>
        <vt:lpwstr>_Toc14791665</vt:lpwstr>
      </vt:variant>
      <vt:variant>
        <vt:i4>1572913</vt:i4>
      </vt:variant>
      <vt:variant>
        <vt:i4>176</vt:i4>
      </vt:variant>
      <vt:variant>
        <vt:i4>0</vt:i4>
      </vt:variant>
      <vt:variant>
        <vt:i4>5</vt:i4>
      </vt:variant>
      <vt:variant>
        <vt:lpwstr/>
      </vt:variant>
      <vt:variant>
        <vt:lpwstr>_Toc14791664</vt:lpwstr>
      </vt:variant>
      <vt:variant>
        <vt:i4>2031665</vt:i4>
      </vt:variant>
      <vt:variant>
        <vt:i4>170</vt:i4>
      </vt:variant>
      <vt:variant>
        <vt:i4>0</vt:i4>
      </vt:variant>
      <vt:variant>
        <vt:i4>5</vt:i4>
      </vt:variant>
      <vt:variant>
        <vt:lpwstr/>
      </vt:variant>
      <vt:variant>
        <vt:lpwstr>_Toc14791663</vt:lpwstr>
      </vt:variant>
      <vt:variant>
        <vt:i4>1966129</vt:i4>
      </vt:variant>
      <vt:variant>
        <vt:i4>164</vt:i4>
      </vt:variant>
      <vt:variant>
        <vt:i4>0</vt:i4>
      </vt:variant>
      <vt:variant>
        <vt:i4>5</vt:i4>
      </vt:variant>
      <vt:variant>
        <vt:lpwstr/>
      </vt:variant>
      <vt:variant>
        <vt:lpwstr>_Toc14791662</vt:lpwstr>
      </vt:variant>
      <vt:variant>
        <vt:i4>1900593</vt:i4>
      </vt:variant>
      <vt:variant>
        <vt:i4>158</vt:i4>
      </vt:variant>
      <vt:variant>
        <vt:i4>0</vt:i4>
      </vt:variant>
      <vt:variant>
        <vt:i4>5</vt:i4>
      </vt:variant>
      <vt:variant>
        <vt:lpwstr/>
      </vt:variant>
      <vt:variant>
        <vt:lpwstr>_Toc14791661</vt:lpwstr>
      </vt:variant>
      <vt:variant>
        <vt:i4>1835057</vt:i4>
      </vt:variant>
      <vt:variant>
        <vt:i4>152</vt:i4>
      </vt:variant>
      <vt:variant>
        <vt:i4>0</vt:i4>
      </vt:variant>
      <vt:variant>
        <vt:i4>5</vt:i4>
      </vt:variant>
      <vt:variant>
        <vt:lpwstr/>
      </vt:variant>
      <vt:variant>
        <vt:lpwstr>_Toc14791660</vt:lpwstr>
      </vt:variant>
      <vt:variant>
        <vt:i4>1376306</vt:i4>
      </vt:variant>
      <vt:variant>
        <vt:i4>146</vt:i4>
      </vt:variant>
      <vt:variant>
        <vt:i4>0</vt:i4>
      </vt:variant>
      <vt:variant>
        <vt:i4>5</vt:i4>
      </vt:variant>
      <vt:variant>
        <vt:lpwstr/>
      </vt:variant>
      <vt:variant>
        <vt:lpwstr>_Toc14791659</vt:lpwstr>
      </vt:variant>
      <vt:variant>
        <vt:i4>1310770</vt:i4>
      </vt:variant>
      <vt:variant>
        <vt:i4>140</vt:i4>
      </vt:variant>
      <vt:variant>
        <vt:i4>0</vt:i4>
      </vt:variant>
      <vt:variant>
        <vt:i4>5</vt:i4>
      </vt:variant>
      <vt:variant>
        <vt:lpwstr/>
      </vt:variant>
      <vt:variant>
        <vt:lpwstr>_Toc14791658</vt:lpwstr>
      </vt:variant>
      <vt:variant>
        <vt:i4>1769522</vt:i4>
      </vt:variant>
      <vt:variant>
        <vt:i4>134</vt:i4>
      </vt:variant>
      <vt:variant>
        <vt:i4>0</vt:i4>
      </vt:variant>
      <vt:variant>
        <vt:i4>5</vt:i4>
      </vt:variant>
      <vt:variant>
        <vt:lpwstr/>
      </vt:variant>
      <vt:variant>
        <vt:lpwstr>_Toc14791657</vt:lpwstr>
      </vt:variant>
      <vt:variant>
        <vt:i4>1703986</vt:i4>
      </vt:variant>
      <vt:variant>
        <vt:i4>128</vt:i4>
      </vt:variant>
      <vt:variant>
        <vt:i4>0</vt:i4>
      </vt:variant>
      <vt:variant>
        <vt:i4>5</vt:i4>
      </vt:variant>
      <vt:variant>
        <vt:lpwstr/>
      </vt:variant>
      <vt:variant>
        <vt:lpwstr>_Toc14791656</vt:lpwstr>
      </vt:variant>
      <vt:variant>
        <vt:i4>1638450</vt:i4>
      </vt:variant>
      <vt:variant>
        <vt:i4>122</vt:i4>
      </vt:variant>
      <vt:variant>
        <vt:i4>0</vt:i4>
      </vt:variant>
      <vt:variant>
        <vt:i4>5</vt:i4>
      </vt:variant>
      <vt:variant>
        <vt:lpwstr/>
      </vt:variant>
      <vt:variant>
        <vt:lpwstr>_Toc14791655</vt:lpwstr>
      </vt:variant>
      <vt:variant>
        <vt:i4>1572914</vt:i4>
      </vt:variant>
      <vt:variant>
        <vt:i4>116</vt:i4>
      </vt:variant>
      <vt:variant>
        <vt:i4>0</vt:i4>
      </vt:variant>
      <vt:variant>
        <vt:i4>5</vt:i4>
      </vt:variant>
      <vt:variant>
        <vt:lpwstr/>
      </vt:variant>
      <vt:variant>
        <vt:lpwstr>_Toc14791654</vt:lpwstr>
      </vt:variant>
      <vt:variant>
        <vt:i4>2031666</vt:i4>
      </vt:variant>
      <vt:variant>
        <vt:i4>110</vt:i4>
      </vt:variant>
      <vt:variant>
        <vt:i4>0</vt:i4>
      </vt:variant>
      <vt:variant>
        <vt:i4>5</vt:i4>
      </vt:variant>
      <vt:variant>
        <vt:lpwstr/>
      </vt:variant>
      <vt:variant>
        <vt:lpwstr>_Toc14791653</vt:lpwstr>
      </vt:variant>
      <vt:variant>
        <vt:i4>1966130</vt:i4>
      </vt:variant>
      <vt:variant>
        <vt:i4>104</vt:i4>
      </vt:variant>
      <vt:variant>
        <vt:i4>0</vt:i4>
      </vt:variant>
      <vt:variant>
        <vt:i4>5</vt:i4>
      </vt:variant>
      <vt:variant>
        <vt:lpwstr/>
      </vt:variant>
      <vt:variant>
        <vt:lpwstr>_Toc14791652</vt:lpwstr>
      </vt:variant>
      <vt:variant>
        <vt:i4>1900594</vt:i4>
      </vt:variant>
      <vt:variant>
        <vt:i4>98</vt:i4>
      </vt:variant>
      <vt:variant>
        <vt:i4>0</vt:i4>
      </vt:variant>
      <vt:variant>
        <vt:i4>5</vt:i4>
      </vt:variant>
      <vt:variant>
        <vt:lpwstr/>
      </vt:variant>
      <vt:variant>
        <vt:lpwstr>_Toc14791651</vt:lpwstr>
      </vt:variant>
      <vt:variant>
        <vt:i4>1835058</vt:i4>
      </vt:variant>
      <vt:variant>
        <vt:i4>92</vt:i4>
      </vt:variant>
      <vt:variant>
        <vt:i4>0</vt:i4>
      </vt:variant>
      <vt:variant>
        <vt:i4>5</vt:i4>
      </vt:variant>
      <vt:variant>
        <vt:lpwstr/>
      </vt:variant>
      <vt:variant>
        <vt:lpwstr>_Toc14791650</vt:lpwstr>
      </vt:variant>
      <vt:variant>
        <vt:i4>1376307</vt:i4>
      </vt:variant>
      <vt:variant>
        <vt:i4>86</vt:i4>
      </vt:variant>
      <vt:variant>
        <vt:i4>0</vt:i4>
      </vt:variant>
      <vt:variant>
        <vt:i4>5</vt:i4>
      </vt:variant>
      <vt:variant>
        <vt:lpwstr/>
      </vt:variant>
      <vt:variant>
        <vt:lpwstr>_Toc14791649</vt:lpwstr>
      </vt:variant>
      <vt:variant>
        <vt:i4>1310771</vt:i4>
      </vt:variant>
      <vt:variant>
        <vt:i4>80</vt:i4>
      </vt:variant>
      <vt:variant>
        <vt:i4>0</vt:i4>
      </vt:variant>
      <vt:variant>
        <vt:i4>5</vt:i4>
      </vt:variant>
      <vt:variant>
        <vt:lpwstr/>
      </vt:variant>
      <vt:variant>
        <vt:lpwstr>_Toc14791648</vt:lpwstr>
      </vt:variant>
      <vt:variant>
        <vt:i4>1769523</vt:i4>
      </vt:variant>
      <vt:variant>
        <vt:i4>74</vt:i4>
      </vt:variant>
      <vt:variant>
        <vt:i4>0</vt:i4>
      </vt:variant>
      <vt:variant>
        <vt:i4>5</vt:i4>
      </vt:variant>
      <vt:variant>
        <vt:lpwstr/>
      </vt:variant>
      <vt:variant>
        <vt:lpwstr>_Toc14791647</vt:lpwstr>
      </vt:variant>
      <vt:variant>
        <vt:i4>1703987</vt:i4>
      </vt:variant>
      <vt:variant>
        <vt:i4>68</vt:i4>
      </vt:variant>
      <vt:variant>
        <vt:i4>0</vt:i4>
      </vt:variant>
      <vt:variant>
        <vt:i4>5</vt:i4>
      </vt:variant>
      <vt:variant>
        <vt:lpwstr/>
      </vt:variant>
      <vt:variant>
        <vt:lpwstr>_Toc14791646</vt:lpwstr>
      </vt:variant>
      <vt:variant>
        <vt:i4>1638451</vt:i4>
      </vt:variant>
      <vt:variant>
        <vt:i4>62</vt:i4>
      </vt:variant>
      <vt:variant>
        <vt:i4>0</vt:i4>
      </vt:variant>
      <vt:variant>
        <vt:i4>5</vt:i4>
      </vt:variant>
      <vt:variant>
        <vt:lpwstr/>
      </vt:variant>
      <vt:variant>
        <vt:lpwstr>_Toc14791645</vt:lpwstr>
      </vt:variant>
      <vt:variant>
        <vt:i4>1572915</vt:i4>
      </vt:variant>
      <vt:variant>
        <vt:i4>56</vt:i4>
      </vt:variant>
      <vt:variant>
        <vt:i4>0</vt:i4>
      </vt:variant>
      <vt:variant>
        <vt:i4>5</vt:i4>
      </vt:variant>
      <vt:variant>
        <vt:lpwstr/>
      </vt:variant>
      <vt:variant>
        <vt:lpwstr>_Toc14791644</vt:lpwstr>
      </vt:variant>
      <vt:variant>
        <vt:i4>2031667</vt:i4>
      </vt:variant>
      <vt:variant>
        <vt:i4>50</vt:i4>
      </vt:variant>
      <vt:variant>
        <vt:i4>0</vt:i4>
      </vt:variant>
      <vt:variant>
        <vt:i4>5</vt:i4>
      </vt:variant>
      <vt:variant>
        <vt:lpwstr/>
      </vt:variant>
      <vt:variant>
        <vt:lpwstr>_Toc14791643</vt:lpwstr>
      </vt:variant>
      <vt:variant>
        <vt:i4>1966131</vt:i4>
      </vt:variant>
      <vt:variant>
        <vt:i4>44</vt:i4>
      </vt:variant>
      <vt:variant>
        <vt:i4>0</vt:i4>
      </vt:variant>
      <vt:variant>
        <vt:i4>5</vt:i4>
      </vt:variant>
      <vt:variant>
        <vt:lpwstr/>
      </vt:variant>
      <vt:variant>
        <vt:lpwstr>_Toc14791642</vt:lpwstr>
      </vt:variant>
      <vt:variant>
        <vt:i4>1900595</vt:i4>
      </vt:variant>
      <vt:variant>
        <vt:i4>38</vt:i4>
      </vt:variant>
      <vt:variant>
        <vt:i4>0</vt:i4>
      </vt:variant>
      <vt:variant>
        <vt:i4>5</vt:i4>
      </vt:variant>
      <vt:variant>
        <vt:lpwstr/>
      </vt:variant>
      <vt:variant>
        <vt:lpwstr>_Toc14791641</vt:lpwstr>
      </vt:variant>
      <vt:variant>
        <vt:i4>1835059</vt:i4>
      </vt:variant>
      <vt:variant>
        <vt:i4>32</vt:i4>
      </vt:variant>
      <vt:variant>
        <vt:i4>0</vt:i4>
      </vt:variant>
      <vt:variant>
        <vt:i4>5</vt:i4>
      </vt:variant>
      <vt:variant>
        <vt:lpwstr/>
      </vt:variant>
      <vt:variant>
        <vt:lpwstr>_Toc14791640</vt:lpwstr>
      </vt:variant>
      <vt:variant>
        <vt:i4>1376308</vt:i4>
      </vt:variant>
      <vt:variant>
        <vt:i4>26</vt:i4>
      </vt:variant>
      <vt:variant>
        <vt:i4>0</vt:i4>
      </vt:variant>
      <vt:variant>
        <vt:i4>5</vt:i4>
      </vt:variant>
      <vt:variant>
        <vt:lpwstr/>
      </vt:variant>
      <vt:variant>
        <vt:lpwstr>_Toc14791639</vt:lpwstr>
      </vt:variant>
      <vt:variant>
        <vt:i4>1310772</vt:i4>
      </vt:variant>
      <vt:variant>
        <vt:i4>20</vt:i4>
      </vt:variant>
      <vt:variant>
        <vt:i4>0</vt:i4>
      </vt:variant>
      <vt:variant>
        <vt:i4>5</vt:i4>
      </vt:variant>
      <vt:variant>
        <vt:lpwstr/>
      </vt:variant>
      <vt:variant>
        <vt:lpwstr>_Toc14791638</vt:lpwstr>
      </vt:variant>
      <vt:variant>
        <vt:i4>1769524</vt:i4>
      </vt:variant>
      <vt:variant>
        <vt:i4>14</vt:i4>
      </vt:variant>
      <vt:variant>
        <vt:i4>0</vt:i4>
      </vt:variant>
      <vt:variant>
        <vt:i4>5</vt:i4>
      </vt:variant>
      <vt:variant>
        <vt:lpwstr/>
      </vt:variant>
      <vt:variant>
        <vt:lpwstr>_Toc14791637</vt:lpwstr>
      </vt:variant>
      <vt:variant>
        <vt:i4>1703988</vt:i4>
      </vt:variant>
      <vt:variant>
        <vt:i4>8</vt:i4>
      </vt:variant>
      <vt:variant>
        <vt:i4>0</vt:i4>
      </vt:variant>
      <vt:variant>
        <vt:i4>5</vt:i4>
      </vt:variant>
      <vt:variant>
        <vt:lpwstr/>
      </vt:variant>
      <vt:variant>
        <vt:lpwstr>_Toc14791636</vt:lpwstr>
      </vt:variant>
      <vt:variant>
        <vt:i4>1638452</vt:i4>
      </vt:variant>
      <vt:variant>
        <vt:i4>2</vt:i4>
      </vt:variant>
      <vt:variant>
        <vt:i4>0</vt:i4>
      </vt:variant>
      <vt:variant>
        <vt:i4>5</vt:i4>
      </vt:variant>
      <vt:variant>
        <vt:lpwstr/>
      </vt:variant>
      <vt:variant>
        <vt:lpwstr>_Toc14791635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Fiskální výhled České republiky (listopad 2018)</dc:title>
  <dc:creator>Ministerstvo financí České republiky;Odbor Hospodářská politika;Martin.Kolitsch@mfcr.cz</dc:creator>
  <cp:keywords>fiskální politika, fiskální predikce, výhled, deficit, dluh, fiskální úsilí, fiskální impulz</cp:keywords>
  <cp:lastModifiedBy>Kolitsch Martin Ing.</cp:lastModifiedBy>
  <cp:revision>8</cp:revision>
  <cp:lastPrinted>2021-09-30T08:00:00Z</cp:lastPrinted>
  <dcterms:created xsi:type="dcterms:W3CDTF">2021-09-30T06:22:00Z</dcterms:created>
  <dcterms:modified xsi:type="dcterms:W3CDTF">2021-09-30T08:00:00Z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azyk">
    <vt:lpwstr>český</vt:lpwstr>
  </property>
  <property fmtid="{D5CDD505-2E9C-101B-9397-08002B2CF9AE}" pid="3" name="Odkaz">
    <vt:lpwstr>http://www.mfcr.cz/fiskalnivyhled</vt:lpwstr>
  </property>
</Properties>
</file>