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738" w:rsidRPr="00554A21" w:rsidRDefault="00EE3738" w:rsidP="00EE3738">
      <w:r w:rsidRPr="00554A21">
        <w:t>Ministerstvo financí</w:t>
      </w:r>
    </w:p>
    <w:p w:rsidR="00EE3738" w:rsidRPr="00D7651B" w:rsidRDefault="00EE3738" w:rsidP="00EE3738">
      <w:r w:rsidRPr="00D7651B">
        <w:t>Čj.: MF – 18 777/2021/1104-</w:t>
      </w:r>
      <w:r w:rsidR="00B6219C">
        <w:t>61</w:t>
      </w:r>
    </w:p>
    <w:p w:rsidR="00EE3738" w:rsidRPr="00554A21" w:rsidRDefault="00EE3738" w:rsidP="00EE3738"/>
    <w:p w:rsidR="00EE3738" w:rsidRPr="00554A21" w:rsidRDefault="00EE3738" w:rsidP="00EE3738"/>
    <w:p w:rsidR="00EE3738" w:rsidRPr="00554A21" w:rsidRDefault="00EE3738" w:rsidP="00EE3738"/>
    <w:p w:rsidR="00EE3738" w:rsidRPr="00554A21" w:rsidRDefault="00EE3738" w:rsidP="00EE3738"/>
    <w:p w:rsidR="00EE3738" w:rsidRPr="00554A21" w:rsidRDefault="00EE3738" w:rsidP="00EE3738"/>
    <w:p w:rsidR="00EE3738" w:rsidRPr="00554A21" w:rsidRDefault="00EE3738" w:rsidP="00EE3738"/>
    <w:p w:rsidR="00EE3738" w:rsidRPr="00554A21" w:rsidRDefault="00EE3738" w:rsidP="00EE3738"/>
    <w:p w:rsidR="00EE3738" w:rsidRPr="00554A21" w:rsidRDefault="00EE3738" w:rsidP="00EE3738"/>
    <w:p w:rsidR="00EE3738" w:rsidRPr="00554A21" w:rsidRDefault="00EE3738" w:rsidP="00EE3738"/>
    <w:p w:rsidR="00EE3738" w:rsidRPr="00554A21" w:rsidRDefault="00EE3738" w:rsidP="00EE3738"/>
    <w:p w:rsidR="00EE3738" w:rsidRPr="00554A21" w:rsidRDefault="00EE3738" w:rsidP="00EE3738"/>
    <w:p w:rsidR="00EE3738" w:rsidRPr="00554A21" w:rsidRDefault="00EE3738" w:rsidP="00EE3738"/>
    <w:p w:rsidR="00EE3738" w:rsidRPr="00554A21" w:rsidRDefault="00EE3738" w:rsidP="00EE3738"/>
    <w:p w:rsidR="00EE3738" w:rsidRPr="00554A21" w:rsidRDefault="00EE3738" w:rsidP="00EE3738">
      <w:pPr>
        <w:rPr>
          <w:sz w:val="44"/>
        </w:rPr>
      </w:pPr>
    </w:p>
    <w:p w:rsidR="00EE3738" w:rsidRPr="00554A21" w:rsidRDefault="000859AE" w:rsidP="00EE3738">
      <w:pPr>
        <w:jc w:val="center"/>
        <w:rPr>
          <w:b/>
          <w:bCs/>
          <w:sz w:val="44"/>
        </w:rPr>
      </w:pPr>
      <w:r>
        <w:rPr>
          <w:b/>
          <w:bCs/>
          <w:sz w:val="44"/>
        </w:rPr>
        <w:t>A</w:t>
      </w:r>
      <w:r w:rsidR="00EE3738" w:rsidRPr="00554A21">
        <w:rPr>
          <w:b/>
          <w:bCs/>
          <w:sz w:val="44"/>
        </w:rPr>
        <w:t>.</w:t>
      </w:r>
    </w:p>
    <w:p w:rsidR="00EE3738" w:rsidRPr="00554A21" w:rsidRDefault="00EE3738" w:rsidP="00EE3738">
      <w:pPr>
        <w:jc w:val="center"/>
        <w:rPr>
          <w:b/>
          <w:bCs/>
          <w:sz w:val="44"/>
        </w:rPr>
      </w:pPr>
    </w:p>
    <w:p w:rsidR="00EE3738" w:rsidRPr="00554A21" w:rsidRDefault="00EE3738" w:rsidP="00EE3738">
      <w:pPr>
        <w:jc w:val="center"/>
        <w:rPr>
          <w:b/>
          <w:bCs/>
          <w:sz w:val="44"/>
        </w:rPr>
      </w:pPr>
      <w:r w:rsidRPr="00554A21">
        <w:rPr>
          <w:b/>
          <w:bCs/>
          <w:sz w:val="44"/>
        </w:rPr>
        <w:t>Makroekonomický rámec a fiskální politika</w:t>
      </w:r>
    </w:p>
    <w:p w:rsidR="00332D4D" w:rsidRDefault="00EE3738" w:rsidP="00332D4D">
      <w:pPr>
        <w:pStyle w:val="Zpat"/>
        <w:tabs>
          <w:tab w:val="clear" w:pos="4536"/>
          <w:tab w:val="clear" w:pos="9072"/>
        </w:tabs>
        <w:spacing w:after="0"/>
        <w:ind w:left="1440" w:right="-288"/>
        <w:jc w:val="right"/>
        <w:rPr>
          <w:sz w:val="28"/>
          <w:szCs w:val="28"/>
        </w:rPr>
      </w:pPr>
      <w:r w:rsidRPr="00554A21">
        <w:rPr>
          <w:b/>
          <w:bCs/>
          <w:sz w:val="40"/>
        </w:rPr>
        <w:br w:type="page"/>
      </w:r>
    </w:p>
    <w:p w:rsidR="00332D4D" w:rsidRPr="003B10C6" w:rsidRDefault="00332D4D" w:rsidP="00332D4D">
      <w:pPr>
        <w:spacing w:before="3480" w:after="0"/>
        <w:jc w:val="right"/>
        <w:rPr>
          <w:b/>
          <w:sz w:val="24"/>
        </w:rPr>
        <w:sectPr w:rsidR="00332D4D" w:rsidRPr="003B10C6" w:rsidSect="007A1923">
          <w:footerReference w:type="first" r:id="rId8"/>
          <w:pgSz w:w="11906" w:h="16838"/>
          <w:pgMar w:top="1134" w:right="1134" w:bottom="1134" w:left="1134" w:header="709" w:footer="709" w:gutter="0"/>
          <w:cols w:space="708"/>
          <w:titlePg/>
          <w:docGrid w:linePitch="360"/>
        </w:sectPr>
      </w:pPr>
    </w:p>
    <w:p w:rsidR="00332D4D" w:rsidRPr="003B10C6" w:rsidRDefault="00332D4D" w:rsidP="00332D4D">
      <w:pPr>
        <w:pStyle w:val="Nadpiszacatek"/>
      </w:pPr>
      <w:r w:rsidRPr="00AF3D89">
        <w:lastRenderedPageBreak/>
        <w:t>Obsah</w:t>
      </w:r>
    </w:p>
    <w:tbl>
      <w:tblPr>
        <w:tblW w:w="0" w:type="auto"/>
        <w:tblLook w:val="01E0" w:firstRow="1" w:lastRow="1" w:firstColumn="1" w:lastColumn="1" w:noHBand="0" w:noVBand="0"/>
      </w:tblPr>
      <w:tblGrid>
        <w:gridCol w:w="9638"/>
      </w:tblGrid>
      <w:tr w:rsidR="00332D4D" w:rsidRPr="003B10C6" w:rsidTr="001B0B0E">
        <w:trPr>
          <w:trHeight w:val="10994"/>
        </w:trPr>
        <w:tc>
          <w:tcPr>
            <w:tcW w:w="9778" w:type="dxa"/>
            <w:shd w:val="clear" w:color="auto" w:fill="auto"/>
          </w:tcPr>
          <w:p w:rsidR="00201EE5" w:rsidRDefault="00332D4D">
            <w:pPr>
              <w:pStyle w:val="Obsah1"/>
              <w:rPr>
                <w:rFonts w:asciiTheme="minorHAnsi" w:eastAsiaTheme="minorEastAsia" w:hAnsiTheme="minorHAnsi" w:cstheme="minorBidi"/>
                <w:b w:val="0"/>
                <w:sz w:val="22"/>
                <w:szCs w:val="22"/>
              </w:rPr>
            </w:pPr>
            <w:r w:rsidRPr="003B10C6">
              <w:fldChar w:fldCharType="begin"/>
            </w:r>
            <w:r w:rsidRPr="003B10C6">
              <w:instrText xml:space="preserve"> TOC \o "1-2" \h \z \u </w:instrText>
            </w:r>
            <w:r w:rsidRPr="003B10C6">
              <w:fldChar w:fldCharType="separate"/>
            </w:r>
            <w:hyperlink w:anchor="_Toc81233914" w:history="1">
              <w:r w:rsidR="00201EE5" w:rsidRPr="0039060C">
                <w:rPr>
                  <w:rStyle w:val="Hypertextovodkaz"/>
                </w:rPr>
                <w:t>1</w:t>
              </w:r>
              <w:r w:rsidR="00201EE5">
                <w:rPr>
                  <w:rFonts w:asciiTheme="minorHAnsi" w:eastAsiaTheme="minorEastAsia" w:hAnsiTheme="minorHAnsi" w:cstheme="minorBidi"/>
                  <w:b w:val="0"/>
                  <w:sz w:val="22"/>
                  <w:szCs w:val="22"/>
                </w:rPr>
                <w:tab/>
              </w:r>
              <w:r w:rsidR="00201EE5" w:rsidRPr="0039060C">
                <w:rPr>
                  <w:rStyle w:val="Hypertextovodkaz"/>
                </w:rPr>
                <w:t>Úvod a shrnutí</w:t>
              </w:r>
              <w:bookmarkStart w:id="0" w:name="_GoBack"/>
              <w:bookmarkEnd w:id="0"/>
              <w:r w:rsidR="00201EE5">
                <w:rPr>
                  <w:webHidden/>
                </w:rPr>
                <w:tab/>
              </w:r>
              <w:r w:rsidR="00201EE5">
                <w:rPr>
                  <w:webHidden/>
                </w:rPr>
                <w:fldChar w:fldCharType="begin"/>
              </w:r>
              <w:r w:rsidR="00201EE5">
                <w:rPr>
                  <w:webHidden/>
                </w:rPr>
                <w:instrText xml:space="preserve"> PAGEREF _Toc81233914 \h </w:instrText>
              </w:r>
              <w:r w:rsidR="00201EE5">
                <w:rPr>
                  <w:webHidden/>
                </w:rPr>
              </w:r>
              <w:r w:rsidR="00201EE5">
                <w:rPr>
                  <w:webHidden/>
                </w:rPr>
                <w:fldChar w:fldCharType="separate"/>
              </w:r>
              <w:r w:rsidR="001B0B0E">
                <w:rPr>
                  <w:webHidden/>
                </w:rPr>
                <w:t>1</w:t>
              </w:r>
              <w:r w:rsidR="00201EE5">
                <w:rPr>
                  <w:webHidden/>
                </w:rPr>
                <w:fldChar w:fldCharType="end"/>
              </w:r>
            </w:hyperlink>
          </w:p>
          <w:p w:rsidR="00201EE5" w:rsidRDefault="00A90CBB">
            <w:pPr>
              <w:pStyle w:val="Obsah1"/>
              <w:rPr>
                <w:rFonts w:asciiTheme="minorHAnsi" w:eastAsiaTheme="minorEastAsia" w:hAnsiTheme="minorHAnsi" w:cstheme="minorBidi"/>
                <w:b w:val="0"/>
                <w:sz w:val="22"/>
                <w:szCs w:val="22"/>
              </w:rPr>
            </w:pPr>
            <w:hyperlink w:anchor="_Toc81233915" w:history="1">
              <w:r w:rsidR="00201EE5" w:rsidRPr="0039060C">
                <w:rPr>
                  <w:rStyle w:val="Hypertextovodkaz"/>
                </w:rPr>
                <w:t>2</w:t>
              </w:r>
              <w:r w:rsidR="00201EE5">
                <w:rPr>
                  <w:rFonts w:asciiTheme="minorHAnsi" w:eastAsiaTheme="minorEastAsia" w:hAnsiTheme="minorHAnsi" w:cstheme="minorBidi"/>
                  <w:b w:val="0"/>
                  <w:sz w:val="22"/>
                  <w:szCs w:val="22"/>
                </w:rPr>
                <w:tab/>
              </w:r>
              <w:r w:rsidR="00201EE5" w:rsidRPr="0039060C">
                <w:rPr>
                  <w:rStyle w:val="Hypertextovodkaz"/>
                </w:rPr>
                <w:t>Makroekonomický rámec</w:t>
              </w:r>
              <w:r w:rsidR="00201EE5">
                <w:rPr>
                  <w:webHidden/>
                </w:rPr>
                <w:tab/>
              </w:r>
              <w:r w:rsidR="00201EE5">
                <w:rPr>
                  <w:webHidden/>
                </w:rPr>
                <w:fldChar w:fldCharType="begin"/>
              </w:r>
              <w:r w:rsidR="00201EE5">
                <w:rPr>
                  <w:webHidden/>
                </w:rPr>
                <w:instrText xml:space="preserve"> PAGEREF _Toc81233915 \h </w:instrText>
              </w:r>
              <w:r w:rsidR="00201EE5">
                <w:rPr>
                  <w:webHidden/>
                </w:rPr>
              </w:r>
              <w:r w:rsidR="00201EE5">
                <w:rPr>
                  <w:webHidden/>
                </w:rPr>
                <w:fldChar w:fldCharType="separate"/>
              </w:r>
              <w:r w:rsidR="001B0B0E">
                <w:rPr>
                  <w:webHidden/>
                </w:rPr>
                <w:t>2</w:t>
              </w:r>
              <w:r w:rsidR="00201EE5">
                <w:rPr>
                  <w:webHidden/>
                </w:rPr>
                <w:fldChar w:fldCharType="end"/>
              </w:r>
            </w:hyperlink>
          </w:p>
          <w:p w:rsidR="00201EE5" w:rsidRDefault="00A90CBB">
            <w:pPr>
              <w:pStyle w:val="Obsah2"/>
              <w:rPr>
                <w:rFonts w:asciiTheme="minorHAnsi" w:eastAsiaTheme="minorEastAsia" w:hAnsiTheme="minorHAnsi" w:cstheme="minorBidi"/>
                <w:noProof/>
                <w:sz w:val="22"/>
                <w:szCs w:val="22"/>
              </w:rPr>
            </w:pPr>
            <w:hyperlink w:anchor="_Toc81233916" w:history="1">
              <w:r w:rsidR="00201EE5" w:rsidRPr="0039060C">
                <w:rPr>
                  <w:rStyle w:val="Hypertextovodkaz"/>
                  <w:noProof/>
                </w:rPr>
                <w:t>2.1</w:t>
              </w:r>
              <w:r w:rsidR="00201EE5">
                <w:rPr>
                  <w:rFonts w:asciiTheme="minorHAnsi" w:eastAsiaTheme="minorEastAsia" w:hAnsiTheme="minorHAnsi" w:cstheme="minorBidi"/>
                  <w:noProof/>
                  <w:sz w:val="22"/>
                  <w:szCs w:val="22"/>
                </w:rPr>
                <w:tab/>
              </w:r>
              <w:r w:rsidR="00201EE5" w:rsidRPr="0039060C">
                <w:rPr>
                  <w:rStyle w:val="Hypertextovodkaz"/>
                  <w:noProof/>
                </w:rPr>
                <w:t>Předpoklady budoucího vývoje</w:t>
              </w:r>
              <w:r w:rsidR="00201EE5">
                <w:rPr>
                  <w:noProof/>
                  <w:webHidden/>
                </w:rPr>
                <w:tab/>
              </w:r>
              <w:r w:rsidR="00201EE5">
                <w:rPr>
                  <w:noProof/>
                  <w:webHidden/>
                </w:rPr>
                <w:fldChar w:fldCharType="begin"/>
              </w:r>
              <w:r w:rsidR="00201EE5">
                <w:rPr>
                  <w:noProof/>
                  <w:webHidden/>
                </w:rPr>
                <w:instrText xml:space="preserve"> PAGEREF _Toc81233916 \h </w:instrText>
              </w:r>
              <w:r w:rsidR="00201EE5">
                <w:rPr>
                  <w:noProof/>
                  <w:webHidden/>
                </w:rPr>
              </w:r>
              <w:r w:rsidR="00201EE5">
                <w:rPr>
                  <w:noProof/>
                  <w:webHidden/>
                </w:rPr>
                <w:fldChar w:fldCharType="separate"/>
              </w:r>
              <w:r w:rsidR="001B0B0E">
                <w:rPr>
                  <w:noProof/>
                  <w:webHidden/>
                </w:rPr>
                <w:t>2</w:t>
              </w:r>
              <w:r w:rsidR="00201EE5">
                <w:rPr>
                  <w:noProof/>
                  <w:webHidden/>
                </w:rPr>
                <w:fldChar w:fldCharType="end"/>
              </w:r>
            </w:hyperlink>
          </w:p>
          <w:p w:rsidR="00201EE5" w:rsidRDefault="00A90CBB">
            <w:pPr>
              <w:pStyle w:val="Obsah2"/>
              <w:rPr>
                <w:rFonts w:asciiTheme="minorHAnsi" w:eastAsiaTheme="minorEastAsia" w:hAnsiTheme="minorHAnsi" w:cstheme="minorBidi"/>
                <w:noProof/>
                <w:sz w:val="22"/>
                <w:szCs w:val="22"/>
              </w:rPr>
            </w:pPr>
            <w:hyperlink w:anchor="_Toc81233917" w:history="1">
              <w:r w:rsidR="00201EE5" w:rsidRPr="0039060C">
                <w:rPr>
                  <w:rStyle w:val="Hypertextovodkaz"/>
                  <w:noProof/>
                </w:rPr>
                <w:t>2.2</w:t>
              </w:r>
              <w:r w:rsidR="00201EE5">
                <w:rPr>
                  <w:rFonts w:asciiTheme="minorHAnsi" w:eastAsiaTheme="minorEastAsia" w:hAnsiTheme="minorHAnsi" w:cstheme="minorBidi"/>
                  <w:noProof/>
                  <w:sz w:val="22"/>
                  <w:szCs w:val="22"/>
                </w:rPr>
                <w:tab/>
              </w:r>
              <w:r w:rsidR="00201EE5" w:rsidRPr="0039060C">
                <w:rPr>
                  <w:rStyle w:val="Hypertextovodkaz"/>
                  <w:noProof/>
                </w:rPr>
                <w:t>Makroekonomický vývoj v České republice</w:t>
              </w:r>
              <w:r w:rsidR="00201EE5">
                <w:rPr>
                  <w:noProof/>
                  <w:webHidden/>
                </w:rPr>
                <w:tab/>
              </w:r>
              <w:r w:rsidR="00201EE5">
                <w:rPr>
                  <w:noProof/>
                  <w:webHidden/>
                </w:rPr>
                <w:fldChar w:fldCharType="begin"/>
              </w:r>
              <w:r w:rsidR="00201EE5">
                <w:rPr>
                  <w:noProof/>
                  <w:webHidden/>
                </w:rPr>
                <w:instrText xml:space="preserve"> PAGEREF _Toc81233917 \h </w:instrText>
              </w:r>
              <w:r w:rsidR="00201EE5">
                <w:rPr>
                  <w:noProof/>
                  <w:webHidden/>
                </w:rPr>
              </w:r>
              <w:r w:rsidR="00201EE5">
                <w:rPr>
                  <w:noProof/>
                  <w:webHidden/>
                </w:rPr>
                <w:fldChar w:fldCharType="separate"/>
              </w:r>
              <w:r w:rsidR="001B0B0E">
                <w:rPr>
                  <w:noProof/>
                  <w:webHidden/>
                </w:rPr>
                <w:t>4</w:t>
              </w:r>
              <w:r w:rsidR="00201EE5">
                <w:rPr>
                  <w:noProof/>
                  <w:webHidden/>
                </w:rPr>
                <w:fldChar w:fldCharType="end"/>
              </w:r>
            </w:hyperlink>
          </w:p>
          <w:p w:rsidR="00201EE5" w:rsidRDefault="00A90CBB">
            <w:pPr>
              <w:pStyle w:val="Obsah2"/>
              <w:rPr>
                <w:rFonts w:asciiTheme="minorHAnsi" w:eastAsiaTheme="minorEastAsia" w:hAnsiTheme="minorHAnsi" w:cstheme="minorBidi"/>
                <w:noProof/>
                <w:sz w:val="22"/>
                <w:szCs w:val="22"/>
              </w:rPr>
            </w:pPr>
            <w:hyperlink w:anchor="_Toc81233918" w:history="1">
              <w:r w:rsidR="00201EE5" w:rsidRPr="0039060C">
                <w:rPr>
                  <w:rStyle w:val="Hypertextovodkaz"/>
                  <w:noProof/>
                </w:rPr>
                <w:t>2.3</w:t>
              </w:r>
              <w:r w:rsidR="00201EE5">
                <w:rPr>
                  <w:rFonts w:asciiTheme="minorHAnsi" w:eastAsiaTheme="minorEastAsia" w:hAnsiTheme="minorHAnsi" w:cstheme="minorBidi"/>
                  <w:noProof/>
                  <w:sz w:val="22"/>
                  <w:szCs w:val="22"/>
                </w:rPr>
                <w:tab/>
              </w:r>
              <w:r w:rsidR="00201EE5" w:rsidRPr="0039060C">
                <w:rPr>
                  <w:rStyle w:val="Hypertextovodkaz"/>
                  <w:noProof/>
                </w:rPr>
                <w:t>Nezávislé ověření makroekonomického rámce</w:t>
              </w:r>
              <w:r w:rsidR="00201EE5">
                <w:rPr>
                  <w:noProof/>
                  <w:webHidden/>
                </w:rPr>
                <w:tab/>
              </w:r>
              <w:r w:rsidR="00201EE5">
                <w:rPr>
                  <w:noProof/>
                  <w:webHidden/>
                </w:rPr>
                <w:fldChar w:fldCharType="begin"/>
              </w:r>
              <w:r w:rsidR="00201EE5">
                <w:rPr>
                  <w:noProof/>
                  <w:webHidden/>
                </w:rPr>
                <w:instrText xml:space="preserve"> PAGEREF _Toc81233918 \h </w:instrText>
              </w:r>
              <w:r w:rsidR="00201EE5">
                <w:rPr>
                  <w:noProof/>
                  <w:webHidden/>
                </w:rPr>
              </w:r>
              <w:r w:rsidR="00201EE5">
                <w:rPr>
                  <w:noProof/>
                  <w:webHidden/>
                </w:rPr>
                <w:fldChar w:fldCharType="separate"/>
              </w:r>
              <w:r w:rsidR="001B0B0E">
                <w:rPr>
                  <w:noProof/>
                  <w:webHidden/>
                </w:rPr>
                <w:t>7</w:t>
              </w:r>
              <w:r w:rsidR="00201EE5">
                <w:rPr>
                  <w:noProof/>
                  <w:webHidden/>
                </w:rPr>
                <w:fldChar w:fldCharType="end"/>
              </w:r>
            </w:hyperlink>
          </w:p>
          <w:p w:rsidR="00201EE5" w:rsidRDefault="00A90CBB">
            <w:pPr>
              <w:pStyle w:val="Obsah1"/>
              <w:rPr>
                <w:rFonts w:asciiTheme="minorHAnsi" w:eastAsiaTheme="minorEastAsia" w:hAnsiTheme="minorHAnsi" w:cstheme="minorBidi"/>
                <w:b w:val="0"/>
                <w:sz w:val="22"/>
                <w:szCs w:val="22"/>
              </w:rPr>
            </w:pPr>
            <w:hyperlink w:anchor="_Toc81233919" w:history="1">
              <w:r w:rsidR="00201EE5" w:rsidRPr="0039060C">
                <w:rPr>
                  <w:rStyle w:val="Hypertextovodkaz"/>
                </w:rPr>
                <w:t>3</w:t>
              </w:r>
              <w:r w:rsidR="00201EE5">
                <w:rPr>
                  <w:rFonts w:asciiTheme="minorHAnsi" w:eastAsiaTheme="minorEastAsia" w:hAnsiTheme="minorHAnsi" w:cstheme="minorBidi"/>
                  <w:b w:val="0"/>
                  <w:sz w:val="22"/>
                  <w:szCs w:val="22"/>
                </w:rPr>
                <w:tab/>
              </w:r>
              <w:r w:rsidR="00201EE5" w:rsidRPr="0039060C">
                <w:rPr>
                  <w:rStyle w:val="Hypertextovodkaz"/>
                </w:rPr>
                <w:t>Fiskální politika a veřejné finance</w:t>
              </w:r>
              <w:r w:rsidR="00201EE5">
                <w:rPr>
                  <w:webHidden/>
                </w:rPr>
                <w:tab/>
              </w:r>
              <w:r w:rsidR="00201EE5">
                <w:rPr>
                  <w:webHidden/>
                </w:rPr>
                <w:fldChar w:fldCharType="begin"/>
              </w:r>
              <w:r w:rsidR="00201EE5">
                <w:rPr>
                  <w:webHidden/>
                </w:rPr>
                <w:instrText xml:space="preserve"> PAGEREF _Toc81233919 \h </w:instrText>
              </w:r>
              <w:r w:rsidR="00201EE5">
                <w:rPr>
                  <w:webHidden/>
                </w:rPr>
              </w:r>
              <w:r w:rsidR="00201EE5">
                <w:rPr>
                  <w:webHidden/>
                </w:rPr>
                <w:fldChar w:fldCharType="separate"/>
              </w:r>
              <w:r w:rsidR="001B0B0E">
                <w:rPr>
                  <w:webHidden/>
                </w:rPr>
                <w:t>9</w:t>
              </w:r>
              <w:r w:rsidR="00201EE5">
                <w:rPr>
                  <w:webHidden/>
                </w:rPr>
                <w:fldChar w:fldCharType="end"/>
              </w:r>
            </w:hyperlink>
          </w:p>
          <w:p w:rsidR="00201EE5" w:rsidRDefault="00A90CBB">
            <w:pPr>
              <w:pStyle w:val="Obsah2"/>
              <w:rPr>
                <w:rFonts w:asciiTheme="minorHAnsi" w:eastAsiaTheme="minorEastAsia" w:hAnsiTheme="minorHAnsi" w:cstheme="minorBidi"/>
                <w:noProof/>
                <w:sz w:val="22"/>
                <w:szCs w:val="22"/>
              </w:rPr>
            </w:pPr>
            <w:hyperlink w:anchor="_Toc81233920" w:history="1">
              <w:r w:rsidR="00201EE5" w:rsidRPr="0039060C">
                <w:rPr>
                  <w:rStyle w:val="Hypertextovodkaz"/>
                  <w:noProof/>
                </w:rPr>
                <w:t>3.1</w:t>
              </w:r>
              <w:r w:rsidR="00201EE5">
                <w:rPr>
                  <w:rFonts w:asciiTheme="minorHAnsi" w:eastAsiaTheme="minorEastAsia" w:hAnsiTheme="minorHAnsi" w:cstheme="minorBidi"/>
                  <w:noProof/>
                  <w:sz w:val="22"/>
                  <w:szCs w:val="22"/>
                </w:rPr>
                <w:tab/>
              </w:r>
              <w:r w:rsidR="00201EE5" w:rsidRPr="0039060C">
                <w:rPr>
                  <w:rStyle w:val="Hypertextovodkaz"/>
                  <w:noProof/>
                </w:rPr>
                <w:t>Očekávané hospodaření sektoru vládních institucí v roce 2021</w:t>
              </w:r>
              <w:r w:rsidR="00201EE5">
                <w:rPr>
                  <w:noProof/>
                  <w:webHidden/>
                </w:rPr>
                <w:tab/>
              </w:r>
              <w:r w:rsidR="00201EE5">
                <w:rPr>
                  <w:noProof/>
                  <w:webHidden/>
                </w:rPr>
                <w:fldChar w:fldCharType="begin"/>
              </w:r>
              <w:r w:rsidR="00201EE5">
                <w:rPr>
                  <w:noProof/>
                  <w:webHidden/>
                </w:rPr>
                <w:instrText xml:space="preserve"> PAGEREF _Toc81233920 \h </w:instrText>
              </w:r>
              <w:r w:rsidR="00201EE5">
                <w:rPr>
                  <w:noProof/>
                  <w:webHidden/>
                </w:rPr>
              </w:r>
              <w:r w:rsidR="00201EE5">
                <w:rPr>
                  <w:noProof/>
                  <w:webHidden/>
                </w:rPr>
                <w:fldChar w:fldCharType="separate"/>
              </w:r>
              <w:r w:rsidR="001B0B0E">
                <w:rPr>
                  <w:noProof/>
                  <w:webHidden/>
                </w:rPr>
                <w:t>10</w:t>
              </w:r>
              <w:r w:rsidR="00201EE5">
                <w:rPr>
                  <w:noProof/>
                  <w:webHidden/>
                </w:rPr>
                <w:fldChar w:fldCharType="end"/>
              </w:r>
            </w:hyperlink>
          </w:p>
          <w:p w:rsidR="00201EE5" w:rsidRDefault="00A90CBB">
            <w:pPr>
              <w:pStyle w:val="Obsah2"/>
              <w:rPr>
                <w:rFonts w:asciiTheme="minorHAnsi" w:eastAsiaTheme="minorEastAsia" w:hAnsiTheme="minorHAnsi" w:cstheme="minorBidi"/>
                <w:noProof/>
                <w:sz w:val="22"/>
                <w:szCs w:val="22"/>
              </w:rPr>
            </w:pPr>
            <w:hyperlink w:anchor="_Toc81233921" w:history="1">
              <w:r w:rsidR="00201EE5" w:rsidRPr="0039060C">
                <w:rPr>
                  <w:rStyle w:val="Hypertextovodkaz"/>
                  <w:noProof/>
                </w:rPr>
                <w:t>3.2</w:t>
              </w:r>
              <w:r w:rsidR="00201EE5">
                <w:rPr>
                  <w:rFonts w:asciiTheme="minorHAnsi" w:eastAsiaTheme="minorEastAsia" w:hAnsiTheme="minorHAnsi" w:cstheme="minorBidi"/>
                  <w:noProof/>
                  <w:sz w:val="22"/>
                  <w:szCs w:val="22"/>
                </w:rPr>
                <w:tab/>
              </w:r>
              <w:r w:rsidR="00201EE5" w:rsidRPr="0039060C">
                <w:rPr>
                  <w:rStyle w:val="Hypertextovodkaz"/>
                  <w:noProof/>
                </w:rPr>
                <w:t>Predikce hospodaření sektoru vládních institucí v roce 2022</w:t>
              </w:r>
              <w:r w:rsidR="00201EE5">
                <w:rPr>
                  <w:noProof/>
                  <w:webHidden/>
                </w:rPr>
                <w:tab/>
              </w:r>
              <w:r w:rsidR="00201EE5">
                <w:rPr>
                  <w:noProof/>
                  <w:webHidden/>
                </w:rPr>
                <w:fldChar w:fldCharType="begin"/>
              </w:r>
              <w:r w:rsidR="00201EE5">
                <w:rPr>
                  <w:noProof/>
                  <w:webHidden/>
                </w:rPr>
                <w:instrText xml:space="preserve"> PAGEREF _Toc81233921 \h </w:instrText>
              </w:r>
              <w:r w:rsidR="00201EE5">
                <w:rPr>
                  <w:noProof/>
                  <w:webHidden/>
                </w:rPr>
              </w:r>
              <w:r w:rsidR="00201EE5">
                <w:rPr>
                  <w:noProof/>
                  <w:webHidden/>
                </w:rPr>
                <w:fldChar w:fldCharType="separate"/>
              </w:r>
              <w:r w:rsidR="001B0B0E">
                <w:rPr>
                  <w:noProof/>
                  <w:webHidden/>
                </w:rPr>
                <w:t>10</w:t>
              </w:r>
              <w:r w:rsidR="00201EE5">
                <w:rPr>
                  <w:noProof/>
                  <w:webHidden/>
                </w:rPr>
                <w:fldChar w:fldCharType="end"/>
              </w:r>
            </w:hyperlink>
          </w:p>
          <w:p w:rsidR="00332D4D" w:rsidRPr="003B10C6" w:rsidRDefault="00332D4D" w:rsidP="00BA4BBC">
            <w:r w:rsidRPr="003B10C6">
              <w:rPr>
                <w:noProof/>
              </w:rPr>
              <w:fldChar w:fldCharType="end"/>
            </w:r>
          </w:p>
        </w:tc>
      </w:tr>
      <w:tr w:rsidR="00332D4D" w:rsidRPr="003B10C6" w:rsidTr="001B0B0E">
        <w:trPr>
          <w:trHeight w:val="2885"/>
        </w:trPr>
        <w:tc>
          <w:tcPr>
            <w:tcW w:w="9778" w:type="dxa"/>
            <w:shd w:val="clear" w:color="auto" w:fill="auto"/>
            <w:vAlign w:val="bottom"/>
          </w:tcPr>
          <w:p w:rsidR="00332D4D" w:rsidRPr="003B10C6" w:rsidRDefault="00332D4D" w:rsidP="007A1923">
            <w:pPr>
              <w:pStyle w:val="Odkazyvvodnmboxu"/>
            </w:pPr>
          </w:p>
        </w:tc>
      </w:tr>
    </w:tbl>
    <w:p w:rsidR="00332D4D" w:rsidRPr="001F24FC" w:rsidRDefault="00332D4D" w:rsidP="00332D4D">
      <w:pPr>
        <w:sectPr w:rsidR="00332D4D" w:rsidRPr="001F24FC" w:rsidSect="007A1923">
          <w:headerReference w:type="even" r:id="rId9"/>
          <w:footerReference w:type="even" r:id="rId10"/>
          <w:pgSz w:w="11906" w:h="16838"/>
          <w:pgMar w:top="1134" w:right="1134" w:bottom="1134" w:left="1134" w:header="709" w:footer="709" w:gutter="0"/>
          <w:cols w:space="708"/>
          <w:docGrid w:linePitch="360"/>
        </w:sectPr>
      </w:pPr>
    </w:p>
    <w:p w:rsidR="00332D4D" w:rsidRPr="006813A5" w:rsidRDefault="00332D4D" w:rsidP="00332D4D">
      <w:pPr>
        <w:pStyle w:val="Nadpismal"/>
        <w:spacing w:before="0"/>
      </w:pPr>
      <w:r w:rsidRPr="00AF3D89">
        <w:lastRenderedPageBreak/>
        <w:t>Seznam tabulek</w:t>
      </w:r>
    </w:p>
    <w:p w:rsidR="00201EE5" w:rsidRDefault="00332D4D">
      <w:pPr>
        <w:pStyle w:val="Seznamobrzk"/>
        <w:rPr>
          <w:rFonts w:asciiTheme="minorHAnsi" w:eastAsiaTheme="minorEastAsia" w:hAnsiTheme="minorHAnsi" w:cstheme="minorBidi"/>
          <w:noProof/>
          <w:sz w:val="22"/>
          <w:szCs w:val="22"/>
        </w:rPr>
      </w:pPr>
      <w:r w:rsidRPr="003B10C6">
        <w:rPr>
          <w:noProof/>
        </w:rPr>
        <w:fldChar w:fldCharType="begin"/>
      </w:r>
      <w:r w:rsidRPr="003B10C6">
        <w:rPr>
          <w:noProof/>
        </w:rPr>
        <w:instrText xml:space="preserve"> TOC \h \z \c "Tabulka" </w:instrText>
      </w:r>
      <w:r w:rsidRPr="003B10C6">
        <w:rPr>
          <w:noProof/>
        </w:rPr>
        <w:fldChar w:fldCharType="separate"/>
      </w:r>
      <w:hyperlink w:anchor="_Toc81233900" w:history="1">
        <w:r w:rsidR="00201EE5" w:rsidRPr="005019D6">
          <w:rPr>
            <w:rStyle w:val="Hypertextovodkaz"/>
            <w:noProof/>
          </w:rPr>
          <w:t>Tabulka 1.1: Predikce základních makroekonomických indikátorů</w:t>
        </w:r>
        <w:r w:rsidR="00201EE5">
          <w:rPr>
            <w:noProof/>
            <w:webHidden/>
          </w:rPr>
          <w:tab/>
        </w:r>
        <w:r w:rsidR="00201EE5">
          <w:rPr>
            <w:noProof/>
            <w:webHidden/>
          </w:rPr>
          <w:fldChar w:fldCharType="begin"/>
        </w:r>
        <w:r w:rsidR="00201EE5">
          <w:rPr>
            <w:noProof/>
            <w:webHidden/>
          </w:rPr>
          <w:instrText xml:space="preserve"> PAGEREF _Toc81233900 \h </w:instrText>
        </w:r>
        <w:r w:rsidR="00201EE5">
          <w:rPr>
            <w:noProof/>
            <w:webHidden/>
          </w:rPr>
        </w:r>
        <w:r w:rsidR="00201EE5">
          <w:rPr>
            <w:noProof/>
            <w:webHidden/>
          </w:rPr>
          <w:fldChar w:fldCharType="separate"/>
        </w:r>
        <w:r w:rsidR="001B0B0E">
          <w:rPr>
            <w:noProof/>
            <w:webHidden/>
          </w:rPr>
          <w:t>1</w:t>
        </w:r>
        <w:r w:rsidR="00201EE5">
          <w:rPr>
            <w:noProof/>
            <w:webHidden/>
          </w:rPr>
          <w:fldChar w:fldCharType="end"/>
        </w:r>
      </w:hyperlink>
    </w:p>
    <w:p w:rsidR="00201EE5" w:rsidRDefault="00A90CBB">
      <w:pPr>
        <w:pStyle w:val="Seznamobrzk"/>
        <w:rPr>
          <w:rFonts w:asciiTheme="minorHAnsi" w:eastAsiaTheme="minorEastAsia" w:hAnsiTheme="minorHAnsi" w:cstheme="minorBidi"/>
          <w:noProof/>
          <w:sz w:val="22"/>
          <w:szCs w:val="22"/>
        </w:rPr>
      </w:pPr>
      <w:hyperlink w:anchor="_Toc81233901" w:history="1">
        <w:r w:rsidR="00201EE5" w:rsidRPr="005019D6">
          <w:rPr>
            <w:rStyle w:val="Hypertextovodkaz"/>
            <w:noProof/>
          </w:rPr>
          <w:t>Tabulka 2.1: Ověření makroekonomického rámce nezávislými prognózami</w:t>
        </w:r>
        <w:r w:rsidR="00201EE5">
          <w:rPr>
            <w:noProof/>
            <w:webHidden/>
          </w:rPr>
          <w:tab/>
        </w:r>
        <w:r w:rsidR="00201EE5">
          <w:rPr>
            <w:noProof/>
            <w:webHidden/>
          </w:rPr>
          <w:fldChar w:fldCharType="begin"/>
        </w:r>
        <w:r w:rsidR="00201EE5">
          <w:rPr>
            <w:noProof/>
            <w:webHidden/>
          </w:rPr>
          <w:instrText xml:space="preserve"> PAGEREF _Toc81233901 \h </w:instrText>
        </w:r>
        <w:r w:rsidR="00201EE5">
          <w:rPr>
            <w:noProof/>
            <w:webHidden/>
          </w:rPr>
        </w:r>
        <w:r w:rsidR="00201EE5">
          <w:rPr>
            <w:noProof/>
            <w:webHidden/>
          </w:rPr>
          <w:fldChar w:fldCharType="separate"/>
        </w:r>
        <w:r w:rsidR="001B0B0E">
          <w:rPr>
            <w:noProof/>
            <w:webHidden/>
          </w:rPr>
          <w:t>7</w:t>
        </w:r>
        <w:r w:rsidR="00201EE5">
          <w:rPr>
            <w:noProof/>
            <w:webHidden/>
          </w:rPr>
          <w:fldChar w:fldCharType="end"/>
        </w:r>
      </w:hyperlink>
    </w:p>
    <w:p w:rsidR="00201EE5" w:rsidRDefault="00A90CBB">
      <w:pPr>
        <w:pStyle w:val="Seznamobrzk"/>
        <w:rPr>
          <w:rFonts w:asciiTheme="minorHAnsi" w:eastAsiaTheme="minorEastAsia" w:hAnsiTheme="minorHAnsi" w:cstheme="minorBidi"/>
          <w:noProof/>
          <w:sz w:val="22"/>
          <w:szCs w:val="22"/>
        </w:rPr>
      </w:pPr>
      <w:hyperlink w:anchor="_Toc81233902" w:history="1">
        <w:r w:rsidR="00201EE5" w:rsidRPr="005019D6">
          <w:rPr>
            <w:rStyle w:val="Hypertextovodkaz"/>
            <w:noProof/>
          </w:rPr>
          <w:t>Tabulka 2.2: Porovnání prognóz Ministerstva financí a Evropské komise</w:t>
        </w:r>
        <w:r w:rsidR="00201EE5">
          <w:rPr>
            <w:noProof/>
            <w:webHidden/>
          </w:rPr>
          <w:tab/>
        </w:r>
        <w:r w:rsidR="00201EE5">
          <w:rPr>
            <w:noProof/>
            <w:webHidden/>
          </w:rPr>
          <w:fldChar w:fldCharType="begin"/>
        </w:r>
        <w:r w:rsidR="00201EE5">
          <w:rPr>
            <w:noProof/>
            <w:webHidden/>
          </w:rPr>
          <w:instrText xml:space="preserve"> PAGEREF _Toc81233902 \h </w:instrText>
        </w:r>
        <w:r w:rsidR="00201EE5">
          <w:rPr>
            <w:noProof/>
            <w:webHidden/>
          </w:rPr>
        </w:r>
        <w:r w:rsidR="00201EE5">
          <w:rPr>
            <w:noProof/>
            <w:webHidden/>
          </w:rPr>
          <w:fldChar w:fldCharType="separate"/>
        </w:r>
        <w:r w:rsidR="001B0B0E">
          <w:rPr>
            <w:noProof/>
            <w:webHidden/>
          </w:rPr>
          <w:t>8</w:t>
        </w:r>
        <w:r w:rsidR="00201EE5">
          <w:rPr>
            <w:noProof/>
            <w:webHidden/>
          </w:rPr>
          <w:fldChar w:fldCharType="end"/>
        </w:r>
      </w:hyperlink>
    </w:p>
    <w:p w:rsidR="00201EE5" w:rsidRDefault="00A90CBB">
      <w:pPr>
        <w:pStyle w:val="Seznamobrzk"/>
        <w:rPr>
          <w:rFonts w:asciiTheme="minorHAnsi" w:eastAsiaTheme="minorEastAsia" w:hAnsiTheme="minorHAnsi" w:cstheme="minorBidi"/>
          <w:noProof/>
          <w:sz w:val="22"/>
          <w:szCs w:val="22"/>
        </w:rPr>
      </w:pPr>
      <w:hyperlink w:anchor="_Toc81233903" w:history="1">
        <w:r w:rsidR="00201EE5" w:rsidRPr="005019D6">
          <w:rPr>
            <w:rStyle w:val="Hypertextovodkaz"/>
            <w:noProof/>
          </w:rPr>
          <w:t>Tabulka 3.1: Saldo a dluh sektoru vládních institucí</w:t>
        </w:r>
        <w:r w:rsidR="00201EE5">
          <w:rPr>
            <w:noProof/>
            <w:webHidden/>
          </w:rPr>
          <w:tab/>
        </w:r>
        <w:r w:rsidR="00201EE5">
          <w:rPr>
            <w:noProof/>
            <w:webHidden/>
          </w:rPr>
          <w:fldChar w:fldCharType="begin"/>
        </w:r>
        <w:r w:rsidR="00201EE5">
          <w:rPr>
            <w:noProof/>
            <w:webHidden/>
          </w:rPr>
          <w:instrText xml:space="preserve"> PAGEREF _Toc81233903 \h </w:instrText>
        </w:r>
        <w:r w:rsidR="00201EE5">
          <w:rPr>
            <w:noProof/>
            <w:webHidden/>
          </w:rPr>
        </w:r>
        <w:r w:rsidR="00201EE5">
          <w:rPr>
            <w:noProof/>
            <w:webHidden/>
          </w:rPr>
          <w:fldChar w:fldCharType="separate"/>
        </w:r>
        <w:r w:rsidR="001B0B0E">
          <w:rPr>
            <w:noProof/>
            <w:webHidden/>
          </w:rPr>
          <w:t>9</w:t>
        </w:r>
        <w:r w:rsidR="00201EE5">
          <w:rPr>
            <w:noProof/>
            <w:webHidden/>
          </w:rPr>
          <w:fldChar w:fldCharType="end"/>
        </w:r>
      </w:hyperlink>
    </w:p>
    <w:p w:rsidR="00332D4D" w:rsidRPr="003B10C6" w:rsidRDefault="00332D4D" w:rsidP="00332D4D">
      <w:pPr>
        <w:pStyle w:val="Seznamobrzk"/>
      </w:pPr>
      <w:r w:rsidRPr="003B10C6">
        <w:rPr>
          <w:noProof/>
        </w:rPr>
        <w:fldChar w:fldCharType="end"/>
      </w:r>
    </w:p>
    <w:p w:rsidR="00332D4D" w:rsidRPr="003B10C6" w:rsidRDefault="00332D4D" w:rsidP="00332D4D">
      <w:pPr>
        <w:pStyle w:val="Nadpismal"/>
      </w:pPr>
      <w:r w:rsidRPr="00AF3D89">
        <w:t>Seznam obrázků</w:t>
      </w:r>
    </w:p>
    <w:p w:rsidR="00201EE5" w:rsidRDefault="00332D4D">
      <w:pPr>
        <w:pStyle w:val="Seznamobrzk"/>
        <w:rPr>
          <w:rFonts w:asciiTheme="minorHAnsi" w:eastAsiaTheme="minorEastAsia" w:hAnsiTheme="minorHAnsi" w:cstheme="minorBidi"/>
          <w:noProof/>
          <w:sz w:val="22"/>
          <w:szCs w:val="22"/>
        </w:rPr>
      </w:pPr>
      <w:r>
        <w:fldChar w:fldCharType="begin"/>
      </w:r>
      <w:r>
        <w:instrText xml:space="preserve"> TOC \h \z \c "Obrázek" </w:instrText>
      </w:r>
      <w:r>
        <w:fldChar w:fldCharType="separate"/>
      </w:r>
      <w:hyperlink w:anchor="_Toc81233904" w:history="1">
        <w:r w:rsidR="00201EE5" w:rsidRPr="008A5BE0">
          <w:rPr>
            <w:rStyle w:val="Hypertextovodkaz"/>
            <w:noProof/>
          </w:rPr>
          <w:t>Obrázek 2.1: Reálný hrubý domácí produkt eurozóny</w:t>
        </w:r>
        <w:r w:rsidR="00201EE5">
          <w:rPr>
            <w:noProof/>
            <w:webHidden/>
          </w:rPr>
          <w:tab/>
        </w:r>
        <w:r w:rsidR="00201EE5">
          <w:rPr>
            <w:noProof/>
            <w:webHidden/>
          </w:rPr>
          <w:fldChar w:fldCharType="begin"/>
        </w:r>
        <w:r w:rsidR="00201EE5">
          <w:rPr>
            <w:noProof/>
            <w:webHidden/>
          </w:rPr>
          <w:instrText xml:space="preserve"> PAGEREF _Toc81233904 \h </w:instrText>
        </w:r>
        <w:r w:rsidR="00201EE5">
          <w:rPr>
            <w:noProof/>
            <w:webHidden/>
          </w:rPr>
        </w:r>
        <w:r w:rsidR="00201EE5">
          <w:rPr>
            <w:noProof/>
            <w:webHidden/>
          </w:rPr>
          <w:fldChar w:fldCharType="separate"/>
        </w:r>
        <w:r w:rsidR="001B0B0E">
          <w:rPr>
            <w:noProof/>
            <w:webHidden/>
          </w:rPr>
          <w:t>2</w:t>
        </w:r>
        <w:r w:rsidR="00201EE5">
          <w:rPr>
            <w:noProof/>
            <w:webHidden/>
          </w:rPr>
          <w:fldChar w:fldCharType="end"/>
        </w:r>
      </w:hyperlink>
    </w:p>
    <w:p w:rsidR="00201EE5" w:rsidRDefault="00A90CBB">
      <w:pPr>
        <w:pStyle w:val="Seznamobrzk"/>
        <w:rPr>
          <w:rFonts w:asciiTheme="minorHAnsi" w:eastAsiaTheme="minorEastAsia" w:hAnsiTheme="minorHAnsi" w:cstheme="minorBidi"/>
          <w:noProof/>
          <w:sz w:val="22"/>
          <w:szCs w:val="22"/>
        </w:rPr>
      </w:pPr>
      <w:hyperlink w:anchor="_Toc81233905" w:history="1">
        <w:r w:rsidR="00201EE5" w:rsidRPr="008A5BE0">
          <w:rPr>
            <w:rStyle w:val="Hypertextovodkaz"/>
            <w:noProof/>
          </w:rPr>
          <w:t>Obrázek 2.2: Cena ropy Brent</w:t>
        </w:r>
        <w:r w:rsidR="00201EE5">
          <w:rPr>
            <w:noProof/>
            <w:webHidden/>
          </w:rPr>
          <w:tab/>
        </w:r>
        <w:r w:rsidR="00201EE5">
          <w:rPr>
            <w:noProof/>
            <w:webHidden/>
          </w:rPr>
          <w:fldChar w:fldCharType="begin"/>
        </w:r>
        <w:r w:rsidR="00201EE5">
          <w:rPr>
            <w:noProof/>
            <w:webHidden/>
          </w:rPr>
          <w:instrText xml:space="preserve"> PAGEREF _Toc81233905 \h </w:instrText>
        </w:r>
        <w:r w:rsidR="00201EE5">
          <w:rPr>
            <w:noProof/>
            <w:webHidden/>
          </w:rPr>
        </w:r>
        <w:r w:rsidR="00201EE5">
          <w:rPr>
            <w:noProof/>
            <w:webHidden/>
          </w:rPr>
          <w:fldChar w:fldCharType="separate"/>
        </w:r>
        <w:r w:rsidR="001B0B0E">
          <w:rPr>
            <w:noProof/>
            <w:webHidden/>
          </w:rPr>
          <w:t>3</w:t>
        </w:r>
        <w:r w:rsidR="00201EE5">
          <w:rPr>
            <w:noProof/>
            <w:webHidden/>
          </w:rPr>
          <w:fldChar w:fldCharType="end"/>
        </w:r>
      </w:hyperlink>
    </w:p>
    <w:p w:rsidR="00201EE5" w:rsidRDefault="00A90CBB">
      <w:pPr>
        <w:pStyle w:val="Seznamobrzk"/>
        <w:rPr>
          <w:rFonts w:asciiTheme="minorHAnsi" w:eastAsiaTheme="minorEastAsia" w:hAnsiTheme="minorHAnsi" w:cstheme="minorBidi"/>
          <w:noProof/>
          <w:sz w:val="22"/>
          <w:szCs w:val="22"/>
        </w:rPr>
      </w:pPr>
      <w:hyperlink w:anchor="_Toc81233906" w:history="1">
        <w:r w:rsidR="00201EE5" w:rsidRPr="008A5BE0">
          <w:rPr>
            <w:rStyle w:val="Hypertextovodkaz"/>
            <w:noProof/>
          </w:rPr>
          <w:t>Obrázek 2.3: Měnový kurz CZK/EUR</w:t>
        </w:r>
        <w:r w:rsidR="00201EE5">
          <w:rPr>
            <w:noProof/>
            <w:webHidden/>
          </w:rPr>
          <w:tab/>
        </w:r>
        <w:r w:rsidR="00201EE5">
          <w:rPr>
            <w:noProof/>
            <w:webHidden/>
          </w:rPr>
          <w:fldChar w:fldCharType="begin"/>
        </w:r>
        <w:r w:rsidR="00201EE5">
          <w:rPr>
            <w:noProof/>
            <w:webHidden/>
          </w:rPr>
          <w:instrText xml:space="preserve"> PAGEREF _Toc81233906 \h </w:instrText>
        </w:r>
        <w:r w:rsidR="00201EE5">
          <w:rPr>
            <w:noProof/>
            <w:webHidden/>
          </w:rPr>
        </w:r>
        <w:r w:rsidR="00201EE5">
          <w:rPr>
            <w:noProof/>
            <w:webHidden/>
          </w:rPr>
          <w:fldChar w:fldCharType="separate"/>
        </w:r>
        <w:r w:rsidR="001B0B0E">
          <w:rPr>
            <w:noProof/>
            <w:webHidden/>
          </w:rPr>
          <w:t>3</w:t>
        </w:r>
        <w:r w:rsidR="00201EE5">
          <w:rPr>
            <w:noProof/>
            <w:webHidden/>
          </w:rPr>
          <w:fldChar w:fldCharType="end"/>
        </w:r>
      </w:hyperlink>
    </w:p>
    <w:p w:rsidR="00201EE5" w:rsidRDefault="00A90CBB">
      <w:pPr>
        <w:pStyle w:val="Seznamobrzk"/>
        <w:rPr>
          <w:rFonts w:asciiTheme="minorHAnsi" w:eastAsiaTheme="minorEastAsia" w:hAnsiTheme="minorHAnsi" w:cstheme="minorBidi"/>
          <w:noProof/>
          <w:sz w:val="22"/>
          <w:szCs w:val="22"/>
        </w:rPr>
      </w:pPr>
      <w:hyperlink w:anchor="_Toc81233907" w:history="1">
        <w:r w:rsidR="00201EE5" w:rsidRPr="008A5BE0">
          <w:rPr>
            <w:rStyle w:val="Hypertextovodkaz"/>
            <w:noProof/>
          </w:rPr>
          <w:t>Obrázek 2.4: Reálný hrubý domácí produkt</w:t>
        </w:r>
        <w:r w:rsidR="00201EE5">
          <w:rPr>
            <w:noProof/>
            <w:webHidden/>
          </w:rPr>
          <w:tab/>
        </w:r>
        <w:r w:rsidR="00201EE5">
          <w:rPr>
            <w:noProof/>
            <w:webHidden/>
          </w:rPr>
          <w:fldChar w:fldCharType="begin"/>
        </w:r>
        <w:r w:rsidR="00201EE5">
          <w:rPr>
            <w:noProof/>
            <w:webHidden/>
          </w:rPr>
          <w:instrText xml:space="preserve"> PAGEREF _Toc81233907 \h </w:instrText>
        </w:r>
        <w:r w:rsidR="00201EE5">
          <w:rPr>
            <w:noProof/>
            <w:webHidden/>
          </w:rPr>
        </w:r>
        <w:r w:rsidR="00201EE5">
          <w:rPr>
            <w:noProof/>
            <w:webHidden/>
          </w:rPr>
          <w:fldChar w:fldCharType="separate"/>
        </w:r>
        <w:r w:rsidR="001B0B0E">
          <w:rPr>
            <w:noProof/>
            <w:webHidden/>
          </w:rPr>
          <w:t>4</w:t>
        </w:r>
        <w:r w:rsidR="00201EE5">
          <w:rPr>
            <w:noProof/>
            <w:webHidden/>
          </w:rPr>
          <w:fldChar w:fldCharType="end"/>
        </w:r>
      </w:hyperlink>
    </w:p>
    <w:p w:rsidR="00201EE5" w:rsidRDefault="00A90CBB">
      <w:pPr>
        <w:pStyle w:val="Seznamobrzk"/>
        <w:rPr>
          <w:rFonts w:asciiTheme="minorHAnsi" w:eastAsiaTheme="minorEastAsia" w:hAnsiTheme="minorHAnsi" w:cstheme="minorBidi"/>
          <w:noProof/>
          <w:sz w:val="22"/>
          <w:szCs w:val="22"/>
        </w:rPr>
      </w:pPr>
      <w:hyperlink w:anchor="_Toc81233908" w:history="1">
        <w:r w:rsidR="00201EE5" w:rsidRPr="008A5BE0">
          <w:rPr>
            <w:rStyle w:val="Hypertextovodkaz"/>
            <w:noProof/>
          </w:rPr>
          <w:t>Obrázek 2.5: Spotřebitelské ceny</w:t>
        </w:r>
        <w:r w:rsidR="00201EE5">
          <w:rPr>
            <w:noProof/>
            <w:webHidden/>
          </w:rPr>
          <w:tab/>
        </w:r>
        <w:r w:rsidR="00201EE5">
          <w:rPr>
            <w:noProof/>
            <w:webHidden/>
          </w:rPr>
          <w:fldChar w:fldCharType="begin"/>
        </w:r>
        <w:r w:rsidR="00201EE5">
          <w:rPr>
            <w:noProof/>
            <w:webHidden/>
          </w:rPr>
          <w:instrText xml:space="preserve"> PAGEREF _Toc81233908 \h </w:instrText>
        </w:r>
        <w:r w:rsidR="00201EE5">
          <w:rPr>
            <w:noProof/>
            <w:webHidden/>
          </w:rPr>
        </w:r>
        <w:r w:rsidR="00201EE5">
          <w:rPr>
            <w:noProof/>
            <w:webHidden/>
          </w:rPr>
          <w:fldChar w:fldCharType="separate"/>
        </w:r>
        <w:r w:rsidR="001B0B0E">
          <w:rPr>
            <w:noProof/>
            <w:webHidden/>
          </w:rPr>
          <w:t>5</w:t>
        </w:r>
        <w:r w:rsidR="00201EE5">
          <w:rPr>
            <w:noProof/>
            <w:webHidden/>
          </w:rPr>
          <w:fldChar w:fldCharType="end"/>
        </w:r>
      </w:hyperlink>
    </w:p>
    <w:p w:rsidR="00201EE5" w:rsidRDefault="00A90CBB">
      <w:pPr>
        <w:pStyle w:val="Seznamobrzk"/>
        <w:rPr>
          <w:rFonts w:asciiTheme="minorHAnsi" w:eastAsiaTheme="minorEastAsia" w:hAnsiTheme="minorHAnsi" w:cstheme="minorBidi"/>
          <w:noProof/>
          <w:sz w:val="22"/>
          <w:szCs w:val="22"/>
        </w:rPr>
      </w:pPr>
      <w:hyperlink w:anchor="_Toc81233909" w:history="1">
        <w:r w:rsidR="00201EE5" w:rsidRPr="008A5BE0">
          <w:rPr>
            <w:rStyle w:val="Hypertextovodkaz"/>
            <w:noProof/>
          </w:rPr>
          <w:t>Obrázek 2.6: Zaměstnanost</w:t>
        </w:r>
        <w:r w:rsidR="00201EE5">
          <w:rPr>
            <w:noProof/>
            <w:webHidden/>
          </w:rPr>
          <w:tab/>
        </w:r>
        <w:r w:rsidR="00201EE5">
          <w:rPr>
            <w:noProof/>
            <w:webHidden/>
          </w:rPr>
          <w:fldChar w:fldCharType="begin"/>
        </w:r>
        <w:r w:rsidR="00201EE5">
          <w:rPr>
            <w:noProof/>
            <w:webHidden/>
          </w:rPr>
          <w:instrText xml:space="preserve"> PAGEREF _Toc81233909 \h </w:instrText>
        </w:r>
        <w:r w:rsidR="00201EE5">
          <w:rPr>
            <w:noProof/>
            <w:webHidden/>
          </w:rPr>
        </w:r>
        <w:r w:rsidR="00201EE5">
          <w:rPr>
            <w:noProof/>
            <w:webHidden/>
          </w:rPr>
          <w:fldChar w:fldCharType="separate"/>
        </w:r>
        <w:r w:rsidR="001B0B0E">
          <w:rPr>
            <w:noProof/>
            <w:webHidden/>
          </w:rPr>
          <w:t>5</w:t>
        </w:r>
        <w:r w:rsidR="00201EE5">
          <w:rPr>
            <w:noProof/>
            <w:webHidden/>
          </w:rPr>
          <w:fldChar w:fldCharType="end"/>
        </w:r>
      </w:hyperlink>
    </w:p>
    <w:p w:rsidR="00201EE5" w:rsidRDefault="00A90CBB">
      <w:pPr>
        <w:pStyle w:val="Seznamobrzk"/>
        <w:rPr>
          <w:rFonts w:asciiTheme="minorHAnsi" w:eastAsiaTheme="minorEastAsia" w:hAnsiTheme="minorHAnsi" w:cstheme="minorBidi"/>
          <w:noProof/>
          <w:sz w:val="22"/>
          <w:szCs w:val="22"/>
        </w:rPr>
      </w:pPr>
      <w:hyperlink w:anchor="_Toc81233910" w:history="1">
        <w:r w:rsidR="00201EE5" w:rsidRPr="008A5BE0">
          <w:rPr>
            <w:rStyle w:val="Hypertextovodkaz"/>
            <w:noProof/>
          </w:rPr>
          <w:t>Obrázek 2.7: Míra nezaměstnanosti</w:t>
        </w:r>
        <w:r w:rsidR="00201EE5">
          <w:rPr>
            <w:noProof/>
            <w:webHidden/>
          </w:rPr>
          <w:tab/>
        </w:r>
        <w:r w:rsidR="00201EE5">
          <w:rPr>
            <w:noProof/>
            <w:webHidden/>
          </w:rPr>
          <w:fldChar w:fldCharType="begin"/>
        </w:r>
        <w:r w:rsidR="00201EE5">
          <w:rPr>
            <w:noProof/>
            <w:webHidden/>
          </w:rPr>
          <w:instrText xml:space="preserve"> PAGEREF _Toc81233910 \h </w:instrText>
        </w:r>
        <w:r w:rsidR="00201EE5">
          <w:rPr>
            <w:noProof/>
            <w:webHidden/>
          </w:rPr>
        </w:r>
        <w:r w:rsidR="00201EE5">
          <w:rPr>
            <w:noProof/>
            <w:webHidden/>
          </w:rPr>
          <w:fldChar w:fldCharType="separate"/>
        </w:r>
        <w:r w:rsidR="001B0B0E">
          <w:rPr>
            <w:noProof/>
            <w:webHidden/>
          </w:rPr>
          <w:t>5</w:t>
        </w:r>
        <w:r w:rsidR="00201EE5">
          <w:rPr>
            <w:noProof/>
            <w:webHidden/>
          </w:rPr>
          <w:fldChar w:fldCharType="end"/>
        </w:r>
      </w:hyperlink>
    </w:p>
    <w:p w:rsidR="00201EE5" w:rsidRDefault="00A90CBB">
      <w:pPr>
        <w:pStyle w:val="Seznamobrzk"/>
        <w:rPr>
          <w:rFonts w:asciiTheme="minorHAnsi" w:eastAsiaTheme="minorEastAsia" w:hAnsiTheme="minorHAnsi" w:cstheme="minorBidi"/>
          <w:noProof/>
          <w:sz w:val="22"/>
          <w:szCs w:val="22"/>
        </w:rPr>
      </w:pPr>
      <w:hyperlink w:anchor="_Toc81233911" w:history="1">
        <w:r w:rsidR="00201EE5" w:rsidRPr="008A5BE0">
          <w:rPr>
            <w:rStyle w:val="Hypertextovodkaz"/>
            <w:noProof/>
          </w:rPr>
          <w:t>Obrázek 2.8: Objem mezd a platů</w:t>
        </w:r>
        <w:r w:rsidR="00201EE5">
          <w:rPr>
            <w:noProof/>
            <w:webHidden/>
          </w:rPr>
          <w:tab/>
        </w:r>
        <w:r w:rsidR="00201EE5">
          <w:rPr>
            <w:noProof/>
            <w:webHidden/>
          </w:rPr>
          <w:fldChar w:fldCharType="begin"/>
        </w:r>
        <w:r w:rsidR="00201EE5">
          <w:rPr>
            <w:noProof/>
            <w:webHidden/>
          </w:rPr>
          <w:instrText xml:space="preserve"> PAGEREF _Toc81233911 \h </w:instrText>
        </w:r>
        <w:r w:rsidR="00201EE5">
          <w:rPr>
            <w:noProof/>
            <w:webHidden/>
          </w:rPr>
        </w:r>
        <w:r w:rsidR="00201EE5">
          <w:rPr>
            <w:noProof/>
            <w:webHidden/>
          </w:rPr>
          <w:fldChar w:fldCharType="separate"/>
        </w:r>
        <w:r w:rsidR="001B0B0E">
          <w:rPr>
            <w:noProof/>
            <w:webHidden/>
          </w:rPr>
          <w:t>6</w:t>
        </w:r>
        <w:r w:rsidR="00201EE5">
          <w:rPr>
            <w:noProof/>
            <w:webHidden/>
          </w:rPr>
          <w:fldChar w:fldCharType="end"/>
        </w:r>
      </w:hyperlink>
    </w:p>
    <w:p w:rsidR="00201EE5" w:rsidRDefault="00A90CBB">
      <w:pPr>
        <w:pStyle w:val="Seznamobrzk"/>
        <w:rPr>
          <w:rFonts w:asciiTheme="minorHAnsi" w:eastAsiaTheme="minorEastAsia" w:hAnsiTheme="minorHAnsi" w:cstheme="minorBidi"/>
          <w:noProof/>
          <w:sz w:val="22"/>
          <w:szCs w:val="22"/>
        </w:rPr>
      </w:pPr>
      <w:hyperlink w:anchor="_Toc81233912" w:history="1">
        <w:r w:rsidR="00201EE5" w:rsidRPr="008A5BE0">
          <w:rPr>
            <w:rStyle w:val="Hypertextovodkaz"/>
            <w:noProof/>
          </w:rPr>
          <w:t>Obrázek 2.9: Saldo běžného účtu platební bilance</w:t>
        </w:r>
        <w:r w:rsidR="00201EE5">
          <w:rPr>
            <w:noProof/>
            <w:webHidden/>
          </w:rPr>
          <w:tab/>
        </w:r>
        <w:r w:rsidR="00201EE5">
          <w:rPr>
            <w:noProof/>
            <w:webHidden/>
          </w:rPr>
          <w:fldChar w:fldCharType="begin"/>
        </w:r>
        <w:r w:rsidR="00201EE5">
          <w:rPr>
            <w:noProof/>
            <w:webHidden/>
          </w:rPr>
          <w:instrText xml:space="preserve"> PAGEREF _Toc81233912 \h </w:instrText>
        </w:r>
        <w:r w:rsidR="00201EE5">
          <w:rPr>
            <w:noProof/>
            <w:webHidden/>
          </w:rPr>
        </w:r>
        <w:r w:rsidR="00201EE5">
          <w:rPr>
            <w:noProof/>
            <w:webHidden/>
          </w:rPr>
          <w:fldChar w:fldCharType="separate"/>
        </w:r>
        <w:r w:rsidR="001B0B0E">
          <w:rPr>
            <w:noProof/>
            <w:webHidden/>
          </w:rPr>
          <w:t>6</w:t>
        </w:r>
        <w:r w:rsidR="00201EE5">
          <w:rPr>
            <w:noProof/>
            <w:webHidden/>
          </w:rPr>
          <w:fldChar w:fldCharType="end"/>
        </w:r>
      </w:hyperlink>
    </w:p>
    <w:p w:rsidR="00201EE5" w:rsidRDefault="00A90CBB">
      <w:pPr>
        <w:pStyle w:val="Seznamobrzk"/>
        <w:rPr>
          <w:rFonts w:asciiTheme="minorHAnsi" w:eastAsiaTheme="minorEastAsia" w:hAnsiTheme="minorHAnsi" w:cstheme="minorBidi"/>
          <w:noProof/>
          <w:sz w:val="22"/>
          <w:szCs w:val="22"/>
        </w:rPr>
      </w:pPr>
      <w:hyperlink w:anchor="_Toc81233913" w:history="1">
        <w:r w:rsidR="00201EE5" w:rsidRPr="008A5BE0">
          <w:rPr>
            <w:rStyle w:val="Hypertextovodkaz"/>
            <w:noProof/>
          </w:rPr>
          <w:t>Obrázek 3.1: Saldo veřejných financí</w:t>
        </w:r>
        <w:r w:rsidR="00201EE5">
          <w:rPr>
            <w:noProof/>
            <w:webHidden/>
          </w:rPr>
          <w:tab/>
        </w:r>
        <w:r w:rsidR="00201EE5">
          <w:rPr>
            <w:noProof/>
            <w:webHidden/>
          </w:rPr>
          <w:fldChar w:fldCharType="begin"/>
        </w:r>
        <w:r w:rsidR="00201EE5">
          <w:rPr>
            <w:noProof/>
            <w:webHidden/>
          </w:rPr>
          <w:instrText xml:space="preserve"> PAGEREF _Toc81233913 \h </w:instrText>
        </w:r>
        <w:r w:rsidR="00201EE5">
          <w:rPr>
            <w:noProof/>
            <w:webHidden/>
          </w:rPr>
        </w:r>
        <w:r w:rsidR="00201EE5">
          <w:rPr>
            <w:noProof/>
            <w:webHidden/>
          </w:rPr>
          <w:fldChar w:fldCharType="separate"/>
        </w:r>
        <w:r w:rsidR="001B0B0E">
          <w:rPr>
            <w:noProof/>
            <w:webHidden/>
          </w:rPr>
          <w:t>11</w:t>
        </w:r>
        <w:r w:rsidR="00201EE5">
          <w:rPr>
            <w:noProof/>
            <w:webHidden/>
          </w:rPr>
          <w:fldChar w:fldCharType="end"/>
        </w:r>
      </w:hyperlink>
    </w:p>
    <w:p w:rsidR="00332D4D" w:rsidRDefault="00332D4D" w:rsidP="008F140B">
      <w:pPr>
        <w:pStyle w:val="Nadpismal"/>
      </w:pPr>
      <w:r>
        <w:fldChar w:fldCharType="end"/>
      </w:r>
    </w:p>
    <w:p w:rsidR="00332D4D" w:rsidRDefault="00332D4D" w:rsidP="00332D4D">
      <w:pPr>
        <w:sectPr w:rsidR="00332D4D" w:rsidSect="007A1923">
          <w:headerReference w:type="default" r:id="rId11"/>
          <w:footerReference w:type="default" r:id="rId12"/>
          <w:type w:val="oddPage"/>
          <w:pgSz w:w="11906" w:h="16838" w:code="9"/>
          <w:pgMar w:top="1134" w:right="1134" w:bottom="1418" w:left="1134" w:header="709" w:footer="709" w:gutter="0"/>
          <w:pgNumType w:start="1"/>
          <w:cols w:space="709"/>
          <w:docGrid w:linePitch="360"/>
        </w:sectPr>
      </w:pPr>
    </w:p>
    <w:p w:rsidR="00A53081" w:rsidRDefault="00337956" w:rsidP="00C43D9D">
      <w:pPr>
        <w:pStyle w:val="Nadpis1"/>
      </w:pPr>
      <w:bookmarkStart w:id="1" w:name="_Toc81233914"/>
      <w:bookmarkStart w:id="2" w:name="_Toc525714682"/>
      <w:bookmarkStart w:id="3" w:name="_Toc14695473"/>
      <w:r>
        <w:lastRenderedPageBreak/>
        <w:t>Úvod a shrnutí</w:t>
      </w:r>
      <w:bookmarkEnd w:id="1"/>
    </w:p>
    <w:p w:rsidR="001955F1" w:rsidRDefault="001955F1" w:rsidP="001955F1">
      <w:r w:rsidRPr="008F140B">
        <w:t xml:space="preserve">Makroekonomický rámec byl dne </w:t>
      </w:r>
      <w:r>
        <w:t>30</w:t>
      </w:r>
      <w:r w:rsidRPr="008F140B">
        <w:t>.</w:t>
      </w:r>
      <w:r>
        <w:t> srpna</w:t>
      </w:r>
      <w:r w:rsidRPr="008F140B">
        <w:t xml:space="preserve"> 20</w:t>
      </w:r>
      <w:r>
        <w:t>21,</w:t>
      </w:r>
      <w:r w:rsidRPr="008F140B">
        <w:t xml:space="preserve"> v souladu se zákonem č.</w:t>
      </w:r>
      <w:r>
        <w:t> </w:t>
      </w:r>
      <w:r w:rsidRPr="008F140B">
        <w:t>23/2017 Sb. o</w:t>
      </w:r>
      <w:r>
        <w:t> </w:t>
      </w:r>
      <w:r w:rsidRPr="008F140B">
        <w:t xml:space="preserve">pravidlech rozpočtové odpovědnosti, </w:t>
      </w:r>
      <w:r>
        <w:t xml:space="preserve">ve znění pozdějších předpisů, </w:t>
      </w:r>
      <w:r w:rsidRPr="008F140B">
        <w:t>posouzen Výborem pro rozpočtové prognózy</w:t>
      </w:r>
      <w:r w:rsidR="00C35065">
        <w:t xml:space="preserve"> a vyhodnocen</w:t>
      </w:r>
      <w:r w:rsidRPr="00257980">
        <w:t xml:space="preserve"> jako </w:t>
      </w:r>
      <w:r w:rsidR="00C35065" w:rsidRPr="00606423">
        <w:rPr>
          <w:b/>
        </w:rPr>
        <w:t>realistický</w:t>
      </w:r>
      <w:r w:rsidRPr="00257980">
        <w:t>.</w:t>
      </w:r>
      <w:r>
        <w:t xml:space="preserve"> </w:t>
      </w:r>
      <w:r w:rsidR="005026C3">
        <w:t>Scénář makroekonomického rám</w:t>
      </w:r>
      <w:r>
        <w:t>c</w:t>
      </w:r>
      <w:r w:rsidR="005026C3">
        <w:t>e</w:t>
      </w:r>
      <w:r>
        <w:t xml:space="preserve"> byl rovněž porovnán s </w:t>
      </w:r>
      <w:r w:rsidRPr="00F06376">
        <w:t>pr</w:t>
      </w:r>
      <w:r>
        <w:t xml:space="preserve">ognózami relevantních </w:t>
      </w:r>
      <w:r w:rsidRPr="00F06376">
        <w:t>institucí zabývajících se předpovídáním budoucího vývoje české ekonomiky.</w:t>
      </w:r>
      <w:r>
        <w:t xml:space="preserve"> </w:t>
      </w:r>
      <w:r w:rsidR="005026C3">
        <w:t>V</w:t>
      </w:r>
      <w:r w:rsidR="00C35065">
        <w:t xml:space="preserve"> některých případech </w:t>
      </w:r>
      <w:r w:rsidR="005026C3">
        <w:t xml:space="preserve">sice </w:t>
      </w:r>
      <w:r>
        <w:t>vybočuje z intervalu sledovaných prognóz</w:t>
      </w:r>
      <w:r w:rsidR="00C35065">
        <w:t xml:space="preserve">, to </w:t>
      </w:r>
      <w:r w:rsidR="007A126F">
        <w:t>je však patrně dáno rozdílnými daty zpracování jednotlivých predikcí, a</w:t>
      </w:r>
      <w:r w:rsidR="005026C3">
        <w:t> </w:t>
      </w:r>
      <w:r w:rsidR="007A126F">
        <w:t>tedy i odlišnými</w:t>
      </w:r>
      <w:r w:rsidR="00C35065">
        <w:t xml:space="preserve"> informacemi, z nichž </w:t>
      </w:r>
      <w:r w:rsidR="007A126F">
        <w:t xml:space="preserve">prognózy </w:t>
      </w:r>
      <w:r w:rsidR="00C35065">
        <w:t>vycházejí.</w:t>
      </w:r>
    </w:p>
    <w:p w:rsidR="00C43D9D" w:rsidRPr="00E663E3" w:rsidRDefault="006A7C6F" w:rsidP="00084691">
      <w:r w:rsidRPr="00467432">
        <w:rPr>
          <w:b/>
        </w:rPr>
        <w:t>Fiskální politika</w:t>
      </w:r>
      <w:r>
        <w:t xml:space="preserve"> se řídí mantinely danými zákonem o pravidlech rozpočtové odpovědnosti. Ten definuje postup odvození výdajových rámců pro státní rozpočet a státní fondy kompatibilní se stanoveným strukturálním saldem pro celý sektor vládních institucí. Základní premisou je v současnosti stálá konsolidace veřejných financí minimálně o 0,5 procentního bodu až do dosažení střednědobého rozpočtového cíle.</w:t>
      </w:r>
      <w:r w:rsidR="005107D1">
        <w:t xml:space="preserve"> Konsolidace pak vychází z odhadnutého strukturálního deficitu pro rok 2021, které činí 6,1 % HDP.</w:t>
      </w:r>
      <w:r w:rsidR="00C35065">
        <w:t xml:space="preserve"> </w:t>
      </w:r>
      <w:r w:rsidR="00C35065" w:rsidRPr="00C35065">
        <w:rPr>
          <w:b/>
        </w:rPr>
        <w:t>M</w:t>
      </w:r>
      <w:r w:rsidR="001955F1" w:rsidRPr="00034DC0">
        <w:rPr>
          <w:b/>
        </w:rPr>
        <w:t>ěnové podmínky</w:t>
      </w:r>
      <w:r w:rsidR="001955F1">
        <w:t xml:space="preserve"> by na ekonomiku díky úrokové složce měly </w:t>
      </w:r>
      <w:r w:rsidR="00557993">
        <w:t>letos a </w:t>
      </w:r>
      <w:r w:rsidR="00C53854">
        <w:t xml:space="preserve">v roce 2022 </w:t>
      </w:r>
      <w:r w:rsidR="001955F1">
        <w:t xml:space="preserve">působit stimulačně, </w:t>
      </w:r>
      <w:r w:rsidR="00C53854">
        <w:t>byť v postupně se snižující míře</w:t>
      </w:r>
      <w:r w:rsidR="001955F1">
        <w:t>.</w:t>
      </w:r>
    </w:p>
    <w:p w:rsidR="00337956" w:rsidRPr="00E663E3" w:rsidRDefault="00337956" w:rsidP="00C43D9D">
      <w:pPr>
        <w:sectPr w:rsidR="00337956" w:rsidRPr="00E663E3" w:rsidSect="00A53081">
          <w:headerReference w:type="default" r:id="rId13"/>
          <w:footerReference w:type="even" r:id="rId14"/>
          <w:footerReference w:type="default" r:id="rId15"/>
          <w:type w:val="continuous"/>
          <w:pgSz w:w="11906" w:h="16838" w:code="9"/>
          <w:pgMar w:top="1134" w:right="1134" w:bottom="1418" w:left="1134" w:header="709" w:footer="709" w:gutter="0"/>
          <w:pgNumType w:start="1"/>
          <w:cols w:space="397"/>
          <w:docGrid w:linePitch="360"/>
        </w:sectPr>
      </w:pPr>
    </w:p>
    <w:bookmarkEnd w:id="2"/>
    <w:bookmarkEnd w:id="3"/>
    <w:p w:rsidR="003B3095" w:rsidRDefault="008028D0" w:rsidP="00361FCE">
      <w:r>
        <w:t>Česká ekonomika n</w:t>
      </w:r>
      <w:r w:rsidR="006E262B">
        <w:t xml:space="preserve">a konci roku 2020 a v 1. čtvrtletí 2021 prokazovala mimořádnou odolnost vůči </w:t>
      </w:r>
      <w:r w:rsidR="00BE74F6">
        <w:t>nepříznivé epidemické situaci</w:t>
      </w:r>
      <w:r>
        <w:t xml:space="preserve">. Ve 2. čtvrtletí 2021 </w:t>
      </w:r>
      <w:r w:rsidR="00B427F0">
        <w:t>hrubý domácí produkt mírně vzrostl</w:t>
      </w:r>
      <w:r w:rsidR="00BE74F6">
        <w:t>,</w:t>
      </w:r>
      <w:r w:rsidR="00C0662C">
        <w:t xml:space="preserve"> </w:t>
      </w:r>
      <w:r w:rsidR="00B427F0">
        <w:t xml:space="preserve">čemuž napomohlo </w:t>
      </w:r>
      <w:r w:rsidR="00BE74F6">
        <w:t>uvolnění protiepidemických omezení</w:t>
      </w:r>
      <w:r w:rsidR="00B427F0">
        <w:t>, hospodářskou aktivitu však brzdily problémy v globálních dodavatelských řetězcích</w:t>
      </w:r>
      <w:r w:rsidR="00513947">
        <w:t>.</w:t>
      </w:r>
      <w:r w:rsidR="00361FCE">
        <w:t xml:space="preserve"> O</w:t>
      </w:r>
      <w:r w:rsidR="003B3095">
        <w:t xml:space="preserve">d 3. čtvrtletí 2021 </w:t>
      </w:r>
      <w:r w:rsidR="00361FCE">
        <w:t xml:space="preserve">by ekonomika měla </w:t>
      </w:r>
      <w:r w:rsidR="003B3095">
        <w:t>výrazněji oživovat</w:t>
      </w:r>
      <w:r w:rsidR="00361FCE">
        <w:t xml:space="preserve">, </w:t>
      </w:r>
      <w:r w:rsidR="003B3095">
        <w:t>předchozí šok do agregátní poptávky i nabídky</w:t>
      </w:r>
      <w:r w:rsidR="00361FCE">
        <w:t xml:space="preserve"> by tak měl být postupně kompenzován</w:t>
      </w:r>
      <w:r w:rsidR="003B3095">
        <w:t>.</w:t>
      </w:r>
    </w:p>
    <w:p w:rsidR="003B3095" w:rsidRDefault="009F2E79" w:rsidP="003B3095">
      <w:r>
        <w:t xml:space="preserve">Dopad epidemie na </w:t>
      </w:r>
      <w:r w:rsidRPr="009F2E79">
        <w:rPr>
          <w:b/>
        </w:rPr>
        <w:t>trh práce</w:t>
      </w:r>
      <w:r>
        <w:t xml:space="preserve"> byl </w:t>
      </w:r>
      <w:r w:rsidR="00902CFA">
        <w:t xml:space="preserve">citelně </w:t>
      </w:r>
      <w:r>
        <w:t xml:space="preserve">ztlumen vládními podpůrnými programy. Navzdory jejich </w:t>
      </w:r>
      <w:r w:rsidR="00152F18">
        <w:t xml:space="preserve">ukončení </w:t>
      </w:r>
      <w:r>
        <w:t xml:space="preserve">v průběhu 2. čtvrtletí 2021 však míra nezaměstnanosti vlivem hospodářského oživení </w:t>
      </w:r>
      <w:r w:rsidR="00AF13BB">
        <w:t>začala</w:t>
      </w:r>
      <w:r>
        <w:t xml:space="preserve"> postupně klesat.</w:t>
      </w:r>
    </w:p>
    <w:p w:rsidR="003B3095" w:rsidRDefault="00E84457" w:rsidP="003B3095">
      <w:r>
        <w:t xml:space="preserve">Meziroční </w:t>
      </w:r>
      <w:r w:rsidRPr="00E84457">
        <w:rPr>
          <w:b/>
        </w:rPr>
        <w:t>inflace</w:t>
      </w:r>
      <w:r w:rsidR="003B3095">
        <w:t xml:space="preserve"> </w:t>
      </w:r>
      <w:r>
        <w:t xml:space="preserve">se </w:t>
      </w:r>
      <w:r w:rsidR="00E15285">
        <w:t>v červenci 2021 dostal</w:t>
      </w:r>
      <w:r>
        <w:t>a</w:t>
      </w:r>
      <w:r w:rsidR="00E15285">
        <w:t xml:space="preserve"> nad horní hranici</w:t>
      </w:r>
      <w:r w:rsidR="003B3095">
        <w:t xml:space="preserve"> tolerančního pásma </w:t>
      </w:r>
      <w:r w:rsidR="00E15285">
        <w:t>okolo 2%</w:t>
      </w:r>
      <w:r w:rsidR="003B3095">
        <w:t xml:space="preserve"> cíle České národní banky</w:t>
      </w:r>
      <w:r w:rsidR="00E15285">
        <w:t xml:space="preserve"> a v 2. polovině letošního roku by měl</w:t>
      </w:r>
      <w:r>
        <w:t>a</w:t>
      </w:r>
      <w:r w:rsidR="00E15285">
        <w:t xml:space="preserve"> dále </w:t>
      </w:r>
      <w:r w:rsidR="00E15285" w:rsidRPr="00E84457">
        <w:rPr>
          <w:spacing w:val="-1"/>
        </w:rPr>
        <w:t>zrychlovat</w:t>
      </w:r>
      <w:r w:rsidR="003B3095" w:rsidRPr="00E84457">
        <w:rPr>
          <w:spacing w:val="-1"/>
        </w:rPr>
        <w:t>.</w:t>
      </w:r>
      <w:r w:rsidRPr="00E84457">
        <w:rPr>
          <w:spacing w:val="-1"/>
        </w:rPr>
        <w:t xml:space="preserve"> </w:t>
      </w:r>
      <w:r w:rsidR="004567C0">
        <w:rPr>
          <w:spacing w:val="-1"/>
        </w:rPr>
        <w:t>Vyšší</w:t>
      </w:r>
      <w:r w:rsidR="003B3095" w:rsidRPr="00E84457">
        <w:rPr>
          <w:spacing w:val="-1"/>
        </w:rPr>
        <w:t xml:space="preserve"> </w:t>
      </w:r>
      <w:r w:rsidRPr="00E84457">
        <w:rPr>
          <w:spacing w:val="-1"/>
        </w:rPr>
        <w:t>dynamika spotřebitelských cen odráží</w:t>
      </w:r>
      <w:r>
        <w:t xml:space="preserve"> frikce na straně nabídky a výrazný růst ceny ropy i jiných komodit</w:t>
      </w:r>
      <w:r w:rsidR="003B3095">
        <w:t>.</w:t>
      </w:r>
    </w:p>
    <w:p w:rsidR="00B41B9D" w:rsidRDefault="003B3095" w:rsidP="003B3095">
      <w:r w:rsidRPr="00575C6F">
        <w:t xml:space="preserve">V </w:t>
      </w:r>
      <w:r w:rsidRPr="00575C6F">
        <w:rPr>
          <w:b/>
        </w:rPr>
        <w:t>makroekonomickém rámci</w:t>
      </w:r>
      <w:r w:rsidRPr="00575C6F">
        <w:t xml:space="preserve"> je očekáván </w:t>
      </w:r>
      <w:r>
        <w:t>nárůst hospodářs</w:t>
      </w:r>
      <w:r w:rsidRPr="00575C6F">
        <w:t xml:space="preserve">kého </w:t>
      </w:r>
      <w:r>
        <w:t>výkonu</w:t>
      </w:r>
      <w:r w:rsidRPr="00575C6F">
        <w:t xml:space="preserve">. </w:t>
      </w:r>
      <w:r w:rsidR="00554A08">
        <w:t>M</w:t>
      </w:r>
      <w:r w:rsidRPr="00575C6F">
        <w:t xml:space="preserve">íra inflace by </w:t>
      </w:r>
      <w:r w:rsidR="00AF0B03">
        <w:t>měla být dočasně zvýšená</w:t>
      </w:r>
      <w:r w:rsidRPr="00575C6F">
        <w:t xml:space="preserve">. </w:t>
      </w:r>
      <w:r w:rsidR="005669AD">
        <w:t>Na trhu práce by díky ekonomickému růstu mělo docházet k pozvo</w:t>
      </w:r>
      <w:r w:rsidR="00552B89">
        <w:t>lnému zvyšování zaměstnanosti a </w:t>
      </w:r>
      <w:r w:rsidR="005669AD">
        <w:t>poklesu míry nezaměstnanosti. Mzdový růst by měl zůstat umírněný. Přebytek na běžném</w:t>
      </w:r>
      <w:r w:rsidRPr="00575C6F">
        <w:t xml:space="preserve"> účt</w:t>
      </w:r>
      <w:r w:rsidR="005669AD">
        <w:t>u</w:t>
      </w:r>
      <w:r w:rsidRPr="00575C6F">
        <w:t xml:space="preserve"> platební bilance by měl </w:t>
      </w:r>
      <w:r w:rsidR="00144EE1">
        <w:t>klesat</w:t>
      </w:r>
      <w:r w:rsidRPr="00575C6F">
        <w:t>.</w:t>
      </w:r>
    </w:p>
    <w:p w:rsidR="00B41B9D" w:rsidRDefault="00B41B9D" w:rsidP="00332D4D">
      <w:pPr>
        <w:sectPr w:rsidR="00B41B9D" w:rsidSect="007A1923">
          <w:type w:val="continuous"/>
          <w:pgSz w:w="11906" w:h="16838" w:code="9"/>
          <w:pgMar w:top="1134" w:right="1134" w:bottom="1418" w:left="1134" w:header="709" w:footer="709" w:gutter="0"/>
          <w:cols w:num="2" w:space="397"/>
          <w:docGrid w:linePitch="360"/>
        </w:sectPr>
      </w:pPr>
    </w:p>
    <w:p w:rsidR="00332D4D" w:rsidRDefault="00332D4D" w:rsidP="00A53081">
      <w:pPr>
        <w:pStyle w:val="Titulek"/>
      </w:pPr>
      <w:bookmarkStart w:id="4" w:name="_Toc81233900"/>
      <w:r w:rsidRPr="00B87A57">
        <w:t xml:space="preserve">Tabulka </w:t>
      </w:r>
      <w:fldSimple w:instr=" STYLEREF 1 \s ">
        <w:r w:rsidR="001B0B0E">
          <w:rPr>
            <w:noProof/>
          </w:rPr>
          <w:t>1</w:t>
        </w:r>
      </w:fldSimple>
      <w:r w:rsidRPr="00B87A57">
        <w:t>.</w:t>
      </w:r>
      <w:fldSimple w:instr=" SEQ Tabulka \* ARABIC \s 1 ">
        <w:r w:rsidR="001B0B0E">
          <w:rPr>
            <w:noProof/>
          </w:rPr>
          <w:t>1</w:t>
        </w:r>
      </w:fldSimple>
      <w:r w:rsidRPr="00B87A57">
        <w:t>:</w:t>
      </w:r>
      <w:r w:rsidRPr="00877BE7">
        <w:t xml:space="preserve"> </w:t>
      </w:r>
      <w:r w:rsidRPr="00383A1A">
        <w:t xml:space="preserve">Predikce základních </w:t>
      </w:r>
      <w:r w:rsidRPr="00A53081">
        <w:t>makroekonomických</w:t>
      </w:r>
      <w:r w:rsidRPr="00383A1A">
        <w:t xml:space="preserve"> indikátorů</w:t>
      </w:r>
      <w:bookmarkEnd w:id="4"/>
    </w:p>
    <w:p w:rsidR="00A53081" w:rsidRDefault="007D0FFD" w:rsidP="00A53081">
      <w:pPr>
        <w:spacing w:after="0"/>
        <w:rPr>
          <w:noProof/>
        </w:rPr>
      </w:pPr>
      <w:r w:rsidRPr="007D0FFD">
        <w:rPr>
          <w:noProof/>
        </w:rPr>
        <w:drawing>
          <wp:inline distT="0" distB="0" distL="0" distR="0" wp14:anchorId="377CFC67" wp14:editId="0289159E">
            <wp:extent cx="6120130" cy="3382894"/>
            <wp:effectExtent l="0" t="0" r="0" b="825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3382894"/>
                    </a:xfrm>
                    <a:prstGeom prst="rect">
                      <a:avLst/>
                    </a:prstGeom>
                    <a:noFill/>
                    <a:ln>
                      <a:noFill/>
                    </a:ln>
                  </pic:spPr>
                </pic:pic>
              </a:graphicData>
            </a:graphic>
          </wp:inline>
        </w:drawing>
      </w:r>
    </w:p>
    <w:p w:rsidR="008B0ED2" w:rsidRDefault="00332D4D" w:rsidP="00A53081">
      <w:pPr>
        <w:pStyle w:val="Zdrojpodtabulkounebografem"/>
      </w:pPr>
      <w:r w:rsidRPr="00B87A57">
        <w:t xml:space="preserve">Zdroj: </w:t>
      </w:r>
      <w:r w:rsidRPr="00383A1A">
        <w:t>MF</w:t>
      </w:r>
      <w:r w:rsidR="00A53081">
        <w:t> ČR</w:t>
      </w:r>
      <w:r w:rsidRPr="00383A1A">
        <w:t>: Makroekonomická predikce ČR</w:t>
      </w:r>
      <w:r w:rsidR="00A53081">
        <w:t xml:space="preserve"> (</w:t>
      </w:r>
      <w:r w:rsidR="005C493F">
        <w:t>srpen</w:t>
      </w:r>
      <w:r w:rsidR="00C755B5">
        <w:t xml:space="preserve"> 202</w:t>
      </w:r>
      <w:r w:rsidR="005C493F">
        <w:t>1</w:t>
      </w:r>
      <w:r w:rsidR="00C755B5">
        <w:t>)</w:t>
      </w:r>
      <w:r w:rsidRPr="0058437E">
        <w:t>.</w:t>
      </w:r>
    </w:p>
    <w:p w:rsidR="00337956" w:rsidRDefault="00337956" w:rsidP="00337956">
      <w:pPr>
        <w:pStyle w:val="Nadpis1"/>
      </w:pPr>
      <w:bookmarkStart w:id="5" w:name="_Toc81233915"/>
      <w:r>
        <w:lastRenderedPageBreak/>
        <w:t>Makroekonomický rámec</w:t>
      </w:r>
      <w:bookmarkEnd w:id="5"/>
    </w:p>
    <w:p w:rsidR="00337956" w:rsidRDefault="002E5E00" w:rsidP="00084691">
      <w:r w:rsidRPr="008F140B">
        <w:t xml:space="preserve">Makroekonomický rámec </w:t>
      </w:r>
      <w:r w:rsidR="00820835">
        <w:t>návrhu</w:t>
      </w:r>
      <w:r w:rsidR="00820835" w:rsidRPr="008F140B">
        <w:t xml:space="preserve"> státního rozpočtu na rok 202</w:t>
      </w:r>
      <w:r w:rsidR="00820835">
        <w:t>2</w:t>
      </w:r>
      <w:r w:rsidR="00820835" w:rsidRPr="008F140B">
        <w:t xml:space="preserve"> </w:t>
      </w:r>
      <w:r w:rsidRPr="008F140B">
        <w:t xml:space="preserve">vychází </w:t>
      </w:r>
      <w:r>
        <w:t xml:space="preserve">z </w:t>
      </w:r>
      <w:r w:rsidRPr="008F140B">
        <w:t>Makroekonomické predikce Ministerstva financí</w:t>
      </w:r>
      <w:r>
        <w:t xml:space="preserve"> ze srpna 2021.</w:t>
      </w:r>
    </w:p>
    <w:p w:rsidR="00A53081" w:rsidRPr="00A53081" w:rsidRDefault="00A53081" w:rsidP="00A53081">
      <w:pPr>
        <w:sectPr w:rsidR="00A53081" w:rsidRPr="00A53081" w:rsidSect="007A1923">
          <w:type w:val="continuous"/>
          <w:pgSz w:w="11906" w:h="16838" w:code="9"/>
          <w:pgMar w:top="1134" w:right="1134" w:bottom="1418" w:left="1134" w:header="709" w:footer="709" w:gutter="0"/>
          <w:cols w:space="397"/>
          <w:docGrid w:linePitch="360"/>
        </w:sectPr>
      </w:pPr>
    </w:p>
    <w:p w:rsidR="00E56B2B" w:rsidRDefault="00417549" w:rsidP="00D418F2">
      <w:r>
        <w:t>Pandemie koronaviru, p</w:t>
      </w:r>
      <w:r w:rsidRPr="00B5718A">
        <w:t>řij</w:t>
      </w:r>
      <w:r>
        <w:t>atá</w:t>
      </w:r>
      <w:r w:rsidRPr="00B5718A">
        <w:t xml:space="preserve"> </w:t>
      </w:r>
      <w:r>
        <w:t xml:space="preserve">protiepidemická </w:t>
      </w:r>
      <w:r w:rsidRPr="00B5718A">
        <w:t>opatření a</w:t>
      </w:r>
      <w:r>
        <w:t> </w:t>
      </w:r>
      <w:r w:rsidRPr="00B5718A">
        <w:t>jejich doprovodné efekty</w:t>
      </w:r>
      <w:r>
        <w:t xml:space="preserve"> v roce 2020 způsobily hluboký pokles české a světové</w:t>
      </w:r>
      <w:r w:rsidRPr="009E24EE">
        <w:t xml:space="preserve"> ekonomik</w:t>
      </w:r>
      <w:r>
        <w:t>y. P</w:t>
      </w:r>
      <w:r w:rsidRPr="006F16B1">
        <w:t>o dosažení vrcholu hospodářského cyklu v roce 2019</w:t>
      </w:r>
      <w:r>
        <w:t xml:space="preserve"> se tak česká ekonomika </w:t>
      </w:r>
      <w:r w:rsidRPr="006F16B1">
        <w:t>propadla do hluboce záporné mezery výstupu.</w:t>
      </w:r>
      <w:r>
        <w:t xml:space="preserve"> Ta by se však díky </w:t>
      </w:r>
      <w:r w:rsidRPr="006F16B1">
        <w:t>hospodářské</w:t>
      </w:r>
      <w:r>
        <w:t>mu</w:t>
      </w:r>
      <w:r w:rsidRPr="006F16B1">
        <w:t xml:space="preserve"> oživení měla </w:t>
      </w:r>
      <w:r>
        <w:t xml:space="preserve">ještě letos </w:t>
      </w:r>
      <w:r w:rsidRPr="006F16B1">
        <w:t>uzav</w:t>
      </w:r>
      <w:r>
        <w:t xml:space="preserve">řít </w:t>
      </w:r>
      <w:r w:rsidR="00CA5B1D">
        <w:t>a posléze dosahovat kladné</w:t>
      </w:r>
      <w:r>
        <w:t xml:space="preserve"> hodnot</w:t>
      </w:r>
      <w:r w:rsidR="00CA5B1D">
        <w:t>y</w:t>
      </w:r>
      <w:r>
        <w:t xml:space="preserve"> </w:t>
      </w:r>
      <w:r w:rsidR="00CA5B1D">
        <w:t>do</w:t>
      </w:r>
      <w:r>
        <w:t xml:space="preserve"> 2 % potenciálního produktu.</w:t>
      </w:r>
    </w:p>
    <w:p w:rsidR="00875863" w:rsidRPr="001668A6" w:rsidRDefault="00562DCA" w:rsidP="00875863">
      <w:r>
        <w:t xml:space="preserve">Budoucí vývoj stále zůstává zatížen množstvím </w:t>
      </w:r>
      <w:r w:rsidRPr="00562DCA">
        <w:rPr>
          <w:b/>
        </w:rPr>
        <w:t>rizik</w:t>
      </w:r>
      <w:r>
        <w:t xml:space="preserve">, </w:t>
      </w:r>
      <w:r w:rsidR="00063765">
        <w:t xml:space="preserve">jež </w:t>
      </w:r>
      <w:r>
        <w:t xml:space="preserve">v úhrnu považujeme v podstatě za </w:t>
      </w:r>
      <w:r w:rsidRPr="00562DCA">
        <w:rPr>
          <w:b/>
        </w:rPr>
        <w:t>vyrovnaná</w:t>
      </w:r>
      <w:r>
        <w:t>.</w:t>
      </w:r>
      <w:r w:rsidR="00E56B2B">
        <w:t xml:space="preserve"> </w:t>
      </w:r>
      <w:r w:rsidR="00C74BD0">
        <w:t>P</w:t>
      </w:r>
      <w:r w:rsidR="00875863">
        <w:t>ro ČR i</w:t>
      </w:r>
      <w:r w:rsidR="00C74BD0">
        <w:t> </w:t>
      </w:r>
      <w:r w:rsidR="00875863">
        <w:t xml:space="preserve">ostatní ekonomiky je </w:t>
      </w:r>
      <w:r w:rsidR="00C74BD0">
        <w:t xml:space="preserve">hlavním rizikem </w:t>
      </w:r>
      <w:r w:rsidR="00875863">
        <w:t xml:space="preserve">vývoj </w:t>
      </w:r>
      <w:r w:rsidR="00875863" w:rsidRPr="00875863">
        <w:rPr>
          <w:b/>
        </w:rPr>
        <w:t>epidemické situace</w:t>
      </w:r>
      <w:r w:rsidR="00875863">
        <w:t>. Makroekonomický rámec vychází z</w:t>
      </w:r>
      <w:r w:rsidR="00C74BD0">
        <w:t xml:space="preserve"> </w:t>
      </w:r>
      <w:r w:rsidR="00875863">
        <w:t>předpokladu, že významné protiepidemické restrikce již díky pokračujícímu očk</w:t>
      </w:r>
      <w:r w:rsidR="00C74BD0">
        <w:t xml:space="preserve">ování obyvatel proti COVID-19 a </w:t>
      </w:r>
      <w:r w:rsidR="00875863">
        <w:t xml:space="preserve">vysokému počtu osob, které toto onemocnění prodělaly, nebude nutné zavést. </w:t>
      </w:r>
      <w:r w:rsidR="00E56B2B">
        <w:rPr>
          <w:spacing w:val="-1"/>
        </w:rPr>
        <w:t>R</w:t>
      </w:r>
      <w:r w:rsidR="00063765">
        <w:rPr>
          <w:spacing w:val="-1"/>
        </w:rPr>
        <w:t>iziko ovšem představuje vznik a </w:t>
      </w:r>
      <w:r w:rsidR="00E56B2B">
        <w:rPr>
          <w:spacing w:val="-1"/>
        </w:rPr>
        <w:t xml:space="preserve">šíření nových mutací koronaviru, proti nimž by dostupné vakcíny mohly být méně účinné. </w:t>
      </w:r>
      <w:r w:rsidR="00875863">
        <w:t xml:space="preserve">Počítáme také s tím, že negativní dopad pandemie na globální dodavatelské řetězce bude </w:t>
      </w:r>
      <w:r w:rsidR="00875863" w:rsidRPr="001668A6">
        <w:t>spíše krátkodobý.</w:t>
      </w:r>
    </w:p>
    <w:p w:rsidR="00112E99" w:rsidRDefault="00112E99" w:rsidP="00875863">
      <w:r w:rsidRPr="001668A6">
        <w:t xml:space="preserve">Mezi </w:t>
      </w:r>
      <w:r w:rsidRPr="001668A6">
        <w:rPr>
          <w:b/>
        </w:rPr>
        <w:t>negativní vnitřní rizika</w:t>
      </w:r>
      <w:r w:rsidRPr="001668A6">
        <w:t xml:space="preserve"> dále patří </w:t>
      </w:r>
      <w:r w:rsidR="006B629A">
        <w:t>možný nesoulad</w:t>
      </w:r>
      <w:r w:rsidR="006B629A" w:rsidRPr="001668A6">
        <w:t xml:space="preserve"> </w:t>
      </w:r>
      <w:r w:rsidRPr="001668A6">
        <w:t xml:space="preserve">poptávky a nabídky na trhu práce v kontextu možných </w:t>
      </w:r>
      <w:r w:rsidRPr="001668A6">
        <w:t>strukturálních změn v ekonomice, vývoj</w:t>
      </w:r>
      <w:r w:rsidRPr="001D2DCE">
        <w:t xml:space="preserve"> v automobilovém průmyslu a nadhodnocení cen rezidenčních nemovitostí.</w:t>
      </w:r>
    </w:p>
    <w:p w:rsidR="00875863" w:rsidRDefault="00875863" w:rsidP="00875863">
      <w:r>
        <w:t xml:space="preserve">Ve středním a dlouhodobém horizontu bude s ohledem na demografický vývoj nadále klíčové, aby docházelo ke zvyšování produktivity práce. Problémy na trhu práce by </w:t>
      </w:r>
      <w:r w:rsidR="007F492A">
        <w:t xml:space="preserve">mohly podpořit </w:t>
      </w:r>
      <w:r w:rsidR="007F492A" w:rsidRPr="007F492A">
        <w:rPr>
          <w:b/>
        </w:rPr>
        <w:t>dynamiku mezd</w:t>
      </w:r>
      <w:r w:rsidR="007F492A">
        <w:t xml:space="preserve"> </w:t>
      </w:r>
      <w:r w:rsidR="00152F18">
        <w:t xml:space="preserve">a </w:t>
      </w:r>
      <w:r w:rsidR="007F492A">
        <w:t xml:space="preserve">zároveň </w:t>
      </w:r>
      <w:r>
        <w:t xml:space="preserve">podnítit </w:t>
      </w:r>
      <w:r w:rsidRPr="001D2DCE">
        <w:rPr>
          <w:b/>
        </w:rPr>
        <w:t>investice</w:t>
      </w:r>
      <w:r>
        <w:t xml:space="preserve"> do automatizace, robotizace a digitálních technologií. </w:t>
      </w:r>
      <w:r w:rsidR="00152F18">
        <w:t>Průměrná mzda a t</w:t>
      </w:r>
      <w:r>
        <w:t xml:space="preserve">vorba hrubého fixního kapitálu by tak proti </w:t>
      </w:r>
      <w:r w:rsidR="001D2DCE">
        <w:t xml:space="preserve">scénáři makroekonomického rámce </w:t>
      </w:r>
      <w:r w:rsidR="00152F18">
        <w:t>mohly</w:t>
      </w:r>
      <w:r>
        <w:t xml:space="preserve"> růst rychleji. Významným impulzem pro </w:t>
      </w:r>
      <w:r w:rsidR="00152F18">
        <w:t xml:space="preserve">zvyšování </w:t>
      </w:r>
      <w:r>
        <w:t>produktivity by vzhledem k vysokému zapojení českých firem do globálních dodavatelských řetězců byl také jejich posun do pozic s vyšší přidanou hodnotou.</w:t>
      </w:r>
    </w:p>
    <w:p w:rsidR="00562DCA" w:rsidRPr="008B0ED2" w:rsidRDefault="00875863" w:rsidP="00875863">
      <w:r>
        <w:t>Hluboký propad reáln</w:t>
      </w:r>
      <w:r w:rsidR="001D2DCE">
        <w:t>ého HDP v roce 2020 byl do znač</w:t>
      </w:r>
      <w:r>
        <w:t>né míry determinován poklesem spotřeby domácností. Vlivem bezprecedentního nárůstu míry úspor došlo k</w:t>
      </w:r>
      <w:r w:rsidR="001D2DCE">
        <w:t> </w:t>
      </w:r>
      <w:r>
        <w:t xml:space="preserve">silné akumulaci finančních aktiv především ve formě oběživa a vkladů. Tyto prostředky by přitom alespoň zčásti domácnosti mohly využít k financování </w:t>
      </w:r>
      <w:r w:rsidRPr="001D2DCE">
        <w:rPr>
          <w:b/>
        </w:rPr>
        <w:t>odložené spotřeby</w:t>
      </w:r>
      <w:r>
        <w:t>. Oživení spotřeby domácností by díky tomu mohlo být ve srovnání s</w:t>
      </w:r>
      <w:r w:rsidR="007119E2">
        <w:t xml:space="preserve">e scénářem </w:t>
      </w:r>
      <w:r w:rsidR="001D2DCE">
        <w:t>makroekonomick</w:t>
      </w:r>
      <w:r w:rsidR="007119E2">
        <w:t>ého rámce</w:t>
      </w:r>
      <w:r w:rsidR="001D2DCE">
        <w:t xml:space="preserve"> </w:t>
      </w:r>
      <w:r>
        <w:t>mnohem dynamičtější.</w:t>
      </w:r>
    </w:p>
    <w:p w:rsidR="008B0ED2" w:rsidRDefault="008B0ED2" w:rsidP="00332D4D">
      <w:pPr>
        <w:pStyle w:val="Nadpis2"/>
        <w:sectPr w:rsidR="008B0ED2" w:rsidSect="008B0ED2">
          <w:type w:val="continuous"/>
          <w:pgSz w:w="11906" w:h="16838" w:code="9"/>
          <w:pgMar w:top="1134" w:right="1134" w:bottom="1418" w:left="1134" w:header="709" w:footer="709" w:gutter="0"/>
          <w:cols w:num="2" w:space="397"/>
          <w:docGrid w:linePitch="360"/>
        </w:sectPr>
      </w:pPr>
      <w:bookmarkStart w:id="6" w:name="_Toc515545974"/>
      <w:bookmarkStart w:id="7" w:name="_Toc525714683"/>
    </w:p>
    <w:p w:rsidR="00332D4D" w:rsidRDefault="008B0ED2" w:rsidP="00332D4D">
      <w:pPr>
        <w:pStyle w:val="Nadpis2"/>
      </w:pPr>
      <w:bookmarkStart w:id="8" w:name="_Toc525714684"/>
      <w:bookmarkStart w:id="9" w:name="_Toc14695474"/>
      <w:bookmarkStart w:id="10" w:name="_Toc81233916"/>
      <w:bookmarkEnd w:id="6"/>
      <w:bookmarkEnd w:id="7"/>
      <w:r>
        <w:t>Předpoklady budoucího vývoje</w:t>
      </w:r>
      <w:bookmarkEnd w:id="8"/>
      <w:bookmarkEnd w:id="9"/>
      <w:bookmarkEnd w:id="10"/>
    </w:p>
    <w:p w:rsidR="00332D4D" w:rsidRDefault="00332D4D" w:rsidP="00332D4D">
      <w:pPr>
        <w:sectPr w:rsidR="00332D4D" w:rsidSect="007A1923">
          <w:type w:val="continuous"/>
          <w:pgSz w:w="11906" w:h="16838" w:code="9"/>
          <w:pgMar w:top="1134" w:right="1134" w:bottom="1418" w:left="1134" w:header="709" w:footer="709" w:gutter="0"/>
          <w:cols w:space="709"/>
          <w:docGrid w:linePitch="360"/>
        </w:sectPr>
      </w:pPr>
    </w:p>
    <w:p w:rsidR="00332D4D" w:rsidRDefault="008B0ED2" w:rsidP="00027D0D">
      <w:pPr>
        <w:pStyle w:val="Nadpis3"/>
        <w:spacing w:before="0"/>
      </w:pPr>
      <w:bookmarkStart w:id="11" w:name="_Toc525714685"/>
      <w:r>
        <w:t>Vnější prostředí</w:t>
      </w:r>
      <w:bookmarkEnd w:id="11"/>
    </w:p>
    <w:p w:rsidR="00972715" w:rsidRDefault="00972715" w:rsidP="00972715">
      <w:r w:rsidRPr="00707E07">
        <w:t xml:space="preserve">V roce 2020 </w:t>
      </w:r>
      <w:r>
        <w:t>došlo</w:t>
      </w:r>
      <w:r>
        <w:rPr>
          <w:b/>
        </w:rPr>
        <w:t xml:space="preserve"> </w:t>
      </w:r>
      <w:r>
        <w:t xml:space="preserve">v důsledku pandemie onemocnění COVID-19 k hlubokému propadu </w:t>
      </w:r>
      <w:r w:rsidRPr="007E1BDF">
        <w:rPr>
          <w:b/>
        </w:rPr>
        <w:t>světové ekonomiky</w:t>
      </w:r>
      <w:r>
        <w:t>. Vzhledem k pokroku v očkování, postupnému z</w:t>
      </w:r>
      <w:r w:rsidRPr="001A122A">
        <w:t>mírňování protiepid</w:t>
      </w:r>
      <w:r>
        <w:t xml:space="preserve">emických opatření </w:t>
      </w:r>
      <w:r w:rsidR="00CA5B1D">
        <w:t xml:space="preserve">a mimořádně uvolněným </w:t>
      </w:r>
      <w:r>
        <w:t xml:space="preserve">fiskálním </w:t>
      </w:r>
      <w:r w:rsidR="00CA5B1D">
        <w:t xml:space="preserve">i měnovým </w:t>
      </w:r>
      <w:r>
        <w:t xml:space="preserve">politikám dochází ke zlepšování vyhlídek jejího růstu. </w:t>
      </w:r>
      <w:r w:rsidR="00CA5B1D">
        <w:t>Přestože v</w:t>
      </w:r>
      <w:r w:rsidR="00EF3DE3">
        <w:t xml:space="preserve">ýznamným rizikem </w:t>
      </w:r>
      <w:r w:rsidR="00CA5B1D">
        <w:t>zůstává</w:t>
      </w:r>
      <w:r w:rsidR="00EF3DE3">
        <w:t xml:space="preserve"> další</w:t>
      </w:r>
      <w:r>
        <w:t xml:space="preserve"> </w:t>
      </w:r>
      <w:r w:rsidR="00EF3DE3">
        <w:t>vývoj</w:t>
      </w:r>
      <w:r>
        <w:t xml:space="preserve"> pandemie a účinnost vakcín proti novým mutacím koronaviru. Očekáváme, že globální ekonomika v roce 2021 vzroste o 5,8 % a v roce 2022 o 4,5 %.</w:t>
      </w:r>
    </w:p>
    <w:p w:rsidR="00FF2E85" w:rsidRDefault="00972715" w:rsidP="00972715">
      <w:r>
        <w:t xml:space="preserve">Epidemická situace se ve </w:t>
      </w:r>
      <w:r w:rsidRPr="001A11E0">
        <w:rPr>
          <w:b/>
        </w:rPr>
        <w:t>Spojených státech amerických</w:t>
      </w:r>
      <w:r>
        <w:t xml:space="preserve"> od počátku letošního roku pozvolna zlepšovala, od července ale počet nových případů opět stoupá. Díky uvolňování opatření proti šíření koronaviru, realizaci odložené spotřeby domácností a</w:t>
      </w:r>
      <w:r w:rsidR="00F176E9">
        <w:t xml:space="preserve"> </w:t>
      </w:r>
      <w:r>
        <w:t>masivním stimulům americká ekonomika silně oživuje. Pozitivně se vyvíjí i</w:t>
      </w:r>
      <w:r w:rsidR="00F176E9">
        <w:t xml:space="preserve"> </w:t>
      </w:r>
      <w:r>
        <w:t xml:space="preserve">situace na trhu práce. Obavy však vzbuzuje prudce zrychlující inflace, která v červnu </w:t>
      </w:r>
      <w:r w:rsidR="00F176E9">
        <w:t xml:space="preserve">2021 </w:t>
      </w:r>
      <w:r>
        <w:t>dosáhla nejvyšší úrovně od srpna 2008. Navzdory tomu Federální rezervní systém drží svou hlavní úrokovou sazbu v cílovém pásmu 0,00–0,25 % a pokračuje v</w:t>
      </w:r>
      <w:r w:rsidR="00F176E9">
        <w:t xml:space="preserve"> </w:t>
      </w:r>
      <w:r>
        <w:t xml:space="preserve">rozsáhlých nákupech aktiv. Ekonomika </w:t>
      </w:r>
      <w:r w:rsidR="00753FE7">
        <w:t>Spojených států amerických</w:t>
      </w:r>
      <w:r>
        <w:t xml:space="preserve"> by v letošním roce </w:t>
      </w:r>
      <w:r>
        <w:t>mohla vzrůst o 6,7 %, roce 2022 by vlivem vysoké srovnávací základny a postupného odeznívání efektů fiskálního stimulu mohla zpomalit na 3,9 %.</w:t>
      </w:r>
    </w:p>
    <w:p w:rsidR="000B3693" w:rsidRDefault="000B3693" w:rsidP="000B3693">
      <w:pPr>
        <w:pStyle w:val="Titulek"/>
        <w:spacing w:before="0"/>
      </w:pPr>
      <w:bookmarkStart w:id="12" w:name="_Toc81233904"/>
      <w:r>
        <w:t xml:space="preserve">Obrázek </w:t>
      </w:r>
      <w:fldSimple w:instr=" STYLEREF 1 \s ">
        <w:r w:rsidR="001B0B0E">
          <w:rPr>
            <w:noProof/>
          </w:rPr>
          <w:t>2</w:t>
        </w:r>
      </w:fldSimple>
      <w:r>
        <w:t>.</w:t>
      </w:r>
      <w:fldSimple w:instr=" SEQ Obrázek \* ARABIC \s 1 ">
        <w:r w:rsidR="001B0B0E">
          <w:rPr>
            <w:noProof/>
          </w:rPr>
          <w:t>1</w:t>
        </w:r>
      </w:fldSimple>
      <w:r>
        <w:t>: Reálný hrubý domácí produkt eurozóny</w:t>
      </w:r>
      <w:bookmarkEnd w:id="12"/>
    </w:p>
    <w:p w:rsidR="000B3693" w:rsidRPr="005876A1" w:rsidRDefault="000B3693" w:rsidP="000B3693">
      <w:pPr>
        <w:pStyle w:val="Jednotka"/>
      </w:pPr>
      <w:r w:rsidRPr="005876A1">
        <w:t>(</w:t>
      </w:r>
      <w:r>
        <w:t>růst proti předchozímu roku v %</w:t>
      </w:r>
      <w:r w:rsidRPr="005876A1">
        <w:t>)</w:t>
      </w:r>
    </w:p>
    <w:p w:rsidR="000B3693" w:rsidRDefault="005C01A9" w:rsidP="000B3693">
      <w:pPr>
        <w:pStyle w:val="Zdrojpodtabulkounebografem"/>
        <w:spacing w:after="120"/>
      </w:pPr>
      <w:r>
        <w:rPr>
          <w:noProof/>
        </w:rPr>
        <w:drawing>
          <wp:inline distT="0" distB="0" distL="0" distR="0" wp14:anchorId="127B4D65" wp14:editId="67E5AAA0">
            <wp:extent cx="2956560" cy="1762125"/>
            <wp:effectExtent l="0" t="0" r="0" b="0"/>
            <wp:docPr id="34" name="Obráze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56560" cy="1762125"/>
                    </a:xfrm>
                    <a:prstGeom prst="rect">
                      <a:avLst/>
                    </a:prstGeom>
                    <a:noFill/>
                  </pic:spPr>
                </pic:pic>
              </a:graphicData>
            </a:graphic>
          </wp:inline>
        </w:drawing>
      </w:r>
      <w:r w:rsidR="000B3693" w:rsidRPr="00C407BB">
        <w:t>Zdroj:</w:t>
      </w:r>
      <w:r w:rsidR="000B3693">
        <w:t xml:space="preserve"> Eurostat. Výpočty a predikce MF ČR.</w:t>
      </w:r>
    </w:p>
    <w:p w:rsidR="00972715" w:rsidRDefault="00972715" w:rsidP="00972715">
      <w:r>
        <w:t xml:space="preserve">Uzávěry ekonomik a restriktivní </w:t>
      </w:r>
      <w:r w:rsidR="00393923">
        <w:t xml:space="preserve">protiepidemická </w:t>
      </w:r>
      <w:r>
        <w:t>opatření vedly k</w:t>
      </w:r>
      <w:r w:rsidR="00393923">
        <w:t xml:space="preserve"> </w:t>
      </w:r>
      <w:r>
        <w:t>citelnému snížení hospodářského výkonu</w:t>
      </w:r>
      <w:r w:rsidR="00393923">
        <w:t xml:space="preserve"> </w:t>
      </w:r>
      <w:r w:rsidR="00393923" w:rsidRPr="00393923">
        <w:rPr>
          <w:b/>
          <w:spacing w:val="-1"/>
        </w:rPr>
        <w:t>eurozóny</w:t>
      </w:r>
      <w:r w:rsidRPr="00393923">
        <w:rPr>
          <w:spacing w:val="-1"/>
        </w:rPr>
        <w:t>.</w:t>
      </w:r>
      <w:r w:rsidR="00393923" w:rsidRPr="00393923">
        <w:rPr>
          <w:spacing w:val="-1"/>
        </w:rPr>
        <w:t xml:space="preserve"> </w:t>
      </w:r>
      <w:r w:rsidRPr="00393923">
        <w:rPr>
          <w:spacing w:val="-1"/>
        </w:rPr>
        <w:t xml:space="preserve">Negativní </w:t>
      </w:r>
      <w:r w:rsidR="00393923">
        <w:rPr>
          <w:spacing w:val="-1"/>
        </w:rPr>
        <w:t xml:space="preserve">dopady </w:t>
      </w:r>
      <w:r w:rsidRPr="00393923">
        <w:rPr>
          <w:spacing w:val="-1"/>
        </w:rPr>
        <w:t xml:space="preserve">na trh práce </w:t>
      </w:r>
      <w:r w:rsidR="00393923">
        <w:rPr>
          <w:spacing w:val="-1"/>
        </w:rPr>
        <w:t xml:space="preserve">tlumily </w:t>
      </w:r>
      <w:r>
        <w:t>vládní programy na podporu udržení zaměstnanosti, nezaměstnanost tak vzrostla pouze mírně</w:t>
      </w:r>
      <w:r w:rsidRPr="005C11A6">
        <w:t>.</w:t>
      </w:r>
      <w:r>
        <w:t xml:space="preserve"> </w:t>
      </w:r>
      <w:r w:rsidR="00393923">
        <w:t>V</w:t>
      </w:r>
      <w:r>
        <w:t xml:space="preserve"> 2.</w:t>
      </w:r>
      <w:r w:rsidR="00393923">
        <w:t> </w:t>
      </w:r>
      <w:r>
        <w:t xml:space="preserve">čtvrtletí </w:t>
      </w:r>
      <w:r w:rsidR="00393923">
        <w:t xml:space="preserve">2021 došlo v souvislosti s pokrokem v </w:t>
      </w:r>
      <w:r>
        <w:t>očkování a</w:t>
      </w:r>
      <w:r w:rsidR="00393923">
        <w:t xml:space="preserve"> </w:t>
      </w:r>
      <w:r>
        <w:t xml:space="preserve">lepšící se </w:t>
      </w:r>
      <w:r w:rsidR="00393923">
        <w:t>epidemic</w:t>
      </w:r>
      <w:r w:rsidR="00393923">
        <w:lastRenderedPageBreak/>
        <w:t xml:space="preserve">kou </w:t>
      </w:r>
      <w:r>
        <w:t>situací k</w:t>
      </w:r>
      <w:r w:rsidR="00393923">
        <w:t xml:space="preserve"> </w:t>
      </w:r>
      <w:r>
        <w:t xml:space="preserve">oživení ekonomické aktivity. Indexy nákupních manažerů dosahovaly nebývale vysokých hodnot. Evropská centrální banka ponechala </w:t>
      </w:r>
      <w:r w:rsidR="00361FCE">
        <w:t xml:space="preserve">hlavní refinanční </w:t>
      </w:r>
      <w:r w:rsidR="00361FCE">
        <w:rPr>
          <w:spacing w:val="-1"/>
        </w:rPr>
        <w:t>sazbu</w:t>
      </w:r>
      <w:r w:rsidR="00393923" w:rsidRPr="00393923">
        <w:rPr>
          <w:spacing w:val="-1"/>
        </w:rPr>
        <w:t xml:space="preserve"> </w:t>
      </w:r>
      <w:r w:rsidRPr="00393923">
        <w:rPr>
          <w:spacing w:val="-1"/>
        </w:rPr>
        <w:t xml:space="preserve">beze změny </w:t>
      </w:r>
      <w:r w:rsidR="00361FCE">
        <w:rPr>
          <w:spacing w:val="-1"/>
        </w:rPr>
        <w:t xml:space="preserve">na nulové hodnotě </w:t>
      </w:r>
      <w:r w:rsidRPr="00393923">
        <w:rPr>
          <w:spacing w:val="-1"/>
        </w:rPr>
        <w:t>a pokračovala v nákupech aktiv v</w:t>
      </w:r>
      <w:r w:rsidR="00393923" w:rsidRPr="00393923">
        <w:rPr>
          <w:spacing w:val="-1"/>
        </w:rPr>
        <w:t xml:space="preserve"> </w:t>
      </w:r>
      <w:r>
        <w:t>rámci nouzového pandemického programu. V</w:t>
      </w:r>
      <w:r w:rsidR="00393923">
        <w:t xml:space="preserve"> </w:t>
      </w:r>
      <w:r>
        <w:t xml:space="preserve">návaznosti na nedávné přehodnocení své měnové strategie zavedla symetrický střednědobý </w:t>
      </w:r>
      <w:r w:rsidR="00361FCE">
        <w:t xml:space="preserve">inflační </w:t>
      </w:r>
      <w:r>
        <w:t xml:space="preserve">cíl na úrovni 2 %. </w:t>
      </w:r>
    </w:p>
    <w:p w:rsidR="00B418CB" w:rsidRDefault="00972715" w:rsidP="00972715">
      <w:r>
        <w:t>Šíření nakažlivější mutace koronaviru, sílící inflační tlaky, problémy</w:t>
      </w:r>
      <w:r w:rsidR="00BB2D9C">
        <w:t xml:space="preserve"> </w:t>
      </w:r>
      <w:r>
        <w:t>v dodavatelských řetězcích a strukturální změny v automobilovém průmyslu představují hlavní rizika budoucího vývoje ekonomiky eurozón</w:t>
      </w:r>
      <w:r w:rsidR="00BB2D9C">
        <w:t xml:space="preserve">y. Naopak pozitivně by k jejímu </w:t>
      </w:r>
      <w:r>
        <w:t>růstu mohlo přispět zejména oživení spotřeby domácností a realizace národních plánů obnovy. Ekonomický výkon eurozóny by se v roce 2021 mohl zvýšit o 4,</w:t>
      </w:r>
      <w:r w:rsidR="00866255">
        <w:t>9</w:t>
      </w:r>
      <w:r>
        <w:t xml:space="preserve"> %, v roce 2022 by růst </w:t>
      </w:r>
      <w:r w:rsidR="00866255">
        <w:t>mohl zpomalit na 4,3</w:t>
      </w:r>
      <w:r w:rsidR="0033496E">
        <w:t> %.</w:t>
      </w:r>
    </w:p>
    <w:p w:rsidR="00B418CB" w:rsidRPr="002B1D10" w:rsidRDefault="00B418CB" w:rsidP="002B1D10">
      <w:pPr>
        <w:pStyle w:val="Nadpis3"/>
        <w:rPr>
          <w:b w:val="0"/>
        </w:rPr>
      </w:pPr>
      <w:r w:rsidRPr="002B1D10">
        <w:t>Cena ropy</w:t>
      </w:r>
    </w:p>
    <w:p w:rsidR="0021661F" w:rsidRDefault="0021661F" w:rsidP="0021661F">
      <w:r w:rsidRPr="002958FA">
        <w:t xml:space="preserve">V 1. pololetí 2020 došlo </w:t>
      </w:r>
      <w:r>
        <w:t xml:space="preserve">ve spojitosti s propadem globální ekonomické aktivity </w:t>
      </w:r>
      <w:r w:rsidRPr="002958FA">
        <w:t>k razantnímu poklesu poptávky</w:t>
      </w:r>
      <w:r>
        <w:t xml:space="preserve"> po ropě</w:t>
      </w:r>
      <w:r w:rsidRPr="002958FA">
        <w:t xml:space="preserve">. </w:t>
      </w:r>
      <w:r>
        <w:t>V</w:t>
      </w:r>
      <w:r w:rsidRPr="002958FA">
        <w:t xml:space="preserve"> reakci na </w:t>
      </w:r>
      <w:r>
        <w:t xml:space="preserve">to </w:t>
      </w:r>
      <w:r w:rsidRPr="002958FA">
        <w:t xml:space="preserve">se Organizace zemí vyvážejících ropu a některé další státy dohodly na </w:t>
      </w:r>
      <w:r>
        <w:t>výrazném</w:t>
      </w:r>
      <w:r w:rsidRPr="002958FA">
        <w:t xml:space="preserve"> omezení produkce přibližně v rozs</w:t>
      </w:r>
      <w:r>
        <w:t>ahu desetiny světové těžby</w:t>
      </w:r>
      <w:r w:rsidRPr="002958FA">
        <w:t>.</w:t>
      </w:r>
      <w:r>
        <w:t xml:space="preserve"> </w:t>
      </w:r>
      <w:r w:rsidRPr="00EB514C">
        <w:t xml:space="preserve">Toto omezení </w:t>
      </w:r>
      <w:r>
        <w:t>bylo následně</w:t>
      </w:r>
      <w:r w:rsidRPr="00EB514C">
        <w:t xml:space="preserve"> postupně uvolňováno</w:t>
      </w:r>
      <w:r>
        <w:t xml:space="preserve">. I přes stanovení těžebních limitů však v 1. pololetí 2020 došlo k enormnímu nárůstu zásob vytěžené ropy a propadu její ceny. V ročním průměru </w:t>
      </w:r>
      <w:r w:rsidR="00C74BD0">
        <w:t xml:space="preserve">tak byla </w:t>
      </w:r>
      <w:r>
        <w:t>cena ropy Brent v roce 2020 nejnižší od roku 2004 a jen mírně přesáhla 40 USD/barel.</w:t>
      </w:r>
    </w:p>
    <w:p w:rsidR="0021661F" w:rsidRDefault="0021661F" w:rsidP="0021661F">
      <w:r>
        <w:t>Podle odhadů Energetické informační správy Spojených států od poloviny roku 2020 do poloviny roku 2021 klesaly zásoby vytěžené ropy. Cena ropy Brent se v tomto období postupně vrátila na předkrizovou úroveň. Těžební limity stanovené Organizací</w:t>
      </w:r>
      <w:r w:rsidRPr="00255013">
        <w:t xml:space="preserve"> zemí vyvážejících ropu a</w:t>
      </w:r>
      <w:r>
        <w:t> některými</w:t>
      </w:r>
      <w:r w:rsidRPr="00255013">
        <w:t xml:space="preserve"> další</w:t>
      </w:r>
      <w:r>
        <w:t>mi</w:t>
      </w:r>
      <w:r w:rsidRPr="00255013">
        <w:t xml:space="preserve"> státy</w:t>
      </w:r>
      <w:r>
        <w:t xml:space="preserve"> jsou dále uvolňovány. </w:t>
      </w:r>
      <w:r w:rsidRPr="00CE752D">
        <w:t xml:space="preserve">Na termínovém trhu panuje situace, kdy se </w:t>
      </w:r>
      <w:r w:rsidR="00F10178">
        <w:t>ropa</w:t>
      </w:r>
      <w:r w:rsidRPr="00CE752D">
        <w:t xml:space="preserve"> </w:t>
      </w:r>
      <w:r w:rsidR="00C74BD0">
        <w:t>s</w:t>
      </w:r>
      <w:r w:rsidR="00F10178">
        <w:t xml:space="preserve"> pozdějším dodáním obchoduje </w:t>
      </w:r>
      <w:r w:rsidR="0033496E">
        <w:t xml:space="preserve">nepatrně </w:t>
      </w:r>
      <w:r w:rsidR="00F10178">
        <w:t>levněji než ropa s dřívějším dodáním</w:t>
      </w:r>
      <w:r w:rsidRPr="00CE752D">
        <w:t>.</w:t>
      </w:r>
    </w:p>
    <w:p w:rsidR="000B3693" w:rsidRDefault="000B3693" w:rsidP="000B3693">
      <w:pPr>
        <w:pStyle w:val="Titulek"/>
        <w:spacing w:before="120"/>
      </w:pPr>
      <w:bookmarkStart w:id="13" w:name="_Toc81233905"/>
      <w:r>
        <w:t xml:space="preserve">Obrázek </w:t>
      </w:r>
      <w:fldSimple w:instr=" STYLEREF 1 \s ">
        <w:r w:rsidR="001B0B0E">
          <w:rPr>
            <w:noProof/>
          </w:rPr>
          <w:t>2</w:t>
        </w:r>
      </w:fldSimple>
      <w:r>
        <w:t>.</w:t>
      </w:r>
      <w:fldSimple w:instr=" SEQ Obrázek \* ARABIC \s 1 ">
        <w:r w:rsidR="001B0B0E">
          <w:rPr>
            <w:noProof/>
          </w:rPr>
          <w:t>2</w:t>
        </w:r>
      </w:fldSimple>
      <w:r>
        <w:t>: Cena ropy Brent</w:t>
      </w:r>
      <w:bookmarkEnd w:id="13"/>
    </w:p>
    <w:p w:rsidR="000B3693" w:rsidRPr="005876A1" w:rsidRDefault="000B3693" w:rsidP="000B3693">
      <w:pPr>
        <w:pStyle w:val="Jednotka"/>
      </w:pPr>
      <w:r>
        <w:t>(USD/barel</w:t>
      </w:r>
      <w:r w:rsidRPr="005876A1">
        <w:t>)</w:t>
      </w:r>
    </w:p>
    <w:p w:rsidR="000B3693" w:rsidRPr="00C407BB" w:rsidRDefault="005C01A9" w:rsidP="000B3693">
      <w:pPr>
        <w:pStyle w:val="Zdrojpodtabulkounebografem"/>
        <w:spacing w:after="120"/>
      </w:pPr>
      <w:r>
        <w:rPr>
          <w:noProof/>
        </w:rPr>
        <w:drawing>
          <wp:inline distT="0" distB="0" distL="0" distR="0" wp14:anchorId="1DB3A767" wp14:editId="53299B56">
            <wp:extent cx="2956560" cy="1767840"/>
            <wp:effectExtent l="0" t="0" r="0" b="0"/>
            <wp:docPr id="35" name="Obráze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56560" cy="1767840"/>
                    </a:xfrm>
                    <a:prstGeom prst="rect">
                      <a:avLst/>
                    </a:prstGeom>
                    <a:noFill/>
                  </pic:spPr>
                </pic:pic>
              </a:graphicData>
            </a:graphic>
          </wp:inline>
        </w:drawing>
      </w:r>
      <w:r w:rsidR="000B3693" w:rsidRPr="005F3E29">
        <w:t>Zdroj: U. S.</w:t>
      </w:r>
      <w:r w:rsidR="000B3693">
        <w:t xml:space="preserve"> </w:t>
      </w:r>
      <w:r w:rsidR="000B3693" w:rsidRPr="005F3E29">
        <w:t xml:space="preserve">Energy Information Administration. </w:t>
      </w:r>
      <w:r w:rsidR="000B3693">
        <w:t>P</w:t>
      </w:r>
      <w:r w:rsidR="000B3693" w:rsidRPr="005F3E29">
        <w:t>redikce MF ČR.</w:t>
      </w:r>
    </w:p>
    <w:p w:rsidR="004325B6" w:rsidRPr="00037EFA" w:rsidRDefault="0021661F" w:rsidP="0021661F">
      <w:pPr>
        <w:rPr>
          <w:highlight w:val="yellow"/>
        </w:rPr>
      </w:pPr>
      <w:r w:rsidRPr="00FA0BD0">
        <w:t>Předpokládáme, že za celý rok 2021 dosáhne cena ropy Brent v průměru 69 USD/barel, čímž se meziročně zvýší o 64 %. V souladu s</w:t>
      </w:r>
      <w:r w:rsidR="0033496E">
        <w:t xml:space="preserve"> mírně </w:t>
      </w:r>
      <w:r w:rsidR="0089567F">
        <w:t>sestupnou</w:t>
      </w:r>
      <w:r w:rsidRPr="00FA0BD0">
        <w:t xml:space="preserve"> křivkou cen kontraktů futures počítáme s </w:t>
      </w:r>
      <w:r w:rsidR="0033496E">
        <w:t>poklesem ceny ropy na 68 USD/barel v roce 2022</w:t>
      </w:r>
      <w:r w:rsidRPr="00FA0BD0">
        <w:t>.</w:t>
      </w:r>
    </w:p>
    <w:p w:rsidR="00B418CB" w:rsidRDefault="00B418CB" w:rsidP="00B418CB">
      <w:pPr>
        <w:pStyle w:val="Nadpis3"/>
        <w:tabs>
          <w:tab w:val="left" w:pos="567"/>
        </w:tabs>
      </w:pPr>
      <w:r>
        <w:t>Měnová politika a měnové kurzy</w:t>
      </w:r>
    </w:p>
    <w:p w:rsidR="00753FE7" w:rsidRDefault="00753FE7" w:rsidP="00753FE7">
      <w:r>
        <w:t>Česká národní banka</w:t>
      </w:r>
      <w:r w:rsidRPr="000746B7">
        <w:t xml:space="preserve"> </w:t>
      </w:r>
      <w:r>
        <w:t xml:space="preserve">letos již dvakrát zvýšila </w:t>
      </w:r>
      <w:r w:rsidRPr="007E1BDF">
        <w:rPr>
          <w:b/>
        </w:rPr>
        <w:t>dvoutýdenní repo sazbu</w:t>
      </w:r>
      <w:r>
        <w:t xml:space="preserve"> z původních 0,25 % na aktuálních 0,75 %. </w:t>
      </w:r>
      <w:r w:rsidRPr="007820ED">
        <w:t xml:space="preserve">Důvodem </w:t>
      </w:r>
      <w:r>
        <w:t>zpřísňování měnové politiky jsou</w:t>
      </w:r>
      <w:r w:rsidRPr="007820ED">
        <w:t xml:space="preserve"> zejména sílící inflační tlaky z</w:t>
      </w:r>
      <w:r>
        <w:t> </w:t>
      </w:r>
      <w:r w:rsidRPr="007820ED">
        <w:t>domácí i zahraniční ekonomiky v podmínkách postupně se zotavujícího hospodářství po ukončení většiny protiepidemických opatření.</w:t>
      </w:r>
      <w:r>
        <w:t xml:space="preserve"> V souladu s deklarovanou pozicí České národní banky předpokládá scénář makroekonomického rámce státního rozpočtu, že k postupnému zvyšování sazeb bude docházet nejen ve zbývající část</w:t>
      </w:r>
      <w:r w:rsidR="00DC7286">
        <w:t>i roku 2021, ale i v roce 2022.</w:t>
      </w:r>
    </w:p>
    <w:p w:rsidR="00753FE7" w:rsidRDefault="00753FE7" w:rsidP="00753FE7">
      <w:r>
        <w:t>Vzhledem k predikci inflace by přesto měly reálné úrokové sazby působit na ekonomiku letos i v příštím roce stimulačně, byť v postupně se snižující míře. Kurzová složka měnových podmínek by v celém horizontu měla být prakticky neutrální.</w:t>
      </w:r>
    </w:p>
    <w:p w:rsidR="001B2DA9" w:rsidRDefault="00263794" w:rsidP="00263794">
      <w:r w:rsidRPr="000D52FF">
        <w:rPr>
          <w:b/>
        </w:rPr>
        <w:t>Měnový kurz</w:t>
      </w:r>
      <w:r w:rsidRPr="00C56EC1">
        <w:t xml:space="preserve"> koruny vůči euru </w:t>
      </w:r>
      <w:r>
        <w:t xml:space="preserve">během prvních sedmi měsíců roku 2021 v průměru dosahoval 25,8 CZK/EUR, nicméně </w:t>
      </w:r>
      <w:r w:rsidRPr="002626C5">
        <w:t>vlivem výrazně proměnlivého sentimentu na mezinárodních finančních trzích</w:t>
      </w:r>
      <w:r>
        <w:t xml:space="preserve"> byl poměrně volatilní</w:t>
      </w:r>
      <w:r w:rsidRPr="002626C5">
        <w:t>.</w:t>
      </w:r>
    </w:p>
    <w:p w:rsidR="000B3693" w:rsidRDefault="000B3693" w:rsidP="000B3693">
      <w:pPr>
        <w:pStyle w:val="Titulek"/>
        <w:spacing w:before="120"/>
      </w:pPr>
      <w:bookmarkStart w:id="14" w:name="_Toc81233906"/>
      <w:r>
        <w:t xml:space="preserve">Obrázek </w:t>
      </w:r>
      <w:fldSimple w:instr=" STYLEREF 1 \s ">
        <w:r w:rsidR="001B0B0E">
          <w:rPr>
            <w:noProof/>
          </w:rPr>
          <w:t>2</w:t>
        </w:r>
      </w:fldSimple>
      <w:r>
        <w:t>.</w:t>
      </w:r>
      <w:fldSimple w:instr=" SEQ Obrázek \* ARABIC \s 1 ">
        <w:r w:rsidR="001B0B0E">
          <w:rPr>
            <w:noProof/>
          </w:rPr>
          <w:t>3</w:t>
        </w:r>
      </w:fldSimple>
      <w:r>
        <w:t>: Měnový kurz CZK/EUR</w:t>
      </w:r>
      <w:bookmarkEnd w:id="14"/>
    </w:p>
    <w:p w:rsidR="000B3693" w:rsidRPr="003F4A43" w:rsidRDefault="000B3693" w:rsidP="000B3693">
      <w:pPr>
        <w:pStyle w:val="Jednotka"/>
      </w:pPr>
      <w:r w:rsidRPr="003F4A43">
        <w:t>(</w:t>
      </w:r>
      <w:r>
        <w:t>průměr roku</w:t>
      </w:r>
      <w:r w:rsidRPr="003F4A43">
        <w:t>)</w:t>
      </w:r>
    </w:p>
    <w:p w:rsidR="000B3693" w:rsidRPr="002A09DF" w:rsidRDefault="005C01A9" w:rsidP="000B3693">
      <w:pPr>
        <w:rPr>
          <w:i/>
          <w:sz w:val="16"/>
          <w:szCs w:val="16"/>
        </w:rPr>
      </w:pPr>
      <w:r>
        <w:rPr>
          <w:i/>
          <w:noProof/>
          <w:sz w:val="16"/>
          <w:szCs w:val="16"/>
        </w:rPr>
        <w:drawing>
          <wp:inline distT="0" distB="0" distL="0" distR="0" wp14:anchorId="5D0BE6CD" wp14:editId="11F28540">
            <wp:extent cx="2956560" cy="1762125"/>
            <wp:effectExtent l="0" t="0" r="0" b="0"/>
            <wp:docPr id="36" name="Obráze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56560" cy="1762125"/>
                    </a:xfrm>
                    <a:prstGeom prst="rect">
                      <a:avLst/>
                    </a:prstGeom>
                    <a:noFill/>
                  </pic:spPr>
                </pic:pic>
              </a:graphicData>
            </a:graphic>
          </wp:inline>
        </w:drawing>
      </w:r>
      <w:r w:rsidR="000B3693" w:rsidRPr="002A09DF">
        <w:rPr>
          <w:i/>
          <w:sz w:val="16"/>
          <w:szCs w:val="16"/>
        </w:rPr>
        <w:t>Zdroj: ČNB. Výpočty a predikce MF ČR.</w:t>
      </w:r>
    </w:p>
    <w:p w:rsidR="00DD3453" w:rsidRDefault="0033496E" w:rsidP="000B3693">
      <w:r>
        <w:t>V</w:t>
      </w:r>
      <w:r w:rsidR="000C2A67">
        <w:t xml:space="preserve"> horizontu makroekonomického rámce předpokládáme pozvolné posilování měnového kurzu. To by mělo odrážet narůstají</w:t>
      </w:r>
      <w:r>
        <w:t>cí kladný úrokový diferenciál a </w:t>
      </w:r>
      <w:r w:rsidR="000C2A67">
        <w:t>zlepšení globálního sentimentu v návaznosti na</w:t>
      </w:r>
      <w:r>
        <w:t xml:space="preserve"> stabilizaci epidemické situace</w:t>
      </w:r>
      <w:r w:rsidR="000C2A67">
        <w:t>. V průměru by se koruna měla letos obchodovat z</w:t>
      </w:r>
      <w:r>
        <w:t>a 25,7 CZK/EUR, koncem roku 2022</w:t>
      </w:r>
      <w:r w:rsidR="000C2A67">
        <w:t xml:space="preserve"> b</w:t>
      </w:r>
      <w:r>
        <w:t>y se kurz měl pohybovat kolem 25,1</w:t>
      </w:r>
      <w:r w:rsidR="000C2A67">
        <w:t> CZK/EUR.</w:t>
      </w:r>
    </w:p>
    <w:p w:rsidR="0006144B" w:rsidRPr="0006144B" w:rsidRDefault="0006144B" w:rsidP="0006144B">
      <w:pPr>
        <w:rPr>
          <w:i/>
          <w:iCs/>
          <w:color w:val="000000"/>
          <w:sz w:val="16"/>
          <w:szCs w:val="16"/>
        </w:rPr>
        <w:sectPr w:rsidR="0006144B" w:rsidRPr="0006144B" w:rsidSect="007A1923">
          <w:type w:val="continuous"/>
          <w:pgSz w:w="11906" w:h="16838" w:code="9"/>
          <w:pgMar w:top="1134" w:right="1134" w:bottom="1418" w:left="1134" w:header="709" w:footer="709" w:gutter="0"/>
          <w:cols w:num="2" w:space="397"/>
          <w:docGrid w:linePitch="360"/>
        </w:sectPr>
      </w:pPr>
    </w:p>
    <w:p w:rsidR="0006144B" w:rsidRDefault="0006144B" w:rsidP="000001CD">
      <w:pPr>
        <w:pStyle w:val="Nadpis2"/>
        <w:pageBreakBefore/>
        <w:spacing w:before="0"/>
      </w:pPr>
      <w:bookmarkStart w:id="15" w:name="_Toc14695475"/>
      <w:bookmarkStart w:id="16" w:name="_Toc81233917"/>
      <w:r>
        <w:lastRenderedPageBreak/>
        <w:t>Makroekonomický vývoj v České republice</w:t>
      </w:r>
      <w:bookmarkEnd w:id="15"/>
      <w:bookmarkEnd w:id="16"/>
    </w:p>
    <w:p w:rsidR="0006144B" w:rsidRDefault="0006144B" w:rsidP="0006144B">
      <w:pPr>
        <w:sectPr w:rsidR="0006144B" w:rsidSect="007A1923">
          <w:type w:val="continuous"/>
          <w:pgSz w:w="11906" w:h="16838" w:code="9"/>
          <w:pgMar w:top="1134" w:right="1134" w:bottom="1418" w:left="1134" w:header="709" w:footer="709" w:gutter="0"/>
          <w:cols w:space="709"/>
          <w:docGrid w:linePitch="360"/>
        </w:sectPr>
      </w:pPr>
    </w:p>
    <w:p w:rsidR="0006144B" w:rsidRDefault="0006144B" w:rsidP="00027D0D">
      <w:pPr>
        <w:pStyle w:val="Nadpis3"/>
        <w:spacing w:before="0"/>
      </w:pPr>
      <w:r>
        <w:t>Ekonomický výkon</w:t>
      </w:r>
    </w:p>
    <w:p w:rsidR="00084691" w:rsidRDefault="004F3000" w:rsidP="00084691">
      <w:r>
        <w:rPr>
          <w:spacing w:val="-1"/>
        </w:rPr>
        <w:t xml:space="preserve">Navzdory velmi nepříznivé epidemické situaci a </w:t>
      </w:r>
      <w:r w:rsidR="000634AE">
        <w:rPr>
          <w:spacing w:val="-1"/>
        </w:rPr>
        <w:t xml:space="preserve">restrikcím </w:t>
      </w:r>
      <w:r>
        <w:rPr>
          <w:spacing w:val="-1"/>
        </w:rPr>
        <w:t xml:space="preserve">v celé řadě oblastí zaznamenala česká ekonomika v 1. čtvrtletí 2021 </w:t>
      </w:r>
      <w:r w:rsidR="00406B1C">
        <w:rPr>
          <w:spacing w:val="-1"/>
        </w:rPr>
        <w:t>mezičtvrtletní</w:t>
      </w:r>
      <w:r>
        <w:rPr>
          <w:spacing w:val="-1"/>
        </w:rPr>
        <w:t xml:space="preserve"> pokles</w:t>
      </w:r>
      <w:r w:rsidRPr="0075216D">
        <w:rPr>
          <w:spacing w:val="-1"/>
        </w:rPr>
        <w:t xml:space="preserve"> </w:t>
      </w:r>
      <w:r>
        <w:rPr>
          <w:spacing w:val="-1"/>
        </w:rPr>
        <w:t>jen o 0,3 %. Meziročně se hrubý domácí produkt snížil o 2,6 %</w:t>
      </w:r>
      <w:r w:rsidR="004707A7">
        <w:rPr>
          <w:spacing w:val="-1"/>
        </w:rPr>
        <w:t xml:space="preserve">, přičemž </w:t>
      </w:r>
      <w:r w:rsidR="006D57B4">
        <w:rPr>
          <w:spacing w:val="-1"/>
        </w:rPr>
        <w:t xml:space="preserve">negativní </w:t>
      </w:r>
      <w:r w:rsidR="00406B1C">
        <w:rPr>
          <w:spacing w:val="-1"/>
        </w:rPr>
        <w:t xml:space="preserve">dopad </w:t>
      </w:r>
      <w:r w:rsidR="006D57B4">
        <w:rPr>
          <w:spacing w:val="-1"/>
        </w:rPr>
        <w:t xml:space="preserve">utlumené spotřeby domácností, omezených </w:t>
      </w:r>
      <w:r w:rsidR="00406B1C">
        <w:rPr>
          <w:spacing w:val="-1"/>
        </w:rPr>
        <w:t xml:space="preserve">investic do fixního kapitálu a </w:t>
      </w:r>
      <w:r w:rsidR="006D57B4">
        <w:rPr>
          <w:spacing w:val="-1"/>
        </w:rPr>
        <w:t xml:space="preserve">záporného příspěvku </w:t>
      </w:r>
      <w:r w:rsidR="00753FE7">
        <w:rPr>
          <w:spacing w:val="-1"/>
        </w:rPr>
        <w:t>salda zahraničního obchodu</w:t>
      </w:r>
      <w:r w:rsidR="00406B1C">
        <w:rPr>
          <w:spacing w:val="-1"/>
        </w:rPr>
        <w:t xml:space="preserve"> zmírnily vyšší výdaje</w:t>
      </w:r>
      <w:r w:rsidRPr="004F3000">
        <w:rPr>
          <w:spacing w:val="-1"/>
        </w:rPr>
        <w:t xml:space="preserve"> vládních institucí na konečnou spotřebu a nárůst zásob.</w:t>
      </w:r>
      <w:r>
        <w:rPr>
          <w:spacing w:val="-1"/>
        </w:rPr>
        <w:t xml:space="preserve"> </w:t>
      </w:r>
      <w:r w:rsidR="006D57B4">
        <w:rPr>
          <w:spacing w:val="-1"/>
        </w:rPr>
        <w:t>V</w:t>
      </w:r>
      <w:r w:rsidR="00753FE7">
        <w:rPr>
          <w:spacing w:val="-1"/>
        </w:rPr>
        <w:t>e 2. </w:t>
      </w:r>
      <w:r w:rsidR="00406B1C">
        <w:rPr>
          <w:spacing w:val="-1"/>
        </w:rPr>
        <w:t xml:space="preserve">čtvrtletí </w:t>
      </w:r>
      <w:r w:rsidR="006D57B4">
        <w:rPr>
          <w:spacing w:val="-1"/>
        </w:rPr>
        <w:t>2021 p</w:t>
      </w:r>
      <w:r>
        <w:rPr>
          <w:spacing w:val="-1"/>
        </w:rPr>
        <w:t>odle předběžného odhadu ekonomika mezičtvrtletně vzrostla o 0,6 %.</w:t>
      </w:r>
    </w:p>
    <w:p w:rsidR="00695CCE" w:rsidRPr="0006144B" w:rsidRDefault="00695CCE" w:rsidP="00695CCE">
      <w:pPr>
        <w:pStyle w:val="Titulek"/>
        <w:spacing w:before="120"/>
        <w:rPr>
          <w:color w:val="000000" w:themeColor="text1"/>
        </w:rPr>
      </w:pPr>
      <w:bookmarkStart w:id="17" w:name="_Toc81233907"/>
      <w:r w:rsidRPr="0006144B">
        <w:rPr>
          <w:color w:val="000000" w:themeColor="text1"/>
        </w:rPr>
        <w:t xml:space="preserve">Obrázek </w:t>
      </w:r>
      <w:r>
        <w:rPr>
          <w:color w:val="000000" w:themeColor="text1"/>
        </w:rPr>
        <w:fldChar w:fldCharType="begin"/>
      </w:r>
      <w:r>
        <w:rPr>
          <w:color w:val="000000" w:themeColor="text1"/>
        </w:rPr>
        <w:instrText xml:space="preserve"> STYLEREF 1 \s </w:instrText>
      </w:r>
      <w:r>
        <w:rPr>
          <w:color w:val="000000" w:themeColor="text1"/>
        </w:rPr>
        <w:fldChar w:fldCharType="separate"/>
      </w:r>
      <w:r w:rsidR="001B0B0E">
        <w:rPr>
          <w:noProof/>
          <w:color w:val="000000" w:themeColor="text1"/>
        </w:rPr>
        <w:t>2</w:t>
      </w:r>
      <w:r>
        <w:rPr>
          <w:color w:val="000000" w:themeColor="text1"/>
        </w:rPr>
        <w:fldChar w:fldCharType="end"/>
      </w:r>
      <w:r>
        <w:rPr>
          <w:color w:val="000000" w:themeColor="text1"/>
        </w:rPr>
        <w:t>.</w:t>
      </w:r>
      <w:r>
        <w:rPr>
          <w:color w:val="000000" w:themeColor="text1"/>
        </w:rPr>
        <w:fldChar w:fldCharType="begin"/>
      </w:r>
      <w:r>
        <w:rPr>
          <w:color w:val="000000" w:themeColor="text1"/>
        </w:rPr>
        <w:instrText xml:space="preserve"> SEQ Obrázek \* ARABIC \s 1 </w:instrText>
      </w:r>
      <w:r>
        <w:rPr>
          <w:color w:val="000000" w:themeColor="text1"/>
        </w:rPr>
        <w:fldChar w:fldCharType="separate"/>
      </w:r>
      <w:r w:rsidR="001B0B0E">
        <w:rPr>
          <w:noProof/>
          <w:color w:val="000000" w:themeColor="text1"/>
        </w:rPr>
        <w:t>4</w:t>
      </w:r>
      <w:r>
        <w:rPr>
          <w:color w:val="000000" w:themeColor="text1"/>
        </w:rPr>
        <w:fldChar w:fldCharType="end"/>
      </w:r>
      <w:r w:rsidRPr="0006144B">
        <w:rPr>
          <w:color w:val="000000" w:themeColor="text1"/>
        </w:rPr>
        <w:t>: Reálný hrubý domácí produkt</w:t>
      </w:r>
      <w:bookmarkEnd w:id="17"/>
    </w:p>
    <w:p w:rsidR="00695CCE" w:rsidRPr="0006144B" w:rsidRDefault="00695CCE" w:rsidP="00695CCE">
      <w:pPr>
        <w:pStyle w:val="Titulek-jednotkypodnadpisemgrafunebotabulky"/>
        <w:rPr>
          <w:color w:val="000000" w:themeColor="text1"/>
        </w:rPr>
      </w:pPr>
      <w:r>
        <w:t>(růst proti předchozímu roku v %)</w:t>
      </w:r>
    </w:p>
    <w:p w:rsidR="00695CCE" w:rsidRPr="00A575A9" w:rsidRDefault="005C01A9" w:rsidP="00695CCE">
      <w:pPr>
        <w:rPr>
          <w:noProof/>
        </w:rPr>
      </w:pPr>
      <w:r>
        <w:rPr>
          <w:i/>
          <w:noProof/>
          <w:sz w:val="16"/>
          <w:szCs w:val="16"/>
        </w:rPr>
        <w:drawing>
          <wp:inline distT="0" distB="0" distL="0" distR="0" wp14:anchorId="506487AC" wp14:editId="31D32438">
            <wp:extent cx="2956560" cy="1767840"/>
            <wp:effectExtent l="0" t="0" r="0" b="0"/>
            <wp:docPr id="37" name="Obráze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56560" cy="1767840"/>
                    </a:xfrm>
                    <a:prstGeom prst="rect">
                      <a:avLst/>
                    </a:prstGeom>
                    <a:noFill/>
                  </pic:spPr>
                </pic:pic>
              </a:graphicData>
            </a:graphic>
          </wp:inline>
        </w:drawing>
      </w:r>
      <w:r w:rsidR="00695CCE" w:rsidRPr="005F3E29">
        <w:rPr>
          <w:i/>
          <w:sz w:val="16"/>
          <w:szCs w:val="16"/>
        </w:rPr>
        <w:t>Zdroj:</w:t>
      </w:r>
      <w:r w:rsidR="00695CCE" w:rsidRPr="005F3E29">
        <w:rPr>
          <w:i/>
          <w:iCs/>
          <w:color w:val="000000"/>
          <w:sz w:val="16"/>
          <w:szCs w:val="16"/>
        </w:rPr>
        <w:t xml:space="preserve"> ČSÚ.</w:t>
      </w:r>
      <w:r w:rsidR="00695CCE" w:rsidRPr="0006144B">
        <w:rPr>
          <w:i/>
          <w:iCs/>
          <w:color w:val="000000"/>
          <w:sz w:val="16"/>
          <w:szCs w:val="16"/>
        </w:rPr>
        <w:t xml:space="preserve"> Výpočty a predikce MF ČR.</w:t>
      </w:r>
    </w:p>
    <w:p w:rsidR="00513947" w:rsidRDefault="000B5B41" w:rsidP="00513947">
      <w:r>
        <w:t>Hospodářská aktivita by měla od 3. čtvrtletí 2021 výrazněji oživovat a postupně kompenzovat předchozí šok do agregátní poptávky i nabídky.</w:t>
      </w:r>
      <w:r w:rsidR="00513947">
        <w:t xml:space="preserve"> </w:t>
      </w:r>
      <w:r w:rsidR="00DD5BD2" w:rsidRPr="00DD5BD2">
        <w:rPr>
          <w:b/>
        </w:rPr>
        <w:t>H</w:t>
      </w:r>
      <w:r w:rsidR="00513947">
        <w:rPr>
          <w:b/>
        </w:rPr>
        <w:t>rubý domácí produkt</w:t>
      </w:r>
      <w:r w:rsidR="00513947">
        <w:t xml:space="preserve"> by se tak letos mohl zvýšit </w:t>
      </w:r>
      <w:r w:rsidR="00513947" w:rsidRPr="00B16AAA">
        <w:t xml:space="preserve">o </w:t>
      </w:r>
      <w:r w:rsidR="00F176E9">
        <w:t>3,2</w:t>
      </w:r>
      <w:r>
        <w:t> %.</w:t>
      </w:r>
      <w:r w:rsidR="00513947" w:rsidRPr="00B16AAA">
        <w:t xml:space="preserve"> </w:t>
      </w:r>
      <w:r>
        <w:t>V</w:t>
      </w:r>
      <w:r w:rsidR="00513947" w:rsidRPr="00B16AAA">
        <w:t> roce 202</w:t>
      </w:r>
      <w:r w:rsidR="00513947">
        <w:t>2</w:t>
      </w:r>
      <w:r w:rsidR="00513947" w:rsidRPr="00B16AAA">
        <w:t xml:space="preserve"> by </w:t>
      </w:r>
      <w:r w:rsidR="00513947">
        <w:t>růst mohl zrychlit na 4,2</w:t>
      </w:r>
      <w:r w:rsidR="00513947" w:rsidRPr="00B16AAA">
        <w:t> %</w:t>
      </w:r>
      <w:r w:rsidR="00CA676E">
        <w:t>.</w:t>
      </w:r>
      <w:r w:rsidR="00513947">
        <w:t xml:space="preserve"> </w:t>
      </w:r>
    </w:p>
    <w:p w:rsidR="00513947" w:rsidRPr="006343E0" w:rsidRDefault="00DD5BD2" w:rsidP="00513947">
      <w:r w:rsidRPr="00DD5BD2">
        <w:rPr>
          <w:b/>
        </w:rPr>
        <w:t>Spotřeb</w:t>
      </w:r>
      <w:r>
        <w:rPr>
          <w:b/>
        </w:rPr>
        <w:t>u</w:t>
      </w:r>
      <w:r>
        <w:t xml:space="preserve"> </w:t>
      </w:r>
      <w:r w:rsidRPr="00DD5BD2">
        <w:rPr>
          <w:b/>
        </w:rPr>
        <w:t>domácností</w:t>
      </w:r>
      <w:r>
        <w:t xml:space="preserve"> v roce 2021 pozitivně ovlivní</w:t>
      </w:r>
      <w:r w:rsidRPr="004E45FE">
        <w:t xml:space="preserve"> </w:t>
      </w:r>
      <w:r>
        <w:t>růst</w:t>
      </w:r>
      <w:r w:rsidRPr="004E45FE">
        <w:t xml:space="preserve"> reálného disponibilního důchodu</w:t>
      </w:r>
      <w:r>
        <w:t xml:space="preserve">, v jehož dynamice se kromě snížení efektivního zdanění mezd, platů a </w:t>
      </w:r>
      <w:r w:rsidR="00F176E9">
        <w:t xml:space="preserve">do určité míry i </w:t>
      </w:r>
      <w:r>
        <w:t xml:space="preserve">příjmů sebezaměstnaných kladně promítne řada podpůrných fiskálních programů. </w:t>
      </w:r>
      <w:r w:rsidR="00134756">
        <w:t xml:space="preserve">Vzhledem k </w:t>
      </w:r>
      <w:r w:rsidR="00134756" w:rsidRPr="004E45FE">
        <w:t xml:space="preserve">očekávanému oživení spotřebních výdajů </w:t>
      </w:r>
      <w:r w:rsidR="00134756">
        <w:t xml:space="preserve">od 2. čtvrtletí </w:t>
      </w:r>
      <w:r w:rsidR="00227BD5">
        <w:t xml:space="preserve">2021 </w:t>
      </w:r>
      <w:r w:rsidR="00134756">
        <w:t xml:space="preserve">by </w:t>
      </w:r>
      <w:r w:rsidR="00134756" w:rsidRPr="00191FA1">
        <w:t xml:space="preserve">reálná spotřeba domácností </w:t>
      </w:r>
      <w:r w:rsidR="00134756">
        <w:t xml:space="preserve">za celý rok 2021 </w:t>
      </w:r>
      <w:r w:rsidR="00227BD5">
        <w:t xml:space="preserve">mohla </w:t>
      </w:r>
      <w:r w:rsidR="00134756">
        <w:t>vzrůst o 2,3</w:t>
      </w:r>
      <w:r w:rsidR="00134756" w:rsidRPr="00191FA1">
        <w:t> %</w:t>
      </w:r>
      <w:r w:rsidR="00134756">
        <w:t xml:space="preserve">. </w:t>
      </w:r>
      <w:r>
        <w:t xml:space="preserve">V roce 2022 by </w:t>
      </w:r>
      <w:r w:rsidR="00820E55">
        <w:t xml:space="preserve">ji </w:t>
      </w:r>
      <w:r w:rsidR="00227BD5">
        <w:t xml:space="preserve">při stagnaci reálného disponibilního důchodu mělo </w:t>
      </w:r>
      <w:r>
        <w:t xml:space="preserve">podpořit </w:t>
      </w:r>
      <w:r w:rsidR="00D10BC3">
        <w:t xml:space="preserve">citelné </w:t>
      </w:r>
      <w:r>
        <w:t xml:space="preserve">snížení míry úspor, </w:t>
      </w:r>
      <w:r w:rsidR="00227BD5">
        <w:t xml:space="preserve">která by přesto měla setrvat na úrovních výrazně převyšujících dlouhodobý průměr. </w:t>
      </w:r>
      <w:r w:rsidR="00F732AD">
        <w:t xml:space="preserve">Projeví se také </w:t>
      </w:r>
      <w:r>
        <w:t xml:space="preserve">statistický efekt silného oživení </w:t>
      </w:r>
      <w:r w:rsidR="00134756">
        <w:t xml:space="preserve">spotřeby </w:t>
      </w:r>
      <w:r>
        <w:t>v 2. polovině</w:t>
      </w:r>
      <w:r w:rsidR="00134756">
        <w:t xml:space="preserve"> letošního roku</w:t>
      </w:r>
      <w:r w:rsidR="00C704C3">
        <w:t xml:space="preserve">. </w:t>
      </w:r>
      <w:r w:rsidR="00C704C3" w:rsidRPr="00C704C3">
        <w:rPr>
          <w:spacing w:val="-2"/>
        </w:rPr>
        <w:t xml:space="preserve">Spotřeba domácností by </w:t>
      </w:r>
      <w:r w:rsidRPr="00C704C3">
        <w:rPr>
          <w:spacing w:val="-2"/>
        </w:rPr>
        <w:t xml:space="preserve">tak mohla </w:t>
      </w:r>
      <w:r w:rsidR="00820E55" w:rsidRPr="00C704C3">
        <w:rPr>
          <w:spacing w:val="-2"/>
        </w:rPr>
        <w:t xml:space="preserve">vzrůst </w:t>
      </w:r>
      <w:r w:rsidRPr="00C704C3">
        <w:rPr>
          <w:spacing w:val="-2"/>
        </w:rPr>
        <w:t>o 5,5 %.</w:t>
      </w:r>
      <w:r w:rsidR="00513947" w:rsidRPr="00C704C3">
        <w:rPr>
          <w:spacing w:val="-2"/>
        </w:rPr>
        <w:t xml:space="preserve"> </w:t>
      </w:r>
    </w:p>
    <w:p w:rsidR="00513947" w:rsidRPr="006343E0" w:rsidRDefault="00134756" w:rsidP="00513947">
      <w:r w:rsidRPr="004176FB">
        <w:t xml:space="preserve">Očekáváme, že </w:t>
      </w:r>
      <w:r w:rsidR="00F732AD">
        <w:t xml:space="preserve">se </w:t>
      </w:r>
      <w:r w:rsidRPr="00134756">
        <w:rPr>
          <w:b/>
        </w:rPr>
        <w:t>spotřeba sektoru vládních institucí</w:t>
      </w:r>
      <w:r>
        <w:t xml:space="preserve"> v roce 2021 </w:t>
      </w:r>
      <w:r w:rsidR="00F732AD">
        <w:t xml:space="preserve">zvýší </w:t>
      </w:r>
      <w:r>
        <w:t>o 2,4</w:t>
      </w:r>
      <w:r w:rsidRPr="004176FB">
        <w:t xml:space="preserve"> % </w:t>
      </w:r>
      <w:r>
        <w:t>a v roce 2022 dojde ke zpomalení na 0,4</w:t>
      </w:r>
      <w:r w:rsidRPr="004176FB">
        <w:t xml:space="preserve"> %. Mezi hlavní faktory </w:t>
      </w:r>
      <w:r>
        <w:t>růstu v roce 2021 může</w:t>
      </w:r>
      <w:r w:rsidRPr="004176FB">
        <w:t xml:space="preserve"> </w:t>
      </w:r>
      <w:r>
        <w:t xml:space="preserve">stále </w:t>
      </w:r>
      <w:r w:rsidRPr="004176FB">
        <w:t xml:space="preserve">patřit </w:t>
      </w:r>
      <w:r w:rsidRPr="005A4AFE">
        <w:t xml:space="preserve">navýšení objemů nákupů z důvodu </w:t>
      </w:r>
      <w:r>
        <w:t>epidemi</w:t>
      </w:r>
      <w:r w:rsidR="00753FE7">
        <w:t>e a rovněž růst zaměstnanosti v některých částech veřejného</w:t>
      </w:r>
      <w:r>
        <w:t xml:space="preserve"> sektoru.</w:t>
      </w:r>
      <w:r w:rsidRPr="005A4AFE">
        <w:t xml:space="preserve"> </w:t>
      </w:r>
      <w:r w:rsidRPr="004176FB">
        <w:t xml:space="preserve">Přes </w:t>
      </w:r>
      <w:r>
        <w:t>úspory v </w:t>
      </w:r>
      <w:r w:rsidRPr="004176FB">
        <w:t>rámci centrálních úřadů státní správy se počítá s</w:t>
      </w:r>
      <w:r>
        <w:t xml:space="preserve"> </w:t>
      </w:r>
      <w:r w:rsidRPr="004176FB">
        <w:t>personálním navýšením ve</w:t>
      </w:r>
      <w:r>
        <w:t xml:space="preserve"> </w:t>
      </w:r>
      <w:r w:rsidRPr="004176FB">
        <w:t>školství a</w:t>
      </w:r>
      <w:r>
        <w:t xml:space="preserve"> </w:t>
      </w:r>
      <w:r w:rsidRPr="004176FB">
        <w:t>u</w:t>
      </w:r>
      <w:r>
        <w:t xml:space="preserve"> </w:t>
      </w:r>
      <w:r w:rsidRPr="004176FB">
        <w:t>ozbrojených složek</w:t>
      </w:r>
      <w:r w:rsidRPr="0085288F">
        <w:t>.</w:t>
      </w:r>
      <w:r w:rsidRPr="005A4AFE">
        <w:t xml:space="preserve"> </w:t>
      </w:r>
      <w:r w:rsidRPr="0085288F">
        <w:t xml:space="preserve">Dynamiku může podpořit i růst výdajů na </w:t>
      </w:r>
      <w:r>
        <w:t>nákup zboží a </w:t>
      </w:r>
      <w:r w:rsidRPr="0085288F">
        <w:t>služeb za přispění běžných dotací z fondů EU.</w:t>
      </w:r>
      <w:r>
        <w:t xml:space="preserve"> </w:t>
      </w:r>
      <w:r w:rsidR="00C704C3">
        <w:t>O</w:t>
      </w:r>
      <w:r w:rsidRPr="005A4AFE">
        <w:t xml:space="preserve">čekávaný pokles </w:t>
      </w:r>
      <w:r>
        <w:t>tempa</w:t>
      </w:r>
      <w:r w:rsidRPr="005A4AFE">
        <w:t xml:space="preserve"> </w:t>
      </w:r>
      <w:r w:rsidR="00C704C3">
        <w:t xml:space="preserve">v roce 2022 </w:t>
      </w:r>
      <w:r w:rsidR="00C704C3">
        <w:t xml:space="preserve">souvisí </w:t>
      </w:r>
      <w:r>
        <w:t>s</w:t>
      </w:r>
      <w:r w:rsidRPr="005A4AFE">
        <w:t xml:space="preserve"> odeznění</w:t>
      </w:r>
      <w:r>
        <w:t>m</w:t>
      </w:r>
      <w:r w:rsidRPr="005A4AFE">
        <w:t xml:space="preserve"> přechodných faktorů</w:t>
      </w:r>
      <w:r>
        <w:t xml:space="preserve"> týkajících se řešení epidemie</w:t>
      </w:r>
      <w:r w:rsidRPr="005A4AFE">
        <w:t>.</w:t>
      </w:r>
      <w:r w:rsidR="00513947">
        <w:t xml:space="preserve"> V nominálním vyjádření by měla </w:t>
      </w:r>
      <w:r w:rsidR="00F732AD">
        <w:t xml:space="preserve">dynamika </w:t>
      </w:r>
      <w:r w:rsidR="00CA676E">
        <w:t xml:space="preserve">zpomalit </w:t>
      </w:r>
      <w:r w:rsidR="00F732AD">
        <w:t>z 6,9 % v </w:t>
      </w:r>
      <w:r w:rsidR="00CA676E">
        <w:t>roce 2021 na 2,1 % v roce 2022</w:t>
      </w:r>
      <w:r w:rsidR="00513947">
        <w:t>.</w:t>
      </w:r>
    </w:p>
    <w:p w:rsidR="00513947" w:rsidRDefault="00A17460" w:rsidP="00513947">
      <w:pPr>
        <w:rPr>
          <w:color w:val="000000"/>
        </w:rPr>
      </w:pPr>
      <w:r w:rsidRPr="00A17460">
        <w:rPr>
          <w:b/>
          <w:color w:val="000000"/>
        </w:rPr>
        <w:t>Tvorba hrubého fixního kapitálu</w:t>
      </w:r>
      <w:r>
        <w:rPr>
          <w:color w:val="000000"/>
        </w:rPr>
        <w:t xml:space="preserve"> by v roce 2021 měla díky hospodářskému růstu v zahraničí, uvolněným měnovým </w:t>
      </w:r>
      <w:r w:rsidRPr="00753FE7">
        <w:rPr>
          <w:color w:val="000000"/>
        </w:rPr>
        <w:t>podmínkám, nadprůměrně využitým výrobním kapacitám v průmyslu i mimořádným odpisům hmotného majetku začít oživovat. K růstu by měla přispět také investiční aktivita sektoru vládních</w:t>
      </w:r>
      <w:r>
        <w:rPr>
          <w:color w:val="000000"/>
        </w:rPr>
        <w:t xml:space="preserve"> institucí podpořená </w:t>
      </w:r>
      <w:r w:rsidRPr="00191FA1">
        <w:rPr>
          <w:color w:val="000000"/>
        </w:rPr>
        <w:t>realizací projektů spolufinancovaných fondy EU</w:t>
      </w:r>
      <w:r>
        <w:rPr>
          <w:color w:val="000000"/>
        </w:rPr>
        <w:t>.</w:t>
      </w:r>
      <w:r w:rsidRPr="00A957C9">
        <w:rPr>
          <w:color w:val="000000"/>
        </w:rPr>
        <w:t xml:space="preserve"> </w:t>
      </w:r>
      <w:r>
        <w:rPr>
          <w:color w:val="000000"/>
        </w:rPr>
        <w:t xml:space="preserve">Počátkem roku 2021 dynamiku investic tlumila přijatá restriktivní opatření a s nimi spojené nejistoty, ty by ale v dalších čtvrtletích měly odeznít. </w:t>
      </w:r>
      <w:r w:rsidR="00FD30CF">
        <w:rPr>
          <w:color w:val="000000"/>
        </w:rPr>
        <w:t>Dynamika</w:t>
      </w:r>
      <w:r>
        <w:rPr>
          <w:color w:val="000000"/>
        </w:rPr>
        <w:t xml:space="preserve"> soukromých investic by se tak </w:t>
      </w:r>
      <w:r w:rsidR="00FD30CF">
        <w:rPr>
          <w:color w:val="000000"/>
        </w:rPr>
        <w:t>měla</w:t>
      </w:r>
      <w:r>
        <w:rPr>
          <w:color w:val="000000"/>
        </w:rPr>
        <w:t xml:space="preserve"> citelně zvýšit. </w:t>
      </w:r>
      <w:r w:rsidRPr="00191FA1">
        <w:t>Tvo</w:t>
      </w:r>
      <w:r>
        <w:t>rb</w:t>
      </w:r>
      <w:r w:rsidR="00CA676E">
        <w:t>a hrubého fixního kapitálu by</w:t>
      </w:r>
      <w:r>
        <w:t xml:space="preserve"> v roce 2021</w:t>
      </w:r>
      <w:r w:rsidRPr="00191FA1">
        <w:t xml:space="preserve"> mohla </w:t>
      </w:r>
      <w:r w:rsidR="00CA676E">
        <w:t>vzrůst</w:t>
      </w:r>
      <w:r>
        <w:t xml:space="preserve"> o 6,0</w:t>
      </w:r>
      <w:r w:rsidRPr="00191FA1">
        <w:t> %</w:t>
      </w:r>
      <w:r w:rsidR="00753FE7">
        <w:t xml:space="preserve">, pro rok 2022 </w:t>
      </w:r>
      <w:r>
        <w:t>je predikován</w:t>
      </w:r>
      <w:r w:rsidR="00FD30CF">
        <w:t>a</w:t>
      </w:r>
      <w:r>
        <w:t xml:space="preserve"> </w:t>
      </w:r>
      <w:r w:rsidR="00CA676E">
        <w:t>tempo</w:t>
      </w:r>
      <w:r>
        <w:t xml:space="preserve"> mírně pod hranicí 5 %</w:t>
      </w:r>
      <w:r w:rsidRPr="00191FA1">
        <w:t>.</w:t>
      </w:r>
      <w:r>
        <w:t xml:space="preserve"> </w:t>
      </w:r>
    </w:p>
    <w:p w:rsidR="00B62B96" w:rsidRDefault="00AF4C44" w:rsidP="00513947">
      <w:r w:rsidRPr="006C7438">
        <w:rPr>
          <w:b/>
        </w:rPr>
        <w:t>Vývoz zboží a služeb</w:t>
      </w:r>
      <w:r>
        <w:t xml:space="preserve"> </w:t>
      </w:r>
      <w:r w:rsidR="006C7438">
        <w:t xml:space="preserve">by se měl </w:t>
      </w:r>
      <w:r w:rsidR="000C1863">
        <w:t xml:space="preserve">letos </w:t>
      </w:r>
      <w:r w:rsidR="006C7438">
        <w:t xml:space="preserve">výhradně vlivem růstu exportních trhů zvýšit </w:t>
      </w:r>
      <w:r>
        <w:t>o 8,5</w:t>
      </w:r>
      <w:r w:rsidRPr="00191FA1">
        <w:t> %</w:t>
      </w:r>
      <w:r w:rsidR="006C7438">
        <w:t>.</w:t>
      </w:r>
      <w:r w:rsidRPr="00191FA1">
        <w:t xml:space="preserve"> </w:t>
      </w:r>
      <w:r w:rsidR="00003D7E">
        <w:t xml:space="preserve">Pro rok 2022 počítáme se zpomalením na 6,6 %, které </w:t>
      </w:r>
      <w:r w:rsidR="00B62B96">
        <w:t xml:space="preserve">by mělo vyplývat z nižšího tempa růstu dovozní náročnosti obchodních partnerů. </w:t>
      </w:r>
      <w:r w:rsidR="008C3B11">
        <w:t xml:space="preserve">Exportní výkonnost (tedy konkurenceschopnost českých firem na zahraničních trzích) bude letos brzdit posilování kurzu koruny vůči euru a prohlubující se problémy automobilek s nedostatkem komponent vedoucí k </w:t>
      </w:r>
      <w:r w:rsidR="008C3B11" w:rsidRPr="0016569A">
        <w:rPr>
          <w:spacing w:val="-1"/>
        </w:rPr>
        <w:t xml:space="preserve">nuceným odstávkám výroby. </w:t>
      </w:r>
      <w:r w:rsidR="008C3B11">
        <w:rPr>
          <w:spacing w:val="-1"/>
        </w:rPr>
        <w:t xml:space="preserve">V roce </w:t>
      </w:r>
      <w:r w:rsidR="008C3B11" w:rsidRPr="0016569A">
        <w:rPr>
          <w:spacing w:val="-1"/>
        </w:rPr>
        <w:t xml:space="preserve">2022 </w:t>
      </w:r>
      <w:r w:rsidR="008C3B11">
        <w:rPr>
          <w:spacing w:val="-1"/>
        </w:rPr>
        <w:t xml:space="preserve">by se však exportní výkonnost měla mírně zvýšit, a to </w:t>
      </w:r>
      <w:r w:rsidR="008C3B11" w:rsidRPr="0016569A">
        <w:rPr>
          <w:spacing w:val="-1"/>
        </w:rPr>
        <w:t>v</w:t>
      </w:r>
      <w:r w:rsidR="00B62B96">
        <w:rPr>
          <w:spacing w:val="-1"/>
        </w:rPr>
        <w:t xml:space="preserve"> </w:t>
      </w:r>
      <w:r w:rsidR="008C3B11" w:rsidRPr="0016569A">
        <w:rPr>
          <w:spacing w:val="-1"/>
        </w:rPr>
        <w:t xml:space="preserve">souvislosti s </w:t>
      </w:r>
      <w:r w:rsidR="008C3B11" w:rsidRPr="00A00BBE">
        <w:rPr>
          <w:spacing w:val="-1"/>
        </w:rPr>
        <w:t>předpokládaným odezněním obtíží v dodavatelských řetěz</w:t>
      </w:r>
      <w:r w:rsidR="008C3B11">
        <w:t xml:space="preserve">cích hlavně v segmentu motorových vozidel. </w:t>
      </w:r>
    </w:p>
    <w:p w:rsidR="00AF4C44" w:rsidRDefault="00AF4C44" w:rsidP="00513947">
      <w:r>
        <w:t>Dynamika vývozu a </w:t>
      </w:r>
      <w:r w:rsidRPr="00191FA1">
        <w:t xml:space="preserve">dovozně náročné investiční poptávky se pak </w:t>
      </w:r>
      <w:r>
        <w:t>promítá v </w:t>
      </w:r>
      <w:r w:rsidRPr="00191FA1">
        <w:t xml:space="preserve">tempu </w:t>
      </w:r>
      <w:r w:rsidRPr="00AF4C44">
        <w:rPr>
          <w:b/>
        </w:rPr>
        <w:t>dovozu zboží a služeb</w:t>
      </w:r>
      <w:r w:rsidRPr="00AF4C44">
        <w:t>.</w:t>
      </w:r>
      <w:r>
        <w:t xml:space="preserve"> Ten by v roce 2021</w:t>
      </w:r>
      <w:r w:rsidRPr="00191FA1">
        <w:t xml:space="preserve"> </w:t>
      </w:r>
      <w:r>
        <w:t>mohl vzrůst o 10,4</w:t>
      </w:r>
      <w:r w:rsidRPr="00191FA1">
        <w:t> %</w:t>
      </w:r>
      <w:r>
        <w:t xml:space="preserve">. </w:t>
      </w:r>
      <w:r w:rsidR="008C3B11">
        <w:t xml:space="preserve">Očekávané </w:t>
      </w:r>
      <w:r>
        <w:t>zpomalení na 6,7</w:t>
      </w:r>
      <w:r w:rsidRPr="00191FA1">
        <w:t> %</w:t>
      </w:r>
      <w:r>
        <w:t xml:space="preserve"> </w:t>
      </w:r>
      <w:r w:rsidR="008C3B11">
        <w:t xml:space="preserve">v roce 2022 by mělo </w:t>
      </w:r>
      <w:r>
        <w:t>reflektovat výrazně nižší tempo tvorby hrubého kapitálu, stejně jako snížení dynamiky exportu</w:t>
      </w:r>
      <w:r w:rsidRPr="00191FA1">
        <w:t>.</w:t>
      </w:r>
      <w:r w:rsidR="008C3B11">
        <w:t xml:space="preserve"> </w:t>
      </w:r>
    </w:p>
    <w:p w:rsidR="00513947" w:rsidRPr="006343E0" w:rsidRDefault="006B238B" w:rsidP="006B238B">
      <w:pPr>
        <w:pStyle w:val="ZKDvousloupcov"/>
      </w:pPr>
      <w:r w:rsidRPr="00191FA1">
        <w:t xml:space="preserve">Česká ekonomika se </w:t>
      </w:r>
      <w:r>
        <w:t xml:space="preserve">v roce 2020 vlivem epidemie a opatření proti jejímu šíření propadla do </w:t>
      </w:r>
      <w:r w:rsidRPr="006B238B">
        <w:t>hluboce záporné</w:t>
      </w:r>
      <w:r w:rsidRPr="00C6577B">
        <w:rPr>
          <w:b/>
          <w:spacing w:val="-1"/>
        </w:rPr>
        <w:t xml:space="preserve"> mezery výstupu</w:t>
      </w:r>
      <w:r w:rsidRPr="00EA54DF">
        <w:rPr>
          <w:spacing w:val="-1"/>
        </w:rPr>
        <w:t>.</w:t>
      </w:r>
      <w:r w:rsidRPr="00191FA1">
        <w:t xml:space="preserve"> </w:t>
      </w:r>
      <w:r>
        <w:t xml:space="preserve">Reálná hrubá přidaná hodnota ve 2. čtvrtletí 2020 zaostala o téměř 9 % za svou potenciální úrovní, což bylo zdaleka nejvíce v historii samostatné ČR. Za celý rok 2020 </w:t>
      </w:r>
      <w:r w:rsidR="004B2F80">
        <w:t xml:space="preserve">ale </w:t>
      </w:r>
      <w:r>
        <w:t xml:space="preserve">záporná produkční mezera </w:t>
      </w:r>
      <w:r w:rsidR="004B2F80">
        <w:t xml:space="preserve">dosáhla </w:t>
      </w:r>
      <w:r>
        <w:rPr>
          <w:rFonts w:cs="Calibri"/>
        </w:rPr>
        <w:t>−</w:t>
      </w:r>
      <w:r>
        <w:t xml:space="preserve">3,1 %, a v celoročním vyjádření tak </w:t>
      </w:r>
      <w:r w:rsidRPr="006B238B">
        <w:rPr>
          <w:spacing w:val="-1"/>
        </w:rPr>
        <w:t>byla srovnatelná s</w:t>
      </w:r>
      <w:r w:rsidR="004B2F80">
        <w:rPr>
          <w:spacing w:val="-1"/>
        </w:rPr>
        <w:t> </w:t>
      </w:r>
      <w:r w:rsidRPr="006B238B">
        <w:rPr>
          <w:spacing w:val="-1"/>
        </w:rPr>
        <w:t>recesemi v letech 2009 a 2013. V</w:t>
      </w:r>
      <w:r>
        <w:t xml:space="preserve"> průběhu 2. pololetí 2021 by se měla uzavřít a</w:t>
      </w:r>
      <w:r w:rsidR="004B2F80">
        <w:t> </w:t>
      </w:r>
      <w:r>
        <w:t>posléze dosahovat kladných hodnot pod 2 %.</w:t>
      </w:r>
    </w:p>
    <w:p w:rsidR="004B2F80" w:rsidRDefault="00513947" w:rsidP="004B2F80">
      <w:r w:rsidRPr="006343E0">
        <w:t xml:space="preserve">Růst </w:t>
      </w:r>
      <w:r w:rsidRPr="006D5542">
        <w:rPr>
          <w:b/>
        </w:rPr>
        <w:t>nominálního HDP</w:t>
      </w:r>
      <w:r w:rsidRPr="006343E0">
        <w:t xml:space="preserve"> je dán vývojem reálného ekonomického výkonu a cenové složky HDP. </w:t>
      </w:r>
      <w:r w:rsidR="004B2F80">
        <w:t>V roce 2021</w:t>
      </w:r>
      <w:r w:rsidR="004B2F80" w:rsidRPr="00191FA1">
        <w:t xml:space="preserve"> b</w:t>
      </w:r>
      <w:r w:rsidR="004B2F80">
        <w:t>y se deflátor HDP mohl zvýšit o 2,9</w:t>
      </w:r>
      <w:r w:rsidR="004B2F80" w:rsidRPr="00191FA1">
        <w:t> %</w:t>
      </w:r>
      <w:r w:rsidR="004B2F80">
        <w:t>. Výrazný pokles dynamiky proti roku 2020 bude dán př</w:t>
      </w:r>
      <w:r w:rsidR="00303D8F">
        <w:t xml:space="preserve">edevším vývojem směnných relací, </w:t>
      </w:r>
      <w:r w:rsidR="000C1863">
        <w:t xml:space="preserve">jež </w:t>
      </w:r>
      <w:r w:rsidR="00303D8F">
        <w:t xml:space="preserve">letos </w:t>
      </w:r>
      <w:r w:rsidR="000C1863">
        <w:t xml:space="preserve">ovlivní </w:t>
      </w:r>
      <w:r w:rsidR="004B2F80">
        <w:t>silný nárůst ceny ropy</w:t>
      </w:r>
      <w:r w:rsidR="00303D8F">
        <w:t>,</w:t>
      </w:r>
      <w:r w:rsidR="004B2F80">
        <w:t xml:space="preserve"> a</w:t>
      </w:r>
      <w:r w:rsidR="00303D8F">
        <w:t> </w:t>
      </w:r>
      <w:r w:rsidR="004B2F80">
        <w:t>v</w:t>
      </w:r>
      <w:r w:rsidR="00303D8F">
        <w:t> </w:t>
      </w:r>
      <w:r w:rsidR="004B2F80">
        <w:t>menší míře i nižším příspěvkem deflátoru hrubých domácích výdajů. V roce 2022 by se růst deflátoru HDP mohl dále zpomalit na 2,1</w:t>
      </w:r>
      <w:r w:rsidR="004B2F80" w:rsidRPr="00191FA1">
        <w:t> %</w:t>
      </w:r>
      <w:r w:rsidR="004B2F80">
        <w:t>. V rámci deflátoru hrubých domácích výdajů bude pomalejší růst deflátoru spotřeby sek</w:t>
      </w:r>
      <w:r w:rsidR="004B2F80">
        <w:lastRenderedPageBreak/>
        <w:t xml:space="preserve">toru vládních institucí (způsobený zejména sníženou dynamikou platů) částečně kompenzován rychlejším zvyšováním spotřebitelských cen (viz níže). Směnné relace by se měly mírně zhoršit a jejich příspěvek by tak měl být o 0,5 p. b. nižší než v roce 2021. </w:t>
      </w:r>
      <w:r w:rsidR="00303D8F">
        <w:t xml:space="preserve">Ve výsledku by měl tedy růst nominálního HDP v tomto a </w:t>
      </w:r>
      <w:r w:rsidR="002A72A9">
        <w:t>příštím roce mírně převýšit 6 %.</w:t>
      </w:r>
      <w:r w:rsidR="00303D8F">
        <w:t xml:space="preserve"> </w:t>
      </w:r>
    </w:p>
    <w:p w:rsidR="0006144B" w:rsidRDefault="0006144B" w:rsidP="0006144B">
      <w:pPr>
        <w:pStyle w:val="Nadpis3"/>
      </w:pPr>
      <w:r>
        <w:t>Spotřebitelské ceny</w:t>
      </w:r>
    </w:p>
    <w:p w:rsidR="0021661F" w:rsidRDefault="0021661F" w:rsidP="0021661F">
      <w:r>
        <w:t xml:space="preserve">V roce 2020 přesáhla průměrná míra inflace 3 %. Nad 2% inflačním cílem se meziroční růst </w:t>
      </w:r>
      <w:r w:rsidRPr="000D264A">
        <w:rPr>
          <w:b/>
        </w:rPr>
        <w:t>spotřebitelských cen</w:t>
      </w:r>
      <w:r>
        <w:t xml:space="preserve"> pohyboval i v 1. pololetí 2021. K jejich růstu přispíval zejména vývoj v oddílu alkoholické nápoje, tabák, kde bylo zdražení tabákových výrobků podpořeno zvýšením spotřební daně, a v oddílu doprava, v němž rychle rostly ceny pohonných hmot a automobilů. Hlavními proinflačními faktory v roce 2021 patrně budou frikce na straně nabídky a výrazný růst ceny ropy i jiných komodit. Administrativní opatření by k průměrné míře inflace roku 2021 měla přispět jen mírně, inflace tedy bude dominantně dána tržními vlivy. Ve směru nižší inflace by měl působit pokles jednotkových nákladů práce a do určité míry také nejspíš ještě záporná produkční mezera. Inflaci by mělo tlumit i posilování české koruny k oběma hlavním světovým měnám.</w:t>
      </w:r>
    </w:p>
    <w:p w:rsidR="0006144B" w:rsidRDefault="0021661F" w:rsidP="0021661F">
      <w:r>
        <w:t xml:space="preserve">V roce 2022 by se </w:t>
      </w:r>
      <w:r w:rsidR="00F10178">
        <w:t xml:space="preserve">do </w:t>
      </w:r>
      <w:r>
        <w:t>vývoj</w:t>
      </w:r>
      <w:r w:rsidR="00F10178">
        <w:t>e</w:t>
      </w:r>
      <w:r>
        <w:t xml:space="preserve"> spotřebitelských cen měl výrazněji promítnout růst regulovaných cen. Mezi nimi bude zřejmě nejpodstatnější zvýšení ceny elektřiny a zemního plynu. Cena ropy by v roce 2022 měla téměř stagnovat, což by mělo snížit nabídkový tlak na růst spotřebitelských cen. Naopak poptávkové faktory by měly působit ve směru vyšší inflace, jelikož produkční mezera by již měla být kladná a spotřeba domácností by měla značně oživit. Pokles jednotkových nákladů práce by měl nadále tlačit na snížení inflace, slabě by se v tomto směru mohlo projevit i posilování české koruny k oběma hlavním světovým měnám. </w:t>
      </w:r>
      <w:r w:rsidRPr="00174E55">
        <w:t>Predikce počítá s</w:t>
      </w:r>
      <w:r>
        <w:t> </w:t>
      </w:r>
      <w:r w:rsidRPr="00174E55">
        <w:t>dalším zvyšováním spotřební daně z</w:t>
      </w:r>
      <w:r>
        <w:t> </w:t>
      </w:r>
      <w:r w:rsidRPr="00174E55">
        <w:t>tabák</w:t>
      </w:r>
      <w:r>
        <w:t>ových výrobků</w:t>
      </w:r>
      <w:r w:rsidRPr="00174E55">
        <w:t xml:space="preserve"> v </w:t>
      </w:r>
      <w:r w:rsidR="002A72A9">
        <w:t>roce</w:t>
      </w:r>
      <w:r w:rsidRPr="00174E55">
        <w:t xml:space="preserve"> 202</w:t>
      </w:r>
      <w:r w:rsidR="002A72A9">
        <w:t>2</w:t>
      </w:r>
      <w:r w:rsidRPr="00174E55">
        <w:t>, které by ovšem mělo inflaci podpořit jen velmi mírně.</w:t>
      </w:r>
      <w:r w:rsidR="002A72A9">
        <w:t xml:space="preserve"> </w:t>
      </w:r>
      <w:r w:rsidRPr="000431E7">
        <w:t>Průměrná míra inflace by měla v roce 202</w:t>
      </w:r>
      <w:r>
        <w:t>1</w:t>
      </w:r>
      <w:r w:rsidRPr="000431E7">
        <w:t xml:space="preserve"> </w:t>
      </w:r>
      <w:r>
        <w:t>dosáhnout 3,2 </w:t>
      </w:r>
      <w:r w:rsidRPr="000431E7">
        <w:t>% a v roce 202</w:t>
      </w:r>
      <w:r>
        <w:t>2</w:t>
      </w:r>
      <w:r w:rsidRPr="000431E7">
        <w:t xml:space="preserve"> </w:t>
      </w:r>
      <w:r>
        <w:t>ještě zrychlit na 3</w:t>
      </w:r>
      <w:r w:rsidRPr="000431E7">
        <w:t>,</w:t>
      </w:r>
      <w:r>
        <w:t>5 </w:t>
      </w:r>
      <w:r w:rsidR="002A72A9">
        <w:t>%.</w:t>
      </w:r>
    </w:p>
    <w:p w:rsidR="0006144B" w:rsidRPr="0006144B" w:rsidRDefault="0006144B" w:rsidP="0006144B">
      <w:pPr>
        <w:pStyle w:val="Titulek"/>
        <w:spacing w:before="120"/>
        <w:rPr>
          <w:color w:val="000000" w:themeColor="text1"/>
        </w:rPr>
      </w:pPr>
      <w:bookmarkStart w:id="18" w:name="_Toc81233908"/>
      <w:r w:rsidRPr="0006144B">
        <w:rPr>
          <w:color w:val="000000" w:themeColor="text1"/>
        </w:rPr>
        <w:t xml:space="preserve">Obrázek </w:t>
      </w:r>
      <w:r w:rsidR="00F52D6C">
        <w:rPr>
          <w:color w:val="000000" w:themeColor="text1"/>
        </w:rPr>
        <w:fldChar w:fldCharType="begin"/>
      </w:r>
      <w:r w:rsidR="00F52D6C">
        <w:rPr>
          <w:color w:val="000000" w:themeColor="text1"/>
        </w:rPr>
        <w:instrText xml:space="preserve"> STYLEREF 1 \s </w:instrText>
      </w:r>
      <w:r w:rsidR="00F52D6C">
        <w:rPr>
          <w:color w:val="000000" w:themeColor="text1"/>
        </w:rPr>
        <w:fldChar w:fldCharType="separate"/>
      </w:r>
      <w:r w:rsidR="001B0B0E">
        <w:rPr>
          <w:noProof/>
          <w:color w:val="000000" w:themeColor="text1"/>
        </w:rPr>
        <w:t>2</w:t>
      </w:r>
      <w:r w:rsidR="00F52D6C">
        <w:rPr>
          <w:color w:val="000000" w:themeColor="text1"/>
        </w:rPr>
        <w:fldChar w:fldCharType="end"/>
      </w:r>
      <w:r w:rsidR="00F52D6C">
        <w:rPr>
          <w:color w:val="000000" w:themeColor="text1"/>
        </w:rPr>
        <w:t>.</w:t>
      </w:r>
      <w:r w:rsidR="00F52D6C">
        <w:rPr>
          <w:color w:val="000000" w:themeColor="text1"/>
        </w:rPr>
        <w:fldChar w:fldCharType="begin"/>
      </w:r>
      <w:r w:rsidR="00F52D6C">
        <w:rPr>
          <w:color w:val="000000" w:themeColor="text1"/>
        </w:rPr>
        <w:instrText xml:space="preserve"> SEQ Obrázek \* ARABIC \s 1 </w:instrText>
      </w:r>
      <w:r w:rsidR="00F52D6C">
        <w:rPr>
          <w:color w:val="000000" w:themeColor="text1"/>
        </w:rPr>
        <w:fldChar w:fldCharType="separate"/>
      </w:r>
      <w:r w:rsidR="001B0B0E">
        <w:rPr>
          <w:noProof/>
          <w:color w:val="000000" w:themeColor="text1"/>
        </w:rPr>
        <w:t>5</w:t>
      </w:r>
      <w:r w:rsidR="00F52D6C">
        <w:rPr>
          <w:color w:val="000000" w:themeColor="text1"/>
        </w:rPr>
        <w:fldChar w:fldCharType="end"/>
      </w:r>
      <w:r w:rsidRPr="0006144B">
        <w:rPr>
          <w:color w:val="000000" w:themeColor="text1"/>
        </w:rPr>
        <w:t xml:space="preserve">: </w:t>
      </w:r>
      <w:r>
        <w:rPr>
          <w:color w:val="000000" w:themeColor="text1"/>
        </w:rPr>
        <w:t>Spotřebitelské ceny</w:t>
      </w:r>
      <w:bookmarkEnd w:id="18"/>
    </w:p>
    <w:p w:rsidR="0006144B" w:rsidRPr="0006144B" w:rsidRDefault="0006144B" w:rsidP="0006144B">
      <w:pPr>
        <w:pStyle w:val="Titulek-jednotkypodnadpisemgrafunebotabulky"/>
        <w:rPr>
          <w:color w:val="000000" w:themeColor="text1"/>
        </w:rPr>
      </w:pPr>
      <w:r>
        <w:t>(průměrná míra inflace v %)</w:t>
      </w:r>
    </w:p>
    <w:p w:rsidR="0006144B" w:rsidRDefault="00A575A9" w:rsidP="0006144B">
      <w:r>
        <w:rPr>
          <w:i/>
          <w:noProof/>
          <w:sz w:val="16"/>
          <w:szCs w:val="16"/>
        </w:rPr>
        <w:drawing>
          <wp:inline distT="0" distB="0" distL="0" distR="0" wp14:anchorId="491D7C7E" wp14:editId="34A87766">
            <wp:extent cx="2956560" cy="1762125"/>
            <wp:effectExtent l="0" t="0" r="0"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56560" cy="1762125"/>
                    </a:xfrm>
                    <a:prstGeom prst="rect">
                      <a:avLst/>
                    </a:prstGeom>
                    <a:noFill/>
                  </pic:spPr>
                </pic:pic>
              </a:graphicData>
            </a:graphic>
          </wp:inline>
        </w:drawing>
      </w:r>
      <w:r w:rsidR="0006144B" w:rsidRPr="005F3E29">
        <w:rPr>
          <w:i/>
          <w:sz w:val="16"/>
          <w:szCs w:val="16"/>
        </w:rPr>
        <w:t>Zdroj:</w:t>
      </w:r>
      <w:r w:rsidR="0006144B" w:rsidRPr="005F3E29">
        <w:rPr>
          <w:i/>
          <w:iCs/>
          <w:color w:val="000000"/>
          <w:sz w:val="16"/>
          <w:szCs w:val="16"/>
        </w:rPr>
        <w:t xml:space="preserve"> ČSÚ</w:t>
      </w:r>
      <w:r w:rsidR="0006144B" w:rsidRPr="0006144B">
        <w:rPr>
          <w:i/>
          <w:iCs/>
          <w:color w:val="000000"/>
          <w:sz w:val="16"/>
          <w:szCs w:val="16"/>
        </w:rPr>
        <w:t>. Výpočty a predikce MF ČR.</w:t>
      </w:r>
    </w:p>
    <w:p w:rsidR="005F3E29" w:rsidRDefault="005F3E29" w:rsidP="005C6EB8">
      <w:pPr>
        <w:pStyle w:val="Nadpis3"/>
        <w:spacing w:before="0"/>
      </w:pPr>
      <w:r>
        <w:t>Trh práce</w:t>
      </w:r>
    </w:p>
    <w:p w:rsidR="00695CCE" w:rsidRDefault="009477D4" w:rsidP="00695CCE">
      <w:r>
        <w:t>Negativní dopad ekonomické recese na trh práce byl výrazně tlumen fiskálními stimulačními opatřeními (zejména programem Antivirus a kompenzačním bonusem). Navzdory ukončení</w:t>
      </w:r>
      <w:r w:rsidRPr="000D6E25">
        <w:t xml:space="preserve"> </w:t>
      </w:r>
      <w:r>
        <w:t>většiny z nich ale nedošlo k nárůstu</w:t>
      </w:r>
      <w:r w:rsidRPr="00191FA1">
        <w:t xml:space="preserve"> </w:t>
      </w:r>
      <w:r w:rsidRPr="00377B24">
        <w:t>nezaměstnanosti</w:t>
      </w:r>
      <w:r>
        <w:t>. Zřejmě převážil efekt uvolňování protiepidemických omezení a vliv silné poptávky po práci v některých odvětvích, především v průmyslu.</w:t>
      </w:r>
    </w:p>
    <w:p w:rsidR="000001CD" w:rsidRPr="0006144B" w:rsidRDefault="000001CD" w:rsidP="000001CD">
      <w:pPr>
        <w:pStyle w:val="Titulek"/>
        <w:spacing w:before="120"/>
        <w:rPr>
          <w:color w:val="000000" w:themeColor="text1"/>
        </w:rPr>
      </w:pPr>
      <w:bookmarkStart w:id="19" w:name="_Toc81233909"/>
      <w:r w:rsidRPr="0006144B">
        <w:rPr>
          <w:color w:val="000000" w:themeColor="text1"/>
        </w:rPr>
        <w:t xml:space="preserve">Obrázek </w:t>
      </w:r>
      <w:r>
        <w:rPr>
          <w:color w:val="000000" w:themeColor="text1"/>
        </w:rPr>
        <w:fldChar w:fldCharType="begin"/>
      </w:r>
      <w:r>
        <w:rPr>
          <w:color w:val="000000" w:themeColor="text1"/>
        </w:rPr>
        <w:instrText xml:space="preserve"> STYLEREF 1 \s </w:instrText>
      </w:r>
      <w:r>
        <w:rPr>
          <w:color w:val="000000" w:themeColor="text1"/>
        </w:rPr>
        <w:fldChar w:fldCharType="separate"/>
      </w:r>
      <w:r w:rsidR="001B0B0E">
        <w:rPr>
          <w:noProof/>
          <w:color w:val="000000" w:themeColor="text1"/>
        </w:rPr>
        <w:t>2</w:t>
      </w:r>
      <w:r>
        <w:rPr>
          <w:color w:val="000000" w:themeColor="text1"/>
        </w:rPr>
        <w:fldChar w:fldCharType="end"/>
      </w:r>
      <w:r>
        <w:rPr>
          <w:color w:val="000000" w:themeColor="text1"/>
        </w:rPr>
        <w:t>.</w:t>
      </w:r>
      <w:r>
        <w:rPr>
          <w:color w:val="000000" w:themeColor="text1"/>
        </w:rPr>
        <w:fldChar w:fldCharType="begin"/>
      </w:r>
      <w:r>
        <w:rPr>
          <w:color w:val="000000" w:themeColor="text1"/>
        </w:rPr>
        <w:instrText xml:space="preserve"> SEQ Obrázek \* ARABIC \s 1 </w:instrText>
      </w:r>
      <w:r>
        <w:rPr>
          <w:color w:val="000000" w:themeColor="text1"/>
        </w:rPr>
        <w:fldChar w:fldCharType="separate"/>
      </w:r>
      <w:r w:rsidR="001B0B0E">
        <w:rPr>
          <w:noProof/>
          <w:color w:val="000000" w:themeColor="text1"/>
        </w:rPr>
        <w:t>6</w:t>
      </w:r>
      <w:r>
        <w:rPr>
          <w:color w:val="000000" w:themeColor="text1"/>
        </w:rPr>
        <w:fldChar w:fldCharType="end"/>
      </w:r>
      <w:r w:rsidRPr="0006144B">
        <w:rPr>
          <w:color w:val="000000" w:themeColor="text1"/>
        </w:rPr>
        <w:t xml:space="preserve">: </w:t>
      </w:r>
      <w:r>
        <w:rPr>
          <w:color w:val="000000" w:themeColor="text1"/>
        </w:rPr>
        <w:t>Zaměstnanost</w:t>
      </w:r>
      <w:bookmarkEnd w:id="19"/>
    </w:p>
    <w:p w:rsidR="000001CD" w:rsidRPr="0006144B" w:rsidRDefault="000001CD" w:rsidP="000001CD">
      <w:pPr>
        <w:pStyle w:val="Titulek-jednotkypodnadpisemgrafunebotabulky"/>
        <w:rPr>
          <w:color w:val="000000" w:themeColor="text1"/>
        </w:rPr>
      </w:pPr>
      <w:r>
        <w:t>(růst proti předchozímu roku v %)</w:t>
      </w:r>
    </w:p>
    <w:p w:rsidR="000001CD" w:rsidRPr="005F3E29" w:rsidRDefault="00A575A9" w:rsidP="000001CD">
      <w:pPr>
        <w:spacing w:after="0"/>
        <w:rPr>
          <w:i/>
          <w:iCs/>
          <w:color w:val="000000"/>
          <w:sz w:val="16"/>
          <w:szCs w:val="16"/>
        </w:rPr>
      </w:pPr>
      <w:r>
        <w:rPr>
          <w:i/>
          <w:iCs/>
          <w:noProof/>
          <w:color w:val="000000"/>
          <w:sz w:val="16"/>
          <w:szCs w:val="16"/>
        </w:rPr>
        <w:drawing>
          <wp:inline distT="0" distB="0" distL="0" distR="0" wp14:anchorId="46E0CD53" wp14:editId="4F33F87B">
            <wp:extent cx="2969260" cy="1743710"/>
            <wp:effectExtent l="0" t="0" r="254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69260" cy="1743710"/>
                    </a:xfrm>
                    <a:prstGeom prst="rect">
                      <a:avLst/>
                    </a:prstGeom>
                    <a:noFill/>
                  </pic:spPr>
                </pic:pic>
              </a:graphicData>
            </a:graphic>
          </wp:inline>
        </w:drawing>
      </w:r>
    </w:p>
    <w:p w:rsidR="000001CD" w:rsidRDefault="000001CD" w:rsidP="000001CD">
      <w:r w:rsidRPr="005F3E29">
        <w:rPr>
          <w:i/>
          <w:sz w:val="16"/>
          <w:szCs w:val="16"/>
        </w:rPr>
        <w:t>Zdroj:</w:t>
      </w:r>
      <w:r w:rsidRPr="005F3E29">
        <w:rPr>
          <w:i/>
          <w:iCs/>
          <w:color w:val="000000"/>
          <w:sz w:val="16"/>
          <w:szCs w:val="16"/>
        </w:rPr>
        <w:t xml:space="preserve"> ČSÚ. Výpočty </w:t>
      </w:r>
      <w:r w:rsidRPr="0006144B">
        <w:rPr>
          <w:i/>
          <w:iCs/>
          <w:color w:val="000000"/>
          <w:sz w:val="16"/>
          <w:szCs w:val="16"/>
        </w:rPr>
        <w:t>a predikce MF ČR.</w:t>
      </w:r>
    </w:p>
    <w:p w:rsidR="0006144B" w:rsidRDefault="004505D7" w:rsidP="00695CCE">
      <w:r>
        <w:t xml:space="preserve">Postupně doznívající efekty ekonomického propadu a setrvačnost na trhu práce by se v letošním roce měly </w:t>
      </w:r>
      <w:r w:rsidR="00F10178" w:rsidRPr="009477D4">
        <w:rPr>
          <w:spacing w:val="-2"/>
        </w:rPr>
        <w:t>promítnout</w:t>
      </w:r>
      <w:r w:rsidRPr="009477D4">
        <w:rPr>
          <w:spacing w:val="-2"/>
        </w:rPr>
        <w:t xml:space="preserve"> v meziročním poklesu </w:t>
      </w:r>
      <w:r w:rsidRPr="009477D4">
        <w:rPr>
          <w:b/>
          <w:spacing w:val="-2"/>
        </w:rPr>
        <w:t>zaměstnanosti</w:t>
      </w:r>
      <w:r w:rsidRPr="009477D4">
        <w:rPr>
          <w:spacing w:val="-2"/>
        </w:rPr>
        <w:t>. V</w:t>
      </w:r>
      <w:r w:rsidR="009477D4">
        <w:t xml:space="preserve"> </w:t>
      </w:r>
      <w:r>
        <w:t>příštím roce by se n</w:t>
      </w:r>
      <w:r w:rsidR="006D1DF0">
        <w:t>aopak obnovená poptávka po práci</w:t>
      </w:r>
      <w:r>
        <w:t xml:space="preserve"> měla </w:t>
      </w:r>
      <w:r w:rsidRPr="009477D4">
        <w:t>projevit</w:t>
      </w:r>
      <w:r>
        <w:t xml:space="preserve"> vyšším počtem zaměstnaných, dynamika však bude limitována dlouhodobým nedostatkem disponibilních pracovníků v některých profesích. Nabídka práce by v horizontu makroekonomického rámce měla být podpořena zvyšováním statutárního věku odchodu do důchodu a v menší míře také významným podílem </w:t>
      </w:r>
      <w:r w:rsidRPr="00FF2001">
        <w:t>věkových skupin s přirozeně vysokou mírou ekonomické aktivity</w:t>
      </w:r>
      <w:r>
        <w:t xml:space="preserve">. V letošním roce by tak </w:t>
      </w:r>
      <w:r w:rsidRPr="00DB2219">
        <w:t>zaměstnanost</w:t>
      </w:r>
      <w:r w:rsidR="002A72A9">
        <w:t xml:space="preserve"> mohla klesnout o 1,0 % a v</w:t>
      </w:r>
      <w:r>
        <w:t> roce</w:t>
      </w:r>
      <w:r w:rsidR="002A72A9">
        <w:t xml:space="preserve"> 2022 mírně vzrůst o 0,4 %</w:t>
      </w:r>
      <w:r>
        <w:t>.</w:t>
      </w:r>
    </w:p>
    <w:p w:rsidR="000001CD" w:rsidRPr="0006144B" w:rsidRDefault="000001CD" w:rsidP="000001CD">
      <w:pPr>
        <w:pStyle w:val="Titulek"/>
        <w:spacing w:before="120"/>
        <w:rPr>
          <w:color w:val="000000" w:themeColor="text1"/>
        </w:rPr>
      </w:pPr>
      <w:bookmarkStart w:id="20" w:name="_Toc81233910"/>
      <w:r w:rsidRPr="0006144B">
        <w:rPr>
          <w:color w:val="000000" w:themeColor="text1"/>
        </w:rPr>
        <w:t xml:space="preserve">Obrázek </w:t>
      </w:r>
      <w:r>
        <w:rPr>
          <w:color w:val="000000" w:themeColor="text1"/>
        </w:rPr>
        <w:fldChar w:fldCharType="begin"/>
      </w:r>
      <w:r>
        <w:rPr>
          <w:color w:val="000000" w:themeColor="text1"/>
        </w:rPr>
        <w:instrText xml:space="preserve"> STYLEREF 1 \s </w:instrText>
      </w:r>
      <w:r>
        <w:rPr>
          <w:color w:val="000000" w:themeColor="text1"/>
        </w:rPr>
        <w:fldChar w:fldCharType="separate"/>
      </w:r>
      <w:r w:rsidR="001B0B0E">
        <w:rPr>
          <w:noProof/>
          <w:color w:val="000000" w:themeColor="text1"/>
        </w:rPr>
        <w:t>2</w:t>
      </w:r>
      <w:r>
        <w:rPr>
          <w:color w:val="000000" w:themeColor="text1"/>
        </w:rPr>
        <w:fldChar w:fldCharType="end"/>
      </w:r>
      <w:r>
        <w:rPr>
          <w:color w:val="000000" w:themeColor="text1"/>
        </w:rPr>
        <w:t>.</w:t>
      </w:r>
      <w:r>
        <w:rPr>
          <w:color w:val="000000" w:themeColor="text1"/>
        </w:rPr>
        <w:fldChar w:fldCharType="begin"/>
      </w:r>
      <w:r>
        <w:rPr>
          <w:color w:val="000000" w:themeColor="text1"/>
        </w:rPr>
        <w:instrText xml:space="preserve"> SEQ Obrázek \* ARABIC \s 1 </w:instrText>
      </w:r>
      <w:r>
        <w:rPr>
          <w:color w:val="000000" w:themeColor="text1"/>
        </w:rPr>
        <w:fldChar w:fldCharType="separate"/>
      </w:r>
      <w:r w:rsidR="001B0B0E">
        <w:rPr>
          <w:noProof/>
          <w:color w:val="000000" w:themeColor="text1"/>
        </w:rPr>
        <w:t>7</w:t>
      </w:r>
      <w:r>
        <w:rPr>
          <w:color w:val="000000" w:themeColor="text1"/>
        </w:rPr>
        <w:fldChar w:fldCharType="end"/>
      </w:r>
      <w:r w:rsidRPr="0006144B">
        <w:rPr>
          <w:color w:val="000000" w:themeColor="text1"/>
        </w:rPr>
        <w:t xml:space="preserve">: </w:t>
      </w:r>
      <w:r>
        <w:rPr>
          <w:color w:val="000000" w:themeColor="text1"/>
        </w:rPr>
        <w:t>Míra nezaměstnanosti</w:t>
      </w:r>
      <w:bookmarkEnd w:id="20"/>
    </w:p>
    <w:p w:rsidR="000001CD" w:rsidRPr="0006144B" w:rsidRDefault="000001CD" w:rsidP="000001CD">
      <w:pPr>
        <w:pStyle w:val="Titulek-jednotkypodnadpisemgrafunebotabulky"/>
        <w:rPr>
          <w:color w:val="000000" w:themeColor="text1"/>
        </w:rPr>
      </w:pPr>
      <w:r>
        <w:t>(v % pracovní síly)</w:t>
      </w:r>
    </w:p>
    <w:p w:rsidR="000001CD" w:rsidRPr="005F3E29" w:rsidRDefault="00A575A9" w:rsidP="000001CD">
      <w:pPr>
        <w:spacing w:after="0"/>
        <w:rPr>
          <w:i/>
          <w:iCs/>
          <w:color w:val="000000"/>
          <w:sz w:val="16"/>
          <w:szCs w:val="16"/>
        </w:rPr>
      </w:pPr>
      <w:r>
        <w:rPr>
          <w:i/>
          <w:iCs/>
          <w:noProof/>
          <w:color w:val="000000"/>
          <w:sz w:val="16"/>
          <w:szCs w:val="16"/>
        </w:rPr>
        <w:drawing>
          <wp:inline distT="0" distB="0" distL="0" distR="0" wp14:anchorId="24B3BEAC" wp14:editId="768266E0">
            <wp:extent cx="2969260" cy="1743710"/>
            <wp:effectExtent l="0" t="0" r="2540" b="0"/>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69260" cy="1743710"/>
                    </a:xfrm>
                    <a:prstGeom prst="rect">
                      <a:avLst/>
                    </a:prstGeom>
                    <a:noFill/>
                  </pic:spPr>
                </pic:pic>
              </a:graphicData>
            </a:graphic>
          </wp:inline>
        </w:drawing>
      </w:r>
    </w:p>
    <w:p w:rsidR="000001CD" w:rsidRDefault="000001CD" w:rsidP="000001CD">
      <w:pPr>
        <w:pStyle w:val="Zdrojpodtabulkounebografem"/>
        <w:spacing w:after="120"/>
      </w:pPr>
      <w:r w:rsidRPr="005F3E29">
        <w:t xml:space="preserve">Zdroj: ČSÚ. Výpočty </w:t>
      </w:r>
      <w:r w:rsidRPr="0006144B">
        <w:t>a predikce MF ČR.</w:t>
      </w:r>
    </w:p>
    <w:p w:rsidR="009477D4" w:rsidRDefault="009477D4" w:rsidP="009477D4">
      <w:r w:rsidRPr="00F15452">
        <w:rPr>
          <w:b/>
        </w:rPr>
        <w:t>Míra nezaměstnanosti</w:t>
      </w:r>
      <w:r>
        <w:t xml:space="preserve"> (v metodice Výběrového šetření pracovní sil) zůstává v mezinárodním i historickém kontextu i přes určité zvýšení vlivem epidemie velmi nízká. Prostor pro její nárůst nadále limituje vysoký počet volných pracovních míst a zaměstnaných cizinců. Očekáváme, že míra nezaměstnanosti za celý rok 2021 vzroste na 3,0 %. S ohledem na růst hospodářské aktivity by se </w:t>
      </w:r>
      <w:r>
        <w:lastRenderedPageBreak/>
        <w:t>v</w:t>
      </w:r>
      <w:r w:rsidR="002A72A9">
        <w:t> příštím roce</w:t>
      </w:r>
      <w:r>
        <w:t xml:space="preserve"> m</w:t>
      </w:r>
      <w:r w:rsidR="002A72A9">
        <w:t>ohla postupně snižovat až na průměrných 2,7</w:t>
      </w:r>
      <w:r>
        <w:t> %.</w:t>
      </w:r>
    </w:p>
    <w:p w:rsidR="00DA5708" w:rsidRPr="0006144B" w:rsidRDefault="00DA5708" w:rsidP="00DA5708">
      <w:pPr>
        <w:pStyle w:val="Titulek"/>
        <w:spacing w:before="120"/>
        <w:rPr>
          <w:color w:val="000000" w:themeColor="text1"/>
        </w:rPr>
      </w:pPr>
      <w:bookmarkStart w:id="21" w:name="_Toc81233911"/>
      <w:r w:rsidRPr="0006144B">
        <w:rPr>
          <w:color w:val="000000" w:themeColor="text1"/>
        </w:rPr>
        <w:t xml:space="preserve">Obrázek </w:t>
      </w:r>
      <w:r>
        <w:rPr>
          <w:color w:val="000000" w:themeColor="text1"/>
        </w:rPr>
        <w:fldChar w:fldCharType="begin"/>
      </w:r>
      <w:r>
        <w:rPr>
          <w:color w:val="000000" w:themeColor="text1"/>
        </w:rPr>
        <w:instrText xml:space="preserve"> STYLEREF 1 \s </w:instrText>
      </w:r>
      <w:r>
        <w:rPr>
          <w:color w:val="000000" w:themeColor="text1"/>
        </w:rPr>
        <w:fldChar w:fldCharType="separate"/>
      </w:r>
      <w:r w:rsidR="001B0B0E">
        <w:rPr>
          <w:noProof/>
          <w:color w:val="000000" w:themeColor="text1"/>
        </w:rPr>
        <w:t>2</w:t>
      </w:r>
      <w:r>
        <w:rPr>
          <w:color w:val="000000" w:themeColor="text1"/>
        </w:rPr>
        <w:fldChar w:fldCharType="end"/>
      </w:r>
      <w:r>
        <w:rPr>
          <w:color w:val="000000" w:themeColor="text1"/>
        </w:rPr>
        <w:t>.</w:t>
      </w:r>
      <w:r>
        <w:rPr>
          <w:color w:val="000000" w:themeColor="text1"/>
        </w:rPr>
        <w:fldChar w:fldCharType="begin"/>
      </w:r>
      <w:r>
        <w:rPr>
          <w:color w:val="000000" w:themeColor="text1"/>
        </w:rPr>
        <w:instrText xml:space="preserve"> SEQ Obrázek \* ARABIC \s 1 </w:instrText>
      </w:r>
      <w:r>
        <w:rPr>
          <w:color w:val="000000" w:themeColor="text1"/>
        </w:rPr>
        <w:fldChar w:fldCharType="separate"/>
      </w:r>
      <w:r w:rsidR="001B0B0E">
        <w:rPr>
          <w:noProof/>
          <w:color w:val="000000" w:themeColor="text1"/>
        </w:rPr>
        <w:t>8</w:t>
      </w:r>
      <w:r>
        <w:rPr>
          <w:color w:val="000000" w:themeColor="text1"/>
        </w:rPr>
        <w:fldChar w:fldCharType="end"/>
      </w:r>
      <w:r w:rsidRPr="0006144B">
        <w:rPr>
          <w:color w:val="000000" w:themeColor="text1"/>
        </w:rPr>
        <w:t xml:space="preserve">: </w:t>
      </w:r>
      <w:r>
        <w:rPr>
          <w:color w:val="000000" w:themeColor="text1"/>
        </w:rPr>
        <w:t>Objem mezd a platů</w:t>
      </w:r>
      <w:bookmarkEnd w:id="21"/>
    </w:p>
    <w:p w:rsidR="00DA5708" w:rsidRPr="0006144B" w:rsidRDefault="00DA5708" w:rsidP="00DA5708">
      <w:pPr>
        <w:pStyle w:val="Titulek-jednotkypodnadpisemgrafunebotabulky"/>
        <w:rPr>
          <w:color w:val="000000" w:themeColor="text1"/>
        </w:rPr>
      </w:pPr>
      <w:r>
        <w:t>(domácí koncept, růst proti předchozímu roku v %)</w:t>
      </w:r>
    </w:p>
    <w:p w:rsidR="00DA5708" w:rsidRPr="00A575A9" w:rsidRDefault="00A575A9" w:rsidP="00A575A9">
      <w:pPr>
        <w:rPr>
          <w:noProof/>
        </w:rPr>
      </w:pPr>
      <w:r>
        <w:rPr>
          <w:noProof/>
        </w:rPr>
        <w:drawing>
          <wp:inline distT="0" distB="0" distL="0" distR="0" wp14:anchorId="3B5EC0F8" wp14:editId="79490E12">
            <wp:extent cx="2969260" cy="1743710"/>
            <wp:effectExtent l="0" t="0" r="2540" b="0"/>
            <wp:docPr id="32" name="Obráze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69260" cy="1743710"/>
                    </a:xfrm>
                    <a:prstGeom prst="rect">
                      <a:avLst/>
                    </a:prstGeom>
                    <a:noFill/>
                  </pic:spPr>
                </pic:pic>
              </a:graphicData>
            </a:graphic>
          </wp:inline>
        </w:drawing>
      </w:r>
      <w:r w:rsidR="00DA5708" w:rsidRPr="005F3E29">
        <w:rPr>
          <w:i/>
          <w:sz w:val="16"/>
          <w:szCs w:val="16"/>
        </w:rPr>
        <w:t>Zdroj:</w:t>
      </w:r>
      <w:r w:rsidR="00DA5708" w:rsidRPr="005F3E29">
        <w:rPr>
          <w:i/>
          <w:iCs/>
          <w:color w:val="000000"/>
          <w:sz w:val="16"/>
          <w:szCs w:val="16"/>
        </w:rPr>
        <w:t xml:space="preserve"> ČSÚ. Výpočty </w:t>
      </w:r>
      <w:r w:rsidR="00DA5708" w:rsidRPr="0006144B">
        <w:rPr>
          <w:i/>
          <w:iCs/>
          <w:color w:val="000000"/>
          <w:sz w:val="16"/>
          <w:szCs w:val="16"/>
        </w:rPr>
        <w:t>a predikce MF ČR.</w:t>
      </w:r>
    </w:p>
    <w:p w:rsidR="005F3E29" w:rsidRDefault="009477D4" w:rsidP="009477D4">
      <w:r>
        <w:t xml:space="preserve">Restriktivní opatření a zpožděné dopady hospodářského propadu se v 1. čtvrtletí 2021 projevily meziročním poklesem </w:t>
      </w:r>
      <w:r w:rsidRPr="00977395">
        <w:rPr>
          <w:b/>
        </w:rPr>
        <w:t>objemu mezd a platů</w:t>
      </w:r>
      <w:r>
        <w:t>. Náhrady zaměstnancům, které na rozdíl od objemu mezd a platů zahrnují kompenzace z programu Antivirus, se naopak zvýšily. Vývoj napříč odvětvími byl značně nerovnoměrný, kdy v činnostech s dominantní rolí sektoru vládních institucí výdělky silně rostly, mj. v důsledku vyplácení mimořádných odměn. Trend podstatně rychlejší dynamiky mezd a platů v netržních odvětvích je patrný již od roku 2016, v příštím roce by však citelné oživení poptávky po práci při nedostatku pracovní síly mělo přinést akceleraci mezd v soukromém sektoru. Objem mezd a platů by se letos mohl</w:t>
      </w:r>
      <w:r w:rsidR="002A72A9">
        <w:t xml:space="preserve"> zvýšit o 2,9 % a v příštím roce zrychlit na</w:t>
      </w:r>
      <w:r w:rsidR="004B695D">
        <w:t xml:space="preserve"> přibližně</w:t>
      </w:r>
      <w:r>
        <w:t xml:space="preserve"> 4 %.</w:t>
      </w:r>
    </w:p>
    <w:p w:rsidR="005F3E29" w:rsidRDefault="005F3E29" w:rsidP="000F1410">
      <w:pPr>
        <w:pStyle w:val="Nadpis3"/>
        <w:spacing w:before="0"/>
      </w:pPr>
      <w:r>
        <w:t>Vztahy k zahraničí</w:t>
      </w:r>
    </w:p>
    <w:p w:rsidR="00DA5708" w:rsidRDefault="00DA5708" w:rsidP="00DA5708">
      <w:r>
        <w:t xml:space="preserve">Nepříznivá ekonomická situace vedla v roce 2020 k dosažení rekordně vysokého přebytku </w:t>
      </w:r>
      <w:r>
        <w:rPr>
          <w:b/>
        </w:rPr>
        <w:t>b</w:t>
      </w:r>
      <w:r w:rsidRPr="009D56E0">
        <w:rPr>
          <w:b/>
        </w:rPr>
        <w:t>ěžn</w:t>
      </w:r>
      <w:r>
        <w:rPr>
          <w:b/>
        </w:rPr>
        <w:t>ého</w:t>
      </w:r>
      <w:r w:rsidRPr="009D56E0">
        <w:rPr>
          <w:b/>
        </w:rPr>
        <w:t xml:space="preserve"> účt</w:t>
      </w:r>
      <w:r>
        <w:rPr>
          <w:b/>
        </w:rPr>
        <w:t>u</w:t>
      </w:r>
      <w:r w:rsidRPr="00A37197">
        <w:t xml:space="preserve"> </w:t>
      </w:r>
      <w:r w:rsidRPr="009D56E0">
        <w:t>platební bilance</w:t>
      </w:r>
      <w:r>
        <w:t xml:space="preserve"> ve výši 3,6 % HDP. V ročním klouzavém úhrnu se pak přebytek v 1. čtvrtletí 2021 nepatrně snížil na 3,5 % HDP.</w:t>
      </w:r>
      <w:r w:rsidRPr="000B4CA9">
        <w:t xml:space="preserve"> </w:t>
      </w:r>
      <w:r>
        <w:t>Většina z faktorů, které přispívají ke zlepšení běžného účtu, má však jednorázový nebo dočasný charakter.</w:t>
      </w:r>
    </w:p>
    <w:p w:rsidR="00DA5708" w:rsidRDefault="00DA5708" w:rsidP="00DA5708">
      <w:r>
        <w:t xml:space="preserve">Dominantní kladnou položkou je dlouhodobě </w:t>
      </w:r>
      <w:r w:rsidRPr="00853CF3">
        <w:rPr>
          <w:b/>
        </w:rPr>
        <w:t xml:space="preserve">bilance </w:t>
      </w:r>
      <w:r w:rsidRPr="00631F5B">
        <w:rPr>
          <w:b/>
          <w:spacing w:val="-1"/>
        </w:rPr>
        <w:t>obchodu se zbožím</w:t>
      </w:r>
      <w:r w:rsidRPr="00631F5B">
        <w:rPr>
          <w:spacing w:val="-1"/>
        </w:rPr>
        <w:t>. Její</w:t>
      </w:r>
      <w:r w:rsidR="00631F5B" w:rsidRPr="00631F5B">
        <w:rPr>
          <w:spacing w:val="-1"/>
        </w:rPr>
        <w:t xml:space="preserve"> </w:t>
      </w:r>
      <w:r w:rsidRPr="00631F5B">
        <w:rPr>
          <w:spacing w:val="-1"/>
        </w:rPr>
        <w:t>přebytek v 1. čtvrtletí 2021</w:t>
      </w:r>
      <w:r>
        <w:t xml:space="preserve"> meziročně vzrostl na 5,5 % HDP</w:t>
      </w:r>
      <w:r w:rsidR="00631F5B">
        <w:t xml:space="preserve">, když se </w:t>
      </w:r>
      <w:r w:rsidRPr="008659C4">
        <w:t>zlepš</w:t>
      </w:r>
      <w:r w:rsidR="00631F5B">
        <w:t>ilo</w:t>
      </w:r>
      <w:r w:rsidRPr="008659C4">
        <w:t xml:space="preserve"> sald</w:t>
      </w:r>
      <w:r w:rsidR="00631F5B">
        <w:t>o</w:t>
      </w:r>
      <w:r w:rsidRPr="008659C4">
        <w:t xml:space="preserve"> ve skupině stroje a dopravní prostředky, která tvoří více než polovinu celkového vývozu zboží. </w:t>
      </w:r>
      <w:r>
        <w:t>Vlivem oživení investiční aktivity, spotřeby domácností a</w:t>
      </w:r>
      <w:r w:rsidR="00631F5B">
        <w:t> </w:t>
      </w:r>
      <w:r>
        <w:t>vyšší</w:t>
      </w:r>
      <w:r w:rsidR="00631F5B">
        <w:t>ch</w:t>
      </w:r>
      <w:r>
        <w:t xml:space="preserve"> cen ropy by mělo </w:t>
      </w:r>
      <w:r>
        <w:t>docházet k</w:t>
      </w:r>
      <w:r w:rsidR="00631F5B">
        <w:t> </w:t>
      </w:r>
      <w:r>
        <w:t>poklesu přebytku obchodní bilance</w:t>
      </w:r>
      <w:r w:rsidR="004B695D">
        <w:t xml:space="preserve"> na 4,0</w:t>
      </w:r>
      <w:r w:rsidR="00631F5B">
        <w:t> </w:t>
      </w:r>
      <w:r w:rsidR="004B695D">
        <w:t>% HDP v roce 2022</w:t>
      </w:r>
      <w:r>
        <w:t>.</w:t>
      </w:r>
    </w:p>
    <w:p w:rsidR="00DA5708" w:rsidRDefault="00DA5708" w:rsidP="00DA5708">
      <w:r>
        <w:t xml:space="preserve">Přebytek </w:t>
      </w:r>
      <w:r w:rsidRPr="007E159F">
        <w:rPr>
          <w:b/>
        </w:rPr>
        <w:t>bilance služeb</w:t>
      </w:r>
      <w:r>
        <w:t xml:space="preserve"> se </w:t>
      </w:r>
      <w:r w:rsidR="009A656C">
        <w:t xml:space="preserve">v 1. čtvrtletí 2021 v důsledku </w:t>
      </w:r>
      <w:r w:rsidR="009A656C" w:rsidRPr="008659C4">
        <w:t>pokles</w:t>
      </w:r>
      <w:r w:rsidR="009A656C">
        <w:t>u</w:t>
      </w:r>
      <w:r w:rsidR="009A656C" w:rsidRPr="008659C4">
        <w:t xml:space="preserve"> příjmů z cestovního ruchu a růst</w:t>
      </w:r>
      <w:r w:rsidR="009A656C">
        <w:t>u</w:t>
      </w:r>
      <w:r w:rsidR="009A656C" w:rsidRPr="008659C4">
        <w:t xml:space="preserve"> nákladů v</w:t>
      </w:r>
      <w:r w:rsidR="009A656C">
        <w:t> </w:t>
      </w:r>
      <w:r w:rsidR="009A656C" w:rsidRPr="008659C4">
        <w:t>sektoru dopravy</w:t>
      </w:r>
      <w:r w:rsidR="009A656C">
        <w:t xml:space="preserve"> </w:t>
      </w:r>
      <w:r>
        <w:t>nepatrně snížil na 1,</w:t>
      </w:r>
      <w:r w:rsidR="00E73FCC">
        <w:t>7</w:t>
      </w:r>
      <w:r>
        <w:t> % HDP</w:t>
      </w:r>
      <w:r w:rsidRPr="005F14EF">
        <w:t>.</w:t>
      </w:r>
      <w:r>
        <w:t xml:space="preserve"> </w:t>
      </w:r>
      <w:r w:rsidRPr="008659C4">
        <w:t>Negativní dopady pandemie tlumil růst příjmů ve službách souvisejících se stavebními pracemi.</w:t>
      </w:r>
      <w:r w:rsidR="004B695D">
        <w:t xml:space="preserve"> V následujícím</w:t>
      </w:r>
      <w:r>
        <w:t xml:space="preserve"> </w:t>
      </w:r>
      <w:r w:rsidR="004B695D">
        <w:t>roce</w:t>
      </w:r>
      <w:r>
        <w:t xml:space="preserve"> by </w:t>
      </w:r>
      <w:r w:rsidR="00E73FCC">
        <w:t xml:space="preserve">měl </w:t>
      </w:r>
      <w:r>
        <w:t>přebytek bilance služ</w:t>
      </w:r>
      <w:r w:rsidR="004B695D">
        <w:t>eb dosahovat víceméně stabilní</w:t>
      </w:r>
      <w:r>
        <w:t xml:space="preserve"> hodnot</w:t>
      </w:r>
      <w:r w:rsidR="004B695D">
        <w:t>y</w:t>
      </w:r>
      <w:r>
        <w:t>.</w:t>
      </w:r>
    </w:p>
    <w:p w:rsidR="00DA5708" w:rsidRDefault="00DA5708" w:rsidP="00DA5708">
      <w:r>
        <w:t>K podstatnému meziročnímu zlepšení došlo u dlouhodobě záporné b</w:t>
      </w:r>
      <w:r w:rsidRPr="009D56E0">
        <w:t xml:space="preserve">ilance </w:t>
      </w:r>
      <w:r w:rsidRPr="00271613">
        <w:rPr>
          <w:b/>
        </w:rPr>
        <w:t>prvotních důchodů</w:t>
      </w:r>
      <w:r>
        <w:rPr>
          <w:b/>
        </w:rPr>
        <w:t>.</w:t>
      </w:r>
      <w:r>
        <w:t xml:space="preserve"> Deficit se </w:t>
      </w:r>
      <w:r w:rsidR="009A656C">
        <w:t xml:space="preserve">na začátku letošního roku </w:t>
      </w:r>
      <w:r>
        <w:t>snížil o 1,6 p. b. na −3,0 % HDP.</w:t>
      </w:r>
      <w:r w:rsidRPr="009D56E0">
        <w:t xml:space="preserve"> </w:t>
      </w:r>
      <w:r>
        <w:t>Výrazně poklesl</w:t>
      </w:r>
      <w:r w:rsidRPr="000214A7">
        <w:t xml:space="preserve"> odliv investičních výnosů z přímých investic v ČR (v podobě </w:t>
      </w:r>
      <w:r>
        <w:t xml:space="preserve">dividend či </w:t>
      </w:r>
      <w:r w:rsidRPr="000214A7">
        <w:t xml:space="preserve">reinvestovaného zisku) daný </w:t>
      </w:r>
      <w:r>
        <w:t>snížením</w:t>
      </w:r>
      <w:r w:rsidRPr="000214A7">
        <w:t xml:space="preserve"> ziskovosti firem v</w:t>
      </w:r>
      <w:r>
        <w:t> </w:t>
      </w:r>
      <w:r w:rsidRPr="000214A7">
        <w:t>zahraničním vlastnictví.</w:t>
      </w:r>
      <w:r w:rsidRPr="00A17F73">
        <w:t xml:space="preserve"> </w:t>
      </w:r>
      <w:r>
        <w:t>V </w:t>
      </w:r>
      <w:r w:rsidR="004B695D">
        <w:t>příštím</w:t>
      </w:r>
      <w:r>
        <w:t xml:space="preserve"> </w:t>
      </w:r>
      <w:r w:rsidR="004B695D">
        <w:t>roce</w:t>
      </w:r>
      <w:r>
        <w:t xml:space="preserve"> lze očekávat obnovení jejich ziskovosti</w:t>
      </w:r>
      <w:r w:rsidR="00631F5B">
        <w:t xml:space="preserve">, což by mělo vést k </w:t>
      </w:r>
      <w:r>
        <w:t>opětovnému nárůst</w:t>
      </w:r>
      <w:r w:rsidR="004B695D">
        <w:t>u deficitu prvotních důchodů na 4,4</w:t>
      </w:r>
      <w:r w:rsidR="00631F5B">
        <w:t> </w:t>
      </w:r>
      <w:r w:rsidR="004B695D">
        <w:t>% HDP v roce 2022</w:t>
      </w:r>
      <w:r>
        <w:t>.</w:t>
      </w:r>
    </w:p>
    <w:p w:rsidR="00084691" w:rsidRDefault="00DA5708" w:rsidP="00DA5708">
      <w:r>
        <w:t>B</w:t>
      </w:r>
      <w:r w:rsidRPr="009D56E0">
        <w:t xml:space="preserve">ilance </w:t>
      </w:r>
      <w:r w:rsidRPr="00271613">
        <w:rPr>
          <w:b/>
        </w:rPr>
        <w:t>druhotných důchodů</w:t>
      </w:r>
      <w:r w:rsidRPr="009D56E0">
        <w:t xml:space="preserve"> </w:t>
      </w:r>
      <w:r>
        <w:t xml:space="preserve">se </w:t>
      </w:r>
      <w:r w:rsidR="009A656C">
        <w:t xml:space="preserve">v 1. čtvrtletí 2021 </w:t>
      </w:r>
      <w:r>
        <w:t>nepatrně zhoršila na −0,6 % HDP, a to v převážné míře v</w:t>
      </w:r>
      <w:r w:rsidR="009A656C">
        <w:t xml:space="preserve"> </w:t>
      </w:r>
      <w:r>
        <w:t>oblasti čistých příjmů z rozpočtu EU vykazovanýc</w:t>
      </w:r>
      <w:r w:rsidR="009A656C">
        <w:t xml:space="preserve">h v rámci druhotných důchodů. V </w:t>
      </w:r>
      <w:r>
        <w:t xml:space="preserve">horizontu </w:t>
      </w:r>
      <w:r w:rsidR="009A656C">
        <w:t xml:space="preserve">makroekonomického </w:t>
      </w:r>
      <w:r>
        <w:t>rámce by se deficit druhotných důchodů měl pohybovat na obdobných hodnotách.</w:t>
      </w:r>
    </w:p>
    <w:p w:rsidR="005F3E29" w:rsidRPr="0006144B" w:rsidRDefault="005F3E29" w:rsidP="005F3E29">
      <w:pPr>
        <w:pStyle w:val="Titulek"/>
        <w:spacing w:before="120"/>
        <w:rPr>
          <w:color w:val="000000" w:themeColor="text1"/>
        </w:rPr>
      </w:pPr>
      <w:bookmarkStart w:id="22" w:name="_Toc81233912"/>
      <w:r w:rsidRPr="0006144B">
        <w:rPr>
          <w:color w:val="000000" w:themeColor="text1"/>
        </w:rPr>
        <w:t xml:space="preserve">Obrázek </w:t>
      </w:r>
      <w:r w:rsidR="00F52D6C">
        <w:rPr>
          <w:color w:val="000000" w:themeColor="text1"/>
        </w:rPr>
        <w:fldChar w:fldCharType="begin"/>
      </w:r>
      <w:r w:rsidR="00F52D6C">
        <w:rPr>
          <w:color w:val="000000" w:themeColor="text1"/>
        </w:rPr>
        <w:instrText xml:space="preserve"> STYLEREF 1 \s </w:instrText>
      </w:r>
      <w:r w:rsidR="00F52D6C">
        <w:rPr>
          <w:color w:val="000000" w:themeColor="text1"/>
        </w:rPr>
        <w:fldChar w:fldCharType="separate"/>
      </w:r>
      <w:r w:rsidR="001B0B0E">
        <w:rPr>
          <w:noProof/>
          <w:color w:val="000000" w:themeColor="text1"/>
        </w:rPr>
        <w:t>2</w:t>
      </w:r>
      <w:r w:rsidR="00F52D6C">
        <w:rPr>
          <w:color w:val="000000" w:themeColor="text1"/>
        </w:rPr>
        <w:fldChar w:fldCharType="end"/>
      </w:r>
      <w:r w:rsidR="00F52D6C">
        <w:rPr>
          <w:color w:val="000000" w:themeColor="text1"/>
        </w:rPr>
        <w:t>.</w:t>
      </w:r>
      <w:r w:rsidR="00F52D6C">
        <w:rPr>
          <w:color w:val="000000" w:themeColor="text1"/>
        </w:rPr>
        <w:fldChar w:fldCharType="begin"/>
      </w:r>
      <w:r w:rsidR="00F52D6C">
        <w:rPr>
          <w:color w:val="000000" w:themeColor="text1"/>
        </w:rPr>
        <w:instrText xml:space="preserve"> SEQ Obrázek \* ARABIC \s 1 </w:instrText>
      </w:r>
      <w:r w:rsidR="00F52D6C">
        <w:rPr>
          <w:color w:val="000000" w:themeColor="text1"/>
        </w:rPr>
        <w:fldChar w:fldCharType="separate"/>
      </w:r>
      <w:r w:rsidR="001B0B0E">
        <w:rPr>
          <w:noProof/>
          <w:color w:val="000000" w:themeColor="text1"/>
        </w:rPr>
        <w:t>9</w:t>
      </w:r>
      <w:r w:rsidR="00F52D6C">
        <w:rPr>
          <w:color w:val="000000" w:themeColor="text1"/>
        </w:rPr>
        <w:fldChar w:fldCharType="end"/>
      </w:r>
      <w:r w:rsidRPr="0006144B">
        <w:rPr>
          <w:color w:val="000000" w:themeColor="text1"/>
        </w:rPr>
        <w:t xml:space="preserve">: </w:t>
      </w:r>
      <w:r>
        <w:rPr>
          <w:color w:val="000000" w:themeColor="text1"/>
        </w:rPr>
        <w:t>Saldo běžného účtu platební bilance</w:t>
      </w:r>
      <w:bookmarkEnd w:id="22"/>
    </w:p>
    <w:p w:rsidR="005F3E29" w:rsidRPr="0006144B" w:rsidRDefault="005F3E29" w:rsidP="005F3E29">
      <w:pPr>
        <w:pStyle w:val="Titulek-jednotkypodnadpisemgrafunebotabulky"/>
        <w:rPr>
          <w:color w:val="000000" w:themeColor="text1"/>
        </w:rPr>
      </w:pPr>
      <w:r>
        <w:t>(v % HDP)</w:t>
      </w:r>
    </w:p>
    <w:p w:rsidR="005F3E29" w:rsidRPr="00A575A9" w:rsidRDefault="00A575A9" w:rsidP="00A575A9">
      <w:pPr>
        <w:rPr>
          <w:noProof/>
        </w:rPr>
      </w:pPr>
      <w:r>
        <w:rPr>
          <w:noProof/>
        </w:rPr>
        <w:drawing>
          <wp:inline distT="0" distB="0" distL="0" distR="0" wp14:anchorId="652ED234" wp14:editId="7D9CAD73">
            <wp:extent cx="2969260" cy="1743710"/>
            <wp:effectExtent l="0" t="0" r="2540" b="0"/>
            <wp:docPr id="33" name="Obráze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969260" cy="1743710"/>
                    </a:xfrm>
                    <a:prstGeom prst="rect">
                      <a:avLst/>
                    </a:prstGeom>
                    <a:noFill/>
                  </pic:spPr>
                </pic:pic>
              </a:graphicData>
            </a:graphic>
          </wp:inline>
        </w:drawing>
      </w:r>
      <w:r w:rsidR="005F3E29" w:rsidRPr="005F3E29">
        <w:rPr>
          <w:i/>
          <w:sz w:val="16"/>
          <w:szCs w:val="16"/>
        </w:rPr>
        <w:t>Zdroj:</w:t>
      </w:r>
      <w:r w:rsidR="005F3E29" w:rsidRPr="005F3E29">
        <w:rPr>
          <w:i/>
          <w:iCs/>
          <w:color w:val="000000"/>
          <w:sz w:val="16"/>
          <w:szCs w:val="16"/>
        </w:rPr>
        <w:t xml:space="preserve"> </w:t>
      </w:r>
      <w:r w:rsidR="00DC6329">
        <w:rPr>
          <w:i/>
          <w:iCs/>
          <w:color w:val="000000"/>
          <w:sz w:val="16"/>
          <w:szCs w:val="16"/>
        </w:rPr>
        <w:t xml:space="preserve">ČNB, </w:t>
      </w:r>
      <w:r w:rsidR="005F3E29" w:rsidRPr="005F3E29">
        <w:rPr>
          <w:i/>
          <w:iCs/>
          <w:color w:val="000000"/>
          <w:sz w:val="16"/>
          <w:szCs w:val="16"/>
        </w:rPr>
        <w:t xml:space="preserve">ČSÚ. Výpočty </w:t>
      </w:r>
      <w:r w:rsidR="005F3E29" w:rsidRPr="0006144B">
        <w:rPr>
          <w:i/>
          <w:iCs/>
          <w:color w:val="000000"/>
          <w:sz w:val="16"/>
          <w:szCs w:val="16"/>
        </w:rPr>
        <w:t>a predikce MF ČR.</w:t>
      </w:r>
    </w:p>
    <w:p w:rsidR="00332D4D" w:rsidRDefault="00DA5708" w:rsidP="001B2DA9">
      <w:bookmarkStart w:id="23" w:name="_Ref465151154"/>
      <w:r>
        <w:t xml:space="preserve">Ve výsledku by tak saldo běžného účtu platební bilance mohlo </w:t>
      </w:r>
      <w:r w:rsidR="00E73FCC">
        <w:t xml:space="preserve">v letošním roce </w:t>
      </w:r>
      <w:r w:rsidR="00035A47">
        <w:t xml:space="preserve">dosáhnout přebytku 1,1 % HDP, který </w:t>
      </w:r>
      <w:r w:rsidR="002F2DD4">
        <w:t>by se v</w:t>
      </w:r>
      <w:r w:rsidR="00E73FCC">
        <w:t> </w:t>
      </w:r>
      <w:r>
        <w:t xml:space="preserve">roce 2022 </w:t>
      </w:r>
      <w:r w:rsidR="00E73FCC">
        <w:t xml:space="preserve">mohl </w:t>
      </w:r>
      <w:r>
        <w:t>snížit na 0,6</w:t>
      </w:r>
      <w:r w:rsidR="00E73FCC">
        <w:t> % HDP</w:t>
      </w:r>
      <w:r w:rsidR="00035A47">
        <w:t>.</w:t>
      </w:r>
    </w:p>
    <w:p w:rsidR="00612BDB" w:rsidRDefault="00612BDB" w:rsidP="00332D4D">
      <w:pPr>
        <w:sectPr w:rsidR="00612BDB" w:rsidSect="007A1923">
          <w:headerReference w:type="default" r:id="rId26"/>
          <w:footerReference w:type="even" r:id="rId27"/>
          <w:type w:val="continuous"/>
          <w:pgSz w:w="11906" w:h="16838" w:code="9"/>
          <w:pgMar w:top="1134" w:right="1134" w:bottom="1418" w:left="1134" w:header="709" w:footer="709" w:gutter="0"/>
          <w:cols w:num="2" w:space="397"/>
          <w:docGrid w:linePitch="360"/>
        </w:sectPr>
      </w:pPr>
    </w:p>
    <w:p w:rsidR="00332D4D" w:rsidRDefault="00612BDB" w:rsidP="000001CD">
      <w:pPr>
        <w:pStyle w:val="Nadpis2"/>
        <w:pageBreakBefore/>
        <w:spacing w:before="0"/>
      </w:pPr>
      <w:bookmarkStart w:id="24" w:name="_Toc14695476"/>
      <w:bookmarkStart w:id="25" w:name="_Toc81233918"/>
      <w:bookmarkStart w:id="26" w:name="_Toc206730429"/>
      <w:bookmarkStart w:id="27" w:name="_Toc238787328"/>
      <w:bookmarkStart w:id="28" w:name="_Toc239042742"/>
      <w:bookmarkStart w:id="29" w:name="_Toc239056371"/>
      <w:bookmarkStart w:id="30" w:name="_Toc239056409"/>
      <w:bookmarkStart w:id="31" w:name="_Toc525714699"/>
      <w:bookmarkEnd w:id="23"/>
      <w:r>
        <w:lastRenderedPageBreak/>
        <w:t xml:space="preserve">Nezávislé ověření </w:t>
      </w:r>
      <w:r w:rsidRPr="005716D5">
        <w:t>makroekonomického</w:t>
      </w:r>
      <w:r>
        <w:t xml:space="preserve"> rámce</w:t>
      </w:r>
      <w:bookmarkEnd w:id="24"/>
      <w:bookmarkEnd w:id="25"/>
      <w:r w:rsidRPr="00C724DB">
        <w:t xml:space="preserve"> </w:t>
      </w:r>
      <w:bookmarkEnd w:id="26"/>
      <w:bookmarkEnd w:id="27"/>
      <w:bookmarkEnd w:id="28"/>
      <w:bookmarkEnd w:id="29"/>
      <w:bookmarkEnd w:id="30"/>
      <w:bookmarkEnd w:id="31"/>
    </w:p>
    <w:p w:rsidR="00332D4D" w:rsidRDefault="00332D4D" w:rsidP="00332D4D">
      <w:pPr>
        <w:sectPr w:rsidR="00332D4D" w:rsidSect="007A1923">
          <w:type w:val="continuous"/>
          <w:pgSz w:w="11906" w:h="16838" w:code="9"/>
          <w:pgMar w:top="1134" w:right="1134" w:bottom="1418" w:left="1134" w:header="709" w:footer="709" w:gutter="0"/>
          <w:cols w:space="709"/>
          <w:docGrid w:linePitch="360"/>
        </w:sectPr>
      </w:pPr>
    </w:p>
    <w:p w:rsidR="003E6E6A" w:rsidRDefault="003E6E6A" w:rsidP="003E6E6A">
      <w:pPr>
        <w:rPr>
          <w:b/>
        </w:rPr>
      </w:pPr>
      <w:r w:rsidRPr="000C3438">
        <w:t>Výbor pro rozpočtové prognózy</w:t>
      </w:r>
      <w:r>
        <w:t>,</w:t>
      </w:r>
      <w:r w:rsidRPr="000C3438">
        <w:t xml:space="preserve"> v</w:t>
      </w:r>
      <w:r>
        <w:t> </w:t>
      </w:r>
      <w:r w:rsidRPr="000C3438">
        <w:t>soul</w:t>
      </w:r>
      <w:r>
        <w:t xml:space="preserve">adu se zákonem č. 23/2017 Sb. o </w:t>
      </w:r>
      <w:r w:rsidRPr="000C3438">
        <w:t>pravidlech rozpočtové odpovědnosti</w:t>
      </w:r>
      <w:r>
        <w:t xml:space="preserve">, ve znění pozdějších předpisů, </w:t>
      </w:r>
      <w:r w:rsidRPr="000C3438">
        <w:t xml:space="preserve">posoudil </w:t>
      </w:r>
      <w:r>
        <w:t>dne 30</w:t>
      </w:r>
      <w:r w:rsidRPr="008F140B">
        <w:t>.</w:t>
      </w:r>
      <w:r>
        <w:t> srpna </w:t>
      </w:r>
      <w:r w:rsidRPr="008F140B">
        <w:t>20</w:t>
      </w:r>
      <w:r>
        <w:t>21</w:t>
      </w:r>
      <w:r w:rsidRPr="000C3438">
        <w:t xml:space="preserve"> Makroekonomickou predikci České republiky Ministerstva financí z</w:t>
      </w:r>
      <w:r>
        <w:t>e srpna 2021</w:t>
      </w:r>
      <w:r w:rsidRPr="000C3438">
        <w:t>, z níž vychází tento makroekonomický rámec, z hlediska pravděpodobnosti jejího naplnění a</w:t>
      </w:r>
      <w:r>
        <w:t xml:space="preserve"> </w:t>
      </w:r>
      <w:r w:rsidRPr="000C3438">
        <w:t>vhodnosti použití v rozpočtovém procesu.</w:t>
      </w:r>
      <w:r>
        <w:t xml:space="preserve"> </w:t>
      </w:r>
      <w:r w:rsidRPr="00257980">
        <w:t xml:space="preserve">Výbor </w:t>
      </w:r>
      <w:r>
        <w:t xml:space="preserve">prognózu </w:t>
      </w:r>
      <w:r w:rsidRPr="00257980">
        <w:t xml:space="preserve">vyhodnotil jako </w:t>
      </w:r>
      <w:r w:rsidRPr="00606423">
        <w:rPr>
          <w:b/>
        </w:rPr>
        <w:t>realistickou</w:t>
      </w:r>
      <w:r w:rsidRPr="00E10A40">
        <w:t>.</w:t>
      </w:r>
    </w:p>
    <w:p w:rsidR="003E6E6A" w:rsidRDefault="003E6E6A" w:rsidP="003E6E6A">
      <w:pPr>
        <w:pStyle w:val="Nadpis3"/>
        <w:tabs>
          <w:tab w:val="clear" w:pos="5257"/>
          <w:tab w:val="num" w:pos="1145"/>
        </w:tabs>
      </w:pPr>
      <w:r>
        <w:t>Monitoring prognóz</w:t>
      </w:r>
    </w:p>
    <w:p w:rsidR="003E6E6A" w:rsidRPr="00194ECD" w:rsidRDefault="003E6E6A" w:rsidP="003E6E6A">
      <w:r>
        <w:t>Ministerstvo financí</w:t>
      </w:r>
      <w:r w:rsidRPr="00194ECD">
        <w:t xml:space="preserve"> monitoruje makroekonomické pr</w:t>
      </w:r>
      <w:r>
        <w:t>ognózy</w:t>
      </w:r>
      <w:r w:rsidRPr="00194ECD">
        <w:t xml:space="preserve"> ostatních institucí zabývajících se předpovídáním budoucího </w:t>
      </w:r>
      <w:r>
        <w:t>vývoje české ekonomiky. Z </w:t>
      </w:r>
      <w:r w:rsidRPr="00194ECD">
        <w:t>veřejně přístupných datových zdrojů jsou průběžně sledovány prognózy 1</w:t>
      </w:r>
      <w:r>
        <w:t>4</w:t>
      </w:r>
      <w:r w:rsidRPr="00194ECD">
        <w:t xml:space="preserve"> institucí, z čehož </w:t>
      </w:r>
      <w:r>
        <w:t>9</w:t>
      </w:r>
      <w:r w:rsidRPr="00194ECD">
        <w:t xml:space="preserve"> institucí je tuzemských (Č</w:t>
      </w:r>
      <w:r>
        <w:t>eská národní banka</w:t>
      </w:r>
      <w:r w:rsidRPr="00194ECD">
        <w:t xml:space="preserve">, </w:t>
      </w:r>
      <w:r>
        <w:t>Ministerstvo práce a sociálních věcí</w:t>
      </w:r>
      <w:r w:rsidRPr="00194ECD">
        <w:t xml:space="preserve">, </w:t>
      </w:r>
      <w:r>
        <w:t>domácí banky a investiční společnosti</w:t>
      </w:r>
      <w:r w:rsidRPr="00194ECD">
        <w:t xml:space="preserve">), ostatní jsou zahraniční </w:t>
      </w:r>
      <w:r w:rsidRPr="00194ECD">
        <w:t xml:space="preserve">(Evropská komise, </w:t>
      </w:r>
      <w:r w:rsidRPr="00287AC6">
        <w:t>Organizace</w:t>
      </w:r>
      <w:r w:rsidRPr="00F12F85">
        <w:t xml:space="preserve"> pro hospodářskou</w:t>
      </w:r>
      <w:r w:rsidRPr="00287AC6">
        <w:t xml:space="preserve"> spolupráci a rozvoj</w:t>
      </w:r>
      <w:r w:rsidRPr="00194ECD">
        <w:t>, M</w:t>
      </w:r>
      <w:r>
        <w:t>ezinárodní měnový fond</w:t>
      </w:r>
      <w:r w:rsidRPr="00194ECD">
        <w:t> aj.).</w:t>
      </w:r>
    </w:p>
    <w:p w:rsidR="003E6E6A" w:rsidRDefault="003E6E6A" w:rsidP="003E6E6A">
      <w:r>
        <w:rPr>
          <w:kern w:val="20"/>
          <w:szCs w:val="24"/>
        </w:rPr>
        <w:t>U</w:t>
      </w:r>
      <w:r w:rsidRPr="00BE1422">
        <w:rPr>
          <w:kern w:val="20"/>
          <w:szCs w:val="24"/>
        </w:rPr>
        <w:t xml:space="preserve"> </w:t>
      </w:r>
      <w:r>
        <w:rPr>
          <w:kern w:val="20"/>
          <w:szCs w:val="24"/>
        </w:rPr>
        <w:t>hospodářského</w:t>
      </w:r>
      <w:r w:rsidRPr="00BE1422">
        <w:rPr>
          <w:kern w:val="20"/>
          <w:szCs w:val="24"/>
        </w:rPr>
        <w:t xml:space="preserve"> růstu </w:t>
      </w:r>
      <w:r>
        <w:rPr>
          <w:kern w:val="20"/>
          <w:szCs w:val="24"/>
        </w:rPr>
        <w:t xml:space="preserve">se scénář makroekonomického rámce </w:t>
      </w:r>
      <w:r w:rsidRPr="00BE1422">
        <w:rPr>
          <w:kern w:val="20"/>
          <w:szCs w:val="24"/>
        </w:rPr>
        <w:t>od průměru odhadů jednotlivých institucí liší jen málo. Predikce míry inflace pro rok 2022 je oproti prognózám sledovaných institucí podstatně vyšší, neboť již zahrnuje jak zrychlení cenového růstu v</w:t>
      </w:r>
      <w:r>
        <w:rPr>
          <w:kern w:val="20"/>
          <w:szCs w:val="24"/>
        </w:rPr>
        <w:t> </w:t>
      </w:r>
      <w:r w:rsidRPr="00BE1422">
        <w:rPr>
          <w:kern w:val="20"/>
          <w:szCs w:val="24"/>
        </w:rPr>
        <w:t>červenci</w:t>
      </w:r>
      <w:r>
        <w:rPr>
          <w:kern w:val="20"/>
          <w:szCs w:val="24"/>
        </w:rPr>
        <w:t xml:space="preserve"> 2021</w:t>
      </w:r>
      <w:r w:rsidRPr="00BE1422">
        <w:rPr>
          <w:kern w:val="20"/>
          <w:szCs w:val="24"/>
        </w:rPr>
        <w:t>, tak i nové informace o očekávaném vývoji regulovaných cen</w:t>
      </w:r>
      <w:r>
        <w:rPr>
          <w:kern w:val="20"/>
          <w:szCs w:val="24"/>
        </w:rPr>
        <w:t xml:space="preserve"> (viz kapitolu 2.2.2)</w:t>
      </w:r>
      <w:r w:rsidRPr="00BE1422">
        <w:rPr>
          <w:kern w:val="20"/>
          <w:szCs w:val="24"/>
        </w:rPr>
        <w:t>.</w:t>
      </w:r>
      <w:r w:rsidDel="00AB7865">
        <w:rPr>
          <w:kern w:val="20"/>
          <w:szCs w:val="24"/>
        </w:rPr>
        <w:t xml:space="preserve"> </w:t>
      </w:r>
      <w:r w:rsidRPr="00BE1422">
        <w:rPr>
          <w:kern w:val="20"/>
          <w:szCs w:val="24"/>
        </w:rPr>
        <w:t xml:space="preserve">U růstu průměrné mzdy v roce 2022 </w:t>
      </w:r>
      <w:r>
        <w:rPr>
          <w:kern w:val="20"/>
          <w:szCs w:val="24"/>
        </w:rPr>
        <w:t>makroekonomický rámec</w:t>
      </w:r>
      <w:r w:rsidRPr="00BE1422">
        <w:rPr>
          <w:kern w:val="20"/>
          <w:szCs w:val="24"/>
        </w:rPr>
        <w:t xml:space="preserve"> rovněž vybočuje z intervalu sledovaných prognóz. To pravděpodobně vyplývá ze zahrnutí informací o platech ve vládním sektoru (odměny zdravotníkům a záchranářům v roce 2021, zmrazení platů většiny zaměstnanců vládního sektoru v roce 2022). V případě přebytku běžného účtu platební bilance </w:t>
      </w:r>
      <w:r>
        <w:rPr>
          <w:kern w:val="20"/>
          <w:szCs w:val="24"/>
        </w:rPr>
        <w:t>se všeobecně</w:t>
      </w:r>
      <w:r w:rsidRPr="00BE1422">
        <w:rPr>
          <w:kern w:val="20"/>
          <w:szCs w:val="24"/>
        </w:rPr>
        <w:t xml:space="preserve"> očekává jeho postupné snižování.</w:t>
      </w:r>
    </w:p>
    <w:p w:rsidR="003E6E6A" w:rsidRDefault="003E6E6A" w:rsidP="003E6E6A">
      <w:pPr>
        <w:rPr>
          <w:rFonts w:ascii="Times New Roman" w:hAnsi="Times New Roman"/>
          <w:sz w:val="24"/>
        </w:rPr>
        <w:sectPr w:rsidR="003E6E6A" w:rsidSect="00586243">
          <w:type w:val="continuous"/>
          <w:pgSz w:w="11906" w:h="16838" w:code="9"/>
          <w:pgMar w:top="1134" w:right="1134" w:bottom="1418" w:left="1134" w:header="709" w:footer="709" w:gutter="0"/>
          <w:cols w:num="2" w:space="397"/>
          <w:docGrid w:linePitch="360"/>
        </w:sectPr>
      </w:pPr>
    </w:p>
    <w:p w:rsidR="003E6E6A" w:rsidRDefault="003E6E6A" w:rsidP="003E6E6A">
      <w:pPr>
        <w:pStyle w:val="Titulek"/>
        <w:rPr>
          <w:noProof/>
        </w:rPr>
      </w:pPr>
      <w:bookmarkStart w:id="32" w:name="_Toc51676896"/>
      <w:bookmarkStart w:id="33" w:name="_Toc81233901"/>
      <w:r w:rsidRPr="00B87A57">
        <w:t xml:space="preserve">Tabulka </w:t>
      </w:r>
      <w:r w:rsidR="00A90CBB">
        <w:fldChar w:fldCharType="begin"/>
      </w:r>
      <w:r w:rsidR="00A90CBB">
        <w:instrText xml:space="preserve"> STYLEREF 1 \s </w:instrText>
      </w:r>
      <w:r w:rsidR="00A90CBB">
        <w:fldChar w:fldCharType="separate"/>
      </w:r>
      <w:r w:rsidR="001B0B0E">
        <w:rPr>
          <w:noProof/>
        </w:rPr>
        <w:t>2</w:t>
      </w:r>
      <w:r w:rsidR="00A90CBB">
        <w:rPr>
          <w:noProof/>
        </w:rPr>
        <w:fldChar w:fldCharType="end"/>
      </w:r>
      <w:r w:rsidRPr="00B87A57">
        <w:t>.</w:t>
      </w:r>
      <w:r w:rsidR="00A90CBB">
        <w:fldChar w:fldCharType="begin"/>
      </w:r>
      <w:r w:rsidR="00A90CBB">
        <w:instrText xml:space="preserve"> SEQ Tabulka \* ARABIC \s 1 </w:instrText>
      </w:r>
      <w:r w:rsidR="00A90CBB">
        <w:fldChar w:fldCharType="separate"/>
      </w:r>
      <w:r w:rsidR="001B0B0E">
        <w:rPr>
          <w:noProof/>
        </w:rPr>
        <w:t>1</w:t>
      </w:r>
      <w:r w:rsidR="00A90CBB">
        <w:rPr>
          <w:noProof/>
        </w:rPr>
        <w:fldChar w:fldCharType="end"/>
      </w:r>
      <w:r w:rsidRPr="00B87A57">
        <w:t>:</w:t>
      </w:r>
      <w:r w:rsidRPr="00877BE7">
        <w:t xml:space="preserve"> </w:t>
      </w:r>
      <w:r w:rsidRPr="006B7212">
        <w:rPr>
          <w:noProof/>
        </w:rPr>
        <w:t>Ověření makroekonomického rámce nezávislými prognózami</w:t>
      </w:r>
      <w:bookmarkEnd w:id="32"/>
      <w:bookmarkEnd w:id="33"/>
    </w:p>
    <w:p w:rsidR="003E6E6A" w:rsidRDefault="003E6E6A" w:rsidP="003E6E6A">
      <w:pPr>
        <w:spacing w:after="0"/>
      </w:pPr>
      <w:r w:rsidRPr="001B2DA9">
        <w:rPr>
          <w:noProof/>
        </w:rPr>
        <w:drawing>
          <wp:inline distT="0" distB="0" distL="0" distR="0" wp14:anchorId="6CE84EF9" wp14:editId="272AA370">
            <wp:extent cx="6106795" cy="1431290"/>
            <wp:effectExtent l="0" t="0" r="825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06795" cy="1431290"/>
                    </a:xfrm>
                    <a:prstGeom prst="rect">
                      <a:avLst/>
                    </a:prstGeom>
                    <a:noFill/>
                    <a:ln>
                      <a:noFill/>
                    </a:ln>
                  </pic:spPr>
                </pic:pic>
              </a:graphicData>
            </a:graphic>
          </wp:inline>
        </w:drawing>
      </w:r>
    </w:p>
    <w:p w:rsidR="003E6E6A" w:rsidRDefault="003E6E6A" w:rsidP="003E6E6A">
      <w:pPr>
        <w:pStyle w:val="Zdrojpodtabulkounebografem"/>
      </w:pPr>
      <w:r w:rsidRPr="00B45D51">
        <w:t>Zdroj</w:t>
      </w:r>
      <w:r w:rsidRPr="006C10CA">
        <w:t xml:space="preserve">: </w:t>
      </w:r>
      <w:r>
        <w:t>P</w:t>
      </w:r>
      <w:r w:rsidRPr="00287AC6">
        <w:t xml:space="preserve">rognózy jednotlivých institucí </w:t>
      </w:r>
      <w:r w:rsidRPr="002E09CA">
        <w:t>k</w:t>
      </w:r>
      <w:r>
        <w:t> 13. srpnu 2021</w:t>
      </w:r>
      <w:r w:rsidRPr="004F24FA">
        <w:t>. Výpočty</w:t>
      </w:r>
      <w:r w:rsidRPr="00287AC6">
        <w:t xml:space="preserve"> a predikce MF ČR.</w:t>
      </w:r>
    </w:p>
    <w:p w:rsidR="003E6E6A" w:rsidRDefault="003E6E6A" w:rsidP="003E6E6A">
      <w:pPr>
        <w:pStyle w:val="Nadpis1"/>
        <w:sectPr w:rsidR="003E6E6A" w:rsidSect="006E7D36">
          <w:type w:val="continuous"/>
          <w:pgSz w:w="11906" w:h="16838" w:code="9"/>
          <w:pgMar w:top="1134" w:right="1134" w:bottom="1418" w:left="1134" w:header="709" w:footer="709" w:gutter="0"/>
          <w:cols w:space="708"/>
          <w:docGrid w:linePitch="360"/>
        </w:sectPr>
      </w:pPr>
    </w:p>
    <w:p w:rsidR="003E6E6A" w:rsidRDefault="003E6E6A" w:rsidP="003E6E6A">
      <w:pPr>
        <w:pStyle w:val="Nadpis3"/>
        <w:tabs>
          <w:tab w:val="num" w:pos="720"/>
        </w:tabs>
        <w:spacing w:before="0"/>
        <w:ind w:left="720" w:hanging="720"/>
      </w:pPr>
      <w:r>
        <w:t>Porovnání s prognózou Evropské komise</w:t>
      </w:r>
    </w:p>
    <w:p w:rsidR="003E6E6A" w:rsidRPr="00C94F01" w:rsidRDefault="003E6E6A" w:rsidP="003E6E6A">
      <w:r w:rsidRPr="00C94F01">
        <w:t>Makroekonomická predikce Ministerstva financí je v plném rozsahu ukazatelů se čtvrtletní periodicitou publikována vždy, zatímco Ekonomická prognóza Evropské komise jen dvakrát ročně, přičemž v mezidobí je aktualizována pou</w:t>
      </w:r>
      <w:r>
        <w:t>ze v hlavních parametrech HDP a </w:t>
      </w:r>
      <w:r w:rsidRPr="00C94F01">
        <w:t>inflaci. Navíc nevycházejí vždy ve stejnou dobu. Striktní srovnání tedy není možné, neboť obě predikce pracují s jinou aktuální datovou základnou.</w:t>
      </w:r>
    </w:p>
    <w:p w:rsidR="003E6E6A" w:rsidRPr="00DF52AA" w:rsidRDefault="003E6E6A" w:rsidP="003E6E6A">
      <w:pPr>
        <w:rPr>
          <w:highlight w:val="yellow"/>
        </w:rPr>
      </w:pPr>
      <w:r w:rsidRPr="00C94F01">
        <w:t xml:space="preserve">Období vzniku obou predikcí dělí několik měsíců, během nichž proběhla revize většiny agregátů </w:t>
      </w:r>
      <w:r w:rsidRPr="00E061E9">
        <w:t xml:space="preserve">v souvislosti se zveřejněním ročních národních účtů. </w:t>
      </w:r>
      <w:r>
        <w:t>Záporná d</w:t>
      </w:r>
      <w:r w:rsidRPr="00E061E9">
        <w:t xml:space="preserve">ynamika reálného HDP doznala v předchozím roce </w:t>
      </w:r>
      <w:r>
        <w:t>mírného prohloubení</w:t>
      </w:r>
      <w:r w:rsidRPr="00E061E9">
        <w:t xml:space="preserve"> </w:t>
      </w:r>
      <w:r>
        <w:t>o </w:t>
      </w:r>
      <w:r w:rsidRPr="00E061E9">
        <w:t>0,</w:t>
      </w:r>
      <w:r>
        <w:t>2 </w:t>
      </w:r>
      <w:r w:rsidRPr="00E061E9">
        <w:t>p.</w:t>
      </w:r>
      <w:r>
        <w:t> </w:t>
      </w:r>
      <w:r w:rsidRPr="00E061E9">
        <w:t xml:space="preserve">b. Změny proběhly také ve struktuře </w:t>
      </w:r>
      <w:r>
        <w:t>výdajových složek</w:t>
      </w:r>
      <w:r w:rsidRPr="00E061E9">
        <w:t xml:space="preserve">, zejména ve snížení </w:t>
      </w:r>
      <w:r>
        <w:t>výdajů na konečnou spotřebu domácností. To bylo do značné míry kompenzováno silnější investiční aktivitou. Příspěvek zahraničního obchodu ekonomickou aktivitu v roce 2020 tlumil výrazněji.</w:t>
      </w:r>
      <w:r w:rsidRPr="00E061E9">
        <w:t xml:space="preserve"> </w:t>
      </w:r>
      <w:r w:rsidR="00F15E3F" w:rsidRPr="00F15E3F">
        <w:t>Tabulka 2.2</w:t>
      </w:r>
      <w:r w:rsidRPr="00F15E3F">
        <w:t xml:space="preserve"> srovnává</w:t>
      </w:r>
      <w:r w:rsidRPr="00C94F01">
        <w:t xml:space="preserve"> předpovědi </w:t>
      </w:r>
      <w:r>
        <w:t>MF ČR</w:t>
      </w:r>
      <w:r w:rsidRPr="00C94F01">
        <w:t xml:space="preserve"> a poslední úplnou predik</w:t>
      </w:r>
      <w:r>
        <w:t>ci Evropské komise z května 2021</w:t>
      </w:r>
      <w:r w:rsidRPr="00C94F01">
        <w:t>.</w:t>
      </w:r>
    </w:p>
    <w:p w:rsidR="003E6E6A" w:rsidRPr="00DF52AA" w:rsidRDefault="003E6E6A" w:rsidP="003E6E6A">
      <w:pPr>
        <w:rPr>
          <w:highlight w:val="yellow"/>
        </w:rPr>
      </w:pPr>
      <w:r w:rsidRPr="00857980">
        <w:t xml:space="preserve">Predikce reálného HDP </w:t>
      </w:r>
      <w:r>
        <w:t>je v případě</w:t>
      </w:r>
      <w:r w:rsidRPr="00857980">
        <w:t xml:space="preserve"> Evropské komise v</w:t>
      </w:r>
      <w:r>
        <w:t> </w:t>
      </w:r>
      <w:r w:rsidRPr="00857980">
        <w:t xml:space="preserve">obou letech </w:t>
      </w:r>
      <w:r>
        <w:t xml:space="preserve">mírně optimističtější. </w:t>
      </w:r>
      <w:r w:rsidRPr="00361A7D">
        <w:t xml:space="preserve">Z hlediska struktury růstu dochází k významnějším odchylkám, </w:t>
      </w:r>
      <w:r>
        <w:t>zejména</w:t>
      </w:r>
      <w:r w:rsidRPr="00361A7D">
        <w:t xml:space="preserve"> na položce tvorby hrubého fixního kapitálu, kde MF ČR předpokládá </w:t>
      </w:r>
      <w:r>
        <w:t>v letošním roce silnější investiční aktivitu</w:t>
      </w:r>
      <w:r w:rsidRPr="00361A7D">
        <w:t xml:space="preserve"> </w:t>
      </w:r>
      <w:r>
        <w:t xml:space="preserve">danou především </w:t>
      </w:r>
      <w:r w:rsidRPr="00361A7D">
        <w:t xml:space="preserve">růstem investic sektoru vládních </w:t>
      </w:r>
      <w:r>
        <w:t>institucí</w:t>
      </w:r>
      <w:r w:rsidRPr="00361A7D">
        <w:t xml:space="preserve"> </w:t>
      </w:r>
      <w:r>
        <w:t>podpořených realizací projektů spolufinancovaných fondy EU. P</w:t>
      </w:r>
      <w:r w:rsidRPr="00361A7D">
        <w:t>ro rok 202</w:t>
      </w:r>
      <w:r>
        <w:t>2 pak MF ČR očekává zvolnění</w:t>
      </w:r>
      <w:r w:rsidRPr="00361A7D">
        <w:t xml:space="preserve"> </w:t>
      </w:r>
      <w:r>
        <w:t>tempa růstu</w:t>
      </w:r>
      <w:r w:rsidRPr="00361A7D">
        <w:t xml:space="preserve"> </w:t>
      </w:r>
      <w:r>
        <w:t>investic. Vyšší dynamika</w:t>
      </w:r>
      <w:r w:rsidRPr="00F23A90">
        <w:t xml:space="preserve"> dovozně náročné investiční poptávky společně s růstem skladových zásob v 1. pololetí 2021 se promítl</w:t>
      </w:r>
      <w:r>
        <w:t>y</w:t>
      </w:r>
      <w:r w:rsidRPr="00F23A90">
        <w:t xml:space="preserve"> do zhoršení příspěvku čistého vývozu k HDP v letošním roce. K větším</w:t>
      </w:r>
      <w:r>
        <w:t xml:space="preserve"> odchylkám dochází i v případě spotřeby domácností, v obou letech MF ČR očekává silnější růst výdajů domácností. V případě spotřeby vlády je situace opačná</w:t>
      </w:r>
      <w:r w:rsidRPr="004C61B6">
        <w:t>.</w:t>
      </w:r>
    </w:p>
    <w:p w:rsidR="003E6E6A" w:rsidRPr="0065796B" w:rsidRDefault="003E6E6A" w:rsidP="003E6E6A">
      <w:r>
        <w:t>Zásadní odlišnosti jsou také</w:t>
      </w:r>
      <w:r w:rsidRPr="0065796B">
        <w:t xml:space="preserve"> v případě </w:t>
      </w:r>
      <w:r>
        <w:t>dalších</w:t>
      </w:r>
      <w:r w:rsidRPr="0065796B">
        <w:t xml:space="preserve"> uvedených veličin. Evropská komise očekává </w:t>
      </w:r>
      <w:r>
        <w:t>v obou letech vyšší nezaměstnanost</w:t>
      </w:r>
      <w:r w:rsidRPr="0065796B">
        <w:t xml:space="preserve">, MF ČR naproti tomu </w:t>
      </w:r>
      <w:r>
        <w:t>odhaduje</w:t>
      </w:r>
      <w:r w:rsidRPr="0065796B">
        <w:t xml:space="preserve"> </w:t>
      </w:r>
      <w:r>
        <w:t>silnější</w:t>
      </w:r>
      <w:r w:rsidRPr="0065796B">
        <w:t xml:space="preserve"> dynamiku růstu cen</w:t>
      </w:r>
      <w:r>
        <w:t>ové hladiny</w:t>
      </w:r>
      <w:r w:rsidRPr="0065796B">
        <w:t xml:space="preserve"> v letošním roce</w:t>
      </w:r>
      <w:r>
        <w:t xml:space="preserve"> v důsledku přetrvávajících omezení na straně nabídky a výrazného růstu ceny ropy. Silné inflační tlaky MF ČR předpokládá také v roce 2022,</w:t>
      </w:r>
      <w:r w:rsidRPr="0065796B">
        <w:t xml:space="preserve"> </w:t>
      </w:r>
      <w:r>
        <w:t>zejména vlivem růstu cen energií</w:t>
      </w:r>
      <w:r w:rsidRPr="0065796B">
        <w:t>.</w:t>
      </w:r>
    </w:p>
    <w:p w:rsidR="003E6E6A" w:rsidRDefault="003E6E6A" w:rsidP="003E6E6A">
      <w:r w:rsidRPr="00F75B86">
        <w:t>V červenci 202</w:t>
      </w:r>
      <w:r>
        <w:t>1</w:t>
      </w:r>
      <w:r w:rsidRPr="00F75B86">
        <w:t xml:space="preserve"> byla publikována předběžná prognóza Evropské komise, která v</w:t>
      </w:r>
      <w:r>
        <w:t> letošním roce zlepšuje růst reálného HDP o 0,5 p. b</w:t>
      </w:r>
      <w:r w:rsidRPr="003765C7">
        <w:t xml:space="preserve">. na </w:t>
      </w:r>
      <w:r>
        <w:t>3</w:t>
      </w:r>
      <w:r w:rsidRPr="003765C7">
        <w:t>,</w:t>
      </w:r>
      <w:r>
        <w:t>9</w:t>
      </w:r>
      <w:r w:rsidRPr="003765C7">
        <w:t> %, pro rok 202</w:t>
      </w:r>
      <w:r>
        <w:t>2</w:t>
      </w:r>
      <w:r w:rsidRPr="003765C7">
        <w:t xml:space="preserve"> pak očekává </w:t>
      </w:r>
      <w:r>
        <w:t>zrychlení růstu českého hospodářství na</w:t>
      </w:r>
      <w:r w:rsidRPr="003765C7">
        <w:t xml:space="preserve"> 4,5 %. Míra inflace byla pro rok 202</w:t>
      </w:r>
      <w:r>
        <w:t>1</w:t>
      </w:r>
      <w:r w:rsidRPr="003765C7">
        <w:t xml:space="preserve"> zvýšena na 2,</w:t>
      </w:r>
      <w:r>
        <w:t>7</w:t>
      </w:r>
      <w:r w:rsidRPr="003765C7">
        <w:t> %, pro rok 202</w:t>
      </w:r>
      <w:r>
        <w:t>2</w:t>
      </w:r>
      <w:r w:rsidRPr="003765C7">
        <w:t xml:space="preserve"> na 2,</w:t>
      </w:r>
      <w:r>
        <w:t>3</w:t>
      </w:r>
      <w:r w:rsidRPr="003765C7">
        <w:t> %.</w:t>
      </w:r>
    </w:p>
    <w:p w:rsidR="003E6E6A" w:rsidRDefault="003E6E6A" w:rsidP="003E6E6A">
      <w:pPr>
        <w:sectPr w:rsidR="003E6E6A" w:rsidSect="00D13E36">
          <w:type w:val="continuous"/>
          <w:pgSz w:w="11906" w:h="16838" w:code="9"/>
          <w:pgMar w:top="1134" w:right="1134" w:bottom="1418" w:left="1134" w:header="709" w:footer="709" w:gutter="0"/>
          <w:cols w:num="2" w:space="708"/>
          <w:docGrid w:linePitch="360"/>
        </w:sectPr>
      </w:pPr>
    </w:p>
    <w:p w:rsidR="003E6E6A" w:rsidRPr="005876A1" w:rsidRDefault="00B27864" w:rsidP="003E6E6A">
      <w:pPr>
        <w:pStyle w:val="Titulek"/>
      </w:pPr>
      <w:bookmarkStart w:id="34" w:name="_Toc17733205"/>
      <w:bookmarkStart w:id="35" w:name="_Toc51676897"/>
      <w:bookmarkStart w:id="36" w:name="_Toc81233902"/>
      <w:r w:rsidRPr="00B87A57">
        <w:lastRenderedPageBreak/>
        <w:t xml:space="preserve">Tabulka </w:t>
      </w:r>
      <w:r w:rsidR="00A90CBB">
        <w:fldChar w:fldCharType="begin"/>
      </w:r>
      <w:r w:rsidR="00A90CBB">
        <w:instrText xml:space="preserve"> SEQ Tabulka \* ARABIC \s 1 </w:instrText>
      </w:r>
      <w:r w:rsidR="00A90CBB">
        <w:fldChar w:fldCharType="separate"/>
      </w:r>
      <w:r w:rsidR="001B0B0E">
        <w:rPr>
          <w:noProof/>
        </w:rPr>
        <w:t>1</w:t>
      </w:r>
      <w:r w:rsidR="00A90CBB">
        <w:rPr>
          <w:noProof/>
        </w:rPr>
        <w:fldChar w:fldCharType="end"/>
      </w:r>
      <w:r w:rsidRPr="00B87A57">
        <w:t>.</w:t>
      </w:r>
      <w:r>
        <w:t>2</w:t>
      </w:r>
      <w:r w:rsidRPr="00B87A57">
        <w:t>:</w:t>
      </w:r>
      <w:r w:rsidRPr="00877BE7">
        <w:t xml:space="preserve"> </w:t>
      </w:r>
      <w:r>
        <w:rPr>
          <w:noProof/>
        </w:rPr>
        <w:t xml:space="preserve">Porovnání prognóz </w:t>
      </w:r>
      <w:r w:rsidRPr="00A61669">
        <w:t>Ministerstva</w:t>
      </w:r>
      <w:r>
        <w:rPr>
          <w:noProof/>
        </w:rPr>
        <w:t xml:space="preserve"> financí a Evropské komise</w:t>
      </w:r>
      <w:r w:rsidR="003E6E6A">
        <w:rPr>
          <w:rStyle w:val="Znakapoznpodarou"/>
          <w:noProof/>
        </w:rPr>
        <w:footnoteReference w:id="1"/>
      </w:r>
      <w:bookmarkEnd w:id="34"/>
      <w:bookmarkEnd w:id="35"/>
      <w:bookmarkEnd w:id="36"/>
      <w:r w:rsidR="003E6E6A" w:rsidRPr="00220482">
        <w:t xml:space="preserve"> </w:t>
      </w:r>
    </w:p>
    <w:p w:rsidR="003E6E6A" w:rsidRPr="004C308D" w:rsidRDefault="00444BC0" w:rsidP="003E6E6A">
      <w:pPr>
        <w:keepNext/>
        <w:spacing w:after="0"/>
      </w:pPr>
      <w:r w:rsidRPr="00444BC0">
        <w:rPr>
          <w:noProof/>
        </w:rPr>
        <w:drawing>
          <wp:inline distT="0" distB="0" distL="0" distR="0" wp14:anchorId="1E9C79D0" wp14:editId="3F064077">
            <wp:extent cx="6120130" cy="2584900"/>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20130" cy="2584900"/>
                    </a:xfrm>
                    <a:prstGeom prst="rect">
                      <a:avLst/>
                    </a:prstGeom>
                    <a:noFill/>
                    <a:ln>
                      <a:noFill/>
                    </a:ln>
                  </pic:spPr>
                </pic:pic>
              </a:graphicData>
            </a:graphic>
          </wp:inline>
        </w:drawing>
      </w:r>
    </w:p>
    <w:p w:rsidR="003E6E6A" w:rsidRDefault="003E6E6A" w:rsidP="003E6E6A">
      <w:pPr>
        <w:pStyle w:val="Zdrojpodtabulkounebografem"/>
        <w:spacing w:after="0"/>
      </w:pPr>
      <w:r>
        <w:t xml:space="preserve">Pozn.: Saldo běžného účtu </w:t>
      </w:r>
      <w:r w:rsidRPr="002A0848">
        <w:t xml:space="preserve">vychází </w:t>
      </w:r>
      <w:r>
        <w:t xml:space="preserve">v případě MF ČR </w:t>
      </w:r>
      <w:r w:rsidRPr="002A0848">
        <w:t xml:space="preserve">z metodiky platební bilance, </w:t>
      </w:r>
      <w:r>
        <w:t>údaje</w:t>
      </w:r>
      <w:r w:rsidRPr="002A0848">
        <w:t xml:space="preserve"> EK z národně-účetní metodiky ESA 2010.</w:t>
      </w:r>
    </w:p>
    <w:p w:rsidR="003E6E6A" w:rsidRPr="004E070A" w:rsidRDefault="003E6E6A" w:rsidP="003E6E6A">
      <w:pPr>
        <w:rPr>
          <w:i/>
          <w:sz w:val="16"/>
          <w:szCs w:val="16"/>
        </w:rPr>
      </w:pPr>
      <w:r w:rsidRPr="004E070A">
        <w:rPr>
          <w:i/>
          <w:sz w:val="16"/>
          <w:szCs w:val="16"/>
        </w:rPr>
        <w:t xml:space="preserve">Zdroj: Predikce MF </w:t>
      </w:r>
      <w:r w:rsidRPr="00E16792">
        <w:rPr>
          <w:i/>
          <w:sz w:val="16"/>
          <w:szCs w:val="16"/>
        </w:rPr>
        <w:t>ČR (</w:t>
      </w:r>
      <w:r>
        <w:rPr>
          <w:i/>
          <w:sz w:val="16"/>
          <w:szCs w:val="16"/>
        </w:rPr>
        <w:t>srpen 2021</w:t>
      </w:r>
      <w:r w:rsidRPr="00E16792">
        <w:rPr>
          <w:i/>
          <w:sz w:val="16"/>
          <w:szCs w:val="16"/>
        </w:rPr>
        <w:t>), predikce</w:t>
      </w:r>
      <w:r>
        <w:rPr>
          <w:i/>
          <w:sz w:val="16"/>
          <w:szCs w:val="16"/>
        </w:rPr>
        <w:t xml:space="preserve"> EK (květen 2021</w:t>
      </w:r>
      <w:r w:rsidRPr="004E070A">
        <w:rPr>
          <w:i/>
          <w:sz w:val="16"/>
          <w:szCs w:val="16"/>
        </w:rPr>
        <w:t>).</w:t>
      </w:r>
    </w:p>
    <w:p w:rsidR="00A279F2" w:rsidRDefault="00A279F2" w:rsidP="005C6EB8">
      <w:pPr>
        <w:pStyle w:val="Nadpis1"/>
        <w:sectPr w:rsidR="00A279F2" w:rsidSect="006E7D36">
          <w:type w:val="continuous"/>
          <w:pgSz w:w="11906" w:h="16838" w:code="9"/>
          <w:pgMar w:top="1134" w:right="1134" w:bottom="1418" w:left="1134" w:header="709" w:footer="709" w:gutter="0"/>
          <w:cols w:space="708"/>
          <w:docGrid w:linePitch="360"/>
        </w:sectPr>
      </w:pPr>
    </w:p>
    <w:p w:rsidR="000001CD" w:rsidRDefault="000001CD" w:rsidP="000001CD">
      <w:pPr>
        <w:pStyle w:val="Nadpis1"/>
      </w:pPr>
      <w:bookmarkStart w:id="37" w:name="_Toc81233919"/>
      <w:r w:rsidRPr="005C6EB8">
        <w:lastRenderedPageBreak/>
        <w:t xml:space="preserve">Fiskální politika a </w:t>
      </w:r>
      <w:r>
        <w:t>veřejné finance</w:t>
      </w:r>
      <w:bookmarkEnd w:id="37"/>
    </w:p>
    <w:p w:rsidR="000001CD" w:rsidRDefault="000001CD" w:rsidP="000001CD">
      <w:pPr>
        <w:sectPr w:rsidR="000001CD" w:rsidSect="006E7D36">
          <w:type w:val="continuous"/>
          <w:pgSz w:w="11906" w:h="16838" w:code="9"/>
          <w:pgMar w:top="1134" w:right="1134" w:bottom="1418" w:left="1134" w:header="709" w:footer="709" w:gutter="0"/>
          <w:cols w:space="708"/>
          <w:docGrid w:linePitch="360"/>
        </w:sectPr>
      </w:pPr>
    </w:p>
    <w:p w:rsidR="00D94B2A" w:rsidRPr="00CC1355" w:rsidRDefault="00D93BA6" w:rsidP="00D94B2A">
      <w:r w:rsidRPr="00D93BA6">
        <w:t>V roce 2020 skončilo hospodaření sektoru vládních institucí deficitem ve výši 6,1 % HDP, přičemž strukturální saldo dosáhlo hodnoty −2,9 % HDP a zadlužení vzrostlo na 37,8 % HDP. Fiskální pozice byla v roce 2020 výrazně determinována situací související s novým typem koronaviru a opatřeními zavedenými proti jeho šíření. Hospodaření veřejných financí bylo dotčeno nejenom výpadkem příjmů v důsledku působení automatických stabilizátorů, ale i fiskálními stimulačními opatřeními. Epidemická situace se znovu zhoršila na podzim roku 2020, což si vyžádalo pokračování stávajících nebo vytvoření nových podpůrných opatření i v téměř celé první polovině roku 2021. Fiskální úsilí v roce 2020 ve výši necelých 3 p. b. bylo odrazem těchto nepříznivých okolností a reakce vlády. Spolu s očekávaným dalším prohloubením strukturálního schodku o více než 3 p. b. v letošním roce tak fiskální politika v letech 2020 a 2021 výrazně stimuluje domácí ekonomiku. Stejným pohledem je od roku 2022, v souladu se zákonnou intenzitou konsolidace, fiskální politika restriktivní.</w:t>
      </w:r>
    </w:p>
    <w:p w:rsidR="00D94B2A" w:rsidRPr="00CC1355" w:rsidRDefault="00D94B2A" w:rsidP="00D94B2A">
      <w:pPr>
        <w:sectPr w:rsidR="00D94B2A" w:rsidRPr="00CC1355" w:rsidSect="006E7D36">
          <w:headerReference w:type="default" r:id="rId30"/>
          <w:footerReference w:type="even" r:id="rId31"/>
          <w:type w:val="continuous"/>
          <w:pgSz w:w="11906" w:h="16838" w:code="9"/>
          <w:pgMar w:top="1134" w:right="1134" w:bottom="1418" w:left="1134" w:header="709" w:footer="709" w:gutter="0"/>
          <w:cols w:space="708"/>
          <w:docGrid w:linePitch="360"/>
        </w:sectPr>
      </w:pPr>
    </w:p>
    <w:p w:rsidR="00D94B2A" w:rsidRPr="00300420" w:rsidRDefault="00D93BA6" w:rsidP="00D94B2A">
      <w:r w:rsidRPr="00D93BA6">
        <w:t xml:space="preserve">Důležitým indikátorem pozice ekonomiky v rámci hospodářského cyklu je </w:t>
      </w:r>
      <w:r w:rsidRPr="00D93BA6">
        <w:rPr>
          <w:b/>
        </w:rPr>
        <w:t>produkční mezera</w:t>
      </w:r>
      <w:r w:rsidRPr="00D93BA6">
        <w:t>, která vyjadřuje rozdíl mezi skutečnou úrovní ekonomického výkonu a úrovní optimálně využívající disponibilní zdroje (rovnovážnou). Ta současně slouží i k určení charakteru fiskální politiky. Dle výpočtů MF ČR dosáhla produkční mezera svého vrcholu v roce 2019 (3,7 % potenciálního produktu). V roce 2020 naopak ekonomický výkon poklesl pod svůj potenciál ve výši −3,1 %. Hospodářská recese však neměla vliv pouze na reálný výstup ekonomiky, ale i na jeho potenciální úroveň. V roce 2021 proto odhadujeme, v souladu s metodikou odsouhlasenou Národní rozpočtovou radou, postupné uzavírání záporné produkční mezery a od roku 2022 kladné hodnoty pod 2 %.</w:t>
      </w:r>
    </w:p>
    <w:p w:rsidR="00D94B2A" w:rsidRDefault="00D94B2A" w:rsidP="00D94B2A">
      <w:r w:rsidRPr="009E5A2E">
        <w:t>Z hlediska nastavení fiskální politiky očekáváme pokle</w:t>
      </w:r>
      <w:r w:rsidR="008C661A">
        <w:t>s strukturálního deficitu</w:t>
      </w:r>
      <w:r w:rsidRPr="009E5A2E">
        <w:t xml:space="preserve"> z hodnoty </w:t>
      </w:r>
      <w:r>
        <w:t>6,1</w:t>
      </w:r>
      <w:r w:rsidRPr="009E5A2E">
        <w:t xml:space="preserve"> % HDP v</w:t>
      </w:r>
      <w:r>
        <w:t> </w:t>
      </w:r>
      <w:r w:rsidRPr="009E5A2E">
        <w:t xml:space="preserve">roce 2021 na </w:t>
      </w:r>
      <w:r w:rsidR="008C661A">
        <w:t>5,6</w:t>
      </w:r>
      <w:r w:rsidRPr="009E5A2E">
        <w:t xml:space="preserve"> % HDP v roce 202</w:t>
      </w:r>
      <w:r w:rsidR="008C661A">
        <w:t>2</w:t>
      </w:r>
      <w:r w:rsidRPr="009E5A2E">
        <w:t xml:space="preserve">. </w:t>
      </w:r>
      <w:r w:rsidR="00D93BA6">
        <w:t>Diference</w:t>
      </w:r>
      <w:r w:rsidRPr="009E5A2E">
        <w:t xml:space="preserve"> je v</w:t>
      </w:r>
      <w:r>
        <w:t> </w:t>
      </w:r>
      <w:r w:rsidR="008C661A">
        <w:t>souladu s </w:t>
      </w:r>
      <w:r w:rsidRPr="009E5A2E">
        <w:t>aktuálně platnou legislativou k odvození střednědobých výdajových rámců.</w:t>
      </w:r>
    </w:p>
    <w:p w:rsidR="00D93BA6" w:rsidRDefault="00D93BA6" w:rsidP="00D93BA6">
      <w:r>
        <w:t>Obecně je tak přístup k fiskální politice umožněn novelami zákona č. 23/2017 Sb., o pravidlech rozpočtové odpovědnosti, ve znění pozdějších předpisů. Ty dovolily mnohem větší fiskální expanzi, než by jinak bylo možné. To se shodovalo s postupem, který byl zvolen i v rámci celé EU, kde</w:t>
      </w:r>
      <w:r w:rsidRPr="00300420">
        <w:t xml:space="preserve"> byla poprvé v historii aktivována pro rok 2020</w:t>
      </w:r>
      <w:r>
        <w:t xml:space="preserve"> </w:t>
      </w:r>
      <w:r w:rsidRPr="007C243F">
        <w:rPr>
          <w:b/>
        </w:rPr>
        <w:t>všeobecná úniková doložka</w:t>
      </w:r>
      <w:r w:rsidRPr="007C243F">
        <w:t>,</w:t>
      </w:r>
      <w:r w:rsidRPr="00300420">
        <w:t xml:space="preserve"> a</w:t>
      </w:r>
      <w:r>
        <w:t> </w:t>
      </w:r>
      <w:r w:rsidRPr="00300420">
        <w:t>následně</w:t>
      </w:r>
      <w:r>
        <w:t xml:space="preserve"> prodloužena</w:t>
      </w:r>
      <w:r w:rsidRPr="00300420">
        <w:t xml:space="preserve"> i pro rok</w:t>
      </w:r>
      <w:r>
        <w:t>y</w:t>
      </w:r>
      <w:r w:rsidRPr="00300420">
        <w:t xml:space="preserve"> 2021</w:t>
      </w:r>
      <w:r>
        <w:t xml:space="preserve"> a 2022</w:t>
      </w:r>
      <w:r w:rsidRPr="00300420">
        <w:t xml:space="preserve">. </w:t>
      </w:r>
      <w:r>
        <w:t>Lpění na fiskálních pravidlech v tak vážné světové krizi by pokles ekonomik výrazně prohloubilo.</w:t>
      </w:r>
      <w:r w:rsidRPr="00300420">
        <w:t xml:space="preserve"> Počáteční fiskální expanze s následnou pozvolnou konsolidací má za cíl návrat do normálních podmínek </w:t>
      </w:r>
      <w:r w:rsidRPr="00300420">
        <w:t>bez druhé vyvolané recese a pokles dluhové kvóty skrze vyšší růst nominálního HDP.</w:t>
      </w:r>
    </w:p>
    <w:p w:rsidR="00D93BA6" w:rsidRDefault="00D93BA6" w:rsidP="00D93BA6">
      <w:r>
        <w:t>Zvolený přístup se plně projevil i v doporučeních, která Evropská komise a Rada EU předložily k letošním konvergenčním programům</w:t>
      </w:r>
      <w:r w:rsidR="00201EE5">
        <w:t xml:space="preserve">, resp. </w:t>
      </w:r>
      <w:r>
        <w:t>programům stability. K nastavení směru fiskální politiky Evropská komise doporučila ČR:</w:t>
      </w:r>
    </w:p>
    <w:p w:rsidR="00D93BA6" w:rsidRPr="00774842" w:rsidRDefault="00D93BA6" w:rsidP="00D93BA6">
      <w:pPr>
        <w:pStyle w:val="Odstavecseseznamem"/>
        <w:numPr>
          <w:ilvl w:val="0"/>
          <w:numId w:val="41"/>
        </w:numPr>
        <w:ind w:left="284" w:hanging="284"/>
        <w:contextualSpacing w:val="0"/>
      </w:pPr>
      <w:r w:rsidRPr="00E3504F">
        <w:t>V roce 2022 zachovat podpůrné nastavení fiskální politiky, včetně impulsu dodaného Nástrojem pro oživení a odolnost, a zachovat investice financované z vnitrostátních zdrojů.</w:t>
      </w:r>
    </w:p>
    <w:p w:rsidR="00D93BA6" w:rsidRDefault="00D93BA6" w:rsidP="00D93BA6">
      <w:pPr>
        <w:pStyle w:val="Odstavecseseznamem"/>
        <w:numPr>
          <w:ilvl w:val="0"/>
          <w:numId w:val="41"/>
        </w:numPr>
        <w:ind w:left="284" w:hanging="284"/>
        <w:contextualSpacing w:val="0"/>
      </w:pPr>
      <w:r w:rsidRPr="00E3504F">
        <w:t>Pokud to hospodářské podmínky dovolí, provádět fiskální politiku zaměřenou na dosažení obezřetných střednědobých fiskálních pozic a zajištění fiskální udržitelnosti ve střednědobém horizontu. Zároveň posilovat investice s cílem podpořit růstový potenciál.</w:t>
      </w:r>
    </w:p>
    <w:p w:rsidR="00D93BA6" w:rsidRDefault="00D93BA6" w:rsidP="00D93BA6">
      <w:pPr>
        <w:pStyle w:val="Odstavecseseznamem"/>
        <w:numPr>
          <w:ilvl w:val="0"/>
          <w:numId w:val="41"/>
        </w:numPr>
        <w:ind w:left="284" w:hanging="284"/>
        <w:contextualSpacing w:val="0"/>
      </w:pPr>
      <w:r w:rsidRPr="00E3504F">
        <w:t>Věnovat zvláštní pozornost skladbě veřejných financí na příjmové i výdajové straně rozpočtu a kvalitě rozpočtových opatření, aby se zajistilo udržitelné a inkluzivní oživení. Upřednostňovat udržitelné investice podporující růst, zejména s ohledem na zelenou a digitální transformaci. Upřednostňovat fiskální strukturální reformy, které pomohou zajistit financování priorit veřejné politiky a přispějí k dlouhodobé udržitelnosti veřejných financí, mimo jiné posílením zdravotnických systémů a systémů sociální ochrany tak, aby se vztahovaly na všechny a byly přiměřené a udržitelné.</w:t>
      </w:r>
    </w:p>
    <w:p w:rsidR="00D94B2A" w:rsidRDefault="00D94B2A" w:rsidP="00D94B2A"/>
    <w:p w:rsidR="00D94B2A" w:rsidRDefault="00D94B2A" w:rsidP="00D94B2A">
      <w:pPr>
        <w:sectPr w:rsidR="00D94B2A" w:rsidSect="00586243">
          <w:headerReference w:type="even" r:id="rId32"/>
          <w:footerReference w:type="even" r:id="rId33"/>
          <w:type w:val="continuous"/>
          <w:pgSz w:w="11906" w:h="16838" w:code="9"/>
          <w:pgMar w:top="1134" w:right="1134" w:bottom="1418" w:left="1134" w:header="709" w:footer="709" w:gutter="0"/>
          <w:cols w:num="2" w:space="397"/>
          <w:docGrid w:linePitch="360"/>
        </w:sectPr>
      </w:pPr>
    </w:p>
    <w:p w:rsidR="00D94B2A" w:rsidRDefault="00D94B2A" w:rsidP="00D94B2A">
      <w:pPr>
        <w:pStyle w:val="Titulek"/>
      </w:pPr>
      <w:bookmarkStart w:id="38" w:name="_Toc17727797"/>
      <w:bookmarkStart w:id="39" w:name="_Toc81233903"/>
      <w:r w:rsidRPr="00B87A57">
        <w:t xml:space="preserve">Tabulka </w:t>
      </w:r>
      <w:r w:rsidR="00A90CBB">
        <w:fldChar w:fldCharType="begin"/>
      </w:r>
      <w:r w:rsidR="00A90CBB">
        <w:instrText xml:space="preserve"> STYLEREF 1 \s </w:instrText>
      </w:r>
      <w:r w:rsidR="00A90CBB">
        <w:fldChar w:fldCharType="separate"/>
      </w:r>
      <w:r w:rsidR="001B0B0E">
        <w:rPr>
          <w:noProof/>
        </w:rPr>
        <w:t>3</w:t>
      </w:r>
      <w:r w:rsidR="00A90CBB">
        <w:rPr>
          <w:noProof/>
        </w:rPr>
        <w:fldChar w:fldCharType="end"/>
      </w:r>
      <w:r w:rsidRPr="00B87A57">
        <w:t>.</w:t>
      </w:r>
      <w:r w:rsidR="00A90CBB">
        <w:fldChar w:fldCharType="begin"/>
      </w:r>
      <w:r w:rsidR="00A90CBB">
        <w:instrText xml:space="preserve"> SEQ Tabulka \* ARABIC \s 1 </w:instrText>
      </w:r>
      <w:r w:rsidR="00A90CBB">
        <w:fldChar w:fldCharType="separate"/>
      </w:r>
      <w:r w:rsidR="001B0B0E">
        <w:rPr>
          <w:noProof/>
        </w:rPr>
        <w:t>1</w:t>
      </w:r>
      <w:r w:rsidR="00A90CBB">
        <w:rPr>
          <w:noProof/>
        </w:rPr>
        <w:fldChar w:fldCharType="end"/>
      </w:r>
      <w:r w:rsidRPr="00B87A57">
        <w:t>:</w:t>
      </w:r>
      <w:r w:rsidRPr="00877BE7">
        <w:t xml:space="preserve"> </w:t>
      </w:r>
      <w:r>
        <w:t>Saldo a dluh sektoru vládních institucí</w:t>
      </w:r>
      <w:bookmarkEnd w:id="38"/>
      <w:bookmarkEnd w:id="39"/>
    </w:p>
    <w:p w:rsidR="00476A76" w:rsidRDefault="007D0FFD" w:rsidP="00D94B2A">
      <w:pPr>
        <w:spacing w:after="0"/>
      </w:pPr>
      <w:r w:rsidRPr="007D0FFD">
        <w:rPr>
          <w:noProof/>
        </w:rPr>
        <w:drawing>
          <wp:inline distT="0" distB="0" distL="0" distR="0" wp14:anchorId="426C65FB" wp14:editId="7F81FE8E">
            <wp:extent cx="6120130" cy="800261"/>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120130" cy="800261"/>
                    </a:xfrm>
                    <a:prstGeom prst="rect">
                      <a:avLst/>
                    </a:prstGeom>
                    <a:noFill/>
                    <a:ln>
                      <a:noFill/>
                    </a:ln>
                  </pic:spPr>
                </pic:pic>
              </a:graphicData>
            </a:graphic>
          </wp:inline>
        </w:drawing>
      </w:r>
    </w:p>
    <w:p w:rsidR="00D94B2A" w:rsidRDefault="00D94B2A" w:rsidP="00476A76">
      <w:pPr>
        <w:pStyle w:val="Zdrojpodtabulkounebografem"/>
        <w:spacing w:after="0"/>
      </w:pPr>
      <w:r>
        <w:t xml:space="preserve">Zdroj: ČSÚ. </w:t>
      </w:r>
      <w:r w:rsidRPr="00287AC6">
        <w:t>Výpočty a predikce MF ČR</w:t>
      </w:r>
      <w:r w:rsidR="00476A76">
        <w:t>.</w:t>
      </w:r>
    </w:p>
    <w:p w:rsidR="00D94B2A" w:rsidRDefault="00D94B2A" w:rsidP="00D94B2A">
      <w:pPr>
        <w:pStyle w:val="Nadpis2"/>
        <w:pageBreakBefore/>
        <w:spacing w:before="0"/>
      </w:pPr>
      <w:bookmarkStart w:id="40" w:name="_Toc51746178"/>
      <w:bookmarkStart w:id="41" w:name="_Toc81233920"/>
      <w:r>
        <w:lastRenderedPageBreak/>
        <w:t>Očekávané hospodaření sektoru vládních institucí v roce 202</w:t>
      </w:r>
      <w:bookmarkEnd w:id="40"/>
      <w:r>
        <w:t>1</w:t>
      </w:r>
      <w:bookmarkEnd w:id="41"/>
    </w:p>
    <w:p w:rsidR="00D94B2A" w:rsidRPr="00A01FB3" w:rsidRDefault="00D94B2A" w:rsidP="00D94B2A">
      <w:pPr>
        <w:sectPr w:rsidR="00D94B2A" w:rsidRPr="00A01FB3" w:rsidSect="00A01FB3">
          <w:type w:val="continuous"/>
          <w:pgSz w:w="11906" w:h="16838" w:code="9"/>
          <w:pgMar w:top="1134" w:right="1134" w:bottom="1418" w:left="1134" w:header="709" w:footer="709" w:gutter="0"/>
          <w:cols w:space="397"/>
          <w:docGrid w:linePitch="360"/>
        </w:sectPr>
      </w:pPr>
    </w:p>
    <w:p w:rsidR="00D93BA6" w:rsidRDefault="00D93BA6" w:rsidP="00D93BA6">
      <w:pPr>
        <w:pStyle w:val="ZKDvousloupcov"/>
      </w:pPr>
      <w:r w:rsidRPr="00E051A5">
        <w:rPr>
          <w:b/>
        </w:rPr>
        <w:t>Hospodaření sektoru vládních institucí</w:t>
      </w:r>
      <w:r w:rsidRPr="00361C4D">
        <w:t xml:space="preserve"> </w:t>
      </w:r>
      <w:r>
        <w:t>bylo v první polovině roku</w:t>
      </w:r>
      <w:r w:rsidRPr="00361C4D">
        <w:t xml:space="preserve"> </w:t>
      </w:r>
      <w:r>
        <w:t xml:space="preserve">2021 </w:t>
      </w:r>
      <w:r w:rsidRPr="00361C4D">
        <w:t xml:space="preserve">velkou měrou ovlivněno epidemií koronaviru, jejími ekonomickými důsledky a opatřeními provedenými v oblasti veřejného zdravotnictví </w:t>
      </w:r>
      <w:r>
        <w:t>či</w:t>
      </w:r>
      <w:r w:rsidRPr="00361C4D">
        <w:t xml:space="preserve"> stimulační fiskální politiky. Očekáváme </w:t>
      </w:r>
      <w:r w:rsidRPr="00E335B9">
        <w:t xml:space="preserve">proto </w:t>
      </w:r>
      <w:r>
        <w:t xml:space="preserve">za cel rok </w:t>
      </w:r>
      <w:r w:rsidRPr="00E335B9">
        <w:t>deficitní</w:t>
      </w:r>
      <w:r>
        <w:t xml:space="preserve"> hospodaření ve výši 7,7</w:t>
      </w:r>
      <w:r w:rsidRPr="00361C4D">
        <w:t xml:space="preserve"> % HDP, které </w:t>
      </w:r>
      <w:r>
        <w:t>půjde na vrub především státního</w:t>
      </w:r>
      <w:r w:rsidRPr="00361C4D">
        <w:t xml:space="preserve"> rozpočtu. </w:t>
      </w:r>
      <w:r>
        <w:t>M</w:t>
      </w:r>
      <w:r w:rsidRPr="00361C4D">
        <w:t xml:space="preserve">ístní vládní instituce patrně opět vykáží </w:t>
      </w:r>
      <w:r>
        <w:t xml:space="preserve">přebytek, ke kterému </w:t>
      </w:r>
      <w:r w:rsidRPr="00361C4D">
        <w:t xml:space="preserve">přispěje i úprava rozpočtového určení daní. Navzdory dalšímu navýšení platby za státního pojištěnce </w:t>
      </w:r>
      <w:r>
        <w:t>odhadujeme</w:t>
      </w:r>
      <w:r w:rsidRPr="00361C4D">
        <w:t xml:space="preserve"> </w:t>
      </w:r>
      <w:r>
        <w:t xml:space="preserve">dílčí </w:t>
      </w:r>
      <w:r w:rsidRPr="00361C4D">
        <w:t xml:space="preserve">deficitní hospodaření </w:t>
      </w:r>
      <w:r>
        <w:t xml:space="preserve">fondů sociálního zabezpečení, které však z hlediska zůstatků vytvořených v minulých letech nezpůsobí žádané problémy. </w:t>
      </w:r>
    </w:p>
    <w:p w:rsidR="00D93BA6" w:rsidRDefault="00D93BA6" w:rsidP="00D93BA6">
      <w:pPr>
        <w:pStyle w:val="ZKDvousloupcov"/>
      </w:pPr>
      <w:r>
        <w:t>Růst</w:t>
      </w:r>
      <w:r w:rsidRPr="00361C4D">
        <w:t xml:space="preserve"> </w:t>
      </w:r>
      <w:r w:rsidRPr="00A31737">
        <w:t>daňových příjmů a příspěvků na sociální zabezpečení</w:t>
      </w:r>
      <w:r>
        <w:t xml:space="preserve"> v akruální metodice odhadujeme na 2,1 %</w:t>
      </w:r>
      <w:r w:rsidRPr="00361C4D">
        <w:t xml:space="preserve">, přičemž samotné daňové příjmy by měly </w:t>
      </w:r>
      <w:r>
        <w:t>hlavně</w:t>
      </w:r>
      <w:r w:rsidRPr="00361C4D">
        <w:t xml:space="preserve"> v důsledku schváleného „daňov</w:t>
      </w:r>
      <w:r>
        <w:t>ého balíčku 2021“ klesnout o 2,3 </w:t>
      </w:r>
      <w:r w:rsidRPr="00361C4D">
        <w:t xml:space="preserve">%. </w:t>
      </w:r>
      <w:r>
        <w:t>B</w:t>
      </w:r>
      <w:r w:rsidRPr="00361C4D">
        <w:t xml:space="preserve">alíček přinesl mimo jiné snížení efektivní sazby </w:t>
      </w:r>
      <w:r w:rsidRPr="00A31737">
        <w:rPr>
          <w:b/>
        </w:rPr>
        <w:t>daně z</w:t>
      </w:r>
      <w:r>
        <w:rPr>
          <w:b/>
        </w:rPr>
        <w:t> </w:t>
      </w:r>
      <w:r w:rsidRPr="00A31737">
        <w:rPr>
          <w:b/>
        </w:rPr>
        <w:t>příjmů fyzických osob</w:t>
      </w:r>
      <w:r>
        <w:t xml:space="preserve"> s odhadovaným dopadem 99 mld. </w:t>
      </w:r>
      <w:r w:rsidRPr="00361C4D">
        <w:t>Kč</w:t>
      </w:r>
      <w:r>
        <w:t>, což snižuje výnos daně o 30 %. U</w:t>
      </w:r>
      <w:r w:rsidRPr="00361C4D">
        <w:t xml:space="preserve"> </w:t>
      </w:r>
      <w:r w:rsidRPr="00A31737">
        <w:rPr>
          <w:b/>
        </w:rPr>
        <w:t>daně z</w:t>
      </w:r>
      <w:r>
        <w:rPr>
          <w:b/>
        </w:rPr>
        <w:t> </w:t>
      </w:r>
      <w:r w:rsidRPr="00A31737">
        <w:rPr>
          <w:b/>
        </w:rPr>
        <w:t>příjmů právnických osob</w:t>
      </w:r>
      <w:r w:rsidRPr="00361C4D">
        <w:t xml:space="preserve"> očekáváme </w:t>
      </w:r>
      <w:r>
        <w:t xml:space="preserve">stále ještě nižší úroveň než v roce 2019, a to i z důvodu </w:t>
      </w:r>
      <w:r w:rsidRPr="00361C4D">
        <w:t>několika op</w:t>
      </w:r>
      <w:r>
        <w:t>atření výše zmíněného daňového balíčku.</w:t>
      </w:r>
    </w:p>
    <w:p w:rsidR="00D93BA6" w:rsidRDefault="00D93BA6" w:rsidP="00D93BA6">
      <w:pPr>
        <w:pStyle w:val="ZKDvousloupcov"/>
      </w:pPr>
      <w:r w:rsidRPr="00A31737">
        <w:rPr>
          <w:b/>
        </w:rPr>
        <w:t xml:space="preserve">Příspěvky na sociální </w:t>
      </w:r>
      <w:r>
        <w:rPr>
          <w:b/>
        </w:rPr>
        <w:t>a zdravotní pojištění</w:t>
      </w:r>
      <w:r>
        <w:t xml:space="preserve"> by měly meziročně vzrůst o 7,6 </w:t>
      </w:r>
      <w:r w:rsidRPr="00361C4D">
        <w:t xml:space="preserve">%. Jejich tempo </w:t>
      </w:r>
      <w:r>
        <w:t xml:space="preserve">odráží růst mezd a platů v ekonomice, umocněné </w:t>
      </w:r>
      <w:r w:rsidRPr="00361C4D">
        <w:t>postupn</w:t>
      </w:r>
      <w:r>
        <w:t xml:space="preserve">ým </w:t>
      </w:r>
      <w:r w:rsidRPr="00361C4D">
        <w:t>odeznění</w:t>
      </w:r>
      <w:r>
        <w:t>m</w:t>
      </w:r>
      <w:r w:rsidRPr="00361C4D">
        <w:t xml:space="preserve"> opatření zmírňujících socioekonomické dopady protiepidemických restrikcí. Zvýšení platby za státního pojištěnce do systému veřejného zdravotního pojištění </w:t>
      </w:r>
      <w:r>
        <w:t>přispívá k dynamice příjmové strany 1,3 p. b.</w:t>
      </w:r>
    </w:p>
    <w:p w:rsidR="00D93BA6" w:rsidRDefault="00D93BA6" w:rsidP="00D93BA6">
      <w:pPr>
        <w:pStyle w:val="ZKDvousloupcov"/>
      </w:pPr>
      <w:r w:rsidRPr="00361C4D">
        <w:t xml:space="preserve">U výnosu </w:t>
      </w:r>
      <w:r w:rsidRPr="00A31737">
        <w:rPr>
          <w:b/>
        </w:rPr>
        <w:t>daně z přidané hodnoty</w:t>
      </w:r>
      <w:r>
        <w:t xml:space="preserve"> predikujeme růst o 4,8 </w:t>
      </w:r>
      <w:r w:rsidRPr="00D90AED">
        <w:t>%. Přeřazení vybraného zboží a služeb do druhé snížené sazby daně</w:t>
      </w:r>
      <w:r>
        <w:t xml:space="preserve"> </w:t>
      </w:r>
      <w:r w:rsidRPr="00D90AED">
        <w:t xml:space="preserve">v průběhu roku 2020 </w:t>
      </w:r>
      <w:r>
        <w:t>sníží</w:t>
      </w:r>
      <w:r w:rsidRPr="00D90AED">
        <w:t xml:space="preserve"> v letošním roce výnos o </w:t>
      </w:r>
      <w:r>
        <w:t>2,4 mld. </w:t>
      </w:r>
      <w:r w:rsidRPr="00D90AED">
        <w:t xml:space="preserve">Kč. </w:t>
      </w:r>
      <w:r>
        <w:t xml:space="preserve">Podobně </w:t>
      </w:r>
      <w:r w:rsidRPr="00D90AED">
        <w:t>prominutí daně u</w:t>
      </w:r>
      <w:r>
        <w:t> </w:t>
      </w:r>
      <w:r w:rsidRPr="00D90AED">
        <w:t>prostředků pro testování na onemocnění</w:t>
      </w:r>
      <w:r w:rsidRPr="00361C4D">
        <w:t xml:space="preserve"> COVID-19</w:t>
      </w:r>
      <w:r>
        <w:t xml:space="preserve">, </w:t>
      </w:r>
      <w:r w:rsidRPr="00361C4D">
        <w:t xml:space="preserve">očkovacích látek </w:t>
      </w:r>
      <w:r>
        <w:t xml:space="preserve">a </w:t>
      </w:r>
      <w:r w:rsidRPr="00361C4D">
        <w:t xml:space="preserve">u respirátorů </w:t>
      </w:r>
      <w:r>
        <w:t>redukuje výnos o další</w:t>
      </w:r>
      <w:r w:rsidRPr="00361C4D">
        <w:t xml:space="preserve"> 2,</w:t>
      </w:r>
      <w:r>
        <w:t>5 mld. Kč.</w:t>
      </w:r>
    </w:p>
    <w:p w:rsidR="00D93BA6" w:rsidRDefault="00D93BA6" w:rsidP="00D93BA6">
      <w:pPr>
        <w:pStyle w:val="ZKDvousloupcov"/>
      </w:pPr>
      <w:r w:rsidRPr="00361C4D">
        <w:t xml:space="preserve">Výnos </w:t>
      </w:r>
      <w:r w:rsidRPr="00A31737">
        <w:rPr>
          <w:b/>
        </w:rPr>
        <w:t xml:space="preserve">spotřebních daní </w:t>
      </w:r>
      <w:r w:rsidRPr="00361C4D">
        <w:t xml:space="preserve">(bez dotací na obnovitelné zdroje energie) by měl vzrůst o </w:t>
      </w:r>
      <w:r>
        <w:t>7,7 %</w:t>
      </w:r>
      <w:r w:rsidRPr="00361C4D">
        <w:t xml:space="preserve">. Pozitivně budou působit zejména změny sazeb na tabákové výrobky v celkové odhadované výši 5,2 mld. Kč. </w:t>
      </w:r>
      <w:r>
        <w:t xml:space="preserve">Naopak </w:t>
      </w:r>
      <w:r w:rsidRPr="007E548F">
        <w:t>výnos daně z minerálních olejů tlum</w:t>
      </w:r>
      <w:r>
        <w:t xml:space="preserve">í </w:t>
      </w:r>
      <w:r w:rsidRPr="007E548F">
        <w:t>snížen</w:t>
      </w:r>
      <w:r>
        <w:t>á</w:t>
      </w:r>
      <w:r w:rsidRPr="007E548F">
        <w:t xml:space="preserve"> sazb</w:t>
      </w:r>
      <w:r>
        <w:t>a</w:t>
      </w:r>
      <w:r w:rsidRPr="007E548F">
        <w:t xml:space="preserve"> daně na naftu v </w:t>
      </w:r>
      <w:r>
        <w:t xml:space="preserve">odhadované celoroční </w:t>
      </w:r>
      <w:r w:rsidRPr="007E548F">
        <w:t>výši 5,6 mld. Kč.</w:t>
      </w:r>
    </w:p>
    <w:p w:rsidR="00D93BA6" w:rsidRDefault="00D93BA6" w:rsidP="00D93BA6">
      <w:pPr>
        <w:pStyle w:val="ZKDvousloupcov"/>
      </w:pPr>
      <w:r w:rsidRPr="008B39DB">
        <w:rPr>
          <w:b/>
        </w:rPr>
        <w:t>Výdaje na konečnou spotřebu</w:t>
      </w:r>
      <w:r w:rsidRPr="00361C4D">
        <w:t xml:space="preserve"> s očekávaným růstem 6,9</w:t>
      </w:r>
      <w:r>
        <w:t> </w:t>
      </w:r>
      <w:r w:rsidRPr="00361C4D">
        <w:t xml:space="preserve">% </w:t>
      </w:r>
      <w:r>
        <w:t>zvyšují</w:t>
      </w:r>
      <w:r w:rsidRPr="00361C4D">
        <w:t xml:space="preserve"> naturální sociální transfery</w:t>
      </w:r>
      <w:r>
        <w:t>,</w:t>
      </w:r>
      <w:r w:rsidRPr="00361C4D">
        <w:t xml:space="preserve"> náhrad</w:t>
      </w:r>
      <w:r>
        <w:t>y</w:t>
      </w:r>
      <w:r w:rsidRPr="00361C4D">
        <w:t xml:space="preserve"> zaměstnancům</w:t>
      </w:r>
      <w:r>
        <w:t xml:space="preserve"> a</w:t>
      </w:r>
      <w:r w:rsidRPr="00B77A03">
        <w:t xml:space="preserve"> </w:t>
      </w:r>
      <w:r w:rsidRPr="00361C4D">
        <w:t>mezispotřeb</w:t>
      </w:r>
      <w:r>
        <w:t>a. N</w:t>
      </w:r>
      <w:r w:rsidRPr="00361C4D">
        <w:t xml:space="preserve">árůst platů </w:t>
      </w:r>
      <w:r>
        <w:t>se týká pracovníků</w:t>
      </w:r>
      <w:r w:rsidRPr="00361C4D">
        <w:t xml:space="preserve"> ve školství, zdravotnictví a sociálních službách</w:t>
      </w:r>
      <w:r>
        <w:t>, v dalších oblastech jsou platy fixovány</w:t>
      </w:r>
      <w:r w:rsidRPr="00361C4D">
        <w:t xml:space="preserve">. Objem platů ve veřejné sféře by měl </w:t>
      </w:r>
      <w:r>
        <w:t xml:space="preserve">přesto </w:t>
      </w:r>
      <w:r w:rsidRPr="00361C4D">
        <w:t>vz</w:t>
      </w:r>
      <w:r>
        <w:t>růst o 5,8</w:t>
      </w:r>
      <w:r w:rsidRPr="00361C4D">
        <w:t xml:space="preserve"> %</w:t>
      </w:r>
      <w:r>
        <w:t xml:space="preserve">, jelikož se do něj promítají </w:t>
      </w:r>
      <w:r w:rsidRPr="00361C4D">
        <w:t>i mimořádn</w:t>
      </w:r>
      <w:r>
        <w:t xml:space="preserve">é </w:t>
      </w:r>
      <w:r w:rsidRPr="00361C4D">
        <w:t>odměn</w:t>
      </w:r>
      <w:r>
        <w:t>y</w:t>
      </w:r>
      <w:r w:rsidRPr="00361C4D">
        <w:t xml:space="preserve"> zdravotnickému personálu</w:t>
      </w:r>
      <w:r>
        <w:t>, pracovníkům v sociálních službách a ozbrojeným složkám</w:t>
      </w:r>
      <w:r w:rsidRPr="00361C4D">
        <w:t>. Pokračovat by měla poměrně silná dynamika naturá</w:t>
      </w:r>
      <w:r>
        <w:t>lních sociálních transferů (11,5 </w:t>
      </w:r>
      <w:r w:rsidRPr="00361C4D">
        <w:t>%)</w:t>
      </w:r>
      <w:r>
        <w:t>, jelikož v</w:t>
      </w:r>
      <w:r w:rsidRPr="00361C4D">
        <w:t xml:space="preserve">ýdaje do zdravotnictví </w:t>
      </w:r>
      <w:r>
        <w:t>jsou ovlivňovány</w:t>
      </w:r>
      <w:r w:rsidRPr="00361C4D">
        <w:t xml:space="preserve"> epidemic</w:t>
      </w:r>
      <w:r>
        <w:t>kou situací a vakcinací</w:t>
      </w:r>
      <w:r w:rsidRPr="00361C4D">
        <w:t xml:space="preserve"> obyvatel</w:t>
      </w:r>
      <w:r>
        <w:t>stva</w:t>
      </w:r>
      <w:r w:rsidRPr="00361C4D">
        <w:t xml:space="preserve">. Výše růstu mezispotřeby by </w:t>
      </w:r>
      <w:r>
        <w:t>měla v letošním roce dosahovat 4,8 </w:t>
      </w:r>
      <w:r w:rsidRPr="00361C4D">
        <w:t>%, a částečně tak kompenzovat její loňský nevýrazný růst v důsledku zavřených škol i</w:t>
      </w:r>
      <w:r>
        <w:t> </w:t>
      </w:r>
      <w:r w:rsidRPr="00361C4D">
        <w:t xml:space="preserve">dalších veřejných institucí. V oblasti zdravotní péče by se zde měly projevit nákupy vakcín </w:t>
      </w:r>
      <w:r>
        <w:t>proti COVID-19 a testů do škol.</w:t>
      </w:r>
    </w:p>
    <w:p w:rsidR="00D93BA6" w:rsidRDefault="00D93BA6" w:rsidP="00D93BA6">
      <w:pPr>
        <w:pStyle w:val="ZKDvousloupcov"/>
      </w:pPr>
      <w:r w:rsidRPr="00361C4D">
        <w:t xml:space="preserve">Zvýšení </w:t>
      </w:r>
      <w:r w:rsidRPr="008B39DB">
        <w:rPr>
          <w:b/>
        </w:rPr>
        <w:t>peněžitých sociálních dávek</w:t>
      </w:r>
      <w:r>
        <w:t xml:space="preserve"> o 6,1 </w:t>
      </w:r>
      <w:r w:rsidRPr="00361C4D">
        <w:t>% reflektuje jak zákonnou valorizaci dávek důchodového pojištění, tak</w:t>
      </w:r>
      <w:r>
        <w:t xml:space="preserve"> úpravu některých dávek podporujících rodiny s dětmi, ošetřovné</w:t>
      </w:r>
      <w:r w:rsidRPr="00361C4D">
        <w:t xml:space="preserve"> </w:t>
      </w:r>
      <w:r>
        <w:t xml:space="preserve">v případě uzavření škol či karantény dítěte </w:t>
      </w:r>
      <w:r w:rsidRPr="00361C4D">
        <w:t>i navýšení transferů do veřejného zdravotní</w:t>
      </w:r>
      <w:r>
        <w:t>ho pojištění.</w:t>
      </w:r>
    </w:p>
    <w:p w:rsidR="00D93BA6" w:rsidRDefault="00D93BA6" w:rsidP="00D93BA6">
      <w:pPr>
        <w:pStyle w:val="ZKDvousloupcov"/>
      </w:pPr>
      <w:r w:rsidRPr="005A11F5">
        <w:rPr>
          <w:b/>
        </w:rPr>
        <w:t>Investice</w:t>
      </w:r>
      <w:r w:rsidRPr="00361C4D">
        <w:t xml:space="preserve"> do fixního </w:t>
      </w:r>
      <w:r>
        <w:t>kapitálu by měly růst 11% tempem</w:t>
      </w:r>
      <w:r w:rsidRPr="00361C4D">
        <w:t>, přičemž očekáváme zapojení nových programů a nástrojů E</w:t>
      </w:r>
      <w:r>
        <w:t>vropské unie, včetně realizace projektů schváleného Národního plánu obnovy ČR</w:t>
      </w:r>
      <w:r w:rsidRPr="00361C4D">
        <w:t>.</w:t>
      </w:r>
      <w:r>
        <w:t xml:space="preserve"> </w:t>
      </w:r>
    </w:p>
    <w:p w:rsidR="00D93BA6" w:rsidRDefault="00D93BA6" w:rsidP="00D93BA6">
      <w:pPr>
        <w:pStyle w:val="ZKDvousloupcov"/>
      </w:pPr>
      <w:r w:rsidRPr="00012CA2">
        <w:t>Programy</w:t>
      </w:r>
      <w:r w:rsidRPr="00361C4D">
        <w:t xml:space="preserve"> podpory v souvislosti s COVID-19 jsou důvodem </w:t>
      </w:r>
      <w:r>
        <w:t>cca 11%</w:t>
      </w:r>
      <w:r w:rsidRPr="00361C4D">
        <w:t xml:space="preserve"> </w:t>
      </w:r>
      <w:r>
        <w:t>růstu</w:t>
      </w:r>
      <w:r w:rsidRPr="00361C4D">
        <w:t xml:space="preserve"> </w:t>
      </w:r>
      <w:r w:rsidRPr="005A11F5">
        <w:rPr>
          <w:b/>
        </w:rPr>
        <w:t>dotací</w:t>
      </w:r>
      <w:r>
        <w:t xml:space="preserve">. Na jedné straně pokračují opatření započatá v roce 2020 </w:t>
      </w:r>
      <w:r w:rsidRPr="00361C4D">
        <w:t>(především program Antivirus)</w:t>
      </w:r>
      <w:r>
        <w:t>, na straně druhé jde o novou podobu kompenzací</w:t>
      </w:r>
      <w:r w:rsidRPr="00361C4D">
        <w:t xml:space="preserve"> </w:t>
      </w:r>
      <w:r>
        <w:t>za</w:t>
      </w:r>
      <w:r w:rsidRPr="00361C4D">
        <w:t xml:space="preserve"> o</w:t>
      </w:r>
      <w:r>
        <w:t xml:space="preserve">mezení podnikatelské činnosti </w:t>
      </w:r>
      <w:r w:rsidRPr="00361C4D">
        <w:t>protiepidemi</w:t>
      </w:r>
      <w:r>
        <w:t>ckými restrikcemi</w:t>
      </w:r>
      <w:r w:rsidRPr="00361C4D">
        <w:t xml:space="preserve"> </w:t>
      </w:r>
      <w:r>
        <w:t>(</w:t>
      </w:r>
      <w:r w:rsidRPr="00361C4D">
        <w:t>program COVID – 2021 a COVID – Nepokryté náklady</w:t>
      </w:r>
      <w:r>
        <w:t>)</w:t>
      </w:r>
      <w:r w:rsidRPr="00361C4D">
        <w:t>.</w:t>
      </w:r>
      <w:r>
        <w:t xml:space="preserve"> </w:t>
      </w:r>
      <w:r w:rsidRPr="00A440DC">
        <w:t>Další formy podpory</w:t>
      </w:r>
      <w:r>
        <w:t>,</w:t>
      </w:r>
      <w:r w:rsidRPr="00A440DC">
        <w:t xml:space="preserve"> jako je kompenzační bonus či institut zpětného působení daňové ztráty</w:t>
      </w:r>
      <w:r>
        <w:t>,</w:t>
      </w:r>
      <w:r w:rsidRPr="00A440DC">
        <w:t xml:space="preserve"> jsou klasifikovány </w:t>
      </w:r>
      <w:r>
        <w:t>mezi</w:t>
      </w:r>
      <w:r w:rsidRPr="00A440DC">
        <w:t xml:space="preserve"> </w:t>
      </w:r>
      <w:r w:rsidRPr="001A3E8D">
        <w:rPr>
          <w:b/>
        </w:rPr>
        <w:t>kapitálové transfery</w:t>
      </w:r>
      <w:r>
        <w:t>, které oproti loňskému roku patrně mírně poklesnou</w:t>
      </w:r>
      <w:r w:rsidRPr="00A440DC">
        <w:t>.</w:t>
      </w:r>
      <w:r>
        <w:t xml:space="preserve"> </w:t>
      </w:r>
    </w:p>
    <w:p w:rsidR="00D93BA6" w:rsidRDefault="00D93BA6" w:rsidP="00D93BA6">
      <w:pPr>
        <w:pStyle w:val="ZKDvousloupcov"/>
      </w:pPr>
      <w:r w:rsidRPr="00C254AA">
        <w:t xml:space="preserve">Deficitní hospodaření vládních institucí se promítne do výše </w:t>
      </w:r>
      <w:r w:rsidRPr="00165C9E">
        <w:rPr>
          <w:b/>
        </w:rPr>
        <w:t>dluhu</w:t>
      </w:r>
      <w:r w:rsidRPr="00C254AA">
        <w:t xml:space="preserve">, který by měl </w:t>
      </w:r>
      <w:r>
        <w:t>na konci roku dosáhnout</w:t>
      </w:r>
      <w:r w:rsidRPr="008842C6">
        <w:t xml:space="preserve"> 43,5</w:t>
      </w:r>
      <w:r>
        <w:t> </w:t>
      </w:r>
      <w:r w:rsidRPr="008842C6">
        <w:t>% HDP.</w:t>
      </w:r>
      <w:r>
        <w:t xml:space="preserve"> </w:t>
      </w:r>
      <w:r>
        <w:rPr>
          <w:rFonts w:cs="Calibri"/>
          <w:color w:val="000000"/>
          <w:szCs w:val="20"/>
        </w:rPr>
        <w:t>Nárůst zadlužení a</w:t>
      </w:r>
      <w:r w:rsidRPr="00361C4D">
        <w:rPr>
          <w:rFonts w:cs="Calibri"/>
          <w:color w:val="000000"/>
          <w:szCs w:val="20"/>
        </w:rPr>
        <w:t xml:space="preserve"> předpokládaný vývoj úrokových sazeb </w:t>
      </w:r>
      <w:r>
        <w:rPr>
          <w:rFonts w:cs="Calibri"/>
          <w:color w:val="000000"/>
          <w:szCs w:val="20"/>
        </w:rPr>
        <w:t>zvýší</w:t>
      </w:r>
      <w:r w:rsidRPr="00361C4D">
        <w:rPr>
          <w:rFonts w:cs="Calibri"/>
          <w:color w:val="000000"/>
          <w:szCs w:val="20"/>
        </w:rPr>
        <w:t xml:space="preserve"> </w:t>
      </w:r>
      <w:r w:rsidRPr="005A11F5">
        <w:rPr>
          <w:rFonts w:cs="Calibri"/>
          <w:b/>
          <w:color w:val="000000"/>
          <w:szCs w:val="20"/>
        </w:rPr>
        <w:t>úrokov</w:t>
      </w:r>
      <w:r>
        <w:rPr>
          <w:rFonts w:cs="Calibri"/>
          <w:b/>
          <w:color w:val="000000"/>
          <w:szCs w:val="20"/>
        </w:rPr>
        <w:t>é</w:t>
      </w:r>
      <w:r w:rsidRPr="005A11F5">
        <w:rPr>
          <w:rFonts w:cs="Calibri"/>
          <w:b/>
          <w:color w:val="000000"/>
          <w:szCs w:val="20"/>
        </w:rPr>
        <w:t xml:space="preserve"> náklad</w:t>
      </w:r>
      <w:r>
        <w:rPr>
          <w:rFonts w:cs="Calibri"/>
          <w:b/>
          <w:color w:val="000000"/>
          <w:szCs w:val="20"/>
        </w:rPr>
        <w:t>y</w:t>
      </w:r>
      <w:r>
        <w:rPr>
          <w:rFonts w:cs="Calibri"/>
          <w:color w:val="000000"/>
          <w:szCs w:val="20"/>
        </w:rPr>
        <w:t xml:space="preserve"> o přibližně 7 %. V poměrovém vyjádření k HDP očekáváme jejich stagnaci na 0,8 % HDP</w:t>
      </w:r>
      <w:r w:rsidRPr="00CE70DC">
        <w:t>.</w:t>
      </w:r>
    </w:p>
    <w:p w:rsidR="00D94B2A" w:rsidRDefault="00D94B2A" w:rsidP="00D94B2A">
      <w:pPr>
        <w:pStyle w:val="ZKDvousloupcov"/>
      </w:pPr>
    </w:p>
    <w:p w:rsidR="00D94B2A" w:rsidRDefault="00D94B2A" w:rsidP="00D94B2A">
      <w:pPr>
        <w:sectPr w:rsidR="00D94B2A" w:rsidSect="00586243">
          <w:type w:val="continuous"/>
          <w:pgSz w:w="11906" w:h="16838" w:code="9"/>
          <w:pgMar w:top="1134" w:right="1134" w:bottom="1418" w:left="1134" w:header="709" w:footer="709" w:gutter="0"/>
          <w:cols w:num="2" w:space="397"/>
          <w:docGrid w:linePitch="360"/>
        </w:sectPr>
      </w:pPr>
    </w:p>
    <w:p w:rsidR="00D94B2A" w:rsidRDefault="00D94B2A" w:rsidP="00D94B2A">
      <w:pPr>
        <w:pStyle w:val="Nadpis2"/>
      </w:pPr>
      <w:bookmarkStart w:id="42" w:name="_Toc51746179"/>
      <w:bookmarkStart w:id="43" w:name="_Toc81233921"/>
      <w:r>
        <w:t xml:space="preserve">Predikce </w:t>
      </w:r>
      <w:r w:rsidRPr="00BE7746">
        <w:t>hospodaření</w:t>
      </w:r>
      <w:r>
        <w:t xml:space="preserve"> sektoru vládních institucí v roce 202</w:t>
      </w:r>
      <w:bookmarkEnd w:id="42"/>
      <w:r>
        <w:t>2</w:t>
      </w:r>
      <w:bookmarkEnd w:id="43"/>
    </w:p>
    <w:p w:rsidR="00D94B2A" w:rsidRPr="00A01FB3" w:rsidRDefault="00D94B2A" w:rsidP="00D94B2A">
      <w:pPr>
        <w:sectPr w:rsidR="00D94B2A" w:rsidRPr="00A01FB3" w:rsidSect="00A01FB3">
          <w:type w:val="continuous"/>
          <w:pgSz w:w="11906" w:h="16838" w:code="9"/>
          <w:pgMar w:top="1134" w:right="1134" w:bottom="1418" w:left="1134" w:header="709" w:footer="709" w:gutter="0"/>
          <w:cols w:space="397"/>
          <w:docGrid w:linePitch="360"/>
        </w:sectPr>
      </w:pPr>
    </w:p>
    <w:p w:rsidR="00D93BA6" w:rsidRPr="00D93BA6" w:rsidRDefault="00D93BA6" w:rsidP="00D93BA6">
      <w:r w:rsidRPr="00D93BA6">
        <w:t>V roce 2022 by mělo dojít k meziročnímu zlepšení salda na −5,0 % HDP. Ve strukturálním vyjádření by pak mělo jít o fiskální restrikci v zákonem požadovaném rozsahu.</w:t>
      </w:r>
    </w:p>
    <w:p w:rsidR="00D93BA6" w:rsidRPr="00D93BA6" w:rsidRDefault="00D93BA6" w:rsidP="00D93BA6">
      <w:r w:rsidRPr="00D93BA6">
        <w:rPr>
          <w:b/>
        </w:rPr>
        <w:t>Celkové příjmy</w:t>
      </w:r>
      <w:r w:rsidRPr="00D93BA6">
        <w:t xml:space="preserve"> sektoru vládních institucí by dle predikce měly v roce 2022 vzrůst o 6,1 %. Dynamika daňových příjmů včetně příspěvků na sociální zabezpečení je však o </w:t>
      </w:r>
      <w:r w:rsidRPr="00D93BA6">
        <w:t xml:space="preserve">něco slabší, konkrétně 4,7 %. Výnos </w:t>
      </w:r>
      <w:r w:rsidRPr="00D93BA6">
        <w:rPr>
          <w:b/>
        </w:rPr>
        <w:t>daně z příjmů fyzických osob</w:t>
      </w:r>
      <w:r w:rsidRPr="00D93BA6">
        <w:t xml:space="preserve"> by měl totiž klesnout o 2,5 %, jelikož proti odhadovanému růstu mezd a platů v ekonomice působí diskreční opatření v podobě zvýšení slevy na poplatníka o 3 000 Kč za rok s dopadem 12,3 mld. Kč. Příjmy z </w:t>
      </w:r>
      <w:r w:rsidRPr="00D93BA6">
        <w:rPr>
          <w:b/>
        </w:rPr>
        <w:t>příspěvků na sociální zabezpečení</w:t>
      </w:r>
      <w:r w:rsidRPr="00D93BA6">
        <w:t xml:space="preserve">, jejichž růst je odhadován na 3,7 %, budou ovlivněny růstem náhrad zaměstnancům </w:t>
      </w:r>
      <w:r w:rsidRPr="00D93BA6">
        <w:lastRenderedPageBreak/>
        <w:t xml:space="preserve">v ekonomice a dalším zvýšením platby za státního pojištěnce o cca 14 mld. Kč. Kromě toho již nebude účinný jednorázový příspěvek 370 Kč/den osobám v karanténě s dopadem 1,1 mld. Kč, což rovněž meziročně ovlivní dynamiku. Dynamiku zdanění a odvodů závislé činnosti pak rovněž ovlivňují mimořádné odměny pracovníkům ve zdravotnictví, v sociálních službách a ozbrojeným složkám vyplacené v letošním roce. </w:t>
      </w:r>
      <w:r w:rsidRPr="00D93BA6">
        <w:rPr>
          <w:b/>
        </w:rPr>
        <w:t>Daň z příjmů právnických osob</w:t>
      </w:r>
      <w:r w:rsidRPr="00D93BA6">
        <w:t xml:space="preserve"> by, vzhledem k predikci růstu hrubého provozního přebytku a diskrečním opatřením, měla růst o 12 %. Výnos daně bude tlumen koncem účinnosti změny metody tvorby a daňové uznatelnosti technických rezerv pojišťoven a osvobození dividend státu a krajů od daně s celkovým dopadem 7,5 mld. Kč, opačný účinek má ukončení zrychlených odpisů z let 2020 a 2021 v odhadované výši 15 mld. Kč. Dynamika </w:t>
      </w:r>
      <w:r w:rsidRPr="00D93BA6">
        <w:rPr>
          <w:b/>
        </w:rPr>
        <w:t>daně z přidané hodnoty</w:t>
      </w:r>
      <w:r w:rsidRPr="00D93BA6">
        <w:t xml:space="preserve"> by měla být ovlivněna zejména sílící nominální spotřebou domácností. Naproti tomu čistý efekt v minulosti schválených diskrečních opatření (přeřazení vybraných služeb do druhé snížené sazby daně schválené v roce 2019, snížení sazby na ubytování, sportovní a kulturní akce, lyžařské vleky a další vybrané služby od poloviny roku 2020, ukončení prominutí daně z přidané hodnoty u nákupu respirátorů, vakcín a testů) budou růst tlumit. Celkem by daň z přidané hodnoty měla růst kolem 8 %. Výnos </w:t>
      </w:r>
      <w:r w:rsidRPr="00D93BA6">
        <w:rPr>
          <w:b/>
        </w:rPr>
        <w:t>spotřebních daní</w:t>
      </w:r>
      <w:r w:rsidRPr="00D93BA6">
        <w:t xml:space="preserve"> bez zdrojů na obnovitelné zdroje energie by pak měl růst okolo 5,5 %. Mezi hlavní vlivy patří pokračování zvyšování spotřební daně na tabákové výrobky, pokračující ekonomické oživení a rovněž počítáme s pozitivním příspěvkem digitální daně. Výraznou dynamiku na straně příjmů očekáváme v</w:t>
      </w:r>
      <w:r w:rsidRPr="00D93BA6">
        <w:rPr>
          <w:b/>
        </w:rPr>
        <w:t> běžných i kapitálových transferech</w:t>
      </w:r>
      <w:r w:rsidRPr="00D93BA6">
        <w:t>. Tyto položky odráží předpokládaný náběh prostředků z EU, ať už vlivem končící finanční perspektivy 2014–2020, tak novými finančními tituly v rámci nástroje EU příští generace. Celkový nárůst transferů odhadujeme na 40 %.</w:t>
      </w:r>
    </w:p>
    <w:p w:rsidR="00D93BA6" w:rsidRPr="00D93BA6" w:rsidRDefault="00D93BA6" w:rsidP="00D93BA6">
      <w:r w:rsidRPr="00D93BA6">
        <w:rPr>
          <w:b/>
        </w:rPr>
        <w:t>Výdaje veřejných rozpočtů</w:t>
      </w:r>
      <w:r w:rsidRPr="00D93BA6">
        <w:t xml:space="preserve"> by měly meziročně v podstatě stagnovat. To je dáno koncem protikrizových opatření, </w:t>
      </w:r>
      <w:r w:rsidRPr="00D93BA6">
        <w:t xml:space="preserve">primárně pak </w:t>
      </w:r>
      <w:r w:rsidRPr="00D93BA6">
        <w:rPr>
          <w:b/>
        </w:rPr>
        <w:t>dotace a kapitálové transfery</w:t>
      </w:r>
      <w:r w:rsidRPr="00D93BA6">
        <w:t xml:space="preserve"> v úhrnu klesnou o cca 35 %. Dalším faktorem zvolňujícím dynamiku výdajů je </w:t>
      </w:r>
      <w:r w:rsidRPr="00D93BA6">
        <w:rPr>
          <w:b/>
        </w:rPr>
        <w:t>konečná spotřeba vládních institucí</w:t>
      </w:r>
      <w:r w:rsidRPr="00D93BA6">
        <w:t xml:space="preserve">, jejíž tempo dohadujeme kolem 2 %. Náhrady zaměstnancům v sektoru vládních institucí, naturální sociální transfery i mezispotřeba by měly mít v roce 2022 nižší tempo než v letošním roce, což je dáno hlavně postupným návratem do normálních podmínek v systému zdravotní péče a neopakováním mimořádných odměn spojených s epidemií. </w:t>
      </w:r>
    </w:p>
    <w:p w:rsidR="00D93BA6" w:rsidRPr="00D93BA6" w:rsidRDefault="00D93BA6" w:rsidP="00D93BA6">
      <w:r w:rsidRPr="00D93BA6">
        <w:t xml:space="preserve">V oblasti </w:t>
      </w:r>
      <w:r w:rsidRPr="00D93BA6">
        <w:rPr>
          <w:b/>
        </w:rPr>
        <w:t>peněžitých dávek sociálního zabezpečení</w:t>
      </w:r>
      <w:r w:rsidRPr="00D93BA6">
        <w:t xml:space="preserve"> počítáme v roce 2022 s citelným navýšením, zejména díky růstu výdajů na dávky důchodového pojištění. Schválená valorizace důchodů v průměru o téměř 500 Kč a paušálním navýšením procentní výměry o dodatečné 300 Kč by měly zatížit výdajovou stranu o částku kolem 30 mld. Kč. Dopad na výdaje bude mít i zvýšení výdajů na další sociální dávky, jako příspěvek na péči ve 3. a 4. stupni závislosti, přídavky na děti, změny ve vyplácení rodičovského příspěvku nebo zálohové výživné s úhrnným nákladem kolem 7 mld. Kč. Ve vývoji dávek sociálního zabezpečení se v akruální metodice Evropského systému národních a regionálních účtů odráží i růst platby za státního pojištěnce o cca 14 mld. Kč na rok 2022. V důsledku ekonomického vývoje a uvedených diskrečních opatření by peněžité sociální dávky měly vzrůst o 5,5 %.</w:t>
      </w:r>
    </w:p>
    <w:p w:rsidR="00D93BA6" w:rsidRPr="00D93BA6" w:rsidRDefault="00D93BA6" w:rsidP="00D93BA6">
      <w:r w:rsidRPr="00D93BA6">
        <w:t xml:space="preserve">U výdajů na </w:t>
      </w:r>
      <w:r w:rsidRPr="00D93BA6">
        <w:rPr>
          <w:b/>
        </w:rPr>
        <w:t>investice</w:t>
      </w:r>
      <w:r w:rsidRPr="00D93BA6">
        <w:t xml:space="preserve"> do fixních aktiv očekáváme navýšení o zhruba 8 % s výrazným přispěním investic spolufinancovaných z EU. Tím by investice vládních institucí vzrostly na 5,2 % HDP. Kromě standardních fondů EU včetně navýšení alokací (REACT-EU) počítáme rovněž s plným zapojením dalších nástrojů na podporu oživení evropských ekonomik (EU příští generace). </w:t>
      </w:r>
    </w:p>
    <w:p w:rsidR="00D94B2A" w:rsidRDefault="00D93BA6" w:rsidP="00D93BA6">
      <w:pPr>
        <w:sectPr w:rsidR="00D94B2A" w:rsidSect="00586243">
          <w:type w:val="continuous"/>
          <w:pgSz w:w="11906" w:h="16838" w:code="9"/>
          <w:pgMar w:top="1134" w:right="1134" w:bottom="1418" w:left="1134" w:header="709" w:footer="709" w:gutter="0"/>
          <w:cols w:num="2" w:space="397"/>
          <w:docGrid w:linePitch="360"/>
        </w:sectPr>
      </w:pPr>
      <w:r w:rsidRPr="00D93BA6">
        <w:t xml:space="preserve">Přestože očekáváme, že </w:t>
      </w:r>
      <w:r w:rsidRPr="00D93BA6">
        <w:rPr>
          <w:b/>
        </w:rPr>
        <w:t>úrokové výdaje</w:t>
      </w:r>
      <w:r w:rsidRPr="00D93BA6">
        <w:t xml:space="preserve"> budou vlivem predikovaného deficitu hospodaření sektoru vládních institucí a vývoje úrokových měr růst v absolutním vyjádření, v poměrovém vyjádření k HDP by měly setrvat na 0,8 % HDP. </w:t>
      </w:r>
      <w:r w:rsidRPr="00D93BA6">
        <w:rPr>
          <w:b/>
        </w:rPr>
        <w:t>Zadlužení</w:t>
      </w:r>
      <w:r w:rsidRPr="00D93BA6">
        <w:t xml:space="preserve"> vládních institucí by mělo v</w:t>
      </w:r>
      <w:r w:rsidR="00201EE5">
        <w:t> </w:t>
      </w:r>
      <w:r w:rsidRPr="00D93BA6">
        <w:t>roce 2022 vzrůst o 2,7 p. b. na hodnotu 46,3 % HDP.</w:t>
      </w:r>
    </w:p>
    <w:p w:rsidR="00D94B2A" w:rsidRPr="0006144B" w:rsidRDefault="00D94B2A" w:rsidP="00D94B2A">
      <w:pPr>
        <w:pStyle w:val="Titulek"/>
      </w:pPr>
      <w:bookmarkStart w:id="44" w:name="_Toc81233913"/>
      <w:r w:rsidRPr="0006144B">
        <w:t xml:space="preserve">Obrázek </w:t>
      </w:r>
      <w:r w:rsidR="00A90CBB">
        <w:fldChar w:fldCharType="begin"/>
      </w:r>
      <w:r w:rsidR="00A90CBB">
        <w:instrText xml:space="preserve"> STYLEREF 1 \s </w:instrText>
      </w:r>
      <w:r w:rsidR="00A90CBB">
        <w:fldChar w:fldCharType="separate"/>
      </w:r>
      <w:r w:rsidR="001B0B0E">
        <w:rPr>
          <w:noProof/>
        </w:rPr>
        <w:t>3</w:t>
      </w:r>
      <w:r w:rsidR="00A90CBB">
        <w:rPr>
          <w:noProof/>
        </w:rPr>
        <w:fldChar w:fldCharType="end"/>
      </w:r>
      <w:r>
        <w:t>.</w:t>
      </w:r>
      <w:r w:rsidR="00A90CBB">
        <w:fldChar w:fldCharType="begin"/>
      </w:r>
      <w:r w:rsidR="00A90CBB">
        <w:instrText xml:space="preserve"> SEQ Obrázek \* ARABIC \s 1 </w:instrText>
      </w:r>
      <w:r w:rsidR="00A90CBB">
        <w:fldChar w:fldCharType="separate"/>
      </w:r>
      <w:r w:rsidR="001B0B0E">
        <w:rPr>
          <w:noProof/>
        </w:rPr>
        <w:t>1</w:t>
      </w:r>
      <w:r w:rsidR="00A90CBB">
        <w:rPr>
          <w:noProof/>
        </w:rPr>
        <w:fldChar w:fldCharType="end"/>
      </w:r>
      <w:r w:rsidRPr="0006144B">
        <w:t xml:space="preserve">: </w:t>
      </w:r>
      <w:r>
        <w:t>Saldo veřejných financí</w:t>
      </w:r>
      <w:bookmarkEnd w:id="44"/>
    </w:p>
    <w:p w:rsidR="00D94B2A" w:rsidRDefault="00D94B2A" w:rsidP="00D94B2A">
      <w:pPr>
        <w:pStyle w:val="Jednotka"/>
      </w:pPr>
      <w:r>
        <w:t>(saldo sektoru vládních institucí, v % HDP)</w:t>
      </w:r>
    </w:p>
    <w:p w:rsidR="00D94B2A" w:rsidRDefault="00476A76" w:rsidP="00D94B2A">
      <w:pPr>
        <w:keepNext/>
        <w:keepLines/>
        <w:spacing w:after="0"/>
      </w:pPr>
      <w:r>
        <w:rPr>
          <w:noProof/>
        </w:rPr>
        <w:drawing>
          <wp:inline distT="0" distB="0" distL="0" distR="0" wp14:anchorId="6A0FD2BA" wp14:editId="36931C83">
            <wp:extent cx="2956560" cy="1762125"/>
            <wp:effectExtent l="0" t="0" r="0" b="0"/>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956560" cy="1762125"/>
                    </a:xfrm>
                    <a:prstGeom prst="rect">
                      <a:avLst/>
                    </a:prstGeom>
                    <a:noFill/>
                  </pic:spPr>
                </pic:pic>
              </a:graphicData>
            </a:graphic>
          </wp:inline>
        </w:drawing>
      </w:r>
    </w:p>
    <w:p w:rsidR="00D94B2A" w:rsidRDefault="00D94B2A" w:rsidP="00D94B2A">
      <w:pPr>
        <w:pStyle w:val="Zdrojpodtabulkounebografem"/>
      </w:pPr>
      <w:r>
        <w:t>Zdroj: ČSÚ. P</w:t>
      </w:r>
      <w:r w:rsidRPr="00287AC6">
        <w:t>redikce MF ČR</w:t>
      </w:r>
      <w:r>
        <w:t>.</w:t>
      </w:r>
    </w:p>
    <w:p w:rsidR="00113697" w:rsidRDefault="00113697" w:rsidP="00D94B2A"/>
    <w:sectPr w:rsidR="00113697" w:rsidSect="00586243">
      <w:headerReference w:type="even" r:id="rId36"/>
      <w:footerReference w:type="even" r:id="rId37"/>
      <w:type w:val="continuous"/>
      <w:pgSz w:w="11906" w:h="16838" w:code="9"/>
      <w:pgMar w:top="1134" w:right="1134" w:bottom="1418" w:left="1134" w:header="709" w:footer="709" w:gutter="0"/>
      <w:cols w:num="2" w:space="39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25D7" w:rsidRDefault="006125D7" w:rsidP="00332D4D">
      <w:pPr>
        <w:spacing w:after="0"/>
      </w:pPr>
      <w:r>
        <w:separator/>
      </w:r>
    </w:p>
  </w:endnote>
  <w:endnote w:type="continuationSeparator" w:id="0">
    <w:p w:rsidR="006125D7" w:rsidRDefault="006125D7" w:rsidP="00332D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F5B" w:rsidRDefault="00631F5B" w:rsidP="007A1923">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F5B" w:rsidRPr="00A12A05" w:rsidRDefault="00631F5B" w:rsidP="007A192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F5B" w:rsidRPr="00A12A05" w:rsidRDefault="00631F5B" w:rsidP="007A1923">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text" w:horzAnchor="page" w:tblpX="568" w:tblpY="1"/>
      <w:tblOverlap w:val="never"/>
      <w:tblW w:w="1730" w:type="pct"/>
      <w:tblBorders>
        <w:top w:val="single" w:sz="2" w:space="0" w:color="FFFFFF"/>
        <w:left w:val="single" w:sz="2" w:space="0" w:color="FFFFFF"/>
        <w:bottom w:val="single" w:sz="2" w:space="0" w:color="FFFFFF"/>
        <w:right w:val="single" w:sz="2" w:space="0" w:color="FFFFFF"/>
        <w:insideH w:val="single" w:sz="12" w:space="0" w:color="999999"/>
        <w:insideV w:val="single" w:sz="12" w:space="0" w:color="999999"/>
      </w:tblBorders>
      <w:tblLook w:val="01E0" w:firstRow="1" w:lastRow="1" w:firstColumn="1" w:lastColumn="1" w:noHBand="0" w:noVBand="0"/>
    </w:tblPr>
    <w:tblGrid>
      <w:gridCol w:w="648"/>
      <w:gridCol w:w="2761"/>
    </w:tblGrid>
    <w:tr w:rsidR="00631F5B" w:rsidRPr="00175F17" w:rsidTr="007A1923">
      <w:trPr>
        <w:cantSplit/>
      </w:trPr>
      <w:tc>
        <w:tcPr>
          <w:tcW w:w="950" w:type="pct"/>
          <w:shd w:val="clear" w:color="auto" w:fill="auto"/>
          <w:vAlign w:val="center"/>
        </w:tcPr>
        <w:p w:rsidR="00631F5B" w:rsidRPr="00175F17" w:rsidRDefault="00631F5B" w:rsidP="007A1923">
          <w:pPr>
            <w:spacing w:after="0"/>
            <w:jc w:val="right"/>
            <w:rPr>
              <w:color w:val="999999"/>
              <w:sz w:val="16"/>
              <w:szCs w:val="16"/>
            </w:rPr>
          </w:pPr>
          <w:r>
            <w:rPr>
              <w:rStyle w:val="slostrnky"/>
              <w:sz w:val="32"/>
              <w:szCs w:val="32"/>
            </w:rPr>
            <w:fldChar w:fldCharType="begin"/>
          </w:r>
          <w:r>
            <w:rPr>
              <w:rStyle w:val="slostrnky"/>
              <w:sz w:val="32"/>
              <w:szCs w:val="32"/>
            </w:rPr>
            <w:instrText xml:space="preserve"> PAGE  </w:instrText>
          </w:r>
          <w:r>
            <w:rPr>
              <w:rStyle w:val="slostrnky"/>
              <w:sz w:val="32"/>
              <w:szCs w:val="32"/>
            </w:rPr>
            <w:fldChar w:fldCharType="separate"/>
          </w:r>
          <w:r>
            <w:rPr>
              <w:rStyle w:val="slostrnky"/>
              <w:noProof/>
              <w:sz w:val="32"/>
              <w:szCs w:val="32"/>
            </w:rPr>
            <w:t>4</w:t>
          </w:r>
          <w:r>
            <w:rPr>
              <w:rStyle w:val="slostrnky"/>
              <w:sz w:val="32"/>
              <w:szCs w:val="32"/>
            </w:rPr>
            <w:fldChar w:fldCharType="end"/>
          </w:r>
        </w:p>
      </w:tc>
      <w:tc>
        <w:tcPr>
          <w:tcW w:w="4050" w:type="pct"/>
          <w:shd w:val="clear" w:color="auto" w:fill="auto"/>
          <w:vAlign w:val="center"/>
        </w:tcPr>
        <w:p w:rsidR="00631F5B" w:rsidRPr="00175F17" w:rsidRDefault="00631F5B" w:rsidP="007A1923">
          <w:pPr>
            <w:suppressAutoHyphens/>
            <w:spacing w:after="0"/>
            <w:jc w:val="left"/>
            <w:rPr>
              <w:color w:val="999999"/>
              <w:sz w:val="32"/>
              <w:szCs w:val="32"/>
            </w:rPr>
          </w:pPr>
          <w:r w:rsidRPr="0017797C">
            <w:rPr>
              <w:b/>
              <w:color w:val="999999"/>
              <w:sz w:val="16"/>
              <w:szCs w:val="16"/>
            </w:rPr>
            <w:t>Zpráva ke státnímu rozpočtu České republiky na rok 2019</w:t>
          </w:r>
        </w:p>
      </w:tc>
    </w:tr>
  </w:tbl>
  <w:p w:rsidR="00631F5B" w:rsidRPr="00A12A05" w:rsidRDefault="00631F5B" w:rsidP="007A1923">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text" w:horzAnchor="page" w:tblpX="7939" w:tblpY="1"/>
      <w:tblOverlap w:val="never"/>
      <w:tblW w:w="1881" w:type="pct"/>
      <w:tblBorders>
        <w:top w:val="single" w:sz="2" w:space="0" w:color="FFFFFF"/>
        <w:left w:val="single" w:sz="2" w:space="0" w:color="FFFFFF"/>
        <w:bottom w:val="single" w:sz="2" w:space="0" w:color="FFFFFF"/>
        <w:right w:val="single" w:sz="2" w:space="0" w:color="FFFFFF"/>
        <w:insideH w:val="single" w:sz="12" w:space="0" w:color="999999"/>
        <w:insideV w:val="single" w:sz="12" w:space="0" w:color="999999"/>
      </w:tblBorders>
      <w:tblLook w:val="01E0" w:firstRow="1" w:lastRow="1" w:firstColumn="1" w:lastColumn="1" w:noHBand="0" w:noVBand="0"/>
    </w:tblPr>
    <w:tblGrid>
      <w:gridCol w:w="2921"/>
      <w:gridCol w:w="703"/>
    </w:tblGrid>
    <w:tr w:rsidR="00631F5B" w:rsidRPr="00175F17" w:rsidTr="007A1923">
      <w:trPr>
        <w:cantSplit/>
      </w:trPr>
      <w:tc>
        <w:tcPr>
          <w:tcW w:w="4030" w:type="pct"/>
          <w:shd w:val="clear" w:color="auto" w:fill="auto"/>
          <w:vAlign w:val="center"/>
        </w:tcPr>
        <w:p w:rsidR="003B4AA0" w:rsidRPr="009B5C89" w:rsidRDefault="003B4AA0" w:rsidP="003B4AA0">
          <w:pPr>
            <w:suppressAutoHyphens/>
            <w:spacing w:after="0"/>
            <w:jc w:val="right"/>
            <w:rPr>
              <w:b/>
              <w:color w:val="999999"/>
              <w:sz w:val="16"/>
              <w:szCs w:val="16"/>
            </w:rPr>
          </w:pPr>
          <w:r w:rsidRPr="009B5C89">
            <w:rPr>
              <w:b/>
              <w:color w:val="999999"/>
              <w:sz w:val="16"/>
              <w:szCs w:val="16"/>
            </w:rPr>
            <w:t>Makroekonomický rámec</w:t>
          </w:r>
        </w:p>
        <w:p w:rsidR="00631F5B" w:rsidRPr="0017797C" w:rsidRDefault="003B4AA0" w:rsidP="003B4AA0">
          <w:pPr>
            <w:suppressAutoHyphens/>
            <w:spacing w:after="0"/>
            <w:jc w:val="right"/>
            <w:rPr>
              <w:b/>
              <w:noProof/>
              <w:color w:val="999999"/>
              <w:sz w:val="16"/>
              <w:szCs w:val="16"/>
            </w:rPr>
          </w:pPr>
          <w:r w:rsidRPr="009B5C89">
            <w:rPr>
              <w:b/>
              <w:color w:val="999999"/>
              <w:sz w:val="16"/>
              <w:szCs w:val="16"/>
            </w:rPr>
            <w:t>a fiskální politika</w:t>
          </w:r>
        </w:p>
      </w:tc>
      <w:tc>
        <w:tcPr>
          <w:tcW w:w="970" w:type="pct"/>
          <w:shd w:val="clear" w:color="auto" w:fill="auto"/>
          <w:vAlign w:val="center"/>
        </w:tcPr>
        <w:p w:rsidR="00631F5B" w:rsidRPr="006E3BB6" w:rsidRDefault="00631F5B" w:rsidP="007A1923">
          <w:pPr>
            <w:spacing w:after="0"/>
            <w:rPr>
              <w:rStyle w:val="slostrnky"/>
              <w:sz w:val="32"/>
            </w:rPr>
          </w:pPr>
          <w:r w:rsidRPr="00175F17">
            <w:rPr>
              <w:rStyle w:val="slostrnky"/>
              <w:sz w:val="32"/>
              <w:szCs w:val="32"/>
            </w:rPr>
            <w:fldChar w:fldCharType="begin"/>
          </w:r>
          <w:r w:rsidRPr="00175F17">
            <w:rPr>
              <w:rStyle w:val="slostrnky"/>
              <w:sz w:val="32"/>
              <w:szCs w:val="32"/>
            </w:rPr>
            <w:instrText xml:space="preserve"> PAGE </w:instrText>
          </w:r>
          <w:r w:rsidRPr="00175F17">
            <w:rPr>
              <w:rStyle w:val="slostrnky"/>
              <w:sz w:val="32"/>
              <w:szCs w:val="32"/>
            </w:rPr>
            <w:fldChar w:fldCharType="separate"/>
          </w:r>
          <w:r w:rsidR="00A90CBB">
            <w:rPr>
              <w:rStyle w:val="slostrnky"/>
              <w:noProof/>
              <w:sz w:val="32"/>
              <w:szCs w:val="32"/>
            </w:rPr>
            <w:t>11</w:t>
          </w:r>
          <w:r w:rsidRPr="00175F17">
            <w:rPr>
              <w:rStyle w:val="slostrnky"/>
              <w:sz w:val="32"/>
              <w:szCs w:val="32"/>
            </w:rPr>
            <w:fldChar w:fldCharType="end"/>
          </w:r>
        </w:p>
      </w:tc>
    </w:tr>
  </w:tbl>
  <w:p w:rsidR="00631F5B" w:rsidRPr="00A12A05" w:rsidRDefault="00631F5B" w:rsidP="007A1923">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text" w:horzAnchor="page" w:tblpX="568" w:tblpY="1"/>
      <w:tblOverlap w:val="never"/>
      <w:tblW w:w="1730" w:type="pct"/>
      <w:tblBorders>
        <w:top w:val="single" w:sz="2" w:space="0" w:color="FFFFFF"/>
        <w:left w:val="single" w:sz="2" w:space="0" w:color="FFFFFF"/>
        <w:bottom w:val="single" w:sz="2" w:space="0" w:color="FFFFFF"/>
        <w:right w:val="single" w:sz="2" w:space="0" w:color="FFFFFF"/>
        <w:insideH w:val="single" w:sz="12" w:space="0" w:color="999999"/>
        <w:insideV w:val="single" w:sz="12" w:space="0" w:color="999999"/>
      </w:tblBorders>
      <w:tblLook w:val="01E0" w:firstRow="1" w:lastRow="1" w:firstColumn="1" w:lastColumn="1" w:noHBand="0" w:noVBand="0"/>
    </w:tblPr>
    <w:tblGrid>
      <w:gridCol w:w="648"/>
      <w:gridCol w:w="2761"/>
    </w:tblGrid>
    <w:tr w:rsidR="00631F5B" w:rsidRPr="00175F17" w:rsidTr="007A1923">
      <w:trPr>
        <w:cantSplit/>
      </w:trPr>
      <w:tc>
        <w:tcPr>
          <w:tcW w:w="950" w:type="pct"/>
          <w:shd w:val="clear" w:color="auto" w:fill="auto"/>
          <w:vAlign w:val="center"/>
        </w:tcPr>
        <w:p w:rsidR="00631F5B" w:rsidRPr="00175F17" w:rsidRDefault="00631F5B" w:rsidP="007A1923">
          <w:pPr>
            <w:spacing w:after="0"/>
            <w:jc w:val="right"/>
            <w:rPr>
              <w:color w:val="999999"/>
              <w:sz w:val="16"/>
              <w:szCs w:val="16"/>
            </w:rPr>
          </w:pPr>
          <w:r>
            <w:rPr>
              <w:rStyle w:val="slostrnky"/>
              <w:sz w:val="32"/>
              <w:szCs w:val="32"/>
            </w:rPr>
            <w:fldChar w:fldCharType="begin"/>
          </w:r>
          <w:r>
            <w:rPr>
              <w:rStyle w:val="slostrnky"/>
              <w:sz w:val="32"/>
              <w:szCs w:val="32"/>
            </w:rPr>
            <w:instrText xml:space="preserve"> PAGE  </w:instrText>
          </w:r>
          <w:r>
            <w:rPr>
              <w:rStyle w:val="slostrnky"/>
              <w:sz w:val="32"/>
              <w:szCs w:val="32"/>
            </w:rPr>
            <w:fldChar w:fldCharType="separate"/>
          </w:r>
          <w:r>
            <w:rPr>
              <w:rStyle w:val="slostrnky"/>
              <w:noProof/>
              <w:sz w:val="32"/>
              <w:szCs w:val="32"/>
            </w:rPr>
            <w:t>8</w:t>
          </w:r>
          <w:r>
            <w:rPr>
              <w:rStyle w:val="slostrnky"/>
              <w:sz w:val="32"/>
              <w:szCs w:val="32"/>
            </w:rPr>
            <w:fldChar w:fldCharType="end"/>
          </w:r>
        </w:p>
      </w:tc>
      <w:tc>
        <w:tcPr>
          <w:tcW w:w="4050" w:type="pct"/>
          <w:shd w:val="clear" w:color="auto" w:fill="auto"/>
          <w:vAlign w:val="center"/>
        </w:tcPr>
        <w:p w:rsidR="00631F5B" w:rsidRPr="00175F17" w:rsidRDefault="00631F5B" w:rsidP="007A1923">
          <w:pPr>
            <w:suppressAutoHyphens/>
            <w:spacing w:after="0"/>
            <w:jc w:val="left"/>
            <w:rPr>
              <w:color w:val="999999"/>
              <w:sz w:val="32"/>
              <w:szCs w:val="32"/>
            </w:rPr>
          </w:pPr>
          <w:r w:rsidRPr="0017797C">
            <w:rPr>
              <w:b/>
              <w:color w:val="999999"/>
              <w:sz w:val="16"/>
              <w:szCs w:val="16"/>
            </w:rPr>
            <w:t>Zpráva ke státnímu rozpočtu České republiky na rok 2019</w:t>
          </w:r>
        </w:p>
      </w:tc>
    </w:tr>
  </w:tbl>
  <w:p w:rsidR="00631F5B" w:rsidRPr="00A12A05" w:rsidRDefault="00631F5B" w:rsidP="007A1923">
    <w:pPr>
      <w:pStyle w:val="Zpat"/>
    </w:pPr>
  </w:p>
  <w:p w:rsidR="00631F5B" w:rsidRDefault="00631F5B"/>
  <w:p w:rsidR="00631F5B" w:rsidRDefault="00631F5B"/>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text" w:horzAnchor="page" w:tblpX="568" w:tblpY="1"/>
      <w:tblOverlap w:val="never"/>
      <w:tblW w:w="1730" w:type="pct"/>
      <w:tblBorders>
        <w:top w:val="single" w:sz="2" w:space="0" w:color="FFFFFF"/>
        <w:left w:val="single" w:sz="2" w:space="0" w:color="FFFFFF"/>
        <w:bottom w:val="single" w:sz="2" w:space="0" w:color="FFFFFF"/>
        <w:right w:val="single" w:sz="2" w:space="0" w:color="FFFFFF"/>
        <w:insideH w:val="single" w:sz="12" w:space="0" w:color="999999"/>
        <w:insideV w:val="single" w:sz="12" w:space="0" w:color="999999"/>
      </w:tblBorders>
      <w:tblLook w:val="01E0" w:firstRow="1" w:lastRow="1" w:firstColumn="1" w:lastColumn="1" w:noHBand="0" w:noVBand="0"/>
    </w:tblPr>
    <w:tblGrid>
      <w:gridCol w:w="648"/>
      <w:gridCol w:w="2761"/>
    </w:tblGrid>
    <w:tr w:rsidR="00D94B2A" w:rsidRPr="00175F17" w:rsidTr="007A1923">
      <w:trPr>
        <w:cantSplit/>
      </w:trPr>
      <w:tc>
        <w:tcPr>
          <w:tcW w:w="950" w:type="pct"/>
          <w:shd w:val="clear" w:color="auto" w:fill="auto"/>
          <w:vAlign w:val="center"/>
        </w:tcPr>
        <w:p w:rsidR="00D94B2A" w:rsidRPr="00175F17" w:rsidRDefault="00D94B2A" w:rsidP="007A1923">
          <w:pPr>
            <w:spacing w:after="0"/>
            <w:jc w:val="right"/>
            <w:rPr>
              <w:color w:val="999999"/>
              <w:sz w:val="16"/>
              <w:szCs w:val="16"/>
            </w:rPr>
          </w:pPr>
          <w:r>
            <w:rPr>
              <w:rStyle w:val="slostrnky"/>
              <w:sz w:val="32"/>
              <w:szCs w:val="32"/>
            </w:rPr>
            <w:fldChar w:fldCharType="begin"/>
          </w:r>
          <w:r>
            <w:rPr>
              <w:rStyle w:val="slostrnky"/>
              <w:sz w:val="32"/>
              <w:szCs w:val="32"/>
            </w:rPr>
            <w:instrText xml:space="preserve"> PAGE  </w:instrText>
          </w:r>
          <w:r>
            <w:rPr>
              <w:rStyle w:val="slostrnky"/>
              <w:sz w:val="32"/>
              <w:szCs w:val="32"/>
            </w:rPr>
            <w:fldChar w:fldCharType="separate"/>
          </w:r>
          <w:r>
            <w:rPr>
              <w:rStyle w:val="slostrnky"/>
              <w:noProof/>
              <w:sz w:val="32"/>
              <w:szCs w:val="32"/>
            </w:rPr>
            <w:t>8</w:t>
          </w:r>
          <w:r>
            <w:rPr>
              <w:rStyle w:val="slostrnky"/>
              <w:sz w:val="32"/>
              <w:szCs w:val="32"/>
            </w:rPr>
            <w:fldChar w:fldCharType="end"/>
          </w:r>
        </w:p>
      </w:tc>
      <w:tc>
        <w:tcPr>
          <w:tcW w:w="4050" w:type="pct"/>
          <w:shd w:val="clear" w:color="auto" w:fill="auto"/>
          <w:vAlign w:val="center"/>
        </w:tcPr>
        <w:p w:rsidR="00D94B2A" w:rsidRPr="00175F17" w:rsidRDefault="00D94B2A" w:rsidP="007A1923">
          <w:pPr>
            <w:suppressAutoHyphens/>
            <w:spacing w:after="0"/>
            <w:jc w:val="left"/>
            <w:rPr>
              <w:color w:val="999999"/>
              <w:sz w:val="32"/>
              <w:szCs w:val="32"/>
            </w:rPr>
          </w:pPr>
          <w:r w:rsidRPr="0017797C">
            <w:rPr>
              <w:b/>
              <w:color w:val="999999"/>
              <w:sz w:val="16"/>
              <w:szCs w:val="16"/>
            </w:rPr>
            <w:t>Zpráva ke státnímu rozpočtu České republiky na rok 2019</w:t>
          </w:r>
        </w:p>
      </w:tc>
    </w:tr>
  </w:tbl>
  <w:p w:rsidR="00D94B2A" w:rsidRPr="00A12A05" w:rsidRDefault="00D94B2A" w:rsidP="007A1923">
    <w:pPr>
      <w:pStyle w:val="Zpat"/>
    </w:pPr>
  </w:p>
  <w:p w:rsidR="00D94B2A" w:rsidRDefault="00D94B2A"/>
  <w:p w:rsidR="00D94B2A" w:rsidRDefault="00D94B2A"/>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B2A" w:rsidRPr="00A12A05" w:rsidRDefault="00D94B2A" w:rsidP="007A1923">
    <w:pPr>
      <w:pStyle w:val="Zpat"/>
    </w:pPr>
    <w:r>
      <w:rPr>
        <w:noProof/>
      </w:rPr>
      <mc:AlternateContent>
        <mc:Choice Requires="wps">
          <w:drawing>
            <wp:anchor distT="0" distB="0" distL="114300" distR="114300" simplePos="0" relativeHeight="251658240" behindDoc="0" locked="0" layoutInCell="1" allowOverlap="1" wp14:anchorId="0C5B3922" wp14:editId="22AB8D6B">
              <wp:simplePos x="0" y="0"/>
              <wp:positionH relativeFrom="column">
                <wp:posOffset>-113665</wp:posOffset>
              </wp:positionH>
              <wp:positionV relativeFrom="paragraph">
                <wp:posOffset>-1175385</wp:posOffset>
              </wp:positionV>
              <wp:extent cx="2743200" cy="1257300"/>
              <wp:effectExtent l="0" t="0" r="0" b="0"/>
              <wp:wrapNone/>
              <wp:docPr id="9" name="Textové pol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4B2A" w:rsidRPr="000F3D4A" w:rsidRDefault="00D94B2A" w:rsidP="007A1923">
                          <w:pPr>
                            <w:spacing w:after="0"/>
                            <w:jc w:val="left"/>
                            <w:rPr>
                              <w:b/>
                              <w:sz w:val="24"/>
                            </w:rPr>
                          </w:pPr>
                          <w:r w:rsidRPr="000F3D4A">
                            <w:rPr>
                              <w:b/>
                              <w:sz w:val="24"/>
                            </w:rPr>
                            <w:t>Ministerstvo financí České republiky</w:t>
                          </w:r>
                        </w:p>
                        <w:p w:rsidR="00D94B2A" w:rsidRPr="000F3D4A" w:rsidRDefault="00D94B2A" w:rsidP="007A1923">
                          <w:pPr>
                            <w:spacing w:after="0"/>
                            <w:jc w:val="left"/>
                            <w:rPr>
                              <w:sz w:val="24"/>
                            </w:rPr>
                          </w:pPr>
                          <w:r w:rsidRPr="000F3D4A">
                            <w:rPr>
                              <w:sz w:val="24"/>
                            </w:rPr>
                            <w:t>Letenská 15</w:t>
                          </w:r>
                        </w:p>
                        <w:p w:rsidR="00D94B2A" w:rsidRPr="000F3D4A" w:rsidRDefault="00D94B2A" w:rsidP="007A1923">
                          <w:pPr>
                            <w:spacing w:after="0"/>
                            <w:jc w:val="left"/>
                            <w:rPr>
                              <w:sz w:val="24"/>
                            </w:rPr>
                          </w:pPr>
                          <w:r w:rsidRPr="000F3D4A">
                            <w:rPr>
                              <w:sz w:val="24"/>
                            </w:rPr>
                            <w:t>118 10 Praha 1</w:t>
                          </w:r>
                        </w:p>
                        <w:p w:rsidR="00D94B2A" w:rsidRPr="000F3D4A" w:rsidRDefault="00D94B2A" w:rsidP="007A1923">
                          <w:pPr>
                            <w:spacing w:before="240" w:after="0"/>
                            <w:rPr>
                              <w:sz w:val="24"/>
                            </w:rPr>
                          </w:pPr>
                          <w:r w:rsidRPr="000F3D4A">
                            <w:rPr>
                              <w:sz w:val="24"/>
                            </w:rPr>
                            <w:t>http://www.mfcr.cz</w:t>
                          </w:r>
                        </w:p>
                      </w:txbxContent>
                    </wps:txbx>
                    <wps:bodyPr rot="0" vert="horz" wrap="square" lIns="91440" tIns="900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5B3922" id="_x0000_t202" coordsize="21600,21600" o:spt="202" path="m,l,21600r21600,l21600,xe">
              <v:stroke joinstyle="miter"/>
              <v:path gradientshapeok="t" o:connecttype="rect"/>
            </v:shapetype>
            <v:shape id="Textové pole 9" o:spid="_x0000_s1026" type="#_x0000_t202" style="position:absolute;left:0;text-align:left;margin-left:-8.95pt;margin-top:-92.55pt;width:3in;height:9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" filled="f" stroked="f">
              <v:textbox inset=",2.5mm,,0">
                <w:txbxContent>
                  <w:p w:rsidR="00D94B2A" w:rsidRPr="000F3D4A" w:rsidRDefault="00D94B2A" w:rsidP="007A1923">
                    <w:pPr>
                      <w:spacing w:after="0"/>
                      <w:jc w:val="left"/>
                      <w:rPr>
                        <w:b/>
                        <w:sz w:val="24"/>
                      </w:rPr>
                    </w:pPr>
                    <w:r w:rsidRPr="000F3D4A">
                      <w:rPr>
                        <w:b/>
                        <w:sz w:val="24"/>
                      </w:rPr>
                      <w:t>Ministerstvo financí České republiky</w:t>
                    </w:r>
                  </w:p>
                  <w:p w:rsidR="00D94B2A" w:rsidRPr="000F3D4A" w:rsidRDefault="00D94B2A" w:rsidP="007A1923">
                    <w:pPr>
                      <w:spacing w:after="0"/>
                      <w:jc w:val="left"/>
                      <w:rPr>
                        <w:sz w:val="24"/>
                      </w:rPr>
                    </w:pPr>
                    <w:r w:rsidRPr="000F3D4A">
                      <w:rPr>
                        <w:sz w:val="24"/>
                      </w:rPr>
                      <w:t>Letenská 15</w:t>
                    </w:r>
                  </w:p>
                  <w:p w:rsidR="00D94B2A" w:rsidRPr="000F3D4A" w:rsidRDefault="00D94B2A" w:rsidP="007A1923">
                    <w:pPr>
                      <w:spacing w:after="0"/>
                      <w:jc w:val="left"/>
                      <w:rPr>
                        <w:sz w:val="24"/>
                      </w:rPr>
                    </w:pPr>
                    <w:r w:rsidRPr="000F3D4A">
                      <w:rPr>
                        <w:sz w:val="24"/>
                      </w:rPr>
                      <w:t>118 10 Praha 1</w:t>
                    </w:r>
                  </w:p>
                  <w:p w:rsidR="00D94B2A" w:rsidRPr="000F3D4A" w:rsidRDefault="00D94B2A" w:rsidP="007A1923">
                    <w:pPr>
                      <w:spacing w:before="240" w:after="0"/>
                      <w:rPr>
                        <w:sz w:val="24"/>
                      </w:rPr>
                    </w:pPr>
                    <w:r w:rsidRPr="000F3D4A">
                      <w:rPr>
                        <w:sz w:val="24"/>
                      </w:rPr>
                      <w:t>http://www.mfcr.cz</w:t>
                    </w:r>
                  </w:p>
                </w:txbxContent>
              </v:textbox>
            </v:shape>
          </w:pict>
        </mc:Fallback>
      </mc:AlternateContent>
    </w:r>
    <w:r>
      <w:rPr>
        <w:noProof/>
      </w:rPr>
      <mc:AlternateContent>
        <mc:Choice Requires="wpg">
          <w:drawing>
            <wp:anchor distT="0" distB="0" distL="114300" distR="114300" simplePos="0" relativeHeight="251656192" behindDoc="1" locked="0" layoutInCell="1" allowOverlap="1" wp14:anchorId="2A5D00F6" wp14:editId="4CFAB4F5">
              <wp:simplePos x="0" y="0"/>
              <wp:positionH relativeFrom="column">
                <wp:posOffset>4572000</wp:posOffset>
              </wp:positionH>
              <wp:positionV relativeFrom="paragraph">
                <wp:posOffset>-10036175</wp:posOffset>
              </wp:positionV>
              <wp:extent cx="2352040" cy="10756265"/>
              <wp:effectExtent l="0" t="3175" r="635" b="3810"/>
              <wp:wrapNone/>
              <wp:docPr id="18" name="Skupina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52040" cy="10756265"/>
                        <a:chOff x="8334" y="-41"/>
                        <a:chExt cx="3704" cy="16939"/>
                      </a:xfrm>
                    </wpg:grpSpPr>
                    <wps:wsp>
                      <wps:cNvPr id="19" name="Rectangle 25" descr="BlueBar"/>
                      <wps:cNvSpPr>
                        <a:spLocks noChangeAspect="1" noChangeArrowheads="1"/>
                      </wps:cNvSpPr>
                      <wps:spPr bwMode="auto">
                        <a:xfrm rot="5400000">
                          <a:off x="1674" y="6619"/>
                          <a:ext cx="16920" cy="3600"/>
                        </a:xfrm>
                        <a:prstGeom prst="rect">
                          <a:avLst/>
                        </a:prstGeom>
                        <a:gradFill rotWithShape="1">
                          <a:gsLst>
                            <a:gs pos="0">
                              <a:srgbClr val="995979"/>
                            </a:gs>
                            <a:gs pos="100000">
                              <a:srgbClr val="995979">
                                <a:gamma/>
                                <a:tint val="20000"/>
                                <a:invGamma/>
                              </a:srgb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Text Box 26"/>
                      <wps:cNvSpPr txBox="1">
                        <a:spLocks noChangeAspect="1" noChangeArrowheads="1"/>
                      </wps:cNvSpPr>
                      <wps:spPr bwMode="auto">
                        <a:xfrm>
                          <a:off x="8798" y="-22"/>
                          <a:ext cx="3240" cy="16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4B2A" w:rsidRPr="006F476A" w:rsidRDefault="00D94B2A" w:rsidP="007A1923">
                            <w:pPr>
                              <w:rPr>
                                <w:color w:val="FFFFFF"/>
                              </w:rPr>
                            </w:pP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 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p>
                        </w:txbxContent>
                      </wps:txbx>
                      <wps:bodyPr rot="0" vert="vert" wrap="square" lIns="9000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5D00F6" id="Skupina 18" o:spid="_x0000_s1027" style="position:absolute;left:0;text-align:left;margin-left:5in;margin-top:-790.25pt;width:185.2pt;height:846.95pt;z-index:-251659264" coordorigin="8334,-41" coordsize="3704,16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">
              <v:rect id="Rectangle 25" o:spid="_x0000_s1028" alt="BlueBar" style="position:absolute;left:1674;top:6619;width:16920;height:360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" fillcolor="#995979" stroked="f">
                <v:fill color2="#ebdee4" rotate="t" focus="100%" type="gradient"/>
                <o:lock v:ext="edit" aspectratio="t"/>
              </v:rect>
              <v:shape id="Text Box 26" o:spid="_x0000_s1029" type="#_x0000_t202" style="position:absolute;left:8798;top:-22;width:3240;height:169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" filled="f" stroked="f">
                <o:lock v:ext="edit" aspectratio="t"/>
                <v:textbox style="layout-flow:vertical" inset="2.5mm">
                  <w:txbxContent>
                    <w:p w:rsidR="00D94B2A" w:rsidRPr="006F476A" w:rsidRDefault="00D94B2A" w:rsidP="007A1923">
                      <w:pPr>
                        <w:rPr>
                          <w:color w:val="FFFFFF"/>
                        </w:rPr>
                      </w:pP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 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p>
                  </w:txbxContent>
                </v:textbox>
              </v:shape>
            </v:group>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C4B" w:rsidRPr="00A12A05" w:rsidRDefault="00AD1B46" w:rsidP="007A1923">
    <w:pPr>
      <w:pStyle w:val="Zpat"/>
    </w:pPr>
    <w:r>
      <w:rPr>
        <w:noProof/>
      </w:rPr>
      <mc:AlternateContent>
        <mc:Choice Requires="wps">
          <w:drawing>
            <wp:anchor distT="0" distB="0" distL="114300" distR="114300" simplePos="0" relativeHeight="251659264" behindDoc="0" locked="0" layoutInCell="1" allowOverlap="1" wp14:anchorId="2EBFE57F" wp14:editId="12D3FE00">
              <wp:simplePos x="0" y="0"/>
              <wp:positionH relativeFrom="column">
                <wp:posOffset>-113665</wp:posOffset>
              </wp:positionH>
              <wp:positionV relativeFrom="paragraph">
                <wp:posOffset>-1175385</wp:posOffset>
              </wp:positionV>
              <wp:extent cx="2743200" cy="1257300"/>
              <wp:effectExtent l="0" t="0" r="0" b="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5C4B" w:rsidRPr="000F3D4A" w:rsidRDefault="00AD1B46" w:rsidP="007A1923">
                          <w:pPr>
                            <w:spacing w:after="0"/>
                            <w:jc w:val="left"/>
                            <w:rPr>
                              <w:b/>
                              <w:sz w:val="24"/>
                            </w:rPr>
                          </w:pPr>
                          <w:r w:rsidRPr="000F3D4A">
                            <w:rPr>
                              <w:b/>
                              <w:sz w:val="24"/>
                            </w:rPr>
                            <w:t>Ministerstvo financí České republiky</w:t>
                          </w:r>
                        </w:p>
                        <w:p w:rsidR="00B05C4B" w:rsidRPr="000F3D4A" w:rsidRDefault="00AD1B46" w:rsidP="007A1923">
                          <w:pPr>
                            <w:spacing w:after="0"/>
                            <w:jc w:val="left"/>
                            <w:rPr>
                              <w:sz w:val="24"/>
                            </w:rPr>
                          </w:pPr>
                          <w:r w:rsidRPr="000F3D4A">
                            <w:rPr>
                              <w:sz w:val="24"/>
                            </w:rPr>
                            <w:t>Letenská 15</w:t>
                          </w:r>
                        </w:p>
                        <w:p w:rsidR="00B05C4B" w:rsidRPr="000F3D4A" w:rsidRDefault="00AD1B46" w:rsidP="007A1923">
                          <w:pPr>
                            <w:spacing w:after="0"/>
                            <w:jc w:val="left"/>
                            <w:rPr>
                              <w:sz w:val="24"/>
                            </w:rPr>
                          </w:pPr>
                          <w:r w:rsidRPr="000F3D4A">
                            <w:rPr>
                              <w:sz w:val="24"/>
                            </w:rPr>
                            <w:t>118 10 Praha 1</w:t>
                          </w:r>
                        </w:p>
                        <w:p w:rsidR="00B05C4B" w:rsidRPr="000F3D4A" w:rsidRDefault="00AD1B46" w:rsidP="007A1923">
                          <w:pPr>
                            <w:spacing w:before="240" w:after="0"/>
                            <w:rPr>
                              <w:sz w:val="24"/>
                            </w:rPr>
                          </w:pPr>
                          <w:r w:rsidRPr="000F3D4A">
                            <w:rPr>
                              <w:sz w:val="24"/>
                            </w:rPr>
                            <w:t>http://www.mfcr.cz</w:t>
                          </w:r>
                        </w:p>
                      </w:txbxContent>
                    </wps:txbx>
                    <wps:bodyPr rot="0" vert="horz" wrap="square" lIns="91440" tIns="900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BFE57F" id="_x0000_t202" coordsize="21600,21600" o:spt="202" path="m,l,21600r21600,l21600,xe">
              <v:stroke joinstyle="miter"/>
              <v:path gradientshapeok="t" o:connecttype="rect"/>
            </v:shapetype>
            <v:shape id="Textové pole 1" o:spid="_x0000_s1030" type="#_x0000_t202" style="position:absolute;left:0;text-align:left;margin-left:-8.95pt;margin-top:-92.55pt;width:3in;height:9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" filled="f" stroked="f">
              <v:textbox inset=",2.5mm,,0">
                <w:txbxContent>
                  <w:p w:rsidR="00B05C4B" w:rsidRPr="000F3D4A" w:rsidRDefault="00AD1B46" w:rsidP="007A1923">
                    <w:pPr>
                      <w:spacing w:after="0"/>
                      <w:jc w:val="left"/>
                      <w:rPr>
                        <w:b/>
                        <w:sz w:val="24"/>
                      </w:rPr>
                    </w:pPr>
                    <w:r w:rsidRPr="000F3D4A">
                      <w:rPr>
                        <w:b/>
                        <w:sz w:val="24"/>
                      </w:rPr>
                      <w:t>Ministerstvo financí České republiky</w:t>
                    </w:r>
                  </w:p>
                  <w:p w:rsidR="00B05C4B" w:rsidRPr="000F3D4A" w:rsidRDefault="00AD1B46" w:rsidP="007A1923">
                    <w:pPr>
                      <w:spacing w:after="0"/>
                      <w:jc w:val="left"/>
                      <w:rPr>
                        <w:sz w:val="24"/>
                      </w:rPr>
                    </w:pPr>
                    <w:r w:rsidRPr="000F3D4A">
                      <w:rPr>
                        <w:sz w:val="24"/>
                      </w:rPr>
                      <w:t>Letenská 15</w:t>
                    </w:r>
                  </w:p>
                  <w:p w:rsidR="00B05C4B" w:rsidRPr="000F3D4A" w:rsidRDefault="00AD1B46" w:rsidP="007A1923">
                    <w:pPr>
                      <w:spacing w:after="0"/>
                      <w:jc w:val="left"/>
                      <w:rPr>
                        <w:sz w:val="24"/>
                      </w:rPr>
                    </w:pPr>
                    <w:r w:rsidRPr="000F3D4A">
                      <w:rPr>
                        <w:sz w:val="24"/>
                      </w:rPr>
                      <w:t>118 10 Praha 1</w:t>
                    </w:r>
                  </w:p>
                  <w:p w:rsidR="00B05C4B" w:rsidRPr="000F3D4A" w:rsidRDefault="00AD1B46" w:rsidP="007A1923">
                    <w:pPr>
                      <w:spacing w:before="240" w:after="0"/>
                      <w:rPr>
                        <w:sz w:val="24"/>
                      </w:rPr>
                    </w:pPr>
                    <w:r w:rsidRPr="000F3D4A">
                      <w:rPr>
                        <w:sz w:val="24"/>
                      </w:rPr>
                      <w:t>http://www.mfcr.cz</w:t>
                    </w:r>
                  </w:p>
                </w:txbxContent>
              </v:textbox>
            </v:shape>
          </w:pict>
        </mc:Fallback>
      </mc:AlternateContent>
    </w:r>
    <w:r>
      <w:rPr>
        <w:noProof/>
      </w:rPr>
      <mc:AlternateContent>
        <mc:Choice Requires="wpg">
          <w:drawing>
            <wp:anchor distT="0" distB="0" distL="114300" distR="114300" simplePos="0" relativeHeight="251657216" behindDoc="1" locked="0" layoutInCell="1" allowOverlap="1" wp14:anchorId="69C3F6B3" wp14:editId="1DDC33C8">
              <wp:simplePos x="0" y="0"/>
              <wp:positionH relativeFrom="column">
                <wp:posOffset>4572000</wp:posOffset>
              </wp:positionH>
              <wp:positionV relativeFrom="paragraph">
                <wp:posOffset>-10036175</wp:posOffset>
              </wp:positionV>
              <wp:extent cx="2352040" cy="10756265"/>
              <wp:effectExtent l="0" t="3175" r="635" b="381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52040" cy="10756265"/>
                        <a:chOff x="8334" y="-41"/>
                        <a:chExt cx="3704" cy="16939"/>
                      </a:xfrm>
                    </wpg:grpSpPr>
                    <wps:wsp>
                      <wps:cNvPr id="4" name="Rectangle 25" descr="BlueBar"/>
                      <wps:cNvSpPr>
                        <a:spLocks noChangeAspect="1" noChangeArrowheads="1"/>
                      </wps:cNvSpPr>
                      <wps:spPr bwMode="auto">
                        <a:xfrm rot="5400000">
                          <a:off x="1674" y="6619"/>
                          <a:ext cx="16920" cy="3600"/>
                        </a:xfrm>
                        <a:prstGeom prst="rect">
                          <a:avLst/>
                        </a:prstGeom>
                        <a:gradFill rotWithShape="1">
                          <a:gsLst>
                            <a:gs pos="0">
                              <a:srgbClr val="995979"/>
                            </a:gs>
                            <a:gs pos="100000">
                              <a:srgbClr val="995979">
                                <a:gamma/>
                                <a:tint val="20000"/>
                                <a:invGamma/>
                              </a:srgb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Text Box 26"/>
                      <wps:cNvSpPr txBox="1">
                        <a:spLocks noChangeAspect="1" noChangeArrowheads="1"/>
                      </wps:cNvSpPr>
                      <wps:spPr bwMode="auto">
                        <a:xfrm>
                          <a:off x="8798" y="-22"/>
                          <a:ext cx="3240" cy="16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5C4B" w:rsidRPr="006F476A" w:rsidRDefault="00AD1B46" w:rsidP="007A1923">
                            <w:pPr>
                              <w:rPr>
                                <w:color w:val="FFFFFF"/>
                              </w:rPr>
                            </w:pP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 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p>
                        </w:txbxContent>
                      </wps:txbx>
                      <wps:bodyPr rot="0" vert="vert" wrap="square" lIns="9000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C3F6B3" id="Skupina 2" o:spid="_x0000_s1031" style="position:absolute;left:0;text-align:left;margin-left:5in;margin-top:-790.25pt;width:185.2pt;height:846.95pt;z-index:-251659264" coordorigin="8334,-41" coordsize="3704,16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">
              <v:rect id="Rectangle 25" o:spid="_x0000_s1032" alt="BlueBar" style="position:absolute;left:1674;top:6619;width:16920;height:360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" fillcolor="#995979" stroked="f">
                <v:fill color2="#ebdee4" rotate="t" focus="100%" type="gradient"/>
                <o:lock v:ext="edit" aspectratio="t"/>
              </v:rect>
              <v:shape id="Text Box 26" o:spid="_x0000_s1033" type="#_x0000_t202" style="position:absolute;left:8798;top:-22;width:3240;height:169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" filled="f" stroked="f">
                <o:lock v:ext="edit" aspectratio="t"/>
                <v:textbox style="layout-flow:vertical" inset="2.5mm">
                  <w:txbxContent>
                    <w:p w:rsidR="00B05C4B" w:rsidRPr="006F476A" w:rsidRDefault="00AD1B46" w:rsidP="007A1923">
                      <w:pPr>
                        <w:rPr>
                          <w:color w:val="FFFFFF"/>
                        </w:rPr>
                      </w:pP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 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25D7" w:rsidRDefault="006125D7" w:rsidP="00332D4D">
      <w:pPr>
        <w:spacing w:after="0"/>
      </w:pPr>
      <w:r>
        <w:separator/>
      </w:r>
    </w:p>
  </w:footnote>
  <w:footnote w:type="continuationSeparator" w:id="0">
    <w:p w:rsidR="006125D7" w:rsidRDefault="006125D7" w:rsidP="00332D4D">
      <w:pPr>
        <w:spacing w:after="0"/>
      </w:pPr>
      <w:r>
        <w:continuationSeparator/>
      </w:r>
    </w:p>
  </w:footnote>
  <w:footnote w:id="1">
    <w:p w:rsidR="003E6E6A" w:rsidRDefault="003E6E6A" w:rsidP="00201EE5">
      <w:pPr>
        <w:pStyle w:val="Textpoznpodarou"/>
        <w:spacing w:after="0"/>
      </w:pPr>
      <w:r>
        <w:rPr>
          <w:rStyle w:val="Znakapoznpodarou"/>
        </w:rPr>
        <w:footnoteRef/>
      </w:r>
      <w:r>
        <w:t xml:space="preserve"> </w:t>
      </w:r>
      <w:r w:rsidRPr="00947503">
        <w:t xml:space="preserve">Porovnání makroekonomického rámce s aktuální prognózou Evropské komise podle požadavků </w:t>
      </w:r>
      <w:r>
        <w:t>zákona č. 23/2017 Sb., o pravidlech rozpočtové odpovědnosti</w:t>
      </w:r>
      <w:r w:rsidR="00201EE5">
        <w:t>, ve znění pozdějších předpisů</w:t>
      </w:r>
      <w:r w:rsidRPr="0094750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F5B" w:rsidRDefault="00631F5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F5B" w:rsidRDefault="00631F5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F5B" w:rsidRDefault="00631F5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F5B" w:rsidRDefault="00631F5B" w:rsidP="00343525"/>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B2A" w:rsidRDefault="00D94B2A" w:rsidP="00343525"/>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B2A" w:rsidRDefault="00D94B2A">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C4B" w:rsidRDefault="00A90CB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7D0E93A"/>
    <w:lvl w:ilvl="0">
      <w:start w:val="1"/>
      <w:numFmt w:val="decimal"/>
      <w:lvlText w:val="%1."/>
      <w:lvlJc w:val="left"/>
      <w:pPr>
        <w:tabs>
          <w:tab w:val="num" w:pos="926"/>
        </w:tabs>
        <w:ind w:left="926" w:hanging="360"/>
      </w:pPr>
    </w:lvl>
  </w:abstractNum>
  <w:abstractNum w:abstractNumId="1" w15:restartNumberingAfterBreak="0">
    <w:nsid w:val="FFFFFFFE"/>
    <w:multiLevelType w:val="singleLevel"/>
    <w:tmpl w:val="C1C2A784"/>
    <w:lvl w:ilvl="0">
      <w:numFmt w:val="bullet"/>
      <w:lvlText w:val="*"/>
      <w:lvlJc w:val="left"/>
    </w:lvl>
  </w:abstractNum>
  <w:abstractNum w:abstractNumId="2" w15:restartNumberingAfterBreak="0">
    <w:nsid w:val="06510C8F"/>
    <w:multiLevelType w:val="hybridMultilevel"/>
    <w:tmpl w:val="180288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4472"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7C36C3A"/>
    <w:multiLevelType w:val="hybridMultilevel"/>
    <w:tmpl w:val="67D82D26"/>
    <w:lvl w:ilvl="0" w:tplc="04050017">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04516C"/>
    <w:multiLevelType w:val="hybridMultilevel"/>
    <w:tmpl w:val="CA3E4E36"/>
    <w:lvl w:ilvl="0" w:tplc="3BD83D1E">
      <w:start w:val="1"/>
      <w:numFmt w:val="bullet"/>
      <w:lvlText w:val=""/>
      <w:lvlJc w:val="left"/>
      <w:pPr>
        <w:tabs>
          <w:tab w:val="num" w:pos="170"/>
        </w:tabs>
        <w:ind w:left="1078" w:hanging="1078"/>
      </w:pPr>
      <w:rPr>
        <w:rFonts w:ascii="Symbol" w:hAnsi="Symbol" w:hint="default"/>
      </w:rPr>
    </w:lvl>
    <w:lvl w:ilvl="1" w:tplc="7DC8EA06">
      <w:start w:val="5"/>
      <w:numFmt w:val="upperLetter"/>
      <w:lvlText w:val="%2."/>
      <w:lvlJc w:val="left"/>
      <w:pPr>
        <w:tabs>
          <w:tab w:val="num" w:pos="1080"/>
        </w:tabs>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0B754639"/>
    <w:multiLevelType w:val="hybridMultilevel"/>
    <w:tmpl w:val="86784518"/>
    <w:lvl w:ilvl="0" w:tplc="3522B648">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CF425E7"/>
    <w:multiLevelType w:val="hybridMultilevel"/>
    <w:tmpl w:val="9CA292CC"/>
    <w:lvl w:ilvl="0" w:tplc="04050017">
      <w:start w:val="1"/>
      <w:numFmt w:val="lowerLetter"/>
      <w:lvlText w:val="%1)"/>
      <w:lvlJc w:val="left"/>
      <w:pPr>
        <w:ind w:left="1429" w:hanging="360"/>
      </w:pPr>
    </w:lvl>
    <w:lvl w:ilvl="1" w:tplc="04050017">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15:restartNumberingAfterBreak="0">
    <w:nsid w:val="18B34158"/>
    <w:multiLevelType w:val="hybridMultilevel"/>
    <w:tmpl w:val="2E502622"/>
    <w:lvl w:ilvl="0" w:tplc="D41480FA">
      <w:start w:val="1"/>
      <w:numFmt w:val="bullet"/>
      <w:lvlText w:val=""/>
      <w:lvlJc w:val="left"/>
      <w:pPr>
        <w:tabs>
          <w:tab w:val="num" w:pos="1106"/>
        </w:tabs>
        <w:ind w:left="1389" w:hanging="1105"/>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96542D"/>
    <w:multiLevelType w:val="hybridMultilevel"/>
    <w:tmpl w:val="00C27B2C"/>
    <w:lvl w:ilvl="0" w:tplc="0405001B">
      <w:start w:val="1"/>
      <w:numFmt w:val="lowerRoman"/>
      <w:lvlText w:val="%1."/>
      <w:lvlJc w:val="right"/>
      <w:pPr>
        <w:ind w:left="720" w:hanging="360"/>
      </w:pPr>
    </w:lvl>
    <w:lvl w:ilvl="1" w:tplc="9000EC0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9E15A6"/>
    <w:multiLevelType w:val="multilevel"/>
    <w:tmpl w:val="D4181EF2"/>
    <w:lvl w:ilvl="0">
      <w:start w:val="1"/>
      <w:numFmt w:val="decimal"/>
      <w:pStyle w:val="Nadpis1"/>
      <w:lvlText w:val="%1"/>
      <w:lvlJc w:val="left"/>
      <w:pPr>
        <w:tabs>
          <w:tab w:val="num" w:pos="567"/>
        </w:tabs>
        <w:ind w:left="567" w:hanging="567"/>
      </w:pPr>
      <w:rPr>
        <w:rFonts w:ascii="Calibri" w:hAnsi="Calibri" w:hint="default"/>
        <w:color w:val="auto"/>
      </w:rPr>
    </w:lvl>
    <w:lvl w:ilvl="1">
      <w:start w:val="1"/>
      <w:numFmt w:val="decimal"/>
      <w:pStyle w:val="Nadpis2"/>
      <w:lvlText w:val="%1.%2"/>
      <w:lvlJc w:val="left"/>
      <w:pPr>
        <w:tabs>
          <w:tab w:val="num" w:pos="2269"/>
        </w:tabs>
        <w:ind w:left="2269" w:hanging="567"/>
      </w:pPr>
      <w:rPr>
        <w:rFonts w:hint="default"/>
        <w:b/>
      </w:rPr>
    </w:lvl>
    <w:lvl w:ilvl="2">
      <w:start w:val="1"/>
      <w:numFmt w:val="decimal"/>
      <w:pStyle w:val="Nadpis3"/>
      <w:lvlText w:val="%1.%2.%3"/>
      <w:lvlJc w:val="left"/>
      <w:pPr>
        <w:tabs>
          <w:tab w:val="num" w:pos="5257"/>
        </w:tabs>
        <w:ind w:left="5257"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8C66AF3"/>
    <w:multiLevelType w:val="hybridMultilevel"/>
    <w:tmpl w:val="7A72EEF2"/>
    <w:lvl w:ilvl="0" w:tplc="2B76D952">
      <w:start w:val="1"/>
      <w:numFmt w:val="bullet"/>
      <w:lvlText w:val=""/>
      <w:lvlJc w:val="left"/>
      <w:pPr>
        <w:tabs>
          <w:tab w:val="num" w:pos="1275"/>
        </w:tabs>
        <w:ind w:left="1275" w:hanging="567"/>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2DE152CB"/>
    <w:multiLevelType w:val="hybridMultilevel"/>
    <w:tmpl w:val="ED06804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883A2C"/>
    <w:multiLevelType w:val="hybridMultilevel"/>
    <w:tmpl w:val="D34235B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35F94892"/>
    <w:multiLevelType w:val="hybridMultilevel"/>
    <w:tmpl w:val="3F341808"/>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662474"/>
    <w:multiLevelType w:val="hybridMultilevel"/>
    <w:tmpl w:val="7DE8BE2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732337B"/>
    <w:multiLevelType w:val="hybridMultilevel"/>
    <w:tmpl w:val="7864EF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4472"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A2C5894"/>
    <w:multiLevelType w:val="hybridMultilevel"/>
    <w:tmpl w:val="BF187128"/>
    <w:lvl w:ilvl="0" w:tplc="04050019">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E271B8"/>
    <w:multiLevelType w:val="hybridMultilevel"/>
    <w:tmpl w:val="E03CDDC0"/>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F039B4"/>
    <w:multiLevelType w:val="hybridMultilevel"/>
    <w:tmpl w:val="C1AA1666"/>
    <w:lvl w:ilvl="0" w:tplc="2B76D952">
      <w:start w:val="1"/>
      <w:numFmt w:val="bullet"/>
      <w:lvlText w:val=""/>
      <w:lvlJc w:val="left"/>
      <w:pPr>
        <w:tabs>
          <w:tab w:val="num" w:pos="1275"/>
        </w:tabs>
        <w:ind w:left="1275" w:hanging="567"/>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3F5A2276"/>
    <w:multiLevelType w:val="hybridMultilevel"/>
    <w:tmpl w:val="E44E262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42033C76"/>
    <w:multiLevelType w:val="hybridMultilevel"/>
    <w:tmpl w:val="8A62718A"/>
    <w:lvl w:ilvl="0" w:tplc="2B76D952">
      <w:start w:val="1"/>
      <w:numFmt w:val="bullet"/>
      <w:lvlText w:val=""/>
      <w:lvlJc w:val="left"/>
      <w:pPr>
        <w:tabs>
          <w:tab w:val="num" w:pos="567"/>
        </w:tabs>
        <w:ind w:left="567" w:hanging="567"/>
      </w:pPr>
      <w:rPr>
        <w:rFonts w:ascii="Symbol" w:hAnsi="Symbol" w:hint="default"/>
      </w:rPr>
    </w:lvl>
    <w:lvl w:ilvl="1" w:tplc="2B76D952">
      <w:start w:val="1"/>
      <w:numFmt w:val="bullet"/>
      <w:lvlText w:val=""/>
      <w:lvlJc w:val="left"/>
      <w:pPr>
        <w:tabs>
          <w:tab w:val="num" w:pos="1647"/>
        </w:tabs>
        <w:ind w:left="1647" w:hanging="567"/>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4B2CB0"/>
    <w:multiLevelType w:val="hybridMultilevel"/>
    <w:tmpl w:val="507030E8"/>
    <w:lvl w:ilvl="0" w:tplc="17A8D9A0">
      <w:start w:val="1"/>
      <w:numFmt w:val="lowerRoman"/>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22" w15:restartNumberingAfterBreak="0">
    <w:nsid w:val="4651619E"/>
    <w:multiLevelType w:val="hybridMultilevel"/>
    <w:tmpl w:val="629EE3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A00450"/>
    <w:multiLevelType w:val="hybridMultilevel"/>
    <w:tmpl w:val="3F341808"/>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CC26E90"/>
    <w:multiLevelType w:val="hybridMultilevel"/>
    <w:tmpl w:val="969EB758"/>
    <w:lvl w:ilvl="0" w:tplc="04050017">
      <w:start w:val="1"/>
      <w:numFmt w:val="lowerLetter"/>
      <w:lvlText w:val="%1)"/>
      <w:lvlJc w:val="left"/>
      <w:pPr>
        <w:ind w:left="5038" w:hanging="360"/>
      </w:pPr>
    </w:lvl>
    <w:lvl w:ilvl="1" w:tplc="04050019" w:tentative="1">
      <w:start w:val="1"/>
      <w:numFmt w:val="lowerLetter"/>
      <w:lvlText w:val="%2."/>
      <w:lvlJc w:val="left"/>
      <w:pPr>
        <w:ind w:left="5758" w:hanging="360"/>
      </w:pPr>
    </w:lvl>
    <w:lvl w:ilvl="2" w:tplc="0405001B" w:tentative="1">
      <w:start w:val="1"/>
      <w:numFmt w:val="lowerRoman"/>
      <w:lvlText w:val="%3."/>
      <w:lvlJc w:val="right"/>
      <w:pPr>
        <w:ind w:left="6478" w:hanging="180"/>
      </w:pPr>
    </w:lvl>
    <w:lvl w:ilvl="3" w:tplc="0405000F" w:tentative="1">
      <w:start w:val="1"/>
      <w:numFmt w:val="decimal"/>
      <w:lvlText w:val="%4."/>
      <w:lvlJc w:val="left"/>
      <w:pPr>
        <w:ind w:left="7198" w:hanging="360"/>
      </w:pPr>
    </w:lvl>
    <w:lvl w:ilvl="4" w:tplc="04050019" w:tentative="1">
      <w:start w:val="1"/>
      <w:numFmt w:val="lowerLetter"/>
      <w:lvlText w:val="%5."/>
      <w:lvlJc w:val="left"/>
      <w:pPr>
        <w:ind w:left="7918" w:hanging="360"/>
      </w:pPr>
    </w:lvl>
    <w:lvl w:ilvl="5" w:tplc="0405001B" w:tentative="1">
      <w:start w:val="1"/>
      <w:numFmt w:val="lowerRoman"/>
      <w:lvlText w:val="%6."/>
      <w:lvlJc w:val="right"/>
      <w:pPr>
        <w:ind w:left="8638" w:hanging="180"/>
      </w:pPr>
    </w:lvl>
    <w:lvl w:ilvl="6" w:tplc="0405000F" w:tentative="1">
      <w:start w:val="1"/>
      <w:numFmt w:val="decimal"/>
      <w:lvlText w:val="%7."/>
      <w:lvlJc w:val="left"/>
      <w:pPr>
        <w:ind w:left="9358" w:hanging="360"/>
      </w:pPr>
    </w:lvl>
    <w:lvl w:ilvl="7" w:tplc="04050019" w:tentative="1">
      <w:start w:val="1"/>
      <w:numFmt w:val="lowerLetter"/>
      <w:lvlText w:val="%8."/>
      <w:lvlJc w:val="left"/>
      <w:pPr>
        <w:ind w:left="10078" w:hanging="360"/>
      </w:pPr>
    </w:lvl>
    <w:lvl w:ilvl="8" w:tplc="0405001B" w:tentative="1">
      <w:start w:val="1"/>
      <w:numFmt w:val="lowerRoman"/>
      <w:lvlText w:val="%9."/>
      <w:lvlJc w:val="right"/>
      <w:pPr>
        <w:ind w:left="10798" w:hanging="180"/>
      </w:pPr>
    </w:lvl>
  </w:abstractNum>
  <w:abstractNum w:abstractNumId="25" w15:restartNumberingAfterBreak="0">
    <w:nsid w:val="53C74D05"/>
    <w:multiLevelType w:val="hybridMultilevel"/>
    <w:tmpl w:val="FC8C38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52D71C8"/>
    <w:multiLevelType w:val="hybridMultilevel"/>
    <w:tmpl w:val="C79C1FB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CC9639E"/>
    <w:multiLevelType w:val="multilevel"/>
    <w:tmpl w:val="DF30E1C8"/>
    <w:styleLink w:val="StylSodrkami"/>
    <w:lvl w:ilvl="0">
      <w:start w:val="1"/>
      <w:numFmt w:val="bullet"/>
      <w:lvlText w:val="−"/>
      <w:lvlJc w:val="left"/>
      <w:pPr>
        <w:tabs>
          <w:tab w:val="num" w:pos="720"/>
        </w:tabs>
        <w:ind w:left="720" w:hanging="360"/>
      </w:pPr>
      <w:rPr>
        <w:rFonts w:ascii="Calibri" w:hAnsi="Calibri"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7934CC6"/>
    <w:multiLevelType w:val="hybridMultilevel"/>
    <w:tmpl w:val="1CBC9A0A"/>
    <w:lvl w:ilvl="0" w:tplc="04050017">
      <w:start w:val="1"/>
      <w:numFmt w:val="lowerLetter"/>
      <w:lvlText w:val="%1)"/>
      <w:lvlJc w:val="left"/>
      <w:pPr>
        <w:ind w:left="1429" w:hanging="360"/>
      </w:pPr>
    </w:lvl>
    <w:lvl w:ilvl="1" w:tplc="04050017">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9" w15:restartNumberingAfterBreak="0">
    <w:nsid w:val="6C3D1E20"/>
    <w:multiLevelType w:val="hybridMultilevel"/>
    <w:tmpl w:val="E5BCF8E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E783B01"/>
    <w:multiLevelType w:val="hybridMultilevel"/>
    <w:tmpl w:val="A0D6D5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72EB6A47"/>
    <w:multiLevelType w:val="hybridMultilevel"/>
    <w:tmpl w:val="C8167C36"/>
    <w:lvl w:ilvl="0" w:tplc="2B76D952">
      <w:start w:val="1"/>
      <w:numFmt w:val="bullet"/>
      <w:lvlText w:val=""/>
      <w:lvlJc w:val="left"/>
      <w:pPr>
        <w:tabs>
          <w:tab w:val="num" w:pos="1275"/>
        </w:tabs>
        <w:ind w:left="1275" w:hanging="567"/>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32" w15:restartNumberingAfterBreak="0">
    <w:nsid w:val="761719E6"/>
    <w:multiLevelType w:val="hybridMultilevel"/>
    <w:tmpl w:val="44E8D2D4"/>
    <w:lvl w:ilvl="0" w:tplc="E0C0DC1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A014842"/>
    <w:multiLevelType w:val="multilevel"/>
    <w:tmpl w:val="5330EC4A"/>
    <w:lvl w:ilvl="0">
      <w:start w:val="1"/>
      <w:numFmt w:val="upperLetter"/>
      <w:pStyle w:val="NadpisAB"/>
      <w:lvlText w:val="%1"/>
      <w:lvlJc w:val="left"/>
      <w:pPr>
        <w:tabs>
          <w:tab w:val="num" w:pos="567"/>
        </w:tabs>
        <w:ind w:left="567" w:hanging="567"/>
      </w:pPr>
      <w:rPr>
        <w:rFonts w:ascii="Calibri" w:hAnsi="Calibri" w:hint="default"/>
        <w:color w:val="auto"/>
      </w:rPr>
    </w:lvl>
    <w:lvl w:ilvl="1">
      <w:start w:val="1"/>
      <w:numFmt w:val="decimal"/>
      <w:lvlText w:val="%1.%2"/>
      <w:lvlJc w:val="left"/>
      <w:pPr>
        <w:tabs>
          <w:tab w:val="num" w:pos="567"/>
        </w:tabs>
        <w:ind w:left="567" w:hanging="567"/>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C9A7F40"/>
    <w:multiLevelType w:val="hybridMultilevel"/>
    <w:tmpl w:val="ED881F64"/>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D55727B"/>
    <w:multiLevelType w:val="hybridMultilevel"/>
    <w:tmpl w:val="0CE06802"/>
    <w:lvl w:ilvl="0" w:tplc="04050001">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27"/>
  </w:num>
  <w:num w:numId="3">
    <w:abstractNumId w:val="33"/>
  </w:num>
  <w:num w:numId="4">
    <w:abstractNumId w:val="14"/>
  </w:num>
  <w:num w:numId="5">
    <w:abstractNumId w:val="35"/>
  </w:num>
  <w:num w:numId="6">
    <w:abstractNumId w:val="5"/>
  </w:num>
  <w:num w:numId="7">
    <w:abstractNumId w:val="16"/>
  </w:num>
  <w:num w:numId="8">
    <w:abstractNumId w:val="8"/>
  </w:num>
  <w:num w:numId="9">
    <w:abstractNumId w:val="6"/>
  </w:num>
  <w:num w:numId="10">
    <w:abstractNumId w:val="28"/>
  </w:num>
  <w:num w:numId="11">
    <w:abstractNumId w:val="21"/>
  </w:num>
  <w:num w:numId="12">
    <w:abstractNumId w:val="24"/>
  </w:num>
  <w:num w:numId="13">
    <w:abstractNumId w:val="3"/>
  </w:num>
  <w:num w:numId="14">
    <w:abstractNumId w:val="23"/>
  </w:num>
  <w:num w:numId="15">
    <w:abstractNumId w:val="13"/>
  </w:num>
  <w:num w:numId="16">
    <w:abstractNumId w:val="0"/>
  </w:num>
  <w:num w:numId="17">
    <w:abstractNumId w:val="4"/>
  </w:num>
  <w:num w:numId="18">
    <w:abstractNumId w:val="15"/>
  </w:num>
  <w:num w:numId="19">
    <w:abstractNumId w:val="2"/>
  </w:num>
  <w:num w:numId="20">
    <w:abstractNumId w:val="34"/>
  </w:num>
  <w:num w:numId="21">
    <w:abstractNumId w:val="25"/>
  </w:num>
  <w:num w:numId="22">
    <w:abstractNumId w:val="29"/>
  </w:num>
  <w:num w:numId="23">
    <w:abstractNumId w:val="22"/>
  </w:num>
  <w:num w:numId="24">
    <w:abstractNumId w:val="17"/>
  </w:num>
  <w:num w:numId="25">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6">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7">
    <w:abstractNumId w:val="7"/>
  </w:num>
  <w:num w:numId="28">
    <w:abstractNumId w:val="10"/>
  </w:num>
  <w:num w:numId="29">
    <w:abstractNumId w:val="18"/>
  </w:num>
  <w:num w:numId="30">
    <w:abstractNumId w:val="20"/>
  </w:num>
  <w:num w:numId="31">
    <w:abstractNumId w:val="31"/>
  </w:num>
  <w:num w:numId="32">
    <w:abstractNumId w:val="26"/>
  </w:num>
  <w:num w:numId="33">
    <w:abstractNumId w:val="19"/>
  </w:num>
  <w:num w:numId="34">
    <w:abstractNumId w:val="12"/>
  </w:num>
  <w:num w:numId="35">
    <w:abstractNumId w:val="32"/>
  </w:num>
  <w:num w:numId="36">
    <w:abstractNumId w:val="1"/>
    <w:lvlOverride w:ilvl="0">
      <w:lvl w:ilvl="0">
        <w:start w:val="3"/>
        <w:numFmt w:val="bullet"/>
        <w:lvlText w:val="-"/>
        <w:legacy w:legacy="1" w:legacySpace="120" w:legacyIndent="360"/>
        <w:lvlJc w:val="left"/>
        <w:pPr>
          <w:ind w:left="720" w:hanging="360"/>
        </w:pPr>
      </w:lvl>
    </w:lvlOverride>
  </w:num>
  <w:num w:numId="37">
    <w:abstractNumId w:val="30"/>
  </w:num>
  <w:num w:numId="38">
    <w:abstractNumId w:val="9"/>
  </w:num>
  <w:num w:numId="39">
    <w:abstractNumId w:val="9"/>
  </w:num>
  <w:num w:numId="40">
    <w:abstractNumId w:val="9"/>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efaultTabStop w:val="708"/>
  <w:autoHyphenation/>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D4D"/>
    <w:rsid w:val="000001CD"/>
    <w:rsid w:val="000034D3"/>
    <w:rsid w:val="00003D7E"/>
    <w:rsid w:val="000066F3"/>
    <w:rsid w:val="00023AB1"/>
    <w:rsid w:val="0002589E"/>
    <w:rsid w:val="00027B66"/>
    <w:rsid w:val="00027D0D"/>
    <w:rsid w:val="00034DC0"/>
    <w:rsid w:val="000357B5"/>
    <w:rsid w:val="00035A47"/>
    <w:rsid w:val="000402C5"/>
    <w:rsid w:val="00044809"/>
    <w:rsid w:val="00046A9E"/>
    <w:rsid w:val="0005737B"/>
    <w:rsid w:val="00057C96"/>
    <w:rsid w:val="0006144B"/>
    <w:rsid w:val="00061AEE"/>
    <w:rsid w:val="000634AE"/>
    <w:rsid w:val="00063765"/>
    <w:rsid w:val="00067664"/>
    <w:rsid w:val="00070A44"/>
    <w:rsid w:val="00071457"/>
    <w:rsid w:val="00072AA9"/>
    <w:rsid w:val="0007702A"/>
    <w:rsid w:val="00082E8B"/>
    <w:rsid w:val="00083E26"/>
    <w:rsid w:val="00084691"/>
    <w:rsid w:val="000859AE"/>
    <w:rsid w:val="000875E6"/>
    <w:rsid w:val="000A0189"/>
    <w:rsid w:val="000A274A"/>
    <w:rsid w:val="000A2F3A"/>
    <w:rsid w:val="000A3736"/>
    <w:rsid w:val="000A52C8"/>
    <w:rsid w:val="000A74B6"/>
    <w:rsid w:val="000B0BE7"/>
    <w:rsid w:val="000B110C"/>
    <w:rsid w:val="000B3693"/>
    <w:rsid w:val="000B41D0"/>
    <w:rsid w:val="000B5B41"/>
    <w:rsid w:val="000C1863"/>
    <w:rsid w:val="000C2A67"/>
    <w:rsid w:val="000C5214"/>
    <w:rsid w:val="000D0CD2"/>
    <w:rsid w:val="000D1784"/>
    <w:rsid w:val="000D330C"/>
    <w:rsid w:val="000E29BA"/>
    <w:rsid w:val="000E7624"/>
    <w:rsid w:val="000E79C3"/>
    <w:rsid w:val="000F1410"/>
    <w:rsid w:val="000F67A1"/>
    <w:rsid w:val="000F731D"/>
    <w:rsid w:val="0010302E"/>
    <w:rsid w:val="00103703"/>
    <w:rsid w:val="00111630"/>
    <w:rsid w:val="00112E99"/>
    <w:rsid w:val="00113697"/>
    <w:rsid w:val="00120EEC"/>
    <w:rsid w:val="00134756"/>
    <w:rsid w:val="00144EE1"/>
    <w:rsid w:val="001470C9"/>
    <w:rsid w:val="001473EC"/>
    <w:rsid w:val="00152F18"/>
    <w:rsid w:val="00154657"/>
    <w:rsid w:val="001668A6"/>
    <w:rsid w:val="00167D45"/>
    <w:rsid w:val="0017750C"/>
    <w:rsid w:val="00181A16"/>
    <w:rsid w:val="00182B91"/>
    <w:rsid w:val="00183A53"/>
    <w:rsid w:val="00185380"/>
    <w:rsid w:val="001858B5"/>
    <w:rsid w:val="00185BE4"/>
    <w:rsid w:val="001877E6"/>
    <w:rsid w:val="0019444B"/>
    <w:rsid w:val="001955F1"/>
    <w:rsid w:val="00195B5C"/>
    <w:rsid w:val="001962E3"/>
    <w:rsid w:val="00196528"/>
    <w:rsid w:val="001B0B0E"/>
    <w:rsid w:val="001B2DA9"/>
    <w:rsid w:val="001B4449"/>
    <w:rsid w:val="001C5E5D"/>
    <w:rsid w:val="001C6601"/>
    <w:rsid w:val="001D2DCE"/>
    <w:rsid w:val="001D4F8A"/>
    <w:rsid w:val="001D70CA"/>
    <w:rsid w:val="001E25CD"/>
    <w:rsid w:val="001F4776"/>
    <w:rsid w:val="001F6365"/>
    <w:rsid w:val="00201EE5"/>
    <w:rsid w:val="0020417E"/>
    <w:rsid w:val="00206B9F"/>
    <w:rsid w:val="00211EE4"/>
    <w:rsid w:val="0021661F"/>
    <w:rsid w:val="00220B5A"/>
    <w:rsid w:val="00222E40"/>
    <w:rsid w:val="00227BD5"/>
    <w:rsid w:val="0023262B"/>
    <w:rsid w:val="00241F17"/>
    <w:rsid w:val="002436EC"/>
    <w:rsid w:val="002454D0"/>
    <w:rsid w:val="00246167"/>
    <w:rsid w:val="0024692A"/>
    <w:rsid w:val="002502DA"/>
    <w:rsid w:val="00250CC5"/>
    <w:rsid w:val="00251C36"/>
    <w:rsid w:val="00253ED7"/>
    <w:rsid w:val="00254DF2"/>
    <w:rsid w:val="0026078A"/>
    <w:rsid w:val="00263794"/>
    <w:rsid w:val="002642B0"/>
    <w:rsid w:val="002642BC"/>
    <w:rsid w:val="002648C2"/>
    <w:rsid w:val="00265487"/>
    <w:rsid w:val="00272D6E"/>
    <w:rsid w:val="00280D02"/>
    <w:rsid w:val="00286233"/>
    <w:rsid w:val="00287AC6"/>
    <w:rsid w:val="00290E21"/>
    <w:rsid w:val="002958A3"/>
    <w:rsid w:val="002A09DF"/>
    <w:rsid w:val="002A42AD"/>
    <w:rsid w:val="002A72A9"/>
    <w:rsid w:val="002B0D07"/>
    <w:rsid w:val="002B1D10"/>
    <w:rsid w:val="002B227D"/>
    <w:rsid w:val="002B5A33"/>
    <w:rsid w:val="002C26A4"/>
    <w:rsid w:val="002C3F4E"/>
    <w:rsid w:val="002C4837"/>
    <w:rsid w:val="002C48DE"/>
    <w:rsid w:val="002C7011"/>
    <w:rsid w:val="002D0721"/>
    <w:rsid w:val="002D2CA9"/>
    <w:rsid w:val="002D3342"/>
    <w:rsid w:val="002D47B7"/>
    <w:rsid w:val="002D5785"/>
    <w:rsid w:val="002D5FD7"/>
    <w:rsid w:val="002E09CA"/>
    <w:rsid w:val="002E3C4D"/>
    <w:rsid w:val="002E3E19"/>
    <w:rsid w:val="002E5E00"/>
    <w:rsid w:val="002E7320"/>
    <w:rsid w:val="002F2619"/>
    <w:rsid w:val="002F2DD4"/>
    <w:rsid w:val="00300420"/>
    <w:rsid w:val="00302B9E"/>
    <w:rsid w:val="00303D8F"/>
    <w:rsid w:val="00303ECB"/>
    <w:rsid w:val="00304E91"/>
    <w:rsid w:val="00305C2C"/>
    <w:rsid w:val="003164A9"/>
    <w:rsid w:val="00324D13"/>
    <w:rsid w:val="003267A2"/>
    <w:rsid w:val="00332503"/>
    <w:rsid w:val="00332D4D"/>
    <w:rsid w:val="0033496E"/>
    <w:rsid w:val="00337956"/>
    <w:rsid w:val="00337AD5"/>
    <w:rsid w:val="00340135"/>
    <w:rsid w:val="00343525"/>
    <w:rsid w:val="00344C8A"/>
    <w:rsid w:val="00351F50"/>
    <w:rsid w:val="0035702C"/>
    <w:rsid w:val="00357FD6"/>
    <w:rsid w:val="00361FCE"/>
    <w:rsid w:val="00364592"/>
    <w:rsid w:val="003661C6"/>
    <w:rsid w:val="0038315E"/>
    <w:rsid w:val="00384635"/>
    <w:rsid w:val="00393923"/>
    <w:rsid w:val="00393B03"/>
    <w:rsid w:val="003A496F"/>
    <w:rsid w:val="003A50DA"/>
    <w:rsid w:val="003B3095"/>
    <w:rsid w:val="003B4283"/>
    <w:rsid w:val="003B4AA0"/>
    <w:rsid w:val="003B5190"/>
    <w:rsid w:val="003B7D99"/>
    <w:rsid w:val="003D375C"/>
    <w:rsid w:val="003E00A3"/>
    <w:rsid w:val="003E116F"/>
    <w:rsid w:val="003E6E6A"/>
    <w:rsid w:val="003F28E3"/>
    <w:rsid w:val="003F4295"/>
    <w:rsid w:val="003F4A43"/>
    <w:rsid w:val="003F4D25"/>
    <w:rsid w:val="003F53F5"/>
    <w:rsid w:val="004005FA"/>
    <w:rsid w:val="00401E95"/>
    <w:rsid w:val="0040300D"/>
    <w:rsid w:val="00404C4A"/>
    <w:rsid w:val="00405368"/>
    <w:rsid w:val="00406B1C"/>
    <w:rsid w:val="00407CE1"/>
    <w:rsid w:val="004131FC"/>
    <w:rsid w:val="0041440C"/>
    <w:rsid w:val="00417549"/>
    <w:rsid w:val="00417F12"/>
    <w:rsid w:val="00423935"/>
    <w:rsid w:val="00423A2D"/>
    <w:rsid w:val="00425A41"/>
    <w:rsid w:val="00432502"/>
    <w:rsid w:val="004325B6"/>
    <w:rsid w:val="00436E35"/>
    <w:rsid w:val="00443997"/>
    <w:rsid w:val="00443F8F"/>
    <w:rsid w:val="00444BC0"/>
    <w:rsid w:val="00446D00"/>
    <w:rsid w:val="00447C3E"/>
    <w:rsid w:val="004505D7"/>
    <w:rsid w:val="00451AF1"/>
    <w:rsid w:val="004567C0"/>
    <w:rsid w:val="00456C0A"/>
    <w:rsid w:val="004572E8"/>
    <w:rsid w:val="0046278E"/>
    <w:rsid w:val="004653EB"/>
    <w:rsid w:val="00466FA3"/>
    <w:rsid w:val="00467432"/>
    <w:rsid w:val="004707A7"/>
    <w:rsid w:val="00476A76"/>
    <w:rsid w:val="00482A90"/>
    <w:rsid w:val="0048390B"/>
    <w:rsid w:val="00483DD0"/>
    <w:rsid w:val="004857C2"/>
    <w:rsid w:val="00485FAC"/>
    <w:rsid w:val="00490CAF"/>
    <w:rsid w:val="00495925"/>
    <w:rsid w:val="004965E8"/>
    <w:rsid w:val="004A44AB"/>
    <w:rsid w:val="004A48F3"/>
    <w:rsid w:val="004B2F80"/>
    <w:rsid w:val="004B3C59"/>
    <w:rsid w:val="004B695D"/>
    <w:rsid w:val="004C55BF"/>
    <w:rsid w:val="004C7187"/>
    <w:rsid w:val="004D1096"/>
    <w:rsid w:val="004D1772"/>
    <w:rsid w:val="004E070A"/>
    <w:rsid w:val="004E219C"/>
    <w:rsid w:val="004F3000"/>
    <w:rsid w:val="005026C3"/>
    <w:rsid w:val="00503805"/>
    <w:rsid w:val="005052A9"/>
    <w:rsid w:val="005107D1"/>
    <w:rsid w:val="00512D65"/>
    <w:rsid w:val="00513704"/>
    <w:rsid w:val="00513947"/>
    <w:rsid w:val="00522DFB"/>
    <w:rsid w:val="00524A59"/>
    <w:rsid w:val="0052549C"/>
    <w:rsid w:val="005303DE"/>
    <w:rsid w:val="00533702"/>
    <w:rsid w:val="00540471"/>
    <w:rsid w:val="005444EC"/>
    <w:rsid w:val="00551CED"/>
    <w:rsid w:val="00552B89"/>
    <w:rsid w:val="00554A08"/>
    <w:rsid w:val="00556EC7"/>
    <w:rsid w:val="00557993"/>
    <w:rsid w:val="00557E7D"/>
    <w:rsid w:val="00562DCA"/>
    <w:rsid w:val="0056559F"/>
    <w:rsid w:val="005669AD"/>
    <w:rsid w:val="00570444"/>
    <w:rsid w:val="005716D5"/>
    <w:rsid w:val="00571E42"/>
    <w:rsid w:val="00575C6F"/>
    <w:rsid w:val="005760E1"/>
    <w:rsid w:val="00577271"/>
    <w:rsid w:val="0058437E"/>
    <w:rsid w:val="00586243"/>
    <w:rsid w:val="00597E9E"/>
    <w:rsid w:val="005A0A1E"/>
    <w:rsid w:val="005A42E2"/>
    <w:rsid w:val="005A44AC"/>
    <w:rsid w:val="005A4D7D"/>
    <w:rsid w:val="005C01A9"/>
    <w:rsid w:val="005C493F"/>
    <w:rsid w:val="005C584D"/>
    <w:rsid w:val="005C6EB8"/>
    <w:rsid w:val="005D1F16"/>
    <w:rsid w:val="005D5FFD"/>
    <w:rsid w:val="005E048A"/>
    <w:rsid w:val="005E1C80"/>
    <w:rsid w:val="005F0534"/>
    <w:rsid w:val="005F2767"/>
    <w:rsid w:val="005F3E29"/>
    <w:rsid w:val="005F4227"/>
    <w:rsid w:val="005F43D7"/>
    <w:rsid w:val="005F62D0"/>
    <w:rsid w:val="005F65C3"/>
    <w:rsid w:val="00606423"/>
    <w:rsid w:val="006122D0"/>
    <w:rsid w:val="006125D7"/>
    <w:rsid w:val="00612BDB"/>
    <w:rsid w:val="0061619B"/>
    <w:rsid w:val="00616FBF"/>
    <w:rsid w:val="0062091D"/>
    <w:rsid w:val="00623FA9"/>
    <w:rsid w:val="00624736"/>
    <w:rsid w:val="00625F64"/>
    <w:rsid w:val="00631F5B"/>
    <w:rsid w:val="00633A2A"/>
    <w:rsid w:val="00636A45"/>
    <w:rsid w:val="00637C2B"/>
    <w:rsid w:val="0064112C"/>
    <w:rsid w:val="006419BF"/>
    <w:rsid w:val="00641F19"/>
    <w:rsid w:val="0064655D"/>
    <w:rsid w:val="00650A26"/>
    <w:rsid w:val="00652B1B"/>
    <w:rsid w:val="006610AB"/>
    <w:rsid w:val="00663E1D"/>
    <w:rsid w:val="00677A5E"/>
    <w:rsid w:val="0068561A"/>
    <w:rsid w:val="00686F97"/>
    <w:rsid w:val="006910D1"/>
    <w:rsid w:val="00695CCE"/>
    <w:rsid w:val="006A68BF"/>
    <w:rsid w:val="006A7C6F"/>
    <w:rsid w:val="006B238B"/>
    <w:rsid w:val="006B629A"/>
    <w:rsid w:val="006B65A9"/>
    <w:rsid w:val="006C28E9"/>
    <w:rsid w:val="006C7438"/>
    <w:rsid w:val="006D0D7B"/>
    <w:rsid w:val="006D1DF0"/>
    <w:rsid w:val="006D27C2"/>
    <w:rsid w:val="006D3AF4"/>
    <w:rsid w:val="006D57B4"/>
    <w:rsid w:val="006E04C2"/>
    <w:rsid w:val="006E262B"/>
    <w:rsid w:val="006E40A1"/>
    <w:rsid w:val="006E7551"/>
    <w:rsid w:val="006E7D36"/>
    <w:rsid w:val="006F1062"/>
    <w:rsid w:val="006F672C"/>
    <w:rsid w:val="00700AE1"/>
    <w:rsid w:val="00702082"/>
    <w:rsid w:val="007119CB"/>
    <w:rsid w:val="007119E2"/>
    <w:rsid w:val="00715A31"/>
    <w:rsid w:val="00715DC6"/>
    <w:rsid w:val="0071643C"/>
    <w:rsid w:val="00716919"/>
    <w:rsid w:val="00717970"/>
    <w:rsid w:val="00725C45"/>
    <w:rsid w:val="0073247C"/>
    <w:rsid w:val="00735040"/>
    <w:rsid w:val="00735592"/>
    <w:rsid w:val="00744833"/>
    <w:rsid w:val="007513C2"/>
    <w:rsid w:val="007526FD"/>
    <w:rsid w:val="00753FE7"/>
    <w:rsid w:val="007567A5"/>
    <w:rsid w:val="00756DC2"/>
    <w:rsid w:val="007574CC"/>
    <w:rsid w:val="00757C59"/>
    <w:rsid w:val="007663D3"/>
    <w:rsid w:val="00766B0C"/>
    <w:rsid w:val="0078082F"/>
    <w:rsid w:val="007817CC"/>
    <w:rsid w:val="00795129"/>
    <w:rsid w:val="0079562F"/>
    <w:rsid w:val="007A126F"/>
    <w:rsid w:val="007A1923"/>
    <w:rsid w:val="007A22CB"/>
    <w:rsid w:val="007A3EE2"/>
    <w:rsid w:val="007A54E6"/>
    <w:rsid w:val="007B1817"/>
    <w:rsid w:val="007C148B"/>
    <w:rsid w:val="007C1CCF"/>
    <w:rsid w:val="007C243F"/>
    <w:rsid w:val="007D0FFD"/>
    <w:rsid w:val="007D18B3"/>
    <w:rsid w:val="007D3DCA"/>
    <w:rsid w:val="007D3E00"/>
    <w:rsid w:val="007D641B"/>
    <w:rsid w:val="007E1814"/>
    <w:rsid w:val="007E4069"/>
    <w:rsid w:val="007E5319"/>
    <w:rsid w:val="007E6D54"/>
    <w:rsid w:val="007E777E"/>
    <w:rsid w:val="007F492A"/>
    <w:rsid w:val="007F641B"/>
    <w:rsid w:val="00801B86"/>
    <w:rsid w:val="008028D0"/>
    <w:rsid w:val="0080293F"/>
    <w:rsid w:val="0081265D"/>
    <w:rsid w:val="008131F9"/>
    <w:rsid w:val="008138A1"/>
    <w:rsid w:val="00814ED7"/>
    <w:rsid w:val="0081614B"/>
    <w:rsid w:val="0081714C"/>
    <w:rsid w:val="00817EF3"/>
    <w:rsid w:val="00820835"/>
    <w:rsid w:val="00820E55"/>
    <w:rsid w:val="008223E6"/>
    <w:rsid w:val="0082260A"/>
    <w:rsid w:val="00827770"/>
    <w:rsid w:val="00830FCC"/>
    <w:rsid w:val="00835078"/>
    <w:rsid w:val="00840347"/>
    <w:rsid w:val="00844634"/>
    <w:rsid w:val="0084662A"/>
    <w:rsid w:val="00854A05"/>
    <w:rsid w:val="008628DD"/>
    <w:rsid w:val="00864777"/>
    <w:rsid w:val="00866255"/>
    <w:rsid w:val="008710EF"/>
    <w:rsid w:val="0087124D"/>
    <w:rsid w:val="00873B89"/>
    <w:rsid w:val="0087466E"/>
    <w:rsid w:val="00875863"/>
    <w:rsid w:val="00893576"/>
    <w:rsid w:val="0089567F"/>
    <w:rsid w:val="008A1BC6"/>
    <w:rsid w:val="008A468F"/>
    <w:rsid w:val="008A508A"/>
    <w:rsid w:val="008A5427"/>
    <w:rsid w:val="008B0ED2"/>
    <w:rsid w:val="008B12C0"/>
    <w:rsid w:val="008B5113"/>
    <w:rsid w:val="008C01FB"/>
    <w:rsid w:val="008C3B11"/>
    <w:rsid w:val="008C564D"/>
    <w:rsid w:val="008C661A"/>
    <w:rsid w:val="008D16B5"/>
    <w:rsid w:val="008E34A6"/>
    <w:rsid w:val="008E4347"/>
    <w:rsid w:val="008F0549"/>
    <w:rsid w:val="008F0E7D"/>
    <w:rsid w:val="008F140B"/>
    <w:rsid w:val="008F58BF"/>
    <w:rsid w:val="008F61D2"/>
    <w:rsid w:val="008F6980"/>
    <w:rsid w:val="008F73E5"/>
    <w:rsid w:val="00902CFA"/>
    <w:rsid w:val="00906122"/>
    <w:rsid w:val="00910B93"/>
    <w:rsid w:val="00912DC5"/>
    <w:rsid w:val="00915005"/>
    <w:rsid w:val="00930A36"/>
    <w:rsid w:val="00932072"/>
    <w:rsid w:val="00932EFD"/>
    <w:rsid w:val="00940983"/>
    <w:rsid w:val="00946A82"/>
    <w:rsid w:val="009477D4"/>
    <w:rsid w:val="00951CFE"/>
    <w:rsid w:val="009525C3"/>
    <w:rsid w:val="009538CF"/>
    <w:rsid w:val="00956945"/>
    <w:rsid w:val="00960086"/>
    <w:rsid w:val="009600D8"/>
    <w:rsid w:val="00960986"/>
    <w:rsid w:val="00972715"/>
    <w:rsid w:val="00973C2B"/>
    <w:rsid w:val="00977E92"/>
    <w:rsid w:val="009808E0"/>
    <w:rsid w:val="00987B45"/>
    <w:rsid w:val="0099203E"/>
    <w:rsid w:val="00992455"/>
    <w:rsid w:val="009A0EFB"/>
    <w:rsid w:val="009A60FD"/>
    <w:rsid w:val="009A656C"/>
    <w:rsid w:val="009B674C"/>
    <w:rsid w:val="009C2B58"/>
    <w:rsid w:val="009C6175"/>
    <w:rsid w:val="009D040A"/>
    <w:rsid w:val="009D1153"/>
    <w:rsid w:val="009D1A15"/>
    <w:rsid w:val="009D378D"/>
    <w:rsid w:val="009E1442"/>
    <w:rsid w:val="009E572A"/>
    <w:rsid w:val="009E5A2E"/>
    <w:rsid w:val="009F034A"/>
    <w:rsid w:val="009F16D5"/>
    <w:rsid w:val="009F2E79"/>
    <w:rsid w:val="00A01808"/>
    <w:rsid w:val="00A01FB3"/>
    <w:rsid w:val="00A028ED"/>
    <w:rsid w:val="00A1307E"/>
    <w:rsid w:val="00A171D3"/>
    <w:rsid w:val="00A17460"/>
    <w:rsid w:val="00A21C2B"/>
    <w:rsid w:val="00A23553"/>
    <w:rsid w:val="00A279F2"/>
    <w:rsid w:val="00A36DEB"/>
    <w:rsid w:val="00A37197"/>
    <w:rsid w:val="00A414BF"/>
    <w:rsid w:val="00A45937"/>
    <w:rsid w:val="00A4641D"/>
    <w:rsid w:val="00A46C13"/>
    <w:rsid w:val="00A50034"/>
    <w:rsid w:val="00A53081"/>
    <w:rsid w:val="00A54518"/>
    <w:rsid w:val="00A575A9"/>
    <w:rsid w:val="00A57A36"/>
    <w:rsid w:val="00A62A40"/>
    <w:rsid w:val="00A638EB"/>
    <w:rsid w:val="00A67A65"/>
    <w:rsid w:val="00A726C4"/>
    <w:rsid w:val="00A75868"/>
    <w:rsid w:val="00A76519"/>
    <w:rsid w:val="00A76B24"/>
    <w:rsid w:val="00A76CAE"/>
    <w:rsid w:val="00A8503F"/>
    <w:rsid w:val="00A86399"/>
    <w:rsid w:val="00A907E9"/>
    <w:rsid w:val="00A90CBB"/>
    <w:rsid w:val="00A91B1F"/>
    <w:rsid w:val="00A9547A"/>
    <w:rsid w:val="00A96FCE"/>
    <w:rsid w:val="00AA0B04"/>
    <w:rsid w:val="00AA0F8E"/>
    <w:rsid w:val="00AA1A89"/>
    <w:rsid w:val="00AA4C94"/>
    <w:rsid w:val="00AB3AFE"/>
    <w:rsid w:val="00AC1EF4"/>
    <w:rsid w:val="00AC261C"/>
    <w:rsid w:val="00AC425D"/>
    <w:rsid w:val="00AC5505"/>
    <w:rsid w:val="00AC72F6"/>
    <w:rsid w:val="00AD1B46"/>
    <w:rsid w:val="00AD1E5E"/>
    <w:rsid w:val="00AD6714"/>
    <w:rsid w:val="00AE5447"/>
    <w:rsid w:val="00AE7EC9"/>
    <w:rsid w:val="00AF0B03"/>
    <w:rsid w:val="00AF13BB"/>
    <w:rsid w:val="00AF397C"/>
    <w:rsid w:val="00AF3D89"/>
    <w:rsid w:val="00AF3E56"/>
    <w:rsid w:val="00AF4C44"/>
    <w:rsid w:val="00AF52E8"/>
    <w:rsid w:val="00B0215E"/>
    <w:rsid w:val="00B06530"/>
    <w:rsid w:val="00B06630"/>
    <w:rsid w:val="00B12CE2"/>
    <w:rsid w:val="00B27864"/>
    <w:rsid w:val="00B3054A"/>
    <w:rsid w:val="00B418CB"/>
    <w:rsid w:val="00B41B9D"/>
    <w:rsid w:val="00B427F0"/>
    <w:rsid w:val="00B50F6D"/>
    <w:rsid w:val="00B60749"/>
    <w:rsid w:val="00B6219C"/>
    <w:rsid w:val="00B62B96"/>
    <w:rsid w:val="00B666E6"/>
    <w:rsid w:val="00B70D39"/>
    <w:rsid w:val="00B76A53"/>
    <w:rsid w:val="00B76EB2"/>
    <w:rsid w:val="00B77179"/>
    <w:rsid w:val="00B84756"/>
    <w:rsid w:val="00B84991"/>
    <w:rsid w:val="00B91DAA"/>
    <w:rsid w:val="00B94D4E"/>
    <w:rsid w:val="00B96B17"/>
    <w:rsid w:val="00BA2234"/>
    <w:rsid w:val="00BA2F06"/>
    <w:rsid w:val="00BA4BBC"/>
    <w:rsid w:val="00BB1252"/>
    <w:rsid w:val="00BB2D9C"/>
    <w:rsid w:val="00BB6311"/>
    <w:rsid w:val="00BC2752"/>
    <w:rsid w:val="00BC2AAB"/>
    <w:rsid w:val="00BC4DE6"/>
    <w:rsid w:val="00BD088A"/>
    <w:rsid w:val="00BD10A6"/>
    <w:rsid w:val="00BD164E"/>
    <w:rsid w:val="00BD20AB"/>
    <w:rsid w:val="00BD63C9"/>
    <w:rsid w:val="00BE0610"/>
    <w:rsid w:val="00BE74F6"/>
    <w:rsid w:val="00BE7746"/>
    <w:rsid w:val="00BF07BB"/>
    <w:rsid w:val="00BF09C9"/>
    <w:rsid w:val="00BF4A31"/>
    <w:rsid w:val="00BF5107"/>
    <w:rsid w:val="00BF57B1"/>
    <w:rsid w:val="00BF6C29"/>
    <w:rsid w:val="00C00061"/>
    <w:rsid w:val="00C01EFC"/>
    <w:rsid w:val="00C0662C"/>
    <w:rsid w:val="00C12B2F"/>
    <w:rsid w:val="00C136CA"/>
    <w:rsid w:val="00C1497B"/>
    <w:rsid w:val="00C229B4"/>
    <w:rsid w:val="00C35065"/>
    <w:rsid w:val="00C43D9D"/>
    <w:rsid w:val="00C503F4"/>
    <w:rsid w:val="00C50658"/>
    <w:rsid w:val="00C53854"/>
    <w:rsid w:val="00C550F5"/>
    <w:rsid w:val="00C567E9"/>
    <w:rsid w:val="00C704C3"/>
    <w:rsid w:val="00C74BD0"/>
    <w:rsid w:val="00C755B5"/>
    <w:rsid w:val="00C825FA"/>
    <w:rsid w:val="00C831EA"/>
    <w:rsid w:val="00C87934"/>
    <w:rsid w:val="00C96A6C"/>
    <w:rsid w:val="00CA20FD"/>
    <w:rsid w:val="00CA5B1D"/>
    <w:rsid w:val="00CA676E"/>
    <w:rsid w:val="00CA73E5"/>
    <w:rsid w:val="00CB6969"/>
    <w:rsid w:val="00CC0187"/>
    <w:rsid w:val="00CD396A"/>
    <w:rsid w:val="00CD4F14"/>
    <w:rsid w:val="00CE56B6"/>
    <w:rsid w:val="00CE70DC"/>
    <w:rsid w:val="00CF0BFF"/>
    <w:rsid w:val="00CF0C90"/>
    <w:rsid w:val="00CF2F04"/>
    <w:rsid w:val="00D0560E"/>
    <w:rsid w:val="00D10462"/>
    <w:rsid w:val="00D10BC3"/>
    <w:rsid w:val="00D11401"/>
    <w:rsid w:val="00D13E36"/>
    <w:rsid w:val="00D32E8A"/>
    <w:rsid w:val="00D379DF"/>
    <w:rsid w:val="00D418F2"/>
    <w:rsid w:val="00D5348D"/>
    <w:rsid w:val="00D61CAD"/>
    <w:rsid w:val="00D711C4"/>
    <w:rsid w:val="00D717CF"/>
    <w:rsid w:val="00D80A82"/>
    <w:rsid w:val="00D838C1"/>
    <w:rsid w:val="00D92CF7"/>
    <w:rsid w:val="00D93437"/>
    <w:rsid w:val="00D93BA6"/>
    <w:rsid w:val="00D94B2A"/>
    <w:rsid w:val="00DA5708"/>
    <w:rsid w:val="00DA669D"/>
    <w:rsid w:val="00DB1589"/>
    <w:rsid w:val="00DC002A"/>
    <w:rsid w:val="00DC180D"/>
    <w:rsid w:val="00DC1F6E"/>
    <w:rsid w:val="00DC4277"/>
    <w:rsid w:val="00DC6329"/>
    <w:rsid w:val="00DC7286"/>
    <w:rsid w:val="00DD3453"/>
    <w:rsid w:val="00DD4998"/>
    <w:rsid w:val="00DD5764"/>
    <w:rsid w:val="00DD5BD2"/>
    <w:rsid w:val="00DE0E26"/>
    <w:rsid w:val="00DE136D"/>
    <w:rsid w:val="00DE29FA"/>
    <w:rsid w:val="00DE2C93"/>
    <w:rsid w:val="00E050B7"/>
    <w:rsid w:val="00E055B3"/>
    <w:rsid w:val="00E10A40"/>
    <w:rsid w:val="00E11CCD"/>
    <w:rsid w:val="00E14772"/>
    <w:rsid w:val="00E148A6"/>
    <w:rsid w:val="00E14CAC"/>
    <w:rsid w:val="00E15285"/>
    <w:rsid w:val="00E26B20"/>
    <w:rsid w:val="00E34A12"/>
    <w:rsid w:val="00E360C9"/>
    <w:rsid w:val="00E53175"/>
    <w:rsid w:val="00E53B49"/>
    <w:rsid w:val="00E549FD"/>
    <w:rsid w:val="00E56B2B"/>
    <w:rsid w:val="00E57468"/>
    <w:rsid w:val="00E57EE8"/>
    <w:rsid w:val="00E60C1A"/>
    <w:rsid w:val="00E6167E"/>
    <w:rsid w:val="00E663E3"/>
    <w:rsid w:val="00E71956"/>
    <w:rsid w:val="00E73FCC"/>
    <w:rsid w:val="00E743E6"/>
    <w:rsid w:val="00E76972"/>
    <w:rsid w:val="00E8319A"/>
    <w:rsid w:val="00E835CA"/>
    <w:rsid w:val="00E83D5A"/>
    <w:rsid w:val="00E84457"/>
    <w:rsid w:val="00E850AB"/>
    <w:rsid w:val="00E9260A"/>
    <w:rsid w:val="00E945D1"/>
    <w:rsid w:val="00E96375"/>
    <w:rsid w:val="00EA4D81"/>
    <w:rsid w:val="00EB38DE"/>
    <w:rsid w:val="00EC2245"/>
    <w:rsid w:val="00EC2963"/>
    <w:rsid w:val="00ED3D51"/>
    <w:rsid w:val="00ED7ED9"/>
    <w:rsid w:val="00EE08C3"/>
    <w:rsid w:val="00EE3738"/>
    <w:rsid w:val="00EE597C"/>
    <w:rsid w:val="00EE68CB"/>
    <w:rsid w:val="00EF0043"/>
    <w:rsid w:val="00EF0118"/>
    <w:rsid w:val="00EF3107"/>
    <w:rsid w:val="00EF3DE3"/>
    <w:rsid w:val="00F02C13"/>
    <w:rsid w:val="00F03B5A"/>
    <w:rsid w:val="00F06376"/>
    <w:rsid w:val="00F10178"/>
    <w:rsid w:val="00F14ADE"/>
    <w:rsid w:val="00F15E3F"/>
    <w:rsid w:val="00F17006"/>
    <w:rsid w:val="00F176E9"/>
    <w:rsid w:val="00F229AB"/>
    <w:rsid w:val="00F25B36"/>
    <w:rsid w:val="00F25E8B"/>
    <w:rsid w:val="00F26AB1"/>
    <w:rsid w:val="00F30E97"/>
    <w:rsid w:val="00F50A2C"/>
    <w:rsid w:val="00F52D6C"/>
    <w:rsid w:val="00F64A9B"/>
    <w:rsid w:val="00F66CCB"/>
    <w:rsid w:val="00F67958"/>
    <w:rsid w:val="00F67C2A"/>
    <w:rsid w:val="00F732AD"/>
    <w:rsid w:val="00F73549"/>
    <w:rsid w:val="00F7455F"/>
    <w:rsid w:val="00F74DE4"/>
    <w:rsid w:val="00FA26DA"/>
    <w:rsid w:val="00FA73FC"/>
    <w:rsid w:val="00FA78F3"/>
    <w:rsid w:val="00FB6F8B"/>
    <w:rsid w:val="00FB753B"/>
    <w:rsid w:val="00FD0C39"/>
    <w:rsid w:val="00FD30CF"/>
    <w:rsid w:val="00FE3A4A"/>
    <w:rsid w:val="00FE41FF"/>
    <w:rsid w:val="00FF015D"/>
    <w:rsid w:val="00FF2E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hidden/>
    <w:qFormat/>
    <w:rsid w:val="00332D4D"/>
    <w:pPr>
      <w:spacing w:after="120" w:line="240" w:lineRule="auto"/>
      <w:jc w:val="both"/>
    </w:pPr>
    <w:rPr>
      <w:rFonts w:ascii="Calibri" w:eastAsia="Times New Roman" w:hAnsi="Calibri" w:cs="Times New Roman"/>
      <w:sz w:val="20"/>
      <w:szCs w:val="20"/>
      <w:lang w:eastAsia="cs-CZ"/>
    </w:rPr>
  </w:style>
  <w:style w:type="paragraph" w:styleId="Nadpis1">
    <w:name w:val="heading 1"/>
    <w:basedOn w:val="Normln"/>
    <w:next w:val="Normln"/>
    <w:link w:val="Nadpis1Char"/>
    <w:qFormat/>
    <w:rsid w:val="00332D4D"/>
    <w:pPr>
      <w:keepNext/>
      <w:pageBreakBefore/>
      <w:numPr>
        <w:numId w:val="1"/>
      </w:numPr>
      <w:outlineLvl w:val="0"/>
    </w:pPr>
    <w:rPr>
      <w:rFonts w:cs="Arial"/>
      <w:b/>
      <w:bCs/>
      <w:kern w:val="32"/>
      <w:sz w:val="40"/>
      <w:szCs w:val="32"/>
    </w:rPr>
  </w:style>
  <w:style w:type="paragraph" w:styleId="Nadpis2">
    <w:name w:val="heading 2"/>
    <w:basedOn w:val="Normln"/>
    <w:next w:val="Normln"/>
    <w:link w:val="Nadpis2Char"/>
    <w:qFormat/>
    <w:rsid w:val="00A53081"/>
    <w:pPr>
      <w:keepNext/>
      <w:numPr>
        <w:ilvl w:val="1"/>
        <w:numId w:val="1"/>
      </w:numPr>
      <w:pBdr>
        <w:bottom w:val="single" w:sz="12" w:space="1" w:color="E4DFEC"/>
      </w:pBdr>
      <w:tabs>
        <w:tab w:val="clear" w:pos="2269"/>
        <w:tab w:val="num" w:pos="567"/>
      </w:tabs>
      <w:spacing w:before="480" w:after="60"/>
      <w:ind w:left="567"/>
      <w:outlineLvl w:val="1"/>
    </w:pPr>
    <w:rPr>
      <w:rFonts w:cs="Arial"/>
      <w:b/>
      <w:bCs/>
      <w:iCs/>
      <w:sz w:val="28"/>
      <w:szCs w:val="28"/>
    </w:rPr>
  </w:style>
  <w:style w:type="paragraph" w:styleId="Nadpis3">
    <w:name w:val="heading 3"/>
    <w:basedOn w:val="Normln"/>
    <w:next w:val="Normln"/>
    <w:link w:val="Nadpis3Char"/>
    <w:qFormat/>
    <w:rsid w:val="00111630"/>
    <w:pPr>
      <w:keepNext/>
      <w:numPr>
        <w:ilvl w:val="2"/>
        <w:numId w:val="1"/>
      </w:numPr>
      <w:spacing w:before="240" w:after="0"/>
      <w:ind w:left="567" w:hanging="567"/>
      <w:outlineLvl w:val="2"/>
    </w:pPr>
    <w:rPr>
      <w:rFonts w:cs="Arial"/>
      <w:b/>
      <w:bCs/>
      <w:szCs w:val="26"/>
    </w:rPr>
  </w:style>
  <w:style w:type="paragraph" w:styleId="Nadpis4">
    <w:name w:val="heading 4"/>
    <w:basedOn w:val="Nadpis3"/>
    <w:next w:val="Normln"/>
    <w:link w:val="Nadpis4Char"/>
    <w:qFormat/>
    <w:rsid w:val="00332D4D"/>
    <w:pPr>
      <w:numPr>
        <w:ilvl w:val="0"/>
        <w:numId w:val="0"/>
      </w:numPr>
      <w:tabs>
        <w:tab w:val="num" w:pos="864"/>
      </w:tabs>
      <w:spacing w:before="120"/>
      <w:outlineLvl w:val="3"/>
    </w:pPr>
    <w:rPr>
      <w:bCs w:val="0"/>
      <w:szCs w:val="28"/>
    </w:rPr>
  </w:style>
  <w:style w:type="paragraph" w:styleId="Nadpis5">
    <w:name w:val="heading 5"/>
    <w:basedOn w:val="Normln"/>
    <w:next w:val="Normln"/>
    <w:link w:val="Nadpis5Char"/>
    <w:rsid w:val="00332D4D"/>
    <w:pPr>
      <w:keepNext/>
      <w:tabs>
        <w:tab w:val="num" w:pos="1008"/>
      </w:tabs>
      <w:spacing w:before="480" w:after="480"/>
      <w:ind w:left="1009" w:hanging="1009"/>
      <w:outlineLvl w:val="4"/>
    </w:pPr>
    <w:rPr>
      <w:rFonts w:ascii="Arial" w:hAnsi="Arial"/>
      <w:b/>
      <w:bCs/>
    </w:rPr>
  </w:style>
  <w:style w:type="paragraph" w:styleId="Nadpis6">
    <w:name w:val="heading 6"/>
    <w:basedOn w:val="Normln"/>
    <w:next w:val="Normln"/>
    <w:link w:val="Nadpis6Char"/>
    <w:rsid w:val="00332D4D"/>
    <w:pPr>
      <w:keepNext/>
      <w:keepLines/>
      <w:pageBreakBefore/>
      <w:tabs>
        <w:tab w:val="num" w:pos="1152"/>
      </w:tabs>
      <w:outlineLvl w:val="5"/>
    </w:pPr>
    <w:rPr>
      <w:b/>
      <w:bCs/>
      <w:sz w:val="40"/>
      <w:szCs w:val="22"/>
    </w:rPr>
  </w:style>
  <w:style w:type="paragraph" w:styleId="Nadpis7">
    <w:name w:val="heading 7"/>
    <w:basedOn w:val="Normln"/>
    <w:next w:val="Normln"/>
    <w:link w:val="Nadpis7Char"/>
    <w:rsid w:val="00332D4D"/>
    <w:pPr>
      <w:tabs>
        <w:tab w:val="num" w:pos="1296"/>
      </w:tabs>
      <w:spacing w:before="240" w:after="60"/>
      <w:ind w:left="1296" w:hanging="1296"/>
      <w:outlineLvl w:val="6"/>
    </w:pPr>
    <w:rPr>
      <w:rFonts w:ascii="Times New Roman" w:hAnsi="Times New Roman"/>
      <w:sz w:val="24"/>
    </w:rPr>
  </w:style>
  <w:style w:type="paragraph" w:styleId="Nadpis8">
    <w:name w:val="heading 8"/>
    <w:basedOn w:val="Normln"/>
    <w:next w:val="Normln"/>
    <w:link w:val="Nadpis8Char"/>
    <w:rsid w:val="00332D4D"/>
    <w:pPr>
      <w:tabs>
        <w:tab w:val="num" w:pos="1440"/>
      </w:tabs>
      <w:spacing w:before="240" w:after="60"/>
      <w:ind w:left="1440" w:hanging="1440"/>
      <w:outlineLvl w:val="7"/>
    </w:pPr>
    <w:rPr>
      <w:rFonts w:ascii="Times New Roman" w:hAnsi="Times New Roman"/>
      <w:i/>
      <w:iCs/>
      <w:sz w:val="24"/>
    </w:rPr>
  </w:style>
  <w:style w:type="paragraph" w:styleId="Nadpis9">
    <w:name w:val="heading 9"/>
    <w:basedOn w:val="Normln"/>
    <w:next w:val="Normln"/>
    <w:link w:val="Nadpis9Char"/>
    <w:rsid w:val="00332D4D"/>
    <w:pPr>
      <w:keepNext/>
      <w:tabs>
        <w:tab w:val="num" w:pos="1584"/>
      </w:tabs>
      <w:ind w:left="1584" w:hanging="1584"/>
      <w:jc w:val="center"/>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32D4D"/>
    <w:rPr>
      <w:rFonts w:ascii="Calibri" w:eastAsia="Times New Roman" w:hAnsi="Calibri" w:cs="Arial"/>
      <w:b/>
      <w:bCs/>
      <w:kern w:val="32"/>
      <w:sz w:val="40"/>
      <w:szCs w:val="32"/>
      <w:lang w:eastAsia="cs-CZ"/>
    </w:rPr>
  </w:style>
  <w:style w:type="character" w:customStyle="1" w:styleId="Nadpis2Char">
    <w:name w:val="Nadpis 2 Char"/>
    <w:basedOn w:val="Standardnpsmoodstavce"/>
    <w:link w:val="Nadpis2"/>
    <w:rsid w:val="00A53081"/>
    <w:rPr>
      <w:rFonts w:ascii="Calibri" w:eastAsia="Times New Roman" w:hAnsi="Calibri" w:cs="Arial"/>
      <w:b/>
      <w:bCs/>
      <w:iCs/>
      <w:sz w:val="28"/>
      <w:szCs w:val="28"/>
      <w:lang w:eastAsia="cs-CZ"/>
    </w:rPr>
  </w:style>
  <w:style w:type="character" w:customStyle="1" w:styleId="Nadpis3Char">
    <w:name w:val="Nadpis 3 Char"/>
    <w:basedOn w:val="Standardnpsmoodstavce"/>
    <w:link w:val="Nadpis3"/>
    <w:rsid w:val="00111630"/>
    <w:rPr>
      <w:rFonts w:ascii="Calibri" w:eastAsia="Times New Roman" w:hAnsi="Calibri" w:cs="Arial"/>
      <w:b/>
      <w:bCs/>
      <w:sz w:val="20"/>
      <w:szCs w:val="26"/>
      <w:lang w:eastAsia="cs-CZ"/>
    </w:rPr>
  </w:style>
  <w:style w:type="character" w:customStyle="1" w:styleId="Nadpis4Char">
    <w:name w:val="Nadpis 4 Char"/>
    <w:basedOn w:val="Standardnpsmoodstavce"/>
    <w:link w:val="Nadpis4"/>
    <w:rsid w:val="00332D4D"/>
    <w:rPr>
      <w:rFonts w:ascii="Calibri" w:eastAsia="Times New Roman" w:hAnsi="Calibri" w:cs="Arial"/>
      <w:b/>
      <w:sz w:val="20"/>
      <w:szCs w:val="28"/>
      <w:lang w:eastAsia="cs-CZ"/>
    </w:rPr>
  </w:style>
  <w:style w:type="character" w:customStyle="1" w:styleId="Nadpis5Char">
    <w:name w:val="Nadpis 5 Char"/>
    <w:basedOn w:val="Standardnpsmoodstavce"/>
    <w:link w:val="Nadpis5"/>
    <w:rsid w:val="00332D4D"/>
    <w:rPr>
      <w:rFonts w:ascii="Arial" w:eastAsia="Times New Roman" w:hAnsi="Arial" w:cs="Times New Roman"/>
      <w:b/>
      <w:bCs/>
      <w:sz w:val="20"/>
      <w:szCs w:val="20"/>
      <w:lang w:eastAsia="cs-CZ"/>
    </w:rPr>
  </w:style>
  <w:style w:type="character" w:customStyle="1" w:styleId="Nadpis6Char">
    <w:name w:val="Nadpis 6 Char"/>
    <w:basedOn w:val="Standardnpsmoodstavce"/>
    <w:link w:val="Nadpis6"/>
    <w:rsid w:val="00332D4D"/>
    <w:rPr>
      <w:rFonts w:ascii="Calibri" w:eastAsia="Times New Roman" w:hAnsi="Calibri" w:cs="Times New Roman"/>
      <w:b/>
      <w:bCs/>
      <w:sz w:val="40"/>
      <w:lang w:eastAsia="cs-CZ"/>
    </w:rPr>
  </w:style>
  <w:style w:type="character" w:customStyle="1" w:styleId="Nadpis7Char">
    <w:name w:val="Nadpis 7 Char"/>
    <w:basedOn w:val="Standardnpsmoodstavce"/>
    <w:link w:val="Nadpis7"/>
    <w:rsid w:val="00332D4D"/>
    <w:rPr>
      <w:rFonts w:ascii="Times New Roman" w:eastAsia="Times New Roman" w:hAnsi="Times New Roman" w:cs="Times New Roman"/>
      <w:sz w:val="24"/>
      <w:szCs w:val="20"/>
      <w:lang w:eastAsia="cs-CZ"/>
    </w:rPr>
  </w:style>
  <w:style w:type="character" w:customStyle="1" w:styleId="Nadpis8Char">
    <w:name w:val="Nadpis 8 Char"/>
    <w:basedOn w:val="Standardnpsmoodstavce"/>
    <w:link w:val="Nadpis8"/>
    <w:rsid w:val="00332D4D"/>
    <w:rPr>
      <w:rFonts w:ascii="Times New Roman" w:eastAsia="Times New Roman" w:hAnsi="Times New Roman" w:cs="Times New Roman"/>
      <w:i/>
      <w:iCs/>
      <w:sz w:val="24"/>
      <w:szCs w:val="20"/>
      <w:lang w:eastAsia="cs-CZ"/>
    </w:rPr>
  </w:style>
  <w:style w:type="character" w:customStyle="1" w:styleId="Nadpis9Char">
    <w:name w:val="Nadpis 9 Char"/>
    <w:basedOn w:val="Standardnpsmoodstavce"/>
    <w:link w:val="Nadpis9"/>
    <w:rsid w:val="00332D4D"/>
    <w:rPr>
      <w:rFonts w:ascii="Calibri" w:eastAsia="Times New Roman" w:hAnsi="Calibri" w:cs="Times New Roman"/>
      <w:b/>
      <w:bCs/>
      <w:sz w:val="20"/>
      <w:szCs w:val="20"/>
      <w:lang w:eastAsia="cs-CZ"/>
    </w:rPr>
  </w:style>
  <w:style w:type="paragraph" w:styleId="Zhlav">
    <w:name w:val="header"/>
    <w:basedOn w:val="Normln"/>
    <w:link w:val="ZhlavChar"/>
    <w:rsid w:val="00332D4D"/>
    <w:pPr>
      <w:tabs>
        <w:tab w:val="center" w:pos="4536"/>
        <w:tab w:val="right" w:pos="9072"/>
      </w:tabs>
    </w:pPr>
  </w:style>
  <w:style w:type="character" w:customStyle="1" w:styleId="ZhlavChar">
    <w:name w:val="Záhlaví Char"/>
    <w:basedOn w:val="Standardnpsmoodstavce"/>
    <w:link w:val="Zhlav"/>
    <w:rsid w:val="00332D4D"/>
    <w:rPr>
      <w:rFonts w:ascii="Calibri" w:eastAsia="Times New Roman" w:hAnsi="Calibri" w:cs="Times New Roman"/>
      <w:sz w:val="20"/>
      <w:szCs w:val="20"/>
      <w:lang w:eastAsia="cs-CZ"/>
    </w:rPr>
  </w:style>
  <w:style w:type="paragraph" w:styleId="Zpat">
    <w:name w:val="footer"/>
    <w:basedOn w:val="Normln"/>
    <w:link w:val="ZpatChar"/>
    <w:rsid w:val="00332D4D"/>
    <w:pPr>
      <w:tabs>
        <w:tab w:val="center" w:pos="4536"/>
        <w:tab w:val="right" w:pos="9072"/>
      </w:tabs>
    </w:pPr>
  </w:style>
  <w:style w:type="character" w:customStyle="1" w:styleId="ZpatChar">
    <w:name w:val="Zápatí Char"/>
    <w:basedOn w:val="Standardnpsmoodstavce"/>
    <w:link w:val="Zpat"/>
    <w:rsid w:val="00332D4D"/>
    <w:rPr>
      <w:rFonts w:ascii="Calibri" w:eastAsia="Times New Roman" w:hAnsi="Calibri" w:cs="Times New Roman"/>
      <w:sz w:val="20"/>
      <w:szCs w:val="20"/>
      <w:lang w:eastAsia="cs-CZ"/>
    </w:rPr>
  </w:style>
  <w:style w:type="character" w:styleId="slostrnky">
    <w:name w:val="page number"/>
    <w:rsid w:val="00332D4D"/>
    <w:rPr>
      <w:rFonts w:ascii="Calibri" w:hAnsi="Calibri"/>
      <w:sz w:val="16"/>
    </w:rPr>
  </w:style>
  <w:style w:type="character" w:styleId="Hypertextovodkaz">
    <w:name w:val="Hyperlink"/>
    <w:uiPriority w:val="99"/>
    <w:rsid w:val="00332D4D"/>
    <w:rPr>
      <w:color w:val="0000FF"/>
      <w:u w:val="single"/>
    </w:rPr>
  </w:style>
  <w:style w:type="paragraph" w:styleId="Obsah1">
    <w:name w:val="toc 1"/>
    <w:basedOn w:val="Normln"/>
    <w:next w:val="Normln"/>
    <w:autoRedefine/>
    <w:uiPriority w:val="39"/>
    <w:rsid w:val="00332D4D"/>
    <w:pPr>
      <w:tabs>
        <w:tab w:val="left" w:pos="284"/>
        <w:tab w:val="right" w:leader="dot" w:pos="9628"/>
      </w:tabs>
      <w:spacing w:before="120" w:after="60"/>
    </w:pPr>
    <w:rPr>
      <w:b/>
      <w:noProof/>
    </w:rPr>
  </w:style>
  <w:style w:type="paragraph" w:styleId="Obsah2">
    <w:name w:val="toc 2"/>
    <w:basedOn w:val="Normln"/>
    <w:next w:val="Normln"/>
    <w:autoRedefine/>
    <w:uiPriority w:val="39"/>
    <w:rsid w:val="00332D4D"/>
    <w:pPr>
      <w:tabs>
        <w:tab w:val="left" w:pos="960"/>
        <w:tab w:val="right" w:leader="dot" w:pos="9628"/>
      </w:tabs>
      <w:spacing w:after="60"/>
      <w:ind w:left="567"/>
    </w:pPr>
  </w:style>
  <w:style w:type="paragraph" w:customStyle="1" w:styleId="Nadpiszacatek">
    <w:name w:val="Nadpis zacatek"/>
    <w:basedOn w:val="Normln"/>
    <w:semiHidden/>
    <w:rsid w:val="00332D4D"/>
    <w:pPr>
      <w:spacing w:after="240"/>
    </w:pPr>
    <w:rPr>
      <w:b/>
      <w:bCs/>
      <w:sz w:val="32"/>
    </w:rPr>
  </w:style>
  <w:style w:type="paragraph" w:styleId="Seznamobrzk">
    <w:name w:val="table of figures"/>
    <w:basedOn w:val="Normln"/>
    <w:next w:val="Normln"/>
    <w:uiPriority w:val="99"/>
    <w:rsid w:val="00332D4D"/>
    <w:pPr>
      <w:tabs>
        <w:tab w:val="right" w:leader="dot" w:pos="9639"/>
      </w:tabs>
      <w:spacing w:after="60"/>
      <w:ind w:left="482" w:hanging="482"/>
    </w:pPr>
  </w:style>
  <w:style w:type="paragraph" w:customStyle="1" w:styleId="Nadpismal">
    <w:name w:val="Nadpis malý"/>
    <w:next w:val="Normln"/>
    <w:qFormat/>
    <w:rsid w:val="00332D4D"/>
    <w:pPr>
      <w:keepNext/>
      <w:keepLines/>
      <w:spacing w:before="360" w:after="60" w:line="240" w:lineRule="auto"/>
      <w:jc w:val="both"/>
    </w:pPr>
    <w:rPr>
      <w:rFonts w:ascii="Calibri" w:eastAsia="Times New Roman" w:hAnsi="Calibri" w:cs="Times New Roman"/>
      <w:b/>
      <w:sz w:val="24"/>
      <w:szCs w:val="24"/>
      <w:lang w:eastAsia="cs-CZ"/>
    </w:rPr>
  </w:style>
  <w:style w:type="paragraph" w:customStyle="1" w:styleId="Seznamliteratury">
    <w:name w:val="Seznam literatury"/>
    <w:basedOn w:val="Normln"/>
    <w:uiPriority w:val="99"/>
    <w:qFormat/>
    <w:rsid w:val="00332D4D"/>
    <w:pPr>
      <w:ind w:left="540" w:hanging="540"/>
    </w:pPr>
  </w:style>
  <w:style w:type="paragraph" w:styleId="Titulek">
    <w:name w:val="caption"/>
    <w:basedOn w:val="Normln"/>
    <w:next w:val="Normln"/>
    <w:link w:val="TitulekChar"/>
    <w:qFormat/>
    <w:rsid w:val="00332D4D"/>
    <w:pPr>
      <w:keepNext/>
      <w:keepLines/>
      <w:spacing w:before="240" w:after="0"/>
    </w:pPr>
    <w:rPr>
      <w:b/>
      <w:bCs/>
    </w:rPr>
  </w:style>
  <w:style w:type="paragraph" w:customStyle="1" w:styleId="Odkazyvvodnmboxu">
    <w:name w:val="Odkazy v úvodním boxu"/>
    <w:basedOn w:val="Normln"/>
    <w:rsid w:val="00332D4D"/>
    <w:pPr>
      <w:ind w:left="567"/>
    </w:pPr>
    <w:rPr>
      <w:b/>
      <w:bCs/>
      <w:i/>
      <w:iCs/>
    </w:rPr>
  </w:style>
  <w:style w:type="paragraph" w:customStyle="1" w:styleId="Seznamzkratek">
    <w:name w:val="Seznam zkratek"/>
    <w:basedOn w:val="Normln"/>
    <w:rsid w:val="00332D4D"/>
    <w:pPr>
      <w:tabs>
        <w:tab w:val="left" w:leader="dot" w:pos="3119"/>
      </w:tabs>
      <w:spacing w:after="0" w:line="264" w:lineRule="auto"/>
    </w:pPr>
  </w:style>
  <w:style w:type="paragraph" w:customStyle="1" w:styleId="Zdrojpoznmkapodtabulkougrafem">
    <w:name w:val="Zdroj/poznámka pod tabulkou/grafem"/>
    <w:basedOn w:val="Normln"/>
    <w:next w:val="Normln"/>
    <w:link w:val="ZdrojpoznmkapodtabulkougrafemCharChar"/>
    <w:rsid w:val="00332D4D"/>
    <w:pPr>
      <w:spacing w:after="240"/>
      <w:contextualSpacing/>
    </w:pPr>
    <w:rPr>
      <w:i/>
      <w:sz w:val="16"/>
      <w:szCs w:val="16"/>
    </w:rPr>
  </w:style>
  <w:style w:type="character" w:customStyle="1" w:styleId="ZdrojpoznmkapodtabulkougrafemCharChar">
    <w:name w:val="Zdroj/poznámka pod tabulkou/grafem Char Char"/>
    <w:link w:val="Zdrojpoznmkapodtabulkougrafem"/>
    <w:rsid w:val="00332D4D"/>
    <w:rPr>
      <w:rFonts w:ascii="Calibri" w:eastAsia="Times New Roman" w:hAnsi="Calibri" w:cs="Times New Roman"/>
      <w:i/>
      <w:sz w:val="16"/>
      <w:szCs w:val="16"/>
      <w:lang w:eastAsia="cs-CZ"/>
    </w:rPr>
  </w:style>
  <w:style w:type="table" w:styleId="Mkatabulky">
    <w:name w:val="Table Grid"/>
    <w:basedOn w:val="Normlntabulka"/>
    <w:uiPriority w:val="59"/>
    <w:rsid w:val="00332D4D"/>
    <w:pPr>
      <w:spacing w:after="120" w:line="240" w:lineRule="auto"/>
      <w:jc w:val="both"/>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Nadpis1bezsla">
    <w:name w:val="Styl Nadpis 1 bez čísla"/>
    <w:basedOn w:val="Nadpis1"/>
    <w:semiHidden/>
    <w:locked/>
    <w:rsid w:val="00332D4D"/>
    <w:pPr>
      <w:ind w:left="0" w:firstLine="0"/>
    </w:pPr>
    <w:rPr>
      <w:rFonts w:cs="Times New Roman"/>
      <w:szCs w:val="20"/>
    </w:rPr>
  </w:style>
  <w:style w:type="paragraph" w:customStyle="1" w:styleId="Jednotkypodnadpisemgrafunebotabulky">
    <w:name w:val="Jednotky pod nadpisem grafu nebo tabulky"/>
    <w:basedOn w:val="Normln"/>
    <w:rsid w:val="00332D4D"/>
    <w:pPr>
      <w:keepNext/>
      <w:spacing w:after="0"/>
    </w:pPr>
    <w:rPr>
      <w:i/>
      <w:iCs/>
      <w:sz w:val="16"/>
    </w:rPr>
  </w:style>
  <w:style w:type="character" w:styleId="Znakapoznpodarou">
    <w:name w:val="footnote reference"/>
    <w:aliases w:val="Footnote symbol,Footnote reference number,Times 10 Point,Exposant 3 Point,EN Footnote Reference,note TESI, Exposant 3 Point,PGI Fußnote Ziffer + Times New Roman,12 b.,Zúžené o ...,PGI Fußnote Ziffer,BVI fnr"/>
    <w:rsid w:val="00332D4D"/>
    <w:rPr>
      <w:vertAlign w:val="superscript"/>
    </w:rPr>
  </w:style>
  <w:style w:type="paragraph" w:customStyle="1" w:styleId="Titulky">
    <w:name w:val="Titulky"/>
    <w:basedOn w:val="Titulek"/>
    <w:semiHidden/>
    <w:rsid w:val="00332D4D"/>
    <w:pPr>
      <w:keepLines w:val="0"/>
      <w:spacing w:beforeLines="75" w:before="180"/>
      <w:jc w:val="left"/>
    </w:pPr>
    <w:rPr>
      <w:rFonts w:ascii="Arial" w:hAnsi="Arial"/>
    </w:rPr>
  </w:style>
  <w:style w:type="paragraph" w:customStyle="1" w:styleId="Fisklnvhled1strana">
    <w:name w:val="Fiskální výhled (1. strana)"/>
    <w:basedOn w:val="Zpat"/>
    <w:next w:val="eskrepubliky1strana"/>
    <w:semiHidden/>
    <w:locked/>
    <w:rsid w:val="00332D4D"/>
    <w:pPr>
      <w:spacing w:before="7800" w:after="0"/>
      <w:ind w:left="1440" w:right="-289"/>
      <w:jc w:val="right"/>
    </w:pPr>
    <w:rPr>
      <w:b/>
      <w:bCs/>
      <w:spacing w:val="10"/>
      <w:sz w:val="96"/>
    </w:rPr>
  </w:style>
  <w:style w:type="paragraph" w:customStyle="1" w:styleId="eskrepubliky1strana">
    <w:name w:val="České republiky (1. strana)"/>
    <w:basedOn w:val="Zpat"/>
    <w:semiHidden/>
    <w:locked/>
    <w:rsid w:val="00332D4D"/>
    <w:pPr>
      <w:spacing w:after="0"/>
      <w:ind w:left="1440" w:right="-288"/>
      <w:jc w:val="right"/>
    </w:pPr>
    <w:rPr>
      <w:b/>
      <w:bCs/>
      <w:sz w:val="56"/>
    </w:rPr>
  </w:style>
  <w:style w:type="paragraph" w:customStyle="1" w:styleId="Zdrojpodtabulkounebografem">
    <w:name w:val="Zdroj pod tabulkou nebo grafem"/>
    <w:basedOn w:val="Normln"/>
    <w:next w:val="Normln"/>
    <w:link w:val="ZdrojpodtabulkounebografemChar"/>
    <w:qFormat/>
    <w:rsid w:val="00332D4D"/>
    <w:pPr>
      <w:spacing w:after="240"/>
      <w:contextualSpacing/>
    </w:pPr>
    <w:rPr>
      <w:i/>
      <w:sz w:val="16"/>
      <w:szCs w:val="16"/>
    </w:rPr>
  </w:style>
  <w:style w:type="paragraph" w:styleId="Textbubliny">
    <w:name w:val="Balloon Text"/>
    <w:basedOn w:val="Normln"/>
    <w:link w:val="TextbublinyChar"/>
    <w:semiHidden/>
    <w:rsid w:val="00332D4D"/>
    <w:rPr>
      <w:rFonts w:ascii="Tahoma" w:hAnsi="Tahoma" w:cs="Tahoma"/>
      <w:sz w:val="16"/>
      <w:szCs w:val="16"/>
    </w:rPr>
  </w:style>
  <w:style w:type="character" w:customStyle="1" w:styleId="TextbublinyChar">
    <w:name w:val="Text bubliny Char"/>
    <w:basedOn w:val="Standardnpsmoodstavce"/>
    <w:link w:val="Textbubliny"/>
    <w:semiHidden/>
    <w:rsid w:val="00332D4D"/>
    <w:rPr>
      <w:rFonts w:ascii="Tahoma" w:eastAsia="Times New Roman" w:hAnsi="Tahoma" w:cs="Tahoma"/>
      <w:sz w:val="16"/>
      <w:szCs w:val="16"/>
      <w:lang w:eastAsia="cs-CZ"/>
    </w:rPr>
  </w:style>
  <w:style w:type="paragraph" w:customStyle="1" w:styleId="Titulek-jednotkypodnadpisemgrafunebotabulky">
    <w:name w:val="Titulek - jednotky pod nadpisem grafu nebo tabulky"/>
    <w:basedOn w:val="Normln"/>
    <w:rsid w:val="00332D4D"/>
    <w:pPr>
      <w:keepNext/>
      <w:keepLines/>
      <w:spacing w:after="0"/>
    </w:pPr>
    <w:rPr>
      <w:i/>
      <w:iCs/>
      <w:sz w:val="16"/>
    </w:rPr>
  </w:style>
  <w:style w:type="paragraph" w:styleId="Rozloendokumentu">
    <w:name w:val="Document Map"/>
    <w:basedOn w:val="Normln"/>
    <w:link w:val="RozloendokumentuChar"/>
    <w:semiHidden/>
    <w:rsid w:val="00332D4D"/>
    <w:pPr>
      <w:shd w:val="clear" w:color="auto" w:fill="000080"/>
    </w:pPr>
    <w:rPr>
      <w:rFonts w:ascii="Tahoma" w:hAnsi="Tahoma" w:cs="Tahoma"/>
    </w:rPr>
  </w:style>
  <w:style w:type="character" w:customStyle="1" w:styleId="RozloendokumentuChar">
    <w:name w:val="Rozložení dokumentu Char"/>
    <w:basedOn w:val="Standardnpsmoodstavce"/>
    <w:link w:val="Rozloendokumentu"/>
    <w:semiHidden/>
    <w:rsid w:val="00332D4D"/>
    <w:rPr>
      <w:rFonts w:ascii="Tahoma" w:eastAsia="Times New Roman" w:hAnsi="Tahoma" w:cs="Tahoma"/>
      <w:sz w:val="20"/>
      <w:szCs w:val="20"/>
      <w:shd w:val="clear" w:color="auto" w:fill="000080"/>
      <w:lang w:eastAsia="cs-CZ"/>
    </w:rPr>
  </w:style>
  <w:style w:type="character" w:styleId="Odkaznakoment">
    <w:name w:val="annotation reference"/>
    <w:rsid w:val="00332D4D"/>
    <w:rPr>
      <w:sz w:val="16"/>
      <w:szCs w:val="16"/>
    </w:rPr>
  </w:style>
  <w:style w:type="paragraph" w:styleId="Textkomente">
    <w:name w:val="annotation text"/>
    <w:basedOn w:val="Normln"/>
    <w:link w:val="TextkomenteChar"/>
    <w:rsid w:val="00332D4D"/>
  </w:style>
  <w:style w:type="character" w:customStyle="1" w:styleId="TextkomenteChar">
    <w:name w:val="Text komentáře Char"/>
    <w:basedOn w:val="Standardnpsmoodstavce"/>
    <w:link w:val="Textkomente"/>
    <w:rsid w:val="00332D4D"/>
    <w:rPr>
      <w:rFonts w:ascii="Calibri" w:eastAsia="Times New Roman" w:hAnsi="Calibri" w:cs="Times New Roman"/>
      <w:sz w:val="20"/>
      <w:szCs w:val="20"/>
      <w:lang w:eastAsia="cs-CZ"/>
    </w:rPr>
  </w:style>
  <w:style w:type="paragraph" w:styleId="Pedmtkomente">
    <w:name w:val="annotation subject"/>
    <w:basedOn w:val="Textkomente"/>
    <w:next w:val="Textkomente"/>
    <w:link w:val="PedmtkomenteChar"/>
    <w:semiHidden/>
    <w:rsid w:val="00332D4D"/>
    <w:rPr>
      <w:b/>
      <w:bCs/>
    </w:rPr>
  </w:style>
  <w:style w:type="character" w:customStyle="1" w:styleId="PedmtkomenteChar">
    <w:name w:val="Předmět komentáře Char"/>
    <w:basedOn w:val="TextkomenteChar"/>
    <w:link w:val="Pedmtkomente"/>
    <w:semiHidden/>
    <w:rsid w:val="00332D4D"/>
    <w:rPr>
      <w:rFonts w:ascii="Calibri" w:eastAsia="Times New Roman" w:hAnsi="Calibri" w:cs="Times New Roman"/>
      <w:b/>
      <w:bCs/>
      <w:sz w:val="20"/>
      <w:szCs w:val="20"/>
      <w:lang w:eastAsia="cs-CZ"/>
    </w:rPr>
  </w:style>
  <w:style w:type="paragraph" w:styleId="Zkladntext">
    <w:name w:val="Body Text"/>
    <w:basedOn w:val="Normln"/>
    <w:link w:val="ZkladntextChar"/>
    <w:rsid w:val="00332D4D"/>
    <w:rPr>
      <w:lang w:eastAsia="en-US"/>
    </w:rPr>
  </w:style>
  <w:style w:type="character" w:customStyle="1" w:styleId="ZkladntextChar">
    <w:name w:val="Základní text Char"/>
    <w:basedOn w:val="Standardnpsmoodstavce"/>
    <w:link w:val="Zkladntext"/>
    <w:rsid w:val="00332D4D"/>
    <w:rPr>
      <w:rFonts w:ascii="Calibri" w:eastAsia="Times New Roman" w:hAnsi="Calibri" w:cs="Times New Roman"/>
      <w:sz w:val="20"/>
      <w:szCs w:val="20"/>
    </w:rPr>
  </w:style>
  <w:style w:type="paragraph" w:styleId="Textpoznpodarou">
    <w:name w:val="footnote text"/>
    <w:aliases w:val="Schriftart: 9 pt,Schriftart: 10 pt,Schriftart: 8 pt,Char,Text pozn. pod čarou1,Char Char Char1,Char Char1,Footnote Text Char1"/>
    <w:basedOn w:val="Normln"/>
    <w:link w:val="TextpoznpodarouChar"/>
    <w:rsid w:val="00332D4D"/>
    <w:rPr>
      <w:sz w:val="16"/>
    </w:rPr>
  </w:style>
  <w:style w:type="character" w:customStyle="1" w:styleId="TextpoznpodarouChar">
    <w:name w:val="Text pozn. pod čarou Char"/>
    <w:aliases w:val="Schriftart: 9 pt Char1,Schriftart: 10 pt Char1,Schriftart: 8 pt Char1,Char Char2,Text pozn. pod čarou1 Char1,Char Char Char1 Char1,Char Char1 Char1,Footnote Text Char1 Char1"/>
    <w:basedOn w:val="Standardnpsmoodstavce"/>
    <w:link w:val="Textpoznpodarou"/>
    <w:rsid w:val="00332D4D"/>
    <w:rPr>
      <w:rFonts w:ascii="Calibri" w:eastAsia="Times New Roman" w:hAnsi="Calibri" w:cs="Times New Roman"/>
      <w:sz w:val="16"/>
      <w:szCs w:val="20"/>
      <w:lang w:eastAsia="cs-CZ"/>
    </w:rPr>
  </w:style>
  <w:style w:type="numbering" w:customStyle="1" w:styleId="StylSodrkami">
    <w:name w:val="Styl S odrážkami"/>
    <w:basedOn w:val="Bezseznamu"/>
    <w:rsid w:val="00332D4D"/>
    <w:pPr>
      <w:numPr>
        <w:numId w:val="2"/>
      </w:numPr>
    </w:pPr>
  </w:style>
  <w:style w:type="paragraph" w:customStyle="1" w:styleId="NadpisAB">
    <w:name w:val="Nadpis AB"/>
    <w:basedOn w:val="Nadpis1"/>
    <w:rsid w:val="00332D4D"/>
    <w:pPr>
      <w:numPr>
        <w:numId w:val="3"/>
      </w:numPr>
      <w:jc w:val="left"/>
    </w:pPr>
  </w:style>
  <w:style w:type="character" w:customStyle="1" w:styleId="TitulekChar">
    <w:name w:val="Titulek Char"/>
    <w:link w:val="Titulek"/>
    <w:rsid w:val="00332D4D"/>
    <w:rPr>
      <w:rFonts w:ascii="Calibri" w:eastAsia="Times New Roman" w:hAnsi="Calibri" w:cs="Times New Roman"/>
      <w:b/>
      <w:bCs/>
      <w:sz w:val="20"/>
      <w:szCs w:val="20"/>
      <w:lang w:eastAsia="cs-CZ"/>
    </w:rPr>
  </w:style>
  <w:style w:type="paragraph" w:styleId="Revize">
    <w:name w:val="Revision"/>
    <w:hidden/>
    <w:uiPriority w:val="99"/>
    <w:semiHidden/>
    <w:rsid w:val="00332D4D"/>
    <w:pPr>
      <w:spacing w:after="0" w:line="240" w:lineRule="auto"/>
    </w:pPr>
    <w:rPr>
      <w:rFonts w:ascii="Calibri" w:eastAsia="Times New Roman" w:hAnsi="Calibri" w:cs="Times New Roman"/>
      <w:sz w:val="20"/>
      <w:szCs w:val="20"/>
      <w:lang w:eastAsia="cs-CZ"/>
    </w:rPr>
  </w:style>
  <w:style w:type="character" w:customStyle="1" w:styleId="ZdrojpodtabulkounebografemChar">
    <w:name w:val="Zdroj pod tabulkou nebo grafem Char"/>
    <w:link w:val="Zdrojpodtabulkounebografem"/>
    <w:rsid w:val="00332D4D"/>
    <w:rPr>
      <w:rFonts w:ascii="Calibri" w:eastAsia="Times New Roman" w:hAnsi="Calibri" w:cs="Times New Roman"/>
      <w:i/>
      <w:sz w:val="16"/>
      <w:szCs w:val="16"/>
      <w:lang w:eastAsia="cs-CZ"/>
    </w:rPr>
  </w:style>
  <w:style w:type="paragraph" w:customStyle="1" w:styleId="StylZdrojpoznmkapodtabulkougrafemnenKurzva">
    <w:name w:val="Styl Zdroj/poznámka pod tabulkou/grafem + není Kurzíva"/>
    <w:basedOn w:val="Zdrojpoznmkapodtabulkougrafem"/>
    <w:semiHidden/>
    <w:rsid w:val="00332D4D"/>
    <w:rPr>
      <w:i w:val="0"/>
    </w:rPr>
  </w:style>
  <w:style w:type="paragraph" w:customStyle="1" w:styleId="Seznamtabulekaobrzk">
    <w:name w:val="Seznam tabulek a obrázků"/>
    <w:basedOn w:val="Seznamobrzk"/>
    <w:next w:val="Normln"/>
    <w:rsid w:val="00332D4D"/>
    <w:pPr>
      <w:spacing w:line="20" w:lineRule="atLeast"/>
    </w:pPr>
  </w:style>
  <w:style w:type="paragraph" w:customStyle="1" w:styleId="Tunodstavec">
    <w:name w:val="Tučný odstavec"/>
    <w:basedOn w:val="Normln"/>
    <w:link w:val="TunodstavecChar1"/>
    <w:rsid w:val="00332D4D"/>
    <w:pPr>
      <w:spacing w:before="240" w:line="264" w:lineRule="auto"/>
    </w:pPr>
    <w:rPr>
      <w:rFonts w:ascii="Times New Roman" w:hAnsi="Times New Roman"/>
      <w:b/>
      <w:bCs/>
      <w:sz w:val="22"/>
    </w:rPr>
  </w:style>
  <w:style w:type="paragraph" w:customStyle="1" w:styleId="vod">
    <w:name w:val="Úvod"/>
    <w:basedOn w:val="Nadpis1"/>
    <w:next w:val="Normln"/>
    <w:semiHidden/>
    <w:rsid w:val="00332D4D"/>
    <w:pPr>
      <w:numPr>
        <w:numId w:val="0"/>
      </w:numPr>
    </w:pPr>
    <w:rPr>
      <w:rFonts w:cs="Times New Roman"/>
      <w:szCs w:val="20"/>
    </w:rPr>
  </w:style>
  <w:style w:type="character" w:customStyle="1" w:styleId="TunodstavecChar1">
    <w:name w:val="Tučný odstavec Char1"/>
    <w:link w:val="Tunodstavec"/>
    <w:rsid w:val="00332D4D"/>
    <w:rPr>
      <w:rFonts w:ascii="Times New Roman" w:eastAsia="Times New Roman" w:hAnsi="Times New Roman" w:cs="Times New Roman"/>
      <w:b/>
      <w:bCs/>
      <w:szCs w:val="20"/>
      <w:lang w:eastAsia="cs-CZ"/>
    </w:rPr>
  </w:style>
  <w:style w:type="paragraph" w:customStyle="1" w:styleId="Box-text">
    <w:name w:val="Box - text"/>
    <w:basedOn w:val="Normln"/>
    <w:uiPriority w:val="1"/>
    <w:qFormat/>
    <w:rsid w:val="00332D4D"/>
    <w:rPr>
      <w:sz w:val="18"/>
    </w:rPr>
  </w:style>
  <w:style w:type="paragraph" w:customStyle="1" w:styleId="Box-nadpis">
    <w:name w:val="Box - nadpis"/>
    <w:basedOn w:val="Nadpismal"/>
    <w:next w:val="Box-text"/>
    <w:uiPriority w:val="1"/>
    <w:qFormat/>
    <w:rsid w:val="00332D4D"/>
    <w:pPr>
      <w:spacing w:before="120"/>
    </w:pPr>
    <w:rPr>
      <w:bCs/>
      <w:sz w:val="20"/>
      <w:szCs w:val="20"/>
    </w:rPr>
  </w:style>
  <w:style w:type="paragraph" w:styleId="Odstavecseseznamem">
    <w:name w:val="List Paragraph"/>
    <w:basedOn w:val="Normln"/>
    <w:uiPriority w:val="34"/>
    <w:rsid w:val="00332D4D"/>
    <w:pPr>
      <w:ind w:left="720"/>
      <w:contextualSpacing/>
    </w:pPr>
    <w:rPr>
      <w:rFonts w:eastAsia="Calibri"/>
    </w:rPr>
  </w:style>
  <w:style w:type="character" w:styleId="Siln">
    <w:name w:val="Strong"/>
    <w:uiPriority w:val="22"/>
    <w:qFormat/>
    <w:rsid w:val="00332D4D"/>
    <w:rPr>
      <w:b/>
      <w:bCs/>
    </w:rPr>
  </w:style>
  <w:style w:type="character" w:customStyle="1" w:styleId="TextpoznpodarouChar1">
    <w:name w:val="Text pozn. pod čarou Char1"/>
    <w:aliases w:val="Schriftart: 9 pt Char,Schriftart: 10 pt Char,Schriftart: 8 pt Char,Text pozn. pod čarou Char Char, Char Char,Char Char,Text pozn. pod čarou1 Char,Char Char Char1 Char,Char Char1 Char,Footnote Text Char1 Char"/>
    <w:semiHidden/>
    <w:rsid w:val="00332D4D"/>
    <w:rPr>
      <w:lang w:val="cs-CZ" w:eastAsia="cs-CZ" w:bidi="ar-SA"/>
    </w:rPr>
  </w:style>
  <w:style w:type="paragraph" w:customStyle="1" w:styleId="Poznmkaazdroj">
    <w:name w:val="Poznámka a zdroj"/>
    <w:basedOn w:val="Normln"/>
    <w:next w:val="Normln"/>
    <w:uiPriority w:val="7"/>
    <w:qFormat/>
    <w:rsid w:val="00332D4D"/>
    <w:pPr>
      <w:spacing w:after="240"/>
      <w:contextualSpacing/>
    </w:pPr>
    <w:rPr>
      <w:rFonts w:eastAsia="Calibri"/>
      <w:i/>
      <w:sz w:val="16"/>
      <w:lang w:eastAsia="en-US"/>
    </w:rPr>
  </w:style>
  <w:style w:type="paragraph" w:customStyle="1" w:styleId="Jednotka">
    <w:name w:val="Jednotka"/>
    <w:basedOn w:val="Normln"/>
    <w:next w:val="Bezmezer"/>
    <w:uiPriority w:val="7"/>
    <w:qFormat/>
    <w:rsid w:val="00332D4D"/>
    <w:pPr>
      <w:keepNext/>
      <w:keepLines/>
      <w:spacing w:after="0"/>
      <w:jc w:val="left"/>
    </w:pPr>
    <w:rPr>
      <w:rFonts w:eastAsia="Calibri"/>
      <w:i/>
      <w:sz w:val="16"/>
      <w:szCs w:val="16"/>
      <w:lang w:eastAsia="en-US"/>
    </w:rPr>
  </w:style>
  <w:style w:type="paragraph" w:styleId="Bezmezer">
    <w:name w:val="No Spacing"/>
    <w:uiPriority w:val="1"/>
    <w:qFormat/>
    <w:rsid w:val="00332D4D"/>
    <w:pPr>
      <w:spacing w:after="0" w:line="240" w:lineRule="auto"/>
      <w:jc w:val="both"/>
    </w:pPr>
    <w:rPr>
      <w:rFonts w:ascii="Calibri" w:eastAsia="Times New Roman" w:hAnsi="Calibri" w:cs="Times New Roman"/>
      <w:sz w:val="20"/>
      <w:szCs w:val="20"/>
      <w:lang w:eastAsia="cs-CZ"/>
    </w:rPr>
  </w:style>
  <w:style w:type="paragraph" w:customStyle="1" w:styleId="Zdrojelit">
    <w:name w:val="Zdroje lit."/>
    <w:basedOn w:val="Normln"/>
    <w:qFormat/>
    <w:rsid w:val="00332D4D"/>
    <w:pPr>
      <w:ind w:left="540" w:hanging="540"/>
    </w:pPr>
  </w:style>
  <w:style w:type="paragraph" w:styleId="Zkladntextodsazen">
    <w:name w:val="Body Text Indent"/>
    <w:basedOn w:val="Normln"/>
    <w:link w:val="ZkladntextodsazenChar"/>
    <w:rsid w:val="00332D4D"/>
    <w:pPr>
      <w:ind w:left="283"/>
    </w:pPr>
  </w:style>
  <w:style w:type="character" w:customStyle="1" w:styleId="ZkladntextodsazenChar">
    <w:name w:val="Základní text odsazený Char"/>
    <w:basedOn w:val="Standardnpsmoodstavce"/>
    <w:link w:val="Zkladntextodsazen"/>
    <w:rsid w:val="00332D4D"/>
    <w:rPr>
      <w:rFonts w:ascii="Calibri" w:eastAsia="Times New Roman" w:hAnsi="Calibri" w:cs="Times New Roman"/>
      <w:sz w:val="20"/>
      <w:szCs w:val="20"/>
      <w:lang w:eastAsia="cs-CZ"/>
    </w:rPr>
  </w:style>
  <w:style w:type="character" w:customStyle="1" w:styleId="st">
    <w:name w:val="st"/>
    <w:rsid w:val="00612BDB"/>
  </w:style>
  <w:style w:type="paragraph" w:styleId="Obsah3">
    <w:name w:val="toc 3"/>
    <w:basedOn w:val="Normln"/>
    <w:next w:val="Normln"/>
    <w:autoRedefine/>
    <w:uiPriority w:val="39"/>
    <w:unhideWhenUsed/>
    <w:rsid w:val="00302B9E"/>
    <w:pPr>
      <w:spacing w:after="100"/>
      <w:ind w:left="400"/>
    </w:pPr>
  </w:style>
  <w:style w:type="paragraph" w:styleId="Rejstk1">
    <w:name w:val="index 1"/>
    <w:basedOn w:val="Normln"/>
    <w:next w:val="Normln"/>
    <w:autoRedefine/>
    <w:uiPriority w:val="99"/>
    <w:semiHidden/>
    <w:unhideWhenUsed/>
    <w:rsid w:val="00BA4BBC"/>
    <w:pPr>
      <w:spacing w:after="0"/>
      <w:ind w:left="200" w:hanging="200"/>
    </w:pPr>
  </w:style>
  <w:style w:type="paragraph" w:customStyle="1" w:styleId="ZKDvousloupcov">
    <w:name w:val="ZK_Dvousloupcový"/>
    <w:basedOn w:val="Normln"/>
    <w:link w:val="ZKDvousloupcovChar"/>
    <w:rsid w:val="00695CCE"/>
    <w:rPr>
      <w:kern w:val="20"/>
      <w:szCs w:val="24"/>
    </w:rPr>
  </w:style>
  <w:style w:type="character" w:customStyle="1" w:styleId="ZKDvousloupcovChar">
    <w:name w:val="ZK_Dvousloupcový Char"/>
    <w:link w:val="ZKDvousloupcov"/>
    <w:rsid w:val="00695CCE"/>
    <w:rPr>
      <w:rFonts w:ascii="Calibri" w:eastAsia="Times New Roman" w:hAnsi="Calibri" w:cs="Times New Roman"/>
      <w:kern w:val="20"/>
      <w:sz w:val="20"/>
      <w:szCs w:val="24"/>
      <w:lang w:eastAsia="cs-CZ"/>
    </w:rPr>
  </w:style>
  <w:style w:type="character" w:styleId="Zdraznn">
    <w:name w:val="Emphasis"/>
    <w:aliases w:val="Zvýraznění"/>
    <w:uiPriority w:val="20"/>
    <w:qFormat/>
    <w:rsid w:val="006B238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112910">
      <w:bodyDiv w:val="1"/>
      <w:marLeft w:val="0"/>
      <w:marRight w:val="0"/>
      <w:marTop w:val="0"/>
      <w:marBottom w:val="0"/>
      <w:divBdr>
        <w:top w:val="none" w:sz="0" w:space="0" w:color="auto"/>
        <w:left w:val="none" w:sz="0" w:space="0" w:color="auto"/>
        <w:bottom w:val="none" w:sz="0" w:space="0" w:color="auto"/>
        <w:right w:val="none" w:sz="0" w:space="0" w:color="auto"/>
      </w:divBdr>
    </w:div>
    <w:div w:id="1377317793">
      <w:bodyDiv w:val="1"/>
      <w:marLeft w:val="0"/>
      <w:marRight w:val="0"/>
      <w:marTop w:val="0"/>
      <w:marBottom w:val="0"/>
      <w:divBdr>
        <w:top w:val="none" w:sz="0" w:space="0" w:color="auto"/>
        <w:left w:val="none" w:sz="0" w:space="0" w:color="auto"/>
        <w:bottom w:val="none" w:sz="0" w:space="0" w:color="auto"/>
        <w:right w:val="none" w:sz="0" w:space="0" w:color="auto"/>
      </w:divBdr>
    </w:div>
    <w:div w:id="1775786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image" Target="media/image3.png"/><Relationship Id="rId26" Type="http://schemas.openxmlformats.org/officeDocument/2006/relationships/header" Target="header4.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2.png"/><Relationship Id="rId25" Type="http://schemas.openxmlformats.org/officeDocument/2006/relationships/image" Target="media/image10.png"/><Relationship Id="rId33" Type="http://schemas.openxmlformats.org/officeDocument/2006/relationships/footer" Target="footer8.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image" Target="media/image5.png"/><Relationship Id="rId29"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9.png"/><Relationship Id="rId32" Type="http://schemas.openxmlformats.org/officeDocument/2006/relationships/header" Target="header6.xml"/><Relationship Id="rId37"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image" Target="media/image8.png"/><Relationship Id="rId28" Type="http://schemas.openxmlformats.org/officeDocument/2006/relationships/image" Target="media/image11.emf"/><Relationship Id="rId36" Type="http://schemas.openxmlformats.org/officeDocument/2006/relationships/header" Target="header7.xml"/><Relationship Id="rId10" Type="http://schemas.openxmlformats.org/officeDocument/2006/relationships/footer" Target="footer2.xml"/><Relationship Id="rId19" Type="http://schemas.openxmlformats.org/officeDocument/2006/relationships/image" Target="media/image4.png"/><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image" Target="media/image7.png"/><Relationship Id="rId27" Type="http://schemas.openxmlformats.org/officeDocument/2006/relationships/footer" Target="footer6.xml"/><Relationship Id="rId30" Type="http://schemas.openxmlformats.org/officeDocument/2006/relationships/header" Target="header5.xml"/><Relationship Id="rId35" Type="http://schemas.openxmlformats.org/officeDocument/2006/relationships/image" Target="media/image1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478E7-390D-4BDE-B246-CEB47677A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6291</Words>
  <Characters>37120</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43325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2021-08-30T14:42:00Z</dcterms:created>
  <dcterms:modified xsi:type="dcterms:W3CDTF">2021-09-29T07:56:00Z</dcterms:modified>
</cp:coreProperties>
</file>