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946" w:rsidRPr="007C1F47" w:rsidRDefault="00EC4946" w:rsidP="00EC4946">
      <w:pPr>
        <w:pStyle w:val="Nadpis2"/>
        <w:spacing w:after="50"/>
      </w:pPr>
      <w:r w:rsidRPr="007C1F47">
        <w:t xml:space="preserve">ZÁKON </w:t>
      </w:r>
    </w:p>
    <w:p w:rsidR="00EC4946" w:rsidRPr="002E459B" w:rsidRDefault="00A510B3" w:rsidP="00EC4946">
      <w:pPr>
        <w:spacing w:line="259" w:lineRule="auto"/>
        <w:jc w:val="center"/>
      </w:pPr>
      <w:r>
        <w:t xml:space="preserve">ze dne              </w:t>
      </w:r>
      <w:r w:rsidR="00C40B23">
        <w:t xml:space="preserve">  </w:t>
      </w:r>
      <w:r w:rsidR="00EC4946" w:rsidRPr="002E459B">
        <w:t>202</w:t>
      </w:r>
      <w:r w:rsidR="00B44363">
        <w:t>1</w:t>
      </w:r>
      <w:r w:rsidR="00EC4946" w:rsidRPr="002E459B">
        <w:t xml:space="preserve">, </w:t>
      </w:r>
    </w:p>
    <w:p w:rsidR="00EC4946" w:rsidRPr="00313B87" w:rsidRDefault="00EC4946" w:rsidP="00B44363">
      <w:pPr>
        <w:pStyle w:val="nadpiszkona"/>
      </w:pPr>
      <w:r w:rsidRPr="002E459B">
        <w:t xml:space="preserve"> </w:t>
      </w:r>
      <w:r w:rsidRPr="00313B87">
        <w:t xml:space="preserve">kterým se mění </w:t>
      </w:r>
      <w:r>
        <w:t xml:space="preserve">zákon </w:t>
      </w:r>
      <w:r w:rsidRPr="00313B87">
        <w:t>č. 133/1985 Sb., o požární ochraně, ve znění pozdějších předpisů</w:t>
      </w:r>
      <w:r>
        <w:t>,</w:t>
      </w:r>
      <w:r w:rsidRPr="00313B87">
        <w:t xml:space="preserve"> a zákon č. 239/2000 Sb., o integrovaném záchranném systému a o změně některých zákonů, ve znění pozdějších předpisů</w:t>
      </w:r>
    </w:p>
    <w:p w:rsidR="00EC4946" w:rsidRDefault="00B44363" w:rsidP="00B44363">
      <w:pPr>
        <w:pStyle w:val="Parlament"/>
      </w:pPr>
      <w:r>
        <w:t>Parlament se usnesl na tomto zákoně České republiky:</w:t>
      </w:r>
    </w:p>
    <w:p w:rsidR="00EC4946" w:rsidRDefault="00B44363" w:rsidP="00B44363">
      <w:pPr>
        <w:pStyle w:val="ST"/>
      </w:pPr>
      <w:r>
        <w:t xml:space="preserve">ČÁST </w:t>
      </w:r>
      <w:r w:rsidR="00EC4946">
        <w:t>PRVNÍ</w:t>
      </w:r>
    </w:p>
    <w:p w:rsidR="00EC4946" w:rsidRPr="008E060B" w:rsidRDefault="00EC4946" w:rsidP="00B44363">
      <w:pPr>
        <w:pStyle w:val="NADPISSTI"/>
      </w:pPr>
      <w:r w:rsidRPr="008E060B">
        <w:t>Změna zákona o požární ochraně</w:t>
      </w:r>
    </w:p>
    <w:p w:rsidR="00EC4946" w:rsidRPr="002E459B" w:rsidRDefault="00B44363" w:rsidP="00B44363">
      <w:pPr>
        <w:pStyle w:val="lnek"/>
      </w:pPr>
      <w:r>
        <w:t xml:space="preserve">Čl. </w:t>
      </w:r>
      <w:r w:rsidR="00EC4946" w:rsidRPr="002E459B">
        <w:t>I</w:t>
      </w:r>
    </w:p>
    <w:p w:rsidR="00EC4946" w:rsidRPr="002E459B" w:rsidRDefault="00EC4946" w:rsidP="00B44363">
      <w:pPr>
        <w:pStyle w:val="Textlnku"/>
      </w:pPr>
      <w:r w:rsidRPr="002E459B">
        <w:t xml:space="preserve">Zákon č. 133/1985 Sb., o požární ochraně, ve znění </w:t>
      </w:r>
      <w:r w:rsidRPr="00C74992">
        <w:t>zákona č. 425/1990 Sb., zákona č.</w:t>
      </w:r>
      <w:r w:rsidR="00B44363">
        <w:t> </w:t>
      </w:r>
      <w:r w:rsidRPr="00C74992">
        <w:t>40/1994 Sb., zákona č. 203/1994 Sb., zákona č. 163/1998 Sb., zákona č. 71/2000 Sb., zákona č. 237/2000 Sb., zákona č. 320/2002 Sb., zákona č. 413/2005 Sb., zákona č. 186/2006 Sb., zákona č. 267/2006 Sb., zákona č. 281/2009 Sb., zákona č. 341/2011 Sb., zákona č. 350/2011 Sb., zákona č. 350/2012 Sb., zákona č. 303/2013 Sb., zákonného opatření Senátu č. 344/2013 Sb., zákona č. 64/201</w:t>
      </w:r>
      <w:r>
        <w:t xml:space="preserve">4 Sb., zákona č. 320/2015 Sb., </w:t>
      </w:r>
      <w:r w:rsidRPr="00C74992">
        <w:t>zákona č. 229/2016 Sb.</w:t>
      </w:r>
      <w:r w:rsidR="002A712B">
        <w:t>,</w:t>
      </w:r>
      <w:r>
        <w:t xml:space="preserve"> zákona č.</w:t>
      </w:r>
      <w:r w:rsidR="00B44363">
        <w:t> </w:t>
      </w:r>
      <w:r>
        <w:t>225/2017 Sb.</w:t>
      </w:r>
      <w:r w:rsidR="002A712B">
        <w:t xml:space="preserve"> a zákona č. 284/2021 Sb.</w:t>
      </w:r>
      <w:r w:rsidRPr="00C74992">
        <w:t>, se mění takto</w:t>
      </w:r>
      <w:r w:rsidRPr="002E459B">
        <w:t xml:space="preserve">: </w:t>
      </w:r>
    </w:p>
    <w:p w:rsidR="00EC4946" w:rsidRDefault="00EC4946" w:rsidP="00B44363">
      <w:pPr>
        <w:pStyle w:val="Novelizanbod"/>
        <w:rPr>
          <w:rFonts w:eastAsia="Calibri"/>
        </w:rPr>
      </w:pPr>
      <w:r>
        <w:rPr>
          <w:rFonts w:eastAsia="Calibri"/>
        </w:rPr>
        <w:t>Za § 7 se vkládají nové § 8 a 9, které znějí:</w:t>
      </w:r>
    </w:p>
    <w:p w:rsidR="00EC4946" w:rsidRPr="00672139" w:rsidRDefault="00EC4946" w:rsidP="00C40B23">
      <w:pPr>
        <w:pStyle w:val="Paragraf"/>
        <w:rPr>
          <w:rFonts w:eastAsia="Calibri"/>
        </w:rPr>
      </w:pPr>
      <w:r>
        <w:rPr>
          <w:rFonts w:eastAsia="Calibri"/>
        </w:rPr>
        <w:t>„§ 8</w:t>
      </w:r>
    </w:p>
    <w:p w:rsidR="00EC4946" w:rsidRPr="004F15F6" w:rsidRDefault="00EC4946" w:rsidP="00B44363">
      <w:pPr>
        <w:pStyle w:val="Textodstavce"/>
        <w:rPr>
          <w:rFonts w:eastAsia="Calibri"/>
        </w:rPr>
      </w:pPr>
      <w:r w:rsidRPr="004F15F6">
        <w:rPr>
          <w:rFonts w:eastAsia="Calibri"/>
        </w:rPr>
        <w:t xml:space="preserve">Zařízení sociálních služeb, které poskytuje služby sociální péče formou pobytových služeb podle zákona o sociálních službách, musí být v části stavby, v níž je služba poskytována, vybaveno </w:t>
      </w:r>
    </w:p>
    <w:p w:rsidR="00EC4946" w:rsidRPr="004F15F6" w:rsidRDefault="00EC4946" w:rsidP="00B44363">
      <w:pPr>
        <w:pStyle w:val="Textpsmene"/>
        <w:rPr>
          <w:rFonts w:eastAsia="Calibri"/>
        </w:rPr>
      </w:pPr>
      <w:r w:rsidRPr="004F15F6">
        <w:rPr>
          <w:rFonts w:eastAsia="Calibri"/>
        </w:rPr>
        <w:t xml:space="preserve">elektrickou požární signalizací, je-li ubytovací kapacita tohoto zařízení nad 50 osob, </w:t>
      </w:r>
    </w:p>
    <w:p w:rsidR="00EC4946" w:rsidRPr="004F15F6" w:rsidRDefault="00EC4946" w:rsidP="00B44363">
      <w:pPr>
        <w:pStyle w:val="Textpsmene"/>
        <w:rPr>
          <w:rFonts w:eastAsia="Calibri"/>
        </w:rPr>
      </w:pPr>
      <w:r w:rsidRPr="004F15F6">
        <w:rPr>
          <w:rFonts w:eastAsia="Calibri"/>
        </w:rPr>
        <w:t>zařízením autonomní detekce a signalizace, je-li ubytovací kapacita tohoto zařízení 50 osob nebo nižší, pokud není vybaveno podle písmene a).</w:t>
      </w:r>
    </w:p>
    <w:p w:rsidR="00EC4946" w:rsidRPr="004F15F6" w:rsidRDefault="00EC4946" w:rsidP="00B44363">
      <w:pPr>
        <w:pStyle w:val="Textodstavce"/>
        <w:rPr>
          <w:rFonts w:eastAsia="Calibri"/>
        </w:rPr>
      </w:pPr>
      <w:r w:rsidRPr="004F15F6">
        <w:rPr>
          <w:rFonts w:eastAsia="Calibri"/>
        </w:rPr>
        <w:t>Pokud je ve stavbě provozováno více zařízení sociálních služeb, které poskytují služby sociální péče formou pobytových služeb podle zákona o sociálních službách, a součet ubytovací kapacity těchto zařízení je nad 50 osob, postupuje se podle odstavce 1 písm. a).</w:t>
      </w:r>
    </w:p>
    <w:p w:rsidR="00EC4946" w:rsidRPr="004F15F6" w:rsidRDefault="00EC4946" w:rsidP="00B44363">
      <w:pPr>
        <w:pStyle w:val="Textodstavce"/>
        <w:rPr>
          <w:rFonts w:eastAsia="Calibri"/>
        </w:rPr>
      </w:pPr>
      <w:r w:rsidRPr="004F15F6">
        <w:rPr>
          <w:rFonts w:eastAsia="Calibri"/>
        </w:rPr>
        <w:t>Na žádost provozovatele elektrické požární signalizace v části stavby, kde je poskytována sociální služba podle odstavce 1, hasičský záchranný sbor kraje připojí elektrickou požární signalizaci podle odstavce 1 písm. a) prostřednictvím zařízení dálkového přenosu na pult centralizované ochrany umístěný na krajském operačním a informačním středisku hasičského záchranného sboru kraje, po splnění podmínek pro toto připojení.</w:t>
      </w:r>
    </w:p>
    <w:p w:rsidR="00EC4946" w:rsidRPr="00B44363" w:rsidRDefault="00EC4946" w:rsidP="00395340">
      <w:pPr>
        <w:pStyle w:val="Textodstavce"/>
        <w:rPr>
          <w:rFonts w:eastAsia="Calibri"/>
        </w:rPr>
      </w:pPr>
      <w:r w:rsidRPr="00B44363">
        <w:rPr>
          <w:rFonts w:eastAsia="Calibri"/>
        </w:rPr>
        <w:t xml:space="preserve">Hasičský záchranný sbor kraje žádost podle odstavce 3 posoudí a písemně žadateli sdělí, za jakých podmínek lze připojení realizovat. Smlouva o </w:t>
      </w:r>
      <w:r w:rsidRPr="004F15F6">
        <w:t>připojení elektrické požární signalizace na pult centralizované ochrany</w:t>
      </w:r>
      <w:r w:rsidRPr="00B44363">
        <w:rPr>
          <w:rFonts w:eastAsia="Calibri"/>
        </w:rPr>
        <w:t xml:space="preserve"> obsahuje zejména označení smluvních stran</w:t>
      </w:r>
      <w:r w:rsidR="00C37A9F">
        <w:rPr>
          <w:rFonts w:eastAsia="Calibri"/>
        </w:rPr>
        <w:t xml:space="preserve"> a </w:t>
      </w:r>
      <w:r w:rsidRPr="00B44363">
        <w:rPr>
          <w:rFonts w:eastAsia="Calibri"/>
        </w:rPr>
        <w:t>podmínky připojení elektrické požární signalizace na pult centralizované ochrany. Jednorázová úhrada za připojení a měsíční cena za připojení elektrické požární signalizace na pult centralizované ochrany se nevyžaduje.</w:t>
      </w:r>
    </w:p>
    <w:p w:rsidR="00EC4946" w:rsidRDefault="00EC4946" w:rsidP="00C40B23">
      <w:pPr>
        <w:pStyle w:val="Paragraf"/>
        <w:rPr>
          <w:rFonts w:eastAsia="Calibri"/>
        </w:rPr>
      </w:pPr>
      <w:r>
        <w:rPr>
          <w:rFonts w:eastAsia="Calibri"/>
        </w:rPr>
        <w:lastRenderedPageBreak/>
        <w:t>§ 9</w:t>
      </w:r>
    </w:p>
    <w:p w:rsidR="00EC4946" w:rsidRPr="00B44363" w:rsidRDefault="00EC4946" w:rsidP="00B44363">
      <w:pPr>
        <w:pStyle w:val="Textodstavce"/>
        <w:numPr>
          <w:ilvl w:val="0"/>
          <w:numId w:val="12"/>
        </w:numPr>
        <w:rPr>
          <w:rFonts w:eastAsia="Calibri"/>
        </w:rPr>
      </w:pPr>
      <w:r w:rsidRPr="00B44363">
        <w:rPr>
          <w:rFonts w:eastAsia="Calibri"/>
        </w:rPr>
        <w:t>Nemovitou národní kulturní památku, která je vybavená elektrickou požární signalizací, lze na žádost provozovatele elektrické požární signalizace připojit prostřednictvím zařízení dálkového přenosu na pult centralizované ochrany umístěný na krajském operačním a</w:t>
      </w:r>
      <w:r w:rsidR="00C40B23">
        <w:rPr>
          <w:rFonts w:eastAsia="Calibri"/>
        </w:rPr>
        <w:t> </w:t>
      </w:r>
      <w:r w:rsidRPr="00B44363">
        <w:rPr>
          <w:rFonts w:eastAsia="Calibri"/>
        </w:rPr>
        <w:t>informačním středisku hasičského záchranného sboru kraje.</w:t>
      </w:r>
    </w:p>
    <w:p w:rsidR="00C40B23" w:rsidRDefault="00EC4946" w:rsidP="00B44363">
      <w:pPr>
        <w:pStyle w:val="Textodstavce"/>
        <w:numPr>
          <w:ilvl w:val="0"/>
          <w:numId w:val="12"/>
        </w:numPr>
        <w:rPr>
          <w:rFonts w:eastAsia="Calibri"/>
        </w:rPr>
      </w:pPr>
      <w:r w:rsidRPr="00B44363">
        <w:rPr>
          <w:rFonts w:eastAsia="Calibri"/>
        </w:rPr>
        <w:t>Hasičský záchranný sbor kraje žádost posoudí a písemně žadateli sdělí, za jakých podmínek lze připojení realizovat. Smlouva o připojení elektrické požární signalizace na pult centralizované ochrany obsahuje z</w:t>
      </w:r>
      <w:r w:rsidR="00C37A9F">
        <w:rPr>
          <w:rFonts w:eastAsia="Calibri"/>
        </w:rPr>
        <w:t>ejména označení smluvních stran a</w:t>
      </w:r>
      <w:r w:rsidRPr="00B44363">
        <w:rPr>
          <w:rFonts w:eastAsia="Calibri"/>
        </w:rPr>
        <w:t xml:space="preserve"> podmínky připojení elektrické požární signalizace na pult centralizované ochrany. Jednorázová úhrada za připojení a měsíční cena za připojení elektrické požární signalizace na pult centralizované ochrany se nevyžaduje.</w:t>
      </w:r>
    </w:p>
    <w:p w:rsidR="00EC4946" w:rsidRPr="00B44363" w:rsidRDefault="00C40B23" w:rsidP="00B44363">
      <w:pPr>
        <w:pStyle w:val="Textodstavce"/>
        <w:numPr>
          <w:ilvl w:val="0"/>
          <w:numId w:val="12"/>
        </w:numPr>
        <w:rPr>
          <w:rFonts w:eastAsia="Calibri"/>
        </w:rPr>
      </w:pPr>
      <w:r w:rsidRPr="0091392C">
        <w:t>Nemovitou kulturní památku uvedenou v dohodě uzavřené mezi Generálním ředitelstvím Hasičského záchranného sboru České republiky (dále jen „generální ředitelství“) a</w:t>
      </w:r>
      <w:r>
        <w:t> </w:t>
      </w:r>
      <w:r w:rsidRPr="0091392C">
        <w:t>Ministerstvem kultury, lze připojit na pult centralizované ochrany umístěný na krajském operačním a informačním středisku hasičského záchranného sboru kraje za obdobných podmínek, jako nemovitou národní kulturní památku.</w:t>
      </w:r>
      <w:r w:rsidR="00EC4946" w:rsidRPr="00B44363">
        <w:rPr>
          <w:rFonts w:eastAsia="Calibri"/>
        </w:rPr>
        <w:t>“.</w:t>
      </w:r>
    </w:p>
    <w:p w:rsidR="00C37A9F" w:rsidRPr="00C37A9F" w:rsidRDefault="00C37A9F" w:rsidP="00C37A9F">
      <w:pPr>
        <w:pStyle w:val="Novelizanbod"/>
        <w:rPr>
          <w:rFonts w:eastAsia="Calibri"/>
        </w:rPr>
      </w:pPr>
      <w:r w:rsidRPr="0091392C">
        <w:t>V § 26 odst. 1 se slova „hasičské</w:t>
      </w:r>
      <w:r w:rsidR="00644854">
        <w:t>ho záchranného sboru (dále jen „</w:t>
      </w:r>
      <w:r w:rsidRPr="0091392C">
        <w:t>generální ředitelství“)“</w:t>
      </w:r>
      <w:r>
        <w:t xml:space="preserve"> </w:t>
      </w:r>
      <w:r w:rsidRPr="0091392C">
        <w:t>zrušují.</w:t>
      </w:r>
    </w:p>
    <w:p w:rsidR="00EC4946" w:rsidRPr="00C37A9F" w:rsidRDefault="00C37A9F" w:rsidP="00794982">
      <w:pPr>
        <w:pStyle w:val="Novelizanbod"/>
        <w:rPr>
          <w:rFonts w:eastAsia="Calibri"/>
        </w:rPr>
      </w:pPr>
      <w:r w:rsidRPr="00C37A9F">
        <w:rPr>
          <w:rFonts w:eastAsia="Calibri"/>
        </w:rPr>
        <w:t xml:space="preserve"> </w:t>
      </w:r>
      <w:r w:rsidR="00EC4946" w:rsidRPr="00C37A9F">
        <w:rPr>
          <w:rFonts w:eastAsia="Calibri"/>
        </w:rPr>
        <w:t xml:space="preserve">V § 31 odst. 1 písmeno b) zní: </w:t>
      </w:r>
    </w:p>
    <w:p w:rsidR="00EC4946" w:rsidRPr="00A55A1F" w:rsidRDefault="00EC4946" w:rsidP="00B44363">
      <w:pPr>
        <w:pStyle w:val="Psmeno"/>
      </w:pPr>
      <w:r>
        <w:t>„b)</w:t>
      </w:r>
      <w:r w:rsidR="00B44363">
        <w:tab/>
      </w:r>
      <w:r w:rsidRPr="00A55A1F">
        <w:t>pos</w:t>
      </w:r>
      <w:r>
        <w:t>o</w:t>
      </w:r>
      <w:r w:rsidRPr="00A55A1F">
        <w:t>uz</w:t>
      </w:r>
      <w:r>
        <w:t>e</w:t>
      </w:r>
      <w:r w:rsidRPr="00A55A1F">
        <w:t xml:space="preserve">ním </w:t>
      </w:r>
      <w:r>
        <w:t>stavební nebo územně plánovací dokumentace</w:t>
      </w:r>
    </w:p>
    <w:p w:rsidR="00EC4946" w:rsidRPr="00A55A1F" w:rsidRDefault="00EC4946" w:rsidP="00B44363">
      <w:pPr>
        <w:pStyle w:val="Textbodu"/>
      </w:pPr>
      <w:r w:rsidRPr="00A55A1F">
        <w:t>regulačního plánu, nahrazuje-li územní rozhodnutí vztahující se k umístění stavby,</w:t>
      </w:r>
    </w:p>
    <w:p w:rsidR="00EC4946" w:rsidRPr="00A55A1F" w:rsidRDefault="00EC4946" w:rsidP="00B44363">
      <w:pPr>
        <w:pStyle w:val="Textbodu"/>
      </w:pPr>
      <w:r w:rsidRPr="00A55A1F">
        <w:t>podkladů k územnímu souhlasu nebo dokumentace pro vydání územního rozhodnutí, vztahující se k umístění stavby</w:t>
      </w:r>
      <w:r w:rsidRPr="00FB7C67">
        <w:t>,</w:t>
      </w:r>
    </w:p>
    <w:p w:rsidR="00EC4946" w:rsidRPr="00FB7C67" w:rsidRDefault="00EC4946" w:rsidP="00B44363">
      <w:pPr>
        <w:pStyle w:val="Textbodu"/>
      </w:pPr>
      <w:r w:rsidRPr="00A55A1F">
        <w:t>projektové dokumentace stavby</w:t>
      </w:r>
      <w:r w:rsidRPr="00C94F5C">
        <w:t xml:space="preserve"> nebo dokumentace pro ohlášení stavby, v těch případech, kdy se podle stavebního zákona nevyžaduje pro ohlášení stavby projektová dokumentace</w:t>
      </w:r>
      <w:r w:rsidRPr="00A55A1F">
        <w:t>,</w:t>
      </w:r>
      <w:r>
        <w:t xml:space="preserve"> nebo</w:t>
      </w:r>
    </w:p>
    <w:p w:rsidR="00EC4946" w:rsidRPr="00A55A1F" w:rsidRDefault="00EC4946" w:rsidP="00B44363">
      <w:pPr>
        <w:pStyle w:val="Textbodu"/>
      </w:pPr>
      <w:r w:rsidRPr="00FB7C67">
        <w:t>dokumentace</w:t>
      </w:r>
      <w:r w:rsidRPr="00106E99">
        <w:t xml:space="preserve"> ke </w:t>
      </w:r>
      <w:r w:rsidR="00886E34">
        <w:t>změně v užívání stavby;</w:t>
      </w:r>
    </w:p>
    <w:p w:rsidR="00EC4946" w:rsidRDefault="00886E34" w:rsidP="00B44363">
      <w:pPr>
        <w:widowControl w:val="0"/>
        <w:autoSpaceDE w:val="0"/>
        <w:autoSpaceDN w:val="0"/>
        <w:adjustRightInd w:val="0"/>
        <w:ind w:firstLine="426"/>
      </w:pPr>
      <w:r>
        <w:t>p</w:t>
      </w:r>
      <w:r w:rsidR="00EC4946">
        <w:t>osouzení se provede v rozsahu požárně bezpečnostního řešení podle zvláštního právního předpisu</w:t>
      </w:r>
      <w:hyperlink r:id="rId7" w:anchor="f2805667" w:history="1">
        <w:r w:rsidR="00EC4946" w:rsidRPr="00B44363">
          <w:rPr>
            <w:rStyle w:val="Hypertextovodkaz"/>
            <w:color w:val="auto"/>
            <w:u w:val="none"/>
            <w:vertAlign w:val="superscript"/>
          </w:rPr>
          <w:t>13)</w:t>
        </w:r>
      </w:hyperlink>
      <w:r w:rsidR="00EC4946" w:rsidRPr="00702EA4">
        <w:t xml:space="preserve"> </w:t>
      </w:r>
      <w:r w:rsidR="00EC4946">
        <w:t xml:space="preserve">nebo v rozsahu obdobného dokumentu, který je dostatečný pro posouzení požární bezpečnosti stavby, a to pouze u staveb, u kterých je vykonáván státní požární dozor,“.  </w:t>
      </w:r>
    </w:p>
    <w:p w:rsidR="00EC4946" w:rsidRPr="004974F7" w:rsidRDefault="00EC4946" w:rsidP="00B44363">
      <w:pPr>
        <w:pStyle w:val="Novelizanbod"/>
        <w:rPr>
          <w:rFonts w:eastAsia="Calibri"/>
        </w:rPr>
      </w:pPr>
      <w:r w:rsidRPr="004974F7">
        <w:rPr>
          <w:rFonts w:eastAsia="Calibri"/>
        </w:rPr>
        <w:t xml:space="preserve">V § 31 odst. 1 písmeno e) zní: </w:t>
      </w:r>
    </w:p>
    <w:p w:rsidR="00EC4946" w:rsidRDefault="00EC4946" w:rsidP="00B44363">
      <w:pPr>
        <w:pStyle w:val="Psmeno"/>
        <w:rPr>
          <w:rFonts w:eastAsia="Calibri"/>
        </w:rPr>
      </w:pPr>
      <w:r>
        <w:rPr>
          <w:rFonts w:eastAsia="Calibri"/>
        </w:rPr>
        <w:t>„</w:t>
      </w:r>
      <w:r w:rsidRPr="00235997">
        <w:rPr>
          <w:rFonts w:eastAsia="Calibri"/>
        </w:rPr>
        <w:t>e)</w:t>
      </w:r>
      <w:r w:rsidR="00B44363">
        <w:rPr>
          <w:rFonts w:eastAsia="Calibri"/>
        </w:rPr>
        <w:tab/>
      </w:r>
      <w:r w:rsidRPr="00235997">
        <w:rPr>
          <w:rFonts w:eastAsia="Calibri"/>
        </w:rPr>
        <w:t xml:space="preserve">schválením posouzení požárního nebezpečí </w:t>
      </w:r>
      <w:r>
        <w:rPr>
          <w:rFonts w:eastAsia="Calibri"/>
        </w:rPr>
        <w:t xml:space="preserve">činností </w:t>
      </w:r>
      <w:r w:rsidRPr="00235997">
        <w:rPr>
          <w:rFonts w:eastAsia="Calibri"/>
        </w:rPr>
        <w:t>a schválením dokumentace zdolávání požárů,</w:t>
      </w:r>
      <w:r>
        <w:rPr>
          <w:rFonts w:eastAsia="Calibri"/>
        </w:rPr>
        <w:t>“</w:t>
      </w:r>
      <w:r w:rsidRPr="00235997">
        <w:rPr>
          <w:rFonts w:eastAsia="Calibri"/>
        </w:rPr>
        <w:t>.</w:t>
      </w:r>
    </w:p>
    <w:p w:rsidR="0081489C" w:rsidRPr="0091392C" w:rsidRDefault="002A712B" w:rsidP="0081489C">
      <w:pPr>
        <w:pStyle w:val="Novelizanbod"/>
      </w:pPr>
      <w:r>
        <w:t>V § 31 se doplňuje odstavec 5</w:t>
      </w:r>
      <w:r w:rsidR="0081489C" w:rsidRPr="0091392C">
        <w:t>, který zní:</w:t>
      </w:r>
    </w:p>
    <w:p w:rsidR="0081489C" w:rsidRPr="0091392C" w:rsidRDefault="002A712B" w:rsidP="0081489C">
      <w:pPr>
        <w:ind w:firstLine="708"/>
      </w:pPr>
      <w:r>
        <w:t>„(5</w:t>
      </w:r>
      <w:r w:rsidR="0081489C" w:rsidRPr="0091392C">
        <w:t>) Nadřízeným správním orgánem příslušným ke zrušení, potvrzení nebo změně závazného stanoviska vydaného podle odstavce 3 hasičským záchranným sborem kraje je u stavby</w:t>
      </w:r>
    </w:p>
    <w:p w:rsidR="0081489C" w:rsidRPr="0091392C" w:rsidRDefault="0081489C" w:rsidP="0081489C">
      <w:r>
        <w:t xml:space="preserve">a) </w:t>
      </w:r>
      <w:r w:rsidRPr="0091392C">
        <w:t>v ro</w:t>
      </w:r>
      <w:r>
        <w:t>zsahu § 39 odst. 1</w:t>
      </w:r>
      <w:r w:rsidRPr="0091392C">
        <w:t xml:space="preserve"> písm. c) ředitel hasičského záchranného sboru kraje,</w:t>
      </w:r>
    </w:p>
    <w:p w:rsidR="0081489C" w:rsidRPr="00B44363" w:rsidRDefault="0081489C" w:rsidP="0081489C">
      <w:pPr>
        <w:pStyle w:val="Textpsmene"/>
        <w:numPr>
          <w:ilvl w:val="0"/>
          <w:numId w:val="0"/>
        </w:numPr>
        <w:ind w:left="425" w:hanging="425"/>
        <w:rPr>
          <w:rFonts w:eastAsia="Calibri"/>
        </w:rPr>
      </w:pPr>
      <w:r>
        <w:t>b) v rozsahu § 39 odst. 1</w:t>
      </w:r>
      <w:r w:rsidRPr="0091392C">
        <w:t xml:space="preserve"> </w:t>
      </w:r>
      <w:r>
        <w:t>písm. d) generální ředitelství.</w:t>
      </w:r>
      <w:r w:rsidRPr="0091392C">
        <w:t>“.</w:t>
      </w:r>
    </w:p>
    <w:p w:rsidR="00EC4946" w:rsidRPr="007C1F47" w:rsidRDefault="00C230C9" w:rsidP="0081489C">
      <w:pPr>
        <w:pStyle w:val="Novelizanbod"/>
        <w:rPr>
          <w:rFonts w:eastAsia="Calibri"/>
        </w:rPr>
      </w:pPr>
      <w:r>
        <w:rPr>
          <w:rFonts w:eastAsia="Calibri"/>
        </w:rPr>
        <w:br w:type="page"/>
      </w:r>
      <w:r w:rsidR="00EC4946" w:rsidRPr="007C1F47">
        <w:rPr>
          <w:rFonts w:eastAsia="Calibri"/>
        </w:rPr>
        <w:lastRenderedPageBreak/>
        <w:t>V části druhé se doplňuje oddíl třetí, který včetně nadpisu a poznámky pod čarou č. 15 zní:</w:t>
      </w:r>
    </w:p>
    <w:p w:rsidR="00EC4946" w:rsidRPr="007C1F47" w:rsidRDefault="00EC4946" w:rsidP="00C230C9">
      <w:pPr>
        <w:autoSpaceDE w:val="0"/>
        <w:autoSpaceDN w:val="0"/>
        <w:adjustRightInd w:val="0"/>
        <w:jc w:val="center"/>
        <w:rPr>
          <w:rFonts w:eastAsia="Calibri"/>
        </w:rPr>
      </w:pPr>
      <w:r w:rsidRPr="007C1F47">
        <w:rPr>
          <w:rFonts w:eastAsia="Calibri"/>
        </w:rPr>
        <w:t>„ODDÍL TŘETÍ</w:t>
      </w:r>
    </w:p>
    <w:p w:rsidR="00EC4946" w:rsidRPr="007C1F47" w:rsidRDefault="00EC4946" w:rsidP="00B44363">
      <w:pPr>
        <w:pStyle w:val="Nadpisparagrafu"/>
        <w:rPr>
          <w:rFonts w:eastAsia="Calibri"/>
        </w:rPr>
      </w:pPr>
      <w:r w:rsidRPr="007C1F47">
        <w:rPr>
          <w:rFonts w:eastAsia="Calibri"/>
        </w:rPr>
        <w:t>Kategorizace staveb z hlediska požární bezpečnosti</w:t>
      </w:r>
    </w:p>
    <w:p w:rsidR="00EC4946" w:rsidRPr="007C1F47" w:rsidRDefault="00EC4946" w:rsidP="0081489C">
      <w:pPr>
        <w:pStyle w:val="Paragraf"/>
        <w:rPr>
          <w:rFonts w:eastAsia="Calibri"/>
        </w:rPr>
      </w:pPr>
      <w:r w:rsidRPr="007C1F47">
        <w:rPr>
          <w:rFonts w:eastAsia="Calibri"/>
        </w:rPr>
        <w:t>§ 39</w:t>
      </w:r>
    </w:p>
    <w:p w:rsidR="0081489C" w:rsidRPr="0091392C" w:rsidRDefault="0081489C" w:rsidP="0081489C">
      <w:pPr>
        <w:pStyle w:val="Textodstavce"/>
        <w:numPr>
          <w:ilvl w:val="0"/>
          <w:numId w:val="17"/>
        </w:numPr>
      </w:pPr>
      <w:r w:rsidRPr="0091392C">
        <w:t>Z hlediska požární bezpečnosti a ochrany obyvatelstva se stavba člení na</w:t>
      </w:r>
    </w:p>
    <w:p w:rsidR="0081489C" w:rsidRPr="0091392C" w:rsidRDefault="0081489C" w:rsidP="0081489C">
      <w:pPr>
        <w:pStyle w:val="Textpsmene"/>
      </w:pPr>
      <w:r w:rsidRPr="0091392C">
        <w:t>stavbu kategorie 0, nepředstavující zvláštní nebezpečí,</w:t>
      </w:r>
    </w:p>
    <w:p w:rsidR="0081489C" w:rsidRPr="0091392C" w:rsidRDefault="0081489C" w:rsidP="0081489C">
      <w:pPr>
        <w:pStyle w:val="Textpsmene"/>
      </w:pPr>
      <w:r w:rsidRPr="0091392C">
        <w:t>stavbu kategorie I, představující mírné nebezpečí,</w:t>
      </w:r>
    </w:p>
    <w:p w:rsidR="0081489C" w:rsidRPr="0091392C" w:rsidRDefault="0081489C" w:rsidP="0081489C">
      <w:pPr>
        <w:pStyle w:val="Textpsmene"/>
      </w:pPr>
      <w:r w:rsidRPr="0091392C">
        <w:t>stavbu kategorie II, představující vyšší nebezpečí,</w:t>
      </w:r>
    </w:p>
    <w:p w:rsidR="0081489C" w:rsidRPr="0091392C" w:rsidRDefault="0081489C" w:rsidP="0081489C">
      <w:pPr>
        <w:pStyle w:val="Textpsmene"/>
      </w:pPr>
      <w:r w:rsidRPr="0091392C">
        <w:t>stavbu kategorie III, představující vysoké nebezpečí.</w:t>
      </w:r>
    </w:p>
    <w:p w:rsidR="0081489C" w:rsidRPr="0091392C" w:rsidRDefault="0081489C" w:rsidP="0081489C">
      <w:pPr>
        <w:pStyle w:val="Textodstavce"/>
      </w:pPr>
      <w:r w:rsidRPr="0091392C">
        <w:t>Prováděcí právní předpis stanoví kritéria a charakteristiku stavby pro její zařazení do kategorie podle odstavce 1. Charakteristikou stavby je stavebně technický parametr stavby a její umístění. Kritériem se rozumí</w:t>
      </w:r>
    </w:p>
    <w:p w:rsidR="0081489C" w:rsidRPr="0091392C" w:rsidRDefault="0081489C" w:rsidP="0081489C">
      <w:pPr>
        <w:pStyle w:val="Textpsmene"/>
      </w:pPr>
      <w:r w:rsidRPr="0091392C">
        <w:t>požadavek na stavbu z hlediska podmínek evakuace,</w:t>
      </w:r>
    </w:p>
    <w:p w:rsidR="0081489C" w:rsidRPr="0091392C" w:rsidRDefault="0081489C" w:rsidP="0081489C">
      <w:pPr>
        <w:pStyle w:val="Textpsmene"/>
      </w:pPr>
      <w:r w:rsidRPr="0091392C">
        <w:t>rizikovost stavby, v níž je hořlavá nebo požárně nebezpečná látka nebo jiná obdobně nebezpečná látka vyráběna, zpracovávána, používána, přepravována nebo skladována, a</w:t>
      </w:r>
    </w:p>
    <w:p w:rsidR="0081489C" w:rsidRDefault="0081489C" w:rsidP="0081489C">
      <w:pPr>
        <w:pStyle w:val="Textpsmene"/>
        <w:rPr>
          <w:rFonts w:eastAsia="Calibri"/>
        </w:rPr>
      </w:pPr>
      <w:r w:rsidRPr="0091392C">
        <w:t xml:space="preserve">ochrana jiného veřejného zájmu významného z hlediska zařazení stavby do příslušné </w:t>
      </w:r>
      <w:r w:rsidR="002A712B">
        <w:t>kategorie.</w:t>
      </w:r>
    </w:p>
    <w:p w:rsidR="0081489C" w:rsidRPr="007C1F47" w:rsidRDefault="0081489C" w:rsidP="00EC4946">
      <w:pPr>
        <w:autoSpaceDE w:val="0"/>
        <w:autoSpaceDN w:val="0"/>
        <w:adjustRightInd w:val="0"/>
        <w:rPr>
          <w:rFonts w:eastAsia="Calibri"/>
        </w:rPr>
      </w:pPr>
    </w:p>
    <w:p w:rsidR="00EC4946" w:rsidRPr="007C1F47" w:rsidRDefault="00EC4946" w:rsidP="0081489C">
      <w:pPr>
        <w:pStyle w:val="Paragraf"/>
        <w:rPr>
          <w:rFonts w:eastAsia="Calibri"/>
        </w:rPr>
      </w:pPr>
      <w:r w:rsidRPr="007C1F47">
        <w:rPr>
          <w:rFonts w:eastAsia="Calibri"/>
        </w:rPr>
        <w:t>§ 40</w:t>
      </w:r>
    </w:p>
    <w:p w:rsidR="00EC4946" w:rsidRPr="00B44363" w:rsidRDefault="00EC4946" w:rsidP="00B44363">
      <w:pPr>
        <w:pStyle w:val="Textodstavce"/>
        <w:numPr>
          <w:ilvl w:val="0"/>
          <w:numId w:val="15"/>
        </w:numPr>
        <w:rPr>
          <w:rFonts w:eastAsia="Calibri"/>
        </w:rPr>
      </w:pPr>
      <w:r w:rsidRPr="00B44363">
        <w:rPr>
          <w:rFonts w:eastAsia="Calibri"/>
        </w:rPr>
        <w:t>Státní požární dozor se v rozsahu podle § 31 odst. 1 písm. b) a c) nevykonává u stavby kategorie 0 a I.</w:t>
      </w:r>
      <w:r w:rsidRPr="00877583">
        <w:t xml:space="preserve"> </w:t>
      </w:r>
    </w:p>
    <w:p w:rsidR="00EC4946" w:rsidRDefault="00EC4946" w:rsidP="00B44363">
      <w:pPr>
        <w:pStyle w:val="Textodstavce"/>
        <w:rPr>
          <w:rFonts w:eastAsia="Calibri"/>
        </w:rPr>
      </w:pPr>
      <w:r w:rsidRPr="007C1F47">
        <w:rPr>
          <w:rFonts w:eastAsia="Calibri"/>
        </w:rPr>
        <w:t>Pro stavbu uvedenou v § 39 odst. 1 písm. b)</w:t>
      </w:r>
      <w:r>
        <w:rPr>
          <w:rFonts w:eastAsia="Calibri"/>
        </w:rPr>
        <w:t>, c) nebo</w:t>
      </w:r>
      <w:r w:rsidRPr="007C1F47">
        <w:rPr>
          <w:rFonts w:eastAsia="Calibri"/>
        </w:rPr>
        <w:t xml:space="preserve"> d) se zpracovává požárně bezpečnostní řešení podle zvláštního právního předpisu</w:t>
      </w:r>
      <w:r>
        <w:rPr>
          <w:rFonts w:eastAsia="Calibri"/>
          <w:vertAlign w:val="superscript"/>
        </w:rPr>
        <w:t>13)</w:t>
      </w:r>
      <w:r w:rsidRPr="007C1F47">
        <w:rPr>
          <w:rFonts w:eastAsia="Calibri"/>
        </w:rPr>
        <w:t>. V požárně bezpečnostním řešení jeho zpracovatel prokazuje shodu navrhovaného záměru stavby s technickými podmínkami požární ochrany pro navrhování staveb stanovenými prováděcím právním předpisem</w:t>
      </w:r>
      <w:r w:rsidRPr="007C1F47">
        <w:rPr>
          <w:rFonts w:eastAsia="Calibri"/>
          <w:vertAlign w:val="superscript"/>
        </w:rPr>
        <w:t>15)</w:t>
      </w:r>
      <w:r w:rsidRPr="007C1F47">
        <w:rPr>
          <w:rFonts w:eastAsia="Calibri"/>
        </w:rPr>
        <w:t>.</w:t>
      </w:r>
    </w:p>
    <w:p w:rsidR="00C721AE" w:rsidRPr="0091392C" w:rsidRDefault="00C721AE" w:rsidP="00C721AE">
      <w:pPr>
        <w:pStyle w:val="Textodstavce"/>
      </w:pPr>
      <w:r w:rsidRPr="0091392C">
        <w:t>K zpracování požárně bezpečnostního řešení pro stavbu kategorie I a II je oprávněna osoba, která je autorizovaná pro obor požární bezpečnost staveb podle zvláštního právního předpisu</w:t>
      </w:r>
      <w:r w:rsidRPr="0091392C">
        <w:rPr>
          <w:vertAlign w:val="superscript"/>
        </w:rPr>
        <w:t>12)</w:t>
      </w:r>
      <w:r w:rsidRPr="0091392C">
        <w:t>.</w:t>
      </w:r>
    </w:p>
    <w:p w:rsidR="00C721AE" w:rsidRPr="007C1F47" w:rsidRDefault="00C721AE" w:rsidP="00C721AE">
      <w:pPr>
        <w:pStyle w:val="Textodstavce"/>
        <w:rPr>
          <w:rFonts w:eastAsia="Calibri"/>
        </w:rPr>
      </w:pPr>
      <w:r w:rsidRPr="0091392C">
        <w:t>K zpracování požárně bezpečnostního řešení pro stavbu kategorie III je oprávněna osoba, která je autorizovaná pro obor požární bezpečnost staveb podle zvláštního právního předpisu</w:t>
      </w:r>
      <w:r w:rsidRPr="0091392C">
        <w:rPr>
          <w:vertAlign w:val="superscript"/>
        </w:rPr>
        <w:t>12)</w:t>
      </w:r>
      <w:r w:rsidRPr="0091392C">
        <w:t xml:space="preserve"> a které k tomuto současně byla udělena specializace v rámci tohoto oboru podle zvláštního právního předpisu</w:t>
      </w:r>
      <w:r w:rsidR="009F49FB">
        <w:rPr>
          <w:vertAlign w:val="superscript"/>
        </w:rPr>
        <w:t>12</w:t>
      </w:r>
      <w:r w:rsidRPr="0091392C">
        <w:rPr>
          <w:vertAlign w:val="superscript"/>
        </w:rPr>
        <w:t>)</w:t>
      </w:r>
      <w:r w:rsidRPr="0091392C">
        <w:t>.“.</w:t>
      </w:r>
    </w:p>
    <w:p w:rsidR="00EC4946" w:rsidRPr="007C1F47" w:rsidRDefault="00EC4946" w:rsidP="00EC4946">
      <w:pPr>
        <w:autoSpaceDE w:val="0"/>
        <w:autoSpaceDN w:val="0"/>
        <w:adjustRightInd w:val="0"/>
        <w:rPr>
          <w:rFonts w:eastAsia="Calibri"/>
        </w:rPr>
      </w:pPr>
      <w:r w:rsidRPr="007C1F47">
        <w:rPr>
          <w:rFonts w:eastAsia="Calibri"/>
        </w:rPr>
        <w:t>________________</w:t>
      </w:r>
    </w:p>
    <w:p w:rsidR="00EC4946" w:rsidRPr="007C1F47" w:rsidRDefault="00EC4946" w:rsidP="00B44363">
      <w:pPr>
        <w:autoSpaceDE w:val="0"/>
        <w:autoSpaceDN w:val="0"/>
        <w:adjustRightInd w:val="0"/>
        <w:ind w:left="709" w:hanging="709"/>
        <w:rPr>
          <w:rFonts w:eastAsia="Calibri"/>
        </w:rPr>
      </w:pPr>
      <w:r w:rsidRPr="007C1F47">
        <w:rPr>
          <w:rFonts w:eastAsia="Calibri"/>
          <w:vertAlign w:val="superscript"/>
        </w:rPr>
        <w:t>15)</w:t>
      </w:r>
      <w:r w:rsidR="00B44363">
        <w:rPr>
          <w:rFonts w:eastAsia="Calibri"/>
          <w:vertAlign w:val="superscript"/>
        </w:rPr>
        <w:tab/>
      </w:r>
      <w:r w:rsidRPr="007C1F47">
        <w:rPr>
          <w:rFonts w:eastAsia="Calibri"/>
        </w:rPr>
        <w:t>Vyhláška č. 23/2008 Sb., o technických podmínkách požární ochrany staveb, ve znění vyhlášky č. 268/2011 Sb.“.</w:t>
      </w:r>
    </w:p>
    <w:p w:rsidR="00EC4946" w:rsidRPr="00B44363" w:rsidRDefault="00EC4946" w:rsidP="00B44363">
      <w:pPr>
        <w:pStyle w:val="Novelizanbod"/>
        <w:rPr>
          <w:rFonts w:eastAsia="Calibri"/>
        </w:rPr>
      </w:pPr>
      <w:r w:rsidRPr="00B44363">
        <w:rPr>
          <w:rFonts w:eastAsia="Calibri"/>
        </w:rPr>
        <w:t>§ 95 zní:</w:t>
      </w:r>
    </w:p>
    <w:p w:rsidR="00EC4946" w:rsidRPr="007C1F47" w:rsidRDefault="00EC4946" w:rsidP="00EC4946">
      <w:pPr>
        <w:autoSpaceDE w:val="0"/>
        <w:autoSpaceDN w:val="0"/>
        <w:adjustRightInd w:val="0"/>
        <w:jc w:val="center"/>
        <w:rPr>
          <w:rFonts w:eastAsia="Calibri"/>
        </w:rPr>
      </w:pPr>
      <w:r w:rsidRPr="007C1F47">
        <w:rPr>
          <w:rFonts w:eastAsia="Calibri"/>
        </w:rPr>
        <w:t>„§</w:t>
      </w:r>
      <w:r>
        <w:rPr>
          <w:rFonts w:eastAsia="Calibri"/>
        </w:rPr>
        <w:t xml:space="preserve"> </w:t>
      </w:r>
      <w:r w:rsidRPr="007C1F47">
        <w:rPr>
          <w:rFonts w:eastAsia="Calibri"/>
        </w:rPr>
        <w:t>95</w:t>
      </w:r>
    </w:p>
    <w:p w:rsidR="00EC4946" w:rsidRPr="007C1F47" w:rsidRDefault="00EC4946" w:rsidP="00B44363">
      <w:pPr>
        <w:pStyle w:val="Textparagrafu"/>
        <w:rPr>
          <w:rFonts w:eastAsia="Calibri"/>
        </w:rPr>
      </w:pPr>
      <w:r w:rsidRPr="0042611D">
        <w:rPr>
          <w:iCs/>
          <w:lang w:eastAsia="en-US"/>
        </w:rPr>
        <w:t>Správní řád se nepoužije na rozhodování podle § 73 odst. 3</w:t>
      </w:r>
      <w:r>
        <w:rPr>
          <w:rFonts w:eastAsia="Calibri"/>
        </w:rPr>
        <w:t>.</w:t>
      </w:r>
      <w:r w:rsidRPr="00954825">
        <w:t xml:space="preserve"> </w:t>
      </w:r>
      <w:r w:rsidRPr="00954825">
        <w:rPr>
          <w:rFonts w:eastAsia="Calibri"/>
        </w:rPr>
        <w:t xml:space="preserve">Stanoviska vydávaná podle tohoto zákona jako podklad pro rozhodnutí nebo jiné úkony podle stavebního zákona jsou </w:t>
      </w:r>
      <w:r w:rsidRPr="00954825">
        <w:rPr>
          <w:rFonts w:eastAsia="Calibri"/>
        </w:rPr>
        <w:lastRenderedPageBreak/>
        <w:t>závazným stanoviskem podle správního řádu a nejsou samostatným rozhodnutím ve správním řízení. Stanoviska uplatněná k návrhu regulačního plánu nejsou správním rozhodnutím.</w:t>
      </w:r>
      <w:r w:rsidRPr="007C1F47">
        <w:rPr>
          <w:rFonts w:eastAsia="Calibri"/>
        </w:rPr>
        <w:t>“.</w:t>
      </w:r>
    </w:p>
    <w:p w:rsidR="00C721AE" w:rsidRDefault="00C721AE" w:rsidP="00B44363">
      <w:pPr>
        <w:pStyle w:val="Novelizanbod"/>
        <w:rPr>
          <w:rFonts w:eastAsia="Calibri"/>
        </w:rPr>
      </w:pPr>
      <w:r w:rsidRPr="0091392C">
        <w:t>V § 99 se za slova „bezpečnost staveb</w:t>
      </w:r>
      <w:r w:rsidRPr="0091392C">
        <w:rPr>
          <w:vertAlign w:val="superscript"/>
        </w:rPr>
        <w:t>12)</w:t>
      </w:r>
      <w:r w:rsidRPr="0091392C">
        <w:t xml:space="preserve">“ vkládají </w:t>
      </w:r>
      <w:proofErr w:type="gramStart"/>
      <w:r w:rsidRPr="0091392C">
        <w:t>slova „ , který</w:t>
      </w:r>
      <w:proofErr w:type="gramEnd"/>
      <w:r w:rsidRPr="0091392C">
        <w:t xml:space="preserve"> splňuje podmínky podle § 40 odst. 4“.</w:t>
      </w:r>
    </w:p>
    <w:p w:rsidR="00EC4946" w:rsidRPr="00044089" w:rsidRDefault="00EC4946" w:rsidP="00B44363">
      <w:pPr>
        <w:pStyle w:val="Novelizanbod"/>
        <w:rPr>
          <w:rFonts w:eastAsia="Calibri"/>
        </w:rPr>
      </w:pPr>
      <w:r w:rsidRPr="007A4176">
        <w:rPr>
          <w:rFonts w:eastAsia="Calibri"/>
        </w:rPr>
        <w:t xml:space="preserve">V § 101 písm. a) se </w:t>
      </w:r>
      <w:r>
        <w:rPr>
          <w:rFonts w:eastAsia="Calibri"/>
        </w:rPr>
        <w:t>za</w:t>
      </w:r>
      <w:r w:rsidRPr="00044089">
        <w:rPr>
          <w:rFonts w:eastAsia="Calibri"/>
        </w:rPr>
        <w:t xml:space="preserve"> text „§ 31a,“ vkládá text „§ 39 odst. 2</w:t>
      </w:r>
      <w:r>
        <w:rPr>
          <w:rFonts w:eastAsia="Calibri"/>
        </w:rPr>
        <w:t>,</w:t>
      </w:r>
      <w:r w:rsidRPr="00044089">
        <w:rPr>
          <w:rFonts w:eastAsia="Calibri"/>
        </w:rPr>
        <w:t>“.</w:t>
      </w:r>
    </w:p>
    <w:p w:rsidR="00EC4946" w:rsidRDefault="00C230C9" w:rsidP="00C230C9">
      <w:pPr>
        <w:pStyle w:val="lnek"/>
        <w:rPr>
          <w:rFonts w:eastAsia="Calibri"/>
        </w:rPr>
      </w:pPr>
      <w:r>
        <w:rPr>
          <w:rFonts w:eastAsia="Calibri"/>
        </w:rPr>
        <w:t xml:space="preserve">Čl. </w:t>
      </w:r>
      <w:r w:rsidR="00EC4946">
        <w:rPr>
          <w:rFonts w:eastAsia="Calibri"/>
        </w:rPr>
        <w:t>II</w:t>
      </w:r>
    </w:p>
    <w:p w:rsidR="00EC4946" w:rsidRDefault="00EC4946" w:rsidP="00C230C9">
      <w:pPr>
        <w:pStyle w:val="Nadpislnku"/>
        <w:rPr>
          <w:rFonts w:eastAsia="Calibri"/>
        </w:rPr>
      </w:pPr>
      <w:r>
        <w:rPr>
          <w:rFonts w:eastAsia="Calibri"/>
        </w:rPr>
        <w:t>Přechodná ustanovení</w:t>
      </w:r>
    </w:p>
    <w:p w:rsidR="00EC4946" w:rsidRPr="00AF632D" w:rsidRDefault="00EC4946" w:rsidP="00C721AE">
      <w:pPr>
        <w:pStyle w:val="Textlnku"/>
        <w:rPr>
          <w:rFonts w:eastAsia="Calibri"/>
        </w:rPr>
      </w:pPr>
      <w:r>
        <w:rPr>
          <w:rFonts w:eastAsia="Calibri"/>
        </w:rPr>
        <w:t>1.</w:t>
      </w:r>
      <w:r w:rsidRPr="00117A49">
        <w:rPr>
          <w:rFonts w:eastAsia="Calibri"/>
        </w:rPr>
        <w:t xml:space="preserve"> </w:t>
      </w:r>
      <w:r w:rsidR="00C721AE" w:rsidRPr="0091392C">
        <w:t>Zařízení sociálních služeb poskytující služby sociální péče formou pobytových služeb pře</w:t>
      </w:r>
      <w:r w:rsidR="00C721AE">
        <w:t>de dnem</w:t>
      </w:r>
      <w:r w:rsidR="002A712B">
        <w:t xml:space="preserve"> nabytí</w:t>
      </w:r>
      <w:r w:rsidR="00C721AE">
        <w:t xml:space="preserve"> účinnosti tohoto zákona</w:t>
      </w:r>
      <w:r w:rsidR="00C721AE" w:rsidRPr="0091392C">
        <w:t xml:space="preserve"> musí zajistit splnění povinnosti podle § 8 odst. 1 a</w:t>
      </w:r>
      <w:r w:rsidR="002A712B">
        <w:t> </w:t>
      </w:r>
      <w:r w:rsidR="00C721AE" w:rsidRPr="0091392C">
        <w:t>2</w:t>
      </w:r>
      <w:r w:rsidR="00644854" w:rsidRPr="00644854">
        <w:t xml:space="preserve"> </w:t>
      </w:r>
      <w:r w:rsidR="00644854" w:rsidRPr="0091392C">
        <w:t>zákona o požární ochraně</w:t>
      </w:r>
      <w:r w:rsidR="00C721AE" w:rsidRPr="0091392C">
        <w:t xml:space="preserve"> do 3 let ode dne nabytí účinnosti tohoto zákona.</w:t>
      </w:r>
      <w:r w:rsidR="00C721AE">
        <w:rPr>
          <w:rFonts w:eastAsia="Calibri"/>
        </w:rPr>
        <w:t xml:space="preserve"> </w:t>
      </w:r>
      <w:r w:rsidRPr="00AF632D">
        <w:rPr>
          <w:rFonts w:eastAsia="Calibri"/>
        </w:rPr>
        <w:t xml:space="preserve"> </w:t>
      </w:r>
    </w:p>
    <w:p w:rsidR="00C721AE" w:rsidRDefault="00EC4946" w:rsidP="00C230C9">
      <w:pPr>
        <w:pStyle w:val="Textlnku"/>
        <w:rPr>
          <w:rFonts w:eastAsia="Calibri"/>
        </w:rPr>
      </w:pPr>
      <w:r>
        <w:rPr>
          <w:rFonts w:eastAsia="Calibri"/>
        </w:rPr>
        <w:t xml:space="preserve">2. </w:t>
      </w:r>
      <w:r w:rsidRPr="00145522">
        <w:rPr>
          <w:rFonts w:eastAsia="Calibri"/>
        </w:rPr>
        <w:t>Zařízení sociálních služeb poskytující služby sociální péče formou pobytových služeb přede dnem</w:t>
      </w:r>
      <w:r w:rsidR="002A712B">
        <w:rPr>
          <w:rFonts w:eastAsia="Calibri"/>
        </w:rPr>
        <w:t xml:space="preserve"> nabytí</w:t>
      </w:r>
      <w:r w:rsidRPr="00145522">
        <w:rPr>
          <w:rFonts w:eastAsia="Calibri"/>
        </w:rPr>
        <w:t xml:space="preserve"> účinnosti tohoto zákona musí být v části stavby, v níž je služba poskytována, vybaveno elektrickou požární signalizací, pokud je ve stavbě poskytována </w:t>
      </w:r>
      <w:r>
        <w:rPr>
          <w:rFonts w:eastAsia="Calibri"/>
        </w:rPr>
        <w:t xml:space="preserve">obdobná </w:t>
      </w:r>
      <w:r w:rsidRPr="00145522">
        <w:rPr>
          <w:rFonts w:eastAsia="Calibri"/>
        </w:rPr>
        <w:t>sociální péče dalším provozovatelem a součet ubytovací kapacity je nad 50 osob.</w:t>
      </w:r>
    </w:p>
    <w:p w:rsidR="00C721AE" w:rsidRPr="0091392C" w:rsidRDefault="00EC4946" w:rsidP="00C721AE">
      <w:pPr>
        <w:pStyle w:val="Textlnku"/>
      </w:pPr>
      <w:r w:rsidRPr="00145522">
        <w:rPr>
          <w:rFonts w:eastAsia="Calibri"/>
        </w:rPr>
        <w:t xml:space="preserve"> </w:t>
      </w:r>
      <w:r w:rsidR="00C721AE">
        <w:t xml:space="preserve">3. </w:t>
      </w:r>
      <w:r w:rsidR="00C721AE" w:rsidRPr="0091392C">
        <w:t>Osoba, která splňuje podmínky podle § 40 odst. 3 zákona o požární ochraně, je oprávněna po dobu 5 let od nabytí účinnosti tohoto zákona zpracovávat požárně bezpečnostní řešení stavby kategorie III a aplikovat odlišný postup podle § 99 zákona o požární ochraně.</w:t>
      </w:r>
    </w:p>
    <w:p w:rsidR="00C721AE" w:rsidRPr="0091392C" w:rsidRDefault="005252B7" w:rsidP="00C721AE">
      <w:pPr>
        <w:pStyle w:val="Textlnku"/>
      </w:pPr>
      <w:r>
        <w:t>4. Osoba, která je oprávněna</w:t>
      </w:r>
      <w:r w:rsidR="00C721AE" w:rsidRPr="0091392C">
        <w:t xml:space="preserve"> ke zpracování požárně bezpečnostního řešení podle dosavadní právní úpravy</w:t>
      </w:r>
      <w:r w:rsidR="00644854">
        <w:t>,</w:t>
      </w:r>
      <w:r w:rsidR="00C721AE" w:rsidRPr="0091392C">
        <w:t xml:space="preserve"> je oprávněna po dobu 2 let od nabytí účinnosti tohoto zákona zpracovávat požárně bezpečnostní řešení stavby kategorie I a II.</w:t>
      </w:r>
    </w:p>
    <w:p w:rsidR="00EC4946" w:rsidRDefault="00EC4946" w:rsidP="00EC4946">
      <w:pPr>
        <w:spacing w:line="259" w:lineRule="auto"/>
      </w:pPr>
    </w:p>
    <w:p w:rsidR="00A21187" w:rsidRPr="00A17B04" w:rsidRDefault="00A21187" w:rsidP="00EC4946">
      <w:pPr>
        <w:spacing w:line="259" w:lineRule="auto"/>
      </w:pPr>
    </w:p>
    <w:p w:rsidR="00EC4946" w:rsidRDefault="00C230C9" w:rsidP="00C230C9">
      <w:pPr>
        <w:pStyle w:val="ST"/>
      </w:pPr>
      <w:r>
        <w:t xml:space="preserve">ČÁST </w:t>
      </w:r>
      <w:r w:rsidR="00EC4946">
        <w:t>DRUHÁ</w:t>
      </w:r>
    </w:p>
    <w:p w:rsidR="00EC4946" w:rsidRPr="008E060B" w:rsidRDefault="00EC4946" w:rsidP="00C230C9">
      <w:pPr>
        <w:pStyle w:val="NADPISSTI"/>
      </w:pPr>
      <w:r w:rsidRPr="008E060B">
        <w:t>Změna zákona o integrovaném záchranném systému</w:t>
      </w:r>
    </w:p>
    <w:p w:rsidR="00EC4946" w:rsidRDefault="00C230C9" w:rsidP="00C230C9">
      <w:pPr>
        <w:pStyle w:val="lnek"/>
      </w:pPr>
      <w:r>
        <w:t xml:space="preserve">Čl. </w:t>
      </w:r>
      <w:r w:rsidR="00EC4946" w:rsidRPr="0015037E">
        <w:t>II</w:t>
      </w:r>
      <w:r w:rsidR="00EC4946">
        <w:t>I</w:t>
      </w:r>
    </w:p>
    <w:p w:rsidR="00C721AE" w:rsidRPr="0091392C" w:rsidRDefault="00C721AE" w:rsidP="00C721AE">
      <w:pPr>
        <w:pStyle w:val="Textlnku"/>
      </w:pPr>
      <w:r w:rsidRPr="0091392C">
        <w:t>Zákon č. 239/2000 Sb., o integrovaném záchranném systému a o změně některých zákonů, ve znění zákona č. 320/2002 Sb.,</w:t>
      </w:r>
      <w:r w:rsidR="00A21187">
        <w:t xml:space="preserve"> zákona č. 20/2004 Sb.,</w:t>
      </w:r>
      <w:r w:rsidRPr="0091392C">
        <w:t xml:space="preserve"> zákona č. 186/2006 Sb.</w:t>
      </w:r>
      <w:r w:rsidR="00A21187">
        <w:t>, zákona č. 267/2006 Sb., zákona č. 306/2008 Sb., zákona č. 151/2010</w:t>
      </w:r>
      <w:r w:rsidR="00A21187">
        <w:t xml:space="preserve"> Sb.,</w:t>
      </w:r>
      <w:r w:rsidR="00A21187">
        <w:t xml:space="preserve"> zákona č. 375/2011</w:t>
      </w:r>
      <w:r w:rsidR="00A21187">
        <w:t xml:space="preserve"> Sb.,</w:t>
      </w:r>
      <w:r w:rsidR="00A21187">
        <w:t xml:space="preserve"> zákona č. 303/2013</w:t>
      </w:r>
      <w:r w:rsidR="00A21187">
        <w:t xml:space="preserve"> Sb.,</w:t>
      </w:r>
      <w:r w:rsidR="00A21187">
        <w:t xml:space="preserve"> zákona č. 344/2013</w:t>
      </w:r>
      <w:r w:rsidR="00A21187">
        <w:t xml:space="preserve"> Sb.,</w:t>
      </w:r>
      <w:r w:rsidR="00A21187">
        <w:t xml:space="preserve"> zákona č. 64/2014</w:t>
      </w:r>
      <w:r w:rsidR="00A21187">
        <w:t xml:space="preserve"> Sb.,</w:t>
      </w:r>
      <w:r w:rsidR="00A21187">
        <w:t xml:space="preserve"> zákona č. 183/2017</w:t>
      </w:r>
      <w:r w:rsidR="00A21187">
        <w:t xml:space="preserve"> Sb.,</w:t>
      </w:r>
      <w:r w:rsidR="00A21187">
        <w:t xml:space="preserve"> zákona č. 225/2017</w:t>
      </w:r>
      <w:r w:rsidR="00A21187">
        <w:t xml:space="preserve"> Sb.,</w:t>
      </w:r>
      <w:r w:rsidR="00A21187">
        <w:t xml:space="preserve"> zákona č. 277/2019</w:t>
      </w:r>
      <w:r w:rsidR="00A21187">
        <w:t xml:space="preserve"> Sb.,</w:t>
      </w:r>
      <w:r w:rsidR="00A21187">
        <w:t xml:space="preserve"> zákona č. 403/2020 Sb.</w:t>
      </w:r>
      <w:r w:rsidRPr="0091392C">
        <w:t xml:space="preserve"> a</w:t>
      </w:r>
      <w:r w:rsidR="00A21187">
        <w:t xml:space="preserve"> zákona č.</w:t>
      </w:r>
      <w:r w:rsidR="00644854">
        <w:t> </w:t>
      </w:r>
      <w:bookmarkStart w:id="0" w:name="_GoBack"/>
      <w:bookmarkEnd w:id="0"/>
      <w:r w:rsidR="00A21187">
        <w:t>284/2021</w:t>
      </w:r>
      <w:r w:rsidR="00A21187">
        <w:t xml:space="preserve"> Sb.,</w:t>
      </w:r>
      <w:r w:rsidRPr="0091392C">
        <w:t xml:space="preserve"> se mění takto:</w:t>
      </w:r>
    </w:p>
    <w:p w:rsidR="00C721AE" w:rsidRPr="0091392C" w:rsidRDefault="00C721AE" w:rsidP="00C721AE">
      <w:pPr>
        <w:pStyle w:val="Novelizanbod"/>
        <w:numPr>
          <w:ilvl w:val="0"/>
          <w:numId w:val="19"/>
        </w:numPr>
      </w:pPr>
      <w:r w:rsidRPr="0091392C">
        <w:t>V § 10 odstavec 6</w:t>
      </w:r>
      <w:r w:rsidR="009F49FB">
        <w:t xml:space="preserve"> včetně poznámky pod čarou č. 29</w:t>
      </w:r>
      <w:r w:rsidRPr="0091392C">
        <w:t xml:space="preserve"> zní:</w:t>
      </w:r>
    </w:p>
    <w:p w:rsidR="00C721AE" w:rsidRPr="0091392C" w:rsidRDefault="00C721AE" w:rsidP="00A21187">
      <w:pPr>
        <w:widowControl w:val="0"/>
      </w:pPr>
      <w:r w:rsidRPr="0091392C">
        <w:tab/>
        <w:t>„(6) V rozsahu stanoveném jiným právním předpisem</w:t>
      </w:r>
      <w:r w:rsidR="009F49FB">
        <w:rPr>
          <w:vertAlign w:val="superscript"/>
        </w:rPr>
        <w:t>29</w:t>
      </w:r>
      <w:r w:rsidRPr="0091392C">
        <w:rPr>
          <w:vertAlign w:val="superscript"/>
        </w:rPr>
        <w:t>)</w:t>
      </w:r>
      <w:r w:rsidRPr="0091392C">
        <w:t xml:space="preserve"> je hasičský záchranný sbor kraje dotčeným orgánem v územním a stavebním řízení a ve společném územním a stavebním řízení</w:t>
      </w:r>
      <w:r w:rsidRPr="0091392C">
        <w:rPr>
          <w:vertAlign w:val="superscript"/>
        </w:rPr>
        <w:t>14)</w:t>
      </w:r>
      <w:r w:rsidRPr="0091392C">
        <w:t xml:space="preserve"> z hlediska ochrany obyvatelstva. Hasičský záchranný sbor kraje je příslušný před uvedením stavby do užívání kontrolovat dodržení podmínek ochrany obyvatelstva.</w:t>
      </w:r>
    </w:p>
    <w:p w:rsidR="00C721AE" w:rsidRPr="0091392C" w:rsidRDefault="00C721AE" w:rsidP="00C721AE">
      <w:r>
        <w:t>________________</w:t>
      </w:r>
    </w:p>
    <w:p w:rsidR="00C721AE" w:rsidRPr="0091392C" w:rsidRDefault="009F49FB" w:rsidP="00C721AE">
      <w:r>
        <w:rPr>
          <w:vertAlign w:val="superscript"/>
        </w:rPr>
        <w:t>29</w:t>
      </w:r>
      <w:r w:rsidR="00C721AE" w:rsidRPr="0091392C">
        <w:rPr>
          <w:vertAlign w:val="superscript"/>
        </w:rPr>
        <w:t>)</w:t>
      </w:r>
      <w:r w:rsidR="00C721AE" w:rsidRPr="0091392C">
        <w:tab/>
      </w:r>
      <w:r w:rsidR="00C721AE" w:rsidRPr="0091392C">
        <w:rPr>
          <w:sz w:val="20"/>
        </w:rPr>
        <w:t>§ 39 odst. 1 písm. c) a d) zákona č. 133/1985 Sb., o požární ochraně, ve znění pozdějších předpisů.“.</w:t>
      </w:r>
    </w:p>
    <w:p w:rsidR="00EC4946" w:rsidRDefault="00E2484C" w:rsidP="00A21187">
      <w:pPr>
        <w:pStyle w:val="Novelizanbod"/>
      </w:pPr>
      <w:r>
        <w:t>V § 33 odst. 1 se za text</w:t>
      </w:r>
      <w:r w:rsidR="00C721AE" w:rsidRPr="0091392C">
        <w:t xml:space="preserve"> „§ 28“ vkládají slova „a</w:t>
      </w:r>
      <w:r w:rsidR="00FA77BD">
        <w:t xml:space="preserve"> řízení o náhradě podle § 29 a</w:t>
      </w:r>
      <w:r w:rsidR="00C721AE" w:rsidRPr="0091392C">
        <w:t xml:space="preserve"> 30“.</w:t>
      </w:r>
    </w:p>
    <w:p w:rsidR="00A21187" w:rsidRDefault="00A21187" w:rsidP="00C230C9">
      <w:pPr>
        <w:pStyle w:val="ST"/>
      </w:pPr>
    </w:p>
    <w:p w:rsidR="00EC4946" w:rsidRDefault="00C230C9" w:rsidP="00C230C9">
      <w:pPr>
        <w:pStyle w:val="ST"/>
      </w:pPr>
      <w:r>
        <w:t xml:space="preserve">ČÁST </w:t>
      </w:r>
      <w:r w:rsidR="00EC4946">
        <w:t>TŘETÍ</w:t>
      </w:r>
    </w:p>
    <w:p w:rsidR="00C230C9" w:rsidRPr="002E459B" w:rsidRDefault="00C230C9" w:rsidP="00C230C9">
      <w:pPr>
        <w:spacing w:after="60" w:line="259" w:lineRule="auto"/>
        <w:ind w:right="3"/>
        <w:jc w:val="center"/>
      </w:pPr>
      <w:r>
        <w:rPr>
          <w:b/>
        </w:rPr>
        <w:t>ÚČINNOST</w:t>
      </w:r>
    </w:p>
    <w:p w:rsidR="00EC4946" w:rsidRPr="002E459B" w:rsidRDefault="00C230C9" w:rsidP="00C230C9">
      <w:pPr>
        <w:pStyle w:val="lnek"/>
      </w:pPr>
      <w:r>
        <w:t xml:space="preserve">Čl. </w:t>
      </w:r>
      <w:r w:rsidR="00EC4946">
        <w:t>IV</w:t>
      </w:r>
    </w:p>
    <w:p w:rsidR="00EC4946" w:rsidRDefault="00C721AE" w:rsidP="00C721AE">
      <w:pPr>
        <w:pStyle w:val="Textlnku"/>
      </w:pPr>
      <w:r w:rsidRPr="0091392C">
        <w:t>Tento zákon nabývá účinnosti prvním dnem kalendářního měsíce následujícího po dni jeho vyhlášení.</w:t>
      </w:r>
    </w:p>
    <w:p w:rsidR="00A73D85" w:rsidRDefault="00A73D85"/>
    <w:sectPr w:rsidR="00A73D85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946" w:rsidRDefault="00EC4946">
      <w:r>
        <w:separator/>
      </w:r>
    </w:p>
  </w:endnote>
  <w:endnote w:type="continuationSeparator" w:id="0">
    <w:p w:rsidR="00EC4946" w:rsidRDefault="00EC4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946" w:rsidRDefault="00EC4946">
      <w:r>
        <w:separator/>
      </w:r>
    </w:p>
  </w:footnote>
  <w:footnote w:type="continuationSeparator" w:id="0">
    <w:p w:rsidR="00EC4946" w:rsidRDefault="00EC4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44854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>
    <w:nsid w:val="26497229"/>
    <w:multiLevelType w:val="hybridMultilevel"/>
    <w:tmpl w:val="8F2059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B1589"/>
    <w:multiLevelType w:val="hybridMultilevel"/>
    <w:tmpl w:val="A02C3CF6"/>
    <w:lvl w:ilvl="0" w:tplc="8BC8FBA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7">
    <w:nsid w:val="4B4444C8"/>
    <w:multiLevelType w:val="hybridMultilevel"/>
    <w:tmpl w:val="DF7C54E2"/>
    <w:lvl w:ilvl="0" w:tplc="F3187F08">
      <w:start w:val="1"/>
      <w:numFmt w:val="decimal"/>
      <w:lvlText w:val="(%1)"/>
      <w:lvlJc w:val="left"/>
      <w:pPr>
        <w:ind w:left="1982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4DE5017B"/>
    <w:multiLevelType w:val="hybridMultilevel"/>
    <w:tmpl w:val="F17E317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D3B21"/>
    <w:multiLevelType w:val="hybridMultilevel"/>
    <w:tmpl w:val="DF7C54E2"/>
    <w:lvl w:ilvl="0" w:tplc="F3187F08">
      <w:start w:val="1"/>
      <w:numFmt w:val="decimal"/>
      <w:lvlText w:val="(%1)"/>
      <w:lvlJc w:val="left"/>
      <w:pPr>
        <w:ind w:left="144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8" w:hanging="360"/>
      </w:pPr>
    </w:lvl>
    <w:lvl w:ilvl="2" w:tplc="0405001B" w:tentative="1">
      <w:start w:val="1"/>
      <w:numFmt w:val="lowerRoman"/>
      <w:lvlText w:val="%3."/>
      <w:lvlJc w:val="right"/>
      <w:pPr>
        <w:ind w:left="2538" w:hanging="180"/>
      </w:pPr>
    </w:lvl>
    <w:lvl w:ilvl="3" w:tplc="0405000F" w:tentative="1">
      <w:start w:val="1"/>
      <w:numFmt w:val="decimal"/>
      <w:lvlText w:val="%4."/>
      <w:lvlJc w:val="left"/>
      <w:pPr>
        <w:ind w:left="3258" w:hanging="360"/>
      </w:pPr>
    </w:lvl>
    <w:lvl w:ilvl="4" w:tplc="04050019" w:tentative="1">
      <w:start w:val="1"/>
      <w:numFmt w:val="lowerLetter"/>
      <w:lvlText w:val="%5."/>
      <w:lvlJc w:val="left"/>
      <w:pPr>
        <w:ind w:left="3978" w:hanging="360"/>
      </w:pPr>
    </w:lvl>
    <w:lvl w:ilvl="5" w:tplc="0405001B" w:tentative="1">
      <w:start w:val="1"/>
      <w:numFmt w:val="lowerRoman"/>
      <w:lvlText w:val="%6."/>
      <w:lvlJc w:val="right"/>
      <w:pPr>
        <w:ind w:left="4698" w:hanging="180"/>
      </w:pPr>
    </w:lvl>
    <w:lvl w:ilvl="6" w:tplc="0405000F" w:tentative="1">
      <w:start w:val="1"/>
      <w:numFmt w:val="decimal"/>
      <w:lvlText w:val="%7."/>
      <w:lvlJc w:val="left"/>
      <w:pPr>
        <w:ind w:left="5418" w:hanging="360"/>
      </w:pPr>
    </w:lvl>
    <w:lvl w:ilvl="7" w:tplc="04050019" w:tentative="1">
      <w:start w:val="1"/>
      <w:numFmt w:val="lowerLetter"/>
      <w:lvlText w:val="%8."/>
      <w:lvlJc w:val="left"/>
      <w:pPr>
        <w:ind w:left="6138" w:hanging="360"/>
      </w:pPr>
    </w:lvl>
    <w:lvl w:ilvl="8" w:tplc="040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6D680173"/>
    <w:multiLevelType w:val="hybridMultilevel"/>
    <w:tmpl w:val="447EE73E"/>
    <w:lvl w:ilvl="0" w:tplc="0405000F">
      <w:start w:val="1"/>
      <w:numFmt w:val="decimal"/>
      <w:lvlText w:val="%1."/>
      <w:lvlJc w:val="left"/>
      <w:pPr>
        <w:ind w:left="144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8" w:hanging="360"/>
      </w:pPr>
    </w:lvl>
    <w:lvl w:ilvl="2" w:tplc="0405001B" w:tentative="1">
      <w:start w:val="1"/>
      <w:numFmt w:val="lowerRoman"/>
      <w:lvlText w:val="%3."/>
      <w:lvlJc w:val="right"/>
      <w:pPr>
        <w:ind w:left="2538" w:hanging="180"/>
      </w:pPr>
    </w:lvl>
    <w:lvl w:ilvl="3" w:tplc="0405000F" w:tentative="1">
      <w:start w:val="1"/>
      <w:numFmt w:val="decimal"/>
      <w:lvlText w:val="%4."/>
      <w:lvlJc w:val="left"/>
      <w:pPr>
        <w:ind w:left="3258" w:hanging="360"/>
      </w:pPr>
    </w:lvl>
    <w:lvl w:ilvl="4" w:tplc="04050019" w:tentative="1">
      <w:start w:val="1"/>
      <w:numFmt w:val="lowerLetter"/>
      <w:lvlText w:val="%5."/>
      <w:lvlJc w:val="left"/>
      <w:pPr>
        <w:ind w:left="3978" w:hanging="360"/>
      </w:pPr>
    </w:lvl>
    <w:lvl w:ilvl="5" w:tplc="0405001B" w:tentative="1">
      <w:start w:val="1"/>
      <w:numFmt w:val="lowerRoman"/>
      <w:lvlText w:val="%6."/>
      <w:lvlJc w:val="right"/>
      <w:pPr>
        <w:ind w:left="4698" w:hanging="180"/>
      </w:pPr>
    </w:lvl>
    <w:lvl w:ilvl="6" w:tplc="0405000F" w:tentative="1">
      <w:start w:val="1"/>
      <w:numFmt w:val="decimal"/>
      <w:lvlText w:val="%7."/>
      <w:lvlJc w:val="left"/>
      <w:pPr>
        <w:ind w:left="5418" w:hanging="360"/>
      </w:pPr>
    </w:lvl>
    <w:lvl w:ilvl="7" w:tplc="04050019" w:tentative="1">
      <w:start w:val="1"/>
      <w:numFmt w:val="lowerLetter"/>
      <w:lvlText w:val="%8."/>
      <w:lvlJc w:val="left"/>
      <w:pPr>
        <w:ind w:left="6138" w:hanging="360"/>
      </w:pPr>
    </w:lvl>
    <w:lvl w:ilvl="8" w:tplc="0405001B" w:tentative="1">
      <w:start w:val="1"/>
      <w:numFmt w:val="lowerRoman"/>
      <w:lvlText w:val="%9."/>
      <w:lvlJc w:val="right"/>
      <w:pPr>
        <w:ind w:left="6858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11"/>
  </w:num>
  <w:num w:numId="6">
    <w:abstractNumId w:val="8"/>
  </w:num>
  <w:num w:numId="7">
    <w:abstractNumId w:val="7"/>
  </w:num>
  <w:num w:numId="8">
    <w:abstractNumId w:val="4"/>
  </w:num>
  <w:num w:numId="9">
    <w:abstractNumId w:val="10"/>
  </w:num>
  <w:num w:numId="10">
    <w:abstractNumId w:val="12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3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EC4946"/>
    <w:rsid w:val="00266D0A"/>
    <w:rsid w:val="002A712B"/>
    <w:rsid w:val="00347A3E"/>
    <w:rsid w:val="005252B7"/>
    <w:rsid w:val="00644854"/>
    <w:rsid w:val="0081489C"/>
    <w:rsid w:val="00886E34"/>
    <w:rsid w:val="00927263"/>
    <w:rsid w:val="009F49FB"/>
    <w:rsid w:val="00A21187"/>
    <w:rsid w:val="00A510B3"/>
    <w:rsid w:val="00A73D85"/>
    <w:rsid w:val="00AC7178"/>
    <w:rsid w:val="00B16C4B"/>
    <w:rsid w:val="00B44363"/>
    <w:rsid w:val="00C230C9"/>
    <w:rsid w:val="00C37A9F"/>
    <w:rsid w:val="00C40B23"/>
    <w:rsid w:val="00C721AE"/>
    <w:rsid w:val="00D3190E"/>
    <w:rsid w:val="00E2484C"/>
    <w:rsid w:val="00EC4946"/>
    <w:rsid w:val="00FA770B"/>
    <w:rsid w:val="00FA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8E738-B961-4382-A362-B7CBDEB1E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1187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2118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next w:val="Normln"/>
    <w:link w:val="Nadpis2Char"/>
    <w:uiPriority w:val="9"/>
    <w:unhideWhenUsed/>
    <w:qFormat/>
    <w:rsid w:val="00EC4946"/>
    <w:pPr>
      <w:keepNext/>
      <w:keepLines/>
      <w:spacing w:line="259" w:lineRule="auto"/>
      <w:ind w:left="10" w:right="10" w:hanging="10"/>
      <w:jc w:val="center"/>
      <w:outlineLvl w:val="1"/>
    </w:pPr>
    <w:rPr>
      <w:b/>
      <w:color w:val="000000"/>
      <w:sz w:val="28"/>
      <w:szCs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4363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4363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4363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4363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4363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4363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A21187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A21187"/>
  </w:style>
  <w:style w:type="paragraph" w:styleId="Zhlav">
    <w:name w:val="header"/>
    <w:basedOn w:val="Normln"/>
    <w:semiHidden/>
    <w:rsid w:val="00A2118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2118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2118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2118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2118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2118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2118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2118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2118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2118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2118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2118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2118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2118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2118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2118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2118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2118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2118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21187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21187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21187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21187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2118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21187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A21187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A21187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EC4946"/>
    <w:rPr>
      <w:b/>
      <w:color w:val="000000"/>
      <w:sz w:val="28"/>
      <w:szCs w:val="22"/>
    </w:rPr>
  </w:style>
  <w:style w:type="paragraph" w:customStyle="1" w:styleId="Textodstavce">
    <w:name w:val="Text odstavce"/>
    <w:basedOn w:val="Normln"/>
    <w:rsid w:val="00A21187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21187"/>
    <w:pPr>
      <w:ind w:left="567" w:hanging="567"/>
    </w:pPr>
  </w:style>
  <w:style w:type="character" w:styleId="slostrnky">
    <w:name w:val="page number"/>
    <w:basedOn w:val="Standardnpsmoodstavce"/>
    <w:semiHidden/>
    <w:rsid w:val="00A21187"/>
  </w:style>
  <w:style w:type="paragraph" w:styleId="Zpat">
    <w:name w:val="footer"/>
    <w:basedOn w:val="Normln"/>
    <w:semiHidden/>
    <w:rsid w:val="00A2118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2118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A21187"/>
    <w:rPr>
      <w:vertAlign w:val="superscript"/>
    </w:rPr>
  </w:style>
  <w:style w:type="paragraph" w:styleId="Titulek">
    <w:name w:val="caption"/>
    <w:basedOn w:val="Normln"/>
    <w:next w:val="Normln"/>
    <w:qFormat/>
    <w:rsid w:val="00A2118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2118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21187"/>
    <w:pPr>
      <w:keepNext/>
      <w:keepLines/>
      <w:spacing w:before="720"/>
      <w:jc w:val="center"/>
    </w:pPr>
  </w:style>
  <w:style w:type="paragraph" w:styleId="Odstavecseseznamem">
    <w:name w:val="List Paragraph"/>
    <w:basedOn w:val="Normln"/>
    <w:uiPriority w:val="34"/>
    <w:qFormat/>
    <w:rsid w:val="00EC4946"/>
    <w:pPr>
      <w:ind w:left="720"/>
      <w:contextualSpacing/>
    </w:pPr>
  </w:style>
  <w:style w:type="paragraph" w:customStyle="1" w:styleId="VARIANTA">
    <w:name w:val="VARIANTA"/>
    <w:basedOn w:val="Normln"/>
    <w:next w:val="Normln"/>
    <w:rsid w:val="00A2118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2118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21187"/>
    <w:rPr>
      <w:b/>
    </w:rPr>
  </w:style>
  <w:style w:type="paragraph" w:customStyle="1" w:styleId="Nadpislnku">
    <w:name w:val="Nadpis článku"/>
    <w:basedOn w:val="lnek"/>
    <w:next w:val="Textodstavce"/>
    <w:rsid w:val="00A21187"/>
    <w:rPr>
      <w:b/>
    </w:rPr>
  </w:style>
  <w:style w:type="character" w:styleId="Hypertextovodkaz">
    <w:name w:val="Hyperlink"/>
    <w:uiPriority w:val="99"/>
    <w:semiHidden/>
    <w:unhideWhenUsed/>
    <w:rsid w:val="00EC4946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436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436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436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436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43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43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37A9F"/>
    <w:pPr>
      <w:spacing w:after="120" w:line="259" w:lineRule="auto"/>
      <w:jc w:val="left"/>
    </w:pPr>
    <w:rPr>
      <w:rFonts w:eastAsiaTheme="minorHAnsi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37A9F"/>
    <w:rPr>
      <w:rFonts w:eastAsiaTheme="minorHAnsi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7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7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zakonyprolidi.cz/cs/1985-1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129</TotalTime>
  <Pages>5</Pages>
  <Words>1511</Words>
  <Characters>8611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10102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Musil Marek</cp:lastModifiedBy>
  <cp:revision>12</cp:revision>
  <cp:lastPrinted>2021-09-17T07:56:00Z</cp:lastPrinted>
  <dcterms:created xsi:type="dcterms:W3CDTF">2021-06-09T11:07:00Z</dcterms:created>
  <dcterms:modified xsi:type="dcterms:W3CDTF">2021-09-17T07:59:00Z</dcterms:modified>
  <cp:category/>
</cp:coreProperties>
</file>