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E3" w:rsidRPr="00BC72FA" w:rsidRDefault="006E04E3" w:rsidP="006E04E3">
      <w:pPr>
        <w:pStyle w:val="Bezmezer"/>
        <w:spacing w:after="120"/>
        <w:jc w:val="center"/>
        <w:rPr>
          <w:b/>
          <w:sz w:val="26"/>
          <w:szCs w:val="26"/>
        </w:rPr>
      </w:pPr>
      <w:r w:rsidRPr="00BC72FA">
        <w:rPr>
          <w:b/>
          <w:sz w:val="26"/>
          <w:szCs w:val="26"/>
        </w:rPr>
        <w:t>Pozměňovací a jiné návrhy</w:t>
      </w:r>
    </w:p>
    <w:p w:rsidR="006B126E" w:rsidRPr="00D6453A" w:rsidRDefault="006E04E3" w:rsidP="006B126E">
      <w:pPr>
        <w:spacing w:after="0" w:line="240" w:lineRule="auto"/>
        <w:jc w:val="center"/>
        <w:rPr>
          <w:b/>
        </w:rPr>
      </w:pPr>
      <w:r w:rsidRPr="00D6453A">
        <w:rPr>
          <w:b/>
        </w:rPr>
        <w:t>k </w:t>
      </w:r>
      <w:r w:rsidR="006B126E" w:rsidRPr="00D6453A">
        <w:rPr>
          <w:b/>
          <w:shd w:val="clear" w:color="auto" w:fill="FFFFFF"/>
        </w:rPr>
        <w:t>vládnímu návrhu zákona</w:t>
      </w:r>
      <w:r w:rsidR="00D6453A" w:rsidRPr="00D6453A">
        <w:rPr>
          <w:b/>
          <w:shd w:val="clear" w:color="auto" w:fill="FFFFFF"/>
        </w:rPr>
        <w:t>,</w:t>
      </w:r>
      <w:r w:rsidR="00D6453A" w:rsidRPr="00D6453A">
        <w:rPr>
          <w:b/>
        </w:rPr>
        <w:t xml:space="preserve"> </w:t>
      </w:r>
      <w:r w:rsidR="00D6453A" w:rsidRPr="00D6453A">
        <w:rPr>
          <w:b/>
        </w:rPr>
        <w:t>kterým se mění některé zákony v souvislosti s přijetím zákona o lobbování</w:t>
      </w:r>
    </w:p>
    <w:p w:rsidR="006E04E3" w:rsidRDefault="006E04E3" w:rsidP="006E04E3">
      <w:pPr>
        <w:pStyle w:val="Bezmezer"/>
        <w:jc w:val="both"/>
      </w:pPr>
    </w:p>
    <w:p w:rsidR="006E04E3" w:rsidRDefault="00D6453A" w:rsidP="006E04E3">
      <w:pPr>
        <w:pStyle w:val="Bezmezer"/>
        <w:spacing w:before="120"/>
        <w:jc w:val="center"/>
      </w:pPr>
      <w:r>
        <w:t>(tisk 566</w:t>
      </w:r>
      <w:r w:rsidR="006E04E3">
        <w:t>)</w:t>
      </w:r>
    </w:p>
    <w:p w:rsidR="006E04E3" w:rsidRDefault="006E04E3" w:rsidP="006E04E3">
      <w:pPr>
        <w:pStyle w:val="Bezmezer"/>
        <w:jc w:val="both"/>
      </w:pPr>
    </w:p>
    <w:p w:rsidR="004D01F3" w:rsidRDefault="004D01F3" w:rsidP="006E04E3">
      <w:pPr>
        <w:pStyle w:val="Bezmezer"/>
        <w:jc w:val="both"/>
      </w:pPr>
    </w:p>
    <w:p w:rsidR="004D01F3" w:rsidRDefault="004D01F3" w:rsidP="006E04E3">
      <w:pPr>
        <w:pStyle w:val="Bezmezer"/>
        <w:jc w:val="both"/>
      </w:pPr>
    </w:p>
    <w:p w:rsidR="006E04E3" w:rsidRDefault="004D01F3" w:rsidP="006E04E3">
      <w:pPr>
        <w:pStyle w:val="Bezmezer"/>
        <w:jc w:val="both"/>
      </w:pPr>
      <w:r>
        <w:t>V</w:t>
      </w:r>
      <w:r w:rsidR="00332499">
        <w:t>e druhém čtení</w:t>
      </w:r>
      <w:r w:rsidR="006E04E3">
        <w:t xml:space="preserve"> nebyl podán návrh na zamítnutí.</w:t>
      </w:r>
    </w:p>
    <w:p w:rsidR="006E04E3" w:rsidRDefault="006E04E3" w:rsidP="006E04E3">
      <w:pPr>
        <w:pStyle w:val="Bezmezer"/>
        <w:jc w:val="both"/>
      </w:pPr>
    </w:p>
    <w:p w:rsidR="006E04E3" w:rsidRDefault="006E04E3" w:rsidP="006E04E3">
      <w:pPr>
        <w:pStyle w:val="PS-slovanseznam"/>
        <w:numPr>
          <w:ilvl w:val="0"/>
          <w:numId w:val="0"/>
        </w:numPr>
        <w:spacing w:after="0" w:line="240" w:lineRule="auto"/>
        <w:ind w:left="357" w:hanging="357"/>
      </w:pPr>
    </w:p>
    <w:p w:rsidR="00294AD6" w:rsidRPr="00872BDA" w:rsidRDefault="00872BDA" w:rsidP="00872BDA">
      <w:pPr>
        <w:pStyle w:val="PS-slovanseznam"/>
        <w:numPr>
          <w:ilvl w:val="0"/>
          <w:numId w:val="0"/>
        </w:numPr>
        <w:tabs>
          <w:tab w:val="clear" w:pos="0"/>
        </w:tabs>
        <w:spacing w:after="0" w:line="240" w:lineRule="auto"/>
        <w:ind w:left="426" w:hanging="426"/>
        <w:rPr>
          <w:b/>
        </w:rPr>
      </w:pPr>
      <w:r>
        <w:rPr>
          <w:b/>
        </w:rPr>
        <w:t>A.</w:t>
      </w:r>
      <w:r>
        <w:rPr>
          <w:b/>
        </w:rPr>
        <w:tab/>
      </w:r>
      <w:r w:rsidRPr="00872BDA">
        <w:rPr>
          <w:b/>
        </w:rPr>
        <w:t>Pozměňovací návrhy obsažené v</w:t>
      </w:r>
      <w:r w:rsidR="003D093C">
        <w:rPr>
          <w:b/>
        </w:rPr>
        <w:t> </w:t>
      </w:r>
      <w:r w:rsidRPr="00872BDA">
        <w:rPr>
          <w:b/>
        </w:rPr>
        <w:t>usnesení</w:t>
      </w:r>
      <w:r w:rsidR="003D093C">
        <w:rPr>
          <w:b/>
        </w:rPr>
        <w:t xml:space="preserve"> garančního</w:t>
      </w:r>
      <w:r w:rsidR="00D14961">
        <w:rPr>
          <w:b/>
        </w:rPr>
        <w:t xml:space="preserve"> ústavně právního</w:t>
      </w:r>
      <w:r w:rsidRPr="00872BDA">
        <w:rPr>
          <w:b/>
        </w:rPr>
        <w:t xml:space="preserve"> výboru</w:t>
      </w:r>
      <w:r w:rsidR="00594160">
        <w:rPr>
          <w:b/>
        </w:rPr>
        <w:t xml:space="preserve"> </w:t>
      </w:r>
      <w:r w:rsidR="00D6453A">
        <w:rPr>
          <w:b/>
        </w:rPr>
        <w:t>č. 288</w:t>
      </w:r>
      <w:r w:rsidR="00594160">
        <w:rPr>
          <w:b/>
        </w:rPr>
        <w:t xml:space="preserve"> ze dne </w:t>
      </w:r>
      <w:r w:rsidR="00D14961">
        <w:rPr>
          <w:b/>
        </w:rPr>
        <w:t>2</w:t>
      </w:r>
      <w:r w:rsidR="00D6453A">
        <w:rPr>
          <w:b/>
        </w:rPr>
        <w:t>5</w:t>
      </w:r>
      <w:r>
        <w:rPr>
          <w:b/>
        </w:rPr>
        <w:t>. </w:t>
      </w:r>
      <w:r w:rsidR="00D6453A">
        <w:rPr>
          <w:b/>
        </w:rPr>
        <w:t>května 2021</w:t>
      </w:r>
      <w:r w:rsidR="003F3BC6">
        <w:rPr>
          <w:b/>
        </w:rPr>
        <w:t xml:space="preserve"> (</w:t>
      </w:r>
      <w:r w:rsidR="00D6453A">
        <w:rPr>
          <w:b/>
        </w:rPr>
        <w:t>tisk 566</w:t>
      </w:r>
      <w:r w:rsidR="00F030B1">
        <w:rPr>
          <w:b/>
        </w:rPr>
        <w:t>/4</w:t>
      </w:r>
      <w:r w:rsidRPr="00872BDA">
        <w:rPr>
          <w:b/>
        </w:rPr>
        <w:t xml:space="preserve">) </w:t>
      </w:r>
    </w:p>
    <w:p w:rsidR="004D01F3" w:rsidRDefault="00D6453A" w:rsidP="006E04E3">
      <w:pPr>
        <w:pStyle w:val="PS-slovanseznam"/>
        <w:numPr>
          <w:ilvl w:val="0"/>
          <w:numId w:val="0"/>
        </w:numPr>
        <w:spacing w:after="0" w:line="240" w:lineRule="auto"/>
        <w:ind w:left="357" w:hanging="357"/>
      </w:pPr>
      <w:r>
        <w:t xml:space="preserve"> </w:t>
      </w:r>
    </w:p>
    <w:p w:rsidR="006923E5" w:rsidRPr="00055AAC" w:rsidRDefault="006923E5" w:rsidP="00B934EA">
      <w:pPr>
        <w:pStyle w:val="Bezmezer"/>
      </w:pPr>
    </w:p>
    <w:p w:rsidR="006923E5" w:rsidRPr="00055AAC" w:rsidRDefault="006923E5" w:rsidP="006923E5">
      <w:pPr>
        <w:pStyle w:val="lnek"/>
        <w:keepNext w:val="0"/>
        <w:keepLines w:val="0"/>
        <w:widowControl w:val="0"/>
        <w:spacing w:before="0" w:line="276" w:lineRule="auto"/>
        <w:jc w:val="left"/>
        <w:rPr>
          <w:b/>
          <w:noProof/>
        </w:rPr>
      </w:pPr>
      <w:r>
        <w:rPr>
          <w:b/>
        </w:rPr>
        <w:t xml:space="preserve">1.  </w:t>
      </w:r>
      <w:r w:rsidRPr="006923E5">
        <w:t xml:space="preserve">Změna Čl. </w:t>
      </w:r>
      <w:r w:rsidRPr="006923E5">
        <w:rPr>
          <w:noProof/>
        </w:rPr>
        <w:t>II</w:t>
      </w:r>
      <w:r w:rsidRPr="00055AAC">
        <w:rPr>
          <w:b/>
          <w:noProof/>
        </w:rPr>
        <w:t xml:space="preserve"> (Změna zákona o jednacím řádu Poslanecké sněmovny): </w:t>
      </w:r>
    </w:p>
    <w:p w:rsidR="006923E5" w:rsidRPr="00055AAC" w:rsidRDefault="006923E5" w:rsidP="006923E5">
      <w:pPr>
        <w:pStyle w:val="Textodstavce"/>
        <w:widowControl w:val="0"/>
        <w:tabs>
          <w:tab w:val="clear" w:pos="851"/>
        </w:tabs>
        <w:spacing w:before="0"/>
        <w:rPr>
          <w:szCs w:val="24"/>
          <w:lang w:eastAsia="en-US"/>
        </w:rPr>
      </w:pPr>
    </w:p>
    <w:p w:rsidR="006923E5" w:rsidRPr="00C426DE" w:rsidRDefault="006923E5" w:rsidP="006923E5">
      <w:pPr>
        <w:ind w:firstLine="708"/>
        <w:jc w:val="both"/>
        <w:rPr>
          <w:rFonts w:eastAsia="Times New Roman"/>
        </w:rPr>
      </w:pPr>
      <w:r w:rsidRPr="00C426DE">
        <w:rPr>
          <w:rFonts w:eastAsia="Times New Roman"/>
        </w:rPr>
        <w:t xml:space="preserve">V části druhé, čl. II, se před novelizační bod 1 vkládá nový novelizační bod 1, který zní: </w:t>
      </w:r>
    </w:p>
    <w:p w:rsidR="006923E5" w:rsidRPr="00055AAC" w:rsidRDefault="006923E5" w:rsidP="00B934EA">
      <w:pPr>
        <w:pStyle w:val="Bezmezer"/>
      </w:pPr>
    </w:p>
    <w:p w:rsidR="006923E5" w:rsidRPr="00055AAC" w:rsidRDefault="006923E5" w:rsidP="006923E5">
      <w:pPr>
        <w:pStyle w:val="Odstavecseseznamem"/>
        <w:jc w:val="both"/>
      </w:pPr>
      <w:r w:rsidRPr="00055AAC">
        <w:t xml:space="preserve">„1. V § 39 se na konci odstavce 5 doplňuje věta: „Je-li takovou osobou lobbista podle zákona o lobbování, udělí mu předsedající slovo jako prvnímu v pořadí.“. </w:t>
      </w:r>
    </w:p>
    <w:p w:rsidR="006923E5" w:rsidRPr="00055AAC" w:rsidRDefault="006923E5" w:rsidP="00B934EA">
      <w:pPr>
        <w:pStyle w:val="Bezmezer"/>
      </w:pPr>
    </w:p>
    <w:p w:rsidR="006923E5" w:rsidRPr="00055AAC" w:rsidRDefault="006923E5" w:rsidP="006923E5">
      <w:pPr>
        <w:rPr>
          <w:rFonts w:eastAsia="Times New Roman"/>
        </w:rPr>
      </w:pPr>
      <w:r w:rsidRPr="00055AAC">
        <w:rPr>
          <w:rFonts w:eastAsia="Times New Roman"/>
        </w:rPr>
        <w:tab/>
        <w:t xml:space="preserve">Dosavadní novelizační body 1, 2 a 3 se označují jako novelizační body 2, 3 a 4. </w:t>
      </w:r>
    </w:p>
    <w:p w:rsidR="006923E5" w:rsidRPr="00055AAC" w:rsidRDefault="006923E5" w:rsidP="00B934EA">
      <w:pPr>
        <w:pStyle w:val="Bezmezer"/>
      </w:pPr>
    </w:p>
    <w:p w:rsidR="006923E5" w:rsidRPr="00055AAC" w:rsidRDefault="006923E5" w:rsidP="006923E5">
      <w:pPr>
        <w:pStyle w:val="lnek"/>
        <w:keepNext w:val="0"/>
        <w:keepLines w:val="0"/>
        <w:widowControl w:val="0"/>
        <w:spacing w:before="0" w:line="276" w:lineRule="auto"/>
        <w:jc w:val="left"/>
        <w:rPr>
          <w:b/>
        </w:rPr>
      </w:pPr>
      <w:r>
        <w:rPr>
          <w:b/>
        </w:rPr>
        <w:t xml:space="preserve">2.  </w:t>
      </w:r>
      <w:r w:rsidRPr="006923E5">
        <w:t>Změna Čl. V</w:t>
      </w:r>
      <w:r w:rsidRPr="00055AAC">
        <w:rPr>
          <w:b/>
        </w:rPr>
        <w:t xml:space="preserve"> (Změna zákona o Sbírce zákonů a mezinárodních smluv):</w:t>
      </w:r>
    </w:p>
    <w:p w:rsidR="006923E5" w:rsidRPr="00055AAC" w:rsidRDefault="006923E5" w:rsidP="006923E5"/>
    <w:p w:rsidR="006923E5" w:rsidRPr="00055AAC" w:rsidRDefault="006923E5" w:rsidP="006923E5">
      <w:pPr>
        <w:ind w:left="709" w:hanging="283"/>
        <w:jc w:val="both"/>
        <w:rPr>
          <w:rFonts w:eastAsia="Times New Roman"/>
        </w:rPr>
      </w:pPr>
      <w:r w:rsidRPr="00055AAC">
        <w:rPr>
          <w:rFonts w:eastAsia="Calibri"/>
        </w:rPr>
        <w:t xml:space="preserve">1. </w:t>
      </w:r>
      <w:r w:rsidRPr="00055AAC">
        <w:rPr>
          <w:rFonts w:eastAsia="Calibri"/>
        </w:rPr>
        <w:tab/>
        <w:t xml:space="preserve">V </w:t>
      </w:r>
      <w:r w:rsidRPr="00055AAC">
        <w:rPr>
          <w:rFonts w:eastAsia="Times New Roman"/>
        </w:rPr>
        <w:t>části páté, čl. V, bodu 1 se text „písm. a)“ nahrazuje textem „písm. b)“.</w:t>
      </w:r>
    </w:p>
    <w:p w:rsidR="006923E5" w:rsidRPr="00055AAC" w:rsidRDefault="006923E5" w:rsidP="00B934EA">
      <w:pPr>
        <w:pStyle w:val="Bezmezer"/>
      </w:pPr>
    </w:p>
    <w:p w:rsidR="006923E5" w:rsidRPr="00055AAC" w:rsidRDefault="006923E5" w:rsidP="006923E5">
      <w:pPr>
        <w:ind w:left="709" w:hanging="283"/>
        <w:jc w:val="both"/>
      </w:pPr>
      <w:r w:rsidRPr="00055AAC">
        <w:rPr>
          <w:rFonts w:eastAsia="Times New Roman"/>
        </w:rPr>
        <w:t xml:space="preserve">2. </w:t>
      </w:r>
      <w:r w:rsidRPr="00055AAC">
        <w:rPr>
          <w:rFonts w:eastAsia="Calibri"/>
        </w:rPr>
        <w:t xml:space="preserve">V </w:t>
      </w:r>
      <w:r w:rsidRPr="00055AAC">
        <w:rPr>
          <w:rFonts w:eastAsia="Times New Roman"/>
        </w:rPr>
        <w:t xml:space="preserve">části páté, čl. V, bodu 2 se slova „písmeno c)“ nahrazují slovy „písmeno d)“ a </w:t>
      </w:r>
      <w:r w:rsidRPr="00055AAC">
        <w:t>v označení doplňovaného písmene se text „c)“ nahrazuje textem „d)“.</w:t>
      </w:r>
    </w:p>
    <w:p w:rsidR="006923E5" w:rsidRPr="00055AAC" w:rsidRDefault="006923E5" w:rsidP="00B934EA">
      <w:pPr>
        <w:pStyle w:val="Bezmezer"/>
      </w:pPr>
    </w:p>
    <w:p w:rsidR="006923E5" w:rsidRDefault="006923E5" w:rsidP="006923E5">
      <w:pPr>
        <w:pStyle w:val="NADPISSTI"/>
        <w:ind w:firstLine="426"/>
        <w:jc w:val="left"/>
        <w:rPr>
          <w:b w:val="0"/>
          <w:szCs w:val="24"/>
        </w:rPr>
      </w:pPr>
      <w:r w:rsidRPr="00055AAC">
        <w:rPr>
          <w:b w:val="0"/>
          <w:szCs w:val="24"/>
        </w:rPr>
        <w:t xml:space="preserve">3. V části páté, čl. V, </w:t>
      </w:r>
      <w:r>
        <w:rPr>
          <w:b w:val="0"/>
          <w:szCs w:val="24"/>
        </w:rPr>
        <w:t>bod 3 zní:</w:t>
      </w:r>
    </w:p>
    <w:p w:rsidR="006923E5" w:rsidRDefault="006923E5" w:rsidP="006923E5">
      <w:pPr>
        <w:pStyle w:val="NADPISSTI"/>
        <w:ind w:firstLine="426"/>
        <w:jc w:val="left"/>
        <w:rPr>
          <w:b w:val="0"/>
          <w:szCs w:val="24"/>
        </w:rPr>
      </w:pPr>
    </w:p>
    <w:p w:rsidR="006923E5" w:rsidRPr="00055AAC" w:rsidRDefault="006923E5" w:rsidP="006923E5">
      <w:pPr>
        <w:pStyle w:val="NADPISSTI"/>
        <w:ind w:left="284" w:firstLine="425"/>
        <w:jc w:val="left"/>
        <w:rPr>
          <w:b w:val="0"/>
          <w:szCs w:val="24"/>
        </w:rPr>
      </w:pPr>
      <w:r>
        <w:rPr>
          <w:b w:val="0"/>
          <w:szCs w:val="24"/>
        </w:rPr>
        <w:t>„3. V</w:t>
      </w:r>
      <w:r w:rsidRPr="00055AAC">
        <w:rPr>
          <w:b w:val="0"/>
          <w:szCs w:val="24"/>
        </w:rPr>
        <w:t xml:space="preserve"> § 19 se za odst. 1 vkládá nový odst. 2, který zní:</w:t>
      </w:r>
    </w:p>
    <w:p w:rsidR="006923E5" w:rsidRPr="00055AAC" w:rsidRDefault="006923E5" w:rsidP="00B934EA">
      <w:pPr>
        <w:pStyle w:val="Bezmezer"/>
      </w:pPr>
    </w:p>
    <w:p w:rsidR="006923E5" w:rsidRPr="00055AAC" w:rsidRDefault="006923E5" w:rsidP="006923E5">
      <w:pPr>
        <w:ind w:left="426" w:firstLine="484"/>
        <w:jc w:val="both"/>
        <w:rPr>
          <w:rFonts w:eastAsia="Times New Roman"/>
        </w:rPr>
      </w:pPr>
      <w:r w:rsidRPr="00055AAC">
        <w:rPr>
          <w:rFonts w:eastAsia="Times New Roman"/>
        </w:rPr>
        <w:t xml:space="preserve">„(2) Lobbistická stopa právního předpisu vyhlašovaného ve Sbírce zákonů a mezinárodních smluv obsahuje </w:t>
      </w:r>
    </w:p>
    <w:p w:rsidR="006923E5" w:rsidRPr="00055AAC" w:rsidRDefault="006923E5" w:rsidP="006923E5">
      <w:pPr>
        <w:ind w:left="284" w:firstLine="142"/>
        <w:jc w:val="both"/>
        <w:rPr>
          <w:rFonts w:eastAsia="Times New Roman"/>
        </w:rPr>
      </w:pPr>
      <w:r w:rsidRPr="00055AAC">
        <w:rPr>
          <w:rFonts w:eastAsia="Times New Roman"/>
        </w:rPr>
        <w:t>a)</w:t>
      </w:r>
      <w:r w:rsidRPr="00055AAC">
        <w:rPr>
          <w:rFonts w:eastAsia="Times New Roman"/>
        </w:rPr>
        <w:tab/>
        <w:t>jméno, popřípadě jména, příjmení a funkci každého z lobbovaných,</w:t>
      </w:r>
    </w:p>
    <w:p w:rsidR="006923E5" w:rsidRPr="00055AAC" w:rsidRDefault="006923E5" w:rsidP="006923E5">
      <w:pPr>
        <w:ind w:left="426"/>
        <w:jc w:val="both"/>
        <w:rPr>
          <w:rFonts w:eastAsia="Times New Roman"/>
        </w:rPr>
      </w:pPr>
      <w:r w:rsidRPr="00055AAC">
        <w:rPr>
          <w:rFonts w:eastAsia="Times New Roman"/>
        </w:rPr>
        <w:t>b)</w:t>
      </w:r>
      <w:r w:rsidRPr="00055AAC">
        <w:rPr>
          <w:rFonts w:eastAsia="Times New Roman"/>
        </w:rPr>
        <w:tab/>
        <w:t>obchodní firmu, název nebo jméno, popřípadě jména, a příjmení lobbisty, který u lobbovaných podle písmene a) lobboval, a na základě jehož návrhu nebo požadavku doznal návrh právního předpisu změn,</w:t>
      </w:r>
    </w:p>
    <w:p w:rsidR="006923E5" w:rsidRPr="00055AAC" w:rsidRDefault="006923E5" w:rsidP="006923E5">
      <w:pPr>
        <w:ind w:left="284" w:firstLine="142"/>
        <w:jc w:val="both"/>
        <w:rPr>
          <w:rFonts w:eastAsia="Times New Roman"/>
        </w:rPr>
      </w:pPr>
      <w:r w:rsidRPr="00055AAC">
        <w:rPr>
          <w:rFonts w:eastAsia="Times New Roman"/>
        </w:rPr>
        <w:t>c)</w:t>
      </w:r>
      <w:r w:rsidRPr="00055AAC">
        <w:rPr>
          <w:rFonts w:eastAsia="Times New Roman"/>
        </w:rPr>
        <w:tab/>
        <w:t>datum, kdy k lobbování došlo, a</w:t>
      </w:r>
    </w:p>
    <w:p w:rsidR="006923E5" w:rsidRDefault="006923E5" w:rsidP="006923E5">
      <w:pPr>
        <w:ind w:left="708" w:hanging="282"/>
        <w:jc w:val="both"/>
        <w:rPr>
          <w:rFonts w:eastAsia="Times New Roman"/>
        </w:rPr>
      </w:pPr>
      <w:r w:rsidRPr="00055AAC">
        <w:rPr>
          <w:rFonts w:eastAsia="Times New Roman"/>
        </w:rPr>
        <w:t>d)</w:t>
      </w:r>
      <w:r w:rsidRPr="00055AAC">
        <w:rPr>
          <w:rFonts w:eastAsia="Times New Roman"/>
        </w:rPr>
        <w:tab/>
        <w:t>přesné vymezení, které věci v návrhu právního předpisu doznaly podle návrhu nebo požadavku lobbisty změn.</w:t>
      </w:r>
      <w:r>
        <w:rPr>
          <w:rFonts w:eastAsia="Times New Roman"/>
        </w:rPr>
        <w:t>“.“.</w:t>
      </w:r>
    </w:p>
    <w:p w:rsidR="006923E5" w:rsidRDefault="006923E5" w:rsidP="006923E5">
      <w:pPr>
        <w:pStyle w:val="Bezmezer"/>
      </w:pPr>
    </w:p>
    <w:p w:rsidR="006923E5" w:rsidRPr="00055AAC" w:rsidRDefault="006923E5" w:rsidP="006923E5">
      <w:pPr>
        <w:ind w:left="708" w:hanging="282"/>
        <w:jc w:val="both"/>
        <w:rPr>
          <w:rFonts w:eastAsia="Times New Roman"/>
        </w:rPr>
      </w:pPr>
      <w:r>
        <w:rPr>
          <w:rFonts w:eastAsia="Times New Roman"/>
        </w:rPr>
        <w:t>Dosavadní odstavec 2 se označuje jako odstavec 3.</w:t>
      </w:r>
    </w:p>
    <w:p w:rsidR="006923E5" w:rsidRDefault="006923E5" w:rsidP="006923E5">
      <w:pPr>
        <w:pStyle w:val="Bezmezer"/>
      </w:pPr>
    </w:p>
    <w:p w:rsidR="006923E5" w:rsidRPr="00B934EA" w:rsidRDefault="006923E5" w:rsidP="006923E5">
      <w:pPr>
        <w:spacing w:line="276" w:lineRule="auto"/>
        <w:jc w:val="both"/>
      </w:pPr>
      <w:r w:rsidRPr="00B934EA">
        <w:rPr>
          <w:rFonts w:eastAsia="Calibri"/>
          <w:b/>
        </w:rPr>
        <w:t>3</w:t>
      </w:r>
      <w:r w:rsidRPr="00B934EA">
        <w:rPr>
          <w:rFonts w:eastAsia="Calibri"/>
        </w:rPr>
        <w:t xml:space="preserve">.  </w:t>
      </w:r>
      <w:r w:rsidRPr="00B934EA">
        <w:t>Změna Čl. VI (</w:t>
      </w:r>
      <w:r w:rsidRPr="00B934EA">
        <w:rPr>
          <w:b/>
        </w:rPr>
        <w:t>Změna účinnosti</w:t>
      </w:r>
      <w:r w:rsidRPr="00B934EA">
        <w:t>):</w:t>
      </w:r>
    </w:p>
    <w:p w:rsidR="006923E5" w:rsidRPr="00055AAC" w:rsidRDefault="006923E5" w:rsidP="006923E5">
      <w:pPr>
        <w:spacing w:line="276" w:lineRule="auto"/>
        <w:ind w:left="720"/>
        <w:jc w:val="both"/>
      </w:pPr>
      <w:r w:rsidRPr="00055AAC">
        <w:t>V části šesté, čl. VI, se číslo „2022“ nahrazuje číslem „2024“.</w:t>
      </w:r>
      <w:r>
        <w:t>,</w:t>
      </w:r>
    </w:p>
    <w:p w:rsidR="00872BDA" w:rsidRDefault="00872BDA" w:rsidP="006E04E3">
      <w:pPr>
        <w:pStyle w:val="PS-slovanseznam"/>
        <w:numPr>
          <w:ilvl w:val="0"/>
          <w:numId w:val="0"/>
        </w:numPr>
        <w:spacing w:after="0" w:line="240" w:lineRule="auto"/>
        <w:ind w:left="357" w:hanging="357"/>
      </w:pPr>
    </w:p>
    <w:p w:rsidR="00D6453A" w:rsidRDefault="00D6453A" w:rsidP="006E04E3">
      <w:pPr>
        <w:pStyle w:val="PS-slovanseznam"/>
        <w:numPr>
          <w:ilvl w:val="0"/>
          <w:numId w:val="0"/>
        </w:numPr>
        <w:spacing w:after="0" w:line="240" w:lineRule="auto"/>
        <w:ind w:left="357" w:hanging="357"/>
      </w:pPr>
    </w:p>
    <w:p w:rsidR="00B934EA" w:rsidRDefault="00B934EA" w:rsidP="006E04E3">
      <w:pPr>
        <w:pStyle w:val="PS-slovanseznam"/>
        <w:numPr>
          <w:ilvl w:val="0"/>
          <w:numId w:val="0"/>
        </w:numPr>
        <w:spacing w:after="0" w:line="240" w:lineRule="auto"/>
        <w:ind w:left="357" w:hanging="357"/>
      </w:pPr>
    </w:p>
    <w:p w:rsidR="00B934EA" w:rsidRDefault="00B934EA" w:rsidP="006E04E3">
      <w:pPr>
        <w:pStyle w:val="PS-slovanseznam"/>
        <w:numPr>
          <w:ilvl w:val="0"/>
          <w:numId w:val="0"/>
        </w:numPr>
        <w:spacing w:after="0" w:line="240" w:lineRule="auto"/>
        <w:ind w:left="357" w:hanging="357"/>
      </w:pPr>
    </w:p>
    <w:p w:rsidR="00B934EA" w:rsidRDefault="00B934EA" w:rsidP="006E04E3">
      <w:pPr>
        <w:pStyle w:val="PS-slovanseznam"/>
        <w:numPr>
          <w:ilvl w:val="0"/>
          <w:numId w:val="0"/>
        </w:numPr>
        <w:spacing w:after="0" w:line="240" w:lineRule="auto"/>
        <w:ind w:left="357" w:hanging="357"/>
      </w:pPr>
      <w:bookmarkStart w:id="0" w:name="_GoBack"/>
      <w:bookmarkEnd w:id="0"/>
    </w:p>
    <w:p w:rsidR="004D01F3" w:rsidRDefault="004D01F3" w:rsidP="006E04E3">
      <w:pPr>
        <w:pStyle w:val="PS-slovanseznam"/>
        <w:numPr>
          <w:ilvl w:val="0"/>
          <w:numId w:val="0"/>
        </w:numPr>
        <w:spacing w:after="0" w:line="240" w:lineRule="auto"/>
        <w:ind w:left="357" w:hanging="357"/>
      </w:pPr>
    </w:p>
    <w:p w:rsidR="004D01F3" w:rsidRDefault="000D4F05" w:rsidP="00D14961">
      <w:pPr>
        <w:pStyle w:val="PS-slovanseznam"/>
        <w:numPr>
          <w:ilvl w:val="0"/>
          <w:numId w:val="0"/>
        </w:numPr>
        <w:spacing w:after="0" w:line="240" w:lineRule="auto"/>
        <w:ind w:left="357" w:hanging="357"/>
        <w:jc w:val="center"/>
        <w:rPr>
          <w:b/>
          <w:sz w:val="26"/>
          <w:szCs w:val="26"/>
        </w:rPr>
      </w:pPr>
      <w:r w:rsidRPr="00BC72FA">
        <w:rPr>
          <w:b/>
          <w:sz w:val="26"/>
          <w:szCs w:val="26"/>
        </w:rPr>
        <w:t>Pozměňovací návrhy přednesen</w:t>
      </w:r>
      <w:r w:rsidR="00872BDA">
        <w:rPr>
          <w:b/>
          <w:sz w:val="26"/>
          <w:szCs w:val="26"/>
        </w:rPr>
        <w:t>é ve druhém čtení konaném dne</w:t>
      </w:r>
      <w:r w:rsidR="00594160">
        <w:rPr>
          <w:b/>
          <w:sz w:val="26"/>
          <w:szCs w:val="26"/>
        </w:rPr>
        <w:t xml:space="preserve"> </w:t>
      </w:r>
      <w:r w:rsidR="00D6453A">
        <w:rPr>
          <w:b/>
          <w:sz w:val="26"/>
          <w:szCs w:val="26"/>
        </w:rPr>
        <w:t>8. července 2021</w:t>
      </w:r>
    </w:p>
    <w:p w:rsidR="00290DB8" w:rsidRDefault="00290DB8"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4D01F3" w:rsidRDefault="008E5B16" w:rsidP="00030B4C">
      <w:pPr>
        <w:pStyle w:val="PS-slovanseznam"/>
        <w:numPr>
          <w:ilvl w:val="0"/>
          <w:numId w:val="0"/>
        </w:numPr>
        <w:spacing w:after="0" w:line="240" w:lineRule="auto"/>
        <w:ind w:left="357" w:hanging="357"/>
        <w:rPr>
          <w:b/>
        </w:rPr>
      </w:pPr>
      <w:r>
        <w:rPr>
          <w:b/>
        </w:rPr>
        <w:t>B</w:t>
      </w:r>
      <w:r w:rsidR="00030B4C">
        <w:rPr>
          <w:b/>
        </w:rPr>
        <w:t>.</w:t>
      </w:r>
      <w:r w:rsidR="00030B4C">
        <w:rPr>
          <w:b/>
        </w:rPr>
        <w:tab/>
      </w:r>
      <w:r w:rsidR="006923E5">
        <w:rPr>
          <w:b/>
        </w:rPr>
        <w:t xml:space="preserve">Poslankyně Kateřina Valachová </w:t>
      </w:r>
    </w:p>
    <w:p w:rsidR="00D6453A" w:rsidRDefault="00D6453A" w:rsidP="00030B4C">
      <w:pPr>
        <w:pStyle w:val="PS-slovanseznam"/>
        <w:numPr>
          <w:ilvl w:val="0"/>
          <w:numId w:val="0"/>
        </w:numPr>
        <w:spacing w:after="0" w:line="240" w:lineRule="auto"/>
        <w:ind w:left="357" w:hanging="357"/>
        <w:rPr>
          <w:b/>
        </w:rPr>
      </w:pPr>
    </w:p>
    <w:p w:rsidR="004D01F3" w:rsidRDefault="00D14961" w:rsidP="00A563B2">
      <w:pPr>
        <w:pStyle w:val="PS-slovanseznam"/>
        <w:numPr>
          <w:ilvl w:val="0"/>
          <w:numId w:val="0"/>
        </w:numPr>
        <w:spacing w:after="0" w:line="240" w:lineRule="auto"/>
        <w:ind w:left="357" w:hanging="357"/>
      </w:pPr>
      <w:r>
        <w:t xml:space="preserve">(SD </w:t>
      </w:r>
      <w:r w:rsidR="006923E5">
        <w:t>8641</w:t>
      </w:r>
      <w:r w:rsidR="00A563B2" w:rsidRPr="004624A9">
        <w:t>)</w:t>
      </w:r>
    </w:p>
    <w:p w:rsidR="004D01F3" w:rsidRDefault="004D01F3" w:rsidP="002266E4">
      <w:pPr>
        <w:pStyle w:val="Bezmezer"/>
        <w:jc w:val="both"/>
      </w:pPr>
    </w:p>
    <w:p w:rsidR="006923E5" w:rsidRPr="006923E5" w:rsidRDefault="006923E5" w:rsidP="006923E5">
      <w:pPr>
        <w:spacing w:after="200" w:line="276" w:lineRule="auto"/>
        <w:jc w:val="both"/>
        <w:rPr>
          <w:rFonts w:eastAsia="Calibri"/>
          <w:bCs/>
          <w:u w:val="single"/>
        </w:rPr>
      </w:pPr>
      <w:r w:rsidRPr="006923E5">
        <w:rPr>
          <w:rFonts w:eastAsia="Times New Roman"/>
          <w:u w:val="single"/>
          <w:lang w:eastAsia="cs-CZ"/>
        </w:rPr>
        <w:t>K</w:t>
      </w:r>
      <w:r w:rsidRPr="006923E5">
        <w:rPr>
          <w:rFonts w:eastAsia="Times New Roman"/>
          <w:u w:val="single"/>
          <w:lang w:eastAsia="cs-CZ"/>
        </w:rPr>
        <w:t xml:space="preserve"> pozměňovacímu návrhu </w:t>
      </w:r>
      <w:r w:rsidRPr="006923E5">
        <w:rPr>
          <w:rFonts w:eastAsia="Times New Roman"/>
          <w:u w:val="single"/>
          <w:lang w:eastAsia="cs-CZ"/>
        </w:rPr>
        <w:t>ú</w:t>
      </w:r>
      <w:r w:rsidRPr="006923E5">
        <w:rPr>
          <w:rFonts w:eastAsia="Times New Roman"/>
          <w:u w:val="single"/>
          <w:lang w:eastAsia="cs-CZ"/>
        </w:rPr>
        <w:t>stavně právního výboru</w:t>
      </w:r>
      <w:r w:rsidRPr="006923E5">
        <w:rPr>
          <w:rFonts w:eastAsia="Times New Roman"/>
          <w:u w:val="single"/>
          <w:lang w:eastAsia="cs-CZ"/>
        </w:rPr>
        <w:t>:</w:t>
      </w:r>
    </w:p>
    <w:p w:rsidR="006923E5" w:rsidRPr="006923E5" w:rsidRDefault="006923E5" w:rsidP="006923E5">
      <w:pPr>
        <w:spacing w:before="120" w:after="200" w:line="276" w:lineRule="auto"/>
        <w:jc w:val="both"/>
        <w:rPr>
          <w:rFonts w:eastAsia="Calibri"/>
        </w:rPr>
      </w:pPr>
      <w:r w:rsidRPr="006923E5">
        <w:rPr>
          <w:rFonts w:eastAsia="Calibri"/>
        </w:rPr>
        <w:t>1. V části pozměňovacího návrhu označené „Změna Čl. V (Změna zákona o Sbírce zákonů a mezinárodních smluv)“ bod 3 zní:</w:t>
      </w:r>
    </w:p>
    <w:p w:rsidR="006923E5" w:rsidRPr="006923E5" w:rsidRDefault="006923E5" w:rsidP="006923E5">
      <w:pPr>
        <w:pStyle w:val="NADPISSTI"/>
        <w:ind w:firstLine="426"/>
        <w:jc w:val="left"/>
        <w:rPr>
          <w:b w:val="0"/>
          <w:szCs w:val="24"/>
        </w:rPr>
      </w:pPr>
      <w:r w:rsidRPr="006923E5">
        <w:rPr>
          <w:b w:val="0"/>
          <w:szCs w:val="24"/>
        </w:rPr>
        <w:t>„3. V části páté, čl. V, bod 3 zní:</w:t>
      </w:r>
    </w:p>
    <w:p w:rsidR="006923E5" w:rsidRPr="006923E5" w:rsidRDefault="006923E5" w:rsidP="006923E5">
      <w:pPr>
        <w:pStyle w:val="NADPISSTI"/>
        <w:ind w:firstLine="426"/>
        <w:jc w:val="left"/>
        <w:rPr>
          <w:b w:val="0"/>
          <w:szCs w:val="24"/>
        </w:rPr>
      </w:pPr>
    </w:p>
    <w:p w:rsidR="006923E5" w:rsidRPr="006923E5" w:rsidRDefault="006923E5" w:rsidP="006923E5">
      <w:pPr>
        <w:pStyle w:val="NADPISSTI"/>
        <w:ind w:left="284" w:firstLine="425"/>
        <w:jc w:val="left"/>
        <w:rPr>
          <w:b w:val="0"/>
          <w:szCs w:val="24"/>
        </w:rPr>
      </w:pPr>
      <w:r w:rsidRPr="006923E5">
        <w:rPr>
          <w:b w:val="0"/>
          <w:szCs w:val="24"/>
        </w:rPr>
        <w:t>„3. V § 19 se za odstavec 1 vkládá nový odstavec 2, který zní:</w:t>
      </w:r>
    </w:p>
    <w:p w:rsidR="006923E5" w:rsidRPr="006923E5" w:rsidRDefault="006923E5" w:rsidP="006923E5">
      <w:pPr>
        <w:spacing w:after="0" w:line="276" w:lineRule="auto"/>
        <w:ind w:firstLine="708"/>
        <w:jc w:val="both"/>
        <w:rPr>
          <w:rFonts w:eastAsia="Times New Roman"/>
          <w:bCs/>
        </w:rPr>
      </w:pPr>
    </w:p>
    <w:p w:rsidR="006923E5" w:rsidRPr="006923E5" w:rsidRDefault="006923E5" w:rsidP="006923E5">
      <w:pPr>
        <w:spacing w:after="0" w:line="276" w:lineRule="auto"/>
        <w:ind w:firstLine="708"/>
        <w:jc w:val="both"/>
        <w:rPr>
          <w:rFonts w:eastAsia="Times New Roman"/>
          <w:bCs/>
        </w:rPr>
      </w:pPr>
      <w:r w:rsidRPr="006923E5">
        <w:rPr>
          <w:rFonts w:eastAsia="Times New Roman"/>
          <w:bCs/>
        </w:rPr>
        <w:t>„(2) Lobbistická stopa právního předpisu vyhlašovaného ve Sbírce zákonů</w:t>
      </w:r>
      <w:r w:rsidRPr="006923E5">
        <w:rPr>
          <w:rFonts w:eastAsia="Times New Roman"/>
          <w:bCs/>
        </w:rPr>
        <w:br/>
        <w:t xml:space="preserve">a mezinárodních smluv obsahuje </w:t>
      </w:r>
    </w:p>
    <w:p w:rsidR="006923E5" w:rsidRPr="006923E5" w:rsidRDefault="006923E5" w:rsidP="006923E5">
      <w:pPr>
        <w:spacing w:after="0" w:line="276" w:lineRule="auto"/>
        <w:ind w:left="284" w:hanging="284"/>
        <w:jc w:val="both"/>
        <w:rPr>
          <w:rFonts w:eastAsia="Times New Roman"/>
          <w:bCs/>
        </w:rPr>
      </w:pPr>
      <w:r w:rsidRPr="006923E5">
        <w:rPr>
          <w:rFonts w:eastAsia="Times New Roman"/>
          <w:bCs/>
        </w:rPr>
        <w:t>a)</w:t>
      </w:r>
      <w:r w:rsidRPr="006923E5">
        <w:rPr>
          <w:rFonts w:eastAsia="Times New Roman"/>
          <w:bCs/>
        </w:rPr>
        <w:tab/>
        <w:t>jméno, popřípadě jména, příjmení a funkci každého z lobbovaných,</w:t>
      </w:r>
    </w:p>
    <w:p w:rsidR="006923E5" w:rsidRPr="006923E5" w:rsidRDefault="006923E5" w:rsidP="006923E5">
      <w:pPr>
        <w:spacing w:after="0" w:line="276" w:lineRule="auto"/>
        <w:ind w:left="284" w:hanging="284"/>
        <w:jc w:val="both"/>
        <w:rPr>
          <w:rFonts w:eastAsia="Times New Roman"/>
          <w:bCs/>
        </w:rPr>
      </w:pPr>
      <w:r w:rsidRPr="006923E5">
        <w:rPr>
          <w:rFonts w:eastAsia="Times New Roman"/>
          <w:bCs/>
        </w:rPr>
        <w:t>b)</w:t>
      </w:r>
      <w:r w:rsidRPr="006923E5">
        <w:rPr>
          <w:rFonts w:eastAsia="Times New Roman"/>
          <w:bCs/>
        </w:rPr>
        <w:tab/>
        <w:t>obchodní firmu, název nebo jméno, popřípadě jména, a příjmení lobbisty, který u lobbovaných podle písmene a) lobboval, a na základě jehož návrhu nebo požadavku doznal návrh právního předpisu změn,</w:t>
      </w:r>
    </w:p>
    <w:p w:rsidR="006923E5" w:rsidRPr="006923E5" w:rsidRDefault="006923E5" w:rsidP="006923E5">
      <w:pPr>
        <w:spacing w:after="0" w:line="276" w:lineRule="auto"/>
        <w:ind w:left="284" w:hanging="284"/>
        <w:jc w:val="both"/>
        <w:rPr>
          <w:rFonts w:eastAsia="Times New Roman"/>
          <w:bCs/>
        </w:rPr>
      </w:pPr>
      <w:r w:rsidRPr="006923E5">
        <w:rPr>
          <w:rFonts w:eastAsia="Times New Roman"/>
          <w:bCs/>
        </w:rPr>
        <w:t>c)</w:t>
      </w:r>
      <w:r w:rsidRPr="006923E5">
        <w:rPr>
          <w:rFonts w:eastAsia="Times New Roman"/>
          <w:bCs/>
        </w:rPr>
        <w:tab/>
        <w:t>datum, kdy k lobbování došlo,</w:t>
      </w:r>
    </w:p>
    <w:p w:rsidR="006923E5" w:rsidRPr="006923E5" w:rsidRDefault="006923E5" w:rsidP="006923E5">
      <w:pPr>
        <w:spacing w:after="0" w:line="276" w:lineRule="auto"/>
        <w:ind w:left="284" w:hanging="284"/>
        <w:jc w:val="both"/>
        <w:rPr>
          <w:rFonts w:eastAsia="Times New Roman"/>
          <w:bCs/>
        </w:rPr>
      </w:pPr>
      <w:r w:rsidRPr="006923E5">
        <w:rPr>
          <w:rFonts w:eastAsia="Times New Roman"/>
          <w:bCs/>
        </w:rPr>
        <w:t>d)</w:t>
      </w:r>
      <w:r w:rsidRPr="006923E5">
        <w:rPr>
          <w:rFonts w:eastAsia="Times New Roman"/>
          <w:bCs/>
        </w:rPr>
        <w:tab/>
        <w:t xml:space="preserve">přesné vymezení, které věci v návrhu právního předpisu doznaly podle návrhu nebo požadavku lobbisty změn, a </w:t>
      </w:r>
    </w:p>
    <w:p w:rsidR="006923E5" w:rsidRPr="006923E5" w:rsidRDefault="006923E5" w:rsidP="006923E5">
      <w:pPr>
        <w:spacing w:after="0" w:line="276" w:lineRule="auto"/>
        <w:ind w:left="284" w:hanging="284"/>
        <w:jc w:val="both"/>
        <w:rPr>
          <w:rFonts w:eastAsia="Times New Roman"/>
          <w:bCs/>
        </w:rPr>
      </w:pPr>
      <w:r w:rsidRPr="006923E5">
        <w:rPr>
          <w:rFonts w:eastAsia="Times New Roman"/>
          <w:bCs/>
        </w:rPr>
        <w:t>e)</w:t>
      </w:r>
      <w:r w:rsidRPr="006923E5">
        <w:rPr>
          <w:rFonts w:eastAsia="Times New Roman"/>
          <w:bCs/>
        </w:rPr>
        <w:tab/>
        <w:t>námitku proti údajům uvedeným v lobbistické stopě právního předpisu podle zákona o lobbování.“</w:t>
      </w:r>
    </w:p>
    <w:p w:rsidR="006923E5" w:rsidRPr="006923E5" w:rsidRDefault="006923E5" w:rsidP="006923E5">
      <w:pPr>
        <w:spacing w:before="120" w:after="0" w:line="276" w:lineRule="auto"/>
        <w:ind w:left="284" w:hanging="284"/>
        <w:jc w:val="both"/>
        <w:rPr>
          <w:rFonts w:eastAsia="Times New Roman"/>
          <w:bCs/>
          <w:strike/>
        </w:rPr>
      </w:pPr>
      <w:r w:rsidRPr="006923E5">
        <w:rPr>
          <w:rFonts w:eastAsia="Times New Roman"/>
        </w:rPr>
        <w:t>Dosavadní odstavec 2 se označuje jako odstavec 3.</w:t>
      </w:r>
      <w:r w:rsidRPr="006923E5">
        <w:rPr>
          <w:rFonts w:eastAsia="Times New Roman"/>
          <w:bCs/>
        </w:rPr>
        <w:t>“.“</w:t>
      </w:r>
    </w:p>
    <w:p w:rsidR="006923E5" w:rsidRDefault="006923E5" w:rsidP="006923E5">
      <w:pPr>
        <w:spacing w:before="120" w:after="200" w:line="276" w:lineRule="auto"/>
        <w:jc w:val="both"/>
        <w:rPr>
          <w:rFonts w:eastAsia="Calibri"/>
        </w:rPr>
      </w:pPr>
    </w:p>
    <w:p w:rsidR="00B934EA" w:rsidRPr="00296051" w:rsidRDefault="00B934EA" w:rsidP="006923E5">
      <w:pPr>
        <w:spacing w:before="120" w:after="200" w:line="276" w:lineRule="auto"/>
        <w:jc w:val="both"/>
        <w:rPr>
          <w:rFonts w:eastAsia="Calibri"/>
        </w:rPr>
      </w:pPr>
    </w:p>
    <w:p w:rsidR="00D6453A" w:rsidRDefault="006923E5" w:rsidP="00D6453A">
      <w:pPr>
        <w:pStyle w:val="PS-slovanseznam"/>
        <w:numPr>
          <w:ilvl w:val="0"/>
          <w:numId w:val="0"/>
        </w:numPr>
        <w:spacing w:after="0" w:line="240" w:lineRule="auto"/>
        <w:ind w:left="357" w:hanging="357"/>
        <w:rPr>
          <w:b/>
        </w:rPr>
      </w:pPr>
      <w:r>
        <w:rPr>
          <w:b/>
        </w:rPr>
        <w:t>C</w:t>
      </w:r>
      <w:r w:rsidR="00D6453A">
        <w:rPr>
          <w:b/>
        </w:rPr>
        <w:t>.</w:t>
      </w:r>
      <w:r w:rsidR="00D6453A">
        <w:rPr>
          <w:b/>
        </w:rPr>
        <w:tab/>
        <w:t>Poslanec</w:t>
      </w:r>
      <w:r>
        <w:rPr>
          <w:b/>
        </w:rPr>
        <w:t xml:space="preserve"> Lukáš Černohorský</w:t>
      </w:r>
      <w:r w:rsidR="00D6453A">
        <w:rPr>
          <w:b/>
        </w:rPr>
        <w:t xml:space="preserve"> </w:t>
      </w:r>
    </w:p>
    <w:p w:rsidR="00D6453A" w:rsidRDefault="00D6453A" w:rsidP="00D6453A">
      <w:pPr>
        <w:pStyle w:val="PS-slovanseznam"/>
        <w:numPr>
          <w:ilvl w:val="0"/>
          <w:numId w:val="0"/>
        </w:numPr>
        <w:spacing w:after="0" w:line="240" w:lineRule="auto"/>
        <w:ind w:left="357" w:hanging="357"/>
        <w:rPr>
          <w:b/>
        </w:rPr>
      </w:pPr>
    </w:p>
    <w:p w:rsidR="00D6453A" w:rsidRDefault="006923E5" w:rsidP="00D6453A">
      <w:pPr>
        <w:pStyle w:val="PS-slovanseznam"/>
        <w:numPr>
          <w:ilvl w:val="0"/>
          <w:numId w:val="0"/>
        </w:numPr>
        <w:spacing w:after="0" w:line="240" w:lineRule="auto"/>
        <w:ind w:left="357" w:hanging="357"/>
      </w:pPr>
      <w:r>
        <w:t>(SD</w:t>
      </w:r>
      <w:r w:rsidR="00D6453A">
        <w:t xml:space="preserve"> </w:t>
      </w:r>
      <w:r>
        <w:t>8642</w:t>
      </w:r>
      <w:r w:rsidR="00D6453A" w:rsidRPr="004624A9">
        <w:t>)</w:t>
      </w:r>
    </w:p>
    <w:p w:rsidR="00D6453A" w:rsidRDefault="00D6453A" w:rsidP="006E04E3">
      <w:pPr>
        <w:pStyle w:val="PS-slovanseznam"/>
        <w:numPr>
          <w:ilvl w:val="0"/>
          <w:numId w:val="0"/>
        </w:numPr>
        <w:spacing w:after="0" w:line="240" w:lineRule="auto"/>
        <w:ind w:left="357" w:hanging="357"/>
      </w:pPr>
    </w:p>
    <w:p w:rsidR="006923E5" w:rsidRDefault="006923E5" w:rsidP="006923E5">
      <w:pPr>
        <w:jc w:val="both"/>
      </w:pPr>
      <w:r w:rsidRPr="006923E5">
        <w:rPr>
          <w:color w:val="111111"/>
        </w:rPr>
        <w:t>Přihlašuje se k písemnému pozměňovacímu návrhu</w:t>
      </w:r>
      <w:r>
        <w:rPr>
          <w:b/>
          <w:color w:val="111111"/>
        </w:rPr>
        <w:t xml:space="preserve"> poslanců </w:t>
      </w:r>
      <w:r>
        <w:rPr>
          <w:b/>
          <w:color w:val="111111"/>
        </w:rPr>
        <w:t>Lukáše Černohorskéh</w:t>
      </w:r>
      <w:r>
        <w:rPr>
          <w:b/>
          <w:color w:val="111111"/>
        </w:rPr>
        <w:t>o, Jana Jakoba, Mariana Jurečky a</w:t>
      </w:r>
      <w:r>
        <w:rPr>
          <w:b/>
          <w:color w:val="111111"/>
        </w:rPr>
        <w:t xml:space="preserve"> Petra Gazdíka</w:t>
      </w:r>
      <w:r>
        <w:rPr>
          <w:b/>
          <w:color w:val="111111"/>
        </w:rPr>
        <w:t>.</w:t>
      </w:r>
    </w:p>
    <w:p w:rsidR="006923E5" w:rsidRPr="00B934EA" w:rsidRDefault="006923E5" w:rsidP="00B934EA">
      <w:pPr>
        <w:jc w:val="both"/>
      </w:pPr>
      <w:r w:rsidRPr="00B934EA">
        <w:t>Vládní návrh zákona, kterým se mění některé zákony v souvislosti s přijetím zákona o lobbování, se mění takto:</w:t>
      </w:r>
    </w:p>
    <w:p w:rsidR="006923E5" w:rsidRPr="00B934EA" w:rsidRDefault="006923E5" w:rsidP="006923E5">
      <w:r>
        <w:rPr>
          <w:b/>
        </w:rPr>
        <w:t xml:space="preserve">1. </w:t>
      </w:r>
      <w:r w:rsidRPr="00B934EA">
        <w:t>Před dosavadní část první se vkládá nová část první, která zní:</w:t>
      </w:r>
    </w:p>
    <w:p w:rsidR="006923E5" w:rsidRPr="00B934EA" w:rsidRDefault="006923E5" w:rsidP="006923E5">
      <w:pPr>
        <w:jc w:val="center"/>
      </w:pPr>
    </w:p>
    <w:p w:rsidR="006923E5" w:rsidRDefault="006923E5" w:rsidP="006923E5">
      <w:pPr>
        <w:jc w:val="center"/>
      </w:pPr>
      <w:r>
        <w:t>“ČÁST PRVNÍ</w:t>
      </w:r>
    </w:p>
    <w:p w:rsidR="006923E5" w:rsidRDefault="006923E5" w:rsidP="006923E5">
      <w:pPr>
        <w:jc w:val="center"/>
        <w:rPr>
          <w:b/>
          <w:highlight w:val="yellow"/>
        </w:rPr>
      </w:pPr>
      <w:r>
        <w:rPr>
          <w:b/>
        </w:rPr>
        <w:t>Změna zákona o sdružování v politických stranách a v politických hnutích</w:t>
      </w:r>
    </w:p>
    <w:p w:rsidR="00B934EA" w:rsidRPr="00B934EA" w:rsidRDefault="00B934EA" w:rsidP="00B934EA">
      <w:pPr>
        <w:jc w:val="center"/>
      </w:pPr>
      <w:r w:rsidRPr="00B934EA">
        <w:t>Čl. I</w:t>
      </w:r>
    </w:p>
    <w:p w:rsidR="006923E5" w:rsidRDefault="006923E5" w:rsidP="00B934EA">
      <w:pPr>
        <w:spacing w:after="0"/>
        <w:ind w:firstLine="708"/>
        <w:jc w:val="both"/>
        <w:outlineLvl w:val="8"/>
      </w:pPr>
      <w:r>
        <w:t>Zákon č. 424/1991 Sb., o sdružování v politických stranách a v politických hnutích, ve znění zákona č. 468/1991 Sb., zákona č. 68/1993 Sb., zákona č. 189/1993 Sb., zákona č. 117/1994 Sb., nálezu Ústavního soudu, vyhlášeného pod č. 296/1995 Sb., zákona č. 322/1996 Sb., zákona č. 340/2000 Sb., nálezu Ústavního soudu, vyhlášeného pod č. 98/2001 Sb., zákona č. 104/2001 Sb., zákona č. 170/2001 Sb., zákona č. 151/2002 Sb., zákona č. 501/2004 Sb., zákona č. 556/2004 Sb., zákona č. 342/2006 Sb., zákona č. 296/2007 Sb., zákona č. 227/2009 Sb., zákona č. 345/2010 Sb., zákona č. 420/2011 Sb., zákonného opatření Senátu č. 344/2013 Sb., zákona č. 302/2016 Sb., zákona č. 183/2017 Sb. a zákona č. 303/2017 Sb., se mění takto:</w:t>
      </w:r>
    </w:p>
    <w:p w:rsidR="006923E5" w:rsidRDefault="006923E5" w:rsidP="006923E5">
      <w:pPr>
        <w:rPr>
          <w:b/>
        </w:rPr>
      </w:pPr>
    </w:p>
    <w:p w:rsidR="006923E5" w:rsidRDefault="006923E5" w:rsidP="00B934EA">
      <w:pPr>
        <w:jc w:val="both"/>
      </w:pPr>
      <w:r>
        <w:t>1. V § 19 se na konci odstavce 2 doplňuje věta</w:t>
      </w:r>
      <w:r>
        <w:rPr>
          <w:b/>
        </w:rPr>
        <w:t xml:space="preserve"> </w:t>
      </w:r>
      <w:r>
        <w:t xml:space="preserve">„Úřad nesmí při výkonu své působnosti přijímat ani vyžadovat pokyny od prezidenta republiky, Parlamentu České republiky, vlády ani od jakéhokoliv jiného orgánu výkonné moci nebo fyzické nebo právnické osoby.”. </w:t>
      </w:r>
    </w:p>
    <w:p w:rsidR="006923E5" w:rsidRDefault="006923E5" w:rsidP="00B934EA">
      <w:pPr>
        <w:pStyle w:val="Bezmezer"/>
      </w:pPr>
    </w:p>
    <w:p w:rsidR="006923E5" w:rsidRDefault="006923E5" w:rsidP="006923E5">
      <w:r>
        <w:t>2. V § 19b odstavec 1 zní:</w:t>
      </w:r>
    </w:p>
    <w:p w:rsidR="006923E5" w:rsidRDefault="006923E5" w:rsidP="006923E5">
      <w:pPr>
        <w:spacing w:before="200" w:after="80"/>
      </w:pPr>
      <w:r>
        <w:t>„(1) Předseda Úřadu</w:t>
      </w:r>
    </w:p>
    <w:p w:rsidR="006923E5" w:rsidRDefault="006923E5" w:rsidP="00B934EA">
      <w:pPr>
        <w:spacing w:before="80" w:after="80"/>
        <w:ind w:left="283"/>
        <w:jc w:val="both"/>
      </w:pPr>
      <w:r>
        <w:t>a) stojí v čele Úřadu a řídí jeho činnost; považuje se za služební orgán a je oprávněn dávat státnímu zaměstnanci příkazy k výkonu státní služby podle zákona o státní službě,</w:t>
      </w:r>
    </w:p>
    <w:p w:rsidR="006923E5" w:rsidRDefault="006923E5" w:rsidP="00B934EA">
      <w:pPr>
        <w:spacing w:before="80" w:after="80"/>
        <w:ind w:left="283"/>
        <w:jc w:val="both"/>
      </w:pPr>
      <w:r>
        <w:t>b) zodpovídá za materiální a personální zabezpečení dohledové a metodické činnosti Úřadu,</w:t>
      </w:r>
    </w:p>
    <w:p w:rsidR="006923E5" w:rsidRDefault="006923E5" w:rsidP="00B934EA">
      <w:pPr>
        <w:spacing w:before="80" w:after="80"/>
        <w:ind w:left="283"/>
        <w:jc w:val="both"/>
      </w:pPr>
      <w:r>
        <w:t>c) po projednání s Kolegiem Úřadu schvaluje rozpočet Úřadu, změny rozpočtu a závěrečný účet; při přípravě rozpočtu zohledňuje požadavky Kolegia Úřadu na materiální a personální zabezpečení dohledové a metodické činnosti Úřadu,</w:t>
      </w:r>
    </w:p>
    <w:p w:rsidR="006923E5" w:rsidRDefault="006923E5" w:rsidP="00B934EA">
      <w:pPr>
        <w:spacing w:before="80" w:after="80"/>
        <w:ind w:left="283"/>
        <w:jc w:val="both"/>
      </w:pPr>
      <w:r>
        <w:t>d) předkládá Kolegiu Úřadu návrhy</w:t>
      </w:r>
    </w:p>
    <w:p w:rsidR="006923E5" w:rsidRDefault="006923E5" w:rsidP="00B934EA">
      <w:pPr>
        <w:spacing w:before="80" w:after="80"/>
        <w:ind w:left="708"/>
        <w:jc w:val="both"/>
      </w:pPr>
      <w:r>
        <w:t>1. organizační struktury Úřadu,</w:t>
      </w:r>
    </w:p>
    <w:p w:rsidR="006923E5" w:rsidRDefault="006923E5" w:rsidP="00B934EA">
      <w:pPr>
        <w:spacing w:before="80" w:after="80"/>
        <w:ind w:left="708"/>
        <w:jc w:val="both"/>
      </w:pPr>
      <w:r>
        <w:t>2. plánu činnosti Úřadu,</w:t>
      </w:r>
    </w:p>
    <w:p w:rsidR="006923E5" w:rsidRDefault="006923E5" w:rsidP="00B934EA">
      <w:pPr>
        <w:spacing w:before="80" w:after="80"/>
        <w:ind w:left="708"/>
        <w:jc w:val="both"/>
      </w:pPr>
      <w:r>
        <w:t>3. zprávy o činnosti Úřadu za příslušný kalendářní rok,</w:t>
      </w:r>
    </w:p>
    <w:p w:rsidR="006923E5" w:rsidRDefault="006923E5" w:rsidP="00B934EA">
      <w:pPr>
        <w:spacing w:before="80" w:after="80"/>
        <w:ind w:left="708"/>
        <w:jc w:val="both"/>
      </w:pPr>
      <w:r>
        <w:t>4. ostatních vnitřních předpisů Úřadu,</w:t>
      </w:r>
    </w:p>
    <w:p w:rsidR="006923E5" w:rsidRDefault="006923E5" w:rsidP="00B934EA">
      <w:pPr>
        <w:spacing w:before="80" w:after="80"/>
        <w:ind w:left="283"/>
        <w:jc w:val="both"/>
      </w:pPr>
      <w:r>
        <w:t>e) rozhoduje o všech dalších záležitostech týkajících se Úřadu, pokud tento nebo zvláštní zákon nestanoví jinak.”</w:t>
      </w:r>
    </w:p>
    <w:p w:rsidR="006923E5" w:rsidRDefault="006923E5" w:rsidP="00B934EA">
      <w:pPr>
        <w:pStyle w:val="Bezmezer"/>
      </w:pPr>
    </w:p>
    <w:p w:rsidR="006923E5" w:rsidRDefault="006923E5" w:rsidP="00B934EA">
      <w:pPr>
        <w:jc w:val="both"/>
      </w:pPr>
      <w:r>
        <w:t>3. V § 19b se na konci odstavce 2 doplňuje věta „V době nepřítomnosti předsedy Úřadu i člena Úřadu určeného zastupovat předsedu v plném rozsahu nebo v době, kdy není obsazena funkce předsedy ani člena Úřadu určeného zastupovat předsedu v plném rozsahu, vykonává funkci předsedy Úřadu vždy nejstarší člen Úřadu.”.</w:t>
      </w:r>
    </w:p>
    <w:p w:rsidR="006923E5" w:rsidRDefault="006923E5" w:rsidP="00B934EA">
      <w:pPr>
        <w:pStyle w:val="Bezmezer"/>
      </w:pPr>
    </w:p>
    <w:p w:rsidR="006923E5" w:rsidRDefault="006923E5" w:rsidP="00B934EA">
      <w:pPr>
        <w:jc w:val="both"/>
      </w:pPr>
      <w:r>
        <w:t xml:space="preserve">4. V § 19e se doplňuje odstavec 5, který zní: </w:t>
      </w:r>
    </w:p>
    <w:p w:rsidR="006923E5" w:rsidRDefault="006923E5" w:rsidP="00B934EA">
      <w:pPr>
        <w:jc w:val="both"/>
      </w:pPr>
      <w:r>
        <w:t>„(5) K zajištění úkolů spojených s rozhodovací činností Kolegia Úřadu nebo řízením výkonu kontroly, k níž jsou členové Úřadu pověřeni, jsou členové Úřadu na základě předchozího rozhodnutí Kolegia oprávněni dávat státnímu zaměstnanci příkazy k výkonu státní služby podle zákona o státní službě; tímto ustanovením není dotčena působnost předsedy Úřadu v § 19b. V případě rozporu příkazů k výkonu státní služby uložených zaměstnanci Úřadu členem Úřadu a příkazů k výkonu státní služby uložených zaměstnanci Úřadu předsedou Úřadu mají přednost příkazy k výkonu státní služby uložené předsedou Úřadu.”.</w:t>
      </w:r>
    </w:p>
    <w:p w:rsidR="006923E5" w:rsidRDefault="006923E5" w:rsidP="00B934EA">
      <w:pPr>
        <w:pStyle w:val="Bezmezer"/>
      </w:pPr>
    </w:p>
    <w:p w:rsidR="006923E5" w:rsidRDefault="006923E5" w:rsidP="00B934EA">
      <w:pPr>
        <w:jc w:val="both"/>
      </w:pPr>
      <w:r>
        <w:t xml:space="preserve">5. V § 19f se na konci písmene h) tečka nahrazuje čárkou a doplňuje se písmeno i), které zní: </w:t>
      </w:r>
    </w:p>
    <w:p w:rsidR="006923E5" w:rsidRDefault="006923E5" w:rsidP="00B934EA">
      <w:pPr>
        <w:jc w:val="both"/>
      </w:pPr>
      <w:r>
        <w:t>„i) vykonává metodickou činnost v oblasti působnosti svěřené Úřadu tímto nebo jiným právním předpisem.”.</w:t>
      </w:r>
    </w:p>
    <w:p w:rsidR="006923E5" w:rsidRDefault="006923E5" w:rsidP="00B934EA">
      <w:pPr>
        <w:pStyle w:val="Bezmezer"/>
      </w:pPr>
    </w:p>
    <w:p w:rsidR="006923E5" w:rsidRDefault="006923E5" w:rsidP="00B934EA">
      <w:pPr>
        <w:jc w:val="both"/>
      </w:pPr>
      <w:r>
        <w:t>6. V § 19f se dosavadní text označuje jako odstavec 1 a doplňují se odstavce 2 až 11, které znějí:</w:t>
      </w:r>
    </w:p>
    <w:p w:rsidR="006923E5" w:rsidRDefault="006923E5" w:rsidP="00B934EA">
      <w:pPr>
        <w:jc w:val="both"/>
      </w:pPr>
      <w:r>
        <w:t>„(2) V prvním stupni rozhoduje v řízení Úřad.</w:t>
      </w:r>
    </w:p>
    <w:p w:rsidR="006923E5" w:rsidRDefault="006923E5" w:rsidP="00B934EA">
      <w:pPr>
        <w:spacing w:before="200" w:after="200"/>
        <w:jc w:val="both"/>
      </w:pPr>
      <w:r>
        <w:t>(3) Předseda Úřadu a členové Úřadu tvoří Kolegium Úřadu. Předseda Úřadu a členové Úřadu se účastní zasedání Kolegia Úřadu.</w:t>
      </w:r>
    </w:p>
    <w:p w:rsidR="006923E5" w:rsidRDefault="006923E5" w:rsidP="00B934EA">
      <w:pPr>
        <w:spacing w:before="200" w:after="200"/>
        <w:jc w:val="both"/>
      </w:pPr>
      <w:r>
        <w:t>(4) Kolegium Úřadu rozhoduje usnesením; usnesení je přijato, pokud pro něj hlasovala nejméně nadpoloviční většina všech členů Kolegia Úřadu.</w:t>
      </w:r>
    </w:p>
    <w:p w:rsidR="006923E5" w:rsidRDefault="006923E5" w:rsidP="00B934EA">
      <w:pPr>
        <w:spacing w:before="200" w:after="200"/>
        <w:jc w:val="both"/>
        <w:rPr>
          <w:sz w:val="18"/>
          <w:szCs w:val="18"/>
        </w:rPr>
      </w:pPr>
      <w:r>
        <w:t>(5) Zasedání Kolegia Úřadu svolává a řídí předseda Úřadu, v jeho nepřítomnosti člen Úřadu určený zastupovat předsedu Úřadu podle § 19b odst. 2 a v jeho nepřítomnosti nejstarší přítomný člen Úřadu.</w:t>
      </w:r>
    </w:p>
    <w:p w:rsidR="006923E5" w:rsidRDefault="006923E5" w:rsidP="00B934EA">
      <w:pPr>
        <w:spacing w:before="200" w:after="200"/>
        <w:jc w:val="both"/>
      </w:pPr>
      <w:r>
        <w:t>(6) Zasedání Kolegia Úřadu se konají podle potřeby, nejméně však jednou za dva měsíce. Požádá-li o to kterýkoli člen Úřadu, je předseda Úřadu povinen svolat zasedání Kolegia Úřadu do 7 dnů od doručení žádosti předsedovi Úřadu tak, aby se zasedání Kolegia Úřadu konalo nejpozději 21 dnů ode dne, kdy byla žádost doručena předsedovi Úřadu. Nesvolá-li předseda zasedání Kolegia Úřadu podle věty předchozí, učiní tak člen Úřadu, který o svolání Kolegia Úřadu požádal.</w:t>
      </w:r>
    </w:p>
    <w:p w:rsidR="006923E5" w:rsidRDefault="006923E5" w:rsidP="00B934EA">
      <w:pPr>
        <w:spacing w:before="200" w:after="200"/>
        <w:jc w:val="both"/>
        <w:rPr>
          <w:highlight w:val="yellow"/>
        </w:rPr>
      </w:pPr>
      <w:r>
        <w:t>(7) Zasedání Kolegia Úřadu se řídí jednacím řádem, který obsahuje zejména způsob a lhůtu pro svolávání zasedání Kolegia Úřadu, způsob žádání o svolání zasedání Kolegia Úřadu podle odstavce 6, podmínky, způsoby a pravidla distančního způsobu zasedání Kolegia Úřadu, způsob vedení záznamu o zasedání Kolegia Úřadu, způsob hlasování, způsob zaznamenání odlišného stanoviska člena Kolegia Úřadu a pravidla pro účast dalších osob na zasedání Kolegia Úřadu.</w:t>
      </w:r>
    </w:p>
    <w:p w:rsidR="006923E5" w:rsidRDefault="006923E5" w:rsidP="00B934EA">
      <w:pPr>
        <w:spacing w:before="200" w:after="80"/>
        <w:jc w:val="both"/>
      </w:pPr>
      <w:r>
        <w:t>(8) Kolegium Úřadu schvaluje</w:t>
      </w:r>
    </w:p>
    <w:p w:rsidR="006923E5" w:rsidRDefault="006923E5" w:rsidP="00B934EA">
      <w:pPr>
        <w:numPr>
          <w:ilvl w:val="0"/>
          <w:numId w:val="35"/>
        </w:numPr>
        <w:suppressAutoHyphens/>
        <w:spacing w:before="80" w:after="80" w:line="324" w:lineRule="auto"/>
        <w:jc w:val="both"/>
      </w:pPr>
      <w:r>
        <w:t>plán činnosti Úřadu a jeho změny,</w:t>
      </w:r>
    </w:p>
    <w:p w:rsidR="006923E5" w:rsidRDefault="006923E5" w:rsidP="00B934EA">
      <w:pPr>
        <w:numPr>
          <w:ilvl w:val="0"/>
          <w:numId w:val="35"/>
        </w:numPr>
        <w:suppressAutoHyphens/>
        <w:spacing w:before="80" w:after="80" w:line="324" w:lineRule="auto"/>
        <w:jc w:val="both"/>
      </w:pPr>
      <w:r>
        <w:t xml:space="preserve">zprávu o činnosti Úřadu za příslušný kalendářní rok, </w:t>
      </w:r>
    </w:p>
    <w:p w:rsidR="006923E5" w:rsidRDefault="006923E5" w:rsidP="00B934EA">
      <w:pPr>
        <w:numPr>
          <w:ilvl w:val="0"/>
          <w:numId w:val="35"/>
        </w:numPr>
        <w:suppressAutoHyphens/>
        <w:spacing w:before="80" w:after="80" w:line="324" w:lineRule="auto"/>
        <w:jc w:val="both"/>
      </w:pPr>
      <w:r>
        <w:t>výroční zprávy a jiné dokumenty vydávané Úřadem na základě jiného právního předpisu,</w:t>
      </w:r>
    </w:p>
    <w:p w:rsidR="006923E5" w:rsidRDefault="006923E5" w:rsidP="00B934EA">
      <w:pPr>
        <w:numPr>
          <w:ilvl w:val="0"/>
          <w:numId w:val="35"/>
        </w:numPr>
        <w:suppressAutoHyphens/>
        <w:spacing w:before="80" w:after="80" w:line="324" w:lineRule="auto"/>
        <w:jc w:val="both"/>
      </w:pPr>
      <w:r>
        <w:t>poznatky, které vyplynuly z činnosti Úřadu pro účely zveřejnění dle § 19f odst. 1 písm. c),</w:t>
      </w:r>
    </w:p>
    <w:p w:rsidR="006923E5" w:rsidRDefault="006923E5" w:rsidP="00B934EA">
      <w:pPr>
        <w:numPr>
          <w:ilvl w:val="0"/>
          <w:numId w:val="35"/>
        </w:numPr>
        <w:suppressAutoHyphens/>
        <w:spacing w:before="80" w:after="80" w:line="324" w:lineRule="auto"/>
        <w:jc w:val="both"/>
      </w:pPr>
      <w:r>
        <w:t>právní předpisy vydávané Úřadem,</w:t>
      </w:r>
    </w:p>
    <w:p w:rsidR="006923E5" w:rsidRDefault="006923E5" w:rsidP="00B934EA">
      <w:pPr>
        <w:numPr>
          <w:ilvl w:val="0"/>
          <w:numId w:val="35"/>
        </w:numPr>
        <w:suppressAutoHyphens/>
        <w:spacing w:before="80" w:after="80" w:line="324" w:lineRule="auto"/>
        <w:jc w:val="both"/>
      </w:pPr>
      <w:r>
        <w:t>metodické pokyny a stanoviska vydávané Úřadem,</w:t>
      </w:r>
    </w:p>
    <w:p w:rsidR="006923E5" w:rsidRDefault="006923E5" w:rsidP="00B934EA">
      <w:pPr>
        <w:numPr>
          <w:ilvl w:val="0"/>
          <w:numId w:val="35"/>
        </w:numPr>
        <w:suppressAutoHyphens/>
        <w:spacing w:before="80" w:after="80" w:line="324" w:lineRule="auto"/>
        <w:jc w:val="both"/>
      </w:pPr>
      <w:r>
        <w:t>jednací řád Kolegia Úřadu a jeho změny,</w:t>
      </w:r>
    </w:p>
    <w:p w:rsidR="006923E5" w:rsidRDefault="006923E5" w:rsidP="00B934EA">
      <w:pPr>
        <w:numPr>
          <w:ilvl w:val="0"/>
          <w:numId w:val="35"/>
        </w:numPr>
        <w:suppressAutoHyphens/>
        <w:spacing w:before="80" w:after="80" w:line="324" w:lineRule="auto"/>
        <w:jc w:val="both"/>
      </w:pPr>
      <w:r>
        <w:t>organizační strukturu Úřadu a její změny,</w:t>
      </w:r>
    </w:p>
    <w:p w:rsidR="006923E5" w:rsidRDefault="006923E5" w:rsidP="00B934EA">
      <w:pPr>
        <w:numPr>
          <w:ilvl w:val="0"/>
          <w:numId w:val="35"/>
        </w:numPr>
        <w:suppressAutoHyphens/>
        <w:spacing w:before="80" w:after="80" w:line="324" w:lineRule="auto"/>
        <w:jc w:val="both"/>
      </w:pPr>
      <w:r>
        <w:t>ostatní vnitřní předpisy Úřadu ve vztahu k působnosti Úřadu.</w:t>
      </w:r>
    </w:p>
    <w:p w:rsidR="006923E5" w:rsidRDefault="006923E5" w:rsidP="00B934EA">
      <w:pPr>
        <w:spacing w:before="200" w:after="80"/>
        <w:jc w:val="both"/>
      </w:pPr>
      <w:r>
        <w:t xml:space="preserve">(9) Kolegium Úřadu rozhoduje o </w:t>
      </w:r>
    </w:p>
    <w:p w:rsidR="006923E5" w:rsidRDefault="006923E5" w:rsidP="00B934EA">
      <w:pPr>
        <w:numPr>
          <w:ilvl w:val="0"/>
          <w:numId w:val="32"/>
        </w:numPr>
        <w:suppressAutoHyphens/>
        <w:spacing w:before="80" w:after="80" w:line="324" w:lineRule="auto"/>
        <w:jc w:val="both"/>
      </w:pPr>
      <w:r>
        <w:t>námitce podjatosti vůči kontrolujícímu nebo vedoucímu kontrolní skupiny podle jiného právního předpisu, je-li jím člen Kolegia Úřadu; takový člen Kolegia Úřadu je z hlasování o námitce podjatosti vyloučen; § 14 odst. 7 správního řádu se nepoužije,</w:t>
      </w:r>
    </w:p>
    <w:p w:rsidR="006923E5" w:rsidRDefault="006923E5" w:rsidP="00B934EA">
      <w:pPr>
        <w:numPr>
          <w:ilvl w:val="0"/>
          <w:numId w:val="32"/>
        </w:numPr>
        <w:suppressAutoHyphens/>
        <w:spacing w:before="80" w:after="80" w:line="324" w:lineRule="auto"/>
        <w:jc w:val="both"/>
      </w:pPr>
      <w:r>
        <w:t>opravných prostředcích proti rozhodnutím vydaným Úřadem.</w:t>
      </w:r>
    </w:p>
    <w:p w:rsidR="006923E5" w:rsidRDefault="006923E5" w:rsidP="00B934EA">
      <w:pPr>
        <w:spacing w:before="200" w:after="80"/>
        <w:jc w:val="both"/>
      </w:pPr>
      <w:r>
        <w:t>(10) Kolegium Úřadu dále</w:t>
      </w:r>
    </w:p>
    <w:p w:rsidR="006923E5" w:rsidRDefault="006923E5" w:rsidP="00B934EA">
      <w:pPr>
        <w:numPr>
          <w:ilvl w:val="0"/>
          <w:numId w:val="33"/>
        </w:numPr>
        <w:suppressAutoHyphens/>
        <w:spacing w:before="80" w:after="80" w:line="276" w:lineRule="auto"/>
        <w:jc w:val="both"/>
      </w:pPr>
      <w:r>
        <w:t>koordinuje výkon metodické a dohledové činnosti Úřadu, zejména pověřuje člena Kolegia Úřadu řízením výkonu kontroly a v souvislosti s výkonem svých pravomocí ukládá členům Kolegia Úřadu úkoly,</w:t>
      </w:r>
    </w:p>
    <w:p w:rsidR="006923E5" w:rsidRDefault="006923E5" w:rsidP="00B934EA">
      <w:pPr>
        <w:numPr>
          <w:ilvl w:val="0"/>
          <w:numId w:val="33"/>
        </w:numPr>
        <w:suppressAutoHyphens/>
        <w:spacing w:before="80" w:after="80" w:line="276" w:lineRule="auto"/>
        <w:jc w:val="both"/>
      </w:pPr>
      <w:r>
        <w:t xml:space="preserve">předkládá požadavky na materiální a personální zabezpečení dohledové a metodické činnosti Úřadu; při schvalování požadavků ve vztahu ke schválenému rozpočtu Úřadu postupuje s ohledem na schválený rozpočet Úřadu, </w:t>
      </w:r>
    </w:p>
    <w:p w:rsidR="006923E5" w:rsidRDefault="006923E5" w:rsidP="00B934EA">
      <w:pPr>
        <w:numPr>
          <w:ilvl w:val="0"/>
          <w:numId w:val="33"/>
        </w:numPr>
        <w:suppressAutoHyphens/>
        <w:spacing w:before="80" w:after="80" w:line="276" w:lineRule="auto"/>
        <w:jc w:val="both"/>
      </w:pPr>
      <w:r>
        <w:t>projednává protokoly o kontrole a způsob vyřízení námitek proti kontrolním zjištěním,</w:t>
      </w:r>
    </w:p>
    <w:p w:rsidR="006923E5" w:rsidRDefault="006923E5" w:rsidP="00B934EA">
      <w:pPr>
        <w:numPr>
          <w:ilvl w:val="0"/>
          <w:numId w:val="33"/>
        </w:numPr>
        <w:suppressAutoHyphens/>
        <w:spacing w:before="80" w:after="80" w:line="276" w:lineRule="auto"/>
        <w:jc w:val="both"/>
      </w:pPr>
      <w:r>
        <w:t>projednává vyjádření Úřadu k žalobě proti rozhodnutí Úřadu,</w:t>
      </w:r>
    </w:p>
    <w:p w:rsidR="006923E5" w:rsidRDefault="006923E5" w:rsidP="00B934EA">
      <w:pPr>
        <w:numPr>
          <w:ilvl w:val="0"/>
          <w:numId w:val="33"/>
        </w:numPr>
        <w:suppressAutoHyphens/>
        <w:spacing w:before="80" w:after="80" w:line="276" w:lineRule="auto"/>
        <w:jc w:val="both"/>
      </w:pPr>
      <w:r>
        <w:t>projednává návrh rozpočtu Úřadu, návrhy na jeho změny a závěrečný účet,</w:t>
      </w:r>
    </w:p>
    <w:p w:rsidR="006923E5" w:rsidRDefault="006923E5" w:rsidP="00B934EA">
      <w:pPr>
        <w:numPr>
          <w:ilvl w:val="0"/>
          <w:numId w:val="33"/>
        </w:numPr>
        <w:suppressAutoHyphens/>
        <w:spacing w:before="80" w:after="80" w:line="276" w:lineRule="auto"/>
        <w:jc w:val="both"/>
      </w:pPr>
      <w:r>
        <w:t>zřizuje poradní orgány Úřadu včetně rozkladových komisí, volí a odvolává jejich členy a navrhuje jim odměny, dále předkládá předsedovi Úřadu návrhy pro zajištění fungování těchto poradních orgánů.</w:t>
      </w:r>
    </w:p>
    <w:p w:rsidR="006923E5" w:rsidRDefault="006923E5" w:rsidP="00B934EA">
      <w:pPr>
        <w:spacing w:before="200" w:after="200" w:line="276" w:lineRule="auto"/>
        <w:jc w:val="both"/>
      </w:pPr>
      <w:r>
        <w:t>(11) Člen Kolegia Úřadu má při výkonu své funkce právo po ostatních členech Kolegia Úřadu a ostatních zaměstnancích Úřadu požadovat informace a vysvětlení o činnosti Úřadu a jeho řízení. Informace nebo vysvětlení související s náplní jeho práce nebo týkající se výkonu jeho úkolů musí být členem Kolegia Úřadu nebo jiným zaměstnancem, který byl o informace nebo vysvětlení žádán, poskytnuty nejpozději do 14 dnů. Podrobnosti o způsobech požadování a obdržení informace upravuje jednací řád Kolegia Úřadu.”.</w:t>
      </w:r>
    </w:p>
    <w:p w:rsidR="006923E5" w:rsidRDefault="006923E5" w:rsidP="00B934EA">
      <w:pPr>
        <w:pStyle w:val="Bezmezer"/>
      </w:pPr>
    </w:p>
    <w:p w:rsidR="006923E5" w:rsidRDefault="006923E5" w:rsidP="00B934EA">
      <w:pPr>
        <w:spacing w:before="200" w:after="200" w:line="276" w:lineRule="auto"/>
        <w:jc w:val="both"/>
      </w:pPr>
      <w:r>
        <w:t xml:space="preserve">7. V § 19g odstavec 2 zní: </w:t>
      </w:r>
    </w:p>
    <w:p w:rsidR="006923E5" w:rsidRDefault="006923E5" w:rsidP="00B934EA">
      <w:pPr>
        <w:spacing w:before="200" w:after="200" w:line="276" w:lineRule="auto"/>
        <w:jc w:val="both"/>
      </w:pPr>
      <w:r>
        <w:t>„(2) Dohledovou a metodickou činnost svěřenou Úřadu tímto nebo jiným právním předpisem vykonává předseda Úřadu, členové Úřadu a pověření zaměstnanci Úřadu. Při jejím výkonu se prokazují průkazem.”.</w:t>
      </w:r>
    </w:p>
    <w:p w:rsidR="00B934EA" w:rsidRDefault="00B934EA" w:rsidP="00B934EA">
      <w:pPr>
        <w:pStyle w:val="Bezmezer"/>
      </w:pPr>
    </w:p>
    <w:p w:rsidR="006923E5" w:rsidRDefault="006923E5" w:rsidP="00B934EA">
      <w:pPr>
        <w:spacing w:before="200" w:after="200" w:line="276" w:lineRule="auto"/>
        <w:jc w:val="both"/>
      </w:pPr>
      <w:r>
        <w:t>8. V § 19g se doplňují odstavce 4 a 5, které znějí:</w:t>
      </w:r>
    </w:p>
    <w:p w:rsidR="006923E5" w:rsidRDefault="006923E5" w:rsidP="00B934EA">
      <w:pPr>
        <w:spacing w:before="200" w:after="200" w:line="276" w:lineRule="auto"/>
        <w:jc w:val="both"/>
      </w:pPr>
      <w:r>
        <w:t>„(4) Předseda Úřadu a členové Úřadu dále</w:t>
      </w:r>
    </w:p>
    <w:p w:rsidR="006923E5" w:rsidRDefault="006923E5" w:rsidP="00B934EA">
      <w:pPr>
        <w:numPr>
          <w:ilvl w:val="0"/>
          <w:numId w:val="34"/>
        </w:numPr>
        <w:suppressAutoHyphens/>
        <w:spacing w:before="80" w:after="80" w:line="324" w:lineRule="auto"/>
        <w:jc w:val="both"/>
      </w:pPr>
      <w:r>
        <w:t>řídí výkon kontroly, k níž jsou pověřeni, a plní úkoly uložené Kolegiem Úřadu dle § 19f odst. 10 písm. a); v rámci řízení výkonu kontroly mají postavení nadřízené osoby kontrolujícího dle jiného právního předpisu,</w:t>
      </w:r>
    </w:p>
    <w:p w:rsidR="006923E5" w:rsidRDefault="006923E5" w:rsidP="00B934EA">
      <w:pPr>
        <w:numPr>
          <w:ilvl w:val="0"/>
          <w:numId w:val="34"/>
        </w:numPr>
        <w:suppressAutoHyphens/>
        <w:spacing w:before="80" w:after="80" w:line="324" w:lineRule="auto"/>
        <w:jc w:val="both"/>
      </w:pPr>
      <w:r>
        <w:t>rozhodují o námitce podjatosti vůči zaměstnanci Úřadu podané kontrolovanou osobou v souvislosti s výkonem kontroly, jejímž řízením jsou pověřeni,</w:t>
      </w:r>
    </w:p>
    <w:p w:rsidR="006923E5" w:rsidRDefault="006923E5" w:rsidP="00B934EA">
      <w:pPr>
        <w:numPr>
          <w:ilvl w:val="0"/>
          <w:numId w:val="34"/>
        </w:numPr>
        <w:suppressAutoHyphens/>
        <w:spacing w:before="80" w:after="80" w:line="324" w:lineRule="auto"/>
        <w:jc w:val="both"/>
      </w:pPr>
      <w:r>
        <w:t>jsou oprávněni předkládat Kolegiu Úřadu návrhy dle § 19f odst. 8 až 10.</w:t>
      </w:r>
    </w:p>
    <w:p w:rsidR="006923E5" w:rsidRDefault="006923E5" w:rsidP="00B934EA">
      <w:pPr>
        <w:spacing w:before="200" w:after="80"/>
        <w:jc w:val="both"/>
      </w:pPr>
      <w:r>
        <w:t>(5) Předseda Úřadu a členové Úřadu dále v souvislosti s výkonem kontroly, jejímž řízením jsou pověřeni,</w:t>
      </w:r>
    </w:p>
    <w:p w:rsidR="006923E5" w:rsidRDefault="006923E5" w:rsidP="00B934EA">
      <w:pPr>
        <w:numPr>
          <w:ilvl w:val="0"/>
          <w:numId w:val="31"/>
        </w:numPr>
        <w:suppressAutoHyphens/>
        <w:spacing w:before="80" w:after="80" w:line="276" w:lineRule="auto"/>
        <w:jc w:val="both"/>
      </w:pPr>
      <w:r>
        <w:t xml:space="preserve">odpovídají za vypracování protokolu o kontrole, </w:t>
      </w:r>
    </w:p>
    <w:p w:rsidR="006923E5" w:rsidRDefault="006923E5" w:rsidP="00B934EA">
      <w:pPr>
        <w:numPr>
          <w:ilvl w:val="0"/>
          <w:numId w:val="31"/>
        </w:numPr>
        <w:suppressAutoHyphens/>
        <w:spacing w:before="80" w:after="80" w:line="276" w:lineRule="auto"/>
        <w:jc w:val="both"/>
      </w:pPr>
      <w:r>
        <w:t>odpovídají za vyřízení námitky proti protokolu o kontrole,</w:t>
      </w:r>
    </w:p>
    <w:p w:rsidR="006923E5" w:rsidRDefault="006923E5" w:rsidP="00B934EA">
      <w:pPr>
        <w:numPr>
          <w:ilvl w:val="0"/>
          <w:numId w:val="31"/>
        </w:numPr>
        <w:suppressAutoHyphens/>
        <w:spacing w:before="80" w:after="80" w:line="276" w:lineRule="auto"/>
        <w:jc w:val="both"/>
      </w:pPr>
      <w:r>
        <w:t>ukládají na základě kontrolního zjištění opatření k nápravě.”.</w:t>
      </w:r>
    </w:p>
    <w:p w:rsidR="006923E5" w:rsidRDefault="006923E5" w:rsidP="006923E5"/>
    <w:p w:rsidR="006923E5" w:rsidRDefault="006923E5" w:rsidP="006923E5">
      <w:pPr>
        <w:jc w:val="center"/>
        <w:rPr>
          <w:b/>
        </w:rPr>
      </w:pPr>
      <w:r>
        <w:rPr>
          <w:b/>
        </w:rPr>
        <w:t>Čl. II</w:t>
      </w:r>
    </w:p>
    <w:p w:rsidR="006923E5" w:rsidRDefault="006923E5" w:rsidP="006923E5">
      <w:pPr>
        <w:jc w:val="center"/>
        <w:rPr>
          <w:b/>
        </w:rPr>
      </w:pPr>
      <w:r>
        <w:rPr>
          <w:b/>
        </w:rPr>
        <w:t>Přechodné ustanovení</w:t>
      </w:r>
    </w:p>
    <w:p w:rsidR="006923E5" w:rsidRDefault="006923E5" w:rsidP="00B934EA">
      <w:pPr>
        <w:jc w:val="both"/>
      </w:pPr>
      <w:r>
        <w:t>První zasedání Kolegia Úřadu svolá předseda Úřadu do 10 dnů od nabytí účinnosti tohoto zákona tak, aby se první zasedání Kolegia Úřadu konalo do 30 dnů od nabytí účinnosti tohoto zákona. Nesvolá-li předseda zasedání Kolegia Úřadu podle věty první, učiní tak jiný člen Úřadu. Na prvním zasedání Kolegia Úřadu předloží předseda Úřadu ke schválení návrh jednacího řádu Kolegia Úřadu.”.</w:t>
      </w:r>
    </w:p>
    <w:p w:rsidR="00B934EA" w:rsidRDefault="00B934EA" w:rsidP="00B934EA">
      <w:pPr>
        <w:pStyle w:val="Bezmezer"/>
      </w:pPr>
    </w:p>
    <w:p w:rsidR="006923E5" w:rsidRPr="00B934EA" w:rsidRDefault="006923E5" w:rsidP="006923E5">
      <w:r w:rsidRPr="00B934EA">
        <w:t>Následující části a články se přečíslují.</w:t>
      </w:r>
    </w:p>
    <w:p w:rsidR="006923E5" w:rsidRDefault="006923E5" w:rsidP="006923E5"/>
    <w:p w:rsidR="006923E5" w:rsidRDefault="006923E5" w:rsidP="006923E5">
      <w:pPr>
        <w:pStyle w:val="PS-slovanseznam"/>
        <w:numPr>
          <w:ilvl w:val="0"/>
          <w:numId w:val="0"/>
        </w:numPr>
        <w:spacing w:after="0" w:line="240" w:lineRule="auto"/>
        <w:ind w:left="357" w:hanging="357"/>
      </w:pPr>
      <w:r>
        <w:rPr>
          <w:b/>
          <w:bCs/>
        </w:rPr>
        <w:t xml:space="preserve">2. </w:t>
      </w:r>
      <w:r w:rsidR="00B934EA">
        <w:rPr>
          <w:b/>
          <w:bCs/>
        </w:rPr>
        <w:tab/>
      </w:r>
      <w:r w:rsidRPr="00B934EA">
        <w:rPr>
          <w:bCs/>
        </w:rPr>
        <w:t>Na konci textu čl. VIII (dosavadní čl. VI) se doplňují slova</w:t>
      </w:r>
      <w:r>
        <w:t xml:space="preserve"> „s výjimkou ustanovení čl. I a II, která nabývají účinnosti dnem následujícím po dni vyhlášení.“.</w:t>
      </w:r>
    </w:p>
    <w:p w:rsidR="004D01F3" w:rsidRDefault="004D01F3" w:rsidP="006E04E3">
      <w:pPr>
        <w:pStyle w:val="PS-slovanseznam"/>
        <w:numPr>
          <w:ilvl w:val="0"/>
          <w:numId w:val="0"/>
        </w:numPr>
        <w:spacing w:after="0" w:line="240" w:lineRule="auto"/>
        <w:ind w:left="357" w:hanging="357"/>
      </w:pPr>
    </w:p>
    <w:p w:rsidR="00B934EA" w:rsidRDefault="00B934EA" w:rsidP="006E04E3">
      <w:pPr>
        <w:pStyle w:val="PS-slovanseznam"/>
        <w:numPr>
          <w:ilvl w:val="0"/>
          <w:numId w:val="0"/>
        </w:numPr>
        <w:spacing w:after="0" w:line="240" w:lineRule="auto"/>
        <w:ind w:left="357" w:hanging="357"/>
      </w:pPr>
    </w:p>
    <w:p w:rsidR="00B934EA" w:rsidRDefault="00B934EA" w:rsidP="006E04E3">
      <w:pPr>
        <w:pStyle w:val="PS-slovanseznam"/>
        <w:numPr>
          <w:ilvl w:val="0"/>
          <w:numId w:val="0"/>
        </w:numPr>
        <w:spacing w:after="0" w:line="240" w:lineRule="auto"/>
        <w:ind w:left="357" w:hanging="357"/>
      </w:pPr>
    </w:p>
    <w:p w:rsidR="004D01F3" w:rsidRDefault="004D01F3" w:rsidP="006E04E3">
      <w:pPr>
        <w:pStyle w:val="PS-slovanseznam"/>
        <w:numPr>
          <w:ilvl w:val="0"/>
          <w:numId w:val="0"/>
        </w:numPr>
        <w:spacing w:after="0" w:line="240" w:lineRule="auto"/>
        <w:ind w:left="357" w:hanging="357"/>
      </w:pPr>
    </w:p>
    <w:p w:rsidR="004D01F3" w:rsidRDefault="004D01F3" w:rsidP="00F421DD">
      <w:pPr>
        <w:pStyle w:val="Bezmezer"/>
        <w:jc w:val="center"/>
      </w:pPr>
      <w:r>
        <w:t>V</w:t>
      </w:r>
      <w:r w:rsidR="004624A9">
        <w:t> Praze dne</w:t>
      </w:r>
      <w:r w:rsidR="00D6453A">
        <w:t xml:space="preserve"> 8. července 2021</w:t>
      </w:r>
    </w:p>
    <w:p w:rsidR="004D01F3" w:rsidRDefault="004D01F3" w:rsidP="00F421DD">
      <w:pPr>
        <w:pStyle w:val="Bezmezer"/>
        <w:jc w:val="both"/>
      </w:pPr>
    </w:p>
    <w:p w:rsidR="004D01F3" w:rsidRDefault="004D01F3" w:rsidP="00F421DD">
      <w:pPr>
        <w:pStyle w:val="Bezmezer"/>
        <w:jc w:val="both"/>
      </w:pPr>
    </w:p>
    <w:p w:rsidR="006E04E3" w:rsidRDefault="00D6453A" w:rsidP="00F421DD">
      <w:pPr>
        <w:pStyle w:val="Bezmezer"/>
        <w:jc w:val="center"/>
      </w:pPr>
      <w:r>
        <w:t>JUDr</w:t>
      </w:r>
      <w:r w:rsidR="00D14961">
        <w:t xml:space="preserve">. Jan </w:t>
      </w:r>
      <w:r>
        <w:t>Chvojka</w:t>
      </w:r>
      <w:r w:rsidR="007B5A40">
        <w:t>, v. r.</w:t>
      </w:r>
    </w:p>
    <w:p w:rsidR="004D01F3" w:rsidRDefault="00294AD6" w:rsidP="00030B4C">
      <w:pPr>
        <w:pStyle w:val="Bezmezer"/>
        <w:spacing w:before="60"/>
        <w:jc w:val="center"/>
      </w:pPr>
      <w:r>
        <w:t>zpravodaj garančního</w:t>
      </w:r>
      <w:r w:rsidR="006E04E3">
        <w:t xml:space="preserve"> </w:t>
      </w:r>
      <w:r w:rsidR="00D14961">
        <w:t xml:space="preserve">ústavně právního </w:t>
      </w:r>
      <w:r w:rsidR="004624A9">
        <w:t>výboru</w:t>
      </w:r>
    </w:p>
    <w:p w:rsidR="000259D6" w:rsidRDefault="000259D6" w:rsidP="00030B4C">
      <w:pPr>
        <w:pStyle w:val="Bezmezer"/>
        <w:spacing w:before="60"/>
        <w:jc w:val="center"/>
      </w:pPr>
    </w:p>
    <w:sectPr w:rsidR="000259D6" w:rsidSect="009C1F2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68C" w:rsidRDefault="0081568C" w:rsidP="0081568C">
      <w:pPr>
        <w:spacing w:after="0" w:line="240" w:lineRule="auto"/>
      </w:pPr>
      <w:r>
        <w:separator/>
      </w:r>
    </w:p>
  </w:endnote>
  <w:endnote w:type="continuationSeparator" w:id="0">
    <w:p w:rsidR="0081568C" w:rsidRDefault="0081568C"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68C" w:rsidRDefault="0081568C" w:rsidP="0081568C">
      <w:pPr>
        <w:spacing w:after="0" w:line="240" w:lineRule="auto"/>
      </w:pPr>
      <w:r>
        <w:separator/>
      </w:r>
    </w:p>
  </w:footnote>
  <w:footnote w:type="continuationSeparator" w:id="0">
    <w:p w:rsidR="0081568C" w:rsidRDefault="0081568C" w:rsidP="008156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68C" w:rsidRDefault="0081568C">
    <w:pPr>
      <w:pStyle w:val="Zhlav"/>
      <w:jc w:val="center"/>
    </w:pPr>
    <w:r>
      <w:t xml:space="preserve">- </w:t>
    </w:r>
    <w:sdt>
      <w:sdtPr>
        <w:id w:val="-66421744"/>
        <w:docPartObj>
          <w:docPartGallery w:val="Page Numbers (Top of Page)"/>
          <w:docPartUnique/>
        </w:docPartObj>
      </w:sdtPr>
      <w:sdtEndPr/>
      <w:sdtContent>
        <w:r>
          <w:fldChar w:fldCharType="begin"/>
        </w:r>
        <w:r>
          <w:instrText>PAGE   \* MERGEFORMAT</w:instrText>
        </w:r>
        <w:r>
          <w:fldChar w:fldCharType="separate"/>
        </w:r>
        <w:r w:rsidR="00B934EA">
          <w:rPr>
            <w:noProof/>
          </w:rPr>
          <w:t>2</w:t>
        </w:r>
        <w:r>
          <w:fldChar w:fldCharType="end"/>
        </w:r>
        <w:r>
          <w:t xml:space="preserve"> -</w:t>
        </w:r>
      </w:sdtContent>
    </w:sdt>
  </w:p>
  <w:p w:rsidR="0081568C" w:rsidRDefault="008156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EA"/>
    <w:multiLevelType w:val="hybridMultilevel"/>
    <w:tmpl w:val="F8D6B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5E265A"/>
    <w:multiLevelType w:val="multilevel"/>
    <w:tmpl w:val="D7185D9E"/>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68F5C3D"/>
    <w:multiLevelType w:val="multilevel"/>
    <w:tmpl w:val="B3C876E8"/>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
    <w:nsid w:val="0F3876FF"/>
    <w:multiLevelType w:val="hybridMultilevel"/>
    <w:tmpl w:val="6CFC6CD8"/>
    <w:lvl w:ilvl="0" w:tplc="30C091E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1D83552"/>
    <w:multiLevelType w:val="hybridMultilevel"/>
    <w:tmpl w:val="4D2E38DE"/>
    <w:lvl w:ilvl="0" w:tplc="39223C3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86389E"/>
    <w:multiLevelType w:val="hybridMultilevel"/>
    <w:tmpl w:val="88103DEC"/>
    <w:lvl w:ilvl="0" w:tplc="135C18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1E1373"/>
    <w:multiLevelType w:val="hybridMultilevel"/>
    <w:tmpl w:val="75606DF4"/>
    <w:lvl w:ilvl="0" w:tplc="0C08CB2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9E34F9"/>
    <w:multiLevelType w:val="multilevel"/>
    <w:tmpl w:val="B0C27B2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38251AC"/>
    <w:multiLevelType w:val="multilevel"/>
    <w:tmpl w:val="1A441D90"/>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0">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nsid w:val="3DBC1D2C"/>
    <w:multiLevelType w:val="hybridMultilevel"/>
    <w:tmpl w:val="87D0C552"/>
    <w:lvl w:ilvl="0" w:tplc="7F263428">
      <w:start w:val="1"/>
      <w:numFmt w:val="upperRoman"/>
      <w:lvlText w:val="%1."/>
      <w:lvlJc w:val="left"/>
      <w:pPr>
        <w:ind w:left="1288" w:hanging="720"/>
      </w:pPr>
      <w:rPr>
        <w:b/>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13">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FB67807"/>
    <w:multiLevelType w:val="multilevel"/>
    <w:tmpl w:val="4B6CBE4A"/>
    <w:lvl w:ilvl="0">
      <w:start w:val="2"/>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17793E"/>
    <w:multiLevelType w:val="hybridMultilevel"/>
    <w:tmpl w:val="11D6B7A2"/>
    <w:lvl w:ilvl="0" w:tplc="54304ECA">
      <w:start w:val="1"/>
      <w:numFmt w:val="decimal"/>
      <w:lvlText w:val="%1."/>
      <w:lvlJc w:val="left"/>
      <w:pPr>
        <w:ind w:left="340" w:hanging="360"/>
      </w:pPr>
      <w:rPr>
        <w:rFonts w:hint="default"/>
      </w:rPr>
    </w:lvl>
    <w:lvl w:ilvl="1" w:tplc="04050019" w:tentative="1">
      <w:start w:val="1"/>
      <w:numFmt w:val="lowerLetter"/>
      <w:lvlText w:val="%2."/>
      <w:lvlJc w:val="left"/>
      <w:pPr>
        <w:ind w:left="1060" w:hanging="360"/>
      </w:pPr>
    </w:lvl>
    <w:lvl w:ilvl="2" w:tplc="0405001B" w:tentative="1">
      <w:start w:val="1"/>
      <w:numFmt w:val="lowerRoman"/>
      <w:lvlText w:val="%3."/>
      <w:lvlJc w:val="right"/>
      <w:pPr>
        <w:ind w:left="1780" w:hanging="180"/>
      </w:pPr>
    </w:lvl>
    <w:lvl w:ilvl="3" w:tplc="0405000F" w:tentative="1">
      <w:start w:val="1"/>
      <w:numFmt w:val="decimal"/>
      <w:lvlText w:val="%4."/>
      <w:lvlJc w:val="left"/>
      <w:pPr>
        <w:ind w:left="2500" w:hanging="360"/>
      </w:pPr>
    </w:lvl>
    <w:lvl w:ilvl="4" w:tplc="04050019" w:tentative="1">
      <w:start w:val="1"/>
      <w:numFmt w:val="lowerLetter"/>
      <w:lvlText w:val="%5."/>
      <w:lvlJc w:val="left"/>
      <w:pPr>
        <w:ind w:left="3220" w:hanging="360"/>
      </w:pPr>
    </w:lvl>
    <w:lvl w:ilvl="5" w:tplc="0405001B" w:tentative="1">
      <w:start w:val="1"/>
      <w:numFmt w:val="lowerRoman"/>
      <w:lvlText w:val="%6."/>
      <w:lvlJc w:val="right"/>
      <w:pPr>
        <w:ind w:left="3940" w:hanging="180"/>
      </w:pPr>
    </w:lvl>
    <w:lvl w:ilvl="6" w:tplc="0405000F" w:tentative="1">
      <w:start w:val="1"/>
      <w:numFmt w:val="decimal"/>
      <w:lvlText w:val="%7."/>
      <w:lvlJc w:val="left"/>
      <w:pPr>
        <w:ind w:left="4660" w:hanging="360"/>
      </w:pPr>
    </w:lvl>
    <w:lvl w:ilvl="7" w:tplc="04050019" w:tentative="1">
      <w:start w:val="1"/>
      <w:numFmt w:val="lowerLetter"/>
      <w:lvlText w:val="%8."/>
      <w:lvlJc w:val="left"/>
      <w:pPr>
        <w:ind w:left="5380" w:hanging="360"/>
      </w:pPr>
    </w:lvl>
    <w:lvl w:ilvl="8" w:tplc="0405001B" w:tentative="1">
      <w:start w:val="1"/>
      <w:numFmt w:val="lowerRoman"/>
      <w:lvlText w:val="%9."/>
      <w:lvlJc w:val="right"/>
      <w:pPr>
        <w:ind w:left="6100" w:hanging="180"/>
      </w:pPr>
    </w:lvl>
  </w:abstractNum>
  <w:abstractNum w:abstractNumId="19">
    <w:nsid w:val="4FB92F40"/>
    <w:multiLevelType w:val="multilevel"/>
    <w:tmpl w:val="E4E6DEFA"/>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0">
    <w:nsid w:val="58167AB3"/>
    <w:multiLevelType w:val="multilevel"/>
    <w:tmpl w:val="E0B0769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094631F"/>
    <w:multiLevelType w:val="multilevel"/>
    <w:tmpl w:val="BD0E596A"/>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4">
    <w:nsid w:val="61E841F8"/>
    <w:multiLevelType w:val="hybridMultilevel"/>
    <w:tmpl w:val="4D2E38DE"/>
    <w:lvl w:ilvl="0" w:tplc="39223C30">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5A065CA"/>
    <w:multiLevelType w:val="hybridMultilevel"/>
    <w:tmpl w:val="D7B275EA"/>
    <w:lvl w:ilvl="0" w:tplc="24C038C8">
      <w:start w:val="1"/>
      <w:numFmt w:val="decimal"/>
      <w:lvlText w:val="C.%1."/>
      <w:lvlJc w:val="left"/>
      <w:pPr>
        <w:ind w:left="36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A8664E"/>
    <w:multiLevelType w:val="hybridMultilevel"/>
    <w:tmpl w:val="F0708E9C"/>
    <w:lvl w:ilvl="0" w:tplc="FE0EEA86">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67E17C18"/>
    <w:multiLevelType w:val="hybridMultilevel"/>
    <w:tmpl w:val="49D87C68"/>
    <w:lvl w:ilvl="0" w:tplc="7200F44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9360589"/>
    <w:multiLevelType w:val="hybridMultilevel"/>
    <w:tmpl w:val="73A4E548"/>
    <w:lvl w:ilvl="0" w:tplc="BB8C8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B9D25B3"/>
    <w:multiLevelType w:val="hybridMultilevel"/>
    <w:tmpl w:val="6CFC6CD8"/>
    <w:lvl w:ilvl="0" w:tplc="30C091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nsid w:val="6D4B1A23"/>
    <w:multiLevelType w:val="multilevel"/>
    <w:tmpl w:val="06CE5668"/>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nsid w:val="70705BC4"/>
    <w:multiLevelType w:val="multilevel"/>
    <w:tmpl w:val="4E8A87F2"/>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nsid w:val="71B86F7D"/>
    <w:multiLevelType w:val="hybridMultilevel"/>
    <w:tmpl w:val="7BA04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60D32EF"/>
    <w:multiLevelType w:val="multilevel"/>
    <w:tmpl w:val="73DC1B52"/>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4">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11"/>
  </w:num>
  <w:num w:numId="2">
    <w:abstractNumId w:val="15"/>
  </w:num>
  <w:num w:numId="3">
    <w:abstractNumId w:val="32"/>
  </w:num>
  <w:num w:numId="4">
    <w:abstractNumId w:val="5"/>
  </w:num>
  <w:num w:numId="5">
    <w:abstractNumId w:val="22"/>
  </w:num>
  <w:num w:numId="6">
    <w:abstractNumId w:val="20"/>
  </w:num>
  <w:num w:numId="7">
    <w:abstractNumId w:val="14"/>
  </w:num>
  <w:num w:numId="8">
    <w:abstractNumId w:val="21"/>
  </w:num>
  <w:num w:numId="9">
    <w:abstractNumId w:val="10"/>
  </w:num>
  <w:num w:numId="10">
    <w:abstractNumId w:val="1"/>
  </w:num>
  <w:num w:numId="11">
    <w:abstractNumId w:val="16"/>
  </w:num>
  <w:num w:numId="12">
    <w:abstractNumId w:val="17"/>
  </w:num>
  <w:num w:numId="13">
    <w:abstractNumId w:val="30"/>
  </w:num>
  <w:num w:numId="14">
    <w:abstractNumId w:val="3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6"/>
  </w:num>
  <w:num w:numId="18">
    <w:abstractNumId w:val="28"/>
  </w:num>
  <w:num w:numId="19">
    <w:abstractNumId w:val="0"/>
  </w:num>
  <w:num w:numId="20">
    <w:abstractNumId w:val="27"/>
  </w:num>
  <w:num w:numId="21">
    <w:abstractNumId w:val="25"/>
  </w:num>
  <w:num w:numId="22">
    <w:abstractNumId w:va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4"/>
  </w:num>
  <w:num w:numId="26">
    <w:abstractNumId w:val="29"/>
  </w:num>
  <w:num w:numId="27">
    <w:abstractNumId w:val="24"/>
  </w:num>
  <w:num w:numId="28">
    <w:abstractNumId w:val="3"/>
  </w:num>
  <w:num w:numId="29">
    <w:abstractNumId w:val="7"/>
  </w:num>
  <w:num w:numId="30">
    <w:abstractNumId w:val="18"/>
  </w:num>
  <w:num w:numId="31">
    <w:abstractNumId w:val="33"/>
  </w:num>
  <w:num w:numId="32">
    <w:abstractNumId w:val="9"/>
  </w:num>
  <w:num w:numId="33">
    <w:abstractNumId w:val="19"/>
  </w:num>
  <w:num w:numId="34">
    <w:abstractNumId w:val="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259D6"/>
    <w:rsid w:val="00030B4C"/>
    <w:rsid w:val="0008213D"/>
    <w:rsid w:val="00085CDD"/>
    <w:rsid w:val="00086848"/>
    <w:rsid w:val="000C791E"/>
    <w:rsid w:val="000D4F05"/>
    <w:rsid w:val="001C7AE0"/>
    <w:rsid w:val="00225155"/>
    <w:rsid w:val="002266E4"/>
    <w:rsid w:val="00252C4E"/>
    <w:rsid w:val="0025387D"/>
    <w:rsid w:val="00263590"/>
    <w:rsid w:val="00290DB8"/>
    <w:rsid w:val="00294AD6"/>
    <w:rsid w:val="002A7DB9"/>
    <w:rsid w:val="002D013B"/>
    <w:rsid w:val="00332499"/>
    <w:rsid w:val="00332F71"/>
    <w:rsid w:val="00350D1F"/>
    <w:rsid w:val="00370F0C"/>
    <w:rsid w:val="00380AF5"/>
    <w:rsid w:val="0038527F"/>
    <w:rsid w:val="003A6CC1"/>
    <w:rsid w:val="003D093C"/>
    <w:rsid w:val="003F3BC6"/>
    <w:rsid w:val="0042636F"/>
    <w:rsid w:val="00462130"/>
    <w:rsid w:val="004624A9"/>
    <w:rsid w:val="00465FCE"/>
    <w:rsid w:val="004C2B8A"/>
    <w:rsid w:val="004D01F3"/>
    <w:rsid w:val="004D425C"/>
    <w:rsid w:val="004F45AA"/>
    <w:rsid w:val="00541676"/>
    <w:rsid w:val="00547445"/>
    <w:rsid w:val="00547A34"/>
    <w:rsid w:val="00566900"/>
    <w:rsid w:val="00575493"/>
    <w:rsid w:val="00594160"/>
    <w:rsid w:val="0065623C"/>
    <w:rsid w:val="006641B4"/>
    <w:rsid w:val="0066539A"/>
    <w:rsid w:val="006923E5"/>
    <w:rsid w:val="006B126E"/>
    <w:rsid w:val="006B514C"/>
    <w:rsid w:val="006E04E3"/>
    <w:rsid w:val="0073538E"/>
    <w:rsid w:val="007B5A40"/>
    <w:rsid w:val="007D1745"/>
    <w:rsid w:val="007E401F"/>
    <w:rsid w:val="0081568C"/>
    <w:rsid w:val="008447FB"/>
    <w:rsid w:val="00872BDA"/>
    <w:rsid w:val="008C290F"/>
    <w:rsid w:val="008E5B16"/>
    <w:rsid w:val="008E67D3"/>
    <w:rsid w:val="008F087A"/>
    <w:rsid w:val="009367CF"/>
    <w:rsid w:val="009B4B98"/>
    <w:rsid w:val="009C0510"/>
    <w:rsid w:val="009C1F23"/>
    <w:rsid w:val="00A36D19"/>
    <w:rsid w:val="00A46349"/>
    <w:rsid w:val="00A563B2"/>
    <w:rsid w:val="00AC32CE"/>
    <w:rsid w:val="00B3191F"/>
    <w:rsid w:val="00B505A1"/>
    <w:rsid w:val="00B543CD"/>
    <w:rsid w:val="00B702F7"/>
    <w:rsid w:val="00B82CD1"/>
    <w:rsid w:val="00B934EA"/>
    <w:rsid w:val="00BC135E"/>
    <w:rsid w:val="00BC1A14"/>
    <w:rsid w:val="00BC6A7F"/>
    <w:rsid w:val="00BC72FA"/>
    <w:rsid w:val="00BD099E"/>
    <w:rsid w:val="00BF3C8E"/>
    <w:rsid w:val="00C26A41"/>
    <w:rsid w:val="00C50881"/>
    <w:rsid w:val="00C74AE2"/>
    <w:rsid w:val="00D14961"/>
    <w:rsid w:val="00D6453A"/>
    <w:rsid w:val="00E24469"/>
    <w:rsid w:val="00E462CB"/>
    <w:rsid w:val="00E55B62"/>
    <w:rsid w:val="00E6190E"/>
    <w:rsid w:val="00E73FC8"/>
    <w:rsid w:val="00EA4B14"/>
    <w:rsid w:val="00EB3091"/>
    <w:rsid w:val="00EE1F58"/>
    <w:rsid w:val="00EE35B0"/>
    <w:rsid w:val="00EF1FDA"/>
    <w:rsid w:val="00F030B1"/>
    <w:rsid w:val="00F043C4"/>
    <w:rsid w:val="00F421DD"/>
    <w:rsid w:val="00FA7EB5"/>
    <w:rsid w:val="00FF1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basedOn w:val="Normln"/>
    <w:uiPriority w:val="34"/>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semiHidden/>
    <w:unhideWhenUsed/>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15"/>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426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636F"/>
    <w:rPr>
      <w:rFonts w:ascii="Segoe UI" w:hAnsi="Segoe UI" w:cs="Segoe UI"/>
      <w:sz w:val="18"/>
      <w:szCs w:val="18"/>
    </w:rPr>
  </w:style>
  <w:style w:type="paragraph" w:customStyle="1" w:styleId="l4">
    <w:name w:val="l4"/>
    <w:basedOn w:val="Normln"/>
    <w:rsid w:val="00A46349"/>
    <w:pPr>
      <w:spacing w:before="100" w:beforeAutospacing="1" w:after="100" w:afterAutospacing="1" w:line="240" w:lineRule="auto"/>
    </w:pPr>
    <w:rPr>
      <w:rFonts w:eastAsia="Times New Roman"/>
      <w:lang w:eastAsia="cs-CZ"/>
    </w:rPr>
  </w:style>
  <w:style w:type="table" w:styleId="Mkatabulky">
    <w:name w:val="Table Grid"/>
    <w:basedOn w:val="Normlntabulka"/>
    <w:uiPriority w:val="59"/>
    <w:rsid w:val="009C1F23"/>
    <w:pPr>
      <w:spacing w:after="0" w:line="240" w:lineRule="auto"/>
      <w:ind w:left="34"/>
      <w:jc w:val="both"/>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latextu">
    <w:name w:val="Odsazení těla textu"/>
    <w:basedOn w:val="Normln"/>
    <w:rsid w:val="006641B4"/>
    <w:pPr>
      <w:tabs>
        <w:tab w:val="left" w:pos="-720"/>
        <w:tab w:val="left" w:pos="709"/>
      </w:tabs>
      <w:suppressAutoHyphens/>
      <w:spacing w:after="0" w:line="240" w:lineRule="auto"/>
      <w:ind w:left="709" w:hanging="709"/>
    </w:pPr>
    <w:rPr>
      <w:rFonts w:eastAsia="Times New Roman"/>
      <w:szCs w:val="20"/>
      <w:lang w:eastAsia="zh-CN" w:bidi="hi-IN"/>
    </w:rPr>
  </w:style>
  <w:style w:type="paragraph" w:customStyle="1" w:styleId="PS-hlavika1">
    <w:name w:val="PS-hlavička 1"/>
    <w:basedOn w:val="Normln"/>
    <w:next w:val="Bezmezer"/>
    <w:qFormat/>
    <w:rsid w:val="00AC32CE"/>
    <w:pPr>
      <w:spacing w:after="0" w:line="240" w:lineRule="auto"/>
      <w:jc w:val="center"/>
    </w:pPr>
    <w:rPr>
      <w:rFonts w:eastAsia="Calibri"/>
      <w:b/>
      <w:i/>
      <w:szCs w:val="22"/>
    </w:rPr>
  </w:style>
  <w:style w:type="paragraph" w:customStyle="1" w:styleId="PS-slousnesen">
    <w:name w:val="PS-číslo usnesení"/>
    <w:basedOn w:val="Normln"/>
    <w:next w:val="Bezmezer"/>
    <w:qFormat/>
    <w:rsid w:val="00AC32CE"/>
    <w:pPr>
      <w:spacing w:before="360" w:after="360" w:line="240" w:lineRule="auto"/>
      <w:jc w:val="center"/>
    </w:pPr>
    <w:rPr>
      <w:rFonts w:eastAsia="Calibri"/>
      <w:b/>
      <w:i/>
      <w:szCs w:val="22"/>
    </w:rPr>
  </w:style>
  <w:style w:type="paragraph" w:customStyle="1" w:styleId="PS-hlavika3">
    <w:name w:val="PS-hlavička 3"/>
    <w:basedOn w:val="Normln"/>
    <w:next w:val="PS-hlavika1"/>
    <w:qFormat/>
    <w:rsid w:val="00AC32CE"/>
    <w:pPr>
      <w:spacing w:after="0" w:line="240" w:lineRule="auto"/>
      <w:jc w:val="center"/>
    </w:pPr>
    <w:rPr>
      <w:rFonts w:eastAsia="Calibri"/>
      <w:b/>
      <w:i/>
      <w:caps/>
      <w:sz w:val="32"/>
      <w:szCs w:val="22"/>
    </w:rPr>
  </w:style>
  <w:style w:type="paragraph" w:customStyle="1" w:styleId="PS-pedmtusnesen">
    <w:name w:val="PS-předmět usnesení"/>
    <w:basedOn w:val="Normln"/>
    <w:next w:val="PS-uvodnodstavec"/>
    <w:qFormat/>
    <w:rsid w:val="00AC32CE"/>
    <w:pPr>
      <w:pBdr>
        <w:bottom w:val="single" w:sz="4" w:space="12" w:color="auto"/>
      </w:pBdr>
      <w:spacing w:before="240" w:after="400" w:line="240" w:lineRule="auto"/>
      <w:jc w:val="center"/>
    </w:pPr>
    <w:rPr>
      <w:rFonts w:eastAsia="Calibri"/>
      <w:szCs w:val="22"/>
    </w:rPr>
  </w:style>
  <w:style w:type="paragraph" w:customStyle="1" w:styleId="PS-uvodnodstavec">
    <w:name w:val="PS-uvodní odstavec"/>
    <w:basedOn w:val="Normln"/>
    <w:next w:val="Normln"/>
    <w:qFormat/>
    <w:rsid w:val="00AC32CE"/>
    <w:pPr>
      <w:spacing w:after="360"/>
      <w:ind w:firstLine="709"/>
      <w:jc w:val="both"/>
    </w:pPr>
    <w:rPr>
      <w:rFonts w:eastAsia="Calibri"/>
      <w:szCs w:val="22"/>
    </w:rPr>
  </w:style>
  <w:style w:type="paragraph" w:customStyle="1" w:styleId="proloen">
    <w:name w:val="proložení"/>
    <w:basedOn w:val="Normln"/>
    <w:link w:val="proloenChar"/>
    <w:qFormat/>
    <w:rsid w:val="00AC32CE"/>
    <w:pPr>
      <w:tabs>
        <w:tab w:val="center" w:pos="1701"/>
        <w:tab w:val="center" w:pos="4536"/>
        <w:tab w:val="center" w:pos="7371"/>
      </w:tabs>
      <w:spacing w:after="0" w:line="240" w:lineRule="auto"/>
    </w:pPr>
    <w:rPr>
      <w:rFonts w:eastAsia="Calibri"/>
      <w:spacing w:val="60"/>
      <w:szCs w:val="22"/>
    </w:rPr>
  </w:style>
  <w:style w:type="character" w:customStyle="1" w:styleId="proloenChar">
    <w:name w:val="proložení Char"/>
    <w:link w:val="proloen"/>
    <w:rsid w:val="00AC32CE"/>
    <w:rPr>
      <w:rFonts w:eastAsia="Calibri"/>
      <w:spacing w:val="60"/>
      <w:szCs w:val="22"/>
    </w:rPr>
  </w:style>
  <w:style w:type="paragraph" w:customStyle="1" w:styleId="NADPISSTI">
    <w:name w:val="NADPIS ČÁSTI"/>
    <w:basedOn w:val="Normln"/>
    <w:next w:val="Normln"/>
    <w:link w:val="NADPISSTIChar"/>
    <w:rsid w:val="006923E5"/>
    <w:pPr>
      <w:keepNext/>
      <w:keepLines/>
      <w:spacing w:after="0" w:line="240" w:lineRule="auto"/>
      <w:jc w:val="center"/>
      <w:outlineLvl w:val="1"/>
    </w:pPr>
    <w:rPr>
      <w:rFonts w:eastAsia="Times New Roman"/>
      <w:b/>
      <w:szCs w:val="20"/>
      <w:lang w:eastAsia="cs-CZ"/>
    </w:rPr>
  </w:style>
  <w:style w:type="character" w:customStyle="1" w:styleId="NADPISSTIChar">
    <w:name w:val="NADPIS ČÁSTI Char"/>
    <w:link w:val="NADPISSTI"/>
    <w:locked/>
    <w:rsid w:val="006923E5"/>
    <w:rPr>
      <w:rFonts w:eastAsia="Times New Roman"/>
      <w:b/>
      <w:szCs w:val="20"/>
      <w:lang w:eastAsia="cs-CZ"/>
    </w:rPr>
  </w:style>
  <w:style w:type="character" w:customStyle="1" w:styleId="lnekChar">
    <w:name w:val="Článek Char"/>
    <w:link w:val="lnek"/>
    <w:locked/>
    <w:rsid w:val="006923E5"/>
  </w:style>
  <w:style w:type="paragraph" w:customStyle="1" w:styleId="lnek">
    <w:name w:val="Článek"/>
    <w:basedOn w:val="Normln"/>
    <w:next w:val="Normln"/>
    <w:link w:val="lnekChar"/>
    <w:rsid w:val="006923E5"/>
    <w:pPr>
      <w:keepNext/>
      <w:keepLines/>
      <w:spacing w:before="240" w:after="0" w:line="240" w:lineRule="auto"/>
      <w:jc w:val="center"/>
      <w:outlineLvl w:val="5"/>
    </w:pPr>
  </w:style>
  <w:style w:type="character" w:styleId="Odkaznakoment">
    <w:name w:val="annotation reference"/>
    <w:basedOn w:val="Standardnpsmoodstavce"/>
    <w:uiPriority w:val="99"/>
    <w:semiHidden/>
    <w:unhideWhenUsed/>
    <w:qFormat/>
    <w:rsid w:val="006923E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6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C46EF-1EAE-4601-B86A-80862838C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1704</Words>
  <Characters>10058</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Musil Marek</cp:lastModifiedBy>
  <cp:revision>3</cp:revision>
  <cp:lastPrinted>2020-02-12T17:13:00Z</cp:lastPrinted>
  <dcterms:created xsi:type="dcterms:W3CDTF">2021-07-08T08:04:00Z</dcterms:created>
  <dcterms:modified xsi:type="dcterms:W3CDTF">2021-07-08T08:45:00Z</dcterms:modified>
</cp:coreProperties>
</file>