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F73" w:rsidRPr="00992455" w:rsidRDefault="00992455" w:rsidP="0093741D">
      <w:pPr>
        <w:pStyle w:val="Bezmezer"/>
        <w:jc w:val="right"/>
        <w:rPr>
          <w:rFonts w:ascii="Times New Roman" w:hAnsi="Times New Roman"/>
          <w:sz w:val="24"/>
          <w:szCs w:val="24"/>
        </w:rPr>
      </w:pPr>
      <w:r w:rsidRPr="00992455">
        <w:rPr>
          <w:rFonts w:ascii="Times New Roman" w:hAnsi="Times New Roman"/>
          <w:sz w:val="24"/>
          <w:szCs w:val="24"/>
        </w:rPr>
        <w:t>PS200232010</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870591" w:rsidP="000E730C">
      <w:pPr>
        <w:pStyle w:val="PS-hlavika2"/>
      </w:pPr>
      <w:r>
        <w:t>2021</w:t>
      </w:r>
    </w:p>
    <w:p w:rsidR="00DC29E4" w:rsidRDefault="008A2341" w:rsidP="00377253">
      <w:pPr>
        <w:pStyle w:val="PS-hlavika1"/>
      </w:pPr>
      <w:r>
        <w:t>8</w:t>
      </w:r>
      <w:r w:rsidR="00DC29E4">
        <w:t>. volební období</w:t>
      </w:r>
    </w:p>
    <w:p w:rsidR="00943434" w:rsidRDefault="00682FBA" w:rsidP="00903269">
      <w:pPr>
        <w:pStyle w:val="PS-hlavika3"/>
      </w:pPr>
      <w:r>
        <w:t>268</w:t>
      </w:r>
      <w:r w:rsidR="00533F4E">
        <w:t>.</w:t>
      </w:r>
    </w:p>
    <w:p w:rsidR="00DC29E4" w:rsidRDefault="00DC29E4" w:rsidP="00060D5B">
      <w:pPr>
        <w:pStyle w:val="PS-hlavika3"/>
      </w:pPr>
      <w:r>
        <w:t>USNESENÍ</w:t>
      </w:r>
    </w:p>
    <w:p w:rsidR="00CD4A2B" w:rsidRDefault="00CD4A2B" w:rsidP="00060D5B">
      <w:pPr>
        <w:pStyle w:val="PS-hlavika1"/>
      </w:pPr>
      <w:r>
        <w:rPr>
          <w:b w:val="0"/>
          <w:i w:val="0"/>
        </w:rPr>
        <w:t>Výboru pro veřejnou správu a regionální rozvoj</w:t>
      </w:r>
    </w:p>
    <w:p w:rsidR="00DC29E4" w:rsidRDefault="00DC29E4" w:rsidP="00060D5B">
      <w:pPr>
        <w:pStyle w:val="PS-hlavika1"/>
      </w:pPr>
      <w:r>
        <w:t xml:space="preserve">z </w:t>
      </w:r>
      <w:r w:rsidR="00682FBA">
        <w:t>56</w:t>
      </w:r>
      <w:r>
        <w:t>. schůze</w:t>
      </w:r>
    </w:p>
    <w:p w:rsidR="00DC29E4" w:rsidRDefault="00DC29E4" w:rsidP="00060D5B">
      <w:pPr>
        <w:pStyle w:val="PS-hlavika1"/>
      </w:pPr>
      <w:r>
        <w:t>dne</w:t>
      </w:r>
      <w:r w:rsidR="009354B9">
        <w:t xml:space="preserve"> </w:t>
      </w:r>
      <w:r w:rsidR="00682FBA">
        <w:t>24</w:t>
      </w:r>
      <w:r w:rsidR="00BF1569">
        <w:t xml:space="preserve">. </w:t>
      </w:r>
      <w:r w:rsidR="00682FBA">
        <w:t>června</w:t>
      </w:r>
      <w:r w:rsidR="00870591">
        <w:t xml:space="preserve"> 2021</w:t>
      </w:r>
    </w:p>
    <w:p w:rsidR="0019587B" w:rsidRPr="0019587B" w:rsidRDefault="0019587B" w:rsidP="0019587B">
      <w:pPr>
        <w:pStyle w:val="Bezmezer"/>
      </w:pPr>
    </w:p>
    <w:p w:rsidR="00682FBA" w:rsidRPr="006E581E" w:rsidRDefault="00682FBA" w:rsidP="00682FBA">
      <w:pPr>
        <w:autoSpaceDE w:val="0"/>
        <w:autoSpaceDN w:val="0"/>
        <w:adjustRightInd w:val="0"/>
        <w:spacing w:after="0" w:line="240" w:lineRule="auto"/>
        <w:jc w:val="both"/>
        <w:rPr>
          <w:rFonts w:ascii="Times New Roman" w:hAnsi="Times New Roman"/>
          <w:b/>
          <w:color w:val="000000" w:themeColor="text1"/>
          <w:sz w:val="24"/>
          <w:szCs w:val="24"/>
        </w:rPr>
      </w:pPr>
      <w:r>
        <w:rPr>
          <w:rFonts w:ascii="Times New Roman" w:hAnsi="Times New Roman"/>
          <w:b/>
          <w:sz w:val="24"/>
          <w:szCs w:val="24"/>
        </w:rPr>
        <w:t>k n</w:t>
      </w:r>
      <w:r w:rsidRPr="006E581E">
        <w:rPr>
          <w:rFonts w:ascii="Times New Roman" w:hAnsi="Times New Roman"/>
          <w:b/>
          <w:sz w:val="24"/>
          <w:szCs w:val="24"/>
        </w:rPr>
        <w:t>ávrh</w:t>
      </w:r>
      <w:r>
        <w:rPr>
          <w:rFonts w:ascii="Times New Roman" w:hAnsi="Times New Roman"/>
          <w:b/>
          <w:sz w:val="24"/>
          <w:szCs w:val="24"/>
        </w:rPr>
        <w:t>u</w:t>
      </w:r>
      <w:r w:rsidRPr="006E581E">
        <w:rPr>
          <w:rFonts w:ascii="Times New Roman" w:hAnsi="Times New Roman"/>
          <w:b/>
          <w:sz w:val="24"/>
          <w:szCs w:val="24"/>
        </w:rPr>
        <w:t xml:space="preserve"> poslanců Jana </w:t>
      </w:r>
      <w:proofErr w:type="spellStart"/>
      <w:r w:rsidRPr="006E581E">
        <w:rPr>
          <w:rFonts w:ascii="Times New Roman" w:hAnsi="Times New Roman"/>
          <w:b/>
          <w:sz w:val="24"/>
          <w:szCs w:val="24"/>
        </w:rPr>
        <w:t>Birke</w:t>
      </w:r>
      <w:proofErr w:type="spellEnd"/>
      <w:r w:rsidRPr="006E581E">
        <w:rPr>
          <w:rFonts w:ascii="Times New Roman" w:hAnsi="Times New Roman"/>
          <w:b/>
          <w:sz w:val="24"/>
          <w:szCs w:val="24"/>
        </w:rPr>
        <w:t>, Jana Hamáčka, Jana Chvojky a dalších na vydání zákona o veřejně prospěšných společnostech bytových a výstavbě dostupného bydlení a o změně některých zákonů (zákon č. 586/1992 Sb., o daních z příjmů, ve znění pozdějších předpisů, a zákon č. 90/2012 Sb., o obchodních společnostech a družstvech (zákon o obchodních korporacích), ve znění pozdějších právních předpisů)</w:t>
      </w:r>
      <w:r>
        <w:rPr>
          <w:rFonts w:ascii="Times New Roman" w:hAnsi="Times New Roman"/>
          <w:b/>
          <w:sz w:val="24"/>
          <w:szCs w:val="24"/>
        </w:rPr>
        <w:t xml:space="preserve"> -</w:t>
      </w:r>
      <w:r w:rsidRPr="006E581E">
        <w:rPr>
          <w:rFonts w:ascii="Times New Roman" w:hAnsi="Times New Roman"/>
          <w:b/>
          <w:sz w:val="24"/>
          <w:szCs w:val="24"/>
        </w:rPr>
        <w:t xml:space="preserve"> sněmovní tisk 952</w:t>
      </w:r>
    </w:p>
    <w:p w:rsidR="00DC29E4" w:rsidRPr="00F50261" w:rsidRDefault="00DC29E4" w:rsidP="00533F4E">
      <w:pPr>
        <w:pStyle w:val="PS-pedmtusnesen"/>
        <w:spacing w:before="0" w:after="0"/>
        <w:jc w:val="left"/>
        <w:rPr>
          <w:b/>
        </w:rPr>
      </w:pPr>
    </w:p>
    <w:p w:rsidR="00324AE3" w:rsidRDefault="00324AE3" w:rsidP="00F50261">
      <w:pPr>
        <w:jc w:val="both"/>
        <w:rPr>
          <w:rFonts w:ascii="Times New Roman" w:hAnsi="Times New Roman"/>
          <w:sz w:val="24"/>
          <w:szCs w:val="24"/>
        </w:rPr>
      </w:pP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682FBA" w:rsidP="003115F4">
            <w:pPr>
              <w:spacing w:after="0"/>
              <w:jc w:val="both"/>
            </w:pPr>
            <w:r w:rsidRPr="002E4ABA">
              <w:rPr>
                <w:rFonts w:ascii="Times New Roman" w:hAnsi="Times New Roman"/>
                <w:sz w:val="24"/>
                <w:szCs w:val="24"/>
              </w:rPr>
              <w:t>Výbor pro veřejnou správu a regionální rozvoj na své</w:t>
            </w:r>
            <w:r>
              <w:rPr>
                <w:rFonts w:ascii="Times New Roman" w:hAnsi="Times New Roman"/>
                <w:sz w:val="24"/>
                <w:szCs w:val="24"/>
              </w:rPr>
              <w:t xml:space="preserve"> 56</w:t>
            </w:r>
            <w:r w:rsidRPr="002E4ABA">
              <w:rPr>
                <w:rFonts w:ascii="Times New Roman" w:hAnsi="Times New Roman"/>
                <w:sz w:val="24"/>
                <w:szCs w:val="24"/>
              </w:rPr>
              <w:t>. schůzi</w:t>
            </w:r>
            <w:r>
              <w:rPr>
                <w:rFonts w:ascii="Times New Roman" w:hAnsi="Times New Roman"/>
                <w:sz w:val="24"/>
                <w:szCs w:val="24"/>
              </w:rPr>
              <w:t xml:space="preserve"> po odůvodnění předlohy panem poslancem Janem </w:t>
            </w:r>
            <w:proofErr w:type="spellStart"/>
            <w:r>
              <w:rPr>
                <w:rFonts w:ascii="Times New Roman" w:hAnsi="Times New Roman"/>
                <w:sz w:val="24"/>
                <w:szCs w:val="24"/>
              </w:rPr>
              <w:t>Birke</w:t>
            </w:r>
            <w:proofErr w:type="spellEnd"/>
            <w:r>
              <w:rPr>
                <w:rFonts w:ascii="Times New Roman" w:hAnsi="Times New Roman"/>
                <w:sz w:val="24"/>
                <w:szCs w:val="24"/>
              </w:rPr>
              <w:t xml:space="preserve">, zástupcem skupiny předkladatelů, po zpravodajské zprávě pana poslance Ondřeje </w:t>
            </w:r>
            <w:proofErr w:type="spellStart"/>
            <w:r>
              <w:rPr>
                <w:rFonts w:ascii="Times New Roman" w:hAnsi="Times New Roman"/>
                <w:sz w:val="24"/>
                <w:szCs w:val="24"/>
              </w:rPr>
              <w:t>Profanta</w:t>
            </w:r>
            <w:proofErr w:type="spellEnd"/>
            <w:r>
              <w:rPr>
                <w:rFonts w:ascii="Times New Roman" w:hAnsi="Times New Roman"/>
                <w:sz w:val="24"/>
                <w:szCs w:val="24"/>
              </w:rPr>
              <w:t>, a po rozpravě přijal usnesení, kterým:</w:t>
            </w:r>
          </w:p>
        </w:tc>
      </w:tr>
    </w:tbl>
    <w:p w:rsidR="00F50261" w:rsidRDefault="00F50261" w:rsidP="00324AE3">
      <w:pPr>
        <w:spacing w:after="0"/>
        <w:rPr>
          <w:rFonts w:eastAsia="Lucida Sans Unicode" w:cs="Mangal"/>
          <w:kern w:val="2"/>
          <w:lang w:eastAsia="zh-CN" w:bidi="hi-IN"/>
        </w:rPr>
      </w:pPr>
    </w:p>
    <w:p w:rsidR="00813758" w:rsidRDefault="00813758" w:rsidP="00813758">
      <w:pPr>
        <w:spacing w:after="0"/>
        <w:rPr>
          <w:rFonts w:eastAsia="Lucida Sans Unicode" w:cs="Mangal"/>
          <w:kern w:val="2"/>
          <w:lang w:eastAsia="zh-CN" w:bidi="hi-IN"/>
        </w:rPr>
      </w:pPr>
    </w:p>
    <w:p w:rsidR="00DD1A0E" w:rsidRDefault="00DD1A0E" w:rsidP="00682FBA">
      <w:pPr>
        <w:pStyle w:val="Zhlav"/>
        <w:numPr>
          <w:ilvl w:val="0"/>
          <w:numId w:val="7"/>
        </w:numPr>
        <w:jc w:val="both"/>
        <w:rPr>
          <w:rFonts w:cs="Times New Roman"/>
        </w:rPr>
      </w:pPr>
      <w:r>
        <w:rPr>
          <w:rFonts w:cs="Times New Roman"/>
          <w:b/>
        </w:rPr>
        <w:t xml:space="preserve">d o p o r u č u j e  </w:t>
      </w:r>
      <w:r>
        <w:rPr>
          <w:rFonts w:cs="Times New Roman"/>
        </w:rPr>
        <w:t xml:space="preserve"> Poslanecké sněmovně sněmovní t</w:t>
      </w:r>
      <w:r w:rsidR="00A63CE2">
        <w:rPr>
          <w:rFonts w:cs="Times New Roman"/>
        </w:rPr>
        <w:t>isk 952</w:t>
      </w:r>
      <w:r w:rsidR="003115F4">
        <w:rPr>
          <w:rFonts w:cs="Times New Roman"/>
        </w:rPr>
        <w:t xml:space="preserve"> projednat a schválit ve </w:t>
      </w:r>
      <w:r>
        <w:rPr>
          <w:rFonts w:cs="Times New Roman"/>
        </w:rPr>
        <w:t>znění přijat</w:t>
      </w:r>
      <w:r w:rsidR="0087541F">
        <w:rPr>
          <w:rFonts w:cs="Times New Roman"/>
        </w:rPr>
        <w:t xml:space="preserve">ého </w:t>
      </w:r>
      <w:r w:rsidR="00682FBA">
        <w:rPr>
          <w:rFonts w:cs="Times New Roman"/>
        </w:rPr>
        <w:t xml:space="preserve">komplexního </w:t>
      </w:r>
      <w:r>
        <w:rPr>
          <w:rFonts w:cs="Times New Roman"/>
        </w:rPr>
        <w:t>pozměňovací</w:t>
      </w:r>
      <w:r w:rsidR="0087541F">
        <w:rPr>
          <w:rFonts w:cs="Times New Roman"/>
        </w:rPr>
        <w:t>ho návrhu</w:t>
      </w:r>
      <w:r>
        <w:rPr>
          <w:rFonts w:cs="Times New Roman"/>
        </w:rPr>
        <w:t>:</w:t>
      </w:r>
    </w:p>
    <w:p w:rsidR="00DD1A0E" w:rsidRDefault="00DD1A0E" w:rsidP="00DD1A0E">
      <w:pPr>
        <w:pStyle w:val="Zhlav"/>
        <w:ind w:left="1080"/>
        <w:jc w:val="both"/>
        <w:rPr>
          <w:rFonts w:cs="Times New Roman"/>
        </w:rPr>
      </w:pPr>
    </w:p>
    <w:p w:rsidR="00682FBA" w:rsidRPr="00682FBA" w:rsidRDefault="00682FBA" w:rsidP="00DD1A0E">
      <w:pPr>
        <w:pStyle w:val="Zhlav"/>
        <w:jc w:val="both"/>
        <w:rPr>
          <w:rFonts w:cs="Times New Roman"/>
        </w:rPr>
      </w:pPr>
    </w:p>
    <w:p w:rsidR="00682FBA" w:rsidRPr="00682FBA" w:rsidRDefault="00682FBA" w:rsidP="00DD1A0E">
      <w:pPr>
        <w:pStyle w:val="Zhlav"/>
        <w:jc w:val="both"/>
        <w:rPr>
          <w:rFonts w:cs="Times New Roman"/>
        </w:rPr>
      </w:pPr>
    </w:p>
    <w:p w:rsidR="00682FBA" w:rsidRPr="00682FBA" w:rsidRDefault="00682FBA" w:rsidP="00682FBA">
      <w:pPr>
        <w:numPr>
          <w:ilvl w:val="0"/>
          <w:numId w:val="8"/>
        </w:numPr>
        <w:shd w:val="clear" w:color="auto" w:fill="FFFFFF"/>
        <w:spacing w:after="0" w:line="276" w:lineRule="auto"/>
        <w:ind w:left="1930" w:right="360"/>
        <w:contextualSpacing/>
        <w:jc w:val="both"/>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 xml:space="preserve">Název zákona zní: </w:t>
      </w:r>
    </w:p>
    <w:p w:rsidR="00682FBA" w:rsidRPr="00682FBA" w:rsidRDefault="00682FBA" w:rsidP="00682FBA">
      <w:pPr>
        <w:spacing w:before="100" w:beforeAutospacing="1" w:after="0" w:line="240" w:lineRule="auto"/>
        <w:ind w:left="1417" w:hanging="142"/>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„Zákon o dostupnosti bydlení a o změně některých zákonů“.</w:t>
      </w:r>
    </w:p>
    <w:p w:rsidR="00682FBA" w:rsidRPr="00682FBA" w:rsidRDefault="00682FBA" w:rsidP="00682FBA">
      <w:pPr>
        <w:shd w:val="clear" w:color="auto" w:fill="FFFFFF"/>
        <w:spacing w:after="0" w:line="276" w:lineRule="auto"/>
        <w:ind w:left="850" w:right="360"/>
        <w:jc w:val="both"/>
        <w:rPr>
          <w:rFonts w:ascii="Times New Roman" w:eastAsia="Times New Roman" w:hAnsi="Times New Roman"/>
          <w:b/>
          <w:bCs/>
          <w:sz w:val="24"/>
          <w:szCs w:val="24"/>
          <w:lang w:eastAsia="cs-CZ"/>
        </w:rPr>
      </w:pPr>
    </w:p>
    <w:p w:rsidR="00682FBA" w:rsidRPr="00682FBA" w:rsidRDefault="00682FBA" w:rsidP="00682FBA">
      <w:pPr>
        <w:shd w:val="clear" w:color="auto" w:fill="FFFFFF"/>
        <w:spacing w:after="0" w:line="276" w:lineRule="auto"/>
        <w:ind w:left="850" w:right="360"/>
        <w:jc w:val="both"/>
        <w:rPr>
          <w:rFonts w:ascii="Times New Roman" w:eastAsia="Times New Roman" w:hAnsi="Times New Roman"/>
          <w:b/>
          <w:bCs/>
          <w:sz w:val="24"/>
          <w:szCs w:val="24"/>
          <w:lang w:eastAsia="cs-CZ"/>
        </w:rPr>
      </w:pPr>
    </w:p>
    <w:p w:rsidR="00682FBA" w:rsidRPr="00682FBA" w:rsidRDefault="00682FBA" w:rsidP="00682FBA">
      <w:pPr>
        <w:numPr>
          <w:ilvl w:val="0"/>
          <w:numId w:val="8"/>
        </w:numPr>
        <w:shd w:val="clear" w:color="auto" w:fill="FFFFFF"/>
        <w:spacing w:after="0" w:line="276" w:lineRule="auto"/>
        <w:ind w:left="1930" w:right="360"/>
        <w:contextualSpacing/>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první včetně názvu zní: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PRVNÍ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DOSTUPNOST BYDLENÍ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Předmět úpravy</w:t>
      </w:r>
    </w:p>
    <w:p w:rsidR="00682FBA" w:rsidRPr="00682FBA" w:rsidRDefault="00682FBA" w:rsidP="00682FBA">
      <w:pPr>
        <w:numPr>
          <w:ilvl w:val="0"/>
          <w:numId w:val="9"/>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Tento zákon upravuje dostupnost bydlení a přiznávání statusu veřejné prospěšnosti v oblasti bydlení některým právnickým osobám (dále jen „veřejně prospěšná právnická osoba v oblasti bydlení“) a z něho vyplývající práva a povinnosti. </w:t>
      </w:r>
    </w:p>
    <w:p w:rsidR="00682FBA" w:rsidRPr="00682FBA" w:rsidRDefault="00682FBA" w:rsidP="00682FBA">
      <w:pPr>
        <w:numPr>
          <w:ilvl w:val="0"/>
          <w:numId w:val="9"/>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lastRenderedPageBreak/>
        <w:t>Tento zákon dále upravuje některé pravomoci obce, kraje a České republiky při přiznávání statusu veřejné prospěšnosti v oblasti bydlení a dále upravuje některé vztahy obce, kraje a České republiky k veřejně prospěšným právnickým osobám v oblasti bydlení.</w:t>
      </w:r>
    </w:p>
    <w:p w:rsidR="00682FBA" w:rsidRPr="00682FBA" w:rsidRDefault="00682FBA" w:rsidP="00682FBA">
      <w:pPr>
        <w:numPr>
          <w:ilvl w:val="0"/>
          <w:numId w:val="9"/>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Tento zákon dále zavádí a upravuje evidenci veřejně prospěšných právnických osob v oblasti bydlení.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Vymezení pojmů</w:t>
      </w:r>
    </w:p>
    <w:p w:rsidR="00682FBA" w:rsidRPr="00682FBA" w:rsidRDefault="00682FBA" w:rsidP="00682FBA">
      <w:pPr>
        <w:spacing w:after="240" w:line="240" w:lineRule="auto"/>
        <w:ind w:left="85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Pro účely tohoto zákona se rozumí</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bydlením sociální bydlení nebo dostupné bydlení,</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sociálním bydlením bydlení v sociálním bytě,</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dostupným bydlením bydlení v dostupném bytě,</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sociálním bytem byt určený k pronájmu způsobilé domácnosti ve vlastnictví veřejně prospěšné právnické osoby v oblasti bydlení, který má alespoň základní vybavení a jehož podlahová plocha dosahuje alespoň 20 m</w:t>
      </w:r>
      <w:r w:rsidRPr="00682FBA">
        <w:rPr>
          <w:rFonts w:ascii="Times New Roman" w:eastAsia="Times New Roman" w:hAnsi="Times New Roman"/>
          <w:sz w:val="24"/>
          <w:szCs w:val="24"/>
          <w:vertAlign w:val="superscript"/>
          <w:lang w:eastAsia="cs-CZ"/>
        </w:rPr>
        <w:t>2</w:t>
      </w:r>
      <w:r w:rsidRPr="00682FBA">
        <w:rPr>
          <w:rFonts w:ascii="Times New Roman" w:eastAsia="Times New Roman" w:hAnsi="Times New Roman"/>
          <w:sz w:val="24"/>
          <w:szCs w:val="24"/>
          <w:lang w:eastAsia="cs-CZ"/>
        </w:rPr>
        <w:t xml:space="preserve"> a nepřesahuje 120 m</w:t>
      </w:r>
      <w:r w:rsidRPr="00682FBA">
        <w:rPr>
          <w:rFonts w:ascii="Times New Roman" w:eastAsia="Times New Roman" w:hAnsi="Times New Roman"/>
          <w:sz w:val="24"/>
          <w:szCs w:val="24"/>
          <w:vertAlign w:val="superscript"/>
          <w:lang w:eastAsia="cs-CZ"/>
        </w:rPr>
        <w:t>2</w:t>
      </w:r>
      <w:r w:rsidRPr="00682FBA">
        <w:rPr>
          <w:rFonts w:ascii="Times New Roman" w:eastAsia="Times New Roman" w:hAnsi="Times New Roman"/>
          <w:sz w:val="24"/>
          <w:szCs w:val="24"/>
          <w:lang w:eastAsia="cs-CZ"/>
        </w:rPr>
        <w:t>,</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dostupným bytem byt určený k pronájmu, ve vlastnictví veřejně prospěšné právnické osoby v oblasti bydlení, jehož podlahová plocha dosahuje alespoň 20 m</w:t>
      </w:r>
      <w:r w:rsidRPr="00682FBA">
        <w:rPr>
          <w:rFonts w:ascii="Times New Roman" w:eastAsia="Times New Roman" w:hAnsi="Times New Roman"/>
          <w:sz w:val="24"/>
          <w:szCs w:val="24"/>
          <w:vertAlign w:val="superscript"/>
          <w:lang w:eastAsia="cs-CZ"/>
        </w:rPr>
        <w:t>2</w:t>
      </w:r>
      <w:r w:rsidRPr="00682FBA">
        <w:rPr>
          <w:rFonts w:ascii="Times New Roman" w:eastAsia="Times New Roman" w:hAnsi="Times New Roman"/>
          <w:sz w:val="24"/>
          <w:szCs w:val="24"/>
          <w:lang w:eastAsia="cs-CZ"/>
        </w:rPr>
        <w:t xml:space="preserve"> a nepřesahuje 120 m</w:t>
      </w:r>
      <w:r w:rsidRPr="00682FBA">
        <w:rPr>
          <w:rFonts w:ascii="Times New Roman" w:eastAsia="Times New Roman" w:hAnsi="Times New Roman"/>
          <w:sz w:val="24"/>
          <w:szCs w:val="24"/>
          <w:vertAlign w:val="superscript"/>
          <w:lang w:eastAsia="cs-CZ"/>
        </w:rPr>
        <w:t>2</w:t>
      </w:r>
      <w:r w:rsidRPr="00682FBA">
        <w:rPr>
          <w:rFonts w:ascii="Times New Roman" w:eastAsia="Times New Roman" w:hAnsi="Times New Roman"/>
          <w:sz w:val="24"/>
          <w:szCs w:val="24"/>
          <w:lang w:eastAsia="cs-CZ"/>
        </w:rPr>
        <w:t>,</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způsobilou domácností společně hospodařící domácnost, která má nízký příjem a nevyhovující bydlení a nemůže si zajistit vyhovující bydlení na trhu,</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společně hospodařící domácností společenství fyzických osob, které spolu trvale žijí a společně uhrazují náklady na své potřeby; společně hospodařící domácností může být i jedna fyzická osoba,</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nevyhovujícím bydlením byt neodpovídající specifickým požadavkům člena společně hospodařící domácnosti vyplývajícím z jeho zdravotního omezení, bydlení společně hospodařící domácnosti v prostorách, které nejsou určeny k trvalému bydlení, nekvalitní byt nebo přelidněný byt podle přílohy k tomuto zákonu,</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základním vybavením záchod, umyvadlo, sprcha nebo vana, kuchyňská linka a sporák nebo varná deska,</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veřejností fyzické osoby, které nejsou členy nebo společníky veřejně prospěšné právnické osoby v oblasti bydlení,</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započitatelnými výdaji výdaje </w:t>
      </w:r>
      <w:proofErr w:type="gramStart"/>
      <w:r w:rsidRPr="00682FBA">
        <w:rPr>
          <w:rFonts w:ascii="Times New Roman" w:eastAsia="Times New Roman" w:hAnsi="Times New Roman"/>
          <w:sz w:val="24"/>
          <w:szCs w:val="24"/>
          <w:lang w:eastAsia="cs-CZ"/>
        </w:rPr>
        <w:t>na</w:t>
      </w:r>
      <w:proofErr w:type="gramEnd"/>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koupi pozemku, jehož součástí je stavba,</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zařízení staveniště,</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lastRenderedPageBreak/>
        <w:t>pozemní úpravy a stavební práce,</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materiál a jeho dopravu,</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demoliční práce včetně uložení na skládce,</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stavební a technický dozor,</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revize a zkoušky,</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náklady na základní vybavení,</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daň z přidané hodnoty, s výjimkou části daně z přidané hodnoty, u níž obci jako plátci vznikne nárok na odpočet daně podle zákona o dani z přidané hodnoty, a</w:t>
      </w:r>
    </w:p>
    <w:p w:rsidR="00682FBA" w:rsidRPr="00682FBA" w:rsidRDefault="00682FBA" w:rsidP="00682FBA">
      <w:pPr>
        <w:numPr>
          <w:ilvl w:val="1"/>
          <w:numId w:val="10"/>
        </w:numPr>
        <w:spacing w:after="240" w:line="240" w:lineRule="auto"/>
        <w:ind w:left="2290"/>
        <w:jc w:val="both"/>
        <w:rPr>
          <w:rFonts w:ascii="Times New Roman" w:eastAsia="Times New Roman" w:hAnsi="Times New Roman"/>
          <w:sz w:val="24"/>
          <w:szCs w:val="24"/>
          <w:lang w:eastAsia="cs-CZ"/>
        </w:rPr>
      </w:pPr>
      <w:bookmarkStart w:id="0" w:name="_Hlk70958743"/>
      <w:r w:rsidRPr="00682FBA">
        <w:rPr>
          <w:rFonts w:ascii="Times New Roman" w:eastAsia="Times New Roman" w:hAnsi="Times New Roman"/>
          <w:sz w:val="24"/>
          <w:szCs w:val="24"/>
          <w:lang w:eastAsia="cs-CZ"/>
        </w:rPr>
        <w:t>projektovou dokumentaci a dokumentaci pro vydání stavebního povolení</w:t>
      </w:r>
      <w:bookmarkEnd w:id="0"/>
      <w:r w:rsidRPr="00682FBA">
        <w:rPr>
          <w:rFonts w:ascii="Times New Roman" w:eastAsia="Times New Roman" w:hAnsi="Times New Roman"/>
          <w:sz w:val="24"/>
          <w:szCs w:val="24"/>
          <w:lang w:eastAsia="cs-CZ"/>
        </w:rPr>
        <w:t>.</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nákladovým principem princip, že přímé či nepřímé plnění za poskytování bydlení členům nebo společníkům veřejně prospěšné právnické osoby v oblasti bydlení nebo veřejnosti nepřevyšuje náklady veřejně prospěšné právnické osoby v oblasti bydlení účelně vynaložené za účelem poskytování bydlení,</w:t>
      </w:r>
    </w:p>
    <w:p w:rsidR="00682FBA" w:rsidRPr="00682FBA" w:rsidRDefault="00682FBA" w:rsidP="00682FBA">
      <w:pPr>
        <w:numPr>
          <w:ilvl w:val="0"/>
          <w:numId w:val="10"/>
        </w:numPr>
        <w:spacing w:after="240"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neziskovým principem princip, že přímé či nepřímé plnění za dodávky při výstavbě domu, jehož výstavbu uskutečňuje svým jménem veřejně prospěšná právnická osoba v oblasti bydlení, či za jiné plnění při jiné výstavbě nebo nabývání domů, bytů či jednotek veřejně prospěšnou právnickou osobou v oblasti bydlení, nepřevyšuje účelně vynaložené započitatelné výdaje,</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ekonomickým modelem poskytování bydlení listina obsahující zejména</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cíle veřejně prospěšné právnické osoby v oblasti bydlení a zhodnocení jejich dosahování,</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přehled zdrojů výnosů, které přesahují 5 % z celkového součtu výnosů, včetně uvedení jejich použití,</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přehled nákladů na zajišťování bydlení výstavbou domů, bytů či jednotek, jejich koupí či jiným způsobem,</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přehled nákladů na vlastní správu, které představují zejména náklady na výkon správy a provoz a náklady spojené s dodáním služeb či zboží, které přímo nesouvisejí s výkonem hlavní činnosti,</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součet odměn vyplacených členům statutárního orgánu a kontrolního orgánu, je-li zřízen, za předcházející účetní období, s uvedením počtu těchto členů, pokud byly odměny vyplaceny,</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přehled plateb 5 dodavatelům, jimž byla za předcházející účetní období poskytnuta v součtu nejvyšší plnění vyjádřená v penězích, se současným uvedením plnění poskytnutým uvedenými dodavateli, a</w:t>
      </w:r>
    </w:p>
    <w:p w:rsidR="00682FBA" w:rsidRPr="00682FBA" w:rsidRDefault="00682FBA" w:rsidP="00682FBA">
      <w:pPr>
        <w:numPr>
          <w:ilvl w:val="1"/>
          <w:numId w:val="10"/>
        </w:numPr>
        <w:spacing w:after="240" w:line="240" w:lineRule="auto"/>
        <w:ind w:left="229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výpočet nákladů na bydlení a výpočet nájemného</w:t>
      </w:r>
    </w:p>
    <w:p w:rsidR="00682FBA" w:rsidRPr="00682FBA" w:rsidRDefault="00682FBA" w:rsidP="00682FBA">
      <w:pPr>
        <w:spacing w:after="240" w:line="240" w:lineRule="auto"/>
        <w:ind w:left="1558"/>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 nejméně posledních 5 let, pokud je to možné, a jejich prognózu na dalších 5 let, pokud je to možné,</w:t>
      </w:r>
    </w:p>
    <w:p w:rsidR="00682FBA" w:rsidRPr="00682FBA" w:rsidRDefault="00682FBA" w:rsidP="00682FBA">
      <w:pPr>
        <w:numPr>
          <w:ilvl w:val="0"/>
          <w:numId w:val="10"/>
        </w:numPr>
        <w:spacing w:after="240" w:line="240" w:lineRule="auto"/>
        <w:ind w:left="1570"/>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lastRenderedPageBreak/>
        <w:t>nízkým příjmem započitatelný příjem podle zákona o životním a existenčním minimu všech členů společně hospodařící domácnosti, který nepřesáhne v případě</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jednočlenné domácnosti 0,6násobek hrubé průměrné měsíční mzdy,</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dvoučlenné domácnosti 0,8násobek hrubé průměrné měsíční mzdy,</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tříčlenné domácnosti hrubou průměrnou měsíční mzdu,</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čtyřčlenné domácnosti 1,2násobek hrubé průměrné měsíční mzdy,</w:t>
      </w:r>
    </w:p>
    <w:p w:rsidR="00682FBA" w:rsidRPr="00682FBA" w:rsidRDefault="00682FBA" w:rsidP="00682FBA">
      <w:pPr>
        <w:numPr>
          <w:ilvl w:val="1"/>
          <w:numId w:val="10"/>
        </w:numPr>
        <w:spacing w:after="120" w:line="240" w:lineRule="auto"/>
        <w:ind w:left="228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pěti a vícečlenné domácnosti 1,4násobek hrubé průměrné měsíční mzdy,</w:t>
      </w:r>
    </w:p>
    <w:p w:rsidR="00682FBA" w:rsidRPr="00682FBA" w:rsidRDefault="00682FBA" w:rsidP="00682FBA">
      <w:pPr>
        <w:numPr>
          <w:ilvl w:val="0"/>
          <w:numId w:val="10"/>
        </w:numPr>
        <w:spacing w:after="24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hrubou průměrnou měsíční mzdou průměrná hrubá měsíční nominální mzda na přepočtené počty zaměstnanců v národním hospodářství dosažená podle zveřejněných údajů Českého statistického úřadu za minulý kalendářní rok, bude-li nájemní smlouva k sociálnímu bytu uzavřena v období od 1. července do 31. prosince, nebo za předminulý kalendářní rok, bude-li nájemní smlouva k sociálnímu bytu uzavřena v období od 1. ledna do 30. června,</w:t>
      </w:r>
    </w:p>
    <w:p w:rsidR="00682FBA" w:rsidRPr="00682FBA" w:rsidRDefault="00682FBA" w:rsidP="00682FBA">
      <w:pPr>
        <w:numPr>
          <w:ilvl w:val="0"/>
          <w:numId w:val="10"/>
        </w:numPr>
        <w:tabs>
          <w:tab w:val="left" w:pos="1701"/>
        </w:tabs>
        <w:spacing w:after="240" w:line="240" w:lineRule="auto"/>
        <w:ind w:left="1564" w:hanging="357"/>
        <w:jc w:val="both"/>
        <w:rPr>
          <w:rFonts w:ascii="Times New Roman" w:eastAsia="Arial" w:hAnsi="Times New Roman"/>
          <w:sz w:val="24"/>
          <w:szCs w:val="24"/>
          <w:lang w:eastAsia="cs-CZ"/>
        </w:rPr>
      </w:pPr>
      <w:r w:rsidRPr="00682FBA">
        <w:rPr>
          <w:rFonts w:ascii="Times New Roman" w:eastAsia="Arial" w:hAnsi="Times New Roman"/>
          <w:sz w:val="24"/>
          <w:szCs w:val="24"/>
          <w:lang w:eastAsia="cs-CZ"/>
        </w:rPr>
        <w:t>sociálním pracovníkem zaměstnanec obce s rozšířenou působností splňující předpoklady pro výkon povolání sociálního pracovníka podle zákona o sociálních službách</w:t>
      </w:r>
      <w:r w:rsidRPr="00682FBA">
        <w:rPr>
          <w:rFonts w:ascii="Times New Roman" w:eastAsia="Arial" w:hAnsi="Times New Roman"/>
          <w:sz w:val="24"/>
          <w:szCs w:val="24"/>
          <w:vertAlign w:val="superscript"/>
          <w:lang w:eastAsia="cs-CZ"/>
        </w:rPr>
        <w:footnoteReference w:id="1"/>
      </w:r>
      <w:r w:rsidRPr="00682FBA">
        <w:rPr>
          <w:rFonts w:ascii="Times New Roman" w:eastAsia="Arial" w:hAnsi="Times New Roman"/>
          <w:sz w:val="24"/>
          <w:szCs w:val="24"/>
          <w:vertAlign w:val="superscript"/>
          <w:lang w:eastAsia="cs-CZ"/>
        </w:rPr>
        <w:t>)</w:t>
      </w:r>
      <w:r w:rsidRPr="00682FBA">
        <w:rPr>
          <w:rFonts w:ascii="Times New Roman" w:eastAsia="Arial" w:hAnsi="Times New Roman"/>
          <w:sz w:val="24"/>
          <w:szCs w:val="24"/>
          <w:lang w:eastAsia="cs-CZ"/>
        </w:rPr>
        <w:t>,</w:t>
      </w:r>
    </w:p>
    <w:p w:rsidR="00682FBA" w:rsidRPr="00682FBA" w:rsidRDefault="00682FBA" w:rsidP="00682FBA">
      <w:pPr>
        <w:numPr>
          <w:ilvl w:val="0"/>
          <w:numId w:val="10"/>
        </w:numPr>
        <w:spacing w:after="240" w:line="240" w:lineRule="auto"/>
        <w:ind w:left="1564" w:hanging="357"/>
        <w:jc w:val="both"/>
        <w:rPr>
          <w:rFonts w:ascii="Times New Roman" w:eastAsia="Arial" w:hAnsi="Times New Roman"/>
          <w:sz w:val="24"/>
          <w:szCs w:val="24"/>
          <w:lang w:eastAsia="cs-CZ"/>
        </w:rPr>
      </w:pPr>
      <w:r w:rsidRPr="00682FBA">
        <w:rPr>
          <w:rFonts w:ascii="Times New Roman" w:eastAsia="Arial" w:hAnsi="Times New Roman"/>
          <w:sz w:val="24"/>
          <w:szCs w:val="24"/>
          <w:lang w:eastAsia="cs-CZ"/>
        </w:rPr>
        <w:t>plánem prevence ztráty bydlení písemný dokument vypracovaný sociálním pracovníkem za účelem vzájemné spolupráce mezi obecním úřadem obce s rozšířenou působností zastoupeným sociálním pracovníkem a domácností užívající sociální byt,</w:t>
      </w:r>
    </w:p>
    <w:p w:rsidR="00682FBA" w:rsidRPr="00682FBA" w:rsidRDefault="00682FBA" w:rsidP="00682FBA">
      <w:pPr>
        <w:numPr>
          <w:ilvl w:val="0"/>
          <w:numId w:val="10"/>
        </w:numPr>
        <w:tabs>
          <w:tab w:val="left" w:pos="1701"/>
        </w:tabs>
        <w:spacing w:after="240" w:line="240" w:lineRule="auto"/>
        <w:ind w:left="1570"/>
        <w:contextualSpacing/>
        <w:jc w:val="both"/>
        <w:rPr>
          <w:rFonts w:ascii="Times New Roman" w:eastAsia="Arial" w:hAnsi="Times New Roman"/>
          <w:sz w:val="24"/>
          <w:szCs w:val="24"/>
          <w:lang w:eastAsia="cs-CZ"/>
        </w:rPr>
      </w:pPr>
      <w:r w:rsidRPr="00682FBA">
        <w:rPr>
          <w:rFonts w:ascii="Times New Roman" w:eastAsia="Times New Roman" w:hAnsi="Times New Roman"/>
          <w:sz w:val="24"/>
          <w:szCs w:val="24"/>
          <w:lang w:eastAsia="cs-CZ"/>
        </w:rPr>
        <w:t>sociálním šetřením posouzení sociálním pracovníkem, zda je společně hospodařící domácnost způsobilou domácností.</w:t>
      </w: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3</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Sociální šetření</w:t>
      </w:r>
    </w:p>
    <w:p w:rsidR="00682FBA" w:rsidRPr="00682FBA" w:rsidRDefault="00682FBA" w:rsidP="00682FBA">
      <w:pPr>
        <w:numPr>
          <w:ilvl w:val="0"/>
          <w:numId w:val="11"/>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Sociální šetření se provádí na základě žádosti fyzické osoby o vydání osvědčení podle § 4.</w:t>
      </w:r>
    </w:p>
    <w:p w:rsidR="00682FBA" w:rsidRPr="00682FBA" w:rsidRDefault="00682FBA" w:rsidP="00682FBA">
      <w:pPr>
        <w:numPr>
          <w:ilvl w:val="0"/>
          <w:numId w:val="11"/>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Sociální šetření provádí sociální pracovník obecního úřadu obce s rozšířenou působností, v jejímž správním obvodu se nachází sociální byt, který má být pronajat.</w:t>
      </w:r>
    </w:p>
    <w:p w:rsidR="00682FBA" w:rsidRPr="00682FBA" w:rsidRDefault="00682FBA" w:rsidP="00682FBA">
      <w:pPr>
        <w:numPr>
          <w:ilvl w:val="0"/>
          <w:numId w:val="11"/>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Obsahem sociálního šetření je posouzení majetkových a sociálních poměrů, vhodnosti aktuálního užívaného prostoru pro </w:t>
      </w:r>
      <w:proofErr w:type="gramStart"/>
      <w:r w:rsidRPr="00682FBA">
        <w:rPr>
          <w:rFonts w:ascii="Times New Roman" w:eastAsia="Times New Roman" w:hAnsi="Times New Roman"/>
          <w:sz w:val="24"/>
          <w:szCs w:val="24"/>
          <w:lang w:eastAsia="cs-CZ"/>
        </w:rPr>
        <w:t>bydlení a zda</w:t>
      </w:r>
      <w:proofErr w:type="gramEnd"/>
      <w:r w:rsidRPr="00682FBA">
        <w:rPr>
          <w:rFonts w:ascii="Times New Roman" w:eastAsia="Times New Roman" w:hAnsi="Times New Roman"/>
          <w:sz w:val="24"/>
          <w:szCs w:val="24"/>
          <w:lang w:eastAsia="cs-CZ"/>
        </w:rPr>
        <w:t xml:space="preserve"> si společně hospodařící domácnost sama nemůže zajistit vhodné bydlení na trhu. Součástí sociálního šetření je rovněž zjišťování základních životních potřeb společně hospodařící domácnosti, a to v místě trvalého pobytu společně hospodařící domácnosti i v jejím sociálním okolí, a dále zjišťování možných zdrojů pomoci a podpory. </w:t>
      </w:r>
    </w:p>
    <w:p w:rsidR="00682FBA" w:rsidRPr="00682FBA" w:rsidRDefault="00682FBA" w:rsidP="00682FBA">
      <w:pPr>
        <w:numPr>
          <w:ilvl w:val="0"/>
          <w:numId w:val="11"/>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Náležitosti sociálního šetření může stanovit Ministerstvo práce a sociálních věcí vyhláškou.</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lastRenderedPageBreak/>
        <w:t>§ 4</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Osvědčení</w:t>
      </w:r>
    </w:p>
    <w:p w:rsidR="00682FBA" w:rsidRPr="00682FBA" w:rsidRDefault="00682FBA" w:rsidP="00682FBA">
      <w:pPr>
        <w:numPr>
          <w:ilvl w:val="0"/>
          <w:numId w:val="12"/>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Osvědčení, zda se jedná o způsobilou domácnost, vydává obecní úřad obce s rozšířenou působností na základě výsledků provedeného sociálního šetření, zjistí-li, že se jedná se o způsobilou domácnost.</w:t>
      </w:r>
    </w:p>
    <w:p w:rsidR="00682FBA" w:rsidRPr="00682FBA" w:rsidRDefault="00682FBA" w:rsidP="00682FBA">
      <w:pPr>
        <w:numPr>
          <w:ilvl w:val="0"/>
          <w:numId w:val="12"/>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Osvědčení obsahuje pouze ty osobní údaje, které pronajímatel nezbytně potřebuje pro sepsání nájemní smlouvy. </w:t>
      </w:r>
    </w:p>
    <w:p w:rsidR="00682FBA" w:rsidRPr="00682FBA" w:rsidRDefault="00682FBA" w:rsidP="00682FBA">
      <w:pPr>
        <w:numPr>
          <w:ilvl w:val="0"/>
          <w:numId w:val="12"/>
        </w:numPr>
        <w:spacing w:after="0"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Obecní úřad obce s rozšířenou působností zároveň v osvědčení doporučí, je-li to na základě výsledků provedeného sociálního šetření s přihlédnutím k poměrům a schopnostem nájemce a členů jeho domácnosti vhodné, aby si veřejně prospěšná právnická osoba v oblasti bydlení v nájemní smlouvě k sociálnímu bytu vymínila, že nájemce a členové jeho domácnosti budou spolupracovat se sociálním pracovníkem na základě plánu prevence ztráty bydlení.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5</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Plán prevence ztráty bydlení</w:t>
      </w:r>
    </w:p>
    <w:p w:rsidR="00682FBA" w:rsidRPr="00682FBA" w:rsidRDefault="00682FBA" w:rsidP="00682FBA">
      <w:pPr>
        <w:numPr>
          <w:ilvl w:val="0"/>
          <w:numId w:val="13"/>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Obsahem plánu prevence ztráty bydlení je zejména stanovení postupu a časového harmonogramu plnění jednotlivých opatření k řešení nepříznivé sociální situace v oblasti bydlení. </w:t>
      </w:r>
    </w:p>
    <w:p w:rsidR="00682FBA" w:rsidRPr="00682FBA" w:rsidRDefault="00682FBA" w:rsidP="00682FBA">
      <w:pPr>
        <w:numPr>
          <w:ilvl w:val="0"/>
          <w:numId w:val="13"/>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Při tvorbě obsahu plánu prevence ztráty bydlení se vychází z konkrétní sociální situace společně hospodařící domácnosti, zejména z příjmové a majetkové oblasti, dosažené kvalifikace, zdravotního stavu, možností a schopností společně hospodařící domácnosti nalézt si vlastní bydlení. </w:t>
      </w:r>
    </w:p>
    <w:p w:rsidR="00682FBA" w:rsidRPr="00682FBA" w:rsidRDefault="00682FBA" w:rsidP="00682FBA">
      <w:pPr>
        <w:numPr>
          <w:ilvl w:val="0"/>
          <w:numId w:val="13"/>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Na žádost nájemce nebo pronajímatele sociálního bytu podá obecní úřad obce s rozšířenou působností zprávu o plnění plánu prevence ztráty bydlení vypracovanou sociálním pracovníkem. Pokud nájemce nebo členové jeho domácnosti závažně poruší nebo opakovaně porušují plán prevence ztráty bydlení, vyhotoví o tom sociální pracovník i bez žádosti zprávu a obecní úřad obce s rozšířenou působností ji doručí pronajímateli i nájemci.</w:t>
      </w:r>
    </w:p>
    <w:p w:rsidR="00682FBA" w:rsidRPr="00682FBA" w:rsidRDefault="00682FBA" w:rsidP="00682FBA">
      <w:pPr>
        <w:numPr>
          <w:ilvl w:val="0"/>
          <w:numId w:val="13"/>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Na zprávy podle odstavce 3 se správní řád nepoužije.</w:t>
      </w:r>
    </w:p>
    <w:p w:rsidR="00682FBA" w:rsidRPr="00682FBA" w:rsidRDefault="00682FBA" w:rsidP="00682FBA">
      <w:pPr>
        <w:numPr>
          <w:ilvl w:val="0"/>
          <w:numId w:val="13"/>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Formální náležitosti plánu prevence ztráty bydlení včetně zprávy o jeho plnění mohou být upraveny vyhláškou Ministerstva práce a sociálních věcí.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6</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Nájem sociálního bytu</w:t>
      </w:r>
    </w:p>
    <w:p w:rsidR="00682FBA" w:rsidRPr="00682FBA" w:rsidRDefault="00682FBA" w:rsidP="00682FBA">
      <w:pPr>
        <w:numPr>
          <w:ilvl w:val="0"/>
          <w:numId w:val="14"/>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Nájemní smlouvu k sociálnímu bytu lze uzavřít s fyzickou osobou ze způsobilé domácnosti na základě předložení osvědčení.</w:t>
      </w:r>
    </w:p>
    <w:p w:rsidR="00682FBA" w:rsidRPr="00682FBA" w:rsidRDefault="00682FBA" w:rsidP="00682FBA">
      <w:pPr>
        <w:numPr>
          <w:ilvl w:val="0"/>
          <w:numId w:val="14"/>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Pokud osvědčení obsahuje i doporučení podle § 4 odst. 3, může si veřejně prospěšná právnická osoba v oblasti bydlení v nájemní smlouvě vymínit, že nájemce a členové jeho domácnosti budou spolupracovat se sociálním pracovníkem na základě plánu prevence ztráty bydlení.</w:t>
      </w:r>
    </w:p>
    <w:p w:rsidR="00682FBA" w:rsidRPr="00682FBA" w:rsidRDefault="00682FBA" w:rsidP="00682FBA">
      <w:pPr>
        <w:numPr>
          <w:ilvl w:val="0"/>
          <w:numId w:val="14"/>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lastRenderedPageBreak/>
        <w:t xml:space="preserve">Nájemní smlouvu k sociálnímu bytu lze </w:t>
      </w:r>
      <w:bookmarkStart w:id="1" w:name="_Hlk70958611"/>
      <w:r w:rsidRPr="00682FBA">
        <w:rPr>
          <w:rFonts w:ascii="Times New Roman" w:eastAsia="Times New Roman" w:hAnsi="Times New Roman"/>
          <w:sz w:val="24"/>
          <w:szCs w:val="24"/>
          <w:lang w:eastAsia="cs-CZ"/>
        </w:rPr>
        <w:t xml:space="preserve">uzavřít nejméně na 1 rok a nejvýše na 2 roky; sociální byt, na nějž je uzavírána nájemní smlouva, nemůže být přelidněným bytem podle přílohy k tomuto zákonu. Nájemní dobu lze prodloužit nejméně o 1 rok a nejvýše o 2 roky, </w:t>
      </w:r>
      <w:bookmarkEnd w:id="1"/>
      <w:r w:rsidRPr="00682FBA">
        <w:rPr>
          <w:rFonts w:ascii="Times New Roman" w:eastAsia="Times New Roman" w:hAnsi="Times New Roman"/>
          <w:sz w:val="24"/>
          <w:szCs w:val="24"/>
          <w:lang w:eastAsia="cs-CZ"/>
        </w:rPr>
        <w:t xml:space="preserve">a to i opakovaně; nájemní smlouvu nelze prodloužit, jde-li o přelidněný byt podle přílohy k tomuto zákonu. Prodloužení nájemní doby je možné pouze v případě, že obecní úřad obce s rozšířenou působností osvědčí, že si nájemce a členové jeho domácnosti nemohou zajistit vyhovující bydlení na trhu; ustanovení § 3 až 5 se použijí obdobně. </w:t>
      </w:r>
    </w:p>
    <w:p w:rsidR="00682FBA" w:rsidRPr="00682FBA" w:rsidRDefault="00682FBA" w:rsidP="00682FBA">
      <w:pPr>
        <w:numPr>
          <w:ilvl w:val="0"/>
          <w:numId w:val="14"/>
        </w:numPr>
        <w:spacing w:before="100" w:beforeAutospacing="1" w:after="0"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případě nájmu sociálního bytu</w:t>
      </w:r>
    </w:p>
    <w:p w:rsidR="00682FBA" w:rsidRPr="00682FBA" w:rsidRDefault="00682FBA" w:rsidP="00682FBA">
      <w:pPr>
        <w:numPr>
          <w:ilvl w:val="0"/>
          <w:numId w:val="15"/>
        </w:numPr>
        <w:spacing w:before="100" w:beforeAutospacing="1" w:after="0" w:line="240" w:lineRule="auto"/>
        <w:ind w:left="1570"/>
        <w:jc w:val="both"/>
        <w:rPr>
          <w:rFonts w:ascii="Times New Roman" w:eastAsia="Times New Roman" w:hAnsi="Times New Roman"/>
          <w:sz w:val="24"/>
          <w:szCs w:val="24"/>
          <w:lang w:eastAsia="cs-CZ"/>
        </w:rPr>
      </w:pP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k ujednání peněžité jistoty podle § 2254 odst. 1 občanského zákoníku nepřihlíží,</w:t>
      </w:r>
    </w:p>
    <w:p w:rsidR="00682FBA" w:rsidRPr="00682FBA" w:rsidRDefault="00682FBA" w:rsidP="00682FBA">
      <w:pPr>
        <w:numPr>
          <w:ilvl w:val="0"/>
          <w:numId w:val="15"/>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platí, že si pronajímatel vyhradil souhlas s přijetím nového člena do nájemcovy domácnosti podle § 2272 odst. 2 občanského zákoníku,</w:t>
      </w:r>
    </w:p>
    <w:p w:rsidR="00682FBA" w:rsidRPr="00682FBA" w:rsidRDefault="00682FBA" w:rsidP="00682FBA">
      <w:pPr>
        <w:numPr>
          <w:ilvl w:val="0"/>
          <w:numId w:val="15"/>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je vyloučeno zvyšování nájemného podle § 2249 odst. 1 občanského zákoníku,</w:t>
      </w:r>
    </w:p>
    <w:p w:rsidR="00682FBA" w:rsidRPr="00682FBA" w:rsidRDefault="00682FBA" w:rsidP="00682FBA">
      <w:pPr>
        <w:numPr>
          <w:ilvl w:val="0"/>
          <w:numId w:val="15"/>
        </w:numPr>
        <w:spacing w:before="100" w:beforeAutospacing="1" w:after="0" w:line="240" w:lineRule="auto"/>
        <w:ind w:left="1570"/>
        <w:jc w:val="both"/>
        <w:rPr>
          <w:rFonts w:ascii="Times New Roman" w:eastAsia="Times New Roman" w:hAnsi="Times New Roman"/>
          <w:sz w:val="24"/>
          <w:szCs w:val="24"/>
          <w:lang w:eastAsia="cs-CZ"/>
        </w:rPr>
      </w:pP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za hrubé porušení povinností nájemce považuje také závažné porušení </w:t>
      </w:r>
      <w:proofErr w:type="gramStart"/>
      <w:r w:rsidRPr="00682FBA">
        <w:rPr>
          <w:rFonts w:ascii="Times New Roman" w:eastAsia="Times New Roman" w:hAnsi="Times New Roman"/>
          <w:sz w:val="24"/>
          <w:szCs w:val="24"/>
          <w:lang w:eastAsia="cs-CZ"/>
        </w:rPr>
        <w:t>nebo</w:t>
      </w:r>
      <w:proofErr w:type="gramEnd"/>
      <w:r w:rsidRPr="00682FBA">
        <w:rPr>
          <w:rFonts w:ascii="Times New Roman" w:eastAsia="Times New Roman" w:hAnsi="Times New Roman"/>
          <w:sz w:val="24"/>
          <w:szCs w:val="24"/>
          <w:lang w:eastAsia="cs-CZ"/>
        </w:rPr>
        <w:t xml:space="preserve"> opakované porušování plánu prevence ztráty bydlení, pokud je doloženo zprávou sociálního pracovníka podle § 5 odst. 3.</w:t>
      </w:r>
    </w:p>
    <w:p w:rsidR="00682FBA" w:rsidRPr="00682FBA" w:rsidRDefault="00682FBA" w:rsidP="00682FBA">
      <w:pPr>
        <w:numPr>
          <w:ilvl w:val="0"/>
          <w:numId w:val="14"/>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Podnájem sociálního bytu nebo jeho části se nepřipouští. Podnajme-li nájemce byť jen část sociálního bytu, jde o hrubé porušení jeho povinností vyplývajících z nájmu. </w:t>
      </w:r>
    </w:p>
    <w:p w:rsidR="00682FBA" w:rsidRPr="00682FBA" w:rsidRDefault="00682FBA" w:rsidP="00682FBA">
      <w:pPr>
        <w:numPr>
          <w:ilvl w:val="0"/>
          <w:numId w:val="14"/>
        </w:numPr>
        <w:spacing w:before="100" w:beforeAutospacing="1" w:after="100" w:afterAutospacing="1"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Zemře-li nájemce sociálního bytu a pronajímatel udělí souhlas s přechodem nájmu na třetí osobu podle § 2279 odst. 1 věty druhé občanského zákoníku, nájem nepřejde, nesplňuje-li třetí osoba podmínky pro prodloužení nájemní doby podle tohoto zákona.</w:t>
      </w: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7</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Nájemné v sociálním bytě</w:t>
      </w:r>
    </w:p>
    <w:p w:rsidR="00682FBA" w:rsidRPr="00682FBA" w:rsidRDefault="00682FBA" w:rsidP="00682FBA">
      <w:pPr>
        <w:numPr>
          <w:ilvl w:val="0"/>
          <w:numId w:val="16"/>
        </w:numPr>
        <w:spacing w:after="0"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Měsíční nájemné v sociálním bytě nesmí překročit mezní hodnotu nájemného, která se stanoví jako součin pořizovací ceny bytu nebo jednotky a koeficientu 0,00333 upravený o míru inflace vyjádřenou změnou ročního indexu spotřebitelských cen zveřejněnou Českým statistickým úřadem za rozhodné období. Rozhodným obdobím je doba od nabytí vlastnického práva k bytu nebo jednotce veřejně prospěšnou právnickou osobou v oblasti bydlení, nebo ode dne kolaudace bytu nebo jednotky k bydlení, nastane-li později, nejdříve však od získání statusu veřejné prospěšnosti v oblasti bydlení, do konce uplynulého kalendářního roku.</w:t>
      </w:r>
    </w:p>
    <w:p w:rsidR="00682FBA" w:rsidRPr="00682FBA" w:rsidRDefault="00682FBA" w:rsidP="00682FBA">
      <w:pPr>
        <w:numPr>
          <w:ilvl w:val="0"/>
          <w:numId w:val="16"/>
        </w:numPr>
        <w:spacing w:after="0" w:line="240" w:lineRule="auto"/>
        <w:ind w:left="1246"/>
        <w:contextualSpacing/>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Uplynula-li od začátku rozhodného období do uzavření nájemní smlouvy k sociálnímu bytu doba kratší než jeden rok, nesmí měsíční nájemné v sociálním bytě překročit mezní hodnotu nájemného, která se stanoví jako součin pořizovací ceny bytu nebo jednotky a koeficientu 0,00333.</w:t>
      </w:r>
    </w:p>
    <w:p w:rsidR="00682FBA" w:rsidRPr="00682FBA" w:rsidRDefault="00682FBA" w:rsidP="00682FBA">
      <w:pPr>
        <w:numPr>
          <w:ilvl w:val="0"/>
          <w:numId w:val="16"/>
        </w:numPr>
        <w:spacing w:after="0"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Pro účely výpočtu mezní hodnoty podle odstavců 1 a 2 se pořizovací cena bytu nebo jednotky navyšuje o náklady veřejně prospěšné právnické osoby v oblasti bydlení účelně vynaložené na opravu nebo rekonstrukci bytu nebo jednotky.</w:t>
      </w:r>
    </w:p>
    <w:p w:rsidR="00682FBA" w:rsidRPr="00682FBA" w:rsidRDefault="00682FBA" w:rsidP="00682FBA">
      <w:pPr>
        <w:numPr>
          <w:ilvl w:val="0"/>
          <w:numId w:val="16"/>
        </w:numPr>
        <w:spacing w:before="120" w:after="120" w:line="240" w:lineRule="auto"/>
        <w:ind w:left="1246"/>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případě bezúplatného nabytí vlastnického práva k bytu nebo jednotce se za pořizovací cenu bytu nebo jednotky považuje obvyklá cena bytu nebo jednotky určená znaleckým posudkem</w:t>
      </w:r>
      <w:r w:rsidRPr="00682FBA">
        <w:rPr>
          <w:rFonts w:ascii="Times New Roman" w:eastAsia="Times New Roman" w:hAnsi="Times New Roman"/>
          <w:sz w:val="24"/>
          <w:szCs w:val="24"/>
          <w:vertAlign w:val="superscript"/>
          <w:lang w:eastAsia="cs-CZ"/>
        </w:rPr>
        <w:footnoteReference w:id="2"/>
      </w:r>
      <w:r w:rsidRPr="00682FBA">
        <w:rPr>
          <w:rFonts w:ascii="Times New Roman" w:eastAsia="Times New Roman" w:hAnsi="Times New Roman"/>
          <w:sz w:val="24"/>
          <w:szCs w:val="24"/>
          <w:vertAlign w:val="superscript"/>
          <w:lang w:eastAsia="cs-CZ"/>
        </w:rPr>
        <w:t>)</w:t>
      </w:r>
      <w:r w:rsidRPr="00682FBA">
        <w:rPr>
          <w:rFonts w:ascii="Times New Roman" w:eastAsia="Times New Roman" w:hAnsi="Times New Roman"/>
          <w:sz w:val="24"/>
          <w:szCs w:val="24"/>
          <w:lang w:eastAsia="cs-CZ"/>
        </w:rPr>
        <w:t xml:space="preserve"> ke dni nabytí vlastnického práva k bytu nebo jednotce veřejně prospěšnou právnickou osobou v oblasti bydlení.</w:t>
      </w:r>
    </w:p>
    <w:p w:rsidR="00682FBA" w:rsidRPr="00682FBA" w:rsidRDefault="00682FBA" w:rsidP="00682FBA">
      <w:pPr>
        <w:spacing w:after="100" w:afterAutospacing="1" w:line="276" w:lineRule="auto"/>
        <w:ind w:left="1927"/>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8</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Status veřejné prospěšnosti v oblasti bydlení</w:t>
      </w:r>
    </w:p>
    <w:p w:rsidR="00682FBA" w:rsidRPr="00682FBA" w:rsidRDefault="00682FBA" w:rsidP="00682FBA">
      <w:pPr>
        <w:numPr>
          <w:ilvl w:val="0"/>
          <w:numId w:val="17"/>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Status veřejné prospěšnosti v oblasti bydlení lze přiznat:</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spolku,</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společnosti s ručením omezeným,</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evropské společnosti,</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akciové společnosti,</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evropské družstevní společnosti,</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družstvu,</w:t>
      </w:r>
    </w:p>
    <w:p w:rsidR="00682FBA" w:rsidRPr="00682FBA" w:rsidRDefault="00682FBA" w:rsidP="00682FBA">
      <w:pPr>
        <w:numPr>
          <w:ilvl w:val="0"/>
          <w:numId w:val="18"/>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nadaci,</w:t>
      </w:r>
    </w:p>
    <w:p w:rsidR="00682FBA" w:rsidRPr="00682FBA" w:rsidRDefault="00682FBA" w:rsidP="00682FBA">
      <w:pPr>
        <w:numPr>
          <w:ilvl w:val="0"/>
          <w:numId w:val="18"/>
        </w:numPr>
        <w:spacing w:before="100" w:beforeAutospacing="1" w:after="240"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nadačnímu fondu.</w:t>
      </w:r>
    </w:p>
    <w:p w:rsidR="00682FBA" w:rsidRPr="00682FBA" w:rsidRDefault="00682FBA" w:rsidP="00682FBA">
      <w:pPr>
        <w:numPr>
          <w:ilvl w:val="0"/>
          <w:numId w:val="17"/>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Název veřejně prospěšné právnické osoby v oblasti bydlení obsahuje slova „veřejná prospěšnost v oblasti bydlení“, nebo „veřejně prospěšná v oblasti bydlení“, nebo „veřejně prospěšné bydlení“, postačí však zkratka „</w:t>
      </w:r>
      <w:proofErr w:type="spellStart"/>
      <w:proofErr w:type="gramStart"/>
      <w:r w:rsidRPr="00682FBA">
        <w:rPr>
          <w:rFonts w:ascii="Times New Roman" w:eastAsia="Times New Roman" w:hAnsi="Times New Roman"/>
          <w:sz w:val="24"/>
          <w:szCs w:val="24"/>
          <w:lang w:eastAsia="cs-CZ"/>
        </w:rPr>
        <w:t>v.p.</w:t>
      </w:r>
      <w:proofErr w:type="gramEnd"/>
      <w:r w:rsidRPr="00682FBA">
        <w:rPr>
          <w:rFonts w:ascii="Times New Roman" w:eastAsia="Times New Roman" w:hAnsi="Times New Roman"/>
          <w:sz w:val="24"/>
          <w:szCs w:val="24"/>
          <w:lang w:eastAsia="cs-CZ"/>
        </w:rPr>
        <w:t>b</w:t>
      </w:r>
      <w:proofErr w:type="spellEnd"/>
      <w:r w:rsidRPr="00682FBA">
        <w:rPr>
          <w:rFonts w:ascii="Times New Roman" w:eastAsia="Times New Roman" w:hAnsi="Times New Roman"/>
          <w:sz w:val="24"/>
          <w:szCs w:val="24"/>
          <w:lang w:eastAsia="cs-CZ"/>
        </w:rPr>
        <w:t>.“ psaná na konci názvu.</w:t>
      </w:r>
    </w:p>
    <w:p w:rsidR="00682FBA" w:rsidRPr="00682FBA" w:rsidRDefault="00682FBA" w:rsidP="00682FBA">
      <w:pPr>
        <w:numPr>
          <w:ilvl w:val="0"/>
          <w:numId w:val="17"/>
        </w:numPr>
        <w:spacing w:before="120"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prospěšné právnické osoby v oblasti bydlení se zapisují do evidence veřejně prospěšných právnických osob v oblasti bydlení (dále jen „evidence“) podle § 14 odst. 7.  Veřejně prospěšná právnická osoba v oblasti bydlení má povinnost zajistit zápis názvu obsahující náležitosti podle odstavce 2 do příslušného veřejného rejstříku bez zbytečného odkladu po zápisu do evidence.</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9</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Zásady veřejné prospěšnosti v oblasti bydlení</w:t>
      </w:r>
    </w:p>
    <w:p w:rsidR="00682FBA" w:rsidRPr="00682FBA" w:rsidRDefault="00682FBA" w:rsidP="00682FBA">
      <w:pPr>
        <w:numPr>
          <w:ilvl w:val="0"/>
          <w:numId w:val="19"/>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Účelem veřejně prospěšné právnické osoby v oblasti bydlení je poskytovat bydlení na nákladovém principu.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Hlavním účelem veřejně prospěšné právnické osoby v oblasti bydlení nemůže být dosahování zisku nebo provozování obchodního závodu.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poskytuje bydlení členům, společníkům nebo veřejnosti, pokud zakladatelské právní jednání nestanoví, že se bydlení poskytuje pouze členům nebo společníkům.</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poskytující bydlení veřejnosti může omezit poskytování bydlení veřejnosti za transparentních a nediskriminačních kritérií, kterými jsou zejména poskytování bydlení jen osobám s trvalým pobytem v obci, kde je bydlení poskytováno, jen osobám, které se zaváží přihlásit se k trvalému pobytu v obci, kde je bydlení poskytováno, jen osobám bez jiného bydlení, nebo jen osobám bez vlastnictví nemovité věci určené k bydlení v místě, kde jsou přihlášeni k trvalému pobytu.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domech, bytech a jednotkách, které jsou určeny k bydlení, nesmí veřejně prospěšná právnická osoba v oblasti bydlení poskytovat ubytování ve smyslu občanského zákoníku.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nesmí poskytovat bydlení na jiném než nákladovém principu.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každoročně zveřejňuje v evidenci ekonomický model poskytování bydlení, a to nejpozději do 30. června každého roku.</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Zisk z činnosti veřejně prospěšné právnické osoby v oblasti bydlení lze použít pouze k podpoře účelu podle odstavce 1, a k jiné činnosti vedoucí k naplňování účelu podle odstavce 1, včetně správy veřejně prospěšné právnické osoby v oblasti bydlení.</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nerozděluje zisk.</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Tomu, jehož členství ve veřejně prospěšné právnické osobě v oblasti bydlení zaniká, nebo jeho právnímu nástupci nebude na vypořádacím podílu, náleží-li mu podle jiného zákona, vyplaceno více, než je výše jeho splaceného nebo vneseného vkladu do základního kapitálu v době ukončení jeho členství.</w:t>
      </w:r>
    </w:p>
    <w:p w:rsidR="00682FBA" w:rsidRPr="00682FBA" w:rsidRDefault="00682FBA" w:rsidP="00682FBA">
      <w:pPr>
        <w:numPr>
          <w:ilvl w:val="0"/>
          <w:numId w:val="19"/>
        </w:numPr>
        <w:spacing w:after="120" w:line="240" w:lineRule="auto"/>
        <w:ind w:left="1247" w:hanging="39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Na podílu na likvidačním zůstatku nebude tomu, komu náleží podle jiného zákona, vyplaceno více, než je výše jeho splaceného nebo vneseného vkladu do veřejně prospěšné právnické osoby v oblasti bydlení, v době splatnosti podílu na likvidačním zůstatku, a zbylý likvidační zůstatek připadne podle rozhodnutí nejvyššího orgánu veřejně prospěšné právnické osoby v oblasti bydlení jiné veřejně prospěšné právnické osobě v oblasti bydlení, pokud s tím její nejvyšší orgán souhlasí. Pokud není žádná veřejně prospěšná právnická osoba v oblasti bydlení, která by likvidační zůstatek přijala, připadne České republice. Jiný způsob naložení s likvidačním zůstatkem není přípustný.</w:t>
      </w:r>
    </w:p>
    <w:p w:rsidR="00682FBA" w:rsidRPr="00682FBA" w:rsidRDefault="00682FBA" w:rsidP="00682FBA">
      <w:pPr>
        <w:spacing w:after="100" w:afterAutospacing="1" w:line="276" w:lineRule="auto"/>
        <w:ind w:left="1927"/>
        <w:contextualSpacing/>
        <w:jc w:val="both"/>
        <w:rPr>
          <w:rFonts w:ascii="Times New Roman" w:eastAsia="Times New Roman" w:hAnsi="Times New Roman"/>
          <w:sz w:val="24"/>
          <w:szCs w:val="24"/>
          <w:lang w:eastAsia="cs-CZ"/>
        </w:rPr>
      </w:pPr>
      <w:bookmarkStart w:id="2" w:name="_Hlk73705281"/>
    </w:p>
    <w:bookmarkEnd w:id="2"/>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10</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Základní práva obce, kraje a České republiky</w:t>
      </w:r>
    </w:p>
    <w:p w:rsidR="00682FBA" w:rsidRPr="00682FBA" w:rsidRDefault="00682FBA" w:rsidP="00682FBA">
      <w:pPr>
        <w:numPr>
          <w:ilvl w:val="0"/>
          <w:numId w:val="20"/>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Vlastnické právo obce, kraje, nebo České republiky k pozemku, domu nebo jednotce či jiné právo k pozemku, domu nebo jednotce může být převedeno do majetku veřejně prospěšných právnických osob v oblasti bydlení bezúplatně. Právo převedené bezúplatně obcí, krajem, nebo Českou republikou do majetku veřejně prospěšné právnické osoby v oblasti bydlení, jejímž členem, nebo společníkem je obec, kraj nebo Česká republika, nelze bez souhlasu obce, kraje, nebo České republiky zcizit, ani zatížit, ani nelze změnit zakladatelské právní jednání, neurčí-li zakladatelské právní jednání jinak.</w:t>
      </w:r>
    </w:p>
    <w:p w:rsidR="00682FBA" w:rsidRPr="00682FBA" w:rsidRDefault="00682FBA" w:rsidP="00682FBA">
      <w:pPr>
        <w:numPr>
          <w:ilvl w:val="0"/>
          <w:numId w:val="20"/>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 doby úplného splacení dluhu veřejně prospěšnou právnickou osobou v oblasti bydlení vázne na pozemku, domu nebo jednotce zástavní právo ve prospěch obce, kraje, nebo České republiky, pokud se strany nedohodnou jinak. Návrh na zápis zástavního práva se podává s návrhem na vklad vlastnického práva či jiného práva do katastru nemovitostí.</w:t>
      </w:r>
    </w:p>
    <w:p w:rsidR="00682FBA" w:rsidRPr="00682FBA" w:rsidRDefault="00682FBA" w:rsidP="00682FBA">
      <w:pPr>
        <w:numPr>
          <w:ilvl w:val="0"/>
          <w:numId w:val="20"/>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 Likvidátor je při likvidaci veřejně prospěšné právnické osoby v oblasti bydlení povinen přednostně nabídnout obci, kraji nebo České republice ke koupi za cenu obvyklou pozemek, dům nebo jednotku, k níž obec, kraj nebo Česká republika převedla vlastnické právo na veřejně prospěšnou právnickou osobu v oblasti bydlení. Pokud bylo vlastnické právo k pozemku, domu nebo jednotce převedeno na veřejně prospěšnou právnickou osobu v oblasti bydlení bezúplatně, je likvidátor povinen nabídnout obci, kraji nebo České republice bezúplatný převod vlastnického práva k tomuto pozemku, domu nebo jednotce. Lhůta pro přijetí nabídky činí alespoň 6 měsíců. Ustanovení § 11 odst. 4 se pro přednostní nabídky podle tohoto odstavce nepoužije.</w:t>
      </w:r>
    </w:p>
    <w:p w:rsidR="00682FBA" w:rsidRPr="00682FBA" w:rsidRDefault="00682FBA" w:rsidP="00682FBA">
      <w:pPr>
        <w:spacing w:after="100" w:afterAutospacing="1" w:line="276" w:lineRule="auto"/>
        <w:ind w:left="1246"/>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11</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Omezení spojená s veřejnou prospěšností v oblasti bydlení</w:t>
      </w:r>
    </w:p>
    <w:p w:rsidR="00682FBA" w:rsidRPr="00682FBA" w:rsidRDefault="00682FBA" w:rsidP="00682FBA">
      <w:pPr>
        <w:numPr>
          <w:ilvl w:val="0"/>
          <w:numId w:val="2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Převod podílu ve veřejně prospěšné právnické osobě v oblasti bydlení se zakazuje.</w:t>
      </w:r>
    </w:p>
    <w:p w:rsidR="00682FBA" w:rsidRPr="00682FBA" w:rsidRDefault="00682FBA" w:rsidP="00682FBA">
      <w:pPr>
        <w:numPr>
          <w:ilvl w:val="0"/>
          <w:numId w:val="2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Nelze postoupit nájem bytu v domě či jednotky ve vlastnictví veřejně prospěšné právnické osoby v oblasti bydlení.</w:t>
      </w:r>
    </w:p>
    <w:p w:rsidR="00682FBA" w:rsidRPr="00682FBA" w:rsidRDefault="00682FBA" w:rsidP="00682FBA">
      <w:pPr>
        <w:numPr>
          <w:ilvl w:val="0"/>
          <w:numId w:val="2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Podnájem dostupného bytu nebo jeho části se nepřipouští. Podnajme-li nájemce byť jen část sociálního nebo dostupného bytu, jde o hrubé porušení jeho povinnosti vyplývající z nájmu.</w:t>
      </w:r>
    </w:p>
    <w:p w:rsidR="00682FBA" w:rsidRPr="00682FBA" w:rsidRDefault="00682FBA" w:rsidP="00682FBA">
      <w:pPr>
        <w:numPr>
          <w:ilvl w:val="0"/>
          <w:numId w:val="2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Zakazuje se převod vlastnického práva k pozemku, domu či jednotce ve vlastnictví veřejně prospěšné právnické osoby v oblasti bydlení na fyzickou osobu a na právnickou osobu, která není veřejně prospěšná v oblasti bydlení.</w:t>
      </w:r>
    </w:p>
    <w:p w:rsidR="00682FBA" w:rsidRPr="00682FBA" w:rsidRDefault="00682FBA" w:rsidP="00682FBA">
      <w:pPr>
        <w:numPr>
          <w:ilvl w:val="0"/>
          <w:numId w:val="2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Pozemek, dům ani jednotku ve vlastnictví veřejně prospěšné právnické osoby v oblasti bydlení nelze vyčlenit do </w:t>
      </w:r>
      <w:proofErr w:type="spellStart"/>
      <w:r w:rsidRPr="00682FBA">
        <w:rPr>
          <w:rFonts w:ascii="Times New Roman" w:eastAsia="Times New Roman" w:hAnsi="Times New Roman"/>
          <w:sz w:val="24"/>
          <w:szCs w:val="24"/>
          <w:lang w:eastAsia="cs-CZ"/>
        </w:rPr>
        <w:t>svěřenského</w:t>
      </w:r>
      <w:proofErr w:type="spellEnd"/>
      <w:r w:rsidRPr="00682FBA">
        <w:rPr>
          <w:rFonts w:ascii="Times New Roman" w:eastAsia="Times New Roman" w:hAnsi="Times New Roman"/>
          <w:sz w:val="24"/>
          <w:szCs w:val="24"/>
          <w:lang w:eastAsia="cs-CZ"/>
        </w:rPr>
        <w:t xml:space="preserve"> fondu. Je-li předmětem veřejné dražby dobrovolné podle zákona o veřejných dražbách pozemek, dům nebo jednotka ve vlastnictví veřejně prospěšné právnické osoby v oblasti bydlení, mohou být účastníky dražby pouze jiné veřejně prospěšné právnické osoby v oblasti bydlení. Ustanovení § 3 odst. 1 zákona o veřejných dražbách se nepoužije.</w:t>
      </w:r>
    </w:p>
    <w:p w:rsidR="00682FBA" w:rsidRPr="00682FBA" w:rsidRDefault="00682FBA" w:rsidP="00682FBA">
      <w:pPr>
        <w:spacing w:after="100" w:afterAutospacing="1" w:line="276" w:lineRule="auto"/>
        <w:ind w:left="1246"/>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bookmarkStart w:id="3" w:name="_Hlk66900957"/>
      <w:r w:rsidRPr="00682FBA">
        <w:rPr>
          <w:rFonts w:ascii="Times New Roman" w:eastAsia="Times New Roman" w:hAnsi="Times New Roman"/>
          <w:sz w:val="24"/>
          <w:szCs w:val="24"/>
          <w:lang w:eastAsia="cs-CZ"/>
        </w:rPr>
        <w:t>§ 12</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Orgány dostupnosti bydlení</w:t>
      </w:r>
    </w:p>
    <w:bookmarkEnd w:id="3"/>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Starosta obce s rozšířenou působností zřizuje orgán dostupnosti bydlení obce, starosta městské části hlavního města Prahy zřizuje orgán dostupnosti bydlení městské části. Na činnost orgánu dostupnosti bydlení městské části se použijí obdobně ustanovení o činnosti orgánu dostupnosti bydlení obce. Hejtman zřizuje orgán dostupnosti bydlení kraje, primátor hlavního města Prahy zřizuje orgán dostupnosti bydlení hlavního města Prahy. Na činnost orgánu dostupnosti bydlení hlavního města Prahy se použijí obdobně ustanovení o činnosti orgánu dostupnosti bydlení kraje. Činnost těchto orgánů dostupnosti bydlení je výkonem státní správy v přenesené působnosti.</w:t>
      </w:r>
    </w:p>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Ústředním orgánem dostupnosti bydlení je Ministerstvo pro místní rozvoj (dále jen „ministerstvo“).</w:t>
      </w:r>
    </w:p>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Členy orgánu dostupnosti bydlení obce jmenuje a odvolává starosta. Členové orgánu dostupnosti bydlení obce musejí být zaměstnanci obce s rozšířenou působností. Orgán dostupnosti bydlení obce se skládá alespoň z jeho předsedy, který musí mít právnické vzdělání. Starosta může jmenovat také místopředsedu orgánu dostupnosti bydlení obce, který musí mít právnické vzdělání, a další členy orgánu dostupnosti bydlení obce. Orgán dostupnosti bydlení obce je schopen jednat a usnášet se, je-li přítomen jeho předseda nebo místopředseda a zároveň nadpoloviční většina všech členů orgánu dostupnosti bydlení obce. Tvoří-li orgán dostupnosti bydlení obce šest a více členů, je schopen jednat a usnášet se, je-li přítomen jeho předseda nebo místopředseda a nejméně další dva členové orgánu dostupnosti bydlení obce. Orgán dostupnosti bydlení obce se usnáší většinou hlasů přítomných členů. Při rovnosti hlasů rozhoduje hlas předsedy, a není-li přítomen předseda, rozhoduje hlas místopředsedy.</w:t>
      </w:r>
    </w:p>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Pro orgán dostupnosti bydlení kraje se odstavec 3 použije obdobně. </w:t>
      </w:r>
    </w:p>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Orgány dostupnosti bydlení neposkytují sociální služby, ani nevykonávají činnosti sociální práce podle zvláštního zákona.</w:t>
      </w:r>
    </w:p>
    <w:p w:rsidR="00682FBA" w:rsidRPr="00682FBA" w:rsidRDefault="00682FBA" w:rsidP="00682FBA">
      <w:pPr>
        <w:numPr>
          <w:ilvl w:val="0"/>
          <w:numId w:val="2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Sociální pracovník nevykonává působnost orgánů dostupnosti bydlení.</w:t>
      </w:r>
    </w:p>
    <w:p w:rsidR="00682FBA" w:rsidRPr="00682FBA" w:rsidRDefault="00682FBA" w:rsidP="00682FBA">
      <w:pPr>
        <w:spacing w:after="100" w:afterAutospacing="1" w:line="276" w:lineRule="auto"/>
        <w:ind w:left="1246"/>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13</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Přiznávání statusu veřejné prospěšnosti v oblasti bydlení</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 přiznání statusu veřejné prospěšnosti v oblasti bydlení rozhoduje orgán dostupnosti bydlení kraje, na jehož území má právnická osoba sídlo.</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Je-li kraj zakladatelem, společníkem nebo členem právnické osoby, která žádá o přiznání statusu veřejné prospěšnosti v oblasti bydlení, rozhoduje o jeho přiznání ministerstvo.</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Je-li Česká republika zakladatelem, společníkem nebo členem právnické osoby, která žádá o přiznání statusu veřejné prospěšnosti v oblasti bydlení, rozhoduje o jeho přiznání ministerstvo.</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Status veřejné prospěšnosti v oblasti bydlení se přizná na žádost právnické osoby, pokud </w:t>
      </w:r>
    </w:p>
    <w:p w:rsidR="00682FBA" w:rsidRPr="00682FBA" w:rsidRDefault="00682FBA" w:rsidP="00682FBA">
      <w:pPr>
        <w:numPr>
          <w:ilvl w:val="0"/>
          <w:numId w:val="24"/>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žádost obsahuje mimo obecných náležitostí náležitosti podle § 15,</w:t>
      </w:r>
    </w:p>
    <w:p w:rsidR="00682FBA" w:rsidRPr="00682FBA" w:rsidRDefault="00682FBA" w:rsidP="00682FBA">
      <w:pPr>
        <w:numPr>
          <w:ilvl w:val="0"/>
          <w:numId w:val="24"/>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 svém zakladatelském právním jednání určí, že hlavním předmětem činnosti je poskytování bydlení,</w:t>
      </w:r>
    </w:p>
    <w:p w:rsidR="00682FBA" w:rsidRPr="00682FBA" w:rsidRDefault="00682FBA" w:rsidP="00682FBA">
      <w:pPr>
        <w:numPr>
          <w:ilvl w:val="0"/>
          <w:numId w:val="24"/>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doloží, že na rozhodování právnické osoby mají podstatný vliv jen bezúhonné osoby,</w:t>
      </w:r>
    </w:p>
    <w:p w:rsidR="00682FBA" w:rsidRPr="00682FBA" w:rsidRDefault="00682FBA" w:rsidP="00682FBA">
      <w:pPr>
        <w:numPr>
          <w:ilvl w:val="0"/>
          <w:numId w:val="24"/>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doloží, že nabyla majetek z poctivých zdrojů,</w:t>
      </w:r>
    </w:p>
    <w:p w:rsidR="00682FBA" w:rsidRPr="00682FBA" w:rsidRDefault="00682FBA" w:rsidP="00682FBA">
      <w:pPr>
        <w:numPr>
          <w:ilvl w:val="0"/>
          <w:numId w:val="24"/>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splňuje další náležitosti stanovené tímto zákonem.</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 osobu mající podstatný vliv na rozhodování veřejně prospěšné právnické osoby v oblasti bydlení se pro účely tohoto zákona vždy považuje</w:t>
      </w:r>
    </w:p>
    <w:p w:rsidR="00682FBA" w:rsidRPr="00682FBA" w:rsidRDefault="00682FBA" w:rsidP="00682FBA">
      <w:pPr>
        <w:numPr>
          <w:ilvl w:val="0"/>
          <w:numId w:val="25"/>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osoba, která je členem jejího statutárního orgánu nebo kontrolního orgánu, je-li zřízen,</w:t>
      </w:r>
    </w:p>
    <w:p w:rsidR="00682FBA" w:rsidRPr="00682FBA" w:rsidRDefault="00682FBA" w:rsidP="00682FBA">
      <w:pPr>
        <w:numPr>
          <w:ilvl w:val="0"/>
          <w:numId w:val="25"/>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osoba zastupující v jejím statutárním orgánu nebo kontrolním orgánu, je-li zřízen, právnickou </w:t>
      </w:r>
      <w:proofErr w:type="gramStart"/>
      <w:r w:rsidRPr="00682FBA">
        <w:rPr>
          <w:rFonts w:ascii="Times New Roman" w:eastAsia="Times New Roman" w:hAnsi="Times New Roman"/>
          <w:sz w:val="24"/>
          <w:szCs w:val="24"/>
          <w:lang w:eastAsia="cs-CZ"/>
        </w:rPr>
        <w:t>osobu</w:t>
      </w:r>
      <w:proofErr w:type="gramEnd"/>
      <w:r w:rsidRPr="00682FBA">
        <w:rPr>
          <w:rFonts w:ascii="Times New Roman" w:eastAsia="Times New Roman" w:hAnsi="Times New Roman"/>
          <w:sz w:val="24"/>
          <w:szCs w:val="24"/>
          <w:lang w:eastAsia="cs-CZ"/>
        </w:rPr>
        <w:t>, která je členem takového orgánu, nebo</w:t>
      </w:r>
    </w:p>
    <w:p w:rsidR="00682FBA" w:rsidRPr="00682FBA" w:rsidRDefault="00682FBA" w:rsidP="00682FBA">
      <w:pPr>
        <w:numPr>
          <w:ilvl w:val="0"/>
          <w:numId w:val="25"/>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ovládající osoba této veřejně prospěšné právnické osoby, jde-li o obchodní korporaci.</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 bezúhonnou se nepovažuje osoba, která byla pravomocně odsouzena pro přečin spáchaný v souvislosti s činností přispívající k dosahování obecného blaha nebo pro zločin. To neplatí, pokud se na ni hledí, jako by nebyla odsouzena. Bezúhonnost se dokládá ne více než 3 měsíce starým výpisem z evidence Rejstříku trestů, u cizinců či zahraničních právnických osob ne více než 3 měsíce starým výpisem z evidence trestů nebo rovnocenným dokladem vydaným cizím státem, kde měla v předchozích 3 letech fyzická osoba bydliště nebo právnická osoba sídlo. Nevydává-li cizí stát výpis z evidence trestů nebo rovnocenný doklad, předloží právnická osoba čestné prohlášení o bezúhonnosti s úředně ověřeným podpisem.</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K prokázání poctivosti zdrojů majetku, který právnická osoba nabyla, slouží</w:t>
      </w:r>
    </w:p>
    <w:p w:rsidR="00682FBA" w:rsidRPr="00682FBA" w:rsidRDefault="00682FBA" w:rsidP="00682FBA">
      <w:pPr>
        <w:numPr>
          <w:ilvl w:val="0"/>
          <w:numId w:val="26"/>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účetní závěrka, nebo jde-li o právnickou osobu vedoucí jednoduché účetnictví, přehled o majetku a závazcích a přehled o příjmech a výdajích, za účetní období bezprostředně předcházející dni podání návrhu na zahájení tohoto řízení, </w:t>
      </w:r>
    </w:p>
    <w:p w:rsidR="00682FBA" w:rsidRPr="00682FBA" w:rsidRDefault="00682FBA" w:rsidP="00682FBA">
      <w:pPr>
        <w:numPr>
          <w:ilvl w:val="0"/>
          <w:numId w:val="26"/>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zpráva auditora o ověření účetní závěrky podle písmene a), je-li právnická osoba povinna mít účetní závěrku ověřenou auditorem.</w:t>
      </w:r>
    </w:p>
    <w:p w:rsidR="00682FBA" w:rsidRPr="00682FBA" w:rsidRDefault="00682FBA" w:rsidP="00682FBA">
      <w:pPr>
        <w:numPr>
          <w:ilvl w:val="0"/>
          <w:numId w:val="2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Podá-li právnická osoba žádost o přiznání statusu veřejné prospěšnosti v oblasti bydlení do 1 roku od svého vzniku, odstavec 7 se nepoužije a právnická osoba namísto listin uvedených v odstavci 7 uvede</w:t>
      </w:r>
    </w:p>
    <w:p w:rsidR="00682FBA" w:rsidRPr="00682FBA" w:rsidRDefault="00682FBA" w:rsidP="00682FBA">
      <w:pPr>
        <w:numPr>
          <w:ilvl w:val="0"/>
          <w:numId w:val="27"/>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předpokládané zdroje svých výnosů a předpokládaný způsob jejich použití na bydlení nebo svůj další rozvoj,</w:t>
      </w:r>
    </w:p>
    <w:p w:rsidR="00682FBA" w:rsidRPr="00682FBA" w:rsidRDefault="00682FBA" w:rsidP="00682FBA">
      <w:pPr>
        <w:numPr>
          <w:ilvl w:val="0"/>
          <w:numId w:val="27"/>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předpokládané náklady na vlastní správu,</w:t>
      </w:r>
    </w:p>
    <w:p w:rsidR="00682FBA" w:rsidRPr="00682FBA" w:rsidRDefault="00682FBA" w:rsidP="00682FBA">
      <w:pPr>
        <w:numPr>
          <w:ilvl w:val="0"/>
          <w:numId w:val="27"/>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předpokládaný počet zaměstnanců spolu s předpokládaným souhrnem výše jejich mezd a odměn z dohody a</w:t>
      </w:r>
    </w:p>
    <w:p w:rsidR="00682FBA" w:rsidRPr="00682FBA" w:rsidRDefault="00682FBA" w:rsidP="00682FBA">
      <w:pPr>
        <w:numPr>
          <w:ilvl w:val="0"/>
          <w:numId w:val="27"/>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předpokládaný součet 5 nejvyšších ročních příjmů osob z okruhu zahrnujícího členy orgánu a zaměstnance, které mají být vyplaceny v souvislosti s působením v této osobě.</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14</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 xml:space="preserve">Evidence veřejně prospěšných právnických osob v oblasti bydlení </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Zřizuje se evidence, ve které se evidují veřejně prospěšné právnické osoby v oblasti bydlení a listiny vztahující se ke statusu veřejné prospěšnosti v oblasti bydlení těchto právnických osob.</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Evidenci vedou krajské úřady.</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Evidence je veřejná.</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evidenci jsou u jednotlivých právnických osob uvedeny tyto údaje:</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den přiznání statusu veřejné prospěšnosti v oblasti bydlení,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údaje o členech statutárních orgánů určených k jednání ve věcech bydlení a jejich kontaktní údaje, a to alespoň telefonní číslo, e-mailová adresa, doručovací adresa a identifikátor datové schránky, má-li ji právnická osoba zřízenu,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adresa internetových stránek, pokud je právnická osoba provozuje,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podmínky členství v právnické osobě, transparentní a nediskriminační kritéria pro poskytování nájemního bydlení veřejnosti, pokud si je stanovila,</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přehled nemovitých věcí určených k poskytování bydlení právnickou osobou evidovaných v katastru nemovitostí, včetně vlastností bytů,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uvažovaná výstavba či koupě domů, nebo jiné zajištění bydlení, včetně vlastností bytů a jednotek,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ekonomický model poskytování bydlení, </w:t>
      </w:r>
    </w:p>
    <w:p w:rsidR="00682FBA" w:rsidRPr="00682FBA" w:rsidRDefault="00682FBA" w:rsidP="00682FBA">
      <w:pPr>
        <w:numPr>
          <w:ilvl w:val="0"/>
          <w:numId w:val="29"/>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dlouhodobý plán poskytování bydlení, </w:t>
      </w:r>
    </w:p>
    <w:p w:rsidR="00682FBA" w:rsidRPr="00682FBA" w:rsidRDefault="00682FBA" w:rsidP="00682FBA">
      <w:pPr>
        <w:numPr>
          <w:ilvl w:val="0"/>
          <w:numId w:val="29"/>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údaje o počtu a vlastnostech volných bytů a jednotek, včetně výše nájemného.</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Z listin se ve sbírce listin evidence evidují zejména </w:t>
      </w:r>
    </w:p>
    <w:p w:rsidR="00682FBA" w:rsidRPr="00682FBA" w:rsidRDefault="00682FBA" w:rsidP="00682FBA">
      <w:pPr>
        <w:numPr>
          <w:ilvl w:val="0"/>
          <w:numId w:val="30"/>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zakladatelské právní jednání, </w:t>
      </w:r>
    </w:p>
    <w:p w:rsidR="00682FBA" w:rsidRPr="00682FBA" w:rsidRDefault="00682FBA" w:rsidP="00682FBA">
      <w:pPr>
        <w:numPr>
          <w:ilvl w:val="0"/>
          <w:numId w:val="30"/>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stavební dokumentace domu či jednotky, </w:t>
      </w:r>
    </w:p>
    <w:p w:rsidR="00682FBA" w:rsidRPr="00682FBA" w:rsidRDefault="00682FBA" w:rsidP="00682FBA">
      <w:pPr>
        <w:numPr>
          <w:ilvl w:val="0"/>
          <w:numId w:val="30"/>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nabývací tituly k pozemku, domu či jednotce, </w:t>
      </w:r>
    </w:p>
    <w:p w:rsidR="00682FBA" w:rsidRPr="00682FBA" w:rsidRDefault="00682FBA" w:rsidP="00682FBA">
      <w:pPr>
        <w:numPr>
          <w:ilvl w:val="0"/>
          <w:numId w:val="30"/>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dokumenty o financování pozemku, domu či jednotky, </w:t>
      </w:r>
    </w:p>
    <w:p w:rsidR="00682FBA" w:rsidRPr="00682FBA" w:rsidRDefault="00682FBA" w:rsidP="00682FBA">
      <w:pPr>
        <w:numPr>
          <w:ilvl w:val="0"/>
          <w:numId w:val="30"/>
        </w:numPr>
        <w:spacing w:before="100" w:beforeAutospacing="1" w:after="0" w:line="240" w:lineRule="auto"/>
        <w:ind w:left="157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vzorové nájemní smlouvy a </w:t>
      </w:r>
    </w:p>
    <w:p w:rsidR="00682FBA" w:rsidRPr="00682FBA" w:rsidRDefault="00682FBA" w:rsidP="00682FBA">
      <w:pPr>
        <w:numPr>
          <w:ilvl w:val="0"/>
          <w:numId w:val="30"/>
        </w:numPr>
        <w:spacing w:before="100" w:beforeAutospacing="1" w:after="100" w:afterAutospacing="1" w:line="240" w:lineRule="auto"/>
        <w:ind w:left="1564" w:hanging="35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rozvahy a výsledky hospodaření.</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Zakladatelské právní jednání, nabývací tituly k pozemku, domu či jednotce, rozvahy a výsledky hospodaření si obstará krajský úřad z veřejných seznamů a veřejných rejstříků a založí je do sbírky listin evidence.</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Přiznal-li status veřejné prospěšnosti v oblasti bydlení orgán dostupnosti bydlení kraje, zapíše krajský úřad veřejně prospěšnou právnickou osobu v oblasti bydlení do evidence do 7 dnů ode dne přiznání statusu veřejné prospěšnosti v oblasti bydlení. Přiznalo-li status veřejné prospěšnosti v oblasti bydlení ministerstvo, podá do 7 dnů ode dne přiznání statusu veřejné prospěšnosti v oblasti bydlení krajskému úřadu, v jehož obvodu má veřejně prospěšná právnická osoba v oblasti bydlení sídlo, návrh na zápis této právnické osoby do evidence a krajský úřad tuto právnickou osobu do evidence zapíše do 7 dnů od doručení návrhu.</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Změní-li se údaje evidované v evidenci, podá člen statutárního orgánu určený k jednání ve věcech bydlení, nebo osoba, která na tom má právní zájem, návrh na zápis změny údajů s listinami, které dokládají změnu údajů, a to do 1 měsíce od změny údajů, s výjimkou údaje o počtu a vlastnostech volných bytů a jednotek, včetně výše nájemného, a o členech statutárních orgánů určených k jednání ve věcech bydlení a jejich kontaktních údajích, o nichž se učiní návrh na zápis bez zbytečného odkladu.</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Člen statutárního orgánu určený k jednání ve věcech bydlení, nebo osoba, která na tom má právní zájem, rovněž zakládá do sbírky listin aktuální listiny, a to nejpozději do 1 měsíce po tom, co k jejich změně došlo.</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Krajský úřad může zahájit řízení o změně údaje a založit listinu do sbírky listin, dozví-li se o změně nebo má-li listinu k dispozici, i bez návrhu.</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Porušení povinnosti podle odstavce 8 a 9 členem statutárního orgánu určeného k jednání ve věcech bydlení je přestupkem, za nějž může krajský úřad uložit tomuto členu statutárního orgánu pokutu až 20 000 Kč.</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Krajský úřad může udělit pořádkovou pokutu osobě zapsané v evidenci tehdy, jestliže neuposlechla výzvy krajského úřadu, aby mu sdělila skutečnosti nebo předložila listiny potřebné k rozhodnutí v zahájeném řízení nebo aby mu předložila listiny, které podle tohoto zákona mají být založeny do sbírky listin; pořádkovou pokutu lze uložit až do výše 20 000 Kč, a to i opakovaně.</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Evidence je veřejně přístupná způsobem umožňujícím dálkový přístup. Ministerstvo zajistí zpřístupnění evidence způsobem umožňujícím dálkový přístup. </w:t>
      </w:r>
    </w:p>
    <w:p w:rsidR="00682FBA" w:rsidRPr="00682FBA" w:rsidRDefault="00682FBA" w:rsidP="00682FBA">
      <w:pPr>
        <w:numPr>
          <w:ilvl w:val="0"/>
          <w:numId w:val="28"/>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Ministerstvo může vydat vyhlášku, kterou upraví podrobnosti zpřístupnění evidence způsobem umožňujícím dálkový přístup a její správy.</w:t>
      </w:r>
    </w:p>
    <w:p w:rsidR="00682FBA" w:rsidRPr="00682FBA" w:rsidRDefault="00682FBA" w:rsidP="00682FBA">
      <w:pPr>
        <w:spacing w:before="100" w:beforeAutospacing="1" w:after="100" w:afterAutospacing="1" w:line="276" w:lineRule="auto"/>
        <w:contextualSpacing/>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15</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Žádost o udělení veřejné prospěšnosti v oblasti bydlení</w:t>
      </w:r>
    </w:p>
    <w:p w:rsidR="00682FBA" w:rsidRPr="00682FBA" w:rsidRDefault="00682FBA" w:rsidP="00682FBA">
      <w:pPr>
        <w:spacing w:before="100" w:beforeAutospacing="1" w:after="100" w:afterAutospacing="1" w:line="276" w:lineRule="auto"/>
        <w:ind w:left="127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Součástí žádosti o udělení veřejné prospěšnosti v oblasti bydlení jsou také údaje zapisované do evidence podle § 14 odst. 4 a listiny zakládané do evidence podle § 14 odst. 5.</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16</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Informace o bydlení</w:t>
      </w:r>
    </w:p>
    <w:p w:rsidR="00682FBA" w:rsidRPr="00682FBA" w:rsidRDefault="00682FBA" w:rsidP="00682FBA">
      <w:pPr>
        <w:numPr>
          <w:ilvl w:val="0"/>
          <w:numId w:val="3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Krajské úřady vhodným způsobem informují orgán dostupnosti bydlení obce do 1 měsíce po zápisu veřejně prospěšné právnické osoby v oblasti bydlení do evidence, která má sídlo v obvodu této obce, nebo v jejímž obvodu se nachází nemovitá věc evidovaná v katastru nemovitostí určená k poskytování bydlení touto právnickou osobou, a to minimálně v rozsahu údajů zapisovaných do evidence podle § 14 odst. 4.</w:t>
      </w:r>
    </w:p>
    <w:p w:rsidR="00682FBA" w:rsidRPr="00682FBA" w:rsidRDefault="00682FBA" w:rsidP="00682FBA">
      <w:pPr>
        <w:numPr>
          <w:ilvl w:val="0"/>
          <w:numId w:val="3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Dojde-li ke změně zápisu údaje o počtu a vlastnostech volných bytů a jednotek, včetně výše nájemného, a o členech statutárních orgánů určených k jednání ve věcech bydlení a jejich kontaktních údajích v evidenci, krajský úřad vhodným způsobem informuje orgán dostupnosti bydlení obce bez zbytečného odkladu.</w:t>
      </w:r>
    </w:p>
    <w:p w:rsidR="00682FBA" w:rsidRPr="00682FBA" w:rsidRDefault="00682FBA" w:rsidP="00682FBA">
      <w:pPr>
        <w:numPr>
          <w:ilvl w:val="0"/>
          <w:numId w:val="31"/>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Obec s rozšířenou působností zveřejňuje informace o názvu veřejně prospěšné právnické osoby v oblasti bydlení, která má sídlo v jejím obvodu nebo v jejímž obvodu se nachází nemovitá věc evidovaná v katastru nemovitostí určená k poskytování bydlení takovou právnickou osobou, spolu s informacemi o identifikačním číslu veřejně prospěšné právnické osoby v oblasti bydlení, dni přiznání statusu veřejné prospěšnosti v oblasti bydlení a údaji podle odstavce 2 na úřední desce nebo na jiném vhodném místě, a to bez zbytečného odkladu.</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17</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Stavba domů</w:t>
      </w:r>
    </w:p>
    <w:p w:rsidR="00682FBA" w:rsidRPr="00682FBA" w:rsidRDefault="00682FBA" w:rsidP="00682FBA">
      <w:pPr>
        <w:numPr>
          <w:ilvl w:val="0"/>
          <w:numId w:val="3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staví či jinak zajišťuje stavbu nebo koupi domů, bytů a jednotek na neziskovém principu.</w:t>
      </w:r>
    </w:p>
    <w:p w:rsidR="00682FBA" w:rsidRPr="00682FBA" w:rsidRDefault="00682FBA" w:rsidP="00682FBA">
      <w:pPr>
        <w:numPr>
          <w:ilvl w:val="0"/>
          <w:numId w:val="32"/>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Pokud je veřejně prospěšná právnická osoba v oblasti bydlení pouze investorem stavby, má veřejně prospěšná právnická osoba v oblasti bydlení povinnost zajistit, že dodavatel dosáhne nejvýše přiměřeného zisku. Má se za to, že nepřiměřeným ziskem je zisk přesahující 15 %.</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18</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Odměňování</w:t>
      </w:r>
    </w:p>
    <w:p w:rsidR="00682FBA" w:rsidRPr="00682FBA" w:rsidRDefault="00682FBA" w:rsidP="00682FBA">
      <w:pPr>
        <w:spacing w:before="100" w:beforeAutospacing="1" w:after="0" w:line="276" w:lineRule="auto"/>
        <w:ind w:left="127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prospěšná právnická osoba v oblasti bydlení má povinnost zajistit, že veškeré odměny, mzdy a jiné platby členům orgánů a zaměstnancům veřejně prospěšné právnické osoby v oblasti bydlení nejsou nepřiměřeně vysoké vzhledem k vykonávané funkci či práci. Má se za to, že nepřiměřeně vysoká je odměna, mzda či jiná platba, která je vyšší než obvyklá.</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19</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sz w:val="24"/>
          <w:szCs w:val="24"/>
          <w:lang w:eastAsia="cs-CZ"/>
        </w:rPr>
      </w:pPr>
      <w:r w:rsidRPr="00682FBA">
        <w:rPr>
          <w:rFonts w:ascii="Times New Roman" w:eastAsia="Times New Roman" w:hAnsi="Times New Roman"/>
          <w:b/>
          <w:sz w:val="24"/>
          <w:szCs w:val="24"/>
          <w:lang w:eastAsia="cs-CZ"/>
        </w:rPr>
        <w:t>Pojištění</w:t>
      </w:r>
    </w:p>
    <w:p w:rsidR="00682FBA" w:rsidRPr="00682FBA" w:rsidRDefault="00682FBA" w:rsidP="00682FBA">
      <w:pPr>
        <w:spacing w:after="0" w:line="276" w:lineRule="auto"/>
        <w:ind w:left="1210"/>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Veřejně prospěšné právnické osoby v oblasti bydlení jsou povinny zajistit pojištění svého majetku, a to pozemků, domů a jednotek, proti běžným rizikům, a to za obvyklých podmínek na trhu.</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20</w:t>
      </w:r>
    </w:p>
    <w:p w:rsidR="00682FBA" w:rsidRPr="00682FBA" w:rsidRDefault="00682FBA" w:rsidP="00682FBA">
      <w:pPr>
        <w:numPr>
          <w:ilvl w:val="0"/>
          <w:numId w:val="3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Orgány dostupnosti bydlení kontrolují plnění povinností podle tohoto zákona veřejně prospěšnými právnickými osobami v oblasti bydlení, které mají sídlo nebo vlastní nemovité věci v jejich obvodu.</w:t>
      </w:r>
    </w:p>
    <w:p w:rsidR="00682FBA" w:rsidRPr="00682FBA" w:rsidRDefault="00682FBA" w:rsidP="00682FBA">
      <w:pPr>
        <w:numPr>
          <w:ilvl w:val="0"/>
          <w:numId w:val="3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Pokud veřejně prospěšná právnická osoba v oblasti bydlení nesplňuje podmínky pro přiznání statusu veřejné prospěšnosti v oblasti bydlení nebo hrubě porušuje povinnosti stanovené jí tímto zákonem, může být této právnické osobě na návrh orgánu dostupnosti bydlení, nebo osoby, která na tom má právní zájem, ustanoven soudem opatrovník z řad advokátů.</w:t>
      </w:r>
    </w:p>
    <w:p w:rsidR="00682FBA" w:rsidRPr="00682FBA" w:rsidRDefault="00682FBA" w:rsidP="00682FBA">
      <w:pPr>
        <w:numPr>
          <w:ilvl w:val="0"/>
          <w:numId w:val="33"/>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Opatrovník veřejně prospěšné právnické osoby v oblasti bydlení má povinnost vynaložit veškeré úsilí, které po něm lze rozumně požadovat, aby zajistil dodržování povinností podle tohoto zákona. Opatrovník podá soudu nejpozději rok od svého ustanovení zprávu, v níž uvede, zda zajistil dodržování povinností podle tohoto zákona. Soud může ustanovit nového opatrovníka, a to i opakovaně, podal-li opatrovník zprávu, že povinnosti podle tohoto zákona nezajistil, nebo pokud neplní své povinnosti v souladu se zákonem. Pokud však není možné, aby bylo zajištěno dodržování povinností podle tohoto zákona veřejně prospěšnou právnickou osobou v oblasti bydlení, soud rozhodne na návrh opatrovníka, orgánu dostupnosti bydlení nebo i bez návrhu o zrušení této veřejně prospěšné právnické osoby v oblasti bydlení.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21</w:t>
      </w:r>
    </w:p>
    <w:p w:rsidR="00682FBA" w:rsidRPr="00682FBA" w:rsidRDefault="00682FBA" w:rsidP="00682FBA">
      <w:pPr>
        <w:numPr>
          <w:ilvl w:val="0"/>
          <w:numId w:val="34"/>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Dojde-li k přeměně veřejně prospěšné právnické osoby v oblasti bydlení, status veřejné prospěšnosti v oblasti bydlení nepřechází na nástupnickou právnickou osobu. Nástupnická právnická osoba má povinnost dodržovat veškeré povinnosti stanovené tímto zákonem veřejně prospěšné právnické osobě v oblasti bydlení; tento zákon se použije obdobně, s výjimkou části druhé. Byty ve vlastnictví nástupnické právnické osoby splňující vymezení sociálního nebo dostupného bytu s výjimkou vlastnictví veřejně prospěšnou právnickou osobou v oblasti bydlení, se považují za sociální a dostupné byty. Orgán dostupnosti bydlení kontroluje plnění povinností nástupnické právnické osoby; § 16 se použije obdobně. Nástupnická právnická osoba požádá do 1 měsíce od přeměny o přiznání statusu veřejné prospěšnosti v oblasti bydlení. Nepožádá-li nástupnická právnická osoba nebo jí nebyl status veřejné prospěšnosti v oblasti bydlení přiznán, soud rozhodne na návrh orgánu dostupnosti bydlení nebo i bez návrhu o zrušení této nástupnické právnické osoby.</w:t>
      </w:r>
    </w:p>
    <w:p w:rsidR="00682FBA" w:rsidRPr="00682FBA" w:rsidRDefault="00682FBA" w:rsidP="00682FBA">
      <w:pPr>
        <w:numPr>
          <w:ilvl w:val="0"/>
          <w:numId w:val="34"/>
        </w:numPr>
        <w:spacing w:after="120" w:line="240" w:lineRule="auto"/>
        <w:ind w:left="1246"/>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Dojde-li k přeměně veřejně prospěšné právnické osoby v oblasti bydlení rozdělením odštěpením nebo změnou právní formy, osoba zúčastněná na přeměně status veřejné prospěšnosti v oblasti bydlení nepozbývá.“.</w:t>
      </w:r>
    </w:p>
    <w:p w:rsidR="00682FBA" w:rsidRPr="00682FBA" w:rsidRDefault="00682FBA" w:rsidP="00682FBA">
      <w:pPr>
        <w:spacing w:after="120" w:line="240" w:lineRule="auto"/>
        <w:ind w:left="1246"/>
        <w:jc w:val="both"/>
        <w:rPr>
          <w:rFonts w:ascii="Times New Roman" w:eastAsia="Times New Roman" w:hAnsi="Times New Roman"/>
          <w:sz w:val="24"/>
          <w:szCs w:val="24"/>
          <w:lang w:eastAsia="cs-CZ"/>
        </w:rPr>
      </w:pP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Dosavadní § 28 až 30 se označují jako § 22 až 24.</w:t>
      </w: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b/>
          <w:bCs/>
          <w:sz w:val="24"/>
          <w:szCs w:val="24"/>
          <w:lang w:eastAsia="cs-CZ"/>
        </w:rPr>
      </w:pP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b/>
          <w:bCs/>
          <w:sz w:val="24"/>
          <w:szCs w:val="24"/>
          <w:lang w:eastAsia="cs-CZ"/>
        </w:rPr>
      </w:pPr>
    </w:p>
    <w:p w:rsidR="00682FBA" w:rsidRPr="00682FBA" w:rsidRDefault="00682FBA" w:rsidP="00682FBA">
      <w:pPr>
        <w:numPr>
          <w:ilvl w:val="0"/>
          <w:numId w:val="8"/>
        </w:numPr>
        <w:spacing w:before="100" w:beforeAutospacing="1" w:after="100" w:afterAutospacing="1" w:line="276" w:lineRule="auto"/>
        <w:ind w:left="1930"/>
        <w:contextualSpacing/>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druhá včetně nadpisu zní: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DRUHÁ</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Změna zákona o stavebním spoření a státní podpoře stavebního spoření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22</w:t>
      </w:r>
    </w:p>
    <w:p w:rsidR="00682FBA" w:rsidRPr="00682FBA" w:rsidRDefault="00682FBA" w:rsidP="00682FBA">
      <w:pPr>
        <w:spacing w:after="0" w:line="240" w:lineRule="auto"/>
        <w:ind w:left="120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      V § 6 odst. 1 písm. e) zákona č. 96/1993 Sb., o stavebním spoření a státní podpoře stavebního spoření, ve znění zákona č. 423/2003 Sb., se slova „vkladu nebo“ nahrazují slovem „vkladu,“ a za slovo „podílu“ se vkládají slova „nebo jiné platby za účast“.“.</w:t>
      </w:r>
    </w:p>
    <w:p w:rsidR="00682FBA" w:rsidRPr="00682FBA" w:rsidRDefault="00682FBA" w:rsidP="00682FBA">
      <w:pPr>
        <w:spacing w:before="100" w:beforeAutospacing="1" w:after="100" w:afterAutospacing="1" w:line="276" w:lineRule="auto"/>
        <w:ind w:left="1930"/>
        <w:contextualSpacing/>
        <w:jc w:val="both"/>
        <w:rPr>
          <w:rFonts w:ascii="Times New Roman" w:eastAsia="Times New Roman" w:hAnsi="Times New Roman"/>
          <w:b/>
          <w:bCs/>
          <w:sz w:val="24"/>
          <w:szCs w:val="24"/>
          <w:lang w:eastAsia="cs-CZ"/>
        </w:rPr>
      </w:pPr>
    </w:p>
    <w:p w:rsidR="00682FBA" w:rsidRPr="00682FBA" w:rsidRDefault="00682FBA" w:rsidP="00682FBA">
      <w:pPr>
        <w:numPr>
          <w:ilvl w:val="0"/>
          <w:numId w:val="8"/>
        </w:numPr>
        <w:spacing w:before="100" w:beforeAutospacing="1" w:after="100" w:afterAutospacing="1" w:line="276" w:lineRule="auto"/>
        <w:ind w:left="1930"/>
        <w:contextualSpacing/>
        <w:jc w:val="both"/>
        <w:rPr>
          <w:rFonts w:ascii="Times New Roman" w:eastAsia="Times New Roman" w:hAnsi="Times New Roman"/>
          <w:sz w:val="24"/>
          <w:szCs w:val="24"/>
          <w:lang w:eastAsia="cs-CZ"/>
        </w:rPr>
      </w:pPr>
      <w:r w:rsidRPr="00682FBA">
        <w:rPr>
          <w:rFonts w:ascii="Times New Roman" w:eastAsia="Times New Roman" w:hAnsi="Times New Roman"/>
          <w:b/>
          <w:bCs/>
          <w:sz w:val="24"/>
          <w:szCs w:val="24"/>
          <w:lang w:eastAsia="cs-CZ"/>
        </w:rPr>
        <w:t>Část třetí včetně nadpisu zní: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TŘETÍ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Změna zákona o sociálních službách</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23</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 35 se na konci odstavce 1 tečka nahrazuje čárkou a doplňuje se písmeno n),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„n)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 § 57 </w:t>
      </w: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na konci </w:t>
      </w:r>
      <w:proofErr w:type="gramStart"/>
      <w:r w:rsidRPr="00682FBA">
        <w:rPr>
          <w:rFonts w:ascii="Times New Roman" w:eastAsia="Times New Roman" w:hAnsi="Times New Roman"/>
          <w:sz w:val="24"/>
          <w:szCs w:val="24"/>
          <w:lang w:eastAsia="cs-CZ"/>
        </w:rPr>
        <w:t>odstavce 2 tečka nahrazuje</w:t>
      </w:r>
      <w:proofErr w:type="gramEnd"/>
      <w:r w:rsidRPr="00682FBA">
        <w:rPr>
          <w:rFonts w:ascii="Times New Roman" w:eastAsia="Times New Roman" w:hAnsi="Times New Roman"/>
          <w:sz w:val="24"/>
          <w:szCs w:val="24"/>
          <w:lang w:eastAsia="cs-CZ"/>
        </w:rPr>
        <w:t xml:space="preserve"> čárkou a doplňuje se písmeno d),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 § 58 </w:t>
      </w: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na konci </w:t>
      </w:r>
      <w:proofErr w:type="gramStart"/>
      <w:r w:rsidRPr="00682FBA">
        <w:rPr>
          <w:rFonts w:ascii="Times New Roman" w:eastAsia="Times New Roman" w:hAnsi="Times New Roman"/>
          <w:sz w:val="24"/>
          <w:szCs w:val="24"/>
          <w:lang w:eastAsia="cs-CZ"/>
        </w:rPr>
        <w:t>odstavce 2 tečka nahrazuje</w:t>
      </w:r>
      <w:proofErr w:type="gramEnd"/>
      <w:r w:rsidRPr="00682FBA">
        <w:rPr>
          <w:rFonts w:ascii="Times New Roman" w:eastAsia="Times New Roman" w:hAnsi="Times New Roman"/>
          <w:sz w:val="24"/>
          <w:szCs w:val="24"/>
          <w:lang w:eastAsia="cs-CZ"/>
        </w:rPr>
        <w:t xml:space="preserve"> čárkou a doplňuje se písmeno e),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 § 65 </w:t>
      </w: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na konci </w:t>
      </w:r>
      <w:proofErr w:type="gramStart"/>
      <w:r w:rsidRPr="00682FBA">
        <w:rPr>
          <w:rFonts w:ascii="Times New Roman" w:eastAsia="Times New Roman" w:hAnsi="Times New Roman"/>
          <w:sz w:val="24"/>
          <w:szCs w:val="24"/>
          <w:lang w:eastAsia="cs-CZ"/>
        </w:rPr>
        <w:t>odstavce 2 tečka nahrazuje</w:t>
      </w:r>
      <w:proofErr w:type="gramEnd"/>
      <w:r w:rsidRPr="00682FBA">
        <w:rPr>
          <w:rFonts w:ascii="Times New Roman" w:eastAsia="Times New Roman" w:hAnsi="Times New Roman"/>
          <w:sz w:val="24"/>
          <w:szCs w:val="24"/>
          <w:lang w:eastAsia="cs-CZ"/>
        </w:rPr>
        <w:t xml:space="preserve"> čárkou a doplňuje se písmeno e),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 § 69 </w:t>
      </w: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na konci </w:t>
      </w:r>
      <w:proofErr w:type="gramStart"/>
      <w:r w:rsidRPr="00682FBA">
        <w:rPr>
          <w:rFonts w:ascii="Times New Roman" w:eastAsia="Times New Roman" w:hAnsi="Times New Roman"/>
          <w:sz w:val="24"/>
          <w:szCs w:val="24"/>
          <w:lang w:eastAsia="cs-CZ"/>
        </w:rPr>
        <w:t>odstavce 2 tečka nahrazuje</w:t>
      </w:r>
      <w:proofErr w:type="gramEnd"/>
      <w:r w:rsidRPr="00682FBA">
        <w:rPr>
          <w:rFonts w:ascii="Times New Roman" w:eastAsia="Times New Roman" w:hAnsi="Times New Roman"/>
          <w:sz w:val="24"/>
          <w:szCs w:val="24"/>
          <w:lang w:eastAsia="cs-CZ"/>
        </w:rPr>
        <w:t xml:space="preserve"> čárkou a doplňuje se písmeno c),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„c)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V § 70 </w:t>
      </w:r>
      <w:proofErr w:type="gramStart"/>
      <w:r w:rsidRPr="00682FBA">
        <w:rPr>
          <w:rFonts w:ascii="Times New Roman" w:eastAsia="Times New Roman" w:hAnsi="Times New Roman"/>
          <w:sz w:val="24"/>
          <w:szCs w:val="24"/>
          <w:lang w:eastAsia="cs-CZ"/>
        </w:rPr>
        <w:t>se</w:t>
      </w:r>
      <w:proofErr w:type="gramEnd"/>
      <w:r w:rsidRPr="00682FBA">
        <w:rPr>
          <w:rFonts w:ascii="Times New Roman" w:eastAsia="Times New Roman" w:hAnsi="Times New Roman"/>
          <w:sz w:val="24"/>
          <w:szCs w:val="24"/>
          <w:lang w:eastAsia="cs-CZ"/>
        </w:rPr>
        <w:t xml:space="preserve"> na konci </w:t>
      </w:r>
      <w:proofErr w:type="gramStart"/>
      <w:r w:rsidRPr="00682FBA">
        <w:rPr>
          <w:rFonts w:ascii="Times New Roman" w:eastAsia="Times New Roman" w:hAnsi="Times New Roman"/>
          <w:sz w:val="24"/>
          <w:szCs w:val="24"/>
          <w:lang w:eastAsia="cs-CZ"/>
        </w:rPr>
        <w:t>odstavce 2 tečka nahrazuje</w:t>
      </w:r>
      <w:proofErr w:type="gramEnd"/>
      <w:r w:rsidRPr="00682FBA">
        <w:rPr>
          <w:rFonts w:ascii="Times New Roman" w:eastAsia="Times New Roman" w:hAnsi="Times New Roman"/>
          <w:sz w:val="24"/>
          <w:szCs w:val="24"/>
          <w:lang w:eastAsia="cs-CZ"/>
        </w:rPr>
        <w:t xml:space="preserve"> čárkou a doplňuje se písmeno e), které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„e) podpora získání a udržení vyhovujícího bydlení, rozvoj dovedností v oblasti bydlení a další činnosti vedoucí k sociálnímu začlenění v rámci bydlení.“.</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 92 písmeno d)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„d) na území svého správního obvodu koordinuje poskytování sociálních služeb a realizuje a koordinuje činnosti sociální práce vedoucí k řešení nepříznivé sociální situace a k sociálnímu začleňování osob, včetně prevence ztráty bydlení; přitom spolupracuje s krajskou pobočkou Úřadu práce a krajským úřadem.“.</w:t>
      </w:r>
    </w:p>
    <w:p w:rsidR="00682FBA" w:rsidRPr="00682FBA" w:rsidRDefault="00682FBA" w:rsidP="00682FBA">
      <w:pPr>
        <w:numPr>
          <w:ilvl w:val="0"/>
          <w:numId w:val="35"/>
        </w:numPr>
        <w:spacing w:before="100" w:beforeAutospacing="1" w:after="100" w:afterAutospacing="1" w:line="240" w:lineRule="auto"/>
        <w:ind w:left="1134" w:firstLine="425"/>
        <w:contextualSpacing/>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V § 93 písmeno c) zní:</w:t>
      </w:r>
    </w:p>
    <w:p w:rsidR="00682FBA" w:rsidRPr="00682FBA" w:rsidRDefault="00682FBA" w:rsidP="00682FBA">
      <w:pPr>
        <w:spacing w:before="100" w:beforeAutospacing="1" w:after="100" w:afterAutospacing="1" w:line="240" w:lineRule="auto"/>
        <w:ind w:left="1134" w:firstLine="425"/>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„c) na území svého správního obvodu koordinuje poskytování sociálních služeb a realizuje a koordinuje činnosti sociální práce vedoucí k řešení nepříznivé sociální situace a k sociálnímu začleňování osob, včetně prevence ztráty bydlení.“.“.</w:t>
      </w:r>
    </w:p>
    <w:p w:rsidR="00682FBA" w:rsidRPr="00682FBA" w:rsidRDefault="00682FBA" w:rsidP="00682FBA">
      <w:pPr>
        <w:spacing w:before="100" w:beforeAutospacing="1" w:after="100" w:afterAutospacing="1" w:line="240" w:lineRule="auto"/>
        <w:jc w:val="both"/>
        <w:rPr>
          <w:rFonts w:ascii="Times New Roman" w:eastAsia="Times New Roman" w:hAnsi="Times New Roman"/>
          <w:sz w:val="24"/>
          <w:szCs w:val="24"/>
          <w:lang w:eastAsia="cs-CZ"/>
        </w:rPr>
      </w:pPr>
    </w:p>
    <w:p w:rsidR="00682FBA" w:rsidRPr="00682FBA" w:rsidRDefault="00682FBA" w:rsidP="00682FBA">
      <w:pPr>
        <w:numPr>
          <w:ilvl w:val="0"/>
          <w:numId w:val="8"/>
        </w:numPr>
        <w:spacing w:before="100" w:beforeAutospacing="1" w:after="100" w:afterAutospacing="1" w:line="276" w:lineRule="auto"/>
        <w:ind w:left="1930"/>
        <w:contextualSpacing/>
        <w:jc w:val="both"/>
        <w:rPr>
          <w:rFonts w:ascii="Times New Roman" w:eastAsia="Times New Roman" w:hAnsi="Times New Roman"/>
          <w:sz w:val="24"/>
          <w:szCs w:val="24"/>
          <w:lang w:eastAsia="cs-CZ"/>
        </w:rPr>
      </w:pPr>
      <w:r w:rsidRPr="00682FBA">
        <w:rPr>
          <w:rFonts w:ascii="Times New Roman" w:eastAsia="Times New Roman" w:hAnsi="Times New Roman"/>
          <w:b/>
          <w:bCs/>
          <w:sz w:val="24"/>
          <w:szCs w:val="24"/>
          <w:lang w:eastAsia="cs-CZ"/>
        </w:rPr>
        <w:t>Část čtvrtá včetně nadpisu zní:</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„ČÁST ČTVRTÁ</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ÚČINNOST</w:t>
      </w:r>
    </w:p>
    <w:p w:rsidR="00682FBA" w:rsidRPr="00682FBA" w:rsidRDefault="00682FBA" w:rsidP="00682FBA">
      <w:pPr>
        <w:spacing w:before="100" w:beforeAutospacing="1" w:after="100" w:afterAutospacing="1" w:line="240" w:lineRule="auto"/>
        <w:ind w:left="1210"/>
        <w:jc w:val="center"/>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24</w:t>
      </w:r>
    </w:p>
    <w:p w:rsidR="00682FBA" w:rsidRPr="00682FBA" w:rsidRDefault="00682FBA" w:rsidP="00682FBA">
      <w:pPr>
        <w:spacing w:after="0" w:line="240" w:lineRule="auto"/>
        <w:ind w:left="1207"/>
        <w:jc w:val="both"/>
        <w:rPr>
          <w:rFonts w:ascii="Times New Roman" w:eastAsia="Times New Roman" w:hAnsi="Times New Roman"/>
          <w:sz w:val="24"/>
          <w:szCs w:val="24"/>
          <w:lang w:eastAsia="cs-CZ"/>
        </w:rPr>
      </w:pPr>
      <w:r w:rsidRPr="00682FBA">
        <w:rPr>
          <w:rFonts w:ascii="Times New Roman" w:eastAsia="Times New Roman" w:hAnsi="Times New Roman"/>
          <w:sz w:val="24"/>
          <w:szCs w:val="24"/>
          <w:lang w:eastAsia="cs-CZ"/>
        </w:rPr>
        <w:t xml:space="preserve">      Tento zákon nabývá účinnosti dnem 1. ledna 2022, s výjimkou ustanovení § 14 odst. 13, které nabývá účinnosti dnem 1. ledna 2024.“.</w:t>
      </w:r>
    </w:p>
    <w:p w:rsidR="00682FBA" w:rsidRPr="00682FBA" w:rsidRDefault="00682FBA" w:rsidP="00682FBA">
      <w:pPr>
        <w:spacing w:line="256" w:lineRule="auto"/>
        <w:ind w:left="850"/>
        <w:jc w:val="both"/>
        <w:rPr>
          <w:rFonts w:ascii="Times New Roman" w:eastAsia="Times New Roman" w:hAnsi="Times New Roman"/>
          <w:sz w:val="24"/>
          <w:szCs w:val="24"/>
          <w:lang w:eastAsia="cs-CZ"/>
        </w:rPr>
      </w:pPr>
    </w:p>
    <w:p w:rsidR="00682FBA" w:rsidRPr="00682FBA" w:rsidRDefault="00682FBA" w:rsidP="00682FBA">
      <w:pPr>
        <w:spacing w:line="256" w:lineRule="auto"/>
        <w:ind w:left="850"/>
        <w:jc w:val="both"/>
        <w:rPr>
          <w:rFonts w:ascii="Times New Roman" w:eastAsia="Times New Roman" w:hAnsi="Times New Roman"/>
          <w:sz w:val="24"/>
          <w:szCs w:val="24"/>
          <w:lang w:eastAsia="cs-CZ"/>
        </w:rPr>
      </w:pPr>
    </w:p>
    <w:p w:rsidR="00682FBA" w:rsidRPr="00682FBA" w:rsidRDefault="00682FBA" w:rsidP="00682FBA">
      <w:pPr>
        <w:numPr>
          <w:ilvl w:val="0"/>
          <w:numId w:val="8"/>
        </w:numPr>
        <w:spacing w:before="100" w:beforeAutospacing="1" w:after="100" w:afterAutospacing="1" w:line="276" w:lineRule="auto"/>
        <w:ind w:left="1930"/>
        <w:contextualSpacing/>
        <w:jc w:val="both"/>
        <w:rPr>
          <w:rFonts w:ascii="Times New Roman" w:eastAsia="Times New Roman" w:hAnsi="Times New Roman"/>
          <w:sz w:val="24"/>
          <w:szCs w:val="24"/>
          <w:lang w:eastAsia="cs-CZ"/>
        </w:rPr>
      </w:pPr>
      <w:r w:rsidRPr="00682FBA">
        <w:rPr>
          <w:rFonts w:ascii="Times New Roman" w:eastAsia="Times New Roman" w:hAnsi="Times New Roman"/>
          <w:b/>
          <w:bCs/>
          <w:sz w:val="24"/>
          <w:szCs w:val="24"/>
          <w:lang w:eastAsia="cs-CZ"/>
        </w:rPr>
        <w:t>Na konec zákona, za část čtvrtou, za § 24 se doplňuje příloha k zákonu, která včetně nadpisu zní:</w:t>
      </w:r>
    </w:p>
    <w:p w:rsidR="00682FBA" w:rsidRPr="00682FBA" w:rsidRDefault="00682FBA" w:rsidP="00682FBA">
      <w:pPr>
        <w:spacing w:after="100" w:afterAutospacing="1" w:line="240" w:lineRule="auto"/>
        <w:ind w:left="850"/>
        <w:jc w:val="center"/>
        <w:rPr>
          <w:rFonts w:ascii="Times New Roman" w:eastAsia="Times New Roman" w:hAnsi="Times New Roman"/>
          <w:bCs/>
          <w:sz w:val="24"/>
          <w:szCs w:val="24"/>
          <w:lang w:eastAsia="cs-CZ"/>
        </w:rPr>
      </w:pPr>
      <w:r w:rsidRPr="00682FBA">
        <w:rPr>
          <w:rFonts w:ascii="Times New Roman" w:eastAsia="Times New Roman" w:hAnsi="Times New Roman"/>
          <w:sz w:val="24"/>
          <w:szCs w:val="24"/>
          <w:lang w:eastAsia="cs-CZ"/>
        </w:rPr>
        <w:t>„</w:t>
      </w:r>
      <w:r w:rsidRPr="00682FBA">
        <w:rPr>
          <w:rFonts w:ascii="Times New Roman" w:eastAsia="Times New Roman" w:hAnsi="Times New Roman"/>
          <w:b/>
          <w:bCs/>
          <w:sz w:val="24"/>
          <w:szCs w:val="24"/>
          <w:lang w:eastAsia="cs-CZ"/>
        </w:rPr>
        <w:t>Příloha k zákonu č. …/2021 Sb.</w:t>
      </w:r>
    </w:p>
    <w:p w:rsidR="00682FBA" w:rsidRPr="00682FBA" w:rsidRDefault="00682FBA" w:rsidP="00682FBA">
      <w:pPr>
        <w:spacing w:after="100" w:afterAutospacing="1" w:line="240" w:lineRule="auto"/>
        <w:ind w:left="85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Nevyhovující bydlení</w:t>
      </w:r>
    </w:p>
    <w:p w:rsidR="00682FBA" w:rsidRPr="00682FBA" w:rsidRDefault="00682FBA" w:rsidP="00682FBA">
      <w:pPr>
        <w:spacing w:after="0" w:line="240" w:lineRule="auto"/>
        <w:ind w:left="850"/>
        <w:jc w:val="center"/>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ČÁST 1</w:t>
      </w:r>
    </w:p>
    <w:p w:rsidR="00682FBA" w:rsidRPr="00682FBA" w:rsidRDefault="00682FBA" w:rsidP="00682FBA">
      <w:pPr>
        <w:spacing w:after="0" w:line="240" w:lineRule="auto"/>
        <w:ind w:left="85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Byt neodpovídající specifickým požadavkům člena společně hospodařící domácnosti vyplývajícím z jeho zdravotního omezení</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Bytem neodpovídajícím specifickým požadavkům člena společně hospodařící domácnosti vyplývajícím z jeho zdravotního omezení je byt, který neodpovídá zdravotnímu omezení člena společně hospodařící domácnosti a který nelze běžnými náklady upravit k užívání osobou se zdravotním omezením.</w:t>
      </w:r>
    </w:p>
    <w:p w:rsidR="00682FBA" w:rsidRDefault="00682FBA" w:rsidP="00682FBA">
      <w:pPr>
        <w:spacing w:after="0" w:line="240" w:lineRule="auto"/>
        <w:ind w:left="850"/>
        <w:jc w:val="center"/>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center"/>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ČÁST 2</w:t>
      </w:r>
    </w:p>
    <w:p w:rsidR="00682FBA" w:rsidRPr="00682FBA" w:rsidRDefault="00682FBA" w:rsidP="00682FBA">
      <w:pPr>
        <w:spacing w:after="0" w:line="240" w:lineRule="auto"/>
        <w:ind w:left="85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Prostory, které nejsou určeny k trvalému bydlení</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Prostorem, který není určen k trvalému bydlení, je </w:t>
      </w:r>
    </w:p>
    <w:p w:rsidR="00682FBA" w:rsidRPr="00682FBA" w:rsidRDefault="00682FBA" w:rsidP="00682FBA">
      <w:pPr>
        <w:numPr>
          <w:ilvl w:val="1"/>
          <w:numId w:val="36"/>
        </w:numPr>
        <w:spacing w:after="0" w:line="240" w:lineRule="auto"/>
        <w:ind w:left="1919"/>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veřejně přístupný prostor, zejména ulice, park, most, nádraží nebo veřejný dopravní prostředek,</w:t>
      </w:r>
    </w:p>
    <w:p w:rsidR="00682FBA" w:rsidRPr="00682FBA" w:rsidRDefault="00682FBA" w:rsidP="00682FBA">
      <w:pPr>
        <w:numPr>
          <w:ilvl w:val="1"/>
          <w:numId w:val="36"/>
        </w:numPr>
        <w:spacing w:after="0" w:line="240" w:lineRule="auto"/>
        <w:ind w:left="1919"/>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pobytové zařízení, zejména noclehárna, ubytovna nebo azylový dům, nebo</w:t>
      </w:r>
    </w:p>
    <w:p w:rsidR="00682FBA" w:rsidRPr="00682FBA" w:rsidRDefault="00682FBA" w:rsidP="00682FBA">
      <w:pPr>
        <w:numPr>
          <w:ilvl w:val="1"/>
          <w:numId w:val="36"/>
        </w:numPr>
        <w:spacing w:after="0" w:line="240" w:lineRule="auto"/>
        <w:ind w:left="1919"/>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další prostor, který není určen k trvalému bydlení, zejména zahradní chatka nebo garáž. </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center"/>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ČÁST 3</w:t>
      </w:r>
    </w:p>
    <w:p w:rsidR="00682FBA" w:rsidRPr="00682FBA" w:rsidRDefault="00682FBA" w:rsidP="00682FBA">
      <w:pPr>
        <w:spacing w:after="0" w:line="240" w:lineRule="auto"/>
        <w:ind w:left="85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Nekvalitní byt</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Nekvalitním bytem je byt, který vykazuje</w:t>
      </w:r>
    </w:p>
    <w:p w:rsidR="00682FBA" w:rsidRPr="00682FBA" w:rsidRDefault="00682FBA" w:rsidP="00682FBA">
      <w:pPr>
        <w:numPr>
          <w:ilvl w:val="0"/>
          <w:numId w:val="37"/>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zásadní vadu u alespoň 1 hlavního kritéria,</w:t>
      </w:r>
    </w:p>
    <w:p w:rsidR="00682FBA" w:rsidRPr="00682FBA" w:rsidRDefault="00682FBA" w:rsidP="00682FBA">
      <w:pPr>
        <w:numPr>
          <w:ilvl w:val="0"/>
          <w:numId w:val="37"/>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zásadní vadu u alespoň 1 vedlejšího kritéria a zároveň alespoň 3 další zjevné vady u hlavních a vedlejších kritérií, nebo</w:t>
      </w:r>
    </w:p>
    <w:p w:rsidR="00682FBA" w:rsidRPr="00682FBA" w:rsidRDefault="00682FBA" w:rsidP="00682FBA">
      <w:pPr>
        <w:numPr>
          <w:ilvl w:val="0"/>
          <w:numId w:val="37"/>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zjevné vady u více než poloviny kritérií.</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Jako hlavní kritérium se posuzuje záchod, koupelna, prostor pro vaření, voda, vytápění a elektroinstalace.</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Jako vedlejší kritérium se posuzují okna, stavební konstrukce a stavební povrchy v bytě, vstupní dveře, vlhkost a plísně, větrání, nebezpečí úrazu nebo infekce a celkový stav domu.</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Byt má zásadní vadu, jestliže</w:t>
      </w:r>
    </w:p>
    <w:p w:rsidR="00682FBA" w:rsidRPr="00682FBA" w:rsidRDefault="00682FBA" w:rsidP="00682FBA">
      <w:pPr>
        <w:numPr>
          <w:ilvl w:val="1"/>
          <w:numId w:val="38"/>
        </w:numPr>
        <w:spacing w:after="0" w:line="240" w:lineRule="auto"/>
        <w:ind w:left="1352"/>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vybavení bytu posuzované u hlavních kritérií zcela chybí nebo je nefunkční a náprava stavu vyžaduje delší čas nebo rozsáhlé stavební práce, zejména rekonstrukci domu nebo jeho části, nebo</w:t>
      </w:r>
    </w:p>
    <w:p w:rsidR="00682FBA" w:rsidRPr="00682FBA" w:rsidRDefault="00682FBA" w:rsidP="00682FBA">
      <w:pPr>
        <w:numPr>
          <w:ilvl w:val="1"/>
          <w:numId w:val="38"/>
        </w:numPr>
        <w:spacing w:after="0" w:line="240" w:lineRule="auto"/>
        <w:ind w:left="1352"/>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vybavení bytu nebo stav bytu posuzovaný u vedlejších kritérií zcela chybí nebo neumožňuje bezpečné užívání bytu a náprava by vyžadovala delší čas nebo rozsáhlé stavební práce.</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Byt má zjevnou vadu, jestliže tato vada způsobuje omezenou funkčnost a způsobilost bytu k užívání, kterou lze odstranit běžnými, nikoli drobnými opravami.</w:t>
      </w:r>
    </w:p>
    <w:p w:rsidR="00682FBA" w:rsidRPr="00682FBA" w:rsidRDefault="00682FBA" w:rsidP="00682FBA">
      <w:pPr>
        <w:spacing w:after="0" w:line="240" w:lineRule="auto"/>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center"/>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ČÁST 4</w:t>
      </w:r>
    </w:p>
    <w:p w:rsidR="00682FBA" w:rsidRPr="00682FBA" w:rsidRDefault="00682FBA" w:rsidP="00682FBA">
      <w:pPr>
        <w:spacing w:after="0" w:line="240" w:lineRule="auto"/>
        <w:ind w:left="850"/>
        <w:jc w:val="center"/>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Přelidněný byt</w:t>
      </w: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roofErr w:type="gramStart"/>
      <w:r w:rsidRPr="00682FBA">
        <w:rPr>
          <w:rFonts w:ascii="Times New Roman" w:eastAsia="Times New Roman" w:hAnsi="Times New Roman"/>
          <w:bCs/>
          <w:sz w:val="24"/>
          <w:szCs w:val="24"/>
          <w:lang w:eastAsia="cs-CZ"/>
        </w:rPr>
        <w:t>Přelidněným</w:t>
      </w:r>
      <w:proofErr w:type="gramEnd"/>
      <w:r w:rsidRPr="00682FBA">
        <w:rPr>
          <w:rFonts w:ascii="Times New Roman" w:eastAsia="Times New Roman" w:hAnsi="Times New Roman"/>
          <w:bCs/>
          <w:sz w:val="24"/>
          <w:szCs w:val="24"/>
          <w:lang w:eastAsia="cs-CZ"/>
        </w:rPr>
        <w:t xml:space="preserve"> bytem je byt, </w:t>
      </w:r>
      <w:proofErr w:type="gramStart"/>
      <w:r w:rsidRPr="00682FBA">
        <w:rPr>
          <w:rFonts w:ascii="Times New Roman" w:eastAsia="Times New Roman" w:hAnsi="Times New Roman"/>
          <w:bCs/>
          <w:sz w:val="24"/>
          <w:szCs w:val="24"/>
          <w:lang w:eastAsia="cs-CZ"/>
        </w:rPr>
        <w:t>jehož</w:t>
      </w:r>
      <w:proofErr w:type="gramEnd"/>
    </w:p>
    <w:p w:rsidR="00682FBA" w:rsidRPr="00682FBA" w:rsidRDefault="00682FBA" w:rsidP="00682FBA">
      <w:pPr>
        <w:numPr>
          <w:ilvl w:val="0"/>
          <w:numId w:val="39"/>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velikost podlahové plochy neodpovídá počtu členů společně hospodařící domácnosti podle tabulky 1, nebo</w:t>
      </w:r>
    </w:p>
    <w:p w:rsidR="00682FBA" w:rsidRPr="00682FBA" w:rsidRDefault="00682FBA" w:rsidP="00682FBA">
      <w:pPr>
        <w:numPr>
          <w:ilvl w:val="0"/>
          <w:numId w:val="39"/>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podlahová plocha odpovídá minimálnímu standardu pro daný počet osob podle tabulky 1 a současně počet jeho obytných místností odpovídá stupni přelidněný podle tabulky 2.</w:t>
      </w: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Tabulka 1: Přiměřenost bytu s ohledem na velikost společně hospodařící domácnosti podle podlahové plochy bytu </w:t>
      </w: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tbl>
      <w:tblPr>
        <w:tblW w:w="11073" w:type="dxa"/>
        <w:jc w:val="center"/>
        <w:tblCellMar>
          <w:left w:w="70" w:type="dxa"/>
          <w:right w:w="70" w:type="dxa"/>
        </w:tblCellMar>
        <w:tblLook w:val="00A0" w:firstRow="1" w:lastRow="0" w:firstColumn="1" w:lastColumn="0" w:noHBand="0" w:noVBand="0"/>
      </w:tblPr>
      <w:tblGrid>
        <w:gridCol w:w="1221"/>
        <w:gridCol w:w="1300"/>
        <w:gridCol w:w="1417"/>
        <w:gridCol w:w="1300"/>
        <w:gridCol w:w="1167"/>
        <w:gridCol w:w="1167"/>
        <w:gridCol w:w="1167"/>
        <w:gridCol w:w="1167"/>
        <w:gridCol w:w="1167"/>
      </w:tblGrid>
      <w:tr w:rsidR="00682FBA" w:rsidRPr="00682FBA" w:rsidTr="00682FBA">
        <w:trPr>
          <w:trHeight w:val="634"/>
          <w:jc w:val="center"/>
        </w:trPr>
        <w:tc>
          <w:tcPr>
            <w:tcW w:w="1221" w:type="dxa"/>
            <w:tcBorders>
              <w:top w:val="single" w:sz="12" w:space="0" w:color="auto"/>
              <w:left w:val="single" w:sz="12" w:space="0" w:color="auto"/>
              <w:bottom w:val="single" w:sz="12" w:space="0" w:color="auto"/>
              <w:right w:val="single" w:sz="12" w:space="0" w:color="auto"/>
            </w:tcBorders>
            <w:noWrap/>
            <w:vAlign w:val="bottom"/>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Podlahová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plocha </w:t>
            </w:r>
            <w:r w:rsidRPr="00682FBA">
              <w:rPr>
                <w:rFonts w:ascii="Times New Roman" w:eastAsia="Times New Roman" w:hAnsi="Times New Roman"/>
                <w:b/>
                <w:bCs/>
                <w:sz w:val="24"/>
                <w:szCs w:val="24"/>
                <w:lang w:eastAsia="cs-CZ"/>
              </w:rPr>
              <w:br/>
              <w:t>bytu</w:t>
            </w:r>
          </w:p>
        </w:tc>
        <w:tc>
          <w:tcPr>
            <w:tcW w:w="1300" w:type="dxa"/>
            <w:tcBorders>
              <w:top w:val="single" w:sz="12" w:space="0" w:color="auto"/>
              <w:left w:val="single" w:sz="12" w:space="0" w:color="auto"/>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1</w:t>
            </w:r>
          </w:p>
        </w:tc>
        <w:tc>
          <w:tcPr>
            <w:tcW w:w="1417" w:type="dxa"/>
            <w:tcBorders>
              <w:top w:val="single" w:sz="12" w:space="0" w:color="auto"/>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2</w:t>
            </w:r>
          </w:p>
        </w:tc>
        <w:tc>
          <w:tcPr>
            <w:tcW w:w="1300" w:type="dxa"/>
            <w:tcBorders>
              <w:top w:val="single" w:sz="12" w:space="0" w:color="auto"/>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3</w:t>
            </w:r>
          </w:p>
        </w:tc>
        <w:tc>
          <w:tcPr>
            <w:tcW w:w="1167" w:type="dxa"/>
            <w:tcBorders>
              <w:top w:val="single" w:sz="12" w:space="0" w:color="auto"/>
              <w:left w:val="nil"/>
              <w:bottom w:val="single" w:sz="12" w:space="0" w:color="auto"/>
              <w:right w:val="single" w:sz="8"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4</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5 až 6</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osob 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7 až 8</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r w:rsidRPr="00682FBA">
              <w:rPr>
                <w:rFonts w:ascii="Times New Roman" w:eastAsia="Times New Roman" w:hAnsi="Times New Roman"/>
                <w:b/>
                <w:bCs/>
                <w:sz w:val="24"/>
                <w:szCs w:val="24"/>
                <w:lang w:eastAsia="cs-CZ"/>
              </w:rPr>
              <w:br/>
              <w:t xml:space="preserve">osob </w:t>
            </w:r>
            <w:r w:rsidRPr="00682FBA">
              <w:rPr>
                <w:rFonts w:ascii="Times New Roman" w:eastAsia="Times New Roman" w:hAnsi="Times New Roman"/>
                <w:b/>
                <w:bCs/>
                <w:sz w:val="24"/>
                <w:szCs w:val="24"/>
                <w:lang w:eastAsia="cs-CZ"/>
              </w:rPr>
              <w:b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9 až 12</w:t>
            </w:r>
          </w:p>
        </w:tc>
        <w:tc>
          <w:tcPr>
            <w:tcW w:w="1167" w:type="dxa"/>
            <w:tcBorders>
              <w:top w:val="single" w:sz="12" w:space="0" w:color="auto"/>
              <w:left w:val="nil"/>
              <w:bottom w:val="single" w:sz="12" w:space="0" w:color="auto"/>
              <w:right w:val="single" w:sz="12"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počet </w:t>
            </w:r>
            <w:r w:rsidRPr="00682FBA">
              <w:rPr>
                <w:rFonts w:ascii="Times New Roman" w:eastAsia="Times New Roman" w:hAnsi="Times New Roman"/>
                <w:b/>
                <w:bCs/>
                <w:sz w:val="24"/>
                <w:szCs w:val="24"/>
                <w:lang w:eastAsia="cs-CZ"/>
              </w:rPr>
              <w:br/>
              <w:t xml:space="preserve">osob 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13 a více</w:t>
            </w:r>
          </w:p>
        </w:tc>
      </w:tr>
      <w:tr w:rsidR="00682FBA" w:rsidRPr="00682FBA" w:rsidTr="00682FBA">
        <w:trPr>
          <w:trHeight w:val="300"/>
          <w:jc w:val="center"/>
        </w:trPr>
        <w:tc>
          <w:tcPr>
            <w:tcW w:w="1221" w:type="dxa"/>
            <w:tcBorders>
              <w:top w:val="single" w:sz="12" w:space="0" w:color="auto"/>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&lt; </w:t>
            </w:r>
            <w:r w:rsidRPr="00682FBA">
              <w:rPr>
                <w:rFonts w:ascii="Times New Roman" w:eastAsia="Times New Roman" w:hAnsi="Times New Roman"/>
                <w:b/>
                <w:bCs/>
                <w:sz w:val="24"/>
                <w:szCs w:val="24"/>
                <w:lang w:eastAsia="cs-CZ"/>
              </w:rPr>
              <w:t>37,9</w:t>
            </w:r>
            <w:r w:rsidRPr="00682FBA">
              <w:rPr>
                <w:rFonts w:ascii="Times New Roman" w:eastAsia="Times New Roman" w:hAnsi="Times New Roman"/>
                <w:bCs/>
                <w:sz w:val="24"/>
                <w:szCs w:val="24"/>
                <w:lang w:eastAsia="cs-CZ"/>
              </w:rPr>
              <w:t xml:space="preserve"> m² </w:t>
            </w:r>
          </w:p>
        </w:tc>
        <w:tc>
          <w:tcPr>
            <w:tcW w:w="1300" w:type="dxa"/>
            <w:tcBorders>
              <w:top w:val="single" w:sz="12" w:space="0" w:color="auto"/>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417" w:type="dxa"/>
            <w:tcBorders>
              <w:top w:val="single" w:sz="12"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minimální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single" w:sz="12"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single" w:sz="12" w:space="0" w:color="auto"/>
              <w:left w:val="nil"/>
              <w:bottom w:val="single" w:sz="4" w:space="0" w:color="auto"/>
              <w:right w:val="single" w:sz="4" w:space="0" w:color="auto"/>
            </w:tcBorders>
            <w:shd w:val="clear" w:color="auto" w:fill="808080"/>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221"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38 - 51,9</w:t>
            </w:r>
            <w:r w:rsidRPr="00682FBA">
              <w:rPr>
                <w:rFonts w:ascii="Times New Roman" w:eastAsia="Times New Roman" w:hAnsi="Times New Roman"/>
                <w:bCs/>
                <w:sz w:val="24"/>
                <w:szCs w:val="24"/>
                <w:lang w:eastAsia="cs-CZ"/>
              </w:rPr>
              <w:t xml:space="preserve"> m² </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417"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single" w:sz="4"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221"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52 - 67,9</w:t>
            </w:r>
            <w:r w:rsidRPr="00682FBA">
              <w:rPr>
                <w:rFonts w:ascii="Times New Roman" w:eastAsia="Times New Roman" w:hAnsi="Times New Roman"/>
                <w:bCs/>
                <w:sz w:val="24"/>
                <w:szCs w:val="24"/>
                <w:lang w:eastAsia="cs-CZ"/>
              </w:rPr>
              <w:t xml:space="preserve"> m² </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417"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single" w:sz="4"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4"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4" w:space="0" w:color="auto"/>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221"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68 - 81,9</w:t>
            </w:r>
            <w:r w:rsidRPr="00682FBA">
              <w:rPr>
                <w:rFonts w:ascii="Times New Roman" w:eastAsia="Times New Roman" w:hAnsi="Times New Roman"/>
                <w:bCs/>
                <w:sz w:val="24"/>
                <w:szCs w:val="24"/>
                <w:lang w:eastAsia="cs-CZ"/>
              </w:rPr>
              <w:t xml:space="preserve"> m² </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417"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67"/>
          <w:jc w:val="center"/>
        </w:trPr>
        <w:tc>
          <w:tcPr>
            <w:tcW w:w="1221" w:type="dxa"/>
            <w:tcBorders>
              <w:top w:val="nil"/>
              <w:left w:val="single" w:sz="12" w:space="0" w:color="auto"/>
              <w:bottom w:val="single" w:sz="12"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82 - 95,9</w:t>
            </w:r>
            <w:r w:rsidRPr="00682FBA">
              <w:rPr>
                <w:rFonts w:ascii="Times New Roman" w:eastAsia="Times New Roman" w:hAnsi="Times New Roman"/>
                <w:bCs/>
                <w:sz w:val="24"/>
                <w:szCs w:val="24"/>
                <w:lang w:eastAsia="cs-CZ"/>
              </w:rPr>
              <w:t xml:space="preserve"> m² </w:t>
            </w:r>
          </w:p>
        </w:tc>
        <w:tc>
          <w:tcPr>
            <w:tcW w:w="1300" w:type="dxa"/>
            <w:tcBorders>
              <w:top w:val="nil"/>
              <w:left w:val="single" w:sz="12" w:space="0" w:color="auto"/>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417"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nadstandard </w:t>
            </w:r>
          </w:p>
        </w:tc>
        <w:tc>
          <w:tcPr>
            <w:tcW w:w="1167"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12"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bl>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Tabulka 2: Přiměřenost bytu s ohledem na velikost společně hospodařící domácnosti podle počtu obytných místností v bytě v případě minimálního standardu podle podlahové plochy bytu</w:t>
      </w:r>
    </w:p>
    <w:p w:rsidR="00682FBA" w:rsidRPr="00682FBA" w:rsidRDefault="00682FBA" w:rsidP="00682FBA">
      <w:pPr>
        <w:spacing w:after="0" w:line="240" w:lineRule="auto"/>
        <w:ind w:left="850"/>
        <w:jc w:val="both"/>
        <w:rPr>
          <w:rFonts w:ascii="Times New Roman" w:eastAsia="Times New Roman" w:hAnsi="Times New Roman"/>
          <w:b/>
          <w:bCs/>
          <w:sz w:val="24"/>
          <w:szCs w:val="24"/>
          <w:lang w:eastAsia="cs-CZ"/>
        </w:rPr>
      </w:pPr>
    </w:p>
    <w:tbl>
      <w:tblPr>
        <w:tblW w:w="10955" w:type="dxa"/>
        <w:jc w:val="center"/>
        <w:tblCellMar>
          <w:left w:w="70" w:type="dxa"/>
          <w:right w:w="70" w:type="dxa"/>
        </w:tblCellMar>
        <w:tblLook w:val="00A0" w:firstRow="1" w:lastRow="0" w:firstColumn="1" w:lastColumn="0" w:noHBand="0" w:noVBand="0"/>
      </w:tblPr>
      <w:tblGrid>
        <w:gridCol w:w="1087"/>
        <w:gridCol w:w="1300"/>
        <w:gridCol w:w="1300"/>
        <w:gridCol w:w="1300"/>
        <w:gridCol w:w="1300"/>
        <w:gridCol w:w="1167"/>
        <w:gridCol w:w="1167"/>
        <w:gridCol w:w="1167"/>
        <w:gridCol w:w="1167"/>
      </w:tblGrid>
      <w:tr w:rsidR="00682FBA" w:rsidRPr="00682FBA" w:rsidTr="00682FBA">
        <w:trPr>
          <w:trHeight w:val="821"/>
          <w:jc w:val="center"/>
        </w:trPr>
        <w:tc>
          <w:tcPr>
            <w:tcW w:w="1087" w:type="dxa"/>
            <w:tcBorders>
              <w:top w:val="single" w:sz="12" w:space="0" w:color="auto"/>
              <w:left w:val="single" w:sz="12" w:space="0" w:color="auto"/>
              <w:bottom w:val="single" w:sz="12"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 obytných místností</w:t>
            </w:r>
          </w:p>
        </w:tc>
        <w:tc>
          <w:tcPr>
            <w:tcW w:w="1300" w:type="dxa"/>
            <w:tcBorders>
              <w:top w:val="single" w:sz="12" w:space="0" w:color="auto"/>
              <w:left w:val="single" w:sz="12" w:space="0" w:color="auto"/>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v bytě: </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1</w:t>
            </w:r>
          </w:p>
        </w:tc>
        <w:tc>
          <w:tcPr>
            <w:tcW w:w="1300" w:type="dxa"/>
            <w:tcBorders>
              <w:top w:val="single" w:sz="12" w:space="0" w:color="auto"/>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2</w:t>
            </w:r>
          </w:p>
        </w:tc>
        <w:tc>
          <w:tcPr>
            <w:tcW w:w="1300" w:type="dxa"/>
            <w:tcBorders>
              <w:top w:val="single" w:sz="12" w:space="0" w:color="auto"/>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3</w:t>
            </w:r>
          </w:p>
        </w:tc>
        <w:tc>
          <w:tcPr>
            <w:tcW w:w="1300" w:type="dxa"/>
            <w:tcBorders>
              <w:top w:val="single" w:sz="12" w:space="0" w:color="auto"/>
              <w:left w:val="nil"/>
              <w:bottom w:val="single" w:sz="12" w:space="0" w:color="auto"/>
              <w:right w:val="single" w:sz="8"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4</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5 až 6</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7 až 8</w:t>
            </w:r>
          </w:p>
        </w:tc>
        <w:tc>
          <w:tcPr>
            <w:tcW w:w="1167" w:type="dxa"/>
            <w:tcBorders>
              <w:top w:val="single" w:sz="12" w:space="0" w:color="auto"/>
              <w:left w:val="nil"/>
              <w:bottom w:val="single" w:sz="12" w:space="0" w:color="auto"/>
              <w:right w:val="single" w:sz="8"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 xml:space="preserve">osob </w:t>
            </w:r>
            <w:r w:rsidRPr="00682FBA">
              <w:rPr>
                <w:rFonts w:ascii="Times New Roman" w:eastAsia="Times New Roman" w:hAnsi="Times New Roman"/>
                <w:b/>
                <w:bCs/>
                <w:sz w:val="24"/>
                <w:szCs w:val="24"/>
                <w:lang w:eastAsia="cs-CZ"/>
              </w:rPr>
              <w:b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9 až 12</w:t>
            </w:r>
          </w:p>
        </w:tc>
        <w:tc>
          <w:tcPr>
            <w:tcW w:w="1167" w:type="dxa"/>
            <w:tcBorders>
              <w:top w:val="single" w:sz="12" w:space="0" w:color="auto"/>
              <w:left w:val="nil"/>
              <w:bottom w:val="single" w:sz="12" w:space="0" w:color="auto"/>
              <w:right w:val="single" w:sz="12"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počet</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osob</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v bytě:</w:t>
            </w:r>
          </w:p>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
                <w:bCs/>
                <w:sz w:val="24"/>
                <w:szCs w:val="24"/>
                <w:lang w:eastAsia="cs-CZ"/>
              </w:rPr>
              <w:t>13 a více</w:t>
            </w:r>
          </w:p>
        </w:tc>
      </w:tr>
      <w:tr w:rsidR="00682FBA" w:rsidRPr="00682FBA" w:rsidTr="00682FBA">
        <w:trPr>
          <w:trHeight w:val="300"/>
          <w:jc w:val="center"/>
        </w:trPr>
        <w:tc>
          <w:tcPr>
            <w:tcW w:w="1087" w:type="dxa"/>
            <w:tcBorders>
              <w:top w:val="single" w:sz="12" w:space="0" w:color="auto"/>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1</w:t>
            </w:r>
          </w:p>
        </w:tc>
        <w:tc>
          <w:tcPr>
            <w:tcW w:w="1300" w:type="dxa"/>
            <w:tcBorders>
              <w:top w:val="single" w:sz="12" w:space="0" w:color="auto"/>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single" w:sz="12"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single" w:sz="12"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300" w:type="dxa"/>
            <w:tcBorders>
              <w:top w:val="single" w:sz="12" w:space="0" w:color="auto"/>
              <w:left w:val="nil"/>
              <w:bottom w:val="single" w:sz="4" w:space="0" w:color="auto"/>
              <w:right w:val="single" w:sz="4" w:space="0" w:color="auto"/>
            </w:tcBorders>
            <w:shd w:val="clear" w:color="auto" w:fill="7F7F7F"/>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12" w:space="0" w:color="auto"/>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087"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2</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 xml:space="preserve"> 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single" w:sz="4" w:space="0" w:color="auto"/>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087"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3</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single" w:sz="4"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4" w:space="0" w:color="auto"/>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single" w:sz="4" w:space="0" w:color="auto"/>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087" w:type="dxa"/>
            <w:tcBorders>
              <w:top w:val="nil"/>
              <w:left w:val="single" w:sz="12" w:space="0" w:color="auto"/>
              <w:bottom w:val="single" w:sz="4"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4</w:t>
            </w:r>
          </w:p>
        </w:tc>
        <w:tc>
          <w:tcPr>
            <w:tcW w:w="1300" w:type="dxa"/>
            <w:tcBorders>
              <w:top w:val="nil"/>
              <w:left w:val="single" w:sz="12" w:space="0" w:color="auto"/>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4"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4"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4" w:space="0" w:color="auto"/>
              <w:right w:val="single" w:sz="4"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c>
          <w:tcPr>
            <w:tcW w:w="1167" w:type="dxa"/>
            <w:tcBorders>
              <w:top w:val="nil"/>
              <w:left w:val="nil"/>
              <w:bottom w:val="single" w:sz="4"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r w:rsidR="00682FBA" w:rsidRPr="00682FBA" w:rsidTr="00682FBA">
        <w:trPr>
          <w:trHeight w:val="300"/>
          <w:jc w:val="center"/>
        </w:trPr>
        <w:tc>
          <w:tcPr>
            <w:tcW w:w="1087" w:type="dxa"/>
            <w:tcBorders>
              <w:top w:val="nil"/>
              <w:left w:val="single" w:sz="12" w:space="0" w:color="auto"/>
              <w:bottom w:val="single" w:sz="12" w:space="0" w:color="auto"/>
              <w:right w:val="single" w:sz="12"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
                <w:bCs/>
                <w:sz w:val="24"/>
                <w:szCs w:val="24"/>
                <w:lang w:eastAsia="cs-CZ"/>
              </w:rPr>
              <w:t>5</w:t>
            </w:r>
          </w:p>
        </w:tc>
        <w:tc>
          <w:tcPr>
            <w:tcW w:w="1300" w:type="dxa"/>
            <w:tcBorders>
              <w:top w:val="nil"/>
              <w:left w:val="single" w:sz="12" w:space="0" w:color="auto"/>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300" w:type="dxa"/>
            <w:tcBorders>
              <w:top w:val="nil"/>
              <w:left w:val="nil"/>
              <w:bottom w:val="single" w:sz="12" w:space="0" w:color="auto"/>
              <w:right w:val="single" w:sz="4" w:space="0" w:color="auto"/>
            </w:tcBorders>
            <w:noWrap/>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nadstandard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standard</w:t>
            </w:r>
          </w:p>
        </w:tc>
        <w:tc>
          <w:tcPr>
            <w:tcW w:w="1167" w:type="dxa"/>
            <w:tcBorders>
              <w:top w:val="nil"/>
              <w:left w:val="nil"/>
              <w:bottom w:val="single" w:sz="12" w:space="0" w:color="auto"/>
              <w:right w:val="single" w:sz="4" w:space="0" w:color="auto"/>
            </w:tcBorders>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minimální standard</w:t>
            </w:r>
          </w:p>
        </w:tc>
        <w:tc>
          <w:tcPr>
            <w:tcW w:w="1167" w:type="dxa"/>
            <w:tcBorders>
              <w:top w:val="nil"/>
              <w:left w:val="nil"/>
              <w:bottom w:val="single" w:sz="12" w:space="0" w:color="auto"/>
              <w:right w:val="single" w:sz="12" w:space="0" w:color="auto"/>
            </w:tcBorders>
            <w:shd w:val="clear" w:color="auto" w:fill="808080"/>
            <w:vAlign w:val="center"/>
            <w:hideMark/>
          </w:tcPr>
          <w:p w:rsidR="00682FBA" w:rsidRPr="00682FBA" w:rsidRDefault="00682FBA" w:rsidP="00BC18B2">
            <w:pPr>
              <w:spacing w:after="0" w:line="240" w:lineRule="auto"/>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přelidněný</w:t>
            </w:r>
          </w:p>
        </w:tc>
      </w:tr>
    </w:tbl>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p>
    <w:p w:rsidR="00682FBA" w:rsidRPr="00682FBA" w:rsidRDefault="00682FBA" w:rsidP="00682FBA">
      <w:pPr>
        <w:spacing w:after="0" w:line="240" w:lineRule="auto"/>
        <w:ind w:left="85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Je-li předmětem posuzování byt</w:t>
      </w:r>
    </w:p>
    <w:p w:rsidR="00682FBA" w:rsidRPr="00682FBA" w:rsidRDefault="00682FBA" w:rsidP="00682FBA">
      <w:pPr>
        <w:numPr>
          <w:ilvl w:val="0"/>
          <w:numId w:val="40"/>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o podlahové ploše větší než 95,9 m</w:t>
      </w:r>
      <w:r w:rsidRPr="00682FBA">
        <w:rPr>
          <w:rFonts w:ascii="Times New Roman" w:eastAsia="Times New Roman" w:hAnsi="Times New Roman"/>
          <w:bCs/>
          <w:sz w:val="24"/>
          <w:szCs w:val="24"/>
          <w:vertAlign w:val="superscript"/>
          <w:lang w:eastAsia="cs-CZ"/>
        </w:rPr>
        <w:t>2</w:t>
      </w:r>
      <w:r w:rsidRPr="00682FBA">
        <w:rPr>
          <w:rFonts w:ascii="Times New Roman" w:eastAsia="Times New Roman" w:hAnsi="Times New Roman"/>
          <w:bCs/>
          <w:sz w:val="24"/>
          <w:szCs w:val="24"/>
          <w:lang w:eastAsia="cs-CZ"/>
        </w:rPr>
        <w:t>, je přiměřenost bytu s ohledem na velikost společně hospodařící domácnosti podle podlahové plochy bytu posuzována obdobně jako v tabulce 1 s ohledem na konkrétní situaci a počet členů společně hospodařící domácnosti, nebo</w:t>
      </w:r>
    </w:p>
    <w:p w:rsidR="00682FBA" w:rsidRPr="00682FBA" w:rsidRDefault="00682FBA" w:rsidP="00682FBA">
      <w:pPr>
        <w:numPr>
          <w:ilvl w:val="0"/>
          <w:numId w:val="40"/>
        </w:numPr>
        <w:spacing w:after="0" w:line="240" w:lineRule="auto"/>
        <w:ind w:left="1570"/>
        <w:jc w:val="both"/>
        <w:rPr>
          <w:rFonts w:ascii="Times New Roman" w:eastAsia="Times New Roman" w:hAnsi="Times New Roman"/>
          <w:bCs/>
          <w:sz w:val="24"/>
          <w:szCs w:val="24"/>
          <w:lang w:eastAsia="cs-CZ"/>
        </w:rPr>
      </w:pPr>
      <w:r w:rsidRPr="00682FBA">
        <w:rPr>
          <w:rFonts w:ascii="Times New Roman" w:eastAsia="Times New Roman" w:hAnsi="Times New Roman"/>
          <w:bCs/>
          <w:sz w:val="24"/>
          <w:szCs w:val="24"/>
          <w:lang w:eastAsia="cs-CZ"/>
        </w:rPr>
        <w:t>o větším počtu obytných místností než 5, je přiměřenost bytu podle počtu obytných místností posuzována obdobně jako v tabulce 2 s ohledem na konkrétní situaci a počet členů společně hospodařící domácnosti.</w:t>
      </w:r>
      <w:r w:rsidRPr="00682FBA">
        <w:rPr>
          <w:rFonts w:ascii="Times New Roman" w:eastAsia="Times New Roman" w:hAnsi="Times New Roman"/>
          <w:sz w:val="24"/>
          <w:szCs w:val="24"/>
          <w:lang w:eastAsia="cs-CZ"/>
        </w:rPr>
        <w:t>“.</w:t>
      </w:r>
    </w:p>
    <w:p w:rsidR="00682FBA" w:rsidRDefault="00682FBA" w:rsidP="00DD1A0E">
      <w:pPr>
        <w:pStyle w:val="Zhlav"/>
        <w:jc w:val="both"/>
        <w:rPr>
          <w:rFonts w:cs="Times New Roman"/>
        </w:rPr>
      </w:pPr>
    </w:p>
    <w:p w:rsidR="00682FBA" w:rsidRDefault="00682FBA" w:rsidP="00DD1A0E">
      <w:pPr>
        <w:pStyle w:val="Zhlav"/>
        <w:jc w:val="both"/>
        <w:rPr>
          <w:rFonts w:cs="Times New Roman"/>
        </w:rPr>
      </w:pPr>
    </w:p>
    <w:p w:rsidR="00682FBA" w:rsidRPr="00567F73" w:rsidRDefault="00682FBA" w:rsidP="00DD1A0E">
      <w:pPr>
        <w:pStyle w:val="Zhlav"/>
        <w:jc w:val="both"/>
        <w:rPr>
          <w:rFonts w:cs="Times New Roman"/>
        </w:rPr>
      </w:pPr>
    </w:p>
    <w:p w:rsidR="00DD1A0E" w:rsidRDefault="00DD1A0E" w:rsidP="00DD1A0E">
      <w:pPr>
        <w:pStyle w:val="Zhlav"/>
        <w:jc w:val="both"/>
        <w:rPr>
          <w:rFonts w:cs="Times New Roman"/>
        </w:rPr>
      </w:pPr>
    </w:p>
    <w:p w:rsidR="00DD1A0E" w:rsidRDefault="00DD1A0E" w:rsidP="00682FBA">
      <w:pPr>
        <w:pStyle w:val="Zhlav"/>
        <w:numPr>
          <w:ilvl w:val="0"/>
          <w:numId w:val="7"/>
        </w:numPr>
        <w:jc w:val="both"/>
        <w:rPr>
          <w:rFonts w:cs="Times New Roman"/>
        </w:rPr>
      </w:pPr>
      <w:r>
        <w:rPr>
          <w:rFonts w:cs="Times New Roman"/>
          <w:b/>
        </w:rPr>
        <w:t>z m o c ň u j e</w:t>
      </w:r>
      <w:r>
        <w:rPr>
          <w:rFonts w:cs="Times New Roman"/>
        </w:rPr>
        <w:t xml:space="preserve">   zpravodaje výboru, aby s usnesením seznámil Poslaneckou sněmovnu;</w:t>
      </w:r>
    </w:p>
    <w:p w:rsidR="00DD1A0E" w:rsidRDefault="00DD1A0E" w:rsidP="00DD1A0E">
      <w:pPr>
        <w:pStyle w:val="Zhlav"/>
        <w:ind w:left="426"/>
        <w:jc w:val="both"/>
        <w:rPr>
          <w:rFonts w:cs="Times New Roman"/>
        </w:rPr>
      </w:pPr>
    </w:p>
    <w:p w:rsidR="00682FBA" w:rsidRDefault="00682FBA" w:rsidP="00DD1A0E">
      <w:pPr>
        <w:pStyle w:val="Zhlav"/>
        <w:ind w:left="426"/>
        <w:jc w:val="both"/>
        <w:rPr>
          <w:rFonts w:cs="Times New Roman"/>
        </w:rPr>
      </w:pPr>
    </w:p>
    <w:p w:rsidR="00DD1A0E" w:rsidRDefault="00DD1A0E" w:rsidP="00682FBA">
      <w:pPr>
        <w:pStyle w:val="Zhlav"/>
        <w:numPr>
          <w:ilvl w:val="0"/>
          <w:numId w:val="7"/>
        </w:numPr>
        <w:jc w:val="both"/>
        <w:rPr>
          <w:rFonts w:cs="Times New Roman"/>
        </w:rPr>
      </w:pPr>
      <w:r>
        <w:rPr>
          <w:rFonts w:cs="Times New Roman"/>
          <w:b/>
        </w:rPr>
        <w:t>p o v ě ř u j e</w:t>
      </w:r>
      <w:r>
        <w:rPr>
          <w:rFonts w:cs="Times New Roman"/>
        </w:rPr>
        <w:t xml:space="preserve">   předsedu výboru, aby usnesení zaslal předsedovi Poslanecké sněmovny. </w:t>
      </w:r>
    </w:p>
    <w:p w:rsidR="00813758" w:rsidRPr="005C5AA3" w:rsidRDefault="00813758" w:rsidP="00813758">
      <w:pPr>
        <w:pStyle w:val="Zhlav"/>
        <w:tabs>
          <w:tab w:val="left" w:pos="708"/>
        </w:tabs>
        <w:ind w:left="360"/>
        <w:jc w:val="both"/>
        <w:rPr>
          <w:rFonts w:cs="Times New Roman"/>
        </w:rPr>
      </w:pPr>
    </w:p>
    <w:p w:rsidR="005C5AA3" w:rsidRDefault="005C5AA3"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33F4E" w:rsidRDefault="00A638B2" w:rsidP="00C158F9">
      <w:pPr>
        <w:pStyle w:val="Zhlav"/>
        <w:tabs>
          <w:tab w:val="left" w:pos="708"/>
        </w:tabs>
        <w:jc w:val="both"/>
        <w:rPr>
          <w:rFonts w:cs="Times New Roman"/>
          <w:b/>
        </w:rPr>
      </w:pPr>
      <w:r>
        <w:rPr>
          <w:rFonts w:cs="Times New Roman"/>
          <w:b/>
        </w:rPr>
        <w:t xml:space="preserve">       </w:t>
      </w:r>
    </w:p>
    <w:p w:rsidR="00A23178" w:rsidRPr="000C4595" w:rsidRDefault="00A23178" w:rsidP="00A23178">
      <w:pPr>
        <w:pStyle w:val="Zhlav"/>
        <w:tabs>
          <w:tab w:val="left" w:pos="708"/>
        </w:tabs>
        <w:rPr>
          <w:b/>
        </w:rPr>
      </w:pPr>
      <w:r>
        <w:rPr>
          <w:rFonts w:cs="Times New Roman"/>
          <w:b/>
        </w:rPr>
        <w:t xml:space="preserve">  Ondřej   P r o f a n t </w:t>
      </w:r>
      <w:r w:rsidR="00567F73">
        <w:rPr>
          <w:rFonts w:cs="Times New Roman"/>
          <w:b/>
        </w:rPr>
        <w:t xml:space="preserve"> </w:t>
      </w:r>
      <w:r>
        <w:rPr>
          <w:rFonts w:cs="Times New Roman"/>
          <w:b/>
        </w:rPr>
        <w:t xml:space="preserve"> </w:t>
      </w:r>
      <w:proofErr w:type="gramStart"/>
      <w:r w:rsidR="00992455">
        <w:rPr>
          <w:rFonts w:cs="Times New Roman"/>
          <w:b/>
        </w:rPr>
        <w:t>v.r.</w:t>
      </w:r>
      <w:proofErr w:type="gramEnd"/>
      <w:r>
        <w:rPr>
          <w:rFonts w:cs="Times New Roman"/>
          <w:b/>
        </w:rPr>
        <w:t xml:space="preserve">                                      </w:t>
      </w:r>
      <w:r w:rsidR="003115F4">
        <w:rPr>
          <w:rFonts w:cs="Times New Roman"/>
          <w:b/>
        </w:rPr>
        <w:t xml:space="preserve">        </w:t>
      </w:r>
      <w:r w:rsidR="00C40A16">
        <w:rPr>
          <w:rFonts w:cs="Times New Roman"/>
          <w:b/>
        </w:rPr>
        <w:t xml:space="preserve">              </w:t>
      </w:r>
      <w:r w:rsidR="008042B4">
        <w:rPr>
          <w:rFonts w:cs="Times New Roman"/>
          <w:b/>
        </w:rPr>
        <w:t xml:space="preserve"> </w:t>
      </w:r>
      <w:r w:rsidR="003115F4">
        <w:rPr>
          <w:rFonts w:cs="Times New Roman"/>
          <w:b/>
        </w:rPr>
        <w:t xml:space="preserve"> </w:t>
      </w:r>
      <w:r w:rsidR="00C40A16">
        <w:rPr>
          <w:rFonts w:cs="Times New Roman"/>
          <w:b/>
        </w:rPr>
        <w:t xml:space="preserve">Ing. Jiří    D o l e j š </w:t>
      </w:r>
      <w:r w:rsidR="00992455">
        <w:rPr>
          <w:rFonts w:cs="Times New Roman"/>
          <w:b/>
        </w:rPr>
        <w:t xml:space="preserve">  </w:t>
      </w:r>
      <w:proofErr w:type="gramStart"/>
      <w:r w:rsidR="00992455">
        <w:rPr>
          <w:rFonts w:cs="Times New Roman"/>
          <w:b/>
        </w:rPr>
        <w:t>v.r.</w:t>
      </w:r>
      <w:proofErr w:type="gramEnd"/>
    </w:p>
    <w:p w:rsidR="00A23178" w:rsidRDefault="00A23178" w:rsidP="00A23178">
      <w:pPr>
        <w:pStyle w:val="Zhlav"/>
        <w:tabs>
          <w:tab w:val="left" w:pos="708"/>
        </w:tabs>
        <w:jc w:val="both"/>
      </w:pPr>
      <w:r>
        <w:t xml:space="preserve">           zpravodaj                                                                        </w:t>
      </w:r>
      <w:r w:rsidR="00060902">
        <w:t xml:space="preserve">                    ověřovatel</w:t>
      </w:r>
    </w:p>
    <w:p w:rsidR="00A23178" w:rsidRPr="00A20501" w:rsidRDefault="00A23178" w:rsidP="00A23178">
      <w:pPr>
        <w:pStyle w:val="Nadpis2"/>
        <w:jc w:val="left"/>
        <w:rPr>
          <w:b w:val="0"/>
        </w:rPr>
      </w:pPr>
      <w:r>
        <w:t xml:space="preserve">         </w:t>
      </w:r>
    </w:p>
    <w:p w:rsidR="00A23178" w:rsidRDefault="00A23178" w:rsidP="00A23178">
      <w:pPr>
        <w:pStyle w:val="Zhlav"/>
        <w:tabs>
          <w:tab w:val="left" w:pos="708"/>
        </w:tabs>
        <w:jc w:val="both"/>
      </w:pPr>
    </w:p>
    <w:p w:rsidR="00A23178" w:rsidRDefault="00A23178" w:rsidP="00A23178">
      <w:pPr>
        <w:pStyle w:val="Zhlav"/>
        <w:tabs>
          <w:tab w:val="left" w:pos="708"/>
        </w:tabs>
        <w:jc w:val="both"/>
      </w:pPr>
    </w:p>
    <w:p w:rsidR="00A23178" w:rsidRDefault="00A23178" w:rsidP="00A23178">
      <w:pPr>
        <w:pStyle w:val="Zhlav"/>
        <w:tabs>
          <w:tab w:val="left" w:pos="708"/>
        </w:tabs>
        <w:jc w:val="both"/>
      </w:pPr>
    </w:p>
    <w:p w:rsidR="00A23178" w:rsidRPr="00406E0C" w:rsidRDefault="00A23178" w:rsidP="00A23178">
      <w:pPr>
        <w:pStyle w:val="Zhlav"/>
        <w:tabs>
          <w:tab w:val="left" w:pos="708"/>
        </w:tabs>
        <w:jc w:val="center"/>
        <w:rPr>
          <w:b/>
        </w:rPr>
      </w:pPr>
      <w:r w:rsidRPr="00406E0C">
        <w:rPr>
          <w:b/>
        </w:rPr>
        <w:t>PhDr. Ivan   B a r t o š, Ph.D.</w:t>
      </w:r>
      <w:r w:rsidR="00567F73">
        <w:rPr>
          <w:b/>
        </w:rPr>
        <w:t xml:space="preserve"> </w:t>
      </w:r>
      <w:r w:rsidR="00992455">
        <w:rPr>
          <w:b/>
        </w:rPr>
        <w:t xml:space="preserve">  v.r.</w:t>
      </w:r>
      <w:bookmarkStart w:id="4" w:name="_GoBack"/>
      <w:bookmarkEnd w:id="4"/>
    </w:p>
    <w:p w:rsidR="004A0F37" w:rsidRPr="00DD1A0E" w:rsidRDefault="00A23178" w:rsidP="00DD1A0E">
      <w:pPr>
        <w:pStyle w:val="Zhlav"/>
        <w:tabs>
          <w:tab w:val="left" w:pos="708"/>
        </w:tabs>
        <w:jc w:val="center"/>
      </w:pPr>
      <w:r>
        <w:t>předseda výboru</w:t>
      </w:r>
    </w:p>
    <w:sectPr w:rsidR="004A0F37" w:rsidRPr="00DD1A0E"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FBA" w:rsidRDefault="00682FBA" w:rsidP="00682FBA">
      <w:pPr>
        <w:spacing w:after="0" w:line="240" w:lineRule="auto"/>
      </w:pPr>
      <w:r>
        <w:separator/>
      </w:r>
    </w:p>
  </w:endnote>
  <w:endnote w:type="continuationSeparator" w:id="0">
    <w:p w:rsidR="00682FBA" w:rsidRDefault="00682FBA" w:rsidP="0068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885841"/>
      <w:docPartObj>
        <w:docPartGallery w:val="Page Numbers (Bottom of Page)"/>
        <w:docPartUnique/>
      </w:docPartObj>
    </w:sdtPr>
    <w:sdtContent>
      <w:p w:rsidR="00992455" w:rsidRDefault="00992455">
        <w:pPr>
          <w:pStyle w:val="Zpat"/>
          <w:jc w:val="center"/>
        </w:pPr>
        <w:r>
          <w:fldChar w:fldCharType="begin"/>
        </w:r>
        <w:r>
          <w:instrText>PAGE   \* MERGEFORMAT</w:instrText>
        </w:r>
        <w:r>
          <w:fldChar w:fldCharType="separate"/>
        </w:r>
        <w:r>
          <w:rPr>
            <w:noProof/>
          </w:rPr>
          <w:t>19</w:t>
        </w:r>
        <w:r>
          <w:fldChar w:fldCharType="end"/>
        </w:r>
      </w:p>
    </w:sdtContent>
  </w:sdt>
  <w:p w:rsidR="00992455" w:rsidRDefault="009924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FBA" w:rsidRDefault="00682FBA" w:rsidP="00682FBA">
      <w:pPr>
        <w:spacing w:after="0" w:line="240" w:lineRule="auto"/>
      </w:pPr>
      <w:r>
        <w:separator/>
      </w:r>
    </w:p>
  </w:footnote>
  <w:footnote w:type="continuationSeparator" w:id="0">
    <w:p w:rsidR="00682FBA" w:rsidRDefault="00682FBA" w:rsidP="00682FBA">
      <w:pPr>
        <w:spacing w:after="0" w:line="240" w:lineRule="auto"/>
      </w:pPr>
      <w:r>
        <w:continuationSeparator/>
      </w:r>
    </w:p>
  </w:footnote>
  <w:footnote w:id="1">
    <w:p w:rsidR="00682FBA" w:rsidRDefault="00682FBA" w:rsidP="00682FBA">
      <w:pPr>
        <w:pStyle w:val="Schriftart9pt1"/>
        <w:rPr>
          <w:rFonts w:ascii="Times New Roman" w:hAnsi="Times New Roman"/>
        </w:rPr>
      </w:pPr>
      <w:r>
        <w:rPr>
          <w:rStyle w:val="Znakapoznpodarou"/>
          <w:rFonts w:ascii="Times New Roman" w:hAnsi="Times New Roman"/>
        </w:rPr>
        <w:footnoteRef/>
      </w:r>
      <w:r>
        <w:rPr>
          <w:rFonts w:ascii="Times New Roman" w:hAnsi="Times New Roman"/>
        </w:rPr>
        <w:t>) § 110 zákona č. 108/2006 Sb., o sociálních službách, ve znění pozdějších předpisů.</w:t>
      </w:r>
    </w:p>
  </w:footnote>
  <w:footnote w:id="2">
    <w:p w:rsidR="00682FBA" w:rsidRDefault="00682FBA" w:rsidP="00682FBA">
      <w:pPr>
        <w:pStyle w:val="Schriftart9pt1"/>
        <w:rPr>
          <w:rFonts w:ascii="Times New Roman" w:hAnsi="Times New Roman"/>
          <w:bCs/>
        </w:rPr>
      </w:pPr>
      <w:r>
        <w:rPr>
          <w:rStyle w:val="Znakapoznpodarou"/>
          <w:rFonts w:ascii="Times New Roman" w:hAnsi="Times New Roman"/>
          <w:bCs/>
        </w:rPr>
        <w:footnoteRef/>
      </w:r>
      <w:r>
        <w:rPr>
          <w:rFonts w:ascii="Times New Roman" w:hAnsi="Times New Roman"/>
          <w:bCs/>
        </w:rPr>
        <w:t>) § 2 odst. 1 zákona č. 151/1997 Sb., o oceňování majetku a změně některých zákonů (zákon o oceňování majetku),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3AB7045"/>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4F424FB"/>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E1F7761"/>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12225505"/>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4413FAA"/>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0" w15:restartNumberingAfterBreak="0">
    <w:nsid w:val="14FC3287"/>
    <w:multiLevelType w:val="hybridMultilevel"/>
    <w:tmpl w:val="8E586F6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16FD2492"/>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1E043D03"/>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095282F"/>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4" w15:restartNumberingAfterBreak="0">
    <w:nsid w:val="228A493C"/>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73303E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6" w15:restartNumberingAfterBreak="0">
    <w:nsid w:val="27C857D2"/>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7" w15:restartNumberingAfterBreak="0">
    <w:nsid w:val="291846D5"/>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8" w15:restartNumberingAfterBreak="0">
    <w:nsid w:val="2EB20C1C"/>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2EB463B9"/>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5C7486A"/>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1" w15:restartNumberingAfterBreak="0">
    <w:nsid w:val="3A06361A"/>
    <w:multiLevelType w:val="hybridMultilevel"/>
    <w:tmpl w:val="106C7484"/>
    <w:lvl w:ilvl="0" w:tplc="C93A64F8">
      <w:start w:val="1"/>
      <w:numFmt w:val="lowerLetter"/>
      <w:lvlText w:val="%1)"/>
      <w:lvlJc w:val="left"/>
      <w:pPr>
        <w:ind w:left="720" w:hanging="360"/>
      </w:pPr>
      <w:rPr>
        <w:rFonts w:ascii="Times New Roman" w:hAnsi="Times New Roman" w:cs="Times New Roman" w:hint="default"/>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AF869AA"/>
    <w:multiLevelType w:val="hybridMultilevel"/>
    <w:tmpl w:val="9FDEB7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4" w15:restartNumberingAfterBreak="0">
    <w:nsid w:val="40402B66"/>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5" w15:restartNumberingAfterBreak="0">
    <w:nsid w:val="4D8D557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6" w15:restartNumberingAfterBreak="0">
    <w:nsid w:val="4E8E58C5"/>
    <w:multiLevelType w:val="hybridMultilevel"/>
    <w:tmpl w:val="FAD6A1A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4AC1E8B"/>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8" w15:restartNumberingAfterBreak="0">
    <w:nsid w:val="592A6994"/>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9" w15:restartNumberingAfterBreak="0">
    <w:nsid w:val="5AC50203"/>
    <w:multiLevelType w:val="multilevel"/>
    <w:tmpl w:val="EE5CFF1E"/>
    <w:lvl w:ilvl="0">
      <w:start w:val="1"/>
      <w:numFmt w:val="lowerLetter"/>
      <w:lvlText w:val="%1)"/>
      <w:lvlJc w:val="left"/>
      <w:pPr>
        <w:ind w:left="928" w:hanging="360"/>
      </w:pPr>
      <w:rPr>
        <w:rFonts w:ascii="Times New Roman" w:eastAsia="Calibri" w:hAnsi="Times New Roman" w:cs="Calibri"/>
      </w:rPr>
    </w:lvl>
    <w:lvl w:ilvl="1">
      <w:start w:val="1"/>
      <w:numFmt w:val="lowerLetter"/>
      <w:lvlText w:val="%2)"/>
      <w:lvlJc w:val="left"/>
      <w:pPr>
        <w:ind w:left="502"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CF90DF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1" w15:restartNumberingAfterBreak="0">
    <w:nsid w:val="5E38593E"/>
    <w:multiLevelType w:val="hybridMultilevel"/>
    <w:tmpl w:val="A6B4D248"/>
    <w:lvl w:ilvl="0" w:tplc="9156F3D4">
      <w:start w:val="1"/>
      <w:numFmt w:val="upperRoman"/>
      <w:lvlText w:val="%1."/>
      <w:lvlJc w:val="left"/>
      <w:pPr>
        <w:ind w:left="1080" w:hanging="72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5EA1DEA"/>
    <w:multiLevelType w:val="hybridMultilevel"/>
    <w:tmpl w:val="873EC3B2"/>
    <w:lvl w:ilvl="0" w:tplc="04050017">
      <w:start w:val="1"/>
      <w:numFmt w:val="lowerLetter"/>
      <w:lvlText w:val="%1)"/>
      <w:lvlJc w:val="left"/>
      <w:pPr>
        <w:ind w:left="720" w:hanging="360"/>
      </w:pPr>
    </w:lvl>
    <w:lvl w:ilvl="1" w:tplc="95880098">
      <w:start w:val="1"/>
      <w:numFmt w:val="decimal"/>
      <w:lvlText w:val="%2."/>
      <w:lvlJc w:val="left"/>
      <w:pPr>
        <w:ind w:left="1440" w:hanging="360"/>
      </w:pPr>
      <w:rPr>
        <w:rFonts w:cstheme="minorBidi"/>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1174166"/>
    <w:multiLevelType w:val="hybridMultilevel"/>
    <w:tmpl w:val="E30031EE"/>
    <w:lvl w:ilvl="0" w:tplc="866C8198">
      <w:start w:val="1"/>
      <w:numFmt w:val="upperRoman"/>
      <w:lvlText w:val="%1."/>
      <w:lvlJc w:val="right"/>
      <w:pPr>
        <w:ind w:left="1080" w:hanging="72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2B0270C"/>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5" w15:restartNumberingAfterBreak="0">
    <w:nsid w:val="73AF553E"/>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6" w15:restartNumberingAfterBreak="0">
    <w:nsid w:val="75811C42"/>
    <w:multiLevelType w:val="multilevel"/>
    <w:tmpl w:val="067E531A"/>
    <w:lvl w:ilvl="0">
      <w:start w:val="1"/>
      <w:numFmt w:val="decimal"/>
      <w:lvlText w:val="%1."/>
      <w:lvlJc w:val="left"/>
      <w:pPr>
        <w:ind w:left="720" w:hanging="360"/>
      </w:pPr>
    </w:lvl>
    <w:lvl w:ilvl="1">
      <w:start w:val="1"/>
      <w:numFmt w:val="lowerLetter"/>
      <w:lvlText w:val="%2)"/>
      <w:lvlJc w:val="left"/>
      <w:pPr>
        <w:ind w:left="1069" w:hanging="360"/>
      </w:pPr>
      <w:rPr>
        <w:color w:val="auto"/>
      </w:rPr>
    </w:lvl>
    <w:lvl w:ilvl="2">
      <w:start w:val="1"/>
      <w:numFmt w:val="decimal"/>
      <w:isLgl/>
      <w:lvlText w:val="%1.%2.%3."/>
      <w:lvlJc w:val="left"/>
      <w:pPr>
        <w:ind w:left="1778" w:hanging="720"/>
      </w:pPr>
      <w:rPr>
        <w:rFonts w:eastAsiaTheme="minorHAnsi"/>
        <w:color w:val="auto"/>
      </w:rPr>
    </w:lvl>
    <w:lvl w:ilvl="3">
      <w:start w:val="1"/>
      <w:numFmt w:val="decimal"/>
      <w:isLgl/>
      <w:lvlText w:val="%1.%2.%3.%4."/>
      <w:lvlJc w:val="left"/>
      <w:pPr>
        <w:ind w:left="2127" w:hanging="720"/>
      </w:pPr>
      <w:rPr>
        <w:rFonts w:eastAsiaTheme="minorHAnsi"/>
        <w:color w:val="auto"/>
      </w:rPr>
    </w:lvl>
    <w:lvl w:ilvl="4">
      <w:start w:val="1"/>
      <w:numFmt w:val="decimal"/>
      <w:isLgl/>
      <w:lvlText w:val="%1.%2.%3.%4.%5."/>
      <w:lvlJc w:val="left"/>
      <w:pPr>
        <w:ind w:left="2836" w:hanging="1080"/>
      </w:pPr>
      <w:rPr>
        <w:rFonts w:eastAsiaTheme="minorHAnsi"/>
        <w:color w:val="auto"/>
      </w:rPr>
    </w:lvl>
    <w:lvl w:ilvl="5">
      <w:start w:val="1"/>
      <w:numFmt w:val="decimal"/>
      <w:isLgl/>
      <w:lvlText w:val="%1.%2.%3.%4.%5.%6."/>
      <w:lvlJc w:val="left"/>
      <w:pPr>
        <w:ind w:left="3185" w:hanging="1080"/>
      </w:pPr>
      <w:rPr>
        <w:rFonts w:eastAsiaTheme="minorHAnsi"/>
        <w:color w:val="auto"/>
      </w:rPr>
    </w:lvl>
    <w:lvl w:ilvl="6">
      <w:start w:val="1"/>
      <w:numFmt w:val="decimal"/>
      <w:isLgl/>
      <w:lvlText w:val="%1.%2.%3.%4.%5.%6.%7."/>
      <w:lvlJc w:val="left"/>
      <w:pPr>
        <w:ind w:left="3894" w:hanging="1440"/>
      </w:pPr>
      <w:rPr>
        <w:rFonts w:eastAsiaTheme="minorHAnsi"/>
        <w:color w:val="auto"/>
      </w:rPr>
    </w:lvl>
    <w:lvl w:ilvl="7">
      <w:start w:val="1"/>
      <w:numFmt w:val="decimal"/>
      <w:isLgl/>
      <w:lvlText w:val="%1.%2.%3.%4.%5.%6.%7.%8."/>
      <w:lvlJc w:val="left"/>
      <w:pPr>
        <w:ind w:left="4243" w:hanging="1440"/>
      </w:pPr>
      <w:rPr>
        <w:rFonts w:eastAsiaTheme="minorHAnsi"/>
        <w:color w:val="auto"/>
      </w:rPr>
    </w:lvl>
    <w:lvl w:ilvl="8">
      <w:start w:val="1"/>
      <w:numFmt w:val="decimal"/>
      <w:isLgl/>
      <w:lvlText w:val="%1.%2.%3.%4.%5.%6.%7.%8.%9."/>
      <w:lvlJc w:val="left"/>
      <w:pPr>
        <w:ind w:left="4952" w:hanging="1800"/>
      </w:pPr>
      <w:rPr>
        <w:rFonts w:eastAsiaTheme="minorHAnsi"/>
        <w:color w:val="auto"/>
      </w:rPr>
    </w:lvl>
  </w:abstractNum>
  <w:abstractNum w:abstractNumId="37" w15:restartNumberingAfterBreak="0">
    <w:nsid w:val="7D5325F6"/>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E380126"/>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9" w15:restartNumberingAfterBreak="0">
    <w:nsid w:val="7F7D43E8"/>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23"/>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46FD4"/>
    <w:rsid w:val="000476E4"/>
    <w:rsid w:val="0006039F"/>
    <w:rsid w:val="00060902"/>
    <w:rsid w:val="00060D5B"/>
    <w:rsid w:val="00062D86"/>
    <w:rsid w:val="00072052"/>
    <w:rsid w:val="00077CA0"/>
    <w:rsid w:val="000C4595"/>
    <w:rsid w:val="000C5278"/>
    <w:rsid w:val="000C6E74"/>
    <w:rsid w:val="000D42E8"/>
    <w:rsid w:val="000D4BA6"/>
    <w:rsid w:val="000E730C"/>
    <w:rsid w:val="00103C04"/>
    <w:rsid w:val="00106842"/>
    <w:rsid w:val="00123F47"/>
    <w:rsid w:val="00124EE6"/>
    <w:rsid w:val="00125B6C"/>
    <w:rsid w:val="00137A6A"/>
    <w:rsid w:val="0016233B"/>
    <w:rsid w:val="00184262"/>
    <w:rsid w:val="00192584"/>
    <w:rsid w:val="0019587B"/>
    <w:rsid w:val="0019782F"/>
    <w:rsid w:val="001B45F3"/>
    <w:rsid w:val="001C2402"/>
    <w:rsid w:val="001C3897"/>
    <w:rsid w:val="001C69B4"/>
    <w:rsid w:val="001D67B9"/>
    <w:rsid w:val="001F1E15"/>
    <w:rsid w:val="0022718B"/>
    <w:rsid w:val="00230024"/>
    <w:rsid w:val="0024370B"/>
    <w:rsid w:val="00244A7B"/>
    <w:rsid w:val="00254049"/>
    <w:rsid w:val="002652B9"/>
    <w:rsid w:val="002719CC"/>
    <w:rsid w:val="00272E1B"/>
    <w:rsid w:val="002919B8"/>
    <w:rsid w:val="00294DAC"/>
    <w:rsid w:val="00297C93"/>
    <w:rsid w:val="002A0CA1"/>
    <w:rsid w:val="002A2F32"/>
    <w:rsid w:val="002B0FB6"/>
    <w:rsid w:val="002B4838"/>
    <w:rsid w:val="002B60B3"/>
    <w:rsid w:val="002C6BED"/>
    <w:rsid w:val="002E4ABA"/>
    <w:rsid w:val="002F536B"/>
    <w:rsid w:val="00305E2E"/>
    <w:rsid w:val="003115F4"/>
    <w:rsid w:val="00324AE3"/>
    <w:rsid w:val="00325386"/>
    <w:rsid w:val="00344E8C"/>
    <w:rsid w:val="0035559A"/>
    <w:rsid w:val="00356011"/>
    <w:rsid w:val="00377253"/>
    <w:rsid w:val="00377A7A"/>
    <w:rsid w:val="00394AF6"/>
    <w:rsid w:val="003C4973"/>
    <w:rsid w:val="003D2033"/>
    <w:rsid w:val="003F3C31"/>
    <w:rsid w:val="003F76F7"/>
    <w:rsid w:val="00401F10"/>
    <w:rsid w:val="00406126"/>
    <w:rsid w:val="00426396"/>
    <w:rsid w:val="004311B3"/>
    <w:rsid w:val="0044561C"/>
    <w:rsid w:val="00466D39"/>
    <w:rsid w:val="004909C8"/>
    <w:rsid w:val="004A0F37"/>
    <w:rsid w:val="004A1754"/>
    <w:rsid w:val="004B7208"/>
    <w:rsid w:val="004D7502"/>
    <w:rsid w:val="004E3596"/>
    <w:rsid w:val="004E5420"/>
    <w:rsid w:val="00513F20"/>
    <w:rsid w:val="00515062"/>
    <w:rsid w:val="005227BF"/>
    <w:rsid w:val="00533F4E"/>
    <w:rsid w:val="00536D56"/>
    <w:rsid w:val="005461EF"/>
    <w:rsid w:val="00547EEC"/>
    <w:rsid w:val="005629FB"/>
    <w:rsid w:val="00566A4C"/>
    <w:rsid w:val="00567F73"/>
    <w:rsid w:val="00586E12"/>
    <w:rsid w:val="00595610"/>
    <w:rsid w:val="005C30D7"/>
    <w:rsid w:val="005C38B2"/>
    <w:rsid w:val="005C5AA3"/>
    <w:rsid w:val="005E094C"/>
    <w:rsid w:val="005E22EF"/>
    <w:rsid w:val="005F6CAE"/>
    <w:rsid w:val="00620764"/>
    <w:rsid w:val="00630334"/>
    <w:rsid w:val="006360A0"/>
    <w:rsid w:val="00682FBA"/>
    <w:rsid w:val="006C19DF"/>
    <w:rsid w:val="006E045A"/>
    <w:rsid w:val="006E086B"/>
    <w:rsid w:val="006E4C8B"/>
    <w:rsid w:val="006F517E"/>
    <w:rsid w:val="00706E5E"/>
    <w:rsid w:val="00711AA7"/>
    <w:rsid w:val="00740964"/>
    <w:rsid w:val="00741FEE"/>
    <w:rsid w:val="00744ED5"/>
    <w:rsid w:val="007568F7"/>
    <w:rsid w:val="0077509B"/>
    <w:rsid w:val="00791F86"/>
    <w:rsid w:val="0079259C"/>
    <w:rsid w:val="00793D36"/>
    <w:rsid w:val="00796714"/>
    <w:rsid w:val="007A4BEB"/>
    <w:rsid w:val="007A57C8"/>
    <w:rsid w:val="007B6B5C"/>
    <w:rsid w:val="007C0D9C"/>
    <w:rsid w:val="007C62DA"/>
    <w:rsid w:val="007D5EE1"/>
    <w:rsid w:val="007E1D0B"/>
    <w:rsid w:val="00801AB8"/>
    <w:rsid w:val="008042B4"/>
    <w:rsid w:val="008063EF"/>
    <w:rsid w:val="00812496"/>
    <w:rsid w:val="00813758"/>
    <w:rsid w:val="00823C1F"/>
    <w:rsid w:val="00826B69"/>
    <w:rsid w:val="00830BFE"/>
    <w:rsid w:val="00836A32"/>
    <w:rsid w:val="008473A5"/>
    <w:rsid w:val="008502BF"/>
    <w:rsid w:val="00870591"/>
    <w:rsid w:val="00874B4B"/>
    <w:rsid w:val="0087541F"/>
    <w:rsid w:val="0088135C"/>
    <w:rsid w:val="00893C29"/>
    <w:rsid w:val="008A2341"/>
    <w:rsid w:val="008C1F7F"/>
    <w:rsid w:val="008C6ABB"/>
    <w:rsid w:val="008D7105"/>
    <w:rsid w:val="00903269"/>
    <w:rsid w:val="0091581C"/>
    <w:rsid w:val="00917DBD"/>
    <w:rsid w:val="009209CC"/>
    <w:rsid w:val="00927425"/>
    <w:rsid w:val="009354B9"/>
    <w:rsid w:val="0093741D"/>
    <w:rsid w:val="00940EF3"/>
    <w:rsid w:val="00943434"/>
    <w:rsid w:val="00956FE7"/>
    <w:rsid w:val="00973003"/>
    <w:rsid w:val="00977BEC"/>
    <w:rsid w:val="00992455"/>
    <w:rsid w:val="009D5243"/>
    <w:rsid w:val="009E26FA"/>
    <w:rsid w:val="009F19DA"/>
    <w:rsid w:val="00A01D2D"/>
    <w:rsid w:val="00A10365"/>
    <w:rsid w:val="00A155AA"/>
    <w:rsid w:val="00A20501"/>
    <w:rsid w:val="00A22A12"/>
    <w:rsid w:val="00A23178"/>
    <w:rsid w:val="00A46CDA"/>
    <w:rsid w:val="00A56485"/>
    <w:rsid w:val="00A638B2"/>
    <w:rsid w:val="00A63CE2"/>
    <w:rsid w:val="00A72760"/>
    <w:rsid w:val="00A93A73"/>
    <w:rsid w:val="00A93AE0"/>
    <w:rsid w:val="00A95863"/>
    <w:rsid w:val="00AA0AEB"/>
    <w:rsid w:val="00AA0D27"/>
    <w:rsid w:val="00AA2FA5"/>
    <w:rsid w:val="00AE0CFC"/>
    <w:rsid w:val="00AE7959"/>
    <w:rsid w:val="00AF6322"/>
    <w:rsid w:val="00B0561A"/>
    <w:rsid w:val="00B0772D"/>
    <w:rsid w:val="00B13892"/>
    <w:rsid w:val="00B2450C"/>
    <w:rsid w:val="00B346C4"/>
    <w:rsid w:val="00B37AFB"/>
    <w:rsid w:val="00B42756"/>
    <w:rsid w:val="00B53E8D"/>
    <w:rsid w:val="00B715B6"/>
    <w:rsid w:val="00B75210"/>
    <w:rsid w:val="00B77875"/>
    <w:rsid w:val="00B91CD0"/>
    <w:rsid w:val="00BA2013"/>
    <w:rsid w:val="00BB4443"/>
    <w:rsid w:val="00BC3C20"/>
    <w:rsid w:val="00BE2826"/>
    <w:rsid w:val="00BF1569"/>
    <w:rsid w:val="00BF3383"/>
    <w:rsid w:val="00C13700"/>
    <w:rsid w:val="00C14D35"/>
    <w:rsid w:val="00C158F9"/>
    <w:rsid w:val="00C40A16"/>
    <w:rsid w:val="00C5222B"/>
    <w:rsid w:val="00C56014"/>
    <w:rsid w:val="00C62BA4"/>
    <w:rsid w:val="00C84CB1"/>
    <w:rsid w:val="00C86C51"/>
    <w:rsid w:val="00CD4A2B"/>
    <w:rsid w:val="00CD59C5"/>
    <w:rsid w:val="00CE6069"/>
    <w:rsid w:val="00CE7B23"/>
    <w:rsid w:val="00D15AD3"/>
    <w:rsid w:val="00D15D4C"/>
    <w:rsid w:val="00D34372"/>
    <w:rsid w:val="00D42B66"/>
    <w:rsid w:val="00D76FB3"/>
    <w:rsid w:val="00D801F1"/>
    <w:rsid w:val="00DA7D1C"/>
    <w:rsid w:val="00DB2A40"/>
    <w:rsid w:val="00DC29E4"/>
    <w:rsid w:val="00DD1A0E"/>
    <w:rsid w:val="00DF2F0A"/>
    <w:rsid w:val="00E16DD0"/>
    <w:rsid w:val="00E25197"/>
    <w:rsid w:val="00E46568"/>
    <w:rsid w:val="00E6020C"/>
    <w:rsid w:val="00E8557A"/>
    <w:rsid w:val="00E876DE"/>
    <w:rsid w:val="00E9103A"/>
    <w:rsid w:val="00E93A87"/>
    <w:rsid w:val="00EA58C6"/>
    <w:rsid w:val="00EA6119"/>
    <w:rsid w:val="00ED15A8"/>
    <w:rsid w:val="00EF3B15"/>
    <w:rsid w:val="00EF679B"/>
    <w:rsid w:val="00F42519"/>
    <w:rsid w:val="00F50261"/>
    <w:rsid w:val="00F717CE"/>
    <w:rsid w:val="00F968A3"/>
    <w:rsid w:val="00FA0DD5"/>
    <w:rsid w:val="00FB3FE0"/>
    <w:rsid w:val="00FF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CFF3A"/>
  <w15:chartTrackingRefBased/>
  <w15:docId w15:val="{4DB774DA-A714-4F93-AB15-804E2718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2">
    <w:name w:val="heading 2"/>
    <w:basedOn w:val="Normln"/>
    <w:link w:val="Nadpis2Char"/>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basedOn w:val="Normln"/>
    <w:uiPriority w:val="34"/>
    <w:qFormat/>
    <w:rsid w:val="004311B3"/>
    <w:pPr>
      <w:ind w:left="720"/>
      <w:contextualSpacing/>
    </w:pPr>
  </w:style>
  <w:style w:type="paragraph" w:styleId="Textbubliny">
    <w:name w:val="Balloon Text"/>
    <w:basedOn w:val="Normln"/>
    <w:link w:val="TextbublinyChar"/>
    <w:uiPriority w:val="99"/>
    <w:semiHidden/>
    <w:unhideWhenUsed/>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character" w:customStyle="1" w:styleId="Nadpis2Char">
    <w:name w:val="Nadpis 2 Char"/>
    <w:basedOn w:val="Standardnpsmoodstavce"/>
    <w:link w:val="Nadpis2"/>
    <w:rsid w:val="00F50261"/>
    <w:rPr>
      <w:rFonts w:ascii="Times New Roman" w:eastAsia="Lucida Sans Unicode" w:hAnsi="Times New Roman" w:cs="Mangal"/>
      <w:b/>
      <w:kern w:val="2"/>
      <w:sz w:val="24"/>
      <w:szCs w:val="24"/>
      <w:lang w:eastAsia="zh-CN" w:bidi="hi-IN"/>
    </w:rPr>
  </w:style>
  <w:style w:type="paragraph" w:styleId="Zhlav">
    <w:name w:val="header"/>
    <w:basedOn w:val="Normln"/>
    <w:link w:val="ZhlavChar"/>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character" w:styleId="Hypertextovodkaz">
    <w:name w:val="Hyperlink"/>
    <w:uiPriority w:val="99"/>
    <w:unhideWhenUsed/>
    <w:rsid w:val="00870591"/>
    <w:rPr>
      <w:color w:val="0563C1"/>
      <w:u w:val="single"/>
    </w:rPr>
  </w:style>
  <w:style w:type="character" w:customStyle="1" w:styleId="TextpoznpodarouChar">
    <w:name w:val="Text pozn. pod čarou Char"/>
    <w:basedOn w:val="Standardnpsmoodstavce"/>
    <w:link w:val="Schriftart9pt1"/>
    <w:uiPriority w:val="99"/>
    <w:semiHidden/>
    <w:locked/>
    <w:rsid w:val="00682FBA"/>
  </w:style>
  <w:style w:type="paragraph" w:customStyle="1" w:styleId="Schriftart9pt1">
    <w:name w:val="Schriftart: 9 pt1"/>
    <w:basedOn w:val="Normln"/>
    <w:next w:val="Textpoznpodarou"/>
    <w:link w:val="TextpoznpodarouChar"/>
    <w:uiPriority w:val="99"/>
    <w:semiHidden/>
    <w:rsid w:val="00682FBA"/>
    <w:pPr>
      <w:spacing w:after="0" w:line="240" w:lineRule="auto"/>
    </w:pPr>
    <w:rPr>
      <w:sz w:val="20"/>
      <w:szCs w:val="20"/>
      <w:lang w:eastAsia="cs-CZ"/>
    </w:rPr>
  </w:style>
  <w:style w:type="character" w:styleId="Znakapoznpodarou">
    <w:name w:val="footnote reference"/>
    <w:aliases w:val="BVI fnr,Footnote symbol"/>
    <w:basedOn w:val="Standardnpsmoodstavce"/>
    <w:uiPriority w:val="99"/>
    <w:semiHidden/>
    <w:unhideWhenUsed/>
    <w:rsid w:val="00682FBA"/>
    <w:rPr>
      <w:vertAlign w:val="superscript"/>
    </w:rPr>
  </w:style>
  <w:style w:type="paragraph" w:styleId="Textpoznpodarou">
    <w:name w:val="footnote text"/>
    <w:basedOn w:val="Normln"/>
    <w:link w:val="TextpoznpodarouChar1"/>
    <w:uiPriority w:val="99"/>
    <w:semiHidden/>
    <w:unhideWhenUsed/>
    <w:rsid w:val="00682FBA"/>
    <w:pPr>
      <w:spacing w:after="0" w:line="240" w:lineRule="auto"/>
    </w:pPr>
    <w:rPr>
      <w:sz w:val="20"/>
      <w:szCs w:val="20"/>
    </w:rPr>
  </w:style>
  <w:style w:type="character" w:customStyle="1" w:styleId="TextpoznpodarouChar1">
    <w:name w:val="Text pozn. pod čarou Char1"/>
    <w:basedOn w:val="Standardnpsmoodstavce"/>
    <w:link w:val="Textpoznpodarou"/>
    <w:uiPriority w:val="99"/>
    <w:semiHidden/>
    <w:rsid w:val="00682FBA"/>
    <w:rPr>
      <w:lang w:eastAsia="en-US"/>
    </w:rPr>
  </w:style>
  <w:style w:type="paragraph" w:styleId="Zpat">
    <w:name w:val="footer"/>
    <w:basedOn w:val="Normln"/>
    <w:link w:val="ZpatChar"/>
    <w:uiPriority w:val="99"/>
    <w:unhideWhenUsed/>
    <w:rsid w:val="00992455"/>
    <w:pPr>
      <w:tabs>
        <w:tab w:val="center" w:pos="4536"/>
        <w:tab w:val="right" w:pos="9072"/>
      </w:tabs>
      <w:spacing w:after="0" w:line="240" w:lineRule="auto"/>
    </w:pPr>
  </w:style>
  <w:style w:type="character" w:customStyle="1" w:styleId="ZpatChar">
    <w:name w:val="Zápatí Char"/>
    <w:basedOn w:val="Standardnpsmoodstavce"/>
    <w:link w:val="Zpat"/>
    <w:uiPriority w:val="99"/>
    <w:rsid w:val="0099245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3B360-0783-4CEB-90AC-BAD37A28B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6184</Words>
  <Characters>36489</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Cizkovska Petra</cp:lastModifiedBy>
  <cp:revision>7</cp:revision>
  <cp:lastPrinted>2021-04-01T11:15:00Z</cp:lastPrinted>
  <dcterms:created xsi:type="dcterms:W3CDTF">2021-06-23T09:29:00Z</dcterms:created>
  <dcterms:modified xsi:type="dcterms:W3CDTF">2021-06-24T08:21:00Z</dcterms:modified>
</cp:coreProperties>
</file>