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322" w:rsidRDefault="00724322" w:rsidP="00724322">
      <w:pPr>
        <w:pStyle w:val="PS-hlavika1"/>
      </w:pPr>
      <w:r>
        <w:t>Parlament České republiky</w:t>
      </w:r>
    </w:p>
    <w:p w:rsidR="00724322" w:rsidRDefault="00724322" w:rsidP="00724322">
      <w:pPr>
        <w:pStyle w:val="PS-hlavika2"/>
      </w:pPr>
      <w:r>
        <w:t>POSLANECKÁ SNĚMOVNA</w:t>
      </w:r>
    </w:p>
    <w:p w:rsidR="00724322" w:rsidRDefault="00724322" w:rsidP="00724322">
      <w:pPr>
        <w:pStyle w:val="PS-hlavika2"/>
        <w:rPr>
          <w:sz w:val="24"/>
          <w:szCs w:val="24"/>
        </w:rPr>
      </w:pPr>
      <w:r>
        <w:rPr>
          <w:sz w:val="24"/>
          <w:szCs w:val="24"/>
        </w:rPr>
        <w:t>2021</w:t>
      </w:r>
    </w:p>
    <w:p w:rsidR="00724322" w:rsidRDefault="00724322" w:rsidP="00724322">
      <w:pPr>
        <w:pStyle w:val="PS-hlavika1"/>
      </w:pPr>
      <w:r>
        <w:t>8. volební období</w:t>
      </w:r>
    </w:p>
    <w:p w:rsidR="00724322" w:rsidRDefault="00724322" w:rsidP="00724322">
      <w:pPr>
        <w:pStyle w:val="PS-slousnesen"/>
        <w:spacing w:before="0" w:after="0"/>
        <w:rPr>
          <w:sz w:val="16"/>
          <w:szCs w:val="16"/>
        </w:rPr>
      </w:pPr>
    </w:p>
    <w:p w:rsidR="00724322" w:rsidRDefault="00724322" w:rsidP="00724322">
      <w:pPr>
        <w:pStyle w:val="PS-slousnesen"/>
        <w:spacing w:before="0" w:after="0"/>
        <w:rPr>
          <w:sz w:val="28"/>
          <w:szCs w:val="28"/>
        </w:rPr>
      </w:pPr>
      <w:r>
        <w:rPr>
          <w:sz w:val="28"/>
          <w:szCs w:val="28"/>
        </w:rPr>
        <w:t>256.</w:t>
      </w:r>
    </w:p>
    <w:p w:rsidR="00724322" w:rsidRDefault="00724322" w:rsidP="00724322">
      <w:pPr>
        <w:pStyle w:val="PS-slousnesen"/>
        <w:spacing w:before="0" w:after="0"/>
        <w:rPr>
          <w:sz w:val="16"/>
          <w:szCs w:val="16"/>
        </w:rPr>
      </w:pPr>
      <w:r>
        <w:rPr>
          <w:sz w:val="16"/>
          <w:szCs w:val="16"/>
        </w:rPr>
        <w:t xml:space="preserve"> </w:t>
      </w:r>
    </w:p>
    <w:p w:rsidR="00724322" w:rsidRDefault="00724322" w:rsidP="00724322">
      <w:pPr>
        <w:pStyle w:val="PS-hlavika3"/>
      </w:pPr>
      <w:r>
        <w:t>USNESENÍ</w:t>
      </w:r>
    </w:p>
    <w:p w:rsidR="00724322" w:rsidRDefault="00724322" w:rsidP="00724322">
      <w:pPr>
        <w:pStyle w:val="PS-hlavika1"/>
      </w:pPr>
      <w:r>
        <w:t>výboru pro sociální politiku</w:t>
      </w:r>
    </w:p>
    <w:p w:rsidR="00724322" w:rsidRDefault="00724322" w:rsidP="00724322">
      <w:pPr>
        <w:pStyle w:val="PS-hlavika1"/>
      </w:pPr>
      <w:r>
        <w:t xml:space="preserve">z 80. schůze </w:t>
      </w:r>
    </w:p>
    <w:p w:rsidR="00724322" w:rsidRDefault="00724322" w:rsidP="00724322">
      <w:pPr>
        <w:pStyle w:val="PS-hlavika1"/>
      </w:pPr>
      <w:r>
        <w:t>ze dne 22. června 2021</w:t>
      </w:r>
    </w:p>
    <w:p w:rsidR="00724322" w:rsidRDefault="00724322" w:rsidP="00724322">
      <w:pPr>
        <w:pStyle w:val="PS-pedmtusnesen"/>
        <w:spacing w:before="0" w:after="0"/>
        <w:jc w:val="left"/>
        <w:rPr>
          <w:sz w:val="16"/>
          <w:szCs w:val="16"/>
        </w:rPr>
      </w:pPr>
    </w:p>
    <w:p w:rsidR="00724322" w:rsidRDefault="00724322" w:rsidP="00724322">
      <w:pPr>
        <w:pStyle w:val="PS-pedmtusnesen"/>
        <w:spacing w:before="0" w:after="0"/>
      </w:pPr>
      <w:r>
        <w:t xml:space="preserve">k návrhu poslanců Jana Birke, Jana Hamáčka, Jana Chvojky a dalších na vydání zákona o veřejně prospěšných společnostech bytových a výstavbě dostupného bydlení a o změně některých zákonů (zákon č. 586/1992 Sb., o daních z příjmů, ve znění pozdějších předpisů, a zákon č. 90/2012 Sb., o obchodních společnostech a družstvech (zákon o obchodních korporacích), ve znění pozdějších právních předpisů) </w:t>
      </w:r>
      <w:r>
        <w:rPr>
          <w:b/>
        </w:rPr>
        <w:t>/ST 952/</w:t>
      </w:r>
    </w:p>
    <w:p w:rsidR="00724322" w:rsidRDefault="00724322" w:rsidP="00724322">
      <w:pPr>
        <w:pStyle w:val="PS-uvodnodstavec"/>
        <w:spacing w:after="0"/>
      </w:pPr>
    </w:p>
    <w:p w:rsidR="00724322" w:rsidRDefault="00724322" w:rsidP="00724322">
      <w:pPr>
        <w:pStyle w:val="PS-uvodnodstavec"/>
        <w:spacing w:after="0"/>
        <w:ind w:firstLine="708"/>
      </w:pPr>
      <w:r>
        <w:t>Po odůvodnění zástupce skupiny předkladatelů poslance Jana Birke, zpravodajské zprávě poslankyně Olgy Richterové a po rozpravě</w:t>
      </w:r>
    </w:p>
    <w:p w:rsidR="00724322" w:rsidRDefault="00724322" w:rsidP="00724322">
      <w:pPr>
        <w:pStyle w:val="PS-uvodnodstavec"/>
        <w:spacing w:after="0"/>
        <w:ind w:firstLine="708"/>
      </w:pPr>
    </w:p>
    <w:p w:rsidR="00724322" w:rsidRDefault="00724322" w:rsidP="00724322">
      <w:pPr>
        <w:pStyle w:val="PS-uvodnodstavec"/>
        <w:spacing w:after="0"/>
        <w:ind w:firstLine="0"/>
      </w:pPr>
      <w:r>
        <w:t>výbor pro sociální politiku Poslanecké sněmovny Parlamentu ČR</w:t>
      </w:r>
    </w:p>
    <w:p w:rsidR="00724322" w:rsidRDefault="00724322" w:rsidP="00724322">
      <w:pPr>
        <w:pStyle w:val="PS-uvodnodstavec"/>
        <w:spacing w:after="0"/>
        <w:ind w:firstLine="0"/>
      </w:pPr>
    </w:p>
    <w:p w:rsidR="00724322" w:rsidRDefault="00724322" w:rsidP="00724322">
      <w:pPr>
        <w:pStyle w:val="PS-uvodnodstavec"/>
        <w:spacing w:after="0"/>
        <w:rPr>
          <w:szCs w:val="24"/>
        </w:rPr>
      </w:pPr>
      <w:r>
        <w:t xml:space="preserve">I.   d o p o r u č u j e   Poslanecké sněmovně PČR, aby   v y s l o v i l a   s o u h l a s   </w:t>
      </w:r>
      <w:r>
        <w:br/>
        <w:t>s návrhem poslanců Jana Birke, Jana Hamáčka, Jana Chvojky a dalších na vydání zákona o veřejně prospěšných společnostech bytových a výstavbě dostupného bydlení a o změně některých zákonů (zákon č. 586/1992 Sb., o daních z příjmů, ve znění pozdějších předpisů, a zákon č. 90/2012 Sb., o obchodních společnostech a družstvech (zákon o obchodních korporacích), ve znění pozdějších právních předpisů) /ST 952/ ve znění přijatého komplexního pozměňovacího návrhu:</w:t>
      </w:r>
    </w:p>
    <w:p w:rsidR="00724322" w:rsidRDefault="00724322" w:rsidP="00724322">
      <w:pPr>
        <w:pStyle w:val="PS-uvodnodstavec"/>
        <w:spacing w:after="0"/>
        <w:ind w:firstLine="0"/>
      </w:pPr>
    </w:p>
    <w:p w:rsidR="00724322" w:rsidRDefault="00724322" w:rsidP="00724322">
      <w:pPr>
        <w:numPr>
          <w:ilvl w:val="0"/>
          <w:numId w:val="1"/>
        </w:numPr>
        <w:shd w:val="clear" w:color="auto" w:fill="FFFFFF"/>
        <w:suppressAutoHyphens w:val="0"/>
        <w:spacing w:after="0" w:line="276" w:lineRule="auto"/>
        <w:ind w:right="360"/>
        <w:contextualSpacing/>
        <w:jc w:val="both"/>
        <w:rPr>
          <w:rFonts w:eastAsia="Times New Roman"/>
          <w:b/>
          <w:szCs w:val="24"/>
          <w:lang w:eastAsia="cs-CZ"/>
        </w:rPr>
      </w:pPr>
      <w:r>
        <w:rPr>
          <w:rFonts w:eastAsia="Times New Roman"/>
          <w:b/>
          <w:szCs w:val="24"/>
          <w:lang w:eastAsia="cs-CZ"/>
        </w:rPr>
        <w:t xml:space="preserve">Název zákona zní: </w:t>
      </w:r>
    </w:p>
    <w:p w:rsidR="00724322" w:rsidRDefault="00724322" w:rsidP="00724322">
      <w:pPr>
        <w:suppressAutoHyphens w:val="0"/>
        <w:spacing w:before="100" w:beforeAutospacing="1" w:after="0" w:line="240" w:lineRule="auto"/>
        <w:ind w:left="567" w:hanging="142"/>
        <w:rPr>
          <w:rFonts w:eastAsia="Times New Roman"/>
          <w:szCs w:val="24"/>
          <w:lang w:eastAsia="cs-CZ"/>
        </w:rPr>
      </w:pPr>
      <w:r>
        <w:rPr>
          <w:rFonts w:eastAsia="Times New Roman"/>
          <w:szCs w:val="24"/>
          <w:lang w:eastAsia="cs-CZ"/>
        </w:rPr>
        <w:t>„Zákon o dostupnosti bydlení a o změně některých zákonů“.</w:t>
      </w:r>
    </w:p>
    <w:p w:rsidR="00724322" w:rsidRDefault="00724322" w:rsidP="00724322">
      <w:pPr>
        <w:shd w:val="clear" w:color="auto" w:fill="FFFFFF"/>
        <w:suppressAutoHyphens w:val="0"/>
        <w:spacing w:after="0" w:line="276" w:lineRule="auto"/>
        <w:ind w:right="360"/>
        <w:jc w:val="both"/>
        <w:rPr>
          <w:rFonts w:eastAsia="Times New Roman"/>
          <w:b/>
          <w:bCs/>
          <w:szCs w:val="24"/>
          <w:lang w:eastAsia="cs-CZ"/>
        </w:rPr>
      </w:pPr>
    </w:p>
    <w:p w:rsidR="00724322" w:rsidRDefault="00724322" w:rsidP="00724322">
      <w:pPr>
        <w:shd w:val="clear" w:color="auto" w:fill="FFFFFF"/>
        <w:suppressAutoHyphens w:val="0"/>
        <w:spacing w:after="0" w:line="276" w:lineRule="auto"/>
        <w:ind w:right="360"/>
        <w:jc w:val="both"/>
        <w:rPr>
          <w:rFonts w:eastAsia="Times New Roman"/>
          <w:b/>
          <w:bCs/>
          <w:szCs w:val="24"/>
          <w:lang w:eastAsia="cs-CZ"/>
        </w:rPr>
      </w:pPr>
    </w:p>
    <w:p w:rsidR="00724322" w:rsidRDefault="00724322" w:rsidP="00724322">
      <w:pPr>
        <w:numPr>
          <w:ilvl w:val="0"/>
          <w:numId w:val="1"/>
        </w:numPr>
        <w:shd w:val="clear" w:color="auto" w:fill="FFFFFF"/>
        <w:suppressAutoHyphens w:val="0"/>
        <w:spacing w:after="0" w:line="276" w:lineRule="auto"/>
        <w:ind w:right="360"/>
        <w:contextualSpacing/>
        <w:jc w:val="both"/>
        <w:rPr>
          <w:rFonts w:eastAsia="Times New Roman"/>
          <w:b/>
          <w:bCs/>
          <w:szCs w:val="24"/>
          <w:lang w:eastAsia="cs-CZ"/>
        </w:rPr>
      </w:pPr>
      <w:r>
        <w:rPr>
          <w:rFonts w:eastAsia="Times New Roman"/>
          <w:b/>
          <w:bCs/>
          <w:szCs w:val="24"/>
          <w:lang w:eastAsia="cs-CZ"/>
        </w:rPr>
        <w:t>Část první včetně názvu zní:</w:t>
      </w:r>
    </w:p>
    <w:p w:rsidR="00724322" w:rsidRDefault="000762B6"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„ČÁST</w:t>
      </w:r>
      <w:r w:rsidR="00724322">
        <w:rPr>
          <w:rFonts w:eastAsia="Times New Roman"/>
          <w:b/>
          <w:bCs/>
          <w:szCs w:val="24"/>
          <w:lang w:eastAsia="cs-CZ"/>
        </w:rPr>
        <w:t xml:space="preserve"> </w:t>
      </w:r>
      <w:r>
        <w:rPr>
          <w:rFonts w:eastAsia="Times New Roman"/>
          <w:b/>
          <w:bCs/>
          <w:szCs w:val="24"/>
          <w:lang w:eastAsia="cs-CZ"/>
        </w:rPr>
        <w:t>PRVNÍ</w:t>
      </w:r>
    </w:p>
    <w:p w:rsidR="00724322" w:rsidRDefault="000762B6"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DOSTUPNOST BYDLENÍ</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w:t>
      </w:r>
    </w:p>
    <w:p w:rsidR="00724322" w:rsidRDefault="00724322"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Předmět úpravy</w:t>
      </w:r>
    </w:p>
    <w:p w:rsidR="00724322" w:rsidRDefault="00724322" w:rsidP="00724322">
      <w:pPr>
        <w:numPr>
          <w:ilvl w:val="0"/>
          <w:numId w:val="2"/>
        </w:numPr>
        <w:suppressAutoHyphens w:val="0"/>
        <w:spacing w:before="120" w:after="120" w:line="240" w:lineRule="auto"/>
        <w:jc w:val="both"/>
        <w:rPr>
          <w:rFonts w:eastAsia="Times New Roman"/>
          <w:szCs w:val="24"/>
          <w:lang w:eastAsia="cs-CZ"/>
        </w:rPr>
      </w:pPr>
      <w:r>
        <w:rPr>
          <w:rFonts w:eastAsia="Times New Roman"/>
          <w:szCs w:val="24"/>
          <w:lang w:eastAsia="cs-CZ"/>
        </w:rPr>
        <w:lastRenderedPageBreak/>
        <w:t xml:space="preserve">Tento zákon upravuje dostupnost bydlení a přiznávání statusu veřejné prospěšnosti v oblasti bydlení některým právnickým osobám (dále jen „veřejně prospěšná právnická osoba v oblasti bydlení“) a z něho vyplývající práva a povinnosti. </w:t>
      </w:r>
    </w:p>
    <w:p w:rsidR="00724322" w:rsidRDefault="00724322" w:rsidP="00724322">
      <w:pPr>
        <w:numPr>
          <w:ilvl w:val="0"/>
          <w:numId w:val="2"/>
        </w:numPr>
        <w:suppressAutoHyphens w:val="0"/>
        <w:spacing w:before="120" w:after="120" w:line="240" w:lineRule="auto"/>
        <w:jc w:val="both"/>
        <w:rPr>
          <w:rFonts w:eastAsia="Times New Roman"/>
          <w:szCs w:val="24"/>
          <w:lang w:eastAsia="cs-CZ"/>
        </w:rPr>
      </w:pPr>
      <w:r>
        <w:rPr>
          <w:rFonts w:eastAsia="Times New Roman"/>
          <w:szCs w:val="24"/>
          <w:lang w:eastAsia="cs-CZ"/>
        </w:rPr>
        <w:t>Tento zákon dále upravuje některé pravomoci obce, kraje a České republiky při přiznávání statusu veřejné prospěšnosti v oblasti bydlení a dále upravuje některé vztahy obce, kraje a České republiky k veřejně prospěšným právnickým osobám v oblasti bydlení.</w:t>
      </w:r>
    </w:p>
    <w:p w:rsidR="00724322" w:rsidRDefault="00724322" w:rsidP="00724322">
      <w:pPr>
        <w:numPr>
          <w:ilvl w:val="0"/>
          <w:numId w:val="2"/>
        </w:numPr>
        <w:suppressAutoHyphens w:val="0"/>
        <w:spacing w:before="120" w:after="120" w:line="240" w:lineRule="auto"/>
        <w:jc w:val="both"/>
        <w:rPr>
          <w:rFonts w:eastAsia="Times New Roman"/>
          <w:szCs w:val="24"/>
          <w:lang w:eastAsia="cs-CZ"/>
        </w:rPr>
      </w:pPr>
      <w:r>
        <w:rPr>
          <w:rFonts w:eastAsia="Times New Roman"/>
          <w:szCs w:val="24"/>
          <w:lang w:eastAsia="cs-CZ"/>
        </w:rPr>
        <w:t>Tento zákon dále zavádí a upravuje evidenci veřejně prospěšných právnických osob v oblasti bydlení.</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w:t>
      </w:r>
    </w:p>
    <w:p w:rsidR="00724322" w:rsidRDefault="00724322"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Vymezení pojmů</w:t>
      </w:r>
    </w:p>
    <w:p w:rsidR="00724322" w:rsidRDefault="00724322" w:rsidP="00724322">
      <w:pPr>
        <w:suppressAutoHyphens w:val="0"/>
        <w:spacing w:after="240" w:line="240" w:lineRule="auto"/>
        <w:jc w:val="both"/>
        <w:rPr>
          <w:rFonts w:eastAsia="Times New Roman"/>
          <w:szCs w:val="24"/>
          <w:lang w:eastAsia="cs-CZ"/>
        </w:rPr>
      </w:pPr>
      <w:r>
        <w:rPr>
          <w:rFonts w:eastAsia="Times New Roman"/>
          <w:szCs w:val="24"/>
          <w:lang w:eastAsia="cs-CZ"/>
        </w:rPr>
        <w:t>Pro účely tohoto zákona se rozumí</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bydlením sociální bydlení nebo dostupné bydlení,</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sociálním bydlením bydlení v sociálním bytě,</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dostupným bydlením bydlení v dostupném bytě,</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sociálním bytem byt určený k pronájmu způsobilé domácnosti ve vlastnictví veřejně prospěšné právnické osoby v oblasti bydlení, který má alespoň základní vybavení a jehož podlahová plocha dosahuje alespoň 20 m</w:t>
      </w:r>
      <w:r>
        <w:rPr>
          <w:rFonts w:eastAsia="Times New Roman"/>
          <w:szCs w:val="24"/>
          <w:vertAlign w:val="superscript"/>
          <w:lang w:eastAsia="cs-CZ"/>
        </w:rPr>
        <w:t>2</w:t>
      </w:r>
      <w:r>
        <w:rPr>
          <w:rFonts w:eastAsia="Times New Roman"/>
          <w:szCs w:val="24"/>
          <w:lang w:eastAsia="cs-CZ"/>
        </w:rPr>
        <w:t xml:space="preserve"> a nepřesahuje 120 m</w:t>
      </w:r>
      <w:r>
        <w:rPr>
          <w:rFonts w:eastAsia="Times New Roman"/>
          <w:szCs w:val="24"/>
          <w:vertAlign w:val="superscript"/>
          <w:lang w:eastAsia="cs-CZ"/>
        </w:rPr>
        <w:t>2</w:t>
      </w:r>
      <w:r>
        <w:rPr>
          <w:rFonts w:eastAsia="Times New Roman"/>
          <w:szCs w:val="24"/>
          <w:lang w:eastAsia="cs-CZ"/>
        </w:rPr>
        <w:t>,</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dostupným bytem byt určený k pronájmu, ve vlastnictví veřejně prospěšné právnické osoby v oblasti bydlení, jehož podlahová plocha dosahuje alespoň 20 m</w:t>
      </w:r>
      <w:r>
        <w:rPr>
          <w:rFonts w:eastAsia="Times New Roman"/>
          <w:szCs w:val="24"/>
          <w:vertAlign w:val="superscript"/>
          <w:lang w:eastAsia="cs-CZ"/>
        </w:rPr>
        <w:t>2</w:t>
      </w:r>
      <w:r>
        <w:rPr>
          <w:rFonts w:eastAsia="Times New Roman"/>
          <w:szCs w:val="24"/>
          <w:lang w:eastAsia="cs-CZ"/>
        </w:rPr>
        <w:t xml:space="preserve"> a nepřesahuje 120 m</w:t>
      </w:r>
      <w:r>
        <w:rPr>
          <w:rFonts w:eastAsia="Times New Roman"/>
          <w:szCs w:val="24"/>
          <w:vertAlign w:val="superscript"/>
          <w:lang w:eastAsia="cs-CZ"/>
        </w:rPr>
        <w:t>2</w:t>
      </w:r>
      <w:r>
        <w:rPr>
          <w:rFonts w:eastAsia="Times New Roman"/>
          <w:szCs w:val="24"/>
          <w:lang w:eastAsia="cs-CZ"/>
        </w:rPr>
        <w:t>,</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způsobilou domácností společně hospodařící domácnost, která má nízký příjem a nevyhovující bydlení a nemůže si zajistit vyhovující bydlení na trhu,</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společně hospodařící domácností společenství fyzických osob, které spolu trvale žijí a společně uhrazují náklady na své potřeby; společně hospodařící domácností může být i jedna fyzická osoba,</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nevyhovujícím bydlením byt neodpovídající specifickým požadavkům člena společně hospodařící domácnosti vyplývajícím z jeho zdravotního omezení, bydlení společně hospodařící domácnosti v prostorách, které nejsou určeny k trvalému bydlení, nekvalitní byt nebo přelidněný byt podle přílohy k tomuto zákonu,</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základním vybavením záchod, umyvadlo, sprcha nebo vana, kuchyňská linka a sporák nebo varná deska,</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veřejností fyzické osoby, které nejsou členy nebo společníky veřejně prospěšné právnické osoby v oblasti bydlení,</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z</w:t>
      </w:r>
      <w:r w:rsidR="00BA1D4D">
        <w:rPr>
          <w:rFonts w:eastAsia="Times New Roman"/>
          <w:szCs w:val="24"/>
          <w:lang w:eastAsia="cs-CZ"/>
        </w:rPr>
        <w:t>apočitatelnými výdaji výdaje na</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koupi pozemku, jehož součástí je stavba,</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lastRenderedPageBreak/>
        <w:t>zařízení staveniště,</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pozemní úpravy a stavební práce,</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materiál a jeho dopravu,</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demoliční práce včetně uložení na skládce,</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stavební a technický dozor,</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revize a zkoušky,</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náklady na základní vybavení,</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daň z přidané hodnoty, s výjimkou části daně z přidané hodnoty, u níž obci jako plátci vznikne nárok na odpočet daně podle zákona o dani z přidané hodnoty, a</w:t>
      </w:r>
    </w:p>
    <w:p w:rsidR="00724322" w:rsidRDefault="00724322" w:rsidP="00724322">
      <w:pPr>
        <w:numPr>
          <w:ilvl w:val="1"/>
          <w:numId w:val="3"/>
        </w:numPr>
        <w:suppressAutoHyphens w:val="0"/>
        <w:spacing w:after="240" w:line="240" w:lineRule="auto"/>
        <w:jc w:val="both"/>
        <w:rPr>
          <w:rFonts w:eastAsia="Times New Roman"/>
          <w:szCs w:val="24"/>
          <w:lang w:eastAsia="cs-CZ"/>
        </w:rPr>
      </w:pPr>
      <w:bookmarkStart w:id="0" w:name="_Hlk70958743"/>
      <w:r>
        <w:rPr>
          <w:rFonts w:eastAsia="Times New Roman"/>
          <w:szCs w:val="24"/>
          <w:lang w:eastAsia="cs-CZ"/>
        </w:rPr>
        <w:t>projektovou dokumentaci a dokumentaci pro vydání stavebního povolení</w:t>
      </w:r>
      <w:bookmarkEnd w:id="0"/>
      <w:r>
        <w:rPr>
          <w:rFonts w:eastAsia="Times New Roman"/>
          <w:szCs w:val="24"/>
          <w:lang w:eastAsia="cs-CZ"/>
        </w:rPr>
        <w:t>.</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nákladovým principem princip, že přímé či nepřímé plnění za poskytování bydlení členům nebo společníkům veřejně prospěšné právnické osoby v oblasti bydlení nebo veřejnosti nepřevyšuje náklady veřejně prospěšné právnické osoby v oblasti bydlení účelně vynaložené za účelem poskytování bydlení,</w:t>
      </w:r>
    </w:p>
    <w:p w:rsidR="00724322" w:rsidRDefault="00724322" w:rsidP="00724322">
      <w:pPr>
        <w:numPr>
          <w:ilvl w:val="0"/>
          <w:numId w:val="3"/>
        </w:numPr>
        <w:suppressAutoHyphens w:val="0"/>
        <w:spacing w:after="240" w:line="240" w:lineRule="auto"/>
        <w:ind w:left="714" w:hanging="357"/>
        <w:jc w:val="both"/>
        <w:rPr>
          <w:rFonts w:eastAsia="Times New Roman"/>
          <w:szCs w:val="24"/>
          <w:lang w:eastAsia="cs-CZ"/>
        </w:rPr>
      </w:pPr>
      <w:r>
        <w:rPr>
          <w:rFonts w:eastAsia="Times New Roman"/>
          <w:szCs w:val="24"/>
          <w:lang w:eastAsia="cs-CZ"/>
        </w:rPr>
        <w:t>neziskovým principem princip, že přímé či nepřímé plnění za dodávky při výstavbě domu, jehož výstavbu uskutečňuje svým jménem veřejně prospěšná právnická osoba v oblasti bydlení, či za jiné plnění při jiné výstavbě nebo nabývání domů, bytů či jednotek veřejně prospěšnou právnickou osobou v oblasti bydlení, nepřevyšuje účelně vynaložené započitatelné výdaje,</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ekonomickým modelem poskytování bydlení listina obsahující zejména</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cíle veřejně prospěšné právnické osoby v oblasti bydlení a zhodnocení jejich dosahování,</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přehled zdrojů výnosů, které přesahují 5 % z celkového součtu výnosů, včetně uvedení jejich použití,</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přehled nákladů na zajišťování bydlení výstavbou domů, bytů či jednotek, jejich koupí či jiným způsobem,</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přehled nákladů na vlastní správu, které představují zejména náklady na výkon správy a provoz a náklady spojené s dodáním služeb či zboží, které přímo nesouvisejí s výkonem hlavní činnosti,</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součet odměn vyplacených členům statutárního orgánu a kontrolního orgánu, je-li zřízen, za předcházející účetní období, s uvedením počtu těchto členů, pokud byly odměny vyplaceny,</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přehled plateb 5 dodavatelům, jimž byla za předcházející účetní období poskytnuta v součtu nejvyšší plnění vyjádřená v penězích, se současným uvedením plnění poskytnutým uvedenými dodavateli, a</w:t>
      </w:r>
    </w:p>
    <w:p w:rsidR="00724322" w:rsidRDefault="00724322" w:rsidP="00724322">
      <w:pPr>
        <w:numPr>
          <w:ilvl w:val="1"/>
          <w:numId w:val="3"/>
        </w:numPr>
        <w:suppressAutoHyphens w:val="0"/>
        <w:spacing w:after="240" w:line="240" w:lineRule="auto"/>
        <w:jc w:val="both"/>
        <w:rPr>
          <w:rFonts w:eastAsia="Times New Roman"/>
          <w:szCs w:val="24"/>
          <w:lang w:eastAsia="cs-CZ"/>
        </w:rPr>
      </w:pPr>
      <w:r>
        <w:rPr>
          <w:rFonts w:eastAsia="Times New Roman"/>
          <w:szCs w:val="24"/>
          <w:lang w:eastAsia="cs-CZ"/>
        </w:rPr>
        <w:t>výpočet nákladů na bydlení a výpočet nájemného</w:t>
      </w:r>
    </w:p>
    <w:p w:rsidR="00724322" w:rsidRDefault="00724322" w:rsidP="00724322">
      <w:pPr>
        <w:suppressAutoHyphens w:val="0"/>
        <w:spacing w:after="240" w:line="240" w:lineRule="auto"/>
        <w:ind w:left="708"/>
        <w:jc w:val="both"/>
        <w:rPr>
          <w:rFonts w:eastAsia="Times New Roman"/>
          <w:szCs w:val="24"/>
          <w:lang w:eastAsia="cs-CZ"/>
        </w:rPr>
      </w:pPr>
      <w:r>
        <w:rPr>
          <w:rFonts w:eastAsia="Times New Roman"/>
          <w:szCs w:val="24"/>
          <w:lang w:eastAsia="cs-CZ"/>
        </w:rPr>
        <w:t>za nejméně posledních 5 let, pokud je to možné, a jejich prognózu na dalších 5 let, pokud je to možné,</w:t>
      </w:r>
    </w:p>
    <w:p w:rsidR="00724322" w:rsidRDefault="00724322" w:rsidP="00724322">
      <w:pPr>
        <w:numPr>
          <w:ilvl w:val="0"/>
          <w:numId w:val="3"/>
        </w:numPr>
        <w:suppressAutoHyphens w:val="0"/>
        <w:spacing w:after="240" w:line="240" w:lineRule="auto"/>
        <w:contextualSpacing/>
        <w:jc w:val="both"/>
        <w:rPr>
          <w:rFonts w:eastAsia="Times New Roman"/>
          <w:szCs w:val="24"/>
          <w:lang w:eastAsia="cs-CZ"/>
        </w:rPr>
      </w:pPr>
      <w:r>
        <w:rPr>
          <w:rFonts w:eastAsia="Times New Roman"/>
          <w:szCs w:val="24"/>
          <w:lang w:eastAsia="cs-CZ"/>
        </w:rPr>
        <w:lastRenderedPageBreak/>
        <w:t>nízkým příjmem započitatelný příjem podle zákona o životním a existenčním minimu všech členů společně hospodařící domácnosti, který nepřesáhne v případě</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jednočlenné domácnosti 0,6násobek hrubé průměrné měsíční mzdy,</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dvoučlenné domácnosti 0,8násobek hrubé průměrné měsíční mzdy,</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tříčlenné domácnosti hrubou průměrnou měsíční mzdu,</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čtyřčlenné domácnosti 1,2násobek hrubé průměrné měsíční mzdy,</w:t>
      </w:r>
    </w:p>
    <w:p w:rsidR="00724322" w:rsidRDefault="00724322" w:rsidP="00724322">
      <w:pPr>
        <w:numPr>
          <w:ilvl w:val="1"/>
          <w:numId w:val="3"/>
        </w:numPr>
        <w:suppressAutoHyphens w:val="0"/>
        <w:spacing w:after="120" w:line="240" w:lineRule="auto"/>
        <w:ind w:left="1434" w:hanging="357"/>
        <w:jc w:val="both"/>
        <w:rPr>
          <w:rFonts w:eastAsia="Times New Roman"/>
          <w:szCs w:val="24"/>
          <w:lang w:eastAsia="cs-CZ"/>
        </w:rPr>
      </w:pPr>
      <w:r>
        <w:rPr>
          <w:rFonts w:eastAsia="Times New Roman"/>
          <w:szCs w:val="24"/>
          <w:lang w:eastAsia="cs-CZ"/>
        </w:rPr>
        <w:t>pěti a vícečlenné domácnosti 1,4násobek hrubé průměrné měsíční mzdy,</w:t>
      </w:r>
    </w:p>
    <w:p w:rsidR="00724322" w:rsidRDefault="00724322" w:rsidP="00724322">
      <w:pPr>
        <w:numPr>
          <w:ilvl w:val="0"/>
          <w:numId w:val="3"/>
        </w:numPr>
        <w:suppressAutoHyphens w:val="0"/>
        <w:spacing w:after="240" w:line="240" w:lineRule="auto"/>
        <w:jc w:val="both"/>
        <w:rPr>
          <w:rFonts w:eastAsia="Times New Roman"/>
          <w:szCs w:val="24"/>
          <w:lang w:eastAsia="cs-CZ"/>
        </w:rPr>
      </w:pPr>
      <w:r>
        <w:rPr>
          <w:rFonts w:eastAsia="Times New Roman"/>
          <w:szCs w:val="24"/>
          <w:lang w:eastAsia="cs-CZ"/>
        </w:rPr>
        <w:t>hrubou průměrnou měsíční mzdou průměrná hrubá měsíční nominální mzda na přepočtené počty zaměstnanců v národním hospodářství dosažená podle zveřejněných údajů Českého statistického úřadu za minulý kalendářní rok, bude-li nájemní smlouva k sociálnímu bytu uzavřena v období od 1. července do 31. prosince, nebo za předminulý kalendářní rok, bude-li nájemní smlouva k sociálnímu bytu uzavřena v období od 1. ledna do 30. června,</w:t>
      </w:r>
    </w:p>
    <w:p w:rsidR="00724322" w:rsidRDefault="00724322" w:rsidP="00724322">
      <w:pPr>
        <w:numPr>
          <w:ilvl w:val="0"/>
          <w:numId w:val="3"/>
        </w:numPr>
        <w:tabs>
          <w:tab w:val="left" w:pos="1701"/>
        </w:tabs>
        <w:suppressAutoHyphens w:val="0"/>
        <w:spacing w:after="240" w:line="240" w:lineRule="auto"/>
        <w:ind w:left="714" w:hanging="357"/>
        <w:jc w:val="both"/>
        <w:rPr>
          <w:rFonts w:eastAsia="Arial"/>
          <w:szCs w:val="24"/>
          <w:lang w:eastAsia="cs-CZ"/>
        </w:rPr>
      </w:pPr>
      <w:r>
        <w:rPr>
          <w:rFonts w:eastAsia="Arial"/>
          <w:szCs w:val="24"/>
          <w:lang w:eastAsia="cs-CZ"/>
        </w:rPr>
        <w:t>sociálním pracovníkem zaměstnanec obce s rozšířenou působností splňující předpoklady pro výkon povolání sociálního pracovníka podle zákona o sociálních službách</w:t>
      </w:r>
      <w:r>
        <w:rPr>
          <w:rFonts w:eastAsia="Arial"/>
          <w:szCs w:val="24"/>
          <w:vertAlign w:val="superscript"/>
          <w:lang w:eastAsia="cs-CZ"/>
        </w:rPr>
        <w:footnoteReference w:id="1"/>
      </w:r>
      <w:r>
        <w:rPr>
          <w:rFonts w:eastAsia="Arial"/>
          <w:szCs w:val="24"/>
          <w:vertAlign w:val="superscript"/>
          <w:lang w:eastAsia="cs-CZ"/>
        </w:rPr>
        <w:t>)</w:t>
      </w:r>
      <w:r>
        <w:rPr>
          <w:rFonts w:eastAsia="Arial"/>
          <w:szCs w:val="24"/>
          <w:lang w:eastAsia="cs-CZ"/>
        </w:rPr>
        <w:t>,</w:t>
      </w:r>
    </w:p>
    <w:p w:rsidR="00724322" w:rsidRDefault="00724322" w:rsidP="00724322">
      <w:pPr>
        <w:numPr>
          <w:ilvl w:val="0"/>
          <w:numId w:val="3"/>
        </w:numPr>
        <w:suppressAutoHyphens w:val="0"/>
        <w:spacing w:after="240" w:line="240" w:lineRule="auto"/>
        <w:ind w:left="714" w:hanging="357"/>
        <w:jc w:val="both"/>
        <w:rPr>
          <w:rFonts w:eastAsia="Arial"/>
          <w:szCs w:val="24"/>
          <w:lang w:eastAsia="cs-CZ"/>
        </w:rPr>
      </w:pPr>
      <w:r>
        <w:rPr>
          <w:rFonts w:eastAsia="Arial"/>
          <w:szCs w:val="24"/>
          <w:lang w:eastAsia="cs-CZ"/>
        </w:rPr>
        <w:t>plánem prevence ztráty bydlení písemný dokument vypracovaný sociálním pracovníkem za účelem vzájemné spolupráce mezi obecním úřadem obce s rozšířenou působností zastoupeným sociálním pracovníkem a domácností užívající sociální byt,</w:t>
      </w:r>
    </w:p>
    <w:p w:rsidR="00724322" w:rsidRDefault="00724322" w:rsidP="00724322">
      <w:pPr>
        <w:numPr>
          <w:ilvl w:val="0"/>
          <w:numId w:val="3"/>
        </w:numPr>
        <w:tabs>
          <w:tab w:val="left" w:pos="1701"/>
        </w:tabs>
        <w:suppressAutoHyphens w:val="0"/>
        <w:spacing w:after="240" w:line="240" w:lineRule="auto"/>
        <w:contextualSpacing/>
        <w:jc w:val="both"/>
        <w:rPr>
          <w:rFonts w:eastAsia="Arial"/>
          <w:szCs w:val="24"/>
          <w:lang w:eastAsia="cs-CZ"/>
        </w:rPr>
      </w:pPr>
      <w:r>
        <w:rPr>
          <w:rFonts w:eastAsia="Times New Roman"/>
          <w:szCs w:val="24"/>
          <w:lang w:eastAsia="cs-CZ"/>
        </w:rPr>
        <w:t>sociálním šetřením posouzení sociálním pracovníkem, zda je společně hospodařící domácnost způsobilou domácností.</w:t>
      </w:r>
    </w:p>
    <w:p w:rsidR="00724322" w:rsidRDefault="00724322" w:rsidP="00724322">
      <w:pPr>
        <w:suppressAutoHyphens w:val="0"/>
        <w:spacing w:before="100" w:beforeAutospacing="1" w:after="100" w:afterAutospacing="1" w:line="276" w:lineRule="auto"/>
        <w:ind w:left="108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3</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Sociální šetření</w:t>
      </w:r>
    </w:p>
    <w:p w:rsidR="00724322" w:rsidRDefault="00724322" w:rsidP="00724322">
      <w:pPr>
        <w:numPr>
          <w:ilvl w:val="0"/>
          <w:numId w:val="4"/>
        </w:numPr>
        <w:suppressAutoHyphens w:val="0"/>
        <w:spacing w:before="120" w:after="120" w:line="240" w:lineRule="auto"/>
        <w:jc w:val="both"/>
        <w:rPr>
          <w:rFonts w:eastAsia="Times New Roman"/>
          <w:szCs w:val="24"/>
          <w:lang w:eastAsia="cs-CZ"/>
        </w:rPr>
      </w:pPr>
      <w:r>
        <w:rPr>
          <w:rFonts w:eastAsia="Times New Roman"/>
          <w:szCs w:val="24"/>
          <w:lang w:eastAsia="cs-CZ"/>
        </w:rPr>
        <w:t>Sociální šetření se provádí na základě žádosti fyzické osoby o vydání osvědčení podle § 4.</w:t>
      </w:r>
    </w:p>
    <w:p w:rsidR="00724322" w:rsidRDefault="00724322" w:rsidP="00724322">
      <w:pPr>
        <w:numPr>
          <w:ilvl w:val="0"/>
          <w:numId w:val="4"/>
        </w:numPr>
        <w:suppressAutoHyphens w:val="0"/>
        <w:spacing w:before="120" w:after="120" w:line="240" w:lineRule="auto"/>
        <w:jc w:val="both"/>
        <w:rPr>
          <w:rFonts w:eastAsia="Times New Roman"/>
          <w:szCs w:val="24"/>
          <w:lang w:eastAsia="cs-CZ"/>
        </w:rPr>
      </w:pPr>
      <w:r>
        <w:rPr>
          <w:rFonts w:eastAsia="Times New Roman"/>
          <w:szCs w:val="24"/>
          <w:lang w:eastAsia="cs-CZ"/>
        </w:rPr>
        <w:t>Sociální šetření provádí sociální pracovník obecního úřadu obce s rozšířenou působností, v jejímž správním obvodu se nachází sociální byt, který má být pronajat.</w:t>
      </w:r>
    </w:p>
    <w:p w:rsidR="00724322" w:rsidRDefault="00724322" w:rsidP="00724322">
      <w:pPr>
        <w:numPr>
          <w:ilvl w:val="0"/>
          <w:numId w:val="4"/>
        </w:numPr>
        <w:suppressAutoHyphens w:val="0"/>
        <w:spacing w:before="120" w:after="120" w:line="240" w:lineRule="auto"/>
        <w:jc w:val="both"/>
        <w:rPr>
          <w:rFonts w:eastAsia="Times New Roman"/>
          <w:szCs w:val="24"/>
          <w:lang w:eastAsia="cs-CZ"/>
        </w:rPr>
      </w:pPr>
      <w:r>
        <w:rPr>
          <w:rFonts w:eastAsia="Times New Roman"/>
          <w:szCs w:val="24"/>
          <w:lang w:eastAsia="cs-CZ"/>
        </w:rPr>
        <w:t>Obsahem sociálního šetření je posouzení majetkových a sociálních poměrů, vhodnosti aktuálního</w:t>
      </w:r>
      <w:r w:rsidR="007F233E">
        <w:rPr>
          <w:rFonts w:eastAsia="Times New Roman"/>
          <w:szCs w:val="24"/>
          <w:lang w:eastAsia="cs-CZ"/>
        </w:rPr>
        <w:t xml:space="preserve"> užívaného prostoru pro bydlení a </w:t>
      </w:r>
      <w:r>
        <w:rPr>
          <w:rFonts w:eastAsia="Times New Roman"/>
          <w:szCs w:val="24"/>
          <w:lang w:eastAsia="cs-CZ"/>
        </w:rPr>
        <w:t xml:space="preserve">zda si společně hospodařící domácnost sama nemůže zajistit vhodné bydlení na trhu. Součástí sociálního šetření je rovněž zjišťování základních životních potřeb společně hospodařící domácnosti, a to v místě trvalého pobytu společně hospodařící domácnosti i v jejím sociálním okolí, a dále zjišťování možných zdrojů pomoci a podpory. </w:t>
      </w:r>
    </w:p>
    <w:p w:rsidR="00724322" w:rsidRDefault="00724322" w:rsidP="00724322">
      <w:pPr>
        <w:numPr>
          <w:ilvl w:val="0"/>
          <w:numId w:val="4"/>
        </w:numPr>
        <w:suppressAutoHyphens w:val="0"/>
        <w:spacing w:before="120" w:after="120" w:line="240" w:lineRule="auto"/>
        <w:jc w:val="both"/>
        <w:rPr>
          <w:rFonts w:eastAsia="Times New Roman"/>
          <w:szCs w:val="24"/>
          <w:lang w:eastAsia="cs-CZ"/>
        </w:rPr>
      </w:pPr>
      <w:r>
        <w:rPr>
          <w:rFonts w:eastAsia="Times New Roman"/>
          <w:szCs w:val="24"/>
          <w:lang w:eastAsia="cs-CZ"/>
        </w:rPr>
        <w:t>Náležitosti sociálního šetření může stanovit Ministerstvo práce a sociálních věcí vyhláškou.</w:t>
      </w:r>
    </w:p>
    <w:p w:rsidR="00724322" w:rsidRDefault="00724322" w:rsidP="00724322">
      <w:pPr>
        <w:suppressAutoHyphens w:val="0"/>
        <w:spacing w:before="120" w:after="120" w:line="240" w:lineRule="auto"/>
        <w:ind w:left="396"/>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4</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Osvědčení</w:t>
      </w:r>
    </w:p>
    <w:p w:rsidR="00724322" w:rsidRDefault="00724322" w:rsidP="00724322">
      <w:pPr>
        <w:numPr>
          <w:ilvl w:val="0"/>
          <w:numId w:val="5"/>
        </w:numPr>
        <w:suppressAutoHyphens w:val="0"/>
        <w:spacing w:before="120" w:after="120" w:line="240" w:lineRule="auto"/>
        <w:jc w:val="both"/>
        <w:rPr>
          <w:rFonts w:eastAsia="Times New Roman"/>
          <w:szCs w:val="24"/>
          <w:lang w:eastAsia="cs-CZ"/>
        </w:rPr>
      </w:pPr>
      <w:r>
        <w:rPr>
          <w:rFonts w:eastAsia="Times New Roman"/>
          <w:szCs w:val="24"/>
          <w:lang w:eastAsia="cs-CZ"/>
        </w:rPr>
        <w:lastRenderedPageBreak/>
        <w:t>Osvědčení, zda se jedná o způsobilou domácnost, vydává obecní úřad obce s rozšířenou působností na základě výsledků provedeného sociálního šetření, zjistí-li, že se jedná se o způsobilou domácnost.</w:t>
      </w:r>
    </w:p>
    <w:p w:rsidR="00724322" w:rsidRDefault="00724322" w:rsidP="00724322">
      <w:pPr>
        <w:numPr>
          <w:ilvl w:val="0"/>
          <w:numId w:val="5"/>
        </w:numPr>
        <w:suppressAutoHyphens w:val="0"/>
        <w:spacing w:before="120" w:after="120" w:line="240" w:lineRule="auto"/>
        <w:jc w:val="both"/>
        <w:rPr>
          <w:rFonts w:eastAsia="Times New Roman"/>
          <w:szCs w:val="24"/>
          <w:lang w:eastAsia="cs-CZ"/>
        </w:rPr>
      </w:pPr>
      <w:r>
        <w:rPr>
          <w:rFonts w:eastAsia="Times New Roman"/>
          <w:szCs w:val="24"/>
          <w:lang w:eastAsia="cs-CZ"/>
        </w:rPr>
        <w:t xml:space="preserve">Osvědčení obsahuje pouze ty osobní údaje, které pronajímatel nezbytně potřebuje pro sepsání nájemní smlouvy. </w:t>
      </w:r>
    </w:p>
    <w:p w:rsidR="00724322" w:rsidRDefault="00724322" w:rsidP="00724322">
      <w:pPr>
        <w:numPr>
          <w:ilvl w:val="0"/>
          <w:numId w:val="5"/>
        </w:numPr>
        <w:suppressAutoHyphens w:val="0"/>
        <w:spacing w:after="0" w:line="240" w:lineRule="auto"/>
        <w:contextualSpacing/>
        <w:jc w:val="both"/>
        <w:rPr>
          <w:rFonts w:eastAsia="Times New Roman"/>
          <w:szCs w:val="24"/>
          <w:lang w:eastAsia="cs-CZ"/>
        </w:rPr>
      </w:pPr>
      <w:r>
        <w:rPr>
          <w:rFonts w:eastAsia="Times New Roman"/>
          <w:szCs w:val="24"/>
          <w:lang w:eastAsia="cs-CZ"/>
        </w:rPr>
        <w:t>Obecní úřad obce s rozšířenou působností zároveň v osvědčení doporučí, je-li to na základě výsledků provedeného sociálního šetření s přihlédnutím k poměrům a schopnostem nájemce a členů jeho domácnosti vhodné, aby si veřejně prospěšná právnická osoba v oblasti bydlení v nájemní smlouvě k sociálnímu bytu vymínila, že nájemce a členové jeho domácnosti budou spolupracovat se sociálním pracovníkem na základě plánu prevence ztráty bydlení.</w:t>
      </w:r>
    </w:p>
    <w:p w:rsidR="00724322" w:rsidRDefault="00724322" w:rsidP="00724322">
      <w:pPr>
        <w:suppressAutoHyphens w:val="0"/>
        <w:spacing w:before="120" w:after="120" w:line="240" w:lineRule="auto"/>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5</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Plán prevence ztráty bydlení</w:t>
      </w:r>
    </w:p>
    <w:p w:rsidR="00724322" w:rsidRDefault="00724322" w:rsidP="00724322">
      <w:pPr>
        <w:numPr>
          <w:ilvl w:val="0"/>
          <w:numId w:val="6"/>
        </w:numPr>
        <w:suppressAutoHyphens w:val="0"/>
        <w:spacing w:before="120" w:after="120" w:line="240" w:lineRule="auto"/>
        <w:jc w:val="both"/>
        <w:rPr>
          <w:rFonts w:eastAsia="Times New Roman"/>
          <w:szCs w:val="24"/>
          <w:lang w:eastAsia="cs-CZ"/>
        </w:rPr>
      </w:pPr>
      <w:r>
        <w:rPr>
          <w:rFonts w:eastAsia="Times New Roman"/>
          <w:szCs w:val="24"/>
          <w:lang w:eastAsia="cs-CZ"/>
        </w:rPr>
        <w:t xml:space="preserve">Obsahem plánu prevence ztráty bydlení je zejména stanovení postupu a časového harmonogramu plnění jednotlivých opatření k řešení nepříznivé sociální situace v oblasti bydlení. </w:t>
      </w:r>
    </w:p>
    <w:p w:rsidR="00724322" w:rsidRDefault="00724322" w:rsidP="00724322">
      <w:pPr>
        <w:numPr>
          <w:ilvl w:val="0"/>
          <w:numId w:val="6"/>
        </w:numPr>
        <w:suppressAutoHyphens w:val="0"/>
        <w:spacing w:before="120" w:after="120" w:line="240" w:lineRule="auto"/>
        <w:jc w:val="both"/>
        <w:rPr>
          <w:rFonts w:eastAsia="Times New Roman"/>
          <w:szCs w:val="24"/>
          <w:lang w:eastAsia="cs-CZ"/>
        </w:rPr>
      </w:pPr>
      <w:r>
        <w:rPr>
          <w:rFonts w:eastAsia="Times New Roman"/>
          <w:szCs w:val="24"/>
          <w:lang w:eastAsia="cs-CZ"/>
        </w:rPr>
        <w:t xml:space="preserve">Při tvorbě obsahu plánu prevence ztráty bydlení se vychází z konkrétní sociální situace společně hospodařící domácnosti, zejména z příjmové a majetkové oblasti, dosažené kvalifikace, zdravotního stavu, možností a schopností společně hospodařící domácnosti nalézt si vlastní bydlení. </w:t>
      </w:r>
    </w:p>
    <w:p w:rsidR="00724322" w:rsidRDefault="00724322" w:rsidP="00724322">
      <w:pPr>
        <w:numPr>
          <w:ilvl w:val="0"/>
          <w:numId w:val="6"/>
        </w:numPr>
        <w:suppressAutoHyphens w:val="0"/>
        <w:spacing w:before="120" w:after="120" w:line="240" w:lineRule="auto"/>
        <w:jc w:val="both"/>
        <w:rPr>
          <w:rFonts w:eastAsia="Times New Roman"/>
          <w:szCs w:val="24"/>
          <w:lang w:eastAsia="cs-CZ"/>
        </w:rPr>
      </w:pPr>
      <w:r>
        <w:rPr>
          <w:rFonts w:eastAsia="Times New Roman"/>
          <w:szCs w:val="24"/>
          <w:lang w:eastAsia="cs-CZ"/>
        </w:rPr>
        <w:t>Na žádost nájemce nebo pronajímatele sociálního bytu podá obecní úřad obce s rozšířenou působností zprávu o plnění plánu prevence ztráty bydlení vypracovanou sociálním pracovníkem. Pokud nájemce nebo členové jeho domácnosti závažně poruší nebo opakovaně porušují plán prevence ztráty bydlení, vyhotoví o tom sociální pracovník i bez žádosti zprávu a obecní úřad obce s rozšířenou působností ji doručí pronajímateli i nájemci.</w:t>
      </w:r>
    </w:p>
    <w:p w:rsidR="00724322" w:rsidRDefault="00724322" w:rsidP="00724322">
      <w:pPr>
        <w:numPr>
          <w:ilvl w:val="0"/>
          <w:numId w:val="6"/>
        </w:numPr>
        <w:suppressAutoHyphens w:val="0"/>
        <w:spacing w:before="120" w:after="120" w:line="240" w:lineRule="auto"/>
        <w:jc w:val="both"/>
        <w:rPr>
          <w:rFonts w:eastAsia="Times New Roman"/>
          <w:szCs w:val="24"/>
          <w:lang w:eastAsia="cs-CZ"/>
        </w:rPr>
      </w:pPr>
      <w:r>
        <w:rPr>
          <w:rFonts w:eastAsia="Times New Roman"/>
          <w:szCs w:val="24"/>
          <w:lang w:eastAsia="cs-CZ"/>
        </w:rPr>
        <w:t>Na zprávy podle odstavce 3 se správní řád nepoužije.</w:t>
      </w:r>
    </w:p>
    <w:p w:rsidR="00724322" w:rsidRDefault="00724322" w:rsidP="00724322">
      <w:pPr>
        <w:numPr>
          <w:ilvl w:val="0"/>
          <w:numId w:val="6"/>
        </w:numPr>
        <w:suppressAutoHyphens w:val="0"/>
        <w:spacing w:before="120" w:after="120" w:line="240" w:lineRule="auto"/>
        <w:jc w:val="both"/>
        <w:rPr>
          <w:rFonts w:eastAsia="Times New Roman"/>
          <w:szCs w:val="24"/>
          <w:lang w:eastAsia="cs-CZ"/>
        </w:rPr>
      </w:pPr>
      <w:r>
        <w:rPr>
          <w:rFonts w:eastAsia="Times New Roman"/>
          <w:szCs w:val="24"/>
          <w:lang w:eastAsia="cs-CZ"/>
        </w:rPr>
        <w:t>Formální náležitosti plánu prevence ztráty bydlení včetně zprávy o jeho plnění mohou být upraveny vyhláškou Ministerstva práce a sociálních věcí.</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6</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Nájem sociálního bytu</w:t>
      </w:r>
    </w:p>
    <w:p w:rsidR="00724322" w:rsidRDefault="00724322" w:rsidP="00724322">
      <w:pPr>
        <w:numPr>
          <w:ilvl w:val="0"/>
          <w:numId w:val="7"/>
        </w:numPr>
        <w:suppressAutoHyphens w:val="0"/>
        <w:spacing w:before="120" w:after="120" w:line="240" w:lineRule="auto"/>
        <w:jc w:val="both"/>
        <w:rPr>
          <w:rFonts w:eastAsia="Times New Roman"/>
          <w:szCs w:val="24"/>
          <w:lang w:eastAsia="cs-CZ"/>
        </w:rPr>
      </w:pPr>
      <w:r>
        <w:rPr>
          <w:rFonts w:eastAsia="Times New Roman"/>
          <w:szCs w:val="24"/>
          <w:lang w:eastAsia="cs-CZ"/>
        </w:rPr>
        <w:t>Nájemní smlouvu k sociálnímu bytu lze uzavřít s fyzickou osobou ze způsobilé domácnosti na základě předložení osvědčení.</w:t>
      </w:r>
    </w:p>
    <w:p w:rsidR="00724322" w:rsidRDefault="00724322" w:rsidP="00724322">
      <w:pPr>
        <w:numPr>
          <w:ilvl w:val="0"/>
          <w:numId w:val="7"/>
        </w:numPr>
        <w:suppressAutoHyphens w:val="0"/>
        <w:spacing w:before="120" w:after="120" w:line="240" w:lineRule="auto"/>
        <w:jc w:val="both"/>
        <w:rPr>
          <w:rFonts w:eastAsia="Times New Roman"/>
          <w:szCs w:val="24"/>
          <w:lang w:eastAsia="cs-CZ"/>
        </w:rPr>
      </w:pPr>
      <w:r>
        <w:rPr>
          <w:rFonts w:eastAsia="Times New Roman"/>
          <w:szCs w:val="24"/>
          <w:lang w:eastAsia="cs-CZ"/>
        </w:rPr>
        <w:t>Pokud osvědčení obsahuje i doporučení podle § 4 odst. 3, může si veřejně prospěšná právnická osoba v</w:t>
      </w:r>
      <w:r w:rsidR="000762B6">
        <w:rPr>
          <w:rFonts w:eastAsia="Times New Roman"/>
          <w:szCs w:val="24"/>
          <w:lang w:eastAsia="cs-CZ"/>
        </w:rPr>
        <w:t xml:space="preserve"> oblasti </w:t>
      </w:r>
      <w:r>
        <w:rPr>
          <w:rFonts w:eastAsia="Times New Roman"/>
          <w:szCs w:val="24"/>
          <w:lang w:eastAsia="cs-CZ"/>
        </w:rPr>
        <w:t>bydlení v nájemní smlouvě vymínit, že nájemce a členové jeho domácnosti budou spolupracovat se sociálním pracovníkem na základě plánu prevence ztráty bydlení.</w:t>
      </w:r>
    </w:p>
    <w:p w:rsidR="00724322" w:rsidRDefault="00724322" w:rsidP="00724322">
      <w:pPr>
        <w:numPr>
          <w:ilvl w:val="0"/>
          <w:numId w:val="7"/>
        </w:numPr>
        <w:suppressAutoHyphens w:val="0"/>
        <w:spacing w:before="120" w:after="120" w:line="240" w:lineRule="auto"/>
        <w:jc w:val="both"/>
        <w:rPr>
          <w:rFonts w:eastAsia="Times New Roman"/>
          <w:szCs w:val="24"/>
          <w:lang w:eastAsia="cs-CZ"/>
        </w:rPr>
      </w:pPr>
      <w:r>
        <w:rPr>
          <w:rFonts w:eastAsia="Times New Roman"/>
          <w:szCs w:val="24"/>
          <w:lang w:eastAsia="cs-CZ"/>
        </w:rPr>
        <w:t xml:space="preserve">Nájemní smlouvu k sociálnímu bytu lze </w:t>
      </w:r>
      <w:bookmarkStart w:id="1" w:name="_Hlk70958611"/>
      <w:r>
        <w:rPr>
          <w:rFonts w:eastAsia="Times New Roman"/>
          <w:szCs w:val="24"/>
          <w:lang w:eastAsia="cs-CZ"/>
        </w:rPr>
        <w:t xml:space="preserve">uzavřít nejméně na 1 rok a nejvýše na 2 roky; sociální byt, na nějž je uzavírána nájemní smlouva, nemůže být přelidněným bytem podle přílohy k tomuto zákonu. Nájemní dobu lze prodloužit nejméně o 1 rok a nejvýše o 2 roky, </w:t>
      </w:r>
      <w:bookmarkEnd w:id="1"/>
      <w:r>
        <w:rPr>
          <w:rFonts w:eastAsia="Times New Roman"/>
          <w:szCs w:val="24"/>
          <w:lang w:eastAsia="cs-CZ"/>
        </w:rPr>
        <w:lastRenderedPageBreak/>
        <w:t xml:space="preserve">a to i opakovaně; nájemní smlouvu nelze prodloužit, jde-li o přelidněný byt podle přílohy k tomuto zákonu. Prodloužení nájemní doby je možné pouze v případě, že obecní úřad obce s rozšířenou působností osvědčí, že si nájemce a členové jeho domácnosti nemohou zajistit vyhovující bydlení na trhu; ustanovení § 3 až 5 se použijí obdobně. </w:t>
      </w:r>
    </w:p>
    <w:p w:rsidR="00724322" w:rsidRDefault="00724322" w:rsidP="00724322">
      <w:pPr>
        <w:numPr>
          <w:ilvl w:val="0"/>
          <w:numId w:val="7"/>
        </w:numPr>
        <w:suppressAutoHyphens w:val="0"/>
        <w:spacing w:before="100" w:beforeAutospacing="1" w:after="0" w:line="240" w:lineRule="auto"/>
        <w:contextualSpacing/>
        <w:jc w:val="both"/>
        <w:rPr>
          <w:rFonts w:eastAsia="Times New Roman"/>
          <w:szCs w:val="24"/>
          <w:lang w:eastAsia="cs-CZ"/>
        </w:rPr>
      </w:pPr>
      <w:r>
        <w:rPr>
          <w:rFonts w:eastAsia="Times New Roman"/>
          <w:szCs w:val="24"/>
          <w:lang w:eastAsia="cs-CZ"/>
        </w:rPr>
        <w:t>V případě nájmu sociálního bytu</w:t>
      </w:r>
    </w:p>
    <w:p w:rsidR="00724322" w:rsidRDefault="00724322" w:rsidP="00724322">
      <w:pPr>
        <w:numPr>
          <w:ilvl w:val="0"/>
          <w:numId w:val="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se k ujednání peněžité jistoty podle § 2254 odst. 1 občanského zákoníku nepřihlíží,</w:t>
      </w:r>
    </w:p>
    <w:p w:rsidR="00724322" w:rsidRDefault="00724322" w:rsidP="00724322">
      <w:pPr>
        <w:numPr>
          <w:ilvl w:val="0"/>
          <w:numId w:val="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platí, že si pronajímatel vyhradil souhlas s přijetím nového člena do nájemcovy domácnosti podle § 2272 odst. 2 občanského zákoníku,</w:t>
      </w:r>
    </w:p>
    <w:p w:rsidR="00724322" w:rsidRDefault="00724322" w:rsidP="00724322">
      <w:pPr>
        <w:numPr>
          <w:ilvl w:val="0"/>
          <w:numId w:val="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je vyloučeno zvyšování nájemného podle § 2249 odst. 1 občanského zákoníku,</w:t>
      </w:r>
    </w:p>
    <w:p w:rsidR="00724322" w:rsidRDefault="00724322" w:rsidP="00724322">
      <w:pPr>
        <w:numPr>
          <w:ilvl w:val="0"/>
          <w:numId w:val="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se za hrubé porušení povinností nájemce považuje také závažné porušení nebo opakované porušování plánu prevence ztráty bydlení, pokud je doloženo zprávou sociálního pracovníka podle § 5 odst. 3.</w:t>
      </w:r>
    </w:p>
    <w:p w:rsidR="00724322" w:rsidRDefault="00724322" w:rsidP="00724322">
      <w:pPr>
        <w:numPr>
          <w:ilvl w:val="0"/>
          <w:numId w:val="7"/>
        </w:numPr>
        <w:suppressAutoHyphens w:val="0"/>
        <w:spacing w:before="120" w:after="120" w:line="240" w:lineRule="auto"/>
        <w:jc w:val="both"/>
        <w:rPr>
          <w:rFonts w:eastAsia="Times New Roman"/>
          <w:szCs w:val="24"/>
          <w:lang w:eastAsia="cs-CZ"/>
        </w:rPr>
      </w:pPr>
      <w:r>
        <w:rPr>
          <w:rFonts w:eastAsia="Times New Roman"/>
          <w:szCs w:val="24"/>
          <w:lang w:eastAsia="cs-CZ"/>
        </w:rPr>
        <w:t xml:space="preserve">Podnájem sociálního bytu nebo jeho části se nepřipouští. Podnajme-li nájemce byť jen část sociálního bytu, jde o hrubé porušení jeho povinností vyplývajících z nájmu. </w:t>
      </w:r>
    </w:p>
    <w:p w:rsidR="00724322" w:rsidRDefault="00724322" w:rsidP="00724322">
      <w:pPr>
        <w:numPr>
          <w:ilvl w:val="0"/>
          <w:numId w:val="7"/>
        </w:numPr>
        <w:suppressAutoHyphens w:val="0"/>
        <w:spacing w:before="100" w:beforeAutospacing="1" w:after="100" w:afterAutospacing="1" w:line="240" w:lineRule="auto"/>
        <w:contextualSpacing/>
        <w:jc w:val="both"/>
        <w:rPr>
          <w:rFonts w:eastAsia="Times New Roman"/>
          <w:szCs w:val="24"/>
          <w:lang w:eastAsia="cs-CZ"/>
        </w:rPr>
      </w:pPr>
      <w:r>
        <w:rPr>
          <w:rFonts w:eastAsia="Times New Roman"/>
          <w:szCs w:val="24"/>
          <w:lang w:eastAsia="cs-CZ"/>
        </w:rPr>
        <w:t>Zemře-li nájemce sociálního bytu a pronajímatel udělí souhlas s přechodem nájmu na třetí osobu podle § 2279 odst. 1 věty druhé občanského zákoníku, nájem nepřejde, nesplňuje-li třetí osoba podmínky pro prodloužení nájemní doby podle tohoto zákona.</w:t>
      </w:r>
    </w:p>
    <w:p w:rsidR="00724322" w:rsidRDefault="00724322" w:rsidP="00724322">
      <w:pPr>
        <w:suppressAutoHyphens w:val="0"/>
        <w:spacing w:before="100" w:beforeAutospacing="1" w:after="100" w:afterAutospacing="1" w:line="276" w:lineRule="auto"/>
        <w:ind w:left="108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7</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Nájemné v sociálním bytě</w:t>
      </w:r>
    </w:p>
    <w:p w:rsidR="00724322" w:rsidRDefault="00724322" w:rsidP="00724322">
      <w:pPr>
        <w:numPr>
          <w:ilvl w:val="0"/>
          <w:numId w:val="9"/>
        </w:numPr>
        <w:suppressAutoHyphens w:val="0"/>
        <w:spacing w:after="0" w:line="240" w:lineRule="auto"/>
        <w:contextualSpacing/>
        <w:jc w:val="both"/>
        <w:rPr>
          <w:rFonts w:eastAsia="Times New Roman"/>
          <w:szCs w:val="24"/>
          <w:lang w:eastAsia="cs-CZ"/>
        </w:rPr>
      </w:pPr>
      <w:r>
        <w:rPr>
          <w:rFonts w:eastAsia="Times New Roman"/>
          <w:szCs w:val="24"/>
          <w:lang w:eastAsia="cs-CZ"/>
        </w:rPr>
        <w:t>Měsíční nájemné v sociálním bytě nesmí překročit mezní hodnotu nájemného, která se stanoví jako součin pořizovací ceny bytu nebo jednotky a koeficientu 0,00333 upravený o míru inflace vyjádřenou změnou ročního indexu spotřebitelských cen zveřejněnou Českým statistickým úřadem za rozhodné období. Rozhodným obdobím je doba od nabytí vlastnického práva k bytu nebo jednotce veřejně prospěšnou právnickou osobou v oblasti bydlení, nebo ode dne kolaudace bytu nebo jednotky k bydlení, nastane-li později, nejdříve však od získání statusu veřejné prospěšnosti v oblasti bydlení, do konce uplynulého kalendářního roku.</w:t>
      </w:r>
    </w:p>
    <w:p w:rsidR="00724322" w:rsidRDefault="00724322" w:rsidP="00724322">
      <w:pPr>
        <w:numPr>
          <w:ilvl w:val="0"/>
          <w:numId w:val="9"/>
        </w:numPr>
        <w:suppressAutoHyphens w:val="0"/>
        <w:spacing w:after="0" w:line="240" w:lineRule="auto"/>
        <w:contextualSpacing/>
        <w:rPr>
          <w:rFonts w:eastAsia="Times New Roman"/>
          <w:szCs w:val="24"/>
          <w:lang w:eastAsia="cs-CZ"/>
        </w:rPr>
      </w:pPr>
      <w:r>
        <w:rPr>
          <w:rFonts w:eastAsia="Times New Roman"/>
          <w:szCs w:val="24"/>
          <w:lang w:eastAsia="cs-CZ"/>
        </w:rPr>
        <w:t>Uplynula-li od začátku rozhodného období do uzavření nájemní smlouvy k sociálnímu bytu doba kratší než jeden rok, nesmí měsíční nájemné v sociálním bytě překročit mezní hodnotu nájemného, která se stanoví jako součin pořizovací ceny bytu nebo jednotky a koeficientu 0,00333.</w:t>
      </w:r>
    </w:p>
    <w:p w:rsidR="00724322" w:rsidRDefault="00724322" w:rsidP="00724322">
      <w:pPr>
        <w:numPr>
          <w:ilvl w:val="0"/>
          <w:numId w:val="9"/>
        </w:numPr>
        <w:suppressAutoHyphens w:val="0"/>
        <w:spacing w:after="0" w:line="240" w:lineRule="auto"/>
        <w:contextualSpacing/>
        <w:jc w:val="both"/>
        <w:rPr>
          <w:rFonts w:eastAsia="Times New Roman"/>
          <w:szCs w:val="24"/>
          <w:lang w:eastAsia="cs-CZ"/>
        </w:rPr>
      </w:pPr>
      <w:r>
        <w:rPr>
          <w:rFonts w:eastAsia="Times New Roman"/>
          <w:szCs w:val="24"/>
          <w:lang w:eastAsia="cs-CZ"/>
        </w:rPr>
        <w:t>Pro účely výpočtu mezní hodnoty podle odstavců 1 a 2 se pořizovací cena bytu nebo jednotky navyšuje o náklady veřejně prospěšné právnické osoby v oblasti bydlení účelně vynaložené na opravu nebo rekonstrukci bytu nebo jednotky.</w:t>
      </w:r>
    </w:p>
    <w:p w:rsidR="00724322" w:rsidRDefault="00724322" w:rsidP="00724322">
      <w:pPr>
        <w:numPr>
          <w:ilvl w:val="0"/>
          <w:numId w:val="9"/>
        </w:numPr>
        <w:suppressAutoHyphens w:val="0"/>
        <w:spacing w:before="120" w:after="120" w:line="240" w:lineRule="auto"/>
        <w:contextualSpacing/>
        <w:jc w:val="both"/>
        <w:rPr>
          <w:rFonts w:eastAsia="Times New Roman"/>
          <w:szCs w:val="24"/>
          <w:lang w:eastAsia="cs-CZ"/>
        </w:rPr>
      </w:pPr>
      <w:r>
        <w:rPr>
          <w:rFonts w:eastAsia="Times New Roman"/>
          <w:szCs w:val="24"/>
          <w:lang w:eastAsia="cs-CZ"/>
        </w:rPr>
        <w:t>V případě bezúplatného nabytí vlastnického práva k bytu nebo jednotce se za pořizovací cenu bytu nebo jednotky považuje obvyklá cena bytu nebo jednotky určená znaleckým posudkem</w:t>
      </w:r>
      <w:r w:rsidRPr="00DB3FD6">
        <w:rPr>
          <w:rFonts w:eastAsia="Times New Roman"/>
          <w:szCs w:val="24"/>
          <w:vertAlign w:val="superscript"/>
          <w:lang w:eastAsia="cs-CZ"/>
        </w:rPr>
        <w:footnoteReference w:id="2"/>
      </w:r>
      <w:r w:rsidR="000762B6" w:rsidRPr="00DB3FD6">
        <w:rPr>
          <w:rFonts w:eastAsia="Times New Roman"/>
          <w:szCs w:val="24"/>
          <w:vertAlign w:val="superscript"/>
          <w:lang w:eastAsia="cs-CZ"/>
        </w:rPr>
        <w:t>)</w:t>
      </w:r>
      <w:r>
        <w:rPr>
          <w:rFonts w:eastAsia="Times New Roman"/>
          <w:szCs w:val="24"/>
          <w:lang w:eastAsia="cs-CZ"/>
        </w:rPr>
        <w:t xml:space="preserve"> ke dni nabytí vlastnického práva k bytu nebo jednotce veřejně prospěšnou právnickou osobou v oblasti bydlení.</w:t>
      </w:r>
    </w:p>
    <w:p w:rsidR="00724322" w:rsidRDefault="00724322" w:rsidP="00724322">
      <w:pPr>
        <w:suppressAutoHyphens w:val="0"/>
        <w:spacing w:after="100" w:afterAutospacing="1" w:line="276" w:lineRule="auto"/>
        <w:ind w:left="1077"/>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8</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lastRenderedPageBreak/>
        <w:t>Status veřejné prospěšnosti v oblasti bydlení</w:t>
      </w:r>
    </w:p>
    <w:p w:rsidR="00724322" w:rsidRDefault="00724322" w:rsidP="00724322">
      <w:pPr>
        <w:numPr>
          <w:ilvl w:val="0"/>
          <w:numId w:val="10"/>
        </w:numPr>
        <w:suppressAutoHyphens w:val="0"/>
        <w:spacing w:after="120" w:line="240" w:lineRule="auto"/>
        <w:ind w:left="397" w:hanging="397"/>
        <w:jc w:val="both"/>
        <w:rPr>
          <w:rFonts w:eastAsia="Times New Roman"/>
          <w:szCs w:val="24"/>
          <w:lang w:eastAsia="cs-CZ"/>
        </w:rPr>
      </w:pPr>
      <w:r>
        <w:rPr>
          <w:rFonts w:eastAsia="Times New Roman"/>
          <w:szCs w:val="24"/>
          <w:lang w:eastAsia="cs-CZ"/>
        </w:rPr>
        <w:t>Status veřejné prospěšnosti v oblasti bydlení lze přiznat:</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spolku,</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společnosti s ručením omezeným,</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evropské společnosti,</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akciové společnosti,</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evropské družstevní společnosti,</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družstvu,</w:t>
      </w:r>
    </w:p>
    <w:p w:rsidR="00724322" w:rsidRDefault="00724322" w:rsidP="00724322">
      <w:pPr>
        <w:numPr>
          <w:ilvl w:val="0"/>
          <w:numId w:val="11"/>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nadaci,</w:t>
      </w:r>
    </w:p>
    <w:p w:rsidR="00724322" w:rsidRDefault="00724322" w:rsidP="00724322">
      <w:pPr>
        <w:numPr>
          <w:ilvl w:val="0"/>
          <w:numId w:val="11"/>
        </w:numPr>
        <w:suppressAutoHyphens w:val="0"/>
        <w:spacing w:before="100" w:beforeAutospacing="1" w:after="240" w:line="240" w:lineRule="auto"/>
        <w:ind w:left="714" w:hanging="357"/>
        <w:jc w:val="both"/>
        <w:rPr>
          <w:rFonts w:eastAsia="Times New Roman"/>
          <w:szCs w:val="24"/>
          <w:lang w:eastAsia="cs-CZ"/>
        </w:rPr>
      </w:pPr>
      <w:r>
        <w:rPr>
          <w:rFonts w:eastAsia="Times New Roman"/>
          <w:szCs w:val="24"/>
          <w:lang w:eastAsia="cs-CZ"/>
        </w:rPr>
        <w:t>nadačnímu fondu.</w:t>
      </w:r>
    </w:p>
    <w:p w:rsidR="00724322" w:rsidRDefault="00724322" w:rsidP="00724322">
      <w:pPr>
        <w:numPr>
          <w:ilvl w:val="0"/>
          <w:numId w:val="10"/>
        </w:numPr>
        <w:suppressAutoHyphens w:val="0"/>
        <w:spacing w:before="120" w:after="120" w:line="240" w:lineRule="auto"/>
        <w:jc w:val="both"/>
        <w:rPr>
          <w:rFonts w:eastAsia="Times New Roman"/>
          <w:szCs w:val="24"/>
          <w:lang w:eastAsia="cs-CZ"/>
        </w:rPr>
      </w:pPr>
      <w:r>
        <w:rPr>
          <w:rFonts w:eastAsia="Times New Roman"/>
          <w:szCs w:val="24"/>
          <w:lang w:eastAsia="cs-CZ"/>
        </w:rPr>
        <w:t>Název veřejně prospěšné právnické osoby v oblasti bydlení obsahuje slova „veřejná prospěšnost v oblasti bydlení“, nebo „veřejně prospěšná v oblasti bydlení“, nebo „veřejně prospěšné bydlení“, postačí však zkratka „v.p.b.“ psaná na konci názvu.</w:t>
      </w:r>
    </w:p>
    <w:p w:rsidR="00724322" w:rsidRDefault="00724322" w:rsidP="00724322">
      <w:pPr>
        <w:numPr>
          <w:ilvl w:val="0"/>
          <w:numId w:val="10"/>
        </w:numPr>
        <w:suppressAutoHyphens w:val="0"/>
        <w:spacing w:before="120" w:after="120" w:line="240" w:lineRule="auto"/>
        <w:jc w:val="both"/>
        <w:rPr>
          <w:rFonts w:eastAsia="Times New Roman"/>
          <w:szCs w:val="24"/>
          <w:lang w:eastAsia="cs-CZ"/>
        </w:rPr>
      </w:pPr>
      <w:r>
        <w:rPr>
          <w:rFonts w:eastAsia="Times New Roman"/>
          <w:szCs w:val="24"/>
          <w:lang w:eastAsia="cs-CZ"/>
        </w:rPr>
        <w:t>Veřejně prospěšné právnické osoby v oblasti bydlení se zapisují do evidence veřejně prospěšných právnických osob v oblasti bydlení (dále jen „evidence“) podle § 14 odst. 7.  Veřejně prospěšná právnická osoba v oblasti bydlení má povinnost zajistit zápis názvu obsahující náležitosti podle odstavce 2 do příslušného veřejného rejstříku bez zbytečného odkladu po zápisu do evidence.</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9</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Zásady veřejné prospěšnosti v oblasti bydlení</w:t>
      </w:r>
    </w:p>
    <w:p w:rsidR="00724322" w:rsidRDefault="00724322" w:rsidP="00724322">
      <w:pPr>
        <w:numPr>
          <w:ilvl w:val="0"/>
          <w:numId w:val="12"/>
        </w:numPr>
        <w:suppressAutoHyphens w:val="0"/>
        <w:spacing w:after="120" w:line="240" w:lineRule="auto"/>
        <w:jc w:val="both"/>
        <w:rPr>
          <w:rFonts w:eastAsia="Times New Roman"/>
          <w:szCs w:val="24"/>
          <w:lang w:eastAsia="cs-CZ"/>
        </w:rPr>
      </w:pPr>
      <w:r>
        <w:rPr>
          <w:rFonts w:eastAsia="Times New Roman"/>
          <w:szCs w:val="24"/>
          <w:lang w:eastAsia="cs-CZ"/>
        </w:rPr>
        <w:t>Účelem veřejně prospěšné právnické osoby v oblasti bydlení je poskytovat bydlení na nákladovém principu.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Hlavním účelem veřejně prospěšné právnické osoby v oblasti bydlení nemůže být dosahování zisku nebo provozování obchodního závodu.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Veřejně prospěšná právnická osoba v oblasti bydlení poskytuje bydlení členům, společníkům nebo veřejnosti, pokud zakladatelské právní jednání nestanoví, že se bydlení poskytuje pouze členům nebo společníkům.</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Veřejně prospěšná právnická osoba v oblasti bydlení poskytující bydlení veřejnosti může omezit poskytování bydlení veřejnosti za transparentních a nediskriminačních kritérií, kterými jsou zejména poskytování bydlení jen osobám s trvalým pobytem v obci, kde je bydlení poskytováno, jen osobám, které se zaváží přihlásit se k trvalému pobytu v obci, kde je bydlení poskytováno, jen osobám bez jiného bydlení, nebo jen osobám bez vlastnictví nemovité věci určené k bydlení v místě, kde jsou přihlášeni k trvalému pobytu.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 domech, bytech a jednotkách, které jsou určeny k bydlení, nesmí veřejně prospěšná právnická osoba v oblasti bydlení poskytovat ubytování ve smyslu občanského zákoníku.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Veřejně prospěšná právnická osoba v oblasti bydlení nesmí poskytovat bydlení na jiném než nákladovém principu.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Veřejně prospěšná právnická osoba v oblasti bydlení každoročně zveřejňuje v evidenci ekonomický model poskytování bydlení, a to nejpozději do 30. června každého roku.</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lastRenderedPageBreak/>
        <w:t>Zisk z činnosti veřejně prospěšné právnické osoby v oblasti bydlení lze použít pouze k podpoře účelu podle odstavce 1, a k jiné činnosti vedoucí k naplňování účelu podle odstavce 1, včetně správy veřejně prospěšné právnické osoby v oblasti bydlení.</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Veřejně prospěšná právnická osoba v oblasti bydlení nerozděluje zisk.</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Tomu, jehož členství ve veřejně prospěšné právnické osobě v oblasti bydlení zaniká, nebo jeho právnímu nástupci nebude na vypořádacím podílu, náleží-li mu podle jiného zákona, vyplaceno více, než je výše jeho splaceného nebo vneseného vkladu do základního kapitálu v době ukončení jeho členství.</w:t>
      </w:r>
    </w:p>
    <w:p w:rsidR="00724322" w:rsidRDefault="00724322" w:rsidP="00724322">
      <w:pPr>
        <w:numPr>
          <w:ilvl w:val="0"/>
          <w:numId w:val="12"/>
        </w:numPr>
        <w:suppressAutoHyphens w:val="0"/>
        <w:spacing w:after="120" w:line="240" w:lineRule="auto"/>
        <w:ind w:left="397" w:hanging="397"/>
        <w:jc w:val="both"/>
        <w:rPr>
          <w:rFonts w:eastAsia="Times New Roman"/>
          <w:szCs w:val="24"/>
          <w:lang w:eastAsia="cs-CZ"/>
        </w:rPr>
      </w:pPr>
      <w:r>
        <w:rPr>
          <w:rFonts w:eastAsia="Times New Roman"/>
          <w:szCs w:val="24"/>
          <w:lang w:eastAsia="cs-CZ"/>
        </w:rPr>
        <w:t>Na podílu na likvidačním zůstatku nebude tomu, komu náleží podle jiného zákona, vyplaceno více, než je výše jeho splaceného nebo vneseného vkladu do veřejně prospěšné právnické osoby v oblasti bydlení, v době splatnosti podílu na likvidačním zůstatku, a zbylý likvidační zůstatek připadne podle rozhodnutí nejvyššího orgánu veřejně prospěšné právnické osoby v oblasti bydlení jiné veřejně prospěšné právnické osobě v oblasti bydlení, pokud s tím její nejvyšší orgán souhlasí. Pokud není žádná veřejně prospěšná právnická osoba v oblasti bydlení, která by likvidační zůstatek přijala, připadne České republice. Jiný způsob naložení s likvidačním zůstatkem není přípustný.</w:t>
      </w:r>
    </w:p>
    <w:p w:rsidR="00724322" w:rsidRDefault="00724322" w:rsidP="00724322">
      <w:pPr>
        <w:suppressAutoHyphens w:val="0"/>
        <w:spacing w:after="100" w:afterAutospacing="1" w:line="276" w:lineRule="auto"/>
        <w:ind w:left="1077"/>
        <w:contextualSpacing/>
        <w:jc w:val="both"/>
        <w:rPr>
          <w:rFonts w:eastAsia="Times New Roman"/>
          <w:szCs w:val="24"/>
          <w:lang w:eastAsia="cs-CZ"/>
        </w:rPr>
      </w:pPr>
      <w:bookmarkStart w:id="2" w:name="_Hlk73705281"/>
    </w:p>
    <w:bookmarkEnd w:id="2"/>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10</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Základní práva obce, kraje a České republiky</w:t>
      </w:r>
    </w:p>
    <w:p w:rsidR="00724322" w:rsidRDefault="00724322" w:rsidP="00724322">
      <w:pPr>
        <w:numPr>
          <w:ilvl w:val="0"/>
          <w:numId w:val="13"/>
        </w:numPr>
        <w:suppressAutoHyphens w:val="0"/>
        <w:spacing w:after="120" w:line="240" w:lineRule="auto"/>
        <w:jc w:val="both"/>
        <w:rPr>
          <w:rFonts w:eastAsia="Times New Roman"/>
          <w:szCs w:val="24"/>
          <w:lang w:eastAsia="cs-CZ"/>
        </w:rPr>
      </w:pPr>
      <w:r>
        <w:rPr>
          <w:rFonts w:eastAsia="Times New Roman"/>
          <w:szCs w:val="24"/>
          <w:lang w:eastAsia="cs-CZ"/>
        </w:rPr>
        <w:t>Vlastnické právo obce, kraje, nebo České republiky k pozemku, domu nebo jednotce či jiné právo k pozemku, domu nebo jednotce může být převedeno do majetku veřejně prospěšných právnických osob v oblasti bydlení bezúplatně. Právo převedené bezúplatně obcí, krajem, nebo Českou republikou do majetku veřejně prospěšné právnické osoby v oblasti bydlení, jejímž členem, nebo společníkem je obec, kraj nebo Česká republika, nelze bez souhlasu obce, kraje, nebo České republiky zcizit, ani zatížit, ani nelze změnit zakladatelské právní jednání, neurčí-li zakladatelské právní jednání jinak.</w:t>
      </w:r>
    </w:p>
    <w:p w:rsidR="00724322" w:rsidRDefault="00724322" w:rsidP="00724322">
      <w:pPr>
        <w:numPr>
          <w:ilvl w:val="0"/>
          <w:numId w:val="13"/>
        </w:numPr>
        <w:suppressAutoHyphens w:val="0"/>
        <w:spacing w:after="120" w:line="240" w:lineRule="auto"/>
        <w:jc w:val="both"/>
        <w:rPr>
          <w:rFonts w:eastAsia="Times New Roman"/>
          <w:szCs w:val="24"/>
          <w:lang w:eastAsia="cs-CZ"/>
        </w:rPr>
      </w:pPr>
      <w:r>
        <w:rPr>
          <w:rFonts w:eastAsia="Times New Roman"/>
          <w:szCs w:val="24"/>
          <w:lang w:eastAsia="cs-CZ"/>
        </w:rPr>
        <w:t>Do doby úplného splacení dluhu veřejně prospěšnou právnickou osobou v oblasti bydlení vázne na pozemku, domu nebo jednotce zástavní právo ve prospěch obce, kraje, nebo České republiky, pokud se strany nedohodnou jinak. Návrh na zápis zástavního práva se podává s návrhem na vklad vlastnického práva či jiného práva do katastru nemovitostí.</w:t>
      </w:r>
    </w:p>
    <w:p w:rsidR="00724322" w:rsidRDefault="00724322" w:rsidP="00724322">
      <w:pPr>
        <w:numPr>
          <w:ilvl w:val="0"/>
          <w:numId w:val="13"/>
        </w:numPr>
        <w:suppressAutoHyphens w:val="0"/>
        <w:spacing w:after="120" w:line="240" w:lineRule="auto"/>
        <w:jc w:val="both"/>
        <w:rPr>
          <w:rFonts w:eastAsia="Times New Roman"/>
          <w:szCs w:val="24"/>
          <w:lang w:eastAsia="cs-CZ"/>
        </w:rPr>
      </w:pPr>
      <w:r>
        <w:rPr>
          <w:rFonts w:eastAsia="Times New Roman"/>
          <w:szCs w:val="24"/>
          <w:lang w:eastAsia="cs-CZ"/>
        </w:rPr>
        <w:t xml:space="preserve"> Likvidátor je při likvidaci veřejně prospěšné právnické osoby v oblasti bydlení povinen přednostně nabídnout obci, kraji nebo České republice ke koupi za cenu obvyklou pozemek, dům nebo jednotku, k níž obec, kraj nebo Česká republika převedla vlastnické právo na veřejně prospěšnou právnickou osobu v oblasti bydlení. Pokud bylo vlastnické právo k pozemku, domu nebo jednotce převedeno na veřejně prospěšnou právnickou osobu v oblasti bydlení bezúplatně, je likvidátor povinen nabídnout obci, kraji nebo České republice bezúplatný převod vlastnického práva k tomuto pozemku, domu nebo jednotce. Lhůta pro přijetí nabídky činí alespoň 6 měsíců. Ustanovení § 11 odst. 4 se pro přednostní nabídky podle tohoto odstavce nepoužije.</w:t>
      </w:r>
    </w:p>
    <w:p w:rsidR="00724322" w:rsidRDefault="00724322" w:rsidP="00724322">
      <w:pPr>
        <w:suppressAutoHyphens w:val="0"/>
        <w:spacing w:after="100" w:afterAutospacing="1" w:line="276" w:lineRule="auto"/>
        <w:ind w:left="396"/>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11</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Omezení spojená s veřejnou prospěšností v oblasti bydlení</w:t>
      </w:r>
    </w:p>
    <w:p w:rsidR="00724322" w:rsidRDefault="00724322" w:rsidP="00724322">
      <w:pPr>
        <w:numPr>
          <w:ilvl w:val="0"/>
          <w:numId w:val="14"/>
        </w:numPr>
        <w:suppressAutoHyphens w:val="0"/>
        <w:spacing w:after="120" w:line="240" w:lineRule="auto"/>
        <w:jc w:val="both"/>
        <w:rPr>
          <w:rFonts w:eastAsia="Times New Roman"/>
          <w:szCs w:val="24"/>
          <w:lang w:eastAsia="cs-CZ"/>
        </w:rPr>
      </w:pPr>
      <w:r>
        <w:rPr>
          <w:rFonts w:eastAsia="Times New Roman"/>
          <w:szCs w:val="24"/>
          <w:lang w:eastAsia="cs-CZ"/>
        </w:rPr>
        <w:t>Převod podílu ve veřejně prospěšné právnické osobě v oblasti bydlení se zakazuje.</w:t>
      </w:r>
    </w:p>
    <w:p w:rsidR="00724322" w:rsidRDefault="00724322" w:rsidP="00724322">
      <w:pPr>
        <w:numPr>
          <w:ilvl w:val="0"/>
          <w:numId w:val="14"/>
        </w:numPr>
        <w:suppressAutoHyphens w:val="0"/>
        <w:spacing w:after="120" w:line="240" w:lineRule="auto"/>
        <w:jc w:val="both"/>
        <w:rPr>
          <w:rFonts w:eastAsia="Times New Roman"/>
          <w:szCs w:val="24"/>
          <w:lang w:eastAsia="cs-CZ"/>
        </w:rPr>
      </w:pPr>
      <w:r>
        <w:rPr>
          <w:rFonts w:eastAsia="Times New Roman"/>
          <w:szCs w:val="24"/>
          <w:lang w:eastAsia="cs-CZ"/>
        </w:rPr>
        <w:lastRenderedPageBreak/>
        <w:t>Nelze postoupit nájem bytu v domě či jednotky ve vlastnictví veřejně prospěšné právnické osoby v oblasti bydlení.</w:t>
      </w:r>
    </w:p>
    <w:p w:rsidR="00724322" w:rsidRDefault="00724322" w:rsidP="00724322">
      <w:pPr>
        <w:numPr>
          <w:ilvl w:val="0"/>
          <w:numId w:val="14"/>
        </w:numPr>
        <w:suppressAutoHyphens w:val="0"/>
        <w:spacing w:after="120" w:line="240" w:lineRule="auto"/>
        <w:jc w:val="both"/>
        <w:rPr>
          <w:rFonts w:eastAsia="Times New Roman"/>
          <w:szCs w:val="24"/>
          <w:lang w:eastAsia="cs-CZ"/>
        </w:rPr>
      </w:pPr>
      <w:r>
        <w:rPr>
          <w:rFonts w:eastAsia="Times New Roman"/>
          <w:szCs w:val="24"/>
          <w:lang w:eastAsia="cs-CZ"/>
        </w:rPr>
        <w:t>Podnájem dostupného bytu nebo jeho části se nepřipouští. Podnajme-li nájemce byť jen část sociálního nebo dostupného bytu, jde o hrubé porušení jeho povinnosti vyplývající z nájmu.</w:t>
      </w:r>
    </w:p>
    <w:p w:rsidR="00724322" w:rsidRDefault="00724322" w:rsidP="00724322">
      <w:pPr>
        <w:numPr>
          <w:ilvl w:val="0"/>
          <w:numId w:val="14"/>
        </w:numPr>
        <w:suppressAutoHyphens w:val="0"/>
        <w:spacing w:after="120" w:line="240" w:lineRule="auto"/>
        <w:jc w:val="both"/>
        <w:rPr>
          <w:rFonts w:eastAsia="Times New Roman"/>
          <w:szCs w:val="24"/>
          <w:lang w:eastAsia="cs-CZ"/>
        </w:rPr>
      </w:pPr>
      <w:r>
        <w:rPr>
          <w:rFonts w:eastAsia="Times New Roman"/>
          <w:szCs w:val="24"/>
          <w:lang w:eastAsia="cs-CZ"/>
        </w:rPr>
        <w:t>Zakazuje se převod vlastnického práva k pozemku, domu či jednotce ve vlastnictví veřejně prospěšné právnické osoby v oblasti bydlení na fyzickou osobu a na právnickou osobu, která není veřejně prospěšná v oblasti bydlení.</w:t>
      </w:r>
    </w:p>
    <w:p w:rsidR="00724322" w:rsidRDefault="00724322" w:rsidP="00724322">
      <w:pPr>
        <w:numPr>
          <w:ilvl w:val="0"/>
          <w:numId w:val="14"/>
        </w:numPr>
        <w:suppressAutoHyphens w:val="0"/>
        <w:spacing w:after="120" w:line="240" w:lineRule="auto"/>
        <w:jc w:val="both"/>
        <w:rPr>
          <w:rFonts w:eastAsia="Times New Roman"/>
          <w:szCs w:val="24"/>
          <w:lang w:eastAsia="cs-CZ"/>
        </w:rPr>
      </w:pPr>
      <w:r>
        <w:rPr>
          <w:rFonts w:eastAsia="Times New Roman"/>
          <w:szCs w:val="24"/>
          <w:lang w:eastAsia="cs-CZ"/>
        </w:rPr>
        <w:t>Pozemek, dům ani jednotku ve vlastnictví veřejně prospěšné právnické osoby v oblasti bydlení nelze vyčlenit do svěřenského fondu. Je-li předmětem veřejné dražby dobrovolné podle zákona o veřejných dražbách pozemek, dům nebo jednotka ve vlastnictví veřejně prospěšné právnické osoby v oblasti bydlení, mohou být účastníky dražby pouze jiné veřejně prospěšné právnické osoby v oblasti bydlení. Ustanovení § 3 odst. 1 zákona o veřejných dražbách se nepoužije.</w:t>
      </w:r>
    </w:p>
    <w:p w:rsidR="00724322" w:rsidRDefault="00724322" w:rsidP="00724322">
      <w:pPr>
        <w:suppressAutoHyphens w:val="0"/>
        <w:spacing w:after="100" w:afterAutospacing="1" w:line="276" w:lineRule="auto"/>
        <w:ind w:left="396"/>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bookmarkStart w:id="3" w:name="_Hlk66900957"/>
      <w:r>
        <w:rPr>
          <w:rFonts w:eastAsia="Times New Roman"/>
          <w:szCs w:val="24"/>
          <w:lang w:eastAsia="cs-CZ"/>
        </w:rPr>
        <w:t>§ 12</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Orgány dostupnosti bydlení</w:t>
      </w:r>
    </w:p>
    <w:bookmarkEnd w:id="3"/>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Starosta obce s rozšířenou působností zřizuje orgán dostupnosti bydlení obce, starosta městské části hlavního města Prahy zřizuje orgán dostupnosti bydlení městské části. Na činnost orgánu dostupnosti bydlení městské části se použijí obdobně ustanovení o činnosti orgánu dostupnosti bydlení obce. Hejtman zřizuje orgán dostupnosti bydlení kraje, primátor hlavního města Prahy zřizuje orgán dostupnosti bydlení hlavního města Prahy. Na činnost orgánu dostupnosti bydlení hlavního města Prahy se použijí obdobně ustanovení o činnosti orgánu dostupnosti bydlení kraje. Činnost těchto orgánů dostupnosti bydlení je výkonem státní správy v přenesené působnosti.</w:t>
      </w:r>
    </w:p>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 xml:space="preserve">Ústředním orgánem dostupnosti bydlení je </w:t>
      </w:r>
      <w:r w:rsidR="000762B6">
        <w:rPr>
          <w:rFonts w:eastAsia="Times New Roman"/>
          <w:szCs w:val="24"/>
          <w:lang w:eastAsia="cs-CZ"/>
        </w:rPr>
        <w:t>Ministerstvo pro místní rozvoj (dále jen „</w:t>
      </w:r>
      <w:r>
        <w:rPr>
          <w:rFonts w:eastAsia="Times New Roman"/>
          <w:szCs w:val="24"/>
          <w:lang w:eastAsia="cs-CZ"/>
        </w:rPr>
        <w:t>ministerstvo</w:t>
      </w:r>
      <w:r w:rsidR="000762B6">
        <w:rPr>
          <w:rFonts w:eastAsia="Times New Roman"/>
          <w:szCs w:val="24"/>
          <w:lang w:eastAsia="cs-CZ"/>
        </w:rPr>
        <w:t>“)</w:t>
      </w:r>
      <w:r>
        <w:rPr>
          <w:rFonts w:eastAsia="Times New Roman"/>
          <w:szCs w:val="24"/>
          <w:lang w:eastAsia="cs-CZ"/>
        </w:rPr>
        <w:t>.</w:t>
      </w:r>
    </w:p>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Členy orgánu dostupnosti bydlení obce jmenuje a odvolává starosta. Členové orgánu dostupnosti bydlení obce musejí být zaměstnanci obce s rozšířenou působností. Orgán dostupnosti bydlení obce se skládá alespoň z jeho předsedy, který musí mít právnické vzdělání. Starosta může jmenovat také místopředsedu orgánu dostupnosti bydlení obce, který musí mít právnické vzdělání, a další členy orgánu dostupnosti bydlení obce. Orgán dostupnosti bydlení obce je schopen jednat a usnášet se, je-li přítomen jeho předseda nebo místopředseda a zároveň nadpoloviční většina všech členů orgánu dostupnosti bydlení obce. Tvoří-li orgán dostupnosti bydlení obce šest a více členů, je schopen jednat a usnášet se, je-li přítomen jeho předseda nebo místopředseda a nejméně další dva členové orgánu dostupnosti bydlení obce. Orgán dostupnosti bydlení obce se usnáší většinou hlasů přítomných členů. Při rovnosti hlasů rozhoduje hlas předsedy, a není-li přítomen předseda, rozhoduje hlas místopředsedy.</w:t>
      </w:r>
    </w:p>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 xml:space="preserve">Pro orgán dostupnosti bydlení kraje se odstavec 3 použije obdobně. </w:t>
      </w:r>
    </w:p>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Orgány dostupnosti bydlení neposkytují sociální služby, ani nevykonávají činnosti sociální práce podle zvláštního zákona.</w:t>
      </w:r>
    </w:p>
    <w:p w:rsidR="00724322" w:rsidRDefault="00724322" w:rsidP="00724322">
      <w:pPr>
        <w:numPr>
          <w:ilvl w:val="0"/>
          <w:numId w:val="15"/>
        </w:numPr>
        <w:suppressAutoHyphens w:val="0"/>
        <w:spacing w:after="120" w:line="240" w:lineRule="auto"/>
        <w:jc w:val="both"/>
        <w:rPr>
          <w:rFonts w:eastAsia="Times New Roman"/>
          <w:szCs w:val="24"/>
          <w:lang w:eastAsia="cs-CZ"/>
        </w:rPr>
      </w:pPr>
      <w:r>
        <w:rPr>
          <w:rFonts w:eastAsia="Times New Roman"/>
          <w:szCs w:val="24"/>
          <w:lang w:eastAsia="cs-CZ"/>
        </w:rPr>
        <w:t>Sociální pracovník nevykonává působnost orgánů dostupnosti bydlení.</w:t>
      </w:r>
    </w:p>
    <w:p w:rsidR="00724322" w:rsidRDefault="00724322" w:rsidP="00724322">
      <w:pPr>
        <w:suppressAutoHyphens w:val="0"/>
        <w:spacing w:after="100" w:afterAutospacing="1" w:line="276" w:lineRule="auto"/>
        <w:ind w:left="396"/>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lastRenderedPageBreak/>
        <w:t>§ 13</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Přiznávání statusu veřejné prospěšnosti v oblasti bydlení</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O přiznání statusu veřejné prospěšnosti v oblasti bydlení rozhoduje orgán dostupnosti bydlení kraje, na jehož území má právnická osoba sídlo.</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Je-li kraj zakladatelem, společníkem nebo členem právnické osoby, která žádá o přiznání statusu veřejné prospěšnosti v oblasti bydlení, rozhoduje o jeho přiznání ministerstvo.</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Je-li Česká republika zakladatelem, společníkem nebo členem právnické osoby, která žádá o přiznání statusu veřejné prospěšnosti v oblasti bydlení, rozhoduje o jeho přiznání ministerstvo.</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 xml:space="preserve">Status veřejné prospěšnosti v oblasti bydlení se přizná na žádost právnické osoby, pokud </w:t>
      </w:r>
    </w:p>
    <w:p w:rsidR="00724322" w:rsidRDefault="00724322" w:rsidP="00724322">
      <w:pPr>
        <w:numPr>
          <w:ilvl w:val="0"/>
          <w:numId w:val="17"/>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žádost obsahuje mimo obecných náležitostí náležitosti podle § 15,</w:t>
      </w:r>
    </w:p>
    <w:p w:rsidR="00724322" w:rsidRDefault="00724322" w:rsidP="00724322">
      <w:pPr>
        <w:numPr>
          <w:ilvl w:val="0"/>
          <w:numId w:val="17"/>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ve svém zakladatelském právním jednání určí, že hlavním předmětem činnosti je poskytování bydlení,</w:t>
      </w:r>
    </w:p>
    <w:p w:rsidR="00724322" w:rsidRDefault="00724322" w:rsidP="00724322">
      <w:pPr>
        <w:numPr>
          <w:ilvl w:val="0"/>
          <w:numId w:val="17"/>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doloží, že na rozhodování právnické osoby mají podstatný vliv jen bezúhonné osoby,</w:t>
      </w:r>
    </w:p>
    <w:p w:rsidR="00724322" w:rsidRDefault="00724322" w:rsidP="00724322">
      <w:pPr>
        <w:numPr>
          <w:ilvl w:val="0"/>
          <w:numId w:val="17"/>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doloží, že nabyla majetek z poctivých zdrojů,</w:t>
      </w:r>
    </w:p>
    <w:p w:rsidR="00724322" w:rsidRDefault="00724322" w:rsidP="00724322">
      <w:pPr>
        <w:numPr>
          <w:ilvl w:val="0"/>
          <w:numId w:val="17"/>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splňuje další náležitosti stanovené tímto zákonem.</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Za osobu mající podstatný vliv na rozhodování veřejně prospěšné právnické osoby v oblasti bydlení se pro účely tohoto zákona vždy považuje</w:t>
      </w:r>
    </w:p>
    <w:p w:rsidR="00724322" w:rsidRDefault="00724322" w:rsidP="00724322">
      <w:pPr>
        <w:numPr>
          <w:ilvl w:val="0"/>
          <w:numId w:val="1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osoba, která je členem jejího statutárního orgánu nebo kontrolního orgánu, je-li zřízen,</w:t>
      </w:r>
    </w:p>
    <w:p w:rsidR="00724322" w:rsidRDefault="00724322" w:rsidP="00724322">
      <w:pPr>
        <w:numPr>
          <w:ilvl w:val="0"/>
          <w:numId w:val="18"/>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osoba zastupující v jejím statutárním orgánu nebo kontrolním orgánu, je-li zřízen, právnickou osobu, která je členem takového orgánu, nebo</w:t>
      </w:r>
    </w:p>
    <w:p w:rsidR="00724322" w:rsidRDefault="00724322" w:rsidP="00724322">
      <w:pPr>
        <w:numPr>
          <w:ilvl w:val="0"/>
          <w:numId w:val="18"/>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ovládající osoba této veřejně prospěšné právnické osoby, jde-li o obchodní korporaci.</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Za bezúhonnou se nepovažuje osoba, která byla pravomocně odsouzena pro přečin spáchaný v souvislosti s činností přispívající k dosahování obecného blaha nebo pro zločin. To neplatí, pokud se na ni hledí, jako by nebyla odsouzena. Bezúhonnost se dokládá ne více než 3 měsíce starým výpisem z evidence Rejstříku trestů, u cizinců či zahraničních právnických osob ne více než 3 měsíce starým výpisem z evidence trestů nebo rovnocenný</w:t>
      </w:r>
      <w:r w:rsidR="0054005C">
        <w:rPr>
          <w:rFonts w:eastAsia="Times New Roman"/>
          <w:szCs w:val="24"/>
          <w:lang w:eastAsia="cs-CZ"/>
        </w:rPr>
        <w:t>m</w:t>
      </w:r>
      <w:r>
        <w:rPr>
          <w:rFonts w:eastAsia="Times New Roman"/>
          <w:szCs w:val="24"/>
          <w:lang w:eastAsia="cs-CZ"/>
        </w:rPr>
        <w:t xml:space="preserve"> doklad</w:t>
      </w:r>
      <w:r w:rsidR="0054005C">
        <w:rPr>
          <w:rFonts w:eastAsia="Times New Roman"/>
          <w:szCs w:val="24"/>
          <w:lang w:eastAsia="cs-CZ"/>
        </w:rPr>
        <w:t>em</w:t>
      </w:r>
      <w:r>
        <w:rPr>
          <w:rFonts w:eastAsia="Times New Roman"/>
          <w:szCs w:val="24"/>
          <w:lang w:eastAsia="cs-CZ"/>
        </w:rPr>
        <w:t xml:space="preserve"> vydaný</w:t>
      </w:r>
      <w:r w:rsidR="0054005C">
        <w:rPr>
          <w:rFonts w:eastAsia="Times New Roman"/>
          <w:szCs w:val="24"/>
          <w:lang w:eastAsia="cs-CZ"/>
        </w:rPr>
        <w:t>m</w:t>
      </w:r>
      <w:r>
        <w:rPr>
          <w:rFonts w:eastAsia="Times New Roman"/>
          <w:szCs w:val="24"/>
          <w:lang w:eastAsia="cs-CZ"/>
        </w:rPr>
        <w:t xml:space="preserve"> cizím státem, kde měla v předchozích 3 letech fyzická osoba bydliště nebo právnická osoba sídlo. Nevydává-li cizí stát výpis z evidence trestů nebo rovnocenný doklad, předloží právnická osoba čestné prohlášení o bezúhonnosti s úředně ověřeným podpisem.</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K prokázání poctivosti zdrojů majetku, který právnická osoba nabyla, slouží</w:t>
      </w:r>
    </w:p>
    <w:p w:rsidR="00724322" w:rsidRDefault="00724322" w:rsidP="00724322">
      <w:pPr>
        <w:numPr>
          <w:ilvl w:val="0"/>
          <w:numId w:val="19"/>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účetní závěrka, nebo jde-li o právnickou osobu vedoucí jednoduché účetnictví, přehled o majetku a závazcích a přehled o příjmech a výdajích, za účetní období bezprostředně předcházející dni podání návrhu na zahájení tohoto řízení, </w:t>
      </w:r>
    </w:p>
    <w:p w:rsidR="00724322" w:rsidRDefault="00724322" w:rsidP="00724322">
      <w:pPr>
        <w:numPr>
          <w:ilvl w:val="0"/>
          <w:numId w:val="19"/>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zpráva auditora o ověření účetní závěrky podle písmene a), je-li právnická osoba povinna mít účetní závěrku ověřenou auditorem.</w:t>
      </w:r>
    </w:p>
    <w:p w:rsidR="00724322" w:rsidRDefault="00724322" w:rsidP="00724322">
      <w:pPr>
        <w:numPr>
          <w:ilvl w:val="0"/>
          <w:numId w:val="16"/>
        </w:numPr>
        <w:suppressAutoHyphens w:val="0"/>
        <w:spacing w:after="120" w:line="240" w:lineRule="auto"/>
        <w:jc w:val="both"/>
        <w:rPr>
          <w:rFonts w:eastAsia="Times New Roman"/>
          <w:szCs w:val="24"/>
          <w:lang w:eastAsia="cs-CZ"/>
        </w:rPr>
      </w:pPr>
      <w:r>
        <w:rPr>
          <w:rFonts w:eastAsia="Times New Roman"/>
          <w:szCs w:val="24"/>
          <w:lang w:eastAsia="cs-CZ"/>
        </w:rPr>
        <w:t xml:space="preserve">Podá-li právnická osoba žádost o přiznání statusu veřejné prospěšnosti v oblasti bydlení do 1 roku od svého vzniku, odstavec 7 se nepoužije a právnická osoba namísto listin uvedených v odstavci </w:t>
      </w:r>
      <w:r w:rsidR="0054005C">
        <w:rPr>
          <w:rFonts w:eastAsia="Times New Roman"/>
          <w:szCs w:val="24"/>
          <w:lang w:eastAsia="cs-CZ"/>
        </w:rPr>
        <w:t>7</w:t>
      </w:r>
      <w:r>
        <w:rPr>
          <w:rFonts w:eastAsia="Times New Roman"/>
          <w:szCs w:val="24"/>
          <w:lang w:eastAsia="cs-CZ"/>
        </w:rPr>
        <w:t xml:space="preserve"> uvede</w:t>
      </w:r>
    </w:p>
    <w:p w:rsidR="00724322" w:rsidRDefault="00724322" w:rsidP="00724322">
      <w:pPr>
        <w:numPr>
          <w:ilvl w:val="0"/>
          <w:numId w:val="20"/>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lastRenderedPageBreak/>
        <w:t>předpokládané zdroje svých výnosů a předpokládaný způsob jejich použití na bydlení nebo svůj další rozvoj,</w:t>
      </w:r>
    </w:p>
    <w:p w:rsidR="00724322" w:rsidRDefault="00724322" w:rsidP="00724322">
      <w:pPr>
        <w:numPr>
          <w:ilvl w:val="0"/>
          <w:numId w:val="20"/>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předpokládané náklady na vlastní správu,</w:t>
      </w:r>
    </w:p>
    <w:p w:rsidR="00724322" w:rsidRDefault="00724322" w:rsidP="00724322">
      <w:pPr>
        <w:numPr>
          <w:ilvl w:val="0"/>
          <w:numId w:val="20"/>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předpokládaný počet zaměstnanců spolu s předpokládaným souhrnem výše jejich mezd a odměn z dohody a</w:t>
      </w:r>
    </w:p>
    <w:p w:rsidR="00724322" w:rsidRDefault="00724322" w:rsidP="00724322">
      <w:pPr>
        <w:numPr>
          <w:ilvl w:val="0"/>
          <w:numId w:val="20"/>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předpokládaný součet 5 nejvyšších ročních příjmů osob z okruhu zahrnujícího členy orgánu a zaměstnance, které mají být vyplaceny v souvislosti s působením v této osobě.</w:t>
      </w:r>
    </w:p>
    <w:p w:rsidR="00724322" w:rsidRDefault="00724322" w:rsidP="00724322">
      <w:pPr>
        <w:suppressAutoHyphens w:val="0"/>
        <w:spacing w:before="100" w:beforeAutospacing="1" w:after="100" w:afterAutospacing="1" w:line="240" w:lineRule="auto"/>
        <w:ind w:left="714"/>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14</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 xml:space="preserve">Evidence veřejně prospěšných právnických osob v oblasti bydlení </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Zřizuje se evidence, ve které se evidují veřejně prospěšné právnické osoby v oblasti bydlení a listiny vztahující se ke statusu veřejné prospěšnosti v oblasti bydlení těchto právnických osob.</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Evidenci vedou krajské úřady.</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Evidence je veřejná.</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V evidenci jsou u jednotlivých právnických osob uvedeny tyto údaje:</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den přiznání statusu veřejné prospěšnosti v oblasti bydlení,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údaje o členech statutárních orgánů určených k jednání ve věcech bydlení a jejich kontaktní údaje, a to alespoň telefonní číslo, e-mailová adresa, doručovací adresa a identifikátor datové schránky, má-li ji právnická osoba zřízenu,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adresa internetových stránek, pokud je právnická osoba provozuje,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podmínky členství v právnické osobě, transparentní a nediskriminační kritéria pro poskytování nájemního bydlení veřejnosti, pokud si je stanovila,</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přehled nemovitých věcí určených k poskytování bydlení právnickou osobou evidovaných v katastru nemovitostí, včetně vlastností bytů,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uvažovaná výstavba či koupě domů, nebo jiné zajištění bydlení, včetně vlastností bytů a jednotek,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ekonomický model poskytování bydlení, </w:t>
      </w:r>
    </w:p>
    <w:p w:rsidR="00724322" w:rsidRDefault="00724322" w:rsidP="00724322">
      <w:pPr>
        <w:numPr>
          <w:ilvl w:val="0"/>
          <w:numId w:val="22"/>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dlouhodobý plán poskytování bydlení, </w:t>
      </w:r>
    </w:p>
    <w:p w:rsidR="00724322" w:rsidRDefault="00724322" w:rsidP="00724322">
      <w:pPr>
        <w:numPr>
          <w:ilvl w:val="0"/>
          <w:numId w:val="22"/>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údaje o počtu a vlastnostech volných bytů a jednotek, včetně výše nájemného.</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 xml:space="preserve">Z listin se ve sbírce listin evidence evidují zejména </w:t>
      </w:r>
    </w:p>
    <w:p w:rsidR="00724322" w:rsidRDefault="00724322" w:rsidP="00724322">
      <w:pPr>
        <w:numPr>
          <w:ilvl w:val="0"/>
          <w:numId w:val="23"/>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zakladatelské právní jednání, </w:t>
      </w:r>
    </w:p>
    <w:p w:rsidR="00724322" w:rsidRDefault="00724322" w:rsidP="00724322">
      <w:pPr>
        <w:numPr>
          <w:ilvl w:val="0"/>
          <w:numId w:val="23"/>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stavební dokumentace domu či jednotky, </w:t>
      </w:r>
    </w:p>
    <w:p w:rsidR="00724322" w:rsidRDefault="00724322" w:rsidP="00724322">
      <w:pPr>
        <w:numPr>
          <w:ilvl w:val="0"/>
          <w:numId w:val="23"/>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nabývací tituly k pozemku, domu či jednotce, </w:t>
      </w:r>
    </w:p>
    <w:p w:rsidR="00724322" w:rsidRDefault="00724322" w:rsidP="00724322">
      <w:pPr>
        <w:numPr>
          <w:ilvl w:val="0"/>
          <w:numId w:val="23"/>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dokumenty o financování pozemku, domu či jednotky, </w:t>
      </w:r>
    </w:p>
    <w:p w:rsidR="00724322" w:rsidRDefault="00724322" w:rsidP="00724322">
      <w:pPr>
        <w:numPr>
          <w:ilvl w:val="0"/>
          <w:numId w:val="23"/>
        </w:numPr>
        <w:suppressAutoHyphens w:val="0"/>
        <w:spacing w:before="100" w:beforeAutospacing="1" w:after="0" w:line="240" w:lineRule="auto"/>
        <w:jc w:val="both"/>
        <w:rPr>
          <w:rFonts w:eastAsia="Times New Roman"/>
          <w:szCs w:val="24"/>
          <w:lang w:eastAsia="cs-CZ"/>
        </w:rPr>
      </w:pPr>
      <w:r>
        <w:rPr>
          <w:rFonts w:eastAsia="Times New Roman"/>
          <w:szCs w:val="24"/>
          <w:lang w:eastAsia="cs-CZ"/>
        </w:rPr>
        <w:t xml:space="preserve">vzorové nájemní smlouvy a </w:t>
      </w:r>
    </w:p>
    <w:p w:rsidR="00724322" w:rsidRDefault="00724322" w:rsidP="00724322">
      <w:pPr>
        <w:numPr>
          <w:ilvl w:val="0"/>
          <w:numId w:val="23"/>
        </w:numPr>
        <w:suppressAutoHyphens w:val="0"/>
        <w:spacing w:before="100" w:beforeAutospacing="1" w:after="100" w:afterAutospacing="1" w:line="240" w:lineRule="auto"/>
        <w:ind w:left="714" w:hanging="357"/>
        <w:jc w:val="both"/>
        <w:rPr>
          <w:rFonts w:eastAsia="Times New Roman"/>
          <w:szCs w:val="24"/>
          <w:lang w:eastAsia="cs-CZ"/>
        </w:rPr>
      </w:pPr>
      <w:r>
        <w:rPr>
          <w:rFonts w:eastAsia="Times New Roman"/>
          <w:szCs w:val="24"/>
          <w:lang w:eastAsia="cs-CZ"/>
        </w:rPr>
        <w:t>rozvahy a výsledky hospodaření.</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Zakladatelské právní jednání, nabývací tituly k pozemku, domu či jednotce, rozvahy a výsledky hospodaření si obstará krajský úřad z veřejných seznamů a veřejných rejstříků a založí je do sbírky listin evidence.</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lastRenderedPageBreak/>
        <w:t>Přiznal-li status veřejné prospěšnosti v oblasti bydlení orgán dostupnosti bydlení kraje, zapíše krajský úřad veřejně prospěšnou právnickou osobu v oblasti bydlení do evidence do 7 dnů ode dne přiznání statusu veřejné prospěšnosti v oblasti bydlení. Přiznalo-li status veřejné prospěšnosti v oblasti bydlení ministerstvo, podá do 7 dnů ode dne přiznání statusu veřejné prospěšnosti v oblasti bydlení krajskému úřadu, v jehož obvodu má veřejně prospěšná právnická osoba v oblasti bydlení sídlo, návrh na zápis této právnické osoby do evidence a krajský úřad tuto právnickou osobu do evidence zapíše do 7 dnů od doručení návrhu.</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Změní-li se údaje evidované v evidenci, podá člen statutárního orgánu určený k jednání ve věcech bydlení, nebo osoba, která na tom má právní zájem, návrh na zápis změny údajů s listinami, které dokládají změnu údajů, a to do 1 měsíce od změny údajů, s výjimkou údaje o počtu a vlastnostech volných bytů a jednotek, včetně výše nájemného, a o členech statutárních orgánů určených k jednání ve věcech bydlení a jejich kontaktních údajích, o nichž se učiní návrh na zápis bez zbytečného odkladu.</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Člen statutárního orgánu určený k jednání ve věcech bydlení, nebo osoba, která na tom má právní zájem, rovněž zakládá do sbírky listin aktuální listiny, a to nejpozději do 1 měsíce po tom, co k jejich změně došlo.</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Krajský úřad může zahájit řízení o změně údaje a založit listinu do sbírky listin, dozví-li se o změně nebo má-li listinu k dispozici, i bez návrhu.</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Porušení povinnosti podle odstavce 8 a 9 členem statutárního orgánu určeného k jednání ve věcech bydlení je přestupkem, za nějž může krajský úřad uložit tomuto členu statutárního orgánu pokutu až 20 000 Kč.</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Krajský úřad může udělit pořádkovou pokutu osobě zapsané v evidenci tehdy, jestliže neuposlechla výzvy krajského úřadu, aby mu sdělila skutečnosti nebo předložila listiny potřebné k rozhodnutí v zahájeném řízení nebo aby mu předložila listiny, které podle tohoto zákona mají být založeny do sbírky listin; pořádkovou pokutu lze uložit až do výše 20 000 Kč, a to i opakovaně.</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Evidence je veřejně přístupná způsobem umožňující</w:t>
      </w:r>
      <w:r w:rsidR="0054005C">
        <w:rPr>
          <w:rFonts w:eastAsia="Times New Roman"/>
          <w:szCs w:val="24"/>
          <w:lang w:eastAsia="cs-CZ"/>
        </w:rPr>
        <w:t>m</w:t>
      </w:r>
      <w:r>
        <w:rPr>
          <w:rFonts w:eastAsia="Times New Roman"/>
          <w:szCs w:val="24"/>
          <w:lang w:eastAsia="cs-CZ"/>
        </w:rPr>
        <w:t xml:space="preserve"> dálkový přístup. Ministerstvo zajistí zpřístupnění evidence způsobem umožňující</w:t>
      </w:r>
      <w:r w:rsidR="0054005C">
        <w:rPr>
          <w:rFonts w:eastAsia="Times New Roman"/>
          <w:szCs w:val="24"/>
          <w:lang w:eastAsia="cs-CZ"/>
        </w:rPr>
        <w:t>m</w:t>
      </w:r>
      <w:r>
        <w:rPr>
          <w:rFonts w:eastAsia="Times New Roman"/>
          <w:szCs w:val="24"/>
          <w:lang w:eastAsia="cs-CZ"/>
        </w:rPr>
        <w:t xml:space="preserve"> dálkový přístup. </w:t>
      </w:r>
    </w:p>
    <w:p w:rsidR="00724322" w:rsidRDefault="00724322" w:rsidP="00724322">
      <w:pPr>
        <w:numPr>
          <w:ilvl w:val="0"/>
          <w:numId w:val="21"/>
        </w:numPr>
        <w:suppressAutoHyphens w:val="0"/>
        <w:spacing w:after="120" w:line="240" w:lineRule="auto"/>
        <w:jc w:val="both"/>
        <w:rPr>
          <w:rFonts w:eastAsia="Times New Roman"/>
          <w:szCs w:val="24"/>
          <w:lang w:eastAsia="cs-CZ"/>
        </w:rPr>
      </w:pPr>
      <w:r>
        <w:rPr>
          <w:rFonts w:eastAsia="Times New Roman"/>
          <w:szCs w:val="24"/>
          <w:lang w:eastAsia="cs-CZ"/>
        </w:rPr>
        <w:t>Ministerstvo může vydat vyhlášku, kterou upraví podrobnosti zpřístupnění evidence způsobem umožňující</w:t>
      </w:r>
      <w:r w:rsidR="0054005C">
        <w:rPr>
          <w:rFonts w:eastAsia="Times New Roman"/>
          <w:szCs w:val="24"/>
          <w:lang w:eastAsia="cs-CZ"/>
        </w:rPr>
        <w:t>m</w:t>
      </w:r>
      <w:r>
        <w:rPr>
          <w:rFonts w:eastAsia="Times New Roman"/>
          <w:szCs w:val="24"/>
          <w:lang w:eastAsia="cs-CZ"/>
        </w:rPr>
        <w:t xml:space="preserve"> dálkový přístup a její správy.</w:t>
      </w:r>
    </w:p>
    <w:p w:rsidR="00724322" w:rsidRDefault="00724322" w:rsidP="00724322">
      <w:pPr>
        <w:suppressAutoHyphens w:val="0"/>
        <w:spacing w:before="100" w:beforeAutospacing="1" w:after="100" w:afterAutospacing="1" w:line="276" w:lineRule="auto"/>
        <w:ind w:left="108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76" w:lineRule="auto"/>
        <w:ind w:left="108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76" w:lineRule="auto"/>
        <w:ind w:left="108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15</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Žádost o udělení veřejné prospěšnosti v oblasti bydlení</w:t>
      </w:r>
    </w:p>
    <w:p w:rsidR="00724322" w:rsidRDefault="00724322" w:rsidP="00724322">
      <w:pPr>
        <w:suppressAutoHyphens w:val="0"/>
        <w:spacing w:before="100" w:beforeAutospacing="1" w:after="100" w:afterAutospacing="1" w:line="276" w:lineRule="auto"/>
        <w:ind w:left="426"/>
        <w:jc w:val="both"/>
        <w:rPr>
          <w:rFonts w:eastAsia="Times New Roman"/>
          <w:szCs w:val="24"/>
          <w:lang w:eastAsia="cs-CZ"/>
        </w:rPr>
      </w:pPr>
      <w:r>
        <w:rPr>
          <w:rFonts w:eastAsia="Times New Roman"/>
          <w:szCs w:val="24"/>
          <w:lang w:eastAsia="cs-CZ"/>
        </w:rPr>
        <w:t>Součástí žádosti o udělení veřejné prospěšnosti v oblasti bydlení jsou také údaje zapisované do evidence podle § 14 odst. 4 a listiny zakládané do evidence podle § 14 odst. 5.</w:t>
      </w:r>
    </w:p>
    <w:p w:rsidR="00724322" w:rsidRDefault="00724322" w:rsidP="00724322">
      <w:pPr>
        <w:suppressAutoHyphens w:val="0"/>
        <w:spacing w:after="0" w:line="276" w:lineRule="auto"/>
        <w:ind w:left="720"/>
        <w:contextualSpacing/>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16</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lastRenderedPageBreak/>
        <w:t>Informace o bydlení</w:t>
      </w:r>
    </w:p>
    <w:p w:rsidR="00724322" w:rsidRDefault="00724322" w:rsidP="00724322">
      <w:pPr>
        <w:numPr>
          <w:ilvl w:val="0"/>
          <w:numId w:val="24"/>
        </w:numPr>
        <w:suppressAutoHyphens w:val="0"/>
        <w:spacing w:after="120" w:line="240" w:lineRule="auto"/>
        <w:jc w:val="both"/>
        <w:rPr>
          <w:rFonts w:eastAsia="Times New Roman"/>
          <w:szCs w:val="24"/>
          <w:lang w:eastAsia="cs-CZ"/>
        </w:rPr>
      </w:pPr>
      <w:r>
        <w:rPr>
          <w:rFonts w:eastAsia="Times New Roman"/>
          <w:szCs w:val="24"/>
          <w:lang w:eastAsia="cs-CZ"/>
        </w:rPr>
        <w:t>Krajské úřady vhodným způsobem informují orgán dostupnosti bydlení obce do 1 měsíce po zápisu veřejně prospěšné právnické osoby v oblasti bydlení do evidence, která má sídlo v obvodu této obce, nebo v jejímž obvodu se nachází nemovitá věc evidovaná v katastru nemovitostí určená k poskytování bydlení touto právnickou osobou, a to minimálně v rozsahu údajů zapisovaných do evidence podle § 14 odst. 4.</w:t>
      </w:r>
    </w:p>
    <w:p w:rsidR="00724322" w:rsidRDefault="00724322" w:rsidP="00724322">
      <w:pPr>
        <w:numPr>
          <w:ilvl w:val="0"/>
          <w:numId w:val="24"/>
        </w:numPr>
        <w:suppressAutoHyphens w:val="0"/>
        <w:spacing w:after="120" w:line="240" w:lineRule="auto"/>
        <w:jc w:val="both"/>
        <w:rPr>
          <w:rFonts w:eastAsia="Times New Roman"/>
          <w:szCs w:val="24"/>
          <w:lang w:eastAsia="cs-CZ"/>
        </w:rPr>
      </w:pPr>
      <w:r>
        <w:rPr>
          <w:rFonts w:eastAsia="Times New Roman"/>
          <w:szCs w:val="24"/>
          <w:lang w:eastAsia="cs-CZ"/>
        </w:rPr>
        <w:t>Dojde-li ke změně zápisu údaje o počtu a vlastnostech volných bytů a jednotek, včetně výše nájemného, a o členech statutárních orgánů určených k jednání ve věcech bydlení a jejich kontaktních údajích v evidenci, krajský úřad vhodným způsobem informuje orgán dostupnosti bydlení obce bez zbytečného odkladu.</w:t>
      </w:r>
    </w:p>
    <w:p w:rsidR="00724322" w:rsidRDefault="0054005C" w:rsidP="00724322">
      <w:pPr>
        <w:numPr>
          <w:ilvl w:val="0"/>
          <w:numId w:val="24"/>
        </w:numPr>
        <w:suppressAutoHyphens w:val="0"/>
        <w:spacing w:after="120" w:line="240" w:lineRule="auto"/>
        <w:jc w:val="both"/>
        <w:rPr>
          <w:rFonts w:eastAsia="Times New Roman"/>
          <w:szCs w:val="24"/>
          <w:lang w:eastAsia="cs-CZ"/>
        </w:rPr>
      </w:pPr>
      <w:r>
        <w:rPr>
          <w:rFonts w:eastAsia="Times New Roman"/>
          <w:szCs w:val="24"/>
          <w:lang w:eastAsia="cs-CZ"/>
        </w:rPr>
        <w:t xml:space="preserve">Obec s rozšířenou působností </w:t>
      </w:r>
      <w:r w:rsidR="00724322">
        <w:rPr>
          <w:rFonts w:eastAsia="Times New Roman"/>
          <w:szCs w:val="24"/>
          <w:lang w:eastAsia="cs-CZ"/>
        </w:rPr>
        <w:t>zveřejňuje informace o názvu veřejně prospěšné právnické osoby v oblasti bydlení, která má sídlo v jejím obvodu nebo v jejímž obvodu se nachází nemovitá věc evidovaná v katastru nemovitostí určená k poskytování bydlení takovou právnickou osobou, spolu s informacemi o identifikačním číslu veřejně prospěšné právnické osoby v oblasti bydlení, dni přiznání statusu veřejné prospěšnosti v oblasti bydlení a údaji podle odstavce 2 na úřední desce nebo na jiném vhodném místě, a to bez zbytečného odkladu.</w:t>
      </w:r>
    </w:p>
    <w:p w:rsidR="00724322" w:rsidRDefault="00724322" w:rsidP="00724322">
      <w:pPr>
        <w:suppressAutoHyphens w:val="0"/>
        <w:spacing w:after="0" w:line="276" w:lineRule="auto"/>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17</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Stavba domů</w:t>
      </w:r>
    </w:p>
    <w:p w:rsidR="00724322" w:rsidRDefault="00724322" w:rsidP="00724322">
      <w:pPr>
        <w:numPr>
          <w:ilvl w:val="0"/>
          <w:numId w:val="25"/>
        </w:numPr>
        <w:suppressAutoHyphens w:val="0"/>
        <w:spacing w:after="120" w:line="240" w:lineRule="auto"/>
        <w:jc w:val="both"/>
        <w:rPr>
          <w:rFonts w:eastAsia="Times New Roman"/>
          <w:szCs w:val="24"/>
          <w:lang w:eastAsia="cs-CZ"/>
        </w:rPr>
      </w:pPr>
      <w:r>
        <w:rPr>
          <w:rFonts w:eastAsia="Times New Roman"/>
          <w:szCs w:val="24"/>
          <w:lang w:eastAsia="cs-CZ"/>
        </w:rPr>
        <w:t>Veřejně prospěšná právnická osoba v oblasti bydlení staví či jinak zajišťuje stavbu nebo koupi domů, bytů a jednotek na neziskovém principu.</w:t>
      </w:r>
    </w:p>
    <w:p w:rsidR="00724322" w:rsidRDefault="00724322" w:rsidP="00724322">
      <w:pPr>
        <w:numPr>
          <w:ilvl w:val="0"/>
          <w:numId w:val="25"/>
        </w:numPr>
        <w:suppressAutoHyphens w:val="0"/>
        <w:spacing w:after="120" w:line="240" w:lineRule="auto"/>
        <w:jc w:val="both"/>
        <w:rPr>
          <w:rFonts w:eastAsia="Times New Roman"/>
          <w:szCs w:val="24"/>
          <w:lang w:eastAsia="cs-CZ"/>
        </w:rPr>
      </w:pPr>
      <w:r>
        <w:rPr>
          <w:rFonts w:eastAsia="Times New Roman"/>
          <w:szCs w:val="24"/>
          <w:lang w:eastAsia="cs-CZ"/>
        </w:rPr>
        <w:t>Pokud je veřejně prospěšná právnická osoba v oblasti bydlení pouze investorem stavby, má veřejně prospěšná právnická osoba v oblasti bydlení povinnost zajistit, že dodavatel dosáhne nejvýše přiměřeného zisku. Má se za to, že nepřiměřeným ziskem je zisk přesahující 15 %.</w:t>
      </w:r>
    </w:p>
    <w:p w:rsidR="00724322" w:rsidRDefault="00724322" w:rsidP="00724322">
      <w:pPr>
        <w:suppressAutoHyphens w:val="0"/>
        <w:spacing w:after="0" w:line="276" w:lineRule="auto"/>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18</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Odměňování</w:t>
      </w:r>
    </w:p>
    <w:p w:rsidR="00724322" w:rsidRDefault="00724322" w:rsidP="00724322">
      <w:pPr>
        <w:suppressAutoHyphens w:val="0"/>
        <w:spacing w:before="100" w:beforeAutospacing="1" w:after="0" w:line="276" w:lineRule="auto"/>
        <w:ind w:left="425"/>
        <w:jc w:val="both"/>
        <w:rPr>
          <w:rFonts w:eastAsia="Times New Roman"/>
          <w:szCs w:val="24"/>
          <w:lang w:eastAsia="cs-CZ"/>
        </w:rPr>
      </w:pPr>
      <w:r>
        <w:rPr>
          <w:rFonts w:eastAsia="Times New Roman"/>
          <w:szCs w:val="24"/>
          <w:lang w:eastAsia="cs-CZ"/>
        </w:rPr>
        <w:t>Veřejně prospěšná právnická osoba v oblasti bydlení má povinnost zajistit, že veškeré odměny, mzdy a jiné platby členům orgánů a zaměstnancům veřejně prospěšné právnické osoby v oblasti bydlení nejsou nepřiměřeně vysoké vzhledem k vykonávané funkci či práci. Má se za to, že nepřiměřeně vysoká je odměna, mzda či jiná platba, která je vyšší než obvyklá.</w:t>
      </w:r>
    </w:p>
    <w:p w:rsidR="00724322" w:rsidRDefault="00724322" w:rsidP="00724322">
      <w:pPr>
        <w:suppressAutoHyphens w:val="0"/>
        <w:spacing w:after="0" w:line="276" w:lineRule="auto"/>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19</w:t>
      </w:r>
    </w:p>
    <w:p w:rsidR="00724322" w:rsidRDefault="00724322" w:rsidP="00724322">
      <w:pPr>
        <w:suppressAutoHyphens w:val="0"/>
        <w:spacing w:before="100" w:beforeAutospacing="1" w:after="100" w:afterAutospacing="1" w:line="240" w:lineRule="auto"/>
        <w:ind w:left="360"/>
        <w:jc w:val="center"/>
        <w:rPr>
          <w:rFonts w:eastAsia="Times New Roman"/>
          <w:b/>
          <w:szCs w:val="24"/>
          <w:lang w:eastAsia="cs-CZ"/>
        </w:rPr>
      </w:pPr>
      <w:r>
        <w:rPr>
          <w:rFonts w:eastAsia="Times New Roman"/>
          <w:b/>
          <w:szCs w:val="24"/>
          <w:lang w:eastAsia="cs-CZ"/>
        </w:rPr>
        <w:t>Pojištění</w:t>
      </w:r>
    </w:p>
    <w:p w:rsidR="00724322" w:rsidRDefault="00724322" w:rsidP="00724322">
      <w:pPr>
        <w:suppressAutoHyphens w:val="0"/>
        <w:spacing w:after="0" w:line="276" w:lineRule="auto"/>
        <w:ind w:left="360"/>
        <w:jc w:val="both"/>
        <w:rPr>
          <w:rFonts w:eastAsia="Times New Roman"/>
          <w:szCs w:val="24"/>
          <w:lang w:eastAsia="cs-CZ"/>
        </w:rPr>
      </w:pPr>
      <w:r>
        <w:rPr>
          <w:rFonts w:eastAsia="Times New Roman"/>
          <w:szCs w:val="24"/>
          <w:lang w:eastAsia="cs-CZ"/>
        </w:rPr>
        <w:lastRenderedPageBreak/>
        <w:t>Veřejně prospěšné právnické osoby v oblasti bydlení jsou povinny zajistit pojištění svého majetku, a to pozemků, domů a jednotek, proti běžným rizikům, a to za obvyklých podmínek na trhu.</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20</w:t>
      </w:r>
    </w:p>
    <w:p w:rsidR="00724322" w:rsidRDefault="00724322" w:rsidP="00724322">
      <w:pPr>
        <w:numPr>
          <w:ilvl w:val="0"/>
          <w:numId w:val="26"/>
        </w:numPr>
        <w:suppressAutoHyphens w:val="0"/>
        <w:spacing w:after="120" w:line="240" w:lineRule="auto"/>
        <w:jc w:val="both"/>
        <w:rPr>
          <w:rFonts w:eastAsia="Times New Roman"/>
          <w:szCs w:val="24"/>
          <w:lang w:eastAsia="cs-CZ"/>
        </w:rPr>
      </w:pPr>
      <w:r>
        <w:rPr>
          <w:rFonts w:eastAsia="Times New Roman"/>
          <w:szCs w:val="24"/>
          <w:lang w:eastAsia="cs-CZ"/>
        </w:rPr>
        <w:t>Orgány dostupnosti bydlení kontrolují plnění povinností podle tohoto zákona veřejně prospěšnými právnickými osobami v oblasti bydlení, které mají sídlo nebo vlastní nemovité věci v jejich obvodu.</w:t>
      </w:r>
    </w:p>
    <w:p w:rsidR="00724322" w:rsidRDefault="00724322" w:rsidP="00724322">
      <w:pPr>
        <w:numPr>
          <w:ilvl w:val="0"/>
          <w:numId w:val="26"/>
        </w:numPr>
        <w:suppressAutoHyphens w:val="0"/>
        <w:spacing w:after="120" w:line="240" w:lineRule="auto"/>
        <w:jc w:val="both"/>
        <w:rPr>
          <w:rFonts w:eastAsia="Times New Roman"/>
          <w:szCs w:val="24"/>
          <w:lang w:eastAsia="cs-CZ"/>
        </w:rPr>
      </w:pPr>
      <w:r>
        <w:rPr>
          <w:rFonts w:eastAsia="Times New Roman"/>
          <w:szCs w:val="24"/>
          <w:lang w:eastAsia="cs-CZ"/>
        </w:rPr>
        <w:t>Pokud veřejně prospěšná právnická osoba v oblasti bydlení nesplňuje podmínky pro přiznání statusu veřejné prospěšnosti v oblasti bydlení nebo hrubě porušuje povinnosti stanovené jí tímto zákonem, může být této právnické osobě na návrh orgánu dostupnosti bydlení, neb</w:t>
      </w:r>
      <w:r w:rsidR="0054005C">
        <w:rPr>
          <w:rFonts w:eastAsia="Times New Roman"/>
          <w:szCs w:val="24"/>
          <w:lang w:eastAsia="cs-CZ"/>
        </w:rPr>
        <w:t>o osoby, která na tom má právní</w:t>
      </w:r>
      <w:r>
        <w:rPr>
          <w:rFonts w:eastAsia="Times New Roman"/>
          <w:szCs w:val="24"/>
          <w:lang w:eastAsia="cs-CZ"/>
        </w:rPr>
        <w:t xml:space="preserve"> zájem, ustanoven soudem opatrovník z řad advokátů.</w:t>
      </w:r>
    </w:p>
    <w:p w:rsidR="00724322" w:rsidRDefault="00724322" w:rsidP="00724322">
      <w:pPr>
        <w:numPr>
          <w:ilvl w:val="0"/>
          <w:numId w:val="26"/>
        </w:numPr>
        <w:suppressAutoHyphens w:val="0"/>
        <w:spacing w:after="120" w:line="240" w:lineRule="auto"/>
        <w:jc w:val="both"/>
        <w:rPr>
          <w:rFonts w:eastAsia="Times New Roman"/>
          <w:szCs w:val="24"/>
          <w:lang w:eastAsia="cs-CZ"/>
        </w:rPr>
      </w:pPr>
      <w:r>
        <w:rPr>
          <w:rFonts w:eastAsia="Times New Roman"/>
          <w:szCs w:val="24"/>
          <w:lang w:eastAsia="cs-CZ"/>
        </w:rPr>
        <w:t>Opatrovník veřejně prospěšné právnické osoby v oblasti bydlení má povinnost vynaložit veškeré úsilí, které po něm lze rozumně požadovat, aby zajistil dodržování povinností podle tohoto zákona. Opatrovník podá soudu nejpozději rok od svého ustanovení zprávu, v níž uvede, zda zajistil dodržování povinností podle tohoto zákona. Soud může ustanovit nového opatrovníka, a to i opakovaně, podal-li opatrovník zprávu, že povinnosti podle tohoto zákona nezajistil, nebo pokud neplní své povinnosti v souladu se zákonem. Pokud však není možné, aby bylo zajištěno dodržování povinností podle tohoto zákona veřejně prospěšnou právnickou osobou v oblasti bydlení, soud rozhodne na návrh opatrovníka, orgánu dostupnosti bydlení nebo i bez návrhu o zrušení této veřejně prospěšné právnické osoby v oblasti bydlení.</w:t>
      </w:r>
    </w:p>
    <w:p w:rsidR="00724322" w:rsidRDefault="00724322" w:rsidP="00724322">
      <w:pPr>
        <w:suppressAutoHyphens w:val="0"/>
        <w:spacing w:after="0" w:line="276" w:lineRule="auto"/>
        <w:jc w:val="both"/>
        <w:rPr>
          <w:rFonts w:eastAsia="Times New Roman"/>
          <w:szCs w:val="24"/>
          <w:lang w:eastAsia="cs-CZ"/>
        </w:rPr>
      </w:pP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21</w:t>
      </w:r>
    </w:p>
    <w:p w:rsidR="00724322" w:rsidRDefault="00724322" w:rsidP="00724322">
      <w:pPr>
        <w:numPr>
          <w:ilvl w:val="0"/>
          <w:numId w:val="27"/>
        </w:numPr>
        <w:suppressAutoHyphens w:val="0"/>
        <w:spacing w:after="120" w:line="240" w:lineRule="auto"/>
        <w:jc w:val="both"/>
        <w:rPr>
          <w:rFonts w:eastAsia="Times New Roman"/>
          <w:szCs w:val="24"/>
          <w:lang w:eastAsia="cs-CZ"/>
        </w:rPr>
      </w:pPr>
      <w:r>
        <w:rPr>
          <w:rFonts w:eastAsia="Times New Roman"/>
          <w:szCs w:val="24"/>
          <w:lang w:eastAsia="cs-CZ"/>
        </w:rPr>
        <w:t>Dojde-li k přeměně veřejně prospěšné právnické osoby v oblasti bydlení, status veřejné prospěšnosti v oblasti bydlení nepřechází na nástupnickou právnickou osobu. Nástupnická právnická osoba má povinnost dodržovat veškeré povinnosti stanovené tímto zákonem veřejně prospěšné právnické osobě v oblasti bydlení; tento zákon se použije obd</w:t>
      </w:r>
      <w:r w:rsidR="0054005C">
        <w:rPr>
          <w:rFonts w:eastAsia="Times New Roman"/>
          <w:szCs w:val="24"/>
          <w:lang w:eastAsia="cs-CZ"/>
        </w:rPr>
        <w:t>obně, s výjimkou části druhé</w:t>
      </w:r>
      <w:r>
        <w:rPr>
          <w:rFonts w:eastAsia="Times New Roman"/>
          <w:szCs w:val="24"/>
          <w:lang w:eastAsia="cs-CZ"/>
        </w:rPr>
        <w:t>. Byty ve vlastnictví nástupnické právnické osoby splňující vymezení sociálního nebo dostupného bytu s výjimkou vlastnictví veřejně prospěšnou právnickou osobou v oblasti bydlení, se považují za sociální a dostupné byty. Orgán dostupnosti bydlení kontroluje plnění povinností nástupnické právnické osoby; § 16 se použije obdobně. Nástupnická právnická osoba požádá do 1 měsíce od přeměny o přiznání statusu veřejné prospěšnosti v oblasti bydlení. Nepožádá-li nástupnická právnická osoba nebo jí nebyl status veřejné prospěšnosti v oblasti bydlení přiznán, soud rozhodne na návrh orgánu dostupnosti bydlení nebo i bez návrhu o zrušení této nástupnické právnické osoby.</w:t>
      </w:r>
    </w:p>
    <w:p w:rsidR="00724322" w:rsidRDefault="00724322" w:rsidP="00724322">
      <w:pPr>
        <w:numPr>
          <w:ilvl w:val="0"/>
          <w:numId w:val="27"/>
        </w:numPr>
        <w:suppressAutoHyphens w:val="0"/>
        <w:spacing w:after="120" w:line="240" w:lineRule="auto"/>
        <w:jc w:val="both"/>
        <w:rPr>
          <w:rFonts w:eastAsia="Times New Roman"/>
          <w:szCs w:val="24"/>
          <w:lang w:eastAsia="cs-CZ"/>
        </w:rPr>
      </w:pPr>
      <w:r>
        <w:rPr>
          <w:rFonts w:eastAsia="Times New Roman"/>
          <w:szCs w:val="24"/>
          <w:lang w:eastAsia="cs-CZ"/>
        </w:rPr>
        <w:t>Dojde-li k přeměně veřejně prospěšné právnické osoby v oblasti bydlení rozdělením odštěpením nebo změnou právní formy, osoba zúčastněná na přeměně status veřejné prospěšnosti v oblasti bydlení nepozbývá.“.</w:t>
      </w:r>
    </w:p>
    <w:p w:rsidR="0054005C" w:rsidRDefault="0054005C" w:rsidP="0054005C">
      <w:pPr>
        <w:suppressAutoHyphens w:val="0"/>
        <w:spacing w:after="120" w:line="240" w:lineRule="auto"/>
        <w:ind w:left="396"/>
        <w:jc w:val="both"/>
        <w:rPr>
          <w:rFonts w:eastAsia="Times New Roman"/>
          <w:szCs w:val="24"/>
          <w:lang w:eastAsia="cs-CZ"/>
        </w:rPr>
      </w:pPr>
    </w:p>
    <w:p w:rsidR="00724322" w:rsidRDefault="0054005C" w:rsidP="00724322">
      <w:pPr>
        <w:suppressAutoHyphens w:val="0"/>
        <w:spacing w:before="100" w:beforeAutospacing="1" w:after="100" w:afterAutospacing="1" w:line="276" w:lineRule="auto"/>
        <w:ind w:left="1080"/>
        <w:contextualSpacing/>
        <w:jc w:val="both"/>
        <w:rPr>
          <w:rFonts w:eastAsia="Times New Roman"/>
          <w:b/>
          <w:bCs/>
          <w:szCs w:val="24"/>
          <w:lang w:eastAsia="cs-CZ"/>
        </w:rPr>
      </w:pPr>
      <w:r>
        <w:rPr>
          <w:rFonts w:eastAsia="Times New Roman"/>
          <w:b/>
          <w:bCs/>
          <w:szCs w:val="24"/>
          <w:lang w:eastAsia="cs-CZ"/>
        </w:rPr>
        <w:t>Dosavadní</w:t>
      </w:r>
      <w:r w:rsidR="00724322">
        <w:rPr>
          <w:rFonts w:eastAsia="Times New Roman"/>
          <w:b/>
          <w:bCs/>
          <w:szCs w:val="24"/>
          <w:lang w:eastAsia="cs-CZ"/>
        </w:rPr>
        <w:t xml:space="preserve"> § 28 až 30 se označují jako § 22 až 24.</w:t>
      </w:r>
    </w:p>
    <w:p w:rsidR="00724322" w:rsidRDefault="00724322" w:rsidP="00724322">
      <w:pPr>
        <w:suppressAutoHyphens w:val="0"/>
        <w:spacing w:before="100" w:beforeAutospacing="1" w:after="100" w:afterAutospacing="1" w:line="276" w:lineRule="auto"/>
        <w:ind w:left="1080"/>
        <w:contextualSpacing/>
        <w:jc w:val="both"/>
        <w:rPr>
          <w:rFonts w:eastAsia="Times New Roman"/>
          <w:b/>
          <w:bCs/>
          <w:szCs w:val="24"/>
          <w:lang w:eastAsia="cs-CZ"/>
        </w:rPr>
      </w:pPr>
    </w:p>
    <w:p w:rsidR="00724322" w:rsidRDefault="00724322" w:rsidP="00724322">
      <w:pPr>
        <w:suppressAutoHyphens w:val="0"/>
        <w:spacing w:before="100" w:beforeAutospacing="1" w:after="100" w:afterAutospacing="1" w:line="276" w:lineRule="auto"/>
        <w:ind w:left="1080"/>
        <w:contextualSpacing/>
        <w:jc w:val="both"/>
        <w:rPr>
          <w:rFonts w:eastAsia="Times New Roman"/>
          <w:b/>
          <w:bCs/>
          <w:szCs w:val="24"/>
          <w:lang w:eastAsia="cs-CZ"/>
        </w:rPr>
      </w:pPr>
    </w:p>
    <w:p w:rsidR="00724322" w:rsidRDefault="00724322" w:rsidP="00724322">
      <w:pPr>
        <w:numPr>
          <w:ilvl w:val="0"/>
          <w:numId w:val="1"/>
        </w:numPr>
        <w:suppressAutoHyphens w:val="0"/>
        <w:spacing w:before="100" w:beforeAutospacing="1" w:after="100" w:afterAutospacing="1" w:line="276" w:lineRule="auto"/>
        <w:contextualSpacing/>
        <w:jc w:val="both"/>
        <w:rPr>
          <w:rFonts w:eastAsia="Times New Roman"/>
          <w:b/>
          <w:bCs/>
          <w:szCs w:val="24"/>
          <w:lang w:eastAsia="cs-CZ"/>
        </w:rPr>
      </w:pPr>
      <w:r>
        <w:rPr>
          <w:rFonts w:eastAsia="Times New Roman"/>
          <w:b/>
          <w:bCs/>
          <w:szCs w:val="24"/>
          <w:lang w:eastAsia="cs-CZ"/>
        </w:rPr>
        <w:lastRenderedPageBreak/>
        <w:t>Část druhá včetně nadpisu zní:</w:t>
      </w:r>
    </w:p>
    <w:p w:rsidR="00724322" w:rsidRDefault="0054005C"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„ČÁST DRUHÁ</w:t>
      </w:r>
    </w:p>
    <w:p w:rsidR="00724322" w:rsidRDefault="00724322"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Změna zákona o stavebním spoření a státní podpoře stavebního spoření</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22</w:t>
      </w:r>
    </w:p>
    <w:p w:rsidR="00724322" w:rsidRDefault="0054005C" w:rsidP="00724322">
      <w:pPr>
        <w:suppressAutoHyphens w:val="0"/>
        <w:spacing w:after="0" w:line="240" w:lineRule="auto"/>
        <w:ind w:left="357"/>
        <w:jc w:val="both"/>
        <w:rPr>
          <w:rFonts w:eastAsia="Times New Roman"/>
          <w:szCs w:val="24"/>
          <w:lang w:eastAsia="cs-CZ"/>
        </w:rPr>
      </w:pPr>
      <w:r>
        <w:rPr>
          <w:rFonts w:eastAsia="Times New Roman"/>
          <w:szCs w:val="24"/>
          <w:lang w:eastAsia="cs-CZ"/>
        </w:rPr>
        <w:t xml:space="preserve">   </w:t>
      </w:r>
      <w:r w:rsidR="00591227">
        <w:rPr>
          <w:rFonts w:eastAsia="Times New Roman"/>
          <w:szCs w:val="24"/>
          <w:lang w:eastAsia="cs-CZ"/>
        </w:rPr>
        <w:t xml:space="preserve">   </w:t>
      </w:r>
      <w:r w:rsidR="00724322">
        <w:rPr>
          <w:rFonts w:eastAsia="Times New Roman"/>
          <w:szCs w:val="24"/>
          <w:lang w:eastAsia="cs-CZ"/>
        </w:rPr>
        <w:t>V § 6 odst. 1 písm. e) zákona č. 96/1993 Sb., o stavebním spoření a státní podpoře stavebního spoření, ve znění zákona č. 423/2003 Sb., se slo</w:t>
      </w:r>
      <w:r>
        <w:rPr>
          <w:rFonts w:eastAsia="Times New Roman"/>
          <w:szCs w:val="24"/>
          <w:lang w:eastAsia="cs-CZ"/>
        </w:rPr>
        <w:t>va „vkladu nebo“ nahrazují slovem</w:t>
      </w:r>
      <w:r w:rsidR="00724322">
        <w:rPr>
          <w:rFonts w:eastAsia="Times New Roman"/>
          <w:szCs w:val="24"/>
          <w:lang w:eastAsia="cs-CZ"/>
        </w:rPr>
        <w:t xml:space="preserve"> „vkladu,“ a za slovo „podílu“ se vkládají slova „nebo jiné platby za účast“.“.</w:t>
      </w:r>
    </w:p>
    <w:p w:rsidR="00724322" w:rsidRDefault="00724322" w:rsidP="00724322">
      <w:pPr>
        <w:suppressAutoHyphens w:val="0"/>
        <w:spacing w:before="100" w:beforeAutospacing="1" w:after="100" w:afterAutospacing="1" w:line="276" w:lineRule="auto"/>
        <w:ind w:left="1080"/>
        <w:contextualSpacing/>
        <w:jc w:val="both"/>
        <w:rPr>
          <w:rFonts w:eastAsia="Times New Roman"/>
          <w:b/>
          <w:bCs/>
          <w:szCs w:val="24"/>
          <w:lang w:eastAsia="cs-CZ"/>
        </w:rPr>
      </w:pPr>
    </w:p>
    <w:p w:rsidR="00724322" w:rsidRDefault="00724322" w:rsidP="00724322">
      <w:pPr>
        <w:numPr>
          <w:ilvl w:val="0"/>
          <w:numId w:val="1"/>
        </w:numPr>
        <w:suppressAutoHyphens w:val="0"/>
        <w:spacing w:before="100" w:beforeAutospacing="1" w:after="100" w:afterAutospacing="1" w:line="276" w:lineRule="auto"/>
        <w:contextualSpacing/>
        <w:jc w:val="both"/>
        <w:rPr>
          <w:rFonts w:eastAsia="Times New Roman"/>
          <w:szCs w:val="24"/>
          <w:lang w:eastAsia="cs-CZ"/>
        </w:rPr>
      </w:pPr>
      <w:r>
        <w:rPr>
          <w:rFonts w:eastAsia="Times New Roman"/>
          <w:b/>
          <w:bCs/>
          <w:szCs w:val="24"/>
          <w:lang w:eastAsia="cs-CZ"/>
        </w:rPr>
        <w:t>Část třetí včetně nadpisu zní:</w:t>
      </w:r>
    </w:p>
    <w:p w:rsidR="00724322" w:rsidRDefault="00591227"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„ČÁST TŘETÍ</w:t>
      </w:r>
    </w:p>
    <w:p w:rsidR="00724322" w:rsidRDefault="00724322"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Změna zákona o sociálních službách</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23</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w:t>
      </w:r>
      <w:r w:rsidR="00591227">
        <w:rPr>
          <w:rFonts w:eastAsia="Times New Roman"/>
          <w:szCs w:val="24"/>
          <w:lang w:eastAsia="cs-CZ"/>
        </w:rPr>
        <w:t>017 Sb., zákona č. 335/2018 Sb.</w:t>
      </w:r>
      <w:r>
        <w:rPr>
          <w:rFonts w:eastAsia="Times New Roman"/>
          <w:szCs w:val="24"/>
          <w:lang w:eastAsia="cs-CZ"/>
        </w:rPr>
        <w:t xml:space="preserve"> a zákona č. 47/2019 Sb., se mění takto:</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35 se na konci odstavce 1 tečka nahrazuje čárkou a doplňuje se písmeno n),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„n)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57 se na konci odstavce 2 tečka nahrazuje čárkou a doplňuje se písmeno d),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„d)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58 se na konci odstavce 2 tečka nahrazuje čárkou a doplňuje se písmeno e),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„e)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65 se na konci odstavce 2 tečka nahrazuje čárkou a doplňuje se písmeno e),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„e)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lastRenderedPageBreak/>
        <w:t>V § 69 se na konci odstavce 2 tečka nahrazuje čárkou a doplňuje se písmeno c),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„c)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70 se na konci odstavce 2 tečka nahrazuje čárkou a doplňuje se písmeno e), které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„e) podpora získání a udržení vyhovujícího bydlení, rozvoj dovedností v oblasti bydlení a další činnosti vedoucí k sociálnímu začlenění v rámci bydlení.“.</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92 písmeno d)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„d) na území svého správního obvodu koordinuje poskytování sociálních služeb a realizuje a koordinuje činnosti sociální práce vedoucí k řešení nepříznivé sociální situace a k sociálnímu začleňování osob, včetně prevence ztráty bydlení; přitom spolupracuje s krajskou pobočkou Úřadu práce a krajským úřadem.“.</w:t>
      </w:r>
    </w:p>
    <w:p w:rsidR="00724322" w:rsidRDefault="00724322" w:rsidP="00724322">
      <w:pPr>
        <w:numPr>
          <w:ilvl w:val="0"/>
          <w:numId w:val="28"/>
        </w:numPr>
        <w:suppressAutoHyphens w:val="0"/>
        <w:spacing w:before="100" w:beforeAutospacing="1" w:after="100" w:afterAutospacing="1" w:line="240" w:lineRule="auto"/>
        <w:ind w:left="284" w:firstLine="425"/>
        <w:contextualSpacing/>
        <w:jc w:val="both"/>
        <w:rPr>
          <w:rFonts w:eastAsia="Times New Roman"/>
          <w:szCs w:val="24"/>
          <w:lang w:eastAsia="cs-CZ"/>
        </w:rPr>
      </w:pPr>
      <w:r>
        <w:rPr>
          <w:rFonts w:eastAsia="Times New Roman"/>
          <w:szCs w:val="24"/>
          <w:lang w:eastAsia="cs-CZ"/>
        </w:rPr>
        <w:t>V § 93 písmeno c) zní: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r>
        <w:rPr>
          <w:rFonts w:eastAsia="Times New Roman"/>
          <w:szCs w:val="24"/>
          <w:lang w:eastAsia="cs-CZ"/>
        </w:rPr>
        <w:t>„c) na území svého správního obvodu koordinuje poskytování sociálních služeb a realizuje a koo</w:t>
      </w:r>
      <w:r w:rsidR="00591227">
        <w:rPr>
          <w:rFonts w:eastAsia="Times New Roman"/>
          <w:szCs w:val="24"/>
          <w:lang w:eastAsia="cs-CZ"/>
        </w:rPr>
        <w:t xml:space="preserve">rdinuje činnosti sociální práce </w:t>
      </w:r>
      <w:r>
        <w:rPr>
          <w:rFonts w:eastAsia="Times New Roman"/>
          <w:szCs w:val="24"/>
          <w:lang w:eastAsia="cs-CZ"/>
        </w:rPr>
        <w:t>vedoucí k řešení nepříznivé sociální situace a k sociálnímu začleňování osob, včetně prevence ztráty bydlení.“.“.</w:t>
      </w:r>
    </w:p>
    <w:p w:rsidR="00724322" w:rsidRDefault="00724322" w:rsidP="00724322">
      <w:pPr>
        <w:suppressAutoHyphens w:val="0"/>
        <w:spacing w:before="100" w:beforeAutospacing="1" w:after="100" w:afterAutospacing="1" w:line="240" w:lineRule="auto"/>
        <w:ind w:left="284" w:firstLine="425"/>
        <w:jc w:val="both"/>
        <w:rPr>
          <w:rFonts w:eastAsia="Times New Roman"/>
          <w:szCs w:val="24"/>
          <w:lang w:eastAsia="cs-CZ"/>
        </w:rPr>
      </w:pPr>
    </w:p>
    <w:p w:rsidR="00724322" w:rsidRDefault="00724322" w:rsidP="00724322">
      <w:pPr>
        <w:numPr>
          <w:ilvl w:val="0"/>
          <w:numId w:val="1"/>
        </w:numPr>
        <w:suppressAutoHyphens w:val="0"/>
        <w:spacing w:before="100" w:beforeAutospacing="1" w:after="100" w:afterAutospacing="1" w:line="276" w:lineRule="auto"/>
        <w:contextualSpacing/>
        <w:jc w:val="both"/>
        <w:rPr>
          <w:rFonts w:eastAsia="Times New Roman"/>
          <w:szCs w:val="24"/>
          <w:lang w:eastAsia="cs-CZ"/>
        </w:rPr>
      </w:pPr>
      <w:r>
        <w:rPr>
          <w:rFonts w:eastAsia="Times New Roman"/>
          <w:b/>
          <w:bCs/>
          <w:szCs w:val="24"/>
          <w:lang w:eastAsia="cs-CZ"/>
        </w:rPr>
        <w:t>Část čtvrtá včetně nadpisu zní:</w:t>
      </w:r>
    </w:p>
    <w:p w:rsidR="00724322" w:rsidRDefault="00591227"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„ČÁST ČTVRTÁ</w:t>
      </w:r>
    </w:p>
    <w:p w:rsidR="00724322" w:rsidRDefault="00724322" w:rsidP="00724322">
      <w:pPr>
        <w:suppressAutoHyphens w:val="0"/>
        <w:spacing w:before="100" w:beforeAutospacing="1" w:after="100" w:afterAutospacing="1" w:line="240" w:lineRule="auto"/>
        <w:ind w:left="360"/>
        <w:jc w:val="center"/>
        <w:rPr>
          <w:rFonts w:eastAsia="Times New Roman"/>
          <w:b/>
          <w:bCs/>
          <w:szCs w:val="24"/>
          <w:lang w:eastAsia="cs-CZ"/>
        </w:rPr>
      </w:pPr>
      <w:r>
        <w:rPr>
          <w:rFonts w:eastAsia="Times New Roman"/>
          <w:b/>
          <w:bCs/>
          <w:szCs w:val="24"/>
          <w:lang w:eastAsia="cs-CZ"/>
        </w:rPr>
        <w:t>Ú</w:t>
      </w:r>
      <w:r w:rsidR="00591227">
        <w:rPr>
          <w:rFonts w:eastAsia="Times New Roman"/>
          <w:b/>
          <w:bCs/>
          <w:szCs w:val="24"/>
          <w:lang w:eastAsia="cs-CZ"/>
        </w:rPr>
        <w:t>ČINNOST</w:t>
      </w:r>
    </w:p>
    <w:p w:rsidR="00724322" w:rsidRDefault="00724322" w:rsidP="00724322">
      <w:pPr>
        <w:suppressAutoHyphens w:val="0"/>
        <w:spacing w:before="100" w:beforeAutospacing="1" w:after="100" w:afterAutospacing="1" w:line="240" w:lineRule="auto"/>
        <w:ind w:left="360"/>
        <w:jc w:val="center"/>
        <w:rPr>
          <w:rFonts w:eastAsia="Times New Roman"/>
          <w:szCs w:val="24"/>
          <w:lang w:eastAsia="cs-CZ"/>
        </w:rPr>
      </w:pPr>
      <w:r>
        <w:rPr>
          <w:rFonts w:eastAsia="Times New Roman"/>
          <w:szCs w:val="24"/>
          <w:lang w:eastAsia="cs-CZ"/>
        </w:rPr>
        <w:t>§ 24</w:t>
      </w:r>
    </w:p>
    <w:p w:rsidR="00724322" w:rsidRDefault="00591227" w:rsidP="00724322">
      <w:pPr>
        <w:suppressAutoHyphens w:val="0"/>
        <w:spacing w:after="0" w:line="240" w:lineRule="auto"/>
        <w:ind w:left="357"/>
        <w:jc w:val="both"/>
        <w:rPr>
          <w:rFonts w:eastAsia="Times New Roman"/>
          <w:szCs w:val="24"/>
          <w:lang w:eastAsia="cs-CZ"/>
        </w:rPr>
      </w:pPr>
      <w:r>
        <w:rPr>
          <w:rFonts w:eastAsia="Times New Roman"/>
          <w:szCs w:val="24"/>
          <w:lang w:eastAsia="cs-CZ"/>
        </w:rPr>
        <w:t xml:space="preserve">      </w:t>
      </w:r>
      <w:r w:rsidR="00724322">
        <w:rPr>
          <w:rFonts w:eastAsia="Times New Roman"/>
          <w:szCs w:val="24"/>
          <w:lang w:eastAsia="cs-CZ"/>
        </w:rPr>
        <w:t>Tento zákon nabývá účinnost</w:t>
      </w:r>
      <w:r>
        <w:rPr>
          <w:rFonts w:eastAsia="Times New Roman"/>
          <w:szCs w:val="24"/>
          <w:lang w:eastAsia="cs-CZ"/>
        </w:rPr>
        <w:t>i</w:t>
      </w:r>
      <w:r w:rsidR="00724322">
        <w:rPr>
          <w:rFonts w:eastAsia="Times New Roman"/>
          <w:szCs w:val="24"/>
          <w:lang w:eastAsia="cs-CZ"/>
        </w:rPr>
        <w:t xml:space="preserve"> dnem 1. ledna 2022, s</w:t>
      </w:r>
      <w:r>
        <w:rPr>
          <w:rFonts w:eastAsia="Times New Roman"/>
          <w:szCs w:val="24"/>
          <w:lang w:eastAsia="cs-CZ"/>
        </w:rPr>
        <w:t> </w:t>
      </w:r>
      <w:r w:rsidR="00724322">
        <w:rPr>
          <w:rFonts w:eastAsia="Times New Roman"/>
          <w:szCs w:val="24"/>
          <w:lang w:eastAsia="cs-CZ"/>
        </w:rPr>
        <w:t>výjimkou</w:t>
      </w:r>
      <w:r>
        <w:rPr>
          <w:rFonts w:eastAsia="Times New Roman"/>
          <w:szCs w:val="24"/>
          <w:lang w:eastAsia="cs-CZ"/>
        </w:rPr>
        <w:t xml:space="preserve"> ustanovení § 14 odst. 13, které</w:t>
      </w:r>
      <w:r w:rsidR="00724322">
        <w:rPr>
          <w:rFonts w:eastAsia="Times New Roman"/>
          <w:szCs w:val="24"/>
          <w:lang w:eastAsia="cs-CZ"/>
        </w:rPr>
        <w:t xml:space="preserve"> nabývá účinnosti dnem 1. ledna 2024.“.</w:t>
      </w:r>
    </w:p>
    <w:p w:rsidR="00724322" w:rsidRDefault="00724322" w:rsidP="00724322">
      <w:pPr>
        <w:suppressAutoHyphens w:val="0"/>
        <w:spacing w:line="256" w:lineRule="auto"/>
        <w:jc w:val="both"/>
        <w:rPr>
          <w:rFonts w:eastAsia="Times New Roman"/>
          <w:szCs w:val="24"/>
          <w:lang w:eastAsia="cs-CZ"/>
        </w:rPr>
      </w:pPr>
    </w:p>
    <w:p w:rsidR="00724322" w:rsidRDefault="00724322" w:rsidP="00724322">
      <w:pPr>
        <w:suppressAutoHyphens w:val="0"/>
        <w:spacing w:line="256" w:lineRule="auto"/>
        <w:jc w:val="both"/>
        <w:rPr>
          <w:rFonts w:eastAsia="Times New Roman"/>
          <w:szCs w:val="24"/>
          <w:lang w:eastAsia="cs-CZ"/>
        </w:rPr>
      </w:pPr>
    </w:p>
    <w:p w:rsidR="00724322" w:rsidRDefault="00724322" w:rsidP="00724322">
      <w:pPr>
        <w:numPr>
          <w:ilvl w:val="0"/>
          <w:numId w:val="1"/>
        </w:numPr>
        <w:suppressAutoHyphens w:val="0"/>
        <w:spacing w:before="100" w:beforeAutospacing="1" w:after="100" w:afterAutospacing="1" w:line="276" w:lineRule="auto"/>
        <w:contextualSpacing/>
        <w:jc w:val="both"/>
        <w:rPr>
          <w:rFonts w:eastAsia="Times New Roman"/>
          <w:szCs w:val="24"/>
          <w:lang w:eastAsia="cs-CZ"/>
        </w:rPr>
      </w:pPr>
      <w:r>
        <w:rPr>
          <w:rFonts w:eastAsia="Times New Roman"/>
          <w:b/>
          <w:bCs/>
          <w:szCs w:val="24"/>
          <w:lang w:eastAsia="cs-CZ"/>
        </w:rPr>
        <w:t>Na konec zákona, za část čtvrtou, za § 24 se doplňuje příloha k zákonu, která včetně nadpisu zní:</w:t>
      </w:r>
    </w:p>
    <w:p w:rsidR="00724322" w:rsidRDefault="00724322" w:rsidP="00724322">
      <w:pPr>
        <w:suppressAutoHyphens w:val="0"/>
        <w:spacing w:after="100" w:afterAutospacing="1" w:line="240" w:lineRule="auto"/>
        <w:jc w:val="center"/>
        <w:rPr>
          <w:rFonts w:eastAsia="Times New Roman"/>
          <w:bCs/>
          <w:szCs w:val="24"/>
          <w:lang w:eastAsia="cs-CZ"/>
        </w:rPr>
      </w:pPr>
      <w:r>
        <w:rPr>
          <w:rFonts w:eastAsia="Times New Roman"/>
          <w:szCs w:val="24"/>
          <w:lang w:eastAsia="cs-CZ"/>
        </w:rPr>
        <w:t>„</w:t>
      </w:r>
      <w:r w:rsidRPr="00591227">
        <w:rPr>
          <w:rFonts w:eastAsia="Times New Roman"/>
          <w:b/>
          <w:bCs/>
          <w:szCs w:val="24"/>
          <w:lang w:eastAsia="cs-CZ"/>
        </w:rPr>
        <w:t>Příloha k</w:t>
      </w:r>
      <w:r w:rsidR="00591227" w:rsidRPr="00591227">
        <w:rPr>
          <w:rFonts w:eastAsia="Times New Roman"/>
          <w:b/>
          <w:bCs/>
          <w:szCs w:val="24"/>
          <w:lang w:eastAsia="cs-CZ"/>
        </w:rPr>
        <w:t> </w:t>
      </w:r>
      <w:r w:rsidRPr="00591227">
        <w:rPr>
          <w:rFonts w:eastAsia="Times New Roman"/>
          <w:b/>
          <w:bCs/>
          <w:szCs w:val="24"/>
          <w:lang w:eastAsia="cs-CZ"/>
        </w:rPr>
        <w:t>zákonu</w:t>
      </w:r>
      <w:r w:rsidR="00591227" w:rsidRPr="00591227">
        <w:rPr>
          <w:rFonts w:eastAsia="Times New Roman"/>
          <w:b/>
          <w:bCs/>
          <w:szCs w:val="24"/>
          <w:lang w:eastAsia="cs-CZ"/>
        </w:rPr>
        <w:t xml:space="preserve"> č. …/2021 Sb.</w:t>
      </w:r>
    </w:p>
    <w:p w:rsidR="00724322" w:rsidRDefault="00724322" w:rsidP="00724322">
      <w:pPr>
        <w:suppressAutoHyphens w:val="0"/>
        <w:spacing w:after="100" w:afterAutospacing="1" w:line="240" w:lineRule="auto"/>
        <w:jc w:val="center"/>
        <w:rPr>
          <w:rFonts w:eastAsia="Times New Roman"/>
          <w:b/>
          <w:bCs/>
          <w:szCs w:val="24"/>
          <w:lang w:eastAsia="cs-CZ"/>
        </w:rPr>
      </w:pPr>
      <w:r>
        <w:rPr>
          <w:rFonts w:eastAsia="Times New Roman"/>
          <w:b/>
          <w:bCs/>
          <w:szCs w:val="24"/>
          <w:lang w:eastAsia="cs-CZ"/>
        </w:rPr>
        <w:t>Nevyhovující bydlení</w:t>
      </w:r>
    </w:p>
    <w:p w:rsidR="00724322" w:rsidRDefault="00724322" w:rsidP="00724322">
      <w:pPr>
        <w:suppressAutoHyphens w:val="0"/>
        <w:spacing w:after="0" w:line="240" w:lineRule="auto"/>
        <w:jc w:val="center"/>
        <w:rPr>
          <w:rFonts w:eastAsia="Times New Roman"/>
          <w:bCs/>
          <w:szCs w:val="24"/>
          <w:lang w:eastAsia="cs-CZ"/>
        </w:rPr>
      </w:pPr>
      <w:r>
        <w:rPr>
          <w:rFonts w:eastAsia="Times New Roman"/>
          <w:bCs/>
          <w:szCs w:val="24"/>
          <w:lang w:eastAsia="cs-CZ"/>
        </w:rPr>
        <w:t>ČÁST 1</w:t>
      </w:r>
    </w:p>
    <w:p w:rsidR="00724322" w:rsidRDefault="00724322" w:rsidP="00724322">
      <w:pPr>
        <w:suppressAutoHyphens w:val="0"/>
        <w:spacing w:after="0" w:line="240" w:lineRule="auto"/>
        <w:jc w:val="center"/>
        <w:rPr>
          <w:rFonts w:eastAsia="Times New Roman"/>
          <w:b/>
          <w:bCs/>
          <w:szCs w:val="24"/>
          <w:lang w:eastAsia="cs-CZ"/>
        </w:rPr>
      </w:pPr>
      <w:r>
        <w:rPr>
          <w:rFonts w:eastAsia="Times New Roman"/>
          <w:b/>
          <w:bCs/>
          <w:szCs w:val="24"/>
          <w:lang w:eastAsia="cs-CZ"/>
        </w:rPr>
        <w:t>Byt neodpovídající specifickým požadavkům člena společně hospodařící domácnosti vyplývajícím z jeho zdravotního omezení</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Bytem neodpovídajícím specifickým požadavkům člena společně hospodařící domácnosti vyplývajícím z jeho zdravotního omezení je byt, který neodpovídá zdravotnímu omezení člena společně hospodařící domácnosti a který nelze běžnými náklady upravit k užívání osobou se zdravotním omezením.</w:t>
      </w:r>
    </w:p>
    <w:p w:rsidR="00724322" w:rsidRDefault="00724322" w:rsidP="00724322">
      <w:pPr>
        <w:suppressAutoHyphens w:val="0"/>
        <w:spacing w:after="0" w:line="240" w:lineRule="auto"/>
        <w:jc w:val="center"/>
        <w:rPr>
          <w:rFonts w:eastAsia="Times New Roman"/>
          <w:bCs/>
          <w:szCs w:val="24"/>
          <w:lang w:eastAsia="cs-CZ"/>
        </w:rPr>
      </w:pPr>
      <w:r>
        <w:rPr>
          <w:rFonts w:eastAsia="Times New Roman"/>
          <w:bCs/>
          <w:szCs w:val="24"/>
          <w:lang w:eastAsia="cs-CZ"/>
        </w:rPr>
        <w:lastRenderedPageBreak/>
        <w:t>ČÁST 2</w:t>
      </w:r>
    </w:p>
    <w:p w:rsidR="00724322" w:rsidRDefault="00724322" w:rsidP="00724322">
      <w:pPr>
        <w:suppressAutoHyphens w:val="0"/>
        <w:spacing w:after="0" w:line="240" w:lineRule="auto"/>
        <w:jc w:val="center"/>
        <w:rPr>
          <w:rFonts w:eastAsia="Times New Roman"/>
          <w:b/>
          <w:bCs/>
          <w:szCs w:val="24"/>
          <w:lang w:eastAsia="cs-CZ"/>
        </w:rPr>
      </w:pPr>
      <w:r>
        <w:rPr>
          <w:rFonts w:eastAsia="Times New Roman"/>
          <w:b/>
          <w:bCs/>
          <w:szCs w:val="24"/>
          <w:lang w:eastAsia="cs-CZ"/>
        </w:rPr>
        <w:t>Prostory, které nejsou určeny k trvalému bydlení</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 xml:space="preserve">Prostorem, který není určen k trvalému bydlení, je </w:t>
      </w:r>
    </w:p>
    <w:p w:rsidR="00724322" w:rsidRDefault="00724322" w:rsidP="00724322">
      <w:pPr>
        <w:numPr>
          <w:ilvl w:val="1"/>
          <w:numId w:val="29"/>
        </w:numPr>
        <w:suppressAutoHyphens w:val="0"/>
        <w:spacing w:after="0" w:line="240" w:lineRule="auto"/>
        <w:jc w:val="both"/>
        <w:rPr>
          <w:rFonts w:eastAsia="Times New Roman"/>
          <w:bCs/>
          <w:szCs w:val="24"/>
          <w:lang w:eastAsia="cs-CZ"/>
        </w:rPr>
      </w:pPr>
      <w:r>
        <w:rPr>
          <w:rFonts w:eastAsia="Times New Roman"/>
          <w:bCs/>
          <w:szCs w:val="24"/>
          <w:lang w:eastAsia="cs-CZ"/>
        </w:rPr>
        <w:t>veřejně přístupný prostor, zejména ulice, park, most, nádraží nebo veřejný dopravní prostředek,</w:t>
      </w:r>
    </w:p>
    <w:p w:rsidR="00724322" w:rsidRDefault="00724322" w:rsidP="00724322">
      <w:pPr>
        <w:numPr>
          <w:ilvl w:val="1"/>
          <w:numId w:val="29"/>
        </w:numPr>
        <w:suppressAutoHyphens w:val="0"/>
        <w:spacing w:after="0" w:line="240" w:lineRule="auto"/>
        <w:jc w:val="both"/>
        <w:rPr>
          <w:rFonts w:eastAsia="Times New Roman"/>
          <w:bCs/>
          <w:szCs w:val="24"/>
          <w:lang w:eastAsia="cs-CZ"/>
        </w:rPr>
      </w:pPr>
      <w:r>
        <w:rPr>
          <w:rFonts w:eastAsia="Times New Roman"/>
          <w:bCs/>
          <w:szCs w:val="24"/>
          <w:lang w:eastAsia="cs-CZ"/>
        </w:rPr>
        <w:t>pobytové zařízení, zejména noclehárna, ubytovna nebo azylový dům, nebo</w:t>
      </w:r>
    </w:p>
    <w:p w:rsidR="00724322" w:rsidRDefault="00724322" w:rsidP="00724322">
      <w:pPr>
        <w:numPr>
          <w:ilvl w:val="1"/>
          <w:numId w:val="29"/>
        </w:numPr>
        <w:suppressAutoHyphens w:val="0"/>
        <w:spacing w:after="0" w:line="240" w:lineRule="auto"/>
        <w:jc w:val="both"/>
        <w:rPr>
          <w:rFonts w:eastAsia="Times New Roman"/>
          <w:bCs/>
          <w:szCs w:val="24"/>
          <w:lang w:eastAsia="cs-CZ"/>
        </w:rPr>
      </w:pPr>
      <w:r>
        <w:rPr>
          <w:rFonts w:eastAsia="Times New Roman"/>
          <w:bCs/>
          <w:szCs w:val="24"/>
          <w:lang w:eastAsia="cs-CZ"/>
        </w:rPr>
        <w:t xml:space="preserve">další prostor, který není určen k trvalému bydlení, zejména zahradní chatka nebo garáž. </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center"/>
        <w:rPr>
          <w:rFonts w:eastAsia="Times New Roman"/>
          <w:bCs/>
          <w:szCs w:val="24"/>
          <w:lang w:eastAsia="cs-CZ"/>
        </w:rPr>
      </w:pPr>
      <w:r>
        <w:rPr>
          <w:rFonts w:eastAsia="Times New Roman"/>
          <w:bCs/>
          <w:szCs w:val="24"/>
          <w:lang w:eastAsia="cs-CZ"/>
        </w:rPr>
        <w:t>ČÁST 3</w:t>
      </w:r>
    </w:p>
    <w:p w:rsidR="00724322" w:rsidRDefault="00724322" w:rsidP="00724322">
      <w:pPr>
        <w:suppressAutoHyphens w:val="0"/>
        <w:spacing w:after="0" w:line="240" w:lineRule="auto"/>
        <w:jc w:val="center"/>
        <w:rPr>
          <w:rFonts w:eastAsia="Times New Roman"/>
          <w:b/>
          <w:bCs/>
          <w:szCs w:val="24"/>
          <w:lang w:eastAsia="cs-CZ"/>
        </w:rPr>
      </w:pPr>
      <w:r>
        <w:rPr>
          <w:rFonts w:eastAsia="Times New Roman"/>
          <w:b/>
          <w:bCs/>
          <w:szCs w:val="24"/>
          <w:lang w:eastAsia="cs-CZ"/>
        </w:rPr>
        <w:t>Nekvalitní byt</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Nekvalitním bytem je byt, který vykazuje</w:t>
      </w:r>
    </w:p>
    <w:p w:rsidR="00724322" w:rsidRDefault="00724322" w:rsidP="00724322">
      <w:pPr>
        <w:numPr>
          <w:ilvl w:val="0"/>
          <w:numId w:val="30"/>
        </w:numPr>
        <w:suppressAutoHyphens w:val="0"/>
        <w:spacing w:after="0" w:line="240" w:lineRule="auto"/>
        <w:jc w:val="both"/>
        <w:rPr>
          <w:rFonts w:eastAsia="Times New Roman"/>
          <w:bCs/>
          <w:szCs w:val="24"/>
          <w:lang w:eastAsia="cs-CZ"/>
        </w:rPr>
      </w:pPr>
      <w:r>
        <w:rPr>
          <w:rFonts w:eastAsia="Times New Roman"/>
          <w:bCs/>
          <w:szCs w:val="24"/>
          <w:lang w:eastAsia="cs-CZ"/>
        </w:rPr>
        <w:t>zásadní vadu u alespoň 1 hlavního kritéria,</w:t>
      </w:r>
    </w:p>
    <w:p w:rsidR="00724322" w:rsidRDefault="00724322" w:rsidP="00724322">
      <w:pPr>
        <w:numPr>
          <w:ilvl w:val="0"/>
          <w:numId w:val="30"/>
        </w:numPr>
        <w:suppressAutoHyphens w:val="0"/>
        <w:spacing w:after="0" w:line="240" w:lineRule="auto"/>
        <w:jc w:val="both"/>
        <w:rPr>
          <w:rFonts w:eastAsia="Times New Roman"/>
          <w:bCs/>
          <w:szCs w:val="24"/>
          <w:lang w:eastAsia="cs-CZ"/>
        </w:rPr>
      </w:pPr>
      <w:r>
        <w:rPr>
          <w:rFonts w:eastAsia="Times New Roman"/>
          <w:bCs/>
          <w:szCs w:val="24"/>
          <w:lang w:eastAsia="cs-CZ"/>
        </w:rPr>
        <w:t>zásadní vadu u alespoň 1 vedlejšího kritéria a zároveň alespoň 3 další zjevné vady u hlavních a vedlejších kritérií, nebo</w:t>
      </w:r>
    </w:p>
    <w:p w:rsidR="00724322" w:rsidRDefault="00724322" w:rsidP="00724322">
      <w:pPr>
        <w:numPr>
          <w:ilvl w:val="0"/>
          <w:numId w:val="30"/>
        </w:numPr>
        <w:suppressAutoHyphens w:val="0"/>
        <w:spacing w:after="0" w:line="240" w:lineRule="auto"/>
        <w:jc w:val="both"/>
        <w:rPr>
          <w:rFonts w:eastAsia="Times New Roman"/>
          <w:bCs/>
          <w:szCs w:val="24"/>
          <w:lang w:eastAsia="cs-CZ"/>
        </w:rPr>
      </w:pPr>
      <w:r>
        <w:rPr>
          <w:rFonts w:eastAsia="Times New Roman"/>
          <w:bCs/>
          <w:szCs w:val="24"/>
          <w:lang w:eastAsia="cs-CZ"/>
        </w:rPr>
        <w:t>zjevné vady u více než poloviny kritérií.</w:t>
      </w:r>
    </w:p>
    <w:p w:rsidR="00724322" w:rsidRDefault="00724322" w:rsidP="00724322">
      <w:pPr>
        <w:suppressAutoHyphens w:val="0"/>
        <w:spacing w:after="0" w:line="240" w:lineRule="auto"/>
        <w:jc w:val="both"/>
        <w:rPr>
          <w:rFonts w:eastAsia="Times New Roman"/>
          <w:bCs/>
          <w:szCs w:val="24"/>
          <w:lang w:eastAsia="cs-CZ"/>
        </w:rPr>
      </w:pPr>
    </w:p>
    <w:p w:rsidR="00724322" w:rsidRDefault="00591227" w:rsidP="00724322">
      <w:pPr>
        <w:suppressAutoHyphens w:val="0"/>
        <w:spacing w:after="0" w:line="240" w:lineRule="auto"/>
        <w:jc w:val="both"/>
        <w:rPr>
          <w:rFonts w:eastAsia="Times New Roman"/>
          <w:bCs/>
          <w:szCs w:val="24"/>
          <w:lang w:eastAsia="cs-CZ"/>
        </w:rPr>
      </w:pPr>
      <w:r>
        <w:rPr>
          <w:rFonts w:eastAsia="Times New Roman"/>
          <w:bCs/>
          <w:szCs w:val="24"/>
          <w:lang w:eastAsia="cs-CZ"/>
        </w:rPr>
        <w:t>Jako hlavní</w:t>
      </w:r>
      <w:r w:rsidR="00724322">
        <w:rPr>
          <w:rFonts w:eastAsia="Times New Roman"/>
          <w:bCs/>
          <w:szCs w:val="24"/>
          <w:lang w:eastAsia="cs-CZ"/>
        </w:rPr>
        <w:t xml:space="preserve"> kritérium se posuzuje záchod, koupelna, prostor pro vaření, voda, vytápění a elektroinstalace.</w:t>
      </w: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Jako vedlejší kritérium se posuzují okna, stavební konstrukce a stavební povrchy v bytě, vstupní dveře, vlhkost a plísně, větrání, nebezpečí úrazu nebo infekce a celkový stav domu.</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Byt má zásadní vadu, jestliže</w:t>
      </w:r>
    </w:p>
    <w:p w:rsidR="00724322" w:rsidRDefault="00724322" w:rsidP="00724322">
      <w:pPr>
        <w:numPr>
          <w:ilvl w:val="1"/>
          <w:numId w:val="31"/>
        </w:numPr>
        <w:suppressAutoHyphens w:val="0"/>
        <w:spacing w:after="0" w:line="240" w:lineRule="auto"/>
        <w:jc w:val="both"/>
        <w:rPr>
          <w:rFonts w:eastAsia="Times New Roman"/>
          <w:bCs/>
          <w:szCs w:val="24"/>
          <w:lang w:eastAsia="cs-CZ"/>
        </w:rPr>
      </w:pPr>
      <w:r>
        <w:rPr>
          <w:rFonts w:eastAsia="Times New Roman"/>
          <w:bCs/>
          <w:szCs w:val="24"/>
          <w:lang w:eastAsia="cs-CZ"/>
        </w:rPr>
        <w:t>vybavení bytu posuzované u hlavních kritérií zcela chybí nebo je nefunkční a náprava stavu vyžaduje delší čas nebo rozsáhlé stavební práce, zejména rekonstrukci domu nebo jeho části, nebo</w:t>
      </w:r>
    </w:p>
    <w:p w:rsidR="00724322" w:rsidRDefault="00724322" w:rsidP="00724322">
      <w:pPr>
        <w:numPr>
          <w:ilvl w:val="1"/>
          <w:numId w:val="31"/>
        </w:numPr>
        <w:suppressAutoHyphens w:val="0"/>
        <w:spacing w:after="0" w:line="240" w:lineRule="auto"/>
        <w:jc w:val="both"/>
        <w:rPr>
          <w:rFonts w:eastAsia="Times New Roman"/>
          <w:bCs/>
          <w:szCs w:val="24"/>
          <w:lang w:eastAsia="cs-CZ"/>
        </w:rPr>
      </w:pPr>
      <w:r>
        <w:rPr>
          <w:rFonts w:eastAsia="Times New Roman"/>
          <w:bCs/>
          <w:szCs w:val="24"/>
          <w:lang w:eastAsia="cs-CZ"/>
        </w:rPr>
        <w:t>vybavení bytu nebo stav bytu posuzovaný u vedlejších kritérií zcela chybí nebo neumožňuje bezpečné užívání bytu a náprava by vyžadovala delší čas nebo rozsáhlé stavební práce.</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Byt má zjevnou vadu, jestliže tato vada způsobuje omezenou funkčnost a způsobilost bytu k užívání, kterou lze odstranit běžnými, nikoli drobnými opravami.</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center"/>
        <w:rPr>
          <w:rFonts w:eastAsia="Times New Roman"/>
          <w:bCs/>
          <w:szCs w:val="24"/>
          <w:lang w:eastAsia="cs-CZ"/>
        </w:rPr>
      </w:pPr>
      <w:r>
        <w:rPr>
          <w:rFonts w:eastAsia="Times New Roman"/>
          <w:bCs/>
          <w:szCs w:val="24"/>
          <w:lang w:eastAsia="cs-CZ"/>
        </w:rPr>
        <w:t>ČÁST 4</w:t>
      </w:r>
    </w:p>
    <w:p w:rsidR="00724322" w:rsidRDefault="00724322" w:rsidP="00724322">
      <w:pPr>
        <w:suppressAutoHyphens w:val="0"/>
        <w:spacing w:after="0" w:line="240" w:lineRule="auto"/>
        <w:jc w:val="center"/>
        <w:rPr>
          <w:rFonts w:eastAsia="Times New Roman"/>
          <w:b/>
          <w:bCs/>
          <w:szCs w:val="24"/>
          <w:lang w:eastAsia="cs-CZ"/>
        </w:rPr>
      </w:pPr>
      <w:r>
        <w:rPr>
          <w:rFonts w:eastAsia="Times New Roman"/>
          <w:b/>
          <w:bCs/>
          <w:szCs w:val="24"/>
          <w:lang w:eastAsia="cs-CZ"/>
        </w:rPr>
        <w:t>Přelidněný byt</w:t>
      </w: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Přelidněným bytem je byt, jehož</w:t>
      </w:r>
    </w:p>
    <w:p w:rsidR="00724322" w:rsidRDefault="00724322" w:rsidP="00724322">
      <w:pPr>
        <w:numPr>
          <w:ilvl w:val="0"/>
          <w:numId w:val="32"/>
        </w:numPr>
        <w:suppressAutoHyphens w:val="0"/>
        <w:spacing w:after="0" w:line="240" w:lineRule="auto"/>
        <w:jc w:val="both"/>
        <w:rPr>
          <w:rFonts w:eastAsia="Times New Roman"/>
          <w:bCs/>
          <w:szCs w:val="24"/>
          <w:lang w:eastAsia="cs-CZ"/>
        </w:rPr>
      </w:pPr>
      <w:r>
        <w:rPr>
          <w:rFonts w:eastAsia="Times New Roman"/>
          <w:bCs/>
          <w:szCs w:val="24"/>
          <w:lang w:eastAsia="cs-CZ"/>
        </w:rPr>
        <w:t>velikost podlahové plochy neodpovídá počtu členů společně hospodařící domácnosti podle tabulky 1, nebo</w:t>
      </w:r>
    </w:p>
    <w:p w:rsidR="00724322" w:rsidRDefault="00724322" w:rsidP="00724322">
      <w:pPr>
        <w:numPr>
          <w:ilvl w:val="0"/>
          <w:numId w:val="32"/>
        </w:numPr>
        <w:suppressAutoHyphens w:val="0"/>
        <w:spacing w:after="0" w:line="240" w:lineRule="auto"/>
        <w:jc w:val="both"/>
        <w:rPr>
          <w:rFonts w:eastAsia="Times New Roman"/>
          <w:bCs/>
          <w:szCs w:val="24"/>
          <w:lang w:eastAsia="cs-CZ"/>
        </w:rPr>
      </w:pPr>
      <w:r>
        <w:rPr>
          <w:rFonts w:eastAsia="Times New Roman"/>
          <w:bCs/>
          <w:szCs w:val="24"/>
          <w:lang w:eastAsia="cs-CZ"/>
        </w:rPr>
        <w:t>podlahová plocha odpovídá minimálnímu standardu pro daný počet osob podle tabulky 1 a současně počet jeho obytných místností odpovídá stupni přelidněný podle tabulky 2.</w:t>
      </w:r>
    </w:p>
    <w:p w:rsidR="00724322" w:rsidRDefault="00724322" w:rsidP="00724322">
      <w:pPr>
        <w:suppressAutoHyphens w:val="0"/>
        <w:spacing w:after="0" w:line="240" w:lineRule="auto"/>
        <w:jc w:val="both"/>
        <w:rPr>
          <w:rFonts w:eastAsia="Times New Roman"/>
          <w:b/>
          <w:bCs/>
          <w:szCs w:val="24"/>
          <w:lang w:eastAsia="cs-CZ"/>
        </w:rPr>
      </w:pPr>
    </w:p>
    <w:p w:rsidR="00724322" w:rsidRDefault="00724322" w:rsidP="00724322">
      <w:pPr>
        <w:suppressAutoHyphens w:val="0"/>
        <w:spacing w:after="0" w:line="240" w:lineRule="auto"/>
        <w:jc w:val="both"/>
        <w:rPr>
          <w:rFonts w:eastAsia="Times New Roman"/>
          <w:b/>
          <w:bCs/>
          <w:szCs w:val="24"/>
          <w:lang w:eastAsia="cs-CZ"/>
        </w:rPr>
      </w:pPr>
    </w:p>
    <w:p w:rsidR="00724322" w:rsidRDefault="00724322" w:rsidP="00724322">
      <w:pPr>
        <w:suppressAutoHyphens w:val="0"/>
        <w:spacing w:after="0" w:line="240" w:lineRule="auto"/>
        <w:jc w:val="both"/>
        <w:rPr>
          <w:rFonts w:eastAsia="Times New Roman"/>
          <w:b/>
          <w:bCs/>
          <w:szCs w:val="24"/>
          <w:lang w:eastAsia="cs-CZ"/>
        </w:rPr>
      </w:pPr>
    </w:p>
    <w:p w:rsidR="00724322" w:rsidRDefault="00724322" w:rsidP="00724322">
      <w:pPr>
        <w:suppressAutoHyphens w:val="0"/>
        <w:spacing w:after="0" w:line="240" w:lineRule="auto"/>
        <w:jc w:val="both"/>
        <w:rPr>
          <w:rFonts w:eastAsia="Times New Roman"/>
          <w:b/>
          <w:bCs/>
          <w:szCs w:val="24"/>
          <w:lang w:eastAsia="cs-CZ"/>
        </w:rPr>
      </w:pPr>
      <w:r>
        <w:rPr>
          <w:rFonts w:eastAsia="Times New Roman"/>
          <w:b/>
          <w:bCs/>
          <w:szCs w:val="24"/>
          <w:lang w:eastAsia="cs-CZ"/>
        </w:rPr>
        <w:lastRenderedPageBreak/>
        <w:t xml:space="preserve">Tabulka 1: Přiměřenost bytu s ohledem na velikost společně hospodařící domácnosti podle podlahové plochy bytu </w:t>
      </w:r>
    </w:p>
    <w:p w:rsidR="00724322" w:rsidRDefault="00724322" w:rsidP="00724322">
      <w:pPr>
        <w:suppressAutoHyphens w:val="0"/>
        <w:spacing w:after="0" w:line="240" w:lineRule="auto"/>
        <w:jc w:val="both"/>
        <w:rPr>
          <w:rFonts w:eastAsia="Times New Roman"/>
          <w:b/>
          <w:bCs/>
          <w:szCs w:val="24"/>
          <w:lang w:eastAsia="cs-CZ"/>
        </w:rPr>
      </w:pPr>
    </w:p>
    <w:tbl>
      <w:tblPr>
        <w:tblW w:w="9142" w:type="dxa"/>
        <w:jc w:val="center"/>
        <w:tblCellMar>
          <w:left w:w="70" w:type="dxa"/>
          <w:right w:w="70" w:type="dxa"/>
        </w:tblCellMar>
        <w:tblLook w:val="00A0" w:firstRow="1" w:lastRow="0" w:firstColumn="1" w:lastColumn="0" w:noHBand="0" w:noVBand="0"/>
      </w:tblPr>
      <w:tblGrid>
        <w:gridCol w:w="1221"/>
        <w:gridCol w:w="1300"/>
        <w:gridCol w:w="1417"/>
        <w:gridCol w:w="1300"/>
        <w:gridCol w:w="1167"/>
        <w:gridCol w:w="1167"/>
        <w:gridCol w:w="1167"/>
        <w:gridCol w:w="1167"/>
        <w:gridCol w:w="1167"/>
      </w:tblGrid>
      <w:tr w:rsidR="00724322" w:rsidTr="00724322">
        <w:trPr>
          <w:trHeight w:val="634"/>
          <w:jc w:val="center"/>
        </w:trPr>
        <w:tc>
          <w:tcPr>
            <w:tcW w:w="993" w:type="dxa"/>
            <w:tcBorders>
              <w:top w:val="single" w:sz="12" w:space="0" w:color="auto"/>
              <w:left w:val="single" w:sz="12" w:space="0" w:color="auto"/>
              <w:bottom w:val="single" w:sz="12" w:space="0" w:color="auto"/>
              <w:right w:val="single" w:sz="12" w:space="0" w:color="auto"/>
            </w:tcBorders>
            <w:noWrap/>
            <w:vAlign w:val="bottom"/>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Podlahová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plocha </w:t>
            </w:r>
            <w:r>
              <w:rPr>
                <w:rFonts w:eastAsia="Times New Roman"/>
                <w:b/>
                <w:bCs/>
                <w:szCs w:val="24"/>
                <w:lang w:eastAsia="cs-CZ"/>
              </w:rPr>
              <w:br/>
              <w:t>bytu</w:t>
            </w:r>
          </w:p>
        </w:tc>
        <w:tc>
          <w:tcPr>
            <w:tcW w:w="1134" w:type="dxa"/>
            <w:tcBorders>
              <w:top w:val="single" w:sz="12" w:space="0" w:color="auto"/>
              <w:left w:val="single" w:sz="12" w:space="0" w:color="auto"/>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1</w:t>
            </w:r>
          </w:p>
        </w:tc>
        <w:tc>
          <w:tcPr>
            <w:tcW w:w="1417" w:type="dxa"/>
            <w:tcBorders>
              <w:top w:val="single" w:sz="12" w:space="0" w:color="auto"/>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2</w:t>
            </w:r>
          </w:p>
        </w:tc>
        <w:tc>
          <w:tcPr>
            <w:tcW w:w="1197" w:type="dxa"/>
            <w:tcBorders>
              <w:top w:val="single" w:sz="12" w:space="0" w:color="auto"/>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3</w:t>
            </w:r>
          </w:p>
        </w:tc>
        <w:tc>
          <w:tcPr>
            <w:tcW w:w="929" w:type="dxa"/>
            <w:tcBorders>
              <w:top w:val="single" w:sz="12" w:space="0" w:color="auto"/>
              <w:left w:val="nil"/>
              <w:bottom w:val="single" w:sz="12" w:space="0" w:color="auto"/>
              <w:right w:val="single" w:sz="8"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4</w:t>
            </w:r>
          </w:p>
        </w:tc>
        <w:tc>
          <w:tcPr>
            <w:tcW w:w="997"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5 až 6</w:t>
            </w:r>
          </w:p>
        </w:tc>
        <w:tc>
          <w:tcPr>
            <w:tcW w:w="825"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osob 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7 až 8</w:t>
            </w:r>
          </w:p>
        </w:tc>
        <w:tc>
          <w:tcPr>
            <w:tcW w:w="825"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r>
              <w:rPr>
                <w:rFonts w:eastAsia="Times New Roman"/>
                <w:b/>
                <w:bCs/>
                <w:szCs w:val="24"/>
                <w:lang w:eastAsia="cs-CZ"/>
              </w:rPr>
              <w:br/>
              <w:t xml:space="preserve">osob </w:t>
            </w:r>
            <w:r>
              <w:rPr>
                <w:rFonts w:eastAsia="Times New Roman"/>
                <w:b/>
                <w:bCs/>
                <w:szCs w:val="24"/>
                <w:lang w:eastAsia="cs-CZ"/>
              </w:rPr>
              <w:b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9 až 12</w:t>
            </w:r>
          </w:p>
        </w:tc>
        <w:tc>
          <w:tcPr>
            <w:tcW w:w="825" w:type="dxa"/>
            <w:tcBorders>
              <w:top w:val="single" w:sz="12" w:space="0" w:color="auto"/>
              <w:left w:val="nil"/>
              <w:bottom w:val="single" w:sz="12" w:space="0" w:color="auto"/>
              <w:right w:val="single" w:sz="12"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počet </w:t>
            </w:r>
            <w:r>
              <w:rPr>
                <w:rFonts w:eastAsia="Times New Roman"/>
                <w:b/>
                <w:bCs/>
                <w:szCs w:val="24"/>
                <w:lang w:eastAsia="cs-CZ"/>
              </w:rPr>
              <w:br/>
              <w:t xml:space="preserve">osob 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13 a více</w:t>
            </w:r>
          </w:p>
        </w:tc>
      </w:tr>
      <w:tr w:rsidR="00724322" w:rsidTr="00724322">
        <w:trPr>
          <w:trHeight w:val="300"/>
          <w:jc w:val="center"/>
        </w:trPr>
        <w:tc>
          <w:tcPr>
            <w:tcW w:w="993" w:type="dxa"/>
            <w:tcBorders>
              <w:top w:val="single" w:sz="12" w:space="0" w:color="auto"/>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 xml:space="preserve">&lt; </w:t>
            </w:r>
            <w:r>
              <w:rPr>
                <w:rFonts w:eastAsia="Times New Roman"/>
                <w:b/>
                <w:bCs/>
                <w:szCs w:val="24"/>
                <w:lang w:eastAsia="cs-CZ"/>
              </w:rPr>
              <w:t>37,9</w:t>
            </w:r>
            <w:r>
              <w:rPr>
                <w:rFonts w:eastAsia="Times New Roman"/>
                <w:bCs/>
                <w:szCs w:val="24"/>
                <w:lang w:eastAsia="cs-CZ"/>
              </w:rPr>
              <w:t xml:space="preserve"> m² </w:t>
            </w:r>
          </w:p>
        </w:tc>
        <w:tc>
          <w:tcPr>
            <w:tcW w:w="1134" w:type="dxa"/>
            <w:tcBorders>
              <w:top w:val="single" w:sz="12" w:space="0" w:color="auto"/>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1417" w:type="dxa"/>
            <w:tcBorders>
              <w:top w:val="single" w:sz="12"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 xml:space="preserve">minimální </w:t>
            </w:r>
          </w:p>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1197" w:type="dxa"/>
            <w:tcBorders>
              <w:top w:val="single" w:sz="12"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29" w:type="dxa"/>
            <w:tcBorders>
              <w:top w:val="single" w:sz="12" w:space="0" w:color="auto"/>
              <w:left w:val="nil"/>
              <w:bottom w:val="single" w:sz="4" w:space="0" w:color="auto"/>
              <w:right w:val="single" w:sz="4" w:space="0" w:color="auto"/>
            </w:tcBorders>
            <w:shd w:val="clear" w:color="auto" w:fill="808080"/>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997"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single" w:sz="12" w:space="0" w:color="auto"/>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93"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38 - 51,9</w:t>
            </w:r>
            <w:r>
              <w:rPr>
                <w:rFonts w:eastAsia="Times New Roman"/>
                <w:bCs/>
                <w:szCs w:val="24"/>
                <w:lang w:eastAsia="cs-CZ"/>
              </w:rPr>
              <w:t xml:space="preserve"> m² </w:t>
            </w:r>
          </w:p>
        </w:tc>
        <w:tc>
          <w:tcPr>
            <w:tcW w:w="1134"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141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119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29" w:type="dxa"/>
            <w:tcBorders>
              <w:top w:val="single" w:sz="4"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97"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nil"/>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93"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52 - 67,9</w:t>
            </w:r>
            <w:r>
              <w:rPr>
                <w:rFonts w:eastAsia="Times New Roman"/>
                <w:bCs/>
                <w:szCs w:val="24"/>
                <w:lang w:eastAsia="cs-CZ"/>
              </w:rPr>
              <w:t xml:space="preserve"> m² </w:t>
            </w:r>
          </w:p>
        </w:tc>
        <w:tc>
          <w:tcPr>
            <w:tcW w:w="1134"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41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119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29"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97"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825" w:type="dxa"/>
            <w:tcBorders>
              <w:top w:val="single" w:sz="4"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single" w:sz="4"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single" w:sz="4" w:space="0" w:color="auto"/>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93"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68 - 81,9</w:t>
            </w:r>
            <w:r>
              <w:rPr>
                <w:rFonts w:eastAsia="Times New Roman"/>
                <w:bCs/>
                <w:szCs w:val="24"/>
                <w:lang w:eastAsia="cs-CZ"/>
              </w:rPr>
              <w:t xml:space="preserve"> m² </w:t>
            </w:r>
          </w:p>
        </w:tc>
        <w:tc>
          <w:tcPr>
            <w:tcW w:w="1134"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41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197"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29"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7"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825"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825"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825" w:type="dxa"/>
            <w:tcBorders>
              <w:top w:val="nil"/>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67"/>
          <w:jc w:val="center"/>
        </w:trPr>
        <w:tc>
          <w:tcPr>
            <w:tcW w:w="993" w:type="dxa"/>
            <w:tcBorders>
              <w:top w:val="nil"/>
              <w:left w:val="single" w:sz="12" w:space="0" w:color="auto"/>
              <w:bottom w:val="single" w:sz="12"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82 - 95,9</w:t>
            </w:r>
            <w:r>
              <w:rPr>
                <w:rFonts w:eastAsia="Times New Roman"/>
                <w:bCs/>
                <w:szCs w:val="24"/>
                <w:lang w:eastAsia="cs-CZ"/>
              </w:rPr>
              <w:t xml:space="preserve"> m² </w:t>
            </w:r>
          </w:p>
        </w:tc>
        <w:tc>
          <w:tcPr>
            <w:tcW w:w="1134" w:type="dxa"/>
            <w:tcBorders>
              <w:top w:val="nil"/>
              <w:left w:val="single" w:sz="12" w:space="0" w:color="auto"/>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417"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197"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 xml:space="preserve">nadstandard </w:t>
            </w:r>
          </w:p>
        </w:tc>
        <w:tc>
          <w:tcPr>
            <w:tcW w:w="929"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7"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825"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825"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825" w:type="dxa"/>
            <w:tcBorders>
              <w:top w:val="nil"/>
              <w:left w:val="nil"/>
              <w:bottom w:val="single" w:sz="12"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bl>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
          <w:bCs/>
          <w:szCs w:val="24"/>
          <w:lang w:eastAsia="cs-CZ"/>
        </w:rPr>
      </w:pPr>
    </w:p>
    <w:p w:rsidR="00724322" w:rsidRDefault="00724322" w:rsidP="00724322">
      <w:pPr>
        <w:suppressAutoHyphens w:val="0"/>
        <w:spacing w:after="0" w:line="240" w:lineRule="auto"/>
        <w:jc w:val="both"/>
        <w:rPr>
          <w:rFonts w:eastAsia="Times New Roman"/>
          <w:b/>
          <w:bCs/>
          <w:szCs w:val="24"/>
          <w:lang w:eastAsia="cs-CZ"/>
        </w:rPr>
      </w:pPr>
      <w:r>
        <w:rPr>
          <w:rFonts w:eastAsia="Times New Roman"/>
          <w:b/>
          <w:bCs/>
          <w:szCs w:val="24"/>
          <w:lang w:eastAsia="cs-CZ"/>
        </w:rPr>
        <w:t>Tabulka 2: Přiměřenost bytu s ohledem na velikost společně hospodařící domácnosti podle počtu obytných místností v bytě v případě minimálního standardu podle podlahové plochy bytu</w:t>
      </w:r>
    </w:p>
    <w:p w:rsidR="00724322" w:rsidRDefault="00724322" w:rsidP="00724322">
      <w:pPr>
        <w:suppressAutoHyphens w:val="0"/>
        <w:spacing w:after="0" w:line="240" w:lineRule="auto"/>
        <w:jc w:val="both"/>
        <w:rPr>
          <w:rFonts w:eastAsia="Times New Roman"/>
          <w:b/>
          <w:bCs/>
          <w:szCs w:val="24"/>
          <w:lang w:eastAsia="cs-CZ"/>
        </w:rPr>
      </w:pPr>
    </w:p>
    <w:tbl>
      <w:tblPr>
        <w:tblW w:w="9077" w:type="dxa"/>
        <w:jc w:val="center"/>
        <w:tblCellMar>
          <w:left w:w="70" w:type="dxa"/>
          <w:right w:w="70" w:type="dxa"/>
        </w:tblCellMar>
        <w:tblLook w:val="00A0" w:firstRow="1" w:lastRow="0" w:firstColumn="1" w:lastColumn="0" w:noHBand="0" w:noVBand="0"/>
      </w:tblPr>
      <w:tblGrid>
        <w:gridCol w:w="1087"/>
        <w:gridCol w:w="1300"/>
        <w:gridCol w:w="1300"/>
        <w:gridCol w:w="1300"/>
        <w:gridCol w:w="1300"/>
        <w:gridCol w:w="1167"/>
        <w:gridCol w:w="1167"/>
        <w:gridCol w:w="1167"/>
        <w:gridCol w:w="1167"/>
      </w:tblGrid>
      <w:tr w:rsidR="00724322" w:rsidTr="00724322">
        <w:trPr>
          <w:trHeight w:val="821"/>
          <w:jc w:val="center"/>
        </w:trPr>
        <w:tc>
          <w:tcPr>
            <w:tcW w:w="921" w:type="dxa"/>
            <w:tcBorders>
              <w:top w:val="single" w:sz="12" w:space="0" w:color="auto"/>
              <w:left w:val="single" w:sz="12" w:space="0" w:color="auto"/>
              <w:bottom w:val="single" w:sz="12"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 obytných místností</w:t>
            </w:r>
          </w:p>
        </w:tc>
        <w:tc>
          <w:tcPr>
            <w:tcW w:w="978" w:type="dxa"/>
            <w:tcBorders>
              <w:top w:val="single" w:sz="12" w:space="0" w:color="auto"/>
              <w:left w:val="single" w:sz="12" w:space="0" w:color="auto"/>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v bytě: </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1</w:t>
            </w:r>
          </w:p>
        </w:tc>
        <w:tc>
          <w:tcPr>
            <w:tcW w:w="992" w:type="dxa"/>
            <w:tcBorders>
              <w:top w:val="single" w:sz="12" w:space="0" w:color="auto"/>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2</w:t>
            </w:r>
          </w:p>
        </w:tc>
        <w:tc>
          <w:tcPr>
            <w:tcW w:w="1006" w:type="dxa"/>
            <w:tcBorders>
              <w:top w:val="single" w:sz="12" w:space="0" w:color="auto"/>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3</w:t>
            </w:r>
          </w:p>
        </w:tc>
        <w:tc>
          <w:tcPr>
            <w:tcW w:w="993" w:type="dxa"/>
            <w:tcBorders>
              <w:top w:val="single" w:sz="12" w:space="0" w:color="auto"/>
              <w:left w:val="nil"/>
              <w:bottom w:val="single" w:sz="12" w:space="0" w:color="auto"/>
              <w:right w:val="single" w:sz="8"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4</w:t>
            </w:r>
          </w:p>
        </w:tc>
        <w:tc>
          <w:tcPr>
            <w:tcW w:w="992"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5 až 6</w:t>
            </w:r>
          </w:p>
        </w:tc>
        <w:tc>
          <w:tcPr>
            <w:tcW w:w="992"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7 až 8</w:t>
            </w:r>
          </w:p>
        </w:tc>
        <w:tc>
          <w:tcPr>
            <w:tcW w:w="1176" w:type="dxa"/>
            <w:tcBorders>
              <w:top w:val="single" w:sz="12" w:space="0" w:color="auto"/>
              <w:left w:val="nil"/>
              <w:bottom w:val="single" w:sz="12" w:space="0" w:color="auto"/>
              <w:right w:val="single" w:sz="8"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 xml:space="preserve">osob </w:t>
            </w:r>
            <w:r>
              <w:rPr>
                <w:rFonts w:eastAsia="Times New Roman"/>
                <w:b/>
                <w:bCs/>
                <w:szCs w:val="24"/>
                <w:lang w:eastAsia="cs-CZ"/>
              </w:rPr>
              <w:b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9 až 12</w:t>
            </w:r>
          </w:p>
        </w:tc>
        <w:tc>
          <w:tcPr>
            <w:tcW w:w="1027" w:type="dxa"/>
            <w:tcBorders>
              <w:top w:val="single" w:sz="12" w:space="0" w:color="auto"/>
              <w:left w:val="nil"/>
              <w:bottom w:val="single" w:sz="12" w:space="0" w:color="auto"/>
              <w:right w:val="single" w:sz="12" w:space="0" w:color="auto"/>
            </w:tcBorders>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počet</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osob</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v bytě:</w:t>
            </w:r>
          </w:p>
          <w:p w:rsidR="00724322" w:rsidRDefault="00724322">
            <w:pPr>
              <w:suppressAutoHyphens w:val="0"/>
              <w:spacing w:after="0" w:line="240" w:lineRule="auto"/>
              <w:jc w:val="both"/>
              <w:rPr>
                <w:rFonts w:eastAsia="Times New Roman"/>
                <w:b/>
                <w:bCs/>
                <w:szCs w:val="24"/>
                <w:lang w:eastAsia="cs-CZ"/>
              </w:rPr>
            </w:pPr>
            <w:r>
              <w:rPr>
                <w:rFonts w:eastAsia="Times New Roman"/>
                <w:b/>
                <w:bCs/>
                <w:szCs w:val="24"/>
                <w:lang w:eastAsia="cs-CZ"/>
              </w:rPr>
              <w:t>13 a více</w:t>
            </w:r>
          </w:p>
        </w:tc>
      </w:tr>
      <w:tr w:rsidR="00724322" w:rsidTr="00724322">
        <w:trPr>
          <w:trHeight w:val="300"/>
          <w:jc w:val="center"/>
        </w:trPr>
        <w:tc>
          <w:tcPr>
            <w:tcW w:w="921" w:type="dxa"/>
            <w:tcBorders>
              <w:top w:val="single" w:sz="12" w:space="0" w:color="auto"/>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1</w:t>
            </w:r>
          </w:p>
        </w:tc>
        <w:tc>
          <w:tcPr>
            <w:tcW w:w="978" w:type="dxa"/>
            <w:tcBorders>
              <w:top w:val="single" w:sz="12" w:space="0" w:color="auto"/>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992" w:type="dxa"/>
            <w:tcBorders>
              <w:top w:val="single" w:sz="12"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1006" w:type="dxa"/>
            <w:tcBorders>
              <w:top w:val="single" w:sz="12"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93" w:type="dxa"/>
            <w:tcBorders>
              <w:top w:val="single" w:sz="12" w:space="0" w:color="auto"/>
              <w:left w:val="nil"/>
              <w:bottom w:val="single" w:sz="4" w:space="0" w:color="auto"/>
              <w:right w:val="single" w:sz="4" w:space="0" w:color="auto"/>
            </w:tcBorders>
            <w:shd w:val="clear" w:color="auto" w:fill="7F7F7F"/>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992"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992"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176" w:type="dxa"/>
            <w:tcBorders>
              <w:top w:val="single" w:sz="12"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027" w:type="dxa"/>
            <w:tcBorders>
              <w:top w:val="single" w:sz="12" w:space="0" w:color="auto"/>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21"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2</w:t>
            </w:r>
          </w:p>
        </w:tc>
        <w:tc>
          <w:tcPr>
            <w:tcW w:w="978"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 xml:space="preserve"> standard</w:t>
            </w:r>
          </w:p>
        </w:tc>
        <w:tc>
          <w:tcPr>
            <w:tcW w:w="992"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1006"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993" w:type="dxa"/>
            <w:tcBorders>
              <w:top w:val="single" w:sz="4" w:space="0" w:color="auto"/>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minimální standard</w:t>
            </w:r>
          </w:p>
        </w:tc>
        <w:tc>
          <w:tcPr>
            <w:tcW w:w="992"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992"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176"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027" w:type="dxa"/>
            <w:tcBorders>
              <w:top w:val="nil"/>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21"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3</w:t>
            </w:r>
          </w:p>
        </w:tc>
        <w:tc>
          <w:tcPr>
            <w:tcW w:w="978"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2"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1006"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3"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
                <w:bCs/>
                <w:szCs w:val="24"/>
                <w:lang w:eastAsia="cs-CZ"/>
              </w:rPr>
            </w:pPr>
            <w:r>
              <w:rPr>
                <w:rFonts w:eastAsia="Times New Roman"/>
                <w:bCs/>
                <w:szCs w:val="24"/>
                <w:lang w:eastAsia="cs-CZ"/>
              </w:rPr>
              <w:t>standard</w:t>
            </w:r>
          </w:p>
        </w:tc>
        <w:tc>
          <w:tcPr>
            <w:tcW w:w="992"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992" w:type="dxa"/>
            <w:tcBorders>
              <w:top w:val="single" w:sz="4"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176" w:type="dxa"/>
            <w:tcBorders>
              <w:top w:val="single" w:sz="4" w:space="0" w:color="auto"/>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027" w:type="dxa"/>
            <w:tcBorders>
              <w:top w:val="single" w:sz="4" w:space="0" w:color="auto"/>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21" w:type="dxa"/>
            <w:tcBorders>
              <w:top w:val="nil"/>
              <w:left w:val="single" w:sz="12" w:space="0" w:color="auto"/>
              <w:bottom w:val="single" w:sz="4"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4</w:t>
            </w:r>
          </w:p>
        </w:tc>
        <w:tc>
          <w:tcPr>
            <w:tcW w:w="978" w:type="dxa"/>
            <w:tcBorders>
              <w:top w:val="nil"/>
              <w:left w:val="single" w:sz="12" w:space="0" w:color="auto"/>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2"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006"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3" w:type="dxa"/>
            <w:tcBorders>
              <w:top w:val="nil"/>
              <w:left w:val="nil"/>
              <w:bottom w:val="single" w:sz="4"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2"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2" w:type="dxa"/>
            <w:tcBorders>
              <w:top w:val="nil"/>
              <w:left w:val="nil"/>
              <w:bottom w:val="single" w:sz="4"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1176" w:type="dxa"/>
            <w:tcBorders>
              <w:top w:val="nil"/>
              <w:left w:val="nil"/>
              <w:bottom w:val="single" w:sz="4" w:space="0" w:color="auto"/>
              <w:right w:val="single" w:sz="4"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c>
          <w:tcPr>
            <w:tcW w:w="1027" w:type="dxa"/>
            <w:tcBorders>
              <w:top w:val="nil"/>
              <w:left w:val="nil"/>
              <w:bottom w:val="single" w:sz="4"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r w:rsidR="00724322" w:rsidTr="00724322">
        <w:trPr>
          <w:trHeight w:val="300"/>
          <w:jc w:val="center"/>
        </w:trPr>
        <w:tc>
          <w:tcPr>
            <w:tcW w:w="921" w:type="dxa"/>
            <w:tcBorders>
              <w:top w:val="nil"/>
              <w:left w:val="single" w:sz="12" w:space="0" w:color="auto"/>
              <w:bottom w:val="single" w:sz="12" w:space="0" w:color="auto"/>
              <w:right w:val="single" w:sz="12"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
                <w:bCs/>
                <w:szCs w:val="24"/>
                <w:lang w:eastAsia="cs-CZ"/>
              </w:rPr>
              <w:t>5</w:t>
            </w:r>
          </w:p>
        </w:tc>
        <w:tc>
          <w:tcPr>
            <w:tcW w:w="978" w:type="dxa"/>
            <w:tcBorders>
              <w:top w:val="nil"/>
              <w:left w:val="single" w:sz="12" w:space="0" w:color="auto"/>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2"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1006"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3" w:type="dxa"/>
            <w:tcBorders>
              <w:top w:val="nil"/>
              <w:left w:val="nil"/>
              <w:bottom w:val="single" w:sz="12" w:space="0" w:color="auto"/>
              <w:right w:val="single" w:sz="4" w:space="0" w:color="auto"/>
            </w:tcBorders>
            <w:noWrap/>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nadstandard</w:t>
            </w:r>
          </w:p>
        </w:tc>
        <w:tc>
          <w:tcPr>
            <w:tcW w:w="992"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992"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standard</w:t>
            </w:r>
          </w:p>
        </w:tc>
        <w:tc>
          <w:tcPr>
            <w:tcW w:w="1176" w:type="dxa"/>
            <w:tcBorders>
              <w:top w:val="nil"/>
              <w:left w:val="nil"/>
              <w:bottom w:val="single" w:sz="12" w:space="0" w:color="auto"/>
              <w:right w:val="single" w:sz="4" w:space="0" w:color="auto"/>
            </w:tcBorders>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minimální standard</w:t>
            </w:r>
          </w:p>
        </w:tc>
        <w:tc>
          <w:tcPr>
            <w:tcW w:w="1027" w:type="dxa"/>
            <w:tcBorders>
              <w:top w:val="nil"/>
              <w:left w:val="nil"/>
              <w:bottom w:val="single" w:sz="12" w:space="0" w:color="auto"/>
              <w:right w:val="single" w:sz="12" w:space="0" w:color="auto"/>
            </w:tcBorders>
            <w:shd w:val="clear" w:color="auto" w:fill="808080"/>
            <w:vAlign w:val="center"/>
            <w:hideMark/>
          </w:tcPr>
          <w:p w:rsidR="00724322" w:rsidRDefault="00724322">
            <w:pPr>
              <w:suppressAutoHyphens w:val="0"/>
              <w:spacing w:after="0" w:line="240" w:lineRule="auto"/>
              <w:jc w:val="both"/>
              <w:rPr>
                <w:rFonts w:eastAsia="Times New Roman"/>
                <w:bCs/>
                <w:szCs w:val="24"/>
                <w:lang w:eastAsia="cs-CZ"/>
              </w:rPr>
            </w:pPr>
            <w:r>
              <w:rPr>
                <w:rFonts w:eastAsia="Times New Roman"/>
                <w:bCs/>
                <w:szCs w:val="24"/>
                <w:lang w:eastAsia="cs-CZ"/>
              </w:rPr>
              <w:t>přelidněný</w:t>
            </w:r>
          </w:p>
        </w:tc>
      </w:tr>
    </w:tbl>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p>
    <w:p w:rsidR="00724322" w:rsidRDefault="00724322" w:rsidP="00724322">
      <w:pPr>
        <w:suppressAutoHyphens w:val="0"/>
        <w:spacing w:after="0" w:line="240" w:lineRule="auto"/>
        <w:jc w:val="both"/>
        <w:rPr>
          <w:rFonts w:eastAsia="Times New Roman"/>
          <w:bCs/>
          <w:szCs w:val="24"/>
          <w:lang w:eastAsia="cs-CZ"/>
        </w:rPr>
      </w:pPr>
      <w:r>
        <w:rPr>
          <w:rFonts w:eastAsia="Times New Roman"/>
          <w:bCs/>
          <w:szCs w:val="24"/>
          <w:lang w:eastAsia="cs-CZ"/>
        </w:rPr>
        <w:t>Je-li předmětem posuzování byt</w:t>
      </w:r>
    </w:p>
    <w:p w:rsidR="00724322" w:rsidRDefault="00724322" w:rsidP="00724322">
      <w:pPr>
        <w:numPr>
          <w:ilvl w:val="0"/>
          <w:numId w:val="33"/>
        </w:numPr>
        <w:suppressAutoHyphens w:val="0"/>
        <w:spacing w:after="0" w:line="240" w:lineRule="auto"/>
        <w:jc w:val="both"/>
        <w:rPr>
          <w:rFonts w:eastAsia="Times New Roman"/>
          <w:bCs/>
          <w:szCs w:val="24"/>
          <w:lang w:eastAsia="cs-CZ"/>
        </w:rPr>
      </w:pPr>
      <w:r>
        <w:rPr>
          <w:rFonts w:eastAsia="Times New Roman"/>
          <w:bCs/>
          <w:szCs w:val="24"/>
          <w:lang w:eastAsia="cs-CZ"/>
        </w:rPr>
        <w:t>o podlahové ploše větší než 95,9 m</w:t>
      </w:r>
      <w:r>
        <w:rPr>
          <w:rFonts w:eastAsia="Times New Roman"/>
          <w:bCs/>
          <w:szCs w:val="24"/>
          <w:vertAlign w:val="superscript"/>
          <w:lang w:eastAsia="cs-CZ"/>
        </w:rPr>
        <w:t>2</w:t>
      </w:r>
      <w:r>
        <w:rPr>
          <w:rFonts w:eastAsia="Times New Roman"/>
          <w:bCs/>
          <w:szCs w:val="24"/>
          <w:lang w:eastAsia="cs-CZ"/>
        </w:rPr>
        <w:t xml:space="preserve">, je přiměřenost bytu s ohledem na velikost společně hospodařící domácnosti podle podlahové plochy bytu posuzována obdobně jako v tabulce 1 s ohledem na konkrétní situaci a počet členů společně hospodařící </w:t>
      </w:r>
      <w:bookmarkStart w:id="4" w:name="_GoBack"/>
      <w:r>
        <w:rPr>
          <w:rFonts w:eastAsia="Times New Roman"/>
          <w:bCs/>
          <w:szCs w:val="24"/>
          <w:lang w:eastAsia="cs-CZ"/>
        </w:rPr>
        <w:t>domácnosti, nebo</w:t>
      </w:r>
    </w:p>
    <w:bookmarkEnd w:id="4"/>
    <w:p w:rsidR="00724322" w:rsidRDefault="00724322" w:rsidP="00724322">
      <w:pPr>
        <w:numPr>
          <w:ilvl w:val="0"/>
          <w:numId w:val="33"/>
        </w:numPr>
        <w:suppressAutoHyphens w:val="0"/>
        <w:spacing w:after="0" w:line="240" w:lineRule="auto"/>
        <w:jc w:val="both"/>
        <w:rPr>
          <w:rFonts w:eastAsia="Times New Roman"/>
          <w:bCs/>
          <w:szCs w:val="24"/>
          <w:lang w:eastAsia="cs-CZ"/>
        </w:rPr>
      </w:pPr>
      <w:r>
        <w:rPr>
          <w:rFonts w:eastAsia="Times New Roman"/>
          <w:bCs/>
          <w:szCs w:val="24"/>
          <w:lang w:eastAsia="cs-CZ"/>
        </w:rPr>
        <w:t>o větším počtu obytných místností než 5, je přiměřenost bytu podle počtu obytných místností posuzována obdobně jako v tabulce 2 s ohledem na konkrétní situaci a počet členů společně hospodařící domácnosti.</w:t>
      </w:r>
      <w:r>
        <w:rPr>
          <w:rFonts w:eastAsia="Times New Roman"/>
          <w:szCs w:val="24"/>
          <w:lang w:eastAsia="cs-CZ"/>
        </w:rPr>
        <w:t>“.</w:t>
      </w:r>
    </w:p>
    <w:p w:rsidR="00724322" w:rsidRDefault="00724322" w:rsidP="00724322">
      <w:pPr>
        <w:suppressAutoHyphens w:val="0"/>
        <w:spacing w:before="100" w:beforeAutospacing="1" w:after="100" w:afterAutospacing="1" w:line="276" w:lineRule="auto"/>
        <w:rPr>
          <w:rFonts w:eastAsia="Times New Roman"/>
          <w:szCs w:val="24"/>
          <w:lang w:eastAsia="cs-CZ"/>
        </w:rPr>
      </w:pPr>
    </w:p>
    <w:p w:rsidR="00724322" w:rsidRDefault="00724322" w:rsidP="00724322">
      <w:pPr>
        <w:pStyle w:val="PS-uvodnodstavec"/>
        <w:spacing w:after="0"/>
        <w:ind w:firstLine="0"/>
      </w:pPr>
    </w:p>
    <w:p w:rsidR="00724322" w:rsidRDefault="00724322" w:rsidP="00724322">
      <w:pPr>
        <w:pStyle w:val="PS-uvodnodstavec"/>
        <w:spacing w:after="0"/>
        <w:ind w:firstLine="0"/>
      </w:pPr>
    </w:p>
    <w:p w:rsidR="00724322" w:rsidRDefault="00724322" w:rsidP="00724322">
      <w:pPr>
        <w:pStyle w:val="PS-uvodnodstavec"/>
        <w:spacing w:after="0"/>
        <w:ind w:firstLine="0"/>
      </w:pPr>
      <w:r>
        <w:tab/>
        <w:t>II.   z m o c ň u j e   zpravodajku výboru, aby</w:t>
      </w:r>
    </w:p>
    <w:p w:rsidR="00724322" w:rsidRDefault="00724322" w:rsidP="00724322">
      <w:pPr>
        <w:pStyle w:val="PS-uvodnodstavec"/>
        <w:numPr>
          <w:ilvl w:val="0"/>
          <w:numId w:val="34"/>
        </w:numPr>
        <w:spacing w:after="0"/>
      </w:pPr>
      <w:r>
        <w:t>se stanoviskem výboru seznámila schůzi Poslanecké sněmovny,</w:t>
      </w:r>
    </w:p>
    <w:p w:rsidR="00724322" w:rsidRDefault="00724322" w:rsidP="00724322">
      <w:pPr>
        <w:pStyle w:val="PS-uvodnodstavec"/>
        <w:numPr>
          <w:ilvl w:val="0"/>
          <w:numId w:val="34"/>
        </w:numPr>
        <w:spacing w:after="0"/>
      </w:pPr>
      <w:r>
        <w:t>ve spolupráci s legislativním odborem Kanceláře Poslanecké sněmovny provedla příslušné legislativně technické úpravy.</w:t>
      </w:r>
    </w:p>
    <w:p w:rsidR="00724322" w:rsidRDefault="00724322" w:rsidP="00724322">
      <w:pPr>
        <w:pStyle w:val="PS-uvodnodstavec"/>
        <w:spacing w:after="0"/>
        <w:ind w:firstLine="0"/>
      </w:pPr>
    </w:p>
    <w:p w:rsidR="00724322" w:rsidRDefault="00724322" w:rsidP="00724322">
      <w:pPr>
        <w:pStyle w:val="PS-uvodnodstavec"/>
        <w:spacing w:after="0"/>
        <w:ind w:firstLine="0"/>
      </w:pPr>
    </w:p>
    <w:p w:rsidR="00724322" w:rsidRDefault="00724322" w:rsidP="00724322">
      <w:pPr>
        <w:pStyle w:val="PS-uvodnodstavec"/>
        <w:spacing w:after="0"/>
        <w:ind w:firstLine="0"/>
      </w:pPr>
    </w:p>
    <w:p w:rsidR="00724322" w:rsidRDefault="00724322" w:rsidP="00724322">
      <w:pPr>
        <w:pStyle w:val="PS-uvodnodstavec"/>
        <w:widowControl w:val="0"/>
        <w:spacing w:after="0" w:line="240" w:lineRule="auto"/>
        <w:ind w:firstLine="0"/>
      </w:pPr>
    </w:p>
    <w:p w:rsidR="00724322" w:rsidRDefault="00724322" w:rsidP="00724322">
      <w:pPr>
        <w:pStyle w:val="PS-uvodnodstavec"/>
        <w:widowControl w:val="0"/>
        <w:spacing w:after="0" w:line="240" w:lineRule="auto"/>
        <w:ind w:firstLine="0"/>
      </w:pPr>
    </w:p>
    <w:p w:rsidR="00724322" w:rsidRDefault="00724322" w:rsidP="00724322">
      <w:pPr>
        <w:widowControl w:val="0"/>
        <w:tabs>
          <w:tab w:val="center" w:pos="1701"/>
          <w:tab w:val="center" w:pos="4536"/>
          <w:tab w:val="center" w:pos="7371"/>
        </w:tabs>
        <w:spacing w:after="0" w:line="240" w:lineRule="auto"/>
      </w:pPr>
      <w:r>
        <w:tab/>
        <w:t>Hana   A u l i c k á   J í r o v c o v</w:t>
      </w:r>
      <w:r w:rsidR="009E5E3A">
        <w:t> </w:t>
      </w:r>
      <w:r>
        <w:t>á</w:t>
      </w:r>
      <w:r w:rsidR="009E5E3A">
        <w:t xml:space="preserve"> ,   v. r.</w:t>
      </w:r>
      <w:r>
        <w:tab/>
      </w:r>
      <w:r>
        <w:tab/>
        <w:t xml:space="preserve">Olga   R i c h t e r o v á </w:t>
      </w:r>
      <w:r w:rsidR="009E5E3A">
        <w:t>,   v. r.</w:t>
      </w:r>
    </w:p>
    <w:p w:rsidR="00724322" w:rsidRDefault="00724322" w:rsidP="00724322">
      <w:pPr>
        <w:widowControl w:val="0"/>
        <w:tabs>
          <w:tab w:val="center" w:pos="1701"/>
          <w:tab w:val="center" w:pos="4536"/>
          <w:tab w:val="center" w:pos="7371"/>
        </w:tabs>
        <w:spacing w:after="0" w:line="240" w:lineRule="auto"/>
      </w:pPr>
      <w:r>
        <w:tab/>
        <w:t>ověřovatelka výboru</w:t>
      </w:r>
      <w:r>
        <w:tab/>
      </w:r>
      <w:r>
        <w:tab/>
        <w:t xml:space="preserve">zpravodajka výboru </w:t>
      </w:r>
    </w:p>
    <w:p w:rsidR="00724322" w:rsidRDefault="00724322" w:rsidP="00724322">
      <w:pPr>
        <w:widowControl w:val="0"/>
        <w:tabs>
          <w:tab w:val="center" w:pos="1701"/>
          <w:tab w:val="center" w:pos="4536"/>
          <w:tab w:val="center" w:pos="7371"/>
        </w:tabs>
        <w:spacing w:after="0" w:line="240" w:lineRule="auto"/>
      </w:pPr>
      <w:r>
        <w:tab/>
      </w:r>
      <w:r>
        <w:tab/>
      </w:r>
      <w:r>
        <w:tab/>
      </w:r>
    </w:p>
    <w:p w:rsidR="00724322" w:rsidRDefault="00724322" w:rsidP="00724322">
      <w:pPr>
        <w:widowControl w:val="0"/>
        <w:tabs>
          <w:tab w:val="center" w:pos="1701"/>
          <w:tab w:val="center" w:pos="4536"/>
          <w:tab w:val="center" w:pos="7371"/>
        </w:tabs>
        <w:spacing w:after="0" w:line="240" w:lineRule="auto"/>
      </w:pPr>
      <w:r>
        <w:tab/>
      </w:r>
      <w:r>
        <w:tab/>
      </w:r>
    </w:p>
    <w:p w:rsidR="00724322" w:rsidRDefault="00724322" w:rsidP="00724322">
      <w:pPr>
        <w:widowControl w:val="0"/>
        <w:tabs>
          <w:tab w:val="center" w:pos="1701"/>
          <w:tab w:val="center" w:pos="4536"/>
          <w:tab w:val="center" w:pos="7371"/>
        </w:tabs>
        <w:spacing w:after="0" w:line="240" w:lineRule="auto"/>
      </w:pPr>
    </w:p>
    <w:p w:rsidR="00724322" w:rsidRDefault="00724322" w:rsidP="00724322">
      <w:pPr>
        <w:widowControl w:val="0"/>
        <w:tabs>
          <w:tab w:val="center" w:pos="1701"/>
          <w:tab w:val="center" w:pos="4536"/>
          <w:tab w:val="center" w:pos="7371"/>
        </w:tabs>
        <w:spacing w:after="0" w:line="240" w:lineRule="auto"/>
      </w:pPr>
    </w:p>
    <w:p w:rsidR="00724322" w:rsidRDefault="00724322" w:rsidP="00724322">
      <w:pPr>
        <w:widowControl w:val="0"/>
        <w:tabs>
          <w:tab w:val="center" w:pos="1701"/>
          <w:tab w:val="center" w:pos="4536"/>
          <w:tab w:val="center" w:pos="7371"/>
        </w:tabs>
        <w:spacing w:after="0" w:line="240" w:lineRule="auto"/>
        <w:jc w:val="center"/>
      </w:pPr>
      <w:r>
        <w:t xml:space="preserve">Jana   P a s t u c h o v á </w:t>
      </w:r>
      <w:r w:rsidR="009E5E3A">
        <w:t>,   v. r.</w:t>
      </w:r>
    </w:p>
    <w:p w:rsidR="00724322" w:rsidRDefault="00724322" w:rsidP="00724322">
      <w:pPr>
        <w:widowControl w:val="0"/>
        <w:tabs>
          <w:tab w:val="center" w:pos="1701"/>
          <w:tab w:val="center" w:pos="4536"/>
          <w:tab w:val="center" w:pos="7371"/>
        </w:tabs>
        <w:spacing w:after="0" w:line="240" w:lineRule="auto"/>
        <w:jc w:val="center"/>
      </w:pPr>
      <w:r>
        <w:t>předsedkyně výboru</w:t>
      </w:r>
    </w:p>
    <w:p w:rsidR="00FF0A6A" w:rsidRDefault="00FF0A6A"/>
    <w:sectPr w:rsidR="00FF0A6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9F2" w:rsidRDefault="001F39F2" w:rsidP="00724322">
      <w:pPr>
        <w:spacing w:after="0" w:line="240" w:lineRule="auto"/>
      </w:pPr>
      <w:r>
        <w:separator/>
      </w:r>
    </w:p>
  </w:endnote>
  <w:endnote w:type="continuationSeparator" w:id="0">
    <w:p w:rsidR="001F39F2" w:rsidRDefault="001F39F2" w:rsidP="00724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964714"/>
      <w:docPartObj>
        <w:docPartGallery w:val="Page Numbers (Bottom of Page)"/>
        <w:docPartUnique/>
      </w:docPartObj>
    </w:sdtPr>
    <w:sdtContent>
      <w:p w:rsidR="007413C4" w:rsidRDefault="007413C4">
        <w:pPr>
          <w:pStyle w:val="Zpat"/>
          <w:jc w:val="center"/>
        </w:pPr>
        <w:r>
          <w:fldChar w:fldCharType="begin"/>
        </w:r>
        <w:r>
          <w:instrText>PAGE   \* MERGEFORMAT</w:instrText>
        </w:r>
        <w:r>
          <w:fldChar w:fldCharType="separate"/>
        </w:r>
        <w:r>
          <w:rPr>
            <w:noProof/>
          </w:rPr>
          <w:t>19</w:t>
        </w:r>
        <w:r>
          <w:fldChar w:fldCharType="end"/>
        </w:r>
      </w:p>
    </w:sdtContent>
  </w:sdt>
  <w:p w:rsidR="007413C4" w:rsidRDefault="007413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9F2" w:rsidRDefault="001F39F2" w:rsidP="00724322">
      <w:pPr>
        <w:spacing w:after="0" w:line="240" w:lineRule="auto"/>
      </w:pPr>
      <w:r>
        <w:separator/>
      </w:r>
    </w:p>
  </w:footnote>
  <w:footnote w:type="continuationSeparator" w:id="0">
    <w:p w:rsidR="001F39F2" w:rsidRDefault="001F39F2" w:rsidP="00724322">
      <w:pPr>
        <w:spacing w:after="0" w:line="240" w:lineRule="auto"/>
      </w:pPr>
      <w:r>
        <w:continuationSeparator/>
      </w:r>
    </w:p>
  </w:footnote>
  <w:footnote w:id="1">
    <w:p w:rsidR="000762B6" w:rsidRDefault="000762B6" w:rsidP="00724322">
      <w:pPr>
        <w:pStyle w:val="Schriftart9pt1"/>
        <w:rPr>
          <w:rFonts w:ascii="Times New Roman" w:hAnsi="Times New Roman"/>
        </w:rPr>
      </w:pPr>
      <w:r>
        <w:rPr>
          <w:rStyle w:val="Znakapoznpodarou"/>
          <w:rFonts w:ascii="Times New Roman" w:hAnsi="Times New Roman"/>
        </w:rPr>
        <w:footnoteRef/>
      </w:r>
      <w:r>
        <w:rPr>
          <w:rFonts w:ascii="Times New Roman" w:hAnsi="Times New Roman"/>
        </w:rPr>
        <w:t>) § 110 zákona č. 108/2006 Sb., o sociálních službách, ve znění pozdějších předpisů.</w:t>
      </w:r>
    </w:p>
  </w:footnote>
  <w:footnote w:id="2">
    <w:p w:rsidR="000762B6" w:rsidRDefault="000762B6" w:rsidP="00724322">
      <w:pPr>
        <w:pStyle w:val="Schriftart9pt1"/>
        <w:rPr>
          <w:rFonts w:ascii="Times New Roman" w:hAnsi="Times New Roman"/>
          <w:bCs/>
        </w:rPr>
      </w:pPr>
      <w:r>
        <w:rPr>
          <w:rStyle w:val="Znakapoznpodarou"/>
          <w:rFonts w:ascii="Times New Roman" w:hAnsi="Times New Roman"/>
          <w:bCs/>
        </w:rPr>
        <w:footnoteRef/>
      </w:r>
      <w:r>
        <w:rPr>
          <w:rFonts w:ascii="Times New Roman" w:hAnsi="Times New Roman"/>
          <w:bCs/>
        </w:rPr>
        <w:t>) § 2 odst. 1 zákona č. 151/1997 Sb., o oceňování majetku a změně některých zákonů (zákon o oceňování majetku),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045"/>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 w15:restartNumberingAfterBreak="0">
    <w:nsid w:val="04F424FB"/>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1F7761"/>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12225505"/>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4413FAA"/>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14FC3287"/>
    <w:multiLevelType w:val="hybridMultilevel"/>
    <w:tmpl w:val="8E586F6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15:restartNumberingAfterBreak="0">
    <w:nsid w:val="16FD2492"/>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1E043D03"/>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095282F"/>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9" w15:restartNumberingAfterBreak="0">
    <w:nsid w:val="228A493C"/>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73303E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1" w15:restartNumberingAfterBreak="0">
    <w:nsid w:val="27C857D2"/>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91846D5"/>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EB20C1C"/>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EB463B9"/>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5C7486A"/>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6" w15:restartNumberingAfterBreak="0">
    <w:nsid w:val="3A06361A"/>
    <w:multiLevelType w:val="hybridMultilevel"/>
    <w:tmpl w:val="106C7484"/>
    <w:lvl w:ilvl="0" w:tplc="C93A64F8">
      <w:start w:val="1"/>
      <w:numFmt w:val="lowerLetter"/>
      <w:lvlText w:val="%1)"/>
      <w:lvlJc w:val="left"/>
      <w:pPr>
        <w:ind w:left="720" w:hanging="360"/>
      </w:pPr>
      <w:rPr>
        <w:rFonts w:ascii="Times New Roman" w:hAnsi="Times New Roman" w:cs="Times New Roman" w:hint="default"/>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AF869AA"/>
    <w:multiLevelType w:val="hybridMultilevel"/>
    <w:tmpl w:val="9FDEB7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0402B66"/>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9" w15:restartNumberingAfterBreak="0">
    <w:nsid w:val="4D8D557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0" w15:restartNumberingAfterBreak="0">
    <w:nsid w:val="4E8E58C5"/>
    <w:multiLevelType w:val="hybridMultilevel"/>
    <w:tmpl w:val="FAD6A1A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4AC1E8B"/>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2" w15:restartNumberingAfterBreak="0">
    <w:nsid w:val="592A6994"/>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3" w15:restartNumberingAfterBreak="0">
    <w:nsid w:val="5AC50203"/>
    <w:multiLevelType w:val="multilevel"/>
    <w:tmpl w:val="EE5CFF1E"/>
    <w:lvl w:ilvl="0">
      <w:start w:val="1"/>
      <w:numFmt w:val="lowerLetter"/>
      <w:lvlText w:val="%1)"/>
      <w:lvlJc w:val="left"/>
      <w:pPr>
        <w:ind w:left="928" w:hanging="360"/>
      </w:pPr>
      <w:rPr>
        <w:rFonts w:ascii="Times New Roman" w:eastAsia="Calibri" w:hAnsi="Times New Roman" w:cs="Calibri"/>
      </w:rPr>
    </w:lvl>
    <w:lvl w:ilvl="1">
      <w:start w:val="1"/>
      <w:numFmt w:val="lowerLetter"/>
      <w:lvlText w:val="%2)"/>
      <w:lvlJc w:val="left"/>
      <w:pPr>
        <w:ind w:left="502"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F90DF7"/>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5" w15:restartNumberingAfterBreak="0">
    <w:nsid w:val="65EA1DEA"/>
    <w:multiLevelType w:val="hybridMultilevel"/>
    <w:tmpl w:val="873EC3B2"/>
    <w:lvl w:ilvl="0" w:tplc="04050017">
      <w:start w:val="1"/>
      <w:numFmt w:val="lowerLetter"/>
      <w:lvlText w:val="%1)"/>
      <w:lvlJc w:val="left"/>
      <w:pPr>
        <w:ind w:left="720" w:hanging="360"/>
      </w:pPr>
    </w:lvl>
    <w:lvl w:ilvl="1" w:tplc="95880098">
      <w:start w:val="1"/>
      <w:numFmt w:val="decimal"/>
      <w:lvlText w:val="%2."/>
      <w:lvlJc w:val="left"/>
      <w:pPr>
        <w:ind w:left="1440" w:hanging="360"/>
      </w:pPr>
      <w:rPr>
        <w:rFonts w:cstheme="minorBidi"/>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FC23D6F"/>
    <w:multiLevelType w:val="hybridMultilevel"/>
    <w:tmpl w:val="C666EAF2"/>
    <w:lvl w:ilvl="0" w:tplc="1332BEA2">
      <w:start w:val="2"/>
      <w:numFmt w:val="bullet"/>
      <w:lvlText w:val="-"/>
      <w:lvlJc w:val="left"/>
      <w:pPr>
        <w:ind w:left="360" w:hanging="360"/>
      </w:pPr>
      <w:rPr>
        <w:rFonts w:ascii="Times New Roman" w:eastAsia="Calibri"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15:restartNumberingAfterBreak="0">
    <w:nsid w:val="71174166"/>
    <w:multiLevelType w:val="hybridMultilevel"/>
    <w:tmpl w:val="E30031EE"/>
    <w:lvl w:ilvl="0" w:tplc="866C8198">
      <w:start w:val="1"/>
      <w:numFmt w:val="upperRoman"/>
      <w:lvlText w:val="%1."/>
      <w:lvlJc w:val="right"/>
      <w:pPr>
        <w:ind w:left="1080" w:hanging="72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2B0270C"/>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9" w15:restartNumberingAfterBreak="0">
    <w:nsid w:val="73AF553E"/>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0" w15:restartNumberingAfterBreak="0">
    <w:nsid w:val="75811C42"/>
    <w:multiLevelType w:val="multilevel"/>
    <w:tmpl w:val="067E531A"/>
    <w:lvl w:ilvl="0">
      <w:start w:val="1"/>
      <w:numFmt w:val="decimal"/>
      <w:lvlText w:val="%1."/>
      <w:lvlJc w:val="left"/>
      <w:pPr>
        <w:ind w:left="720" w:hanging="360"/>
      </w:pPr>
    </w:lvl>
    <w:lvl w:ilvl="1">
      <w:start w:val="1"/>
      <w:numFmt w:val="lowerLetter"/>
      <w:lvlText w:val="%2)"/>
      <w:lvlJc w:val="left"/>
      <w:pPr>
        <w:ind w:left="1069" w:hanging="360"/>
      </w:pPr>
      <w:rPr>
        <w:color w:val="auto"/>
      </w:rPr>
    </w:lvl>
    <w:lvl w:ilvl="2">
      <w:start w:val="1"/>
      <w:numFmt w:val="decimal"/>
      <w:isLgl/>
      <w:lvlText w:val="%1.%2.%3."/>
      <w:lvlJc w:val="left"/>
      <w:pPr>
        <w:ind w:left="1778" w:hanging="720"/>
      </w:pPr>
      <w:rPr>
        <w:rFonts w:eastAsiaTheme="minorHAnsi"/>
        <w:color w:val="auto"/>
      </w:rPr>
    </w:lvl>
    <w:lvl w:ilvl="3">
      <w:start w:val="1"/>
      <w:numFmt w:val="decimal"/>
      <w:isLgl/>
      <w:lvlText w:val="%1.%2.%3.%4."/>
      <w:lvlJc w:val="left"/>
      <w:pPr>
        <w:ind w:left="2127" w:hanging="720"/>
      </w:pPr>
      <w:rPr>
        <w:rFonts w:eastAsiaTheme="minorHAnsi"/>
        <w:color w:val="auto"/>
      </w:rPr>
    </w:lvl>
    <w:lvl w:ilvl="4">
      <w:start w:val="1"/>
      <w:numFmt w:val="decimal"/>
      <w:isLgl/>
      <w:lvlText w:val="%1.%2.%3.%4.%5."/>
      <w:lvlJc w:val="left"/>
      <w:pPr>
        <w:ind w:left="2836" w:hanging="1080"/>
      </w:pPr>
      <w:rPr>
        <w:rFonts w:eastAsiaTheme="minorHAnsi"/>
        <w:color w:val="auto"/>
      </w:rPr>
    </w:lvl>
    <w:lvl w:ilvl="5">
      <w:start w:val="1"/>
      <w:numFmt w:val="decimal"/>
      <w:isLgl/>
      <w:lvlText w:val="%1.%2.%3.%4.%5.%6."/>
      <w:lvlJc w:val="left"/>
      <w:pPr>
        <w:ind w:left="3185" w:hanging="1080"/>
      </w:pPr>
      <w:rPr>
        <w:rFonts w:eastAsiaTheme="minorHAnsi"/>
        <w:color w:val="auto"/>
      </w:rPr>
    </w:lvl>
    <w:lvl w:ilvl="6">
      <w:start w:val="1"/>
      <w:numFmt w:val="decimal"/>
      <w:isLgl/>
      <w:lvlText w:val="%1.%2.%3.%4.%5.%6.%7."/>
      <w:lvlJc w:val="left"/>
      <w:pPr>
        <w:ind w:left="3894" w:hanging="1440"/>
      </w:pPr>
      <w:rPr>
        <w:rFonts w:eastAsiaTheme="minorHAnsi"/>
        <w:color w:val="auto"/>
      </w:rPr>
    </w:lvl>
    <w:lvl w:ilvl="7">
      <w:start w:val="1"/>
      <w:numFmt w:val="decimal"/>
      <w:isLgl/>
      <w:lvlText w:val="%1.%2.%3.%4.%5.%6.%7.%8."/>
      <w:lvlJc w:val="left"/>
      <w:pPr>
        <w:ind w:left="4243" w:hanging="1440"/>
      </w:pPr>
      <w:rPr>
        <w:rFonts w:eastAsiaTheme="minorHAnsi"/>
        <w:color w:val="auto"/>
      </w:rPr>
    </w:lvl>
    <w:lvl w:ilvl="8">
      <w:start w:val="1"/>
      <w:numFmt w:val="decimal"/>
      <w:isLgl/>
      <w:lvlText w:val="%1.%2.%3.%4.%5.%6.%7.%8.%9."/>
      <w:lvlJc w:val="left"/>
      <w:pPr>
        <w:ind w:left="4952" w:hanging="1800"/>
      </w:pPr>
      <w:rPr>
        <w:rFonts w:eastAsiaTheme="minorHAnsi"/>
        <w:color w:val="auto"/>
      </w:rPr>
    </w:lvl>
  </w:abstractNum>
  <w:abstractNum w:abstractNumId="31" w15:restartNumberingAfterBreak="0">
    <w:nsid w:val="7D5325F6"/>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E380126"/>
    <w:multiLevelType w:val="hybridMultilevel"/>
    <w:tmpl w:val="F1980602"/>
    <w:lvl w:ilvl="0" w:tplc="CADC05CA">
      <w:start w:val="1"/>
      <w:numFmt w:val="decimal"/>
      <w:lvlText w:val="(%1)"/>
      <w:lvlJc w:val="left"/>
      <w:pPr>
        <w:ind w:left="396" w:hanging="396"/>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3" w15:restartNumberingAfterBreak="0">
    <w:nsid w:val="7F7D43E8"/>
    <w:multiLevelType w:val="hybridMultilevel"/>
    <w:tmpl w:val="EEF4C0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322"/>
    <w:rsid w:val="000762B6"/>
    <w:rsid w:val="001168E4"/>
    <w:rsid w:val="001F39F2"/>
    <w:rsid w:val="0027193C"/>
    <w:rsid w:val="0054005C"/>
    <w:rsid w:val="00591227"/>
    <w:rsid w:val="00724322"/>
    <w:rsid w:val="007413C4"/>
    <w:rsid w:val="007F233E"/>
    <w:rsid w:val="009E5E3A"/>
    <w:rsid w:val="00BA1D4D"/>
    <w:rsid w:val="00DB3FD6"/>
    <w:rsid w:val="00FF0A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11DEF"/>
  <w15:chartTrackingRefBased/>
  <w15:docId w15:val="{EF9A0DF7-F5C6-41B6-BC3A-5546EA3E1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4322"/>
    <w:pPr>
      <w:suppressAutoHyphens/>
      <w:spacing w:line="254" w:lineRule="auto"/>
    </w:pPr>
    <w:rPr>
      <w:rFonts w:ascii="Times New Roman" w:eastAsia="Calibri" w:hAnsi="Times New Roman"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oznpodarouChar">
    <w:name w:val="Text pozn. pod čarou Char"/>
    <w:basedOn w:val="Standardnpsmoodstavce"/>
    <w:link w:val="Schriftart9pt1"/>
    <w:uiPriority w:val="99"/>
    <w:semiHidden/>
    <w:locked/>
    <w:rsid w:val="00724322"/>
  </w:style>
  <w:style w:type="paragraph" w:customStyle="1" w:styleId="PS-hlavika1">
    <w:name w:val="PS-hlavička 1"/>
    <w:basedOn w:val="Normln"/>
    <w:qFormat/>
    <w:rsid w:val="00724322"/>
    <w:pPr>
      <w:spacing w:after="0" w:line="240" w:lineRule="auto"/>
      <w:jc w:val="center"/>
    </w:pPr>
    <w:rPr>
      <w:b/>
      <w:i/>
    </w:rPr>
  </w:style>
  <w:style w:type="paragraph" w:customStyle="1" w:styleId="PS-hlavika2">
    <w:name w:val="PS-hlavička 2"/>
    <w:basedOn w:val="Normln"/>
    <w:qFormat/>
    <w:rsid w:val="00724322"/>
    <w:pPr>
      <w:spacing w:after="0" w:line="240" w:lineRule="auto"/>
      <w:jc w:val="center"/>
    </w:pPr>
    <w:rPr>
      <w:b/>
      <w:i/>
      <w:caps/>
      <w:sz w:val="36"/>
    </w:rPr>
  </w:style>
  <w:style w:type="paragraph" w:customStyle="1" w:styleId="PS-slousnesen">
    <w:name w:val="PS-číslo usnesení"/>
    <w:basedOn w:val="Normln"/>
    <w:qFormat/>
    <w:rsid w:val="00724322"/>
    <w:pPr>
      <w:spacing w:before="360" w:after="360" w:line="240" w:lineRule="auto"/>
      <w:jc w:val="center"/>
    </w:pPr>
    <w:rPr>
      <w:b/>
      <w:i/>
    </w:rPr>
  </w:style>
  <w:style w:type="paragraph" w:customStyle="1" w:styleId="PS-hlavika3">
    <w:name w:val="PS-hlavička 3"/>
    <w:basedOn w:val="Normln"/>
    <w:qFormat/>
    <w:rsid w:val="00724322"/>
    <w:pPr>
      <w:spacing w:after="0" w:line="240" w:lineRule="auto"/>
      <w:jc w:val="center"/>
    </w:pPr>
    <w:rPr>
      <w:b/>
      <w:i/>
      <w:caps/>
      <w:sz w:val="32"/>
    </w:rPr>
  </w:style>
  <w:style w:type="paragraph" w:customStyle="1" w:styleId="PS-pedmtusnesen">
    <w:name w:val="PS-předmět usnesení"/>
    <w:basedOn w:val="Normln"/>
    <w:qFormat/>
    <w:rsid w:val="00724322"/>
    <w:pPr>
      <w:pBdr>
        <w:bottom w:val="single" w:sz="4" w:space="12" w:color="00000A"/>
      </w:pBdr>
      <w:spacing w:before="240" w:after="400" w:line="240" w:lineRule="auto"/>
      <w:jc w:val="center"/>
    </w:pPr>
  </w:style>
  <w:style w:type="paragraph" w:customStyle="1" w:styleId="PS-uvodnodstavec">
    <w:name w:val="PS-uvodní odstavec"/>
    <w:basedOn w:val="Normln"/>
    <w:qFormat/>
    <w:rsid w:val="00724322"/>
    <w:pPr>
      <w:spacing w:after="360"/>
      <w:ind w:firstLine="709"/>
      <w:jc w:val="both"/>
    </w:pPr>
  </w:style>
  <w:style w:type="paragraph" w:customStyle="1" w:styleId="Schriftart9pt1">
    <w:name w:val="Schriftart: 9 pt1"/>
    <w:basedOn w:val="Normln"/>
    <w:next w:val="Textpoznpodarou"/>
    <w:link w:val="TextpoznpodarouChar"/>
    <w:uiPriority w:val="99"/>
    <w:semiHidden/>
    <w:rsid w:val="00724322"/>
    <w:pPr>
      <w:suppressAutoHyphens w:val="0"/>
      <w:spacing w:after="0" w:line="240" w:lineRule="auto"/>
    </w:pPr>
    <w:rPr>
      <w:rFonts w:asciiTheme="minorHAnsi" w:eastAsiaTheme="minorHAnsi" w:hAnsiTheme="minorHAnsi" w:cstheme="minorBidi"/>
      <w:sz w:val="22"/>
    </w:rPr>
  </w:style>
  <w:style w:type="character" w:styleId="Znakapoznpodarou">
    <w:name w:val="footnote reference"/>
    <w:aliases w:val="BVI fnr,Footnote symbol"/>
    <w:basedOn w:val="Standardnpsmoodstavce"/>
    <w:uiPriority w:val="99"/>
    <w:semiHidden/>
    <w:unhideWhenUsed/>
    <w:rsid w:val="00724322"/>
    <w:rPr>
      <w:vertAlign w:val="superscript"/>
    </w:rPr>
  </w:style>
  <w:style w:type="paragraph" w:styleId="Textpoznpodarou">
    <w:name w:val="footnote text"/>
    <w:basedOn w:val="Normln"/>
    <w:link w:val="TextpoznpodarouChar1"/>
    <w:uiPriority w:val="99"/>
    <w:semiHidden/>
    <w:unhideWhenUsed/>
    <w:rsid w:val="00724322"/>
    <w:pPr>
      <w:spacing w:after="0" w:line="240" w:lineRule="auto"/>
    </w:pPr>
    <w:rPr>
      <w:sz w:val="20"/>
      <w:szCs w:val="20"/>
    </w:rPr>
  </w:style>
  <w:style w:type="character" w:customStyle="1" w:styleId="TextpoznpodarouChar1">
    <w:name w:val="Text pozn. pod čarou Char1"/>
    <w:basedOn w:val="Standardnpsmoodstavce"/>
    <w:link w:val="Textpoznpodarou"/>
    <w:uiPriority w:val="99"/>
    <w:semiHidden/>
    <w:rsid w:val="00724322"/>
    <w:rPr>
      <w:rFonts w:ascii="Times New Roman" w:eastAsia="Calibri" w:hAnsi="Times New Roman" w:cs="Times New Roman"/>
      <w:sz w:val="20"/>
      <w:szCs w:val="20"/>
    </w:rPr>
  </w:style>
  <w:style w:type="paragraph" w:styleId="Zhlav">
    <w:name w:val="header"/>
    <w:basedOn w:val="Normln"/>
    <w:link w:val="ZhlavChar"/>
    <w:uiPriority w:val="99"/>
    <w:unhideWhenUsed/>
    <w:rsid w:val="007413C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13C4"/>
    <w:rPr>
      <w:rFonts w:ascii="Times New Roman" w:eastAsia="Calibri" w:hAnsi="Times New Roman" w:cs="Times New Roman"/>
      <w:sz w:val="24"/>
    </w:rPr>
  </w:style>
  <w:style w:type="paragraph" w:styleId="Zpat">
    <w:name w:val="footer"/>
    <w:basedOn w:val="Normln"/>
    <w:link w:val="ZpatChar"/>
    <w:uiPriority w:val="99"/>
    <w:unhideWhenUsed/>
    <w:rsid w:val="007413C4"/>
    <w:pPr>
      <w:tabs>
        <w:tab w:val="center" w:pos="4536"/>
        <w:tab w:val="right" w:pos="9072"/>
      </w:tabs>
      <w:spacing w:after="0" w:line="240" w:lineRule="auto"/>
    </w:pPr>
  </w:style>
  <w:style w:type="character" w:customStyle="1" w:styleId="ZpatChar">
    <w:name w:val="Zápatí Char"/>
    <w:basedOn w:val="Standardnpsmoodstavce"/>
    <w:link w:val="Zpat"/>
    <w:uiPriority w:val="99"/>
    <w:rsid w:val="007413C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6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6223</Words>
  <Characters>36718</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 Ivan</dc:creator>
  <cp:keywords/>
  <dc:description/>
  <cp:lastModifiedBy>Prokopova Helena</cp:lastModifiedBy>
  <cp:revision>3</cp:revision>
  <cp:lastPrinted>2021-06-23T09:31:00Z</cp:lastPrinted>
  <dcterms:created xsi:type="dcterms:W3CDTF">2021-06-23T09:31:00Z</dcterms:created>
  <dcterms:modified xsi:type="dcterms:W3CDTF">2021-06-23T09:43:00Z</dcterms:modified>
</cp:coreProperties>
</file>