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9.7 -->
  <w:body>
    <w:p w:rsidR="00952E35" w:rsidRPr="00034426" w:rsidP="00952E35" w14:paraId="71FA76BD" w14:textId="03D4233E">
      <w:pPr>
        <w:jc w:val="center"/>
        <w:rPr>
          <w:rFonts w:ascii="Arial" w:hAnsi="Arial" w:cs="Arial"/>
          <w:b/>
          <w:sz w:val="24"/>
          <w:szCs w:val="24"/>
          <w:u w:val="single"/>
        </w:rPr>
      </w:pPr>
      <w:r w:rsidRPr="00034426">
        <w:rPr>
          <w:rFonts w:ascii="Arial" w:hAnsi="Arial" w:cs="Arial"/>
          <w:b/>
          <w:sz w:val="24"/>
          <w:szCs w:val="24"/>
          <w:u w:val="single"/>
        </w:rPr>
        <w:t>TEZE</w:t>
      </w:r>
    </w:p>
    <w:p w:rsidR="00952E35" w:rsidP="00E55CF9" w14:paraId="30AA35CF" w14:textId="76835053">
      <w:pPr>
        <w:spacing w:after="200" w:line="276" w:lineRule="auto"/>
        <w:jc w:val="center"/>
        <w:rPr>
          <w:rFonts w:ascii="Arial" w:hAnsi="Arial" w:cs="Arial"/>
          <w:b/>
          <w:sz w:val="24"/>
          <w:szCs w:val="24"/>
          <w:u w:val="single"/>
        </w:rPr>
      </w:pPr>
      <w:r w:rsidRPr="00034426">
        <w:rPr>
          <w:rFonts w:ascii="Arial" w:hAnsi="Arial" w:cs="Arial"/>
          <w:b/>
          <w:sz w:val="24"/>
          <w:szCs w:val="24"/>
          <w:u w:val="single"/>
        </w:rPr>
        <w:t>Prováděcí právní předpis k</w:t>
      </w:r>
      <w:r w:rsidR="00D70531">
        <w:rPr>
          <w:rFonts w:ascii="Arial" w:hAnsi="Arial" w:cs="Arial"/>
          <w:b/>
          <w:sz w:val="24"/>
          <w:szCs w:val="24"/>
          <w:u w:val="single"/>
        </w:rPr>
        <w:t> návrhu novely</w:t>
      </w:r>
      <w:r>
        <w:rPr>
          <w:rFonts w:ascii="Arial" w:hAnsi="Arial" w:cs="Arial"/>
          <w:b/>
          <w:sz w:val="24"/>
          <w:szCs w:val="24"/>
          <w:u w:val="single"/>
        </w:rPr>
        <w:t xml:space="preserve"> zákona</w:t>
      </w:r>
      <w:r w:rsidR="00D70531">
        <w:rPr>
          <w:rFonts w:ascii="Arial" w:hAnsi="Arial" w:cs="Arial"/>
          <w:b/>
          <w:sz w:val="24"/>
          <w:szCs w:val="24"/>
          <w:u w:val="single"/>
        </w:rPr>
        <w:t xml:space="preserve"> č. 73/2012 Sb.</w:t>
      </w:r>
      <w:r w:rsidR="00306BA5">
        <w:rPr>
          <w:rFonts w:ascii="Arial" w:hAnsi="Arial" w:cs="Arial"/>
          <w:b/>
          <w:sz w:val="24"/>
          <w:szCs w:val="24"/>
          <w:u w:val="single"/>
        </w:rPr>
        <w:t>,</w:t>
      </w:r>
      <w:r w:rsidR="00D70531">
        <w:rPr>
          <w:rFonts w:ascii="Arial" w:hAnsi="Arial" w:cs="Arial"/>
          <w:b/>
          <w:sz w:val="24"/>
          <w:szCs w:val="24"/>
          <w:u w:val="single"/>
        </w:rPr>
        <w:t xml:space="preserve"> </w:t>
      </w:r>
      <w:r w:rsidRPr="00D70531" w:rsidR="00D70531">
        <w:rPr>
          <w:rFonts w:ascii="Arial" w:hAnsi="Arial" w:cs="Arial"/>
          <w:b/>
          <w:sz w:val="24"/>
          <w:szCs w:val="24"/>
          <w:u w:val="single"/>
        </w:rPr>
        <w:t>o látkách, které poškozuj</w:t>
      </w:r>
      <w:r w:rsidR="00D70531">
        <w:rPr>
          <w:rFonts w:ascii="Arial" w:hAnsi="Arial" w:cs="Arial"/>
          <w:b/>
          <w:sz w:val="24"/>
          <w:szCs w:val="24"/>
          <w:u w:val="single"/>
        </w:rPr>
        <w:t>í</w:t>
      </w:r>
      <w:r w:rsidRPr="00D70531" w:rsidR="00D70531">
        <w:rPr>
          <w:rFonts w:ascii="Arial" w:hAnsi="Arial" w:cs="Arial"/>
          <w:b/>
          <w:sz w:val="24"/>
          <w:szCs w:val="24"/>
          <w:u w:val="single"/>
        </w:rPr>
        <w:t xml:space="preserve"> ozonovou vrstvu, a o fluorovaných skleníkových plynech</w:t>
      </w:r>
    </w:p>
    <w:tbl>
      <w:tblPr>
        <w:tblStyle w:val="TableGrid"/>
        <w:tblpPr w:leftFromText="141" w:rightFromText="141" w:vertAnchor="page" w:horzAnchor="margin" w:tblpY="3346"/>
        <w:tblW w:w="4925" w:type="pct"/>
        <w:tblLook w:val="04A0"/>
      </w:tblPr>
      <w:tblGrid>
        <w:gridCol w:w="4390"/>
        <w:gridCol w:w="4536"/>
      </w:tblGrid>
      <w:tr w14:paraId="29C6EF31" w14:textId="77777777" w:rsidTr="0063709F">
        <w:tblPrEx>
          <w:tblW w:w="4925" w:type="pct"/>
          <w:tblLook w:val="04A0"/>
        </w:tblPrEx>
        <w:tc>
          <w:tcPr>
            <w:tcW w:w="2459" w:type="pct"/>
          </w:tcPr>
          <w:p w:rsidR="00022E34" w:rsidRPr="00CF3DFA" w:rsidP="00E55CF9" w14:paraId="0CDF1780" w14:textId="77777777">
            <w:pPr>
              <w:jc w:val="both"/>
              <w:rPr>
                <w:rFonts w:ascii="Arial" w:hAnsi="Arial" w:cs="Arial"/>
                <w:b/>
              </w:rPr>
            </w:pPr>
            <w:r w:rsidRPr="00CF3DFA">
              <w:rPr>
                <w:rFonts w:ascii="Arial" w:hAnsi="Arial" w:cs="Arial"/>
                <w:b/>
              </w:rPr>
              <w:t>Vyhláška</w:t>
            </w:r>
          </w:p>
        </w:tc>
        <w:tc>
          <w:tcPr>
            <w:tcW w:w="2541" w:type="pct"/>
          </w:tcPr>
          <w:p w:rsidR="00022E34" w:rsidRPr="00CF3DFA" w:rsidP="00E55CF9" w14:paraId="6595400C" w14:textId="77777777">
            <w:pPr>
              <w:jc w:val="both"/>
              <w:rPr>
                <w:rFonts w:ascii="Arial" w:hAnsi="Arial" w:cs="Arial"/>
                <w:b/>
              </w:rPr>
            </w:pPr>
            <w:r w:rsidRPr="00CF3DFA">
              <w:rPr>
                <w:rFonts w:ascii="Arial" w:hAnsi="Arial" w:cs="Arial"/>
                <w:b/>
              </w:rPr>
              <w:t>Existující vyhláška</w:t>
            </w:r>
          </w:p>
        </w:tc>
      </w:tr>
      <w:tr w14:paraId="36B62AEE" w14:textId="77777777" w:rsidTr="0063709F">
        <w:tblPrEx>
          <w:tblW w:w="4925" w:type="pct"/>
          <w:tblLook w:val="04A0"/>
        </w:tblPrEx>
        <w:tc>
          <w:tcPr>
            <w:tcW w:w="2459" w:type="pct"/>
          </w:tcPr>
          <w:p w:rsidR="00022E34" w:rsidRPr="00CF3DFA" w:rsidP="0063709F" w14:paraId="4FD2F4AE" w14:textId="39E65E2B">
            <w:pPr>
              <w:rPr>
                <w:rFonts w:ascii="Arial" w:hAnsi="Arial" w:cs="Arial"/>
                <w:b/>
                <w:u w:val="single"/>
              </w:rPr>
            </w:pPr>
            <w:r>
              <w:rPr>
                <w:rFonts w:ascii="Arial" w:hAnsi="Arial" w:cs="Arial"/>
              </w:rPr>
              <w:t>Vyhláška, kterou se mění vyhláška č.</w:t>
            </w:r>
            <w:r w:rsidR="00BC3819">
              <w:rPr>
                <w:rFonts w:ascii="Arial" w:hAnsi="Arial" w:cs="Arial"/>
              </w:rPr>
              <w:t> </w:t>
            </w:r>
            <w:r w:rsidR="0063709F">
              <w:rPr>
                <w:rFonts w:ascii="Arial" w:hAnsi="Arial" w:cs="Arial"/>
              </w:rPr>
              <w:t>257/2012 Sb.</w:t>
            </w:r>
            <w:r w:rsidR="00306BA5">
              <w:rPr>
                <w:rFonts w:ascii="Arial" w:hAnsi="Arial" w:cs="Arial"/>
              </w:rPr>
              <w:t>,</w:t>
            </w:r>
            <w:r w:rsidR="0063709F">
              <w:rPr>
                <w:rFonts w:ascii="Arial" w:hAnsi="Arial" w:cs="Arial"/>
              </w:rPr>
              <w:t xml:space="preserve"> o předcházení emisím látek, které poškozují ozonovou vrstvu, a</w:t>
            </w:r>
            <w:r w:rsidR="00BC3819">
              <w:rPr>
                <w:rFonts w:ascii="Arial" w:hAnsi="Arial" w:cs="Arial"/>
              </w:rPr>
              <w:t> </w:t>
            </w:r>
            <w:r w:rsidR="0063709F">
              <w:rPr>
                <w:rFonts w:ascii="Arial" w:hAnsi="Arial" w:cs="Arial"/>
              </w:rPr>
              <w:t>fluorovaných skleníkových plynech</w:t>
            </w:r>
            <w:r w:rsidR="00C23609">
              <w:rPr>
                <w:rFonts w:ascii="Arial" w:hAnsi="Arial" w:cs="Arial"/>
              </w:rPr>
              <w:t>, ve znění pozdějších předpisů</w:t>
            </w:r>
          </w:p>
        </w:tc>
        <w:tc>
          <w:tcPr>
            <w:tcW w:w="2541" w:type="pct"/>
          </w:tcPr>
          <w:p w:rsidR="00022E34" w:rsidRPr="00CF3DFA" w:rsidP="008513F8" w14:paraId="6B0194CB" w14:textId="55B75D4E">
            <w:pPr>
              <w:rPr>
                <w:rFonts w:ascii="Arial" w:hAnsi="Arial" w:cs="Arial"/>
                <w:b/>
                <w:u w:val="single"/>
              </w:rPr>
            </w:pPr>
            <w:r w:rsidRPr="00D86BD1">
              <w:rPr>
                <w:rFonts w:ascii="Arial" w:hAnsi="Arial" w:cs="Arial"/>
              </w:rPr>
              <w:t xml:space="preserve">Vyhláška č. </w:t>
            </w:r>
            <w:r w:rsidR="0063709F">
              <w:rPr>
                <w:rFonts w:ascii="Arial" w:hAnsi="Arial" w:cs="Arial"/>
              </w:rPr>
              <w:t>257/2012 Sb.</w:t>
            </w:r>
            <w:r w:rsidR="00306BA5">
              <w:rPr>
                <w:rFonts w:ascii="Arial" w:hAnsi="Arial" w:cs="Arial"/>
              </w:rPr>
              <w:t>,</w:t>
            </w:r>
            <w:r w:rsidR="0063709F">
              <w:rPr>
                <w:rFonts w:ascii="Arial" w:hAnsi="Arial" w:cs="Arial"/>
              </w:rPr>
              <w:t xml:space="preserve"> o předcházení emisím látek, které poškozují ozonovou vrstvu, a fluorovaných skleníkových plynech</w:t>
            </w:r>
          </w:p>
        </w:tc>
      </w:tr>
    </w:tbl>
    <w:p w:rsidR="00E55CF9" w:rsidRPr="00952E35" w:rsidP="00952E35" w14:paraId="0599B79E" w14:textId="77777777">
      <w:pPr>
        <w:spacing w:after="200"/>
        <w:jc w:val="center"/>
        <w:rPr>
          <w:rFonts w:ascii="Arial" w:hAnsi="Arial" w:cs="Arial"/>
          <w:b/>
          <w:sz w:val="24"/>
          <w:szCs w:val="24"/>
          <w:u w:val="single"/>
        </w:rPr>
      </w:pPr>
    </w:p>
    <w:p w:rsidR="0050669E" w:rsidP="00743BFA" w14:paraId="7525E2FD" w14:textId="77777777">
      <w:pPr>
        <w:rPr>
          <w:rFonts w:ascii="Arial" w:hAnsi="Arial" w:cs="Arial"/>
          <w:b/>
          <w:color w:val="808080" w:themeColor="background1" w:themeShade="80"/>
          <w:u w:val="single"/>
        </w:rPr>
      </w:pPr>
    </w:p>
    <w:p w:rsidR="0050669E" w:rsidRPr="0050669E" w:rsidP="005C54C6" w14:paraId="498205C3" w14:textId="5D059307">
      <w:pPr>
        <w:jc w:val="both"/>
        <w:rPr>
          <w:rFonts w:ascii="Arial" w:hAnsi="Arial" w:cs="Arial"/>
          <w:b/>
          <w:u w:val="single"/>
        </w:rPr>
      </w:pPr>
      <w:r>
        <w:rPr>
          <w:rFonts w:ascii="Arial" w:hAnsi="Arial" w:cs="Arial"/>
          <w:b/>
          <w:u w:val="single"/>
        </w:rPr>
        <w:t>Vyhláška, kterou se mění vyhláška č. 257/2012 Sb.</w:t>
      </w:r>
      <w:r w:rsidR="00306BA5">
        <w:rPr>
          <w:rFonts w:ascii="Arial" w:hAnsi="Arial" w:cs="Arial"/>
          <w:b/>
          <w:u w:val="single"/>
        </w:rPr>
        <w:t>,</w:t>
      </w:r>
      <w:r>
        <w:rPr>
          <w:rFonts w:ascii="Arial" w:hAnsi="Arial" w:cs="Arial"/>
          <w:b/>
          <w:u w:val="single"/>
        </w:rPr>
        <w:t xml:space="preserve"> o předcháze</w:t>
      </w:r>
      <w:r w:rsidR="007118D9">
        <w:rPr>
          <w:rFonts w:ascii="Arial" w:hAnsi="Arial" w:cs="Arial"/>
          <w:b/>
          <w:u w:val="single"/>
        </w:rPr>
        <w:t>ní emisím látek, které poškozují ozonovou vrstvu, a fluorovaných skleníkových plynech</w:t>
      </w:r>
      <w:r w:rsidR="00C23609">
        <w:rPr>
          <w:rFonts w:ascii="Arial" w:hAnsi="Arial" w:cs="Arial"/>
          <w:b/>
          <w:u w:val="single"/>
        </w:rPr>
        <w:t>, ve znění pozdějších předpisů</w:t>
      </w:r>
    </w:p>
    <w:p w:rsidR="007118D9" w:rsidRPr="007118D9" w:rsidP="008D2572" w14:paraId="1C23DB70" w14:textId="24F0E207">
      <w:pPr>
        <w:spacing w:line="240" w:lineRule="auto"/>
        <w:jc w:val="both"/>
        <w:rPr>
          <w:rFonts w:ascii="Arial" w:hAnsi="Arial" w:cs="Arial"/>
          <w:b/>
        </w:rPr>
      </w:pPr>
      <w:r>
        <w:rPr>
          <w:rFonts w:ascii="Arial" w:hAnsi="Arial" w:cs="Arial"/>
          <w:b/>
        </w:rPr>
        <w:t>Vyhláška bude upravovat oblasti na základě zmocnění v</w:t>
      </w:r>
      <w:r w:rsidR="00484836">
        <w:rPr>
          <w:rFonts w:ascii="Arial" w:hAnsi="Arial" w:cs="Arial"/>
          <w:b/>
        </w:rPr>
        <w:t xml:space="preserve"> ustanoveních </w:t>
      </w:r>
      <w:r w:rsidRPr="00484836" w:rsidR="00484836">
        <w:rPr>
          <w:rFonts w:ascii="Arial" w:hAnsi="Arial" w:cs="Arial"/>
          <w:b/>
        </w:rPr>
        <w:t>§</w:t>
      </w:r>
      <w:r w:rsidR="00C23609">
        <w:rPr>
          <w:rFonts w:ascii="Arial" w:hAnsi="Arial" w:cs="Arial"/>
          <w:b/>
        </w:rPr>
        <w:t xml:space="preserve"> </w:t>
      </w:r>
      <w:r w:rsidRPr="00484836" w:rsidR="00484836">
        <w:rPr>
          <w:rFonts w:ascii="Arial" w:hAnsi="Arial" w:cs="Arial"/>
          <w:b/>
        </w:rPr>
        <w:t>4 odst. 3</w:t>
      </w:r>
      <w:r w:rsidR="00484836">
        <w:rPr>
          <w:rFonts w:ascii="Arial" w:hAnsi="Arial" w:cs="Arial"/>
          <w:b/>
        </w:rPr>
        <w:t xml:space="preserve">; </w:t>
      </w:r>
      <w:r>
        <w:rPr>
          <w:rFonts w:ascii="Arial" w:hAnsi="Arial" w:cs="Arial"/>
          <w:b/>
        </w:rPr>
        <w:t xml:space="preserve">§ 8 odst. </w:t>
      </w:r>
      <w:r w:rsidR="005C54C6">
        <w:rPr>
          <w:rFonts w:ascii="Arial" w:hAnsi="Arial" w:cs="Arial"/>
          <w:b/>
        </w:rPr>
        <w:t>7</w:t>
      </w:r>
      <w:r>
        <w:rPr>
          <w:rFonts w:ascii="Arial" w:hAnsi="Arial" w:cs="Arial"/>
          <w:b/>
        </w:rPr>
        <w:t>,</w:t>
      </w:r>
      <w:r w:rsidR="002202DB">
        <w:rPr>
          <w:rFonts w:ascii="Arial" w:hAnsi="Arial" w:cs="Arial"/>
          <w:b/>
        </w:rPr>
        <w:t xml:space="preserve"> </w:t>
      </w:r>
      <w:r w:rsidRPr="005B4774" w:rsidR="005B4774">
        <w:rPr>
          <w:rFonts w:ascii="Arial" w:hAnsi="Arial" w:cs="Arial"/>
          <w:b/>
        </w:rPr>
        <w:t>§ 10</w:t>
      </w:r>
      <w:r w:rsidR="005C54C6">
        <w:rPr>
          <w:rFonts w:ascii="Arial" w:hAnsi="Arial" w:cs="Arial"/>
          <w:b/>
        </w:rPr>
        <w:t>b</w:t>
      </w:r>
      <w:r w:rsidRPr="005B4774" w:rsidR="005B4774">
        <w:rPr>
          <w:rFonts w:ascii="Arial" w:hAnsi="Arial" w:cs="Arial"/>
          <w:b/>
        </w:rPr>
        <w:t xml:space="preserve"> odst. </w:t>
      </w:r>
      <w:r w:rsidR="005C54C6">
        <w:rPr>
          <w:rFonts w:ascii="Arial" w:hAnsi="Arial" w:cs="Arial"/>
          <w:b/>
        </w:rPr>
        <w:t>4</w:t>
      </w:r>
      <w:r w:rsidR="005B4774">
        <w:rPr>
          <w:rFonts w:ascii="Arial" w:hAnsi="Arial" w:cs="Arial"/>
          <w:b/>
        </w:rPr>
        <w:t xml:space="preserve">; </w:t>
      </w:r>
      <w:r w:rsidRPr="00F545B9" w:rsidR="00F545B9">
        <w:rPr>
          <w:rFonts w:ascii="Arial" w:hAnsi="Arial" w:cs="Arial"/>
          <w:b/>
        </w:rPr>
        <w:t>§ 11 odst. 4</w:t>
      </w:r>
      <w:r w:rsidR="00AB4FFB">
        <w:rPr>
          <w:rFonts w:ascii="Arial" w:hAnsi="Arial" w:cs="Arial"/>
          <w:b/>
        </w:rPr>
        <w:t xml:space="preserve"> zákona č. 73/2012 Sb.</w:t>
      </w:r>
    </w:p>
    <w:p w:rsidR="005E6C80" w:rsidP="005E6C80" w14:paraId="55FC3778" w14:textId="5F173BA8">
      <w:pPr>
        <w:pStyle w:val="ListParagraph"/>
        <w:numPr>
          <w:ilvl w:val="0"/>
          <w:numId w:val="12"/>
        </w:numPr>
        <w:spacing w:line="240" w:lineRule="auto"/>
        <w:jc w:val="both"/>
        <w:rPr>
          <w:rFonts w:ascii="Arial" w:hAnsi="Arial" w:cs="Arial"/>
        </w:rPr>
      </w:pPr>
      <w:r>
        <w:rPr>
          <w:rFonts w:ascii="Arial" w:hAnsi="Arial" w:cs="Arial"/>
        </w:rPr>
        <w:t xml:space="preserve">Na základě zmocnění </w:t>
      </w:r>
      <w:r w:rsidR="00F73FD7">
        <w:rPr>
          <w:rFonts w:ascii="Arial" w:hAnsi="Arial" w:cs="Arial"/>
        </w:rPr>
        <w:t xml:space="preserve">uvedeného </w:t>
      </w:r>
      <w:r>
        <w:rPr>
          <w:rFonts w:ascii="Arial" w:hAnsi="Arial" w:cs="Arial"/>
        </w:rPr>
        <w:t>v</w:t>
      </w:r>
      <w:r w:rsidR="00F73FD7">
        <w:rPr>
          <w:rFonts w:ascii="Arial" w:hAnsi="Arial" w:cs="Arial"/>
        </w:rPr>
        <w:t xml:space="preserve"> ustanovení</w:t>
      </w:r>
      <w:r>
        <w:rPr>
          <w:rFonts w:ascii="Arial" w:hAnsi="Arial" w:cs="Arial"/>
        </w:rPr>
        <w:t xml:space="preserve"> </w:t>
      </w:r>
      <w:r w:rsidRPr="00484836">
        <w:rPr>
          <w:rFonts w:ascii="Arial" w:hAnsi="Arial" w:cs="Arial"/>
          <w:b/>
        </w:rPr>
        <w:t>§</w:t>
      </w:r>
      <w:r w:rsidR="00052905">
        <w:rPr>
          <w:rFonts w:ascii="Arial" w:hAnsi="Arial" w:cs="Arial"/>
          <w:b/>
        </w:rPr>
        <w:t xml:space="preserve"> </w:t>
      </w:r>
      <w:r w:rsidRPr="00484836">
        <w:rPr>
          <w:rFonts w:ascii="Arial" w:hAnsi="Arial" w:cs="Arial"/>
          <w:b/>
        </w:rPr>
        <w:t>4 odst. 3</w:t>
      </w:r>
      <w:r>
        <w:rPr>
          <w:rFonts w:ascii="Arial" w:hAnsi="Arial" w:cs="Arial"/>
        </w:rPr>
        <w:t xml:space="preserve"> zákona </w:t>
      </w:r>
      <w:r w:rsidRPr="0001278C" w:rsidR="00975BE6">
        <w:rPr>
          <w:rFonts w:ascii="Arial" w:hAnsi="Arial" w:cs="Arial"/>
        </w:rPr>
        <w:t>o látkách, které poškozují ozonovou vrstvu, a o fluorov</w:t>
      </w:r>
      <w:r w:rsidR="00975BE6">
        <w:rPr>
          <w:rFonts w:ascii="Arial" w:hAnsi="Arial" w:cs="Arial"/>
        </w:rPr>
        <w:t>a</w:t>
      </w:r>
      <w:r w:rsidRPr="0001278C" w:rsidR="00975BE6">
        <w:rPr>
          <w:rFonts w:ascii="Arial" w:hAnsi="Arial" w:cs="Arial"/>
        </w:rPr>
        <w:t>ných skleníkových plynech</w:t>
      </w:r>
      <w:r w:rsidR="00975BE6">
        <w:rPr>
          <w:rFonts w:ascii="Arial" w:hAnsi="Arial" w:cs="Arial"/>
        </w:rPr>
        <w:t xml:space="preserve"> (dále jen „zákon“)</w:t>
      </w:r>
      <w:r w:rsidR="009D5C98">
        <w:rPr>
          <w:rFonts w:ascii="Arial" w:hAnsi="Arial" w:cs="Arial"/>
        </w:rPr>
        <w:t xml:space="preserve"> stanoví vyhláška </w:t>
      </w:r>
      <w:r w:rsidR="008B64D9">
        <w:rPr>
          <w:rFonts w:ascii="Arial" w:hAnsi="Arial" w:cs="Arial"/>
        </w:rPr>
        <w:t>podmínky vedení a uchovávání záznamů.</w:t>
      </w:r>
      <w:r w:rsidR="001340D2">
        <w:rPr>
          <w:rFonts w:ascii="Arial" w:hAnsi="Arial" w:cs="Arial"/>
        </w:rPr>
        <w:t xml:space="preserve"> V současné době jsou záznamy vedeny pouze ve fyzické listinné podobě</w:t>
      </w:r>
      <w:r w:rsidR="002773CE">
        <w:rPr>
          <w:rFonts w:ascii="Arial" w:hAnsi="Arial" w:cs="Arial"/>
        </w:rPr>
        <w:t xml:space="preserve"> – v tzv. evidenční knize zařízení</w:t>
      </w:r>
      <w:r w:rsidR="001340D2">
        <w:rPr>
          <w:rFonts w:ascii="Arial" w:hAnsi="Arial" w:cs="Arial"/>
        </w:rPr>
        <w:t>, nikoliv elektronicky</w:t>
      </w:r>
      <w:r w:rsidR="002773CE">
        <w:rPr>
          <w:rFonts w:ascii="Arial" w:hAnsi="Arial" w:cs="Arial"/>
        </w:rPr>
        <w:t>, novelizace prováděcího právního předpisu má zavést možnost vedení záznamů též elektronicky</w:t>
      </w:r>
      <w:r w:rsidR="00A37DF1">
        <w:rPr>
          <w:rFonts w:ascii="Arial" w:hAnsi="Arial" w:cs="Arial"/>
        </w:rPr>
        <w:t>, současné zákonné zmocnění, ani materie prováděcího předpisu toto neumožňuje</w:t>
      </w:r>
      <w:r w:rsidR="002773CE">
        <w:rPr>
          <w:rFonts w:ascii="Arial" w:hAnsi="Arial" w:cs="Arial"/>
        </w:rPr>
        <w:t>.</w:t>
      </w:r>
    </w:p>
    <w:p w:rsidR="008B64D9" w:rsidP="008B64D9" w14:paraId="7B76A0B9" w14:textId="58E1CD39">
      <w:pPr>
        <w:pStyle w:val="ListParagraph"/>
        <w:numPr>
          <w:ilvl w:val="1"/>
          <w:numId w:val="12"/>
        </w:numPr>
        <w:spacing w:line="240" w:lineRule="auto"/>
        <w:jc w:val="both"/>
        <w:rPr>
          <w:rFonts w:ascii="Arial" w:hAnsi="Arial" w:cs="Arial"/>
        </w:rPr>
      </w:pPr>
      <w:r w:rsidRPr="00BC3819">
        <w:rPr>
          <w:rFonts w:ascii="Arial" w:hAnsi="Arial" w:cs="Arial"/>
          <w:u w:val="single"/>
        </w:rPr>
        <w:t>Listinná forma záznamů</w:t>
      </w:r>
      <w:r>
        <w:rPr>
          <w:rFonts w:ascii="Arial" w:hAnsi="Arial" w:cs="Arial"/>
        </w:rPr>
        <w:t xml:space="preserve"> </w:t>
      </w:r>
      <w:r w:rsidRPr="008B64D9">
        <w:rPr>
          <w:rFonts w:ascii="Arial" w:hAnsi="Arial" w:cs="Arial"/>
        </w:rPr>
        <w:t xml:space="preserve">musí obsahovat veškeré informace, které ukládá čl. 6 nařízení </w:t>
      </w:r>
      <w:r w:rsidR="00D6180C">
        <w:rPr>
          <w:rFonts w:ascii="Arial" w:hAnsi="Arial" w:cs="Arial"/>
        </w:rPr>
        <w:t xml:space="preserve">Evropského parlamentu a Rady </w:t>
      </w:r>
      <w:r w:rsidRPr="008B64D9">
        <w:rPr>
          <w:rFonts w:ascii="Arial" w:hAnsi="Arial" w:cs="Arial"/>
        </w:rPr>
        <w:t xml:space="preserve">517/2014. </w:t>
      </w:r>
      <w:r>
        <w:rPr>
          <w:rFonts w:ascii="Arial" w:hAnsi="Arial" w:cs="Arial"/>
        </w:rPr>
        <w:t>P</w:t>
      </w:r>
      <w:r w:rsidRPr="008B64D9">
        <w:rPr>
          <w:rFonts w:ascii="Arial" w:hAnsi="Arial" w:cs="Arial"/>
        </w:rPr>
        <w:t xml:space="preserve">ro tyto účely </w:t>
      </w:r>
      <w:r>
        <w:rPr>
          <w:rFonts w:ascii="Arial" w:hAnsi="Arial" w:cs="Arial"/>
        </w:rPr>
        <w:t xml:space="preserve">je možné </w:t>
      </w:r>
      <w:r w:rsidRPr="008B64D9">
        <w:rPr>
          <w:rFonts w:ascii="Arial" w:hAnsi="Arial" w:cs="Arial"/>
        </w:rPr>
        <w:t>použít vzor Evidenční knihy pro fluorované skleníkové plyny</w:t>
      </w:r>
      <w:r>
        <w:rPr>
          <w:rFonts w:ascii="Arial" w:hAnsi="Arial" w:cs="Arial"/>
        </w:rPr>
        <w:t>, který již vyhláška stanovuje</w:t>
      </w:r>
      <w:r w:rsidRPr="008B64D9">
        <w:rPr>
          <w:rFonts w:ascii="Arial" w:hAnsi="Arial" w:cs="Arial"/>
        </w:rPr>
        <w:t xml:space="preserve"> či další typy knih, do kterých je možné zapsat všechny požadované informace podle čl. 6 nařízení </w:t>
      </w:r>
      <w:r w:rsidR="00D6180C">
        <w:rPr>
          <w:rFonts w:ascii="Arial" w:hAnsi="Arial" w:cs="Arial"/>
        </w:rPr>
        <w:t xml:space="preserve">Evropského parlamentu a Rady </w:t>
      </w:r>
      <w:r w:rsidRPr="008B64D9">
        <w:rPr>
          <w:rFonts w:ascii="Arial" w:hAnsi="Arial" w:cs="Arial"/>
        </w:rPr>
        <w:t>517/2014.</w:t>
      </w:r>
    </w:p>
    <w:p w:rsidR="008B64D9" w:rsidP="008B64D9" w14:paraId="48D73728" w14:textId="4D7F3750">
      <w:pPr>
        <w:pStyle w:val="ListParagraph"/>
        <w:numPr>
          <w:ilvl w:val="1"/>
          <w:numId w:val="12"/>
        </w:numPr>
        <w:spacing w:line="240" w:lineRule="auto"/>
        <w:jc w:val="both"/>
        <w:rPr>
          <w:rFonts w:ascii="Arial" w:hAnsi="Arial" w:cs="Arial"/>
        </w:rPr>
      </w:pPr>
      <w:r w:rsidRPr="00BC3819">
        <w:rPr>
          <w:rFonts w:ascii="Arial" w:hAnsi="Arial" w:cs="Arial"/>
          <w:u w:val="single"/>
        </w:rPr>
        <w:t>Elektronická forma záznamů</w:t>
      </w:r>
      <w:r>
        <w:rPr>
          <w:rFonts w:ascii="Arial" w:hAnsi="Arial" w:cs="Arial"/>
        </w:rPr>
        <w:t xml:space="preserve"> musí</w:t>
      </w:r>
      <w:r w:rsidR="00A37DF1">
        <w:rPr>
          <w:rFonts w:ascii="Arial" w:hAnsi="Arial" w:cs="Arial"/>
        </w:rPr>
        <w:t>, nad rámec požadavků, které jsou kladeny na současné evidenční knihy zařízení</w:t>
      </w:r>
      <w:r w:rsidR="002A29A3">
        <w:rPr>
          <w:rFonts w:ascii="Arial" w:hAnsi="Arial" w:cs="Arial"/>
        </w:rPr>
        <w:t xml:space="preserve"> (zejména ve vztahu k požadavkům plynoucím z legislativy EU)</w:t>
      </w:r>
      <w:r w:rsidR="00A37DF1">
        <w:rPr>
          <w:rFonts w:ascii="Arial" w:hAnsi="Arial" w:cs="Arial"/>
        </w:rPr>
        <w:t>,</w:t>
      </w:r>
      <w:r>
        <w:rPr>
          <w:rFonts w:ascii="Arial" w:hAnsi="Arial" w:cs="Arial"/>
        </w:rPr>
        <w:t xml:space="preserve"> zaručit </w:t>
      </w:r>
      <w:r w:rsidRPr="00FE64F2">
        <w:rPr>
          <w:rFonts w:ascii="Arial" w:hAnsi="Arial" w:cs="Arial"/>
        </w:rPr>
        <w:t xml:space="preserve">bezproblémovou ověřitelnost údajů včetně určení času servisních zásahů a kontrol </w:t>
      </w:r>
      <w:r w:rsidRPr="00FE64F2" w:rsidR="00FE64F2">
        <w:rPr>
          <w:rFonts w:ascii="Arial" w:hAnsi="Arial" w:cs="Arial"/>
        </w:rPr>
        <w:t>a držet se následujících zásad:</w:t>
      </w:r>
    </w:p>
    <w:p w:rsidR="00D13284" w:rsidRPr="00D13284" w:rsidP="00D13284" w14:paraId="5C60940F" w14:textId="08AC3CBC">
      <w:pPr>
        <w:pStyle w:val="ListParagraph"/>
        <w:numPr>
          <w:ilvl w:val="2"/>
          <w:numId w:val="12"/>
        </w:numPr>
        <w:spacing w:line="240" w:lineRule="auto"/>
        <w:jc w:val="both"/>
        <w:rPr>
          <w:rFonts w:ascii="Arial" w:hAnsi="Arial" w:cs="Arial"/>
        </w:rPr>
      </w:pPr>
      <w:r w:rsidRPr="00D13284">
        <w:rPr>
          <w:rFonts w:ascii="Arial" w:hAnsi="Arial" w:cs="Arial"/>
        </w:rPr>
        <w:t>software použitý k uložení záznamů v elektronické podobě zaručuje, že údaje v provedených záznamech nelze dodatečně modifikovat bez viditelných změn;</w:t>
      </w:r>
    </w:p>
    <w:p w:rsidR="00D13284" w:rsidRPr="00D13284" w:rsidP="00D13284" w14:paraId="52A2A687" w14:textId="4AEC172B">
      <w:pPr>
        <w:pStyle w:val="ListParagraph"/>
        <w:numPr>
          <w:ilvl w:val="2"/>
          <w:numId w:val="12"/>
        </w:numPr>
        <w:spacing w:line="240" w:lineRule="auto"/>
        <w:jc w:val="both"/>
        <w:rPr>
          <w:rFonts w:ascii="Arial" w:hAnsi="Arial" w:cs="Arial"/>
        </w:rPr>
      </w:pPr>
      <w:r w:rsidRPr="00D13284">
        <w:rPr>
          <w:rFonts w:ascii="Arial" w:hAnsi="Arial" w:cs="Arial"/>
        </w:rPr>
        <w:t>po ukončení zápisu musí být záznam v neupravitelné podobě a musí obsahovat informaci o tom, kdy byl proveden;</w:t>
      </w:r>
    </w:p>
    <w:p w:rsidR="00D13284" w:rsidRPr="00D13284" w:rsidP="00D13284" w14:paraId="5E41B718" w14:textId="67E90CBC">
      <w:pPr>
        <w:pStyle w:val="ListParagraph"/>
        <w:numPr>
          <w:ilvl w:val="2"/>
          <w:numId w:val="12"/>
        </w:numPr>
        <w:spacing w:line="240" w:lineRule="auto"/>
        <w:jc w:val="both"/>
        <w:rPr>
          <w:rFonts w:ascii="Arial" w:hAnsi="Arial" w:cs="Arial"/>
        </w:rPr>
      </w:pPr>
      <w:r w:rsidRPr="00D13284">
        <w:rPr>
          <w:rFonts w:ascii="Arial" w:hAnsi="Arial" w:cs="Arial"/>
        </w:rPr>
        <w:t>zálohy datových souborů jsou prováděny po každé změně a jsou ukládány na jiné úložiště, než je tomu u originálních záznamů (např. jiný disk, cloudové úložiště);</w:t>
      </w:r>
    </w:p>
    <w:p w:rsidR="00D13284" w:rsidRPr="00D13284" w:rsidP="00D13284" w14:paraId="729A88F2" w14:textId="592F8D8F">
      <w:pPr>
        <w:pStyle w:val="ListParagraph"/>
        <w:numPr>
          <w:ilvl w:val="2"/>
          <w:numId w:val="12"/>
        </w:numPr>
        <w:spacing w:line="240" w:lineRule="auto"/>
        <w:jc w:val="both"/>
        <w:rPr>
          <w:rFonts w:ascii="Arial" w:hAnsi="Arial" w:cs="Arial"/>
        </w:rPr>
      </w:pPr>
      <w:r w:rsidRPr="00D13284">
        <w:rPr>
          <w:rFonts w:ascii="Arial" w:hAnsi="Arial" w:cs="Arial"/>
        </w:rPr>
        <w:t xml:space="preserve">software pro vedení záznamů musí umožňovat vytvoření kopie záznamů ve formátu čitelném a zpracovatelném v jiném informačním systému (např. uzamčený soubor typu </w:t>
      </w:r>
      <w:r w:rsidR="00384CCD">
        <w:rPr>
          <w:rFonts w:ascii="Arial" w:hAnsi="Arial" w:cs="Arial"/>
        </w:rPr>
        <w:t>.</w:t>
      </w:r>
      <w:r w:rsidRPr="00D13284">
        <w:rPr>
          <w:rFonts w:ascii="Arial" w:hAnsi="Arial" w:cs="Arial"/>
        </w:rPr>
        <w:t>pdf</w:t>
      </w:r>
      <w:r w:rsidRPr="00D13284">
        <w:rPr>
          <w:rFonts w:ascii="Arial" w:hAnsi="Arial" w:cs="Arial"/>
        </w:rPr>
        <w:t>);</w:t>
      </w:r>
    </w:p>
    <w:p w:rsidR="00FE64F2" w:rsidRPr="00D13284" w:rsidP="005E6C80" w14:paraId="55F28F5D" w14:textId="357DB035">
      <w:pPr>
        <w:pStyle w:val="ListParagraph"/>
        <w:numPr>
          <w:ilvl w:val="2"/>
          <w:numId w:val="12"/>
        </w:numPr>
        <w:spacing w:line="240" w:lineRule="auto"/>
        <w:jc w:val="both"/>
        <w:rPr>
          <w:rFonts w:ascii="Arial" w:hAnsi="Arial" w:cs="Arial"/>
        </w:rPr>
      </w:pPr>
      <w:r w:rsidRPr="00D13284">
        <w:rPr>
          <w:rFonts w:ascii="Arial" w:hAnsi="Arial" w:cs="Arial"/>
        </w:rPr>
        <w:t>elektronický záznam musí být přístupný kontrolním orgánům v místě provozu zařízení a musí být umožněno převedení záznamů během kontroly do analogové formy</w:t>
      </w:r>
      <w:r w:rsidR="00BC3819">
        <w:rPr>
          <w:rFonts w:ascii="Arial" w:hAnsi="Arial" w:cs="Arial"/>
        </w:rPr>
        <w:t xml:space="preserve"> </w:t>
      </w:r>
      <w:r w:rsidRPr="00D13284">
        <w:rPr>
          <w:rFonts w:ascii="Arial" w:hAnsi="Arial" w:cs="Arial"/>
        </w:rPr>
        <w:t>(vytištění).</w:t>
      </w:r>
    </w:p>
    <w:p w:rsidR="00FE64F2" w:rsidRPr="005E6C80" w:rsidP="005E6C80" w14:paraId="30BA9545" w14:textId="77777777">
      <w:pPr>
        <w:spacing w:line="240" w:lineRule="auto"/>
        <w:jc w:val="both"/>
        <w:rPr>
          <w:rFonts w:ascii="Arial" w:hAnsi="Arial" w:cs="Arial"/>
        </w:rPr>
      </w:pPr>
    </w:p>
    <w:p w:rsidR="007F3E61" w:rsidP="007118D9" w14:paraId="57216C0C" w14:textId="1D5B18B8">
      <w:pPr>
        <w:pStyle w:val="ListParagraph"/>
        <w:numPr>
          <w:ilvl w:val="0"/>
          <w:numId w:val="12"/>
        </w:numPr>
        <w:spacing w:line="240" w:lineRule="auto"/>
        <w:jc w:val="both"/>
        <w:rPr>
          <w:rFonts w:ascii="Arial" w:hAnsi="Arial" w:cs="Arial"/>
        </w:rPr>
      </w:pPr>
      <w:r>
        <w:rPr>
          <w:rFonts w:ascii="Arial" w:hAnsi="Arial" w:cs="Arial"/>
        </w:rPr>
        <w:t xml:space="preserve">Na základě zmocnění </w:t>
      </w:r>
      <w:r w:rsidR="00F73FD7">
        <w:rPr>
          <w:rFonts w:ascii="Arial" w:hAnsi="Arial" w:cs="Arial"/>
        </w:rPr>
        <w:t xml:space="preserve">uvedeného </w:t>
      </w:r>
      <w:r>
        <w:rPr>
          <w:rFonts w:ascii="Arial" w:hAnsi="Arial" w:cs="Arial"/>
        </w:rPr>
        <w:t>v</w:t>
      </w:r>
      <w:r w:rsidR="00312617">
        <w:rPr>
          <w:rFonts w:ascii="Arial" w:hAnsi="Arial" w:cs="Arial"/>
        </w:rPr>
        <w:t> </w:t>
      </w:r>
      <w:r>
        <w:rPr>
          <w:rFonts w:ascii="Arial" w:hAnsi="Arial" w:cs="Arial"/>
        </w:rPr>
        <w:t>ustanovení</w:t>
      </w:r>
      <w:r w:rsidR="00312617">
        <w:rPr>
          <w:rFonts w:ascii="Arial" w:hAnsi="Arial" w:cs="Arial"/>
        </w:rPr>
        <w:t xml:space="preserve"> </w:t>
      </w:r>
      <w:r>
        <w:rPr>
          <w:rFonts w:ascii="Arial" w:hAnsi="Arial" w:cs="Arial"/>
          <w:b/>
        </w:rPr>
        <w:t xml:space="preserve">§ 8 odst. </w:t>
      </w:r>
      <w:r w:rsidR="005C54C6">
        <w:rPr>
          <w:rFonts w:ascii="Arial" w:hAnsi="Arial" w:cs="Arial"/>
          <w:b/>
        </w:rPr>
        <w:t>7</w:t>
      </w:r>
      <w:r>
        <w:rPr>
          <w:rFonts w:ascii="Arial" w:hAnsi="Arial" w:cs="Arial"/>
          <w:b/>
        </w:rPr>
        <w:t xml:space="preserve"> </w:t>
      </w:r>
      <w:r w:rsidRPr="0001278C">
        <w:rPr>
          <w:rFonts w:ascii="Arial" w:hAnsi="Arial" w:cs="Arial"/>
        </w:rPr>
        <w:t xml:space="preserve">zákona </w:t>
      </w:r>
      <w:r w:rsidR="00713324">
        <w:rPr>
          <w:rFonts w:ascii="Arial" w:hAnsi="Arial" w:cs="Arial"/>
        </w:rPr>
        <w:t>bude vyhláška provádějící tento zákon doplněna o minimální požadavky na průběh teoretické a praktické části zkoušky za účelem zajištění rovnosti podmínek pro úspěšné složení zkoušky u různých hodnotících subjektů</w:t>
      </w:r>
      <w:r>
        <w:rPr>
          <w:rFonts w:ascii="Arial" w:hAnsi="Arial" w:cs="Arial"/>
        </w:rPr>
        <w:t>:</w:t>
      </w:r>
    </w:p>
    <w:p w:rsidR="00D26837" w:rsidP="007F3E61" w14:paraId="26A62A1C" w14:textId="119BBF67">
      <w:pPr>
        <w:pStyle w:val="ListParagraph"/>
        <w:numPr>
          <w:ilvl w:val="1"/>
          <w:numId w:val="12"/>
        </w:numPr>
        <w:spacing w:line="240" w:lineRule="auto"/>
        <w:jc w:val="both"/>
        <w:rPr>
          <w:rFonts w:ascii="Arial" w:hAnsi="Arial" w:cs="Arial"/>
        </w:rPr>
      </w:pPr>
      <w:r>
        <w:rPr>
          <w:rFonts w:ascii="Arial" w:hAnsi="Arial" w:cs="Arial"/>
        </w:rPr>
        <w:t>V rámci teoretické zkoušky bude stanoven celkov</w:t>
      </w:r>
      <w:r w:rsidR="00103AD6">
        <w:rPr>
          <w:rFonts w:ascii="Arial" w:hAnsi="Arial" w:cs="Arial"/>
        </w:rPr>
        <w:t>ý</w:t>
      </w:r>
      <w:r>
        <w:rPr>
          <w:rFonts w:ascii="Arial" w:hAnsi="Arial" w:cs="Arial"/>
        </w:rPr>
        <w:t xml:space="preserve"> </w:t>
      </w:r>
      <w:r w:rsidR="00103AD6">
        <w:rPr>
          <w:rFonts w:ascii="Arial" w:hAnsi="Arial" w:cs="Arial"/>
        </w:rPr>
        <w:t xml:space="preserve">počet </w:t>
      </w:r>
      <w:r>
        <w:rPr>
          <w:rFonts w:ascii="Arial" w:hAnsi="Arial" w:cs="Arial"/>
        </w:rPr>
        <w:t xml:space="preserve">testových otázek a </w:t>
      </w:r>
      <w:r w:rsidR="00103AD6">
        <w:rPr>
          <w:rFonts w:ascii="Arial" w:hAnsi="Arial" w:cs="Arial"/>
        </w:rPr>
        <w:t xml:space="preserve">zároveň pevně stanovený </w:t>
      </w:r>
      <w:r>
        <w:rPr>
          <w:rFonts w:ascii="Arial" w:hAnsi="Arial" w:cs="Arial"/>
        </w:rPr>
        <w:t xml:space="preserve">počty otázek pro jednotlivé </w:t>
      </w:r>
      <w:r w:rsidR="00103AD6">
        <w:rPr>
          <w:rFonts w:ascii="Arial" w:hAnsi="Arial" w:cs="Arial"/>
        </w:rPr>
        <w:t xml:space="preserve">tematické </w:t>
      </w:r>
      <w:r>
        <w:rPr>
          <w:rFonts w:ascii="Arial" w:hAnsi="Arial" w:cs="Arial"/>
        </w:rPr>
        <w:t xml:space="preserve">okruhy. Každý okruh bude mít stanovený minimální </w:t>
      </w:r>
      <w:r w:rsidR="005F5BDE">
        <w:rPr>
          <w:rFonts w:ascii="Arial" w:hAnsi="Arial" w:cs="Arial"/>
        </w:rPr>
        <w:t>počet</w:t>
      </w:r>
      <w:r>
        <w:rPr>
          <w:rFonts w:ascii="Arial" w:hAnsi="Arial" w:cs="Arial"/>
        </w:rPr>
        <w:t xml:space="preserve"> správě zodpovězených otázek pro úspěšné absolvování.</w:t>
      </w:r>
      <w:r w:rsidR="005F5BDE">
        <w:rPr>
          <w:rFonts w:ascii="Arial" w:hAnsi="Arial" w:cs="Arial"/>
        </w:rPr>
        <w:t xml:space="preserve"> Stanoven bude časový limit pro </w:t>
      </w:r>
      <w:r w:rsidR="00103AD6">
        <w:rPr>
          <w:rFonts w:ascii="Arial" w:hAnsi="Arial" w:cs="Arial"/>
        </w:rPr>
        <w:t xml:space="preserve">absolvování </w:t>
      </w:r>
      <w:r w:rsidR="005F5BDE">
        <w:rPr>
          <w:rFonts w:ascii="Arial" w:hAnsi="Arial" w:cs="Arial"/>
        </w:rPr>
        <w:t>teoretické zkoušky</w:t>
      </w:r>
      <w:r w:rsidR="00AC4DF5">
        <w:rPr>
          <w:rFonts w:ascii="Arial" w:hAnsi="Arial" w:cs="Arial"/>
        </w:rPr>
        <w:t>.</w:t>
      </w:r>
      <w:r w:rsidR="00C05365">
        <w:rPr>
          <w:rFonts w:ascii="Arial" w:hAnsi="Arial" w:cs="Arial"/>
        </w:rPr>
        <w:t xml:space="preserve"> Otázky budou náhodně vyb</w:t>
      </w:r>
      <w:r w:rsidR="00C711C4">
        <w:rPr>
          <w:rFonts w:ascii="Arial" w:hAnsi="Arial" w:cs="Arial"/>
        </w:rPr>
        <w:t>í</w:t>
      </w:r>
      <w:r w:rsidR="00C05365">
        <w:rPr>
          <w:rFonts w:ascii="Arial" w:hAnsi="Arial" w:cs="Arial"/>
        </w:rPr>
        <w:t>rány z kompletního seznamu otázek předložen</w:t>
      </w:r>
      <w:r w:rsidR="00C711C4">
        <w:rPr>
          <w:rFonts w:ascii="Arial" w:hAnsi="Arial" w:cs="Arial"/>
        </w:rPr>
        <w:t>ého</w:t>
      </w:r>
      <w:r w:rsidR="00C05365">
        <w:rPr>
          <w:rFonts w:ascii="Arial" w:hAnsi="Arial" w:cs="Arial"/>
        </w:rPr>
        <w:t xml:space="preserve"> hodnotícím subjektem při podání žádosti o vydání povolení k výkonu </w:t>
      </w:r>
      <w:r w:rsidR="00C711C4">
        <w:rPr>
          <w:rFonts w:ascii="Arial" w:hAnsi="Arial" w:cs="Arial"/>
        </w:rPr>
        <w:t xml:space="preserve">činnosti </w:t>
      </w:r>
      <w:r w:rsidR="00C05365">
        <w:rPr>
          <w:rFonts w:ascii="Arial" w:hAnsi="Arial" w:cs="Arial"/>
        </w:rPr>
        <w:t xml:space="preserve">hodnotícího </w:t>
      </w:r>
      <w:r w:rsidR="00C711C4">
        <w:rPr>
          <w:rFonts w:ascii="Arial" w:hAnsi="Arial" w:cs="Arial"/>
        </w:rPr>
        <w:t xml:space="preserve">a certifikačního </w:t>
      </w:r>
      <w:r w:rsidR="00C05365">
        <w:rPr>
          <w:rFonts w:ascii="Arial" w:hAnsi="Arial" w:cs="Arial"/>
        </w:rPr>
        <w:t>subjektu</w:t>
      </w:r>
      <w:r w:rsidR="00C711C4">
        <w:rPr>
          <w:rFonts w:ascii="Arial" w:hAnsi="Arial" w:cs="Arial"/>
        </w:rPr>
        <w:t>, tento seznam podléhá evaluaci a schválení Ministerstvem životního prostředí v rámci správního řízen o vydání povolení</w:t>
      </w:r>
      <w:r w:rsidR="00C05365">
        <w:rPr>
          <w:rFonts w:ascii="Arial" w:hAnsi="Arial" w:cs="Arial"/>
        </w:rPr>
        <w:t>.</w:t>
      </w:r>
      <w:r w:rsidR="00C711C4">
        <w:rPr>
          <w:rFonts w:ascii="Arial" w:hAnsi="Arial" w:cs="Arial"/>
        </w:rPr>
        <w:t xml:space="preserve"> Tímto způsobem bude značně redukována možnost podvádění při absolvování teoretické části zkoušky.</w:t>
      </w:r>
    </w:p>
    <w:p w:rsidR="0021440C" w:rsidP="0021440C" w14:paraId="565DDB4C" w14:textId="497F0BDE">
      <w:pPr>
        <w:pStyle w:val="ListParagraph"/>
        <w:numPr>
          <w:ilvl w:val="1"/>
          <w:numId w:val="12"/>
        </w:numPr>
        <w:spacing w:line="240" w:lineRule="auto"/>
        <w:jc w:val="both"/>
        <w:rPr>
          <w:rFonts w:ascii="Arial" w:hAnsi="Arial" w:cs="Arial"/>
        </w:rPr>
      </w:pPr>
      <w:r>
        <w:rPr>
          <w:rFonts w:ascii="Arial" w:hAnsi="Arial" w:cs="Arial"/>
        </w:rPr>
        <w:t>Obsahově budou tematické okruhy teoretické části zkoušky muset být zaměřeny na prokázání znalostí legislativy a teoretické odborné způsobilosti v činnosti, pro kterou bude zkoušená osoba podstupovat proces certifikace. Předpokládan</w:t>
      </w:r>
      <w:r w:rsidR="00CB434A">
        <w:rPr>
          <w:rFonts w:ascii="Arial" w:hAnsi="Arial" w:cs="Arial"/>
        </w:rPr>
        <w:t xml:space="preserve">á hranice úspěšnosti je uvažována v rozmezí </w:t>
      </w:r>
      <w:r w:rsidR="00CB434A">
        <w:rPr>
          <w:rFonts w:ascii="Arial" w:hAnsi="Arial" w:cs="Arial"/>
        </w:rPr>
        <w:t>80 – 90</w:t>
      </w:r>
      <w:r w:rsidR="00CB434A">
        <w:rPr>
          <w:rFonts w:ascii="Arial" w:hAnsi="Arial" w:cs="Arial"/>
        </w:rPr>
        <w:t xml:space="preserve"> %.</w:t>
      </w:r>
    </w:p>
    <w:p w:rsidR="005F5BDE" w:rsidP="007F3E61" w14:paraId="6C53C22D" w14:textId="6D5FD18A">
      <w:pPr>
        <w:pStyle w:val="ListParagraph"/>
        <w:numPr>
          <w:ilvl w:val="1"/>
          <w:numId w:val="12"/>
        </w:numPr>
        <w:spacing w:line="240" w:lineRule="auto"/>
        <w:jc w:val="both"/>
        <w:rPr>
          <w:rFonts w:ascii="Arial" w:hAnsi="Arial" w:cs="Arial"/>
        </w:rPr>
      </w:pPr>
      <w:r>
        <w:rPr>
          <w:rFonts w:ascii="Arial" w:hAnsi="Arial" w:cs="Arial"/>
        </w:rPr>
        <w:t>Pro praktickou zkoušku bud</w:t>
      </w:r>
      <w:r w:rsidR="0049463C">
        <w:rPr>
          <w:rFonts w:ascii="Arial" w:hAnsi="Arial" w:cs="Arial"/>
        </w:rPr>
        <w:t>ou</w:t>
      </w:r>
      <w:r>
        <w:rPr>
          <w:rFonts w:ascii="Arial" w:hAnsi="Arial" w:cs="Arial"/>
        </w:rPr>
        <w:t xml:space="preserve"> </w:t>
      </w:r>
      <w:r w:rsidR="000F4364">
        <w:rPr>
          <w:rFonts w:ascii="Arial" w:hAnsi="Arial" w:cs="Arial"/>
        </w:rPr>
        <w:t xml:space="preserve">hodnotícími a certifikačními subjekty vypracována </w:t>
      </w:r>
      <w:r>
        <w:rPr>
          <w:rFonts w:ascii="Arial" w:hAnsi="Arial" w:cs="Arial"/>
        </w:rPr>
        <w:t xml:space="preserve">zadání </w:t>
      </w:r>
      <w:r w:rsidR="000F4364">
        <w:rPr>
          <w:rFonts w:ascii="Arial" w:hAnsi="Arial" w:cs="Arial"/>
        </w:rPr>
        <w:t xml:space="preserve">praktických úkolů </w:t>
      </w:r>
      <w:r>
        <w:rPr>
          <w:rFonts w:ascii="Arial" w:hAnsi="Arial" w:cs="Arial"/>
        </w:rPr>
        <w:t xml:space="preserve">a protokol o jejím </w:t>
      </w:r>
      <w:r w:rsidR="00A20042">
        <w:rPr>
          <w:rFonts w:ascii="Arial" w:hAnsi="Arial" w:cs="Arial"/>
        </w:rPr>
        <w:t>absolvování</w:t>
      </w:r>
      <w:r w:rsidR="000F4364">
        <w:rPr>
          <w:rFonts w:ascii="Arial" w:hAnsi="Arial" w:cs="Arial"/>
        </w:rPr>
        <w:t>, který bude vyplňován pro každou zkoušenou osobu v zájmu zajištění transparentnosti a přezkoumatelnosti absolvovaných zkoušek</w:t>
      </w:r>
      <w:r w:rsidR="00A20042">
        <w:rPr>
          <w:rFonts w:ascii="Arial" w:hAnsi="Arial" w:cs="Arial"/>
        </w:rPr>
        <w:t>.</w:t>
      </w:r>
      <w:r w:rsidR="000F4364">
        <w:rPr>
          <w:rFonts w:ascii="Arial" w:hAnsi="Arial" w:cs="Arial"/>
        </w:rPr>
        <w:t xml:space="preserve"> Tato zadání hodnotící a certifikační subjekty vypracují v rozsahu, v jakém je podávána žádost tak, aby byla zajištěna proveditelnost praktické části zkoušky pro všechny relevantní činnosti. Hodnotící subjekt bude muset nastavit hodnotící kritéria, na základě jejichž zvládnutí bude posuzováno úspěšné či neúspěšné absolvování praktické části zkoušky.</w:t>
      </w:r>
      <w:r w:rsidR="00A20042">
        <w:rPr>
          <w:rFonts w:ascii="Arial" w:hAnsi="Arial" w:cs="Arial"/>
        </w:rPr>
        <w:t xml:space="preserve"> V případě zadání zkoušky pro oblast chlazení, klimatizací a tepelných čerpadel bude uvedeno také číslo kategorie I </w:t>
      </w:r>
      <w:r w:rsidR="00A77BA8">
        <w:rPr>
          <w:rFonts w:ascii="Arial" w:hAnsi="Arial" w:cs="Arial"/>
        </w:rPr>
        <w:t>–</w:t>
      </w:r>
      <w:r w:rsidR="00A20042">
        <w:rPr>
          <w:rFonts w:ascii="Arial" w:hAnsi="Arial" w:cs="Arial"/>
        </w:rPr>
        <w:t xml:space="preserve"> IV</w:t>
      </w:r>
      <w:r w:rsidR="0049463C">
        <w:rPr>
          <w:rFonts w:ascii="Arial" w:hAnsi="Arial" w:cs="Arial"/>
        </w:rPr>
        <w:t>, na základě čl</w:t>
      </w:r>
      <w:r w:rsidR="000F4364">
        <w:rPr>
          <w:rFonts w:ascii="Arial" w:hAnsi="Arial" w:cs="Arial"/>
        </w:rPr>
        <w:t>.</w:t>
      </w:r>
      <w:r w:rsidR="0049463C">
        <w:rPr>
          <w:rFonts w:ascii="Arial" w:hAnsi="Arial" w:cs="Arial"/>
        </w:rPr>
        <w:t xml:space="preserve"> 3 nařízení Komise (EU) 2015/2067</w:t>
      </w:r>
      <w:r w:rsidR="00A20042">
        <w:rPr>
          <w:rFonts w:ascii="Arial" w:hAnsi="Arial" w:cs="Arial"/>
        </w:rPr>
        <w:t>, pro kterou je zkouška určena. Bude stanovena délka trvání praktické zkoušky</w:t>
      </w:r>
      <w:r w:rsidR="0049463C">
        <w:rPr>
          <w:rFonts w:ascii="Arial" w:hAnsi="Arial" w:cs="Arial"/>
        </w:rPr>
        <w:t>, v tomto časovém limitu bude muset být zkouška absolvována</w:t>
      </w:r>
      <w:r w:rsidR="00A20042">
        <w:rPr>
          <w:rFonts w:ascii="Arial" w:hAnsi="Arial" w:cs="Arial"/>
        </w:rPr>
        <w:t>. Praktick</w:t>
      </w:r>
      <w:r w:rsidR="004C5AE5">
        <w:rPr>
          <w:rFonts w:ascii="Arial" w:hAnsi="Arial" w:cs="Arial"/>
        </w:rPr>
        <w:t>á</w:t>
      </w:r>
      <w:r w:rsidR="00A20042">
        <w:rPr>
          <w:rFonts w:ascii="Arial" w:hAnsi="Arial" w:cs="Arial"/>
        </w:rPr>
        <w:t xml:space="preserve"> zkouška se může sestávat z jednoho úkolu čítajícího několik dílčích úkonů, nebo z několika různých úkolů.</w:t>
      </w:r>
      <w:r w:rsidR="004C5AE5">
        <w:rPr>
          <w:rFonts w:ascii="Arial" w:hAnsi="Arial" w:cs="Arial"/>
        </w:rPr>
        <w:t xml:space="preserve"> </w:t>
      </w:r>
      <w:r w:rsidR="0049463C">
        <w:rPr>
          <w:rFonts w:ascii="Arial" w:hAnsi="Arial" w:cs="Arial"/>
        </w:rPr>
        <w:t>Uvažována je d</w:t>
      </w:r>
      <w:r w:rsidR="004C5AE5">
        <w:rPr>
          <w:rFonts w:ascii="Arial" w:hAnsi="Arial" w:cs="Arial"/>
        </w:rPr>
        <w:t>élka trvání na 30 min.</w:t>
      </w:r>
      <w:r w:rsidR="00A20042">
        <w:rPr>
          <w:rFonts w:ascii="Arial" w:hAnsi="Arial" w:cs="Arial"/>
        </w:rPr>
        <w:t xml:space="preserve">  </w:t>
      </w:r>
    </w:p>
    <w:p w:rsidR="00284506" w:rsidRPr="00802E2B" w:rsidP="00802E2B" w14:paraId="5DD85B16" w14:textId="77777777">
      <w:pPr>
        <w:spacing w:line="240" w:lineRule="auto"/>
        <w:ind w:left="720"/>
        <w:jc w:val="both"/>
        <w:rPr>
          <w:rFonts w:ascii="Arial" w:hAnsi="Arial" w:cs="Arial"/>
        </w:rPr>
      </w:pPr>
    </w:p>
    <w:p w:rsidR="00284506" w:rsidP="00284506" w14:paraId="1760898F" w14:textId="65285184">
      <w:pPr>
        <w:pStyle w:val="ListParagraph"/>
        <w:numPr>
          <w:ilvl w:val="0"/>
          <w:numId w:val="12"/>
        </w:numPr>
        <w:spacing w:line="240" w:lineRule="auto"/>
        <w:jc w:val="both"/>
        <w:rPr>
          <w:rFonts w:ascii="Arial" w:hAnsi="Arial" w:cs="Arial"/>
        </w:rPr>
      </w:pPr>
      <w:r>
        <w:rPr>
          <w:rFonts w:ascii="Arial" w:hAnsi="Arial" w:cs="Arial"/>
        </w:rPr>
        <w:t xml:space="preserve">Na základě zmocnění </w:t>
      </w:r>
      <w:r w:rsidR="00D6180C">
        <w:rPr>
          <w:rFonts w:ascii="Arial" w:hAnsi="Arial" w:cs="Arial"/>
        </w:rPr>
        <w:t xml:space="preserve">uvedeného </w:t>
      </w:r>
      <w:r>
        <w:rPr>
          <w:rFonts w:ascii="Arial" w:hAnsi="Arial" w:cs="Arial"/>
        </w:rPr>
        <w:t xml:space="preserve">v ustanovení </w:t>
      </w:r>
      <w:r w:rsidRPr="005B4774">
        <w:rPr>
          <w:rFonts w:ascii="Arial" w:hAnsi="Arial" w:cs="Arial"/>
          <w:b/>
        </w:rPr>
        <w:t>§ 10</w:t>
      </w:r>
      <w:r w:rsidR="005C54C6">
        <w:rPr>
          <w:rFonts w:ascii="Arial" w:hAnsi="Arial" w:cs="Arial"/>
          <w:b/>
        </w:rPr>
        <w:t>b</w:t>
      </w:r>
      <w:r w:rsidRPr="005B4774">
        <w:rPr>
          <w:rFonts w:ascii="Arial" w:hAnsi="Arial" w:cs="Arial"/>
          <w:b/>
        </w:rPr>
        <w:t xml:space="preserve"> odst. </w:t>
      </w:r>
      <w:r w:rsidR="005C54C6">
        <w:rPr>
          <w:rFonts w:ascii="Arial" w:hAnsi="Arial" w:cs="Arial"/>
          <w:b/>
        </w:rPr>
        <w:t>4</w:t>
      </w:r>
      <w:r>
        <w:rPr>
          <w:rFonts w:ascii="Arial" w:hAnsi="Arial" w:cs="Arial"/>
        </w:rPr>
        <w:t xml:space="preserve"> zákona bude stávající vyhláška doplněna o postup při regeneraci fluorovaných skleníkových plynů</w:t>
      </w:r>
      <w:r w:rsidR="003A7633">
        <w:rPr>
          <w:rFonts w:ascii="Arial" w:hAnsi="Arial" w:cs="Arial"/>
        </w:rPr>
        <w:t>.</w:t>
      </w:r>
      <w:r w:rsidR="009F643E">
        <w:rPr>
          <w:rFonts w:ascii="Arial" w:hAnsi="Arial" w:cs="Arial"/>
        </w:rPr>
        <w:t xml:space="preserve"> </w:t>
      </w:r>
      <w:r w:rsidR="003A7633">
        <w:rPr>
          <w:rFonts w:ascii="Arial" w:hAnsi="Arial" w:cs="Arial"/>
        </w:rPr>
        <w:t>Nařízení Evropského parlamentu a Rady 517/2014 o fluorovaných skleníkových plynech odlišuje recyklaci a regeneraci</w:t>
      </w:r>
      <w:r w:rsidR="005B4774">
        <w:rPr>
          <w:rFonts w:ascii="Arial" w:hAnsi="Arial" w:cs="Arial"/>
        </w:rPr>
        <w:t>.</w:t>
      </w:r>
      <w:r w:rsidR="003A7633">
        <w:rPr>
          <w:rFonts w:ascii="Arial" w:hAnsi="Arial" w:cs="Arial"/>
        </w:rPr>
        <w:t xml:space="preserve"> Zatímco recyklace je základní přečištění chladiva/hasiva od mechanických nečistot, vlhkosti a kyselin, regenerace je sofistikovanější proces, který dokáže oddělit i plynné složky na základě rozdílu bodu varu a vrátit chladivu jeho výchozí vlastnosti.</w:t>
      </w:r>
      <w:r w:rsidR="009F643E">
        <w:rPr>
          <w:rFonts w:ascii="Arial" w:hAnsi="Arial" w:cs="Arial"/>
        </w:rPr>
        <w:t xml:space="preserve"> </w:t>
      </w:r>
      <w:r w:rsidR="003A7633">
        <w:rPr>
          <w:rFonts w:ascii="Arial" w:hAnsi="Arial" w:cs="Arial"/>
        </w:rPr>
        <w:t xml:space="preserve">Kritéria pro </w:t>
      </w:r>
      <w:r w:rsidR="004C5AE5">
        <w:rPr>
          <w:rFonts w:ascii="Arial" w:hAnsi="Arial" w:cs="Arial"/>
        </w:rPr>
        <w:t xml:space="preserve">regeneraci </w:t>
      </w:r>
      <w:r w:rsidR="003A7633">
        <w:rPr>
          <w:rFonts w:ascii="Arial" w:hAnsi="Arial" w:cs="Arial"/>
        </w:rPr>
        <w:t>budou stanovena a hlavním kritériem bude proces založený na rozdílu bodu varu.</w:t>
      </w:r>
      <w:r w:rsidR="00E739B9">
        <w:rPr>
          <w:rFonts w:ascii="Arial" w:hAnsi="Arial" w:cs="Arial"/>
        </w:rPr>
        <w:t xml:space="preserve"> </w:t>
      </w:r>
      <w:r w:rsidR="0027580E">
        <w:rPr>
          <w:rFonts w:ascii="Arial" w:hAnsi="Arial" w:cs="Arial"/>
        </w:rPr>
        <w:t>Bude stanoveno pravidelné provádění analýz regenerovaného chladiva za účelem stanovení obsahu vody, mechanických nečistot, kyselin, chloridů a těkavých nečistot.</w:t>
      </w:r>
      <w:r w:rsidR="00D6180C">
        <w:rPr>
          <w:rFonts w:ascii="Arial" w:hAnsi="Arial" w:cs="Arial"/>
        </w:rPr>
        <w:t xml:space="preserve"> V současné době nejsou pro regeneraci fluorovaných skleníkových plynů nastaveny závazné postupy. </w:t>
      </w:r>
      <w:r w:rsidR="000018DC">
        <w:rPr>
          <w:rFonts w:ascii="Arial" w:hAnsi="Arial" w:cs="Arial"/>
        </w:rPr>
        <w:t>I s ohledem na nově zaváděnou regulaci činnosti regenerace spočívající v tom, že tuto činnost bude možné vykonávat pouze na základě a v souladu s vydaným povolením, je nutné zavést tyto závazné postupy, neboť pro jiné činnosti podléhající obdobné regulaci, jsou již v současné době tyto postupy prováděcím právním předpisem stanoveny.</w:t>
      </w:r>
    </w:p>
    <w:p w:rsidR="00802E2B" w:rsidRPr="0077558E" w:rsidP="0077558E" w14:paraId="33007CC1" w14:textId="77777777">
      <w:pPr>
        <w:spacing w:line="240" w:lineRule="auto"/>
        <w:jc w:val="both"/>
        <w:rPr>
          <w:rFonts w:ascii="Arial" w:hAnsi="Arial" w:cs="Arial"/>
        </w:rPr>
      </w:pPr>
    </w:p>
    <w:p w:rsidR="00E95F11" w:rsidP="00284506" w14:paraId="1BFA9BCB" w14:textId="19961713">
      <w:pPr>
        <w:pStyle w:val="ListParagraph"/>
        <w:numPr>
          <w:ilvl w:val="0"/>
          <w:numId w:val="12"/>
        </w:numPr>
        <w:spacing w:line="240" w:lineRule="auto"/>
        <w:jc w:val="both"/>
        <w:rPr>
          <w:rFonts w:ascii="Arial" w:hAnsi="Arial" w:cs="Arial"/>
        </w:rPr>
      </w:pPr>
      <w:r>
        <w:rPr>
          <w:rFonts w:ascii="Arial" w:hAnsi="Arial" w:cs="Arial"/>
        </w:rPr>
        <w:t xml:space="preserve">Na základě zmocnění </w:t>
      </w:r>
      <w:r w:rsidR="00F73FD7">
        <w:rPr>
          <w:rFonts w:ascii="Arial" w:hAnsi="Arial" w:cs="Arial"/>
        </w:rPr>
        <w:t xml:space="preserve">uvedeného </w:t>
      </w:r>
      <w:r>
        <w:rPr>
          <w:rFonts w:ascii="Arial" w:hAnsi="Arial" w:cs="Arial"/>
        </w:rPr>
        <w:t>v</w:t>
      </w:r>
      <w:r w:rsidR="00F73FD7">
        <w:rPr>
          <w:rFonts w:ascii="Arial" w:hAnsi="Arial" w:cs="Arial"/>
        </w:rPr>
        <w:t xml:space="preserve"> ustanovení</w:t>
      </w:r>
      <w:r>
        <w:rPr>
          <w:rFonts w:ascii="Arial" w:hAnsi="Arial" w:cs="Arial"/>
        </w:rPr>
        <w:t xml:space="preserve"> </w:t>
      </w:r>
      <w:r w:rsidRPr="005B4774" w:rsidR="0052373A">
        <w:rPr>
          <w:rFonts w:ascii="Arial" w:hAnsi="Arial" w:cs="Arial"/>
          <w:b/>
        </w:rPr>
        <w:t>§ 10</w:t>
      </w:r>
      <w:r w:rsidR="0052373A">
        <w:rPr>
          <w:rFonts w:ascii="Arial" w:hAnsi="Arial" w:cs="Arial"/>
          <w:b/>
        </w:rPr>
        <w:t>b</w:t>
      </w:r>
      <w:r w:rsidRPr="005B4774" w:rsidR="0052373A">
        <w:rPr>
          <w:rFonts w:ascii="Arial" w:hAnsi="Arial" w:cs="Arial"/>
          <w:b/>
        </w:rPr>
        <w:t xml:space="preserve"> odst. </w:t>
      </w:r>
      <w:r w:rsidR="0052373A">
        <w:rPr>
          <w:rFonts w:ascii="Arial" w:hAnsi="Arial" w:cs="Arial"/>
          <w:b/>
        </w:rPr>
        <w:t>4</w:t>
      </w:r>
      <w:r w:rsidR="0052373A">
        <w:rPr>
          <w:rFonts w:ascii="Arial" w:hAnsi="Arial" w:cs="Arial"/>
        </w:rPr>
        <w:t xml:space="preserve"> </w:t>
      </w:r>
      <w:r>
        <w:rPr>
          <w:rFonts w:ascii="Arial" w:hAnsi="Arial" w:cs="Arial"/>
        </w:rPr>
        <w:t xml:space="preserve">zákona budou do stávající vyhlášky doplněny obsahové náležitosti a způsob vydávání certifikátů vydávaných hodnotícím a certifikačním subjektem. </w:t>
      </w:r>
      <w:r w:rsidR="00C90DD9">
        <w:rPr>
          <w:rFonts w:ascii="Arial" w:hAnsi="Arial" w:cs="Arial"/>
        </w:rPr>
        <w:t xml:space="preserve">Mimo </w:t>
      </w:r>
      <w:r>
        <w:rPr>
          <w:rFonts w:ascii="Arial" w:hAnsi="Arial" w:cs="Arial"/>
        </w:rPr>
        <w:t xml:space="preserve">obsahových náležitostí certifikátu stanovených v čl. 4 odst. 2 </w:t>
      </w:r>
      <w:r w:rsidR="00A927DC">
        <w:rPr>
          <w:rFonts w:ascii="Arial" w:hAnsi="Arial" w:cs="Arial"/>
        </w:rPr>
        <w:t xml:space="preserve">nebo v čl. 6 odst. 2 </w:t>
      </w:r>
      <w:r>
        <w:rPr>
          <w:rFonts w:ascii="Arial" w:hAnsi="Arial" w:cs="Arial"/>
        </w:rPr>
        <w:t>prováděcího nařízení Komise (EU) č. 2015/2067</w:t>
      </w:r>
      <w:r w:rsidR="00D67B5D">
        <w:rPr>
          <w:rFonts w:ascii="Arial" w:hAnsi="Arial" w:cs="Arial"/>
        </w:rPr>
        <w:t>, v čl. 3 odst. 2 prováděcího nařízení Komise (EU) č. 2015/2066 a v čl. 3 odst. 2</w:t>
      </w:r>
      <w:r w:rsidR="003F72C4">
        <w:rPr>
          <w:rFonts w:ascii="Arial" w:hAnsi="Arial" w:cs="Arial"/>
        </w:rPr>
        <w:t xml:space="preserve"> nebo v čl. 8 odst. 2 </w:t>
      </w:r>
      <w:r w:rsidR="00D67B5D">
        <w:rPr>
          <w:rFonts w:ascii="Arial" w:hAnsi="Arial" w:cs="Arial"/>
        </w:rPr>
        <w:t>nařízení Komise (ES) č. 30</w:t>
      </w:r>
      <w:r w:rsidR="003F72C4">
        <w:rPr>
          <w:rFonts w:ascii="Arial" w:hAnsi="Arial" w:cs="Arial"/>
        </w:rPr>
        <w:t>4</w:t>
      </w:r>
      <w:r w:rsidR="00D67B5D">
        <w:rPr>
          <w:rFonts w:ascii="Arial" w:hAnsi="Arial" w:cs="Arial"/>
        </w:rPr>
        <w:t xml:space="preserve">/2008 </w:t>
      </w:r>
      <w:r w:rsidR="005E2D1C">
        <w:rPr>
          <w:rFonts w:ascii="Arial" w:hAnsi="Arial" w:cs="Arial"/>
        </w:rPr>
        <w:t xml:space="preserve">a v čl. 3 odst. 2 nařízení Komise (ES) č. 306/2008 </w:t>
      </w:r>
      <w:r>
        <w:rPr>
          <w:rFonts w:ascii="Arial" w:hAnsi="Arial" w:cs="Arial"/>
        </w:rPr>
        <w:t xml:space="preserve">bude </w:t>
      </w:r>
      <w:r w:rsidR="00C90DD9">
        <w:rPr>
          <w:rFonts w:ascii="Arial" w:hAnsi="Arial" w:cs="Arial"/>
        </w:rPr>
        <w:t>hodnotící a certifikační subjekt v certifikátech uvádět také:</w:t>
      </w:r>
      <w:r>
        <w:rPr>
          <w:rFonts w:ascii="Arial" w:hAnsi="Arial" w:cs="Arial"/>
        </w:rPr>
        <w:t xml:space="preserve"> </w:t>
      </w:r>
    </w:p>
    <w:p w:rsidR="00E95F11" w:rsidRPr="00E95F11" w:rsidP="00E95F11" w14:paraId="78378200" w14:textId="77777777">
      <w:pPr>
        <w:pStyle w:val="ListParagraph"/>
        <w:rPr>
          <w:rFonts w:ascii="Arial" w:hAnsi="Arial" w:cs="Arial"/>
        </w:rPr>
      </w:pPr>
    </w:p>
    <w:p w:rsidR="00E95F11" w:rsidP="00E95F11" w14:paraId="3DA31C17" w14:textId="480370B4">
      <w:pPr>
        <w:pStyle w:val="ListParagraph"/>
        <w:numPr>
          <w:ilvl w:val="1"/>
          <w:numId w:val="12"/>
        </w:numPr>
        <w:spacing w:line="240" w:lineRule="auto"/>
        <w:jc w:val="both"/>
        <w:rPr>
          <w:rFonts w:ascii="Arial" w:hAnsi="Arial" w:cs="Arial"/>
        </w:rPr>
      </w:pPr>
      <w:r>
        <w:rPr>
          <w:rFonts w:ascii="Arial" w:hAnsi="Arial" w:cs="Arial"/>
        </w:rPr>
        <w:t xml:space="preserve">číslo jednací, </w:t>
      </w:r>
      <w:r w:rsidR="003C65BB">
        <w:rPr>
          <w:rFonts w:ascii="Arial" w:hAnsi="Arial" w:cs="Arial"/>
        </w:rPr>
        <w:t>resp. jednoznačnou identifikaci správního aktu konstituujícího oprávnění k výkonu činnosti hodnotícího a certifikačního subjektu</w:t>
      </w:r>
      <w:r w:rsidR="00C90DD9">
        <w:rPr>
          <w:rFonts w:ascii="Arial" w:hAnsi="Arial" w:cs="Arial"/>
        </w:rPr>
        <w:t>,</w:t>
      </w:r>
      <w:r w:rsidR="003C65BB">
        <w:rPr>
          <w:rFonts w:ascii="Arial" w:hAnsi="Arial" w:cs="Arial"/>
        </w:rPr>
        <w:t xml:space="preserve"> a identifikaci správního orgánu, </w:t>
      </w:r>
      <w:r>
        <w:rPr>
          <w:rFonts w:ascii="Arial" w:hAnsi="Arial" w:cs="Arial"/>
        </w:rPr>
        <w:t>který vydal povolení k výkonu činnosti hodnotícího a certifikačního subjektu</w:t>
      </w:r>
    </w:p>
    <w:p w:rsidR="00C90DD9" w:rsidP="00E95F11" w14:paraId="0157BB78" w14:textId="1DBF972E">
      <w:pPr>
        <w:pStyle w:val="ListParagraph"/>
        <w:numPr>
          <w:ilvl w:val="1"/>
          <w:numId w:val="12"/>
        </w:numPr>
        <w:spacing w:line="240" w:lineRule="auto"/>
        <w:jc w:val="both"/>
        <w:rPr>
          <w:rFonts w:ascii="Arial" w:hAnsi="Arial" w:cs="Arial"/>
        </w:rPr>
      </w:pPr>
      <w:r>
        <w:rPr>
          <w:rFonts w:ascii="Arial" w:hAnsi="Arial" w:cs="Arial"/>
        </w:rPr>
        <w:t>datum vydání certifikátu</w:t>
      </w:r>
    </w:p>
    <w:p w:rsidR="00C90DD9" w:rsidP="00E95F11" w14:paraId="5A17761C" w14:textId="4A6F17C8">
      <w:pPr>
        <w:pStyle w:val="ListParagraph"/>
        <w:numPr>
          <w:ilvl w:val="1"/>
          <w:numId w:val="12"/>
        </w:numPr>
        <w:spacing w:line="240" w:lineRule="auto"/>
        <w:jc w:val="both"/>
        <w:rPr>
          <w:rFonts w:ascii="Arial" w:hAnsi="Arial" w:cs="Arial"/>
        </w:rPr>
      </w:pPr>
      <w:r>
        <w:rPr>
          <w:rFonts w:ascii="Arial" w:hAnsi="Arial" w:cs="Arial"/>
        </w:rPr>
        <w:t>údaje požadované pro vedení Informačního systému certifikovaných osob, pokud již nejsou požadovány přímo použitelnými předpisy Evropské unie</w:t>
      </w:r>
    </w:p>
    <w:p w:rsidR="003A7633" w:rsidP="00E95F11" w14:paraId="612770C2" w14:textId="3F0FEBE7">
      <w:pPr>
        <w:pStyle w:val="ListParagraph"/>
        <w:numPr>
          <w:ilvl w:val="1"/>
          <w:numId w:val="12"/>
        </w:numPr>
        <w:spacing w:line="240" w:lineRule="auto"/>
        <w:jc w:val="both"/>
        <w:rPr>
          <w:rFonts w:ascii="Arial" w:hAnsi="Arial" w:cs="Arial"/>
        </w:rPr>
      </w:pPr>
      <w:r>
        <w:rPr>
          <w:rFonts w:ascii="Arial" w:hAnsi="Arial" w:cs="Arial"/>
        </w:rPr>
        <w:t>certifikát se vydává na dobu neurčitou</w:t>
      </w:r>
      <w:r w:rsidR="00EA7755">
        <w:rPr>
          <w:rFonts w:ascii="Arial" w:hAnsi="Arial" w:cs="Arial"/>
        </w:rPr>
        <w:t>.</w:t>
      </w:r>
    </w:p>
    <w:p w:rsidR="000830C9" w:rsidP="000830C9" w14:paraId="5F8D333C" w14:textId="77777777">
      <w:pPr>
        <w:pStyle w:val="ListParagraph"/>
        <w:spacing w:line="240" w:lineRule="auto"/>
        <w:ind w:left="1440"/>
        <w:jc w:val="both"/>
        <w:rPr>
          <w:rFonts w:ascii="Arial" w:hAnsi="Arial" w:cs="Arial"/>
        </w:rPr>
      </w:pPr>
    </w:p>
    <w:p w:rsidR="000830C9" w:rsidP="000830C9" w14:paraId="042306A1" w14:textId="77777777">
      <w:pPr>
        <w:pStyle w:val="ListParagraph"/>
        <w:spacing w:line="240" w:lineRule="auto"/>
        <w:ind w:left="1440"/>
        <w:jc w:val="both"/>
        <w:rPr>
          <w:rFonts w:ascii="Arial" w:hAnsi="Arial" w:cs="Arial"/>
        </w:rPr>
      </w:pPr>
    </w:p>
    <w:p w:rsidR="00245B63" w:rsidP="00F73FD7" w14:paraId="08EC5D48" w14:textId="3F9F9B74">
      <w:pPr>
        <w:pStyle w:val="ListParagraph"/>
        <w:numPr>
          <w:ilvl w:val="0"/>
          <w:numId w:val="16"/>
        </w:numPr>
        <w:spacing w:line="240" w:lineRule="auto"/>
        <w:ind w:left="714" w:hanging="357"/>
        <w:jc w:val="both"/>
        <w:rPr>
          <w:rFonts w:ascii="Arial" w:hAnsi="Arial" w:cs="Arial"/>
        </w:rPr>
      </w:pPr>
      <w:r>
        <w:rPr>
          <w:rFonts w:ascii="Arial" w:hAnsi="Arial" w:cs="Arial"/>
        </w:rPr>
        <w:t>Na základě zmocnění</w:t>
      </w:r>
      <w:r w:rsidR="00F73FD7">
        <w:rPr>
          <w:rFonts w:ascii="Arial" w:hAnsi="Arial" w:cs="Arial"/>
        </w:rPr>
        <w:t xml:space="preserve"> uvedeného</w:t>
      </w:r>
      <w:r>
        <w:rPr>
          <w:rFonts w:ascii="Arial" w:hAnsi="Arial" w:cs="Arial"/>
        </w:rPr>
        <w:t xml:space="preserve"> v</w:t>
      </w:r>
      <w:r w:rsidR="00F73FD7">
        <w:rPr>
          <w:rFonts w:ascii="Arial" w:hAnsi="Arial" w:cs="Arial"/>
        </w:rPr>
        <w:t xml:space="preserve"> ustanovení </w:t>
      </w:r>
      <w:r w:rsidRPr="00F545B9">
        <w:rPr>
          <w:rFonts w:ascii="Arial" w:hAnsi="Arial" w:cs="Arial"/>
          <w:b/>
        </w:rPr>
        <w:t>§ 11 odst. 4</w:t>
      </w:r>
      <w:r>
        <w:rPr>
          <w:rFonts w:ascii="Arial" w:hAnsi="Arial" w:cs="Arial"/>
        </w:rPr>
        <w:t xml:space="preserve"> </w:t>
      </w:r>
      <w:r w:rsidR="00F545B9">
        <w:rPr>
          <w:rFonts w:ascii="Arial" w:hAnsi="Arial" w:cs="Arial"/>
        </w:rPr>
        <w:t xml:space="preserve">zákona vyhláška nově stanoví vzor pro podání zprávy o </w:t>
      </w:r>
      <w:r>
        <w:rPr>
          <w:rFonts w:ascii="Arial" w:hAnsi="Arial" w:cs="Arial"/>
        </w:rPr>
        <w:t xml:space="preserve">provedené </w:t>
      </w:r>
      <w:r w:rsidR="00F545B9">
        <w:rPr>
          <w:rFonts w:ascii="Arial" w:hAnsi="Arial" w:cs="Arial"/>
        </w:rPr>
        <w:t>regeneraci fluorovaných skleníkových plynů</w:t>
      </w:r>
      <w:r>
        <w:rPr>
          <w:rFonts w:ascii="Arial" w:hAnsi="Arial" w:cs="Arial"/>
        </w:rPr>
        <w:t>.</w:t>
      </w:r>
      <w:r w:rsidR="00181CCD">
        <w:rPr>
          <w:rFonts w:ascii="Arial" w:hAnsi="Arial" w:cs="Arial"/>
        </w:rPr>
        <w:t xml:space="preserve"> Formulář bude stanoven </w:t>
      </w:r>
      <w:r w:rsidR="00F73FD7">
        <w:rPr>
          <w:rFonts w:ascii="Arial" w:hAnsi="Arial" w:cs="Arial"/>
        </w:rPr>
        <w:t xml:space="preserve">obdobně </w:t>
      </w:r>
      <w:r w:rsidR="00181CCD">
        <w:rPr>
          <w:rFonts w:ascii="Arial" w:hAnsi="Arial" w:cs="Arial"/>
        </w:rPr>
        <w:t xml:space="preserve">jako </w:t>
      </w:r>
      <w:r w:rsidR="00F73FD7">
        <w:rPr>
          <w:rFonts w:ascii="Arial" w:hAnsi="Arial" w:cs="Arial"/>
        </w:rPr>
        <w:t>vzory pro podávání zpráv pro jiné činnosti, které jsou již nyní ve vyhlášce obsaženy v příloze č. 3.</w:t>
      </w:r>
    </w:p>
    <w:p w:rsidR="00484836" w:rsidRPr="00484836" w:rsidP="00484836" w14:paraId="364B9883" w14:textId="77777777">
      <w:pPr>
        <w:spacing w:line="240" w:lineRule="auto"/>
        <w:ind w:left="348"/>
        <w:jc w:val="both"/>
        <w:rPr>
          <w:rFonts w:ascii="Arial" w:hAnsi="Arial" w:cs="Arial"/>
        </w:rPr>
      </w:pPr>
    </w:p>
    <w:p w:rsidR="00713324" w:rsidRPr="00713324" w:rsidP="00713324" w14:paraId="7FB9CE0C" w14:textId="77777777">
      <w:pPr>
        <w:spacing w:line="240" w:lineRule="auto"/>
        <w:jc w:val="both"/>
        <w:rPr>
          <w:rFonts w:ascii="Arial" w:hAnsi="Arial" w:cs="Arial"/>
        </w:rPr>
      </w:pPr>
    </w:p>
    <w:p w:rsidR="007118D9" w:rsidRPr="007118D9" w:rsidP="007118D9" w14:paraId="4FAA4684" w14:textId="77777777">
      <w:pPr>
        <w:spacing w:line="240" w:lineRule="auto"/>
        <w:jc w:val="both"/>
        <w:rPr>
          <w:rFonts w:ascii="Arial" w:hAnsi="Arial" w:cs="Arial"/>
        </w:rPr>
      </w:pPr>
    </w:p>
    <w:sectPr w:rsidSect="00802296">
      <w:headerReference w:type="first" r:id="rId5"/>
      <w:pgSz w:w="11906" w:h="16838"/>
      <w:pgMar w:top="1417"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02296" w:rsidRPr="00802296" w:rsidP="00802296" w14:paraId="681C2F7E" w14:textId="77777777">
    <w:pPr>
      <w:pStyle w:val="Header"/>
      <w:jc w:val="right"/>
      <w:rPr>
        <w:rFonts w:ascii="Arial" w:hAnsi="Arial" w:cs="Arial"/>
        <w:b/>
      </w:rPr>
    </w:pPr>
  </w:p>
  <w:p w:rsidR="00802296" w:rsidP="00802296" w14:paraId="1C56F175" w14:textId="7777777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771352D"/>
    <w:multiLevelType w:val="hybridMultilevel"/>
    <w:tmpl w:val="7DF0D53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2A941C96"/>
    <w:multiLevelType w:val="hybridMultilevel"/>
    <w:tmpl w:val="6CBAB3AA"/>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D735967"/>
    <w:multiLevelType w:val="hybridMultilevel"/>
    <w:tmpl w:val="E45E8102"/>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2DF26717"/>
    <w:multiLevelType w:val="hybridMultilevel"/>
    <w:tmpl w:val="E1C00CAA"/>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371B5002"/>
    <w:multiLevelType w:val="hybridMultilevel"/>
    <w:tmpl w:val="5F68B39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3AC72ED4"/>
    <w:multiLevelType w:val="hybridMultilevel"/>
    <w:tmpl w:val="75163E5E"/>
    <w:lvl w:ilvl="0">
      <w:start w:val="1"/>
      <w:numFmt w:val="lowerLetter"/>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6">
    <w:nsid w:val="3D9C3DDE"/>
    <w:multiLevelType w:val="hybridMultilevel"/>
    <w:tmpl w:val="56904D1A"/>
    <w:lvl w:ilvl="0">
      <w:start w:val="1"/>
      <w:numFmt w:val="bullet"/>
      <w:lvlText w:val="o"/>
      <w:lvlJc w:val="left"/>
      <w:pPr>
        <w:ind w:left="1440" w:hanging="360"/>
      </w:pPr>
      <w:rPr>
        <w:rFonts w:ascii="Courier New" w:hAnsi="Courier New" w:cs="Courier New"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7">
    <w:nsid w:val="43BE24CD"/>
    <w:multiLevelType w:val="hybridMultilevel"/>
    <w:tmpl w:val="0E124678"/>
    <w:lvl w:ilvl="0">
      <w:start w:val="1"/>
      <w:numFmt w:val="bullet"/>
      <w:lvlText w:val="o"/>
      <w:lvlJc w:val="left"/>
      <w:pPr>
        <w:ind w:left="1080" w:hanging="360"/>
      </w:pPr>
      <w:rPr>
        <w:rFonts w:ascii="Courier New" w:hAnsi="Courier New" w:cs="Courier New"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8">
    <w:nsid w:val="48FE6B4A"/>
    <w:multiLevelType w:val="hybridMultilevel"/>
    <w:tmpl w:val="EE2EF6F8"/>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4EC102F7"/>
    <w:multiLevelType w:val="hybridMultilevel"/>
    <w:tmpl w:val="E9F852DA"/>
    <w:lvl w:ilvl="0">
      <w:start w:val="1"/>
      <w:numFmt w:val="bullet"/>
      <w:lvlText w:val=""/>
      <w:lvlJc w:val="left"/>
      <w:pPr>
        <w:ind w:left="1068" w:hanging="360"/>
      </w:pPr>
      <w:rPr>
        <w:rFonts w:ascii="Symbol" w:hAnsi="Symbol" w:hint="default"/>
      </w:rPr>
    </w:lvl>
    <w:lvl w:ilvl="1" w:tentative="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10">
    <w:nsid w:val="5A1B7E3E"/>
    <w:multiLevelType w:val="hybridMultilevel"/>
    <w:tmpl w:val="067AC09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5C667AAF"/>
    <w:multiLevelType w:val="hybridMultilevel"/>
    <w:tmpl w:val="CF603284"/>
    <w:lvl w:ilvl="0">
      <w:start w:val="1"/>
      <w:numFmt w:val="bullet"/>
      <w:lvlText w:val="o"/>
      <w:lvlJc w:val="left"/>
      <w:pPr>
        <w:ind w:left="720" w:hanging="360"/>
      </w:pPr>
      <w:rPr>
        <w:rFonts w:ascii="Courier New" w:hAnsi="Courier New" w:cs="Courier New"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65ED76EE"/>
    <w:multiLevelType w:val="hybridMultilevel"/>
    <w:tmpl w:val="FF2A748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672B364C"/>
    <w:multiLevelType w:val="hybridMultilevel"/>
    <w:tmpl w:val="8EAE3602"/>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6AD07CE7"/>
    <w:multiLevelType w:val="hybridMultilevel"/>
    <w:tmpl w:val="7F043CE4"/>
    <w:lvl w:ilvl="0">
      <w:start w:val="1"/>
      <w:numFmt w:val="lowerLetter"/>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5">
    <w:nsid w:val="7F9E37C1"/>
    <w:multiLevelType w:val="hybridMultilevel"/>
    <w:tmpl w:val="48B6E1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6"/>
  </w:num>
  <w:num w:numId="4">
    <w:abstractNumId w:val="11"/>
  </w:num>
  <w:num w:numId="5">
    <w:abstractNumId w:val="10"/>
  </w:num>
  <w:num w:numId="6">
    <w:abstractNumId w:val="0"/>
  </w:num>
  <w:num w:numId="7">
    <w:abstractNumId w:val="5"/>
  </w:num>
  <w:num w:numId="8">
    <w:abstractNumId w:val="14"/>
  </w:num>
  <w:num w:numId="9">
    <w:abstractNumId w:val="7"/>
  </w:num>
  <w:num w:numId="10">
    <w:abstractNumId w:val="2"/>
  </w:num>
  <w:num w:numId="11">
    <w:abstractNumId w:val="4"/>
  </w:num>
  <w:num w:numId="12">
    <w:abstractNumId w:val="15"/>
  </w:num>
  <w:num w:numId="13">
    <w:abstractNumId w:val="3"/>
  </w:num>
  <w:num w:numId="14">
    <w:abstractNumId w:val="8"/>
  </w:num>
  <w:num w:numId="15">
    <w:abstractNumId w:val="1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837"/>
    <w:rsid w:val="00000CD1"/>
    <w:rsid w:val="000018DC"/>
    <w:rsid w:val="0001278C"/>
    <w:rsid w:val="00016871"/>
    <w:rsid w:val="00022E34"/>
    <w:rsid w:val="00034426"/>
    <w:rsid w:val="00052905"/>
    <w:rsid w:val="000830C9"/>
    <w:rsid w:val="000C7799"/>
    <w:rsid w:val="000F4364"/>
    <w:rsid w:val="00103AD6"/>
    <w:rsid w:val="00105615"/>
    <w:rsid w:val="00124427"/>
    <w:rsid w:val="001340D2"/>
    <w:rsid w:val="00137D12"/>
    <w:rsid w:val="001409E6"/>
    <w:rsid w:val="0017568B"/>
    <w:rsid w:val="00181CCD"/>
    <w:rsid w:val="001A77AA"/>
    <w:rsid w:val="001F00E2"/>
    <w:rsid w:val="00213E20"/>
    <w:rsid w:val="0021440C"/>
    <w:rsid w:val="00217AE4"/>
    <w:rsid w:val="002202DB"/>
    <w:rsid w:val="00224544"/>
    <w:rsid w:val="00245B63"/>
    <w:rsid w:val="00271199"/>
    <w:rsid w:val="0027580E"/>
    <w:rsid w:val="002773CE"/>
    <w:rsid w:val="00284506"/>
    <w:rsid w:val="002A29A3"/>
    <w:rsid w:val="002F4FA6"/>
    <w:rsid w:val="00305350"/>
    <w:rsid w:val="00306BA5"/>
    <w:rsid w:val="00310489"/>
    <w:rsid w:val="00312617"/>
    <w:rsid w:val="0036101C"/>
    <w:rsid w:val="003644C2"/>
    <w:rsid w:val="00384CCD"/>
    <w:rsid w:val="00384FB2"/>
    <w:rsid w:val="003A7633"/>
    <w:rsid w:val="003C1DE3"/>
    <w:rsid w:val="003C65BB"/>
    <w:rsid w:val="003D0E2A"/>
    <w:rsid w:val="003D548D"/>
    <w:rsid w:val="003D6234"/>
    <w:rsid w:val="003F21A9"/>
    <w:rsid w:val="003F72C4"/>
    <w:rsid w:val="00484836"/>
    <w:rsid w:val="0049463C"/>
    <w:rsid w:val="004A4630"/>
    <w:rsid w:val="004C5AE5"/>
    <w:rsid w:val="005004D3"/>
    <w:rsid w:val="0050669E"/>
    <w:rsid w:val="0052373A"/>
    <w:rsid w:val="00523F3A"/>
    <w:rsid w:val="00534E35"/>
    <w:rsid w:val="005544E4"/>
    <w:rsid w:val="005B4774"/>
    <w:rsid w:val="005C45F6"/>
    <w:rsid w:val="005C54C6"/>
    <w:rsid w:val="005E2D1C"/>
    <w:rsid w:val="005E38EE"/>
    <w:rsid w:val="005E6C80"/>
    <w:rsid w:val="005F5BDE"/>
    <w:rsid w:val="006134F6"/>
    <w:rsid w:val="0063709F"/>
    <w:rsid w:val="00666B67"/>
    <w:rsid w:val="007118D9"/>
    <w:rsid w:val="00713324"/>
    <w:rsid w:val="00721D2C"/>
    <w:rsid w:val="00743BFA"/>
    <w:rsid w:val="00762DF8"/>
    <w:rsid w:val="0077558E"/>
    <w:rsid w:val="007D7AA1"/>
    <w:rsid w:val="007F3E61"/>
    <w:rsid w:val="007F5D80"/>
    <w:rsid w:val="00802296"/>
    <w:rsid w:val="00802E2B"/>
    <w:rsid w:val="008513F8"/>
    <w:rsid w:val="0089041E"/>
    <w:rsid w:val="008A16D7"/>
    <w:rsid w:val="008B64D9"/>
    <w:rsid w:val="008D2572"/>
    <w:rsid w:val="009029BC"/>
    <w:rsid w:val="00927E46"/>
    <w:rsid w:val="00952E35"/>
    <w:rsid w:val="0095429C"/>
    <w:rsid w:val="00975BE6"/>
    <w:rsid w:val="009C04AC"/>
    <w:rsid w:val="009C498C"/>
    <w:rsid w:val="009C7C6A"/>
    <w:rsid w:val="009D5C98"/>
    <w:rsid w:val="009E1611"/>
    <w:rsid w:val="009F643E"/>
    <w:rsid w:val="009F651C"/>
    <w:rsid w:val="00A03F87"/>
    <w:rsid w:val="00A20042"/>
    <w:rsid w:val="00A37DF1"/>
    <w:rsid w:val="00A47E8E"/>
    <w:rsid w:val="00A5759F"/>
    <w:rsid w:val="00A77BA8"/>
    <w:rsid w:val="00A927DC"/>
    <w:rsid w:val="00AB4FFB"/>
    <w:rsid w:val="00AB69BE"/>
    <w:rsid w:val="00AC4DF5"/>
    <w:rsid w:val="00B248D6"/>
    <w:rsid w:val="00B3775B"/>
    <w:rsid w:val="00B552D4"/>
    <w:rsid w:val="00BC3819"/>
    <w:rsid w:val="00BC59EA"/>
    <w:rsid w:val="00BC6889"/>
    <w:rsid w:val="00BD17D5"/>
    <w:rsid w:val="00C05365"/>
    <w:rsid w:val="00C23609"/>
    <w:rsid w:val="00C711C4"/>
    <w:rsid w:val="00C83CEC"/>
    <w:rsid w:val="00C863DA"/>
    <w:rsid w:val="00C90DD9"/>
    <w:rsid w:val="00C925AE"/>
    <w:rsid w:val="00CB27BC"/>
    <w:rsid w:val="00CB434A"/>
    <w:rsid w:val="00CC7C02"/>
    <w:rsid w:val="00CF3DFA"/>
    <w:rsid w:val="00D13284"/>
    <w:rsid w:val="00D26837"/>
    <w:rsid w:val="00D54245"/>
    <w:rsid w:val="00D6180C"/>
    <w:rsid w:val="00D67B5D"/>
    <w:rsid w:val="00D70531"/>
    <w:rsid w:val="00D86BD1"/>
    <w:rsid w:val="00D9568C"/>
    <w:rsid w:val="00DB723D"/>
    <w:rsid w:val="00E37DAC"/>
    <w:rsid w:val="00E52A4F"/>
    <w:rsid w:val="00E55CF9"/>
    <w:rsid w:val="00E57E01"/>
    <w:rsid w:val="00E739B9"/>
    <w:rsid w:val="00E95F11"/>
    <w:rsid w:val="00EA7755"/>
    <w:rsid w:val="00EB634E"/>
    <w:rsid w:val="00F21B44"/>
    <w:rsid w:val="00F459EE"/>
    <w:rsid w:val="00F545B9"/>
    <w:rsid w:val="00F7360A"/>
    <w:rsid w:val="00F73FD7"/>
    <w:rsid w:val="00FB5704"/>
    <w:rsid w:val="00FE64F2"/>
    <w:rsid w:val="00FF2593"/>
  </w:rsids>
  <m:mathPr>
    <m:mathFont m:val="Cambria Math"/>
  </m:mathPr>
  <w:themeFontLang w:val="cs-CZ"/>
  <w:clrSchemeMapping w:bg1="light1" w:t1="dark1" w:bg2="light2" w:t2="dark2" w:accent1="accent1" w:accent2="accent2" w:accent3="accent3" w:accent4="accent4" w:accent5="accent5" w:accent6="accent6" w:hyperlink="hyperlink" w:followedHyperlink="followedHyperlink"/>
  <w15:docId w15:val="{76D6B0ED-0041-4F85-8D60-6162D82B8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8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Indicator Text,LISTA,List Paragraph (Czech Tourism),List Paragraph Char Char Char,List Paragraph à moi,List Paragraph1,Listaszerű bekezdés1,Listaszerű bekezdés2,Listaszerű bekezdés3,Nad,No Spacing1,Numbered Para 1"/>
    <w:basedOn w:val="Normal"/>
    <w:link w:val="OdstavecseseznamemChar"/>
    <w:uiPriority w:val="34"/>
    <w:qFormat/>
    <w:rsid w:val="00D26837"/>
    <w:pPr>
      <w:ind w:left="720"/>
      <w:contextualSpacing/>
    </w:pPr>
  </w:style>
  <w:style w:type="table" w:styleId="TableGrid">
    <w:name w:val="Table Grid"/>
    <w:basedOn w:val="TableNormal"/>
    <w:uiPriority w:val="59"/>
    <w:rsid w:val="00D26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ot pt Char,Indicator Text Char,LISTA Char,List Paragraph (Czech Tourism) Char,List Paragraph Char Char Char Char,List Paragraph à moi Char,List Paragraph1 Char,Listaszerű bekezdés1 Char,Listaszerű bekezdés2 Char,Nad Char"/>
    <w:link w:val="ListParagraph"/>
    <w:uiPriority w:val="34"/>
    <w:qFormat/>
    <w:locked/>
    <w:rsid w:val="00D26837"/>
  </w:style>
  <w:style w:type="paragraph" w:styleId="Header">
    <w:name w:val="header"/>
    <w:basedOn w:val="Normal"/>
    <w:link w:val="ZhlavChar"/>
    <w:uiPriority w:val="99"/>
    <w:unhideWhenUsed/>
    <w:rsid w:val="00802296"/>
    <w:pPr>
      <w:tabs>
        <w:tab w:val="center" w:pos="4536"/>
        <w:tab w:val="right" w:pos="9072"/>
      </w:tabs>
      <w:spacing w:after="0" w:line="240" w:lineRule="auto"/>
    </w:pPr>
  </w:style>
  <w:style w:type="character" w:customStyle="1" w:styleId="ZhlavChar">
    <w:name w:val="Záhlaví Char"/>
    <w:basedOn w:val="DefaultParagraphFont"/>
    <w:link w:val="Header"/>
    <w:uiPriority w:val="99"/>
    <w:rsid w:val="00802296"/>
  </w:style>
  <w:style w:type="paragraph" w:styleId="Footer">
    <w:name w:val="footer"/>
    <w:basedOn w:val="Normal"/>
    <w:link w:val="ZpatChar"/>
    <w:uiPriority w:val="99"/>
    <w:unhideWhenUsed/>
    <w:rsid w:val="00802296"/>
    <w:pPr>
      <w:tabs>
        <w:tab w:val="center" w:pos="4536"/>
        <w:tab w:val="right" w:pos="9072"/>
      </w:tabs>
      <w:spacing w:after="0" w:line="240" w:lineRule="auto"/>
    </w:pPr>
  </w:style>
  <w:style w:type="character" w:customStyle="1" w:styleId="ZpatChar">
    <w:name w:val="Zápatí Char"/>
    <w:basedOn w:val="DefaultParagraphFont"/>
    <w:link w:val="Footer"/>
    <w:uiPriority w:val="99"/>
    <w:rsid w:val="00802296"/>
  </w:style>
  <w:style w:type="paragraph" w:styleId="BalloonText">
    <w:name w:val="Balloon Text"/>
    <w:basedOn w:val="Normal"/>
    <w:link w:val="TextbublinyChar"/>
    <w:uiPriority w:val="99"/>
    <w:semiHidden/>
    <w:unhideWhenUsed/>
    <w:rsid w:val="00D70531"/>
    <w:pPr>
      <w:spacing w:after="0" w:line="240" w:lineRule="auto"/>
    </w:pPr>
    <w:rPr>
      <w:rFonts w:ascii="Segoe UI" w:hAnsi="Segoe UI" w:cs="Segoe UI"/>
      <w:sz w:val="18"/>
      <w:szCs w:val="18"/>
    </w:rPr>
  </w:style>
  <w:style w:type="character" w:customStyle="1" w:styleId="TextbublinyChar">
    <w:name w:val="Text bubliny Char"/>
    <w:basedOn w:val="DefaultParagraphFont"/>
    <w:link w:val="BalloonText"/>
    <w:uiPriority w:val="99"/>
    <w:semiHidden/>
    <w:rsid w:val="00D70531"/>
    <w:rPr>
      <w:rFonts w:ascii="Segoe UI" w:hAnsi="Segoe UI" w:cs="Segoe UI"/>
      <w:sz w:val="18"/>
      <w:szCs w:val="18"/>
    </w:rPr>
  </w:style>
  <w:style w:type="character" w:styleId="CommentReference">
    <w:name w:val="annotation reference"/>
    <w:basedOn w:val="DefaultParagraphFont"/>
    <w:uiPriority w:val="99"/>
    <w:semiHidden/>
    <w:unhideWhenUsed/>
    <w:rsid w:val="007118D9"/>
    <w:rPr>
      <w:sz w:val="16"/>
      <w:szCs w:val="16"/>
    </w:rPr>
  </w:style>
  <w:style w:type="paragraph" w:styleId="CommentText">
    <w:name w:val="annotation text"/>
    <w:basedOn w:val="Normal"/>
    <w:link w:val="TextkomenteChar"/>
    <w:uiPriority w:val="99"/>
    <w:semiHidden/>
    <w:unhideWhenUsed/>
    <w:rsid w:val="007118D9"/>
    <w:pPr>
      <w:spacing w:line="240" w:lineRule="auto"/>
    </w:pPr>
    <w:rPr>
      <w:sz w:val="20"/>
      <w:szCs w:val="20"/>
    </w:rPr>
  </w:style>
  <w:style w:type="character" w:customStyle="1" w:styleId="TextkomenteChar">
    <w:name w:val="Text komentáře Char"/>
    <w:basedOn w:val="DefaultParagraphFont"/>
    <w:link w:val="CommentText"/>
    <w:uiPriority w:val="99"/>
    <w:semiHidden/>
    <w:rsid w:val="007118D9"/>
    <w:rPr>
      <w:sz w:val="20"/>
      <w:szCs w:val="20"/>
    </w:rPr>
  </w:style>
  <w:style w:type="paragraph" w:styleId="CommentSubject">
    <w:name w:val="annotation subject"/>
    <w:basedOn w:val="CommentText"/>
    <w:next w:val="CommentText"/>
    <w:link w:val="PedmtkomenteChar"/>
    <w:uiPriority w:val="99"/>
    <w:semiHidden/>
    <w:unhideWhenUsed/>
    <w:rsid w:val="007118D9"/>
    <w:rPr>
      <w:b/>
      <w:bCs/>
    </w:rPr>
  </w:style>
  <w:style w:type="character" w:customStyle="1" w:styleId="PedmtkomenteChar">
    <w:name w:val="Předmět komentáře Char"/>
    <w:basedOn w:val="TextkomenteChar"/>
    <w:link w:val="CommentSubject"/>
    <w:uiPriority w:val="99"/>
    <w:semiHidden/>
    <w:rsid w:val="007118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E05ECF-7E10-4718-B5EC-6BC905C68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1111</Words>
  <Characters>6556</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Wočadlová</dc:creator>
  <cp:lastModifiedBy>Tomáš Hrdlička</cp:lastModifiedBy>
  <cp:revision>11</cp:revision>
  <cp:lastPrinted>2021-02-05T16:26:00Z</cp:lastPrinted>
  <dcterms:created xsi:type="dcterms:W3CDTF">2021-04-06T13:57:00Z</dcterms:created>
  <dcterms:modified xsi:type="dcterms:W3CDTF">2021-06-08T07:56:00Z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MZP/2021/410/440</vt:lpwstr>
  </property>
  <property fmtid="{D5CDD505-2E9C-101B-9397-08002B2CF9AE}" pid="5" name="CJ_PostaDoruc_PisemnostOdpovedNa_Pisemnost">
    <vt:lpwstr>XXX-XXX-XXX</vt:lpwstr>
  </property>
  <property fmtid="{D5CDD505-2E9C-101B-9397-08002B2CF9AE}" pid="6" name="CJ_Spis_Pisemnost">
    <vt:lpwstr>MZP/2021/410/283</vt:lpwstr>
  </property>
  <property fmtid="{D5CDD505-2E9C-101B-9397-08002B2CF9AE}" pid="7" name="Contact_PostaOdes">
    <vt:lpwstr>{NameAddress_Contact_PostaOdes}
{FullAddress_Contact_PostaOdes}</vt:lpwstr>
  </property>
  <property fmtid="{D5CDD505-2E9C-101B-9397-08002B2CF9AE}" pid="8" name="Contact_PostaOdes_All">
    <vt:lpwstr>ROZDĚLOVNÍK...</vt:lpwstr>
  </property>
  <property fmtid="{D5CDD505-2E9C-101B-9397-08002B2CF9AE}" pid="9" name="DatumNaroz">
    <vt:lpwstr/>
  </property>
  <property fmtid="{D5CDD505-2E9C-101B-9397-08002B2CF9AE}" pid="10" name="DatumPlatnosti_PisemnostTypZpristupneniInformaciZOSZ_Pisemnost">
    <vt:lpwstr>ZOSZ_DatumPlatnosti</vt:lpwstr>
  </property>
  <property fmtid="{D5CDD505-2E9C-101B-9397-08002B2CF9AE}" pid="11" name="DatumPoriz_Pisemnost">
    <vt:lpwstr>8.6.2021</vt:lpwstr>
  </property>
  <property fmtid="{D5CDD505-2E9C-101B-9397-08002B2CF9AE}" pid="12" name="DisplayName_CisloObalky_PostaOdes">
    <vt:lpwstr>ČÍSLO OBÁLKY</vt:lpwstr>
  </property>
  <property fmtid="{D5CDD505-2E9C-101B-9397-08002B2CF9AE}" pid="13" name="DisplayName_CJCol">
    <vt:lpwstr>&lt;TABLE&gt;&lt;TR&gt;&lt;TD&gt;Č.j.:&lt;/TD&gt;&lt;TD&gt;MZP/2021/410/440&lt;/TD&gt;&lt;/TR&gt;&lt;TR&gt;&lt;TD&gt;&lt;/TD&gt;&lt;TD&gt;&lt;/TD&gt;&lt;/TR&gt;&lt;/TABLE&gt;</vt:lpwstr>
  </property>
  <property fmtid="{D5CDD505-2E9C-101B-9397-08002B2CF9AE}" pid="14" name="DisplayName_SlozkaStupenUtajeniCollection_Slozka_Pisemnost">
    <vt:lpwstr/>
  </property>
  <property fmtid="{D5CDD505-2E9C-101B-9397-08002B2CF9AE}" pid="15" name="DisplayName_SpisovyUzel_PoziceZodpo_Pisemnost">
    <vt:lpwstr>Odbor legislativní</vt:lpwstr>
  </property>
  <property fmtid="{D5CDD505-2E9C-101B-9397-08002B2CF9AE}" pid="16" name="DisplayName_UserPoriz_Pisemnost">
    <vt:lpwstr>Mgr. Tomáš Hrdlička</vt:lpwstr>
  </property>
  <property fmtid="{D5CDD505-2E9C-101B-9397-08002B2CF9AE}" pid="17" name="DuvodZmeny_SlozkaStupenUtajeniCollection_Slozka_Pisemnost">
    <vt:lpwstr/>
  </property>
  <property fmtid="{D5CDD505-2E9C-101B-9397-08002B2CF9AE}" pid="18" name="EC_Pisemnost">
    <vt:lpwstr>ENV/2021/64753</vt:lpwstr>
  </property>
  <property fmtid="{D5CDD505-2E9C-101B-9397-08002B2CF9AE}" pid="19" name="Key_BarCode_Pisemnost">
    <vt:lpwstr>*B000884268*</vt:lpwstr>
  </property>
  <property fmtid="{D5CDD505-2E9C-101B-9397-08002B2CF9AE}" pid="20" name="Key_BarCode_PostaOdes">
    <vt:lpwstr>11101001011</vt:lpwstr>
  </property>
  <property fmtid="{D5CDD505-2E9C-101B-9397-08002B2CF9AE}" pid="21" name="KRukam">
    <vt:lpwstr>{KRukam}</vt:lpwstr>
  </property>
  <property fmtid="{D5CDD505-2E9C-101B-9397-08002B2CF9AE}" pid="22" name="NameAddress_Contact_SpisovyUzel_PoziceZodpo_Pisemnost">
    <vt:lpwstr>ADRESÁT SU...</vt:lpwstr>
  </property>
  <property fmtid="{D5CDD505-2E9C-101B-9397-08002B2CF9AE}" pid="23" name="NamePostalAddress_Contact_PostaOdes">
    <vt:lpwstr>{NameAddress_Contact_PostaOdes}
{PostalAddress_Contact_PostaOdes}</vt:lpwstr>
  </property>
  <property fmtid="{D5CDD505-2E9C-101B-9397-08002B2CF9AE}" pid="24" name="Odkaz">
    <vt:lpwstr>ODKAZ</vt:lpwstr>
  </property>
  <property fmtid="{D5CDD505-2E9C-101B-9397-08002B2CF9AE}" pid="25" name="Password_PisemnostTypZpristupneniInformaciZOSZ_Pisemnost">
    <vt:lpwstr>ZOSZ_Password</vt:lpwstr>
  </property>
  <property fmtid="{D5CDD505-2E9C-101B-9397-08002B2CF9AE}" pid="26" name="PocetListuDokumentu_Pisemnost">
    <vt:lpwstr>1</vt:lpwstr>
  </property>
  <property fmtid="{D5CDD505-2E9C-101B-9397-08002B2CF9AE}" pid="27" name="PocetListu_Pisemnost">
    <vt:lpwstr>1</vt:lpwstr>
  </property>
  <property fmtid="{D5CDD505-2E9C-101B-9397-08002B2CF9AE}" pid="28" name="PocetPriloh_Pisemnost">
    <vt:lpwstr>POČET PŘÍLOH</vt:lpwstr>
  </property>
  <property fmtid="{D5CDD505-2E9C-101B-9397-08002B2CF9AE}" pid="29" name="Podpis">
    <vt:lpwstr/>
  </property>
  <property fmtid="{D5CDD505-2E9C-101B-9397-08002B2CF9AE}" pid="30" name="PoleVlastnost">
    <vt:lpwstr/>
  </property>
  <property fmtid="{D5CDD505-2E9C-101B-9397-08002B2CF9AE}" pid="31" name="PostalAddress_Contact_SpisovyUzel_PoziceZodpo_Pisemnost">
    <vt:lpwstr>ADRESA SU...</vt:lpwstr>
  </property>
  <property fmtid="{D5CDD505-2E9C-101B-9397-08002B2CF9AE}" pid="32" name="QREC_Pisemnost">
    <vt:lpwstr>ENV/2021/64753</vt:lpwstr>
  </property>
  <property fmtid="{D5CDD505-2E9C-101B-9397-08002B2CF9AE}" pid="33" name="RC">
    <vt:lpwstr/>
  </property>
  <property fmtid="{D5CDD505-2E9C-101B-9397-08002B2CF9AE}" pid="34" name="SkartacniZnakLhuta_PisemnostZnak">
    <vt:lpwstr>A/10</vt:lpwstr>
  </property>
  <property fmtid="{D5CDD505-2E9C-101B-9397-08002B2CF9AE}" pid="35" name="SmlouvaCislo">
    <vt:lpwstr>ČÍSLO SMLOUVY</vt:lpwstr>
  </property>
  <property fmtid="{D5CDD505-2E9C-101B-9397-08002B2CF9AE}" pid="36" name="SZ_Spis_Pisemnost">
    <vt:lpwstr>ZN/MZP/2020/410/75</vt:lpwstr>
  </property>
  <property fmtid="{D5CDD505-2E9C-101B-9397-08002B2CF9AE}" pid="37" name="TEST">
    <vt:lpwstr>testovací pole</vt:lpwstr>
  </property>
  <property fmtid="{D5CDD505-2E9C-101B-9397-08002B2CF9AE}" pid="38" name="TypPrilohy_Pisemnost">
    <vt:lpwstr>TYP PŘÍLOHY</vt:lpwstr>
  </property>
  <property fmtid="{D5CDD505-2E9C-101B-9397-08002B2CF9AE}" pid="39" name="UserName_PisemnostTypZpristupneniInformaciZOSZ_Pisemnost">
    <vt:lpwstr>ZOSZ_UserName</vt:lpwstr>
  </property>
  <property fmtid="{D5CDD505-2E9C-101B-9397-08002B2CF9AE}" pid="40" name="Vec_Pisemnost">
    <vt:lpwstr>Návrh zákona, kterým se mění zákon č. 73/2012 Sb., o látkách, které poškozují ozonovou vrstvu, a o fluorovaných skleníkových plynech, ve znění pozdějších předpisů - materiál do PSP</vt:lpwstr>
  </property>
  <property fmtid="{D5CDD505-2E9C-101B-9397-08002B2CF9AE}" pid="41" name="Zkratka_SpisovyUzel_PoziceZodpo_Pisemnost">
    <vt:lpwstr>410</vt:lpwstr>
  </property>
</Properties>
</file>