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1C206" w14:textId="77777777" w:rsidR="00EB67F3" w:rsidRPr="005F0C7D" w:rsidRDefault="00EB67F3" w:rsidP="00EB67F3">
      <w:pPr>
        <w:jc w:val="center"/>
        <w:rPr>
          <w:rFonts w:cs="Arial"/>
          <w:b/>
          <w:sz w:val="44"/>
          <w:szCs w:val="44"/>
        </w:rPr>
      </w:pPr>
      <w:bookmarkStart w:id="0" w:name="_GoBack"/>
      <w:bookmarkEnd w:id="0"/>
    </w:p>
    <w:p w14:paraId="4BAD4F5F" w14:textId="77777777" w:rsidR="00EB67F3" w:rsidRPr="007A582E" w:rsidRDefault="009731B0" w:rsidP="00EB67F3">
      <w:pPr>
        <w:tabs>
          <w:tab w:val="left" w:pos="7470"/>
        </w:tabs>
        <w:jc w:val="left"/>
        <w:rPr>
          <w:rFonts w:cs="Arial"/>
          <w:b/>
          <w:sz w:val="24"/>
        </w:rPr>
      </w:pPr>
      <w:r>
        <w:rPr>
          <w:rFonts w:cs="Arial"/>
          <w:b/>
          <w:sz w:val="44"/>
          <w:szCs w:val="44"/>
        </w:rPr>
        <w:tab/>
      </w:r>
      <w:r>
        <w:rPr>
          <w:rFonts w:cs="Arial"/>
          <w:b/>
          <w:sz w:val="44"/>
          <w:szCs w:val="44"/>
        </w:rPr>
        <w:tab/>
      </w:r>
      <w:r w:rsidRPr="007A582E">
        <w:rPr>
          <w:rFonts w:cs="Arial"/>
          <w:b/>
          <w:sz w:val="24"/>
        </w:rPr>
        <w:tab/>
      </w:r>
      <w:r>
        <w:rPr>
          <w:rFonts w:cs="Arial"/>
          <w:b/>
          <w:sz w:val="24"/>
        </w:rPr>
        <w:t xml:space="preserve">   </w:t>
      </w:r>
      <w:r w:rsidRPr="007A582E">
        <w:rPr>
          <w:rFonts w:cs="Arial"/>
          <w:b/>
          <w:sz w:val="24"/>
        </w:rPr>
        <w:tab/>
      </w:r>
    </w:p>
    <w:p w14:paraId="52CADEA1" w14:textId="77777777" w:rsidR="00EB67F3" w:rsidRDefault="00EB67F3" w:rsidP="00EB67F3">
      <w:pPr>
        <w:jc w:val="center"/>
        <w:rPr>
          <w:rFonts w:cs="Arial"/>
          <w:b/>
          <w:sz w:val="44"/>
          <w:szCs w:val="44"/>
        </w:rPr>
      </w:pPr>
    </w:p>
    <w:p w14:paraId="4BCBAEA3" w14:textId="77777777" w:rsidR="00EB67F3" w:rsidRPr="005F0C7D" w:rsidRDefault="00EB67F3" w:rsidP="00EB67F3">
      <w:pPr>
        <w:jc w:val="center"/>
        <w:rPr>
          <w:rFonts w:cs="Arial"/>
          <w:b/>
          <w:sz w:val="44"/>
          <w:szCs w:val="44"/>
        </w:rPr>
      </w:pPr>
    </w:p>
    <w:p w14:paraId="5FF78F7C" w14:textId="77777777" w:rsidR="00EB67F3" w:rsidRPr="005F0C7D" w:rsidRDefault="00EB67F3" w:rsidP="00EB67F3">
      <w:pPr>
        <w:jc w:val="center"/>
        <w:rPr>
          <w:rFonts w:cs="Arial"/>
          <w:b/>
          <w:sz w:val="44"/>
          <w:szCs w:val="44"/>
        </w:rPr>
      </w:pPr>
    </w:p>
    <w:p w14:paraId="374873F2" w14:textId="77777777" w:rsidR="00EB67F3" w:rsidRPr="005F0C7D" w:rsidRDefault="00EB67F3" w:rsidP="00EB67F3">
      <w:pPr>
        <w:jc w:val="center"/>
        <w:rPr>
          <w:rFonts w:cs="Arial"/>
          <w:b/>
          <w:sz w:val="44"/>
          <w:szCs w:val="44"/>
        </w:rPr>
      </w:pPr>
    </w:p>
    <w:p w14:paraId="7194D3F7" w14:textId="77777777" w:rsidR="00EB67F3" w:rsidRPr="006519D0" w:rsidRDefault="009731B0" w:rsidP="00EB67F3">
      <w:pPr>
        <w:jc w:val="center"/>
        <w:rPr>
          <w:rFonts w:cs="Arial"/>
          <w:b/>
          <w:sz w:val="44"/>
          <w:szCs w:val="44"/>
        </w:rPr>
      </w:pPr>
      <w:r w:rsidRPr="006519D0">
        <w:rPr>
          <w:rFonts w:cs="Arial"/>
          <w:b/>
          <w:sz w:val="44"/>
          <w:szCs w:val="44"/>
        </w:rPr>
        <w:t>ZÁVĚREČNÁ ZPRÁVA Z HODNOCENÍ DOPADŮ REGULACE</w:t>
      </w:r>
    </w:p>
    <w:p w14:paraId="7594AEC0" w14:textId="77777777" w:rsidR="00EB67F3" w:rsidRPr="006519D0" w:rsidRDefault="00EB67F3" w:rsidP="00EB67F3">
      <w:pPr>
        <w:jc w:val="center"/>
        <w:rPr>
          <w:rFonts w:cs="Arial"/>
          <w:b/>
          <w:sz w:val="44"/>
          <w:szCs w:val="44"/>
        </w:rPr>
      </w:pPr>
    </w:p>
    <w:p w14:paraId="6400FE0C" w14:textId="77777777" w:rsidR="00EB67F3" w:rsidRPr="006519D0" w:rsidRDefault="009731B0" w:rsidP="00EB67F3">
      <w:pPr>
        <w:jc w:val="center"/>
        <w:rPr>
          <w:rFonts w:cs="Arial"/>
          <w:b/>
          <w:color w:val="000000" w:themeColor="text1"/>
        </w:rPr>
      </w:pPr>
      <w:r w:rsidRPr="006519D0">
        <w:rPr>
          <w:rFonts w:cs="Arial"/>
          <w:b/>
          <w:color w:val="000000" w:themeColor="text1"/>
          <w:sz w:val="24"/>
        </w:rPr>
        <w:t>k zákonu</w:t>
      </w:r>
      <w:r w:rsidR="00EA5AEC" w:rsidRPr="006519D0">
        <w:rPr>
          <w:rFonts w:cs="Arial"/>
          <w:b/>
          <w:color w:val="000000" w:themeColor="text1"/>
          <w:sz w:val="24"/>
        </w:rPr>
        <w:t xml:space="preserve">, kterým se mění zákon </w:t>
      </w:r>
      <w:r w:rsidRPr="006519D0">
        <w:rPr>
          <w:rFonts w:cs="Arial"/>
          <w:b/>
          <w:color w:val="000000" w:themeColor="text1"/>
          <w:sz w:val="24"/>
        </w:rPr>
        <w:t>č. 73/2012 Sb., o látkách, které poškozují ozonovou vrstvu, a o fluorovaných skleníkových plynech</w:t>
      </w:r>
    </w:p>
    <w:p w14:paraId="151F0DC5" w14:textId="77777777" w:rsidR="00EB67F3" w:rsidRPr="006519D0" w:rsidRDefault="00EB67F3" w:rsidP="00EB67F3">
      <w:pPr>
        <w:jc w:val="center"/>
        <w:rPr>
          <w:rFonts w:cs="Arial"/>
          <w:b/>
          <w:sz w:val="28"/>
          <w:szCs w:val="28"/>
        </w:rPr>
      </w:pPr>
    </w:p>
    <w:p w14:paraId="635FF842" w14:textId="77777777" w:rsidR="00EB67F3" w:rsidRPr="006519D0" w:rsidRDefault="00EB67F3" w:rsidP="00EB67F3">
      <w:pPr>
        <w:jc w:val="center"/>
        <w:rPr>
          <w:rFonts w:cs="Arial"/>
          <w:b/>
          <w:sz w:val="28"/>
          <w:szCs w:val="28"/>
        </w:rPr>
      </w:pPr>
    </w:p>
    <w:p w14:paraId="73C3F6EE" w14:textId="77777777" w:rsidR="00EB67F3" w:rsidRPr="006519D0" w:rsidRDefault="00EB67F3" w:rsidP="00EB67F3">
      <w:pPr>
        <w:jc w:val="center"/>
        <w:rPr>
          <w:rFonts w:cs="Arial"/>
          <w:b/>
          <w:sz w:val="28"/>
          <w:szCs w:val="28"/>
        </w:rPr>
      </w:pPr>
    </w:p>
    <w:p w14:paraId="3FE50B70" w14:textId="77777777" w:rsidR="00EB67F3" w:rsidRPr="006519D0" w:rsidRDefault="00EB67F3" w:rsidP="00EB67F3">
      <w:pPr>
        <w:jc w:val="center"/>
        <w:rPr>
          <w:rFonts w:cs="Arial"/>
          <w:b/>
          <w:sz w:val="28"/>
          <w:szCs w:val="28"/>
        </w:rPr>
      </w:pPr>
    </w:p>
    <w:p w14:paraId="50F48EA5" w14:textId="77777777" w:rsidR="00EB67F3" w:rsidRPr="006519D0" w:rsidRDefault="00EB67F3" w:rsidP="00EB67F3">
      <w:pPr>
        <w:jc w:val="center"/>
        <w:rPr>
          <w:rFonts w:cs="Arial"/>
          <w:b/>
          <w:sz w:val="28"/>
          <w:szCs w:val="28"/>
        </w:rPr>
      </w:pPr>
    </w:p>
    <w:p w14:paraId="51112A4E" w14:textId="77777777" w:rsidR="00EB67F3" w:rsidRPr="006519D0" w:rsidRDefault="00EB67F3" w:rsidP="00EB67F3">
      <w:pPr>
        <w:jc w:val="center"/>
        <w:rPr>
          <w:rFonts w:cs="Arial"/>
          <w:b/>
          <w:sz w:val="28"/>
          <w:szCs w:val="28"/>
        </w:rPr>
      </w:pPr>
    </w:p>
    <w:p w14:paraId="1A90CE6D" w14:textId="77777777" w:rsidR="00EB67F3" w:rsidRPr="006519D0" w:rsidRDefault="00EB67F3" w:rsidP="00EB67F3">
      <w:pPr>
        <w:jc w:val="center"/>
        <w:rPr>
          <w:rFonts w:cs="Arial"/>
          <w:b/>
          <w:sz w:val="28"/>
          <w:szCs w:val="28"/>
        </w:rPr>
      </w:pPr>
    </w:p>
    <w:p w14:paraId="404BE824" w14:textId="77777777" w:rsidR="00EB67F3" w:rsidRPr="006519D0" w:rsidRDefault="00EB67F3" w:rsidP="00EB67F3">
      <w:pPr>
        <w:jc w:val="center"/>
        <w:rPr>
          <w:rFonts w:cs="Arial"/>
          <w:b/>
          <w:sz w:val="28"/>
          <w:szCs w:val="28"/>
        </w:rPr>
      </w:pPr>
    </w:p>
    <w:p w14:paraId="3B157DED" w14:textId="77777777" w:rsidR="00EB67F3" w:rsidRPr="006519D0" w:rsidRDefault="009731B0" w:rsidP="00A311A5">
      <w:pPr>
        <w:jc w:val="center"/>
        <w:rPr>
          <w:rFonts w:cs="Arial"/>
          <w:b/>
          <w:sz w:val="28"/>
          <w:szCs w:val="28"/>
        </w:rPr>
      </w:pPr>
      <w:r w:rsidRPr="006519D0">
        <w:rPr>
          <w:noProof/>
          <w:lang w:eastAsia="cs-CZ"/>
        </w:rPr>
        <w:drawing>
          <wp:inline distT="0" distB="0" distL="0" distR="0" wp14:anchorId="6C8F9C46" wp14:editId="5C6B0B23">
            <wp:extent cx="2919095" cy="885825"/>
            <wp:effectExtent l="0" t="0" r="0" b="9525"/>
            <wp:docPr id="1" name="Obrázek 1" descr="https://my.teamio.com/company-profiles/image/logo_26492_ce2cadc7-278a-4ba3-bf1d-ce531c58ca50.png?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760491" name="Picture 1" descr="https://my.teamio.com/company-profiles/image/logo_26492_ce2cadc7-278a-4ba3-bf1d-ce531c58ca50.png?v=2"/>
                    <pic:cNvPicPr>
                      <a:picLocks noChangeAspect="1" noChangeArrowheads="1"/>
                    </pic:cNvPicPr>
                  </pic:nvPicPr>
                  <pic:blipFill>
                    <a:blip r:embed="rId8" cstate="print">
                      <a:extLst>
                        <a:ext uri="{28A0092B-C50C-407E-A947-70E740481C1C}">
                          <a14:useLocalDpi xmlns:a14="http://schemas.microsoft.com/office/drawing/2010/main" val="0"/>
                        </a:ext>
                      </a:extLst>
                    </a:blip>
                    <a:srcRect b="22486"/>
                    <a:stretch>
                      <a:fillRect/>
                    </a:stretch>
                  </pic:blipFill>
                  <pic:spPr bwMode="auto">
                    <a:xfrm>
                      <a:off x="0" y="0"/>
                      <a:ext cx="2928325" cy="888626"/>
                    </a:xfrm>
                    <a:prstGeom prst="rect">
                      <a:avLst/>
                    </a:prstGeom>
                    <a:noFill/>
                    <a:ln>
                      <a:noFill/>
                    </a:ln>
                    <a:extLst>
                      <a:ext uri="{53640926-AAD7-44D8-BBD7-CCE9431645EC}">
                        <a14:shadowObscured xmlns:a14="http://schemas.microsoft.com/office/drawing/2010/main"/>
                      </a:ext>
                    </a:extLst>
                  </pic:spPr>
                </pic:pic>
              </a:graphicData>
            </a:graphic>
          </wp:inline>
        </w:drawing>
      </w:r>
    </w:p>
    <w:p w14:paraId="428CC690" w14:textId="77777777" w:rsidR="004F4BB4" w:rsidRPr="006519D0" w:rsidRDefault="009731B0" w:rsidP="004F4BB4">
      <w:pPr>
        <w:tabs>
          <w:tab w:val="center" w:pos="4536"/>
          <w:tab w:val="left" w:pos="5190"/>
        </w:tabs>
        <w:jc w:val="left"/>
        <w:rPr>
          <w:rFonts w:cs="Arial"/>
          <w:b/>
          <w:sz w:val="28"/>
          <w:szCs w:val="28"/>
        </w:rPr>
        <w:sectPr w:rsidR="004F4BB4" w:rsidRPr="006519D0" w:rsidSect="003670BF">
          <w:headerReference w:type="default" r:id="rId9"/>
          <w:footerReference w:type="default" r:id="rId10"/>
          <w:pgSz w:w="11906" w:h="16838"/>
          <w:pgMar w:top="1417" w:right="1417" w:bottom="1417" w:left="1417" w:header="708" w:footer="708" w:gutter="0"/>
          <w:cols w:space="708"/>
          <w:docGrid w:linePitch="360"/>
        </w:sectPr>
      </w:pPr>
      <w:r w:rsidRPr="006519D0">
        <w:rPr>
          <w:rFonts w:cs="Arial"/>
          <w:b/>
          <w:sz w:val="28"/>
          <w:szCs w:val="28"/>
        </w:rPr>
        <w:tab/>
      </w:r>
      <w:r w:rsidR="00210A2E" w:rsidRPr="006519D0">
        <w:rPr>
          <w:rFonts w:cs="Arial"/>
          <w:b/>
          <w:sz w:val="28"/>
          <w:szCs w:val="28"/>
        </w:rPr>
        <w:t>202</w:t>
      </w:r>
      <w:r w:rsidR="00C30FFD" w:rsidRPr="006519D0">
        <w:rPr>
          <w:rFonts w:cs="Arial"/>
          <w:b/>
          <w:sz w:val="28"/>
          <w:szCs w:val="28"/>
        </w:rPr>
        <w:t>1</w:t>
      </w:r>
    </w:p>
    <w:p w14:paraId="2DAA5782" w14:textId="77777777" w:rsidR="00EB67F3" w:rsidRPr="006519D0" w:rsidRDefault="009731B0" w:rsidP="00EB67F3">
      <w:pPr>
        <w:pStyle w:val="Nzev"/>
        <w:numPr>
          <w:ilvl w:val="0"/>
          <w:numId w:val="0"/>
        </w:numPr>
        <w:jc w:val="center"/>
        <w:rPr>
          <w:rFonts w:cs="Arial"/>
          <w:sz w:val="28"/>
          <w:lang w:bidi="en-US"/>
        </w:rPr>
      </w:pPr>
      <w:bookmarkStart w:id="1" w:name="_Toc256000000"/>
      <w:bookmarkStart w:id="2" w:name="_Toc518897815"/>
      <w:bookmarkStart w:id="3" w:name="_Toc19624745"/>
      <w:r w:rsidRPr="006519D0">
        <w:rPr>
          <w:rFonts w:cs="Arial"/>
          <w:sz w:val="28"/>
          <w:lang w:bidi="en-US"/>
        </w:rPr>
        <w:lastRenderedPageBreak/>
        <w:t>Závěrečná zpráva z hodnocení dopadů regulace</w:t>
      </w:r>
      <w:bookmarkEnd w:id="1"/>
      <w:bookmarkEnd w:id="2"/>
      <w:bookmarkEnd w:id="3"/>
    </w:p>
    <w:p w14:paraId="7AEBDDDB" w14:textId="77777777" w:rsidR="00EB67F3" w:rsidRPr="006519D0" w:rsidRDefault="009731B0" w:rsidP="00EB67F3">
      <w:pPr>
        <w:tabs>
          <w:tab w:val="left" w:pos="6660"/>
        </w:tabs>
        <w:spacing w:before="120" w:line="240" w:lineRule="auto"/>
        <w:jc w:val="center"/>
        <w:rPr>
          <w:rFonts w:eastAsia="MS Mincho" w:cs="Arial"/>
          <w:b/>
          <w:bCs/>
          <w:sz w:val="24"/>
        </w:rPr>
      </w:pPr>
      <w:r w:rsidRPr="006519D0">
        <w:rPr>
          <w:rFonts w:eastAsia="MS Mincho" w:cs="Arial"/>
          <w:b/>
          <w:bCs/>
          <w:sz w:val="24"/>
        </w:rPr>
        <w:t>SHRNUTÍ ZÁVĚREČNÉ ZPRÁVY RIA</w:t>
      </w:r>
    </w:p>
    <w:p w14:paraId="45AB0D46" w14:textId="77777777" w:rsidR="00EB67F3" w:rsidRPr="006519D0" w:rsidRDefault="009731B0" w:rsidP="00EB67F3">
      <w:pPr>
        <w:tabs>
          <w:tab w:val="left" w:pos="6660"/>
        </w:tabs>
        <w:spacing w:before="120" w:line="240" w:lineRule="auto"/>
        <w:jc w:val="center"/>
        <w:rPr>
          <w:rFonts w:eastAsia="MS Mincho" w:cs="Arial"/>
          <w:bCs/>
          <w:sz w:val="24"/>
        </w:rPr>
      </w:pPr>
      <w:r w:rsidRPr="006519D0">
        <w:rPr>
          <w:rFonts w:eastAsia="MS Mincho" w:cs="Arial"/>
          <w:bCs/>
          <w:sz w:val="24"/>
        </w:rPr>
        <w:t>1. Základní identifikační údaje</w:t>
      </w:r>
      <w:r w:rsidR="00C22B6F" w:rsidRPr="006519D0">
        <w:rPr>
          <w:rFonts w:eastAsia="MS Mincho" w:cs="Arial"/>
          <w:bCs/>
          <w:sz w:val="24"/>
        </w:rPr>
        <w:br/>
      </w:r>
    </w:p>
    <w:tbl>
      <w:tblPr>
        <w:tblW w:w="9648"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326AB0" w14:paraId="18EBF289" w14:textId="77777777" w:rsidTr="003670BF">
        <w:trPr>
          <w:trHeight w:val="187"/>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auto"/>
            <w:vAlign w:val="bottom"/>
          </w:tcPr>
          <w:p w14:paraId="4E2913DD" w14:textId="77777777" w:rsidR="00EB67F3" w:rsidRPr="006519D0" w:rsidRDefault="009731B0" w:rsidP="00EB67F3">
            <w:pPr>
              <w:tabs>
                <w:tab w:val="left" w:pos="6660"/>
              </w:tabs>
              <w:spacing w:before="120" w:line="240" w:lineRule="auto"/>
              <w:jc w:val="center"/>
              <w:rPr>
                <w:rFonts w:eastAsia="MS Mincho" w:cs="Arial"/>
                <w:bCs/>
                <w:i/>
                <w:iCs/>
                <w:sz w:val="24"/>
              </w:rPr>
            </w:pPr>
            <w:r w:rsidRPr="006519D0">
              <w:rPr>
                <w:rFonts w:eastAsia="MS Mincho" w:cs="Arial"/>
                <w:bCs/>
                <w:sz w:val="24"/>
              </w:rPr>
              <w:t>Název návrhu:</w:t>
            </w:r>
            <w:r w:rsidR="00924559" w:rsidRPr="006519D0">
              <w:rPr>
                <w:rFonts w:eastAsia="MS Mincho" w:cs="Arial"/>
                <w:bCs/>
                <w:sz w:val="24"/>
              </w:rPr>
              <w:t xml:space="preserve"> Zákon, kterým se mění</w:t>
            </w:r>
            <w:r w:rsidRPr="006519D0">
              <w:rPr>
                <w:rFonts w:eastAsia="MS Mincho" w:cs="Arial"/>
                <w:bCs/>
                <w:sz w:val="24"/>
              </w:rPr>
              <w:t xml:space="preserve"> </w:t>
            </w:r>
            <w:r w:rsidR="00924559" w:rsidRPr="006519D0">
              <w:rPr>
                <w:rFonts w:eastAsia="MS Mincho" w:cs="Arial"/>
                <w:bCs/>
                <w:sz w:val="24"/>
              </w:rPr>
              <w:t>z</w:t>
            </w:r>
            <w:r w:rsidRPr="006519D0">
              <w:rPr>
                <w:rFonts w:eastAsia="MS Mincho" w:cs="Arial"/>
                <w:bCs/>
                <w:sz w:val="24"/>
              </w:rPr>
              <w:t>ákon č. 73/2012 Sb., o</w:t>
            </w:r>
            <w:r w:rsidRPr="006519D0">
              <w:rPr>
                <w:rFonts w:eastAsia="MS Mincho" w:cs="Arial"/>
                <w:bCs/>
                <w:sz w:val="24"/>
              </w:rPr>
              <w:t xml:space="preserve"> látkách, které poškozují ozonovou vrstvu, a o fluorovaných skleníkových plynech</w:t>
            </w:r>
          </w:p>
        </w:tc>
      </w:tr>
      <w:tr w:rsidR="00326AB0" w14:paraId="2ECAB666" w14:textId="77777777" w:rsidTr="003670BF">
        <w:trPr>
          <w:trHeight w:val="979"/>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14:paraId="2EC41ECE" w14:textId="77777777" w:rsidR="00EB67F3" w:rsidRPr="006519D0" w:rsidRDefault="009731B0" w:rsidP="003670BF">
            <w:pPr>
              <w:tabs>
                <w:tab w:val="left" w:pos="6660"/>
              </w:tabs>
              <w:spacing w:before="120" w:line="240" w:lineRule="auto"/>
              <w:jc w:val="center"/>
              <w:rPr>
                <w:rFonts w:eastAsia="MS Mincho" w:cs="Arial"/>
                <w:bCs/>
                <w:sz w:val="24"/>
              </w:rPr>
            </w:pPr>
            <w:r w:rsidRPr="006519D0">
              <w:rPr>
                <w:rFonts w:eastAsia="MS Mincho" w:cs="Arial"/>
                <w:bCs/>
                <w:sz w:val="24"/>
              </w:rPr>
              <w:t xml:space="preserve">Zpracovatel / zástupce předkladatele: </w:t>
            </w:r>
          </w:p>
          <w:p w14:paraId="34DE7EAE" w14:textId="77777777" w:rsidR="00EB67F3" w:rsidRPr="006519D0" w:rsidRDefault="009731B0" w:rsidP="003670BF">
            <w:pPr>
              <w:tabs>
                <w:tab w:val="left" w:pos="6660"/>
              </w:tabs>
              <w:spacing w:before="120" w:line="240" w:lineRule="auto"/>
              <w:jc w:val="center"/>
              <w:rPr>
                <w:rFonts w:eastAsia="MS Mincho" w:cs="Arial"/>
                <w:bCs/>
                <w:sz w:val="24"/>
                <w:u w:val="single"/>
              </w:rPr>
            </w:pPr>
            <w:r w:rsidRPr="006519D0">
              <w:rPr>
                <w:rFonts w:eastAsia="MS Mincho" w:cs="Arial"/>
                <w:bCs/>
                <w:sz w:val="24"/>
              </w:rPr>
              <w:t>Ministerstvo životního prostředí</w:t>
            </w:r>
            <w:r w:rsidRPr="006519D0">
              <w:rPr>
                <w:rFonts w:eastAsia="MS Mincho" w:cs="Arial"/>
                <w:bCs/>
                <w:sz w:val="24"/>
                <w:u w:val="single"/>
              </w:rPr>
              <w:t xml:space="preserve">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14:paraId="56AEBBBE" w14:textId="77777777" w:rsidR="00EB67F3" w:rsidRPr="006519D0" w:rsidRDefault="009731B0" w:rsidP="003670BF">
            <w:pPr>
              <w:tabs>
                <w:tab w:val="left" w:pos="6660"/>
              </w:tabs>
              <w:spacing w:before="120" w:line="240" w:lineRule="auto"/>
              <w:jc w:val="center"/>
              <w:rPr>
                <w:rFonts w:eastAsia="MS Mincho" w:cs="Arial"/>
                <w:bCs/>
                <w:sz w:val="24"/>
              </w:rPr>
            </w:pPr>
            <w:r w:rsidRPr="006519D0">
              <w:rPr>
                <w:rFonts w:eastAsia="MS Mincho" w:cs="Arial"/>
                <w:bCs/>
                <w:sz w:val="24"/>
              </w:rPr>
              <w:t>Předpokládaný termín nabytí účinnosti, v případě dělené účinnosti rozveďte</w:t>
            </w:r>
          </w:p>
          <w:p w14:paraId="08653C65" w14:textId="77777777" w:rsidR="00EB67F3" w:rsidRPr="006519D0" w:rsidRDefault="009731B0" w:rsidP="00210A2E">
            <w:pPr>
              <w:tabs>
                <w:tab w:val="left" w:pos="6660"/>
              </w:tabs>
              <w:spacing w:before="120" w:line="240" w:lineRule="auto"/>
              <w:jc w:val="center"/>
              <w:rPr>
                <w:rFonts w:eastAsia="MS Mincho" w:cs="Arial"/>
                <w:bCs/>
                <w:sz w:val="24"/>
              </w:rPr>
            </w:pPr>
            <w:r w:rsidRPr="006519D0">
              <w:rPr>
                <w:rFonts w:eastAsia="MS Mincho" w:cs="Arial"/>
                <w:bCs/>
                <w:sz w:val="24"/>
              </w:rPr>
              <w:t>0</w:t>
            </w:r>
            <w:r w:rsidR="00D02666" w:rsidRPr="006519D0">
              <w:rPr>
                <w:rFonts w:eastAsia="MS Mincho" w:cs="Arial"/>
                <w:bCs/>
                <w:sz w:val="24"/>
              </w:rPr>
              <w:t>7</w:t>
            </w:r>
            <w:r w:rsidR="007B3AAE" w:rsidRPr="006519D0">
              <w:rPr>
                <w:rFonts w:eastAsia="MS Mincho" w:cs="Arial"/>
                <w:bCs/>
                <w:sz w:val="24"/>
              </w:rPr>
              <w:t>/</w:t>
            </w:r>
            <w:r w:rsidRPr="006519D0">
              <w:rPr>
                <w:rFonts w:eastAsia="MS Mincho" w:cs="Arial"/>
                <w:bCs/>
                <w:sz w:val="24"/>
              </w:rPr>
              <w:t>2022</w:t>
            </w:r>
          </w:p>
        </w:tc>
      </w:tr>
      <w:tr w:rsidR="00326AB0" w14:paraId="50004E1D" w14:textId="77777777" w:rsidTr="003670BF">
        <w:tblPrEx>
          <w:tblBorders>
            <w:top w:val="single" w:sz="4" w:space="0" w:color="auto"/>
            <w:left w:val="single" w:sz="4" w:space="0" w:color="auto"/>
            <w:bottom w:val="single" w:sz="4" w:space="0" w:color="auto"/>
            <w:right w:val="single" w:sz="4" w:space="0" w:color="auto"/>
          </w:tblBorders>
        </w:tblPrEx>
        <w:trPr>
          <w:trHeight w:val="1080"/>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31C43A60" w14:textId="77777777" w:rsidR="00EB67F3" w:rsidRPr="006519D0" w:rsidRDefault="009731B0" w:rsidP="00A149D9">
            <w:pPr>
              <w:spacing w:line="240" w:lineRule="auto"/>
              <w:rPr>
                <w:rFonts w:cs="Arial"/>
                <w:color w:val="FF0000"/>
                <w:szCs w:val="22"/>
              </w:rPr>
            </w:pPr>
            <w:r w:rsidRPr="006519D0">
              <w:rPr>
                <w:rFonts w:eastAsia="MS Mincho" w:cs="Arial"/>
                <w:bCs/>
                <w:sz w:val="24"/>
              </w:rPr>
              <w:t xml:space="preserve">Implementace </w:t>
            </w:r>
            <w:r w:rsidRPr="006519D0">
              <w:rPr>
                <w:rFonts w:eastAsia="MS Mincho" w:cs="Arial"/>
                <w:bCs/>
                <w:sz w:val="24"/>
              </w:rPr>
              <w:t>práva EU</w:t>
            </w:r>
            <w:r w:rsidR="00436117" w:rsidRPr="006519D0">
              <w:rPr>
                <w:rFonts w:eastAsia="MS Mincho" w:cs="Arial"/>
                <w:bCs/>
                <w:sz w:val="24"/>
              </w:rPr>
              <w:t>:</w:t>
            </w:r>
            <w:r w:rsidR="00C22B6F" w:rsidRPr="006519D0">
              <w:rPr>
                <w:rFonts w:eastAsia="MS Mincho" w:cs="Arial"/>
                <w:bCs/>
                <w:sz w:val="24"/>
              </w:rPr>
              <w:t xml:space="preserve"> </w:t>
            </w:r>
            <w:r w:rsidR="00C30FFD" w:rsidRPr="006519D0">
              <w:rPr>
                <w:rFonts w:eastAsia="MS Mincho" w:cs="Arial"/>
                <w:bCs/>
                <w:sz w:val="24"/>
              </w:rPr>
              <w:t>Ano</w:t>
            </w:r>
          </w:p>
        </w:tc>
      </w:tr>
      <w:tr w:rsidR="00326AB0" w14:paraId="3B85266F"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12" w:space="0" w:color="auto"/>
              <w:left w:val="single" w:sz="12" w:space="0" w:color="auto"/>
              <w:bottom w:val="single" w:sz="12" w:space="0" w:color="auto"/>
              <w:right w:val="single" w:sz="12" w:space="0" w:color="auto"/>
            </w:tcBorders>
            <w:shd w:val="clear" w:color="auto" w:fill="99CCFF"/>
          </w:tcPr>
          <w:p w14:paraId="36C19530" w14:textId="77777777" w:rsidR="00EB67F3" w:rsidRPr="006519D0" w:rsidRDefault="009731B0" w:rsidP="00B32D67">
            <w:pPr>
              <w:tabs>
                <w:tab w:val="left" w:pos="6660"/>
              </w:tabs>
              <w:spacing w:before="120" w:line="240" w:lineRule="auto"/>
              <w:rPr>
                <w:rFonts w:eastAsia="MS Mincho" w:cs="Arial"/>
                <w:bCs/>
                <w:sz w:val="24"/>
              </w:rPr>
            </w:pPr>
            <w:r w:rsidRPr="006519D0">
              <w:rPr>
                <w:rFonts w:eastAsia="MS Mincho" w:cs="Arial"/>
                <w:bCs/>
                <w:sz w:val="24"/>
              </w:rPr>
              <w:t xml:space="preserve">2. Cíl návrhu </w:t>
            </w:r>
            <w:r w:rsidR="00B32D67" w:rsidRPr="006519D0">
              <w:rPr>
                <w:rFonts w:eastAsia="MS Mincho" w:cs="Arial"/>
                <w:bCs/>
                <w:sz w:val="24"/>
              </w:rPr>
              <w:t>zákona</w:t>
            </w:r>
          </w:p>
        </w:tc>
      </w:tr>
      <w:tr w:rsidR="00326AB0" w14:paraId="55E6C56F" w14:textId="77777777" w:rsidTr="008A01B6">
        <w:tblPrEx>
          <w:tblBorders>
            <w:top w:val="single" w:sz="4" w:space="0" w:color="auto"/>
            <w:left w:val="single" w:sz="4" w:space="0" w:color="auto"/>
            <w:bottom w:val="single" w:sz="4" w:space="0" w:color="auto"/>
            <w:right w:val="single" w:sz="4" w:space="0" w:color="auto"/>
          </w:tblBorders>
        </w:tblPrEx>
        <w:trPr>
          <w:trHeight w:val="8092"/>
        </w:trPr>
        <w:tc>
          <w:tcPr>
            <w:tcW w:w="9648" w:type="dxa"/>
            <w:gridSpan w:val="2"/>
            <w:tcBorders>
              <w:top w:val="single" w:sz="12" w:space="0" w:color="auto"/>
              <w:left w:val="single" w:sz="12" w:space="0" w:color="auto"/>
              <w:bottom w:val="single" w:sz="12" w:space="0" w:color="auto"/>
              <w:right w:val="single" w:sz="12" w:space="0" w:color="auto"/>
            </w:tcBorders>
            <w:shd w:val="clear" w:color="auto" w:fill="auto"/>
          </w:tcPr>
          <w:p w14:paraId="7E203B8C" w14:textId="77777777" w:rsidR="00664927" w:rsidRPr="006519D0" w:rsidRDefault="009731B0" w:rsidP="00664927">
            <w:pPr>
              <w:rPr>
                <w:rFonts w:cs="Arial"/>
              </w:rPr>
            </w:pPr>
            <w:r w:rsidRPr="006519D0">
              <w:rPr>
                <w:rFonts w:cs="Arial"/>
              </w:rPr>
              <w:t>Hlavními cíli zákona j</w:t>
            </w:r>
            <w:r w:rsidR="00D216EF" w:rsidRPr="006519D0">
              <w:rPr>
                <w:rFonts w:cs="Arial"/>
              </w:rPr>
              <w:t>sou</w:t>
            </w:r>
            <w:r w:rsidRPr="006519D0">
              <w:rPr>
                <w:rFonts w:cs="Arial"/>
              </w:rPr>
              <w:t>:</w:t>
            </w:r>
          </w:p>
          <w:p w14:paraId="35997826" w14:textId="77777777" w:rsidR="00664927" w:rsidRPr="006519D0" w:rsidRDefault="009731B0" w:rsidP="00BD1744">
            <w:pPr>
              <w:pStyle w:val="Odstavecseseznamem"/>
              <w:numPr>
                <w:ilvl w:val="0"/>
                <w:numId w:val="22"/>
              </w:numPr>
              <w:rPr>
                <w:rFonts w:cs="Arial"/>
              </w:rPr>
            </w:pPr>
            <w:r w:rsidRPr="006519D0">
              <w:rPr>
                <w:rFonts w:cs="Arial"/>
              </w:rPr>
              <w:t>zajistit funkční a efektivní správu v oblasti nakládání s</w:t>
            </w:r>
            <w:r w:rsidR="00853D5E" w:rsidRPr="006519D0">
              <w:rPr>
                <w:rFonts w:cs="Arial"/>
              </w:rPr>
              <w:t> regulovanými látkami a F-plyny;</w:t>
            </w:r>
          </w:p>
          <w:p w14:paraId="5BA3213F" w14:textId="77777777" w:rsidR="00CE4533" w:rsidRPr="006519D0" w:rsidRDefault="009731B0" w:rsidP="00BD1744">
            <w:pPr>
              <w:pStyle w:val="Odstavecseseznamem"/>
              <w:numPr>
                <w:ilvl w:val="0"/>
                <w:numId w:val="22"/>
              </w:numPr>
              <w:rPr>
                <w:rFonts w:cs="Arial"/>
              </w:rPr>
            </w:pPr>
            <w:r w:rsidRPr="006519D0">
              <w:rPr>
                <w:rFonts w:cs="Arial"/>
              </w:rPr>
              <w:t xml:space="preserve">zajistit přiměřeně dlouhou lhůty pro předání regulovaných látek ke zneškodnění tak, aby bylo možné </w:t>
            </w:r>
            <w:r w:rsidRPr="006519D0">
              <w:rPr>
                <w:rFonts w:cs="Arial"/>
              </w:rPr>
              <w:t>nashromáždit adekvátní množství těchto látek zajišťující ekonomickou výhodnost zneškodnění vzhledem k jejich omezenému množství (v oběhu)</w:t>
            </w:r>
            <w:r w:rsidR="004F4BB4" w:rsidRPr="006519D0">
              <w:rPr>
                <w:rFonts w:cs="Arial"/>
              </w:rPr>
              <w:t xml:space="preserve"> (bod 2)</w:t>
            </w:r>
            <w:r w:rsidRPr="006519D0">
              <w:rPr>
                <w:rFonts w:cs="Arial"/>
              </w:rPr>
              <w:t>;</w:t>
            </w:r>
          </w:p>
          <w:p w14:paraId="1C3F46C1" w14:textId="77777777" w:rsidR="00CE4533" w:rsidRPr="006519D0" w:rsidRDefault="009731B0" w:rsidP="00BD1744">
            <w:pPr>
              <w:pStyle w:val="Odstavecseseznamem"/>
              <w:numPr>
                <w:ilvl w:val="0"/>
                <w:numId w:val="22"/>
              </w:numPr>
              <w:rPr>
                <w:rFonts w:cs="Arial"/>
              </w:rPr>
            </w:pPr>
            <w:r w:rsidRPr="006519D0">
              <w:rPr>
                <w:rFonts w:cs="Arial"/>
              </w:rPr>
              <w:t>regulovat zneškodňování</w:t>
            </w:r>
            <w:r w:rsidR="00613AC5" w:rsidRPr="006519D0">
              <w:rPr>
                <w:rFonts w:cs="Arial"/>
              </w:rPr>
              <w:t xml:space="preserve"> a regeneraci</w:t>
            </w:r>
            <w:r w:rsidRPr="006519D0">
              <w:rPr>
                <w:rFonts w:cs="Arial"/>
              </w:rPr>
              <w:t xml:space="preserve"> F-plynů</w:t>
            </w:r>
            <w:r w:rsidR="004F4BB4" w:rsidRPr="006519D0">
              <w:rPr>
                <w:rFonts w:cs="Arial"/>
              </w:rPr>
              <w:t xml:space="preserve"> (bod 3)</w:t>
            </w:r>
            <w:r w:rsidRPr="006519D0">
              <w:rPr>
                <w:rFonts w:cs="Arial"/>
              </w:rPr>
              <w:t>;</w:t>
            </w:r>
          </w:p>
          <w:p w14:paraId="428A1DEC" w14:textId="77777777" w:rsidR="00CE4533" w:rsidRPr="006519D0" w:rsidRDefault="009731B0" w:rsidP="00BD1744">
            <w:pPr>
              <w:pStyle w:val="Odstavecseseznamem"/>
              <w:numPr>
                <w:ilvl w:val="0"/>
                <w:numId w:val="22"/>
              </w:numPr>
              <w:rPr>
                <w:rFonts w:cs="Arial"/>
              </w:rPr>
            </w:pPr>
            <w:r w:rsidRPr="006519D0">
              <w:rPr>
                <w:rFonts w:cs="Arial"/>
              </w:rPr>
              <w:t xml:space="preserve">minimalizovat černý trh s jednorázovými láhvemi na </w:t>
            </w:r>
            <w:r w:rsidRPr="006519D0">
              <w:rPr>
                <w:rFonts w:cs="Arial"/>
              </w:rPr>
              <w:t>území ČR</w:t>
            </w:r>
            <w:r w:rsidR="004F4BB4" w:rsidRPr="006519D0">
              <w:rPr>
                <w:rFonts w:cs="Arial"/>
              </w:rPr>
              <w:t xml:space="preserve"> (bod 4)</w:t>
            </w:r>
            <w:r w:rsidRPr="006519D0">
              <w:rPr>
                <w:rFonts w:cs="Arial"/>
              </w:rPr>
              <w:t>;</w:t>
            </w:r>
          </w:p>
          <w:p w14:paraId="47AACF56" w14:textId="77777777" w:rsidR="00CE4533" w:rsidRPr="006519D0" w:rsidRDefault="009731B0" w:rsidP="00BD1744">
            <w:pPr>
              <w:pStyle w:val="Odstavecseseznamem"/>
              <w:numPr>
                <w:ilvl w:val="0"/>
                <w:numId w:val="22"/>
              </w:numPr>
              <w:rPr>
                <w:rFonts w:cs="Arial"/>
              </w:rPr>
            </w:pPr>
            <w:r w:rsidRPr="006519D0">
              <w:rPr>
                <w:rFonts w:cs="Arial"/>
              </w:rPr>
              <w:t>stanovit výpočet množství dovážených F-plynů, na základě kterého by bylo možné snadno zjistit dodržování přidělených kvót nebo dovozem způsobené překročení hranice pro vznik povinnosti požádat o přidělení kvóty</w:t>
            </w:r>
            <w:r w:rsidR="004F4BB4" w:rsidRPr="006519D0">
              <w:rPr>
                <w:rFonts w:cs="Arial"/>
              </w:rPr>
              <w:t xml:space="preserve"> (bod 5)</w:t>
            </w:r>
            <w:r w:rsidRPr="006519D0">
              <w:rPr>
                <w:rFonts w:cs="Arial"/>
              </w:rPr>
              <w:t>;</w:t>
            </w:r>
          </w:p>
          <w:p w14:paraId="7EE0DF98" w14:textId="77777777" w:rsidR="00F04B0A" w:rsidRPr="006519D0" w:rsidRDefault="009731B0" w:rsidP="00C22B6F">
            <w:pPr>
              <w:pStyle w:val="Odstavecseseznamem"/>
              <w:numPr>
                <w:ilvl w:val="0"/>
                <w:numId w:val="22"/>
              </w:numPr>
              <w:rPr>
                <w:rFonts w:cs="Arial"/>
              </w:rPr>
            </w:pPr>
            <w:r w:rsidRPr="006519D0">
              <w:rPr>
                <w:rFonts w:cs="Arial"/>
              </w:rPr>
              <w:t>zjednodušit, zrych</w:t>
            </w:r>
            <w:r w:rsidRPr="006519D0">
              <w:rPr>
                <w:rFonts w:cs="Arial"/>
              </w:rPr>
              <w:t xml:space="preserve">lit a celkově zefektivnit celý systém vydávání certifikátů pro nakládání s regulovanými látkami a </w:t>
            </w:r>
            <w:r w:rsidR="00853D5E" w:rsidRPr="006519D0">
              <w:rPr>
                <w:rFonts w:cs="Arial"/>
              </w:rPr>
              <w:t>fluorovanými skleníkovými plyny</w:t>
            </w:r>
            <w:r w:rsidR="004F4BB4" w:rsidRPr="006519D0">
              <w:rPr>
                <w:rFonts w:cs="Arial"/>
              </w:rPr>
              <w:t xml:space="preserve"> </w:t>
            </w:r>
            <w:r w:rsidR="004E0898" w:rsidRPr="006519D0">
              <w:rPr>
                <w:rFonts w:cs="Arial"/>
              </w:rPr>
              <w:t>(</w:t>
            </w:r>
            <w:r w:rsidR="004F4BB4" w:rsidRPr="006519D0">
              <w:rPr>
                <w:rFonts w:cs="Arial"/>
              </w:rPr>
              <w:t>bod 6)</w:t>
            </w:r>
            <w:r w:rsidR="00853D5E" w:rsidRPr="006519D0">
              <w:rPr>
                <w:rFonts w:cs="Arial"/>
              </w:rPr>
              <w:t>;</w:t>
            </w:r>
          </w:p>
          <w:p w14:paraId="13EEC3C1" w14:textId="77777777" w:rsidR="00664927" w:rsidRPr="006519D0" w:rsidRDefault="009731B0" w:rsidP="00BD1744">
            <w:pPr>
              <w:pStyle w:val="Odstavecseseznamem"/>
              <w:numPr>
                <w:ilvl w:val="0"/>
                <w:numId w:val="22"/>
              </w:numPr>
              <w:rPr>
                <w:rFonts w:cs="Arial"/>
              </w:rPr>
            </w:pPr>
            <w:r w:rsidRPr="006519D0">
              <w:rPr>
                <w:rFonts w:cs="Arial"/>
              </w:rPr>
              <w:t>zajistit lepší přehled o skutečném množství F-plynů na území ČR, jak dovezeného, tak vyvezeného, a to jak samost</w:t>
            </w:r>
            <w:r w:rsidR="00853D5E" w:rsidRPr="006519D0">
              <w:rPr>
                <w:rFonts w:cs="Arial"/>
              </w:rPr>
              <w:t>atně, tak jako součást zařízení</w:t>
            </w:r>
            <w:r w:rsidR="001635AD" w:rsidRPr="006519D0">
              <w:rPr>
                <w:rFonts w:cs="Arial"/>
              </w:rPr>
              <w:t xml:space="preserve">, stejně tak regenerovaných </w:t>
            </w:r>
            <w:r w:rsidR="006D5A24" w:rsidRPr="006519D0">
              <w:rPr>
                <w:rFonts w:cs="Arial"/>
              </w:rPr>
              <w:br/>
            </w:r>
            <w:r w:rsidR="001635AD" w:rsidRPr="006519D0">
              <w:rPr>
                <w:rFonts w:cs="Arial"/>
              </w:rPr>
              <w:t>F-plynů</w:t>
            </w:r>
            <w:r w:rsidR="004F4BB4" w:rsidRPr="006519D0">
              <w:rPr>
                <w:rFonts w:cs="Arial"/>
              </w:rPr>
              <w:t xml:space="preserve"> (bod </w:t>
            </w:r>
            <w:r w:rsidR="00C22B6F" w:rsidRPr="006519D0">
              <w:rPr>
                <w:rFonts w:cs="Arial"/>
              </w:rPr>
              <w:t>7</w:t>
            </w:r>
            <w:r w:rsidR="004F4BB4" w:rsidRPr="006519D0">
              <w:rPr>
                <w:rFonts w:cs="Arial"/>
              </w:rPr>
              <w:t>)</w:t>
            </w:r>
            <w:r w:rsidR="00853D5E" w:rsidRPr="006519D0">
              <w:rPr>
                <w:rFonts w:cs="Arial"/>
              </w:rPr>
              <w:t>;</w:t>
            </w:r>
          </w:p>
          <w:p w14:paraId="49D88E91" w14:textId="77777777" w:rsidR="00631288" w:rsidRPr="006519D0" w:rsidRDefault="009731B0" w:rsidP="00BD1744">
            <w:pPr>
              <w:pStyle w:val="Odstavecseseznamem"/>
              <w:numPr>
                <w:ilvl w:val="0"/>
                <w:numId w:val="22"/>
              </w:numPr>
              <w:rPr>
                <w:rFonts w:cs="Arial"/>
              </w:rPr>
            </w:pPr>
            <w:r w:rsidRPr="006519D0">
              <w:rPr>
                <w:rFonts w:cs="Arial"/>
              </w:rPr>
              <w:t>sjednotit evropskou legislativu s právní úpravou v ČR z důvodu jednotných informací při přeshraniční přepravě F-plynů</w:t>
            </w:r>
            <w:r w:rsidR="004F4BB4" w:rsidRPr="006519D0">
              <w:rPr>
                <w:rFonts w:cs="Arial"/>
              </w:rPr>
              <w:t xml:space="preserve"> (bod </w:t>
            </w:r>
            <w:r w:rsidR="00C22B6F" w:rsidRPr="006519D0">
              <w:rPr>
                <w:rFonts w:cs="Arial"/>
              </w:rPr>
              <w:t>8</w:t>
            </w:r>
            <w:r w:rsidR="004F4BB4" w:rsidRPr="006519D0">
              <w:rPr>
                <w:rFonts w:cs="Arial"/>
              </w:rPr>
              <w:t>);</w:t>
            </w:r>
          </w:p>
          <w:p w14:paraId="13E22725" w14:textId="77777777" w:rsidR="00CE4533" w:rsidRPr="006519D0" w:rsidRDefault="009731B0" w:rsidP="00BD1744">
            <w:pPr>
              <w:pStyle w:val="Odstavecseseznamem"/>
              <w:numPr>
                <w:ilvl w:val="0"/>
                <w:numId w:val="22"/>
              </w:numPr>
              <w:rPr>
                <w:rFonts w:cs="Arial"/>
              </w:rPr>
            </w:pPr>
            <w:r w:rsidRPr="006519D0">
              <w:rPr>
                <w:rFonts w:cs="Arial"/>
              </w:rPr>
              <w:t>zúžení informačního systému tak, aby obsahoval jen nezbyt</w:t>
            </w:r>
            <w:r w:rsidRPr="006519D0">
              <w:rPr>
                <w:rFonts w:cs="Arial"/>
              </w:rPr>
              <w:t>ně nutná data s cílem snížit administrativní zátěž certifikovaných osob a osob, kterým bylo vydáno osvědčení o školení</w:t>
            </w:r>
            <w:r w:rsidR="004F4BB4" w:rsidRPr="006519D0">
              <w:rPr>
                <w:rFonts w:cs="Arial"/>
              </w:rPr>
              <w:t xml:space="preserve"> (bod </w:t>
            </w:r>
            <w:r w:rsidR="00C22B6F" w:rsidRPr="006519D0">
              <w:rPr>
                <w:rFonts w:cs="Arial"/>
              </w:rPr>
              <w:t>9</w:t>
            </w:r>
            <w:r w:rsidR="004F4BB4" w:rsidRPr="006519D0">
              <w:rPr>
                <w:rFonts w:cs="Arial"/>
              </w:rPr>
              <w:t>)</w:t>
            </w:r>
            <w:r w:rsidRPr="006519D0">
              <w:rPr>
                <w:rFonts w:cs="Arial"/>
              </w:rPr>
              <w:t>;</w:t>
            </w:r>
          </w:p>
          <w:p w14:paraId="66048171" w14:textId="77777777" w:rsidR="00EB67F3" w:rsidRPr="006519D0" w:rsidRDefault="009731B0" w:rsidP="00C22B6F">
            <w:pPr>
              <w:pStyle w:val="Odstavecseseznamem"/>
              <w:numPr>
                <w:ilvl w:val="0"/>
                <w:numId w:val="22"/>
              </w:numPr>
              <w:rPr>
                <w:rFonts w:cs="Arial"/>
              </w:rPr>
            </w:pPr>
            <w:r w:rsidRPr="006519D0">
              <w:rPr>
                <w:rFonts w:cs="Arial"/>
              </w:rPr>
              <w:t xml:space="preserve">zajistit možnost reagovat na zjištění nesprávného označení výrobků nebo zařízení, které obsahují regulované látky a možnost </w:t>
            </w:r>
            <w:r w:rsidRPr="006519D0">
              <w:rPr>
                <w:rFonts w:cs="Arial"/>
              </w:rPr>
              <w:t>uložit v takovém případě nápravné opatření</w:t>
            </w:r>
            <w:r w:rsidR="004F4BB4" w:rsidRPr="006519D0">
              <w:rPr>
                <w:rFonts w:cs="Arial"/>
              </w:rPr>
              <w:t xml:space="preserve"> (bod 1</w:t>
            </w:r>
            <w:r w:rsidR="00C22B6F" w:rsidRPr="006519D0">
              <w:rPr>
                <w:rFonts w:cs="Arial"/>
              </w:rPr>
              <w:t>0</w:t>
            </w:r>
            <w:r w:rsidR="004F4BB4" w:rsidRPr="006519D0">
              <w:rPr>
                <w:rFonts w:cs="Arial"/>
              </w:rPr>
              <w:t>)</w:t>
            </w:r>
            <w:r w:rsidR="00631288" w:rsidRPr="006519D0">
              <w:rPr>
                <w:rFonts w:cs="Arial"/>
              </w:rPr>
              <w:t>.</w:t>
            </w:r>
          </w:p>
        </w:tc>
      </w:tr>
      <w:tr w:rsidR="00326AB0" w14:paraId="234E44DC"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1131170F" w14:textId="77777777" w:rsidR="00EB67F3" w:rsidRPr="006519D0" w:rsidRDefault="009731B0" w:rsidP="00B32D67">
            <w:pPr>
              <w:tabs>
                <w:tab w:val="left" w:pos="1037"/>
              </w:tabs>
              <w:spacing w:before="120" w:line="240" w:lineRule="auto"/>
              <w:rPr>
                <w:rFonts w:eastAsia="MS Mincho" w:cs="Arial"/>
                <w:bCs/>
                <w:sz w:val="24"/>
              </w:rPr>
            </w:pPr>
            <w:r w:rsidRPr="006519D0">
              <w:rPr>
                <w:rFonts w:eastAsia="MS Mincho" w:cs="Arial"/>
                <w:bCs/>
                <w:sz w:val="24"/>
              </w:rPr>
              <w:lastRenderedPageBreak/>
              <w:t xml:space="preserve">3. </w:t>
            </w:r>
            <w:r w:rsidRPr="006519D0">
              <w:rPr>
                <w:rFonts w:eastAsia="MS Mincho" w:cs="Arial"/>
                <w:sz w:val="24"/>
              </w:rPr>
              <w:t>Agregované</w:t>
            </w:r>
            <w:r w:rsidRPr="006519D0">
              <w:rPr>
                <w:rFonts w:eastAsia="MS Mincho" w:cs="Arial"/>
                <w:bCs/>
                <w:sz w:val="24"/>
              </w:rPr>
              <w:t xml:space="preserve"> dopady návrhu </w:t>
            </w:r>
            <w:r w:rsidR="00B32D67" w:rsidRPr="006519D0">
              <w:rPr>
                <w:rFonts w:eastAsia="MS Mincho" w:cs="Arial"/>
                <w:bCs/>
                <w:sz w:val="24"/>
              </w:rPr>
              <w:t>zákona</w:t>
            </w:r>
          </w:p>
        </w:tc>
      </w:tr>
      <w:tr w:rsidR="00326AB0" w14:paraId="0362A831"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0CB47E6C"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3.1 Dopady na státní rozpočet a ostatní veřejné rozpočty: </w:t>
            </w:r>
            <w:r w:rsidRPr="006519D0">
              <w:rPr>
                <w:rFonts w:eastAsia="MS Mincho" w:cs="Arial"/>
                <w:bCs/>
                <w:i/>
                <w:sz w:val="24"/>
              </w:rPr>
              <w:t>Ano</w:t>
            </w:r>
          </w:p>
        </w:tc>
      </w:tr>
      <w:tr w:rsidR="00326AB0" w14:paraId="6B914C85"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ADB00B1" w14:textId="77777777" w:rsidR="00AB31F5" w:rsidRPr="006519D0" w:rsidRDefault="009731B0" w:rsidP="00AB31F5">
            <w:pPr>
              <w:spacing w:before="120"/>
            </w:pPr>
            <w:r w:rsidRPr="006519D0">
              <w:rPr>
                <w:b/>
              </w:rPr>
              <w:t xml:space="preserve">Vydávání povolení ke zneškodňování </w:t>
            </w:r>
            <w:r w:rsidR="00613AC5" w:rsidRPr="006519D0">
              <w:rPr>
                <w:b/>
              </w:rPr>
              <w:t xml:space="preserve">a k regeneraci </w:t>
            </w:r>
            <w:r w:rsidRPr="006519D0">
              <w:rPr>
                <w:b/>
              </w:rPr>
              <w:t>F-plynů</w:t>
            </w:r>
            <w:r w:rsidRPr="006519D0">
              <w:t xml:space="preserve"> bude pro MŽP znamenat zanedbatelné jednorázové navýšení administrativní zátěže, neboť v současnosti se jedná pouze o </w:t>
            </w:r>
            <w:r w:rsidR="0084375C" w:rsidRPr="006519D0">
              <w:t>jednotky</w:t>
            </w:r>
            <w:r w:rsidRPr="006519D0">
              <w:t xml:space="preserve"> subjekt</w:t>
            </w:r>
            <w:r w:rsidR="0084375C" w:rsidRPr="006519D0">
              <w:t>ů</w:t>
            </w:r>
            <w:r w:rsidRPr="006519D0">
              <w:t xml:space="preserve"> (bod </w:t>
            </w:r>
            <w:r w:rsidR="00224C6F" w:rsidRPr="006519D0">
              <w:t>3</w:t>
            </w:r>
            <w:r w:rsidRPr="006519D0">
              <w:t>).</w:t>
            </w:r>
          </w:p>
          <w:p w14:paraId="3EB67C8A" w14:textId="77777777" w:rsidR="00AB31F5" w:rsidRPr="006519D0" w:rsidRDefault="009731B0" w:rsidP="00AB31F5">
            <w:pPr>
              <w:spacing w:before="120"/>
            </w:pPr>
            <w:r w:rsidRPr="006519D0">
              <w:t xml:space="preserve">Zavedením </w:t>
            </w:r>
            <w:r w:rsidRPr="006519D0">
              <w:rPr>
                <w:b/>
              </w:rPr>
              <w:t>všeobecného zákazu dispozic</w:t>
            </w:r>
            <w:r w:rsidR="00327818" w:rsidRPr="006519D0">
              <w:rPr>
                <w:b/>
              </w:rPr>
              <w:t>e</w:t>
            </w:r>
            <w:r w:rsidRPr="006519D0">
              <w:rPr>
                <w:b/>
              </w:rPr>
              <w:t xml:space="preserve"> </w:t>
            </w:r>
            <w:r w:rsidRPr="006519D0">
              <w:t>(zahrnující</w:t>
            </w:r>
            <w:r w:rsidR="00327818" w:rsidRPr="006519D0">
              <w:t>ho</w:t>
            </w:r>
            <w:r w:rsidRPr="006519D0">
              <w:t xml:space="preserve"> uvádění na trh, nakládání, převod, skladování apod.) </w:t>
            </w:r>
            <w:r w:rsidRPr="006519D0">
              <w:rPr>
                <w:b/>
              </w:rPr>
              <w:t>s nád</w:t>
            </w:r>
            <w:r w:rsidRPr="006519D0">
              <w:rPr>
                <w:b/>
              </w:rPr>
              <w:t>obami na jednorázové použití obsahujícími F-plyny</w:t>
            </w:r>
            <w:r w:rsidRPr="006519D0">
              <w:t xml:space="preserve"> na území ČR lze očekávat mírné zvýšení příjmu z cel za dovoz F-plynů ve znovu naplnitelných lahvích (bod </w:t>
            </w:r>
            <w:r w:rsidR="00224C6F" w:rsidRPr="006519D0">
              <w:t>4</w:t>
            </w:r>
            <w:r w:rsidRPr="006519D0">
              <w:t>).</w:t>
            </w:r>
          </w:p>
          <w:p w14:paraId="79D485E2" w14:textId="77777777" w:rsidR="00AB31F5" w:rsidRPr="006519D0" w:rsidRDefault="009731B0" w:rsidP="00AB31F5">
            <w:pPr>
              <w:spacing w:before="120"/>
            </w:pPr>
            <w:r w:rsidRPr="006519D0">
              <w:t xml:space="preserve">Zavedení povinnosti pro dovozce uvádět do celního prohlášení </w:t>
            </w:r>
            <w:r w:rsidRPr="006519D0">
              <w:rPr>
                <w:b/>
              </w:rPr>
              <w:t>množství dovážených F-plynů v</w:t>
            </w:r>
            <w:r w:rsidR="009C22CB" w:rsidRPr="006519D0">
              <w:rPr>
                <w:b/>
              </w:rPr>
              <w:t> </w:t>
            </w:r>
            <w:r w:rsidRPr="006519D0">
              <w:rPr>
                <w:b/>
              </w:rPr>
              <w:t>ekviva</w:t>
            </w:r>
            <w:r w:rsidRPr="006519D0">
              <w:rPr>
                <w:b/>
              </w:rPr>
              <w:t>lentu CO</w:t>
            </w:r>
            <w:r w:rsidRPr="006519D0">
              <w:rPr>
                <w:b/>
                <w:vertAlign w:val="subscript"/>
              </w:rPr>
              <w:t>2</w:t>
            </w:r>
            <w:r w:rsidRPr="006519D0">
              <w:t xml:space="preserve">, čímž bude zajištěna kontrolovatelnost dodržování přidělených kvót nebo dovozem způsobené překročení hranice pro vznik povinnosti požádat o přidělení kvóty (bod </w:t>
            </w:r>
            <w:r w:rsidR="00224C6F" w:rsidRPr="006519D0">
              <w:t>5</w:t>
            </w:r>
            <w:r w:rsidRPr="006519D0">
              <w:t>).</w:t>
            </w:r>
          </w:p>
          <w:p w14:paraId="69212171" w14:textId="77777777" w:rsidR="00224C6F" w:rsidRPr="006519D0" w:rsidRDefault="009731B0" w:rsidP="00AB31F5">
            <w:pPr>
              <w:spacing w:before="120"/>
            </w:pPr>
            <w:r w:rsidRPr="006519D0">
              <w:t xml:space="preserve">V souvislosti se </w:t>
            </w:r>
            <w:r w:rsidRPr="006519D0">
              <w:rPr>
                <w:b/>
              </w:rPr>
              <w:t>zjednodušením systému certifikace</w:t>
            </w:r>
            <w:r w:rsidRPr="006519D0">
              <w:t xml:space="preserve"> </w:t>
            </w:r>
            <w:r w:rsidRPr="006519D0">
              <w:rPr>
                <w:rFonts w:eastAsiaTheme="minorEastAsia"/>
                <w:szCs w:val="22"/>
                <w:lang w:eastAsia="cs-CZ"/>
              </w:rPr>
              <w:t>v oblasti nakládání s látkami,</w:t>
            </w:r>
            <w:r w:rsidRPr="006519D0">
              <w:rPr>
                <w:rFonts w:eastAsiaTheme="minorEastAsia"/>
                <w:szCs w:val="22"/>
                <w:lang w:eastAsia="cs-CZ"/>
              </w:rPr>
              <w:t xml:space="preserve"> které poškozují ozonovou vrstvu (dále jen „regulované látky“) a fluorovanými skleníkovými plyny (dále jen „F-plyny“)</w:t>
            </w:r>
            <w:r w:rsidRPr="006519D0">
              <w:t xml:space="preserve"> se očekává snížení administrativní zátěže MŽP o cca 228 tis. Kč/rok (bod 6).</w:t>
            </w:r>
          </w:p>
          <w:p w14:paraId="370CCD15" w14:textId="77777777" w:rsidR="00224C6F" w:rsidRPr="006519D0" w:rsidRDefault="009731B0" w:rsidP="00AB31F5">
            <w:pPr>
              <w:spacing w:before="120"/>
            </w:pPr>
            <w:r w:rsidRPr="006519D0">
              <w:t xml:space="preserve">Rozšířením povinnosti </w:t>
            </w:r>
            <w:r w:rsidR="00B9028D" w:rsidRPr="006519D0">
              <w:rPr>
                <w:b/>
              </w:rPr>
              <w:t xml:space="preserve">podávání zpráv </w:t>
            </w:r>
            <w:r w:rsidRPr="006519D0">
              <w:rPr>
                <w:b/>
              </w:rPr>
              <w:t>na F-plyny</w:t>
            </w:r>
            <w:r w:rsidRPr="006519D0">
              <w:t xml:space="preserve">, které jsou </w:t>
            </w:r>
            <w:r w:rsidRPr="006519D0">
              <w:t>obsaženy v zařízeních, se zvýší transparentnost při nakládání s těmito plyny, zjednoduší se kontrolní činnost a zvýší se vymahatelnost</w:t>
            </w:r>
            <w:r w:rsidR="001635AD" w:rsidRPr="006519D0">
              <w:t>, obdobně to platí též při zavedení povinnosti podávání zpráv pro osoby regenerující F-plyny</w:t>
            </w:r>
            <w:r w:rsidRPr="006519D0">
              <w:t xml:space="preserve"> (bod </w:t>
            </w:r>
            <w:r w:rsidR="00C22B6F" w:rsidRPr="006519D0">
              <w:t>7</w:t>
            </w:r>
            <w:r w:rsidRPr="006519D0">
              <w:t>).</w:t>
            </w:r>
          </w:p>
          <w:p w14:paraId="01248117" w14:textId="77777777" w:rsidR="00EB67F3" w:rsidRPr="006519D0" w:rsidRDefault="009731B0" w:rsidP="00EA48A1">
            <w:pPr>
              <w:tabs>
                <w:tab w:val="left" w:pos="1037"/>
              </w:tabs>
              <w:spacing w:before="120" w:line="240" w:lineRule="auto"/>
              <w:rPr>
                <w:szCs w:val="22"/>
              </w:rPr>
            </w:pPr>
            <w:r w:rsidRPr="006519D0">
              <w:rPr>
                <w:b/>
              </w:rPr>
              <w:t>Zúžením informačního</w:t>
            </w:r>
            <w:r w:rsidRPr="006519D0">
              <w:rPr>
                <w:b/>
              </w:rPr>
              <w:t xml:space="preserve"> systému</w:t>
            </w:r>
            <w:r w:rsidRPr="006519D0">
              <w:t xml:space="preserve">, aby neobsahoval </w:t>
            </w:r>
            <w:r w:rsidR="00EA48A1" w:rsidRPr="006519D0">
              <w:t xml:space="preserve">nadbytečná </w:t>
            </w:r>
            <w:r w:rsidRPr="006519D0">
              <w:t xml:space="preserve">data </w:t>
            </w:r>
            <w:r w:rsidRPr="006519D0">
              <w:rPr>
                <w:szCs w:val="22"/>
              </w:rPr>
              <w:t>o certifikovaných osobách a osobách, kterým bylo vydáno osvědčení o školení</w:t>
            </w:r>
            <w:r w:rsidRPr="006519D0">
              <w:t xml:space="preserve">, dojde k mírnému snížení administrativní zátěže zaměstnanců MŽP o cca 4 560 Kč/rok </w:t>
            </w:r>
            <w:r w:rsidRPr="006519D0">
              <w:rPr>
                <w:szCs w:val="22"/>
              </w:rPr>
              <w:t xml:space="preserve">(bod </w:t>
            </w:r>
            <w:r w:rsidR="00C22B6F" w:rsidRPr="006519D0">
              <w:rPr>
                <w:szCs w:val="22"/>
              </w:rPr>
              <w:t>9</w:t>
            </w:r>
            <w:r w:rsidRPr="006519D0">
              <w:rPr>
                <w:szCs w:val="22"/>
              </w:rPr>
              <w:t>).</w:t>
            </w:r>
          </w:p>
          <w:p w14:paraId="7078F664" w14:textId="77777777" w:rsidR="00224C6F" w:rsidRPr="006519D0" w:rsidRDefault="009731B0" w:rsidP="00C22B6F">
            <w:pPr>
              <w:tabs>
                <w:tab w:val="left" w:pos="1037"/>
              </w:tabs>
              <w:spacing w:before="120" w:line="240" w:lineRule="auto"/>
              <w:rPr>
                <w:rFonts w:eastAsia="MS Mincho" w:cs="Arial"/>
                <w:bCs/>
                <w:szCs w:val="22"/>
              </w:rPr>
            </w:pPr>
            <w:r w:rsidRPr="006519D0">
              <w:t xml:space="preserve">Zavedením možnosti uložit </w:t>
            </w:r>
            <w:r w:rsidRPr="006519D0">
              <w:rPr>
                <w:b/>
              </w:rPr>
              <w:t>opatření k nápravě</w:t>
            </w:r>
            <w:r w:rsidRPr="006519D0">
              <w:t xml:space="preserve"> i</w:t>
            </w:r>
            <w:r w:rsidRPr="006519D0">
              <w:t xml:space="preserve"> osobám nakládajícím s výrobky a zařízeními obsahujícími regulované látky při porušení povinností dle § 5 zákona č. 73/2012 Sb., o látkách, které poškozují ozonovou vrstvu, a o fluorovaných skleníkových plynech, ve znění pozdějších předpisů (dále jen „záko</w:t>
            </w:r>
            <w:r w:rsidRPr="006519D0">
              <w:t xml:space="preserve">n“), se zjednoduší možnost faktické nápravy při zjištění nesprávného označení výrobků nebo zařízení, které obsahují regulované látky (bod </w:t>
            </w:r>
            <w:r w:rsidR="00C22B6F" w:rsidRPr="006519D0">
              <w:t>10</w:t>
            </w:r>
            <w:r w:rsidRPr="006519D0">
              <w:t>).</w:t>
            </w:r>
          </w:p>
        </w:tc>
      </w:tr>
      <w:tr w:rsidR="00326AB0" w14:paraId="428E5C43"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403168CD"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3.2 Dopady na mezinárodní konkurenceschopnost ČR: </w:t>
            </w:r>
            <w:r w:rsidRPr="006519D0">
              <w:rPr>
                <w:rFonts w:eastAsia="MS Mincho" w:cs="Arial"/>
                <w:bCs/>
                <w:i/>
                <w:sz w:val="24"/>
              </w:rPr>
              <w:t>Ne</w:t>
            </w:r>
          </w:p>
        </w:tc>
      </w:tr>
      <w:tr w:rsidR="00326AB0" w14:paraId="551D46D8"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A763D5F" w14:textId="77777777" w:rsidR="00EB67F3" w:rsidRPr="006519D0" w:rsidRDefault="00EB67F3" w:rsidP="003670BF">
            <w:pPr>
              <w:tabs>
                <w:tab w:val="left" w:pos="1037"/>
              </w:tabs>
              <w:spacing w:before="120" w:line="240" w:lineRule="auto"/>
              <w:rPr>
                <w:rFonts w:eastAsia="MS Mincho" w:cs="Arial"/>
                <w:bCs/>
                <w:sz w:val="24"/>
              </w:rPr>
            </w:pPr>
          </w:p>
        </w:tc>
      </w:tr>
      <w:tr w:rsidR="00326AB0" w14:paraId="5B38199A"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5F33A46F"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3.3 Dopady na podnikatelské prostředí: </w:t>
            </w:r>
            <w:r w:rsidRPr="006519D0">
              <w:rPr>
                <w:rFonts w:eastAsia="MS Mincho" w:cs="Arial"/>
                <w:bCs/>
                <w:i/>
                <w:sz w:val="24"/>
              </w:rPr>
              <w:t xml:space="preserve">Ano </w:t>
            </w:r>
          </w:p>
        </w:tc>
      </w:tr>
      <w:tr w:rsidR="00326AB0" w14:paraId="4B55BC4E" w14:textId="77777777" w:rsidTr="003670BF">
        <w:tblPrEx>
          <w:tblBorders>
            <w:top w:val="single" w:sz="4" w:space="0" w:color="auto"/>
            <w:left w:val="single" w:sz="4" w:space="0" w:color="auto"/>
            <w:bottom w:val="single" w:sz="4" w:space="0" w:color="auto"/>
            <w:right w:val="single" w:sz="4" w:space="0" w:color="auto"/>
          </w:tblBorders>
        </w:tblPrEx>
        <w:trPr>
          <w:trHeight w:val="369"/>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23B1CA3" w14:textId="77777777" w:rsidR="00AB31F5" w:rsidRPr="006519D0" w:rsidRDefault="009731B0" w:rsidP="00AB31F5">
            <w:pPr>
              <w:spacing w:before="120"/>
            </w:pPr>
            <w:r w:rsidRPr="006519D0">
              <w:rPr>
                <w:b/>
              </w:rPr>
              <w:t xml:space="preserve">Prodloužení lhůty, </w:t>
            </w:r>
            <w:r w:rsidRPr="006519D0">
              <w:rPr>
                <w:rFonts w:cstheme="minorBidi"/>
                <w:b/>
              </w:rPr>
              <w:t>ve které musí být regulované látky předány ke zneškodnění</w:t>
            </w:r>
            <w:r w:rsidRPr="006519D0">
              <w:rPr>
                <w:rFonts w:cstheme="minorBidi"/>
              </w:rPr>
              <w:t xml:space="preserve"> </w:t>
            </w:r>
            <w:r w:rsidR="00FE009C" w:rsidRPr="006519D0">
              <w:rPr>
                <w:rFonts w:cstheme="minorBidi"/>
              </w:rPr>
              <w:br/>
            </w:r>
            <w:r w:rsidRPr="006519D0">
              <w:rPr>
                <w:rFonts w:cstheme="minorBidi"/>
              </w:rPr>
              <w:t>(</w:t>
            </w:r>
            <w:r w:rsidRPr="006519D0">
              <w:t>na </w:t>
            </w:r>
            <w:r w:rsidR="007944D1" w:rsidRPr="006519D0">
              <w:t>12</w:t>
            </w:r>
            <w:r w:rsidRPr="006519D0">
              <w:t xml:space="preserve"> měsíců), zajistí jak pro subjekty povinné předávat regulované látky ke zneškodnění, tak pro osoby certifikované ke zneškodňování regulovaných látek</w:t>
            </w:r>
            <w:r w:rsidR="00312841" w:rsidRPr="006519D0">
              <w:t>,</w:t>
            </w:r>
            <w:r w:rsidRPr="006519D0">
              <w:t xml:space="preserve"> vyšší ekonomickou přijatelnost z důvodu poklesu nákladů na </w:t>
            </w:r>
            <w:r w:rsidR="00992E3B" w:rsidRPr="006519D0">
              <w:t xml:space="preserve">zneškodňování při </w:t>
            </w:r>
            <w:r w:rsidRPr="006519D0">
              <w:t>větší</w:t>
            </w:r>
            <w:r w:rsidR="00992E3B" w:rsidRPr="006519D0">
              <w:t>m</w:t>
            </w:r>
            <w:r w:rsidRPr="006519D0">
              <w:t xml:space="preserve"> množství regulovaných látek (bod </w:t>
            </w:r>
            <w:r w:rsidR="00224C6F" w:rsidRPr="006519D0">
              <w:t>2</w:t>
            </w:r>
            <w:r w:rsidRPr="006519D0">
              <w:t>).</w:t>
            </w:r>
          </w:p>
          <w:p w14:paraId="00C65E14" w14:textId="77777777" w:rsidR="00224C6F" w:rsidRPr="006519D0" w:rsidRDefault="009731B0" w:rsidP="00AB31F5">
            <w:pPr>
              <w:spacing w:before="120"/>
            </w:pPr>
            <w:r w:rsidRPr="006519D0">
              <w:rPr>
                <w:b/>
              </w:rPr>
              <w:t xml:space="preserve">Zneškodňování a regeneraci </w:t>
            </w:r>
            <w:r w:rsidR="00297719" w:rsidRPr="006519D0">
              <w:rPr>
                <w:b/>
              </w:rPr>
              <w:t>F-plynů</w:t>
            </w:r>
            <w:r w:rsidR="00297719" w:rsidRPr="006519D0">
              <w:t xml:space="preserve"> bude možné vykonávat pouze na základě vydaného platného </w:t>
            </w:r>
            <w:r w:rsidR="00297719" w:rsidRPr="006519D0">
              <w:rPr>
                <w:b/>
              </w:rPr>
              <w:t>povolení</w:t>
            </w:r>
            <w:r w:rsidR="00297719" w:rsidRPr="006519D0">
              <w:t xml:space="preserve">. Administrativní zátěž v souvislosti se získáním nového povolení činí </w:t>
            </w:r>
            <w:r w:rsidR="00FE009C" w:rsidRPr="006519D0">
              <w:br/>
            </w:r>
            <w:r w:rsidR="00297719" w:rsidRPr="006519D0">
              <w:t>cca 500 Kč/povolení</w:t>
            </w:r>
            <w:r w:rsidR="00FE009C" w:rsidRPr="006519D0">
              <w:t xml:space="preserve"> </w:t>
            </w:r>
            <w:r w:rsidR="00297719" w:rsidRPr="006519D0">
              <w:t>a 1000 Kč jako správní popl</w:t>
            </w:r>
            <w:r w:rsidR="00FE009C" w:rsidRPr="006519D0">
              <w:t xml:space="preserve">atek za podanou žádost, přičemž </w:t>
            </w:r>
            <w:r w:rsidR="00297719" w:rsidRPr="006519D0">
              <w:t xml:space="preserve">v současnosti </w:t>
            </w:r>
            <w:r w:rsidR="00FE009C" w:rsidRPr="006519D0">
              <w:br/>
            </w:r>
            <w:r w:rsidR="00297719" w:rsidRPr="006519D0">
              <w:t xml:space="preserve">se jedná pouze o </w:t>
            </w:r>
            <w:r w:rsidR="006D5A24" w:rsidRPr="006519D0">
              <w:t xml:space="preserve">jednotky </w:t>
            </w:r>
            <w:r w:rsidR="00297719" w:rsidRPr="006519D0">
              <w:t>subjekt</w:t>
            </w:r>
            <w:r w:rsidR="006D5A24" w:rsidRPr="006519D0">
              <w:t>ů</w:t>
            </w:r>
            <w:r w:rsidR="00297719" w:rsidRPr="006519D0">
              <w:t>, kter</w:t>
            </w:r>
            <w:r w:rsidR="006D5A24" w:rsidRPr="006519D0">
              <w:t>é</w:t>
            </w:r>
            <w:r w:rsidR="00297719" w:rsidRPr="006519D0">
              <w:t xml:space="preserve"> se zabýv</w:t>
            </w:r>
            <w:r w:rsidR="006D5A24" w:rsidRPr="006519D0">
              <w:t>ají</w:t>
            </w:r>
            <w:r w:rsidR="00297719" w:rsidRPr="006519D0">
              <w:t xml:space="preserve"> touto činností (bod 3).</w:t>
            </w:r>
          </w:p>
          <w:p w14:paraId="5513D5F8" w14:textId="77777777" w:rsidR="00224C6F" w:rsidRPr="006519D0" w:rsidRDefault="009731B0" w:rsidP="00AB31F5">
            <w:pPr>
              <w:spacing w:before="120"/>
              <w:rPr>
                <w:szCs w:val="20"/>
              </w:rPr>
            </w:pPr>
            <w:r w:rsidRPr="006519D0">
              <w:t xml:space="preserve">V souvislosti se </w:t>
            </w:r>
            <w:r w:rsidRPr="006519D0">
              <w:rPr>
                <w:b/>
              </w:rPr>
              <w:t>zjednodušením systému certifik</w:t>
            </w:r>
            <w:r w:rsidRPr="006519D0">
              <w:rPr>
                <w:b/>
              </w:rPr>
              <w:t>ace</w:t>
            </w:r>
            <w:r w:rsidRPr="006519D0">
              <w:t xml:space="preserve"> </w:t>
            </w:r>
            <w:r w:rsidRPr="006519D0">
              <w:rPr>
                <w:rFonts w:eastAsiaTheme="minorEastAsia"/>
                <w:szCs w:val="22"/>
                <w:lang w:eastAsia="cs-CZ"/>
              </w:rPr>
              <w:t>v oblasti nakládání s regulovanými látkami a F-plyny</w:t>
            </w:r>
            <w:r w:rsidRPr="006519D0">
              <w:t xml:space="preserve"> se očekává snížení administrativní zátěže žadatelů o vydání certifikátu o 150 Kč/certifikát a úsporu 1000 Kč/žádost, která podléhá poplatkové povinnosti. Zároveň se </w:t>
            </w:r>
            <w:r w:rsidRPr="006519D0">
              <w:lastRenderedPageBreak/>
              <w:t>zkrátí doba vydání certifikátu. U </w:t>
            </w:r>
            <w:r w:rsidRPr="006519D0">
              <w:t xml:space="preserve">hodnotících subjektů zůstane administrativní zátěž nezměněná, neboť </w:t>
            </w:r>
            <w:r w:rsidRPr="006519D0">
              <w:rPr>
                <w:szCs w:val="20"/>
              </w:rPr>
              <w:t xml:space="preserve">nebudou zpracovávat </w:t>
            </w:r>
            <w:r w:rsidRPr="006519D0">
              <w:t xml:space="preserve">osvědčení o absolvování certifikační zkoušky, ale nově </w:t>
            </w:r>
            <w:r w:rsidRPr="006519D0">
              <w:rPr>
                <w:szCs w:val="20"/>
              </w:rPr>
              <w:t xml:space="preserve">budou přímo vydávat certifikát </w:t>
            </w:r>
            <w:r w:rsidRPr="006519D0">
              <w:t>(bod 6)</w:t>
            </w:r>
            <w:r w:rsidRPr="006519D0">
              <w:rPr>
                <w:szCs w:val="20"/>
              </w:rPr>
              <w:t>.</w:t>
            </w:r>
          </w:p>
          <w:p w14:paraId="7504677B" w14:textId="77777777" w:rsidR="00AB31F5" w:rsidRPr="006519D0" w:rsidRDefault="009731B0" w:rsidP="00AB31F5">
            <w:pPr>
              <w:spacing w:before="120"/>
            </w:pPr>
            <w:r w:rsidRPr="006519D0">
              <w:t xml:space="preserve">Subjekty, které nakládají s F-plyny, budou nově </w:t>
            </w:r>
            <w:r w:rsidRPr="006519D0">
              <w:rPr>
                <w:b/>
              </w:rPr>
              <w:t>podávat zprávu o F-plynec</w:t>
            </w:r>
            <w:r w:rsidRPr="006519D0">
              <w:rPr>
                <w:b/>
              </w:rPr>
              <w:t>h, které jsou součástí zařízení</w:t>
            </w:r>
            <w:r w:rsidR="00C209E5" w:rsidRPr="006519D0">
              <w:rPr>
                <w:b/>
              </w:rPr>
              <w:t>. Dále budou nově podávat zprávu o F-plynech</w:t>
            </w:r>
            <w:r w:rsidR="008C71F0" w:rsidRPr="006519D0">
              <w:rPr>
                <w:b/>
              </w:rPr>
              <w:t xml:space="preserve"> také</w:t>
            </w:r>
            <w:r w:rsidR="00C209E5" w:rsidRPr="006519D0">
              <w:rPr>
                <w:b/>
              </w:rPr>
              <w:t xml:space="preserve"> osoby, které regenerují F-plyny a to v případě, že množství regenerovaných F-plynů překročí množství 100 tun ekvivalentu CO</w:t>
            </w:r>
            <w:r w:rsidR="00C209E5" w:rsidRPr="006519D0">
              <w:rPr>
                <w:b/>
                <w:vertAlign w:val="subscript"/>
              </w:rPr>
              <w:t>2</w:t>
            </w:r>
            <w:r w:rsidRPr="006519D0">
              <w:rPr>
                <w:b/>
              </w:rPr>
              <w:t xml:space="preserve">. </w:t>
            </w:r>
            <w:r w:rsidRPr="006519D0">
              <w:t xml:space="preserve">Tím dojde k mírnému zvýšení administrativní </w:t>
            </w:r>
            <w:r w:rsidRPr="006519D0">
              <w:t>zátěže o cca 12</w:t>
            </w:r>
            <w:r w:rsidR="00263CB9" w:rsidRPr="006519D0">
              <w:t xml:space="preserve"> 750</w:t>
            </w:r>
            <w:r w:rsidRPr="006519D0">
              <w:t> tis. Kč/rok (</w:t>
            </w:r>
            <w:r w:rsidR="00263CB9" w:rsidRPr="006519D0">
              <w:t>85</w:t>
            </w:r>
            <w:r w:rsidR="004A081A" w:rsidRPr="006519D0">
              <w:t> </w:t>
            </w:r>
            <w:r w:rsidRPr="006519D0">
              <w:t xml:space="preserve">subjektů), z toho </w:t>
            </w:r>
            <w:r w:rsidR="00263CB9" w:rsidRPr="006519D0">
              <w:t>8 250</w:t>
            </w:r>
            <w:r w:rsidRPr="006519D0">
              <w:t xml:space="preserve"> Kč/rok činí administrativní zátěž subjektů (</w:t>
            </w:r>
            <w:r w:rsidR="00263CB9" w:rsidRPr="006519D0">
              <w:t>55</w:t>
            </w:r>
            <w:r w:rsidR="008C71F0" w:rsidRPr="006519D0">
              <w:t xml:space="preserve"> </w:t>
            </w:r>
            <w:r w:rsidRPr="006519D0">
              <w:t xml:space="preserve">osob), kteří budou zprávu podávat nově (bod </w:t>
            </w:r>
            <w:r w:rsidR="00C22B6F" w:rsidRPr="006519D0">
              <w:t>7</w:t>
            </w:r>
            <w:r w:rsidR="00224C6F" w:rsidRPr="006519D0">
              <w:t>).</w:t>
            </w:r>
          </w:p>
          <w:p w14:paraId="4502BD90" w14:textId="77777777" w:rsidR="00AB31F5" w:rsidRPr="006519D0" w:rsidRDefault="009731B0" w:rsidP="00AB31F5">
            <w:pPr>
              <w:spacing w:before="120"/>
              <w:rPr>
                <w:szCs w:val="22"/>
              </w:rPr>
            </w:pPr>
            <w:r w:rsidRPr="006519D0">
              <w:rPr>
                <w:szCs w:val="22"/>
              </w:rPr>
              <w:t xml:space="preserve">Snížením limitu pro podávání zpráv </w:t>
            </w:r>
            <w:r w:rsidRPr="006519D0">
              <w:t>o nakládání s F-plyny</w:t>
            </w:r>
            <w:r w:rsidRPr="006519D0">
              <w:rPr>
                <w:szCs w:val="22"/>
              </w:rPr>
              <w:t xml:space="preserve"> z 200 tun ekvivalentu CO</w:t>
            </w:r>
            <w:r w:rsidRPr="006519D0">
              <w:rPr>
                <w:szCs w:val="22"/>
                <w:vertAlign w:val="subscript"/>
              </w:rPr>
              <w:t>2</w:t>
            </w:r>
            <w:r w:rsidRPr="006519D0">
              <w:rPr>
                <w:szCs w:val="22"/>
              </w:rPr>
              <w:t xml:space="preserve"> na 100 tun ekvival</w:t>
            </w:r>
            <w:r w:rsidRPr="006519D0">
              <w:rPr>
                <w:szCs w:val="22"/>
              </w:rPr>
              <w:t>entu CO</w:t>
            </w:r>
            <w:r w:rsidRPr="006519D0">
              <w:rPr>
                <w:szCs w:val="22"/>
                <w:vertAlign w:val="subscript"/>
              </w:rPr>
              <w:t>2</w:t>
            </w:r>
            <w:r w:rsidRPr="006519D0">
              <w:rPr>
                <w:szCs w:val="22"/>
              </w:rPr>
              <w:t xml:space="preserve">, dojde k </w:t>
            </w:r>
            <w:r w:rsidRPr="006519D0">
              <w:t>mírnému zvýšení počtu subjektů, na které se tato povinnost bude vztahovat, identifikován je však nárůst maximálně v řádu jednotek</w:t>
            </w:r>
            <w:r w:rsidR="00346E29" w:rsidRPr="006519D0">
              <w:t xml:space="preserve"> subjektů</w:t>
            </w:r>
            <w:r w:rsidRPr="006519D0">
              <w:t xml:space="preserve">. Administrativní zátěž spojená s podáváním zpráv se odhaduje na cca 150 Kč/subjekt a rok </w:t>
            </w:r>
            <w:r w:rsidRPr="006519D0">
              <w:rPr>
                <w:szCs w:val="22"/>
              </w:rPr>
              <w:t xml:space="preserve">(bod </w:t>
            </w:r>
            <w:r w:rsidR="00C22B6F" w:rsidRPr="006519D0">
              <w:rPr>
                <w:szCs w:val="22"/>
              </w:rPr>
              <w:t>8</w:t>
            </w:r>
            <w:r w:rsidRPr="006519D0">
              <w:rPr>
                <w:szCs w:val="22"/>
              </w:rPr>
              <w:t>).</w:t>
            </w:r>
          </w:p>
          <w:p w14:paraId="152F1C1A" w14:textId="77777777" w:rsidR="00EB67F3" w:rsidRPr="006519D0" w:rsidRDefault="009731B0" w:rsidP="00C22B6F">
            <w:pPr>
              <w:spacing w:before="120"/>
              <w:rPr>
                <w:szCs w:val="22"/>
              </w:rPr>
            </w:pPr>
            <w:r w:rsidRPr="006519D0">
              <w:rPr>
                <w:b/>
              </w:rPr>
              <w:t>Z</w:t>
            </w:r>
            <w:r w:rsidRPr="006519D0">
              <w:rPr>
                <w:b/>
              </w:rPr>
              <w:t>úžením informačního systému</w:t>
            </w:r>
            <w:r w:rsidRPr="006519D0">
              <w:t xml:space="preserve">, aby neobsahoval </w:t>
            </w:r>
            <w:r w:rsidR="00346E29" w:rsidRPr="006519D0">
              <w:t xml:space="preserve">nadbytečná </w:t>
            </w:r>
            <w:r w:rsidRPr="006519D0">
              <w:t xml:space="preserve">data </w:t>
            </w:r>
            <w:r w:rsidRPr="006519D0">
              <w:rPr>
                <w:szCs w:val="22"/>
              </w:rPr>
              <w:t>o certifikovaných osobách a osobách, kterým bylo vydáno osvědčení o školení</w:t>
            </w:r>
            <w:r w:rsidRPr="006519D0">
              <w:t>, zanikne atestačním subjektům povinnost poskytovat MŽP údaje o těchto osobách, a tím dojde ke snížení administrativní z</w:t>
            </w:r>
            <w:r w:rsidRPr="006519D0">
              <w:t xml:space="preserve">átěže </w:t>
            </w:r>
            <w:r w:rsidR="001D43BB" w:rsidRPr="006519D0">
              <w:br/>
            </w:r>
            <w:r w:rsidRPr="006519D0">
              <w:t xml:space="preserve">o 35 900 Kč/rok (bod </w:t>
            </w:r>
            <w:r w:rsidR="00C22B6F" w:rsidRPr="006519D0">
              <w:t>9</w:t>
            </w:r>
            <w:r w:rsidRPr="006519D0">
              <w:t>).</w:t>
            </w:r>
          </w:p>
        </w:tc>
      </w:tr>
      <w:tr w:rsidR="00326AB0" w14:paraId="4D00D4BE"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3325D248"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lastRenderedPageBreak/>
              <w:t xml:space="preserve">3.4 Dopady na územní samosprávné celky (obce, kraje): </w:t>
            </w:r>
            <w:r w:rsidR="00AB31F5" w:rsidRPr="006519D0">
              <w:rPr>
                <w:rFonts w:eastAsia="MS Mincho" w:cs="Arial"/>
                <w:bCs/>
                <w:i/>
                <w:sz w:val="24"/>
              </w:rPr>
              <w:t>Ne</w:t>
            </w:r>
          </w:p>
        </w:tc>
      </w:tr>
      <w:tr w:rsidR="00326AB0" w14:paraId="5CD447EF"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3EE6CE4" w14:textId="77777777" w:rsidR="00EB67F3" w:rsidRPr="006519D0" w:rsidRDefault="00EB67F3" w:rsidP="003670BF">
            <w:pPr>
              <w:tabs>
                <w:tab w:val="left" w:pos="1037"/>
              </w:tabs>
              <w:spacing w:before="120"/>
              <w:rPr>
                <w:rFonts w:eastAsia="MS Mincho" w:cs="Arial"/>
                <w:bCs/>
                <w:szCs w:val="22"/>
              </w:rPr>
            </w:pPr>
          </w:p>
        </w:tc>
      </w:tr>
      <w:tr w:rsidR="00326AB0" w14:paraId="4B7CB188"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56D8853F" w14:textId="77777777" w:rsidR="00EB67F3" w:rsidRPr="006519D0" w:rsidRDefault="009731B0" w:rsidP="003670BF">
            <w:pPr>
              <w:tabs>
                <w:tab w:val="left" w:pos="1037"/>
                <w:tab w:val="left" w:pos="3970"/>
              </w:tabs>
              <w:spacing w:before="120" w:line="240" w:lineRule="auto"/>
              <w:rPr>
                <w:rFonts w:eastAsia="MS Mincho" w:cs="Arial"/>
                <w:bCs/>
                <w:sz w:val="24"/>
              </w:rPr>
            </w:pPr>
            <w:r w:rsidRPr="006519D0">
              <w:rPr>
                <w:rFonts w:eastAsia="MS Mincho" w:cs="Arial"/>
                <w:bCs/>
                <w:sz w:val="24"/>
              </w:rPr>
              <w:t xml:space="preserve">3.5 Sociální dopady: </w:t>
            </w:r>
            <w:r w:rsidRPr="006519D0">
              <w:rPr>
                <w:rFonts w:eastAsia="MS Mincho" w:cs="Arial"/>
                <w:bCs/>
                <w:i/>
                <w:sz w:val="24"/>
              </w:rPr>
              <w:t>Ne</w:t>
            </w:r>
          </w:p>
        </w:tc>
      </w:tr>
      <w:tr w:rsidR="00326AB0" w14:paraId="45738219" w14:textId="77777777" w:rsidTr="003670BF">
        <w:tblPrEx>
          <w:tblBorders>
            <w:top w:val="single" w:sz="4" w:space="0" w:color="auto"/>
            <w:left w:val="single" w:sz="4" w:space="0" w:color="auto"/>
            <w:bottom w:val="single" w:sz="4" w:space="0" w:color="auto"/>
            <w:right w:val="single" w:sz="4" w:space="0" w:color="auto"/>
          </w:tblBorders>
        </w:tblPrEx>
        <w:trPr>
          <w:trHeight w:val="263"/>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9B37A9D"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 </w:t>
            </w:r>
          </w:p>
        </w:tc>
      </w:tr>
      <w:tr w:rsidR="00326AB0" w14:paraId="30CC17EE"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7B52C13C"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3.6 Dopady na spotřebitele: </w:t>
            </w:r>
            <w:r w:rsidRPr="006519D0">
              <w:rPr>
                <w:rFonts w:eastAsia="MS Mincho" w:cs="Arial"/>
                <w:bCs/>
                <w:i/>
                <w:sz w:val="24"/>
              </w:rPr>
              <w:t>Ne</w:t>
            </w:r>
          </w:p>
        </w:tc>
      </w:tr>
      <w:tr w:rsidR="00326AB0" w14:paraId="51C38A19" w14:textId="77777777" w:rsidTr="003670BF">
        <w:tblPrEx>
          <w:tblBorders>
            <w:top w:val="single" w:sz="4" w:space="0" w:color="auto"/>
            <w:left w:val="single" w:sz="4" w:space="0" w:color="auto"/>
            <w:bottom w:val="single" w:sz="4" w:space="0" w:color="auto"/>
            <w:right w:val="single" w:sz="4" w:space="0" w:color="auto"/>
          </w:tblBorders>
        </w:tblPrEx>
        <w:trPr>
          <w:trHeight w:val="322"/>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0BEC620" w14:textId="77777777" w:rsidR="00EB67F3" w:rsidRPr="006519D0" w:rsidRDefault="00EB67F3" w:rsidP="003670BF">
            <w:pPr>
              <w:tabs>
                <w:tab w:val="left" w:pos="1037"/>
              </w:tabs>
              <w:spacing w:before="120" w:line="240" w:lineRule="auto"/>
              <w:rPr>
                <w:rFonts w:eastAsia="MS Mincho" w:cs="Arial"/>
                <w:bCs/>
                <w:sz w:val="24"/>
              </w:rPr>
            </w:pPr>
          </w:p>
        </w:tc>
      </w:tr>
      <w:tr w:rsidR="00326AB0" w14:paraId="6CA97BF9"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5595BE11"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3.7 Dopady na životní prostředí: </w:t>
            </w:r>
            <w:r w:rsidRPr="006519D0">
              <w:rPr>
                <w:rFonts w:eastAsia="MS Mincho" w:cs="Arial"/>
                <w:bCs/>
                <w:i/>
                <w:sz w:val="24"/>
              </w:rPr>
              <w:t>Ano</w:t>
            </w:r>
          </w:p>
        </w:tc>
      </w:tr>
      <w:tr w:rsidR="00326AB0" w14:paraId="10A1DFFC"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D05EB94" w14:textId="77777777" w:rsidR="00F54913" w:rsidRPr="006519D0" w:rsidRDefault="009731B0" w:rsidP="00F54913">
            <w:pPr>
              <w:spacing w:before="120"/>
            </w:pPr>
            <w:r w:rsidRPr="006519D0">
              <w:t>Zneškodňování</w:t>
            </w:r>
            <w:r w:rsidR="00613AC5" w:rsidRPr="006519D0">
              <w:t xml:space="preserve"> a regeneraci</w:t>
            </w:r>
            <w:r w:rsidRPr="006519D0">
              <w:t xml:space="preserve"> F-plynů budou provádět pouze osoby s platným povolením, čímž bude zajištěno kvalifikované zacházení s F-plyny v rámci procesu zneškodňování </w:t>
            </w:r>
            <w:r w:rsidR="00613AC5" w:rsidRPr="006519D0">
              <w:t xml:space="preserve">a regenerace </w:t>
            </w:r>
            <w:r w:rsidR="00FE009C" w:rsidRPr="006519D0">
              <w:br/>
            </w:r>
            <w:r w:rsidRPr="006519D0">
              <w:t xml:space="preserve">a bude tedy minimalizováno riziko úniku F-plynů do ovzduší (bod </w:t>
            </w:r>
            <w:r w:rsidR="00224C6F" w:rsidRPr="006519D0">
              <w:t>3</w:t>
            </w:r>
            <w:r w:rsidRPr="006519D0">
              <w:t>).</w:t>
            </w:r>
          </w:p>
          <w:p w14:paraId="272B6ACD" w14:textId="77777777" w:rsidR="00F54913" w:rsidRPr="006519D0" w:rsidRDefault="009731B0" w:rsidP="00F54913">
            <w:pPr>
              <w:spacing w:before="120"/>
              <w:rPr>
                <w:rFonts w:eastAsiaTheme="minorEastAsia"/>
                <w:szCs w:val="22"/>
                <w:lang w:eastAsia="cs-CZ"/>
              </w:rPr>
            </w:pPr>
            <w:r w:rsidRPr="006519D0">
              <w:t xml:space="preserve">Zavedením </w:t>
            </w:r>
            <w:r w:rsidR="00B44D0F" w:rsidRPr="006519D0">
              <w:rPr>
                <w:b/>
              </w:rPr>
              <w:t>všeobecného zákazu dispozice</w:t>
            </w:r>
            <w:r w:rsidRPr="006519D0">
              <w:rPr>
                <w:b/>
              </w:rPr>
              <w:t xml:space="preserve"> </w:t>
            </w:r>
            <w:r w:rsidRPr="006519D0">
              <w:t xml:space="preserve">(zahrnující uvádění na trh, nakládání, převod, skladování apod.) </w:t>
            </w:r>
            <w:r w:rsidRPr="006519D0">
              <w:rPr>
                <w:b/>
              </w:rPr>
              <w:t>s nádobami na jednorázové použití obsahujícími F-plyny</w:t>
            </w:r>
            <w:r w:rsidRPr="006519D0">
              <w:t xml:space="preserve"> na území ČR lze očekávat </w:t>
            </w:r>
            <w:r w:rsidR="00B44D0F" w:rsidRPr="006519D0">
              <w:t xml:space="preserve">redukci, až eliminaci </w:t>
            </w:r>
            <w:r w:rsidRPr="006519D0">
              <w:t>černého trhu s těmito lahvemi, a tím i snížení rizika nekontrolovaných úniků F-plyn</w:t>
            </w:r>
            <w:r w:rsidRPr="006519D0">
              <w:t xml:space="preserve">ů do ovzduší při jejich užívání a následné environmentální důsledky těchto úniků. Zároveň lze očekávat, že redukcí až eliminací černého trhu se zakázanými nádobami </w:t>
            </w:r>
            <w:r w:rsidRPr="006519D0">
              <w:rPr>
                <w:rFonts w:eastAsiaTheme="minorEastAsia"/>
                <w:szCs w:val="22"/>
                <w:lang w:eastAsia="cs-CZ"/>
              </w:rPr>
              <w:t>na jednorázové použití obsahujícími F-plyny dojde k dalšímu žádoucímu rozvoji alternativních</w:t>
            </w:r>
            <w:r w:rsidRPr="006519D0">
              <w:rPr>
                <w:rFonts w:eastAsiaTheme="minorEastAsia"/>
                <w:szCs w:val="22"/>
                <w:lang w:eastAsia="cs-CZ"/>
              </w:rPr>
              <w:t xml:space="preserve"> chladiv s nízkým global warming potencial (GWP) a investic do rozvoje tohoto odvětví (bod </w:t>
            </w:r>
            <w:r w:rsidR="00224C6F" w:rsidRPr="006519D0">
              <w:rPr>
                <w:rFonts w:eastAsiaTheme="minorEastAsia"/>
                <w:szCs w:val="22"/>
                <w:lang w:eastAsia="cs-CZ"/>
              </w:rPr>
              <w:t>4</w:t>
            </w:r>
            <w:r w:rsidRPr="006519D0">
              <w:rPr>
                <w:rFonts w:eastAsiaTheme="minorEastAsia"/>
                <w:szCs w:val="22"/>
                <w:lang w:eastAsia="cs-CZ"/>
              </w:rPr>
              <w:t>).</w:t>
            </w:r>
          </w:p>
          <w:p w14:paraId="47AD12BD" w14:textId="77777777" w:rsidR="00EB67F3" w:rsidRPr="006519D0" w:rsidRDefault="009731B0" w:rsidP="00224C6F">
            <w:pPr>
              <w:spacing w:before="120"/>
              <w:rPr>
                <w:rFonts w:eastAsiaTheme="minorEastAsia"/>
                <w:szCs w:val="22"/>
                <w:lang w:eastAsia="cs-CZ"/>
              </w:rPr>
            </w:pPr>
            <w:r w:rsidRPr="006519D0">
              <w:t xml:space="preserve">Zavedení povinnosti pro dovozce uvádět do celního prohlášení </w:t>
            </w:r>
            <w:r w:rsidRPr="006519D0">
              <w:rPr>
                <w:b/>
              </w:rPr>
              <w:t>množství dovážených F-plynů v ekvivalentu CO</w:t>
            </w:r>
            <w:r w:rsidRPr="006519D0">
              <w:rPr>
                <w:b/>
                <w:vertAlign w:val="subscript"/>
              </w:rPr>
              <w:t>2</w:t>
            </w:r>
            <w:r w:rsidRPr="006519D0">
              <w:t xml:space="preserve">, </w:t>
            </w:r>
            <w:r w:rsidRPr="006519D0">
              <w:rPr>
                <w:rFonts w:eastAsiaTheme="minorEastAsia"/>
                <w:szCs w:val="22"/>
                <w:lang w:eastAsia="cs-CZ"/>
              </w:rPr>
              <w:t xml:space="preserve">umožní celním úřadům provést řádnou celní kontrolu, konkrétně kontrolu dodržování přidělených kvót pro dovoz F-plynů nebo dovozem způsobené překročení přímo použitelným předpisem EU stanoveného limitu pro vznik povinnosti požádat o přidělení kvót. </w:t>
            </w:r>
            <w:r w:rsidRPr="006519D0">
              <w:rPr>
                <w:rFonts w:eastAsiaTheme="minorEastAsia"/>
                <w:szCs w:val="22"/>
                <w:lang w:eastAsia="cs-CZ"/>
              </w:rPr>
              <w:lastRenderedPageBreak/>
              <w:t>Z toho d</w:t>
            </w:r>
            <w:r w:rsidRPr="006519D0">
              <w:rPr>
                <w:rFonts w:eastAsiaTheme="minorEastAsia"/>
                <w:szCs w:val="22"/>
                <w:lang w:eastAsia="cs-CZ"/>
              </w:rPr>
              <w:t>ůvodu nebude nadále docházet k nekontrolovanému dovozu F-plynů na území ČR. Dov</w:t>
            </w:r>
            <w:r w:rsidR="00B44D0F" w:rsidRPr="006519D0">
              <w:rPr>
                <w:rFonts w:eastAsiaTheme="minorEastAsia"/>
                <w:szCs w:val="22"/>
                <w:lang w:eastAsia="cs-CZ"/>
              </w:rPr>
              <w:t>oz</w:t>
            </w:r>
            <w:r w:rsidRPr="006519D0">
              <w:rPr>
                <w:rFonts w:eastAsiaTheme="minorEastAsia"/>
                <w:szCs w:val="22"/>
                <w:lang w:eastAsia="cs-CZ"/>
              </w:rPr>
              <w:t xml:space="preserve"> F-plyn</w:t>
            </w:r>
            <w:r w:rsidR="00B44D0F" w:rsidRPr="006519D0">
              <w:rPr>
                <w:rFonts w:eastAsiaTheme="minorEastAsia"/>
                <w:szCs w:val="22"/>
                <w:lang w:eastAsia="cs-CZ"/>
              </w:rPr>
              <w:t>ů</w:t>
            </w:r>
            <w:r w:rsidRPr="006519D0">
              <w:rPr>
                <w:rFonts w:eastAsiaTheme="minorEastAsia"/>
                <w:szCs w:val="22"/>
                <w:lang w:eastAsia="cs-CZ"/>
              </w:rPr>
              <w:t xml:space="preserve"> bud</w:t>
            </w:r>
            <w:r w:rsidR="00B44D0F" w:rsidRPr="006519D0">
              <w:rPr>
                <w:rFonts w:eastAsiaTheme="minorEastAsia"/>
                <w:szCs w:val="22"/>
                <w:lang w:eastAsia="cs-CZ"/>
              </w:rPr>
              <w:t>e</w:t>
            </w:r>
            <w:r w:rsidRPr="006519D0">
              <w:rPr>
                <w:rFonts w:eastAsiaTheme="minorEastAsia"/>
                <w:szCs w:val="22"/>
                <w:lang w:eastAsia="cs-CZ"/>
              </w:rPr>
              <w:t xml:space="preserve"> </w:t>
            </w:r>
            <w:r w:rsidR="00B44D0F" w:rsidRPr="006519D0">
              <w:rPr>
                <w:rFonts w:eastAsiaTheme="minorEastAsia"/>
                <w:szCs w:val="22"/>
                <w:lang w:eastAsia="cs-CZ"/>
              </w:rPr>
              <w:t>funkčně regulován</w:t>
            </w:r>
            <w:r w:rsidRPr="006519D0">
              <w:rPr>
                <w:rFonts w:eastAsiaTheme="minorEastAsia"/>
                <w:szCs w:val="22"/>
                <w:lang w:eastAsia="cs-CZ"/>
              </w:rPr>
              <w:t xml:space="preserve"> a nebude docházet k nekvalifikovanému zacházení, které by mohlo mít za důsledek např. únik F-plynů do ovzduší</w:t>
            </w:r>
            <w:r w:rsidR="009C22CB" w:rsidRPr="006519D0">
              <w:rPr>
                <w:rFonts w:eastAsiaTheme="minorEastAsia"/>
                <w:szCs w:val="22"/>
                <w:lang w:eastAsia="cs-CZ"/>
              </w:rPr>
              <w:t>,</w:t>
            </w:r>
            <w:r w:rsidRPr="006519D0">
              <w:rPr>
                <w:rFonts w:eastAsiaTheme="minorEastAsia"/>
                <w:szCs w:val="22"/>
                <w:lang w:eastAsia="cs-CZ"/>
              </w:rPr>
              <w:t xml:space="preserve"> a s tím spojené environmentální </w:t>
            </w:r>
            <w:r w:rsidRPr="006519D0">
              <w:rPr>
                <w:rFonts w:eastAsiaTheme="minorEastAsia"/>
                <w:szCs w:val="22"/>
                <w:lang w:eastAsia="cs-CZ"/>
              </w:rPr>
              <w:t xml:space="preserve">následky (bod </w:t>
            </w:r>
            <w:r w:rsidR="00224C6F" w:rsidRPr="006519D0">
              <w:rPr>
                <w:rFonts w:eastAsiaTheme="minorEastAsia"/>
                <w:szCs w:val="22"/>
                <w:lang w:eastAsia="cs-CZ"/>
              </w:rPr>
              <w:t>5</w:t>
            </w:r>
            <w:r w:rsidRPr="006519D0">
              <w:rPr>
                <w:rFonts w:eastAsiaTheme="minorEastAsia"/>
                <w:szCs w:val="22"/>
                <w:lang w:eastAsia="cs-CZ"/>
              </w:rPr>
              <w:t>).</w:t>
            </w:r>
          </w:p>
          <w:p w14:paraId="55B4B573" w14:textId="77777777" w:rsidR="00224C6F" w:rsidRPr="006519D0" w:rsidRDefault="009731B0" w:rsidP="00C22B6F">
            <w:pPr>
              <w:spacing w:before="120"/>
            </w:pPr>
            <w:r w:rsidRPr="006519D0">
              <w:t>Podle Kjótského protokolu se emise F-plynů započítávají do limitů snížení emisí skleníkových plynů, proto je potřebné znát jejich bilanci. Očekáváme pozitivní dopady na životní prostředí v důsledku komplexního podávání zpráv o F-plynech o</w:t>
            </w:r>
            <w:r w:rsidRPr="006519D0">
              <w:t>bsažený</w:t>
            </w:r>
            <w:r w:rsidR="001D43BB" w:rsidRPr="006519D0">
              <w:t xml:space="preserve">ch v zařízeních a navazujících </w:t>
            </w:r>
            <w:r w:rsidRPr="006519D0">
              <w:t>efektivnějších kontrol z důvodu lepší informovanosti o pohybu F-plynů obsažených v zařízení. Stejně tak zvýšením transparentnosti při nakládání s F-plyny a zjednodušením kontrolní činnost se zvýší vymahatelnost zákonný</w:t>
            </w:r>
            <w:r w:rsidRPr="006519D0">
              <w:t xml:space="preserve">ch ustanovení ohledně nakládání s F-plyny, což bude mít pozitivní dopad na životní prostředí (bod </w:t>
            </w:r>
            <w:r w:rsidR="00C22B6F" w:rsidRPr="006519D0">
              <w:t>7</w:t>
            </w:r>
            <w:r w:rsidRPr="006519D0">
              <w:t>).</w:t>
            </w:r>
          </w:p>
        </w:tc>
      </w:tr>
      <w:tr w:rsidR="00326AB0" w14:paraId="6E9C6942"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2D1A8CE8"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lastRenderedPageBreak/>
              <w:t xml:space="preserve">3.8 Dopady ve vztahu k zákazu diskriminace a ve vztahu k rovnosti žen a mužů: </w:t>
            </w:r>
            <w:r w:rsidRPr="006519D0">
              <w:rPr>
                <w:rFonts w:eastAsia="MS Mincho" w:cs="Arial"/>
                <w:bCs/>
                <w:i/>
                <w:sz w:val="24"/>
              </w:rPr>
              <w:t>Ne</w:t>
            </w:r>
          </w:p>
        </w:tc>
      </w:tr>
      <w:tr w:rsidR="00326AB0" w14:paraId="011740E5"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17F0609" w14:textId="77777777" w:rsidR="00EB67F3" w:rsidRPr="006519D0" w:rsidRDefault="00EB67F3" w:rsidP="003670BF">
            <w:pPr>
              <w:tabs>
                <w:tab w:val="left" w:pos="1037"/>
              </w:tabs>
              <w:spacing w:before="120" w:line="240" w:lineRule="auto"/>
              <w:rPr>
                <w:rFonts w:eastAsia="MS Mincho" w:cs="Arial"/>
                <w:bCs/>
                <w:sz w:val="24"/>
              </w:rPr>
            </w:pPr>
          </w:p>
        </w:tc>
      </w:tr>
      <w:tr w:rsidR="00326AB0" w14:paraId="397FA65F"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74213874"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3.9 Dopady na výkon státní statistické služby: </w:t>
            </w:r>
            <w:r w:rsidRPr="006519D0">
              <w:rPr>
                <w:rFonts w:eastAsia="MS Mincho" w:cs="Arial"/>
                <w:bCs/>
                <w:i/>
                <w:sz w:val="24"/>
              </w:rPr>
              <w:t>Ne</w:t>
            </w:r>
          </w:p>
        </w:tc>
      </w:tr>
      <w:tr w:rsidR="00326AB0" w14:paraId="379A8FBF"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11E6F23" w14:textId="77777777" w:rsidR="00EB67F3" w:rsidRPr="006519D0" w:rsidRDefault="00EB67F3" w:rsidP="003670BF">
            <w:pPr>
              <w:tabs>
                <w:tab w:val="left" w:pos="1037"/>
              </w:tabs>
              <w:spacing w:before="120" w:line="240" w:lineRule="auto"/>
              <w:rPr>
                <w:rFonts w:eastAsia="MS Mincho" w:cs="Arial"/>
                <w:bCs/>
                <w:sz w:val="24"/>
              </w:rPr>
            </w:pPr>
          </w:p>
        </w:tc>
      </w:tr>
      <w:tr w:rsidR="00326AB0" w14:paraId="134C5E4D"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3F8959F2"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3.10 Korupční rizika: </w:t>
            </w:r>
            <w:r w:rsidRPr="006519D0">
              <w:rPr>
                <w:rFonts w:eastAsia="MS Mincho" w:cs="Arial"/>
                <w:bCs/>
                <w:i/>
                <w:sz w:val="24"/>
              </w:rPr>
              <w:t>Ne</w:t>
            </w:r>
          </w:p>
        </w:tc>
      </w:tr>
      <w:tr w:rsidR="00326AB0" w14:paraId="377B3742"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3CA6B17" w14:textId="77777777" w:rsidR="00EB67F3" w:rsidRPr="006519D0" w:rsidRDefault="00EB67F3" w:rsidP="003670BF">
            <w:pPr>
              <w:tabs>
                <w:tab w:val="left" w:pos="1037"/>
              </w:tabs>
              <w:spacing w:before="120" w:line="240" w:lineRule="auto"/>
              <w:rPr>
                <w:rFonts w:eastAsia="MS Mincho" w:cs="Arial"/>
                <w:bCs/>
                <w:sz w:val="24"/>
              </w:rPr>
            </w:pPr>
          </w:p>
        </w:tc>
      </w:tr>
      <w:tr w:rsidR="00326AB0" w14:paraId="6303F987" w14:textId="77777777" w:rsidTr="003670BF">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0D03BA05"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3.11 Dopady na bezpečnost nebo obranu státu: </w:t>
            </w:r>
            <w:r w:rsidRPr="006519D0">
              <w:rPr>
                <w:rFonts w:eastAsia="MS Mincho" w:cs="Arial"/>
                <w:bCs/>
                <w:i/>
                <w:sz w:val="24"/>
              </w:rPr>
              <w:t>Ne</w:t>
            </w:r>
          </w:p>
        </w:tc>
      </w:tr>
      <w:tr w:rsidR="00326AB0" w14:paraId="54AB22ED" w14:textId="77777777" w:rsidTr="003670BF">
        <w:tblPrEx>
          <w:tblBorders>
            <w:top w:val="single" w:sz="4" w:space="0" w:color="auto"/>
            <w:left w:val="single" w:sz="4" w:space="0" w:color="auto"/>
            <w:bottom w:val="single" w:sz="4" w:space="0" w:color="auto"/>
            <w:right w:val="single" w:sz="4" w:space="0" w:color="auto"/>
          </w:tblBorders>
        </w:tblPrEx>
        <w:trPr>
          <w:trHeight w:val="281"/>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A889439" w14:textId="77777777" w:rsidR="00EB67F3" w:rsidRPr="006519D0" w:rsidRDefault="009731B0" w:rsidP="003670BF">
            <w:pPr>
              <w:tabs>
                <w:tab w:val="left" w:pos="1037"/>
              </w:tabs>
              <w:spacing w:before="120" w:line="240" w:lineRule="auto"/>
              <w:rPr>
                <w:rFonts w:eastAsia="MS Mincho" w:cs="Arial"/>
                <w:bCs/>
                <w:sz w:val="24"/>
              </w:rPr>
            </w:pPr>
            <w:r w:rsidRPr="006519D0">
              <w:rPr>
                <w:rFonts w:eastAsia="MS Mincho" w:cs="Arial"/>
                <w:bCs/>
                <w:sz w:val="24"/>
              </w:rPr>
              <w:t xml:space="preserve"> </w:t>
            </w:r>
          </w:p>
        </w:tc>
      </w:tr>
    </w:tbl>
    <w:p w14:paraId="4467BE3B" w14:textId="77777777" w:rsidR="009A2B50" w:rsidRPr="006519D0" w:rsidRDefault="009731B0">
      <w:pPr>
        <w:spacing w:after="160" w:line="259" w:lineRule="auto"/>
        <w:jc w:val="left"/>
      </w:pPr>
      <w:bookmarkStart w:id="4" w:name="_Toc518897816"/>
      <w:r w:rsidRPr="006519D0">
        <w:br w:type="page"/>
      </w:r>
    </w:p>
    <w:p w14:paraId="5AF9B8FF" w14:textId="77777777" w:rsidR="00BD1744" w:rsidRPr="006519D0" w:rsidRDefault="009731B0">
      <w:pPr>
        <w:pStyle w:val="Obsah1"/>
        <w:tabs>
          <w:tab w:val="right" w:leader="dot" w:pos="9062"/>
        </w:tabs>
        <w:rPr>
          <w:b/>
        </w:rPr>
      </w:pPr>
      <w:r w:rsidRPr="006519D0">
        <w:rPr>
          <w:b/>
        </w:rPr>
        <w:lastRenderedPageBreak/>
        <w:t>OBSAH</w:t>
      </w:r>
    </w:p>
    <w:p w14:paraId="393AE721" w14:textId="77777777" w:rsidR="00BD1744" w:rsidRPr="006519D0" w:rsidRDefault="00BD1744" w:rsidP="00BD1744"/>
    <w:p w14:paraId="23C1A452" w14:textId="71AD6A29" w:rsidR="00326AB0" w:rsidRDefault="009731B0">
      <w:pPr>
        <w:pStyle w:val="Obsah1"/>
        <w:tabs>
          <w:tab w:val="right" w:leader="dot" w:pos="9062"/>
        </w:tabs>
        <w:rPr>
          <w:rFonts w:asciiTheme="minorHAnsi" w:hAnsiTheme="minorHAnsi"/>
          <w:noProof/>
        </w:rPr>
      </w:pPr>
      <w:r w:rsidRPr="006519D0">
        <w:fldChar w:fldCharType="begin"/>
      </w:r>
      <w:r w:rsidRPr="006519D0">
        <w:instrText xml:space="preserve"> TOC \o "1-1" \h \z \u </w:instrText>
      </w:r>
      <w:r w:rsidRPr="006519D0">
        <w:fldChar w:fldCharType="separate"/>
      </w:r>
      <w:hyperlink w:anchor="_Toc256000000" w:history="1">
        <w:r w:rsidRPr="006519D0">
          <w:rPr>
            <w:rStyle w:val="Hypertextovodkaz"/>
            <w:rFonts w:cs="Arial"/>
            <w:lang w:bidi="en-US"/>
          </w:rPr>
          <w:t>Závěrečná zpráva z hodnocení dopadů regulace</w:t>
        </w:r>
        <w:r>
          <w:tab/>
        </w:r>
        <w:r>
          <w:fldChar w:fldCharType="begin"/>
        </w:r>
        <w:r>
          <w:instrText xml:space="preserve"> PAGEREF _Toc256000000 \h </w:instrText>
        </w:r>
        <w:r>
          <w:fldChar w:fldCharType="separate"/>
        </w:r>
        <w:r w:rsidR="00C3535D">
          <w:rPr>
            <w:noProof/>
          </w:rPr>
          <w:t>2</w:t>
        </w:r>
        <w:r>
          <w:fldChar w:fldCharType="end"/>
        </w:r>
      </w:hyperlink>
    </w:p>
    <w:p w14:paraId="56C9B4A1" w14:textId="36FD9E24" w:rsidR="00326AB0" w:rsidRDefault="009731B0">
      <w:pPr>
        <w:pStyle w:val="Obsah1"/>
        <w:tabs>
          <w:tab w:val="left" w:pos="440"/>
          <w:tab w:val="right" w:leader="dot" w:pos="9062"/>
        </w:tabs>
        <w:rPr>
          <w:rFonts w:asciiTheme="minorHAnsi" w:hAnsiTheme="minorHAnsi"/>
          <w:noProof/>
        </w:rPr>
      </w:pPr>
      <w:hyperlink w:anchor="_Toc256000002" w:history="1">
        <w:r>
          <w:rPr>
            <w:rStyle w:val="Hypertextovodkaz"/>
          </w:rPr>
          <w:t>1</w:t>
        </w:r>
        <w:r>
          <w:rPr>
            <w:rFonts w:asciiTheme="minorHAnsi" w:hAnsiTheme="minorHAnsi"/>
            <w:noProof/>
          </w:rPr>
          <w:tab/>
        </w:r>
        <w:r w:rsidRPr="006519D0">
          <w:rPr>
            <w:rStyle w:val="Hypertextovodkaz"/>
          </w:rPr>
          <w:t>Důvod předložení a cíle</w:t>
        </w:r>
        <w:r>
          <w:tab/>
        </w:r>
        <w:r>
          <w:fldChar w:fldCharType="begin"/>
        </w:r>
        <w:r>
          <w:instrText xml:space="preserve"> PAGEREF _Toc256000002 \h </w:instrText>
        </w:r>
        <w:r>
          <w:fldChar w:fldCharType="separate"/>
        </w:r>
        <w:r w:rsidR="00C3535D">
          <w:rPr>
            <w:noProof/>
          </w:rPr>
          <w:t>7</w:t>
        </w:r>
        <w:r>
          <w:fldChar w:fldCharType="end"/>
        </w:r>
      </w:hyperlink>
    </w:p>
    <w:p w14:paraId="13237256" w14:textId="72DCDC44" w:rsidR="00326AB0" w:rsidRDefault="009731B0">
      <w:pPr>
        <w:pStyle w:val="Obsah1"/>
        <w:tabs>
          <w:tab w:val="left" w:pos="440"/>
          <w:tab w:val="right" w:leader="dot" w:pos="9062"/>
        </w:tabs>
        <w:rPr>
          <w:rFonts w:asciiTheme="minorHAnsi" w:hAnsiTheme="minorHAnsi"/>
          <w:noProof/>
        </w:rPr>
      </w:pPr>
      <w:hyperlink w:anchor="_Toc256000003" w:history="1">
        <w:r>
          <w:rPr>
            <w:rStyle w:val="Hypertextovodkaz"/>
          </w:rPr>
          <w:t>2</w:t>
        </w:r>
        <w:r>
          <w:rPr>
            <w:rFonts w:asciiTheme="minorHAnsi" w:hAnsiTheme="minorHAnsi"/>
            <w:noProof/>
          </w:rPr>
          <w:tab/>
        </w:r>
        <w:r w:rsidRPr="006519D0">
          <w:rPr>
            <w:rStyle w:val="Hypertextovodkaz"/>
          </w:rPr>
          <w:t>Pr</w:t>
        </w:r>
        <w:r w:rsidRPr="006519D0">
          <w:rPr>
            <w:rStyle w:val="Hypertextovodkaz"/>
          </w:rPr>
          <w:t>odloužení lhůty pro zneškodnění regulovaných látek (§ 3)</w:t>
        </w:r>
        <w:r>
          <w:tab/>
        </w:r>
        <w:r>
          <w:fldChar w:fldCharType="begin"/>
        </w:r>
        <w:r>
          <w:instrText xml:space="preserve"> PAGEREF _Toc256000003 \h </w:instrText>
        </w:r>
        <w:r>
          <w:fldChar w:fldCharType="separate"/>
        </w:r>
        <w:r w:rsidR="00C3535D">
          <w:rPr>
            <w:noProof/>
          </w:rPr>
          <w:t>11</w:t>
        </w:r>
        <w:r>
          <w:fldChar w:fldCharType="end"/>
        </w:r>
      </w:hyperlink>
    </w:p>
    <w:p w14:paraId="51E60BA8" w14:textId="41CAED7B" w:rsidR="00326AB0" w:rsidRDefault="009731B0">
      <w:pPr>
        <w:pStyle w:val="Obsah1"/>
        <w:tabs>
          <w:tab w:val="left" w:pos="440"/>
          <w:tab w:val="right" w:leader="dot" w:pos="9062"/>
        </w:tabs>
        <w:rPr>
          <w:rFonts w:asciiTheme="minorHAnsi" w:hAnsiTheme="minorHAnsi"/>
          <w:noProof/>
        </w:rPr>
      </w:pPr>
      <w:hyperlink w:anchor="_Toc256000004" w:history="1">
        <w:r>
          <w:rPr>
            <w:rStyle w:val="Hypertextovodkaz"/>
          </w:rPr>
          <w:t>3</w:t>
        </w:r>
        <w:r>
          <w:rPr>
            <w:rFonts w:asciiTheme="minorHAnsi" w:hAnsiTheme="minorHAnsi"/>
            <w:noProof/>
          </w:rPr>
          <w:tab/>
        </w:r>
        <w:r w:rsidRPr="006519D0">
          <w:rPr>
            <w:rStyle w:val="Hypertextovodkaz"/>
          </w:rPr>
          <w:t>Zneškodnění</w:t>
        </w:r>
        <w:r w:rsidR="007F1AE6" w:rsidRPr="006519D0">
          <w:rPr>
            <w:rStyle w:val="Hypertextovodkaz"/>
          </w:rPr>
          <w:t xml:space="preserve"> a regenerace</w:t>
        </w:r>
        <w:r w:rsidRPr="006519D0">
          <w:rPr>
            <w:rStyle w:val="Hypertextovodkaz"/>
          </w:rPr>
          <w:t xml:space="preserve"> fluorovaných skleníkových plynů</w:t>
        </w:r>
        <w:r>
          <w:tab/>
        </w:r>
        <w:r>
          <w:fldChar w:fldCharType="begin"/>
        </w:r>
        <w:r>
          <w:instrText xml:space="preserve"> PAGEREF _Toc256000004 \h </w:instrText>
        </w:r>
        <w:r>
          <w:fldChar w:fldCharType="separate"/>
        </w:r>
        <w:r w:rsidR="00C3535D">
          <w:rPr>
            <w:noProof/>
          </w:rPr>
          <w:t>15</w:t>
        </w:r>
        <w:r>
          <w:fldChar w:fldCharType="end"/>
        </w:r>
      </w:hyperlink>
    </w:p>
    <w:p w14:paraId="015A11A3" w14:textId="67FF31E4" w:rsidR="00326AB0" w:rsidRDefault="009731B0">
      <w:pPr>
        <w:pStyle w:val="Obsah1"/>
        <w:tabs>
          <w:tab w:val="left" w:pos="440"/>
          <w:tab w:val="right" w:leader="dot" w:pos="9062"/>
        </w:tabs>
        <w:rPr>
          <w:rFonts w:asciiTheme="minorHAnsi" w:hAnsiTheme="minorHAnsi"/>
          <w:noProof/>
        </w:rPr>
      </w:pPr>
      <w:hyperlink w:anchor="_Toc256000005" w:history="1">
        <w:r>
          <w:rPr>
            <w:rStyle w:val="Hypertextovodkaz"/>
          </w:rPr>
          <w:t>4</w:t>
        </w:r>
        <w:r>
          <w:rPr>
            <w:rFonts w:asciiTheme="minorHAnsi" w:hAnsiTheme="minorHAnsi"/>
            <w:noProof/>
          </w:rPr>
          <w:tab/>
        </w:r>
        <w:r w:rsidRPr="006519D0">
          <w:rPr>
            <w:rStyle w:val="Hypertextovodkaz"/>
          </w:rPr>
          <w:t>Nakládání s nádobami na jedno použití pro fluorované skleníkové plyny (§ 4a)</w:t>
        </w:r>
        <w:r>
          <w:tab/>
        </w:r>
        <w:r>
          <w:fldChar w:fldCharType="begin"/>
        </w:r>
        <w:r>
          <w:instrText xml:space="preserve"> PAGEREF _Toc256000005 \h </w:instrText>
        </w:r>
        <w:r>
          <w:fldChar w:fldCharType="separate"/>
        </w:r>
        <w:r w:rsidR="00C3535D">
          <w:rPr>
            <w:noProof/>
          </w:rPr>
          <w:t>19</w:t>
        </w:r>
        <w:r>
          <w:fldChar w:fldCharType="end"/>
        </w:r>
      </w:hyperlink>
    </w:p>
    <w:p w14:paraId="77635960" w14:textId="16291E98" w:rsidR="00326AB0" w:rsidRDefault="009731B0">
      <w:pPr>
        <w:pStyle w:val="Obsah1"/>
        <w:tabs>
          <w:tab w:val="left" w:pos="440"/>
          <w:tab w:val="right" w:leader="dot" w:pos="9062"/>
        </w:tabs>
        <w:rPr>
          <w:rFonts w:asciiTheme="minorHAnsi" w:hAnsiTheme="minorHAnsi"/>
          <w:noProof/>
        </w:rPr>
      </w:pPr>
      <w:hyperlink w:anchor="_Toc256000006" w:history="1">
        <w:r>
          <w:rPr>
            <w:rStyle w:val="Hypertextovodkaz"/>
          </w:rPr>
          <w:t>5</w:t>
        </w:r>
        <w:r>
          <w:rPr>
            <w:rFonts w:asciiTheme="minorHAnsi" w:hAnsiTheme="minorHAnsi"/>
            <w:noProof/>
          </w:rPr>
          <w:tab/>
        </w:r>
        <w:r w:rsidRPr="006519D0">
          <w:rPr>
            <w:rStyle w:val="Hypertextovodkaz"/>
          </w:rPr>
          <w:t>Uvádění množství fluorovaných skleníkových plynů do celního prohlášení (§ 7)</w:t>
        </w:r>
        <w:r>
          <w:tab/>
        </w:r>
        <w:r>
          <w:fldChar w:fldCharType="begin"/>
        </w:r>
        <w:r>
          <w:instrText xml:space="preserve"> PAGEREF _Toc256000006 \h </w:instrText>
        </w:r>
        <w:r>
          <w:fldChar w:fldCharType="separate"/>
        </w:r>
        <w:r w:rsidR="00C3535D">
          <w:rPr>
            <w:noProof/>
          </w:rPr>
          <w:t>23</w:t>
        </w:r>
        <w:r>
          <w:fldChar w:fldCharType="end"/>
        </w:r>
      </w:hyperlink>
    </w:p>
    <w:p w14:paraId="3968BCCD" w14:textId="5FF6EE6D" w:rsidR="00326AB0" w:rsidRDefault="009731B0">
      <w:pPr>
        <w:pStyle w:val="Obsah1"/>
        <w:tabs>
          <w:tab w:val="left" w:pos="440"/>
          <w:tab w:val="right" w:leader="dot" w:pos="9062"/>
        </w:tabs>
        <w:rPr>
          <w:rFonts w:asciiTheme="minorHAnsi" w:hAnsiTheme="minorHAnsi"/>
          <w:noProof/>
        </w:rPr>
      </w:pPr>
      <w:hyperlink w:anchor="_Toc256000007" w:history="1">
        <w:r>
          <w:rPr>
            <w:rStyle w:val="Hypertextovodkaz"/>
          </w:rPr>
          <w:t>6</w:t>
        </w:r>
        <w:r>
          <w:rPr>
            <w:rFonts w:asciiTheme="minorHAnsi" w:hAnsiTheme="minorHAnsi"/>
            <w:noProof/>
          </w:rPr>
          <w:tab/>
        </w:r>
        <w:r w:rsidR="00EC7FA0" w:rsidRPr="006519D0">
          <w:rPr>
            <w:rStyle w:val="Hypertextovodkaz"/>
          </w:rPr>
          <w:t>Hodnotící a certifikační subjekt (</w:t>
        </w:r>
        <w:r w:rsidR="00EC7FA0" w:rsidRPr="006519D0">
          <w:rPr>
            <w:rStyle w:val="Hypertextovodkaz"/>
            <w:rFonts w:eastAsiaTheme="minorEastAsia"/>
            <w:lang w:eastAsia="cs-CZ"/>
          </w:rPr>
          <w:t>§ 8</w:t>
        </w:r>
        <w:r w:rsidR="00C30FFD" w:rsidRPr="006519D0">
          <w:rPr>
            <w:rStyle w:val="Hypertextovodkaz"/>
            <w:rFonts w:eastAsiaTheme="minorEastAsia"/>
            <w:lang w:eastAsia="cs-CZ"/>
          </w:rPr>
          <w:t xml:space="preserve"> a § 8a</w:t>
        </w:r>
        <w:r w:rsidR="00EC7FA0" w:rsidRPr="006519D0">
          <w:rPr>
            <w:rStyle w:val="Hypertextovodkaz"/>
            <w:rFonts w:eastAsiaTheme="minorEastAsia"/>
            <w:lang w:eastAsia="cs-CZ"/>
          </w:rPr>
          <w:t>)</w:t>
        </w:r>
        <w:r>
          <w:tab/>
        </w:r>
        <w:r>
          <w:fldChar w:fldCharType="begin"/>
        </w:r>
        <w:r>
          <w:instrText xml:space="preserve"> PAGEREF _Toc256000007 \h </w:instrText>
        </w:r>
        <w:r>
          <w:fldChar w:fldCharType="separate"/>
        </w:r>
        <w:r w:rsidR="00C3535D">
          <w:rPr>
            <w:noProof/>
          </w:rPr>
          <w:t>28</w:t>
        </w:r>
        <w:r>
          <w:fldChar w:fldCharType="end"/>
        </w:r>
      </w:hyperlink>
    </w:p>
    <w:p w14:paraId="021FCC55" w14:textId="06BDB805" w:rsidR="00326AB0" w:rsidRDefault="009731B0">
      <w:pPr>
        <w:pStyle w:val="Obsah1"/>
        <w:tabs>
          <w:tab w:val="left" w:pos="440"/>
          <w:tab w:val="right" w:leader="dot" w:pos="9062"/>
        </w:tabs>
        <w:rPr>
          <w:rFonts w:asciiTheme="minorHAnsi" w:hAnsiTheme="minorHAnsi"/>
          <w:noProof/>
        </w:rPr>
      </w:pPr>
      <w:hyperlink w:anchor="_Toc256000008" w:history="1">
        <w:r>
          <w:rPr>
            <w:rStyle w:val="Hypertextovodkaz"/>
          </w:rPr>
          <w:t>7</w:t>
        </w:r>
        <w:r>
          <w:rPr>
            <w:rFonts w:asciiTheme="minorHAnsi" w:hAnsiTheme="minorHAnsi"/>
            <w:noProof/>
          </w:rPr>
          <w:tab/>
        </w:r>
        <w:r w:rsidRPr="006519D0">
          <w:rPr>
            <w:rStyle w:val="Hypertextovodkaz"/>
          </w:rPr>
          <w:t>Podávání zpráv o fluorovaných skleníkových</w:t>
        </w:r>
        <w:r w:rsidRPr="006519D0">
          <w:rPr>
            <w:rStyle w:val="Hypertextovodkaz"/>
          </w:rPr>
          <w:t xml:space="preserve"> plynech (§ 11)</w:t>
        </w:r>
        <w:r>
          <w:tab/>
        </w:r>
        <w:r>
          <w:fldChar w:fldCharType="begin"/>
        </w:r>
        <w:r>
          <w:instrText xml:space="preserve"> PAGEREF _Toc256000008 \h </w:instrText>
        </w:r>
        <w:r>
          <w:fldChar w:fldCharType="separate"/>
        </w:r>
        <w:r w:rsidR="00C3535D">
          <w:rPr>
            <w:noProof/>
          </w:rPr>
          <w:t>33</w:t>
        </w:r>
        <w:r>
          <w:fldChar w:fldCharType="end"/>
        </w:r>
      </w:hyperlink>
    </w:p>
    <w:p w14:paraId="18EE93C6" w14:textId="13D1574A" w:rsidR="00326AB0" w:rsidRDefault="009731B0">
      <w:pPr>
        <w:pStyle w:val="Obsah1"/>
        <w:tabs>
          <w:tab w:val="left" w:pos="440"/>
          <w:tab w:val="right" w:leader="dot" w:pos="9062"/>
        </w:tabs>
        <w:rPr>
          <w:rFonts w:asciiTheme="minorHAnsi" w:hAnsiTheme="minorHAnsi"/>
          <w:noProof/>
        </w:rPr>
      </w:pPr>
      <w:hyperlink w:anchor="_Toc256000009" w:history="1">
        <w:r>
          <w:rPr>
            <w:rStyle w:val="Hypertextovodkaz"/>
          </w:rPr>
          <w:t>8</w:t>
        </w:r>
        <w:r>
          <w:rPr>
            <w:rFonts w:asciiTheme="minorHAnsi" w:hAnsiTheme="minorHAnsi"/>
            <w:noProof/>
          </w:rPr>
          <w:tab/>
        </w:r>
        <w:r w:rsidRPr="006519D0">
          <w:rPr>
            <w:rStyle w:val="Hypertextovodkaz"/>
          </w:rPr>
          <w:t>Snížení limitu pro podávání zpráv ekvivalentu CO</w:t>
        </w:r>
        <w:r w:rsidRPr="006519D0">
          <w:rPr>
            <w:rStyle w:val="Hypertextovodkaz"/>
            <w:vertAlign w:val="subscript"/>
          </w:rPr>
          <w:t>2</w:t>
        </w:r>
        <w:r w:rsidRPr="006519D0">
          <w:rPr>
            <w:rStyle w:val="Hypertextovodkaz"/>
          </w:rPr>
          <w:t xml:space="preserve"> (§ 11)</w:t>
        </w:r>
        <w:r>
          <w:tab/>
        </w:r>
        <w:r>
          <w:fldChar w:fldCharType="begin"/>
        </w:r>
        <w:r>
          <w:instrText xml:space="preserve"> PAGEREF _Toc256000009 \h </w:instrText>
        </w:r>
        <w:r>
          <w:fldChar w:fldCharType="separate"/>
        </w:r>
        <w:r w:rsidR="00C3535D">
          <w:rPr>
            <w:noProof/>
          </w:rPr>
          <w:t>37</w:t>
        </w:r>
        <w:r>
          <w:fldChar w:fldCharType="end"/>
        </w:r>
      </w:hyperlink>
    </w:p>
    <w:p w14:paraId="13A7E3EF" w14:textId="016A1F8E" w:rsidR="00326AB0" w:rsidRDefault="009731B0">
      <w:pPr>
        <w:pStyle w:val="Obsah1"/>
        <w:tabs>
          <w:tab w:val="left" w:pos="440"/>
          <w:tab w:val="right" w:leader="dot" w:pos="9062"/>
        </w:tabs>
        <w:rPr>
          <w:rFonts w:asciiTheme="minorHAnsi" w:hAnsiTheme="minorHAnsi"/>
          <w:noProof/>
        </w:rPr>
      </w:pPr>
      <w:hyperlink w:anchor="_Toc256000010" w:history="1">
        <w:r>
          <w:rPr>
            <w:rStyle w:val="Hypertextovodkaz"/>
          </w:rPr>
          <w:t>9</w:t>
        </w:r>
        <w:r>
          <w:rPr>
            <w:rFonts w:asciiTheme="minorHAnsi" w:hAnsiTheme="minorHAnsi"/>
            <w:noProof/>
          </w:rPr>
          <w:tab/>
        </w:r>
        <w:r w:rsidRPr="006519D0">
          <w:rPr>
            <w:rStyle w:val="Hypertextovodkaz"/>
          </w:rPr>
          <w:t>Změna v informačním systému certifikovaných osob (§ 13)</w:t>
        </w:r>
        <w:r>
          <w:tab/>
        </w:r>
        <w:r>
          <w:fldChar w:fldCharType="begin"/>
        </w:r>
        <w:r>
          <w:instrText xml:space="preserve"> PAGEREF _Toc256000010 \h </w:instrText>
        </w:r>
        <w:r>
          <w:fldChar w:fldCharType="separate"/>
        </w:r>
        <w:r w:rsidR="00C3535D">
          <w:rPr>
            <w:noProof/>
          </w:rPr>
          <w:t>40</w:t>
        </w:r>
        <w:r>
          <w:fldChar w:fldCharType="end"/>
        </w:r>
      </w:hyperlink>
    </w:p>
    <w:p w14:paraId="2ADFF981" w14:textId="15637A12" w:rsidR="00326AB0" w:rsidRDefault="009731B0">
      <w:pPr>
        <w:pStyle w:val="Obsah1"/>
        <w:tabs>
          <w:tab w:val="left" w:pos="660"/>
          <w:tab w:val="right" w:leader="dot" w:pos="9062"/>
        </w:tabs>
        <w:rPr>
          <w:rFonts w:asciiTheme="minorHAnsi" w:hAnsiTheme="minorHAnsi"/>
          <w:noProof/>
        </w:rPr>
      </w:pPr>
      <w:hyperlink w:anchor="_Toc256000011" w:history="1">
        <w:r>
          <w:rPr>
            <w:rStyle w:val="Hypertextovodkaz"/>
          </w:rPr>
          <w:t>10</w:t>
        </w:r>
        <w:r>
          <w:rPr>
            <w:rFonts w:asciiTheme="minorHAnsi" w:hAnsiTheme="minorHAnsi"/>
            <w:noProof/>
          </w:rPr>
          <w:tab/>
        </w:r>
        <w:r w:rsidRPr="006519D0">
          <w:rPr>
            <w:rStyle w:val="Hypertextovodkaz"/>
          </w:rPr>
          <w:t>Opatření k nápravě pro nakládání s regulovanými látkami (§ 14)</w:t>
        </w:r>
        <w:r>
          <w:tab/>
        </w:r>
        <w:r>
          <w:fldChar w:fldCharType="begin"/>
        </w:r>
        <w:r>
          <w:instrText xml:space="preserve"> PAGEREF _Toc256000011 \h </w:instrText>
        </w:r>
        <w:r>
          <w:fldChar w:fldCharType="separate"/>
        </w:r>
        <w:r w:rsidR="00C3535D">
          <w:rPr>
            <w:noProof/>
          </w:rPr>
          <w:t>43</w:t>
        </w:r>
        <w:r>
          <w:fldChar w:fldCharType="end"/>
        </w:r>
      </w:hyperlink>
    </w:p>
    <w:p w14:paraId="6D738DBF" w14:textId="7B1E8150" w:rsidR="00326AB0" w:rsidRDefault="009731B0">
      <w:pPr>
        <w:pStyle w:val="Obsah1"/>
        <w:tabs>
          <w:tab w:val="left" w:pos="660"/>
          <w:tab w:val="right" w:leader="dot" w:pos="9062"/>
        </w:tabs>
        <w:rPr>
          <w:rFonts w:asciiTheme="minorHAnsi" w:hAnsiTheme="minorHAnsi"/>
          <w:noProof/>
        </w:rPr>
      </w:pPr>
      <w:hyperlink w:anchor="_Toc256000012" w:history="1">
        <w:r>
          <w:rPr>
            <w:rStyle w:val="Hypertextovodkaz"/>
          </w:rPr>
          <w:t>11</w:t>
        </w:r>
        <w:r>
          <w:rPr>
            <w:rFonts w:asciiTheme="minorHAnsi" w:hAnsiTheme="minorHAnsi"/>
            <w:noProof/>
          </w:rPr>
          <w:tab/>
        </w:r>
        <w:r w:rsidRPr="006519D0">
          <w:rPr>
            <w:rStyle w:val="Hypertextovodkaz"/>
          </w:rPr>
          <w:t>Celkové shrnutí vyhodnocení</w:t>
        </w:r>
        <w:r w:rsidRPr="006519D0">
          <w:rPr>
            <w:rStyle w:val="Hypertextovodkaz"/>
          </w:rPr>
          <w:t xml:space="preserve"> nákladů a přínosů návrhu zákona</w:t>
        </w:r>
        <w:r>
          <w:tab/>
        </w:r>
        <w:r>
          <w:fldChar w:fldCharType="begin"/>
        </w:r>
        <w:r>
          <w:instrText xml:space="preserve"> PAGEREF _Toc256000012 \h </w:instrText>
        </w:r>
        <w:r>
          <w:fldChar w:fldCharType="separate"/>
        </w:r>
        <w:r w:rsidR="00C3535D">
          <w:rPr>
            <w:noProof/>
          </w:rPr>
          <w:t>46</w:t>
        </w:r>
        <w:r>
          <w:fldChar w:fldCharType="end"/>
        </w:r>
      </w:hyperlink>
    </w:p>
    <w:p w14:paraId="0511C7F5" w14:textId="14F25698" w:rsidR="00326AB0" w:rsidRDefault="009731B0">
      <w:pPr>
        <w:pStyle w:val="Obsah1"/>
        <w:tabs>
          <w:tab w:val="left" w:pos="660"/>
          <w:tab w:val="right" w:leader="dot" w:pos="9062"/>
        </w:tabs>
        <w:rPr>
          <w:rFonts w:asciiTheme="minorHAnsi" w:hAnsiTheme="minorHAnsi"/>
          <w:noProof/>
        </w:rPr>
      </w:pPr>
      <w:hyperlink w:anchor="_Toc256000013" w:history="1">
        <w:r>
          <w:rPr>
            <w:rStyle w:val="Hypertextovodkaz"/>
          </w:rPr>
          <w:t>12</w:t>
        </w:r>
        <w:r>
          <w:rPr>
            <w:rFonts w:asciiTheme="minorHAnsi" w:hAnsiTheme="minorHAnsi"/>
            <w:noProof/>
          </w:rPr>
          <w:tab/>
        </w:r>
        <w:r w:rsidRPr="006519D0">
          <w:rPr>
            <w:rStyle w:val="Hypertextovodkaz"/>
          </w:rPr>
          <w:t>Implementace doporučené varianty a vynucování</w:t>
        </w:r>
        <w:r>
          <w:tab/>
        </w:r>
        <w:r>
          <w:fldChar w:fldCharType="begin"/>
        </w:r>
        <w:r>
          <w:instrText xml:space="preserve"> PAGEREF _Toc256000013 \h </w:instrText>
        </w:r>
        <w:r>
          <w:fldChar w:fldCharType="separate"/>
        </w:r>
        <w:r w:rsidR="00C3535D">
          <w:rPr>
            <w:noProof/>
          </w:rPr>
          <w:t>49</w:t>
        </w:r>
        <w:r>
          <w:fldChar w:fldCharType="end"/>
        </w:r>
      </w:hyperlink>
    </w:p>
    <w:p w14:paraId="1630C751" w14:textId="43F5534A" w:rsidR="00326AB0" w:rsidRDefault="009731B0">
      <w:pPr>
        <w:pStyle w:val="Obsah1"/>
        <w:tabs>
          <w:tab w:val="left" w:pos="660"/>
          <w:tab w:val="right" w:leader="dot" w:pos="9062"/>
        </w:tabs>
        <w:rPr>
          <w:rFonts w:asciiTheme="minorHAnsi" w:hAnsiTheme="minorHAnsi"/>
          <w:noProof/>
        </w:rPr>
      </w:pPr>
      <w:hyperlink w:anchor="_Toc256000014" w:history="1">
        <w:r>
          <w:rPr>
            <w:rStyle w:val="Hypertextovodkaz"/>
          </w:rPr>
          <w:t>13</w:t>
        </w:r>
        <w:r>
          <w:rPr>
            <w:rFonts w:asciiTheme="minorHAnsi" w:hAnsiTheme="minorHAnsi"/>
            <w:noProof/>
          </w:rPr>
          <w:tab/>
        </w:r>
        <w:r w:rsidRPr="006519D0">
          <w:rPr>
            <w:rStyle w:val="Hypertextovodkaz"/>
          </w:rPr>
          <w:t>Přezkum účinnosti regulace</w:t>
        </w:r>
        <w:r>
          <w:tab/>
        </w:r>
        <w:r>
          <w:fldChar w:fldCharType="begin"/>
        </w:r>
        <w:r>
          <w:instrText xml:space="preserve"> PAGEREF _Toc256000014 \h </w:instrText>
        </w:r>
        <w:r>
          <w:fldChar w:fldCharType="separate"/>
        </w:r>
        <w:r w:rsidR="00C3535D">
          <w:rPr>
            <w:noProof/>
          </w:rPr>
          <w:t>49</w:t>
        </w:r>
        <w:r>
          <w:fldChar w:fldCharType="end"/>
        </w:r>
      </w:hyperlink>
    </w:p>
    <w:p w14:paraId="685B2293" w14:textId="66AACE06" w:rsidR="00326AB0" w:rsidRDefault="009731B0">
      <w:pPr>
        <w:pStyle w:val="Obsah1"/>
        <w:tabs>
          <w:tab w:val="left" w:pos="660"/>
          <w:tab w:val="right" w:leader="dot" w:pos="9062"/>
        </w:tabs>
        <w:rPr>
          <w:rFonts w:asciiTheme="minorHAnsi" w:hAnsiTheme="minorHAnsi"/>
          <w:noProof/>
        </w:rPr>
      </w:pPr>
      <w:hyperlink w:anchor="_Toc256000015" w:history="1">
        <w:r>
          <w:rPr>
            <w:rStyle w:val="Hypertextovodkaz"/>
          </w:rPr>
          <w:t>14</w:t>
        </w:r>
        <w:r>
          <w:rPr>
            <w:rFonts w:asciiTheme="minorHAnsi" w:hAnsiTheme="minorHAnsi"/>
            <w:noProof/>
          </w:rPr>
          <w:tab/>
        </w:r>
        <w:r w:rsidRPr="006519D0">
          <w:rPr>
            <w:rStyle w:val="Hypertextovodkaz"/>
          </w:rPr>
          <w:t>Konzultace a zdroje dat</w:t>
        </w:r>
        <w:r>
          <w:tab/>
        </w:r>
        <w:r>
          <w:fldChar w:fldCharType="begin"/>
        </w:r>
        <w:r>
          <w:instrText xml:space="preserve"> PAGEREF _Toc256000015 \h </w:instrText>
        </w:r>
        <w:r>
          <w:fldChar w:fldCharType="separate"/>
        </w:r>
        <w:r w:rsidR="00C3535D">
          <w:rPr>
            <w:noProof/>
          </w:rPr>
          <w:t>49</w:t>
        </w:r>
        <w:r>
          <w:fldChar w:fldCharType="end"/>
        </w:r>
      </w:hyperlink>
    </w:p>
    <w:p w14:paraId="0B4A4B6E" w14:textId="66167D70" w:rsidR="00326AB0" w:rsidRDefault="009731B0">
      <w:pPr>
        <w:pStyle w:val="Obsah1"/>
        <w:tabs>
          <w:tab w:val="left" w:pos="660"/>
          <w:tab w:val="right" w:leader="dot" w:pos="9062"/>
        </w:tabs>
        <w:rPr>
          <w:rFonts w:asciiTheme="minorHAnsi" w:hAnsiTheme="minorHAnsi"/>
          <w:noProof/>
        </w:rPr>
      </w:pPr>
      <w:hyperlink w:anchor="_Toc256000016" w:history="1">
        <w:r>
          <w:rPr>
            <w:rStyle w:val="Hypertextovodkaz"/>
          </w:rPr>
          <w:t>15</w:t>
        </w:r>
        <w:r>
          <w:rPr>
            <w:rFonts w:asciiTheme="minorHAnsi" w:hAnsiTheme="minorHAnsi"/>
            <w:noProof/>
          </w:rPr>
          <w:tab/>
        </w:r>
        <w:r w:rsidRPr="006519D0">
          <w:rPr>
            <w:rStyle w:val="Hypertextovodkaz"/>
          </w:rPr>
          <w:t>Seznam použitých zkratek</w:t>
        </w:r>
        <w:r>
          <w:tab/>
        </w:r>
        <w:r>
          <w:fldChar w:fldCharType="begin"/>
        </w:r>
        <w:r>
          <w:instrText xml:space="preserve"> PAGEREF _Toc256000016 \h </w:instrText>
        </w:r>
        <w:r>
          <w:fldChar w:fldCharType="separate"/>
        </w:r>
        <w:r w:rsidR="00C3535D">
          <w:rPr>
            <w:noProof/>
          </w:rPr>
          <w:t>50</w:t>
        </w:r>
        <w:r>
          <w:fldChar w:fldCharType="end"/>
        </w:r>
      </w:hyperlink>
    </w:p>
    <w:p w14:paraId="3C3C6F43" w14:textId="6246502B" w:rsidR="00326AB0" w:rsidRDefault="009731B0">
      <w:pPr>
        <w:pStyle w:val="Obsah1"/>
        <w:tabs>
          <w:tab w:val="left" w:pos="660"/>
          <w:tab w:val="right" w:leader="dot" w:pos="9062"/>
        </w:tabs>
        <w:rPr>
          <w:rFonts w:asciiTheme="minorHAnsi" w:hAnsiTheme="minorHAnsi"/>
          <w:noProof/>
        </w:rPr>
      </w:pPr>
      <w:hyperlink w:anchor="_Toc256000017" w:history="1">
        <w:r>
          <w:rPr>
            <w:rStyle w:val="Hypertextovodkaz"/>
          </w:rPr>
          <w:t>16</w:t>
        </w:r>
        <w:r>
          <w:rPr>
            <w:rFonts w:asciiTheme="minorHAnsi" w:hAnsiTheme="minorHAnsi"/>
            <w:noProof/>
          </w:rPr>
          <w:tab/>
        </w:r>
        <w:r w:rsidRPr="006519D0">
          <w:rPr>
            <w:rStyle w:val="Hypertextovodkaz"/>
          </w:rPr>
          <w:t>Kontakt na zpracovatele RIA</w:t>
        </w:r>
        <w:r>
          <w:tab/>
        </w:r>
        <w:r>
          <w:fldChar w:fldCharType="begin"/>
        </w:r>
        <w:r>
          <w:instrText xml:space="preserve"> PAGEREF _Toc256000017 \h </w:instrText>
        </w:r>
        <w:r>
          <w:fldChar w:fldCharType="separate"/>
        </w:r>
        <w:r w:rsidR="00C3535D">
          <w:rPr>
            <w:noProof/>
          </w:rPr>
          <w:t>51</w:t>
        </w:r>
        <w:r>
          <w:fldChar w:fldCharType="end"/>
        </w:r>
      </w:hyperlink>
    </w:p>
    <w:p w14:paraId="75852EEF" w14:textId="77777777" w:rsidR="00E07753" w:rsidRPr="006519D0" w:rsidRDefault="009731B0" w:rsidP="00E07753">
      <w:pPr>
        <w:pStyle w:val="Nadpis1"/>
        <w:numPr>
          <w:ilvl w:val="0"/>
          <w:numId w:val="0"/>
        </w:numPr>
      </w:pPr>
      <w:r w:rsidRPr="006519D0">
        <w:fldChar w:fldCharType="end"/>
      </w:r>
      <w:bookmarkStart w:id="5" w:name="_Toc19624746"/>
    </w:p>
    <w:p w14:paraId="11667F9D" w14:textId="77777777" w:rsidR="00E07753" w:rsidRPr="006519D0" w:rsidRDefault="009731B0">
      <w:pPr>
        <w:spacing w:after="160" w:line="259" w:lineRule="auto"/>
        <w:jc w:val="left"/>
        <w:rPr>
          <w:b/>
          <w:bCs/>
          <w:kern w:val="32"/>
          <w:sz w:val="28"/>
          <w:szCs w:val="28"/>
        </w:rPr>
      </w:pPr>
      <w:r w:rsidRPr="006519D0">
        <w:br w:type="page"/>
      </w:r>
    </w:p>
    <w:p w14:paraId="243A5605" w14:textId="77777777" w:rsidR="009A2B50" w:rsidRPr="006519D0" w:rsidRDefault="009731B0" w:rsidP="009A2B50">
      <w:pPr>
        <w:pStyle w:val="Nadpis1"/>
      </w:pPr>
      <w:bookmarkStart w:id="6" w:name="_Toc256000002"/>
      <w:r w:rsidRPr="006519D0">
        <w:lastRenderedPageBreak/>
        <w:t>Důvod předložení a cíle</w:t>
      </w:r>
      <w:bookmarkEnd w:id="4"/>
      <w:bookmarkEnd w:id="5"/>
      <w:bookmarkEnd w:id="6"/>
    </w:p>
    <w:p w14:paraId="6D02C931" w14:textId="77777777" w:rsidR="00EB67F3" w:rsidRPr="006519D0" w:rsidRDefault="009731B0" w:rsidP="00EB67F3">
      <w:pPr>
        <w:pStyle w:val="Nadpis2"/>
        <w:rPr>
          <w:rFonts w:cs="Arial"/>
        </w:rPr>
      </w:pPr>
      <w:bookmarkStart w:id="7" w:name="_Toc518897817"/>
      <w:r w:rsidRPr="006519D0">
        <w:rPr>
          <w:rFonts w:cs="Arial"/>
        </w:rPr>
        <w:t>Název</w:t>
      </w:r>
      <w:bookmarkEnd w:id="7"/>
    </w:p>
    <w:p w14:paraId="1EED52AA" w14:textId="77777777" w:rsidR="00EB67F3" w:rsidRPr="006519D0" w:rsidRDefault="009731B0" w:rsidP="00EB67F3">
      <w:pPr>
        <w:spacing w:after="0"/>
        <w:rPr>
          <w:rFonts w:cs="Arial"/>
          <w:sz w:val="20"/>
        </w:rPr>
      </w:pPr>
      <w:r w:rsidRPr="006519D0">
        <w:rPr>
          <w:rFonts w:eastAsia="MS Mincho" w:cs="Arial"/>
          <w:bCs/>
        </w:rPr>
        <w:t>Zákon č. 73/2012 Sb., o látkách, které poškozují ozonovou vrstvu, a o fluorovaných skleníkový</w:t>
      </w:r>
      <w:r w:rsidRPr="006519D0">
        <w:rPr>
          <w:rFonts w:eastAsia="MS Mincho" w:cs="Arial"/>
          <w:bCs/>
        </w:rPr>
        <w:t>ch plynech</w:t>
      </w:r>
      <w:r w:rsidRPr="006519D0">
        <w:rPr>
          <w:rFonts w:cs="Arial"/>
          <w:sz w:val="20"/>
        </w:rPr>
        <w:t xml:space="preserve"> </w:t>
      </w:r>
    </w:p>
    <w:p w14:paraId="118912F6" w14:textId="77777777" w:rsidR="00AF76F6" w:rsidRPr="006519D0" w:rsidRDefault="00AF76F6" w:rsidP="00EB67F3">
      <w:pPr>
        <w:spacing w:after="0"/>
        <w:rPr>
          <w:rFonts w:cs="Arial"/>
        </w:rPr>
      </w:pPr>
    </w:p>
    <w:p w14:paraId="52A91A9E" w14:textId="77777777" w:rsidR="00EB67F3" w:rsidRPr="006519D0" w:rsidRDefault="009731B0" w:rsidP="00EB67F3">
      <w:pPr>
        <w:pStyle w:val="Nadpis2"/>
        <w:rPr>
          <w:rFonts w:cs="Arial"/>
        </w:rPr>
      </w:pPr>
      <w:bookmarkStart w:id="8" w:name="_Toc518897818"/>
      <w:r w:rsidRPr="006519D0">
        <w:rPr>
          <w:rFonts w:cs="Arial"/>
        </w:rPr>
        <w:t>Definice problému</w:t>
      </w:r>
      <w:bookmarkEnd w:id="8"/>
    </w:p>
    <w:p w14:paraId="3C6F0287" w14:textId="77777777" w:rsidR="00EB67F3" w:rsidRPr="006519D0" w:rsidRDefault="009731B0" w:rsidP="00095687">
      <w:pPr>
        <w:rPr>
          <w:rFonts w:cs="Arial"/>
        </w:rPr>
      </w:pPr>
      <w:r w:rsidRPr="006519D0">
        <w:rPr>
          <w:rFonts w:cs="Arial"/>
        </w:rPr>
        <w:t xml:space="preserve">Důvodem k návrhu změny platné legislativy je neuspokojivý současný legislativní stav v oblasti nakládání s regulovanými látkami a </w:t>
      </w:r>
      <w:r w:rsidR="00EA5AEC" w:rsidRPr="006519D0">
        <w:rPr>
          <w:rFonts w:cs="Arial"/>
        </w:rPr>
        <w:t>fluorovanými skleníkovými plyny (F-plyny)</w:t>
      </w:r>
      <w:r w:rsidRPr="006519D0">
        <w:rPr>
          <w:rFonts w:cs="Arial"/>
        </w:rPr>
        <w:t xml:space="preserve">. Legislativní nedostatky, které byly identifikovány na základě poznatků z praxe, je třeba napravit za účelem dosažení </w:t>
      </w:r>
      <w:r w:rsidR="00EA5AEC" w:rsidRPr="006519D0">
        <w:rPr>
          <w:rFonts w:cs="Arial"/>
        </w:rPr>
        <w:t>optimálního</w:t>
      </w:r>
      <w:r w:rsidRPr="006519D0">
        <w:rPr>
          <w:rFonts w:cs="Arial"/>
        </w:rPr>
        <w:t xml:space="preserve"> stavu platné legislativy v předmětné oblasti a zvýšení ochrany ozonové vrstvy Země, ovzduší a životního prostředí jako celku.</w:t>
      </w:r>
    </w:p>
    <w:p w14:paraId="09C0DACD" w14:textId="77777777" w:rsidR="004E0898" w:rsidRPr="006519D0" w:rsidRDefault="004E0898" w:rsidP="00095687">
      <w:pPr>
        <w:rPr>
          <w:rFonts w:cs="Arial"/>
        </w:rPr>
      </w:pPr>
    </w:p>
    <w:p w14:paraId="46969136" w14:textId="77777777" w:rsidR="00F56CCB" w:rsidRPr="006519D0" w:rsidRDefault="009731B0" w:rsidP="00095687">
      <w:pPr>
        <w:rPr>
          <w:rFonts w:cs="Arial"/>
        </w:rPr>
      </w:pPr>
      <w:r w:rsidRPr="006519D0">
        <w:rPr>
          <w:rFonts w:cs="Arial"/>
        </w:rPr>
        <w:t>Regulované látky může dle platné legislativy v ČR zneškodnit pouze osoba certifikovaná ke zneškodňování regulovaných látek. V případě, že osoba, která není osobou certifikovanou ke zneškodňování regulovaných látek, disponuje regulovanými látkami, jejichž</w:t>
      </w:r>
      <w:r w:rsidRPr="006519D0">
        <w:rPr>
          <w:rFonts w:cs="Arial"/>
        </w:rPr>
        <w:t xml:space="preserve"> použití je v rozporu s přímo použitelnými předpisy EU, má zákonnou povinnost tyto regulované látky v zákonem stanovené lhůtě předat ke zneškodnění osobě certifikované ke zneškodňování regulovaných látek. </w:t>
      </w:r>
      <w:bookmarkStart w:id="9" w:name="_Hlk54159046"/>
      <w:r w:rsidRPr="006519D0">
        <w:rPr>
          <w:rFonts w:cs="Arial"/>
        </w:rPr>
        <w:t xml:space="preserve">V současné době je počet regulovaných látek, které </w:t>
      </w:r>
      <w:r w:rsidRPr="006519D0">
        <w:rPr>
          <w:rFonts w:cs="Arial"/>
        </w:rPr>
        <w:t>lze stále používat, resp. zařízení v provozu, jež využívají regulované látky, nízký a jejich počet se neustále snižuje. Proto je obtížné shromáždit v zákonné lhůtě takové množství regulovaných látek, aby jejich zneškodnění bylo jak pro subjekty povinné k p</w:t>
      </w:r>
      <w:r w:rsidRPr="006519D0">
        <w:rPr>
          <w:rFonts w:cs="Arial"/>
        </w:rPr>
        <w:t>ředávání látek ke zneškodnění, tak pro osobu certifikovanou ke zneškodňování těchto látek, ekonomicky přijatelné. Z toho důvodu je nutné prodloužit lhůtu, ve které musí být regulované látky předány ke zneškodnění, případně zneškodněny jedná-li se o situaci</w:t>
      </w:r>
      <w:r w:rsidRPr="006519D0">
        <w:rPr>
          <w:rFonts w:cs="Arial"/>
        </w:rPr>
        <w:t>, kdy osoba regulovanými látkami disponující je zároveň osobou certifikovanou ke zneškodňování regulovaných látek.</w:t>
      </w:r>
      <w:bookmarkEnd w:id="9"/>
      <w:r w:rsidRPr="006519D0">
        <w:rPr>
          <w:rFonts w:cs="Arial"/>
        </w:rPr>
        <w:t xml:space="preserve"> Osoby certifikované ke zneškodnění regulovaných látek, mohou takovou činnost provádět buď komerčně, kdy získávají regulované látky za úplatu </w:t>
      </w:r>
      <w:r w:rsidRPr="006519D0">
        <w:rPr>
          <w:rFonts w:cs="Arial"/>
        </w:rPr>
        <w:t>od osob, které regulovanými látkami určenými ke zneškodnění disponují, v takovém množství, které zajistí minimálně pokrytí všech relevantních nákladů, nebo bezúplatně, kdy jsou náklady na takovou činnost částečně pokryty z veřejných rozpočtů formou veřejné</w:t>
      </w:r>
      <w:r w:rsidRPr="006519D0">
        <w:rPr>
          <w:rFonts w:cs="Arial"/>
        </w:rPr>
        <w:t xml:space="preserve"> podpory. V obou případech ale musí být zajištěna ekonomická přijatelnost, která je však s ohledem na disproporci mezi zákonem stanovenou lhůtou ke zneškodnění regulovaných látek a množstvím látek, které se na trhu pohybují a jsou tedy potenciálním předmět</w:t>
      </w:r>
      <w:r w:rsidRPr="006519D0">
        <w:rPr>
          <w:rFonts w:cs="Arial"/>
        </w:rPr>
        <w:t>em zneškodnění, těžko dosažitelná</w:t>
      </w:r>
      <w:r w:rsidR="004E0898" w:rsidRPr="006519D0">
        <w:rPr>
          <w:rFonts w:cs="Arial"/>
        </w:rPr>
        <w:t xml:space="preserve"> (bod 2)</w:t>
      </w:r>
      <w:r w:rsidRPr="006519D0">
        <w:rPr>
          <w:rFonts w:cs="Arial"/>
        </w:rPr>
        <w:t>.</w:t>
      </w:r>
    </w:p>
    <w:p w14:paraId="194D9AF0" w14:textId="77777777" w:rsidR="00F56CCB" w:rsidRPr="006519D0" w:rsidRDefault="009731B0" w:rsidP="00095687">
      <w:pPr>
        <w:rPr>
          <w:rFonts w:cs="Arial"/>
        </w:rPr>
      </w:pPr>
      <w:r w:rsidRPr="006519D0">
        <w:rPr>
          <w:rFonts w:cs="Arial"/>
        </w:rPr>
        <w:t xml:space="preserve">V současné době je obecně užívání F-plynů na rozdíl od regulovaných látek povoleno, zatímco regulované látky je již zakázáno uvádět na trh. </w:t>
      </w:r>
      <w:bookmarkStart w:id="10" w:name="_Hlk54159269"/>
      <w:r w:rsidRPr="006519D0">
        <w:rPr>
          <w:rFonts w:cs="Arial"/>
        </w:rPr>
        <w:t>I přesto, že nakládání s F-plyny je obecně povoleno, z důvodu jejich vliv</w:t>
      </w:r>
      <w:r w:rsidRPr="006519D0">
        <w:rPr>
          <w:rFonts w:cs="Arial"/>
        </w:rPr>
        <w:t xml:space="preserve">u na zesilování skleníkového efektu je nutné tyto látky určitým způsobem regulovat. Snahou tedy je zavedení regulace zneškodňování </w:t>
      </w:r>
      <w:r w:rsidR="0084375C" w:rsidRPr="006519D0">
        <w:rPr>
          <w:rFonts w:cs="Arial"/>
        </w:rPr>
        <w:t xml:space="preserve">a regenerace </w:t>
      </w:r>
      <w:r w:rsidRPr="006519D0">
        <w:rPr>
          <w:rFonts w:cs="Arial"/>
        </w:rPr>
        <w:t xml:space="preserve">F-plynů, </w:t>
      </w:r>
      <w:r w:rsidR="0045667D" w:rsidRPr="006519D0">
        <w:rPr>
          <w:rFonts w:cs="Arial"/>
        </w:rPr>
        <w:t xml:space="preserve">tato </w:t>
      </w:r>
      <w:r w:rsidRPr="006519D0">
        <w:rPr>
          <w:rFonts w:cs="Arial"/>
        </w:rPr>
        <w:t>regulace je reakcí na závěry 30. zasedání Smluvních stran Montrealského protokolu v listopadu 2018</w:t>
      </w:r>
      <w:r w:rsidRPr="006519D0">
        <w:rPr>
          <w:rFonts w:cs="Arial"/>
        </w:rPr>
        <w:t xml:space="preserve"> v ekvádorském Quitu</w:t>
      </w:r>
      <w:bookmarkEnd w:id="10"/>
      <w:r w:rsidR="004E0898" w:rsidRPr="006519D0">
        <w:rPr>
          <w:rFonts w:cs="Arial"/>
        </w:rPr>
        <w:t xml:space="preserve"> (bod 3)</w:t>
      </w:r>
      <w:r w:rsidRPr="006519D0">
        <w:rPr>
          <w:rFonts w:cs="Arial"/>
        </w:rPr>
        <w:t>.</w:t>
      </w:r>
    </w:p>
    <w:p w14:paraId="513DA641" w14:textId="77777777" w:rsidR="00267740" w:rsidRPr="006519D0" w:rsidRDefault="009731B0" w:rsidP="00095687">
      <w:pPr>
        <w:rPr>
          <w:rFonts w:cs="Arial"/>
        </w:rPr>
      </w:pPr>
      <w:r w:rsidRPr="006519D0">
        <w:rPr>
          <w:rFonts w:cs="Arial"/>
        </w:rPr>
        <w:t xml:space="preserve">Uvádění nádob na jednorázové použití pro regulované látky na trh je zakázáno již od roku 2000 a uvádění nádob na jednorázové použití pro F-plyny na trh je zakázáno od roku 2007. Byla snaha zamezit dodání jednorázových lahví z </w:t>
      </w:r>
      <w:r w:rsidRPr="006519D0">
        <w:rPr>
          <w:rFonts w:cs="Arial"/>
        </w:rPr>
        <w:t>třetích zemí a osobám uvádějící</w:t>
      </w:r>
      <w:r w:rsidR="003D6544" w:rsidRPr="006519D0">
        <w:rPr>
          <w:rFonts w:cs="Arial"/>
        </w:rPr>
        <w:t>m</w:t>
      </w:r>
      <w:r w:rsidRPr="006519D0">
        <w:rPr>
          <w:rFonts w:cs="Arial"/>
        </w:rPr>
        <w:t xml:space="preserve"> na</w:t>
      </w:r>
      <w:r w:rsidR="00CC6990" w:rsidRPr="006519D0">
        <w:rPr>
          <w:rFonts w:cs="Arial"/>
        </w:rPr>
        <w:t> </w:t>
      </w:r>
      <w:r w:rsidRPr="006519D0">
        <w:rPr>
          <w:rFonts w:cs="Arial"/>
        </w:rPr>
        <w:t xml:space="preserve">jednotný trh byla stanovena lhůta, ve které mohou své zásoby doprodat. Nejzazším datem užití takových lahví byl 4. červenec 2017. </w:t>
      </w:r>
      <w:bookmarkStart w:id="11" w:name="_Hlk54159542"/>
      <w:r w:rsidRPr="006519D0">
        <w:rPr>
          <w:rFonts w:cs="Arial"/>
        </w:rPr>
        <w:t xml:space="preserve">Nádoby na jednorázové použití mají však nižší </w:t>
      </w:r>
      <w:r w:rsidRPr="006519D0">
        <w:rPr>
          <w:rFonts w:cs="Arial"/>
        </w:rPr>
        <w:lastRenderedPageBreak/>
        <w:t>pořizovací cenu oproti povoleným znovunaplni</w:t>
      </w:r>
      <w:r w:rsidRPr="006519D0">
        <w:rPr>
          <w:rFonts w:cs="Arial"/>
        </w:rPr>
        <w:t>telným lahvím, proto dochází k nárůstu nelegálního trhu a systém v této oblasti selhává především kvůli absenci legislativního rámce pro skladování a další prodej chladiv dovezených ze třetích zemí mimo systém kvót. Nárůst cen za znovunaplnitelné láhve zap</w:t>
      </w:r>
      <w:r w:rsidRPr="006519D0">
        <w:rPr>
          <w:rFonts w:cs="Arial"/>
        </w:rPr>
        <w:t>říčinil zejména harmonogram snižování spotřeby F-plynů stanovený nařízením (EU) č. 517/2014, díky čemuž začal vznikat černý trh s jednorázovými nádobami, resp. F-plyny v jednorázových nádobách. Vzhledem k tomu, že k uvedení F-plynů na trh v EU (kam se dost</w:t>
      </w:r>
      <w:r w:rsidRPr="006519D0">
        <w:rPr>
          <w:rFonts w:cs="Arial"/>
        </w:rPr>
        <w:t>ávají zejména přes východní vnější hranici Unie) obvykle dochází na</w:t>
      </w:r>
      <w:r w:rsidR="00436117" w:rsidRPr="006519D0">
        <w:rPr>
          <w:rFonts w:cs="Arial"/>
        </w:rPr>
        <w:t> </w:t>
      </w:r>
      <w:r w:rsidRPr="006519D0">
        <w:rPr>
          <w:rFonts w:cs="Arial"/>
        </w:rPr>
        <w:t xml:space="preserve">území jiného státu a ne v ČR, prodejcům jednorázových lahví není možné </w:t>
      </w:r>
      <w:r w:rsidR="003D6544" w:rsidRPr="006519D0">
        <w:rPr>
          <w:rFonts w:cs="Arial"/>
        </w:rPr>
        <w:t xml:space="preserve">uložit </w:t>
      </w:r>
      <w:r w:rsidRPr="006519D0">
        <w:rPr>
          <w:rFonts w:cs="Arial"/>
        </w:rPr>
        <w:t>sankci podle českého práva, pokud tyto látky neuvedli na trh na území ČR. Celý systém tedy stojí na</w:t>
      </w:r>
      <w:r w:rsidR="00436117" w:rsidRPr="006519D0">
        <w:rPr>
          <w:rFonts w:cs="Arial"/>
        </w:rPr>
        <w:t> </w:t>
      </w:r>
      <w:r w:rsidRPr="006519D0">
        <w:rPr>
          <w:rFonts w:cs="Arial"/>
        </w:rPr>
        <w:t>zákazu uve</w:t>
      </w:r>
      <w:r w:rsidRPr="006519D0">
        <w:rPr>
          <w:rFonts w:cs="Arial"/>
        </w:rPr>
        <w:t>dení na trh, tedy na vymáhání zákazu v místě a čase, kdy se jednorázová nádoba objevila v EU poprvé, což v praxi znamená velmi nízkou vymahatelnost. Vzhledem k</w:t>
      </w:r>
      <w:r w:rsidR="00436117" w:rsidRPr="006519D0">
        <w:rPr>
          <w:rFonts w:cs="Arial"/>
        </w:rPr>
        <w:t> </w:t>
      </w:r>
      <w:r w:rsidRPr="006519D0">
        <w:rPr>
          <w:rFonts w:cs="Arial"/>
        </w:rPr>
        <w:t>tomu, že tyto lahve mají stanoven zákaz uvádění na trh již více než 10 let, je třeba z důvodu fa</w:t>
      </w:r>
      <w:r w:rsidRPr="006519D0">
        <w:rPr>
          <w:rFonts w:cs="Arial"/>
        </w:rPr>
        <w:t>ktické nefunkčnosti neformálního systému platného dnes zavedení obecného zákazu uvádění jednorázových lahví s F-plyny na trh na území ČR společně s jakýmkoliv dalším nakládáním s takovými láhvemi na území ČR</w:t>
      </w:r>
      <w:bookmarkEnd w:id="11"/>
      <w:r w:rsidR="004E0898" w:rsidRPr="006519D0">
        <w:rPr>
          <w:rFonts w:cs="Arial"/>
        </w:rPr>
        <w:t xml:space="preserve"> (bod 4)</w:t>
      </w:r>
      <w:r w:rsidRPr="006519D0">
        <w:rPr>
          <w:rFonts w:cs="Arial"/>
        </w:rPr>
        <w:t>.</w:t>
      </w:r>
    </w:p>
    <w:p w14:paraId="451FE6E0" w14:textId="77777777" w:rsidR="00F56CCB" w:rsidRPr="006519D0" w:rsidRDefault="009731B0" w:rsidP="00095687">
      <w:pPr>
        <w:rPr>
          <w:rFonts w:cs="Arial"/>
        </w:rPr>
      </w:pPr>
      <w:r w:rsidRPr="006519D0">
        <w:rPr>
          <w:rFonts w:cs="Arial"/>
        </w:rPr>
        <w:t>Při dovozu F-plynů, ať už samostatně ne</w:t>
      </w:r>
      <w:r w:rsidRPr="006519D0">
        <w:rPr>
          <w:rFonts w:cs="Arial"/>
        </w:rPr>
        <w:t xml:space="preserve">bo obsažených ve výrobcích nebo zařízeních, probíhá kontrola na základě informací, které jsou evidovány v Rejstříku kvót pro uvádění částečně fluorovaných uhlovodíků na trh zřízeném a spravovaném Evropskou komisí. </w:t>
      </w:r>
      <w:bookmarkStart w:id="12" w:name="_Hlk54159841"/>
      <w:r w:rsidRPr="006519D0">
        <w:rPr>
          <w:rFonts w:cs="Arial"/>
        </w:rPr>
        <w:t>V současné době však nelze provádět efekti</w:t>
      </w:r>
      <w:r w:rsidRPr="006519D0">
        <w:rPr>
          <w:rFonts w:cs="Arial"/>
        </w:rPr>
        <w:t>vně kontroly správnosti uváděných údajů o dovozu F-plynů, protože v celním prohlášení není jasná informace o množství dovezených F-plynů ani informace, zda jsou dodržovány přidělené kvóty, jaká část kvóty je již vyčerpána apod. Možná je pouze manuální kont</w:t>
      </w:r>
      <w:r w:rsidRPr="006519D0">
        <w:rPr>
          <w:rFonts w:cs="Arial"/>
        </w:rPr>
        <w:t>rola, která je v tomto případě neefektivní</w:t>
      </w:r>
      <w:bookmarkEnd w:id="12"/>
      <w:r w:rsidR="004E0898" w:rsidRPr="006519D0">
        <w:rPr>
          <w:rFonts w:cs="Arial"/>
        </w:rPr>
        <w:t xml:space="preserve"> (bod 5)</w:t>
      </w:r>
      <w:r w:rsidRPr="006519D0">
        <w:rPr>
          <w:rFonts w:cs="Arial"/>
        </w:rPr>
        <w:t>.</w:t>
      </w:r>
    </w:p>
    <w:p w14:paraId="73E9025A" w14:textId="77777777" w:rsidR="00B44D0F" w:rsidRPr="006519D0" w:rsidRDefault="009731B0" w:rsidP="00095687">
      <w:pPr>
        <w:rPr>
          <w:rFonts w:cs="Arial"/>
        </w:rPr>
      </w:pPr>
      <w:bookmarkStart w:id="13" w:name="_Hlk54161821"/>
      <w:r w:rsidRPr="006519D0">
        <w:rPr>
          <w:rFonts w:cs="Arial"/>
        </w:rPr>
        <w:t>Hodnotící subjekty provádí zkoušky odborné způsobilosti ve specifických oblastech nakládání s F-plyny a regulovanými látkami. Certifikační subjekt je pak ten subjekt, který na základě složení zkoušek odbo</w:t>
      </w:r>
      <w:r w:rsidRPr="006519D0">
        <w:rPr>
          <w:rFonts w:cs="Arial"/>
        </w:rPr>
        <w:t>rné způsobilosti vydává certifikáty v oblasti nakládání s regulovanými látkami a F-plyny fyzickým a právnickým osobám, de lege lata je takovým subjektem Ministerstvo životního prostředí (dále jen „MŽP“). Jako takové je MŽP odpovědné za vydávání certifikátu</w:t>
      </w:r>
      <w:r w:rsidRPr="006519D0">
        <w:rPr>
          <w:rFonts w:cs="Arial"/>
        </w:rPr>
        <w:t xml:space="preserve"> osobám, jenž úspěšně splnily náležité teoretické a praktické zkoušky u hodnotícího subjektu. Tyto osoby mohou následně vykonávat regulované činnosti v oblasti </w:t>
      </w:r>
      <w:r w:rsidR="00B741A6" w:rsidRPr="006519D0">
        <w:rPr>
          <w:rFonts w:cs="Arial"/>
        </w:rPr>
        <w:br/>
      </w:r>
      <w:r w:rsidRPr="006519D0">
        <w:rPr>
          <w:rFonts w:cs="Arial"/>
        </w:rPr>
        <w:t>F-plynů a</w:t>
      </w:r>
      <w:r w:rsidR="00EA5AEC" w:rsidRPr="006519D0">
        <w:rPr>
          <w:rFonts w:cs="Arial"/>
        </w:rPr>
        <w:t> </w:t>
      </w:r>
      <w:r w:rsidRPr="006519D0">
        <w:rPr>
          <w:rFonts w:cs="Arial"/>
        </w:rPr>
        <w:t>regulovaných látek. Žadatelé o certifikaci provádí zkoušku u hodnotících subjektů, av</w:t>
      </w:r>
      <w:r w:rsidRPr="006519D0">
        <w:rPr>
          <w:rFonts w:cs="Arial"/>
        </w:rPr>
        <w:t>šak certifikát vydává MŽP, jakožto certifikační subjekt. Samotná certifikace (po úspěšném absolvování zkoušky) nevyžaduje žádné správní uvážení, proto je ve chvíli, kdy žadatel doručí kompletní podklady na MŽP, certifikát bez dalšího vydán. Proces je tím j</w:t>
      </w:r>
      <w:r w:rsidRPr="006519D0">
        <w:rPr>
          <w:rFonts w:cs="Arial"/>
        </w:rPr>
        <w:t xml:space="preserve">ak pro žadatele, tak pro MŽP </w:t>
      </w:r>
      <w:r w:rsidR="00242E3C" w:rsidRPr="006519D0">
        <w:rPr>
          <w:rFonts w:cs="Arial"/>
        </w:rPr>
        <w:t xml:space="preserve">zbytečně </w:t>
      </w:r>
      <w:r w:rsidRPr="006519D0">
        <w:rPr>
          <w:rFonts w:cs="Arial"/>
        </w:rPr>
        <w:t>komplikovaný, administrativně náročný a zdlouhavý</w:t>
      </w:r>
      <w:bookmarkEnd w:id="13"/>
      <w:r w:rsidR="004E0898" w:rsidRPr="006519D0">
        <w:rPr>
          <w:rFonts w:cs="Arial"/>
        </w:rPr>
        <w:t xml:space="preserve"> (bod 6)</w:t>
      </w:r>
      <w:r w:rsidRPr="006519D0">
        <w:rPr>
          <w:rFonts w:cs="Arial"/>
        </w:rPr>
        <w:t>.</w:t>
      </w:r>
    </w:p>
    <w:p w14:paraId="4D0C34E0" w14:textId="77777777" w:rsidR="00B44D0F" w:rsidRPr="006519D0" w:rsidRDefault="009731B0" w:rsidP="00095687">
      <w:pPr>
        <w:rPr>
          <w:rFonts w:cs="Arial"/>
        </w:rPr>
      </w:pPr>
      <w:r w:rsidRPr="006519D0">
        <w:rPr>
          <w:rFonts w:cs="Arial"/>
        </w:rPr>
        <w:t>Zpracování bilance dovozů a vývozů v rámci vnitřního trhu nakládání s F-plyny je v současné době zavádějící. Podání zpráv o F-plynech je dle platné legislativy</w:t>
      </w:r>
      <w:r w:rsidRPr="006519D0">
        <w:rPr>
          <w:rFonts w:cs="Arial"/>
        </w:rPr>
        <w:t xml:space="preserve"> požadováno jen v případě, kdy je s nimi nakládáno samostatně, avšak pokud jsou součástí zařízení, povinnost podání zpráv se na ně nevztahuje. Pokud je tedy do ČR dovezen F-plyn samostatně a z ČR vyvezen jako součást zařízení, je o tomto plynu jen jeden zá</w:t>
      </w:r>
      <w:r w:rsidRPr="006519D0">
        <w:rPr>
          <w:rFonts w:cs="Arial"/>
        </w:rPr>
        <w:t>znam (o dovozu) a evidence je tím pádem nepřesná, zavádějící a pozbývá vypovídací hodnotu</w:t>
      </w:r>
      <w:r w:rsidR="008C71F0" w:rsidRPr="006519D0">
        <w:rPr>
          <w:rFonts w:cs="Arial"/>
        </w:rPr>
        <w:t>. Současný právní stav také neumožňuje efektivní kontrolu v oblasti regenerace F-plynů, subjekty provádějící tuto činnost v současné době nemají povinnost podávat kontrolní zprávy dle § 11 zákona</w:t>
      </w:r>
      <w:r w:rsidR="004E0898" w:rsidRPr="006519D0">
        <w:rPr>
          <w:rFonts w:cs="Arial"/>
        </w:rPr>
        <w:t xml:space="preserve"> (bod </w:t>
      </w:r>
      <w:r w:rsidR="00C22B6F" w:rsidRPr="006519D0">
        <w:rPr>
          <w:rFonts w:cs="Arial"/>
        </w:rPr>
        <w:t>7</w:t>
      </w:r>
      <w:r w:rsidR="004E0898" w:rsidRPr="006519D0">
        <w:rPr>
          <w:rFonts w:cs="Arial"/>
        </w:rPr>
        <w:t>)</w:t>
      </w:r>
      <w:r w:rsidRPr="006519D0">
        <w:rPr>
          <w:rFonts w:cs="Arial"/>
        </w:rPr>
        <w:t>.</w:t>
      </w:r>
    </w:p>
    <w:p w14:paraId="68554AB7" w14:textId="77777777" w:rsidR="00267740" w:rsidRPr="006519D0" w:rsidRDefault="009731B0" w:rsidP="00267740">
      <w:pPr>
        <w:rPr>
          <w:rFonts w:cs="Arial"/>
        </w:rPr>
      </w:pPr>
      <w:r w:rsidRPr="006519D0">
        <w:rPr>
          <w:rFonts w:cs="Arial"/>
        </w:rPr>
        <w:t>Osoby nakládající s F-plyny mají povinnost podat zprávu MŽP prostřednictvím ISPOP. Tato povinnost se vztahuje na osoby, které zneškodní nebo získají či předají v rámci jiného státu EU více jak 200 t ekvivalentu CO</w:t>
      </w:r>
      <w:r w:rsidRPr="006519D0">
        <w:rPr>
          <w:rFonts w:cs="Arial"/>
          <w:vertAlign w:val="subscript"/>
        </w:rPr>
        <w:t>2</w:t>
      </w:r>
      <w:r w:rsidRPr="006519D0">
        <w:rPr>
          <w:rFonts w:cs="Arial"/>
        </w:rPr>
        <w:t xml:space="preserve"> běh</w:t>
      </w:r>
      <w:r w:rsidRPr="006519D0">
        <w:rPr>
          <w:rFonts w:cs="Arial"/>
        </w:rPr>
        <w:t xml:space="preserve">em předchozího kalendářního roku. To se však neshoduje s Nařízením (EU) č. 517/2014, které udává nižší limit pro ohlášení, a to 100 t </w:t>
      </w:r>
      <w:r w:rsidRPr="006519D0">
        <w:rPr>
          <w:rFonts w:cs="Arial"/>
        </w:rPr>
        <w:lastRenderedPageBreak/>
        <w:t>ekvivalentu CO</w:t>
      </w:r>
      <w:r w:rsidRPr="006519D0">
        <w:rPr>
          <w:rFonts w:cs="Arial"/>
          <w:vertAlign w:val="subscript"/>
        </w:rPr>
        <w:t>2</w:t>
      </w:r>
      <w:r w:rsidRPr="006519D0">
        <w:rPr>
          <w:rFonts w:cs="Arial"/>
        </w:rPr>
        <w:t>. Reguluje se tím dovoz a vývoz na vnějších hranicích EU. Limit je upravován z důvodu sjednocení limitů pro</w:t>
      </w:r>
      <w:r w:rsidRPr="006519D0">
        <w:rPr>
          <w:rFonts w:cs="Arial"/>
        </w:rPr>
        <w:t xml:space="preserve"> podávání zpráv na evropské a národní úrovni</w:t>
      </w:r>
      <w:r w:rsidR="004E0898" w:rsidRPr="006519D0">
        <w:rPr>
          <w:rFonts w:cs="Arial"/>
        </w:rPr>
        <w:t xml:space="preserve"> (bod </w:t>
      </w:r>
      <w:r w:rsidR="00C22B6F" w:rsidRPr="006519D0">
        <w:rPr>
          <w:rFonts w:cs="Arial"/>
        </w:rPr>
        <w:t>8</w:t>
      </w:r>
      <w:r w:rsidR="004E0898" w:rsidRPr="006519D0">
        <w:rPr>
          <w:rFonts w:cs="Arial"/>
        </w:rPr>
        <w:t>)</w:t>
      </w:r>
      <w:r w:rsidRPr="006519D0">
        <w:rPr>
          <w:rFonts w:cs="Arial"/>
        </w:rPr>
        <w:t>.</w:t>
      </w:r>
    </w:p>
    <w:p w14:paraId="2B204A6A" w14:textId="77777777" w:rsidR="00267740" w:rsidRPr="006519D0" w:rsidRDefault="009731B0" w:rsidP="00267740">
      <w:pPr>
        <w:rPr>
          <w:rFonts w:cs="Arial"/>
        </w:rPr>
      </w:pPr>
      <w:bookmarkStart w:id="14" w:name="_Hlk54162226"/>
      <w:r w:rsidRPr="006519D0">
        <w:rPr>
          <w:rFonts w:cs="Arial"/>
        </w:rPr>
        <w:t>V současném Informačním systému certifikovaných osob a osob, kterým bylo vydáno osvědčení o školení (IS), který spravuje a provozuje MŽP, se nyní vedou údaje jak o certifikovaných osobách, tak o osobách</w:t>
      </w:r>
      <w:r w:rsidRPr="006519D0">
        <w:rPr>
          <w:rFonts w:cs="Arial"/>
        </w:rPr>
        <w:t>, kterým bylo vydáno osvědčení o školení. Pro obě skupiny platí stejné podmínky pro vedení údajů, ale pro shromažďování tak rozsáhlých dat o osobách se školením není důvod, neboť se jedná o enormní objem dat, která nejsou reálně využívaná a</w:t>
      </w:r>
      <w:r w:rsidR="002507CC" w:rsidRPr="006519D0">
        <w:rPr>
          <w:rFonts w:cs="Arial"/>
        </w:rPr>
        <w:t>ni</w:t>
      </w:r>
      <w:r w:rsidRPr="006519D0">
        <w:rPr>
          <w:rFonts w:cs="Arial"/>
        </w:rPr>
        <w:t xml:space="preserve"> využitelná. Z</w:t>
      </w:r>
      <w:r w:rsidRPr="006519D0">
        <w:rPr>
          <w:rFonts w:cs="Arial"/>
        </w:rPr>
        <w:t>ároveň zde chybí právní titul ke zpracování osobních údajů dle Obecného nařízení o ochraně osobních údajů</w:t>
      </w:r>
      <w:r w:rsidR="004E0898" w:rsidRPr="006519D0">
        <w:rPr>
          <w:rFonts w:cs="Arial"/>
        </w:rPr>
        <w:t xml:space="preserve"> </w:t>
      </w:r>
      <w:bookmarkEnd w:id="14"/>
      <w:r w:rsidR="004E0898" w:rsidRPr="006519D0">
        <w:rPr>
          <w:rFonts w:cs="Arial"/>
        </w:rPr>
        <w:t xml:space="preserve">(bod </w:t>
      </w:r>
      <w:r w:rsidR="00C22B6F" w:rsidRPr="006519D0">
        <w:rPr>
          <w:rFonts w:cs="Arial"/>
        </w:rPr>
        <w:t>9</w:t>
      </w:r>
      <w:r w:rsidR="004E0898" w:rsidRPr="006519D0">
        <w:rPr>
          <w:rFonts w:cs="Arial"/>
        </w:rPr>
        <w:t>)</w:t>
      </w:r>
      <w:r w:rsidRPr="006519D0">
        <w:rPr>
          <w:rFonts w:cs="Arial"/>
        </w:rPr>
        <w:t>.</w:t>
      </w:r>
    </w:p>
    <w:p w14:paraId="10D3889F" w14:textId="77777777" w:rsidR="00F7496D" w:rsidRPr="006519D0" w:rsidRDefault="009731B0" w:rsidP="00095687">
      <w:pPr>
        <w:rPr>
          <w:rFonts w:cs="Arial"/>
        </w:rPr>
      </w:pPr>
      <w:bookmarkStart w:id="15" w:name="_Hlk54162385"/>
      <w:r w:rsidRPr="006519D0">
        <w:rPr>
          <w:rFonts w:cs="Arial"/>
        </w:rPr>
        <w:t>Při porušení povinností u označování výrobků nebo zařízení obsahujících regulované látky (a to konkrétně při neuvádění názvu a označení dovoz</w:t>
      </w:r>
      <w:r w:rsidRPr="006519D0">
        <w:rPr>
          <w:rFonts w:cs="Arial"/>
        </w:rPr>
        <w:t>cem či vývozcem, nepředložení dodací listiny a celních dokladů, nebo neoznačení výrobků a zařízení uvedených na trh v ČR českým nebo slovenským jazykem) není dle současné právní úpravy m</w:t>
      </w:r>
      <w:r w:rsidR="00267740" w:rsidRPr="006519D0">
        <w:rPr>
          <w:rFonts w:cs="Arial"/>
        </w:rPr>
        <w:t>ožné uložit opatření k</w:t>
      </w:r>
      <w:r w:rsidR="004E0898" w:rsidRPr="006519D0">
        <w:rPr>
          <w:rFonts w:cs="Arial"/>
        </w:rPr>
        <w:t> </w:t>
      </w:r>
      <w:r w:rsidR="00267740" w:rsidRPr="006519D0">
        <w:rPr>
          <w:rFonts w:cs="Arial"/>
        </w:rPr>
        <w:t>nápravě</w:t>
      </w:r>
      <w:bookmarkEnd w:id="15"/>
      <w:r w:rsidR="004E0898" w:rsidRPr="006519D0">
        <w:rPr>
          <w:rFonts w:cs="Arial"/>
        </w:rPr>
        <w:t xml:space="preserve"> (bod 1</w:t>
      </w:r>
      <w:r w:rsidR="00C22B6F" w:rsidRPr="006519D0">
        <w:rPr>
          <w:rFonts w:cs="Arial"/>
        </w:rPr>
        <w:t>0</w:t>
      </w:r>
      <w:r w:rsidR="004E0898" w:rsidRPr="006519D0">
        <w:rPr>
          <w:rFonts w:cs="Arial"/>
        </w:rPr>
        <w:t>)</w:t>
      </w:r>
      <w:r w:rsidR="00267740" w:rsidRPr="006519D0">
        <w:rPr>
          <w:rFonts w:cs="Arial"/>
        </w:rPr>
        <w:t>.</w:t>
      </w:r>
    </w:p>
    <w:p w14:paraId="1E2CF383" w14:textId="77777777" w:rsidR="00267740" w:rsidRPr="006519D0" w:rsidRDefault="00267740" w:rsidP="00095687">
      <w:pPr>
        <w:rPr>
          <w:rFonts w:cs="Arial"/>
        </w:rPr>
      </w:pPr>
    </w:p>
    <w:p w14:paraId="3D86A176" w14:textId="77777777" w:rsidR="00EB67F3" w:rsidRPr="006519D0" w:rsidRDefault="009731B0" w:rsidP="00EB67F3">
      <w:pPr>
        <w:pStyle w:val="Nadpis2"/>
        <w:rPr>
          <w:rFonts w:cs="Arial"/>
        </w:rPr>
      </w:pPr>
      <w:bookmarkStart w:id="16" w:name="_Toc518897819"/>
      <w:r w:rsidRPr="006519D0">
        <w:rPr>
          <w:rFonts w:cs="Arial"/>
        </w:rPr>
        <w:t xml:space="preserve">Popis existujícího právního </w:t>
      </w:r>
      <w:r w:rsidRPr="006519D0">
        <w:rPr>
          <w:rFonts w:cs="Arial"/>
        </w:rPr>
        <w:t>stavu v dané oblasti</w:t>
      </w:r>
      <w:bookmarkEnd w:id="16"/>
    </w:p>
    <w:p w14:paraId="70ED0089" w14:textId="77777777" w:rsidR="00F7496D" w:rsidRPr="006519D0" w:rsidRDefault="009731B0" w:rsidP="00EB67F3">
      <w:pPr>
        <w:rPr>
          <w:rFonts w:cs="Arial"/>
        </w:rPr>
      </w:pPr>
      <w:r w:rsidRPr="006519D0">
        <w:rPr>
          <w:rFonts w:cs="Arial"/>
        </w:rPr>
        <w:t>Současný právní stav nereflektuje získané poznatky z praxe a je příčinou neefektivní správy v oblasti nakládání s regulovanými látkami a F-plyny, zároveň je současný právní stav zatížen neúměrnou administrativní zátěží a vykazuje značn</w:t>
      </w:r>
      <w:r w:rsidRPr="006519D0">
        <w:rPr>
          <w:rFonts w:cs="Arial"/>
        </w:rPr>
        <w:t>ou míru neefektivity.</w:t>
      </w:r>
    </w:p>
    <w:p w14:paraId="4F3A6B59" w14:textId="77777777" w:rsidR="00EB67F3" w:rsidRPr="006519D0" w:rsidRDefault="00EB67F3" w:rsidP="00EB67F3">
      <w:pPr>
        <w:rPr>
          <w:rFonts w:cs="Arial"/>
        </w:rPr>
      </w:pPr>
    </w:p>
    <w:p w14:paraId="0F351E9C" w14:textId="77777777" w:rsidR="00EB67F3" w:rsidRPr="006519D0" w:rsidRDefault="009731B0" w:rsidP="00EB67F3">
      <w:pPr>
        <w:pStyle w:val="Nadpis2"/>
        <w:rPr>
          <w:rFonts w:cs="Arial"/>
        </w:rPr>
      </w:pPr>
      <w:bookmarkStart w:id="17" w:name="_Toc518897820"/>
      <w:r w:rsidRPr="006519D0">
        <w:rPr>
          <w:rFonts w:cs="Arial"/>
        </w:rPr>
        <w:t>Identifikace dotčených subjektů</w:t>
      </w:r>
      <w:bookmarkEnd w:id="17"/>
    </w:p>
    <w:p w14:paraId="03E40205" w14:textId="77777777" w:rsidR="00D44D4F" w:rsidRPr="006519D0" w:rsidRDefault="009731B0" w:rsidP="007B7BE3">
      <w:pPr>
        <w:spacing w:before="120"/>
        <w:rPr>
          <w:b/>
        </w:rPr>
      </w:pPr>
      <w:r w:rsidRPr="006519D0">
        <w:rPr>
          <w:b/>
        </w:rPr>
        <w:t>Dotčené subjekty státní a veřejné správy:</w:t>
      </w:r>
    </w:p>
    <w:p w14:paraId="5D2E27E5" w14:textId="77777777" w:rsidR="00074701" w:rsidRPr="006519D0" w:rsidRDefault="009731B0" w:rsidP="00074701">
      <w:pPr>
        <w:pStyle w:val="Odstavecseseznamem"/>
        <w:numPr>
          <w:ilvl w:val="0"/>
          <w:numId w:val="2"/>
        </w:numPr>
        <w:ind w:left="714" w:hanging="357"/>
      </w:pPr>
      <w:r w:rsidRPr="006519D0">
        <w:t>Ministerstvo životního prostředí,</w:t>
      </w:r>
    </w:p>
    <w:p w14:paraId="4EBD713B" w14:textId="77777777" w:rsidR="004F3DD0" w:rsidRPr="006519D0" w:rsidRDefault="009731B0" w:rsidP="00BD1744">
      <w:pPr>
        <w:pStyle w:val="Odstavecseseznamem"/>
        <w:numPr>
          <w:ilvl w:val="0"/>
          <w:numId w:val="20"/>
        </w:numPr>
      </w:pPr>
      <w:r w:rsidRPr="006519D0">
        <w:t>Státní fond životního prostředí</w:t>
      </w:r>
      <w:r w:rsidR="003F48AE" w:rsidRPr="006519D0">
        <w:t>,</w:t>
      </w:r>
    </w:p>
    <w:p w14:paraId="54ADB3A2" w14:textId="77777777" w:rsidR="004F3DD0" w:rsidRPr="006519D0" w:rsidRDefault="009731B0" w:rsidP="00BD1744">
      <w:pPr>
        <w:pStyle w:val="Odstavecseseznamem"/>
        <w:numPr>
          <w:ilvl w:val="0"/>
          <w:numId w:val="20"/>
        </w:numPr>
        <w:ind w:left="714" w:hanging="357"/>
      </w:pPr>
      <w:r w:rsidRPr="006519D0">
        <w:t>Česká inspekce životního prostředí</w:t>
      </w:r>
      <w:r w:rsidR="003F48AE" w:rsidRPr="006519D0">
        <w:t>,</w:t>
      </w:r>
    </w:p>
    <w:p w14:paraId="26D12778" w14:textId="77777777" w:rsidR="004F3DD0" w:rsidRPr="006519D0" w:rsidRDefault="009731B0" w:rsidP="00BD1744">
      <w:pPr>
        <w:pStyle w:val="Odstavecseseznamem"/>
        <w:numPr>
          <w:ilvl w:val="0"/>
          <w:numId w:val="20"/>
        </w:numPr>
        <w:ind w:left="714" w:hanging="357"/>
      </w:pPr>
      <w:r w:rsidRPr="006519D0">
        <w:t>Česká obchodní inspekce</w:t>
      </w:r>
      <w:r w:rsidR="003F48AE" w:rsidRPr="006519D0">
        <w:t>,</w:t>
      </w:r>
    </w:p>
    <w:p w14:paraId="40E3E35C" w14:textId="77777777" w:rsidR="004F3DD0" w:rsidRPr="006519D0" w:rsidRDefault="009731B0" w:rsidP="00BD1744">
      <w:pPr>
        <w:pStyle w:val="Odstavecseseznamem"/>
        <w:numPr>
          <w:ilvl w:val="0"/>
          <w:numId w:val="20"/>
        </w:numPr>
        <w:ind w:left="714" w:hanging="357"/>
      </w:pPr>
      <w:r w:rsidRPr="006519D0">
        <w:t>Celní úřad</w:t>
      </w:r>
      <w:r w:rsidR="003F48AE" w:rsidRPr="006519D0">
        <w:t>.</w:t>
      </w:r>
    </w:p>
    <w:p w14:paraId="0196262E" w14:textId="77777777" w:rsidR="007B7BE3" w:rsidRPr="006519D0" w:rsidRDefault="007B7BE3" w:rsidP="00D44D4F">
      <w:pPr>
        <w:rPr>
          <w:b/>
        </w:rPr>
      </w:pPr>
    </w:p>
    <w:p w14:paraId="78435972" w14:textId="77777777" w:rsidR="00D44D4F" w:rsidRPr="006519D0" w:rsidRDefault="009731B0" w:rsidP="00D44D4F">
      <w:pPr>
        <w:rPr>
          <w:b/>
        </w:rPr>
      </w:pPr>
      <w:r w:rsidRPr="006519D0">
        <w:rPr>
          <w:b/>
        </w:rPr>
        <w:t xml:space="preserve">Dotčené podnikatelské subjekty: </w:t>
      </w:r>
    </w:p>
    <w:p w14:paraId="4ACB6718" w14:textId="77777777" w:rsidR="00D44D4F" w:rsidRPr="006519D0" w:rsidRDefault="009731B0" w:rsidP="00D44D4F">
      <w:pPr>
        <w:rPr>
          <w:b/>
          <w:i/>
        </w:rPr>
      </w:pPr>
      <w:r w:rsidRPr="006519D0">
        <w:rPr>
          <w:b/>
          <w:i/>
        </w:rPr>
        <w:t>V oblasti regulovaných látek:</w:t>
      </w:r>
    </w:p>
    <w:p w14:paraId="783EF2AF" w14:textId="77777777" w:rsidR="00074701" w:rsidRPr="006519D0" w:rsidRDefault="009731B0" w:rsidP="00BD1744">
      <w:pPr>
        <w:pStyle w:val="Odstavecseseznamem"/>
        <w:numPr>
          <w:ilvl w:val="0"/>
          <w:numId w:val="20"/>
        </w:numPr>
      </w:pPr>
      <w:r w:rsidRPr="006519D0">
        <w:t>s</w:t>
      </w:r>
      <w:r w:rsidR="00330EB7" w:rsidRPr="006519D0">
        <w:t>ubjekty</w:t>
      </w:r>
      <w:r w:rsidRPr="006519D0">
        <w:t>, které předávají regulované látky ke zneškodnění;</w:t>
      </w:r>
    </w:p>
    <w:p w14:paraId="21F12427" w14:textId="77777777" w:rsidR="00074701" w:rsidRPr="006519D0" w:rsidRDefault="009731B0" w:rsidP="00BD1744">
      <w:pPr>
        <w:pStyle w:val="Odstavecseseznamem"/>
        <w:numPr>
          <w:ilvl w:val="0"/>
          <w:numId w:val="20"/>
        </w:numPr>
      </w:pPr>
      <w:r w:rsidRPr="006519D0">
        <w:t>s</w:t>
      </w:r>
      <w:r w:rsidR="00330EB7" w:rsidRPr="006519D0">
        <w:t xml:space="preserve">ubjekty </w:t>
      </w:r>
      <w:r w:rsidRPr="006519D0">
        <w:t>certifikované ke zneškodňování regulovaných látek;</w:t>
      </w:r>
    </w:p>
    <w:p w14:paraId="3B04BA52" w14:textId="77777777" w:rsidR="00330EB7" w:rsidRPr="006519D0" w:rsidRDefault="009731B0" w:rsidP="00BD1744">
      <w:pPr>
        <w:pStyle w:val="Odstavecseseznamem"/>
        <w:numPr>
          <w:ilvl w:val="0"/>
          <w:numId w:val="20"/>
        </w:numPr>
      </w:pPr>
      <w:r w:rsidRPr="006519D0">
        <w:t>subjekty vlastnící výrobky nebo zařízení, které obsahují regulované látky</w:t>
      </w:r>
      <w:r w:rsidR="003F48AE" w:rsidRPr="006519D0">
        <w:t>.</w:t>
      </w:r>
    </w:p>
    <w:p w14:paraId="3F6CA093" w14:textId="77777777" w:rsidR="00D44D4F" w:rsidRPr="006519D0" w:rsidRDefault="009731B0" w:rsidP="007B7BE3">
      <w:pPr>
        <w:spacing w:before="240"/>
        <w:rPr>
          <w:i/>
        </w:rPr>
      </w:pPr>
      <w:r w:rsidRPr="006519D0">
        <w:rPr>
          <w:b/>
          <w:i/>
        </w:rPr>
        <w:t>V oblasti fluorovaných skleníkových plynů (F-plynů):</w:t>
      </w:r>
    </w:p>
    <w:p w14:paraId="4558F780" w14:textId="77777777" w:rsidR="00074701" w:rsidRPr="006519D0" w:rsidRDefault="009731B0" w:rsidP="00BD1744">
      <w:pPr>
        <w:pStyle w:val="Odstavecseseznamem"/>
        <w:numPr>
          <w:ilvl w:val="0"/>
          <w:numId w:val="20"/>
        </w:numPr>
      </w:pPr>
      <w:r w:rsidRPr="006519D0">
        <w:t>s</w:t>
      </w:r>
      <w:r w:rsidR="00330EB7" w:rsidRPr="006519D0">
        <w:t xml:space="preserve">ubjekty </w:t>
      </w:r>
      <w:r w:rsidR="00FB3722" w:rsidRPr="006519D0">
        <w:t>podávající zprávu podle § 11 zákona č. 73/2012 Sb., (osoba</w:t>
      </w:r>
      <w:r w:rsidR="000954A4" w:rsidRPr="006519D0">
        <w:t>,</w:t>
      </w:r>
      <w:r w:rsidR="00FB3722" w:rsidRPr="006519D0">
        <w:t xml:space="preserve"> která získá, předá nebo zneškodní F- plyny)</w:t>
      </w:r>
      <w:r w:rsidRPr="006519D0">
        <w:t>;</w:t>
      </w:r>
    </w:p>
    <w:p w14:paraId="011BCA03" w14:textId="77777777" w:rsidR="00FB3722" w:rsidRPr="006519D0" w:rsidRDefault="009731B0" w:rsidP="00BD1744">
      <w:pPr>
        <w:pStyle w:val="Odstavecseseznamem"/>
        <w:numPr>
          <w:ilvl w:val="0"/>
          <w:numId w:val="20"/>
        </w:numPr>
      </w:pPr>
      <w:r w:rsidRPr="006519D0">
        <w:t>s</w:t>
      </w:r>
      <w:r w:rsidR="00330EB7" w:rsidRPr="006519D0">
        <w:t>ubjekty</w:t>
      </w:r>
      <w:r w:rsidRPr="006519D0">
        <w:t xml:space="preserve">, které </w:t>
      </w:r>
      <w:r w:rsidR="00330EB7" w:rsidRPr="006519D0">
        <w:t>nakládají s F-plyny</w:t>
      </w:r>
      <w:r w:rsidRPr="006519D0">
        <w:t>;</w:t>
      </w:r>
    </w:p>
    <w:p w14:paraId="222186C5" w14:textId="77777777" w:rsidR="004F3DD0" w:rsidRPr="006519D0" w:rsidRDefault="009731B0" w:rsidP="00BD1744">
      <w:pPr>
        <w:pStyle w:val="Odstavecseseznamem"/>
        <w:numPr>
          <w:ilvl w:val="0"/>
          <w:numId w:val="20"/>
        </w:numPr>
      </w:pPr>
      <w:r w:rsidRPr="006519D0">
        <w:lastRenderedPageBreak/>
        <w:t>s</w:t>
      </w:r>
      <w:r w:rsidR="00D44D4F" w:rsidRPr="006519D0">
        <w:t xml:space="preserve">ubjekty </w:t>
      </w:r>
      <w:r w:rsidRPr="006519D0">
        <w:t>uvádějící nádoby na jednorázové použití pr</w:t>
      </w:r>
      <w:r w:rsidRPr="006519D0">
        <w:t>o F-plyny na jednotný trh EU;</w:t>
      </w:r>
    </w:p>
    <w:p w14:paraId="7B3BF773" w14:textId="77777777" w:rsidR="004F3DD0" w:rsidRPr="006519D0" w:rsidRDefault="009731B0" w:rsidP="00BD1744">
      <w:pPr>
        <w:pStyle w:val="Odstavecseseznamem"/>
        <w:numPr>
          <w:ilvl w:val="0"/>
          <w:numId w:val="20"/>
        </w:numPr>
      </w:pPr>
      <w:r w:rsidRPr="006519D0">
        <w:t>subjekty využívající nádoby na jednorázové použití obsahující F-plyny;</w:t>
      </w:r>
    </w:p>
    <w:p w14:paraId="4690F1D9" w14:textId="77777777" w:rsidR="00984E0D" w:rsidRPr="006519D0" w:rsidRDefault="009731B0" w:rsidP="00BD1744">
      <w:pPr>
        <w:pStyle w:val="Odstavecseseznamem"/>
        <w:numPr>
          <w:ilvl w:val="0"/>
          <w:numId w:val="20"/>
        </w:numPr>
      </w:pPr>
      <w:r w:rsidRPr="006519D0">
        <w:t>d</w:t>
      </w:r>
      <w:r w:rsidR="004F3DD0" w:rsidRPr="006519D0">
        <w:t>ovozci F-plynů a zařízení s obsahem těchto plynů</w:t>
      </w:r>
      <w:r w:rsidR="000269CD" w:rsidRPr="006519D0">
        <w:t>,</w:t>
      </w:r>
    </w:p>
    <w:p w14:paraId="419AE5D4" w14:textId="77777777" w:rsidR="00984E0D" w:rsidRPr="006519D0" w:rsidRDefault="009731B0" w:rsidP="007B7BE3">
      <w:pPr>
        <w:spacing w:before="240"/>
        <w:rPr>
          <w:b/>
          <w:i/>
        </w:rPr>
      </w:pPr>
      <w:r w:rsidRPr="006519D0">
        <w:rPr>
          <w:b/>
          <w:i/>
        </w:rPr>
        <w:t>Certifikace a atestace v oblasti regulovaných látek a F-plynů:</w:t>
      </w:r>
    </w:p>
    <w:p w14:paraId="6E6FC13E" w14:textId="77777777" w:rsidR="00984E0D" w:rsidRPr="006519D0" w:rsidRDefault="009731B0" w:rsidP="00BD1744">
      <w:pPr>
        <w:pStyle w:val="Odstavecseseznamem"/>
        <w:numPr>
          <w:ilvl w:val="0"/>
          <w:numId w:val="20"/>
        </w:numPr>
      </w:pPr>
      <w:r w:rsidRPr="006519D0">
        <w:t>hodnotící subjekty pro</w:t>
      </w:r>
      <w:r w:rsidRPr="006519D0">
        <w:rPr>
          <w:rFonts w:eastAsiaTheme="minorEastAsia"/>
          <w:szCs w:val="22"/>
          <w:lang w:eastAsia="cs-CZ"/>
        </w:rPr>
        <w:t xml:space="preserve"> oblast nakládání </w:t>
      </w:r>
      <w:r w:rsidRPr="006519D0">
        <w:rPr>
          <w:rFonts w:eastAsiaTheme="minorEastAsia"/>
          <w:szCs w:val="22"/>
          <w:lang w:eastAsia="cs-CZ"/>
        </w:rPr>
        <w:t>s regulovanými látkami a F-plyny</w:t>
      </w:r>
      <w:r w:rsidR="00082DC7" w:rsidRPr="006519D0">
        <w:rPr>
          <w:rFonts w:eastAsiaTheme="minorEastAsia"/>
          <w:szCs w:val="22"/>
          <w:lang w:eastAsia="cs-CZ"/>
        </w:rPr>
        <w:t xml:space="preserve"> provádějící teoretickou a praktickou zkoušku k vydání certifikátu</w:t>
      </w:r>
      <w:r w:rsidR="00CA3692" w:rsidRPr="006519D0">
        <w:rPr>
          <w:rFonts w:eastAsiaTheme="minorEastAsia"/>
          <w:szCs w:val="22"/>
          <w:lang w:eastAsia="cs-CZ"/>
        </w:rPr>
        <w:t>;</w:t>
      </w:r>
    </w:p>
    <w:p w14:paraId="50554F73" w14:textId="77777777" w:rsidR="00082DC7" w:rsidRPr="006519D0" w:rsidRDefault="009731B0" w:rsidP="00BD1744">
      <w:pPr>
        <w:pStyle w:val="Odstavecseseznamem"/>
        <w:numPr>
          <w:ilvl w:val="0"/>
          <w:numId w:val="20"/>
        </w:numPr>
      </w:pPr>
      <w:r w:rsidRPr="006519D0">
        <w:t>atestační subjekty pořádající školení a vydávající osvědčení k znovuzískání F-plynů;</w:t>
      </w:r>
    </w:p>
    <w:p w14:paraId="73D5C637" w14:textId="77777777" w:rsidR="00984E0D" w:rsidRPr="006519D0" w:rsidRDefault="009731B0" w:rsidP="00BD1744">
      <w:pPr>
        <w:pStyle w:val="Odstavecseseznamem"/>
        <w:numPr>
          <w:ilvl w:val="0"/>
          <w:numId w:val="20"/>
        </w:numPr>
      </w:pPr>
      <w:r w:rsidRPr="006519D0">
        <w:t xml:space="preserve">žadatelé o vydání certifikátu </w:t>
      </w:r>
      <w:r w:rsidRPr="006519D0">
        <w:rPr>
          <w:rFonts w:eastAsiaTheme="minorEastAsia"/>
          <w:szCs w:val="22"/>
          <w:lang w:eastAsia="cs-CZ"/>
        </w:rPr>
        <w:t>v oblasti nakládání s regulovanými látkam</w:t>
      </w:r>
      <w:r w:rsidRPr="006519D0">
        <w:rPr>
          <w:rFonts w:eastAsiaTheme="minorEastAsia"/>
          <w:szCs w:val="22"/>
          <w:lang w:eastAsia="cs-CZ"/>
        </w:rPr>
        <w:t>i a F-plyny</w:t>
      </w:r>
      <w:r w:rsidR="00CA3692" w:rsidRPr="006519D0">
        <w:t>;</w:t>
      </w:r>
    </w:p>
    <w:p w14:paraId="6B222B35" w14:textId="77777777" w:rsidR="00984E0D" w:rsidRPr="006519D0" w:rsidRDefault="009731B0" w:rsidP="00BD1744">
      <w:pPr>
        <w:pStyle w:val="Odstavecseseznamem"/>
        <w:numPr>
          <w:ilvl w:val="0"/>
          <w:numId w:val="20"/>
        </w:numPr>
      </w:pPr>
      <w:r w:rsidRPr="006519D0">
        <w:t>c</w:t>
      </w:r>
      <w:r w:rsidR="003F48AE" w:rsidRPr="006519D0">
        <w:t>ertifikované osoby způsobilé nakládat s regulovanými látkami a F-plyny</w:t>
      </w:r>
      <w:r w:rsidR="00CA3692" w:rsidRPr="006519D0">
        <w:t>;</w:t>
      </w:r>
    </w:p>
    <w:p w14:paraId="18E07A94" w14:textId="77777777" w:rsidR="004F3DD0" w:rsidRPr="006519D0" w:rsidRDefault="009731B0" w:rsidP="00BD1744">
      <w:pPr>
        <w:pStyle w:val="Odstavecseseznamem"/>
        <w:numPr>
          <w:ilvl w:val="0"/>
          <w:numId w:val="20"/>
        </w:numPr>
      </w:pPr>
      <w:r w:rsidRPr="006519D0">
        <w:t>osoby, kterým</w:t>
      </w:r>
      <w:r w:rsidR="009C346D" w:rsidRPr="006519D0">
        <w:t xml:space="preserve"> bylo vydáno osvědčení o školení</w:t>
      </w:r>
      <w:r w:rsidR="00AC5238" w:rsidRPr="006519D0">
        <w:t xml:space="preserve"> k znovuzískání F-plynů z</w:t>
      </w:r>
      <w:r w:rsidR="00F7496D" w:rsidRPr="006519D0">
        <w:t> </w:t>
      </w:r>
      <w:r w:rsidR="009C346D" w:rsidRPr="006519D0">
        <w:t>klimatizačních systémů.</w:t>
      </w:r>
    </w:p>
    <w:p w14:paraId="76CB5003" w14:textId="77777777" w:rsidR="00FE009C" w:rsidRPr="006519D0" w:rsidRDefault="00FE009C" w:rsidP="000F3220"/>
    <w:p w14:paraId="70C97188" w14:textId="77777777" w:rsidR="00EB67F3" w:rsidRPr="006519D0" w:rsidRDefault="009731B0" w:rsidP="00EB67F3">
      <w:pPr>
        <w:pStyle w:val="Nadpis2"/>
        <w:rPr>
          <w:rFonts w:cs="Arial"/>
        </w:rPr>
      </w:pPr>
      <w:bookmarkStart w:id="18" w:name="_Toc518897821"/>
      <w:r w:rsidRPr="006519D0">
        <w:rPr>
          <w:rFonts w:cs="Arial"/>
        </w:rPr>
        <w:t>Popis cílového stavu</w:t>
      </w:r>
      <w:bookmarkEnd w:id="18"/>
    </w:p>
    <w:p w14:paraId="7B1564B7" w14:textId="77777777" w:rsidR="00B44D0F" w:rsidRPr="006519D0" w:rsidRDefault="009731B0" w:rsidP="00B44D0F">
      <w:pPr>
        <w:rPr>
          <w:rFonts w:cs="Arial"/>
        </w:rPr>
      </w:pPr>
      <w:r w:rsidRPr="006519D0">
        <w:rPr>
          <w:rFonts w:cs="Arial"/>
        </w:rPr>
        <w:t>Cílem je zajistit funkční a efektivní správu v oblast</w:t>
      </w:r>
      <w:r w:rsidRPr="006519D0">
        <w:rPr>
          <w:rFonts w:cs="Arial"/>
        </w:rPr>
        <w:t>i nakládání s regulovanými látkami a F-plyny.</w:t>
      </w:r>
    </w:p>
    <w:p w14:paraId="7EC5B97C" w14:textId="77777777" w:rsidR="00267740" w:rsidRPr="006519D0" w:rsidRDefault="009731B0" w:rsidP="00B44D0F">
      <w:pPr>
        <w:rPr>
          <w:rFonts w:cs="Arial"/>
        </w:rPr>
      </w:pPr>
      <w:r w:rsidRPr="006519D0">
        <w:rPr>
          <w:rFonts w:cs="Arial"/>
        </w:rPr>
        <w:t>Dalším cílem je zajištění přiměřeně dlouhé lhůty pro předání regulovaných látek ke zneškodnění tak, aby bylo možné nashromáždit adekvátní množství těchto látek zajišťující ekonomickou výhodnost zneškodnění vzhl</w:t>
      </w:r>
      <w:r w:rsidRPr="006519D0">
        <w:rPr>
          <w:rFonts w:cs="Arial"/>
        </w:rPr>
        <w:t>edem k jejich omezenému množství (v oběhu)</w:t>
      </w:r>
      <w:r w:rsidR="004E0898" w:rsidRPr="006519D0">
        <w:rPr>
          <w:rFonts w:cs="Arial"/>
        </w:rPr>
        <w:t xml:space="preserve"> </w:t>
      </w:r>
      <w:r w:rsidR="001D43BB" w:rsidRPr="006519D0">
        <w:rPr>
          <w:rFonts w:cs="Arial"/>
        </w:rPr>
        <w:br/>
      </w:r>
      <w:r w:rsidR="004E0898" w:rsidRPr="006519D0">
        <w:rPr>
          <w:rFonts w:cs="Arial"/>
        </w:rPr>
        <w:t>(bod 2)</w:t>
      </w:r>
      <w:r w:rsidRPr="006519D0">
        <w:rPr>
          <w:rFonts w:cs="Arial"/>
        </w:rPr>
        <w:t>.</w:t>
      </w:r>
    </w:p>
    <w:p w14:paraId="0269D7BE" w14:textId="77777777" w:rsidR="00267740" w:rsidRPr="006519D0" w:rsidRDefault="009731B0" w:rsidP="00B44D0F">
      <w:pPr>
        <w:rPr>
          <w:rFonts w:cs="Arial"/>
        </w:rPr>
      </w:pPr>
      <w:r w:rsidRPr="006519D0">
        <w:rPr>
          <w:rFonts w:cs="Arial"/>
        </w:rPr>
        <w:t>Dalším cílem je regulovat možnost samotného zneškodňování F-plynů, nikoliv povinnost předání ke zneškodnění ve lhůtě, kterou není důvod v současné době stanovovat, neboť obecně je užívání F-plynů povolen</w:t>
      </w:r>
      <w:r w:rsidRPr="006519D0">
        <w:rPr>
          <w:rFonts w:cs="Arial"/>
        </w:rPr>
        <w:t>o</w:t>
      </w:r>
      <w:r w:rsidR="00A125EF" w:rsidRPr="006519D0">
        <w:rPr>
          <w:rFonts w:cs="Arial"/>
        </w:rPr>
        <w:t>. Současně je cílem regulovat</w:t>
      </w:r>
      <w:r w:rsidR="006D37F6" w:rsidRPr="006519D0">
        <w:rPr>
          <w:rFonts w:cs="Arial"/>
        </w:rPr>
        <w:t xml:space="preserve"> i</w:t>
      </w:r>
      <w:r w:rsidR="00A125EF" w:rsidRPr="006519D0">
        <w:rPr>
          <w:rFonts w:cs="Arial"/>
        </w:rPr>
        <w:t xml:space="preserve"> regeneraci F-plynů, protože v současné době neexistuje žádná možnost kontroly nakládání s regenerovanými F-plyny.</w:t>
      </w:r>
      <w:r w:rsidR="004E0898" w:rsidRPr="006519D0">
        <w:rPr>
          <w:rFonts w:cs="Arial"/>
        </w:rPr>
        <w:t xml:space="preserve"> (bod 3)</w:t>
      </w:r>
      <w:r w:rsidRPr="006519D0">
        <w:rPr>
          <w:rFonts w:cs="Arial"/>
        </w:rPr>
        <w:t>.</w:t>
      </w:r>
    </w:p>
    <w:p w14:paraId="318633B8" w14:textId="77777777" w:rsidR="00267740" w:rsidRPr="006519D0" w:rsidRDefault="009731B0" w:rsidP="00B44D0F">
      <w:pPr>
        <w:rPr>
          <w:rFonts w:cs="Arial"/>
        </w:rPr>
      </w:pPr>
      <w:r w:rsidRPr="006519D0">
        <w:rPr>
          <w:rFonts w:cs="Arial"/>
        </w:rPr>
        <w:t xml:space="preserve">Navrhovaná úprava má za cíl </w:t>
      </w:r>
      <w:r w:rsidR="0056369A" w:rsidRPr="006519D0">
        <w:rPr>
          <w:rFonts w:cs="Arial"/>
        </w:rPr>
        <w:t xml:space="preserve">také </w:t>
      </w:r>
      <w:r w:rsidRPr="006519D0">
        <w:rPr>
          <w:rFonts w:cs="Arial"/>
        </w:rPr>
        <w:t>minimalizaci černého trhu s jednorázovými láhvemi na</w:t>
      </w:r>
      <w:r w:rsidR="0056369A" w:rsidRPr="006519D0">
        <w:rPr>
          <w:rFonts w:cs="Arial"/>
        </w:rPr>
        <w:t> </w:t>
      </w:r>
      <w:r w:rsidR="00FF4D16" w:rsidRPr="006519D0">
        <w:rPr>
          <w:rFonts w:cs="Arial"/>
        </w:rPr>
        <w:t>ú</w:t>
      </w:r>
      <w:r w:rsidRPr="006519D0">
        <w:rPr>
          <w:rFonts w:cs="Arial"/>
        </w:rPr>
        <w:t xml:space="preserve">zemí ČR. </w:t>
      </w:r>
      <w:r w:rsidRPr="006519D0">
        <w:rPr>
          <w:rFonts w:cs="Arial"/>
        </w:rPr>
        <w:t>Cílem je efektivní aplikace zákazu platného od roku 2007, který se na základě zkušeností z praxe jeví v současné době jako nefunkční.</w:t>
      </w:r>
      <w:r w:rsidR="0098123B" w:rsidRPr="006519D0">
        <w:rPr>
          <w:rFonts w:cs="Arial"/>
        </w:rPr>
        <w:t xml:space="preserve"> K tomuto jevu došlo v důsledku prudkého nárůstu cen chladiv, které jsou uváděny na trh v režimu harmonogramu snižování výroby a spotřeby, resp. v režimu kvót. Zákaz uvedení jednorázových lahví</w:t>
      </w:r>
      <w:r w:rsidR="00DF7F64" w:rsidRPr="006519D0">
        <w:rPr>
          <w:rFonts w:cs="Arial"/>
        </w:rPr>
        <w:t xml:space="preserve"> na trh</w:t>
      </w:r>
      <w:r w:rsidR="0098123B" w:rsidRPr="006519D0">
        <w:rPr>
          <w:rFonts w:cs="Arial"/>
        </w:rPr>
        <w:t>, který platí od roku 2007, a který byl po mnoho roků bez problémů plněn, platí pouze pro první dovoz do</w:t>
      </w:r>
      <w:r w:rsidR="00DF7F64" w:rsidRPr="006519D0">
        <w:rPr>
          <w:rFonts w:cs="Arial"/>
        </w:rPr>
        <w:t> </w:t>
      </w:r>
      <w:r w:rsidR="0098123B" w:rsidRPr="006519D0">
        <w:rPr>
          <w:rFonts w:cs="Arial"/>
        </w:rPr>
        <w:t>EU. Jelikož ČR nemá vnější hranici, začaly se na její území dostávat tyto jednorázové lahve z jiných členských států, v nichž selhává prevence ilegálních dovozů (zejména Polsko). Cílem je tedy vynutit výše uvedený zákaz a zcela eliminovat černý trh s jednorázovými lahvemi</w:t>
      </w:r>
      <w:r w:rsidR="004E0898" w:rsidRPr="006519D0">
        <w:rPr>
          <w:rFonts w:cs="Arial"/>
        </w:rPr>
        <w:t xml:space="preserve"> (bod 4)</w:t>
      </w:r>
      <w:r w:rsidR="0098123B" w:rsidRPr="006519D0">
        <w:rPr>
          <w:rFonts w:cs="Arial"/>
        </w:rPr>
        <w:t>.</w:t>
      </w:r>
    </w:p>
    <w:p w14:paraId="047AED52" w14:textId="77777777" w:rsidR="00267740" w:rsidRPr="006519D0" w:rsidRDefault="009731B0" w:rsidP="00B44D0F">
      <w:pPr>
        <w:rPr>
          <w:rFonts w:cs="Arial"/>
        </w:rPr>
      </w:pPr>
      <w:r w:rsidRPr="006519D0">
        <w:rPr>
          <w:rFonts w:cs="Arial"/>
        </w:rPr>
        <w:t>Dále je také potřeba stanovit výpočet množství d</w:t>
      </w:r>
      <w:r w:rsidRPr="006519D0">
        <w:rPr>
          <w:rFonts w:cs="Arial"/>
        </w:rPr>
        <w:t>ovážených F-plynů, na základě kterého by bylo možné snadno zjistit dodržování přidělených kvót nebo dovozem způsobené překročení hranice pro vznik povinnosti požádat o přidělení kvóty. Ke kontrole by se sbírala data o předchozích dovozech konkrétního dovoz</w:t>
      </w:r>
      <w:r w:rsidRPr="006519D0">
        <w:rPr>
          <w:rFonts w:cs="Arial"/>
        </w:rPr>
        <w:t>ce a postupně by docházelo ke sčítání množství dovezených F-plynů. Celý proces by tak měl přispět k odhalení překročení kvót v reálném čase</w:t>
      </w:r>
      <w:r w:rsidR="004E0898" w:rsidRPr="006519D0">
        <w:rPr>
          <w:rFonts w:cs="Arial"/>
        </w:rPr>
        <w:t xml:space="preserve"> (bod 5)</w:t>
      </w:r>
      <w:r w:rsidRPr="006519D0">
        <w:rPr>
          <w:rFonts w:cs="Arial"/>
        </w:rPr>
        <w:t>.</w:t>
      </w:r>
    </w:p>
    <w:p w14:paraId="7AEF143D" w14:textId="77777777" w:rsidR="00B44D0F" w:rsidRPr="006519D0" w:rsidRDefault="009731B0" w:rsidP="00B44D0F">
      <w:pPr>
        <w:rPr>
          <w:rFonts w:cs="Arial"/>
        </w:rPr>
      </w:pPr>
      <w:r w:rsidRPr="006519D0">
        <w:rPr>
          <w:rFonts w:cs="Arial"/>
        </w:rPr>
        <w:lastRenderedPageBreak/>
        <w:t>Dále zjednodušit, zrychlit a celkově zefektivnit celý systém vydávání certifikátů pro nakládání s regulovan</w:t>
      </w:r>
      <w:r w:rsidRPr="006519D0">
        <w:rPr>
          <w:rFonts w:cs="Arial"/>
        </w:rPr>
        <w:t xml:space="preserve">ými látkami a </w:t>
      </w:r>
      <w:r w:rsidR="003670B4" w:rsidRPr="006519D0">
        <w:rPr>
          <w:rFonts w:cs="Arial"/>
        </w:rPr>
        <w:t>F-</w:t>
      </w:r>
      <w:r w:rsidRPr="006519D0">
        <w:rPr>
          <w:rFonts w:cs="Arial"/>
        </w:rPr>
        <w:t>plyny</w:t>
      </w:r>
      <w:r w:rsidR="004E0898" w:rsidRPr="006519D0">
        <w:rPr>
          <w:rFonts w:cs="Arial"/>
        </w:rPr>
        <w:t xml:space="preserve"> (bod 6)</w:t>
      </w:r>
      <w:r w:rsidRPr="006519D0">
        <w:rPr>
          <w:rFonts w:cs="Arial"/>
        </w:rPr>
        <w:t>.</w:t>
      </w:r>
    </w:p>
    <w:p w14:paraId="40E863DE" w14:textId="77777777" w:rsidR="00B44D0F" w:rsidRPr="006519D0" w:rsidRDefault="009731B0" w:rsidP="00B44D0F">
      <w:pPr>
        <w:rPr>
          <w:rFonts w:cs="Arial"/>
        </w:rPr>
      </w:pPr>
      <w:r w:rsidRPr="006519D0">
        <w:rPr>
          <w:rFonts w:cs="Arial"/>
        </w:rPr>
        <w:t xml:space="preserve">Navrhovaný stav by měl </w:t>
      </w:r>
      <w:r w:rsidR="00A267A3" w:rsidRPr="006519D0">
        <w:rPr>
          <w:rFonts w:cs="Arial"/>
        </w:rPr>
        <w:t xml:space="preserve">také </w:t>
      </w:r>
      <w:r w:rsidRPr="006519D0">
        <w:rPr>
          <w:rFonts w:cs="Arial"/>
        </w:rPr>
        <w:t>zajistit lepší přehled o skutečném množství F-plynů</w:t>
      </w:r>
      <w:r w:rsidR="006D1A32" w:rsidRPr="006519D0">
        <w:rPr>
          <w:rFonts w:cs="Arial"/>
        </w:rPr>
        <w:t>, a to i těch regenerovaných,</w:t>
      </w:r>
      <w:r w:rsidRPr="006519D0">
        <w:rPr>
          <w:rFonts w:cs="Arial"/>
        </w:rPr>
        <w:t xml:space="preserve"> na území ČR, jak už dovezeného, tak vyvezeného, a to jak samostatně, tak jako součást zařízení</w:t>
      </w:r>
      <w:r w:rsidR="004E0898" w:rsidRPr="006519D0">
        <w:rPr>
          <w:rFonts w:cs="Arial"/>
        </w:rPr>
        <w:t xml:space="preserve"> (bod </w:t>
      </w:r>
      <w:r w:rsidR="00C22B6F" w:rsidRPr="006519D0">
        <w:rPr>
          <w:rFonts w:cs="Arial"/>
        </w:rPr>
        <w:t>7</w:t>
      </w:r>
      <w:r w:rsidR="004E0898" w:rsidRPr="006519D0">
        <w:rPr>
          <w:rFonts w:cs="Arial"/>
        </w:rPr>
        <w:t>)</w:t>
      </w:r>
      <w:r w:rsidRPr="006519D0">
        <w:rPr>
          <w:rFonts w:cs="Arial"/>
        </w:rPr>
        <w:t>.</w:t>
      </w:r>
    </w:p>
    <w:p w14:paraId="2E4C114B" w14:textId="77777777" w:rsidR="00267740" w:rsidRPr="006519D0" w:rsidRDefault="009731B0" w:rsidP="00B44D0F">
      <w:pPr>
        <w:rPr>
          <w:rFonts w:cs="Arial"/>
        </w:rPr>
      </w:pPr>
      <w:r w:rsidRPr="006519D0">
        <w:rPr>
          <w:rFonts w:cs="Arial"/>
        </w:rPr>
        <w:t>Kromě toho j</w:t>
      </w:r>
      <w:r w:rsidRPr="006519D0">
        <w:rPr>
          <w:rFonts w:cs="Arial"/>
        </w:rPr>
        <w:t>e cílem z</w:t>
      </w:r>
      <w:r w:rsidR="00417607" w:rsidRPr="006519D0">
        <w:rPr>
          <w:rFonts w:cs="Arial"/>
        </w:rPr>
        <w:t xml:space="preserve">úžení IS tak, aby obsahoval jen nezbytně nutná data s cílem snížit administrativní zátěž certifikovaných osob a osob, kterým bylo vydáno osvědčení o školení. </w:t>
      </w:r>
      <w:r w:rsidR="009A17B1" w:rsidRPr="006519D0">
        <w:rPr>
          <w:rFonts w:cs="Arial"/>
        </w:rPr>
        <w:t>Z</w:t>
      </w:r>
      <w:r w:rsidR="00417607" w:rsidRPr="006519D0">
        <w:rPr>
          <w:rFonts w:cs="Arial"/>
        </w:rPr>
        <w:t xml:space="preserve">ároveň </w:t>
      </w:r>
      <w:r w:rsidR="009A17B1" w:rsidRPr="006519D0">
        <w:rPr>
          <w:rFonts w:cs="Arial"/>
        </w:rPr>
        <w:t xml:space="preserve">je třeba </w:t>
      </w:r>
      <w:r w:rsidR="00417607" w:rsidRPr="006519D0">
        <w:rPr>
          <w:rFonts w:cs="Arial"/>
        </w:rPr>
        <w:t>upravit systém a jeho fungování tak, aby odpovídal a byl kompatibilní s</w:t>
      </w:r>
      <w:r w:rsidR="001C5ADE" w:rsidRPr="006519D0">
        <w:rPr>
          <w:rFonts w:cs="Arial"/>
        </w:rPr>
        <w:t> </w:t>
      </w:r>
      <w:r w:rsidR="00417607" w:rsidRPr="006519D0">
        <w:rPr>
          <w:rFonts w:cs="Arial"/>
        </w:rPr>
        <w:t>dalšími navrhovanými změnami – změna systému certifikace</w:t>
      </w:r>
      <w:r w:rsidR="004E0898" w:rsidRPr="006519D0">
        <w:rPr>
          <w:rFonts w:cs="Arial"/>
        </w:rPr>
        <w:t xml:space="preserve"> (bod </w:t>
      </w:r>
      <w:r w:rsidR="00C22B6F" w:rsidRPr="006519D0">
        <w:rPr>
          <w:rFonts w:cs="Arial"/>
        </w:rPr>
        <w:t>9</w:t>
      </w:r>
      <w:r w:rsidR="004E0898" w:rsidRPr="006519D0">
        <w:rPr>
          <w:rFonts w:cs="Arial"/>
        </w:rPr>
        <w:t>)</w:t>
      </w:r>
      <w:r w:rsidR="00417607" w:rsidRPr="006519D0">
        <w:rPr>
          <w:rFonts w:cs="Arial"/>
        </w:rPr>
        <w:t>.</w:t>
      </w:r>
    </w:p>
    <w:p w14:paraId="37403553" w14:textId="77777777" w:rsidR="00267740" w:rsidRPr="006519D0" w:rsidRDefault="009731B0" w:rsidP="00B44D0F">
      <w:pPr>
        <w:rPr>
          <w:rFonts w:cs="Arial"/>
        </w:rPr>
      </w:pPr>
      <w:r w:rsidRPr="006519D0">
        <w:rPr>
          <w:rFonts w:cs="Arial"/>
        </w:rPr>
        <w:t xml:space="preserve">Cílem je </w:t>
      </w:r>
      <w:r w:rsidR="00F7496D" w:rsidRPr="006519D0">
        <w:rPr>
          <w:rFonts w:cs="Arial"/>
        </w:rPr>
        <w:t xml:space="preserve">také </w:t>
      </w:r>
      <w:r w:rsidR="001C5ADE" w:rsidRPr="006519D0">
        <w:rPr>
          <w:rFonts w:cs="Arial"/>
        </w:rPr>
        <w:t>umožnit</w:t>
      </w:r>
      <w:r w:rsidRPr="006519D0">
        <w:rPr>
          <w:rFonts w:cs="Arial"/>
        </w:rPr>
        <w:t xml:space="preserve"> reagovat na zjištění nesprávného označení výrobků nebo zařízení, které obsahují regulované látky a možnost uložit v takovém případě nápravné opatření, a tím předejít sp</w:t>
      </w:r>
      <w:r w:rsidRPr="006519D0">
        <w:rPr>
          <w:rFonts w:cs="Arial"/>
        </w:rPr>
        <w:t>rávnímu trestání (tj. přestupkovému řízení), jež by mělo být uplatňováno s ohledem na</w:t>
      </w:r>
      <w:r w:rsidR="001C5ADE" w:rsidRPr="006519D0">
        <w:rPr>
          <w:rFonts w:cs="Arial"/>
        </w:rPr>
        <w:t> </w:t>
      </w:r>
      <w:r w:rsidRPr="006519D0">
        <w:rPr>
          <w:rFonts w:cs="Arial"/>
        </w:rPr>
        <w:t>princip ultima ratio</w:t>
      </w:r>
      <w:r w:rsidR="004E0898" w:rsidRPr="006519D0">
        <w:rPr>
          <w:rFonts w:cs="Arial"/>
        </w:rPr>
        <w:t xml:space="preserve"> (bod 1</w:t>
      </w:r>
      <w:r w:rsidR="00C22B6F" w:rsidRPr="006519D0">
        <w:rPr>
          <w:rFonts w:cs="Arial"/>
        </w:rPr>
        <w:t>0</w:t>
      </w:r>
      <w:r w:rsidR="004E0898" w:rsidRPr="006519D0">
        <w:rPr>
          <w:rFonts w:cs="Arial"/>
        </w:rPr>
        <w:t>)</w:t>
      </w:r>
      <w:r w:rsidRPr="006519D0">
        <w:rPr>
          <w:rFonts w:cs="Arial"/>
        </w:rPr>
        <w:t xml:space="preserve">. </w:t>
      </w:r>
    </w:p>
    <w:p w14:paraId="354A8B24" w14:textId="77777777" w:rsidR="00F7496D" w:rsidRPr="006519D0" w:rsidRDefault="009731B0" w:rsidP="00B44D0F">
      <w:pPr>
        <w:rPr>
          <w:rFonts w:cs="Arial"/>
        </w:rPr>
      </w:pPr>
      <w:r w:rsidRPr="006519D0">
        <w:rPr>
          <w:rFonts w:cs="Arial"/>
        </w:rPr>
        <w:t>Mimo to je i cílem sjednotit evropskou legislativu s právní úpravou v ČR z důvodu jednotných informací při přeshraniční přepravě F-plynů.</w:t>
      </w:r>
    </w:p>
    <w:p w14:paraId="07C8C3B1" w14:textId="77777777" w:rsidR="00BF2327" w:rsidRPr="006519D0" w:rsidRDefault="00BF2327" w:rsidP="00B44D0F">
      <w:pPr>
        <w:rPr>
          <w:rFonts w:cs="Arial"/>
        </w:rPr>
      </w:pPr>
    </w:p>
    <w:p w14:paraId="3C080816" w14:textId="77777777" w:rsidR="00EB67F3" w:rsidRPr="006519D0" w:rsidRDefault="009731B0" w:rsidP="00EB67F3">
      <w:pPr>
        <w:pStyle w:val="Nadpis2"/>
        <w:rPr>
          <w:rFonts w:cs="Arial"/>
        </w:rPr>
      </w:pPr>
      <w:bookmarkStart w:id="19" w:name="_Toc518897822"/>
      <w:r w:rsidRPr="006519D0">
        <w:rPr>
          <w:rFonts w:cs="Arial"/>
        </w:rPr>
        <w:t>Zhodnocení rizika</w:t>
      </w:r>
      <w:bookmarkEnd w:id="19"/>
    </w:p>
    <w:p w14:paraId="1B2B02F8" w14:textId="77777777" w:rsidR="00A97D0F" w:rsidRPr="006519D0" w:rsidRDefault="009731B0" w:rsidP="008539D8">
      <w:r w:rsidRPr="006519D0">
        <w:t>Při zachování současného stavu hrozí riziko neregulovaného a nekontrolovatelného zneškodňování (odstraňování) F-plynů</w:t>
      </w:r>
      <w:r w:rsidR="00A125EF" w:rsidRPr="006519D0">
        <w:t xml:space="preserve"> a nakládání s regulovanými F-plyny bez možnosti kontroly</w:t>
      </w:r>
      <w:r w:rsidRPr="006519D0">
        <w:t>. Při nekvalifikovaném zneškodňování F-plynů může dojít k úniku</w:t>
      </w:r>
      <w:r w:rsidRPr="006519D0">
        <w:t xml:space="preserve"> těchto plynů </w:t>
      </w:r>
      <w:r w:rsidR="00FE009C" w:rsidRPr="006519D0">
        <w:br/>
      </w:r>
      <w:r w:rsidRPr="006519D0">
        <w:t>do ovzduší a posílení skleníkového efektu, který urychluje globální změnu klimatu (globální oteplování)</w:t>
      </w:r>
      <w:r w:rsidR="004E0898" w:rsidRPr="006519D0">
        <w:t xml:space="preserve"> (bod 3)</w:t>
      </w:r>
      <w:r w:rsidRPr="006519D0">
        <w:t>.</w:t>
      </w:r>
    </w:p>
    <w:p w14:paraId="5C1DA8CD" w14:textId="77777777" w:rsidR="00506223" w:rsidRPr="006519D0" w:rsidRDefault="009731B0" w:rsidP="00506223">
      <w:r w:rsidRPr="006519D0">
        <w:t xml:space="preserve">Dalším významným rizikem je možnost setrvání </w:t>
      </w:r>
      <w:r w:rsidR="00B44D0F" w:rsidRPr="006519D0">
        <w:t xml:space="preserve">a zvyšování podílu </w:t>
      </w:r>
      <w:r w:rsidRPr="006519D0">
        <w:t>černého trhu s nádobami na jednorázové použití obsahujícími F-pl</w:t>
      </w:r>
      <w:r w:rsidRPr="006519D0">
        <w:t>yny bez možnosti kontroly jejich množství na území ČR a možnosti sankcionování, což může významně ohrozit harmonogram snižování spotřeby F-plynů stanovený nařízením EP a Rady (EU) č. 517/2014</w:t>
      </w:r>
      <w:r w:rsidR="004E0898" w:rsidRPr="006519D0">
        <w:t xml:space="preserve"> (bod 4)</w:t>
      </w:r>
      <w:r w:rsidRPr="006519D0">
        <w:t>.</w:t>
      </w:r>
    </w:p>
    <w:p w14:paraId="78E1AFF6" w14:textId="77777777" w:rsidR="00A97D0F" w:rsidRPr="006519D0" w:rsidRDefault="009731B0" w:rsidP="008539D8">
      <w:r w:rsidRPr="006519D0">
        <w:t>Z důvodu neúplnosti dat v celních prohlášeních, a tím i</w:t>
      </w:r>
      <w:r w:rsidRPr="006519D0">
        <w:t xml:space="preserve"> nemožnosti provedení efektivní kontroly dovozu a vývozu F-plynů celními úřady, hrozí riziko</w:t>
      </w:r>
      <w:r w:rsidR="00794006" w:rsidRPr="006519D0">
        <w:t xml:space="preserve"> svévolné</w:t>
      </w:r>
      <w:r w:rsidRPr="006519D0">
        <w:t xml:space="preserve">ho překračování přidělených kvót pro dovoz F-plynů a přímo použitelným předpisem EU stanoveného limitu pro vznik povinnosti požádat o přidělení kvóty </w:t>
      </w:r>
      <w:r w:rsidR="004E0898" w:rsidRPr="006519D0">
        <w:t>(bod 5)</w:t>
      </w:r>
      <w:r w:rsidRPr="006519D0">
        <w:t>.</w:t>
      </w:r>
      <w:r w:rsidR="00794006" w:rsidRPr="006519D0">
        <w:t xml:space="preserve"> </w:t>
      </w:r>
    </w:p>
    <w:p w14:paraId="05287B5D" w14:textId="77777777" w:rsidR="00D91BC9" w:rsidRPr="006519D0" w:rsidRDefault="009731B0" w:rsidP="00D91BC9">
      <w:pPr>
        <w:spacing w:after="160" w:line="259" w:lineRule="auto"/>
        <w:jc w:val="left"/>
      </w:pPr>
      <w:r w:rsidRPr="006519D0">
        <w:t>V neposlední řadě je rizikem i ponechání n</w:t>
      </w:r>
      <w:r w:rsidR="00794006" w:rsidRPr="006519D0">
        <w:t xml:space="preserve">adbytečné </w:t>
      </w:r>
      <w:r w:rsidR="00A97D0F" w:rsidRPr="006519D0">
        <w:t>administrativní zátěž</w:t>
      </w:r>
      <w:r w:rsidRPr="006519D0">
        <w:t>e</w:t>
      </w:r>
      <w:r w:rsidR="00A97D0F" w:rsidRPr="006519D0">
        <w:t xml:space="preserve"> pro </w:t>
      </w:r>
      <w:r w:rsidR="00794006" w:rsidRPr="006519D0">
        <w:t xml:space="preserve">státní správu </w:t>
      </w:r>
      <w:r w:rsidRPr="006519D0">
        <w:t xml:space="preserve">(MŽP) </w:t>
      </w:r>
      <w:r w:rsidR="00794006" w:rsidRPr="006519D0">
        <w:t xml:space="preserve">i subjekty </w:t>
      </w:r>
      <w:r w:rsidRPr="006519D0">
        <w:t xml:space="preserve">činné </w:t>
      </w:r>
      <w:r w:rsidR="00794006" w:rsidRPr="006519D0">
        <w:t xml:space="preserve">v oblasti </w:t>
      </w:r>
      <w:r w:rsidRPr="006519D0">
        <w:t>F-plynů a regulovaných látek.</w:t>
      </w:r>
    </w:p>
    <w:p w14:paraId="7D115029" w14:textId="77777777" w:rsidR="00BF2327" w:rsidRPr="006519D0" w:rsidRDefault="00BF2327" w:rsidP="00D91BC9">
      <w:pPr>
        <w:spacing w:after="160" w:line="259" w:lineRule="auto"/>
        <w:jc w:val="left"/>
      </w:pPr>
    </w:p>
    <w:p w14:paraId="1C3D29A3" w14:textId="77777777" w:rsidR="00D91BC9" w:rsidRPr="006519D0" w:rsidRDefault="009731B0" w:rsidP="00D91BC9">
      <w:pPr>
        <w:pStyle w:val="Nadpis1"/>
      </w:pPr>
      <w:bookmarkStart w:id="20" w:name="_Toc256000003"/>
      <w:r w:rsidRPr="006519D0">
        <w:t>Prodloužení lhůty pro zneškodnění regulovaných látek (§ 3)</w:t>
      </w:r>
      <w:bookmarkEnd w:id="20"/>
    </w:p>
    <w:p w14:paraId="717305B0" w14:textId="77777777" w:rsidR="00D91BC9" w:rsidRPr="006519D0" w:rsidRDefault="009731B0" w:rsidP="00D91BC9">
      <w:pPr>
        <w:pStyle w:val="Nadpis2"/>
      </w:pPr>
      <w:r w:rsidRPr="006519D0">
        <w:t>Důvod předložení a cíle</w:t>
      </w:r>
    </w:p>
    <w:p w14:paraId="64AE28F9" w14:textId="77777777" w:rsidR="00D91BC9" w:rsidRPr="006519D0" w:rsidRDefault="009731B0" w:rsidP="00D91BC9">
      <w:pPr>
        <w:pStyle w:val="Nadpis3"/>
      </w:pPr>
      <w:r w:rsidRPr="006519D0">
        <w:t xml:space="preserve">Definice </w:t>
      </w:r>
      <w:r w:rsidRPr="006519D0">
        <w:t>problému</w:t>
      </w:r>
    </w:p>
    <w:p w14:paraId="0866B200" w14:textId="77777777" w:rsidR="00D91BC9" w:rsidRPr="006519D0" w:rsidRDefault="009731B0" w:rsidP="00D91BC9">
      <w:r w:rsidRPr="006519D0">
        <w:t xml:space="preserve">Regulované látky může dle platné legislativy v ČR zneškodnit pouze osoba certifikovaná ke zneškodňování regulovaných látek, a to nejpozději do 9 měsíců od nabytí těchto látek. V současné době je počet regulovaných látek, </w:t>
      </w:r>
      <w:r w:rsidRPr="006519D0">
        <w:rPr>
          <w:rFonts w:cstheme="minorBidi"/>
        </w:rPr>
        <w:t xml:space="preserve">které lze stále používat, </w:t>
      </w:r>
      <w:r w:rsidRPr="006519D0">
        <w:rPr>
          <w:rFonts w:cstheme="minorBidi"/>
        </w:rPr>
        <w:t xml:space="preserve">resp. zařízení </w:t>
      </w:r>
      <w:r w:rsidRPr="006519D0">
        <w:rPr>
          <w:rFonts w:cstheme="minorBidi"/>
        </w:rPr>
        <w:lastRenderedPageBreak/>
        <w:t xml:space="preserve">v provozu, jež využívají regulované látky, nízký a jejich počet se neustále snižuje. </w:t>
      </w:r>
      <w:r w:rsidRPr="006519D0">
        <w:t>Proto je obtížné shromáždit v zákonné lhůtě takové množství regulovaných látek, aby jejich zneškodnění bylo jak pro subjekty povinné k předávání látek ke zn</w:t>
      </w:r>
      <w:r w:rsidRPr="006519D0">
        <w:t>eškodnění, tak pro osobu certifikovanou ke zneškodňování těchto látek, ekonomicky přijatelné.</w:t>
      </w:r>
      <w:r w:rsidR="0053156E" w:rsidRPr="006519D0">
        <w:t xml:space="preserve"> Celkové množství regulovaných látek zneškodněných v roce 2019 bylo 25 079 kg a v roce 2020 bylo zneškodněno 17 893 kg</w:t>
      </w:r>
      <w:r w:rsidR="003E6993" w:rsidRPr="006519D0">
        <w:t xml:space="preserve"> regulovaných látek</w:t>
      </w:r>
      <w:r w:rsidR="0053156E" w:rsidRPr="006519D0">
        <w:t>.</w:t>
      </w:r>
      <w:r w:rsidRPr="006519D0">
        <w:t xml:space="preserve"> </w:t>
      </w:r>
    </w:p>
    <w:p w14:paraId="66C75FCC" w14:textId="77777777" w:rsidR="00D91BC9" w:rsidRPr="006519D0" w:rsidRDefault="00D91BC9" w:rsidP="00D91BC9"/>
    <w:p w14:paraId="09B2FEFD" w14:textId="77777777" w:rsidR="00D91BC9" w:rsidRPr="006519D0" w:rsidRDefault="009731B0" w:rsidP="00D91BC9">
      <w:pPr>
        <w:pStyle w:val="Nadpis3"/>
      </w:pPr>
      <w:r w:rsidRPr="006519D0">
        <w:t>Popis existujícího prá</w:t>
      </w:r>
      <w:r w:rsidRPr="006519D0">
        <w:t>vního stavu v dané oblasti</w:t>
      </w:r>
    </w:p>
    <w:p w14:paraId="32ECD646" w14:textId="77777777" w:rsidR="00D91BC9" w:rsidRPr="006519D0" w:rsidRDefault="009731B0" w:rsidP="00D91BC9">
      <w:r w:rsidRPr="006519D0">
        <w:t xml:space="preserve">V současné době platí pro regulované látky kompletní zákaz uvádění na trh, výroby a užívání. Dále od 1. 1. 2010 platí zákaz použití nových regulovaných látek, či instalace nových zařízení s jejich obsahem. Od 1. 1. 2015 již není </w:t>
      </w:r>
      <w:r w:rsidRPr="006519D0">
        <w:t>možné pro údržbu a servis stávajících chladících a klimatizačních zařízení tepelných čerpadel použít regulované látky. Regulované látky lze stále používat, a to v zařízeních, která fungují bez detekovaného úniku chladiva a nutnosti oprav. V případě poruchy</w:t>
      </w:r>
      <w:r w:rsidRPr="006519D0">
        <w:t xml:space="preserve"> už není možné toto zařízení doplnit regulovanou látkou. Osoba, která nabude regulované látky, jejichž použití je v rozporu s nařízením Evropského parlamentu a Rady (ES) č. 1005/2009 ze dne 16. září 2010 o látkách, které poškozují ozonovou vrstvu, je povin</w:t>
      </w:r>
      <w:r w:rsidRPr="006519D0">
        <w:t>na ve lhůtě 9 měsíců od okamžiku nabytí těchto látek tyto látky zneškodnit.</w:t>
      </w:r>
    </w:p>
    <w:p w14:paraId="42E51545" w14:textId="77777777" w:rsidR="00FE009C" w:rsidRPr="006519D0" w:rsidRDefault="00FE009C" w:rsidP="00D91BC9"/>
    <w:p w14:paraId="696DC9BC" w14:textId="77777777" w:rsidR="00D91BC9" w:rsidRPr="006519D0" w:rsidRDefault="009731B0" w:rsidP="00D91BC9">
      <w:pPr>
        <w:pStyle w:val="Nadpis3"/>
      </w:pPr>
      <w:r w:rsidRPr="006519D0">
        <w:t>Identifikace dotčených subjektů</w:t>
      </w:r>
    </w:p>
    <w:p w14:paraId="33E1310D" w14:textId="77777777" w:rsidR="00D91BC9" w:rsidRPr="006519D0" w:rsidRDefault="009731B0" w:rsidP="00D91BC9">
      <w:pPr>
        <w:pStyle w:val="Odstavecseseznamem"/>
        <w:numPr>
          <w:ilvl w:val="0"/>
          <w:numId w:val="5"/>
        </w:numPr>
      </w:pPr>
      <w:r w:rsidRPr="006519D0">
        <w:t>osoby, které předávají regulované látky ke zneškodnění,</w:t>
      </w:r>
    </w:p>
    <w:p w14:paraId="61238DF2" w14:textId="77777777" w:rsidR="00D91BC9" w:rsidRPr="006519D0" w:rsidRDefault="009731B0" w:rsidP="00D91BC9">
      <w:pPr>
        <w:pStyle w:val="Odstavecseseznamem"/>
        <w:numPr>
          <w:ilvl w:val="0"/>
          <w:numId w:val="5"/>
        </w:numPr>
        <w:ind w:left="714" w:hanging="357"/>
      </w:pPr>
      <w:r w:rsidRPr="006519D0">
        <w:t>osoby certifikované ke zneškodňování regulovaných látek</w:t>
      </w:r>
      <w:r w:rsidR="00FE009C" w:rsidRPr="006519D0">
        <w:t>.</w:t>
      </w:r>
    </w:p>
    <w:p w14:paraId="2C096F08" w14:textId="77777777" w:rsidR="00D91BC9" w:rsidRPr="006519D0" w:rsidRDefault="00D91BC9" w:rsidP="00D91BC9">
      <w:pPr>
        <w:pStyle w:val="Odstavecseseznamem"/>
        <w:ind w:left="714"/>
      </w:pPr>
    </w:p>
    <w:p w14:paraId="00F551E3" w14:textId="77777777" w:rsidR="00D91BC9" w:rsidRPr="006519D0" w:rsidRDefault="009731B0" w:rsidP="00D91BC9">
      <w:pPr>
        <w:pStyle w:val="Nadpis3"/>
      </w:pPr>
      <w:r w:rsidRPr="006519D0">
        <w:t>Popis cílového stavu</w:t>
      </w:r>
    </w:p>
    <w:p w14:paraId="5E532BFB" w14:textId="77777777" w:rsidR="00D91BC9" w:rsidRPr="006519D0" w:rsidRDefault="009731B0" w:rsidP="00D91BC9">
      <w:r w:rsidRPr="006519D0">
        <w:t>Zajištění př</w:t>
      </w:r>
      <w:r w:rsidRPr="006519D0">
        <w:t>iměřeně dlouhé lhůty pro předání regulovaných látek ke zneškodnění tak, aby bylo možné nashromáždit adekvátní množství těchto látek zajišťující ekonomickou výhodnost zneškodnění vzhledem k jejich omezenému množství (v oběhu)</w:t>
      </w:r>
      <w:r w:rsidR="004E3D54" w:rsidRPr="006519D0">
        <w:t xml:space="preserve">, bez </w:t>
      </w:r>
      <w:r w:rsidR="00B311B0" w:rsidRPr="006519D0">
        <w:t xml:space="preserve">značného </w:t>
      </w:r>
      <w:r w:rsidR="008A6153" w:rsidRPr="006519D0">
        <w:t xml:space="preserve">navýšení rizika ohrožení životního prostředí </w:t>
      </w:r>
      <w:r w:rsidR="00A70BCC" w:rsidRPr="006519D0">
        <w:t xml:space="preserve">únikem </w:t>
      </w:r>
      <w:r w:rsidR="00FE3C02" w:rsidRPr="006519D0">
        <w:t xml:space="preserve">těchto látek </w:t>
      </w:r>
      <w:r w:rsidR="00B311B0" w:rsidRPr="006519D0">
        <w:t xml:space="preserve">do ovzduší </w:t>
      </w:r>
      <w:r w:rsidR="00A70BCC" w:rsidRPr="006519D0">
        <w:t xml:space="preserve">z důvodu </w:t>
      </w:r>
      <w:r w:rsidR="00FE3C02" w:rsidRPr="006519D0">
        <w:t xml:space="preserve">jejich </w:t>
      </w:r>
      <w:r w:rsidR="00A70BCC" w:rsidRPr="006519D0">
        <w:t>dlouhodobého skladování.</w:t>
      </w:r>
    </w:p>
    <w:p w14:paraId="37CB3711" w14:textId="77777777" w:rsidR="00D91BC9" w:rsidRPr="006519D0" w:rsidRDefault="00D91BC9" w:rsidP="00D91BC9"/>
    <w:p w14:paraId="0A0C6849" w14:textId="77777777" w:rsidR="00D91BC9" w:rsidRPr="006519D0" w:rsidRDefault="009731B0" w:rsidP="00D91BC9">
      <w:pPr>
        <w:pStyle w:val="Nadpis3"/>
      </w:pPr>
      <w:r w:rsidRPr="006519D0">
        <w:t>Zhodnocení rizika</w:t>
      </w:r>
    </w:p>
    <w:p w14:paraId="19097B95" w14:textId="77777777" w:rsidR="00D91BC9" w:rsidRPr="006519D0" w:rsidRDefault="009731B0" w:rsidP="00D91BC9">
      <w:r w:rsidRPr="006519D0">
        <w:t>Rizika při ponechání současného stavu nehrozí, jde spíše o snahu zlepšit ekonomickou přijatelnost pro osoby, které užívají regulované lát</w:t>
      </w:r>
      <w:r w:rsidRPr="006519D0">
        <w:t>ky, aby je mohly předat certifikované osobě ke zneškodnění ve větším množství najednou. Se snižujícím se množstvím regulovaných látek v oběhu představuje kratší lhůta postupně narůstající administrativní překážku pro shromažďování a předávání látek ke zneš</w:t>
      </w:r>
      <w:r w:rsidRPr="006519D0">
        <w:t>kodnění. Riziko s tímto spojené je nezákonné zneškodňování regulovaných látek jejich vypouštěním do ovzduší. Lhůta 9 měsíců rovněž způsobuje komplikaci při administraci a realizaci veřejné podpory pro zneškodňování regulovaných látek za situace, kdy je tat</w:t>
      </w:r>
      <w:r w:rsidRPr="006519D0">
        <w:t>o činnost prováděna bezúplatně ve veřejném zájmu.</w:t>
      </w:r>
    </w:p>
    <w:p w14:paraId="1BD6CC69" w14:textId="77777777" w:rsidR="00D91BC9" w:rsidRPr="006519D0" w:rsidRDefault="00D91BC9" w:rsidP="00D91BC9"/>
    <w:p w14:paraId="1A6CA459" w14:textId="77777777" w:rsidR="00D91BC9" w:rsidRPr="006519D0" w:rsidRDefault="009731B0" w:rsidP="00D91BC9">
      <w:pPr>
        <w:pStyle w:val="Nadpis2"/>
      </w:pPr>
      <w:r w:rsidRPr="006519D0">
        <w:lastRenderedPageBreak/>
        <w:t>Návrh variant řešení</w:t>
      </w:r>
    </w:p>
    <w:p w14:paraId="54E9B9C1" w14:textId="77777777" w:rsidR="00D91BC9" w:rsidRPr="006519D0" w:rsidRDefault="009731B0" w:rsidP="00D91BC9">
      <w:pPr>
        <w:pStyle w:val="Nadpis3"/>
      </w:pPr>
      <w:r w:rsidRPr="006519D0">
        <w:t>Varianta 0</w:t>
      </w:r>
    </w:p>
    <w:p w14:paraId="25880FA2" w14:textId="77777777" w:rsidR="00D91BC9" w:rsidRPr="006519D0" w:rsidRDefault="009731B0" w:rsidP="00D91BC9">
      <w:r w:rsidRPr="006519D0">
        <w:t xml:space="preserve">Zachování současného stavu, kdy osoba, která nabyla regulovaných látek, je povinna nejpozději do 9 měsíců tyto látky zneškodnit (za předpokladu, že je osobou certifikovanou </w:t>
      </w:r>
      <w:r w:rsidRPr="006519D0">
        <w:t>ke zneškodňování regulovaných látek), případně předat tyto látky osobě certifikované ke zneškodňování regulovaných látek.</w:t>
      </w:r>
    </w:p>
    <w:p w14:paraId="6FCC909E" w14:textId="77777777" w:rsidR="00D91BC9" w:rsidRPr="006519D0" w:rsidRDefault="009731B0" w:rsidP="00D91BC9">
      <w:pPr>
        <w:pStyle w:val="Nadpis3"/>
      </w:pPr>
      <w:r w:rsidRPr="006519D0">
        <w:t>Varianta 1</w:t>
      </w:r>
    </w:p>
    <w:p w14:paraId="15D4E447" w14:textId="77777777" w:rsidR="00D91BC9" w:rsidRPr="006519D0" w:rsidRDefault="009731B0" w:rsidP="00D91BC9">
      <w:r w:rsidRPr="006519D0">
        <w:t>V</w:t>
      </w:r>
      <w:r w:rsidR="00417607" w:rsidRPr="006519D0">
        <w:t xml:space="preserve">arianta </w:t>
      </w:r>
      <w:r w:rsidRPr="006519D0">
        <w:t xml:space="preserve">1 </w:t>
      </w:r>
      <w:r w:rsidR="00417607" w:rsidRPr="006519D0">
        <w:t xml:space="preserve">prodlužuje lhůtu pro zneškodnění regulovaných látek z 9 měsíců </w:t>
      </w:r>
      <w:r w:rsidR="00436117" w:rsidRPr="006519D0">
        <w:br/>
        <w:t>na </w:t>
      </w:r>
      <w:r w:rsidR="007944D1" w:rsidRPr="006519D0">
        <w:t xml:space="preserve">12 </w:t>
      </w:r>
      <w:r w:rsidR="00417607" w:rsidRPr="006519D0">
        <w:t>měsíců.</w:t>
      </w:r>
    </w:p>
    <w:p w14:paraId="23463A68" w14:textId="77777777" w:rsidR="00417607" w:rsidRPr="006519D0" w:rsidRDefault="009731B0" w:rsidP="00417607">
      <w:pPr>
        <w:pStyle w:val="Nadpis3"/>
      </w:pPr>
      <w:r w:rsidRPr="006519D0">
        <w:t>Varianta 2</w:t>
      </w:r>
    </w:p>
    <w:p w14:paraId="583B6D9D" w14:textId="77777777" w:rsidR="00417607" w:rsidRPr="006519D0" w:rsidRDefault="009731B0" w:rsidP="00D91BC9">
      <w:r w:rsidRPr="006519D0">
        <w:t>Prodloužení lhůty</w:t>
      </w:r>
      <w:r w:rsidRPr="006519D0">
        <w:t xml:space="preserve"> pro zneško</w:t>
      </w:r>
      <w:r w:rsidR="003107E3" w:rsidRPr="006519D0">
        <w:t xml:space="preserve">dnění regulovaných látek </w:t>
      </w:r>
      <w:r w:rsidR="002C1C78" w:rsidRPr="006519D0">
        <w:t xml:space="preserve">na </w:t>
      </w:r>
      <w:r w:rsidR="003107E3" w:rsidRPr="006519D0">
        <w:t>dvojnásobek současně platné lhůty</w:t>
      </w:r>
      <w:r w:rsidR="002C1C78" w:rsidRPr="006519D0">
        <w:t>, tj. z 9 měsíců na 18 měsíců.</w:t>
      </w:r>
    </w:p>
    <w:p w14:paraId="7AE904F6" w14:textId="77777777" w:rsidR="00D91BC9" w:rsidRPr="006519D0" w:rsidRDefault="00D91BC9" w:rsidP="00D91BC9"/>
    <w:p w14:paraId="587044E8" w14:textId="77777777" w:rsidR="00D91BC9" w:rsidRPr="006519D0" w:rsidRDefault="009731B0" w:rsidP="00D91BC9">
      <w:pPr>
        <w:pStyle w:val="Nadpis2"/>
      </w:pPr>
      <w:r w:rsidRPr="006519D0">
        <w:t>Vyhodnocení nákladů a přínosů</w:t>
      </w:r>
    </w:p>
    <w:p w14:paraId="661055B7" w14:textId="77777777" w:rsidR="00D91BC9" w:rsidRPr="006519D0" w:rsidRDefault="009731B0" w:rsidP="00D91BC9">
      <w:pPr>
        <w:pStyle w:val="Nadpis3"/>
        <w:spacing w:after="120"/>
      </w:pPr>
      <w:r w:rsidRPr="006519D0">
        <w:t>Identifikace nákladů a přínosů</w:t>
      </w:r>
    </w:p>
    <w:p w14:paraId="1BB53ABA" w14:textId="77777777" w:rsidR="00D91BC9" w:rsidRPr="006519D0" w:rsidRDefault="009731B0" w:rsidP="00D91BC9">
      <w:pPr>
        <w:pStyle w:val="Odstavecseseznamem"/>
        <w:numPr>
          <w:ilvl w:val="0"/>
          <w:numId w:val="27"/>
        </w:numPr>
        <w:rPr>
          <w:b/>
        </w:rPr>
      </w:pPr>
      <w:r w:rsidRPr="006519D0">
        <w:rPr>
          <w:b/>
        </w:rPr>
        <w:t>Varianta 0</w:t>
      </w:r>
    </w:p>
    <w:p w14:paraId="129AC4F8" w14:textId="77777777" w:rsidR="00D91BC9" w:rsidRPr="006519D0" w:rsidRDefault="009731B0" w:rsidP="006B120A">
      <w:pPr>
        <w:keepNext/>
        <w:spacing w:before="240" w:after="0"/>
        <w:rPr>
          <w:rFonts w:cs="Cambria"/>
          <w:b/>
        </w:rPr>
      </w:pPr>
      <w:r w:rsidRPr="006519D0">
        <w:rPr>
          <w:rFonts w:cs="Cambria"/>
          <w:b/>
        </w:rPr>
        <w:t>Dopady na podnikatelské prostředí</w:t>
      </w:r>
    </w:p>
    <w:p w14:paraId="568317F0" w14:textId="77777777" w:rsidR="00D91BC9" w:rsidRPr="006519D0" w:rsidRDefault="009731B0" w:rsidP="00D91BC9">
      <w:r w:rsidRPr="006519D0">
        <w:t>Regulované látky může dle platné legislativy v</w:t>
      </w:r>
      <w:r w:rsidRPr="006519D0">
        <w:t> ČR zneškodnit pouze osoba certifikovaná ke zneškodňování regulovaných látek, a to nejpozději do 9 měsíců od nabytí těchto látek. V případě, že osoba, která není osobou certifikovanou ke zneškodňování regulovaných látek, disponuje regulovanými látkami, jej</w:t>
      </w:r>
      <w:r w:rsidRPr="006519D0">
        <w:t xml:space="preserve">ichž použití je v rozporu s přímo použitelnými předpisy EU, má zákonnou povinnost tyto regulované látky v zákonem stanovené lhůtě předat ke zneškodnění osobě certifikované ke zneškodňování regulovaných látek. </w:t>
      </w:r>
    </w:p>
    <w:p w14:paraId="7E3A34B7" w14:textId="77777777" w:rsidR="00D91BC9" w:rsidRPr="006519D0" w:rsidRDefault="009731B0" w:rsidP="00D91BC9">
      <w:r w:rsidRPr="006519D0">
        <w:t>Osoby certifikované ke zneškodnění regulovanýc</w:t>
      </w:r>
      <w:r w:rsidRPr="006519D0">
        <w:t>h látek, mohou takovou činnost provádět buď komerčně, kdy získávají regulované látky za úplatu od osob, které regulovanými látkami určenými ke zneškodnění disponují, v takovém množství, které zajistí minimálně pokrytí všech relevantních nákladů, nebo bezúp</w:t>
      </w:r>
      <w:r w:rsidRPr="006519D0">
        <w:t>latně, kdy jsou náklady na takovou činnost částečně pokryty z veřejných rozpočtů formou veřejné podpory. V obou případech ale musí být zajištěna ekonomická přijatelnost, která je však s ohledem na disproporci mezi zákonem stanovenou lhůtou ke zneškodnění r</w:t>
      </w:r>
      <w:r w:rsidRPr="006519D0">
        <w:t xml:space="preserve">egulovaných látek a množstvím látek, které se na trhu pohybují a jsou tedy potenciálním předmětem zneškodnění, těžko dosažitelná. V současné době je totiž počet regulovaných látek, </w:t>
      </w:r>
      <w:r w:rsidRPr="006519D0">
        <w:rPr>
          <w:rFonts w:cstheme="minorBidi"/>
        </w:rPr>
        <w:t>které lze stále používat, resp. zařízení v provozu, jež využívají regulovan</w:t>
      </w:r>
      <w:r w:rsidRPr="006519D0">
        <w:rPr>
          <w:rFonts w:cstheme="minorBidi"/>
        </w:rPr>
        <w:t>é látky, nízký a jejich počet se neustále snižuje. V současnosti nejsou přesné statistiky počtu zařízení používajících regulované látky ani jejich množství, ale odhadem je těchto látek v zařízeních v ČR několik stovek tun (řádově se jedná o nižší stovky tu</w:t>
      </w:r>
      <w:r w:rsidRPr="006519D0">
        <w:rPr>
          <w:rFonts w:cstheme="minorBidi"/>
        </w:rPr>
        <w:t xml:space="preserve">n). </w:t>
      </w:r>
      <w:r w:rsidRPr="006519D0">
        <w:t>Proto je obtížné shromáždit v zákonné lhůtě takové množství regulovaných látek, aby jejich zneškodnění bylo jak pro subjekty povinné k předávání látek ke zneškodnění, tak pro osobu certifikovanou ke zneškodňování těchto látek, ekonomicky přijatelné. Ná</w:t>
      </w:r>
      <w:r w:rsidRPr="006519D0">
        <w:t>klady na zneškodnění regulovaných látek se domlouvají na základě smluvních vztahů a cena se pohybuje kolem 100 - 300 Kč/kg v závislosti na množství zneškodňované látky. Množství regulovaných látek ke zneškodnění, které seberou společnosti za 9 měsíců, se p</w:t>
      </w:r>
      <w:r w:rsidRPr="006519D0">
        <w:t xml:space="preserve">ohybuje v desítkách kg. Oproti tomu sběrná místa </w:t>
      </w:r>
      <w:r w:rsidRPr="006519D0">
        <w:lastRenderedPageBreak/>
        <w:t>(servisní technici ve většině případů předávají regulované látky do větších společností) seberou až stovky kg.</w:t>
      </w:r>
      <w:r w:rsidR="008C71C2" w:rsidRPr="006519D0">
        <w:t xml:space="preserve"> </w:t>
      </w:r>
    </w:p>
    <w:p w14:paraId="1A054B37" w14:textId="77777777" w:rsidR="00D91BC9" w:rsidRPr="006519D0" w:rsidRDefault="00D91BC9" w:rsidP="00D91BC9"/>
    <w:p w14:paraId="582344D6" w14:textId="77777777" w:rsidR="00D91BC9" w:rsidRPr="006519D0" w:rsidRDefault="009731B0" w:rsidP="00B62988">
      <w:pPr>
        <w:pStyle w:val="Odstavecseseznamem"/>
        <w:keepNext/>
        <w:numPr>
          <w:ilvl w:val="0"/>
          <w:numId w:val="27"/>
        </w:numPr>
        <w:ind w:left="714" w:hanging="357"/>
        <w:rPr>
          <w:b/>
        </w:rPr>
      </w:pPr>
      <w:r w:rsidRPr="006519D0">
        <w:rPr>
          <w:b/>
        </w:rPr>
        <w:t>Varianta 1</w:t>
      </w:r>
    </w:p>
    <w:p w14:paraId="5C14A6FF" w14:textId="77777777" w:rsidR="00D91BC9" w:rsidRPr="006519D0" w:rsidRDefault="009731B0" w:rsidP="00D91BC9">
      <w:pPr>
        <w:rPr>
          <w:rFonts w:cs="Cambria"/>
          <w:b/>
        </w:rPr>
      </w:pPr>
      <w:r w:rsidRPr="006519D0">
        <w:t xml:space="preserve">Jak již bylo řečeno výše, počet regulovaných látek, </w:t>
      </w:r>
      <w:r w:rsidRPr="006519D0">
        <w:rPr>
          <w:rFonts w:cstheme="minorBidi"/>
        </w:rPr>
        <w:t>které lze stále používat, resp.</w:t>
      </w:r>
      <w:r w:rsidRPr="006519D0">
        <w:rPr>
          <w:rFonts w:cstheme="minorBidi"/>
        </w:rPr>
        <w:t xml:space="preserve"> zařízení v provozu, jež využívají regulované látky, je nízký a jejich počet se neustále snižuje. </w:t>
      </w:r>
      <w:r w:rsidRPr="006519D0">
        <w:t>Proto je obtížné shromáždit v zákonné lhůtě takové množství regulovaných látek, aby jejich zneškodnění bylo ekonomicky přijatelné. Z toho důvodu se</w:t>
      </w:r>
      <w:r w:rsidRPr="006519D0">
        <w:rPr>
          <w:rFonts w:cstheme="minorBidi"/>
        </w:rPr>
        <w:t xml:space="preserve"> u varianty</w:t>
      </w:r>
      <w:r w:rsidRPr="006519D0">
        <w:rPr>
          <w:rFonts w:cstheme="minorBidi"/>
        </w:rPr>
        <w:t xml:space="preserve"> 1 prodlužuje lhůta, ve které musí být regulované látky předány ke zneškodnění, případně zneškodněny jedná-li se o situaci, kdy osoba regulovanými látkami disponující je zároveň osobou certifikovanou ke zneškodňování regulovaných látek.</w:t>
      </w:r>
      <w:r w:rsidRPr="006519D0">
        <w:t xml:space="preserve"> </w:t>
      </w:r>
    </w:p>
    <w:p w14:paraId="1F577C00" w14:textId="77777777" w:rsidR="00D91BC9" w:rsidRPr="006519D0" w:rsidRDefault="009731B0" w:rsidP="006B120A">
      <w:pPr>
        <w:spacing w:before="240" w:after="0"/>
        <w:rPr>
          <w:rFonts w:cs="Cambria"/>
          <w:b/>
        </w:rPr>
      </w:pPr>
      <w:r w:rsidRPr="006519D0">
        <w:rPr>
          <w:rFonts w:cs="Cambria"/>
          <w:b/>
        </w:rPr>
        <w:t>Dopady na podnikat</w:t>
      </w:r>
      <w:r w:rsidRPr="006519D0">
        <w:rPr>
          <w:rFonts w:cs="Cambria"/>
          <w:b/>
        </w:rPr>
        <w:t>elské prostředí</w:t>
      </w:r>
    </w:p>
    <w:p w14:paraId="7A3CCD09" w14:textId="77777777" w:rsidR="00F222DD" w:rsidRPr="006519D0" w:rsidRDefault="009731B0" w:rsidP="00D91BC9">
      <w:r w:rsidRPr="006519D0">
        <w:t xml:space="preserve">Varianta 1 bude mít pozitivní dopad na subjekty povinné předávat regulované látky ke zneškodnění, tak pro osoby certifikované ke zneškodňování regulovaných látek, neboť při prodloužení lhůty </w:t>
      </w:r>
      <w:r w:rsidR="003C1699" w:rsidRPr="006519D0">
        <w:t xml:space="preserve">z 9 na 12 měsíců </w:t>
      </w:r>
      <w:r w:rsidRPr="006519D0">
        <w:t>může být nashromážděno větší mno</w:t>
      </w:r>
      <w:r w:rsidRPr="006519D0">
        <w:t xml:space="preserve">žství regulovaných látek, čímž bude docíleno vyšší ekonomické přijatelnosti oproti variantě 0. </w:t>
      </w:r>
    </w:p>
    <w:p w14:paraId="0992C596" w14:textId="77777777" w:rsidR="00C23671" w:rsidRPr="006519D0" w:rsidRDefault="009731B0" w:rsidP="00D91BC9">
      <w:r w:rsidRPr="006519D0">
        <w:t xml:space="preserve">Prodloužení lhůty </w:t>
      </w:r>
      <w:r w:rsidR="003C67C5" w:rsidRPr="006519D0">
        <w:t xml:space="preserve">bude mít pozitivní dopad především na </w:t>
      </w:r>
      <w:r w:rsidR="009A535A" w:rsidRPr="006519D0">
        <w:t>osoby</w:t>
      </w:r>
      <w:r w:rsidR="003C67C5" w:rsidRPr="006519D0">
        <w:t xml:space="preserve">, které </w:t>
      </w:r>
      <w:r w:rsidR="00F43E14" w:rsidRPr="006519D0">
        <w:t>předávají regulované látky k</w:t>
      </w:r>
      <w:r w:rsidR="00B948C7" w:rsidRPr="006519D0">
        <w:t> </w:t>
      </w:r>
      <w:r w:rsidR="00F43E14" w:rsidRPr="006519D0">
        <w:t>likvidaci</w:t>
      </w:r>
      <w:r w:rsidR="00B948C7" w:rsidRPr="006519D0">
        <w:t xml:space="preserve"> </w:t>
      </w:r>
      <w:r w:rsidR="006F5334" w:rsidRPr="006519D0">
        <w:t xml:space="preserve">certifikovaným osobám </w:t>
      </w:r>
      <w:r w:rsidR="009A535A" w:rsidRPr="006519D0">
        <w:t xml:space="preserve">z </w:t>
      </w:r>
      <w:r w:rsidR="00B948C7" w:rsidRPr="006519D0">
        <w:t>menší</w:t>
      </w:r>
      <w:r w:rsidR="009A535A" w:rsidRPr="006519D0">
        <w:t>ch</w:t>
      </w:r>
      <w:r w:rsidR="00B948C7" w:rsidRPr="006519D0">
        <w:t xml:space="preserve"> společnost</w:t>
      </w:r>
      <w:r w:rsidR="009A535A" w:rsidRPr="006519D0">
        <w:t>í. V případě likvidace menší</w:t>
      </w:r>
      <w:r w:rsidR="00886BC6" w:rsidRPr="006519D0">
        <w:t>ho</w:t>
      </w:r>
      <w:r w:rsidR="009A535A" w:rsidRPr="006519D0">
        <w:t xml:space="preserve"> množství regulovaných látek </w:t>
      </w:r>
      <w:r w:rsidR="003D52E5" w:rsidRPr="006519D0">
        <w:t xml:space="preserve">(cca desítky kilogramů) </w:t>
      </w:r>
      <w:r w:rsidR="009A535A" w:rsidRPr="006519D0">
        <w:t xml:space="preserve">se </w:t>
      </w:r>
      <w:r w:rsidR="00143E8B" w:rsidRPr="006519D0">
        <w:t xml:space="preserve">totiž </w:t>
      </w:r>
      <w:r w:rsidR="009A535A" w:rsidRPr="006519D0">
        <w:t xml:space="preserve">náklady </w:t>
      </w:r>
      <w:r w:rsidR="00143E8B" w:rsidRPr="006519D0">
        <w:t xml:space="preserve">na likvidaci </w:t>
      </w:r>
      <w:r w:rsidR="009A535A" w:rsidRPr="006519D0">
        <w:t xml:space="preserve">pohybují </w:t>
      </w:r>
      <w:r w:rsidR="009E3431" w:rsidRPr="006519D0">
        <w:t>až kolem 300 Kč/kg</w:t>
      </w:r>
      <w:r w:rsidR="00886BC6" w:rsidRPr="006519D0">
        <w:t xml:space="preserve">. Pokud </w:t>
      </w:r>
      <w:r w:rsidR="00123F8F" w:rsidRPr="006519D0">
        <w:t>dojde k prodloužení lhůty</w:t>
      </w:r>
      <w:r w:rsidR="005B4C0E" w:rsidRPr="006519D0">
        <w:t xml:space="preserve"> z 9 měsíců na 12</w:t>
      </w:r>
      <w:r w:rsidR="001E2A8C" w:rsidRPr="006519D0">
        <w:t xml:space="preserve">, mohou certifikované osoby nashromáždit </w:t>
      </w:r>
      <w:r w:rsidR="008C389B" w:rsidRPr="006519D0">
        <w:t>zhruba o třetinu více</w:t>
      </w:r>
      <w:r w:rsidR="005B4C0E" w:rsidRPr="006519D0">
        <w:t xml:space="preserve"> regulovaných látek</w:t>
      </w:r>
      <w:r w:rsidR="0047439D" w:rsidRPr="006519D0">
        <w:t xml:space="preserve"> ke zneškodnění</w:t>
      </w:r>
      <w:r w:rsidR="005B4C0E" w:rsidRPr="006519D0">
        <w:t>, a tím</w:t>
      </w:r>
      <w:r w:rsidR="0047439D" w:rsidRPr="006519D0">
        <w:t xml:space="preserve"> cena za</w:t>
      </w:r>
      <w:r w:rsidR="00BE28B6" w:rsidRPr="006519D0">
        <w:t> </w:t>
      </w:r>
      <w:r w:rsidR="0047439D" w:rsidRPr="006519D0">
        <w:t xml:space="preserve">likvidaci </w:t>
      </w:r>
      <w:r w:rsidR="00D77CA4" w:rsidRPr="006519D0">
        <w:t>1</w:t>
      </w:r>
      <w:r w:rsidRPr="006519D0">
        <w:t xml:space="preserve"> </w:t>
      </w:r>
      <w:r w:rsidR="00D77CA4" w:rsidRPr="006519D0">
        <w:t>kg regulovaných látek může poklesnout</w:t>
      </w:r>
      <w:r w:rsidR="00BF06C3" w:rsidRPr="006519D0">
        <w:t xml:space="preserve">, ovšem nelze odhadnout snížení ceny, neboť záleží na nashromážděném množství </w:t>
      </w:r>
      <w:r w:rsidR="00E55D12" w:rsidRPr="006519D0">
        <w:t>regulovaných látek</w:t>
      </w:r>
      <w:r w:rsidR="00DC5440" w:rsidRPr="006519D0">
        <w:t xml:space="preserve"> (v případě zneškodňování stovek kg regulovaných látek se cena za likvidaci pohybuje okolo 100 Kč/kg, zatímco při zneškodňování malých množství např. desítek kilogramů se cena pohybuje až</w:t>
      </w:r>
      <w:r w:rsidR="003E6993" w:rsidRPr="006519D0">
        <w:t> </w:t>
      </w:r>
      <w:r w:rsidR="00DC5440" w:rsidRPr="006519D0">
        <w:t>okolo 300</w:t>
      </w:r>
      <w:r w:rsidR="003E6993" w:rsidRPr="006519D0">
        <w:t> </w:t>
      </w:r>
      <w:r w:rsidR="00DC5440" w:rsidRPr="006519D0">
        <w:t>Kč/kg)</w:t>
      </w:r>
      <w:r w:rsidRPr="006519D0">
        <w:t>.</w:t>
      </w:r>
    </w:p>
    <w:p w14:paraId="5EB2D3F2" w14:textId="77777777" w:rsidR="00D91BC9" w:rsidRPr="006519D0" w:rsidRDefault="009731B0" w:rsidP="00D91BC9">
      <w:r w:rsidRPr="006519D0">
        <w:t xml:space="preserve">Prodloužení lhůty na </w:t>
      </w:r>
      <w:r w:rsidR="007944D1" w:rsidRPr="006519D0">
        <w:t>12</w:t>
      </w:r>
      <w:r w:rsidRPr="006519D0">
        <w:t xml:space="preserve"> měsíců, se jeví jako optimální z důvodu poklesu nákladů na odstraňování regulovaných látek, zároveň </w:t>
      </w:r>
      <w:r w:rsidR="00B1313E" w:rsidRPr="006519D0">
        <w:t xml:space="preserve">se </w:t>
      </w:r>
      <w:r w:rsidRPr="006519D0">
        <w:t>však výrazně nenavyšuje riziko ohrožení životního prostředí. Při delší lhůtě by mohlo docházet k dlouhodobému skladování regulovaných látek a potenciáln</w:t>
      </w:r>
      <w:r w:rsidRPr="006519D0">
        <w:t>ě by mohlo docházet k únikům těchto látek do ovzduší.</w:t>
      </w:r>
    </w:p>
    <w:p w14:paraId="0D79DD8F" w14:textId="77777777" w:rsidR="00613C46" w:rsidRPr="006519D0" w:rsidRDefault="00613C46" w:rsidP="00D91BC9"/>
    <w:p w14:paraId="173566FB" w14:textId="77777777" w:rsidR="003107E3" w:rsidRPr="006519D0" w:rsidRDefault="009731B0" w:rsidP="003107E3">
      <w:pPr>
        <w:pStyle w:val="Odstavecseseznamem"/>
        <w:numPr>
          <w:ilvl w:val="0"/>
          <w:numId w:val="27"/>
        </w:numPr>
        <w:rPr>
          <w:b/>
        </w:rPr>
      </w:pPr>
      <w:r w:rsidRPr="006519D0">
        <w:rPr>
          <w:b/>
        </w:rPr>
        <w:t>Varianta 2</w:t>
      </w:r>
    </w:p>
    <w:p w14:paraId="76BC6F37" w14:textId="77777777" w:rsidR="003107E3" w:rsidRPr="006519D0" w:rsidRDefault="009731B0" w:rsidP="00D91BC9">
      <w:r w:rsidRPr="006519D0">
        <w:rPr>
          <w:rFonts w:cstheme="minorBidi"/>
        </w:rPr>
        <w:t>U</w:t>
      </w:r>
      <w:r w:rsidR="00EF4F8A" w:rsidRPr="006519D0">
        <w:rPr>
          <w:rFonts w:cstheme="minorBidi"/>
        </w:rPr>
        <w:t xml:space="preserve"> varianty 2 </w:t>
      </w:r>
      <w:r w:rsidRPr="006519D0">
        <w:rPr>
          <w:rFonts w:cstheme="minorBidi"/>
        </w:rPr>
        <w:t xml:space="preserve">se </w:t>
      </w:r>
      <w:r w:rsidR="00EF4F8A" w:rsidRPr="006519D0">
        <w:rPr>
          <w:rFonts w:cstheme="minorBidi"/>
        </w:rPr>
        <w:t>lhůta, ve které musí být regulované látky předány ke zneškodnění, případně zneškodněny</w:t>
      </w:r>
      <w:r w:rsidR="00467B91" w:rsidRPr="006519D0">
        <w:rPr>
          <w:rFonts w:cstheme="minorBidi"/>
        </w:rPr>
        <w:t>,</w:t>
      </w:r>
      <w:r w:rsidR="00EF4F8A" w:rsidRPr="006519D0">
        <w:rPr>
          <w:rFonts w:cstheme="minorBidi"/>
        </w:rPr>
        <w:t xml:space="preserve"> jedná-li se o situaci, kdy osoba regulovanými látkami disponující je zároveň osobou certifikovanou ke zneškodňování regulovaných látek</w:t>
      </w:r>
      <w:r w:rsidR="00467B91" w:rsidRPr="006519D0">
        <w:rPr>
          <w:rFonts w:cstheme="minorBidi"/>
        </w:rPr>
        <w:t>,</w:t>
      </w:r>
      <w:r w:rsidR="00EF4F8A" w:rsidRPr="006519D0">
        <w:rPr>
          <w:rFonts w:cstheme="minorBidi"/>
        </w:rPr>
        <w:t xml:space="preserve"> prodlužuje na</w:t>
      </w:r>
      <w:r w:rsidR="00553830" w:rsidRPr="006519D0">
        <w:rPr>
          <w:rFonts w:cstheme="minorBidi"/>
        </w:rPr>
        <w:t> </w:t>
      </w:r>
      <w:r w:rsidR="00EF4F8A" w:rsidRPr="006519D0">
        <w:rPr>
          <w:rFonts w:cstheme="minorBidi"/>
        </w:rPr>
        <w:t>dvojnásobek současně platné lhůty, tj. 18 měsíců.</w:t>
      </w:r>
    </w:p>
    <w:p w14:paraId="36038E7C" w14:textId="77777777" w:rsidR="00EF4F8A" w:rsidRPr="006519D0" w:rsidRDefault="009731B0" w:rsidP="00EF4F8A">
      <w:pPr>
        <w:spacing w:before="240" w:after="0"/>
        <w:rPr>
          <w:rFonts w:cs="Cambria"/>
          <w:b/>
        </w:rPr>
      </w:pPr>
      <w:r w:rsidRPr="006519D0">
        <w:rPr>
          <w:rFonts w:cs="Cambria"/>
          <w:b/>
        </w:rPr>
        <w:t>Dopady na podnikatelské prostředí</w:t>
      </w:r>
    </w:p>
    <w:p w14:paraId="417E0E7A" w14:textId="77777777" w:rsidR="00E24050" w:rsidRPr="006519D0" w:rsidRDefault="009731B0" w:rsidP="00EF4F8A">
      <w:r w:rsidRPr="006519D0">
        <w:t>Varianta 2</w:t>
      </w:r>
      <w:r w:rsidR="00EF4F8A" w:rsidRPr="006519D0">
        <w:t xml:space="preserve"> bude mít pozitivní dopad na subjekty povinné předávat regulované látky ke zneškodnění, tak pro osoby certifikované ke zneškodňování regulovaných látek, neboť při prodloužení lhůty </w:t>
      </w:r>
      <w:r w:rsidRPr="006519D0">
        <w:t xml:space="preserve">na 18 měsíců </w:t>
      </w:r>
      <w:r w:rsidR="00EF4F8A" w:rsidRPr="006519D0">
        <w:t xml:space="preserve">může být nashromážděno </w:t>
      </w:r>
      <w:r w:rsidR="00387522" w:rsidRPr="006519D0">
        <w:t xml:space="preserve">dvojnásobné </w:t>
      </w:r>
      <w:r w:rsidR="00EF4F8A" w:rsidRPr="006519D0">
        <w:t xml:space="preserve">množství regulovaných látek, čímž bude docíleno </w:t>
      </w:r>
      <w:r w:rsidR="009A0EBF" w:rsidRPr="006519D0">
        <w:t xml:space="preserve">výrazně </w:t>
      </w:r>
      <w:r w:rsidR="00EF4F8A" w:rsidRPr="006519D0">
        <w:t>vyšší ekonomické přijatelnosti oproti variantě 0</w:t>
      </w:r>
      <w:r w:rsidR="001E72DB" w:rsidRPr="006519D0">
        <w:t xml:space="preserve"> i variantě 1</w:t>
      </w:r>
      <w:r w:rsidR="00DF3E38" w:rsidRPr="006519D0">
        <w:t>.</w:t>
      </w:r>
      <w:r w:rsidR="00D66DBC" w:rsidRPr="006519D0">
        <w:t xml:space="preserve"> Náklady na zneškodnění regulovaných látek </w:t>
      </w:r>
      <w:r w:rsidR="00C70A68" w:rsidRPr="006519D0">
        <w:t>tak mohou v</w:t>
      </w:r>
      <w:r w:rsidR="00D66DBC" w:rsidRPr="006519D0">
        <w:t xml:space="preserve"> případě likvidace </w:t>
      </w:r>
      <w:r w:rsidR="00CA11EE" w:rsidRPr="006519D0">
        <w:t>velkého množství</w:t>
      </w:r>
      <w:r w:rsidR="00160755" w:rsidRPr="006519D0">
        <w:t xml:space="preserve"> regulovaných látek </w:t>
      </w:r>
      <w:r w:rsidR="00A91BFA" w:rsidRPr="006519D0">
        <w:t xml:space="preserve">významně </w:t>
      </w:r>
      <w:r w:rsidR="00CA11EE" w:rsidRPr="006519D0">
        <w:t>poklesnout</w:t>
      </w:r>
      <w:r w:rsidR="00E55D12" w:rsidRPr="006519D0">
        <w:t xml:space="preserve">, ovšem snížení ceny </w:t>
      </w:r>
      <w:r w:rsidR="007A23F6" w:rsidRPr="006519D0">
        <w:t xml:space="preserve">u této </w:t>
      </w:r>
      <w:r w:rsidR="007A23F6" w:rsidRPr="006519D0">
        <w:lastRenderedPageBreak/>
        <w:t xml:space="preserve">varianty </w:t>
      </w:r>
      <w:r w:rsidR="00E55D12" w:rsidRPr="006519D0">
        <w:t>nelze odhadnout, neboť záleží na nashromážděném množství regulovaných látek</w:t>
      </w:r>
      <w:r w:rsidR="007A23F6" w:rsidRPr="006519D0">
        <w:t xml:space="preserve"> (viz varianta 1</w:t>
      </w:r>
      <w:r w:rsidR="00A91BFA" w:rsidRPr="006519D0">
        <w:t>)</w:t>
      </w:r>
      <w:r w:rsidR="00D90508" w:rsidRPr="006519D0">
        <w:t>.</w:t>
      </w:r>
      <w:r w:rsidR="00E55D12" w:rsidRPr="006519D0">
        <w:t xml:space="preserve"> Lze však očekávat, že snížení </w:t>
      </w:r>
      <w:r w:rsidR="008E549E" w:rsidRPr="006519D0">
        <w:t>ceny za likvidaci regulovaných látek bude vyšší než pokles ceny</w:t>
      </w:r>
      <w:r w:rsidR="00CC2A5F" w:rsidRPr="006519D0">
        <w:t xml:space="preserve"> za likvidaci</w:t>
      </w:r>
      <w:r w:rsidR="008E549E" w:rsidRPr="006519D0">
        <w:t xml:space="preserve"> </w:t>
      </w:r>
      <w:r w:rsidR="00CC2A5F" w:rsidRPr="006519D0">
        <w:t>v případě</w:t>
      </w:r>
      <w:r w:rsidR="008E549E" w:rsidRPr="006519D0">
        <w:t xml:space="preserve"> varianty 1.</w:t>
      </w:r>
    </w:p>
    <w:p w14:paraId="1BFE3996" w14:textId="77777777" w:rsidR="00D91BC9" w:rsidRPr="006519D0" w:rsidRDefault="009731B0" w:rsidP="00D91BC9">
      <w:pPr>
        <w:rPr>
          <w:rFonts w:cs="Cambria"/>
        </w:rPr>
      </w:pPr>
      <w:r w:rsidRPr="006519D0">
        <w:t xml:space="preserve">Regulované látky </w:t>
      </w:r>
      <w:r w:rsidR="009A0EBF" w:rsidRPr="006519D0">
        <w:t xml:space="preserve">však </w:t>
      </w:r>
      <w:r w:rsidR="00C15A79" w:rsidRPr="006519D0">
        <w:t>představují natolik závažné ohrožení životního prostředí</w:t>
      </w:r>
      <w:r w:rsidR="00840253" w:rsidRPr="006519D0">
        <w:t xml:space="preserve"> v případě jejich úniku</w:t>
      </w:r>
      <w:r w:rsidR="005A3939" w:rsidRPr="006519D0">
        <w:t xml:space="preserve"> </w:t>
      </w:r>
      <w:r w:rsidR="00840253" w:rsidRPr="006519D0">
        <w:t>do ovzduší,</w:t>
      </w:r>
      <w:r w:rsidR="002B78D1" w:rsidRPr="006519D0">
        <w:t xml:space="preserve"> tyto látky silně poškozují ozonovou vrstvu Země a </w:t>
      </w:r>
      <w:r w:rsidR="00C30C1D" w:rsidRPr="006519D0">
        <w:t>mají zásadní vliv na</w:t>
      </w:r>
      <w:r w:rsidR="00DC5440" w:rsidRPr="006519D0">
        <w:t> </w:t>
      </w:r>
      <w:r w:rsidR="00C30C1D" w:rsidRPr="006519D0">
        <w:t>tvorbu ozonových děr,</w:t>
      </w:r>
      <w:r w:rsidR="00840253" w:rsidRPr="006519D0">
        <w:t xml:space="preserve"> </w:t>
      </w:r>
      <w:r w:rsidR="00D63564" w:rsidRPr="006519D0">
        <w:t xml:space="preserve">že </w:t>
      </w:r>
      <w:r w:rsidR="00220182" w:rsidRPr="006519D0">
        <w:t>ekonomick</w:t>
      </w:r>
      <w:r w:rsidR="00991568" w:rsidRPr="006519D0">
        <w:t xml:space="preserve">é přínosy likvidace v tomto případě nevyváží vysoké </w:t>
      </w:r>
      <w:r w:rsidR="00495A37" w:rsidRPr="006519D0">
        <w:t xml:space="preserve">riziko ohrožení životního prostředí z důvodu </w:t>
      </w:r>
      <w:r w:rsidR="00C30C1D" w:rsidRPr="006519D0">
        <w:t>možného</w:t>
      </w:r>
      <w:r w:rsidR="00495A37" w:rsidRPr="006519D0">
        <w:t xml:space="preserve"> úniku látek</w:t>
      </w:r>
      <w:r w:rsidR="00C30C1D" w:rsidRPr="006519D0">
        <w:t xml:space="preserve"> do ovzduší</w:t>
      </w:r>
      <w:r w:rsidR="00495A37" w:rsidRPr="006519D0">
        <w:t xml:space="preserve"> při dlouhodobějším skladování</w:t>
      </w:r>
      <w:r w:rsidR="005A3939" w:rsidRPr="006519D0">
        <w:t xml:space="preserve"> (prodloužení lhůty zneškodnění na dvojnásobek, tj. na 18 měsíců)</w:t>
      </w:r>
      <w:r w:rsidR="00991568" w:rsidRPr="006519D0">
        <w:t>.</w:t>
      </w:r>
      <w:r w:rsidR="00BD4309" w:rsidRPr="006519D0">
        <w:t xml:space="preserve"> </w:t>
      </w:r>
    </w:p>
    <w:p w14:paraId="02F3EC1D" w14:textId="77777777" w:rsidR="00E24349" w:rsidRPr="006519D0" w:rsidRDefault="00E24349" w:rsidP="00D91BC9">
      <w:pPr>
        <w:rPr>
          <w:rFonts w:cs="Cambria"/>
        </w:rPr>
      </w:pPr>
    </w:p>
    <w:p w14:paraId="62B5C5FC" w14:textId="77777777" w:rsidR="00D91BC9" w:rsidRPr="006519D0" w:rsidRDefault="009731B0" w:rsidP="00D91BC9">
      <w:pPr>
        <w:pStyle w:val="Nadpis2"/>
      </w:pPr>
      <w:r w:rsidRPr="006519D0">
        <w:t>Stanovení pořadí variant a výběr nejvhodnějšího řešení</w:t>
      </w:r>
    </w:p>
    <w:p w14:paraId="72795041" w14:textId="77777777" w:rsidR="00D91BC9" w:rsidRPr="006519D0" w:rsidRDefault="009731B0" w:rsidP="00D91BC9">
      <w:pPr>
        <w:pStyle w:val="Odstavecseseznamem"/>
        <w:numPr>
          <w:ilvl w:val="0"/>
          <w:numId w:val="4"/>
        </w:numPr>
        <w:contextualSpacing/>
        <w:rPr>
          <w:b/>
          <w:bCs/>
        </w:rPr>
      </w:pPr>
      <w:r w:rsidRPr="006519D0">
        <w:rPr>
          <w:b/>
          <w:bCs/>
        </w:rPr>
        <w:t>Varianta 1</w:t>
      </w:r>
    </w:p>
    <w:p w14:paraId="3308BA2F" w14:textId="77777777" w:rsidR="00BC7CCD" w:rsidRPr="006519D0" w:rsidRDefault="009731B0" w:rsidP="00D91BC9">
      <w:pPr>
        <w:pStyle w:val="Odstavecseseznamem"/>
        <w:numPr>
          <w:ilvl w:val="0"/>
          <w:numId w:val="4"/>
        </w:numPr>
        <w:contextualSpacing/>
        <w:rPr>
          <w:bCs/>
        </w:rPr>
      </w:pPr>
      <w:r w:rsidRPr="006519D0">
        <w:rPr>
          <w:bCs/>
        </w:rPr>
        <w:t>Varianta 2</w:t>
      </w:r>
    </w:p>
    <w:p w14:paraId="70DB7E8E" w14:textId="77777777" w:rsidR="00D91BC9" w:rsidRPr="006519D0" w:rsidRDefault="009731B0" w:rsidP="00D91BC9">
      <w:pPr>
        <w:pStyle w:val="Odstavecseseznamem"/>
        <w:numPr>
          <w:ilvl w:val="0"/>
          <w:numId w:val="4"/>
        </w:numPr>
        <w:ind w:left="714" w:hanging="357"/>
        <w:contextualSpacing/>
      </w:pPr>
      <w:r w:rsidRPr="006519D0">
        <w:t>Varianta 0</w:t>
      </w:r>
    </w:p>
    <w:p w14:paraId="2F92F37D" w14:textId="77777777" w:rsidR="00D91BC9" w:rsidRPr="006519D0" w:rsidRDefault="009731B0" w:rsidP="00D91BC9">
      <w:pPr>
        <w:contextualSpacing/>
      </w:pPr>
      <w:r w:rsidRPr="006519D0">
        <w:t xml:space="preserve">Doporučujeme přijmout variantu 1 vzhledem k pozitivnímu efektu prodloužení lhůty pro zneškodnění regulovaných látek z 9 měsíců na </w:t>
      </w:r>
      <w:r w:rsidR="007944D1" w:rsidRPr="006519D0">
        <w:t xml:space="preserve">12 </w:t>
      </w:r>
      <w:r w:rsidRPr="006519D0">
        <w:t>měsíců, a tím zajištění lepší ekonomické výhodnosti, a to jak pro osoby předávající regulované látky ke zneškodnění, tak os</w:t>
      </w:r>
      <w:r w:rsidRPr="006519D0">
        <w:t>oby certifikované ke zneškodňování regulovaných látek, aniž by byl identifikován negativní dopad na životní prostředí.</w:t>
      </w:r>
      <w:r w:rsidR="00BC7CCD" w:rsidRPr="006519D0">
        <w:t xml:space="preserve"> Zároveň je v případě varianty 1 výrazně sníženo riziko ohrožení životního prostředí, které by hrozilo v případě varianty 2 z důvodu dlouhodobého skladování regulovaných látek a možných úniků těchto látek do ovzduší.</w:t>
      </w:r>
      <w:r w:rsidR="001E72DB" w:rsidRPr="006519D0">
        <w:t xml:space="preserve"> Toto riziko ohrožení životního prostředí nevyváží ani vyšší ekonomická výhodnost varianty 2 oproti variantě 1.</w:t>
      </w:r>
    </w:p>
    <w:p w14:paraId="3393DD73" w14:textId="77777777" w:rsidR="00D91BC9" w:rsidRPr="006519D0" w:rsidRDefault="00D91BC9" w:rsidP="00D91BC9">
      <w:pPr>
        <w:contextualSpacing/>
      </w:pPr>
    </w:p>
    <w:p w14:paraId="4AA352DA" w14:textId="77777777" w:rsidR="00D91BC9" w:rsidRPr="006519D0" w:rsidRDefault="009731B0" w:rsidP="00D91BC9">
      <w:pPr>
        <w:pStyle w:val="Nadpis1"/>
      </w:pPr>
      <w:bookmarkStart w:id="21" w:name="_Toc256000004"/>
      <w:bookmarkStart w:id="22" w:name="_Toc19624751"/>
      <w:r w:rsidRPr="006519D0">
        <w:t>Zneškodnění</w:t>
      </w:r>
      <w:r w:rsidR="007F1AE6" w:rsidRPr="006519D0">
        <w:t xml:space="preserve"> a regenerace</w:t>
      </w:r>
      <w:r w:rsidRPr="006519D0">
        <w:t xml:space="preserve"> fluorovaných skleníkových plynů</w:t>
      </w:r>
      <w:bookmarkEnd w:id="21"/>
      <w:bookmarkEnd w:id="22"/>
    </w:p>
    <w:p w14:paraId="76AE595F" w14:textId="77777777" w:rsidR="00D91BC9" w:rsidRPr="006519D0" w:rsidRDefault="009731B0" w:rsidP="00D91BC9">
      <w:pPr>
        <w:pStyle w:val="Nadpis2"/>
      </w:pPr>
      <w:r w:rsidRPr="006519D0">
        <w:t>Důvod př</w:t>
      </w:r>
      <w:r w:rsidRPr="006519D0">
        <w:t>edložení a cíle</w:t>
      </w:r>
    </w:p>
    <w:p w14:paraId="19A78C19" w14:textId="77777777" w:rsidR="00D91BC9" w:rsidRPr="006519D0" w:rsidRDefault="009731B0" w:rsidP="00D91BC9">
      <w:pPr>
        <w:pStyle w:val="Nadpis3"/>
      </w:pPr>
      <w:r w:rsidRPr="006519D0">
        <w:t>Definice problému</w:t>
      </w:r>
    </w:p>
    <w:p w14:paraId="4BB654DA" w14:textId="77777777" w:rsidR="00D91BC9" w:rsidRPr="006519D0" w:rsidRDefault="009731B0" w:rsidP="00D91BC9">
      <w:r w:rsidRPr="006519D0">
        <w:t>V současné době je obecně užívání F-plynů povoleno, zatímco regulované látky je již zakázáno uvádět na trh. I přesto, že nakládání s F-plyny je obecně povoleno, z důvodu jejich vlivu na zesilování skleníkového efektu, je n</w:t>
      </w:r>
      <w:r w:rsidRPr="006519D0">
        <w:t xml:space="preserve">utné tyto látky určitým způsobem regulovat. Snahou tedy je zavedení regulace zneškodňování </w:t>
      </w:r>
      <w:r w:rsidR="00A6352D" w:rsidRPr="006519D0">
        <w:t xml:space="preserve">a regenerace </w:t>
      </w:r>
      <w:r w:rsidRPr="006519D0">
        <w:t>F-plynů</w:t>
      </w:r>
      <w:r w:rsidR="00A6352D" w:rsidRPr="006519D0">
        <w:t>,</w:t>
      </w:r>
      <w:r w:rsidRPr="006519D0">
        <w:t xml:space="preserve"> </w:t>
      </w:r>
      <w:r w:rsidR="00B9274A" w:rsidRPr="006519D0">
        <w:t xml:space="preserve">tato </w:t>
      </w:r>
      <w:r w:rsidRPr="006519D0">
        <w:t>regulace</w:t>
      </w:r>
      <w:r w:rsidR="00A6352D" w:rsidRPr="006519D0">
        <w:t xml:space="preserve"> </w:t>
      </w:r>
      <w:r w:rsidRPr="006519D0">
        <w:t>je reakcí na závěry 30. zasedání Smluvních stran Montrealského protokolu v listopadu 2018 v ekvádorském Quitu.</w:t>
      </w:r>
    </w:p>
    <w:p w14:paraId="2CE20AC2" w14:textId="77777777" w:rsidR="003D6032" w:rsidRPr="006519D0" w:rsidRDefault="003D6032" w:rsidP="00D91BC9"/>
    <w:p w14:paraId="76C38CF7" w14:textId="77777777" w:rsidR="00D91BC9" w:rsidRPr="006519D0" w:rsidRDefault="009731B0" w:rsidP="00D91BC9">
      <w:pPr>
        <w:pStyle w:val="Nadpis3"/>
      </w:pPr>
      <w:r w:rsidRPr="006519D0">
        <w:t>Popis existujícíh</w:t>
      </w:r>
      <w:r w:rsidRPr="006519D0">
        <w:t>o právního stavu v dané oblasti</w:t>
      </w:r>
    </w:p>
    <w:p w14:paraId="4703CD6D" w14:textId="77777777" w:rsidR="00D91BC9" w:rsidRPr="006519D0" w:rsidRDefault="009731B0" w:rsidP="00D91BC9">
      <w:r w:rsidRPr="006519D0">
        <w:t>Oblast předávání F-plynů ke zneškodnění</w:t>
      </w:r>
      <w:r w:rsidR="00A6352D" w:rsidRPr="006519D0">
        <w:t xml:space="preserve"> a regeneraci</w:t>
      </w:r>
      <w:r w:rsidRPr="006519D0">
        <w:t xml:space="preserve"> nepodléhá v současné době regulaci, neboť takový požadavek nevyplývá ani z mezinárodních úmluv, ani z evropské legislativy.</w:t>
      </w:r>
    </w:p>
    <w:p w14:paraId="77ECA570" w14:textId="77777777" w:rsidR="00D91BC9" w:rsidRPr="006519D0" w:rsidRDefault="00D91BC9" w:rsidP="00D91BC9"/>
    <w:p w14:paraId="4C93A788" w14:textId="77777777" w:rsidR="00D91BC9" w:rsidRPr="006519D0" w:rsidRDefault="009731B0" w:rsidP="00D91BC9">
      <w:pPr>
        <w:pStyle w:val="Nadpis3"/>
      </w:pPr>
      <w:r w:rsidRPr="006519D0">
        <w:t>Identifikace dotčených subjektů</w:t>
      </w:r>
    </w:p>
    <w:p w14:paraId="578EF155" w14:textId="77777777" w:rsidR="00D91BC9" w:rsidRPr="006519D0" w:rsidRDefault="009731B0" w:rsidP="00D91BC9">
      <w:pPr>
        <w:pStyle w:val="Odstavecseseznamem"/>
        <w:numPr>
          <w:ilvl w:val="0"/>
          <w:numId w:val="9"/>
        </w:numPr>
      </w:pPr>
      <w:r w:rsidRPr="006519D0">
        <w:t xml:space="preserve">osoby, které zneškodňují </w:t>
      </w:r>
      <w:r w:rsidR="00CD5926" w:rsidRPr="006519D0">
        <w:t xml:space="preserve">a regenerují </w:t>
      </w:r>
      <w:r w:rsidRPr="006519D0">
        <w:t>fluorované skleníkové plyny,</w:t>
      </w:r>
    </w:p>
    <w:p w14:paraId="21CD3D6C" w14:textId="77777777" w:rsidR="00D91BC9" w:rsidRPr="006519D0" w:rsidRDefault="009731B0" w:rsidP="00D91BC9">
      <w:pPr>
        <w:pStyle w:val="Odstavecseseznamem"/>
        <w:numPr>
          <w:ilvl w:val="0"/>
          <w:numId w:val="9"/>
        </w:numPr>
        <w:ind w:left="714" w:hanging="357"/>
      </w:pPr>
      <w:r w:rsidRPr="006519D0">
        <w:lastRenderedPageBreak/>
        <w:t>MŽP,</w:t>
      </w:r>
    </w:p>
    <w:p w14:paraId="59BA0F28" w14:textId="77777777" w:rsidR="00D91BC9" w:rsidRPr="006519D0" w:rsidRDefault="009731B0" w:rsidP="00D91BC9">
      <w:pPr>
        <w:pStyle w:val="Odstavecseseznamem"/>
        <w:numPr>
          <w:ilvl w:val="0"/>
          <w:numId w:val="9"/>
        </w:numPr>
        <w:ind w:left="714" w:hanging="357"/>
      </w:pPr>
      <w:r w:rsidRPr="006519D0">
        <w:t>ČIŽP.</w:t>
      </w:r>
    </w:p>
    <w:p w14:paraId="51E450D7" w14:textId="77777777" w:rsidR="00D91BC9" w:rsidRPr="006519D0" w:rsidRDefault="00D91BC9" w:rsidP="00D91BC9"/>
    <w:p w14:paraId="3EFE23BE" w14:textId="77777777" w:rsidR="00D91BC9" w:rsidRPr="006519D0" w:rsidRDefault="009731B0" w:rsidP="00D91BC9">
      <w:pPr>
        <w:pStyle w:val="Nadpis3"/>
      </w:pPr>
      <w:r w:rsidRPr="006519D0">
        <w:t>Popis cílového stavu</w:t>
      </w:r>
    </w:p>
    <w:p w14:paraId="36AE0F7C" w14:textId="77777777" w:rsidR="00D91BC9" w:rsidRPr="006519D0" w:rsidRDefault="009731B0" w:rsidP="00D91BC9">
      <w:r w:rsidRPr="006519D0">
        <w:t xml:space="preserve">Cílem je regulovat zneškodňování F-plynů, avšak bez stanovení lhůty pro předání ke zneškodnění (jako je tomu u regulovaných látek), neboť obecně je užívání </w:t>
      </w:r>
      <w:r w:rsidRPr="006519D0">
        <w:t xml:space="preserve">F-plynů povoleno. </w:t>
      </w:r>
      <w:r w:rsidR="00A6352D" w:rsidRPr="006519D0">
        <w:rPr>
          <w:rFonts w:cs="Arial"/>
        </w:rPr>
        <w:t>Současně je cílem regulovat regeneraci F-plynů, protože v současné době neexistuje žádná možnost kontroly nakládání s regenerovanými F-plyny.</w:t>
      </w:r>
    </w:p>
    <w:p w14:paraId="4E94CB42" w14:textId="77777777" w:rsidR="00D91BC9" w:rsidRPr="006519D0" w:rsidRDefault="00D91BC9" w:rsidP="00D91BC9"/>
    <w:p w14:paraId="3D467A32" w14:textId="77777777" w:rsidR="00D91BC9" w:rsidRPr="006519D0" w:rsidRDefault="009731B0" w:rsidP="00D91BC9">
      <w:pPr>
        <w:pStyle w:val="Nadpis3"/>
      </w:pPr>
      <w:r w:rsidRPr="006519D0">
        <w:t>Zhodnocení rizika</w:t>
      </w:r>
    </w:p>
    <w:p w14:paraId="53CA9420" w14:textId="77777777" w:rsidR="00D91BC9" w:rsidRPr="006519D0" w:rsidRDefault="009731B0" w:rsidP="00D91BC9">
      <w:r w:rsidRPr="006519D0">
        <w:t xml:space="preserve">Při zachování současného stavu hrozí riziko neregulovaného a </w:t>
      </w:r>
      <w:r w:rsidRPr="006519D0">
        <w:t>nekontrolovatelného zneškodňování (odstraňování) F-plynů</w:t>
      </w:r>
      <w:r w:rsidR="00A6352D" w:rsidRPr="006519D0">
        <w:t xml:space="preserve"> a nakládání s regulovanými F-plyny bez možnosti kontroly</w:t>
      </w:r>
      <w:r w:rsidRPr="006519D0">
        <w:t>. Při nekvalifikovaném zneškodňování F-plynů může dojít k úniku těchto plynů do</w:t>
      </w:r>
      <w:r w:rsidR="00C953FE" w:rsidRPr="006519D0">
        <w:t> </w:t>
      </w:r>
      <w:r w:rsidRPr="006519D0">
        <w:t>ovzduší a posílení skleníkového efektu, který urychluje globáln</w:t>
      </w:r>
      <w:r w:rsidRPr="006519D0">
        <w:t>í změnu klimatu (globální oteplování).</w:t>
      </w:r>
    </w:p>
    <w:p w14:paraId="1DA15FCD" w14:textId="77777777" w:rsidR="00D91BC9" w:rsidRPr="006519D0" w:rsidRDefault="00D91BC9" w:rsidP="00D91BC9"/>
    <w:p w14:paraId="52E4FC96" w14:textId="77777777" w:rsidR="00D91BC9" w:rsidRPr="006519D0" w:rsidRDefault="009731B0" w:rsidP="00D91BC9">
      <w:pPr>
        <w:pStyle w:val="Nadpis2"/>
      </w:pPr>
      <w:r w:rsidRPr="006519D0">
        <w:t>Návrh variant řešení</w:t>
      </w:r>
    </w:p>
    <w:p w14:paraId="35BADA6A" w14:textId="77777777" w:rsidR="00D91BC9" w:rsidRPr="006519D0" w:rsidRDefault="009731B0" w:rsidP="00D91BC9">
      <w:pPr>
        <w:pStyle w:val="Nadpis3"/>
      </w:pPr>
      <w:r w:rsidRPr="006519D0">
        <w:t>Varianta 0</w:t>
      </w:r>
    </w:p>
    <w:p w14:paraId="5C59D8C4" w14:textId="77777777" w:rsidR="00D91BC9" w:rsidRPr="006519D0" w:rsidRDefault="009731B0" w:rsidP="00D91BC9">
      <w:r w:rsidRPr="006519D0">
        <w:t xml:space="preserve">Zachování současného stavu, kdy zneškodňování </w:t>
      </w:r>
      <w:r w:rsidR="00A6352D" w:rsidRPr="006519D0">
        <w:t xml:space="preserve">a regenerace </w:t>
      </w:r>
      <w:r w:rsidRPr="006519D0">
        <w:t>F-plynů není právními předpisy regulován</w:t>
      </w:r>
      <w:r w:rsidR="00A6352D" w:rsidRPr="006519D0">
        <w:t>a</w:t>
      </w:r>
      <w:r w:rsidRPr="006519D0">
        <w:t>.</w:t>
      </w:r>
    </w:p>
    <w:p w14:paraId="7DDDC33F" w14:textId="77777777" w:rsidR="00D91BC9" w:rsidRPr="006519D0" w:rsidRDefault="009731B0" w:rsidP="00D91BC9">
      <w:pPr>
        <w:pStyle w:val="Nadpis3"/>
      </w:pPr>
      <w:r w:rsidRPr="006519D0">
        <w:t>Varianta 1</w:t>
      </w:r>
    </w:p>
    <w:p w14:paraId="3F98453E" w14:textId="77777777" w:rsidR="006512FC" w:rsidRPr="006519D0" w:rsidRDefault="009731B0" w:rsidP="00D91BC9">
      <w:r w:rsidRPr="006519D0">
        <w:t>Nově navržená úprava podmiňuje možnost zneškodňování</w:t>
      </w:r>
      <w:r w:rsidR="00A6352D" w:rsidRPr="006519D0">
        <w:t xml:space="preserve"> a regenerace</w:t>
      </w:r>
      <w:r w:rsidRPr="006519D0">
        <w:t xml:space="preserve"> F-ply</w:t>
      </w:r>
      <w:r w:rsidRPr="006519D0">
        <w:t>nů skutečností, že osoba, jež má úmysl F-plyny zneškodňovat</w:t>
      </w:r>
      <w:r w:rsidR="00A6352D" w:rsidRPr="006519D0">
        <w:t xml:space="preserve"> či regenerovat</w:t>
      </w:r>
      <w:r w:rsidRPr="006519D0">
        <w:t>, má platné povolení k výkonu takové činnosti. Návrh právní úpravy je obdobný jako u regulovaných látek s tím rozdíle</w:t>
      </w:r>
      <w:r w:rsidR="00A6352D" w:rsidRPr="006519D0">
        <w:t xml:space="preserve">m, že není stanovena povinnost </w:t>
      </w:r>
      <w:r w:rsidRPr="006519D0">
        <w:t>F-plyny předávat ke zneškodnění</w:t>
      </w:r>
      <w:r w:rsidR="00A6352D" w:rsidRPr="006519D0">
        <w:t xml:space="preserve"> či regeneraci</w:t>
      </w:r>
      <w:r w:rsidRPr="006519D0">
        <w:t xml:space="preserve"> v určité lhůtě, neboť nakládání s F-plyny je obecně povoleno.</w:t>
      </w:r>
    </w:p>
    <w:p w14:paraId="4FA53104" w14:textId="77777777" w:rsidR="00D91BC9" w:rsidRPr="006519D0" w:rsidRDefault="009731B0" w:rsidP="00D91BC9">
      <w:r w:rsidRPr="006519D0">
        <w:t xml:space="preserve"> </w:t>
      </w:r>
    </w:p>
    <w:p w14:paraId="0F5649F6" w14:textId="77777777" w:rsidR="00D91BC9" w:rsidRPr="006519D0" w:rsidRDefault="009731B0" w:rsidP="00D91BC9">
      <w:pPr>
        <w:pStyle w:val="Nadpis2"/>
      </w:pPr>
      <w:r w:rsidRPr="006519D0">
        <w:t>Vyhodnocení nákladů a přínosů</w:t>
      </w:r>
    </w:p>
    <w:p w14:paraId="7C601E3B" w14:textId="77777777" w:rsidR="00D91BC9" w:rsidRPr="006519D0" w:rsidRDefault="009731B0" w:rsidP="00D91BC9">
      <w:pPr>
        <w:pStyle w:val="Nadpis3"/>
        <w:spacing w:after="120"/>
      </w:pPr>
      <w:r w:rsidRPr="006519D0">
        <w:t>Identifikace nákladů a přínosů</w:t>
      </w:r>
    </w:p>
    <w:p w14:paraId="0E74C2A9" w14:textId="77777777" w:rsidR="00D91BC9" w:rsidRPr="006519D0" w:rsidRDefault="009731B0" w:rsidP="00D91BC9">
      <w:pPr>
        <w:pStyle w:val="Odstavecseseznamem"/>
        <w:numPr>
          <w:ilvl w:val="0"/>
          <w:numId w:val="30"/>
        </w:numPr>
        <w:rPr>
          <w:b/>
        </w:rPr>
      </w:pPr>
      <w:r w:rsidRPr="006519D0">
        <w:rPr>
          <w:b/>
        </w:rPr>
        <w:t>Varianta 0</w:t>
      </w:r>
    </w:p>
    <w:p w14:paraId="305C7F5F" w14:textId="77777777" w:rsidR="00D91BC9" w:rsidRPr="006519D0" w:rsidRDefault="009731B0" w:rsidP="006B120A">
      <w:pPr>
        <w:spacing w:before="240" w:after="0"/>
        <w:rPr>
          <w:b/>
        </w:rPr>
      </w:pPr>
      <w:r w:rsidRPr="006519D0">
        <w:rPr>
          <w:b/>
        </w:rPr>
        <w:t>Dopady na státní rozpočet a ostatní veřejné rozpočty</w:t>
      </w:r>
    </w:p>
    <w:p w14:paraId="678F3F45" w14:textId="77777777" w:rsidR="00D91BC9" w:rsidRPr="006519D0" w:rsidRDefault="009731B0" w:rsidP="00D91BC9">
      <w:r w:rsidRPr="006519D0">
        <w:t>Varianta 0 nemá dopady na státní rozpočet a ostatní veř</w:t>
      </w:r>
      <w:r w:rsidRPr="006519D0">
        <w:t>ejné rozpočty.</w:t>
      </w:r>
    </w:p>
    <w:p w14:paraId="7D7B1926" w14:textId="77777777" w:rsidR="00D91BC9" w:rsidRPr="006519D0" w:rsidRDefault="009731B0" w:rsidP="006B120A">
      <w:pPr>
        <w:spacing w:before="240" w:after="0"/>
        <w:rPr>
          <w:b/>
        </w:rPr>
      </w:pPr>
      <w:r w:rsidRPr="006519D0">
        <w:rPr>
          <w:b/>
        </w:rPr>
        <w:t>Dopady na podnikatelské prostředí</w:t>
      </w:r>
    </w:p>
    <w:p w14:paraId="7680B3E6" w14:textId="77777777" w:rsidR="00D91BC9" w:rsidRPr="006519D0" w:rsidRDefault="009731B0" w:rsidP="00D91BC9">
      <w:r w:rsidRPr="006519D0">
        <w:t>Varianta 0 nemá dopady na podnikatelské prostředí.</w:t>
      </w:r>
    </w:p>
    <w:p w14:paraId="42826A60" w14:textId="77777777" w:rsidR="00D91BC9" w:rsidRPr="006519D0" w:rsidRDefault="009731B0" w:rsidP="00743824">
      <w:pPr>
        <w:keepNext/>
        <w:spacing w:before="240" w:after="0"/>
        <w:rPr>
          <w:b/>
        </w:rPr>
      </w:pPr>
      <w:r w:rsidRPr="006519D0">
        <w:rPr>
          <w:b/>
        </w:rPr>
        <w:lastRenderedPageBreak/>
        <w:t>Dopady na životní prostředí</w:t>
      </w:r>
    </w:p>
    <w:p w14:paraId="2037CD67" w14:textId="77777777" w:rsidR="00D91BC9" w:rsidRPr="006519D0" w:rsidRDefault="009731B0" w:rsidP="00D91BC9">
      <w:r w:rsidRPr="006519D0">
        <w:t xml:space="preserve">U varianty 0 hrozí potenciálně negativní dopad na životní prostředí, kdy v případě nekvalifikovaného odstranění </w:t>
      </w:r>
      <w:r w:rsidR="00A6352D" w:rsidRPr="006519D0">
        <w:t xml:space="preserve">a regeneraci </w:t>
      </w:r>
      <w:r w:rsidRPr="006519D0">
        <w:t>F-plynů může dojít k úniku těchto plynů do ovzduší, kde posilují skleníkový efekt a urychlují globální změny klimatu.</w:t>
      </w:r>
    </w:p>
    <w:p w14:paraId="17CFAACF" w14:textId="77777777" w:rsidR="00D91BC9" w:rsidRPr="006519D0" w:rsidRDefault="00D91BC9" w:rsidP="00D91BC9"/>
    <w:p w14:paraId="14D87821" w14:textId="77777777" w:rsidR="00D91BC9" w:rsidRPr="006519D0" w:rsidRDefault="009731B0" w:rsidP="007D2D08">
      <w:pPr>
        <w:pStyle w:val="Odstavecseseznamem"/>
        <w:keepNext/>
        <w:numPr>
          <w:ilvl w:val="0"/>
          <w:numId w:val="30"/>
        </w:numPr>
        <w:ind w:left="714" w:hanging="357"/>
        <w:rPr>
          <w:b/>
        </w:rPr>
      </w:pPr>
      <w:r w:rsidRPr="006519D0">
        <w:rPr>
          <w:b/>
        </w:rPr>
        <w:t>Varianta 1</w:t>
      </w:r>
    </w:p>
    <w:p w14:paraId="4F8554EA" w14:textId="77777777" w:rsidR="00D91BC9" w:rsidRPr="006519D0" w:rsidRDefault="009731B0" w:rsidP="006B120A">
      <w:pPr>
        <w:spacing w:before="240" w:after="0"/>
        <w:rPr>
          <w:b/>
        </w:rPr>
      </w:pPr>
      <w:r w:rsidRPr="006519D0">
        <w:rPr>
          <w:b/>
        </w:rPr>
        <w:t>Dopady na státní rozpočet a ostatní veřejné rozpočty</w:t>
      </w:r>
    </w:p>
    <w:p w14:paraId="4917876C" w14:textId="77777777" w:rsidR="00D91BC9" w:rsidRPr="006519D0" w:rsidRDefault="009731B0" w:rsidP="00D91BC9">
      <w:r w:rsidRPr="006519D0">
        <w:t xml:space="preserve">MŽP bude nově vydávat povolení ke zneškodňování </w:t>
      </w:r>
      <w:r w:rsidR="00A6352D" w:rsidRPr="006519D0">
        <w:t xml:space="preserve">a k regeneraci </w:t>
      </w:r>
      <w:r w:rsidRPr="006519D0">
        <w:t>F-plynů. V</w:t>
      </w:r>
      <w:r w:rsidRPr="006519D0">
        <w:t xml:space="preserve">zhledem k tomu, že v současnosti </w:t>
      </w:r>
      <w:r w:rsidR="00A6352D" w:rsidRPr="006519D0">
        <w:t xml:space="preserve">jsou </w:t>
      </w:r>
      <w:r w:rsidRPr="006519D0">
        <w:t xml:space="preserve">v ČR pouze </w:t>
      </w:r>
      <w:r w:rsidR="00A6352D" w:rsidRPr="006519D0">
        <w:t xml:space="preserve">jednotky </w:t>
      </w:r>
      <w:r w:rsidRPr="006519D0">
        <w:t>subjekt</w:t>
      </w:r>
      <w:r w:rsidR="00A6352D" w:rsidRPr="006519D0">
        <w:t>ů</w:t>
      </w:r>
      <w:r w:rsidRPr="006519D0">
        <w:t>, kter</w:t>
      </w:r>
      <w:r w:rsidR="00A6352D" w:rsidRPr="006519D0">
        <w:t>é</w:t>
      </w:r>
      <w:r w:rsidRPr="006519D0">
        <w:t xml:space="preserve"> se zabýv</w:t>
      </w:r>
      <w:r w:rsidR="00A6352D" w:rsidRPr="006519D0">
        <w:t>ají</w:t>
      </w:r>
      <w:r w:rsidRPr="006519D0">
        <w:t xml:space="preserve"> touto činností, předpokládáme zanedbatelné jednorázové navýšení administrativní zátěže MŽP na vydání povolení pro </w:t>
      </w:r>
      <w:r w:rsidR="00A6352D" w:rsidRPr="006519D0">
        <w:t xml:space="preserve">tyto </w:t>
      </w:r>
      <w:r w:rsidRPr="006519D0">
        <w:t>subjekt</w:t>
      </w:r>
      <w:r w:rsidR="00A6352D" w:rsidRPr="006519D0">
        <w:t>y</w:t>
      </w:r>
      <w:r w:rsidRPr="006519D0">
        <w:t xml:space="preserve">, které bude zvládnuto v rámci stávajících </w:t>
      </w:r>
      <w:r w:rsidRPr="006519D0">
        <w:t>personálních kapacit pracovníků odboru ochrany ovzduší.</w:t>
      </w:r>
    </w:p>
    <w:p w14:paraId="26B32216" w14:textId="77777777" w:rsidR="00D91BC9" w:rsidRPr="006519D0" w:rsidRDefault="009731B0" w:rsidP="006B120A">
      <w:pPr>
        <w:spacing w:before="240" w:after="0"/>
        <w:rPr>
          <w:b/>
        </w:rPr>
      </w:pPr>
      <w:r w:rsidRPr="006519D0">
        <w:rPr>
          <w:b/>
        </w:rPr>
        <w:t>Dopady na podnikatelské prostředí</w:t>
      </w:r>
    </w:p>
    <w:p w14:paraId="412F7664" w14:textId="77777777" w:rsidR="00D91BC9" w:rsidRPr="006519D0" w:rsidRDefault="009731B0" w:rsidP="00D91BC9">
      <w:r w:rsidRPr="006519D0">
        <w:t xml:space="preserve">Osoby, které provádí zneškodňování </w:t>
      </w:r>
      <w:r w:rsidR="00D0724A" w:rsidRPr="006519D0">
        <w:t xml:space="preserve">či regeneraci </w:t>
      </w:r>
      <w:r w:rsidRPr="006519D0">
        <w:t xml:space="preserve">F-plynů, budou tuto činnost moci vykonávat pouze na základě vydaného platného povolení. V současnosti se jedná pouze </w:t>
      </w:r>
      <w:r w:rsidRPr="006519D0">
        <w:t xml:space="preserve">o </w:t>
      </w:r>
      <w:r w:rsidR="00D0724A" w:rsidRPr="006519D0">
        <w:t>je</w:t>
      </w:r>
      <w:r w:rsidR="00CD5926" w:rsidRPr="006519D0">
        <w:t>d</w:t>
      </w:r>
      <w:r w:rsidR="00D0724A" w:rsidRPr="006519D0">
        <w:t xml:space="preserve">notky </w:t>
      </w:r>
      <w:r w:rsidRPr="006519D0">
        <w:t>subjekt</w:t>
      </w:r>
      <w:r w:rsidR="00D0724A" w:rsidRPr="006519D0">
        <w:t>ů</w:t>
      </w:r>
      <w:r w:rsidRPr="006519D0">
        <w:t>, kter</w:t>
      </w:r>
      <w:r w:rsidR="00D0724A" w:rsidRPr="006519D0">
        <w:t>é</w:t>
      </w:r>
      <w:r w:rsidRPr="006519D0">
        <w:t xml:space="preserve"> se zabýv</w:t>
      </w:r>
      <w:r w:rsidR="00D0724A" w:rsidRPr="006519D0">
        <w:t>ají</w:t>
      </w:r>
      <w:r w:rsidRPr="006519D0">
        <w:t xml:space="preserve"> touto činností</w:t>
      </w:r>
      <w:r w:rsidR="008F11BB" w:rsidRPr="006519D0">
        <w:t>, neočekává se však, že v souvislosti se zaváděnou regulací subjektů dojde ke snížení jejich počtu zejména s ohledem na jednorázový charakter administrativní zátěže a zanedbatelné náklady spojené s pořízením povolení k výkonu činnosti zneškodňování a regenerace F-plynů</w:t>
      </w:r>
      <w:r w:rsidRPr="006519D0">
        <w:t>. Řízení o vydání povolení se řídí správním řádem, z hlediska časové náročnosti se tedy jedná o bezodkladnou lhůtu (resp. 30denní lhůtu) k vydání povolení a 15denní lhůtu pro nabytí p</w:t>
      </w:r>
      <w:r w:rsidRPr="006519D0">
        <w:t>rávní moci, která může být kratší v případě doručení vzdání se práva podat odvolání. Administrativní zátěž v souvislosti se získáním nového povolení zabere cca 1-2 hodiny času, což činí cca 500 Kč/povolení a 1000 Kč jako správní poplatek za podanou žádost.</w:t>
      </w:r>
      <w:r w:rsidRPr="006519D0">
        <w:t xml:space="preserve"> Povolení bude vydáno pouze subjektům, které provozují technologie doporučené v rozhodnutí XXX/6 smluvních stran Montrealského protokolu.</w:t>
      </w:r>
      <w:r w:rsidR="00D83403" w:rsidRPr="006519D0">
        <w:t xml:space="preserve"> S ohledem na minimální nárůst administrativní zátěže pro subjekty a též zanedbatelné náklady související s vydáním povolení není předpokládán nárůst cen služeb spočívajících ve</w:t>
      </w:r>
      <w:r w:rsidR="00FF4474" w:rsidRPr="006519D0">
        <w:t> </w:t>
      </w:r>
      <w:r w:rsidR="00D83403" w:rsidRPr="006519D0">
        <w:t>zneškodňování a regeneraci F-plynů</w:t>
      </w:r>
      <w:r w:rsidR="00F440AD" w:rsidRPr="006519D0">
        <w:t>, t</w:t>
      </w:r>
      <w:r w:rsidR="00020A75" w:rsidRPr="006519D0">
        <w:t>udíž nepředpokládáme</w:t>
      </w:r>
      <w:r w:rsidR="0044188E" w:rsidRPr="006519D0">
        <w:t xml:space="preserve"> zvýšení rizika</w:t>
      </w:r>
      <w:r w:rsidR="0047764B" w:rsidRPr="006519D0">
        <w:t xml:space="preserve"> obcházení regulace a </w:t>
      </w:r>
      <w:r w:rsidR="00905A4C" w:rsidRPr="006519D0">
        <w:t xml:space="preserve">nekvalifikované </w:t>
      </w:r>
      <w:r w:rsidR="0047764B" w:rsidRPr="006519D0">
        <w:t>ods</w:t>
      </w:r>
      <w:r w:rsidR="00D6698B" w:rsidRPr="006519D0">
        <w:t>traňování F-plynů</w:t>
      </w:r>
      <w:r w:rsidR="005B3955" w:rsidRPr="006519D0">
        <w:t>. O</w:t>
      </w:r>
      <w:r w:rsidR="00F440AD" w:rsidRPr="006519D0">
        <w:t>soby</w:t>
      </w:r>
      <w:r w:rsidR="0044188E" w:rsidRPr="006519D0">
        <w:t xml:space="preserve">, které budou předávat F-plyny k jejich regeneraci osobám </w:t>
      </w:r>
      <w:r w:rsidR="00DC5FC6" w:rsidRPr="006519D0">
        <w:t>kvalifikovaným pro regeneraci a zneškodňování</w:t>
      </w:r>
      <w:r w:rsidR="005B3955" w:rsidRPr="006519D0">
        <w:t xml:space="preserve"> F-plynů, tak činí již nyní. Vzhledem k tomu, že se nepředpokládá navýšení </w:t>
      </w:r>
      <w:r w:rsidR="00AA5D71" w:rsidRPr="006519D0">
        <w:t>ceny za likvidaci</w:t>
      </w:r>
      <w:r w:rsidR="004C055A" w:rsidRPr="006519D0">
        <w:t xml:space="preserve"> F-plynů</w:t>
      </w:r>
      <w:r w:rsidR="00E90A70" w:rsidRPr="006519D0">
        <w:t xml:space="preserve"> z důvodu vydávání povolení pro osoby zneškodňující F-plyny</w:t>
      </w:r>
      <w:r w:rsidR="00AA5D71" w:rsidRPr="006519D0">
        <w:t>, nedomníváme se, že by</w:t>
      </w:r>
      <w:r w:rsidR="003029FF" w:rsidRPr="006519D0">
        <w:t xml:space="preserve"> se</w:t>
      </w:r>
      <w:r w:rsidR="00AA5D71" w:rsidRPr="006519D0">
        <w:t xml:space="preserve"> </w:t>
      </w:r>
      <w:r w:rsidR="00DA0C84" w:rsidRPr="006519D0">
        <w:t>osoby, které předávají F-plyny k jejich regeneraci</w:t>
      </w:r>
      <w:r w:rsidR="00033FB2" w:rsidRPr="006519D0">
        <w:t>,</w:t>
      </w:r>
      <w:r w:rsidR="00DA0C84" w:rsidRPr="006519D0">
        <w:t xml:space="preserve"> snažil</w:t>
      </w:r>
      <w:r w:rsidR="003029FF" w:rsidRPr="006519D0">
        <w:t>y</w:t>
      </w:r>
      <w:r w:rsidR="00DA0C84" w:rsidRPr="006519D0">
        <w:t xml:space="preserve"> </w:t>
      </w:r>
      <w:r w:rsidR="00F92E06" w:rsidRPr="006519D0">
        <w:t>nekvalifikovaně F-plyny</w:t>
      </w:r>
      <w:r w:rsidR="00E3243A" w:rsidRPr="006519D0">
        <w:t xml:space="preserve"> odstraňovat</w:t>
      </w:r>
      <w:r w:rsidR="007E1050" w:rsidRPr="006519D0">
        <w:t xml:space="preserve"> sam</w:t>
      </w:r>
      <w:r w:rsidR="00FE2C7D" w:rsidRPr="006519D0">
        <w:t>y</w:t>
      </w:r>
      <w:r w:rsidR="00F92E06" w:rsidRPr="006519D0">
        <w:t>.</w:t>
      </w:r>
    </w:p>
    <w:p w14:paraId="54DDB058" w14:textId="77777777" w:rsidR="0016237C" w:rsidRPr="006519D0" w:rsidRDefault="0016237C" w:rsidP="00D91BC9"/>
    <w:p w14:paraId="57C30DE3" w14:textId="77777777" w:rsidR="00D91BC9" w:rsidRPr="006519D0" w:rsidRDefault="009731B0" w:rsidP="006B120A">
      <w:pPr>
        <w:spacing w:before="240" w:after="0"/>
        <w:rPr>
          <w:b/>
        </w:rPr>
      </w:pPr>
      <w:r w:rsidRPr="006519D0">
        <w:rPr>
          <w:b/>
        </w:rPr>
        <w:t>Dopady na životní prostředí</w:t>
      </w:r>
    </w:p>
    <w:p w14:paraId="70F8A936" w14:textId="77777777" w:rsidR="003357EB" w:rsidRPr="006519D0" w:rsidRDefault="009731B0" w:rsidP="00D91BC9">
      <w:r w:rsidRPr="006519D0">
        <w:t xml:space="preserve">Varianta 1 bude mít potenciálně pozitivní vliv na životní prostředí, neboť zneškodňování </w:t>
      </w:r>
      <w:r w:rsidR="00E24349" w:rsidRPr="006519D0">
        <w:br/>
      </w:r>
      <w:r w:rsidR="00D0724A" w:rsidRPr="006519D0">
        <w:t xml:space="preserve">a regeneraci </w:t>
      </w:r>
      <w:r w:rsidRPr="006519D0">
        <w:t xml:space="preserve">F-plynů budou provádět pouze osoby s platným povolením, čímž bude zajištěno kvalifikované zacházení s F-plyny v rámci </w:t>
      </w:r>
      <w:r w:rsidR="00D0724A" w:rsidRPr="006519D0">
        <w:t xml:space="preserve">těchto </w:t>
      </w:r>
      <w:r w:rsidRPr="006519D0">
        <w:t>proces</w:t>
      </w:r>
      <w:r w:rsidR="00D0724A" w:rsidRPr="006519D0">
        <w:t>ů</w:t>
      </w:r>
      <w:r w:rsidRPr="006519D0">
        <w:t xml:space="preserve"> a bude tedy minimalizováno riziko úniku F-plynů do ovzduší.</w:t>
      </w:r>
    </w:p>
    <w:p w14:paraId="0E805E1A" w14:textId="77777777" w:rsidR="00E3243A" w:rsidRPr="006519D0" w:rsidRDefault="00E3243A" w:rsidP="00D91BC9"/>
    <w:p w14:paraId="6DA6CB0F" w14:textId="77777777" w:rsidR="00D91BC9" w:rsidRPr="006519D0" w:rsidRDefault="009731B0" w:rsidP="00D91BC9">
      <w:pPr>
        <w:pStyle w:val="Nadpis3"/>
      </w:pPr>
      <w:r w:rsidRPr="006519D0">
        <w:lastRenderedPageBreak/>
        <w:t>Vyhodnocení nákladů a přínosů variant</w:t>
      </w:r>
    </w:p>
    <w:p w14:paraId="32C8E075" w14:textId="77777777" w:rsidR="00D91BC9" w:rsidRPr="006519D0" w:rsidRDefault="009731B0" w:rsidP="00D91BC9">
      <w:pPr>
        <w:keepNext/>
        <w:rPr>
          <w:rFonts w:cs="Arial"/>
          <w:b/>
          <w:spacing w:val="10"/>
          <w:sz w:val="20"/>
          <w:szCs w:val="20"/>
        </w:rPr>
      </w:pPr>
      <w:r w:rsidRPr="006519D0">
        <w:rPr>
          <w:rFonts w:cs="Arial"/>
          <w:b/>
          <w:spacing w:val="10"/>
          <w:sz w:val="20"/>
          <w:szCs w:val="20"/>
        </w:rPr>
        <w:t xml:space="preserve">Tabulka </w:t>
      </w:r>
      <w:r w:rsidR="001856C3" w:rsidRPr="006519D0">
        <w:rPr>
          <w:rFonts w:cs="Arial"/>
          <w:b/>
          <w:spacing w:val="10"/>
          <w:sz w:val="20"/>
          <w:szCs w:val="20"/>
        </w:rPr>
        <w:t>1</w:t>
      </w:r>
      <w:r w:rsidRPr="006519D0">
        <w:rPr>
          <w:rFonts w:cs="Arial"/>
          <w:b/>
          <w:spacing w:val="10"/>
          <w:sz w:val="20"/>
          <w:szCs w:val="20"/>
        </w:rPr>
        <w:t>: Porovnání nák</w:t>
      </w:r>
      <w:r w:rsidRPr="006519D0">
        <w:rPr>
          <w:rFonts w:cs="Arial"/>
          <w:b/>
          <w:spacing w:val="10"/>
          <w:sz w:val="20"/>
          <w:szCs w:val="20"/>
        </w:rPr>
        <w:t>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0F741850" w14:textId="77777777" w:rsidTr="00F56CCB">
        <w:trPr>
          <w:trHeight w:val="125"/>
        </w:trPr>
        <w:tc>
          <w:tcPr>
            <w:tcW w:w="1240" w:type="dxa"/>
            <w:noWrap/>
            <w:vAlign w:val="center"/>
            <w:hideMark/>
          </w:tcPr>
          <w:p w14:paraId="5F57B275" w14:textId="77777777" w:rsidR="00D91BC9" w:rsidRPr="006519D0" w:rsidRDefault="009731B0" w:rsidP="00F56CCB">
            <w:pPr>
              <w:rPr>
                <w:b/>
                <w:bCs/>
                <w:szCs w:val="20"/>
              </w:rPr>
            </w:pPr>
            <w:r w:rsidRPr="006519D0">
              <w:rPr>
                <w:b/>
                <w:bCs/>
                <w:szCs w:val="20"/>
              </w:rPr>
              <w:t>Varianta</w:t>
            </w:r>
          </w:p>
        </w:tc>
        <w:tc>
          <w:tcPr>
            <w:tcW w:w="2405" w:type="dxa"/>
            <w:noWrap/>
            <w:vAlign w:val="center"/>
            <w:hideMark/>
          </w:tcPr>
          <w:p w14:paraId="4266170F" w14:textId="77777777" w:rsidR="00D91BC9" w:rsidRPr="006519D0" w:rsidRDefault="009731B0" w:rsidP="00F56CCB">
            <w:pPr>
              <w:jc w:val="center"/>
              <w:rPr>
                <w:b/>
                <w:bCs/>
                <w:szCs w:val="20"/>
              </w:rPr>
            </w:pPr>
            <w:r w:rsidRPr="006519D0">
              <w:rPr>
                <w:b/>
                <w:bCs/>
                <w:szCs w:val="20"/>
              </w:rPr>
              <w:t>Přínosy</w:t>
            </w:r>
          </w:p>
        </w:tc>
        <w:tc>
          <w:tcPr>
            <w:tcW w:w="1496" w:type="dxa"/>
            <w:noWrap/>
            <w:vAlign w:val="center"/>
            <w:hideMark/>
          </w:tcPr>
          <w:p w14:paraId="618F6B25" w14:textId="77777777" w:rsidR="00D91BC9" w:rsidRPr="006519D0" w:rsidRDefault="009731B0" w:rsidP="00F56CCB">
            <w:pPr>
              <w:jc w:val="center"/>
              <w:rPr>
                <w:b/>
                <w:bCs/>
                <w:szCs w:val="20"/>
              </w:rPr>
            </w:pPr>
            <w:r w:rsidRPr="006519D0">
              <w:rPr>
                <w:b/>
                <w:bCs/>
                <w:szCs w:val="20"/>
              </w:rPr>
              <w:t>Hodnocení</w:t>
            </w:r>
          </w:p>
        </w:tc>
        <w:tc>
          <w:tcPr>
            <w:tcW w:w="2465" w:type="dxa"/>
            <w:noWrap/>
            <w:vAlign w:val="center"/>
            <w:hideMark/>
          </w:tcPr>
          <w:p w14:paraId="560E5C55" w14:textId="77777777" w:rsidR="00D91BC9" w:rsidRPr="006519D0" w:rsidRDefault="009731B0" w:rsidP="00F56CCB">
            <w:pPr>
              <w:jc w:val="center"/>
              <w:rPr>
                <w:b/>
                <w:bCs/>
                <w:szCs w:val="20"/>
              </w:rPr>
            </w:pPr>
            <w:r w:rsidRPr="006519D0">
              <w:rPr>
                <w:b/>
                <w:bCs/>
                <w:szCs w:val="20"/>
              </w:rPr>
              <w:t>Náklady</w:t>
            </w:r>
          </w:p>
        </w:tc>
        <w:tc>
          <w:tcPr>
            <w:tcW w:w="1456" w:type="dxa"/>
            <w:noWrap/>
            <w:vAlign w:val="center"/>
            <w:hideMark/>
          </w:tcPr>
          <w:p w14:paraId="7FF90650" w14:textId="77777777" w:rsidR="00D91BC9" w:rsidRPr="006519D0" w:rsidRDefault="009731B0" w:rsidP="00F56CCB">
            <w:pPr>
              <w:jc w:val="center"/>
              <w:rPr>
                <w:b/>
                <w:bCs/>
                <w:szCs w:val="20"/>
              </w:rPr>
            </w:pPr>
            <w:r w:rsidRPr="006519D0">
              <w:rPr>
                <w:b/>
                <w:bCs/>
                <w:szCs w:val="20"/>
              </w:rPr>
              <w:t>Hodnocení</w:t>
            </w:r>
          </w:p>
        </w:tc>
      </w:tr>
      <w:tr w:rsidR="00326AB0" w14:paraId="586CC48F" w14:textId="77777777" w:rsidTr="00F56CCB">
        <w:trPr>
          <w:trHeight w:val="340"/>
        </w:trPr>
        <w:tc>
          <w:tcPr>
            <w:tcW w:w="1240" w:type="dxa"/>
            <w:vMerge w:val="restart"/>
            <w:noWrap/>
            <w:vAlign w:val="center"/>
            <w:hideMark/>
          </w:tcPr>
          <w:p w14:paraId="73D5623E" w14:textId="77777777" w:rsidR="00D91BC9" w:rsidRPr="006519D0" w:rsidRDefault="009731B0" w:rsidP="00F56CCB">
            <w:pPr>
              <w:rPr>
                <w:b/>
                <w:bCs/>
                <w:szCs w:val="20"/>
              </w:rPr>
            </w:pPr>
            <w:r w:rsidRPr="006519D0">
              <w:rPr>
                <w:b/>
                <w:bCs/>
                <w:szCs w:val="20"/>
              </w:rPr>
              <w:t>Varianta 0</w:t>
            </w:r>
          </w:p>
        </w:tc>
        <w:tc>
          <w:tcPr>
            <w:tcW w:w="7822" w:type="dxa"/>
            <w:gridSpan w:val="4"/>
            <w:vAlign w:val="center"/>
            <w:hideMark/>
          </w:tcPr>
          <w:p w14:paraId="5C26D2AB" w14:textId="77777777" w:rsidR="00D91BC9" w:rsidRPr="006519D0" w:rsidRDefault="009731B0" w:rsidP="00F56CCB">
            <w:pPr>
              <w:spacing w:before="60" w:after="60"/>
              <w:jc w:val="center"/>
              <w:rPr>
                <w:b/>
                <w:bCs/>
                <w:szCs w:val="20"/>
              </w:rPr>
            </w:pPr>
            <w:r w:rsidRPr="006519D0">
              <w:rPr>
                <w:b/>
                <w:bCs/>
                <w:szCs w:val="20"/>
              </w:rPr>
              <w:t>Státní rozpočet a ostatní veřejné rozpočty</w:t>
            </w:r>
          </w:p>
        </w:tc>
      </w:tr>
      <w:tr w:rsidR="00326AB0" w14:paraId="5D1E0C81" w14:textId="77777777" w:rsidTr="00F56CCB">
        <w:trPr>
          <w:trHeight w:val="224"/>
        </w:trPr>
        <w:tc>
          <w:tcPr>
            <w:tcW w:w="1240" w:type="dxa"/>
            <w:vMerge/>
            <w:vAlign w:val="center"/>
            <w:hideMark/>
          </w:tcPr>
          <w:p w14:paraId="5FBD8501" w14:textId="77777777" w:rsidR="00D91BC9" w:rsidRPr="006519D0" w:rsidRDefault="00D91BC9" w:rsidP="00F56CCB">
            <w:pPr>
              <w:rPr>
                <w:b/>
                <w:bCs/>
                <w:szCs w:val="20"/>
              </w:rPr>
            </w:pPr>
          </w:p>
        </w:tc>
        <w:tc>
          <w:tcPr>
            <w:tcW w:w="2405" w:type="dxa"/>
            <w:vAlign w:val="center"/>
            <w:hideMark/>
          </w:tcPr>
          <w:p w14:paraId="04A45627" w14:textId="77777777" w:rsidR="00D91BC9" w:rsidRPr="006519D0" w:rsidRDefault="009731B0" w:rsidP="00F56CCB">
            <w:pPr>
              <w:spacing w:before="60" w:after="60"/>
              <w:jc w:val="center"/>
              <w:rPr>
                <w:sz w:val="16"/>
                <w:szCs w:val="16"/>
              </w:rPr>
            </w:pPr>
            <w:r w:rsidRPr="006519D0">
              <w:rPr>
                <w:sz w:val="16"/>
                <w:szCs w:val="16"/>
              </w:rPr>
              <w:t>-</w:t>
            </w:r>
          </w:p>
        </w:tc>
        <w:tc>
          <w:tcPr>
            <w:tcW w:w="1496" w:type="dxa"/>
            <w:vAlign w:val="center"/>
            <w:hideMark/>
          </w:tcPr>
          <w:p w14:paraId="2F89C107" w14:textId="77777777" w:rsidR="00D91BC9" w:rsidRPr="006519D0" w:rsidRDefault="009731B0" w:rsidP="00F56CCB">
            <w:pPr>
              <w:spacing w:before="60" w:after="60"/>
              <w:jc w:val="center"/>
              <w:rPr>
                <w:sz w:val="16"/>
                <w:szCs w:val="16"/>
              </w:rPr>
            </w:pPr>
            <w:r w:rsidRPr="006519D0">
              <w:rPr>
                <w:sz w:val="16"/>
                <w:szCs w:val="16"/>
              </w:rPr>
              <w:t>-</w:t>
            </w:r>
          </w:p>
        </w:tc>
        <w:tc>
          <w:tcPr>
            <w:tcW w:w="2465" w:type="dxa"/>
            <w:vAlign w:val="center"/>
          </w:tcPr>
          <w:p w14:paraId="52BEFF7C" w14:textId="77777777" w:rsidR="00D91BC9" w:rsidRPr="006519D0" w:rsidRDefault="009731B0" w:rsidP="00F56CCB">
            <w:pPr>
              <w:spacing w:before="60" w:after="60"/>
              <w:jc w:val="center"/>
              <w:rPr>
                <w:sz w:val="16"/>
                <w:szCs w:val="16"/>
              </w:rPr>
            </w:pPr>
            <w:r w:rsidRPr="006519D0">
              <w:rPr>
                <w:sz w:val="16"/>
                <w:szCs w:val="16"/>
              </w:rPr>
              <w:t>-</w:t>
            </w:r>
          </w:p>
        </w:tc>
        <w:tc>
          <w:tcPr>
            <w:tcW w:w="1456" w:type="dxa"/>
            <w:vAlign w:val="center"/>
          </w:tcPr>
          <w:p w14:paraId="045C1F01" w14:textId="77777777" w:rsidR="00D91BC9" w:rsidRPr="006519D0" w:rsidRDefault="009731B0" w:rsidP="00F56CCB">
            <w:pPr>
              <w:spacing w:before="60" w:after="60"/>
              <w:jc w:val="center"/>
              <w:rPr>
                <w:sz w:val="16"/>
                <w:szCs w:val="16"/>
              </w:rPr>
            </w:pPr>
            <w:r w:rsidRPr="006519D0">
              <w:rPr>
                <w:sz w:val="16"/>
                <w:szCs w:val="16"/>
              </w:rPr>
              <w:t>-</w:t>
            </w:r>
          </w:p>
        </w:tc>
      </w:tr>
      <w:tr w:rsidR="00326AB0" w14:paraId="38847799" w14:textId="77777777" w:rsidTr="00F56CCB">
        <w:trPr>
          <w:trHeight w:val="370"/>
        </w:trPr>
        <w:tc>
          <w:tcPr>
            <w:tcW w:w="1240" w:type="dxa"/>
            <w:vMerge/>
            <w:vAlign w:val="center"/>
            <w:hideMark/>
          </w:tcPr>
          <w:p w14:paraId="64D291F8" w14:textId="77777777" w:rsidR="00D91BC9" w:rsidRPr="006519D0" w:rsidRDefault="00D91BC9" w:rsidP="00F56CCB">
            <w:pPr>
              <w:rPr>
                <w:b/>
                <w:bCs/>
                <w:szCs w:val="20"/>
              </w:rPr>
            </w:pPr>
          </w:p>
        </w:tc>
        <w:tc>
          <w:tcPr>
            <w:tcW w:w="7822" w:type="dxa"/>
            <w:gridSpan w:val="4"/>
            <w:vAlign w:val="center"/>
            <w:hideMark/>
          </w:tcPr>
          <w:p w14:paraId="7D36C084" w14:textId="77777777" w:rsidR="00D91BC9" w:rsidRPr="006519D0" w:rsidRDefault="009731B0" w:rsidP="00F56CCB">
            <w:pPr>
              <w:spacing w:before="60" w:after="60"/>
              <w:jc w:val="center"/>
              <w:rPr>
                <w:b/>
                <w:bCs/>
                <w:szCs w:val="20"/>
              </w:rPr>
            </w:pPr>
            <w:r w:rsidRPr="006519D0">
              <w:rPr>
                <w:b/>
                <w:bCs/>
                <w:szCs w:val="20"/>
              </w:rPr>
              <w:t>Podnikatelské subjekty</w:t>
            </w:r>
          </w:p>
        </w:tc>
      </w:tr>
      <w:tr w:rsidR="00326AB0" w14:paraId="4C0F77D4" w14:textId="77777777" w:rsidTr="00F56CCB">
        <w:trPr>
          <w:trHeight w:val="96"/>
        </w:trPr>
        <w:tc>
          <w:tcPr>
            <w:tcW w:w="1240" w:type="dxa"/>
            <w:vMerge/>
            <w:vAlign w:val="center"/>
            <w:hideMark/>
          </w:tcPr>
          <w:p w14:paraId="4CECF4EF" w14:textId="77777777" w:rsidR="00D91BC9" w:rsidRPr="006519D0" w:rsidRDefault="00D91BC9" w:rsidP="00F56CCB">
            <w:pPr>
              <w:rPr>
                <w:b/>
                <w:bCs/>
                <w:szCs w:val="20"/>
              </w:rPr>
            </w:pPr>
          </w:p>
        </w:tc>
        <w:tc>
          <w:tcPr>
            <w:tcW w:w="2405" w:type="dxa"/>
            <w:vAlign w:val="center"/>
            <w:hideMark/>
          </w:tcPr>
          <w:p w14:paraId="397D5230" w14:textId="77777777" w:rsidR="00D91BC9" w:rsidRPr="006519D0" w:rsidRDefault="009731B0" w:rsidP="00F56CCB">
            <w:pPr>
              <w:spacing w:before="60" w:after="60"/>
              <w:jc w:val="center"/>
              <w:rPr>
                <w:sz w:val="16"/>
                <w:szCs w:val="16"/>
              </w:rPr>
            </w:pPr>
            <w:r w:rsidRPr="006519D0">
              <w:rPr>
                <w:sz w:val="16"/>
                <w:szCs w:val="16"/>
              </w:rPr>
              <w:t>-</w:t>
            </w:r>
          </w:p>
        </w:tc>
        <w:tc>
          <w:tcPr>
            <w:tcW w:w="1496" w:type="dxa"/>
            <w:vAlign w:val="center"/>
            <w:hideMark/>
          </w:tcPr>
          <w:p w14:paraId="17C6BB5B" w14:textId="77777777" w:rsidR="00D91BC9" w:rsidRPr="006519D0" w:rsidRDefault="009731B0" w:rsidP="00F56CCB">
            <w:pPr>
              <w:spacing w:before="60" w:after="60"/>
              <w:jc w:val="center"/>
              <w:rPr>
                <w:sz w:val="16"/>
                <w:szCs w:val="16"/>
              </w:rPr>
            </w:pPr>
            <w:r w:rsidRPr="006519D0">
              <w:rPr>
                <w:sz w:val="16"/>
                <w:szCs w:val="16"/>
              </w:rPr>
              <w:t>-</w:t>
            </w:r>
          </w:p>
        </w:tc>
        <w:tc>
          <w:tcPr>
            <w:tcW w:w="2465" w:type="dxa"/>
            <w:vAlign w:val="center"/>
          </w:tcPr>
          <w:p w14:paraId="3E0E4336" w14:textId="77777777" w:rsidR="00D91BC9" w:rsidRPr="006519D0" w:rsidRDefault="009731B0" w:rsidP="00F56CCB">
            <w:pPr>
              <w:spacing w:before="60" w:after="60"/>
              <w:jc w:val="center"/>
              <w:rPr>
                <w:sz w:val="16"/>
                <w:szCs w:val="16"/>
              </w:rPr>
            </w:pPr>
            <w:r w:rsidRPr="006519D0">
              <w:rPr>
                <w:sz w:val="16"/>
                <w:szCs w:val="16"/>
              </w:rPr>
              <w:t>-</w:t>
            </w:r>
          </w:p>
        </w:tc>
        <w:tc>
          <w:tcPr>
            <w:tcW w:w="1456" w:type="dxa"/>
            <w:vAlign w:val="center"/>
          </w:tcPr>
          <w:p w14:paraId="44354E73" w14:textId="77777777" w:rsidR="00D91BC9" w:rsidRPr="006519D0" w:rsidRDefault="009731B0" w:rsidP="00F56CCB">
            <w:pPr>
              <w:spacing w:before="60" w:after="60"/>
              <w:jc w:val="center"/>
              <w:rPr>
                <w:sz w:val="16"/>
                <w:szCs w:val="16"/>
              </w:rPr>
            </w:pPr>
            <w:r w:rsidRPr="006519D0">
              <w:rPr>
                <w:sz w:val="16"/>
                <w:szCs w:val="16"/>
              </w:rPr>
              <w:t>-</w:t>
            </w:r>
          </w:p>
        </w:tc>
      </w:tr>
      <w:tr w:rsidR="00326AB0" w14:paraId="135ED6BD" w14:textId="77777777" w:rsidTr="00F56CCB">
        <w:trPr>
          <w:trHeight w:val="340"/>
        </w:trPr>
        <w:tc>
          <w:tcPr>
            <w:tcW w:w="1240" w:type="dxa"/>
            <w:vMerge/>
            <w:vAlign w:val="center"/>
            <w:hideMark/>
          </w:tcPr>
          <w:p w14:paraId="0874E8FE" w14:textId="77777777" w:rsidR="00D91BC9" w:rsidRPr="006519D0" w:rsidRDefault="00D91BC9" w:rsidP="00F56CCB">
            <w:pPr>
              <w:rPr>
                <w:b/>
                <w:bCs/>
                <w:szCs w:val="20"/>
              </w:rPr>
            </w:pPr>
          </w:p>
        </w:tc>
        <w:tc>
          <w:tcPr>
            <w:tcW w:w="7822" w:type="dxa"/>
            <w:gridSpan w:val="4"/>
            <w:vAlign w:val="center"/>
            <w:hideMark/>
          </w:tcPr>
          <w:p w14:paraId="081B1E1C" w14:textId="77777777" w:rsidR="00D91BC9" w:rsidRPr="006519D0" w:rsidRDefault="009731B0" w:rsidP="00F56CCB">
            <w:pPr>
              <w:spacing w:before="60" w:after="60"/>
              <w:jc w:val="center"/>
              <w:rPr>
                <w:b/>
                <w:bCs/>
                <w:szCs w:val="20"/>
              </w:rPr>
            </w:pPr>
            <w:r w:rsidRPr="006519D0">
              <w:rPr>
                <w:b/>
                <w:bCs/>
                <w:szCs w:val="20"/>
              </w:rPr>
              <w:t>Životní prostředí</w:t>
            </w:r>
          </w:p>
        </w:tc>
      </w:tr>
      <w:tr w:rsidR="00326AB0" w14:paraId="52C8E251" w14:textId="77777777" w:rsidTr="00F56CCB">
        <w:trPr>
          <w:trHeight w:val="425"/>
        </w:trPr>
        <w:tc>
          <w:tcPr>
            <w:tcW w:w="1240" w:type="dxa"/>
            <w:vMerge/>
            <w:vAlign w:val="center"/>
            <w:hideMark/>
          </w:tcPr>
          <w:p w14:paraId="3860DDD6" w14:textId="77777777" w:rsidR="00D91BC9" w:rsidRPr="006519D0" w:rsidRDefault="00D91BC9" w:rsidP="00F56CCB">
            <w:pPr>
              <w:rPr>
                <w:b/>
                <w:bCs/>
                <w:szCs w:val="20"/>
              </w:rPr>
            </w:pPr>
          </w:p>
        </w:tc>
        <w:tc>
          <w:tcPr>
            <w:tcW w:w="2405" w:type="dxa"/>
            <w:vAlign w:val="center"/>
            <w:hideMark/>
          </w:tcPr>
          <w:p w14:paraId="772B3806" w14:textId="77777777" w:rsidR="00D91BC9" w:rsidRPr="006519D0" w:rsidRDefault="00D91BC9" w:rsidP="00F56CCB">
            <w:pPr>
              <w:spacing w:before="60" w:after="60"/>
              <w:jc w:val="center"/>
              <w:rPr>
                <w:szCs w:val="20"/>
              </w:rPr>
            </w:pPr>
          </w:p>
        </w:tc>
        <w:tc>
          <w:tcPr>
            <w:tcW w:w="1496" w:type="dxa"/>
            <w:noWrap/>
            <w:vAlign w:val="center"/>
            <w:hideMark/>
          </w:tcPr>
          <w:p w14:paraId="501143DA" w14:textId="77777777" w:rsidR="00D91BC9" w:rsidRPr="006519D0" w:rsidRDefault="00D91BC9" w:rsidP="00F56CCB">
            <w:pPr>
              <w:spacing w:before="60" w:after="60"/>
              <w:jc w:val="center"/>
              <w:rPr>
                <w:szCs w:val="20"/>
              </w:rPr>
            </w:pPr>
          </w:p>
        </w:tc>
        <w:tc>
          <w:tcPr>
            <w:tcW w:w="2465" w:type="dxa"/>
            <w:vAlign w:val="center"/>
          </w:tcPr>
          <w:p w14:paraId="4164DDD5" w14:textId="77777777" w:rsidR="00D91BC9" w:rsidRPr="006519D0" w:rsidRDefault="009731B0" w:rsidP="00F56CCB">
            <w:pPr>
              <w:spacing w:before="60" w:after="60"/>
              <w:jc w:val="center"/>
              <w:rPr>
                <w:szCs w:val="20"/>
              </w:rPr>
            </w:pPr>
            <w:r w:rsidRPr="006519D0">
              <w:rPr>
                <w:szCs w:val="20"/>
              </w:rPr>
              <w:t>Riziko úniku F-plynů do ovzduší nekvalitním odstraněním</w:t>
            </w:r>
            <w:r w:rsidR="00D0724A" w:rsidRPr="006519D0">
              <w:rPr>
                <w:szCs w:val="20"/>
              </w:rPr>
              <w:t xml:space="preserve"> </w:t>
            </w:r>
            <w:r w:rsidR="00E24349" w:rsidRPr="006519D0">
              <w:rPr>
                <w:szCs w:val="20"/>
              </w:rPr>
              <w:br/>
            </w:r>
            <w:r w:rsidR="00D0724A" w:rsidRPr="006519D0">
              <w:rPr>
                <w:szCs w:val="20"/>
              </w:rPr>
              <w:t>či regenerací</w:t>
            </w:r>
          </w:p>
        </w:tc>
        <w:tc>
          <w:tcPr>
            <w:tcW w:w="1456" w:type="dxa"/>
            <w:vAlign w:val="center"/>
          </w:tcPr>
          <w:p w14:paraId="559F13D6" w14:textId="77777777" w:rsidR="00D91BC9" w:rsidRPr="006519D0" w:rsidRDefault="009731B0" w:rsidP="00F56CCB">
            <w:pPr>
              <w:spacing w:before="60" w:after="60"/>
              <w:jc w:val="center"/>
              <w:rPr>
                <w:szCs w:val="20"/>
              </w:rPr>
            </w:pPr>
            <w:r w:rsidRPr="006519D0">
              <w:rPr>
                <w:szCs w:val="20"/>
              </w:rPr>
              <w:t>**</w:t>
            </w:r>
          </w:p>
        </w:tc>
      </w:tr>
      <w:tr w:rsidR="00326AB0" w14:paraId="1A068B2B" w14:textId="77777777" w:rsidTr="00F56CCB">
        <w:trPr>
          <w:trHeight w:val="340"/>
        </w:trPr>
        <w:tc>
          <w:tcPr>
            <w:tcW w:w="1240" w:type="dxa"/>
            <w:vMerge w:val="restart"/>
            <w:noWrap/>
            <w:vAlign w:val="center"/>
            <w:hideMark/>
          </w:tcPr>
          <w:p w14:paraId="7F9F14A4" w14:textId="77777777" w:rsidR="00D91BC9" w:rsidRPr="006519D0" w:rsidRDefault="009731B0" w:rsidP="00F56CCB">
            <w:pPr>
              <w:rPr>
                <w:b/>
                <w:bCs/>
                <w:szCs w:val="20"/>
              </w:rPr>
            </w:pPr>
            <w:r w:rsidRPr="006519D0">
              <w:rPr>
                <w:b/>
                <w:bCs/>
                <w:szCs w:val="20"/>
              </w:rPr>
              <w:t>Varianta 1</w:t>
            </w:r>
          </w:p>
        </w:tc>
        <w:tc>
          <w:tcPr>
            <w:tcW w:w="7822" w:type="dxa"/>
            <w:gridSpan w:val="4"/>
            <w:vAlign w:val="center"/>
            <w:hideMark/>
          </w:tcPr>
          <w:p w14:paraId="14E7C1E8" w14:textId="77777777" w:rsidR="00D91BC9" w:rsidRPr="006519D0" w:rsidRDefault="009731B0" w:rsidP="00F56CCB">
            <w:pPr>
              <w:spacing w:before="60" w:after="60"/>
              <w:jc w:val="center"/>
              <w:rPr>
                <w:b/>
                <w:bCs/>
                <w:szCs w:val="20"/>
              </w:rPr>
            </w:pPr>
            <w:r w:rsidRPr="006519D0">
              <w:rPr>
                <w:b/>
                <w:bCs/>
                <w:szCs w:val="20"/>
              </w:rPr>
              <w:t>Státní rozpočet a ostatní veřejné rozpočty</w:t>
            </w:r>
          </w:p>
        </w:tc>
      </w:tr>
      <w:tr w:rsidR="00326AB0" w14:paraId="65BF1B6B" w14:textId="77777777" w:rsidTr="00F56CCB">
        <w:trPr>
          <w:trHeight w:val="827"/>
        </w:trPr>
        <w:tc>
          <w:tcPr>
            <w:tcW w:w="1240" w:type="dxa"/>
            <w:vMerge/>
            <w:hideMark/>
          </w:tcPr>
          <w:p w14:paraId="0815B8B5" w14:textId="77777777" w:rsidR="00D91BC9" w:rsidRPr="006519D0" w:rsidRDefault="00D91BC9" w:rsidP="00F56CCB">
            <w:pPr>
              <w:rPr>
                <w:b/>
                <w:bCs/>
                <w:szCs w:val="20"/>
              </w:rPr>
            </w:pPr>
          </w:p>
        </w:tc>
        <w:tc>
          <w:tcPr>
            <w:tcW w:w="2405" w:type="dxa"/>
            <w:vAlign w:val="center"/>
          </w:tcPr>
          <w:p w14:paraId="445BA130" w14:textId="77777777" w:rsidR="00D91BC9" w:rsidRPr="006519D0" w:rsidRDefault="00D91BC9" w:rsidP="00F56CCB">
            <w:pPr>
              <w:spacing w:before="60" w:after="60"/>
              <w:jc w:val="center"/>
              <w:rPr>
                <w:szCs w:val="20"/>
              </w:rPr>
            </w:pPr>
          </w:p>
        </w:tc>
        <w:tc>
          <w:tcPr>
            <w:tcW w:w="1496" w:type="dxa"/>
            <w:vAlign w:val="center"/>
          </w:tcPr>
          <w:p w14:paraId="0A439970" w14:textId="77777777" w:rsidR="00D91BC9" w:rsidRPr="006519D0" w:rsidRDefault="00D91BC9" w:rsidP="00F56CCB">
            <w:pPr>
              <w:spacing w:before="60" w:after="60"/>
              <w:jc w:val="center"/>
              <w:rPr>
                <w:szCs w:val="20"/>
              </w:rPr>
            </w:pPr>
          </w:p>
        </w:tc>
        <w:tc>
          <w:tcPr>
            <w:tcW w:w="2465" w:type="dxa"/>
            <w:vAlign w:val="center"/>
          </w:tcPr>
          <w:p w14:paraId="5E621FD9" w14:textId="77777777" w:rsidR="00D91BC9" w:rsidRPr="006519D0" w:rsidRDefault="009731B0" w:rsidP="00F56CCB">
            <w:pPr>
              <w:spacing w:before="60" w:after="60"/>
              <w:jc w:val="center"/>
              <w:rPr>
                <w:szCs w:val="20"/>
              </w:rPr>
            </w:pPr>
            <w:r w:rsidRPr="006519D0">
              <w:rPr>
                <w:szCs w:val="20"/>
              </w:rPr>
              <w:t>MŽP – vydávání povolení ke zneškodnění</w:t>
            </w:r>
            <w:r w:rsidR="00D0724A" w:rsidRPr="006519D0">
              <w:rPr>
                <w:szCs w:val="20"/>
              </w:rPr>
              <w:t xml:space="preserve"> a regeneraci</w:t>
            </w:r>
            <w:r w:rsidRPr="006519D0">
              <w:rPr>
                <w:szCs w:val="20"/>
              </w:rPr>
              <w:t xml:space="preserve"> F-plynů</w:t>
            </w:r>
          </w:p>
        </w:tc>
        <w:tc>
          <w:tcPr>
            <w:tcW w:w="1456" w:type="dxa"/>
            <w:vAlign w:val="center"/>
          </w:tcPr>
          <w:p w14:paraId="756CB094" w14:textId="77777777" w:rsidR="00D91BC9" w:rsidRPr="006519D0" w:rsidRDefault="009731B0" w:rsidP="00F56CCB">
            <w:pPr>
              <w:spacing w:before="60" w:after="60"/>
              <w:jc w:val="center"/>
              <w:rPr>
                <w:szCs w:val="20"/>
              </w:rPr>
            </w:pPr>
            <w:r w:rsidRPr="006519D0">
              <w:rPr>
                <w:szCs w:val="20"/>
              </w:rPr>
              <w:t>*</w:t>
            </w:r>
          </w:p>
        </w:tc>
      </w:tr>
      <w:tr w:rsidR="00326AB0" w14:paraId="73DE5470" w14:textId="77777777" w:rsidTr="00F56CCB">
        <w:trPr>
          <w:trHeight w:val="227"/>
        </w:trPr>
        <w:tc>
          <w:tcPr>
            <w:tcW w:w="1240" w:type="dxa"/>
            <w:vMerge/>
            <w:hideMark/>
          </w:tcPr>
          <w:p w14:paraId="6F8BC93C" w14:textId="77777777" w:rsidR="00D91BC9" w:rsidRPr="006519D0" w:rsidRDefault="00D91BC9" w:rsidP="00F56CCB">
            <w:pPr>
              <w:rPr>
                <w:b/>
                <w:bCs/>
                <w:szCs w:val="20"/>
              </w:rPr>
            </w:pPr>
          </w:p>
        </w:tc>
        <w:tc>
          <w:tcPr>
            <w:tcW w:w="7822" w:type="dxa"/>
            <w:gridSpan w:val="4"/>
            <w:vAlign w:val="center"/>
            <w:hideMark/>
          </w:tcPr>
          <w:p w14:paraId="60B3FC2E" w14:textId="77777777" w:rsidR="00D91BC9" w:rsidRPr="006519D0" w:rsidRDefault="009731B0" w:rsidP="00F56CCB">
            <w:pPr>
              <w:spacing w:before="60" w:after="60"/>
              <w:jc w:val="center"/>
              <w:rPr>
                <w:b/>
                <w:bCs/>
                <w:szCs w:val="20"/>
              </w:rPr>
            </w:pPr>
            <w:r w:rsidRPr="006519D0">
              <w:rPr>
                <w:b/>
                <w:bCs/>
                <w:szCs w:val="20"/>
              </w:rPr>
              <w:t>Podnikatelské subjekty</w:t>
            </w:r>
          </w:p>
        </w:tc>
      </w:tr>
      <w:tr w:rsidR="00326AB0" w14:paraId="3450A324" w14:textId="77777777" w:rsidTr="00F56CCB">
        <w:trPr>
          <w:trHeight w:val="439"/>
        </w:trPr>
        <w:tc>
          <w:tcPr>
            <w:tcW w:w="1240" w:type="dxa"/>
            <w:vMerge/>
            <w:hideMark/>
          </w:tcPr>
          <w:p w14:paraId="335A43D3" w14:textId="77777777" w:rsidR="00D91BC9" w:rsidRPr="006519D0" w:rsidRDefault="00D91BC9" w:rsidP="00F56CCB">
            <w:pPr>
              <w:rPr>
                <w:b/>
                <w:bCs/>
                <w:szCs w:val="20"/>
              </w:rPr>
            </w:pPr>
          </w:p>
        </w:tc>
        <w:tc>
          <w:tcPr>
            <w:tcW w:w="2405" w:type="dxa"/>
            <w:vAlign w:val="center"/>
          </w:tcPr>
          <w:p w14:paraId="28E8C84D" w14:textId="77777777" w:rsidR="00D91BC9" w:rsidRPr="006519D0" w:rsidRDefault="00D91BC9" w:rsidP="00F56CCB">
            <w:pPr>
              <w:spacing w:before="60" w:after="60"/>
              <w:jc w:val="center"/>
              <w:rPr>
                <w:szCs w:val="20"/>
              </w:rPr>
            </w:pPr>
          </w:p>
        </w:tc>
        <w:tc>
          <w:tcPr>
            <w:tcW w:w="1496" w:type="dxa"/>
            <w:noWrap/>
            <w:vAlign w:val="center"/>
          </w:tcPr>
          <w:p w14:paraId="0558F2DD" w14:textId="77777777" w:rsidR="00D91BC9" w:rsidRPr="006519D0" w:rsidRDefault="00D91BC9" w:rsidP="00F56CCB">
            <w:pPr>
              <w:spacing w:before="60" w:after="60"/>
              <w:jc w:val="center"/>
              <w:rPr>
                <w:szCs w:val="20"/>
              </w:rPr>
            </w:pPr>
          </w:p>
        </w:tc>
        <w:tc>
          <w:tcPr>
            <w:tcW w:w="2465" w:type="dxa"/>
            <w:vAlign w:val="center"/>
          </w:tcPr>
          <w:p w14:paraId="4069C74D" w14:textId="77777777" w:rsidR="00D91BC9" w:rsidRPr="006519D0" w:rsidRDefault="009731B0" w:rsidP="00F56CCB">
            <w:pPr>
              <w:spacing w:before="60" w:after="60"/>
              <w:jc w:val="center"/>
              <w:rPr>
                <w:szCs w:val="20"/>
              </w:rPr>
            </w:pPr>
            <w:r w:rsidRPr="006519D0">
              <w:rPr>
                <w:szCs w:val="20"/>
              </w:rPr>
              <w:t xml:space="preserve">Žádost o povolení provádět zneškodnění </w:t>
            </w:r>
            <w:r w:rsidR="00E24349" w:rsidRPr="006519D0">
              <w:rPr>
                <w:szCs w:val="20"/>
              </w:rPr>
              <w:br/>
            </w:r>
            <w:r w:rsidR="00D0724A" w:rsidRPr="006519D0">
              <w:rPr>
                <w:szCs w:val="20"/>
              </w:rPr>
              <w:t xml:space="preserve">či regeneraci </w:t>
            </w:r>
            <w:r w:rsidRPr="006519D0">
              <w:rPr>
                <w:szCs w:val="20"/>
              </w:rPr>
              <w:br/>
              <w:t>F-plynů</w:t>
            </w:r>
          </w:p>
        </w:tc>
        <w:tc>
          <w:tcPr>
            <w:tcW w:w="1456" w:type="dxa"/>
            <w:noWrap/>
            <w:vAlign w:val="center"/>
          </w:tcPr>
          <w:p w14:paraId="350FA599" w14:textId="77777777" w:rsidR="00D91BC9" w:rsidRPr="006519D0" w:rsidRDefault="009731B0" w:rsidP="00F56CCB">
            <w:pPr>
              <w:spacing w:before="60" w:after="60"/>
              <w:jc w:val="center"/>
              <w:rPr>
                <w:szCs w:val="20"/>
              </w:rPr>
            </w:pPr>
            <w:r w:rsidRPr="006519D0">
              <w:rPr>
                <w:szCs w:val="20"/>
              </w:rPr>
              <w:t>500 Kč/ povolení + 1 000 Kč/žádost</w:t>
            </w:r>
          </w:p>
        </w:tc>
      </w:tr>
      <w:tr w:rsidR="00326AB0" w14:paraId="54303C1F" w14:textId="77777777" w:rsidTr="00F56CCB">
        <w:trPr>
          <w:trHeight w:val="398"/>
        </w:trPr>
        <w:tc>
          <w:tcPr>
            <w:tcW w:w="1240" w:type="dxa"/>
            <w:vMerge/>
            <w:hideMark/>
          </w:tcPr>
          <w:p w14:paraId="148F7DA3" w14:textId="77777777" w:rsidR="00D91BC9" w:rsidRPr="006519D0" w:rsidRDefault="00D91BC9" w:rsidP="00F56CCB">
            <w:pPr>
              <w:rPr>
                <w:b/>
                <w:bCs/>
                <w:szCs w:val="20"/>
              </w:rPr>
            </w:pPr>
          </w:p>
        </w:tc>
        <w:tc>
          <w:tcPr>
            <w:tcW w:w="7822" w:type="dxa"/>
            <w:gridSpan w:val="4"/>
            <w:vAlign w:val="center"/>
            <w:hideMark/>
          </w:tcPr>
          <w:p w14:paraId="5FD39CB9" w14:textId="77777777" w:rsidR="00D91BC9" w:rsidRPr="006519D0" w:rsidRDefault="009731B0" w:rsidP="00F56CCB">
            <w:pPr>
              <w:spacing w:before="60" w:after="60"/>
              <w:jc w:val="center"/>
              <w:rPr>
                <w:b/>
                <w:bCs/>
                <w:szCs w:val="20"/>
              </w:rPr>
            </w:pPr>
            <w:r w:rsidRPr="006519D0">
              <w:rPr>
                <w:b/>
                <w:bCs/>
                <w:szCs w:val="20"/>
              </w:rPr>
              <w:t>Životní prostředí</w:t>
            </w:r>
          </w:p>
        </w:tc>
      </w:tr>
      <w:tr w:rsidR="00326AB0" w14:paraId="28D5AA65" w14:textId="77777777" w:rsidTr="00F56CCB">
        <w:trPr>
          <w:trHeight w:val="1014"/>
        </w:trPr>
        <w:tc>
          <w:tcPr>
            <w:tcW w:w="1240" w:type="dxa"/>
            <w:vMerge/>
            <w:hideMark/>
          </w:tcPr>
          <w:p w14:paraId="597F6613" w14:textId="77777777" w:rsidR="00D91BC9" w:rsidRPr="006519D0" w:rsidRDefault="00D91BC9" w:rsidP="00F56CCB">
            <w:pPr>
              <w:rPr>
                <w:b/>
                <w:bCs/>
                <w:szCs w:val="20"/>
              </w:rPr>
            </w:pPr>
          </w:p>
        </w:tc>
        <w:tc>
          <w:tcPr>
            <w:tcW w:w="2405" w:type="dxa"/>
            <w:vAlign w:val="center"/>
          </w:tcPr>
          <w:p w14:paraId="077BC790" w14:textId="77777777" w:rsidR="00D91BC9" w:rsidRPr="006519D0" w:rsidRDefault="009731B0" w:rsidP="00F56CCB">
            <w:pPr>
              <w:spacing w:before="60" w:after="60"/>
              <w:jc w:val="center"/>
              <w:rPr>
                <w:szCs w:val="20"/>
              </w:rPr>
            </w:pPr>
            <w:r w:rsidRPr="006519D0">
              <w:rPr>
                <w:szCs w:val="20"/>
              </w:rPr>
              <w:t>Minimalizace rizika úniku F-plynů jejich kvalifikovaným zneškodněním</w:t>
            </w:r>
            <w:r w:rsidR="00D0724A" w:rsidRPr="006519D0">
              <w:rPr>
                <w:szCs w:val="20"/>
              </w:rPr>
              <w:t xml:space="preserve"> </w:t>
            </w:r>
            <w:r w:rsidR="00E24349" w:rsidRPr="006519D0">
              <w:rPr>
                <w:szCs w:val="20"/>
              </w:rPr>
              <w:br/>
            </w:r>
            <w:r w:rsidR="00D0724A" w:rsidRPr="006519D0">
              <w:rPr>
                <w:szCs w:val="20"/>
              </w:rPr>
              <w:t>a regenerací</w:t>
            </w:r>
          </w:p>
        </w:tc>
        <w:tc>
          <w:tcPr>
            <w:tcW w:w="1496" w:type="dxa"/>
            <w:vAlign w:val="center"/>
          </w:tcPr>
          <w:p w14:paraId="32A39EEE" w14:textId="77777777" w:rsidR="00D91BC9" w:rsidRPr="006519D0" w:rsidRDefault="009731B0" w:rsidP="00F56CCB">
            <w:pPr>
              <w:spacing w:before="60" w:after="60"/>
              <w:jc w:val="center"/>
              <w:rPr>
                <w:szCs w:val="20"/>
              </w:rPr>
            </w:pPr>
            <w:r w:rsidRPr="006519D0">
              <w:rPr>
                <w:szCs w:val="20"/>
              </w:rPr>
              <w:t>**</w:t>
            </w:r>
          </w:p>
        </w:tc>
        <w:tc>
          <w:tcPr>
            <w:tcW w:w="2465" w:type="dxa"/>
            <w:vAlign w:val="center"/>
            <w:hideMark/>
          </w:tcPr>
          <w:p w14:paraId="4A14CC1B" w14:textId="77777777" w:rsidR="00D91BC9" w:rsidRPr="006519D0" w:rsidRDefault="00D91BC9" w:rsidP="00F56CCB">
            <w:pPr>
              <w:spacing w:before="60" w:after="60"/>
              <w:jc w:val="center"/>
              <w:rPr>
                <w:szCs w:val="20"/>
              </w:rPr>
            </w:pPr>
          </w:p>
        </w:tc>
        <w:tc>
          <w:tcPr>
            <w:tcW w:w="1456" w:type="dxa"/>
            <w:vAlign w:val="center"/>
            <w:hideMark/>
          </w:tcPr>
          <w:p w14:paraId="1AE6F1C4" w14:textId="77777777" w:rsidR="00D91BC9" w:rsidRPr="006519D0" w:rsidRDefault="00D91BC9" w:rsidP="00F56CCB">
            <w:pPr>
              <w:spacing w:before="60" w:after="60"/>
              <w:jc w:val="center"/>
              <w:rPr>
                <w:szCs w:val="20"/>
              </w:rPr>
            </w:pPr>
          </w:p>
        </w:tc>
      </w:tr>
    </w:tbl>
    <w:p w14:paraId="27F6B564" w14:textId="77777777" w:rsidR="00D91BC9" w:rsidRPr="006519D0" w:rsidRDefault="009731B0" w:rsidP="00D91BC9">
      <w:r w:rsidRPr="006519D0">
        <w:t>- bez dopadů, * velmi nízké, ** nízké, *** střední, **** vysoké, ***** velmi vysoké</w:t>
      </w:r>
    </w:p>
    <w:p w14:paraId="3E9988DB" w14:textId="77777777" w:rsidR="00D91BC9" w:rsidRPr="006519D0" w:rsidRDefault="00D91BC9" w:rsidP="00D91BC9"/>
    <w:p w14:paraId="232416FF" w14:textId="77777777" w:rsidR="00D91BC9" w:rsidRPr="006519D0" w:rsidRDefault="009731B0" w:rsidP="00D91BC9">
      <w:pPr>
        <w:pStyle w:val="Nadpis2"/>
      </w:pPr>
      <w:r w:rsidRPr="006519D0">
        <w:t>Stanovení pořadí variant a výběr nejvhodnějšího řešení</w:t>
      </w:r>
    </w:p>
    <w:p w14:paraId="3A92FB85" w14:textId="77777777" w:rsidR="00D91BC9" w:rsidRPr="006519D0" w:rsidRDefault="009731B0" w:rsidP="00D91BC9">
      <w:pPr>
        <w:pStyle w:val="Odstavecseseznamem"/>
        <w:numPr>
          <w:ilvl w:val="0"/>
          <w:numId w:val="10"/>
        </w:numPr>
        <w:contextualSpacing/>
        <w:rPr>
          <w:b/>
          <w:bCs/>
        </w:rPr>
      </w:pPr>
      <w:r w:rsidRPr="006519D0">
        <w:rPr>
          <w:b/>
          <w:bCs/>
        </w:rPr>
        <w:t>Varianta 1</w:t>
      </w:r>
    </w:p>
    <w:p w14:paraId="33C7F0B6" w14:textId="77777777" w:rsidR="00D91BC9" w:rsidRPr="006519D0" w:rsidRDefault="009731B0" w:rsidP="00D91BC9">
      <w:pPr>
        <w:pStyle w:val="Odstavecseseznamem"/>
        <w:numPr>
          <w:ilvl w:val="0"/>
          <w:numId w:val="10"/>
        </w:numPr>
        <w:ind w:left="714" w:hanging="357"/>
        <w:contextualSpacing/>
      </w:pPr>
      <w:r w:rsidRPr="006519D0">
        <w:t>Varianta 0</w:t>
      </w:r>
    </w:p>
    <w:p w14:paraId="186A5654" w14:textId="77777777" w:rsidR="00D91BC9" w:rsidRPr="006519D0" w:rsidRDefault="009731B0" w:rsidP="00D91BC9">
      <w:pPr>
        <w:contextualSpacing/>
      </w:pPr>
      <w:r w:rsidRPr="006519D0">
        <w:t>Navrhujeme přijmout variantu 1, která zavede regulaci v rámci zneškodňování</w:t>
      </w:r>
      <w:r w:rsidR="00D0724A" w:rsidRPr="006519D0">
        <w:t xml:space="preserve"> a regenerace</w:t>
      </w:r>
      <w:r w:rsidRPr="006519D0">
        <w:t xml:space="preserve"> F-plynů z důvodu minimalizace rizika nekontrolovaných úniků F-plynů do ovzduší, a s tím spojených negativních ekologických následků.</w:t>
      </w:r>
    </w:p>
    <w:p w14:paraId="427E90AF" w14:textId="77777777" w:rsidR="00D91BC9" w:rsidRPr="006519D0" w:rsidRDefault="00D91BC9" w:rsidP="00D91BC9">
      <w:pPr>
        <w:contextualSpacing/>
      </w:pPr>
    </w:p>
    <w:p w14:paraId="0C815DF2" w14:textId="77777777" w:rsidR="00D91BC9" w:rsidRPr="006519D0" w:rsidRDefault="00D91BC9" w:rsidP="00D91BC9">
      <w:pPr>
        <w:contextualSpacing/>
      </w:pPr>
    </w:p>
    <w:p w14:paraId="59FDD49F" w14:textId="77777777" w:rsidR="00D91BC9" w:rsidRPr="006519D0" w:rsidRDefault="009731B0" w:rsidP="00D91BC9">
      <w:pPr>
        <w:pStyle w:val="Nadpis1"/>
      </w:pPr>
      <w:bookmarkStart w:id="23" w:name="_Toc256000005"/>
      <w:bookmarkStart w:id="24" w:name="_Toc19624752"/>
      <w:r w:rsidRPr="006519D0">
        <w:lastRenderedPageBreak/>
        <w:t xml:space="preserve">Nakládání </w:t>
      </w:r>
      <w:r w:rsidRPr="006519D0">
        <w:t>s nádobami na jedno použití pro fluorované skleníkové plyny (§ 4a)</w:t>
      </w:r>
      <w:bookmarkEnd w:id="23"/>
      <w:bookmarkEnd w:id="24"/>
    </w:p>
    <w:p w14:paraId="79D2AB14" w14:textId="77777777" w:rsidR="00D91BC9" w:rsidRPr="006519D0" w:rsidRDefault="009731B0" w:rsidP="00D91BC9">
      <w:pPr>
        <w:pStyle w:val="Nadpis2"/>
      </w:pPr>
      <w:r w:rsidRPr="006519D0">
        <w:t>Důvod předložení a cíle</w:t>
      </w:r>
    </w:p>
    <w:p w14:paraId="21FA1DDF" w14:textId="77777777" w:rsidR="00D91BC9" w:rsidRPr="006519D0" w:rsidRDefault="009731B0" w:rsidP="00D91BC9">
      <w:pPr>
        <w:pStyle w:val="Nadpis3"/>
      </w:pPr>
      <w:r w:rsidRPr="006519D0">
        <w:t>Definice problému</w:t>
      </w:r>
    </w:p>
    <w:p w14:paraId="1358B461" w14:textId="77777777" w:rsidR="00D91BC9" w:rsidRPr="006519D0" w:rsidRDefault="009731B0" w:rsidP="00D91BC9">
      <w:r w:rsidRPr="006519D0">
        <w:t>Uvádění nádob na jednorázové použití pro regulované látky na trh je zakázáno již od roku 2000 a uvádění nádob na jednorázové použití pro F-plyny na</w:t>
      </w:r>
      <w:r w:rsidRPr="006519D0">
        <w:t xml:space="preserve"> trh je zakázáno od roku 2007. Byla snaha zamezit dodání jednorázových lahví z třetích zemí a osobám uvádějící na jednotný trh byla stanovena lhůta, ve které mohou své zásoby doprodat. Nejzazším datem užití takových lahví byl 4. červenec 2017.</w:t>
      </w:r>
    </w:p>
    <w:p w14:paraId="4D0CA1D6" w14:textId="77777777" w:rsidR="00D91BC9" w:rsidRPr="006519D0" w:rsidRDefault="009731B0" w:rsidP="00D91BC9">
      <w:r w:rsidRPr="006519D0">
        <w:t>Nádoby na je</w:t>
      </w:r>
      <w:r w:rsidRPr="006519D0">
        <w:t>dnorázové použití mají však nižší pořizovací cenu oproti povoleným znovunaplnitelným lahvím, proto dochází k nárůstu nelegálního trhu a systém v této oblasti selhává především kvůli absenci legislativního rámce pro skladování a další prodej chladiv dovezen</w:t>
      </w:r>
      <w:r w:rsidRPr="006519D0">
        <w:t xml:space="preserve">ých ze třetích zemí mimo systém kvót. Nárůst cen za znovunaplnitelné láhve zapříčinil zejména harmonogram snižování spotřeby F-plynů stanovený nařízením EP a Rady (EU) č. 517/2014, díky čemuž začal vznikat černý trh s jednorázovými nádobami, resp. F-plyny </w:t>
      </w:r>
      <w:r w:rsidRPr="006519D0">
        <w:t>v jednorázových nádobách.</w:t>
      </w:r>
    </w:p>
    <w:p w14:paraId="78A97C36" w14:textId="77777777" w:rsidR="00D91BC9" w:rsidRPr="006519D0" w:rsidRDefault="009731B0" w:rsidP="00D91BC9">
      <w:r w:rsidRPr="006519D0">
        <w:t>V posledních 2 letech se v ČR začaly nádoby na jednorázové použití pro regulované látky objevovat ve větší míře, zatímco v pře</w:t>
      </w:r>
      <w:r w:rsidR="0038199C" w:rsidRPr="006519D0">
        <w:t>d</w:t>
      </w:r>
      <w:r w:rsidRPr="006519D0">
        <w:t xml:space="preserve">chozích 10 letech se objevovaly pouze výjimečně, což odpovídalo likvidaci starých zásob. </w:t>
      </w:r>
      <w:r w:rsidR="0038199C" w:rsidRPr="006519D0">
        <w:t>Je zřejmé</w:t>
      </w:r>
      <w:r w:rsidRPr="006519D0">
        <w:t xml:space="preserve">, že </w:t>
      </w:r>
      <w:r w:rsidRPr="006519D0">
        <w:t>trend patrný v posledních 2 letech je způsoben nelegálním prodejem těchto lahví.</w:t>
      </w:r>
    </w:p>
    <w:p w14:paraId="190F0BEC" w14:textId="77777777" w:rsidR="00D91BC9" w:rsidRPr="006519D0" w:rsidRDefault="009731B0" w:rsidP="00D91BC9">
      <w:r w:rsidRPr="006519D0">
        <w:t>Vzhledem k tomu, že k uvedení F-plynů na trh v EU (kam se dostávají zejména přes východní vnější hranici Unie) obvykle dochází na území jiného státu a ne v ČR, prodejcům jedno</w:t>
      </w:r>
      <w:r w:rsidRPr="006519D0">
        <w:t>rázových lahví není možné udělit sankci podle českého práva, pokud tyto látky neuvedli poprvé na trh EU na území ČR. Celý systém tedy stojí na zákazu uvedení na trh, tedy na vymáhání zákazu v místě a čase, kdy se jednorázová nádoba objevila v EU poprvé, co</w:t>
      </w:r>
      <w:r w:rsidRPr="006519D0">
        <w:t xml:space="preserve">ž v praxi znamená velmi nízkou vymahatelnost. Vzhledem k tomu, že je pro tyto lahve stanoven zákaz uvádění na trh již více než 10 let, je třeba z důvodu faktické nefunkčnosti současně platného neformálního systému zavést obecný zákaz uvádění jednorázových </w:t>
      </w:r>
      <w:r w:rsidRPr="006519D0">
        <w:t>lahví s F-plyny na trh na území ČR společně s jakýmkoliv dalším nakládáním s takovými láhvemi na území ČR.</w:t>
      </w:r>
      <w:r w:rsidR="00712CB1" w:rsidRPr="006519D0">
        <w:t xml:space="preserve"> Lze předpokládat, že v ČR po dvanácti letech od zákazu jednorázových lahví již nemůže existovat subjekt, který by je získal legální cestou, a proto je zřejmé, že veškeré jednorázové lahve na trhu pochází z nelegálního uvedení na trh v jiných členských státech. Cílem navrhované změny je eliminace černého trhu na území ČR a stanovení tvrdého legislativního požadavku na zákaz uvedení jednorázových lahví na trh.</w:t>
      </w:r>
    </w:p>
    <w:p w14:paraId="71490A37" w14:textId="77777777" w:rsidR="00D91BC9" w:rsidRPr="006519D0" w:rsidRDefault="00D91BC9" w:rsidP="00D91BC9"/>
    <w:p w14:paraId="1A19C3A3" w14:textId="77777777" w:rsidR="00D91BC9" w:rsidRPr="006519D0" w:rsidRDefault="009731B0" w:rsidP="00D91BC9">
      <w:pPr>
        <w:pStyle w:val="Nadpis3"/>
      </w:pPr>
      <w:r w:rsidRPr="006519D0">
        <w:t>Popis existujícího právního stavu v dané oblasti</w:t>
      </w:r>
    </w:p>
    <w:p w14:paraId="69730E2B" w14:textId="77777777" w:rsidR="00D91BC9" w:rsidRPr="006519D0" w:rsidRDefault="009731B0" w:rsidP="00D91BC9">
      <w:r w:rsidRPr="006519D0">
        <w:t>Současná právní úprava zakazuje pouze první uvedení nádob na jednorázové použití obsahujících F-plyny na trh EU a zajištění znovuzískání zbytků F-plynů z nádob po uplynutí její životnosti.</w:t>
      </w:r>
    </w:p>
    <w:p w14:paraId="7DF36C2C" w14:textId="77777777" w:rsidR="00D91BC9" w:rsidRPr="006519D0" w:rsidRDefault="009731B0" w:rsidP="00D91BC9">
      <w:r w:rsidRPr="006519D0">
        <w:t xml:space="preserve"> </w:t>
      </w:r>
    </w:p>
    <w:p w14:paraId="7E89CB0B" w14:textId="77777777" w:rsidR="00D91BC9" w:rsidRPr="006519D0" w:rsidRDefault="009731B0" w:rsidP="00D91BC9">
      <w:pPr>
        <w:pStyle w:val="Nadpis3"/>
      </w:pPr>
      <w:r w:rsidRPr="006519D0">
        <w:lastRenderedPageBreak/>
        <w:t>Identifi</w:t>
      </w:r>
      <w:r w:rsidRPr="006519D0">
        <w:t>kace dotčených subjektů</w:t>
      </w:r>
    </w:p>
    <w:p w14:paraId="073F56F7" w14:textId="77777777" w:rsidR="00D91BC9" w:rsidRPr="006519D0" w:rsidRDefault="009731B0" w:rsidP="00D91BC9">
      <w:pPr>
        <w:pStyle w:val="Odstavecseseznamem"/>
        <w:numPr>
          <w:ilvl w:val="0"/>
          <w:numId w:val="11"/>
        </w:numPr>
      </w:pPr>
      <w:r w:rsidRPr="006519D0">
        <w:t>Osoby uvádějící nádoby na jednorázové použití pro F-plyny na jednotný trh EU,</w:t>
      </w:r>
    </w:p>
    <w:p w14:paraId="23F7FFD9" w14:textId="77777777" w:rsidR="00D91BC9" w:rsidRPr="006519D0" w:rsidRDefault="009731B0" w:rsidP="00D91BC9">
      <w:pPr>
        <w:pStyle w:val="Odstavecseseznamem"/>
        <w:numPr>
          <w:ilvl w:val="0"/>
          <w:numId w:val="11"/>
        </w:numPr>
        <w:ind w:left="714" w:hanging="357"/>
      </w:pPr>
      <w:r w:rsidRPr="006519D0">
        <w:t>subjekty využívající nádoby na jednorázové použití obsahující F-plyny,</w:t>
      </w:r>
    </w:p>
    <w:p w14:paraId="7C1EF18F" w14:textId="77777777" w:rsidR="00D91BC9" w:rsidRPr="006519D0" w:rsidRDefault="009731B0" w:rsidP="00D91BC9">
      <w:pPr>
        <w:pStyle w:val="Odstavecseseznamem"/>
        <w:numPr>
          <w:ilvl w:val="0"/>
          <w:numId w:val="11"/>
        </w:numPr>
        <w:ind w:left="714" w:hanging="357"/>
      </w:pPr>
      <w:r w:rsidRPr="006519D0">
        <w:t>ČIŽP,</w:t>
      </w:r>
    </w:p>
    <w:p w14:paraId="4A25F0F6" w14:textId="77777777" w:rsidR="00D91BC9" w:rsidRPr="006519D0" w:rsidRDefault="009731B0" w:rsidP="00D91BC9">
      <w:pPr>
        <w:pStyle w:val="Odstavecseseznamem"/>
        <w:numPr>
          <w:ilvl w:val="0"/>
          <w:numId w:val="11"/>
        </w:numPr>
        <w:ind w:left="714" w:hanging="357"/>
      </w:pPr>
      <w:r w:rsidRPr="006519D0">
        <w:t>SFŽP.</w:t>
      </w:r>
    </w:p>
    <w:p w14:paraId="2C99EA81" w14:textId="77777777" w:rsidR="00D91BC9" w:rsidRPr="006519D0" w:rsidRDefault="00D91BC9" w:rsidP="00D91BC9"/>
    <w:p w14:paraId="27C6283D" w14:textId="77777777" w:rsidR="00D91BC9" w:rsidRPr="006519D0" w:rsidRDefault="009731B0" w:rsidP="00D91BC9">
      <w:pPr>
        <w:pStyle w:val="Nadpis3"/>
      </w:pPr>
      <w:r w:rsidRPr="006519D0">
        <w:t>Popis cílového stavu</w:t>
      </w:r>
    </w:p>
    <w:p w14:paraId="780269AC" w14:textId="77777777" w:rsidR="00D91BC9" w:rsidRPr="006519D0" w:rsidRDefault="009731B0" w:rsidP="00D91BC9">
      <w:pPr>
        <w:rPr>
          <w:rFonts w:cstheme="minorBidi"/>
        </w:rPr>
      </w:pPr>
      <w:r w:rsidRPr="006519D0">
        <w:rPr>
          <w:rFonts w:cstheme="minorBidi"/>
        </w:rPr>
        <w:t xml:space="preserve">Navrhovaná úprava má za cíl minimalizaci černého </w:t>
      </w:r>
      <w:r w:rsidRPr="006519D0">
        <w:rPr>
          <w:rFonts w:cstheme="minorBidi"/>
        </w:rPr>
        <w:t xml:space="preserve">trhu s jednorázovými láhvemi </w:t>
      </w:r>
      <w:r w:rsidRPr="006519D0">
        <w:t xml:space="preserve">s F-plyny </w:t>
      </w:r>
      <w:r w:rsidRPr="006519D0">
        <w:rPr>
          <w:rFonts w:cstheme="minorBidi"/>
        </w:rPr>
        <w:t>na území ČR. Cílem je efektivní aplikace zákazu platného od roku 2007, který se na základě zkušeností z praxe jeví v současné době jako nefunkční.</w:t>
      </w:r>
    </w:p>
    <w:p w14:paraId="0F9CF08F" w14:textId="77777777" w:rsidR="007B7BE3" w:rsidRPr="006519D0" w:rsidRDefault="007B7BE3" w:rsidP="00D91BC9">
      <w:pPr>
        <w:rPr>
          <w:rFonts w:cstheme="minorBidi"/>
        </w:rPr>
      </w:pPr>
    </w:p>
    <w:p w14:paraId="12C56835" w14:textId="77777777" w:rsidR="00D91BC9" w:rsidRPr="006519D0" w:rsidRDefault="009731B0" w:rsidP="00D91BC9">
      <w:pPr>
        <w:pStyle w:val="Nadpis3"/>
      </w:pPr>
      <w:r w:rsidRPr="006519D0">
        <w:t>Zhodnocení rizika</w:t>
      </w:r>
    </w:p>
    <w:p w14:paraId="3A3B6CF5" w14:textId="77777777" w:rsidR="00D91BC9" w:rsidRPr="006519D0" w:rsidRDefault="009731B0" w:rsidP="00D91BC9">
      <w:r w:rsidRPr="006519D0">
        <w:t>Při zachování současného stavu dojde k setrvání čer</w:t>
      </w:r>
      <w:r w:rsidRPr="006519D0">
        <w:t>ného trhu s nádobami na jednorázové použití obsahujícími F-plyny bez možnosti kontroly jejich množství na území ČR a možnosti sankcionování jen, pokud budou nádoby poprvé uvedeny na trh v ČR, což může významně ohrozit harmonogram snižování spotřeby F-plynů</w:t>
      </w:r>
      <w:r w:rsidRPr="006519D0">
        <w:t xml:space="preserve"> stanovený nařízením EP a Rady (EU) č. 517/2014.</w:t>
      </w:r>
    </w:p>
    <w:p w14:paraId="14CFB338" w14:textId="77777777" w:rsidR="00D91BC9" w:rsidRPr="006519D0" w:rsidRDefault="00D91BC9" w:rsidP="00D91BC9"/>
    <w:p w14:paraId="7F1B385E" w14:textId="77777777" w:rsidR="00D91BC9" w:rsidRPr="006519D0" w:rsidRDefault="009731B0" w:rsidP="00D91BC9">
      <w:pPr>
        <w:pStyle w:val="Nadpis2"/>
      </w:pPr>
      <w:r w:rsidRPr="006519D0">
        <w:t>Návrh variant řešení</w:t>
      </w:r>
    </w:p>
    <w:p w14:paraId="524E63DC" w14:textId="77777777" w:rsidR="00D91BC9" w:rsidRPr="006519D0" w:rsidRDefault="009731B0" w:rsidP="00D91BC9">
      <w:pPr>
        <w:pStyle w:val="Nadpis3"/>
      </w:pPr>
      <w:r w:rsidRPr="006519D0">
        <w:t>Varianta 0</w:t>
      </w:r>
    </w:p>
    <w:p w14:paraId="2459D68D" w14:textId="77777777" w:rsidR="00D91BC9" w:rsidRPr="006519D0" w:rsidRDefault="009731B0" w:rsidP="00D91BC9">
      <w:r w:rsidRPr="006519D0">
        <w:t>Zachování současného stavu, kdy je zakázáno pouze nové uvádění (první uvedení) nádob na jednorázové použití obsahujících F-plyny na trh EU a nejsou regulovány nádoby na jedno</w:t>
      </w:r>
      <w:r w:rsidRPr="006519D0">
        <w:t>rázové použití obsahující F-plyny, které již na trhu jsou.</w:t>
      </w:r>
    </w:p>
    <w:p w14:paraId="25889AB8" w14:textId="77777777" w:rsidR="00D91BC9" w:rsidRPr="006519D0" w:rsidRDefault="009731B0" w:rsidP="00D91BC9">
      <w:pPr>
        <w:pStyle w:val="Nadpis3"/>
      </w:pPr>
      <w:r w:rsidRPr="006519D0">
        <w:t>Varianta 1</w:t>
      </w:r>
    </w:p>
    <w:p w14:paraId="04A440DE" w14:textId="77777777" w:rsidR="00D91BC9" w:rsidRPr="006519D0" w:rsidRDefault="009731B0" w:rsidP="00D91BC9">
      <w:r w:rsidRPr="006519D0">
        <w:t>Varianta 1 zavádí všeobecný zákaz dispozicí (zahrnující uvádění na trh, nakládání, převod, skladování apod.) s nádobami na jednorázové použití obsahujícími F-plyny na území ČR.</w:t>
      </w:r>
    </w:p>
    <w:p w14:paraId="2C5924B8" w14:textId="77777777" w:rsidR="00D91BC9" w:rsidRPr="006519D0" w:rsidRDefault="00D91BC9" w:rsidP="00D91BC9"/>
    <w:p w14:paraId="72E276CA" w14:textId="77777777" w:rsidR="00D91BC9" w:rsidRPr="006519D0" w:rsidRDefault="009731B0" w:rsidP="00D91BC9">
      <w:pPr>
        <w:pStyle w:val="Nadpis2"/>
      </w:pPr>
      <w:r w:rsidRPr="006519D0">
        <w:t>Vyhodnocení nákladů a přínosů</w:t>
      </w:r>
    </w:p>
    <w:p w14:paraId="74F41C50" w14:textId="77777777" w:rsidR="00D91BC9" w:rsidRPr="006519D0" w:rsidRDefault="009731B0" w:rsidP="00D91BC9">
      <w:pPr>
        <w:pStyle w:val="Nadpis3"/>
        <w:spacing w:after="120"/>
      </w:pPr>
      <w:r w:rsidRPr="006519D0">
        <w:t>Identifikace nákladů a přínosů</w:t>
      </w:r>
    </w:p>
    <w:p w14:paraId="53EF2FDC" w14:textId="77777777" w:rsidR="00D91BC9" w:rsidRPr="006519D0" w:rsidRDefault="009731B0" w:rsidP="00D91BC9">
      <w:pPr>
        <w:pStyle w:val="Odstavecseseznamem"/>
        <w:numPr>
          <w:ilvl w:val="0"/>
          <w:numId w:val="31"/>
        </w:numPr>
        <w:rPr>
          <w:b/>
        </w:rPr>
      </w:pPr>
      <w:r w:rsidRPr="006519D0">
        <w:rPr>
          <w:b/>
        </w:rPr>
        <w:t>Varianta 0</w:t>
      </w:r>
    </w:p>
    <w:p w14:paraId="1A0BDC12" w14:textId="77777777" w:rsidR="00D91BC9" w:rsidRPr="006519D0" w:rsidRDefault="009731B0" w:rsidP="006B120A">
      <w:pPr>
        <w:spacing w:before="240" w:after="0"/>
        <w:rPr>
          <w:b/>
        </w:rPr>
      </w:pPr>
      <w:r w:rsidRPr="006519D0">
        <w:rPr>
          <w:b/>
        </w:rPr>
        <w:t>Dopady na státní rozpočet a ostatní veřejné rozpočty</w:t>
      </w:r>
    </w:p>
    <w:p w14:paraId="54066D83" w14:textId="77777777" w:rsidR="00D91BC9" w:rsidRPr="006519D0" w:rsidRDefault="009731B0" w:rsidP="00D91BC9">
      <w:r w:rsidRPr="006519D0">
        <w:t>Při zachování současné legislativní úpravy je obtížné zamezit černému trhu s nádobami na jednorázové použití obsahujícími F-plyny a je minimalizována možnost jakéhokoliv postihu subjektů užívající F-plyny v rozporu s přímo použitelnými předpisy EU. Existen</w:t>
      </w:r>
      <w:r w:rsidRPr="006519D0">
        <w:t xml:space="preserve">cí černého trhu s nádobami na jednorázové použití obsahujícími F-plyny dochází ke ztrátám veřejných rozpočtů (vybíraná cla za dovoz F-plynů ve znovu naplnitelných lahvích).  </w:t>
      </w:r>
    </w:p>
    <w:p w14:paraId="15A425AA" w14:textId="77777777" w:rsidR="00D91BC9" w:rsidRPr="006519D0" w:rsidRDefault="009731B0" w:rsidP="00C42F4D">
      <w:pPr>
        <w:keepNext/>
        <w:spacing w:before="240" w:after="0"/>
        <w:rPr>
          <w:b/>
        </w:rPr>
      </w:pPr>
      <w:r w:rsidRPr="006519D0">
        <w:rPr>
          <w:b/>
        </w:rPr>
        <w:lastRenderedPageBreak/>
        <w:t>Dopady na podnikatelské prostředí</w:t>
      </w:r>
    </w:p>
    <w:p w14:paraId="5545B3E3" w14:textId="77777777" w:rsidR="00433258" w:rsidRPr="006519D0" w:rsidRDefault="009731B0" w:rsidP="00D91BC9">
      <w:r w:rsidRPr="006519D0">
        <w:t>Varianta 0 vytváří nerovné tržní prostředí, kdy</w:t>
      </w:r>
      <w:r w:rsidRPr="006519D0">
        <w:t xml:space="preserve"> poskytuje konkurenční výhodu </w:t>
      </w:r>
      <w:r w:rsidR="004F68A5" w:rsidRPr="006519D0">
        <w:t>subjektům využívající</w:t>
      </w:r>
      <w:r w:rsidR="00E93FF5" w:rsidRPr="006519D0">
        <w:t>m</w:t>
      </w:r>
      <w:r w:rsidRPr="006519D0">
        <w:t xml:space="preserve"> F-plyn</w:t>
      </w:r>
      <w:r w:rsidR="004F68A5" w:rsidRPr="006519D0">
        <w:t>y</w:t>
      </w:r>
      <w:r w:rsidRPr="006519D0">
        <w:t>, kte</w:t>
      </w:r>
      <w:r w:rsidR="00786823" w:rsidRPr="006519D0">
        <w:t>ré</w:t>
      </w:r>
      <w:r w:rsidRPr="006519D0">
        <w:t xml:space="preserve"> obchází zákon</w:t>
      </w:r>
      <w:r w:rsidR="000C0518" w:rsidRPr="006519D0">
        <w:t>,</w:t>
      </w:r>
      <w:r w:rsidRPr="006519D0">
        <w:t xml:space="preserve"> na úkor </w:t>
      </w:r>
      <w:r w:rsidR="004F68A5" w:rsidRPr="006519D0">
        <w:t>subjektů</w:t>
      </w:r>
      <w:r w:rsidRPr="006519D0">
        <w:t xml:space="preserve">, kteří </w:t>
      </w:r>
      <w:r w:rsidR="004D350D" w:rsidRPr="006519D0">
        <w:t>využívají F-plyny</w:t>
      </w:r>
      <w:r w:rsidRPr="006519D0">
        <w:t xml:space="preserve"> v souladu s platnými právními předpisy</w:t>
      </w:r>
      <w:r w:rsidR="001600B3" w:rsidRPr="006519D0">
        <w:t xml:space="preserve"> a s přímo použitelnými předpisy EU</w:t>
      </w:r>
      <w:r w:rsidRPr="006519D0">
        <w:t>.</w:t>
      </w:r>
    </w:p>
    <w:p w14:paraId="6E12F017" w14:textId="77777777" w:rsidR="00D91BC9" w:rsidRPr="006519D0" w:rsidRDefault="009731B0" w:rsidP="00D91BC9">
      <w:r w:rsidRPr="006519D0">
        <w:t xml:space="preserve">Varianta 0 </w:t>
      </w:r>
      <w:r w:rsidR="007C5287" w:rsidRPr="006519D0">
        <w:t xml:space="preserve">dále </w:t>
      </w:r>
      <w:r w:rsidRPr="006519D0">
        <w:t>negativně ovlivňuje vývoj cen za dovezen</w:t>
      </w:r>
      <w:r w:rsidRPr="006519D0">
        <w:t>é F-plyny. Tato cena se z důvodu obcházení zákona, a tedy dovozu nad povolené kvóty, případně mimo systém kvót (přestože by do systému měl být subjekt zahrnut), neúměrně snižuje, přestože vývoj cen by měl vykazovat opačný trend.</w:t>
      </w:r>
    </w:p>
    <w:p w14:paraId="6791A062" w14:textId="77777777" w:rsidR="00D91BC9" w:rsidRPr="006519D0" w:rsidRDefault="009731B0" w:rsidP="006B120A">
      <w:pPr>
        <w:spacing w:before="240" w:after="0"/>
        <w:rPr>
          <w:b/>
        </w:rPr>
      </w:pPr>
      <w:r w:rsidRPr="006519D0">
        <w:rPr>
          <w:b/>
        </w:rPr>
        <w:t>Dopady na životní prostředí</w:t>
      </w:r>
      <w:r w:rsidRPr="006519D0">
        <w:rPr>
          <w:b/>
        </w:rPr>
        <w:t xml:space="preserve"> </w:t>
      </w:r>
    </w:p>
    <w:p w14:paraId="58C2BD85" w14:textId="77777777" w:rsidR="006512FC" w:rsidRPr="006519D0" w:rsidRDefault="009731B0" w:rsidP="00D91BC9">
      <w:r w:rsidRPr="006519D0">
        <w:t>Při zachování současné legislativní úpravy je obtížné zamezit černému trhu s nádobami na jednorázové použití obsahujícími F-plyny a je minimalizována možnost jakéhokoliv postihu subjektů užívajícím F-plyny v rozporu s přímo použitelnými předpisy EU. S tí</w:t>
      </w:r>
      <w:r w:rsidRPr="006519D0">
        <w:t>m jsou spojena také rizika na nekontrolované úniky F-plynů do ovzduší a následné environmentální důsledky těchto úniků. Také při vypotřebování láhve v ní vždy zůstane malá část plynu, u kterého hrozí únik do ovzduší. Zároveň má existence černého trhu se za</w:t>
      </w:r>
      <w:r w:rsidRPr="006519D0">
        <w:t xml:space="preserve">kázanými nádobami na jednorázové použití obsahujícími F-plyny vliv na stagnaci rozvoje alternativních chladiv s nízkým global warming potencial (GWP). </w:t>
      </w:r>
    </w:p>
    <w:p w14:paraId="41ED8310" w14:textId="77777777" w:rsidR="006512FC" w:rsidRPr="006519D0" w:rsidRDefault="006512FC" w:rsidP="00D91BC9"/>
    <w:p w14:paraId="4FC9DE4B" w14:textId="77777777" w:rsidR="00D91BC9" w:rsidRPr="006519D0" w:rsidRDefault="009731B0" w:rsidP="00D91BC9">
      <w:pPr>
        <w:pStyle w:val="Odstavecseseznamem"/>
        <w:numPr>
          <w:ilvl w:val="0"/>
          <w:numId w:val="31"/>
        </w:numPr>
        <w:rPr>
          <w:b/>
        </w:rPr>
      </w:pPr>
      <w:r w:rsidRPr="006519D0">
        <w:rPr>
          <w:b/>
        </w:rPr>
        <w:t>Varianta 1</w:t>
      </w:r>
    </w:p>
    <w:p w14:paraId="0E61C927" w14:textId="77777777" w:rsidR="00D91BC9" w:rsidRPr="006519D0" w:rsidRDefault="009731B0" w:rsidP="006B120A">
      <w:pPr>
        <w:spacing w:before="240" w:after="0"/>
        <w:rPr>
          <w:b/>
        </w:rPr>
      </w:pPr>
      <w:r w:rsidRPr="006519D0">
        <w:rPr>
          <w:b/>
        </w:rPr>
        <w:t>Dopady na státní rozpočet a ostatní veřejné rozpočty</w:t>
      </w:r>
    </w:p>
    <w:p w14:paraId="586E91D7" w14:textId="77777777" w:rsidR="00D91BC9" w:rsidRPr="006519D0" w:rsidRDefault="009731B0" w:rsidP="00D91BC9">
      <w:r w:rsidRPr="006519D0">
        <w:t xml:space="preserve">Varianta 1 bude mít pozitivní dopad na </w:t>
      </w:r>
      <w:r w:rsidRPr="006519D0">
        <w:t>státní rozpočet, neboť lze očekávat, že se mírně zvýší příjem z cla za dovoz F-plynů ve znovu naplnitelných lahvích. Finanční prostředky vynaložené na černém trhu uvedeným způsobem budou při přijetí navrhované právní úpravy příjmem státního rozpočtu prostř</w:t>
      </w:r>
      <w:r w:rsidRPr="006519D0">
        <w:t xml:space="preserve">ednictvím cel, která se vybírají za dovoz F-plynů na území ČR (potažmo EU). Druhotně budou příjmem státního rozpočtu (SFŽP) také pokuty vybírané ČIŽP v případných přestupkových řízeních za porušení zákazu nakládání s nádobami </w:t>
      </w:r>
      <w:r w:rsidR="00A1507B" w:rsidRPr="006519D0">
        <w:br/>
      </w:r>
      <w:r w:rsidRPr="006519D0">
        <w:t>na jednorázové použití obsahu</w:t>
      </w:r>
      <w:r w:rsidRPr="006519D0">
        <w:t>jícími F-plyny.</w:t>
      </w:r>
    </w:p>
    <w:p w14:paraId="24DDD98C" w14:textId="77777777" w:rsidR="00D91BC9" w:rsidRPr="006519D0" w:rsidRDefault="009731B0" w:rsidP="006B120A">
      <w:pPr>
        <w:spacing w:before="240" w:after="0"/>
        <w:rPr>
          <w:b/>
        </w:rPr>
      </w:pPr>
      <w:r w:rsidRPr="006519D0">
        <w:rPr>
          <w:b/>
        </w:rPr>
        <w:t>Dopady na podnikatelské prostředí</w:t>
      </w:r>
    </w:p>
    <w:p w14:paraId="6DEF8DAC" w14:textId="77777777" w:rsidR="00D91BC9" w:rsidRPr="006519D0" w:rsidRDefault="009731B0" w:rsidP="00D91BC9">
      <w:r w:rsidRPr="006519D0">
        <w:t xml:space="preserve">Varianta 1 nebude mít dopad na </w:t>
      </w:r>
      <w:r w:rsidR="00807BBB" w:rsidRPr="006519D0">
        <w:t>subjekty</w:t>
      </w:r>
      <w:r w:rsidR="00315397" w:rsidRPr="006519D0">
        <w:t>, které</w:t>
      </w:r>
      <w:r w:rsidR="00807BBB" w:rsidRPr="006519D0">
        <w:t xml:space="preserve"> </w:t>
      </w:r>
      <w:r w:rsidR="00BD4107" w:rsidRPr="006519D0">
        <w:t xml:space="preserve">již v současnosti </w:t>
      </w:r>
      <w:r w:rsidR="00807BBB" w:rsidRPr="006519D0">
        <w:t xml:space="preserve">využívají </w:t>
      </w:r>
      <w:r w:rsidR="00603EB2" w:rsidRPr="006519D0">
        <w:t xml:space="preserve">F-plyny ve znovu naplnitelných </w:t>
      </w:r>
      <w:r w:rsidR="00807BBB" w:rsidRPr="006519D0">
        <w:t>nádob</w:t>
      </w:r>
      <w:r w:rsidR="00603EB2" w:rsidRPr="006519D0">
        <w:t>ách</w:t>
      </w:r>
      <w:r w:rsidR="00BD4107" w:rsidRPr="006519D0">
        <w:t xml:space="preserve"> dovezen</w:t>
      </w:r>
      <w:r w:rsidR="005C44D2" w:rsidRPr="006519D0">
        <w:t>ých</w:t>
      </w:r>
      <w:r w:rsidR="00BD4107" w:rsidRPr="006519D0">
        <w:t xml:space="preserve"> do ČR </w:t>
      </w:r>
      <w:r w:rsidR="005C44D2" w:rsidRPr="006519D0">
        <w:t>v souladu s platnými předpisy</w:t>
      </w:r>
      <w:r w:rsidR="00EF1ECF" w:rsidRPr="006519D0">
        <w:t xml:space="preserve">. </w:t>
      </w:r>
      <w:r w:rsidR="003814EA" w:rsidRPr="006519D0">
        <w:t>S</w:t>
      </w:r>
      <w:r w:rsidR="003B2069" w:rsidRPr="006519D0">
        <w:t>ubjekt</w:t>
      </w:r>
      <w:r w:rsidR="003814EA" w:rsidRPr="006519D0">
        <w:t>y</w:t>
      </w:r>
      <w:r w:rsidR="003B2069" w:rsidRPr="006519D0">
        <w:t>, kte</w:t>
      </w:r>
      <w:r w:rsidR="00786823" w:rsidRPr="006519D0">
        <w:t>ré</w:t>
      </w:r>
      <w:r w:rsidR="003B2069" w:rsidRPr="006519D0">
        <w:t xml:space="preserve"> </w:t>
      </w:r>
      <w:r w:rsidR="002216E3" w:rsidRPr="006519D0">
        <w:t xml:space="preserve">obcházejí současnou legislativu a </w:t>
      </w:r>
      <w:r w:rsidR="003B2069" w:rsidRPr="006519D0">
        <w:t>využívají</w:t>
      </w:r>
      <w:r w:rsidR="00807BBB" w:rsidRPr="006519D0">
        <w:t xml:space="preserve"> jednorázové </w:t>
      </w:r>
      <w:r w:rsidR="003B2069" w:rsidRPr="006519D0">
        <w:t>lahve</w:t>
      </w:r>
      <w:r w:rsidR="00807BBB" w:rsidRPr="006519D0">
        <w:t xml:space="preserve"> obsahující F-plyny</w:t>
      </w:r>
      <w:r w:rsidR="002608D3" w:rsidRPr="006519D0">
        <w:t xml:space="preserve"> pocházející z nelegálního dovozu</w:t>
      </w:r>
      <w:r w:rsidR="003814EA" w:rsidRPr="006519D0">
        <w:t>,</w:t>
      </w:r>
      <w:r w:rsidR="002608D3" w:rsidRPr="006519D0">
        <w:t xml:space="preserve"> budou nuceni využívat </w:t>
      </w:r>
      <w:r w:rsidR="00677D9E" w:rsidRPr="006519D0">
        <w:t xml:space="preserve">F-plyny </w:t>
      </w:r>
      <w:r w:rsidR="002216E3" w:rsidRPr="006519D0">
        <w:t>ve znovu naplnitelných nádobách</w:t>
      </w:r>
      <w:r w:rsidR="00242B32" w:rsidRPr="006519D0">
        <w:t xml:space="preserve"> za vyšší ceny.</w:t>
      </w:r>
      <w:r w:rsidR="00CE5196" w:rsidRPr="006519D0">
        <w:t xml:space="preserve"> Zároveň tím dojde k omezení černého trhu </w:t>
      </w:r>
      <w:r w:rsidR="002B5798" w:rsidRPr="006519D0">
        <w:t xml:space="preserve">s nádobami na jednorázové použití obsahujícími F-plyny a srovnání podmínek na trhu pro všechny </w:t>
      </w:r>
      <w:r w:rsidR="00AD33E4" w:rsidRPr="006519D0">
        <w:t>subjekty využívající F-plyny.</w:t>
      </w:r>
    </w:p>
    <w:p w14:paraId="1A1AFA12" w14:textId="77777777" w:rsidR="00D91BC9" w:rsidRPr="006519D0" w:rsidRDefault="009731B0" w:rsidP="006B120A">
      <w:pPr>
        <w:spacing w:before="240" w:after="0"/>
        <w:rPr>
          <w:b/>
        </w:rPr>
      </w:pPr>
      <w:r w:rsidRPr="006519D0">
        <w:rPr>
          <w:b/>
        </w:rPr>
        <w:t>Dopady na životní prostředí</w:t>
      </w:r>
    </w:p>
    <w:p w14:paraId="17F83E50" w14:textId="77777777" w:rsidR="006512FC" w:rsidRPr="006519D0" w:rsidRDefault="009731B0" w:rsidP="00D91BC9">
      <w:r w:rsidRPr="006519D0">
        <w:t xml:space="preserve">Očekává se, že zavedením varianty 1 se sníží množství nádob na jednorázové použití obsahujících F-plyny prodávaných na černém </w:t>
      </w:r>
      <w:r w:rsidRPr="006519D0">
        <w:t>trhu. Spolu s tím se minimalizuje riziko nekontrolovaných úniků F-plynů do ovzduší při jejich užívání a následné environmentální důsledky těchto úniků. Zároveň lze očekávat, že redukcí až eliminací černého trhu se zakázanými nádobami na jednorázové použití</w:t>
      </w:r>
      <w:r w:rsidRPr="006519D0">
        <w:t xml:space="preserve"> obsahujícími F-plyny dojde k dalšímu žádoucímu rozvoji alternativních chladiv s nízkým global warming potencial (GWP) a investic do rozvoje tohoto odvětví.</w:t>
      </w:r>
    </w:p>
    <w:p w14:paraId="297B3843" w14:textId="77777777" w:rsidR="00D91BC9" w:rsidRPr="006519D0" w:rsidRDefault="009731B0" w:rsidP="00D91BC9">
      <w:pPr>
        <w:pStyle w:val="Nadpis3"/>
      </w:pPr>
      <w:r w:rsidRPr="006519D0">
        <w:lastRenderedPageBreak/>
        <w:t>Vyhodnocení nákladů a přínosů variant</w:t>
      </w:r>
    </w:p>
    <w:p w14:paraId="772A3AD4" w14:textId="77777777" w:rsidR="00D91BC9" w:rsidRPr="006519D0" w:rsidRDefault="009731B0" w:rsidP="00D91BC9">
      <w:pPr>
        <w:keepNext/>
        <w:rPr>
          <w:rFonts w:cs="Arial"/>
          <w:b/>
          <w:spacing w:val="10"/>
          <w:sz w:val="20"/>
          <w:szCs w:val="20"/>
        </w:rPr>
      </w:pPr>
      <w:r w:rsidRPr="006519D0">
        <w:rPr>
          <w:rFonts w:cs="Arial"/>
          <w:b/>
          <w:spacing w:val="10"/>
          <w:sz w:val="20"/>
          <w:szCs w:val="20"/>
        </w:rPr>
        <w:t xml:space="preserve">Tabulka </w:t>
      </w:r>
      <w:r w:rsidR="006B120A" w:rsidRPr="006519D0">
        <w:rPr>
          <w:rFonts w:cs="Arial"/>
          <w:b/>
          <w:spacing w:val="10"/>
          <w:sz w:val="20"/>
          <w:szCs w:val="20"/>
        </w:rPr>
        <w:t>2</w:t>
      </w:r>
      <w:r w:rsidRPr="006519D0">
        <w:rPr>
          <w:rFonts w:cs="Arial"/>
          <w:b/>
          <w:spacing w:val="10"/>
          <w:sz w:val="20"/>
          <w:szCs w:val="20"/>
        </w:rPr>
        <w:t>: Porovnání nákladů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6448C5F5" w14:textId="77777777" w:rsidTr="00F56CCB">
        <w:trPr>
          <w:trHeight w:val="423"/>
        </w:trPr>
        <w:tc>
          <w:tcPr>
            <w:tcW w:w="1240" w:type="dxa"/>
            <w:noWrap/>
            <w:vAlign w:val="center"/>
            <w:hideMark/>
          </w:tcPr>
          <w:p w14:paraId="2A1FC4B6" w14:textId="77777777" w:rsidR="00D91BC9" w:rsidRPr="006519D0" w:rsidRDefault="009731B0" w:rsidP="00F56CCB">
            <w:pPr>
              <w:rPr>
                <w:b/>
                <w:bCs/>
                <w:szCs w:val="20"/>
              </w:rPr>
            </w:pPr>
            <w:r w:rsidRPr="006519D0">
              <w:rPr>
                <w:b/>
                <w:bCs/>
                <w:szCs w:val="20"/>
              </w:rPr>
              <w:t>Varianta</w:t>
            </w:r>
          </w:p>
        </w:tc>
        <w:tc>
          <w:tcPr>
            <w:tcW w:w="2405" w:type="dxa"/>
            <w:noWrap/>
            <w:vAlign w:val="center"/>
            <w:hideMark/>
          </w:tcPr>
          <w:p w14:paraId="1FCA50F6" w14:textId="77777777" w:rsidR="00D91BC9" w:rsidRPr="006519D0" w:rsidRDefault="009731B0" w:rsidP="00F56CCB">
            <w:pPr>
              <w:jc w:val="center"/>
              <w:rPr>
                <w:b/>
                <w:bCs/>
                <w:szCs w:val="20"/>
              </w:rPr>
            </w:pPr>
            <w:r w:rsidRPr="006519D0">
              <w:rPr>
                <w:b/>
                <w:bCs/>
                <w:szCs w:val="20"/>
              </w:rPr>
              <w:t>Přínosy</w:t>
            </w:r>
          </w:p>
        </w:tc>
        <w:tc>
          <w:tcPr>
            <w:tcW w:w="1496" w:type="dxa"/>
            <w:noWrap/>
            <w:vAlign w:val="center"/>
            <w:hideMark/>
          </w:tcPr>
          <w:p w14:paraId="2F90B4DA" w14:textId="77777777" w:rsidR="00D91BC9" w:rsidRPr="006519D0" w:rsidRDefault="009731B0" w:rsidP="00F56CCB">
            <w:pPr>
              <w:jc w:val="center"/>
              <w:rPr>
                <w:b/>
                <w:bCs/>
                <w:szCs w:val="20"/>
              </w:rPr>
            </w:pPr>
            <w:r w:rsidRPr="006519D0">
              <w:rPr>
                <w:b/>
                <w:bCs/>
                <w:szCs w:val="20"/>
              </w:rPr>
              <w:t>Hodnocení</w:t>
            </w:r>
          </w:p>
        </w:tc>
        <w:tc>
          <w:tcPr>
            <w:tcW w:w="2465" w:type="dxa"/>
            <w:noWrap/>
            <w:vAlign w:val="center"/>
            <w:hideMark/>
          </w:tcPr>
          <w:p w14:paraId="5D76CD9C" w14:textId="77777777" w:rsidR="00D91BC9" w:rsidRPr="006519D0" w:rsidRDefault="009731B0" w:rsidP="00F56CCB">
            <w:pPr>
              <w:jc w:val="center"/>
              <w:rPr>
                <w:b/>
                <w:bCs/>
                <w:szCs w:val="20"/>
              </w:rPr>
            </w:pPr>
            <w:r w:rsidRPr="006519D0">
              <w:rPr>
                <w:b/>
                <w:bCs/>
                <w:szCs w:val="20"/>
              </w:rPr>
              <w:t>Náklady</w:t>
            </w:r>
          </w:p>
        </w:tc>
        <w:tc>
          <w:tcPr>
            <w:tcW w:w="1456" w:type="dxa"/>
            <w:noWrap/>
            <w:vAlign w:val="center"/>
            <w:hideMark/>
          </w:tcPr>
          <w:p w14:paraId="31BABF47" w14:textId="77777777" w:rsidR="00D91BC9" w:rsidRPr="006519D0" w:rsidRDefault="009731B0" w:rsidP="00F56CCB">
            <w:pPr>
              <w:jc w:val="center"/>
              <w:rPr>
                <w:b/>
                <w:bCs/>
                <w:szCs w:val="20"/>
              </w:rPr>
            </w:pPr>
            <w:r w:rsidRPr="006519D0">
              <w:rPr>
                <w:b/>
                <w:bCs/>
                <w:szCs w:val="20"/>
              </w:rPr>
              <w:t>Hodnocení</w:t>
            </w:r>
          </w:p>
        </w:tc>
      </w:tr>
      <w:tr w:rsidR="00326AB0" w14:paraId="627EA694" w14:textId="77777777" w:rsidTr="00F56CCB">
        <w:trPr>
          <w:trHeight w:val="434"/>
        </w:trPr>
        <w:tc>
          <w:tcPr>
            <w:tcW w:w="1240" w:type="dxa"/>
            <w:vMerge w:val="restart"/>
            <w:noWrap/>
            <w:vAlign w:val="center"/>
            <w:hideMark/>
          </w:tcPr>
          <w:p w14:paraId="56DF2690" w14:textId="77777777" w:rsidR="00D91BC9" w:rsidRPr="006519D0" w:rsidRDefault="009731B0" w:rsidP="00F56CCB">
            <w:pPr>
              <w:rPr>
                <w:b/>
                <w:bCs/>
                <w:szCs w:val="20"/>
              </w:rPr>
            </w:pPr>
            <w:r w:rsidRPr="006519D0">
              <w:rPr>
                <w:b/>
                <w:bCs/>
                <w:szCs w:val="20"/>
              </w:rPr>
              <w:t>Varianta 0</w:t>
            </w:r>
          </w:p>
        </w:tc>
        <w:tc>
          <w:tcPr>
            <w:tcW w:w="7822" w:type="dxa"/>
            <w:gridSpan w:val="4"/>
            <w:vAlign w:val="center"/>
            <w:hideMark/>
          </w:tcPr>
          <w:p w14:paraId="49D744FE" w14:textId="77777777" w:rsidR="00D91BC9" w:rsidRPr="006519D0" w:rsidRDefault="009731B0" w:rsidP="00F56CCB">
            <w:pPr>
              <w:jc w:val="center"/>
              <w:rPr>
                <w:b/>
                <w:bCs/>
                <w:szCs w:val="20"/>
              </w:rPr>
            </w:pPr>
            <w:r w:rsidRPr="006519D0">
              <w:rPr>
                <w:b/>
                <w:bCs/>
                <w:szCs w:val="20"/>
              </w:rPr>
              <w:t>Státní rozpočet a ostatní veřejné rozpočty</w:t>
            </w:r>
          </w:p>
        </w:tc>
      </w:tr>
      <w:tr w:rsidR="00326AB0" w14:paraId="3FE1DA9B" w14:textId="77777777" w:rsidTr="008C2D8C">
        <w:trPr>
          <w:trHeight w:val="953"/>
        </w:trPr>
        <w:tc>
          <w:tcPr>
            <w:tcW w:w="1240" w:type="dxa"/>
            <w:vMerge/>
            <w:vAlign w:val="center"/>
            <w:hideMark/>
          </w:tcPr>
          <w:p w14:paraId="2FC96198" w14:textId="77777777" w:rsidR="00D91BC9" w:rsidRPr="006519D0" w:rsidRDefault="00D91BC9" w:rsidP="00F56CCB">
            <w:pPr>
              <w:rPr>
                <w:b/>
                <w:bCs/>
                <w:szCs w:val="20"/>
              </w:rPr>
            </w:pPr>
          </w:p>
        </w:tc>
        <w:tc>
          <w:tcPr>
            <w:tcW w:w="2405" w:type="dxa"/>
            <w:vAlign w:val="center"/>
            <w:hideMark/>
          </w:tcPr>
          <w:p w14:paraId="5BB1D849" w14:textId="77777777" w:rsidR="00D91BC9" w:rsidRPr="006519D0" w:rsidRDefault="00D91BC9" w:rsidP="00F56CCB">
            <w:pPr>
              <w:jc w:val="center"/>
              <w:rPr>
                <w:szCs w:val="20"/>
              </w:rPr>
            </w:pPr>
          </w:p>
        </w:tc>
        <w:tc>
          <w:tcPr>
            <w:tcW w:w="1496" w:type="dxa"/>
            <w:vAlign w:val="center"/>
            <w:hideMark/>
          </w:tcPr>
          <w:p w14:paraId="50C36114" w14:textId="77777777" w:rsidR="00D91BC9" w:rsidRPr="006519D0" w:rsidRDefault="00D91BC9" w:rsidP="00F56CCB">
            <w:pPr>
              <w:jc w:val="center"/>
              <w:rPr>
                <w:szCs w:val="20"/>
              </w:rPr>
            </w:pPr>
          </w:p>
        </w:tc>
        <w:tc>
          <w:tcPr>
            <w:tcW w:w="2465" w:type="dxa"/>
            <w:vAlign w:val="center"/>
          </w:tcPr>
          <w:p w14:paraId="72702011" w14:textId="77777777" w:rsidR="00D91BC9" w:rsidRPr="006519D0" w:rsidRDefault="009731B0" w:rsidP="00F56CCB">
            <w:pPr>
              <w:jc w:val="center"/>
              <w:rPr>
                <w:szCs w:val="20"/>
              </w:rPr>
            </w:pPr>
            <w:r w:rsidRPr="006519D0">
              <w:rPr>
                <w:szCs w:val="20"/>
              </w:rPr>
              <w:t>Nemožnost postihnout užívání jednorázových lahví s F-plyny</w:t>
            </w:r>
          </w:p>
        </w:tc>
        <w:tc>
          <w:tcPr>
            <w:tcW w:w="1456" w:type="dxa"/>
            <w:vAlign w:val="center"/>
          </w:tcPr>
          <w:p w14:paraId="528B2A47" w14:textId="77777777" w:rsidR="00D91BC9" w:rsidRPr="006519D0" w:rsidRDefault="009731B0" w:rsidP="00F56CCB">
            <w:pPr>
              <w:jc w:val="center"/>
              <w:rPr>
                <w:szCs w:val="20"/>
              </w:rPr>
            </w:pPr>
            <w:r w:rsidRPr="006519D0">
              <w:rPr>
                <w:szCs w:val="20"/>
              </w:rPr>
              <w:t>*</w:t>
            </w:r>
          </w:p>
        </w:tc>
      </w:tr>
      <w:tr w:rsidR="00326AB0" w14:paraId="10EA96AC" w14:textId="77777777" w:rsidTr="008C2D8C">
        <w:trPr>
          <w:trHeight w:val="1180"/>
        </w:trPr>
        <w:tc>
          <w:tcPr>
            <w:tcW w:w="1240" w:type="dxa"/>
            <w:vMerge/>
            <w:vAlign w:val="center"/>
          </w:tcPr>
          <w:p w14:paraId="568C4CF7" w14:textId="77777777" w:rsidR="00D91BC9" w:rsidRPr="006519D0" w:rsidRDefault="00D91BC9" w:rsidP="00F56CCB">
            <w:pPr>
              <w:rPr>
                <w:b/>
                <w:bCs/>
                <w:szCs w:val="20"/>
              </w:rPr>
            </w:pPr>
          </w:p>
        </w:tc>
        <w:tc>
          <w:tcPr>
            <w:tcW w:w="2405" w:type="dxa"/>
            <w:vAlign w:val="center"/>
          </w:tcPr>
          <w:p w14:paraId="5F7185B5" w14:textId="77777777" w:rsidR="00D91BC9" w:rsidRPr="006519D0" w:rsidRDefault="00D91BC9" w:rsidP="00F56CCB">
            <w:pPr>
              <w:jc w:val="center"/>
              <w:rPr>
                <w:szCs w:val="20"/>
              </w:rPr>
            </w:pPr>
          </w:p>
        </w:tc>
        <w:tc>
          <w:tcPr>
            <w:tcW w:w="1496" w:type="dxa"/>
            <w:vAlign w:val="center"/>
          </w:tcPr>
          <w:p w14:paraId="212352C3" w14:textId="77777777" w:rsidR="00D91BC9" w:rsidRPr="006519D0" w:rsidRDefault="00D91BC9" w:rsidP="00F56CCB">
            <w:pPr>
              <w:jc w:val="center"/>
              <w:rPr>
                <w:szCs w:val="20"/>
              </w:rPr>
            </w:pPr>
          </w:p>
        </w:tc>
        <w:tc>
          <w:tcPr>
            <w:tcW w:w="2465" w:type="dxa"/>
            <w:vAlign w:val="center"/>
          </w:tcPr>
          <w:p w14:paraId="632ACCCB" w14:textId="77777777" w:rsidR="00D91BC9" w:rsidRPr="006519D0" w:rsidRDefault="009731B0" w:rsidP="00F56CCB">
            <w:pPr>
              <w:jc w:val="center"/>
              <w:rPr>
                <w:szCs w:val="20"/>
              </w:rPr>
            </w:pPr>
            <w:r w:rsidRPr="006519D0">
              <w:rPr>
                <w:szCs w:val="20"/>
              </w:rPr>
              <w:t>Ponížený příjem státního rozpočtu o cla z dovozu znovuplnitelných nádob s F-plyny</w:t>
            </w:r>
          </w:p>
        </w:tc>
        <w:tc>
          <w:tcPr>
            <w:tcW w:w="1456" w:type="dxa"/>
            <w:vAlign w:val="center"/>
          </w:tcPr>
          <w:p w14:paraId="7BFF6C4C" w14:textId="77777777" w:rsidR="00D91BC9" w:rsidRPr="006519D0" w:rsidRDefault="009731B0" w:rsidP="00F56CCB">
            <w:pPr>
              <w:jc w:val="center"/>
              <w:rPr>
                <w:szCs w:val="20"/>
              </w:rPr>
            </w:pPr>
            <w:r w:rsidRPr="006519D0">
              <w:rPr>
                <w:szCs w:val="20"/>
              </w:rPr>
              <w:t>*</w:t>
            </w:r>
          </w:p>
        </w:tc>
      </w:tr>
      <w:tr w:rsidR="00326AB0" w14:paraId="4BF50BD1" w14:textId="77777777" w:rsidTr="008C2D8C">
        <w:trPr>
          <w:trHeight w:val="434"/>
        </w:trPr>
        <w:tc>
          <w:tcPr>
            <w:tcW w:w="1240" w:type="dxa"/>
            <w:vMerge/>
            <w:vAlign w:val="center"/>
            <w:hideMark/>
          </w:tcPr>
          <w:p w14:paraId="12A31017" w14:textId="77777777" w:rsidR="00D91BC9" w:rsidRPr="006519D0" w:rsidRDefault="00D91BC9" w:rsidP="00F56CCB">
            <w:pPr>
              <w:rPr>
                <w:b/>
                <w:bCs/>
                <w:szCs w:val="20"/>
              </w:rPr>
            </w:pPr>
          </w:p>
        </w:tc>
        <w:tc>
          <w:tcPr>
            <w:tcW w:w="7822" w:type="dxa"/>
            <w:gridSpan w:val="4"/>
            <w:vAlign w:val="center"/>
            <w:hideMark/>
          </w:tcPr>
          <w:p w14:paraId="14AD0066" w14:textId="77777777" w:rsidR="00D91BC9" w:rsidRPr="006519D0" w:rsidRDefault="009731B0" w:rsidP="00F56CCB">
            <w:pPr>
              <w:jc w:val="center"/>
              <w:rPr>
                <w:b/>
                <w:bCs/>
                <w:szCs w:val="20"/>
              </w:rPr>
            </w:pPr>
            <w:r w:rsidRPr="006519D0">
              <w:rPr>
                <w:b/>
                <w:bCs/>
                <w:szCs w:val="20"/>
              </w:rPr>
              <w:t xml:space="preserve">Podnikatelské </w:t>
            </w:r>
            <w:r w:rsidRPr="006519D0">
              <w:rPr>
                <w:b/>
                <w:bCs/>
                <w:szCs w:val="20"/>
              </w:rPr>
              <w:t>subjekty</w:t>
            </w:r>
          </w:p>
        </w:tc>
      </w:tr>
      <w:tr w:rsidR="00326AB0" w14:paraId="4B1F5109" w14:textId="77777777" w:rsidTr="00F56CCB">
        <w:trPr>
          <w:trHeight w:val="452"/>
        </w:trPr>
        <w:tc>
          <w:tcPr>
            <w:tcW w:w="1240" w:type="dxa"/>
            <w:vMerge/>
            <w:vAlign w:val="center"/>
            <w:hideMark/>
          </w:tcPr>
          <w:p w14:paraId="12D324B3" w14:textId="77777777" w:rsidR="00D91BC9" w:rsidRPr="006519D0" w:rsidRDefault="00D91BC9" w:rsidP="00F56CCB">
            <w:pPr>
              <w:rPr>
                <w:b/>
                <w:bCs/>
                <w:szCs w:val="20"/>
              </w:rPr>
            </w:pPr>
          </w:p>
        </w:tc>
        <w:tc>
          <w:tcPr>
            <w:tcW w:w="2405" w:type="dxa"/>
            <w:vAlign w:val="center"/>
            <w:hideMark/>
          </w:tcPr>
          <w:p w14:paraId="49339D5A" w14:textId="77777777" w:rsidR="00D91BC9" w:rsidRPr="006519D0" w:rsidRDefault="00D91BC9" w:rsidP="00F56CCB">
            <w:pPr>
              <w:jc w:val="center"/>
              <w:rPr>
                <w:szCs w:val="20"/>
              </w:rPr>
            </w:pPr>
          </w:p>
        </w:tc>
        <w:tc>
          <w:tcPr>
            <w:tcW w:w="1496" w:type="dxa"/>
            <w:vAlign w:val="center"/>
            <w:hideMark/>
          </w:tcPr>
          <w:p w14:paraId="5C28539F" w14:textId="77777777" w:rsidR="00D91BC9" w:rsidRPr="006519D0" w:rsidRDefault="00D91BC9" w:rsidP="00F56CCB">
            <w:pPr>
              <w:jc w:val="center"/>
              <w:rPr>
                <w:szCs w:val="20"/>
              </w:rPr>
            </w:pPr>
          </w:p>
        </w:tc>
        <w:tc>
          <w:tcPr>
            <w:tcW w:w="2465" w:type="dxa"/>
            <w:vAlign w:val="center"/>
          </w:tcPr>
          <w:p w14:paraId="121CD102" w14:textId="77777777" w:rsidR="00D91BC9" w:rsidRPr="006519D0" w:rsidRDefault="009731B0" w:rsidP="00F56CCB">
            <w:pPr>
              <w:jc w:val="center"/>
              <w:rPr>
                <w:szCs w:val="20"/>
              </w:rPr>
            </w:pPr>
            <w:r w:rsidRPr="006519D0">
              <w:rPr>
                <w:szCs w:val="20"/>
              </w:rPr>
              <w:t>Negativní ovlivnění vývoje cen za dovezené F-plyny</w:t>
            </w:r>
          </w:p>
        </w:tc>
        <w:tc>
          <w:tcPr>
            <w:tcW w:w="1456" w:type="dxa"/>
            <w:vAlign w:val="center"/>
          </w:tcPr>
          <w:p w14:paraId="768AEFD2" w14:textId="77777777" w:rsidR="00D91BC9" w:rsidRPr="006519D0" w:rsidRDefault="009731B0" w:rsidP="00F56CCB">
            <w:pPr>
              <w:jc w:val="center"/>
              <w:rPr>
                <w:szCs w:val="20"/>
              </w:rPr>
            </w:pPr>
            <w:r w:rsidRPr="006519D0">
              <w:rPr>
                <w:szCs w:val="20"/>
              </w:rPr>
              <w:t>*</w:t>
            </w:r>
          </w:p>
        </w:tc>
      </w:tr>
      <w:tr w:rsidR="00326AB0" w14:paraId="43F3BDF5" w14:textId="77777777" w:rsidTr="00F56CCB">
        <w:trPr>
          <w:trHeight w:val="278"/>
        </w:trPr>
        <w:tc>
          <w:tcPr>
            <w:tcW w:w="1240" w:type="dxa"/>
            <w:vMerge/>
            <w:vAlign w:val="center"/>
            <w:hideMark/>
          </w:tcPr>
          <w:p w14:paraId="0B74A8F4" w14:textId="77777777" w:rsidR="00D91BC9" w:rsidRPr="006519D0" w:rsidRDefault="00D91BC9" w:rsidP="00F56CCB">
            <w:pPr>
              <w:rPr>
                <w:b/>
                <w:bCs/>
                <w:szCs w:val="20"/>
              </w:rPr>
            </w:pPr>
          </w:p>
        </w:tc>
        <w:tc>
          <w:tcPr>
            <w:tcW w:w="7822" w:type="dxa"/>
            <w:gridSpan w:val="4"/>
            <w:vAlign w:val="center"/>
            <w:hideMark/>
          </w:tcPr>
          <w:p w14:paraId="15825496" w14:textId="77777777" w:rsidR="00D91BC9" w:rsidRPr="006519D0" w:rsidRDefault="009731B0" w:rsidP="00F56CCB">
            <w:pPr>
              <w:jc w:val="center"/>
              <w:rPr>
                <w:b/>
                <w:bCs/>
                <w:szCs w:val="20"/>
              </w:rPr>
            </w:pPr>
            <w:r w:rsidRPr="006519D0">
              <w:rPr>
                <w:b/>
                <w:bCs/>
                <w:szCs w:val="20"/>
              </w:rPr>
              <w:t>Životní prostředí</w:t>
            </w:r>
          </w:p>
        </w:tc>
      </w:tr>
      <w:tr w:rsidR="00326AB0" w14:paraId="55555261" w14:textId="77777777" w:rsidTr="00F56CCB">
        <w:trPr>
          <w:trHeight w:val="836"/>
        </w:trPr>
        <w:tc>
          <w:tcPr>
            <w:tcW w:w="1240" w:type="dxa"/>
            <w:vMerge/>
            <w:vAlign w:val="center"/>
            <w:hideMark/>
          </w:tcPr>
          <w:p w14:paraId="78CB3412" w14:textId="77777777" w:rsidR="00D91BC9" w:rsidRPr="006519D0" w:rsidRDefault="00D91BC9" w:rsidP="00F56CCB">
            <w:pPr>
              <w:rPr>
                <w:b/>
                <w:bCs/>
                <w:szCs w:val="20"/>
              </w:rPr>
            </w:pPr>
          </w:p>
        </w:tc>
        <w:tc>
          <w:tcPr>
            <w:tcW w:w="2405" w:type="dxa"/>
            <w:vAlign w:val="center"/>
            <w:hideMark/>
          </w:tcPr>
          <w:p w14:paraId="26998F1A" w14:textId="77777777" w:rsidR="00D91BC9" w:rsidRPr="006519D0" w:rsidRDefault="00D91BC9" w:rsidP="00F56CCB">
            <w:pPr>
              <w:jc w:val="center"/>
              <w:rPr>
                <w:szCs w:val="20"/>
              </w:rPr>
            </w:pPr>
          </w:p>
        </w:tc>
        <w:tc>
          <w:tcPr>
            <w:tcW w:w="1496" w:type="dxa"/>
            <w:noWrap/>
            <w:vAlign w:val="center"/>
            <w:hideMark/>
          </w:tcPr>
          <w:p w14:paraId="6C1395F6" w14:textId="77777777" w:rsidR="00D91BC9" w:rsidRPr="006519D0" w:rsidRDefault="00D91BC9" w:rsidP="00F56CCB">
            <w:pPr>
              <w:jc w:val="center"/>
              <w:rPr>
                <w:szCs w:val="20"/>
              </w:rPr>
            </w:pPr>
          </w:p>
        </w:tc>
        <w:tc>
          <w:tcPr>
            <w:tcW w:w="2465" w:type="dxa"/>
            <w:vAlign w:val="center"/>
          </w:tcPr>
          <w:p w14:paraId="466CDD14" w14:textId="77777777" w:rsidR="00D91BC9" w:rsidRPr="006519D0" w:rsidRDefault="009731B0" w:rsidP="00F56CCB">
            <w:pPr>
              <w:jc w:val="center"/>
              <w:rPr>
                <w:szCs w:val="20"/>
              </w:rPr>
            </w:pPr>
            <w:r w:rsidRPr="006519D0">
              <w:rPr>
                <w:szCs w:val="20"/>
              </w:rPr>
              <w:t xml:space="preserve">Nekontrolovatelný černý trh s nádobami na </w:t>
            </w:r>
            <w:r w:rsidR="001D43BB" w:rsidRPr="006519D0">
              <w:rPr>
                <w:szCs w:val="20"/>
              </w:rPr>
              <w:br/>
            </w:r>
            <w:r w:rsidRPr="006519D0">
              <w:rPr>
                <w:szCs w:val="20"/>
              </w:rPr>
              <w:t xml:space="preserve">F-plyny </w:t>
            </w:r>
          </w:p>
        </w:tc>
        <w:tc>
          <w:tcPr>
            <w:tcW w:w="1456" w:type="dxa"/>
            <w:vAlign w:val="center"/>
          </w:tcPr>
          <w:p w14:paraId="596A1285" w14:textId="77777777" w:rsidR="00D91BC9" w:rsidRPr="006519D0" w:rsidRDefault="009731B0" w:rsidP="00F56CCB">
            <w:pPr>
              <w:jc w:val="center"/>
              <w:rPr>
                <w:szCs w:val="20"/>
              </w:rPr>
            </w:pPr>
            <w:r w:rsidRPr="006519D0">
              <w:rPr>
                <w:szCs w:val="20"/>
              </w:rPr>
              <w:t>**</w:t>
            </w:r>
          </w:p>
        </w:tc>
      </w:tr>
      <w:tr w:rsidR="00326AB0" w14:paraId="53EECE9D" w14:textId="77777777" w:rsidTr="00F56CCB">
        <w:trPr>
          <w:trHeight w:val="425"/>
        </w:trPr>
        <w:tc>
          <w:tcPr>
            <w:tcW w:w="1240" w:type="dxa"/>
            <w:vMerge/>
            <w:vAlign w:val="center"/>
          </w:tcPr>
          <w:p w14:paraId="454639D1" w14:textId="77777777" w:rsidR="00D91BC9" w:rsidRPr="006519D0" w:rsidRDefault="00D91BC9" w:rsidP="00F56CCB">
            <w:pPr>
              <w:rPr>
                <w:b/>
                <w:bCs/>
                <w:szCs w:val="20"/>
              </w:rPr>
            </w:pPr>
          </w:p>
        </w:tc>
        <w:tc>
          <w:tcPr>
            <w:tcW w:w="2405" w:type="dxa"/>
            <w:vAlign w:val="center"/>
          </w:tcPr>
          <w:p w14:paraId="3224D3F4" w14:textId="77777777" w:rsidR="00D91BC9" w:rsidRPr="006519D0" w:rsidRDefault="00D91BC9" w:rsidP="00F56CCB">
            <w:pPr>
              <w:jc w:val="center"/>
              <w:rPr>
                <w:szCs w:val="20"/>
              </w:rPr>
            </w:pPr>
          </w:p>
        </w:tc>
        <w:tc>
          <w:tcPr>
            <w:tcW w:w="1496" w:type="dxa"/>
            <w:noWrap/>
            <w:vAlign w:val="center"/>
          </w:tcPr>
          <w:p w14:paraId="49E406FD" w14:textId="77777777" w:rsidR="00D91BC9" w:rsidRPr="006519D0" w:rsidRDefault="00D91BC9" w:rsidP="00F56CCB">
            <w:pPr>
              <w:jc w:val="center"/>
              <w:rPr>
                <w:szCs w:val="20"/>
              </w:rPr>
            </w:pPr>
          </w:p>
        </w:tc>
        <w:tc>
          <w:tcPr>
            <w:tcW w:w="2465" w:type="dxa"/>
            <w:vAlign w:val="center"/>
          </w:tcPr>
          <w:p w14:paraId="4BECFF76" w14:textId="77777777" w:rsidR="00D91BC9" w:rsidRPr="006519D0" w:rsidRDefault="009731B0" w:rsidP="00F56CCB">
            <w:pPr>
              <w:jc w:val="center"/>
              <w:rPr>
                <w:szCs w:val="20"/>
              </w:rPr>
            </w:pPr>
            <w:r w:rsidRPr="006519D0">
              <w:rPr>
                <w:szCs w:val="20"/>
              </w:rPr>
              <w:t>Riziko úniku plynu do ovzduší</w:t>
            </w:r>
          </w:p>
        </w:tc>
        <w:tc>
          <w:tcPr>
            <w:tcW w:w="1456" w:type="dxa"/>
            <w:vAlign w:val="center"/>
          </w:tcPr>
          <w:p w14:paraId="5E112CC1" w14:textId="77777777" w:rsidR="00D91BC9" w:rsidRPr="006519D0" w:rsidRDefault="009731B0" w:rsidP="00F56CCB">
            <w:pPr>
              <w:jc w:val="center"/>
              <w:rPr>
                <w:szCs w:val="20"/>
              </w:rPr>
            </w:pPr>
            <w:r w:rsidRPr="006519D0">
              <w:rPr>
                <w:szCs w:val="20"/>
              </w:rPr>
              <w:t>**</w:t>
            </w:r>
          </w:p>
        </w:tc>
      </w:tr>
      <w:tr w:rsidR="00326AB0" w14:paraId="7ADA97A1" w14:textId="77777777" w:rsidTr="00F56CCB">
        <w:trPr>
          <w:trHeight w:val="383"/>
        </w:trPr>
        <w:tc>
          <w:tcPr>
            <w:tcW w:w="1240" w:type="dxa"/>
            <w:vMerge w:val="restart"/>
            <w:noWrap/>
            <w:vAlign w:val="center"/>
            <w:hideMark/>
          </w:tcPr>
          <w:p w14:paraId="0B794976" w14:textId="77777777" w:rsidR="00D91BC9" w:rsidRPr="006519D0" w:rsidRDefault="009731B0" w:rsidP="00F56CCB">
            <w:pPr>
              <w:rPr>
                <w:b/>
                <w:bCs/>
                <w:szCs w:val="20"/>
              </w:rPr>
            </w:pPr>
            <w:r w:rsidRPr="006519D0">
              <w:rPr>
                <w:b/>
                <w:bCs/>
                <w:szCs w:val="20"/>
              </w:rPr>
              <w:t>Varianta 1</w:t>
            </w:r>
          </w:p>
        </w:tc>
        <w:tc>
          <w:tcPr>
            <w:tcW w:w="7822" w:type="dxa"/>
            <w:gridSpan w:val="4"/>
            <w:vAlign w:val="center"/>
            <w:hideMark/>
          </w:tcPr>
          <w:p w14:paraId="4703E0F9" w14:textId="77777777" w:rsidR="00D91BC9" w:rsidRPr="006519D0" w:rsidRDefault="009731B0" w:rsidP="00F56CCB">
            <w:pPr>
              <w:jc w:val="center"/>
              <w:rPr>
                <w:b/>
                <w:bCs/>
                <w:szCs w:val="20"/>
              </w:rPr>
            </w:pPr>
            <w:r w:rsidRPr="006519D0">
              <w:rPr>
                <w:b/>
                <w:bCs/>
                <w:szCs w:val="20"/>
              </w:rPr>
              <w:t>Státní rozpočet a ostatní veřejné rozpočty</w:t>
            </w:r>
          </w:p>
        </w:tc>
      </w:tr>
      <w:tr w:rsidR="00326AB0" w14:paraId="15FEB8F2" w14:textId="77777777" w:rsidTr="00F56CCB">
        <w:trPr>
          <w:trHeight w:val="183"/>
        </w:trPr>
        <w:tc>
          <w:tcPr>
            <w:tcW w:w="1240" w:type="dxa"/>
            <w:vMerge/>
            <w:hideMark/>
          </w:tcPr>
          <w:p w14:paraId="2EF80043" w14:textId="77777777" w:rsidR="00D91BC9" w:rsidRPr="006519D0" w:rsidRDefault="00D91BC9" w:rsidP="00F56CCB">
            <w:pPr>
              <w:rPr>
                <w:b/>
                <w:bCs/>
                <w:szCs w:val="20"/>
              </w:rPr>
            </w:pPr>
          </w:p>
        </w:tc>
        <w:tc>
          <w:tcPr>
            <w:tcW w:w="2405" w:type="dxa"/>
            <w:vAlign w:val="center"/>
          </w:tcPr>
          <w:p w14:paraId="7B2EDF15" w14:textId="77777777" w:rsidR="00D91BC9" w:rsidRPr="006519D0" w:rsidRDefault="009731B0" w:rsidP="00F56CCB">
            <w:pPr>
              <w:jc w:val="center"/>
              <w:rPr>
                <w:szCs w:val="20"/>
              </w:rPr>
            </w:pPr>
            <w:r w:rsidRPr="006519D0">
              <w:rPr>
                <w:szCs w:val="20"/>
              </w:rPr>
              <w:t>Zvýšení příjmu do státního rozpočtu za cla za znovuplnitelné lahve s F-plyny</w:t>
            </w:r>
          </w:p>
        </w:tc>
        <w:tc>
          <w:tcPr>
            <w:tcW w:w="1496" w:type="dxa"/>
            <w:vAlign w:val="center"/>
          </w:tcPr>
          <w:p w14:paraId="5031132D" w14:textId="77777777" w:rsidR="00D91BC9" w:rsidRPr="006519D0" w:rsidRDefault="009731B0" w:rsidP="00F56CCB">
            <w:pPr>
              <w:jc w:val="center"/>
              <w:rPr>
                <w:szCs w:val="20"/>
              </w:rPr>
            </w:pPr>
            <w:r w:rsidRPr="006519D0">
              <w:rPr>
                <w:szCs w:val="20"/>
              </w:rPr>
              <w:t>*</w:t>
            </w:r>
          </w:p>
        </w:tc>
        <w:tc>
          <w:tcPr>
            <w:tcW w:w="2465" w:type="dxa"/>
            <w:vAlign w:val="center"/>
          </w:tcPr>
          <w:p w14:paraId="05B98A94" w14:textId="77777777" w:rsidR="00D91BC9" w:rsidRPr="006519D0" w:rsidRDefault="00D91BC9" w:rsidP="00F56CCB">
            <w:pPr>
              <w:jc w:val="center"/>
              <w:rPr>
                <w:szCs w:val="20"/>
              </w:rPr>
            </w:pPr>
          </w:p>
        </w:tc>
        <w:tc>
          <w:tcPr>
            <w:tcW w:w="1456" w:type="dxa"/>
            <w:vAlign w:val="center"/>
          </w:tcPr>
          <w:p w14:paraId="3A061274" w14:textId="77777777" w:rsidR="00D91BC9" w:rsidRPr="006519D0" w:rsidRDefault="00D91BC9" w:rsidP="00F56CCB">
            <w:pPr>
              <w:jc w:val="center"/>
              <w:rPr>
                <w:szCs w:val="20"/>
              </w:rPr>
            </w:pPr>
          </w:p>
        </w:tc>
      </w:tr>
      <w:tr w:rsidR="00326AB0" w14:paraId="09DCC9E3" w14:textId="77777777" w:rsidTr="00F56CCB">
        <w:trPr>
          <w:trHeight w:val="1071"/>
        </w:trPr>
        <w:tc>
          <w:tcPr>
            <w:tcW w:w="1240" w:type="dxa"/>
            <w:vMerge/>
          </w:tcPr>
          <w:p w14:paraId="6809D65B" w14:textId="77777777" w:rsidR="00D91BC9" w:rsidRPr="006519D0" w:rsidRDefault="00D91BC9" w:rsidP="00F56CCB">
            <w:pPr>
              <w:rPr>
                <w:b/>
                <w:bCs/>
                <w:szCs w:val="20"/>
              </w:rPr>
            </w:pPr>
          </w:p>
        </w:tc>
        <w:tc>
          <w:tcPr>
            <w:tcW w:w="2405" w:type="dxa"/>
            <w:vAlign w:val="center"/>
          </w:tcPr>
          <w:p w14:paraId="5C7154F9" w14:textId="77777777" w:rsidR="00D91BC9" w:rsidRPr="006519D0" w:rsidRDefault="009731B0" w:rsidP="00F56CCB">
            <w:pPr>
              <w:jc w:val="center"/>
              <w:rPr>
                <w:szCs w:val="20"/>
              </w:rPr>
            </w:pPr>
            <w:r w:rsidRPr="006519D0">
              <w:rPr>
                <w:szCs w:val="20"/>
              </w:rPr>
              <w:t>Příjem do státního rozpočtu z pokut za nakládání s jednorázovými nádobami s F-plyny</w:t>
            </w:r>
          </w:p>
        </w:tc>
        <w:tc>
          <w:tcPr>
            <w:tcW w:w="1496" w:type="dxa"/>
            <w:vAlign w:val="center"/>
          </w:tcPr>
          <w:p w14:paraId="02D5AE3A" w14:textId="77777777" w:rsidR="00D91BC9" w:rsidRPr="006519D0" w:rsidRDefault="009731B0" w:rsidP="00F56CCB">
            <w:pPr>
              <w:jc w:val="center"/>
              <w:rPr>
                <w:szCs w:val="20"/>
              </w:rPr>
            </w:pPr>
            <w:r w:rsidRPr="006519D0">
              <w:rPr>
                <w:szCs w:val="20"/>
              </w:rPr>
              <w:t>*</w:t>
            </w:r>
          </w:p>
        </w:tc>
        <w:tc>
          <w:tcPr>
            <w:tcW w:w="2465" w:type="dxa"/>
            <w:vAlign w:val="center"/>
          </w:tcPr>
          <w:p w14:paraId="5A898B69" w14:textId="77777777" w:rsidR="00D91BC9" w:rsidRPr="006519D0" w:rsidRDefault="00D91BC9" w:rsidP="00F56CCB">
            <w:pPr>
              <w:jc w:val="center"/>
              <w:rPr>
                <w:szCs w:val="20"/>
              </w:rPr>
            </w:pPr>
          </w:p>
        </w:tc>
        <w:tc>
          <w:tcPr>
            <w:tcW w:w="1456" w:type="dxa"/>
            <w:vAlign w:val="center"/>
          </w:tcPr>
          <w:p w14:paraId="69B618A8" w14:textId="77777777" w:rsidR="00D91BC9" w:rsidRPr="006519D0" w:rsidRDefault="00D91BC9" w:rsidP="00F56CCB">
            <w:pPr>
              <w:jc w:val="center"/>
              <w:rPr>
                <w:szCs w:val="20"/>
              </w:rPr>
            </w:pPr>
          </w:p>
        </w:tc>
      </w:tr>
      <w:tr w:rsidR="00326AB0" w14:paraId="273A3BC4" w14:textId="77777777" w:rsidTr="00F56CCB">
        <w:trPr>
          <w:trHeight w:val="324"/>
        </w:trPr>
        <w:tc>
          <w:tcPr>
            <w:tcW w:w="1240" w:type="dxa"/>
            <w:vMerge/>
            <w:hideMark/>
          </w:tcPr>
          <w:p w14:paraId="7639CFAB" w14:textId="77777777" w:rsidR="00D91BC9" w:rsidRPr="006519D0" w:rsidRDefault="00D91BC9" w:rsidP="00F56CCB">
            <w:pPr>
              <w:rPr>
                <w:b/>
                <w:bCs/>
                <w:szCs w:val="20"/>
              </w:rPr>
            </w:pPr>
          </w:p>
        </w:tc>
        <w:tc>
          <w:tcPr>
            <w:tcW w:w="7822" w:type="dxa"/>
            <w:gridSpan w:val="4"/>
            <w:vAlign w:val="center"/>
            <w:hideMark/>
          </w:tcPr>
          <w:p w14:paraId="22E0DAE5" w14:textId="77777777" w:rsidR="00D91BC9" w:rsidRPr="006519D0" w:rsidRDefault="009731B0" w:rsidP="00F56CCB">
            <w:pPr>
              <w:jc w:val="center"/>
              <w:rPr>
                <w:b/>
                <w:bCs/>
                <w:szCs w:val="20"/>
              </w:rPr>
            </w:pPr>
            <w:r w:rsidRPr="006519D0">
              <w:rPr>
                <w:b/>
                <w:bCs/>
                <w:szCs w:val="20"/>
              </w:rPr>
              <w:t>Podnikatelské subjekty</w:t>
            </w:r>
          </w:p>
        </w:tc>
      </w:tr>
      <w:tr w:rsidR="00326AB0" w14:paraId="2AE83C06" w14:textId="77777777" w:rsidTr="00E24349">
        <w:trPr>
          <w:trHeight w:val="860"/>
        </w:trPr>
        <w:tc>
          <w:tcPr>
            <w:tcW w:w="1240" w:type="dxa"/>
            <w:vMerge/>
            <w:hideMark/>
          </w:tcPr>
          <w:p w14:paraId="00138701" w14:textId="77777777" w:rsidR="00D91BC9" w:rsidRPr="006519D0" w:rsidRDefault="00D91BC9" w:rsidP="00F56CCB">
            <w:pPr>
              <w:rPr>
                <w:b/>
                <w:bCs/>
                <w:szCs w:val="20"/>
              </w:rPr>
            </w:pPr>
          </w:p>
        </w:tc>
        <w:tc>
          <w:tcPr>
            <w:tcW w:w="2405" w:type="dxa"/>
            <w:vAlign w:val="center"/>
          </w:tcPr>
          <w:p w14:paraId="082ED8B4" w14:textId="77777777" w:rsidR="00D91BC9" w:rsidRPr="006519D0" w:rsidRDefault="009731B0" w:rsidP="00F56CCB">
            <w:pPr>
              <w:jc w:val="center"/>
              <w:rPr>
                <w:szCs w:val="20"/>
              </w:rPr>
            </w:pPr>
            <w:r w:rsidRPr="006519D0">
              <w:rPr>
                <w:szCs w:val="20"/>
              </w:rPr>
              <w:t>Narovnání podmínek mezi všemi subjekty využívající F-plyny</w:t>
            </w:r>
          </w:p>
        </w:tc>
        <w:tc>
          <w:tcPr>
            <w:tcW w:w="1496" w:type="dxa"/>
            <w:noWrap/>
            <w:vAlign w:val="center"/>
          </w:tcPr>
          <w:p w14:paraId="083C32BC" w14:textId="77777777" w:rsidR="00D91BC9" w:rsidRPr="006519D0" w:rsidRDefault="009731B0" w:rsidP="00F56CCB">
            <w:pPr>
              <w:jc w:val="center"/>
              <w:rPr>
                <w:szCs w:val="20"/>
              </w:rPr>
            </w:pPr>
            <w:r w:rsidRPr="006519D0">
              <w:rPr>
                <w:szCs w:val="20"/>
              </w:rPr>
              <w:t>**</w:t>
            </w:r>
          </w:p>
        </w:tc>
        <w:tc>
          <w:tcPr>
            <w:tcW w:w="2465" w:type="dxa"/>
            <w:vAlign w:val="center"/>
          </w:tcPr>
          <w:p w14:paraId="0873000E" w14:textId="77777777" w:rsidR="00D91BC9" w:rsidRPr="006519D0" w:rsidRDefault="009731B0" w:rsidP="00F56CCB">
            <w:pPr>
              <w:jc w:val="center"/>
              <w:rPr>
                <w:szCs w:val="20"/>
              </w:rPr>
            </w:pPr>
            <w:r w:rsidRPr="006519D0">
              <w:rPr>
                <w:szCs w:val="20"/>
              </w:rPr>
              <w:t>-</w:t>
            </w:r>
          </w:p>
        </w:tc>
        <w:tc>
          <w:tcPr>
            <w:tcW w:w="1456" w:type="dxa"/>
            <w:noWrap/>
            <w:vAlign w:val="center"/>
          </w:tcPr>
          <w:p w14:paraId="3ED5CB62" w14:textId="77777777" w:rsidR="00D91BC9" w:rsidRPr="006519D0" w:rsidRDefault="009731B0" w:rsidP="00F56CCB">
            <w:pPr>
              <w:jc w:val="center"/>
              <w:rPr>
                <w:szCs w:val="20"/>
              </w:rPr>
            </w:pPr>
            <w:r w:rsidRPr="006519D0">
              <w:rPr>
                <w:szCs w:val="20"/>
              </w:rPr>
              <w:t>-</w:t>
            </w:r>
          </w:p>
        </w:tc>
      </w:tr>
      <w:tr w:rsidR="00326AB0" w14:paraId="083765BB" w14:textId="77777777" w:rsidTr="00F56CCB">
        <w:trPr>
          <w:trHeight w:val="398"/>
        </w:trPr>
        <w:tc>
          <w:tcPr>
            <w:tcW w:w="1240" w:type="dxa"/>
            <w:vMerge/>
            <w:hideMark/>
          </w:tcPr>
          <w:p w14:paraId="2A537624" w14:textId="77777777" w:rsidR="00D91BC9" w:rsidRPr="006519D0" w:rsidRDefault="00D91BC9" w:rsidP="00F56CCB">
            <w:pPr>
              <w:rPr>
                <w:b/>
                <w:bCs/>
                <w:szCs w:val="20"/>
              </w:rPr>
            </w:pPr>
          </w:p>
        </w:tc>
        <w:tc>
          <w:tcPr>
            <w:tcW w:w="7822" w:type="dxa"/>
            <w:gridSpan w:val="4"/>
            <w:vAlign w:val="center"/>
            <w:hideMark/>
          </w:tcPr>
          <w:p w14:paraId="5EE81340" w14:textId="77777777" w:rsidR="00D91BC9" w:rsidRPr="006519D0" w:rsidRDefault="009731B0" w:rsidP="00F56CCB">
            <w:pPr>
              <w:jc w:val="center"/>
              <w:rPr>
                <w:b/>
                <w:bCs/>
                <w:szCs w:val="20"/>
              </w:rPr>
            </w:pPr>
            <w:r w:rsidRPr="006519D0">
              <w:rPr>
                <w:b/>
                <w:bCs/>
                <w:szCs w:val="20"/>
              </w:rPr>
              <w:t>Životní prostředí</w:t>
            </w:r>
          </w:p>
        </w:tc>
      </w:tr>
      <w:tr w:rsidR="00326AB0" w14:paraId="0980EE9B" w14:textId="77777777" w:rsidTr="00F56CCB">
        <w:trPr>
          <w:trHeight w:val="437"/>
        </w:trPr>
        <w:tc>
          <w:tcPr>
            <w:tcW w:w="1240" w:type="dxa"/>
            <w:vMerge/>
            <w:hideMark/>
          </w:tcPr>
          <w:p w14:paraId="5046647D" w14:textId="77777777" w:rsidR="00D91BC9" w:rsidRPr="006519D0" w:rsidRDefault="00D91BC9" w:rsidP="00F56CCB">
            <w:pPr>
              <w:rPr>
                <w:b/>
                <w:bCs/>
                <w:szCs w:val="20"/>
              </w:rPr>
            </w:pPr>
          </w:p>
        </w:tc>
        <w:tc>
          <w:tcPr>
            <w:tcW w:w="2405" w:type="dxa"/>
            <w:vAlign w:val="center"/>
          </w:tcPr>
          <w:p w14:paraId="3789FA09" w14:textId="77777777" w:rsidR="00D91BC9" w:rsidRPr="006519D0" w:rsidRDefault="009731B0" w:rsidP="00F56CCB">
            <w:pPr>
              <w:jc w:val="center"/>
              <w:rPr>
                <w:szCs w:val="20"/>
              </w:rPr>
            </w:pPr>
            <w:r w:rsidRPr="006519D0">
              <w:rPr>
                <w:szCs w:val="20"/>
              </w:rPr>
              <w:t>Snížení počtu jednorázových nádob na F-plyny a rizika úniku plynu z nádob</w:t>
            </w:r>
          </w:p>
        </w:tc>
        <w:tc>
          <w:tcPr>
            <w:tcW w:w="1496" w:type="dxa"/>
            <w:vAlign w:val="center"/>
          </w:tcPr>
          <w:p w14:paraId="4349F0F4" w14:textId="77777777" w:rsidR="00D91BC9" w:rsidRPr="006519D0" w:rsidRDefault="009731B0" w:rsidP="00F56CCB">
            <w:pPr>
              <w:jc w:val="center"/>
              <w:rPr>
                <w:szCs w:val="20"/>
              </w:rPr>
            </w:pPr>
            <w:r w:rsidRPr="006519D0">
              <w:rPr>
                <w:szCs w:val="20"/>
              </w:rPr>
              <w:t>*</w:t>
            </w:r>
          </w:p>
        </w:tc>
        <w:tc>
          <w:tcPr>
            <w:tcW w:w="2465" w:type="dxa"/>
            <w:vAlign w:val="center"/>
            <w:hideMark/>
          </w:tcPr>
          <w:p w14:paraId="06AD97A3" w14:textId="77777777" w:rsidR="00D91BC9" w:rsidRPr="006519D0" w:rsidRDefault="00D91BC9" w:rsidP="00F56CCB">
            <w:pPr>
              <w:jc w:val="center"/>
              <w:rPr>
                <w:szCs w:val="20"/>
              </w:rPr>
            </w:pPr>
          </w:p>
        </w:tc>
        <w:tc>
          <w:tcPr>
            <w:tcW w:w="1456" w:type="dxa"/>
            <w:vAlign w:val="center"/>
            <w:hideMark/>
          </w:tcPr>
          <w:p w14:paraId="4C9EF745" w14:textId="77777777" w:rsidR="00D91BC9" w:rsidRPr="006519D0" w:rsidRDefault="00D91BC9" w:rsidP="00F56CCB">
            <w:pPr>
              <w:jc w:val="center"/>
              <w:rPr>
                <w:szCs w:val="20"/>
              </w:rPr>
            </w:pPr>
          </w:p>
        </w:tc>
      </w:tr>
      <w:tr w:rsidR="00326AB0" w14:paraId="17899777" w14:textId="77777777" w:rsidTr="00F56CCB">
        <w:trPr>
          <w:trHeight w:val="437"/>
        </w:trPr>
        <w:tc>
          <w:tcPr>
            <w:tcW w:w="1240" w:type="dxa"/>
            <w:vMerge/>
          </w:tcPr>
          <w:p w14:paraId="324E704C" w14:textId="77777777" w:rsidR="00D91BC9" w:rsidRPr="006519D0" w:rsidRDefault="00D91BC9" w:rsidP="00F56CCB">
            <w:pPr>
              <w:rPr>
                <w:b/>
                <w:bCs/>
                <w:szCs w:val="20"/>
              </w:rPr>
            </w:pPr>
          </w:p>
        </w:tc>
        <w:tc>
          <w:tcPr>
            <w:tcW w:w="2405" w:type="dxa"/>
            <w:vAlign w:val="center"/>
          </w:tcPr>
          <w:p w14:paraId="0636F219" w14:textId="77777777" w:rsidR="00D91BC9" w:rsidRPr="006519D0" w:rsidRDefault="009731B0" w:rsidP="00F56CCB">
            <w:pPr>
              <w:jc w:val="center"/>
              <w:rPr>
                <w:szCs w:val="20"/>
              </w:rPr>
            </w:pPr>
            <w:r w:rsidRPr="006519D0">
              <w:rPr>
                <w:szCs w:val="20"/>
              </w:rPr>
              <w:t>Rozvoj alternativních chladiv s nízkým GWP</w:t>
            </w:r>
          </w:p>
        </w:tc>
        <w:tc>
          <w:tcPr>
            <w:tcW w:w="1496" w:type="dxa"/>
            <w:vAlign w:val="center"/>
          </w:tcPr>
          <w:p w14:paraId="04F25E6F" w14:textId="77777777" w:rsidR="00D91BC9" w:rsidRPr="006519D0" w:rsidRDefault="009731B0" w:rsidP="00F56CCB">
            <w:pPr>
              <w:jc w:val="center"/>
              <w:rPr>
                <w:szCs w:val="20"/>
              </w:rPr>
            </w:pPr>
            <w:r w:rsidRPr="006519D0">
              <w:rPr>
                <w:szCs w:val="20"/>
              </w:rPr>
              <w:t>**</w:t>
            </w:r>
          </w:p>
        </w:tc>
        <w:tc>
          <w:tcPr>
            <w:tcW w:w="2465" w:type="dxa"/>
            <w:vAlign w:val="center"/>
          </w:tcPr>
          <w:p w14:paraId="611D8863" w14:textId="77777777" w:rsidR="00D91BC9" w:rsidRPr="006519D0" w:rsidRDefault="00D91BC9" w:rsidP="00F56CCB">
            <w:pPr>
              <w:jc w:val="center"/>
              <w:rPr>
                <w:szCs w:val="20"/>
              </w:rPr>
            </w:pPr>
          </w:p>
        </w:tc>
        <w:tc>
          <w:tcPr>
            <w:tcW w:w="1456" w:type="dxa"/>
            <w:vAlign w:val="center"/>
          </w:tcPr>
          <w:p w14:paraId="4506236B" w14:textId="77777777" w:rsidR="00D91BC9" w:rsidRPr="006519D0" w:rsidRDefault="00D91BC9" w:rsidP="00F56CCB">
            <w:pPr>
              <w:jc w:val="center"/>
              <w:rPr>
                <w:szCs w:val="20"/>
              </w:rPr>
            </w:pPr>
          </w:p>
        </w:tc>
      </w:tr>
    </w:tbl>
    <w:p w14:paraId="148470AC" w14:textId="77777777" w:rsidR="00D91BC9" w:rsidRPr="006519D0" w:rsidRDefault="009731B0" w:rsidP="00D91BC9">
      <w:r w:rsidRPr="006519D0">
        <w:t>- bez dopadů, * velmi nízké, ** nízké, *** střední, **** vysoké, ***** velmi vysoké</w:t>
      </w:r>
    </w:p>
    <w:p w14:paraId="37E3320E" w14:textId="77777777" w:rsidR="00D91BC9" w:rsidRPr="006519D0" w:rsidRDefault="009731B0" w:rsidP="00D91BC9">
      <w:pPr>
        <w:pStyle w:val="Nadpis2"/>
      </w:pPr>
      <w:r w:rsidRPr="006519D0">
        <w:t xml:space="preserve">Stanovení </w:t>
      </w:r>
      <w:r w:rsidRPr="006519D0">
        <w:t>pořadí variant a výběr nejvhodnějšího řešení</w:t>
      </w:r>
    </w:p>
    <w:p w14:paraId="22040613" w14:textId="77777777" w:rsidR="00D91BC9" w:rsidRPr="006519D0" w:rsidRDefault="009731B0" w:rsidP="00D91BC9">
      <w:pPr>
        <w:pStyle w:val="Odstavecseseznamem"/>
        <w:numPr>
          <w:ilvl w:val="0"/>
          <w:numId w:val="12"/>
        </w:numPr>
        <w:contextualSpacing/>
        <w:rPr>
          <w:b/>
          <w:bCs/>
        </w:rPr>
      </w:pPr>
      <w:r w:rsidRPr="006519D0">
        <w:rPr>
          <w:b/>
          <w:bCs/>
        </w:rPr>
        <w:t>Varianta 1</w:t>
      </w:r>
    </w:p>
    <w:p w14:paraId="0F69C938" w14:textId="77777777" w:rsidR="00D91BC9" w:rsidRPr="006519D0" w:rsidRDefault="009731B0" w:rsidP="00D91BC9">
      <w:pPr>
        <w:pStyle w:val="Odstavecseseznamem"/>
        <w:numPr>
          <w:ilvl w:val="0"/>
          <w:numId w:val="12"/>
        </w:numPr>
        <w:ind w:left="714" w:hanging="357"/>
        <w:contextualSpacing/>
      </w:pPr>
      <w:r w:rsidRPr="006519D0">
        <w:t>Varianta 0</w:t>
      </w:r>
    </w:p>
    <w:p w14:paraId="6859134D" w14:textId="77777777" w:rsidR="00D91BC9" w:rsidRPr="006519D0" w:rsidRDefault="009731B0" w:rsidP="00D91BC9">
      <w:pPr>
        <w:contextualSpacing/>
      </w:pPr>
      <w:r w:rsidRPr="006519D0">
        <w:t>Navrhujeme přijmout variantu 1, která zavádí všeobecný zákaz nakládání s nádobami na jednorázové použití obsahujícími F-plyny na území ČR, a to z důvodu zvýšení vymahatelnosti zákona, a s t</w:t>
      </w:r>
      <w:r w:rsidRPr="006519D0">
        <w:t>ím spojené eliminace černého trhu s těmito lahvemi a dalších souvisejících rizik.</w:t>
      </w:r>
    </w:p>
    <w:p w14:paraId="3C466663" w14:textId="77777777" w:rsidR="00D91BC9" w:rsidRPr="006519D0" w:rsidRDefault="00D91BC9" w:rsidP="00D91BC9">
      <w:pPr>
        <w:contextualSpacing/>
      </w:pPr>
    </w:p>
    <w:p w14:paraId="73D2AFA4" w14:textId="77777777" w:rsidR="00D91BC9" w:rsidRPr="006519D0" w:rsidRDefault="009731B0" w:rsidP="00D91BC9">
      <w:pPr>
        <w:pStyle w:val="Nadpis1"/>
      </w:pPr>
      <w:bookmarkStart w:id="25" w:name="_Toc256000006"/>
      <w:r w:rsidRPr="006519D0">
        <w:t>Uvádění množství fluorovaných skleníkových plynů do celního prohlášení (§ 7)</w:t>
      </w:r>
      <w:bookmarkEnd w:id="25"/>
    </w:p>
    <w:p w14:paraId="74A911F3" w14:textId="77777777" w:rsidR="00D91BC9" w:rsidRPr="006519D0" w:rsidRDefault="009731B0" w:rsidP="00D91BC9">
      <w:pPr>
        <w:pStyle w:val="Nadpis2"/>
      </w:pPr>
      <w:r w:rsidRPr="006519D0">
        <w:t>Důvod předložení a cíle</w:t>
      </w:r>
    </w:p>
    <w:p w14:paraId="15227C5C" w14:textId="77777777" w:rsidR="00D91BC9" w:rsidRPr="006519D0" w:rsidRDefault="009731B0" w:rsidP="00D91BC9">
      <w:pPr>
        <w:pStyle w:val="Nadpis3"/>
      </w:pPr>
      <w:r w:rsidRPr="006519D0">
        <w:t>Definice problému</w:t>
      </w:r>
    </w:p>
    <w:p w14:paraId="67098A3F" w14:textId="77777777" w:rsidR="00D91BC9" w:rsidRPr="006519D0" w:rsidRDefault="009731B0" w:rsidP="00D91BC9">
      <w:r w:rsidRPr="006519D0">
        <w:t>Při dovozu F-plynů, ať už samostatně nebo obsažených v</w:t>
      </w:r>
      <w:r w:rsidRPr="006519D0">
        <w:t xml:space="preserve">e výrobcích nebo zařízeních, probíhá kontrola na základě informací, které jsou evidovány v Rejstříku kvót pro uvádění částečně fluorovaných uhlovodíků na trh zřízeném a spravovaném Evropskou komisí. </w:t>
      </w:r>
    </w:p>
    <w:p w14:paraId="74096EE5" w14:textId="77777777" w:rsidR="000931F4" w:rsidRPr="006519D0" w:rsidRDefault="009731B0" w:rsidP="000931F4">
      <w:pPr>
        <w:rPr>
          <w:rFonts w:cs="Arial"/>
          <w:lang w:eastAsia="cs-CZ"/>
        </w:rPr>
      </w:pPr>
      <w:r w:rsidRPr="006519D0">
        <w:rPr>
          <w:rFonts w:cs="Arial"/>
          <w:lang w:eastAsia="cs-CZ"/>
        </w:rPr>
        <w:t>V současné době však nelze provádět efektivně kontrolu s</w:t>
      </w:r>
      <w:r w:rsidRPr="006519D0">
        <w:rPr>
          <w:rFonts w:cs="Arial"/>
          <w:lang w:eastAsia="cs-CZ"/>
        </w:rPr>
        <w:t xml:space="preserve">právnosti uváděných údajů o dovozu F-plynů, protože v celním prohlášení chybí informace o množství dříve dovezených F-plynů a informace, zda jsou dodržovány přidělené kvóty, jaká část kvóty je již vyčerpána apod. Možná je pouze manuální kontrola, která je </w:t>
      </w:r>
      <w:r w:rsidRPr="006519D0">
        <w:rPr>
          <w:rFonts w:cs="Arial"/>
          <w:lang w:eastAsia="cs-CZ"/>
        </w:rPr>
        <w:t>v tomto případě neefektivní.</w:t>
      </w:r>
    </w:p>
    <w:p w14:paraId="28F0497E" w14:textId="77777777" w:rsidR="00D91BC9" w:rsidRPr="006519D0" w:rsidRDefault="00D91BC9" w:rsidP="00D91BC9">
      <w:pPr>
        <w:spacing w:after="0" w:line="240" w:lineRule="auto"/>
        <w:rPr>
          <w:rFonts w:cs="Arial"/>
          <w:lang w:eastAsia="cs-CZ"/>
        </w:rPr>
      </w:pPr>
    </w:p>
    <w:p w14:paraId="25403BD2" w14:textId="77777777" w:rsidR="00D91BC9" w:rsidRPr="006519D0" w:rsidRDefault="009731B0" w:rsidP="00D91BC9">
      <w:pPr>
        <w:pStyle w:val="Nadpis3"/>
      </w:pPr>
      <w:r w:rsidRPr="006519D0">
        <w:t>Popis existujícího právního stavu v dané oblasti</w:t>
      </w:r>
    </w:p>
    <w:p w14:paraId="2C43A0FC" w14:textId="77777777" w:rsidR="00D91BC9" w:rsidRPr="006519D0" w:rsidRDefault="009731B0" w:rsidP="00D91BC9">
      <w:r w:rsidRPr="006519D0">
        <w:t xml:space="preserve">Celní orgány mohou na základě přímo použitelného předpisu nařízení Evropského parlamentu a Rady (EU) č. 517/2014 ze dne 16. dubna 2014 o F-plynech a o zrušení nařízení (ES) </w:t>
      </w:r>
      <w:r w:rsidRPr="006519D0">
        <w:br/>
        <w:t xml:space="preserve">č. </w:t>
      </w:r>
      <w:r w:rsidRPr="006519D0">
        <w:t>842/2006, kontrolovat kvóty přidělené osobám Evropskou komisí. Kontrola probíhá na základě informací, které jsou evidovány v Rejstříku kvót pro uvádění F-plynů na trh zřízeném a spravovaném Evropskou komisí. V současné době ale nelze tyto kontroly efektivn</w:t>
      </w:r>
      <w:r w:rsidRPr="006519D0">
        <w:t>ě provádět, neboť v celním prohlášení není uveden údaj, podle kterého by se ve chvíli kontroly zjistilo množství již dříve přepravených F-plynů a množství aktuálně přepravovaného nákladu, případně je uveden v části celního prohlášení, které není možné stro</w:t>
      </w:r>
      <w:r w:rsidRPr="006519D0">
        <w:t>jově zpracovat.</w:t>
      </w:r>
    </w:p>
    <w:p w14:paraId="3983B824" w14:textId="77777777" w:rsidR="00835050" w:rsidRPr="006519D0" w:rsidRDefault="009731B0" w:rsidP="00D91BC9">
      <w:r w:rsidRPr="006519D0">
        <w:t xml:space="preserve">Současný právní stav tedy neumožňuje celním úřadům provádět při celních kontrolách adekvátní kontrolu dodržování přidělených kvót pro dovoz F-plynů, případně kontrolu potenciálního překročení přímo použitelným předpisem EU stanoveného limitu pro vznik </w:t>
      </w:r>
      <w:r w:rsidRPr="006519D0">
        <w:lastRenderedPageBreak/>
        <w:t>povi</w:t>
      </w:r>
      <w:r w:rsidRPr="006519D0">
        <w:t>nnosti požádat o přidělení kvóty. Důsledkem je absence efektivního systému kontroly ve vztahu k dovozu F-plynů v rámci evropského systému kvót.</w:t>
      </w:r>
    </w:p>
    <w:p w14:paraId="0D3C19B1" w14:textId="77777777" w:rsidR="00D91BC9" w:rsidRPr="006519D0" w:rsidRDefault="009731B0" w:rsidP="00D91BC9">
      <w:r w:rsidRPr="006519D0">
        <w:t xml:space="preserve"> </w:t>
      </w:r>
    </w:p>
    <w:p w14:paraId="55B26242" w14:textId="77777777" w:rsidR="00D91BC9" w:rsidRPr="006519D0" w:rsidRDefault="009731B0" w:rsidP="00D91BC9">
      <w:pPr>
        <w:pStyle w:val="Nadpis3"/>
      </w:pPr>
      <w:r w:rsidRPr="006519D0">
        <w:t>Identifikace dotčených subjektů</w:t>
      </w:r>
    </w:p>
    <w:p w14:paraId="37705857" w14:textId="77777777" w:rsidR="00D91BC9" w:rsidRPr="006519D0" w:rsidRDefault="009731B0" w:rsidP="00D91BC9">
      <w:pPr>
        <w:pStyle w:val="Odstavecseseznamem"/>
        <w:numPr>
          <w:ilvl w:val="0"/>
          <w:numId w:val="13"/>
        </w:numPr>
      </w:pPr>
      <w:r w:rsidRPr="006519D0">
        <w:t>celní úřad,</w:t>
      </w:r>
    </w:p>
    <w:p w14:paraId="6BF9DDB1" w14:textId="77777777" w:rsidR="001635AD" w:rsidRPr="006519D0" w:rsidRDefault="009731B0" w:rsidP="00D91BC9">
      <w:pPr>
        <w:pStyle w:val="Odstavecseseznamem"/>
        <w:numPr>
          <w:ilvl w:val="0"/>
          <w:numId w:val="13"/>
        </w:numPr>
        <w:ind w:left="714" w:hanging="357"/>
      </w:pPr>
      <w:r w:rsidRPr="006519D0">
        <w:t>dovozci F-plynů a zařízení s obsahem těchto plynů,</w:t>
      </w:r>
    </w:p>
    <w:p w14:paraId="6BBAB234" w14:textId="77777777" w:rsidR="00D91BC9" w:rsidRPr="006519D0" w:rsidRDefault="009731B0" w:rsidP="00D91BC9">
      <w:pPr>
        <w:pStyle w:val="Odstavecseseznamem"/>
        <w:numPr>
          <w:ilvl w:val="0"/>
          <w:numId w:val="13"/>
        </w:numPr>
        <w:ind w:left="714" w:hanging="357"/>
      </w:pPr>
      <w:r w:rsidRPr="006519D0">
        <w:t xml:space="preserve">osoby </w:t>
      </w:r>
      <w:r w:rsidRPr="006519D0">
        <w:t>regenerující F-plyny</w:t>
      </w:r>
      <w:r w:rsidR="00297719" w:rsidRPr="006519D0">
        <w:t>.</w:t>
      </w:r>
    </w:p>
    <w:p w14:paraId="74536C19" w14:textId="77777777" w:rsidR="00D91BC9" w:rsidRPr="006519D0" w:rsidRDefault="00D91BC9" w:rsidP="00D91BC9">
      <w:pPr>
        <w:contextualSpacing/>
      </w:pPr>
    </w:p>
    <w:p w14:paraId="3F66FAFC" w14:textId="77777777" w:rsidR="00D91BC9" w:rsidRPr="006519D0" w:rsidRDefault="009731B0" w:rsidP="00D91BC9">
      <w:pPr>
        <w:pStyle w:val="Nadpis3"/>
      </w:pPr>
      <w:r w:rsidRPr="006519D0">
        <w:t>Popis cílového stavu</w:t>
      </w:r>
    </w:p>
    <w:p w14:paraId="6CB771C8" w14:textId="77777777" w:rsidR="00D91BC9" w:rsidRPr="006519D0" w:rsidRDefault="009731B0" w:rsidP="00D91BC9">
      <w:r w:rsidRPr="006519D0">
        <w:t>Stanovit výpočet množství dovážených F-plynů, na základě kterého bude možné zkontrolovat dodržování přidělených kvót nebo zjistit dovozem způsobené překročení hranice pro vznik povinnosti požádat o přidělení kvót</w:t>
      </w:r>
      <w:r w:rsidRPr="006519D0">
        <w:t xml:space="preserve">y. </w:t>
      </w:r>
    </w:p>
    <w:p w14:paraId="5494F67F" w14:textId="77777777" w:rsidR="00D91BC9" w:rsidRPr="006519D0" w:rsidRDefault="00D91BC9" w:rsidP="00D91BC9"/>
    <w:p w14:paraId="71C15541" w14:textId="77777777" w:rsidR="00D91BC9" w:rsidRPr="006519D0" w:rsidRDefault="009731B0" w:rsidP="00D91BC9">
      <w:pPr>
        <w:pStyle w:val="Nadpis3"/>
      </w:pPr>
      <w:r w:rsidRPr="006519D0">
        <w:t>Zhodnocení rizika</w:t>
      </w:r>
    </w:p>
    <w:p w14:paraId="20F086C4" w14:textId="77777777" w:rsidR="00D91BC9" w:rsidRPr="006519D0" w:rsidRDefault="009731B0" w:rsidP="00D91BC9">
      <w:r w:rsidRPr="006519D0">
        <w:t>Při zachování současného stavu hrozí riziko svévolného překračování přidělených kvót pro dovoz F-plynů a přímo použitelným předpisem EU stanoveného limitu pro vznik povinnosti požádat o přidělení kvóty z důvodu nemožnosti provedení e</w:t>
      </w:r>
      <w:r w:rsidRPr="006519D0">
        <w:t>fektivní kontroly, neboť v celním prohlášení není uveden údaj, podle kterého by se ve chvíli kontroly zjistilo množství již dříve přepravených F-plynů a množství aktuálně přepravovaného nákladu.</w:t>
      </w:r>
    </w:p>
    <w:p w14:paraId="466ED343" w14:textId="77777777" w:rsidR="00D91BC9" w:rsidRPr="006519D0" w:rsidRDefault="00D91BC9" w:rsidP="00D91BC9"/>
    <w:p w14:paraId="24AB84D0" w14:textId="77777777" w:rsidR="00D91BC9" w:rsidRPr="006519D0" w:rsidRDefault="009731B0" w:rsidP="00D91BC9">
      <w:pPr>
        <w:pStyle w:val="Nadpis2"/>
      </w:pPr>
      <w:r w:rsidRPr="006519D0">
        <w:t>Návrh variant řešení</w:t>
      </w:r>
    </w:p>
    <w:p w14:paraId="6312E060" w14:textId="77777777" w:rsidR="00D91BC9" w:rsidRPr="006519D0" w:rsidRDefault="009731B0" w:rsidP="00D91BC9">
      <w:pPr>
        <w:pStyle w:val="Nadpis3"/>
      </w:pPr>
      <w:r w:rsidRPr="006519D0">
        <w:t>Varianta 0</w:t>
      </w:r>
    </w:p>
    <w:p w14:paraId="6636A148" w14:textId="77777777" w:rsidR="00D91BC9" w:rsidRPr="006519D0" w:rsidRDefault="009731B0" w:rsidP="00D91BC9">
      <w:r w:rsidRPr="006519D0">
        <w:t xml:space="preserve">Zachování současného stavu, </w:t>
      </w:r>
      <w:r w:rsidRPr="006519D0">
        <w:t xml:space="preserve">kdy celní kontrola ohledně kvóty přidělené osobám Evropskou komisí probíhá na základě informací, které jsou evidovány v Rejstříku kvót pro uvádění </w:t>
      </w:r>
      <w:r w:rsidRPr="006519D0">
        <w:br/>
        <w:t>F-plynů na trh zřízeném a spravovaném Evropskou komisí. Celní prohlášení neobsahuje údaje o množství již dří</w:t>
      </w:r>
      <w:r w:rsidRPr="006519D0">
        <w:t xml:space="preserve">ve přepravených F-plynů, případně je uvedeno v části, které nelze strojově zpracovat. </w:t>
      </w:r>
    </w:p>
    <w:p w14:paraId="58D64243" w14:textId="77777777" w:rsidR="00D91BC9" w:rsidRPr="006519D0" w:rsidRDefault="009731B0" w:rsidP="00D91BC9">
      <w:pPr>
        <w:pStyle w:val="Nadpis3"/>
      </w:pPr>
      <w:r w:rsidRPr="006519D0">
        <w:t>Varianta 1</w:t>
      </w:r>
    </w:p>
    <w:p w14:paraId="2EB8EEE4" w14:textId="77777777" w:rsidR="00D91BC9" w:rsidRPr="006519D0" w:rsidRDefault="009731B0" w:rsidP="00D91BC9">
      <w:r w:rsidRPr="006519D0">
        <w:t>Zavedení povinnosti pro dovozce u přepravovaných F-plynů uvádět do celního prohlášení množství ekvivalentu CO</w:t>
      </w:r>
      <w:r w:rsidRPr="006519D0">
        <w:rPr>
          <w:vertAlign w:val="subscript"/>
        </w:rPr>
        <w:t>2</w:t>
      </w:r>
      <w:r w:rsidRPr="006519D0">
        <w:t>. Uvedením množství dovážených F-plynů v ekvival</w:t>
      </w:r>
      <w:r w:rsidRPr="006519D0">
        <w:t>entu CO</w:t>
      </w:r>
      <w:r w:rsidRPr="006519D0">
        <w:rPr>
          <w:vertAlign w:val="subscript"/>
        </w:rPr>
        <w:t>2</w:t>
      </w:r>
      <w:r w:rsidRPr="006519D0">
        <w:t xml:space="preserve"> bude možné zkontrolovat dodržování přidělených kvót nebo zjistit dovozem způsobené překročení hranice pro vznik povinnosti požádat o přidělení kvóty. Ke kontrole by se sbírala data o předchozích dovozech konkrétního dovozce a postupně by docházelo</w:t>
      </w:r>
      <w:r w:rsidRPr="006519D0">
        <w:t xml:space="preserve"> ke sčítání množství dovezených F-plynů.</w:t>
      </w:r>
    </w:p>
    <w:p w14:paraId="07B15F8C" w14:textId="77777777" w:rsidR="00AF6AFB" w:rsidRPr="006519D0" w:rsidRDefault="009731B0" w:rsidP="00D91BC9">
      <w:r w:rsidRPr="006519D0">
        <w:t>S kontrolou dovážených F-plynů v tunách ekvivalentu CO</w:t>
      </w:r>
      <w:r w:rsidRPr="006519D0">
        <w:rPr>
          <w:vertAlign w:val="subscript"/>
        </w:rPr>
        <w:t>2</w:t>
      </w:r>
      <w:r w:rsidRPr="006519D0">
        <w:t xml:space="preserve"> se počítá do budoucna i v projektu Single Window, který propojí celní systémy a rejstříky regulovaných látek a F-plynů všech členských států EU. Z tohoto důvod</w:t>
      </w:r>
      <w:r w:rsidRPr="006519D0">
        <w:t>u nebyly jiné varianty řešení této problematiky zvažovány.</w:t>
      </w:r>
    </w:p>
    <w:p w14:paraId="3AAB329C" w14:textId="77777777" w:rsidR="00D91BC9" w:rsidRPr="006519D0" w:rsidRDefault="00D91BC9" w:rsidP="00D91BC9"/>
    <w:p w14:paraId="54C15FB7" w14:textId="77777777" w:rsidR="00D91BC9" w:rsidRPr="006519D0" w:rsidRDefault="009731B0" w:rsidP="00D91BC9">
      <w:pPr>
        <w:pStyle w:val="Nadpis2"/>
      </w:pPr>
      <w:r w:rsidRPr="006519D0">
        <w:lastRenderedPageBreak/>
        <w:t>Vyhodnocení nákladů a přínosů</w:t>
      </w:r>
    </w:p>
    <w:p w14:paraId="1981CF8B" w14:textId="77777777" w:rsidR="00D91BC9" w:rsidRPr="006519D0" w:rsidRDefault="009731B0" w:rsidP="00D91BC9">
      <w:pPr>
        <w:pStyle w:val="Nadpis3"/>
        <w:spacing w:after="120"/>
      </w:pPr>
      <w:r w:rsidRPr="006519D0">
        <w:t>Identifikace nákladů a přínosů</w:t>
      </w:r>
    </w:p>
    <w:p w14:paraId="2403B5BB" w14:textId="77777777" w:rsidR="00D91BC9" w:rsidRPr="006519D0" w:rsidRDefault="009731B0" w:rsidP="00D91BC9">
      <w:pPr>
        <w:pStyle w:val="Odstavecseseznamem"/>
        <w:numPr>
          <w:ilvl w:val="0"/>
          <w:numId w:val="32"/>
        </w:numPr>
        <w:rPr>
          <w:b/>
        </w:rPr>
      </w:pPr>
      <w:r w:rsidRPr="006519D0">
        <w:rPr>
          <w:b/>
        </w:rPr>
        <w:t>Varianta 0</w:t>
      </w:r>
    </w:p>
    <w:p w14:paraId="3D5F7D2F" w14:textId="77777777" w:rsidR="00D91BC9" w:rsidRPr="006519D0" w:rsidRDefault="009731B0" w:rsidP="006B120A">
      <w:pPr>
        <w:spacing w:before="240" w:after="0"/>
        <w:rPr>
          <w:b/>
        </w:rPr>
      </w:pPr>
      <w:r w:rsidRPr="006519D0">
        <w:rPr>
          <w:b/>
        </w:rPr>
        <w:t>Dopady na státní rozpočet a ostatní veřejné rozpočty</w:t>
      </w:r>
    </w:p>
    <w:p w14:paraId="13523B09" w14:textId="77777777" w:rsidR="00D91BC9" w:rsidRPr="006519D0" w:rsidRDefault="009731B0" w:rsidP="00D91BC9">
      <w:r w:rsidRPr="006519D0">
        <w:t>Zachování současného stavu neumožňuje celním úřadům provést řádnou celn</w:t>
      </w:r>
      <w:r w:rsidRPr="006519D0">
        <w:t>í kontrolu, konkrétně kontrolu dodržování přidělených kvót pro dovoz F-plynů nebo dovozem způsobené překročení přímo použitelným předpisem EU stanoveného limitu pro vznik povinnosti požádat o přidělení kvóty. Dovoz F-plynů je podmíněn zaplacením příslušnýc</w:t>
      </w:r>
      <w:r w:rsidRPr="006519D0">
        <w:t>h cel, takže v případě překročení limitů dochází k finančním ztrátám za nevybraná cla.</w:t>
      </w:r>
    </w:p>
    <w:p w14:paraId="54AF7C45" w14:textId="77777777" w:rsidR="00D91BC9" w:rsidRPr="006519D0" w:rsidRDefault="009731B0" w:rsidP="006B120A">
      <w:pPr>
        <w:spacing w:before="240" w:after="0"/>
        <w:rPr>
          <w:b/>
        </w:rPr>
      </w:pPr>
      <w:r w:rsidRPr="006519D0">
        <w:rPr>
          <w:b/>
        </w:rPr>
        <w:t>Dopady na podnikatelské prostředí</w:t>
      </w:r>
    </w:p>
    <w:p w14:paraId="6B3F3F27" w14:textId="77777777" w:rsidR="00D91BC9" w:rsidRPr="006519D0" w:rsidRDefault="009731B0" w:rsidP="00D91BC9">
      <w:r w:rsidRPr="006519D0">
        <w:t xml:space="preserve">Varianta 0 umožňuje obcházení zákona při dovozu F-plynů (překročení hranice přidělených kvót nebo hranice pro vznik povinnosti požádat </w:t>
      </w:r>
      <w:r w:rsidRPr="006519D0">
        <w:t>o přidělení kvóty bez možného postihu). Varianta 0 zároveň vytváří nerovné tržní prostředí, kdy poskytuje konkurenční výhodu dovozcům F-plynů, kteří obchází zákon na úkor dovozců, kteří svou ekonomickou činnost provádí v souladu s platnými právními předpis</w:t>
      </w:r>
      <w:r w:rsidRPr="006519D0">
        <w:t xml:space="preserve">y. </w:t>
      </w:r>
    </w:p>
    <w:p w14:paraId="74669E12" w14:textId="77777777" w:rsidR="00D91BC9" w:rsidRPr="006519D0" w:rsidRDefault="009731B0" w:rsidP="001A6C1A">
      <w:pPr>
        <w:keepNext/>
        <w:spacing w:before="240" w:after="0"/>
        <w:rPr>
          <w:b/>
        </w:rPr>
      </w:pPr>
      <w:r w:rsidRPr="006519D0">
        <w:rPr>
          <w:b/>
        </w:rPr>
        <w:t>Dopady na životní prostředí</w:t>
      </w:r>
    </w:p>
    <w:p w14:paraId="1FCB0FC1" w14:textId="77777777" w:rsidR="00D91BC9" w:rsidRPr="006519D0" w:rsidRDefault="009731B0" w:rsidP="00D91BC9">
      <w:r w:rsidRPr="006519D0">
        <w:t xml:space="preserve">Varianta 0 neumožňuje celním úřadům provést řádnou celní kontrolu, konkrétně kontrolu dodržování přidělených kvót pro dovoz F-plynů nebo dovozem způsobené překročení přímo použitelným předpisem EU stanoveného limitu pro </w:t>
      </w:r>
      <w:r w:rsidRPr="006519D0">
        <w:t>vznik povinnosti požádat o přidělení kvót. Z toho důvodu může docházet k nekontrolovanému a nadměrnému dovozu F-plynů na území ČR. Nakládání s takto dovezenými F-plyny de facto nepodléhá následné regulaci a může dojít k nekvalifikovanému zacházení, které m</w:t>
      </w:r>
      <w:r w:rsidRPr="006519D0">
        <w:t>ůže mít za důsledek např. únik F-plynů do ovzduší</w:t>
      </w:r>
      <w:r w:rsidR="0062368A" w:rsidRPr="006519D0">
        <w:t>,</w:t>
      </w:r>
      <w:r w:rsidRPr="006519D0">
        <w:t xml:space="preserve"> a s tím spojené environmentální následky. </w:t>
      </w:r>
    </w:p>
    <w:p w14:paraId="4C28124A" w14:textId="77777777" w:rsidR="00D91BC9" w:rsidRPr="006519D0" w:rsidRDefault="00D91BC9" w:rsidP="00D91BC9"/>
    <w:p w14:paraId="38527D0C" w14:textId="77777777" w:rsidR="00D91BC9" w:rsidRPr="006519D0" w:rsidRDefault="009731B0" w:rsidP="00D91BC9">
      <w:pPr>
        <w:pStyle w:val="Odstavecseseznamem"/>
        <w:numPr>
          <w:ilvl w:val="0"/>
          <w:numId w:val="32"/>
        </w:numPr>
        <w:rPr>
          <w:b/>
        </w:rPr>
      </w:pPr>
      <w:r w:rsidRPr="006519D0">
        <w:rPr>
          <w:b/>
        </w:rPr>
        <w:t>Varianta 1</w:t>
      </w:r>
    </w:p>
    <w:p w14:paraId="4F93F8DF" w14:textId="77777777" w:rsidR="00D91BC9" w:rsidRPr="006519D0" w:rsidRDefault="009731B0" w:rsidP="006B120A">
      <w:pPr>
        <w:spacing w:before="240" w:after="0"/>
        <w:rPr>
          <w:b/>
        </w:rPr>
      </w:pPr>
      <w:r w:rsidRPr="006519D0">
        <w:rPr>
          <w:b/>
        </w:rPr>
        <w:t>Dopady na státní rozpočet a ostatní veřejné rozpočty</w:t>
      </w:r>
    </w:p>
    <w:p w14:paraId="7ABF4FBC" w14:textId="77777777" w:rsidR="00D91BC9" w:rsidRPr="006519D0" w:rsidRDefault="009731B0" w:rsidP="00D91BC9">
      <w:r w:rsidRPr="006519D0">
        <w:t>Varianta 1 zavádí povinnost uvádět v celní</w:t>
      </w:r>
      <w:r w:rsidR="00B94F7F" w:rsidRPr="006519D0">
        <w:t>m</w:t>
      </w:r>
      <w:r w:rsidRPr="006519D0">
        <w:t xml:space="preserve"> </w:t>
      </w:r>
      <w:r w:rsidR="00B94F7F" w:rsidRPr="006519D0">
        <w:t xml:space="preserve">prohlášení </w:t>
      </w:r>
      <w:r w:rsidRPr="006519D0">
        <w:t xml:space="preserve">množství dováženého F-plynu, </w:t>
      </w:r>
      <w:r w:rsidR="00A1507B" w:rsidRPr="006519D0">
        <w:br/>
      </w:r>
      <w:r w:rsidRPr="006519D0">
        <w:t xml:space="preserve">na základě </w:t>
      </w:r>
      <w:r w:rsidRPr="006519D0">
        <w:t>kterého bude možné při celní kontrole kontrolovat dodržování přidělených kvót nebo zjistit dovozem způsobené překročení hranice pro vznik povinnosti požádat o přidělení kvóty.</w:t>
      </w:r>
    </w:p>
    <w:p w14:paraId="1862DF80" w14:textId="77777777" w:rsidR="00D91BC9" w:rsidRPr="006519D0" w:rsidRDefault="009731B0" w:rsidP="00D91BC9">
      <w:r w:rsidRPr="006519D0">
        <w:t xml:space="preserve">Celní orgány budou mít k dispozici díky automatickým výpočtům informaci ohledně </w:t>
      </w:r>
      <w:r w:rsidRPr="006519D0">
        <w:t xml:space="preserve">přesného množství dovážených F-plynů a bude tak možné zároveň kontrolovat dodržování přidělené kvóty nebo případné překročení přímo použitelným předpisem EU stanoveného limitu pro vznik povinnosti požádat o přidělení kvóty. </w:t>
      </w:r>
    </w:p>
    <w:p w14:paraId="24250340" w14:textId="77777777" w:rsidR="00D91BC9" w:rsidRPr="006519D0" w:rsidRDefault="009731B0" w:rsidP="00D91BC9">
      <w:r w:rsidRPr="006519D0">
        <w:t>Kontrola bude následně probíhat</w:t>
      </w:r>
      <w:r w:rsidRPr="006519D0">
        <w:t xml:space="preserve"> na základě rizikové analýzy, která bude na pozadí sbírat data o předchozích dovozech pro konkrétního dovozce a postupně bude docházet ke sčítání množství dovezených F-plynů v tunách ekvivalentu CO</w:t>
      </w:r>
      <w:r w:rsidRPr="006519D0">
        <w:rPr>
          <w:vertAlign w:val="subscript"/>
        </w:rPr>
        <w:t>2</w:t>
      </w:r>
      <w:r w:rsidRPr="006519D0">
        <w:t>. Při překročení přidělené kvóty nebude zásilka propuštěna</w:t>
      </w:r>
      <w:r w:rsidRPr="006519D0">
        <w:t xml:space="preserve"> do volného oběhu, dokud dovozce nezajistí, že </w:t>
      </w:r>
      <w:r w:rsidR="001F7DDD" w:rsidRPr="006519D0">
        <w:t>F-</w:t>
      </w:r>
      <w:r w:rsidRPr="006519D0">
        <w:t xml:space="preserve">plyny jsou zahrnuty do systému kvót podle nařízení ER a Rady (EU) č. 517/2014. </w:t>
      </w:r>
    </w:p>
    <w:p w14:paraId="3AFA683F" w14:textId="77777777" w:rsidR="00D91BC9" w:rsidRPr="006519D0" w:rsidRDefault="009731B0" w:rsidP="00D91BC9">
      <w:r w:rsidRPr="006519D0">
        <w:t>Celý proces tedy zjednoduš</w:t>
      </w:r>
      <w:r w:rsidR="003F54AF" w:rsidRPr="006519D0">
        <w:t>í</w:t>
      </w:r>
      <w:r w:rsidRPr="006519D0">
        <w:t xml:space="preserve"> celní kontroly dovozců F-plynů a měl by přispět k odhalení překročení kvót v reálném čase.</w:t>
      </w:r>
    </w:p>
    <w:p w14:paraId="337E02FE" w14:textId="77777777" w:rsidR="00D91BC9" w:rsidRPr="006519D0" w:rsidRDefault="009731B0" w:rsidP="00D91BC9">
      <w:r w:rsidRPr="006519D0">
        <w:lastRenderedPageBreak/>
        <w:t>S kontro</w:t>
      </w:r>
      <w:r w:rsidRPr="006519D0">
        <w:t>lou dovážených F-plynů v tunách ekvivalentu CO</w:t>
      </w:r>
      <w:r w:rsidRPr="006519D0">
        <w:rPr>
          <w:vertAlign w:val="subscript"/>
        </w:rPr>
        <w:t>2</w:t>
      </w:r>
      <w:r w:rsidRPr="006519D0">
        <w:t xml:space="preserve"> se počítá do budoucna i v projektu Single Window, který propojí celní systémy a rejstříky regulovaných láte</w:t>
      </w:r>
      <w:r w:rsidR="001856C3" w:rsidRPr="006519D0">
        <w:t>k a F-plynů členských států EU.</w:t>
      </w:r>
    </w:p>
    <w:p w14:paraId="04459668" w14:textId="77777777" w:rsidR="00D91BC9" w:rsidRPr="006519D0" w:rsidRDefault="009731B0" w:rsidP="006B120A">
      <w:pPr>
        <w:spacing w:before="240" w:after="0"/>
        <w:rPr>
          <w:b/>
        </w:rPr>
      </w:pPr>
      <w:r w:rsidRPr="006519D0">
        <w:rPr>
          <w:b/>
        </w:rPr>
        <w:t>Dopady na podnikatelské prostředí</w:t>
      </w:r>
    </w:p>
    <w:p w14:paraId="7CA7B5DF" w14:textId="77777777" w:rsidR="00D91BC9" w:rsidRPr="006519D0" w:rsidRDefault="009731B0" w:rsidP="00D91BC9">
      <w:r w:rsidRPr="006519D0">
        <w:t xml:space="preserve">Varianta 1 stanoví novou povinnost </w:t>
      </w:r>
      <w:r w:rsidRPr="006519D0">
        <w:t>pro dovozce F-plynů, kdy budou muset do celního prohlášení uvádět množství dovážených F-plynů v tunách ekvivalentu CO</w:t>
      </w:r>
      <w:r w:rsidRPr="006519D0">
        <w:rPr>
          <w:vertAlign w:val="subscript"/>
        </w:rPr>
        <w:t>2</w:t>
      </w:r>
      <w:r w:rsidRPr="006519D0">
        <w:t>.</w:t>
      </w:r>
      <w:r w:rsidR="003E6993" w:rsidRPr="006519D0">
        <w:t xml:space="preserve"> </w:t>
      </w:r>
      <w:r w:rsidR="008833F4" w:rsidRPr="006519D0">
        <w:t>Předpokládáme, že administrativní zátěž dovozců F-plynů spojená s uváděným údajem ohledně množství dovážených F-plynů v tunách ekvivalentu CO</w:t>
      </w:r>
      <w:r w:rsidR="008833F4" w:rsidRPr="006519D0">
        <w:rPr>
          <w:vertAlign w:val="subscript"/>
        </w:rPr>
        <w:t xml:space="preserve">2 </w:t>
      </w:r>
      <w:r w:rsidR="008833F4" w:rsidRPr="006519D0">
        <w:t xml:space="preserve">do celního prohlášení zůstane nezměněná, popř. dojde k zanedbatelnému navýšení </w:t>
      </w:r>
      <w:r w:rsidR="00AF7B25" w:rsidRPr="006519D0">
        <w:t xml:space="preserve">pracnosti </w:t>
      </w:r>
      <w:r w:rsidR="008833F4" w:rsidRPr="006519D0">
        <w:t>(cca o 1-5 min).</w:t>
      </w:r>
    </w:p>
    <w:p w14:paraId="48F91EA7" w14:textId="77777777" w:rsidR="007B7BE3" w:rsidRPr="006519D0" w:rsidRDefault="009731B0" w:rsidP="007B7BE3">
      <w:r w:rsidRPr="006519D0">
        <w:t>Při překročení přidělené kvóty bude dovozce povinen vyložit náklad překračující přidělenou kvótu v celním skladu do doby, než prokáže, že kvóta</w:t>
      </w:r>
      <w:r w:rsidRPr="006519D0">
        <w:t xml:space="preserve"> nebyla překročena. V opačném případě bude muset množství překračující kvótu vrátit zpět výrobci.</w:t>
      </w:r>
    </w:p>
    <w:p w14:paraId="1819C337" w14:textId="77777777" w:rsidR="00D91BC9" w:rsidRPr="006519D0" w:rsidRDefault="009731B0" w:rsidP="007B7BE3">
      <w:pPr>
        <w:spacing w:before="240"/>
        <w:rPr>
          <w:b/>
        </w:rPr>
      </w:pPr>
      <w:r w:rsidRPr="006519D0">
        <w:rPr>
          <w:b/>
        </w:rPr>
        <w:t>Dopady na životní prostředí</w:t>
      </w:r>
    </w:p>
    <w:p w14:paraId="2F62C097" w14:textId="77777777" w:rsidR="00D91BC9" w:rsidRPr="006519D0" w:rsidRDefault="009731B0" w:rsidP="00D91BC9">
      <w:r w:rsidRPr="006519D0">
        <w:t>Varianta 1 umožní celním úřadům provést řádnou celní kontrolu, konkrétně kontrolu dodržování přidělených kvót pro dovoz F-plynů ne</w:t>
      </w:r>
      <w:r w:rsidRPr="006519D0">
        <w:t>bo dovozem způsobené překročení přímo použitelným předpisem EU stanoveného limitu pro vznik povinnosti požádat o přidělení kvót. Z toho důvodu nebude nadále docházet k nekontrolovanému a nadměrnému dovozu F-plynů na území ČR. Dovezené F-plyny budou podléha</w:t>
      </w:r>
      <w:r w:rsidRPr="006519D0">
        <w:t>t řádné regulaci a nebude docházet k nekvalifikovanému zacházení, které by mohlo mít za důsledek např. únik F-plynů do ovzduší a s tím spojené environmentální následky. Tato rizika budou zavedením Varianty 1 eliminována.</w:t>
      </w:r>
    </w:p>
    <w:p w14:paraId="7A832FC0" w14:textId="77777777" w:rsidR="001856C3" w:rsidRPr="006519D0" w:rsidRDefault="001856C3" w:rsidP="00D91BC9"/>
    <w:p w14:paraId="15CBE338" w14:textId="77777777" w:rsidR="00D91BC9" w:rsidRPr="006519D0" w:rsidRDefault="009731B0" w:rsidP="00D91BC9">
      <w:pPr>
        <w:pStyle w:val="Nadpis3"/>
      </w:pPr>
      <w:r w:rsidRPr="006519D0">
        <w:t>Vyhodnocení nákladů a přínosů vari</w:t>
      </w:r>
      <w:r w:rsidRPr="006519D0">
        <w:t>ant</w:t>
      </w:r>
    </w:p>
    <w:p w14:paraId="49D8A898" w14:textId="77777777" w:rsidR="00D91BC9" w:rsidRPr="006519D0" w:rsidRDefault="009731B0" w:rsidP="00D91BC9">
      <w:pPr>
        <w:keepNext/>
        <w:rPr>
          <w:rFonts w:cs="Arial"/>
          <w:b/>
          <w:spacing w:val="10"/>
          <w:sz w:val="20"/>
          <w:szCs w:val="20"/>
        </w:rPr>
      </w:pPr>
      <w:r w:rsidRPr="006519D0">
        <w:rPr>
          <w:rFonts w:cs="Arial"/>
          <w:b/>
          <w:spacing w:val="10"/>
          <w:sz w:val="20"/>
          <w:szCs w:val="20"/>
        </w:rPr>
        <w:t xml:space="preserve">Tabulka </w:t>
      </w:r>
      <w:r w:rsidR="006B120A" w:rsidRPr="006519D0">
        <w:rPr>
          <w:rFonts w:cs="Arial"/>
          <w:b/>
          <w:spacing w:val="10"/>
          <w:sz w:val="20"/>
          <w:szCs w:val="20"/>
        </w:rPr>
        <w:t>3</w:t>
      </w:r>
      <w:r w:rsidRPr="006519D0">
        <w:rPr>
          <w:rFonts w:cs="Arial"/>
          <w:b/>
          <w:spacing w:val="10"/>
          <w:sz w:val="20"/>
          <w:szCs w:val="20"/>
        </w:rPr>
        <w:t>: Porovnání nákladů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4502AFC2" w14:textId="77777777" w:rsidTr="00F56CCB">
        <w:trPr>
          <w:trHeight w:val="423"/>
        </w:trPr>
        <w:tc>
          <w:tcPr>
            <w:tcW w:w="1240" w:type="dxa"/>
            <w:noWrap/>
            <w:vAlign w:val="center"/>
            <w:hideMark/>
          </w:tcPr>
          <w:p w14:paraId="17C8B37A" w14:textId="77777777" w:rsidR="00D91BC9" w:rsidRPr="006519D0" w:rsidRDefault="009731B0" w:rsidP="00F56CCB">
            <w:pPr>
              <w:rPr>
                <w:b/>
                <w:bCs/>
                <w:szCs w:val="20"/>
              </w:rPr>
            </w:pPr>
            <w:r w:rsidRPr="006519D0">
              <w:rPr>
                <w:b/>
                <w:bCs/>
                <w:szCs w:val="20"/>
              </w:rPr>
              <w:t>Varianta</w:t>
            </w:r>
          </w:p>
        </w:tc>
        <w:tc>
          <w:tcPr>
            <w:tcW w:w="2405" w:type="dxa"/>
            <w:noWrap/>
            <w:vAlign w:val="center"/>
            <w:hideMark/>
          </w:tcPr>
          <w:p w14:paraId="099A0426" w14:textId="77777777" w:rsidR="00D91BC9" w:rsidRPr="006519D0" w:rsidRDefault="009731B0" w:rsidP="00F56CCB">
            <w:pPr>
              <w:jc w:val="center"/>
              <w:rPr>
                <w:b/>
                <w:bCs/>
                <w:szCs w:val="20"/>
              </w:rPr>
            </w:pPr>
            <w:r w:rsidRPr="006519D0">
              <w:rPr>
                <w:b/>
                <w:bCs/>
                <w:szCs w:val="20"/>
              </w:rPr>
              <w:t>Přínosy</w:t>
            </w:r>
          </w:p>
        </w:tc>
        <w:tc>
          <w:tcPr>
            <w:tcW w:w="1496" w:type="dxa"/>
            <w:noWrap/>
            <w:vAlign w:val="center"/>
            <w:hideMark/>
          </w:tcPr>
          <w:p w14:paraId="749DDB73" w14:textId="77777777" w:rsidR="00D91BC9" w:rsidRPr="006519D0" w:rsidRDefault="009731B0" w:rsidP="00F56CCB">
            <w:pPr>
              <w:jc w:val="center"/>
              <w:rPr>
                <w:b/>
                <w:bCs/>
                <w:szCs w:val="20"/>
              </w:rPr>
            </w:pPr>
            <w:r w:rsidRPr="006519D0">
              <w:rPr>
                <w:b/>
                <w:bCs/>
                <w:szCs w:val="20"/>
              </w:rPr>
              <w:t>Hodnocení</w:t>
            </w:r>
          </w:p>
        </w:tc>
        <w:tc>
          <w:tcPr>
            <w:tcW w:w="2465" w:type="dxa"/>
            <w:noWrap/>
            <w:vAlign w:val="center"/>
            <w:hideMark/>
          </w:tcPr>
          <w:p w14:paraId="66F8CD13" w14:textId="77777777" w:rsidR="00D91BC9" w:rsidRPr="006519D0" w:rsidRDefault="009731B0" w:rsidP="00F56CCB">
            <w:pPr>
              <w:jc w:val="center"/>
              <w:rPr>
                <w:b/>
                <w:bCs/>
                <w:szCs w:val="20"/>
              </w:rPr>
            </w:pPr>
            <w:r w:rsidRPr="006519D0">
              <w:rPr>
                <w:b/>
                <w:bCs/>
                <w:szCs w:val="20"/>
              </w:rPr>
              <w:t>Náklady</w:t>
            </w:r>
          </w:p>
        </w:tc>
        <w:tc>
          <w:tcPr>
            <w:tcW w:w="1456" w:type="dxa"/>
            <w:noWrap/>
            <w:vAlign w:val="center"/>
            <w:hideMark/>
          </w:tcPr>
          <w:p w14:paraId="71E04D4E" w14:textId="77777777" w:rsidR="00D91BC9" w:rsidRPr="006519D0" w:rsidRDefault="009731B0" w:rsidP="00F56CCB">
            <w:pPr>
              <w:jc w:val="center"/>
              <w:rPr>
                <w:b/>
                <w:bCs/>
                <w:szCs w:val="20"/>
              </w:rPr>
            </w:pPr>
            <w:r w:rsidRPr="006519D0">
              <w:rPr>
                <w:b/>
                <w:bCs/>
                <w:szCs w:val="20"/>
              </w:rPr>
              <w:t>Hodnocení</w:t>
            </w:r>
          </w:p>
        </w:tc>
      </w:tr>
      <w:tr w:rsidR="00326AB0" w14:paraId="66B72FE8" w14:textId="77777777" w:rsidTr="00F56CCB">
        <w:trPr>
          <w:trHeight w:val="434"/>
        </w:trPr>
        <w:tc>
          <w:tcPr>
            <w:tcW w:w="1240" w:type="dxa"/>
            <w:vMerge w:val="restart"/>
            <w:noWrap/>
            <w:vAlign w:val="center"/>
            <w:hideMark/>
          </w:tcPr>
          <w:p w14:paraId="131D7A39" w14:textId="77777777" w:rsidR="00D91BC9" w:rsidRPr="006519D0" w:rsidRDefault="009731B0" w:rsidP="00F56CCB">
            <w:pPr>
              <w:rPr>
                <w:b/>
                <w:bCs/>
                <w:szCs w:val="20"/>
              </w:rPr>
            </w:pPr>
            <w:r w:rsidRPr="006519D0">
              <w:rPr>
                <w:b/>
                <w:bCs/>
                <w:szCs w:val="20"/>
              </w:rPr>
              <w:t>Varianta 0</w:t>
            </w:r>
          </w:p>
        </w:tc>
        <w:tc>
          <w:tcPr>
            <w:tcW w:w="7822" w:type="dxa"/>
            <w:gridSpan w:val="4"/>
            <w:vAlign w:val="center"/>
            <w:hideMark/>
          </w:tcPr>
          <w:p w14:paraId="6CE6A0E4" w14:textId="77777777" w:rsidR="00D91BC9" w:rsidRPr="006519D0" w:rsidRDefault="009731B0" w:rsidP="00F56CCB">
            <w:pPr>
              <w:jc w:val="center"/>
              <w:rPr>
                <w:b/>
                <w:bCs/>
                <w:szCs w:val="20"/>
              </w:rPr>
            </w:pPr>
            <w:r w:rsidRPr="006519D0">
              <w:rPr>
                <w:b/>
                <w:bCs/>
                <w:szCs w:val="20"/>
              </w:rPr>
              <w:t>Státní rozpočet a ostatní veřejné rozpočty</w:t>
            </w:r>
          </w:p>
        </w:tc>
      </w:tr>
      <w:tr w:rsidR="00326AB0" w14:paraId="3A9F752D" w14:textId="77777777" w:rsidTr="00F56CCB">
        <w:trPr>
          <w:trHeight w:val="480"/>
        </w:trPr>
        <w:tc>
          <w:tcPr>
            <w:tcW w:w="1240" w:type="dxa"/>
            <w:vMerge/>
            <w:vAlign w:val="center"/>
            <w:hideMark/>
          </w:tcPr>
          <w:p w14:paraId="1CB5B279" w14:textId="77777777" w:rsidR="00D91BC9" w:rsidRPr="006519D0" w:rsidRDefault="00D91BC9" w:rsidP="00F56CCB">
            <w:pPr>
              <w:rPr>
                <w:b/>
                <w:bCs/>
                <w:szCs w:val="20"/>
              </w:rPr>
            </w:pPr>
          </w:p>
        </w:tc>
        <w:tc>
          <w:tcPr>
            <w:tcW w:w="2405" w:type="dxa"/>
            <w:vAlign w:val="center"/>
            <w:hideMark/>
          </w:tcPr>
          <w:p w14:paraId="018C819C" w14:textId="77777777" w:rsidR="00D91BC9" w:rsidRPr="006519D0" w:rsidRDefault="00D91BC9" w:rsidP="00F56CCB">
            <w:pPr>
              <w:jc w:val="center"/>
              <w:rPr>
                <w:szCs w:val="20"/>
              </w:rPr>
            </w:pPr>
          </w:p>
        </w:tc>
        <w:tc>
          <w:tcPr>
            <w:tcW w:w="1496" w:type="dxa"/>
            <w:vAlign w:val="center"/>
            <w:hideMark/>
          </w:tcPr>
          <w:p w14:paraId="0654F340" w14:textId="77777777" w:rsidR="00D91BC9" w:rsidRPr="006519D0" w:rsidRDefault="00D91BC9" w:rsidP="00F56CCB">
            <w:pPr>
              <w:jc w:val="center"/>
              <w:rPr>
                <w:szCs w:val="20"/>
              </w:rPr>
            </w:pPr>
          </w:p>
        </w:tc>
        <w:tc>
          <w:tcPr>
            <w:tcW w:w="2465" w:type="dxa"/>
            <w:vAlign w:val="center"/>
          </w:tcPr>
          <w:p w14:paraId="04048CDC" w14:textId="77777777" w:rsidR="00D91BC9" w:rsidRPr="006519D0" w:rsidRDefault="009731B0" w:rsidP="00F56CCB">
            <w:pPr>
              <w:jc w:val="center"/>
              <w:rPr>
                <w:szCs w:val="20"/>
              </w:rPr>
            </w:pPr>
            <w:r w:rsidRPr="006519D0">
              <w:rPr>
                <w:szCs w:val="20"/>
              </w:rPr>
              <w:t>Špatná kontrolovatelnost kvót pro dovoz F-plynů celním úřadem</w:t>
            </w:r>
          </w:p>
        </w:tc>
        <w:tc>
          <w:tcPr>
            <w:tcW w:w="1456" w:type="dxa"/>
            <w:vAlign w:val="center"/>
          </w:tcPr>
          <w:p w14:paraId="3D9C9225" w14:textId="77777777" w:rsidR="00D91BC9" w:rsidRPr="006519D0" w:rsidRDefault="009731B0" w:rsidP="00F56CCB">
            <w:pPr>
              <w:jc w:val="center"/>
              <w:rPr>
                <w:szCs w:val="20"/>
              </w:rPr>
            </w:pPr>
            <w:r w:rsidRPr="006519D0">
              <w:rPr>
                <w:szCs w:val="20"/>
              </w:rPr>
              <w:t>**</w:t>
            </w:r>
          </w:p>
        </w:tc>
      </w:tr>
      <w:tr w:rsidR="00326AB0" w14:paraId="29AE9A9D" w14:textId="77777777" w:rsidTr="00F56CCB">
        <w:trPr>
          <w:trHeight w:val="480"/>
        </w:trPr>
        <w:tc>
          <w:tcPr>
            <w:tcW w:w="1240" w:type="dxa"/>
            <w:vMerge/>
            <w:vAlign w:val="center"/>
          </w:tcPr>
          <w:p w14:paraId="125F1EA9" w14:textId="77777777" w:rsidR="00D91BC9" w:rsidRPr="006519D0" w:rsidRDefault="00D91BC9" w:rsidP="00F56CCB">
            <w:pPr>
              <w:rPr>
                <w:b/>
                <w:bCs/>
                <w:szCs w:val="20"/>
              </w:rPr>
            </w:pPr>
          </w:p>
        </w:tc>
        <w:tc>
          <w:tcPr>
            <w:tcW w:w="2405" w:type="dxa"/>
            <w:vAlign w:val="center"/>
          </w:tcPr>
          <w:p w14:paraId="6627EEAB" w14:textId="77777777" w:rsidR="00D91BC9" w:rsidRPr="006519D0" w:rsidRDefault="00D91BC9" w:rsidP="00F56CCB">
            <w:pPr>
              <w:jc w:val="center"/>
              <w:rPr>
                <w:szCs w:val="20"/>
              </w:rPr>
            </w:pPr>
          </w:p>
        </w:tc>
        <w:tc>
          <w:tcPr>
            <w:tcW w:w="1496" w:type="dxa"/>
            <w:vAlign w:val="center"/>
          </w:tcPr>
          <w:p w14:paraId="24FBF595" w14:textId="77777777" w:rsidR="00D91BC9" w:rsidRPr="006519D0" w:rsidRDefault="00D91BC9" w:rsidP="00F56CCB">
            <w:pPr>
              <w:jc w:val="center"/>
              <w:rPr>
                <w:szCs w:val="20"/>
              </w:rPr>
            </w:pPr>
          </w:p>
        </w:tc>
        <w:tc>
          <w:tcPr>
            <w:tcW w:w="2465" w:type="dxa"/>
            <w:vAlign w:val="center"/>
          </w:tcPr>
          <w:p w14:paraId="71091856" w14:textId="77777777" w:rsidR="00D91BC9" w:rsidRPr="006519D0" w:rsidRDefault="009731B0" w:rsidP="00F56CCB">
            <w:pPr>
              <w:jc w:val="center"/>
              <w:rPr>
                <w:szCs w:val="20"/>
              </w:rPr>
            </w:pPr>
            <w:r w:rsidRPr="006519D0">
              <w:rPr>
                <w:szCs w:val="20"/>
              </w:rPr>
              <w:t xml:space="preserve">Finanční úniky </w:t>
            </w:r>
            <w:r w:rsidR="00A1507B" w:rsidRPr="006519D0">
              <w:rPr>
                <w:szCs w:val="20"/>
              </w:rPr>
              <w:br/>
            </w:r>
            <w:r w:rsidRPr="006519D0">
              <w:rPr>
                <w:szCs w:val="20"/>
              </w:rPr>
              <w:t>z nevybraných cel</w:t>
            </w:r>
          </w:p>
        </w:tc>
        <w:tc>
          <w:tcPr>
            <w:tcW w:w="1456" w:type="dxa"/>
            <w:vAlign w:val="center"/>
          </w:tcPr>
          <w:p w14:paraId="04F798D3" w14:textId="77777777" w:rsidR="00D91BC9" w:rsidRPr="006519D0" w:rsidRDefault="009731B0" w:rsidP="00F56CCB">
            <w:pPr>
              <w:jc w:val="center"/>
              <w:rPr>
                <w:szCs w:val="20"/>
              </w:rPr>
            </w:pPr>
            <w:r w:rsidRPr="006519D0">
              <w:rPr>
                <w:szCs w:val="20"/>
              </w:rPr>
              <w:t>*</w:t>
            </w:r>
          </w:p>
        </w:tc>
      </w:tr>
      <w:tr w:rsidR="00326AB0" w14:paraId="3D47A2DB" w14:textId="77777777" w:rsidTr="00F56CCB">
        <w:trPr>
          <w:trHeight w:val="370"/>
        </w:trPr>
        <w:tc>
          <w:tcPr>
            <w:tcW w:w="1240" w:type="dxa"/>
            <w:vMerge/>
            <w:vAlign w:val="center"/>
            <w:hideMark/>
          </w:tcPr>
          <w:p w14:paraId="2A6E4936" w14:textId="77777777" w:rsidR="00D91BC9" w:rsidRPr="006519D0" w:rsidRDefault="00D91BC9" w:rsidP="00F56CCB">
            <w:pPr>
              <w:rPr>
                <w:b/>
                <w:bCs/>
                <w:szCs w:val="20"/>
              </w:rPr>
            </w:pPr>
          </w:p>
        </w:tc>
        <w:tc>
          <w:tcPr>
            <w:tcW w:w="7822" w:type="dxa"/>
            <w:gridSpan w:val="4"/>
            <w:vAlign w:val="center"/>
            <w:hideMark/>
          </w:tcPr>
          <w:p w14:paraId="63FB5DBA" w14:textId="77777777" w:rsidR="00D91BC9" w:rsidRPr="006519D0" w:rsidRDefault="009731B0" w:rsidP="00F56CCB">
            <w:pPr>
              <w:jc w:val="center"/>
              <w:rPr>
                <w:b/>
                <w:bCs/>
                <w:szCs w:val="20"/>
              </w:rPr>
            </w:pPr>
            <w:r w:rsidRPr="006519D0">
              <w:rPr>
                <w:b/>
                <w:bCs/>
                <w:szCs w:val="20"/>
              </w:rPr>
              <w:t>Podnikatelské subjekty</w:t>
            </w:r>
          </w:p>
        </w:tc>
      </w:tr>
      <w:tr w:rsidR="00326AB0" w14:paraId="11398277" w14:textId="77777777" w:rsidTr="00F56CCB">
        <w:trPr>
          <w:trHeight w:val="516"/>
        </w:trPr>
        <w:tc>
          <w:tcPr>
            <w:tcW w:w="1240" w:type="dxa"/>
            <w:vMerge/>
            <w:vAlign w:val="center"/>
            <w:hideMark/>
          </w:tcPr>
          <w:p w14:paraId="003F6FD3" w14:textId="77777777" w:rsidR="00D91BC9" w:rsidRPr="006519D0" w:rsidRDefault="00D91BC9" w:rsidP="00F56CCB">
            <w:pPr>
              <w:rPr>
                <w:b/>
                <w:bCs/>
                <w:szCs w:val="20"/>
              </w:rPr>
            </w:pPr>
          </w:p>
        </w:tc>
        <w:tc>
          <w:tcPr>
            <w:tcW w:w="2405" w:type="dxa"/>
            <w:vAlign w:val="center"/>
            <w:hideMark/>
          </w:tcPr>
          <w:p w14:paraId="1CB190FA" w14:textId="77777777" w:rsidR="00D91BC9" w:rsidRPr="006519D0" w:rsidRDefault="00D91BC9" w:rsidP="00F56CCB">
            <w:pPr>
              <w:jc w:val="center"/>
              <w:rPr>
                <w:szCs w:val="20"/>
              </w:rPr>
            </w:pPr>
          </w:p>
        </w:tc>
        <w:tc>
          <w:tcPr>
            <w:tcW w:w="1496" w:type="dxa"/>
            <w:vAlign w:val="center"/>
            <w:hideMark/>
          </w:tcPr>
          <w:p w14:paraId="63137773" w14:textId="77777777" w:rsidR="00D91BC9" w:rsidRPr="006519D0" w:rsidRDefault="00D91BC9" w:rsidP="00F56CCB">
            <w:pPr>
              <w:jc w:val="center"/>
              <w:rPr>
                <w:szCs w:val="20"/>
              </w:rPr>
            </w:pPr>
          </w:p>
        </w:tc>
        <w:tc>
          <w:tcPr>
            <w:tcW w:w="2465" w:type="dxa"/>
            <w:vAlign w:val="center"/>
          </w:tcPr>
          <w:p w14:paraId="7CDA5A94" w14:textId="77777777" w:rsidR="00D91BC9" w:rsidRPr="006519D0" w:rsidRDefault="009731B0" w:rsidP="00F56CCB">
            <w:pPr>
              <w:jc w:val="center"/>
              <w:rPr>
                <w:szCs w:val="20"/>
              </w:rPr>
            </w:pPr>
            <w:r w:rsidRPr="006519D0">
              <w:rPr>
                <w:szCs w:val="20"/>
              </w:rPr>
              <w:t>Nerovné tržní prostředí pro dovozce F-plynů</w:t>
            </w:r>
          </w:p>
        </w:tc>
        <w:tc>
          <w:tcPr>
            <w:tcW w:w="1456" w:type="dxa"/>
            <w:vAlign w:val="center"/>
          </w:tcPr>
          <w:p w14:paraId="5FD1DDDE" w14:textId="77777777" w:rsidR="00D91BC9" w:rsidRPr="006519D0" w:rsidRDefault="009731B0" w:rsidP="00F56CCB">
            <w:pPr>
              <w:jc w:val="center"/>
              <w:rPr>
                <w:szCs w:val="20"/>
              </w:rPr>
            </w:pPr>
            <w:r w:rsidRPr="006519D0">
              <w:rPr>
                <w:szCs w:val="20"/>
              </w:rPr>
              <w:t>**</w:t>
            </w:r>
          </w:p>
        </w:tc>
      </w:tr>
      <w:tr w:rsidR="00326AB0" w14:paraId="507DB209" w14:textId="77777777" w:rsidTr="00F56CCB">
        <w:trPr>
          <w:trHeight w:val="396"/>
        </w:trPr>
        <w:tc>
          <w:tcPr>
            <w:tcW w:w="1240" w:type="dxa"/>
            <w:vMerge/>
            <w:vAlign w:val="center"/>
            <w:hideMark/>
          </w:tcPr>
          <w:p w14:paraId="664EC986" w14:textId="77777777" w:rsidR="00D91BC9" w:rsidRPr="006519D0" w:rsidRDefault="00D91BC9" w:rsidP="00F56CCB">
            <w:pPr>
              <w:rPr>
                <w:b/>
                <w:bCs/>
                <w:szCs w:val="20"/>
              </w:rPr>
            </w:pPr>
          </w:p>
        </w:tc>
        <w:tc>
          <w:tcPr>
            <w:tcW w:w="7822" w:type="dxa"/>
            <w:gridSpan w:val="4"/>
            <w:vAlign w:val="center"/>
            <w:hideMark/>
          </w:tcPr>
          <w:p w14:paraId="7795FFA7" w14:textId="77777777" w:rsidR="00D91BC9" w:rsidRPr="006519D0" w:rsidRDefault="009731B0" w:rsidP="00F56CCB">
            <w:pPr>
              <w:jc w:val="center"/>
              <w:rPr>
                <w:b/>
                <w:bCs/>
                <w:szCs w:val="20"/>
              </w:rPr>
            </w:pPr>
            <w:r w:rsidRPr="006519D0">
              <w:rPr>
                <w:b/>
                <w:bCs/>
                <w:szCs w:val="20"/>
              </w:rPr>
              <w:t>Životní prostředí</w:t>
            </w:r>
          </w:p>
        </w:tc>
      </w:tr>
      <w:tr w:rsidR="00326AB0" w14:paraId="66E6C900" w14:textId="77777777" w:rsidTr="00E24349">
        <w:trPr>
          <w:trHeight w:val="1420"/>
        </w:trPr>
        <w:tc>
          <w:tcPr>
            <w:tcW w:w="1240" w:type="dxa"/>
            <w:vMerge/>
            <w:vAlign w:val="center"/>
            <w:hideMark/>
          </w:tcPr>
          <w:p w14:paraId="0123F397" w14:textId="77777777" w:rsidR="00D91BC9" w:rsidRPr="006519D0" w:rsidRDefault="00D91BC9" w:rsidP="00F56CCB">
            <w:pPr>
              <w:rPr>
                <w:b/>
                <w:bCs/>
                <w:szCs w:val="20"/>
              </w:rPr>
            </w:pPr>
          </w:p>
        </w:tc>
        <w:tc>
          <w:tcPr>
            <w:tcW w:w="2405" w:type="dxa"/>
            <w:vAlign w:val="center"/>
            <w:hideMark/>
          </w:tcPr>
          <w:p w14:paraId="5B44A60B" w14:textId="77777777" w:rsidR="00D91BC9" w:rsidRPr="006519D0" w:rsidRDefault="00D91BC9" w:rsidP="00F56CCB">
            <w:pPr>
              <w:jc w:val="center"/>
              <w:rPr>
                <w:szCs w:val="20"/>
              </w:rPr>
            </w:pPr>
          </w:p>
        </w:tc>
        <w:tc>
          <w:tcPr>
            <w:tcW w:w="1496" w:type="dxa"/>
            <w:noWrap/>
            <w:vAlign w:val="center"/>
            <w:hideMark/>
          </w:tcPr>
          <w:p w14:paraId="73A2EB0E" w14:textId="77777777" w:rsidR="00D91BC9" w:rsidRPr="006519D0" w:rsidRDefault="00D91BC9" w:rsidP="00F56CCB">
            <w:pPr>
              <w:jc w:val="center"/>
              <w:rPr>
                <w:szCs w:val="20"/>
              </w:rPr>
            </w:pPr>
          </w:p>
        </w:tc>
        <w:tc>
          <w:tcPr>
            <w:tcW w:w="2465" w:type="dxa"/>
            <w:vAlign w:val="center"/>
          </w:tcPr>
          <w:p w14:paraId="4C207571" w14:textId="77777777" w:rsidR="00D91BC9" w:rsidRPr="006519D0" w:rsidRDefault="009731B0" w:rsidP="00F56CCB">
            <w:pPr>
              <w:jc w:val="center"/>
              <w:rPr>
                <w:szCs w:val="20"/>
              </w:rPr>
            </w:pPr>
            <w:r w:rsidRPr="006519D0">
              <w:rPr>
                <w:szCs w:val="20"/>
              </w:rPr>
              <w:t xml:space="preserve">Nadměrný dovoz F-plynů a riziko úniku plynu </w:t>
            </w:r>
            <w:r w:rsidR="00A1507B" w:rsidRPr="006519D0">
              <w:rPr>
                <w:szCs w:val="20"/>
              </w:rPr>
              <w:br/>
            </w:r>
            <w:r w:rsidRPr="006519D0">
              <w:rPr>
                <w:szCs w:val="20"/>
              </w:rPr>
              <w:t>do ovzduší</w:t>
            </w:r>
          </w:p>
        </w:tc>
        <w:tc>
          <w:tcPr>
            <w:tcW w:w="1456" w:type="dxa"/>
            <w:vAlign w:val="center"/>
          </w:tcPr>
          <w:p w14:paraId="1446458C" w14:textId="77777777" w:rsidR="00D91BC9" w:rsidRPr="006519D0" w:rsidRDefault="009731B0" w:rsidP="00F56CCB">
            <w:pPr>
              <w:jc w:val="center"/>
              <w:rPr>
                <w:szCs w:val="20"/>
              </w:rPr>
            </w:pPr>
            <w:r w:rsidRPr="006519D0">
              <w:rPr>
                <w:szCs w:val="20"/>
              </w:rPr>
              <w:t>**</w:t>
            </w:r>
          </w:p>
        </w:tc>
      </w:tr>
      <w:tr w:rsidR="00326AB0" w14:paraId="03809271" w14:textId="77777777" w:rsidTr="00F56CCB">
        <w:trPr>
          <w:trHeight w:val="383"/>
        </w:trPr>
        <w:tc>
          <w:tcPr>
            <w:tcW w:w="1240" w:type="dxa"/>
            <w:vMerge w:val="restart"/>
            <w:noWrap/>
            <w:vAlign w:val="center"/>
            <w:hideMark/>
          </w:tcPr>
          <w:p w14:paraId="3EB9E73B" w14:textId="77777777" w:rsidR="00D91BC9" w:rsidRPr="006519D0" w:rsidRDefault="009731B0" w:rsidP="00F56CCB">
            <w:pPr>
              <w:rPr>
                <w:b/>
                <w:bCs/>
                <w:szCs w:val="20"/>
              </w:rPr>
            </w:pPr>
            <w:r w:rsidRPr="006519D0">
              <w:rPr>
                <w:b/>
                <w:bCs/>
                <w:szCs w:val="20"/>
              </w:rPr>
              <w:t>Varianta 1</w:t>
            </w:r>
          </w:p>
        </w:tc>
        <w:tc>
          <w:tcPr>
            <w:tcW w:w="7822" w:type="dxa"/>
            <w:gridSpan w:val="4"/>
            <w:vAlign w:val="center"/>
            <w:hideMark/>
          </w:tcPr>
          <w:p w14:paraId="7CE8A14A" w14:textId="77777777" w:rsidR="00D91BC9" w:rsidRPr="006519D0" w:rsidRDefault="009731B0" w:rsidP="00F56CCB">
            <w:pPr>
              <w:jc w:val="center"/>
              <w:rPr>
                <w:b/>
                <w:bCs/>
                <w:szCs w:val="20"/>
              </w:rPr>
            </w:pPr>
            <w:r w:rsidRPr="006519D0">
              <w:rPr>
                <w:b/>
                <w:bCs/>
                <w:szCs w:val="20"/>
              </w:rPr>
              <w:t>Státní rozpočet a ostatní veřejné rozpočty</w:t>
            </w:r>
          </w:p>
        </w:tc>
      </w:tr>
      <w:tr w:rsidR="00326AB0" w14:paraId="160587CC" w14:textId="77777777" w:rsidTr="00F56CCB">
        <w:trPr>
          <w:trHeight w:val="183"/>
        </w:trPr>
        <w:tc>
          <w:tcPr>
            <w:tcW w:w="1240" w:type="dxa"/>
            <w:vMerge/>
            <w:hideMark/>
          </w:tcPr>
          <w:p w14:paraId="767EA495" w14:textId="77777777" w:rsidR="00D91BC9" w:rsidRPr="006519D0" w:rsidRDefault="00D91BC9" w:rsidP="00F56CCB">
            <w:pPr>
              <w:rPr>
                <w:b/>
                <w:bCs/>
                <w:szCs w:val="20"/>
              </w:rPr>
            </w:pPr>
          </w:p>
        </w:tc>
        <w:tc>
          <w:tcPr>
            <w:tcW w:w="2405" w:type="dxa"/>
            <w:vAlign w:val="center"/>
          </w:tcPr>
          <w:p w14:paraId="737CD66C" w14:textId="77777777" w:rsidR="00D91BC9" w:rsidRPr="006519D0" w:rsidRDefault="009731B0" w:rsidP="00F56CCB">
            <w:pPr>
              <w:jc w:val="center"/>
              <w:rPr>
                <w:szCs w:val="20"/>
              </w:rPr>
            </w:pPr>
            <w:r w:rsidRPr="006519D0">
              <w:rPr>
                <w:szCs w:val="20"/>
              </w:rPr>
              <w:t xml:space="preserve">Zefektivnění procesu celní kontroly, získání přesného množství dovezeného F-plynu </w:t>
            </w:r>
            <w:r w:rsidR="001D43BB" w:rsidRPr="006519D0">
              <w:rPr>
                <w:szCs w:val="20"/>
              </w:rPr>
              <w:br/>
            </w:r>
            <w:r w:rsidRPr="006519D0">
              <w:rPr>
                <w:szCs w:val="20"/>
              </w:rPr>
              <w:t>a zjednodušení kontroly přidělených kvót</w:t>
            </w:r>
          </w:p>
        </w:tc>
        <w:tc>
          <w:tcPr>
            <w:tcW w:w="1496" w:type="dxa"/>
            <w:vAlign w:val="center"/>
          </w:tcPr>
          <w:p w14:paraId="173AD576" w14:textId="77777777" w:rsidR="00D91BC9" w:rsidRPr="006519D0" w:rsidRDefault="009731B0" w:rsidP="00F56CCB">
            <w:pPr>
              <w:jc w:val="center"/>
              <w:rPr>
                <w:szCs w:val="20"/>
              </w:rPr>
            </w:pPr>
            <w:r w:rsidRPr="006519D0">
              <w:rPr>
                <w:szCs w:val="20"/>
              </w:rPr>
              <w:t>**</w:t>
            </w:r>
          </w:p>
        </w:tc>
        <w:tc>
          <w:tcPr>
            <w:tcW w:w="2465" w:type="dxa"/>
            <w:vAlign w:val="center"/>
          </w:tcPr>
          <w:p w14:paraId="471BDCD2" w14:textId="77777777" w:rsidR="00D91BC9" w:rsidRPr="006519D0" w:rsidRDefault="00D91BC9" w:rsidP="00F56CCB">
            <w:pPr>
              <w:jc w:val="center"/>
              <w:rPr>
                <w:szCs w:val="20"/>
              </w:rPr>
            </w:pPr>
          </w:p>
        </w:tc>
        <w:tc>
          <w:tcPr>
            <w:tcW w:w="1456" w:type="dxa"/>
            <w:vAlign w:val="center"/>
          </w:tcPr>
          <w:p w14:paraId="12F32CAC" w14:textId="77777777" w:rsidR="00D91BC9" w:rsidRPr="006519D0" w:rsidRDefault="00D91BC9" w:rsidP="00F56CCB">
            <w:pPr>
              <w:jc w:val="center"/>
              <w:rPr>
                <w:szCs w:val="20"/>
              </w:rPr>
            </w:pPr>
          </w:p>
        </w:tc>
      </w:tr>
      <w:tr w:rsidR="00326AB0" w14:paraId="5B2549BD" w14:textId="77777777" w:rsidTr="00F56CCB">
        <w:trPr>
          <w:trHeight w:val="324"/>
        </w:trPr>
        <w:tc>
          <w:tcPr>
            <w:tcW w:w="1240" w:type="dxa"/>
            <w:vMerge/>
            <w:hideMark/>
          </w:tcPr>
          <w:p w14:paraId="6D375142" w14:textId="77777777" w:rsidR="00D91BC9" w:rsidRPr="006519D0" w:rsidRDefault="00D91BC9" w:rsidP="00F56CCB">
            <w:pPr>
              <w:rPr>
                <w:b/>
                <w:bCs/>
                <w:szCs w:val="20"/>
              </w:rPr>
            </w:pPr>
          </w:p>
        </w:tc>
        <w:tc>
          <w:tcPr>
            <w:tcW w:w="7822" w:type="dxa"/>
            <w:gridSpan w:val="4"/>
            <w:vAlign w:val="center"/>
            <w:hideMark/>
          </w:tcPr>
          <w:p w14:paraId="7E353AFF" w14:textId="77777777" w:rsidR="00D91BC9" w:rsidRPr="006519D0" w:rsidRDefault="009731B0" w:rsidP="00F56CCB">
            <w:pPr>
              <w:jc w:val="center"/>
              <w:rPr>
                <w:b/>
                <w:bCs/>
                <w:szCs w:val="20"/>
              </w:rPr>
            </w:pPr>
            <w:r w:rsidRPr="006519D0">
              <w:rPr>
                <w:b/>
                <w:bCs/>
                <w:szCs w:val="20"/>
              </w:rPr>
              <w:t>Podnikatelské subjekty</w:t>
            </w:r>
          </w:p>
        </w:tc>
      </w:tr>
      <w:tr w:rsidR="00326AB0" w14:paraId="16B81A01" w14:textId="77777777" w:rsidTr="00F56CCB">
        <w:trPr>
          <w:trHeight w:val="428"/>
        </w:trPr>
        <w:tc>
          <w:tcPr>
            <w:tcW w:w="1240" w:type="dxa"/>
            <w:vMerge/>
            <w:hideMark/>
          </w:tcPr>
          <w:p w14:paraId="408AB04D" w14:textId="77777777" w:rsidR="00D91BC9" w:rsidRPr="006519D0" w:rsidRDefault="00D91BC9" w:rsidP="00F56CCB">
            <w:pPr>
              <w:rPr>
                <w:b/>
                <w:bCs/>
                <w:szCs w:val="20"/>
              </w:rPr>
            </w:pPr>
          </w:p>
        </w:tc>
        <w:tc>
          <w:tcPr>
            <w:tcW w:w="2405" w:type="dxa"/>
            <w:vAlign w:val="center"/>
          </w:tcPr>
          <w:p w14:paraId="239A4F3E" w14:textId="77777777" w:rsidR="00D91BC9" w:rsidRPr="006519D0" w:rsidRDefault="00D91BC9" w:rsidP="00F56CCB">
            <w:pPr>
              <w:jc w:val="center"/>
              <w:rPr>
                <w:szCs w:val="20"/>
              </w:rPr>
            </w:pPr>
          </w:p>
        </w:tc>
        <w:tc>
          <w:tcPr>
            <w:tcW w:w="1496" w:type="dxa"/>
            <w:noWrap/>
            <w:vAlign w:val="center"/>
          </w:tcPr>
          <w:p w14:paraId="71DECC1F" w14:textId="77777777" w:rsidR="00D91BC9" w:rsidRPr="006519D0" w:rsidRDefault="00D91BC9" w:rsidP="00F56CCB">
            <w:pPr>
              <w:jc w:val="center"/>
              <w:rPr>
                <w:szCs w:val="20"/>
              </w:rPr>
            </w:pPr>
          </w:p>
        </w:tc>
        <w:tc>
          <w:tcPr>
            <w:tcW w:w="2465" w:type="dxa"/>
            <w:vAlign w:val="center"/>
          </w:tcPr>
          <w:p w14:paraId="0B49AFDC" w14:textId="77777777" w:rsidR="00D91BC9" w:rsidRPr="006519D0" w:rsidRDefault="009731B0" w:rsidP="00F56CCB">
            <w:pPr>
              <w:jc w:val="center"/>
              <w:rPr>
                <w:szCs w:val="20"/>
              </w:rPr>
            </w:pPr>
            <w:r w:rsidRPr="006519D0">
              <w:rPr>
                <w:szCs w:val="20"/>
              </w:rPr>
              <w:t xml:space="preserve">Povinnost uvádět </w:t>
            </w:r>
            <w:r w:rsidR="00A1507B" w:rsidRPr="006519D0">
              <w:rPr>
                <w:szCs w:val="20"/>
              </w:rPr>
              <w:br/>
            </w:r>
            <w:r w:rsidRPr="006519D0">
              <w:rPr>
                <w:szCs w:val="20"/>
              </w:rPr>
              <w:t xml:space="preserve">do celního prohlášení množství dovezených </w:t>
            </w:r>
            <w:r w:rsidR="001D43BB" w:rsidRPr="006519D0">
              <w:rPr>
                <w:szCs w:val="20"/>
              </w:rPr>
              <w:br/>
            </w:r>
            <w:r w:rsidRPr="006519D0">
              <w:rPr>
                <w:szCs w:val="20"/>
              </w:rPr>
              <w:t xml:space="preserve">F-plynů </w:t>
            </w:r>
            <w:r w:rsidRPr="006519D0">
              <w:t>v tunách ekvivalentu CO</w:t>
            </w:r>
            <w:r w:rsidRPr="006519D0">
              <w:rPr>
                <w:vertAlign w:val="subscript"/>
              </w:rPr>
              <w:t>2</w:t>
            </w:r>
          </w:p>
        </w:tc>
        <w:tc>
          <w:tcPr>
            <w:tcW w:w="1456" w:type="dxa"/>
            <w:noWrap/>
            <w:vAlign w:val="center"/>
          </w:tcPr>
          <w:p w14:paraId="24EC424C" w14:textId="77777777" w:rsidR="00D91BC9" w:rsidRPr="006519D0" w:rsidRDefault="009731B0" w:rsidP="00F56CCB">
            <w:pPr>
              <w:jc w:val="center"/>
              <w:rPr>
                <w:szCs w:val="20"/>
              </w:rPr>
            </w:pPr>
            <w:r w:rsidRPr="006519D0">
              <w:rPr>
                <w:szCs w:val="20"/>
              </w:rPr>
              <w:t>*</w:t>
            </w:r>
          </w:p>
        </w:tc>
      </w:tr>
      <w:tr w:rsidR="00326AB0" w14:paraId="1279B1FE" w14:textId="77777777" w:rsidTr="00F56CCB">
        <w:trPr>
          <w:trHeight w:val="428"/>
        </w:trPr>
        <w:tc>
          <w:tcPr>
            <w:tcW w:w="1240" w:type="dxa"/>
            <w:vMerge/>
          </w:tcPr>
          <w:p w14:paraId="2FCA5B47" w14:textId="77777777" w:rsidR="00AF7B25" w:rsidRPr="006519D0" w:rsidRDefault="00AF7B25" w:rsidP="00F56CCB">
            <w:pPr>
              <w:rPr>
                <w:b/>
                <w:bCs/>
                <w:szCs w:val="20"/>
              </w:rPr>
            </w:pPr>
          </w:p>
        </w:tc>
        <w:tc>
          <w:tcPr>
            <w:tcW w:w="2405" w:type="dxa"/>
            <w:vAlign w:val="center"/>
          </w:tcPr>
          <w:p w14:paraId="011C6E24" w14:textId="77777777" w:rsidR="00AF7B25" w:rsidRPr="006519D0" w:rsidRDefault="00AF7B25" w:rsidP="00F56CCB">
            <w:pPr>
              <w:jc w:val="center"/>
              <w:rPr>
                <w:szCs w:val="20"/>
              </w:rPr>
            </w:pPr>
          </w:p>
        </w:tc>
        <w:tc>
          <w:tcPr>
            <w:tcW w:w="1496" w:type="dxa"/>
            <w:noWrap/>
            <w:vAlign w:val="center"/>
          </w:tcPr>
          <w:p w14:paraId="3ABA0929" w14:textId="77777777" w:rsidR="00AF7B25" w:rsidRPr="006519D0" w:rsidRDefault="00AF7B25" w:rsidP="00F56CCB">
            <w:pPr>
              <w:jc w:val="center"/>
              <w:rPr>
                <w:szCs w:val="20"/>
              </w:rPr>
            </w:pPr>
          </w:p>
        </w:tc>
        <w:tc>
          <w:tcPr>
            <w:tcW w:w="2465" w:type="dxa"/>
            <w:vAlign w:val="center"/>
          </w:tcPr>
          <w:p w14:paraId="0DFE3893" w14:textId="77777777" w:rsidR="00AF7B25" w:rsidRPr="006519D0" w:rsidRDefault="009731B0" w:rsidP="00AF7B25">
            <w:pPr>
              <w:jc w:val="center"/>
              <w:rPr>
                <w:szCs w:val="20"/>
              </w:rPr>
            </w:pPr>
            <w:r w:rsidRPr="006519D0">
              <w:rPr>
                <w:szCs w:val="20"/>
              </w:rPr>
              <w:t>Dovozci F-plynů – náklady v případě, že dojde k překročení kvóty na dovezené F-plyny</w:t>
            </w:r>
          </w:p>
        </w:tc>
        <w:tc>
          <w:tcPr>
            <w:tcW w:w="1456" w:type="dxa"/>
            <w:noWrap/>
            <w:vAlign w:val="center"/>
          </w:tcPr>
          <w:p w14:paraId="6CCD13B3" w14:textId="77777777" w:rsidR="00AF7B25" w:rsidRPr="006519D0" w:rsidRDefault="009731B0" w:rsidP="00F56CCB">
            <w:pPr>
              <w:jc w:val="center"/>
              <w:rPr>
                <w:szCs w:val="20"/>
              </w:rPr>
            </w:pPr>
            <w:r w:rsidRPr="006519D0">
              <w:rPr>
                <w:szCs w:val="20"/>
              </w:rPr>
              <w:t>***</w:t>
            </w:r>
          </w:p>
        </w:tc>
      </w:tr>
      <w:tr w:rsidR="00326AB0" w14:paraId="1228EA58" w14:textId="77777777" w:rsidTr="00F56CCB">
        <w:trPr>
          <w:trHeight w:val="398"/>
        </w:trPr>
        <w:tc>
          <w:tcPr>
            <w:tcW w:w="1240" w:type="dxa"/>
            <w:vMerge/>
            <w:hideMark/>
          </w:tcPr>
          <w:p w14:paraId="61AE0968" w14:textId="77777777" w:rsidR="00D91BC9" w:rsidRPr="006519D0" w:rsidRDefault="00D91BC9" w:rsidP="00F56CCB">
            <w:pPr>
              <w:rPr>
                <w:b/>
                <w:bCs/>
                <w:szCs w:val="20"/>
              </w:rPr>
            </w:pPr>
          </w:p>
        </w:tc>
        <w:tc>
          <w:tcPr>
            <w:tcW w:w="7822" w:type="dxa"/>
            <w:gridSpan w:val="4"/>
            <w:vAlign w:val="center"/>
            <w:hideMark/>
          </w:tcPr>
          <w:p w14:paraId="6CABB418" w14:textId="77777777" w:rsidR="00D91BC9" w:rsidRPr="006519D0" w:rsidRDefault="009731B0" w:rsidP="00F56CCB">
            <w:pPr>
              <w:jc w:val="center"/>
              <w:rPr>
                <w:b/>
                <w:bCs/>
                <w:szCs w:val="20"/>
              </w:rPr>
            </w:pPr>
            <w:r w:rsidRPr="006519D0">
              <w:rPr>
                <w:b/>
                <w:bCs/>
                <w:szCs w:val="20"/>
              </w:rPr>
              <w:t>Životní prostředí</w:t>
            </w:r>
          </w:p>
        </w:tc>
      </w:tr>
      <w:tr w:rsidR="00326AB0" w14:paraId="423B97E5" w14:textId="77777777" w:rsidTr="00F56CCB">
        <w:trPr>
          <w:trHeight w:val="437"/>
        </w:trPr>
        <w:tc>
          <w:tcPr>
            <w:tcW w:w="1240" w:type="dxa"/>
            <w:vMerge/>
            <w:hideMark/>
          </w:tcPr>
          <w:p w14:paraId="46B2DB8E" w14:textId="77777777" w:rsidR="00D91BC9" w:rsidRPr="006519D0" w:rsidRDefault="00D91BC9" w:rsidP="00F56CCB">
            <w:pPr>
              <w:rPr>
                <w:b/>
                <w:bCs/>
                <w:szCs w:val="20"/>
              </w:rPr>
            </w:pPr>
          </w:p>
        </w:tc>
        <w:tc>
          <w:tcPr>
            <w:tcW w:w="2405" w:type="dxa"/>
            <w:vAlign w:val="center"/>
          </w:tcPr>
          <w:p w14:paraId="569DA928" w14:textId="77777777" w:rsidR="00D91BC9" w:rsidRPr="006519D0" w:rsidRDefault="009731B0" w:rsidP="00F56CCB">
            <w:pPr>
              <w:jc w:val="center"/>
              <w:rPr>
                <w:szCs w:val="20"/>
              </w:rPr>
            </w:pPr>
            <w:r w:rsidRPr="006519D0">
              <w:rPr>
                <w:szCs w:val="20"/>
              </w:rPr>
              <w:t>Eliminace úniku F-plynů do ovzduší nekvalifikovaným zacházením</w:t>
            </w:r>
          </w:p>
        </w:tc>
        <w:tc>
          <w:tcPr>
            <w:tcW w:w="1496" w:type="dxa"/>
            <w:vAlign w:val="center"/>
          </w:tcPr>
          <w:p w14:paraId="796F43D0" w14:textId="77777777" w:rsidR="00D91BC9" w:rsidRPr="006519D0" w:rsidRDefault="009731B0" w:rsidP="00F56CCB">
            <w:pPr>
              <w:jc w:val="center"/>
              <w:rPr>
                <w:szCs w:val="20"/>
              </w:rPr>
            </w:pPr>
            <w:r w:rsidRPr="006519D0">
              <w:rPr>
                <w:szCs w:val="20"/>
              </w:rPr>
              <w:t>**</w:t>
            </w:r>
          </w:p>
        </w:tc>
        <w:tc>
          <w:tcPr>
            <w:tcW w:w="2465" w:type="dxa"/>
            <w:vAlign w:val="center"/>
            <w:hideMark/>
          </w:tcPr>
          <w:p w14:paraId="3C896C10" w14:textId="77777777" w:rsidR="00D91BC9" w:rsidRPr="006519D0" w:rsidRDefault="00D91BC9" w:rsidP="00F56CCB">
            <w:pPr>
              <w:jc w:val="center"/>
              <w:rPr>
                <w:szCs w:val="20"/>
              </w:rPr>
            </w:pPr>
          </w:p>
        </w:tc>
        <w:tc>
          <w:tcPr>
            <w:tcW w:w="1456" w:type="dxa"/>
            <w:vAlign w:val="center"/>
            <w:hideMark/>
          </w:tcPr>
          <w:p w14:paraId="7F03720F" w14:textId="77777777" w:rsidR="00D91BC9" w:rsidRPr="006519D0" w:rsidRDefault="00D91BC9" w:rsidP="00F56CCB">
            <w:pPr>
              <w:jc w:val="center"/>
              <w:rPr>
                <w:szCs w:val="20"/>
              </w:rPr>
            </w:pPr>
          </w:p>
        </w:tc>
      </w:tr>
    </w:tbl>
    <w:p w14:paraId="033EFC25" w14:textId="77777777" w:rsidR="00D91BC9" w:rsidRPr="006519D0" w:rsidRDefault="009731B0" w:rsidP="00D91BC9">
      <w:r w:rsidRPr="006519D0">
        <w:t xml:space="preserve">- bez dopadů, * velmi nízké, ** nízké, *** střední, **** vysoké, ***** </w:t>
      </w:r>
      <w:r w:rsidRPr="006519D0">
        <w:t>velmi vysoké</w:t>
      </w:r>
    </w:p>
    <w:p w14:paraId="225BC3A7" w14:textId="77777777" w:rsidR="00D91BC9" w:rsidRPr="006519D0" w:rsidRDefault="00D91BC9" w:rsidP="00D91BC9"/>
    <w:p w14:paraId="356D9797" w14:textId="77777777" w:rsidR="00D91BC9" w:rsidRPr="006519D0" w:rsidRDefault="009731B0" w:rsidP="00D91BC9">
      <w:pPr>
        <w:pStyle w:val="Nadpis2"/>
      </w:pPr>
      <w:r w:rsidRPr="006519D0">
        <w:t>Stanovení pořadí variant a výběr nejvhodnějšího řešení</w:t>
      </w:r>
    </w:p>
    <w:p w14:paraId="485D55FE" w14:textId="77777777" w:rsidR="00D91BC9" w:rsidRPr="006519D0" w:rsidRDefault="009731B0" w:rsidP="00E775EF">
      <w:pPr>
        <w:pStyle w:val="Odstavecseseznamem"/>
        <w:numPr>
          <w:ilvl w:val="0"/>
          <w:numId w:val="14"/>
        </w:numPr>
        <w:spacing w:after="0"/>
        <w:ind w:left="714" w:hanging="357"/>
        <w:rPr>
          <w:b/>
          <w:bCs/>
        </w:rPr>
      </w:pPr>
      <w:r w:rsidRPr="006519D0">
        <w:rPr>
          <w:b/>
          <w:bCs/>
        </w:rPr>
        <w:t>Varianta 1</w:t>
      </w:r>
    </w:p>
    <w:p w14:paraId="3FB8DED2" w14:textId="77777777" w:rsidR="00D91BC9" w:rsidRPr="006519D0" w:rsidRDefault="009731B0" w:rsidP="00D91BC9">
      <w:pPr>
        <w:pStyle w:val="Odstavecseseznamem"/>
        <w:numPr>
          <w:ilvl w:val="0"/>
          <w:numId w:val="14"/>
        </w:numPr>
        <w:ind w:left="714" w:hanging="357"/>
        <w:contextualSpacing/>
      </w:pPr>
      <w:r w:rsidRPr="006519D0">
        <w:t>Varianta 0</w:t>
      </w:r>
    </w:p>
    <w:p w14:paraId="3248E732" w14:textId="77777777" w:rsidR="00AA6654" w:rsidRPr="006519D0" w:rsidRDefault="009731B0" w:rsidP="00AA6654">
      <w:r w:rsidRPr="006519D0">
        <w:t>Navrhujeme přijmout variantu 1, která umožní celním úřadům provést řádnou celní kontrolu, konkrétně kontrolu dodržování přidělených kvót pro dovoz F-plynů nebo dovoz</w:t>
      </w:r>
      <w:r w:rsidRPr="006519D0">
        <w:t>em způsobené překročení přímo použitelným předpisem EU stanoveného limitu pro vznik povinnosti požádat o přidělení kvót.</w:t>
      </w:r>
      <w:r w:rsidR="00521085" w:rsidRPr="006519D0">
        <w:t xml:space="preserve"> </w:t>
      </w:r>
      <w:r w:rsidRPr="006519D0">
        <w:t>S kontrolou dovážených F-plynů v tunách ekvivalentu CO</w:t>
      </w:r>
      <w:r w:rsidRPr="006519D0">
        <w:rPr>
          <w:vertAlign w:val="subscript"/>
        </w:rPr>
        <w:t>2</w:t>
      </w:r>
      <w:r w:rsidRPr="006519D0">
        <w:t xml:space="preserve"> se </w:t>
      </w:r>
      <w:r w:rsidR="00521085" w:rsidRPr="006519D0">
        <w:t xml:space="preserve">zároveň </w:t>
      </w:r>
      <w:r w:rsidRPr="006519D0">
        <w:t>počítá do budoucna i v projektu Single Window, který propojí celní s</w:t>
      </w:r>
      <w:r w:rsidRPr="006519D0">
        <w:t xml:space="preserve">ystémy a rejstříky regulovaných látek a F-plynů </w:t>
      </w:r>
      <w:r w:rsidR="003A18C1" w:rsidRPr="006519D0">
        <w:t xml:space="preserve">všech </w:t>
      </w:r>
      <w:r w:rsidRPr="006519D0">
        <w:t>členských států EU.</w:t>
      </w:r>
      <w:r w:rsidR="00B22539" w:rsidRPr="006519D0">
        <w:t xml:space="preserve"> </w:t>
      </w:r>
    </w:p>
    <w:p w14:paraId="31DA38E4" w14:textId="77777777" w:rsidR="00D91BC9" w:rsidRPr="006519D0" w:rsidRDefault="00D91BC9" w:rsidP="00D91BC9"/>
    <w:p w14:paraId="1BC5407F" w14:textId="77777777" w:rsidR="008539D8" w:rsidRPr="006519D0" w:rsidRDefault="009731B0" w:rsidP="008539D8">
      <w:pPr>
        <w:pStyle w:val="Nadpis1"/>
      </w:pPr>
      <w:r w:rsidRPr="006519D0">
        <w:lastRenderedPageBreak/>
        <w:fldChar w:fldCharType="begin"/>
      </w:r>
      <w:r w:rsidRPr="006519D0">
        <w:instrText xml:space="preserve"> </w:instrText>
      </w:r>
      <w:r w:rsidRPr="006519D0">
        <w:fldChar w:fldCharType="begin"/>
      </w:r>
      <w:r w:rsidRPr="006519D0">
        <w:instrText xml:space="preserve"> </w:instrText>
      </w:r>
      <w:r w:rsidRPr="006519D0">
        <w:fldChar w:fldCharType="begin"/>
      </w:r>
      <w:r w:rsidRPr="006519D0">
        <w:instrText xml:space="preserve"> </w:instrText>
      </w:r>
      <w:r w:rsidRPr="006519D0">
        <w:fldChar w:fldCharType="begin"/>
      </w:r>
      <w:r w:rsidRPr="006519D0">
        <w:instrText xml:space="preserve"> </w:instrText>
      </w:r>
      <w:r w:rsidRPr="006519D0">
        <w:fldChar w:fldCharType="begin"/>
      </w:r>
      <w:r w:rsidRPr="006519D0">
        <w:instrText xml:space="preserve">  </w:instrText>
      </w:r>
      <w:r w:rsidRPr="006519D0">
        <w:fldChar w:fldCharType="end"/>
      </w:r>
      <w:r w:rsidRPr="006519D0">
        <w:instrText xml:space="preserve"> </w:instrText>
      </w:r>
      <w:r w:rsidRPr="006519D0">
        <w:fldChar w:fldCharType="end"/>
      </w:r>
      <w:r w:rsidRPr="006519D0">
        <w:instrText xml:space="preserve"> </w:instrText>
      </w:r>
      <w:r w:rsidRPr="006519D0">
        <w:fldChar w:fldCharType="end"/>
      </w:r>
      <w:r w:rsidRPr="006519D0">
        <w:instrText xml:space="preserve"> </w:instrText>
      </w:r>
      <w:r w:rsidRPr="006519D0">
        <w:fldChar w:fldCharType="end"/>
      </w:r>
      <w:r w:rsidRPr="006519D0">
        <w:instrText xml:space="preserve"> </w:instrText>
      </w:r>
      <w:r w:rsidRPr="006519D0">
        <w:fldChar w:fldCharType="end"/>
      </w:r>
      <w:bookmarkStart w:id="26" w:name="_Toc256000007"/>
      <w:bookmarkStart w:id="27" w:name="_Toc19624747"/>
      <w:r w:rsidR="00EC7FA0" w:rsidRPr="006519D0">
        <w:t>Hodnotící a certifikační subjekt (</w:t>
      </w:r>
      <w:r w:rsidR="00EC7FA0" w:rsidRPr="006519D0">
        <w:rPr>
          <w:rFonts w:eastAsiaTheme="minorEastAsia"/>
          <w:szCs w:val="24"/>
          <w:lang w:eastAsia="cs-CZ"/>
        </w:rPr>
        <w:t>§ 8</w:t>
      </w:r>
      <w:r w:rsidR="00C30FFD" w:rsidRPr="006519D0">
        <w:rPr>
          <w:rFonts w:eastAsiaTheme="minorEastAsia"/>
          <w:szCs w:val="24"/>
          <w:lang w:eastAsia="cs-CZ"/>
        </w:rPr>
        <w:t xml:space="preserve"> a § </w:t>
      </w:r>
      <w:proofErr w:type="gramStart"/>
      <w:r w:rsidR="00C30FFD" w:rsidRPr="006519D0">
        <w:rPr>
          <w:rFonts w:eastAsiaTheme="minorEastAsia"/>
          <w:szCs w:val="24"/>
          <w:lang w:eastAsia="cs-CZ"/>
        </w:rPr>
        <w:t>8a</w:t>
      </w:r>
      <w:proofErr w:type="gramEnd"/>
      <w:r w:rsidR="00EC7FA0" w:rsidRPr="006519D0">
        <w:rPr>
          <w:rFonts w:eastAsiaTheme="minorEastAsia"/>
          <w:szCs w:val="24"/>
          <w:lang w:eastAsia="cs-CZ"/>
        </w:rPr>
        <w:t>)</w:t>
      </w:r>
      <w:bookmarkEnd w:id="26"/>
      <w:bookmarkEnd w:id="27"/>
    </w:p>
    <w:p w14:paraId="79480E6B" w14:textId="77777777" w:rsidR="008539D8" w:rsidRPr="006519D0" w:rsidRDefault="009731B0" w:rsidP="008539D8">
      <w:pPr>
        <w:pStyle w:val="Nadpis2"/>
      </w:pPr>
      <w:r w:rsidRPr="006519D0">
        <w:t>Důvod předložení a cíle</w:t>
      </w:r>
    </w:p>
    <w:p w14:paraId="5C5E073F" w14:textId="77777777" w:rsidR="008539D8" w:rsidRPr="006519D0" w:rsidRDefault="009731B0" w:rsidP="008539D8">
      <w:pPr>
        <w:pStyle w:val="Nadpis3"/>
      </w:pPr>
      <w:r w:rsidRPr="006519D0">
        <w:t>Definice problému</w:t>
      </w:r>
    </w:p>
    <w:p w14:paraId="1E48D6C7" w14:textId="77777777" w:rsidR="0096298A" w:rsidRPr="006519D0" w:rsidRDefault="009731B0" w:rsidP="008539D8">
      <w:pPr>
        <w:rPr>
          <w:rFonts w:eastAsiaTheme="minorEastAsia"/>
          <w:szCs w:val="22"/>
          <w:lang w:eastAsia="cs-CZ"/>
        </w:rPr>
      </w:pPr>
      <w:r w:rsidRPr="006519D0">
        <w:rPr>
          <w:rFonts w:eastAsiaTheme="minorEastAsia"/>
          <w:szCs w:val="22"/>
          <w:lang w:eastAsia="cs-CZ"/>
        </w:rPr>
        <w:t xml:space="preserve">V současnosti je proces vydávání certifikátů v oblasti nakládání s regulovanými látkami </w:t>
      </w:r>
      <w:r w:rsidR="00DC03CA" w:rsidRPr="006519D0">
        <w:rPr>
          <w:rFonts w:eastAsiaTheme="minorEastAsia"/>
          <w:szCs w:val="22"/>
          <w:lang w:eastAsia="cs-CZ"/>
        </w:rPr>
        <w:br/>
      </w:r>
      <w:r w:rsidRPr="006519D0">
        <w:rPr>
          <w:rFonts w:eastAsiaTheme="minorEastAsia"/>
          <w:szCs w:val="22"/>
          <w:lang w:eastAsia="cs-CZ"/>
        </w:rPr>
        <w:t>a F-plyny fyzickým a právnickým osobám zbytečně zdlouhavý a kom</w:t>
      </w:r>
      <w:r w:rsidR="00077333" w:rsidRPr="006519D0">
        <w:rPr>
          <w:rFonts w:eastAsiaTheme="minorEastAsia"/>
          <w:szCs w:val="22"/>
          <w:lang w:eastAsia="cs-CZ"/>
        </w:rPr>
        <w:t>p</w:t>
      </w:r>
      <w:r w:rsidRPr="006519D0">
        <w:rPr>
          <w:rFonts w:eastAsiaTheme="minorEastAsia"/>
          <w:szCs w:val="22"/>
          <w:lang w:eastAsia="cs-CZ"/>
        </w:rPr>
        <w:t>likovaný s nadbytečnou administrativní zátěží jak na straně žadatele o certifikaci, jenž úspěšně splnil</w:t>
      </w:r>
      <w:r w:rsidRPr="006519D0">
        <w:rPr>
          <w:rFonts w:eastAsiaTheme="minorEastAsia"/>
          <w:szCs w:val="22"/>
          <w:lang w:eastAsia="cs-CZ"/>
        </w:rPr>
        <w:t xml:space="preserve"> náležité teoretické a praktické zkoušky u hodnotícího subjektu, tak na straně MŽP jako certifikačního subjektu. </w:t>
      </w:r>
      <w:r w:rsidR="00077333" w:rsidRPr="006519D0">
        <w:rPr>
          <w:rFonts w:eastAsiaTheme="minorEastAsia"/>
          <w:szCs w:val="22"/>
          <w:lang w:eastAsia="cs-CZ"/>
        </w:rPr>
        <w:t>Vzhledem k tomu, že s</w:t>
      </w:r>
      <w:r w:rsidRPr="006519D0">
        <w:rPr>
          <w:rFonts w:eastAsiaTheme="minorEastAsia"/>
          <w:szCs w:val="22"/>
          <w:lang w:eastAsia="cs-CZ"/>
        </w:rPr>
        <w:t xml:space="preserve">amotná certifikace (po úspěšném absolvování zkoušky) nevyžaduje </w:t>
      </w:r>
      <w:r w:rsidR="00077333" w:rsidRPr="006519D0">
        <w:rPr>
          <w:rFonts w:eastAsiaTheme="minorEastAsia"/>
          <w:szCs w:val="22"/>
          <w:lang w:eastAsia="cs-CZ"/>
        </w:rPr>
        <w:t xml:space="preserve">ze strany MŽP </w:t>
      </w:r>
      <w:r w:rsidRPr="006519D0">
        <w:rPr>
          <w:rFonts w:eastAsiaTheme="minorEastAsia"/>
          <w:szCs w:val="22"/>
          <w:lang w:eastAsia="cs-CZ"/>
        </w:rPr>
        <w:t xml:space="preserve">žádné </w:t>
      </w:r>
      <w:r w:rsidR="00077333" w:rsidRPr="006519D0">
        <w:rPr>
          <w:rFonts w:eastAsiaTheme="minorEastAsia"/>
          <w:szCs w:val="22"/>
          <w:lang w:eastAsia="cs-CZ"/>
        </w:rPr>
        <w:t xml:space="preserve">další posuzování a </w:t>
      </w:r>
      <w:r w:rsidRPr="006519D0">
        <w:rPr>
          <w:rFonts w:eastAsiaTheme="minorEastAsia"/>
          <w:szCs w:val="22"/>
          <w:lang w:eastAsia="cs-CZ"/>
        </w:rPr>
        <w:t>ve chvíli, kdy žada</w:t>
      </w:r>
      <w:r w:rsidRPr="006519D0">
        <w:rPr>
          <w:rFonts w:eastAsiaTheme="minorEastAsia"/>
          <w:szCs w:val="22"/>
          <w:lang w:eastAsia="cs-CZ"/>
        </w:rPr>
        <w:t xml:space="preserve">tel doručí </w:t>
      </w:r>
      <w:r w:rsidR="00077333" w:rsidRPr="006519D0">
        <w:rPr>
          <w:rFonts w:eastAsiaTheme="minorEastAsia"/>
          <w:szCs w:val="22"/>
          <w:lang w:eastAsia="cs-CZ"/>
        </w:rPr>
        <w:t>vydané osvědčení o úspěšném absolvování certifikační zkoušky, který prokazuje odbornou způsobilost k výkonu relevantní certifikované činnosti</w:t>
      </w:r>
      <w:r w:rsidRPr="006519D0">
        <w:rPr>
          <w:rFonts w:eastAsiaTheme="minorEastAsia"/>
          <w:szCs w:val="22"/>
          <w:lang w:eastAsia="cs-CZ"/>
        </w:rPr>
        <w:t xml:space="preserve">, </w:t>
      </w:r>
      <w:r w:rsidR="00077333" w:rsidRPr="006519D0">
        <w:rPr>
          <w:rFonts w:eastAsiaTheme="minorEastAsia"/>
          <w:szCs w:val="22"/>
          <w:lang w:eastAsia="cs-CZ"/>
        </w:rPr>
        <w:t xml:space="preserve">je </w:t>
      </w:r>
      <w:r w:rsidRPr="006519D0">
        <w:rPr>
          <w:rFonts w:eastAsiaTheme="minorEastAsia"/>
          <w:szCs w:val="22"/>
          <w:lang w:eastAsia="cs-CZ"/>
        </w:rPr>
        <w:t>certifikát bez dalšího vydán</w:t>
      </w:r>
      <w:r w:rsidR="00077333" w:rsidRPr="006519D0">
        <w:rPr>
          <w:rFonts w:eastAsiaTheme="minorEastAsia"/>
          <w:szCs w:val="22"/>
          <w:lang w:eastAsia="cs-CZ"/>
        </w:rPr>
        <w:t xml:space="preserve">, ukazuje se, že správní řízení </w:t>
      </w:r>
      <w:r w:rsidR="00170F04" w:rsidRPr="006519D0">
        <w:rPr>
          <w:rFonts w:eastAsiaTheme="minorEastAsia"/>
          <w:szCs w:val="22"/>
          <w:lang w:eastAsia="cs-CZ"/>
        </w:rPr>
        <w:t xml:space="preserve">na MŽP </w:t>
      </w:r>
      <w:r w:rsidR="00077333" w:rsidRPr="006519D0">
        <w:rPr>
          <w:rFonts w:eastAsiaTheme="minorEastAsia"/>
          <w:szCs w:val="22"/>
          <w:lang w:eastAsia="cs-CZ"/>
        </w:rPr>
        <w:t>k vydání certifikátu je zbytečným krokem. Z toho důvodu je vhodné proces vydávání certifikátu zjednodušit za současného snížení administrativní zátěže obou stran.</w:t>
      </w:r>
    </w:p>
    <w:p w14:paraId="6B64506E" w14:textId="77777777" w:rsidR="00E71B32" w:rsidRPr="006519D0" w:rsidRDefault="009731B0" w:rsidP="008539D8">
      <w:pPr>
        <w:rPr>
          <w:rFonts w:eastAsiaTheme="minorEastAsia"/>
          <w:szCs w:val="22"/>
          <w:lang w:eastAsia="cs-CZ"/>
        </w:rPr>
      </w:pPr>
      <w:r w:rsidRPr="006519D0">
        <w:rPr>
          <w:rFonts w:eastAsiaTheme="minorEastAsia"/>
          <w:szCs w:val="22"/>
          <w:lang w:eastAsia="cs-CZ"/>
        </w:rPr>
        <w:t xml:space="preserve">Zároveň </w:t>
      </w:r>
      <w:r w:rsidR="00ED330D" w:rsidRPr="006519D0">
        <w:rPr>
          <w:rFonts w:eastAsiaTheme="minorEastAsia"/>
          <w:szCs w:val="22"/>
          <w:lang w:eastAsia="cs-CZ"/>
        </w:rPr>
        <w:t xml:space="preserve">je třeba sjednotit minimální požadavky </w:t>
      </w:r>
      <w:r w:rsidRPr="006519D0">
        <w:rPr>
          <w:rFonts w:eastAsiaTheme="minorEastAsia"/>
          <w:szCs w:val="22"/>
          <w:lang w:eastAsia="cs-CZ"/>
        </w:rPr>
        <w:t>pro teoretick</w:t>
      </w:r>
      <w:r w:rsidR="001F1A51" w:rsidRPr="006519D0">
        <w:rPr>
          <w:rFonts w:eastAsiaTheme="minorEastAsia"/>
          <w:szCs w:val="22"/>
          <w:lang w:eastAsia="cs-CZ"/>
        </w:rPr>
        <w:t>é</w:t>
      </w:r>
      <w:r w:rsidRPr="006519D0">
        <w:rPr>
          <w:rFonts w:eastAsiaTheme="minorEastAsia"/>
          <w:szCs w:val="22"/>
          <w:lang w:eastAsia="cs-CZ"/>
        </w:rPr>
        <w:t xml:space="preserve"> a praktick</w:t>
      </w:r>
      <w:r w:rsidR="001F1A51" w:rsidRPr="006519D0">
        <w:rPr>
          <w:rFonts w:eastAsiaTheme="minorEastAsia"/>
          <w:szCs w:val="22"/>
          <w:lang w:eastAsia="cs-CZ"/>
        </w:rPr>
        <w:t>é</w:t>
      </w:r>
      <w:r w:rsidRPr="006519D0">
        <w:rPr>
          <w:rFonts w:eastAsiaTheme="minorEastAsia"/>
          <w:szCs w:val="22"/>
          <w:lang w:eastAsia="cs-CZ"/>
        </w:rPr>
        <w:t xml:space="preserve"> zkoušk</w:t>
      </w:r>
      <w:r w:rsidR="001F1A51" w:rsidRPr="006519D0">
        <w:rPr>
          <w:rFonts w:eastAsiaTheme="minorEastAsia"/>
          <w:szCs w:val="22"/>
          <w:lang w:eastAsia="cs-CZ"/>
        </w:rPr>
        <w:t>y</w:t>
      </w:r>
      <w:r w:rsidRPr="006519D0">
        <w:rPr>
          <w:rFonts w:eastAsiaTheme="minorEastAsia"/>
          <w:szCs w:val="22"/>
          <w:lang w:eastAsia="cs-CZ"/>
        </w:rPr>
        <w:t xml:space="preserve"> </w:t>
      </w:r>
      <w:r w:rsidR="00ED330D" w:rsidRPr="006519D0">
        <w:rPr>
          <w:rFonts w:eastAsiaTheme="minorEastAsia"/>
          <w:szCs w:val="22"/>
          <w:lang w:eastAsia="cs-CZ"/>
        </w:rPr>
        <w:t>v zájmu</w:t>
      </w:r>
      <w:r w:rsidRPr="006519D0">
        <w:rPr>
          <w:rFonts w:eastAsiaTheme="minorEastAsia"/>
          <w:szCs w:val="22"/>
          <w:lang w:eastAsia="cs-CZ"/>
        </w:rPr>
        <w:t xml:space="preserve"> zajištěn</w:t>
      </w:r>
      <w:r w:rsidR="00ED330D" w:rsidRPr="006519D0">
        <w:rPr>
          <w:rFonts w:eastAsiaTheme="minorEastAsia"/>
          <w:szCs w:val="22"/>
          <w:lang w:eastAsia="cs-CZ"/>
        </w:rPr>
        <w:t>í</w:t>
      </w:r>
      <w:r w:rsidRPr="006519D0">
        <w:rPr>
          <w:rFonts w:eastAsiaTheme="minorEastAsia"/>
          <w:szCs w:val="22"/>
          <w:lang w:eastAsia="cs-CZ"/>
        </w:rPr>
        <w:t xml:space="preserve"> rovnost</w:t>
      </w:r>
      <w:r w:rsidR="00F153FE" w:rsidRPr="006519D0">
        <w:rPr>
          <w:rFonts w:eastAsiaTheme="minorEastAsia"/>
          <w:szCs w:val="22"/>
          <w:lang w:eastAsia="cs-CZ"/>
        </w:rPr>
        <w:t>i</w:t>
      </w:r>
      <w:r w:rsidRPr="006519D0">
        <w:rPr>
          <w:rFonts w:eastAsiaTheme="minorEastAsia"/>
          <w:szCs w:val="22"/>
          <w:lang w:eastAsia="cs-CZ"/>
        </w:rPr>
        <w:t xml:space="preserve"> podmínek pro úspěšné složení zkoušky u různých hodnotících subjektů.</w:t>
      </w:r>
    </w:p>
    <w:p w14:paraId="026E7863" w14:textId="77777777" w:rsidR="00BD1744" w:rsidRPr="006519D0" w:rsidRDefault="00BD1744" w:rsidP="008539D8">
      <w:pPr>
        <w:rPr>
          <w:rFonts w:eastAsiaTheme="minorEastAsia"/>
          <w:szCs w:val="22"/>
          <w:lang w:eastAsia="cs-CZ"/>
        </w:rPr>
      </w:pPr>
    </w:p>
    <w:p w14:paraId="630D1B25" w14:textId="77777777" w:rsidR="008539D8" w:rsidRPr="006519D0" w:rsidRDefault="009731B0" w:rsidP="008539D8">
      <w:pPr>
        <w:pStyle w:val="Nadpis3"/>
      </w:pPr>
      <w:r w:rsidRPr="006519D0">
        <w:t>Popis existujícího právního stavu v dané oblasti</w:t>
      </w:r>
    </w:p>
    <w:p w14:paraId="08D74898" w14:textId="77777777" w:rsidR="000202D3" w:rsidRPr="006519D0" w:rsidRDefault="009731B0" w:rsidP="000202D3">
      <w:pPr>
        <w:rPr>
          <w:rFonts w:eastAsiaTheme="minorEastAsia"/>
          <w:szCs w:val="22"/>
          <w:lang w:eastAsia="cs-CZ"/>
        </w:rPr>
      </w:pPr>
      <w:r w:rsidRPr="006519D0">
        <w:rPr>
          <w:rFonts w:eastAsiaTheme="minorEastAsia"/>
          <w:szCs w:val="22"/>
          <w:lang w:eastAsia="cs-CZ"/>
        </w:rPr>
        <w:t>Právními p</w:t>
      </w:r>
      <w:r w:rsidR="00FF7F15" w:rsidRPr="006519D0">
        <w:rPr>
          <w:rFonts w:eastAsiaTheme="minorEastAsia"/>
          <w:szCs w:val="22"/>
          <w:lang w:eastAsia="cs-CZ"/>
        </w:rPr>
        <w:t>ředpis</w:t>
      </w:r>
      <w:r w:rsidRPr="006519D0">
        <w:rPr>
          <w:rFonts w:eastAsiaTheme="minorEastAsia"/>
          <w:szCs w:val="22"/>
          <w:lang w:eastAsia="cs-CZ"/>
        </w:rPr>
        <w:t>y</w:t>
      </w:r>
      <w:r w:rsidR="00FF7F15" w:rsidRPr="006519D0">
        <w:rPr>
          <w:rFonts w:eastAsiaTheme="minorEastAsia"/>
          <w:szCs w:val="22"/>
          <w:lang w:eastAsia="cs-CZ"/>
        </w:rPr>
        <w:t xml:space="preserve"> Evropské unie není </w:t>
      </w:r>
      <w:r w:rsidRPr="006519D0">
        <w:rPr>
          <w:rFonts w:eastAsiaTheme="minorEastAsia"/>
          <w:szCs w:val="22"/>
          <w:lang w:eastAsia="cs-CZ"/>
        </w:rPr>
        <w:t xml:space="preserve">konkrétně </w:t>
      </w:r>
      <w:r w:rsidR="00FF7F15" w:rsidRPr="006519D0">
        <w:rPr>
          <w:rFonts w:eastAsiaTheme="minorEastAsia"/>
          <w:szCs w:val="22"/>
          <w:lang w:eastAsia="cs-CZ"/>
        </w:rPr>
        <w:t xml:space="preserve">definován subjekt vydávající </w:t>
      </w:r>
      <w:r w:rsidRPr="006519D0">
        <w:rPr>
          <w:rFonts w:eastAsiaTheme="minorEastAsia"/>
          <w:szCs w:val="22"/>
          <w:lang w:eastAsia="cs-CZ"/>
        </w:rPr>
        <w:t xml:space="preserve">certifikáty </w:t>
      </w:r>
      <w:r w:rsidR="00170F04" w:rsidRPr="006519D0">
        <w:t>podle § 10 odst. 1 a 2 zákona č. 73/2012 Sb.</w:t>
      </w:r>
      <w:r w:rsidR="00DC03CA" w:rsidRPr="006519D0">
        <w:t xml:space="preserve"> o látkách, které poškozují ozonovou vrstvu, a</w:t>
      </w:r>
      <w:r w:rsidR="009C22CB" w:rsidRPr="006519D0">
        <w:t> </w:t>
      </w:r>
      <w:r w:rsidR="00DC03CA" w:rsidRPr="006519D0">
        <w:t>o</w:t>
      </w:r>
      <w:r w:rsidR="009C22CB" w:rsidRPr="006519D0">
        <w:t> </w:t>
      </w:r>
      <w:r w:rsidR="00DC03CA" w:rsidRPr="006519D0">
        <w:t>fluorovaných skleníkových plynech</w:t>
      </w:r>
      <w:r w:rsidR="00B44D0F" w:rsidRPr="006519D0">
        <w:t>, v platném znění,</w:t>
      </w:r>
      <w:r w:rsidR="00170F04" w:rsidRPr="006519D0">
        <w:t xml:space="preserve"> a podle jednotlivých prováděcích nařízení (nařízení Komise </w:t>
      </w:r>
      <w:r w:rsidR="002A4E23" w:rsidRPr="006519D0">
        <w:t xml:space="preserve">(EU) </w:t>
      </w:r>
      <w:r w:rsidR="00170F04" w:rsidRPr="006519D0">
        <w:t xml:space="preserve">2015/2066, nařízení Komise </w:t>
      </w:r>
      <w:r w:rsidR="002A4E23" w:rsidRPr="006519D0">
        <w:t xml:space="preserve">(EU) </w:t>
      </w:r>
      <w:r w:rsidR="00170F04" w:rsidRPr="006519D0">
        <w:t xml:space="preserve">2015/2067 a nařízení Komise </w:t>
      </w:r>
      <w:r w:rsidR="002A4E23" w:rsidRPr="006519D0">
        <w:t xml:space="preserve">(ES) č. </w:t>
      </w:r>
      <w:r w:rsidR="00170F04" w:rsidRPr="006519D0">
        <w:t>304/308</w:t>
      </w:r>
      <w:r w:rsidR="005462EC" w:rsidRPr="006519D0">
        <w:t>)</w:t>
      </w:r>
      <w:r w:rsidR="00170F04" w:rsidRPr="006519D0">
        <w:t xml:space="preserve"> </w:t>
      </w:r>
      <w:r w:rsidR="00FF7F15" w:rsidRPr="006519D0">
        <w:rPr>
          <w:rFonts w:eastAsiaTheme="minorEastAsia"/>
          <w:szCs w:val="22"/>
          <w:lang w:eastAsia="cs-CZ"/>
        </w:rPr>
        <w:t>a je tedy na</w:t>
      </w:r>
      <w:r w:rsidRPr="006519D0">
        <w:rPr>
          <w:rFonts w:eastAsiaTheme="minorEastAsia"/>
          <w:szCs w:val="22"/>
          <w:lang w:eastAsia="cs-CZ"/>
        </w:rPr>
        <w:t> </w:t>
      </w:r>
      <w:r w:rsidR="00FF7F15" w:rsidRPr="006519D0">
        <w:rPr>
          <w:rFonts w:eastAsiaTheme="minorEastAsia"/>
          <w:szCs w:val="22"/>
          <w:lang w:eastAsia="cs-CZ"/>
        </w:rPr>
        <w:t>členském státu, jak</w:t>
      </w:r>
      <w:r w:rsidRPr="006519D0">
        <w:rPr>
          <w:rFonts w:eastAsiaTheme="minorEastAsia"/>
          <w:szCs w:val="22"/>
          <w:lang w:eastAsia="cs-CZ"/>
        </w:rPr>
        <w:t>ým způsobem</w:t>
      </w:r>
      <w:r w:rsidR="00FF7F15" w:rsidRPr="006519D0">
        <w:rPr>
          <w:rFonts w:eastAsiaTheme="minorEastAsia"/>
          <w:szCs w:val="22"/>
          <w:lang w:eastAsia="cs-CZ"/>
        </w:rPr>
        <w:t xml:space="preserve"> proces</w:t>
      </w:r>
      <w:r w:rsidRPr="006519D0">
        <w:rPr>
          <w:rFonts w:eastAsiaTheme="minorEastAsia"/>
          <w:szCs w:val="22"/>
          <w:lang w:eastAsia="cs-CZ"/>
        </w:rPr>
        <w:t xml:space="preserve"> certifikace ve</w:t>
      </w:r>
      <w:r w:rsidR="004A081A" w:rsidRPr="006519D0">
        <w:rPr>
          <w:rFonts w:eastAsiaTheme="minorEastAsia"/>
          <w:szCs w:val="22"/>
          <w:lang w:eastAsia="cs-CZ"/>
        </w:rPr>
        <w:t> </w:t>
      </w:r>
      <w:r w:rsidRPr="006519D0">
        <w:rPr>
          <w:rFonts w:eastAsiaTheme="minorEastAsia"/>
          <w:szCs w:val="22"/>
          <w:lang w:eastAsia="cs-CZ"/>
        </w:rPr>
        <w:t>vnitrostátní legislativě</w:t>
      </w:r>
      <w:r w:rsidR="00FF7F15" w:rsidRPr="006519D0">
        <w:rPr>
          <w:rFonts w:eastAsiaTheme="minorEastAsia"/>
          <w:szCs w:val="22"/>
          <w:lang w:eastAsia="cs-CZ"/>
        </w:rPr>
        <w:t xml:space="preserve"> nastaví.</w:t>
      </w:r>
      <w:r w:rsidR="003F26DF" w:rsidRPr="006519D0">
        <w:rPr>
          <w:rFonts w:eastAsiaTheme="minorEastAsia"/>
          <w:szCs w:val="22"/>
          <w:lang w:eastAsia="cs-CZ"/>
        </w:rPr>
        <w:t xml:space="preserve"> </w:t>
      </w:r>
      <w:r w:rsidRPr="006519D0">
        <w:rPr>
          <w:rFonts w:eastAsiaTheme="minorEastAsia"/>
          <w:szCs w:val="22"/>
          <w:lang w:eastAsia="cs-CZ"/>
        </w:rPr>
        <w:t>Za</w:t>
      </w:r>
      <w:r w:rsidR="00170F04" w:rsidRPr="006519D0">
        <w:rPr>
          <w:rFonts w:eastAsiaTheme="minorEastAsia"/>
          <w:szCs w:val="22"/>
          <w:lang w:eastAsia="cs-CZ"/>
        </w:rPr>
        <w:t> </w:t>
      </w:r>
      <w:r w:rsidRPr="006519D0">
        <w:rPr>
          <w:rFonts w:eastAsiaTheme="minorEastAsia"/>
          <w:szCs w:val="22"/>
          <w:lang w:eastAsia="cs-CZ"/>
        </w:rPr>
        <w:t xml:space="preserve">účelem zjednodušení a </w:t>
      </w:r>
      <w:r w:rsidR="009F09E0" w:rsidRPr="006519D0">
        <w:rPr>
          <w:rFonts w:eastAsiaTheme="minorEastAsia"/>
          <w:szCs w:val="22"/>
          <w:lang w:eastAsia="cs-CZ"/>
        </w:rPr>
        <w:t xml:space="preserve">zefektivnění </w:t>
      </w:r>
      <w:r w:rsidR="00E56F14" w:rsidRPr="006519D0">
        <w:rPr>
          <w:rFonts w:eastAsiaTheme="minorEastAsia"/>
          <w:szCs w:val="22"/>
          <w:lang w:eastAsia="cs-CZ"/>
        </w:rPr>
        <w:t xml:space="preserve">procesu certifikace </w:t>
      </w:r>
      <w:r w:rsidRPr="006519D0">
        <w:rPr>
          <w:rFonts w:eastAsiaTheme="minorEastAsia"/>
          <w:szCs w:val="22"/>
          <w:lang w:eastAsia="cs-CZ"/>
        </w:rPr>
        <w:t xml:space="preserve">mohou být hodnotící subjekty zároveň pověřeny výkonem činnosti certifikačního subjektu </w:t>
      </w:r>
      <w:r w:rsidR="009F09E0" w:rsidRPr="006519D0">
        <w:rPr>
          <w:rFonts w:eastAsiaTheme="minorEastAsia"/>
          <w:szCs w:val="22"/>
          <w:lang w:eastAsia="cs-CZ"/>
        </w:rPr>
        <w:t>na</w:t>
      </w:r>
      <w:r w:rsidR="004A081A" w:rsidRPr="006519D0">
        <w:rPr>
          <w:rFonts w:eastAsiaTheme="minorEastAsia"/>
          <w:szCs w:val="22"/>
          <w:lang w:eastAsia="cs-CZ"/>
        </w:rPr>
        <w:t> </w:t>
      </w:r>
      <w:r w:rsidR="009F09E0" w:rsidRPr="006519D0">
        <w:rPr>
          <w:rFonts w:eastAsiaTheme="minorEastAsia"/>
          <w:szCs w:val="22"/>
          <w:lang w:eastAsia="cs-CZ"/>
        </w:rPr>
        <w:t xml:space="preserve">základě </w:t>
      </w:r>
      <w:r w:rsidRPr="006519D0">
        <w:rPr>
          <w:rFonts w:eastAsiaTheme="minorEastAsia"/>
          <w:szCs w:val="22"/>
          <w:lang w:eastAsia="cs-CZ"/>
        </w:rPr>
        <w:t xml:space="preserve">čl. 4 nařízení </w:t>
      </w:r>
      <w:r w:rsidRPr="006519D0">
        <w:rPr>
          <w:rFonts w:eastAsiaTheme="minorEastAsia"/>
          <w:szCs w:val="22"/>
          <w:lang w:eastAsia="cs-CZ"/>
        </w:rPr>
        <w:t>Komise (EU) č. 2015/2067 a čl. 10 nařízení Komise 304/2008, čl. 4 nařízení (EU) č. 2015/2066 a čl. 4 nařízení (ES) č. 306/2008.</w:t>
      </w:r>
      <w:r w:rsidR="00712CB1" w:rsidRPr="006519D0">
        <w:rPr>
          <w:rFonts w:eastAsiaTheme="minorEastAsia"/>
          <w:szCs w:val="22"/>
          <w:lang w:eastAsia="cs-CZ"/>
        </w:rPr>
        <w:t xml:space="preserve"> Tyto předpisy nestanovují členským státům konkrétní způsob, jak a koho pověřit výkonem činnosti hodnotícího </w:t>
      </w:r>
      <w:r w:rsidR="00712CB1" w:rsidRPr="006519D0">
        <w:rPr>
          <w:rFonts w:eastAsiaTheme="minorEastAsia"/>
          <w:szCs w:val="22"/>
          <w:lang w:eastAsia="cs-CZ"/>
        </w:rPr>
        <w:br/>
        <w:t>a certifikačního subjektu a praxe se napříč členskými státy liší. Existují např. členské státy, jejichž úprava odpovídá dosavadní úpravě v ČR (Velká Británie), ale existují i státy, jejichž kompetenční řešení této problematiky odpovídá tomu, co je navrhováno. Tedy delegace činností obou subjektů do soukromé sféry, včetně profesních asociací (Slovensko, Lotyšsko aj.).</w:t>
      </w:r>
    </w:p>
    <w:p w14:paraId="460893C9" w14:textId="77777777" w:rsidR="00E636CE" w:rsidRPr="006519D0" w:rsidRDefault="009731B0" w:rsidP="008539D8">
      <w:pPr>
        <w:rPr>
          <w:rFonts w:eastAsiaTheme="minorEastAsia"/>
          <w:szCs w:val="22"/>
          <w:lang w:eastAsia="cs-CZ"/>
        </w:rPr>
      </w:pPr>
      <w:r w:rsidRPr="006519D0">
        <w:rPr>
          <w:rFonts w:eastAsiaTheme="minorEastAsia"/>
          <w:szCs w:val="22"/>
          <w:lang w:eastAsia="cs-CZ"/>
        </w:rPr>
        <w:t xml:space="preserve">Při současném </w:t>
      </w:r>
      <w:r w:rsidR="009F09E0" w:rsidRPr="006519D0">
        <w:rPr>
          <w:rFonts w:eastAsiaTheme="minorEastAsia"/>
          <w:szCs w:val="22"/>
          <w:lang w:eastAsia="cs-CZ"/>
        </w:rPr>
        <w:t xml:space="preserve">legislativním </w:t>
      </w:r>
      <w:r w:rsidRPr="006519D0">
        <w:rPr>
          <w:rFonts w:eastAsiaTheme="minorEastAsia"/>
          <w:szCs w:val="22"/>
          <w:lang w:eastAsia="cs-CZ"/>
        </w:rPr>
        <w:t xml:space="preserve">nastavení </w:t>
      </w:r>
      <w:r w:rsidR="009F09E0" w:rsidRPr="006519D0">
        <w:rPr>
          <w:rFonts w:eastAsiaTheme="minorEastAsia"/>
          <w:szCs w:val="22"/>
          <w:lang w:eastAsia="cs-CZ"/>
        </w:rPr>
        <w:t xml:space="preserve">žadatel </w:t>
      </w:r>
      <w:r w:rsidRPr="006519D0">
        <w:rPr>
          <w:rFonts w:eastAsiaTheme="minorEastAsia"/>
          <w:szCs w:val="22"/>
          <w:lang w:eastAsia="cs-CZ"/>
        </w:rPr>
        <w:t xml:space="preserve">po úspěšném absolvování zkoušky </w:t>
      </w:r>
      <w:r w:rsidR="000202D3" w:rsidRPr="006519D0">
        <w:rPr>
          <w:rFonts w:eastAsiaTheme="minorEastAsia"/>
          <w:szCs w:val="22"/>
          <w:lang w:eastAsia="cs-CZ"/>
        </w:rPr>
        <w:t>zasílá</w:t>
      </w:r>
      <w:r w:rsidRPr="006519D0">
        <w:rPr>
          <w:rFonts w:eastAsiaTheme="minorEastAsia"/>
          <w:szCs w:val="22"/>
          <w:lang w:eastAsia="cs-CZ"/>
        </w:rPr>
        <w:t xml:space="preserve"> na</w:t>
      </w:r>
      <w:r w:rsidR="00170F04" w:rsidRPr="006519D0">
        <w:rPr>
          <w:rFonts w:eastAsiaTheme="minorEastAsia"/>
          <w:szCs w:val="22"/>
          <w:lang w:eastAsia="cs-CZ"/>
        </w:rPr>
        <w:t> </w:t>
      </w:r>
      <w:r w:rsidRPr="006519D0">
        <w:rPr>
          <w:rFonts w:eastAsiaTheme="minorEastAsia"/>
          <w:szCs w:val="22"/>
          <w:lang w:eastAsia="cs-CZ"/>
        </w:rPr>
        <w:t xml:space="preserve">MŽP podklady pro vystavení certifikátu. </w:t>
      </w:r>
      <w:r w:rsidR="000202D3" w:rsidRPr="006519D0">
        <w:rPr>
          <w:rFonts w:eastAsiaTheme="minorEastAsia"/>
          <w:szCs w:val="22"/>
          <w:lang w:eastAsia="cs-CZ"/>
        </w:rPr>
        <w:t xml:space="preserve">MŽP </w:t>
      </w:r>
      <w:r w:rsidR="005D454A" w:rsidRPr="006519D0">
        <w:rPr>
          <w:rFonts w:eastAsiaTheme="minorEastAsia"/>
          <w:szCs w:val="22"/>
          <w:lang w:eastAsia="cs-CZ"/>
        </w:rPr>
        <w:t xml:space="preserve">na základě (kompletních) poskytnutých podkladů </w:t>
      </w:r>
      <w:r w:rsidR="000202D3" w:rsidRPr="006519D0">
        <w:rPr>
          <w:rFonts w:eastAsiaTheme="minorEastAsia"/>
          <w:szCs w:val="22"/>
          <w:lang w:eastAsia="cs-CZ"/>
        </w:rPr>
        <w:t xml:space="preserve">vydá certifikát </w:t>
      </w:r>
      <w:r w:rsidR="009F09E0" w:rsidRPr="006519D0">
        <w:rPr>
          <w:rFonts w:eastAsiaTheme="minorEastAsia"/>
          <w:szCs w:val="22"/>
          <w:lang w:eastAsia="cs-CZ"/>
        </w:rPr>
        <w:t xml:space="preserve">ve lhůtě bez zbytečného odkladu, resp. do </w:t>
      </w:r>
      <w:r w:rsidRPr="006519D0">
        <w:rPr>
          <w:rFonts w:eastAsiaTheme="minorEastAsia"/>
          <w:szCs w:val="22"/>
          <w:lang w:eastAsia="cs-CZ"/>
        </w:rPr>
        <w:t xml:space="preserve">30 </w:t>
      </w:r>
      <w:r w:rsidR="009F09E0" w:rsidRPr="006519D0">
        <w:rPr>
          <w:rFonts w:eastAsiaTheme="minorEastAsia"/>
          <w:szCs w:val="22"/>
          <w:lang w:eastAsia="cs-CZ"/>
        </w:rPr>
        <w:t>dní, dle zákona č.</w:t>
      </w:r>
      <w:r w:rsidR="00170F04" w:rsidRPr="006519D0">
        <w:rPr>
          <w:rFonts w:eastAsiaTheme="minorEastAsia"/>
          <w:szCs w:val="22"/>
          <w:lang w:eastAsia="cs-CZ"/>
        </w:rPr>
        <w:t> </w:t>
      </w:r>
      <w:r w:rsidR="009F09E0" w:rsidRPr="006519D0">
        <w:rPr>
          <w:rFonts w:eastAsiaTheme="minorEastAsia"/>
          <w:szCs w:val="22"/>
          <w:lang w:eastAsia="cs-CZ"/>
        </w:rPr>
        <w:t>500/2004 Sb., správní řád, ve znění pozdějších předpisů (dále jen „správní řád“)</w:t>
      </w:r>
      <w:r w:rsidR="000202D3" w:rsidRPr="006519D0">
        <w:rPr>
          <w:rFonts w:eastAsiaTheme="minorEastAsia"/>
          <w:szCs w:val="22"/>
          <w:lang w:eastAsia="cs-CZ"/>
        </w:rPr>
        <w:t>,</w:t>
      </w:r>
      <w:r w:rsidRPr="006519D0">
        <w:rPr>
          <w:rFonts w:eastAsiaTheme="minorEastAsia"/>
          <w:szCs w:val="22"/>
          <w:lang w:eastAsia="cs-CZ"/>
        </w:rPr>
        <w:t xml:space="preserve"> </w:t>
      </w:r>
      <w:r w:rsidR="00705BD3" w:rsidRPr="006519D0">
        <w:rPr>
          <w:rFonts w:eastAsiaTheme="minorEastAsia"/>
          <w:szCs w:val="22"/>
          <w:lang w:eastAsia="cs-CZ"/>
        </w:rPr>
        <w:t xml:space="preserve">po které ještě musí pro nabytí právní moci rozhodnutí o vydání certifikátu marně uplynout odvolací lhůta, která činí 15 dnů ode dne oznámení rozhodnutí, případně </w:t>
      </w:r>
      <w:r w:rsidR="004E0E3B" w:rsidRPr="006519D0">
        <w:rPr>
          <w:rFonts w:eastAsiaTheme="minorEastAsia"/>
          <w:szCs w:val="22"/>
          <w:lang w:eastAsia="cs-CZ"/>
        </w:rPr>
        <w:t>se účastník řízení musí práva podat odvolání vzdát</w:t>
      </w:r>
      <w:r w:rsidRPr="006519D0">
        <w:rPr>
          <w:rFonts w:eastAsiaTheme="minorEastAsia"/>
          <w:szCs w:val="22"/>
          <w:lang w:eastAsia="cs-CZ"/>
        </w:rPr>
        <w:t xml:space="preserve">. </w:t>
      </w:r>
      <w:r w:rsidR="00C251ED" w:rsidRPr="006519D0">
        <w:rPr>
          <w:rFonts w:eastAsiaTheme="minorEastAsia"/>
          <w:szCs w:val="22"/>
          <w:lang w:eastAsia="cs-CZ"/>
        </w:rPr>
        <w:t xml:space="preserve">MŽP vydá certifikát na základě poskytnutých podkladů bez dalšího posuzování, neboť stěžejním podkladem pro vydání certifikátu je </w:t>
      </w:r>
      <w:r w:rsidR="00716BBC" w:rsidRPr="006519D0">
        <w:rPr>
          <w:rFonts w:eastAsiaTheme="minorEastAsia"/>
          <w:szCs w:val="22"/>
          <w:lang w:eastAsia="cs-CZ"/>
        </w:rPr>
        <w:t xml:space="preserve">hodnotícím subjektem vydané </w:t>
      </w:r>
      <w:r w:rsidR="00C251ED" w:rsidRPr="006519D0">
        <w:rPr>
          <w:rFonts w:eastAsiaTheme="minorEastAsia"/>
          <w:szCs w:val="22"/>
          <w:lang w:eastAsia="cs-CZ"/>
        </w:rPr>
        <w:t>osvědčení o úspěšném absolvování certifikační zkoušky, který prokazuje odbornou způsobilost k výkonu relevantní certifikované činnosti</w:t>
      </w:r>
      <w:r w:rsidR="00326B2E" w:rsidRPr="006519D0">
        <w:rPr>
          <w:rFonts w:eastAsiaTheme="minorEastAsia"/>
          <w:szCs w:val="22"/>
          <w:lang w:eastAsia="cs-CZ"/>
        </w:rPr>
        <w:t>.</w:t>
      </w:r>
    </w:p>
    <w:p w14:paraId="521A5212" w14:textId="77777777" w:rsidR="008539D8" w:rsidRPr="006519D0" w:rsidRDefault="009731B0" w:rsidP="008539D8">
      <w:pPr>
        <w:pStyle w:val="Nadpis3"/>
      </w:pPr>
      <w:r w:rsidRPr="006519D0">
        <w:lastRenderedPageBreak/>
        <w:t>Identifikace dotčených subjektů</w:t>
      </w:r>
    </w:p>
    <w:p w14:paraId="56CB6463" w14:textId="77777777" w:rsidR="008539D8" w:rsidRPr="006519D0" w:rsidRDefault="009731B0" w:rsidP="00BD1744">
      <w:pPr>
        <w:pStyle w:val="Odstavecseseznamem"/>
        <w:numPr>
          <w:ilvl w:val="0"/>
          <w:numId w:val="21"/>
        </w:numPr>
        <w:ind w:left="714" w:hanging="357"/>
      </w:pPr>
      <w:r w:rsidRPr="006519D0">
        <w:t>Ministerstvo životního prostředí</w:t>
      </w:r>
      <w:r w:rsidR="0096298A" w:rsidRPr="006519D0">
        <w:t xml:space="preserve"> (MŽP)</w:t>
      </w:r>
      <w:r w:rsidRPr="006519D0">
        <w:t>,</w:t>
      </w:r>
    </w:p>
    <w:p w14:paraId="53D720BA" w14:textId="77777777" w:rsidR="008539D8" w:rsidRPr="006519D0" w:rsidRDefault="009731B0" w:rsidP="00BD1744">
      <w:pPr>
        <w:pStyle w:val="Odstavecseseznamem"/>
        <w:numPr>
          <w:ilvl w:val="0"/>
          <w:numId w:val="21"/>
        </w:numPr>
        <w:ind w:left="714" w:hanging="357"/>
      </w:pPr>
      <w:r w:rsidRPr="006519D0">
        <w:t>hodnotící subjekty,</w:t>
      </w:r>
    </w:p>
    <w:p w14:paraId="7F0F5596" w14:textId="77777777" w:rsidR="008F26D5" w:rsidRPr="006519D0" w:rsidRDefault="009731B0" w:rsidP="00BD1744">
      <w:pPr>
        <w:pStyle w:val="Odstavecseseznamem"/>
        <w:numPr>
          <w:ilvl w:val="0"/>
          <w:numId w:val="21"/>
        </w:numPr>
        <w:ind w:left="714" w:hanging="357"/>
      </w:pPr>
      <w:r w:rsidRPr="006519D0">
        <w:t>žadatelé o vydání certifikátu,</w:t>
      </w:r>
    </w:p>
    <w:p w14:paraId="0A53496A" w14:textId="77777777" w:rsidR="00170F04" w:rsidRPr="006519D0" w:rsidRDefault="009731B0" w:rsidP="00BD1744">
      <w:pPr>
        <w:pStyle w:val="Odstavecseseznamem"/>
        <w:numPr>
          <w:ilvl w:val="0"/>
          <w:numId w:val="21"/>
        </w:numPr>
        <w:ind w:left="714" w:hanging="357"/>
      </w:pPr>
      <w:r w:rsidRPr="006519D0">
        <w:t>Česká inspekce životního prostředí</w:t>
      </w:r>
      <w:r w:rsidR="00C367FF" w:rsidRPr="006519D0">
        <w:t xml:space="preserve"> (</w:t>
      </w:r>
      <w:r w:rsidR="004040C6" w:rsidRPr="006519D0">
        <w:t>ČIŽP</w:t>
      </w:r>
      <w:r w:rsidR="00C367FF" w:rsidRPr="006519D0">
        <w:t>).</w:t>
      </w:r>
    </w:p>
    <w:p w14:paraId="38342CF8" w14:textId="77777777" w:rsidR="001856C3" w:rsidRPr="006519D0" w:rsidRDefault="001856C3" w:rsidP="001856C3"/>
    <w:p w14:paraId="44ADE82E" w14:textId="77777777" w:rsidR="008539D8" w:rsidRPr="006519D0" w:rsidRDefault="009731B0" w:rsidP="008539D8">
      <w:pPr>
        <w:pStyle w:val="Nadpis3"/>
      </w:pPr>
      <w:r w:rsidRPr="006519D0">
        <w:t>Popis cílového stavu</w:t>
      </w:r>
    </w:p>
    <w:p w14:paraId="5EB10E7E" w14:textId="77777777" w:rsidR="00170F04" w:rsidRPr="006519D0" w:rsidRDefault="009731B0" w:rsidP="0096298A">
      <w:pPr>
        <w:rPr>
          <w:rFonts w:eastAsiaTheme="minorEastAsia"/>
          <w:szCs w:val="22"/>
          <w:lang w:eastAsia="cs-CZ"/>
        </w:rPr>
      </w:pPr>
      <w:r w:rsidRPr="006519D0">
        <w:t>Zjednodušit, zrychlit a celkově</w:t>
      </w:r>
      <w:r w:rsidRPr="006519D0">
        <w:t xml:space="preserve"> zefektivnit celý systém </w:t>
      </w:r>
      <w:r w:rsidR="0037240C" w:rsidRPr="006519D0">
        <w:rPr>
          <w:rFonts w:eastAsiaTheme="minorEastAsia"/>
          <w:szCs w:val="22"/>
          <w:lang w:eastAsia="cs-CZ"/>
        </w:rPr>
        <w:t xml:space="preserve">vydávání </w:t>
      </w:r>
      <w:r w:rsidRPr="006519D0">
        <w:rPr>
          <w:rFonts w:eastAsiaTheme="minorEastAsia"/>
          <w:szCs w:val="22"/>
          <w:lang w:eastAsia="cs-CZ"/>
        </w:rPr>
        <w:t>certifikát</w:t>
      </w:r>
      <w:r w:rsidR="0037240C" w:rsidRPr="006519D0">
        <w:rPr>
          <w:rFonts w:eastAsiaTheme="minorEastAsia"/>
          <w:szCs w:val="22"/>
          <w:lang w:eastAsia="cs-CZ"/>
        </w:rPr>
        <w:t>ů pro nakládání s regulovanými látkami a fluorovanými skleníkovými plyny</w:t>
      </w:r>
      <w:r w:rsidR="004D68FF" w:rsidRPr="006519D0">
        <w:rPr>
          <w:rFonts w:eastAsiaTheme="minorEastAsia"/>
          <w:szCs w:val="22"/>
          <w:lang w:eastAsia="cs-CZ"/>
        </w:rPr>
        <w:t>,</w:t>
      </w:r>
      <w:r w:rsidR="00E71B32" w:rsidRPr="006519D0">
        <w:rPr>
          <w:rFonts w:eastAsiaTheme="minorEastAsia"/>
          <w:szCs w:val="22"/>
          <w:lang w:eastAsia="cs-CZ"/>
        </w:rPr>
        <w:t xml:space="preserve"> a zároveň zajistit rovné podmínky při zkoušce</w:t>
      </w:r>
      <w:r w:rsidR="0037240C" w:rsidRPr="006519D0">
        <w:rPr>
          <w:rFonts w:eastAsiaTheme="minorEastAsia"/>
          <w:szCs w:val="22"/>
          <w:lang w:eastAsia="cs-CZ"/>
        </w:rPr>
        <w:t>.</w:t>
      </w:r>
    </w:p>
    <w:p w14:paraId="4985D330" w14:textId="77777777" w:rsidR="000202D3" w:rsidRPr="006519D0" w:rsidRDefault="000202D3" w:rsidP="0096298A"/>
    <w:p w14:paraId="2E03A2FE" w14:textId="77777777" w:rsidR="008539D8" w:rsidRPr="006519D0" w:rsidRDefault="009731B0" w:rsidP="008539D8">
      <w:pPr>
        <w:pStyle w:val="Nadpis3"/>
      </w:pPr>
      <w:r w:rsidRPr="006519D0">
        <w:t>Zhodnocení rizika</w:t>
      </w:r>
    </w:p>
    <w:p w14:paraId="5C90B9D9" w14:textId="77777777" w:rsidR="005462EC" w:rsidRPr="006519D0" w:rsidRDefault="009731B0" w:rsidP="008539D8">
      <w:r w:rsidRPr="006519D0">
        <w:t>Za</w:t>
      </w:r>
      <w:r w:rsidR="001444E7" w:rsidRPr="006519D0">
        <w:t xml:space="preserve"> současného stavu dochází</w:t>
      </w:r>
      <w:r w:rsidR="00DC5EDA" w:rsidRPr="006519D0">
        <w:t xml:space="preserve"> </w:t>
      </w:r>
      <w:r w:rsidR="001444E7" w:rsidRPr="006519D0">
        <w:t>ke zbytečné administrativní zát</w:t>
      </w:r>
      <w:r w:rsidR="00DC5EDA" w:rsidRPr="006519D0">
        <w:t xml:space="preserve">ěži </w:t>
      </w:r>
      <w:r w:rsidR="0037240C" w:rsidRPr="006519D0">
        <w:t xml:space="preserve">na straně </w:t>
      </w:r>
      <w:r w:rsidR="00DC5EDA" w:rsidRPr="006519D0">
        <w:t xml:space="preserve">MŽP </w:t>
      </w:r>
      <w:r w:rsidR="0037240C" w:rsidRPr="006519D0">
        <w:t xml:space="preserve">při </w:t>
      </w:r>
      <w:r w:rsidR="00DC5EDA" w:rsidRPr="006519D0">
        <w:t>vydávání certifikát</w:t>
      </w:r>
      <w:r w:rsidR="0037240C" w:rsidRPr="006519D0">
        <w:t>ů</w:t>
      </w:r>
      <w:r w:rsidRPr="006519D0">
        <w:t xml:space="preserve"> a </w:t>
      </w:r>
      <w:r w:rsidR="00DC5EDA" w:rsidRPr="006519D0">
        <w:t>k</w:t>
      </w:r>
      <w:r w:rsidR="0037240C" w:rsidRPr="006519D0">
        <w:t xml:space="preserve"> neúměrně dlouhým lhůtám, které oddalují okamžik, kdy je žadateli certifikát vydán, resp. kdy může žadatel s vydaným certifikátem plně disponovat. Délka těchto lhůt je zapříčiněna </w:t>
      </w:r>
      <w:r w:rsidR="00026625" w:rsidRPr="006519D0">
        <w:t>použitím úpravy správního řízení dle správního řádu pro proces vydávání certifikátů.</w:t>
      </w:r>
    </w:p>
    <w:p w14:paraId="37368FED" w14:textId="77777777" w:rsidR="008539D8" w:rsidRPr="006519D0" w:rsidRDefault="009731B0" w:rsidP="008539D8">
      <w:r w:rsidRPr="006519D0">
        <w:t xml:space="preserve">Dále </w:t>
      </w:r>
      <w:r w:rsidR="00D25B2E" w:rsidRPr="006519D0">
        <w:t>je třeba</w:t>
      </w:r>
      <w:r w:rsidRPr="006519D0">
        <w:t xml:space="preserve"> </w:t>
      </w:r>
      <w:r w:rsidR="00D25B2E" w:rsidRPr="006519D0">
        <w:t>zajistit</w:t>
      </w:r>
      <w:r w:rsidRPr="006519D0">
        <w:t xml:space="preserve"> rovnost podmínek při zkoušce, </w:t>
      </w:r>
      <w:r w:rsidR="00D25B2E" w:rsidRPr="006519D0">
        <w:t xml:space="preserve">v opačném případě </w:t>
      </w:r>
      <w:r w:rsidR="00BE3678" w:rsidRPr="006519D0">
        <w:t xml:space="preserve">by </w:t>
      </w:r>
      <w:r w:rsidR="00D25B2E" w:rsidRPr="006519D0">
        <w:t>mohlo dojít ke</w:t>
      </w:r>
      <w:r w:rsidR="00CB05A2" w:rsidRPr="006519D0">
        <w:t> </w:t>
      </w:r>
      <w:r w:rsidRPr="006519D0">
        <w:t>znevýhodn</w:t>
      </w:r>
      <w:r w:rsidR="00D25B2E" w:rsidRPr="006519D0">
        <w:t>ění</w:t>
      </w:r>
      <w:r w:rsidRPr="006519D0">
        <w:t xml:space="preserve"> </w:t>
      </w:r>
      <w:r w:rsidR="008C2EAF" w:rsidRPr="006519D0">
        <w:t>někter</w:t>
      </w:r>
      <w:r w:rsidR="00D25B2E" w:rsidRPr="006519D0">
        <w:t>ých</w:t>
      </w:r>
      <w:r w:rsidR="008C2EAF" w:rsidRPr="006519D0">
        <w:t xml:space="preserve"> </w:t>
      </w:r>
      <w:r w:rsidRPr="006519D0">
        <w:t>žadatel</w:t>
      </w:r>
      <w:r w:rsidR="00D25B2E" w:rsidRPr="006519D0">
        <w:t>ů</w:t>
      </w:r>
      <w:r w:rsidRPr="006519D0">
        <w:t xml:space="preserve"> o vydání certifikátu.</w:t>
      </w:r>
      <w:r w:rsidR="00297719" w:rsidRPr="006519D0">
        <w:t> </w:t>
      </w:r>
    </w:p>
    <w:p w14:paraId="433C459F" w14:textId="77777777" w:rsidR="00E775EF" w:rsidRPr="006519D0" w:rsidRDefault="00E775EF" w:rsidP="008539D8"/>
    <w:p w14:paraId="7A47CC62" w14:textId="77777777" w:rsidR="008539D8" w:rsidRPr="006519D0" w:rsidRDefault="009731B0" w:rsidP="008539D8">
      <w:pPr>
        <w:pStyle w:val="Nadpis2"/>
      </w:pPr>
      <w:r w:rsidRPr="006519D0">
        <w:t>Návrh variant řešení</w:t>
      </w:r>
    </w:p>
    <w:p w14:paraId="2F78D3D3" w14:textId="77777777" w:rsidR="008539D8" w:rsidRPr="006519D0" w:rsidRDefault="009731B0" w:rsidP="008539D8">
      <w:pPr>
        <w:pStyle w:val="Nadpis3"/>
      </w:pPr>
      <w:r w:rsidRPr="006519D0">
        <w:t>Varianta 0</w:t>
      </w:r>
    </w:p>
    <w:p w14:paraId="496301D2" w14:textId="77777777" w:rsidR="008539D8" w:rsidRPr="006519D0" w:rsidRDefault="009731B0" w:rsidP="008539D8">
      <w:r w:rsidRPr="006519D0">
        <w:t xml:space="preserve">Zachování současného stavu, </w:t>
      </w:r>
      <w:r w:rsidRPr="006519D0">
        <w:t xml:space="preserve">kdy hodnotící subjekt zajišťuje </w:t>
      </w:r>
      <w:r w:rsidR="002E5B0D" w:rsidRPr="006519D0">
        <w:t xml:space="preserve">pouze </w:t>
      </w:r>
      <w:r w:rsidRPr="006519D0">
        <w:t xml:space="preserve">zkoušky a certifikační subjekt </w:t>
      </w:r>
      <w:r w:rsidR="000202D3" w:rsidRPr="006519D0">
        <w:t xml:space="preserve">(MŽP) </w:t>
      </w:r>
      <w:r w:rsidR="002E5B0D" w:rsidRPr="006519D0">
        <w:t>vydává certifikáty jen na základě kompletních podkladů</w:t>
      </w:r>
      <w:r w:rsidR="00026625" w:rsidRPr="006519D0">
        <w:t xml:space="preserve"> prokazujících odbornou způsobilost žadatele a splnění formálních požadavků</w:t>
      </w:r>
      <w:r w:rsidR="002E5B0D" w:rsidRPr="006519D0">
        <w:t xml:space="preserve"> bez </w:t>
      </w:r>
      <w:r w:rsidR="00026625" w:rsidRPr="006519D0">
        <w:t xml:space="preserve">jejich </w:t>
      </w:r>
      <w:r w:rsidR="002E5B0D" w:rsidRPr="006519D0">
        <w:t>dalšího hodnocení</w:t>
      </w:r>
      <w:r w:rsidR="00026625" w:rsidRPr="006519D0">
        <w:t>.</w:t>
      </w:r>
    </w:p>
    <w:p w14:paraId="7649A9A8" w14:textId="77777777" w:rsidR="008539D8" w:rsidRPr="006519D0" w:rsidRDefault="009731B0" w:rsidP="008539D8">
      <w:pPr>
        <w:pStyle w:val="Nadpis3"/>
      </w:pPr>
      <w:r w:rsidRPr="006519D0">
        <w:t>Varianta 1</w:t>
      </w:r>
    </w:p>
    <w:p w14:paraId="02FE801B" w14:textId="77777777" w:rsidR="008539D8" w:rsidRPr="006519D0" w:rsidRDefault="009731B0" w:rsidP="008539D8">
      <w:r w:rsidRPr="006519D0">
        <w:t>Změna komp</w:t>
      </w:r>
      <w:r w:rsidRPr="006519D0">
        <w:t xml:space="preserve">etencí hodnotícího subjektu, který bude žadatelům po splnění všech </w:t>
      </w:r>
      <w:r w:rsidR="00AC7BEE" w:rsidRPr="006519D0">
        <w:t xml:space="preserve">legislativních požadavků a náležitostí </w:t>
      </w:r>
      <w:r w:rsidRPr="006519D0">
        <w:t>vydávat i certifikáty</w:t>
      </w:r>
      <w:r w:rsidR="001444E7" w:rsidRPr="006519D0">
        <w:t>,</w:t>
      </w:r>
      <w:r w:rsidRPr="006519D0">
        <w:t xml:space="preserve"> a tím </w:t>
      </w:r>
      <w:r w:rsidR="00AC7BEE" w:rsidRPr="006519D0">
        <w:t xml:space="preserve">zároveň </w:t>
      </w:r>
      <w:r w:rsidRPr="006519D0">
        <w:t>vykonávat činnost certifikačního subjektu.</w:t>
      </w:r>
      <w:r w:rsidR="001476E8" w:rsidRPr="006519D0">
        <w:t xml:space="preserve"> </w:t>
      </w:r>
      <w:r w:rsidR="000D41FA" w:rsidRPr="006519D0">
        <w:t xml:space="preserve">Dále zajistit </w:t>
      </w:r>
      <w:r w:rsidR="000D41FA" w:rsidRPr="006519D0">
        <w:rPr>
          <w:rFonts w:cs="Arial"/>
          <w:bCs/>
          <w:szCs w:val="22"/>
        </w:rPr>
        <w:t>m</w:t>
      </w:r>
      <w:r w:rsidR="001476E8" w:rsidRPr="006519D0">
        <w:rPr>
          <w:rFonts w:cs="Arial"/>
          <w:bCs/>
          <w:szCs w:val="22"/>
        </w:rPr>
        <w:t>inimální požadavky na zkoušku</w:t>
      </w:r>
      <w:r w:rsidR="000D41FA" w:rsidRPr="006519D0">
        <w:rPr>
          <w:rFonts w:cs="Arial"/>
          <w:bCs/>
          <w:szCs w:val="22"/>
        </w:rPr>
        <w:t>, které</w:t>
      </w:r>
      <w:r w:rsidR="001476E8" w:rsidRPr="006519D0">
        <w:rPr>
          <w:rFonts w:cs="Arial"/>
          <w:bCs/>
          <w:szCs w:val="22"/>
        </w:rPr>
        <w:t xml:space="preserve"> budou nově stanoveny prováděcím právním předpisem</w:t>
      </w:r>
      <w:r w:rsidR="002C10FA" w:rsidRPr="006519D0">
        <w:rPr>
          <w:rFonts w:cs="Arial"/>
          <w:bCs/>
          <w:szCs w:val="22"/>
        </w:rPr>
        <w:t>,</w:t>
      </w:r>
      <w:r w:rsidR="001476E8" w:rsidRPr="006519D0">
        <w:rPr>
          <w:rFonts w:cs="Arial"/>
          <w:bCs/>
          <w:szCs w:val="22"/>
        </w:rPr>
        <w:t xml:space="preserve"> za účelem zajištění rovnosti podmínek pro úspěšné složení zkoušky u různých hodnotících subjektů.</w:t>
      </w:r>
    </w:p>
    <w:p w14:paraId="788538D6" w14:textId="77777777" w:rsidR="005462EC" w:rsidRPr="006519D0" w:rsidRDefault="005462EC" w:rsidP="008539D8"/>
    <w:p w14:paraId="29E27051" w14:textId="77777777" w:rsidR="008539D8" w:rsidRPr="006519D0" w:rsidRDefault="009731B0" w:rsidP="008539D8">
      <w:pPr>
        <w:pStyle w:val="Nadpis2"/>
      </w:pPr>
      <w:r w:rsidRPr="006519D0">
        <w:t>Vyhodnocení nákladů a přínosů</w:t>
      </w:r>
    </w:p>
    <w:p w14:paraId="6EFBA6AB" w14:textId="77777777" w:rsidR="008D339A" w:rsidRPr="006519D0" w:rsidRDefault="009731B0" w:rsidP="008D339A">
      <w:pPr>
        <w:pStyle w:val="Nadpis3"/>
        <w:spacing w:after="120"/>
      </w:pPr>
      <w:r w:rsidRPr="006519D0">
        <w:t>Identifikace nákladů a přínosů</w:t>
      </w:r>
    </w:p>
    <w:p w14:paraId="4735E6C1" w14:textId="77777777" w:rsidR="008539D8" w:rsidRPr="006519D0" w:rsidRDefault="009731B0" w:rsidP="00BD1744">
      <w:pPr>
        <w:pStyle w:val="Odstavecseseznamem"/>
        <w:numPr>
          <w:ilvl w:val="0"/>
          <w:numId w:val="26"/>
        </w:numPr>
        <w:rPr>
          <w:b/>
        </w:rPr>
      </w:pPr>
      <w:r w:rsidRPr="006519D0">
        <w:rPr>
          <w:b/>
        </w:rPr>
        <w:t>Varianta 0</w:t>
      </w:r>
    </w:p>
    <w:p w14:paraId="79E26508" w14:textId="77777777" w:rsidR="008539D8" w:rsidRPr="006519D0" w:rsidRDefault="009731B0" w:rsidP="003E6993">
      <w:pPr>
        <w:keepNext/>
        <w:spacing w:before="240" w:after="0"/>
        <w:rPr>
          <w:b/>
        </w:rPr>
      </w:pPr>
      <w:r w:rsidRPr="006519D0">
        <w:rPr>
          <w:b/>
        </w:rPr>
        <w:lastRenderedPageBreak/>
        <w:t xml:space="preserve">Dopady na státní rozpočet a </w:t>
      </w:r>
      <w:r w:rsidRPr="006519D0">
        <w:rPr>
          <w:b/>
        </w:rPr>
        <w:t>ostatní veřejné rozpočty</w:t>
      </w:r>
    </w:p>
    <w:p w14:paraId="7D4AEBD3" w14:textId="77777777" w:rsidR="00AB676D" w:rsidRPr="006519D0" w:rsidRDefault="009731B0" w:rsidP="003E6993">
      <w:pPr>
        <w:keepNext/>
        <w:rPr>
          <w:rFonts w:eastAsiaTheme="minorEastAsia"/>
          <w:szCs w:val="22"/>
          <w:lang w:eastAsia="cs-CZ"/>
        </w:rPr>
      </w:pPr>
      <w:r w:rsidRPr="006519D0">
        <w:rPr>
          <w:rFonts w:eastAsiaTheme="minorEastAsia"/>
          <w:szCs w:val="22"/>
          <w:lang w:eastAsia="cs-CZ"/>
        </w:rPr>
        <w:t xml:space="preserve">MŽP je certifikační subjekt, který vydává certifikáty v oblasti nakládání s regulovanými látkami a F-plyny fyzickým a právnickým osobám (žadatelům o certifikaci), jenž úspěšně splnily </w:t>
      </w:r>
      <w:r w:rsidR="00654B2A" w:rsidRPr="006519D0">
        <w:rPr>
          <w:rFonts w:eastAsiaTheme="minorEastAsia"/>
          <w:szCs w:val="22"/>
          <w:lang w:eastAsia="cs-CZ"/>
        </w:rPr>
        <w:t xml:space="preserve">u hodnotícího subjektu </w:t>
      </w:r>
      <w:r w:rsidRPr="006519D0">
        <w:rPr>
          <w:rFonts w:eastAsiaTheme="minorEastAsia"/>
          <w:szCs w:val="22"/>
          <w:lang w:eastAsia="cs-CZ"/>
        </w:rPr>
        <w:t xml:space="preserve">teoretické a praktické </w:t>
      </w:r>
      <w:r w:rsidR="00654B2A" w:rsidRPr="006519D0">
        <w:rPr>
          <w:rFonts w:eastAsiaTheme="minorEastAsia"/>
          <w:szCs w:val="22"/>
          <w:lang w:eastAsia="cs-CZ"/>
        </w:rPr>
        <w:t xml:space="preserve">certifikační </w:t>
      </w:r>
      <w:r w:rsidRPr="006519D0">
        <w:rPr>
          <w:rFonts w:eastAsiaTheme="minorEastAsia"/>
          <w:szCs w:val="22"/>
          <w:lang w:eastAsia="cs-CZ"/>
        </w:rPr>
        <w:t xml:space="preserve">zkoušky. </w:t>
      </w:r>
    </w:p>
    <w:p w14:paraId="3E45EAAC" w14:textId="77777777" w:rsidR="00654B2A" w:rsidRPr="006519D0" w:rsidRDefault="009731B0" w:rsidP="00511E8A">
      <w:r w:rsidRPr="006519D0">
        <w:rPr>
          <w:rFonts w:eastAsiaTheme="minorEastAsia"/>
          <w:szCs w:val="22"/>
          <w:lang w:eastAsia="cs-CZ"/>
        </w:rPr>
        <w:t>V souvislosti s vydáváním certifikátu jsou spojeny administrativní náklady MŽP, a to</w:t>
      </w:r>
      <w:r w:rsidR="00234E3D" w:rsidRPr="006519D0">
        <w:rPr>
          <w:rFonts w:eastAsiaTheme="minorEastAsia"/>
          <w:szCs w:val="22"/>
          <w:lang w:eastAsia="cs-CZ"/>
        </w:rPr>
        <w:t>: evidence žádosti na podatelně,</w:t>
      </w:r>
      <w:r w:rsidR="006B524D" w:rsidRPr="006519D0">
        <w:rPr>
          <w:rFonts w:eastAsiaTheme="minorEastAsia"/>
          <w:szCs w:val="22"/>
          <w:lang w:eastAsia="cs-CZ"/>
        </w:rPr>
        <w:t xml:space="preserve"> </w:t>
      </w:r>
      <w:r w:rsidR="006B524D" w:rsidRPr="006519D0">
        <w:t xml:space="preserve">na sekretariátu, v případě špatných údajů či chybějících příloh kontaktování žadatele, vytvoření certifikátu, schválení certifikátu odpovědnými zaměstnanci odboru, podpis ředitele odboru, vyplnění údajů pro odeslání datovou schránkou, předání k elektronickému podpisu, kompletace doručenek a certifikátů, zaslání kopií ČIŽP. </w:t>
      </w:r>
      <w:r w:rsidRPr="006519D0">
        <w:t>Průměrná</w:t>
      </w:r>
      <w:r w:rsidR="006B524D" w:rsidRPr="006519D0">
        <w:t xml:space="preserve"> </w:t>
      </w:r>
      <w:r w:rsidRPr="006519D0">
        <w:t xml:space="preserve">časová náročnost rozhodnutí o vydání certifikátu </w:t>
      </w:r>
      <w:r w:rsidR="006B524D" w:rsidRPr="006519D0">
        <w:t xml:space="preserve">dle konzultací s odborem ochrany ovzduší </w:t>
      </w:r>
      <w:r w:rsidRPr="006519D0">
        <w:t>činí</w:t>
      </w:r>
      <w:r w:rsidR="006B524D" w:rsidRPr="006519D0">
        <w:t xml:space="preserve"> </w:t>
      </w:r>
      <w:r w:rsidR="006B524D" w:rsidRPr="006519D0">
        <w:rPr>
          <w:b/>
        </w:rPr>
        <w:t>cca 1 hodin</w:t>
      </w:r>
      <w:r w:rsidRPr="006519D0">
        <w:rPr>
          <w:b/>
        </w:rPr>
        <w:t>u</w:t>
      </w:r>
      <w:r w:rsidR="006B524D" w:rsidRPr="006519D0">
        <w:rPr>
          <w:b/>
        </w:rPr>
        <w:t xml:space="preserve"> na vydání jednoho certifikátu</w:t>
      </w:r>
      <w:r w:rsidR="006B524D" w:rsidRPr="006519D0">
        <w:t xml:space="preserve">. </w:t>
      </w:r>
    </w:p>
    <w:p w14:paraId="1B48AD6A" w14:textId="77777777" w:rsidR="00C367FF" w:rsidRPr="006519D0" w:rsidRDefault="009731B0" w:rsidP="00C55D6D">
      <w:pPr>
        <w:rPr>
          <w:rFonts w:eastAsiaTheme="minorEastAsia"/>
          <w:szCs w:val="22"/>
          <w:lang w:eastAsia="cs-CZ"/>
        </w:rPr>
      </w:pPr>
      <w:r w:rsidRPr="006519D0">
        <w:t>V zákoně jsou vypsané jednotlivé skupi</w:t>
      </w:r>
      <w:r w:rsidRPr="006519D0">
        <w:t>ny činností, pro které se certifikáty vydávají, v praxi se jedná o 3 základní druhy certifikátů (podle jednotlivých nařízení). Jedná se o 1 certifikát dle prováděcího nařízení Komise (EU) č. 2015/2067 pro F- plyny v chladicích a klimatizačních zařízeních a</w:t>
      </w:r>
      <w:r w:rsidRPr="006519D0">
        <w:t xml:space="preserve"> tepelných čerpadlech, který platí i pro regulované látky (</w:t>
      </w:r>
      <w:r w:rsidRPr="006519D0">
        <w:rPr>
          <w:b/>
        </w:rPr>
        <w:t>cca 450 za rok</w:t>
      </w:r>
      <w:r w:rsidRPr="006519D0">
        <w:t xml:space="preserve">). Dále </w:t>
      </w:r>
      <w:r w:rsidR="001D43BB" w:rsidRPr="006519D0">
        <w:br/>
      </w:r>
      <w:r w:rsidRPr="006519D0">
        <w:t>1 certifikát pro požární ochranu (dle nařízení (ES) č. 304/2008 (</w:t>
      </w:r>
      <w:r w:rsidRPr="006519D0">
        <w:rPr>
          <w:b/>
        </w:rPr>
        <w:t>cca 20 za rok</w:t>
      </w:r>
      <w:r w:rsidRPr="006519D0">
        <w:t>) a 1 certifikát dle</w:t>
      </w:r>
      <w:r w:rsidR="00654B2A" w:rsidRPr="006519D0">
        <w:t> </w:t>
      </w:r>
      <w:r w:rsidRPr="006519D0">
        <w:t>prováděcího nařízení Komise č. 2015/2066 pro elektrická spínací zařízení (</w:t>
      </w:r>
      <w:r w:rsidRPr="006519D0">
        <w:rPr>
          <w:b/>
        </w:rPr>
        <w:t>c</w:t>
      </w:r>
      <w:r w:rsidRPr="006519D0">
        <w:rPr>
          <w:b/>
        </w:rPr>
        <w:t>ca 30 za rok</w:t>
      </w:r>
      <w:r w:rsidRPr="006519D0">
        <w:t>). MŽP tak zpracovává průměrně cca </w:t>
      </w:r>
      <w:r w:rsidRPr="006519D0">
        <w:rPr>
          <w:b/>
        </w:rPr>
        <w:t>500 žádostí ročně</w:t>
      </w:r>
      <w:r w:rsidRPr="006519D0">
        <w:t xml:space="preserve"> (v letech 2016–2018</w:t>
      </w:r>
      <w:r w:rsidR="00C55D6D" w:rsidRPr="006519D0">
        <w:t>)</w:t>
      </w:r>
      <w:r w:rsidRPr="006519D0">
        <w:t xml:space="preserve">, což představuje roční administrativní zátěž </w:t>
      </w:r>
      <w:r w:rsidR="00822683" w:rsidRPr="006519D0">
        <w:t>MŽP</w:t>
      </w:r>
      <w:r w:rsidRPr="006519D0">
        <w:t xml:space="preserve"> cca </w:t>
      </w:r>
      <w:r w:rsidR="00C55D6D" w:rsidRPr="006519D0">
        <w:rPr>
          <w:b/>
        </w:rPr>
        <w:t>2</w:t>
      </w:r>
      <w:r w:rsidR="00822683" w:rsidRPr="006519D0">
        <w:rPr>
          <w:b/>
        </w:rPr>
        <w:t>2</w:t>
      </w:r>
      <w:r w:rsidR="00C55D6D" w:rsidRPr="006519D0">
        <w:rPr>
          <w:b/>
        </w:rPr>
        <w:t>8 tis. Kč</w:t>
      </w:r>
      <w:r w:rsidR="00C55D6D" w:rsidRPr="006519D0">
        <w:rPr>
          <w:color w:val="000000"/>
        </w:rPr>
        <w:t xml:space="preserve"> (viz tabulka</w:t>
      </w:r>
      <w:r w:rsidR="00822683" w:rsidRPr="006519D0">
        <w:rPr>
          <w:color w:val="000000"/>
        </w:rPr>
        <w:t xml:space="preserve"> </w:t>
      </w:r>
      <w:r w:rsidR="00A1507B" w:rsidRPr="006519D0">
        <w:rPr>
          <w:color w:val="000000"/>
        </w:rPr>
        <w:t>4</w:t>
      </w:r>
      <w:r w:rsidRPr="006519D0">
        <w:rPr>
          <w:color w:val="000000"/>
        </w:rPr>
        <w:t>).</w:t>
      </w:r>
    </w:p>
    <w:p w14:paraId="4E3188AF" w14:textId="77777777" w:rsidR="00C74EEA" w:rsidRPr="006519D0" w:rsidRDefault="00C74EEA" w:rsidP="00C55D6D">
      <w:pPr>
        <w:rPr>
          <w:b/>
          <w:bCs/>
          <w:spacing w:val="10"/>
          <w:sz w:val="18"/>
          <w:szCs w:val="18"/>
        </w:rPr>
      </w:pPr>
    </w:p>
    <w:p w14:paraId="5D557EDC" w14:textId="77777777" w:rsidR="00C74EEA" w:rsidRPr="006519D0" w:rsidRDefault="009731B0" w:rsidP="009F079C">
      <w:pPr>
        <w:keepNext/>
        <w:spacing w:before="120" w:line="240" w:lineRule="auto"/>
        <w:rPr>
          <w:b/>
          <w:bCs/>
          <w:spacing w:val="10"/>
          <w:sz w:val="18"/>
          <w:szCs w:val="18"/>
        </w:rPr>
      </w:pPr>
      <w:r w:rsidRPr="006519D0">
        <w:rPr>
          <w:b/>
          <w:bCs/>
          <w:spacing w:val="10"/>
          <w:sz w:val="18"/>
          <w:szCs w:val="18"/>
        </w:rPr>
        <w:t xml:space="preserve"> Tabulka 4: Odhadovaná administrativní zátěž MŽP na vydávání certifikátů</w:t>
      </w:r>
    </w:p>
    <w:tbl>
      <w:tblPr>
        <w:tblW w:w="8900" w:type="dxa"/>
        <w:tblCellMar>
          <w:left w:w="70" w:type="dxa"/>
          <w:right w:w="70" w:type="dxa"/>
        </w:tblCellMar>
        <w:tblLook w:val="04A0" w:firstRow="1" w:lastRow="0" w:firstColumn="1" w:lastColumn="0" w:noHBand="0" w:noVBand="1"/>
      </w:tblPr>
      <w:tblGrid>
        <w:gridCol w:w="6791"/>
        <w:gridCol w:w="2109"/>
      </w:tblGrid>
      <w:tr w:rsidR="00326AB0" w14:paraId="3957DE00" w14:textId="77777777" w:rsidTr="00FB01EB">
        <w:trPr>
          <w:trHeight w:val="499"/>
        </w:trPr>
        <w:tc>
          <w:tcPr>
            <w:tcW w:w="6791"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3F09D3B" w14:textId="77777777" w:rsidR="00E32FE4" w:rsidRPr="006519D0" w:rsidRDefault="009731B0" w:rsidP="00FB01EB">
            <w:pPr>
              <w:keepNext/>
              <w:spacing w:after="0"/>
              <w:ind w:firstLineChars="200" w:firstLine="442"/>
              <w:jc w:val="left"/>
              <w:rPr>
                <w:rFonts w:cs="Arial"/>
                <w:b/>
                <w:color w:val="000000"/>
                <w:lang w:eastAsia="cs-CZ"/>
              </w:rPr>
            </w:pPr>
            <w:r w:rsidRPr="006519D0">
              <w:rPr>
                <w:rFonts w:cs="Arial"/>
                <w:b/>
                <w:color w:val="000000"/>
                <w:lang w:eastAsia="cs-CZ"/>
              </w:rPr>
              <w:t xml:space="preserve">Časová </w:t>
            </w:r>
            <w:r w:rsidRPr="006519D0">
              <w:rPr>
                <w:rFonts w:cs="Arial"/>
                <w:b/>
                <w:color w:val="000000"/>
                <w:lang w:eastAsia="cs-CZ"/>
              </w:rPr>
              <w:t>náročnost na vydání 1 certifikátu</w:t>
            </w:r>
          </w:p>
        </w:tc>
        <w:tc>
          <w:tcPr>
            <w:tcW w:w="2109" w:type="dxa"/>
            <w:tcBorders>
              <w:top w:val="single" w:sz="4" w:space="0" w:color="auto"/>
              <w:left w:val="nil"/>
              <w:bottom w:val="single" w:sz="4" w:space="0" w:color="auto"/>
              <w:right w:val="single" w:sz="4" w:space="0" w:color="auto"/>
            </w:tcBorders>
            <w:shd w:val="clear" w:color="auto" w:fill="auto"/>
            <w:vAlign w:val="center"/>
          </w:tcPr>
          <w:p w14:paraId="30CCBC12" w14:textId="77777777" w:rsidR="00E32FE4" w:rsidRPr="006519D0" w:rsidRDefault="009731B0" w:rsidP="00FB01EB">
            <w:pPr>
              <w:keepNext/>
              <w:spacing w:after="0"/>
              <w:jc w:val="center"/>
              <w:rPr>
                <w:rFonts w:cs="Arial"/>
                <w:color w:val="000000"/>
                <w:lang w:eastAsia="cs-CZ"/>
              </w:rPr>
            </w:pPr>
            <w:r w:rsidRPr="006519D0">
              <w:rPr>
                <w:rFonts w:cs="Arial"/>
                <w:color w:val="000000"/>
                <w:lang w:eastAsia="cs-CZ"/>
              </w:rPr>
              <w:t>1 hod</w:t>
            </w:r>
          </w:p>
        </w:tc>
      </w:tr>
      <w:tr w:rsidR="00326AB0" w14:paraId="713EBCB3" w14:textId="77777777" w:rsidTr="00FB01EB">
        <w:trPr>
          <w:trHeight w:val="499"/>
        </w:trPr>
        <w:tc>
          <w:tcPr>
            <w:tcW w:w="6791" w:type="dxa"/>
            <w:tcBorders>
              <w:top w:val="nil"/>
              <w:left w:val="single" w:sz="4" w:space="0" w:color="auto"/>
              <w:bottom w:val="single" w:sz="4" w:space="0" w:color="auto"/>
              <w:right w:val="single" w:sz="4" w:space="0" w:color="auto"/>
            </w:tcBorders>
            <w:shd w:val="clear" w:color="000000" w:fill="C5D9F1"/>
            <w:vAlign w:val="center"/>
            <w:hideMark/>
          </w:tcPr>
          <w:p w14:paraId="7AEC6935" w14:textId="77777777" w:rsidR="00E32FE4" w:rsidRPr="006519D0" w:rsidRDefault="009731B0" w:rsidP="00FB01EB">
            <w:pPr>
              <w:keepNext/>
              <w:spacing w:after="0"/>
              <w:ind w:firstLineChars="200" w:firstLine="442"/>
              <w:jc w:val="left"/>
              <w:rPr>
                <w:rFonts w:cs="Arial"/>
                <w:b/>
                <w:color w:val="000000"/>
                <w:lang w:eastAsia="cs-CZ"/>
              </w:rPr>
            </w:pPr>
            <w:r w:rsidRPr="006519D0">
              <w:rPr>
                <w:rFonts w:cs="Arial"/>
                <w:b/>
                <w:color w:val="000000"/>
                <w:lang w:eastAsia="cs-CZ"/>
              </w:rPr>
              <w:t xml:space="preserve">Hodinové náklady </w:t>
            </w:r>
          </w:p>
        </w:tc>
        <w:tc>
          <w:tcPr>
            <w:tcW w:w="2109" w:type="dxa"/>
            <w:tcBorders>
              <w:top w:val="nil"/>
              <w:left w:val="nil"/>
              <w:bottom w:val="single" w:sz="4" w:space="0" w:color="auto"/>
              <w:right w:val="single" w:sz="4" w:space="0" w:color="auto"/>
            </w:tcBorders>
            <w:shd w:val="clear" w:color="auto" w:fill="auto"/>
            <w:noWrap/>
            <w:vAlign w:val="center"/>
          </w:tcPr>
          <w:p w14:paraId="5A8D13D5" w14:textId="77777777" w:rsidR="00E32FE4" w:rsidRPr="006519D0" w:rsidRDefault="009731B0" w:rsidP="00FB01EB">
            <w:pPr>
              <w:keepNext/>
              <w:spacing w:after="0"/>
              <w:jc w:val="center"/>
              <w:rPr>
                <w:rFonts w:cs="Arial"/>
                <w:color w:val="000000"/>
                <w:lang w:eastAsia="cs-CZ"/>
              </w:rPr>
            </w:pPr>
            <w:r w:rsidRPr="006519D0">
              <w:rPr>
                <w:rFonts w:cs="Arial"/>
                <w:color w:val="000000"/>
                <w:lang w:eastAsia="cs-CZ"/>
              </w:rPr>
              <w:t>456 Kč/hod</w:t>
            </w:r>
          </w:p>
        </w:tc>
      </w:tr>
      <w:tr w:rsidR="00326AB0" w14:paraId="6AB5050B" w14:textId="77777777" w:rsidTr="00FB01EB">
        <w:trPr>
          <w:trHeight w:val="499"/>
        </w:trPr>
        <w:tc>
          <w:tcPr>
            <w:tcW w:w="6791" w:type="dxa"/>
            <w:tcBorders>
              <w:top w:val="nil"/>
              <w:left w:val="single" w:sz="4" w:space="0" w:color="auto"/>
              <w:bottom w:val="single" w:sz="4" w:space="0" w:color="auto"/>
              <w:right w:val="single" w:sz="4" w:space="0" w:color="auto"/>
            </w:tcBorders>
            <w:shd w:val="clear" w:color="000000" w:fill="C5D9F1"/>
            <w:noWrap/>
            <w:vAlign w:val="center"/>
            <w:hideMark/>
          </w:tcPr>
          <w:p w14:paraId="0EDA1591" w14:textId="77777777" w:rsidR="00E32FE4" w:rsidRPr="006519D0" w:rsidRDefault="009731B0" w:rsidP="00FB01EB">
            <w:pPr>
              <w:keepNext/>
              <w:spacing w:after="0"/>
              <w:ind w:firstLineChars="200" w:firstLine="442"/>
              <w:jc w:val="left"/>
              <w:rPr>
                <w:rFonts w:cs="Arial"/>
                <w:b/>
                <w:color w:val="000000"/>
                <w:lang w:eastAsia="cs-CZ"/>
              </w:rPr>
            </w:pPr>
            <w:r w:rsidRPr="006519D0">
              <w:rPr>
                <w:rFonts w:cs="Arial"/>
                <w:b/>
                <w:color w:val="000000"/>
                <w:lang w:eastAsia="cs-CZ"/>
              </w:rPr>
              <w:t xml:space="preserve">Průměrný počet vydávaných certifikátů za rok </w:t>
            </w:r>
          </w:p>
        </w:tc>
        <w:tc>
          <w:tcPr>
            <w:tcW w:w="2109" w:type="dxa"/>
            <w:tcBorders>
              <w:top w:val="nil"/>
              <w:left w:val="nil"/>
              <w:bottom w:val="single" w:sz="4" w:space="0" w:color="auto"/>
              <w:right w:val="single" w:sz="4" w:space="0" w:color="auto"/>
            </w:tcBorders>
            <w:shd w:val="clear" w:color="auto" w:fill="auto"/>
            <w:noWrap/>
            <w:vAlign w:val="center"/>
          </w:tcPr>
          <w:p w14:paraId="5F7A1CF0" w14:textId="77777777" w:rsidR="00E32FE4" w:rsidRPr="006519D0" w:rsidRDefault="009731B0" w:rsidP="00FB01EB">
            <w:pPr>
              <w:keepNext/>
              <w:spacing w:after="0"/>
              <w:jc w:val="center"/>
              <w:rPr>
                <w:rFonts w:cs="Arial"/>
                <w:color w:val="000000"/>
                <w:lang w:eastAsia="cs-CZ"/>
              </w:rPr>
            </w:pPr>
            <w:r w:rsidRPr="006519D0">
              <w:rPr>
                <w:rFonts w:cs="Arial"/>
                <w:color w:val="000000"/>
                <w:lang w:eastAsia="cs-CZ"/>
              </w:rPr>
              <w:t>500</w:t>
            </w:r>
          </w:p>
        </w:tc>
      </w:tr>
      <w:tr w:rsidR="00326AB0" w14:paraId="130E2A70" w14:textId="77777777" w:rsidTr="00FB01EB">
        <w:trPr>
          <w:trHeight w:val="499"/>
        </w:trPr>
        <w:tc>
          <w:tcPr>
            <w:tcW w:w="6791" w:type="dxa"/>
            <w:tcBorders>
              <w:top w:val="nil"/>
              <w:left w:val="single" w:sz="4" w:space="0" w:color="auto"/>
              <w:bottom w:val="single" w:sz="4" w:space="0" w:color="auto"/>
              <w:right w:val="single" w:sz="4" w:space="0" w:color="auto"/>
            </w:tcBorders>
            <w:shd w:val="clear" w:color="000000" w:fill="C5D9F1"/>
            <w:noWrap/>
            <w:vAlign w:val="center"/>
            <w:hideMark/>
          </w:tcPr>
          <w:p w14:paraId="3D8F5961" w14:textId="77777777" w:rsidR="00E32FE4" w:rsidRPr="006519D0" w:rsidRDefault="009731B0" w:rsidP="00FB01EB">
            <w:pPr>
              <w:keepNext/>
              <w:spacing w:after="0"/>
              <w:ind w:firstLineChars="200" w:firstLine="442"/>
              <w:jc w:val="left"/>
              <w:rPr>
                <w:rFonts w:cs="Arial"/>
                <w:b/>
                <w:color w:val="000000"/>
                <w:lang w:eastAsia="cs-CZ"/>
              </w:rPr>
            </w:pPr>
            <w:r w:rsidRPr="006519D0">
              <w:rPr>
                <w:rFonts w:cs="Arial"/>
                <w:b/>
                <w:color w:val="000000"/>
                <w:lang w:eastAsia="cs-CZ"/>
              </w:rPr>
              <w:t xml:space="preserve">Celková </w:t>
            </w:r>
            <w:r w:rsidRPr="006519D0">
              <w:rPr>
                <w:rFonts w:cs="Arial"/>
                <w:b/>
                <w:lang w:eastAsia="cs-CZ"/>
              </w:rPr>
              <w:t>administrativní</w:t>
            </w:r>
            <w:r w:rsidRPr="006519D0">
              <w:rPr>
                <w:rFonts w:cs="Arial"/>
                <w:b/>
                <w:color w:val="000000"/>
                <w:lang w:eastAsia="cs-CZ"/>
              </w:rPr>
              <w:t xml:space="preserve"> zátěž MŽP na vydávání certifikátů </w:t>
            </w:r>
          </w:p>
        </w:tc>
        <w:tc>
          <w:tcPr>
            <w:tcW w:w="2109" w:type="dxa"/>
            <w:tcBorders>
              <w:top w:val="nil"/>
              <w:left w:val="nil"/>
              <w:bottom w:val="single" w:sz="4" w:space="0" w:color="auto"/>
              <w:right w:val="single" w:sz="4" w:space="0" w:color="auto"/>
            </w:tcBorders>
            <w:shd w:val="clear" w:color="000000" w:fill="C5D9F1"/>
            <w:noWrap/>
            <w:vAlign w:val="center"/>
          </w:tcPr>
          <w:p w14:paraId="3F64A4AC" w14:textId="77777777" w:rsidR="00E32FE4" w:rsidRPr="006519D0" w:rsidRDefault="009731B0" w:rsidP="00FB01EB">
            <w:pPr>
              <w:keepNext/>
              <w:spacing w:after="0"/>
              <w:jc w:val="center"/>
              <w:rPr>
                <w:rFonts w:cs="Arial"/>
                <w:b/>
                <w:color w:val="000000"/>
                <w:lang w:eastAsia="cs-CZ"/>
              </w:rPr>
            </w:pPr>
            <w:r w:rsidRPr="006519D0">
              <w:rPr>
                <w:rFonts w:cs="Arial"/>
                <w:b/>
                <w:color w:val="000000"/>
                <w:lang w:eastAsia="cs-CZ"/>
              </w:rPr>
              <w:t>228 tis. Kč/rok</w:t>
            </w:r>
          </w:p>
        </w:tc>
      </w:tr>
    </w:tbl>
    <w:p w14:paraId="217EB6E6" w14:textId="77777777" w:rsidR="00D5250A" w:rsidRPr="006519D0" w:rsidRDefault="009731B0" w:rsidP="009F079C">
      <w:pPr>
        <w:keepNext/>
        <w:spacing w:before="120" w:line="240" w:lineRule="auto"/>
        <w:rPr>
          <w:rFonts w:cs="Arial"/>
          <w:bCs/>
          <w:iCs/>
          <w:color w:val="000000"/>
          <w:sz w:val="20"/>
          <w:szCs w:val="20"/>
          <w:lang w:eastAsia="cs-CZ"/>
        </w:rPr>
      </w:pPr>
      <w:r w:rsidRPr="006519D0">
        <w:rPr>
          <w:rFonts w:cs="Arial"/>
          <w:bCs/>
          <w:iCs/>
          <w:color w:val="000000"/>
          <w:sz w:val="20"/>
          <w:szCs w:val="20"/>
          <w:lang w:eastAsia="cs-CZ"/>
        </w:rPr>
        <w:t xml:space="preserve">* Pro výpočet hodinových nákladů státní správy (MŽP) je </w:t>
      </w:r>
      <w:r w:rsidRPr="006519D0">
        <w:rPr>
          <w:rFonts w:cs="Arial"/>
          <w:bCs/>
          <w:iCs/>
          <w:color w:val="000000"/>
          <w:sz w:val="20"/>
          <w:szCs w:val="20"/>
          <w:lang w:eastAsia="cs-CZ"/>
        </w:rPr>
        <w:t>dle metodiky MV</w:t>
      </w:r>
      <w:r>
        <w:rPr>
          <w:rStyle w:val="Znakapoznpodarou"/>
          <w:rFonts w:cs="Arial"/>
          <w:bCs/>
          <w:iCs/>
          <w:color w:val="000000"/>
          <w:sz w:val="20"/>
          <w:szCs w:val="20"/>
          <w:lang w:eastAsia="cs-CZ"/>
        </w:rPr>
        <w:footnoteReference w:id="1"/>
      </w:r>
      <w:r w:rsidRPr="006519D0">
        <w:rPr>
          <w:rFonts w:cs="Arial"/>
          <w:bCs/>
          <w:iCs/>
          <w:color w:val="000000"/>
          <w:sz w:val="20"/>
          <w:szCs w:val="20"/>
          <w:lang w:eastAsia="cs-CZ"/>
        </w:rPr>
        <w:t xml:space="preserve"> použita 13. třída, 7. stupeň (s připočítáním 35 % odvodů na zdravotní a sociální pojištění, 20 % zohlednění osobních příplatků a odměn a 43 % režijní náklady).</w:t>
      </w:r>
    </w:p>
    <w:p w14:paraId="153B4F7A" w14:textId="77777777" w:rsidR="00D5250A" w:rsidRPr="006519D0" w:rsidRDefault="009731B0" w:rsidP="00D5250A">
      <w:pPr>
        <w:jc w:val="right"/>
        <w:rPr>
          <w:rFonts w:cs="Arial"/>
        </w:rPr>
      </w:pPr>
      <w:r w:rsidRPr="006519D0">
        <w:rPr>
          <w:rFonts w:cs="Arial"/>
          <w:i/>
          <w:iCs/>
          <w:color w:val="000000"/>
          <w:sz w:val="20"/>
          <w:szCs w:val="20"/>
          <w:lang w:eastAsia="cs-CZ"/>
        </w:rPr>
        <w:t>Zdroj: MŽP</w:t>
      </w:r>
    </w:p>
    <w:p w14:paraId="1F64BE75" w14:textId="77777777" w:rsidR="008539D8" w:rsidRPr="006519D0" w:rsidRDefault="009731B0" w:rsidP="006B120A">
      <w:pPr>
        <w:spacing w:before="240" w:after="0"/>
        <w:rPr>
          <w:b/>
        </w:rPr>
      </w:pPr>
      <w:r w:rsidRPr="006519D0">
        <w:rPr>
          <w:b/>
        </w:rPr>
        <w:t>Dopady na podnikatelské prostředí</w:t>
      </w:r>
    </w:p>
    <w:p w14:paraId="76EB5EC0" w14:textId="77777777" w:rsidR="00C50308" w:rsidRPr="006519D0" w:rsidRDefault="009731B0" w:rsidP="00FF7F15">
      <w:pPr>
        <w:rPr>
          <w:rFonts w:eastAsiaTheme="minorEastAsia"/>
          <w:szCs w:val="22"/>
          <w:lang w:eastAsia="cs-CZ"/>
        </w:rPr>
      </w:pPr>
      <w:r w:rsidRPr="006519D0">
        <w:rPr>
          <w:rFonts w:eastAsiaTheme="minorEastAsia"/>
          <w:szCs w:val="22"/>
          <w:lang w:eastAsia="cs-CZ"/>
        </w:rPr>
        <w:t>Dle současné legislativy</w:t>
      </w:r>
      <w:r w:rsidR="00FF7F15" w:rsidRPr="006519D0">
        <w:rPr>
          <w:rFonts w:eastAsiaTheme="minorEastAsia"/>
          <w:szCs w:val="22"/>
          <w:lang w:eastAsia="cs-CZ"/>
        </w:rPr>
        <w:t xml:space="preserve"> </w:t>
      </w:r>
      <w:r w:rsidRPr="006519D0">
        <w:rPr>
          <w:rFonts w:eastAsiaTheme="minorEastAsia"/>
          <w:szCs w:val="22"/>
          <w:lang w:eastAsia="cs-CZ"/>
        </w:rPr>
        <w:t xml:space="preserve">provádí </w:t>
      </w:r>
      <w:r w:rsidRPr="006519D0">
        <w:rPr>
          <w:rFonts w:eastAsiaTheme="minorEastAsia"/>
          <w:szCs w:val="22"/>
          <w:lang w:eastAsia="cs-CZ"/>
        </w:rPr>
        <w:t>žadatelé o certifikaci zkoušku u hodnotících subjektů, avšak po úspěšném absolvování zkoušek odborné způsobilosti vydává certifikát MŽP, jakožto certifikační subjekt. Ž</w:t>
      </w:r>
      <w:r w:rsidR="00C92A0A" w:rsidRPr="006519D0">
        <w:rPr>
          <w:rFonts w:eastAsiaTheme="minorEastAsia"/>
          <w:szCs w:val="22"/>
          <w:lang w:eastAsia="cs-CZ"/>
        </w:rPr>
        <w:t xml:space="preserve">adatel </w:t>
      </w:r>
      <w:r w:rsidR="009F079C" w:rsidRPr="006519D0">
        <w:rPr>
          <w:rFonts w:eastAsiaTheme="minorEastAsia"/>
          <w:szCs w:val="22"/>
          <w:lang w:eastAsia="cs-CZ"/>
        </w:rPr>
        <w:t xml:space="preserve">pak </w:t>
      </w:r>
      <w:r w:rsidRPr="006519D0">
        <w:rPr>
          <w:rFonts w:eastAsiaTheme="minorEastAsia"/>
          <w:szCs w:val="22"/>
          <w:lang w:eastAsia="cs-CZ"/>
        </w:rPr>
        <w:t xml:space="preserve">tedy </w:t>
      </w:r>
      <w:r w:rsidR="00FF7F15" w:rsidRPr="006519D0">
        <w:rPr>
          <w:rFonts w:eastAsiaTheme="minorEastAsia"/>
          <w:szCs w:val="22"/>
          <w:lang w:eastAsia="cs-CZ"/>
        </w:rPr>
        <w:t>musí</w:t>
      </w:r>
      <w:r w:rsidR="000944CB" w:rsidRPr="006519D0">
        <w:rPr>
          <w:rFonts w:eastAsiaTheme="minorEastAsia"/>
          <w:szCs w:val="22"/>
          <w:lang w:eastAsia="cs-CZ"/>
        </w:rPr>
        <w:t xml:space="preserve"> o vydání certifikátu žádat způsobem jako by se jednalo o</w:t>
      </w:r>
      <w:r w:rsidR="00FF7F15" w:rsidRPr="006519D0">
        <w:rPr>
          <w:rFonts w:eastAsiaTheme="minorEastAsia"/>
          <w:szCs w:val="22"/>
          <w:lang w:eastAsia="cs-CZ"/>
        </w:rPr>
        <w:t xml:space="preserve"> </w:t>
      </w:r>
      <w:r w:rsidR="000944CB" w:rsidRPr="006519D0">
        <w:rPr>
          <w:rFonts w:eastAsiaTheme="minorEastAsia"/>
          <w:szCs w:val="22"/>
          <w:lang w:eastAsia="cs-CZ"/>
        </w:rPr>
        <w:t xml:space="preserve">správní rozhodnutí, tedy podat žádost o vydání certifikátu včetně relevantních podkladů pro vydání rozhodnutí </w:t>
      </w:r>
      <w:r w:rsidR="00FF7F15" w:rsidRPr="006519D0">
        <w:rPr>
          <w:rFonts w:eastAsiaTheme="minorEastAsia"/>
          <w:szCs w:val="22"/>
          <w:lang w:eastAsia="cs-CZ"/>
        </w:rPr>
        <w:t>na MŽP. To je spojeno se</w:t>
      </w:r>
      <w:r w:rsidRPr="006519D0">
        <w:rPr>
          <w:rFonts w:eastAsiaTheme="minorEastAsia"/>
          <w:szCs w:val="22"/>
          <w:lang w:eastAsia="cs-CZ"/>
        </w:rPr>
        <w:t> </w:t>
      </w:r>
      <w:r w:rsidR="00FF7F15" w:rsidRPr="006519D0">
        <w:rPr>
          <w:rFonts w:eastAsiaTheme="minorEastAsia"/>
          <w:szCs w:val="22"/>
          <w:lang w:eastAsia="cs-CZ"/>
        </w:rPr>
        <w:t>s</w:t>
      </w:r>
      <w:r w:rsidRPr="006519D0">
        <w:rPr>
          <w:rFonts w:eastAsiaTheme="minorEastAsia"/>
          <w:szCs w:val="22"/>
          <w:lang w:eastAsia="cs-CZ"/>
        </w:rPr>
        <w:t>právním poplatkem ve výši 1</w:t>
      </w:r>
      <w:r w:rsidR="00CC1CFB" w:rsidRPr="006519D0">
        <w:rPr>
          <w:rFonts w:eastAsiaTheme="minorEastAsia"/>
          <w:szCs w:val="22"/>
          <w:lang w:eastAsia="cs-CZ"/>
        </w:rPr>
        <w:t> </w:t>
      </w:r>
      <w:r w:rsidRPr="006519D0">
        <w:rPr>
          <w:rFonts w:eastAsiaTheme="minorEastAsia"/>
          <w:szCs w:val="22"/>
          <w:lang w:eastAsia="cs-CZ"/>
        </w:rPr>
        <w:t>000 </w:t>
      </w:r>
      <w:r w:rsidR="00FF7F15" w:rsidRPr="006519D0">
        <w:rPr>
          <w:rFonts w:eastAsiaTheme="minorEastAsia"/>
          <w:szCs w:val="22"/>
          <w:lang w:eastAsia="cs-CZ"/>
        </w:rPr>
        <w:t>Kč</w:t>
      </w:r>
      <w:r w:rsidR="000944CB" w:rsidRPr="006519D0">
        <w:rPr>
          <w:rFonts w:eastAsiaTheme="minorEastAsia"/>
          <w:szCs w:val="22"/>
          <w:lang w:eastAsia="cs-CZ"/>
        </w:rPr>
        <w:t xml:space="preserve"> dle zákona č. 634/2004 Sb., o správních poplatcích, ve znění pozdějších předpisů</w:t>
      </w:r>
      <w:r w:rsidRPr="006519D0">
        <w:rPr>
          <w:rFonts w:eastAsiaTheme="minorEastAsia"/>
          <w:szCs w:val="22"/>
          <w:lang w:eastAsia="cs-CZ"/>
        </w:rPr>
        <w:t xml:space="preserve">. </w:t>
      </w:r>
      <w:r w:rsidR="00FD1A6B" w:rsidRPr="006519D0">
        <w:rPr>
          <w:rFonts w:eastAsiaTheme="minorEastAsia"/>
          <w:szCs w:val="22"/>
          <w:lang w:eastAsia="cs-CZ"/>
        </w:rPr>
        <w:t>MŽP na základě (kompletních) poskytnutých podkladů vydá certifikát ve lhůtě bez zbytečného odkladu, resp. do 30 dní, dle zákona č. 500/2004 Sb., správní řád, ve znění pozdějších předpisů (dále jen „správní řád“), po které ještě musí pro</w:t>
      </w:r>
      <w:r w:rsidRPr="006519D0">
        <w:rPr>
          <w:rFonts w:eastAsiaTheme="minorEastAsia"/>
          <w:szCs w:val="22"/>
          <w:lang w:eastAsia="cs-CZ"/>
        </w:rPr>
        <w:t> </w:t>
      </w:r>
      <w:r w:rsidR="00FD1A6B" w:rsidRPr="006519D0">
        <w:rPr>
          <w:rFonts w:eastAsiaTheme="minorEastAsia"/>
          <w:szCs w:val="22"/>
          <w:lang w:eastAsia="cs-CZ"/>
        </w:rPr>
        <w:t>nabytí právní moci rozhodnutí o</w:t>
      </w:r>
      <w:r w:rsidRPr="006519D0">
        <w:rPr>
          <w:rFonts w:eastAsiaTheme="minorEastAsia"/>
          <w:szCs w:val="22"/>
          <w:lang w:eastAsia="cs-CZ"/>
        </w:rPr>
        <w:t> </w:t>
      </w:r>
      <w:r w:rsidR="00FD1A6B" w:rsidRPr="006519D0">
        <w:rPr>
          <w:rFonts w:eastAsiaTheme="minorEastAsia"/>
          <w:szCs w:val="22"/>
          <w:lang w:eastAsia="cs-CZ"/>
        </w:rPr>
        <w:t xml:space="preserve">vydání certifikátu marně uplynout odvolací lhůta, která činí 15 dnů ode dne oznámení </w:t>
      </w:r>
      <w:r w:rsidR="00FD1A6B" w:rsidRPr="006519D0">
        <w:rPr>
          <w:rFonts w:eastAsiaTheme="minorEastAsia"/>
          <w:szCs w:val="22"/>
          <w:lang w:eastAsia="cs-CZ"/>
        </w:rPr>
        <w:lastRenderedPageBreak/>
        <w:t>rozhodnutí, případně se účastník řízení musí práva podat odvolání vzdát.</w:t>
      </w:r>
      <w:r w:rsidRPr="006519D0">
        <w:rPr>
          <w:rFonts w:eastAsiaTheme="minorEastAsia"/>
          <w:szCs w:val="22"/>
          <w:lang w:eastAsia="cs-CZ"/>
        </w:rPr>
        <w:t xml:space="preserve"> Proces je tak pro žadatele (i pro MŽP) zbytečně zdlouhavý a administrativně náročný.</w:t>
      </w:r>
    </w:p>
    <w:p w14:paraId="3E9EDA32" w14:textId="77777777" w:rsidR="00822683" w:rsidRPr="006519D0" w:rsidRDefault="009731B0" w:rsidP="008539D8">
      <w:r w:rsidRPr="006519D0">
        <w:t>V souvislosti</w:t>
      </w:r>
      <w:r w:rsidRPr="006519D0">
        <w:t xml:space="preserve"> se zasíláním podkladů pro vydání certifikátu je </w:t>
      </w:r>
      <w:r w:rsidR="00957BE4" w:rsidRPr="006519D0">
        <w:t xml:space="preserve">spojena </w:t>
      </w:r>
      <w:r w:rsidR="00FD1A6B" w:rsidRPr="006519D0">
        <w:t xml:space="preserve">administrativní zátěž </w:t>
      </w:r>
      <w:r w:rsidRPr="006519D0">
        <w:t xml:space="preserve">žadatelů, která je odhadována na 150 Kč/žádost </w:t>
      </w:r>
      <w:r w:rsidR="00957BE4" w:rsidRPr="006519D0">
        <w:t xml:space="preserve">(časová zátěž činí cca 0,5 hod) </w:t>
      </w:r>
      <w:r w:rsidRPr="006519D0">
        <w:t>+ 1</w:t>
      </w:r>
      <w:r w:rsidR="004A216E" w:rsidRPr="006519D0">
        <w:t> </w:t>
      </w:r>
      <w:r w:rsidRPr="006519D0">
        <w:t>000 Kč správní poplatek</w:t>
      </w:r>
      <w:r w:rsidR="00FE08E5" w:rsidRPr="006519D0">
        <w:t>.</w:t>
      </w:r>
    </w:p>
    <w:p w14:paraId="6F25801C" w14:textId="77777777" w:rsidR="004A216E" w:rsidRPr="006519D0" w:rsidRDefault="004A216E" w:rsidP="008539D8"/>
    <w:p w14:paraId="0CB0AB1C" w14:textId="77777777" w:rsidR="008539D8" w:rsidRPr="006519D0" w:rsidRDefault="009731B0" w:rsidP="00BD1744">
      <w:pPr>
        <w:pStyle w:val="Odstavecseseznamem"/>
        <w:numPr>
          <w:ilvl w:val="0"/>
          <w:numId w:val="26"/>
        </w:numPr>
        <w:rPr>
          <w:b/>
        </w:rPr>
      </w:pPr>
      <w:r w:rsidRPr="006519D0">
        <w:rPr>
          <w:b/>
        </w:rPr>
        <w:t>Varianta 1</w:t>
      </w:r>
    </w:p>
    <w:p w14:paraId="70A10B3D" w14:textId="77777777" w:rsidR="008539D8" w:rsidRPr="006519D0" w:rsidRDefault="009731B0" w:rsidP="006B120A">
      <w:pPr>
        <w:spacing w:before="240" w:after="0"/>
        <w:rPr>
          <w:b/>
        </w:rPr>
      </w:pPr>
      <w:r w:rsidRPr="006519D0">
        <w:rPr>
          <w:b/>
        </w:rPr>
        <w:t>Dopady na státní rozpočet a ostatní veřejné rozpočty</w:t>
      </w:r>
    </w:p>
    <w:p w14:paraId="6D391A98" w14:textId="77777777" w:rsidR="004103BA" w:rsidRPr="006519D0" w:rsidRDefault="009731B0" w:rsidP="008539D8">
      <w:r w:rsidRPr="006519D0">
        <w:t xml:space="preserve">V souvislosti se zjednodušením systému certifikace se očekává </w:t>
      </w:r>
      <w:r w:rsidR="00511E8A" w:rsidRPr="006519D0">
        <w:t>sníž</w:t>
      </w:r>
      <w:r w:rsidRPr="006519D0">
        <w:t>en</w:t>
      </w:r>
      <w:r w:rsidR="00511E8A" w:rsidRPr="006519D0">
        <w:t xml:space="preserve">í </w:t>
      </w:r>
      <w:r w:rsidR="00F33E8B" w:rsidRPr="006519D0">
        <w:t>administrativní zátěž</w:t>
      </w:r>
      <w:r w:rsidRPr="006519D0">
        <w:t xml:space="preserve">e MŽP, neboť dojde ke </w:t>
      </w:r>
      <w:r w:rsidR="00511E8A" w:rsidRPr="006519D0">
        <w:t xml:space="preserve">zrušení </w:t>
      </w:r>
      <w:r w:rsidR="001B6C2E" w:rsidRPr="006519D0">
        <w:t xml:space="preserve">výkonu činností </w:t>
      </w:r>
      <w:r w:rsidRPr="006519D0">
        <w:t xml:space="preserve">MŽP, coby </w:t>
      </w:r>
      <w:r w:rsidR="00511E8A" w:rsidRPr="006519D0">
        <w:t>certifikačního subjektu.</w:t>
      </w:r>
      <w:r w:rsidR="00E80545" w:rsidRPr="006519D0">
        <w:t xml:space="preserve"> Zpracování </w:t>
      </w:r>
      <w:r w:rsidR="00C412A3" w:rsidRPr="006519D0">
        <w:t>poskytnutých podkladů</w:t>
      </w:r>
      <w:r w:rsidR="00E80545" w:rsidRPr="006519D0">
        <w:t xml:space="preserve"> od žadatelů a vydání </w:t>
      </w:r>
      <w:r w:rsidR="00560241" w:rsidRPr="006519D0">
        <w:t xml:space="preserve">certifikátů </w:t>
      </w:r>
      <w:r w:rsidR="00E80545" w:rsidRPr="006519D0">
        <w:t xml:space="preserve">trvá dle informací MŽP </w:t>
      </w:r>
      <w:r w:rsidR="00560241" w:rsidRPr="006519D0">
        <w:t>500</w:t>
      </w:r>
      <w:r w:rsidR="00FE08E5" w:rsidRPr="006519D0">
        <w:t xml:space="preserve"> </w:t>
      </w:r>
      <w:r w:rsidR="00E80545" w:rsidRPr="006519D0">
        <w:t>hodin</w:t>
      </w:r>
      <w:r w:rsidR="00123C4B" w:rsidRPr="006519D0">
        <w:t>,</w:t>
      </w:r>
      <w:r w:rsidR="00E80545" w:rsidRPr="006519D0">
        <w:t xml:space="preserve"> </w:t>
      </w:r>
      <w:r w:rsidR="00CA3692" w:rsidRPr="006519D0">
        <w:br/>
      </w:r>
      <w:r w:rsidRPr="006519D0">
        <w:t>tzn.</w:t>
      </w:r>
      <w:r w:rsidR="007D7531" w:rsidRPr="006519D0">
        <w:t>,</w:t>
      </w:r>
      <w:r w:rsidRPr="006519D0">
        <w:t xml:space="preserve"> zjednodušením systému certifikace dojde na straně MŽP k </w:t>
      </w:r>
      <w:r w:rsidR="00E80545" w:rsidRPr="006519D0">
        <w:t>úspo</w:t>
      </w:r>
      <w:r w:rsidRPr="006519D0">
        <w:t>ře</w:t>
      </w:r>
      <w:r w:rsidR="00E80545" w:rsidRPr="006519D0">
        <w:t xml:space="preserve"> </w:t>
      </w:r>
      <w:r w:rsidR="00FE08E5" w:rsidRPr="006519D0">
        <w:t>cca 2</w:t>
      </w:r>
      <w:r w:rsidRPr="006519D0">
        <w:t>2</w:t>
      </w:r>
      <w:r w:rsidR="00FE08E5" w:rsidRPr="006519D0">
        <w:t xml:space="preserve">8 tis. </w:t>
      </w:r>
      <w:r w:rsidR="00E80545" w:rsidRPr="006519D0">
        <w:t>Kč</w:t>
      </w:r>
      <w:r w:rsidRPr="006519D0">
        <w:t>/rok</w:t>
      </w:r>
      <w:r w:rsidR="00E80545" w:rsidRPr="006519D0">
        <w:t>.</w:t>
      </w:r>
      <w:r w:rsidR="00511E8A" w:rsidRPr="006519D0">
        <w:t xml:space="preserve"> </w:t>
      </w:r>
      <w:r w:rsidRPr="006519D0">
        <w:t>MŽP bude n</w:t>
      </w:r>
      <w:r w:rsidR="00511E8A" w:rsidRPr="006519D0">
        <w:t xml:space="preserve">adále evidovat počet osob, kterým byl certifikát vydán prostřednictvím </w:t>
      </w:r>
      <w:r w:rsidR="00C412A3" w:rsidRPr="006519D0">
        <w:t>Informačního systému certifikovaných osob</w:t>
      </w:r>
      <w:r w:rsidRPr="006519D0">
        <w:t xml:space="preserve"> dle zákona č. 73/2012 Sb</w:t>
      </w:r>
      <w:r w:rsidR="00560241" w:rsidRPr="006519D0">
        <w:t>.</w:t>
      </w:r>
      <w:r w:rsidR="00C412A3" w:rsidRPr="006519D0">
        <w:t xml:space="preserve"> </w:t>
      </w:r>
    </w:p>
    <w:p w14:paraId="42BE27BD" w14:textId="77777777" w:rsidR="008539D8" w:rsidRPr="006519D0" w:rsidRDefault="009731B0" w:rsidP="006B120A">
      <w:pPr>
        <w:spacing w:before="240" w:after="0"/>
        <w:rPr>
          <w:b/>
        </w:rPr>
      </w:pPr>
      <w:r w:rsidRPr="006519D0">
        <w:rPr>
          <w:b/>
        </w:rPr>
        <w:t>Dopady na podnikatelské prostředí</w:t>
      </w:r>
    </w:p>
    <w:p w14:paraId="14075481" w14:textId="77777777" w:rsidR="00C50308" w:rsidRPr="006519D0" w:rsidRDefault="009731B0" w:rsidP="008539D8">
      <w:r w:rsidRPr="006519D0">
        <w:t>Změnou výkonu činnosti hodnotících subjektů, k</w:t>
      </w:r>
      <w:r w:rsidR="00822683" w:rsidRPr="006519D0">
        <w:t>teří</w:t>
      </w:r>
      <w:r w:rsidRPr="006519D0">
        <w:t xml:space="preserve"> budou </w:t>
      </w:r>
      <w:r w:rsidR="00D5250A" w:rsidRPr="006519D0">
        <w:t xml:space="preserve">kromě </w:t>
      </w:r>
      <w:r w:rsidR="00822683" w:rsidRPr="006519D0">
        <w:t xml:space="preserve">provádění </w:t>
      </w:r>
      <w:r w:rsidR="00822683" w:rsidRPr="006519D0">
        <w:rPr>
          <w:rFonts w:eastAsiaTheme="minorEastAsia"/>
          <w:szCs w:val="22"/>
          <w:lang w:eastAsia="cs-CZ"/>
        </w:rPr>
        <w:t>certifikačních zkoušek</w:t>
      </w:r>
      <w:r w:rsidR="00822683" w:rsidRPr="006519D0">
        <w:t xml:space="preserve"> </w:t>
      </w:r>
      <w:r w:rsidRPr="006519D0">
        <w:t xml:space="preserve">vykonávat </w:t>
      </w:r>
      <w:r w:rsidR="00822683" w:rsidRPr="006519D0">
        <w:t xml:space="preserve">současně </w:t>
      </w:r>
      <w:r w:rsidRPr="006519D0">
        <w:t xml:space="preserve">i činnost certifikačních subjektů, se zjednoduší, zrychlí a celkově zefektivní celý </w:t>
      </w:r>
      <w:r w:rsidR="00FC418C" w:rsidRPr="006519D0">
        <w:t>certifikační proces</w:t>
      </w:r>
      <w:r w:rsidRPr="006519D0">
        <w:t xml:space="preserve">. Odpadne neúčelné vydávání certifikátů MŽP a </w:t>
      </w:r>
      <w:r w:rsidR="00593E07" w:rsidRPr="006519D0">
        <w:t>zkrátí se doba od podání žádosti do vydání certifikátu</w:t>
      </w:r>
      <w:r w:rsidR="00FC418C" w:rsidRPr="006519D0">
        <w:t>, jelikož certifikát bude vydávat subjekt, u kterého žadatel absolvoval certifikační zkoušku.</w:t>
      </w:r>
      <w:r w:rsidR="00422ABD" w:rsidRPr="006519D0">
        <w:t xml:space="preserve"> </w:t>
      </w:r>
      <w:r w:rsidR="00822683" w:rsidRPr="006519D0">
        <w:t>V souvislosti s touto změnou o</w:t>
      </w:r>
      <w:r w:rsidR="00422ABD" w:rsidRPr="006519D0">
        <w:t xml:space="preserve">čekáváme snížení </w:t>
      </w:r>
      <w:r w:rsidR="00822683" w:rsidRPr="006519D0">
        <w:t xml:space="preserve">časové náročnosti žadatele o 0,5 hodiny na zaslání žádosti, </w:t>
      </w:r>
      <w:r w:rsidR="00924B9B" w:rsidRPr="006519D0">
        <w:t>tzn. snížení</w:t>
      </w:r>
      <w:r w:rsidR="00822683" w:rsidRPr="006519D0">
        <w:t xml:space="preserve"> </w:t>
      </w:r>
      <w:r w:rsidR="00C23FE4" w:rsidRPr="006519D0">
        <w:t>administrativní zátěže</w:t>
      </w:r>
      <w:r w:rsidR="00030C1C" w:rsidRPr="006519D0">
        <w:t xml:space="preserve"> žadatele</w:t>
      </w:r>
      <w:r w:rsidR="00422ABD" w:rsidRPr="006519D0">
        <w:t xml:space="preserve"> o 150</w:t>
      </w:r>
      <w:r w:rsidR="00C23FE4" w:rsidRPr="006519D0">
        <w:t xml:space="preserve"> </w:t>
      </w:r>
      <w:r w:rsidR="00822683" w:rsidRPr="006519D0">
        <w:t xml:space="preserve">Kč/certifikát </w:t>
      </w:r>
      <w:r w:rsidR="001049B6" w:rsidRPr="006519D0">
        <w:t>a úsporu</w:t>
      </w:r>
      <w:r w:rsidR="00C23FE4" w:rsidRPr="006519D0">
        <w:t xml:space="preserve"> </w:t>
      </w:r>
      <w:r w:rsidR="00422ABD" w:rsidRPr="006519D0">
        <w:t>1</w:t>
      </w:r>
      <w:r w:rsidR="00310BC0" w:rsidRPr="006519D0">
        <w:t> </w:t>
      </w:r>
      <w:r w:rsidR="00422ABD" w:rsidRPr="006519D0">
        <w:t>000 Kč/žádost</w:t>
      </w:r>
      <w:r w:rsidR="001049B6" w:rsidRPr="006519D0">
        <w:t xml:space="preserve"> za správní poplatek</w:t>
      </w:r>
      <w:r w:rsidR="00560241" w:rsidRPr="006519D0">
        <w:t>.</w:t>
      </w:r>
      <w:r w:rsidR="00C8331A" w:rsidRPr="006519D0">
        <w:t xml:space="preserve"> </w:t>
      </w:r>
      <w:r w:rsidR="00C8331A" w:rsidRPr="006519D0">
        <w:rPr>
          <w:b/>
        </w:rPr>
        <w:t>Pro žadatele</w:t>
      </w:r>
      <w:r w:rsidR="00C8331A" w:rsidRPr="006519D0">
        <w:t xml:space="preserve"> o</w:t>
      </w:r>
      <w:r w:rsidR="00593E07" w:rsidRPr="006519D0">
        <w:t> </w:t>
      </w:r>
      <w:r w:rsidR="00C8331A" w:rsidRPr="006519D0">
        <w:t>vydání certifikátu se jedná o</w:t>
      </w:r>
      <w:r w:rsidR="0054295F" w:rsidRPr="006519D0">
        <w:t> </w:t>
      </w:r>
      <w:r w:rsidR="00C8331A" w:rsidRPr="006519D0">
        <w:t>zjednodušení celého procesu získání certifikátu a zároveň se pro ně také zkrátí doba od</w:t>
      </w:r>
      <w:r w:rsidR="00162A96" w:rsidRPr="006519D0">
        <w:t> </w:t>
      </w:r>
      <w:r w:rsidR="00C8331A" w:rsidRPr="006519D0">
        <w:t>podání žádosti do vydání certifikátu.</w:t>
      </w:r>
      <w:r w:rsidR="000D41FA" w:rsidRPr="006519D0">
        <w:t xml:space="preserve"> Zároveň </w:t>
      </w:r>
      <w:r w:rsidR="00D25B2E" w:rsidRPr="006519D0">
        <w:t>budou sjednoceny</w:t>
      </w:r>
      <w:r w:rsidR="000D41FA" w:rsidRPr="006519D0">
        <w:t xml:space="preserve"> minimální požadavky </w:t>
      </w:r>
      <w:r w:rsidR="00AD03BC" w:rsidRPr="006519D0">
        <w:t>na</w:t>
      </w:r>
      <w:r w:rsidR="00162A96" w:rsidRPr="006519D0">
        <w:t> </w:t>
      </w:r>
      <w:r w:rsidR="00AD03BC" w:rsidRPr="006519D0">
        <w:t>vykonání teoretické a praktické zkoušky u různých hodnotících subjektů.</w:t>
      </w:r>
    </w:p>
    <w:p w14:paraId="7841A057" w14:textId="77777777" w:rsidR="00A7381F" w:rsidRPr="006519D0" w:rsidRDefault="009731B0" w:rsidP="0054295F">
      <w:r w:rsidRPr="006519D0">
        <w:rPr>
          <w:b/>
        </w:rPr>
        <w:t>Hodnotící subjekty</w:t>
      </w:r>
      <w:r w:rsidRPr="006519D0">
        <w:t xml:space="preserve"> budou nově vydávat žadatelům po úspěšném absolvování zkoušky </w:t>
      </w:r>
      <w:r w:rsidR="00C8331A" w:rsidRPr="006519D0">
        <w:t>certifikát</w:t>
      </w:r>
      <w:r w:rsidRPr="006519D0">
        <w:t>, ale na druhou stranu jim</w:t>
      </w:r>
      <w:r w:rsidR="00030C1C" w:rsidRPr="006519D0">
        <w:t xml:space="preserve"> odpadne povinnost zpracovat osvědčení o absolvování certifikační zkoušky, které nyní předáva</w:t>
      </w:r>
      <w:r w:rsidR="00581535" w:rsidRPr="006519D0">
        <w:t>li</w:t>
      </w:r>
      <w:r w:rsidR="00030C1C" w:rsidRPr="006519D0">
        <w:t xml:space="preserve"> žadatelům pro</w:t>
      </w:r>
      <w:r w:rsidRPr="006519D0">
        <w:t> </w:t>
      </w:r>
      <w:r w:rsidR="00030C1C" w:rsidRPr="006519D0">
        <w:t xml:space="preserve">MŽP. </w:t>
      </w:r>
      <w:r w:rsidRPr="006519D0">
        <w:t>Předpokládáme tedy, že u hodnotících subjek</w:t>
      </w:r>
      <w:r w:rsidRPr="006519D0">
        <w:t xml:space="preserve">tů zůstane celková </w:t>
      </w:r>
      <w:r w:rsidR="00C8331A" w:rsidRPr="006519D0">
        <w:t xml:space="preserve">administrativní zátěž nezměněná, popř. dojde k zanedbatelnému navýšení při vydávání certifikátu pro fyzické osoby podnikající a pro právnické osoby (cca o 5 min/certifikát), jelikož pro vydání certifikátu bude nutné zkontrolovat, zda tyto osoby plní požadavky dle </w:t>
      </w:r>
      <w:r w:rsidR="00240270" w:rsidRPr="006519D0">
        <w:t>článku 6 prováděcího nařízení Komise (EU) 2015/2067 a článku 8 prováděcího nařízení Komise (EU) 304/2008</w:t>
      </w:r>
      <w:r w:rsidR="00C8331A" w:rsidRPr="006519D0">
        <w:t xml:space="preserve"> (dolož</w:t>
      </w:r>
      <w:r w:rsidR="0054295F" w:rsidRPr="006519D0">
        <w:t>ení</w:t>
      </w:r>
      <w:r w:rsidR="00C8331A" w:rsidRPr="006519D0">
        <w:t xml:space="preserve"> čestné</w:t>
      </w:r>
      <w:r w:rsidR="0054295F" w:rsidRPr="006519D0">
        <w:t>ho</w:t>
      </w:r>
      <w:r w:rsidR="00C8331A" w:rsidRPr="006519D0">
        <w:t xml:space="preserve"> prohlášení) a zda právnické osoby zaměstnávají fyzické osoby</w:t>
      </w:r>
      <w:r w:rsidR="0054295F" w:rsidRPr="006519D0">
        <w:t>.</w:t>
      </w:r>
      <w:r w:rsidR="00C8331A" w:rsidRPr="006519D0">
        <w:t xml:space="preserve"> </w:t>
      </w:r>
      <w:r w:rsidR="0054295F" w:rsidRPr="006519D0">
        <w:t xml:space="preserve">Předpokládáme tedy, že vydání certifikátu </w:t>
      </w:r>
      <w:r w:rsidR="00AE5FF9" w:rsidRPr="006519D0">
        <w:t xml:space="preserve">by </w:t>
      </w:r>
      <w:r w:rsidR="0054295F" w:rsidRPr="006519D0">
        <w:t>se ne</w:t>
      </w:r>
      <w:r w:rsidR="00AE5FF9" w:rsidRPr="006519D0">
        <w:t>mělo promítnout</w:t>
      </w:r>
      <w:r w:rsidR="0054295F" w:rsidRPr="006519D0">
        <w:t xml:space="preserve"> </w:t>
      </w:r>
      <w:r w:rsidR="00AE5FF9" w:rsidRPr="006519D0">
        <w:t>do</w:t>
      </w:r>
      <w:r w:rsidR="0054295F" w:rsidRPr="006519D0">
        <w:t xml:space="preserve"> </w:t>
      </w:r>
      <w:r w:rsidR="00AE5FF9" w:rsidRPr="006519D0">
        <w:t>ceny</w:t>
      </w:r>
      <w:r w:rsidR="0054295F" w:rsidRPr="006519D0">
        <w:t xml:space="preserve"> za </w:t>
      </w:r>
      <w:r w:rsidR="00AE5FF9" w:rsidRPr="006519D0">
        <w:t>zkoušku</w:t>
      </w:r>
      <w:r w:rsidR="0054295F" w:rsidRPr="006519D0">
        <w:t xml:space="preserve"> </w:t>
      </w:r>
      <w:r w:rsidR="00AE5FF9" w:rsidRPr="006519D0">
        <w:t xml:space="preserve">nebo </w:t>
      </w:r>
      <w:r w:rsidR="0054295F" w:rsidRPr="006519D0">
        <w:t>pouze minimálně.</w:t>
      </w:r>
      <w:r w:rsidR="00AD03BC" w:rsidRPr="006519D0">
        <w:t xml:space="preserve"> Hodnotící subjekt bude mít dále povinnost dodržovat minimální požadavky na zkoušku, které budou nově stanoveny prováděcím právním předpisem. </w:t>
      </w:r>
      <w:r w:rsidR="00C43F42" w:rsidRPr="006519D0">
        <w:t xml:space="preserve">Časová náročnost na změnu zkoušek by však měly být minimální a jednorázová, kdy spíše půjde o kontrolu s právním předpisem, zda je ve zkoušce vše obsaženo. </w:t>
      </w:r>
    </w:p>
    <w:p w14:paraId="08B134C0" w14:textId="77777777" w:rsidR="00F153FE" w:rsidRPr="006519D0" w:rsidRDefault="00F153FE" w:rsidP="00F33E8B"/>
    <w:p w14:paraId="11416911" w14:textId="77777777" w:rsidR="00EF7E7C" w:rsidRPr="006519D0" w:rsidRDefault="009731B0" w:rsidP="00EF7E7C">
      <w:pPr>
        <w:pStyle w:val="Nadpis3"/>
      </w:pPr>
      <w:r w:rsidRPr="006519D0">
        <w:lastRenderedPageBreak/>
        <w:t>Vyhodnocení nákladů a přínosů variant</w:t>
      </w:r>
    </w:p>
    <w:p w14:paraId="15687750" w14:textId="77777777" w:rsidR="00B5660A" w:rsidRPr="006519D0" w:rsidRDefault="009731B0" w:rsidP="00B5660A">
      <w:pPr>
        <w:keepNext/>
        <w:rPr>
          <w:rFonts w:cs="Arial"/>
          <w:b/>
          <w:spacing w:val="10"/>
          <w:sz w:val="20"/>
          <w:szCs w:val="20"/>
        </w:rPr>
      </w:pPr>
      <w:r w:rsidRPr="006519D0">
        <w:rPr>
          <w:rFonts w:cs="Arial"/>
          <w:b/>
          <w:spacing w:val="10"/>
          <w:sz w:val="20"/>
          <w:szCs w:val="20"/>
        </w:rPr>
        <w:t xml:space="preserve">Tabulka </w:t>
      </w:r>
      <w:r w:rsidR="006B120A" w:rsidRPr="006519D0">
        <w:rPr>
          <w:rFonts w:cs="Arial"/>
          <w:b/>
          <w:spacing w:val="10"/>
          <w:sz w:val="20"/>
          <w:szCs w:val="20"/>
        </w:rPr>
        <w:t>5</w:t>
      </w:r>
      <w:r w:rsidRPr="006519D0">
        <w:rPr>
          <w:rFonts w:cs="Arial"/>
          <w:b/>
          <w:spacing w:val="10"/>
          <w:sz w:val="20"/>
          <w:szCs w:val="20"/>
        </w:rPr>
        <w:t>: Porovnání nákladů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2ABE7304" w14:textId="77777777" w:rsidTr="00B5660A">
        <w:trPr>
          <w:trHeight w:val="423"/>
        </w:trPr>
        <w:tc>
          <w:tcPr>
            <w:tcW w:w="1240" w:type="dxa"/>
            <w:noWrap/>
            <w:vAlign w:val="center"/>
            <w:hideMark/>
          </w:tcPr>
          <w:p w14:paraId="63B5EC23" w14:textId="77777777" w:rsidR="00B5660A" w:rsidRPr="006519D0" w:rsidRDefault="009731B0" w:rsidP="00B5660A">
            <w:pPr>
              <w:rPr>
                <w:b/>
                <w:bCs/>
                <w:szCs w:val="20"/>
              </w:rPr>
            </w:pPr>
            <w:r w:rsidRPr="006519D0">
              <w:rPr>
                <w:b/>
                <w:bCs/>
                <w:szCs w:val="20"/>
              </w:rPr>
              <w:t>Varianta</w:t>
            </w:r>
          </w:p>
        </w:tc>
        <w:tc>
          <w:tcPr>
            <w:tcW w:w="2405" w:type="dxa"/>
            <w:noWrap/>
            <w:vAlign w:val="center"/>
            <w:hideMark/>
          </w:tcPr>
          <w:p w14:paraId="5530DDC5" w14:textId="77777777" w:rsidR="00B5660A" w:rsidRPr="006519D0" w:rsidRDefault="009731B0" w:rsidP="00B5660A">
            <w:pPr>
              <w:jc w:val="center"/>
              <w:rPr>
                <w:b/>
                <w:bCs/>
                <w:szCs w:val="20"/>
              </w:rPr>
            </w:pPr>
            <w:r w:rsidRPr="006519D0">
              <w:rPr>
                <w:b/>
                <w:bCs/>
                <w:szCs w:val="20"/>
              </w:rPr>
              <w:t>Přínosy</w:t>
            </w:r>
          </w:p>
        </w:tc>
        <w:tc>
          <w:tcPr>
            <w:tcW w:w="1496" w:type="dxa"/>
            <w:noWrap/>
            <w:vAlign w:val="center"/>
            <w:hideMark/>
          </w:tcPr>
          <w:p w14:paraId="4EB8AD5A" w14:textId="77777777" w:rsidR="00B5660A" w:rsidRPr="006519D0" w:rsidRDefault="009731B0" w:rsidP="00B5660A">
            <w:pPr>
              <w:jc w:val="center"/>
              <w:rPr>
                <w:b/>
                <w:bCs/>
                <w:szCs w:val="20"/>
              </w:rPr>
            </w:pPr>
            <w:r w:rsidRPr="006519D0">
              <w:rPr>
                <w:b/>
                <w:bCs/>
                <w:szCs w:val="20"/>
              </w:rPr>
              <w:t>Hodnocení</w:t>
            </w:r>
          </w:p>
        </w:tc>
        <w:tc>
          <w:tcPr>
            <w:tcW w:w="2465" w:type="dxa"/>
            <w:noWrap/>
            <w:vAlign w:val="center"/>
            <w:hideMark/>
          </w:tcPr>
          <w:p w14:paraId="1DDF26EC" w14:textId="77777777" w:rsidR="00B5660A" w:rsidRPr="006519D0" w:rsidRDefault="009731B0" w:rsidP="00B5660A">
            <w:pPr>
              <w:jc w:val="center"/>
              <w:rPr>
                <w:b/>
                <w:bCs/>
                <w:szCs w:val="20"/>
              </w:rPr>
            </w:pPr>
            <w:r w:rsidRPr="006519D0">
              <w:rPr>
                <w:b/>
                <w:bCs/>
                <w:szCs w:val="20"/>
              </w:rPr>
              <w:t>Náklady</w:t>
            </w:r>
          </w:p>
        </w:tc>
        <w:tc>
          <w:tcPr>
            <w:tcW w:w="1456" w:type="dxa"/>
            <w:noWrap/>
            <w:vAlign w:val="center"/>
            <w:hideMark/>
          </w:tcPr>
          <w:p w14:paraId="14E4DB51" w14:textId="77777777" w:rsidR="00B5660A" w:rsidRPr="006519D0" w:rsidRDefault="009731B0" w:rsidP="00B5660A">
            <w:pPr>
              <w:jc w:val="center"/>
              <w:rPr>
                <w:b/>
                <w:bCs/>
                <w:szCs w:val="20"/>
              </w:rPr>
            </w:pPr>
            <w:r w:rsidRPr="006519D0">
              <w:rPr>
                <w:b/>
                <w:bCs/>
                <w:szCs w:val="20"/>
              </w:rPr>
              <w:t>Hodnocení</w:t>
            </w:r>
          </w:p>
        </w:tc>
      </w:tr>
      <w:tr w:rsidR="00326AB0" w14:paraId="7E118498" w14:textId="77777777" w:rsidTr="00B5660A">
        <w:trPr>
          <w:trHeight w:val="434"/>
        </w:trPr>
        <w:tc>
          <w:tcPr>
            <w:tcW w:w="1240" w:type="dxa"/>
            <w:vMerge w:val="restart"/>
            <w:noWrap/>
            <w:vAlign w:val="center"/>
            <w:hideMark/>
          </w:tcPr>
          <w:p w14:paraId="674F29F5" w14:textId="77777777" w:rsidR="00C43F42" w:rsidRPr="006519D0" w:rsidRDefault="009731B0" w:rsidP="00B5660A">
            <w:pPr>
              <w:rPr>
                <w:b/>
                <w:bCs/>
                <w:szCs w:val="20"/>
              </w:rPr>
            </w:pPr>
            <w:r w:rsidRPr="006519D0">
              <w:rPr>
                <w:b/>
                <w:bCs/>
                <w:szCs w:val="20"/>
              </w:rPr>
              <w:t>Varianta 0</w:t>
            </w:r>
          </w:p>
        </w:tc>
        <w:tc>
          <w:tcPr>
            <w:tcW w:w="7822" w:type="dxa"/>
            <w:gridSpan w:val="4"/>
            <w:vAlign w:val="center"/>
            <w:hideMark/>
          </w:tcPr>
          <w:p w14:paraId="63097D1C" w14:textId="77777777" w:rsidR="00C43F42" w:rsidRPr="006519D0" w:rsidRDefault="009731B0" w:rsidP="004607C3">
            <w:pPr>
              <w:spacing w:before="40" w:after="40"/>
              <w:jc w:val="center"/>
              <w:rPr>
                <w:b/>
                <w:bCs/>
                <w:szCs w:val="20"/>
              </w:rPr>
            </w:pPr>
            <w:r w:rsidRPr="006519D0">
              <w:rPr>
                <w:b/>
                <w:bCs/>
                <w:szCs w:val="20"/>
              </w:rPr>
              <w:t>Státní rozpočet</w:t>
            </w:r>
            <w:r w:rsidRPr="006519D0">
              <w:rPr>
                <w:b/>
                <w:bCs/>
                <w:szCs w:val="20"/>
              </w:rPr>
              <w:t xml:space="preserve"> a ostatní veřejné rozpočty</w:t>
            </w:r>
          </w:p>
        </w:tc>
      </w:tr>
      <w:tr w:rsidR="00326AB0" w14:paraId="067F3296" w14:textId="77777777" w:rsidTr="004607C3">
        <w:trPr>
          <w:trHeight w:val="480"/>
        </w:trPr>
        <w:tc>
          <w:tcPr>
            <w:tcW w:w="1240" w:type="dxa"/>
            <w:vMerge/>
            <w:vAlign w:val="center"/>
            <w:hideMark/>
          </w:tcPr>
          <w:p w14:paraId="0118AADE" w14:textId="77777777" w:rsidR="00C43F42" w:rsidRPr="006519D0" w:rsidRDefault="00C43F42" w:rsidP="00B5660A">
            <w:pPr>
              <w:rPr>
                <w:b/>
                <w:bCs/>
                <w:szCs w:val="20"/>
              </w:rPr>
            </w:pPr>
          </w:p>
        </w:tc>
        <w:tc>
          <w:tcPr>
            <w:tcW w:w="2405" w:type="dxa"/>
            <w:vAlign w:val="center"/>
            <w:hideMark/>
          </w:tcPr>
          <w:p w14:paraId="2A5FACA4" w14:textId="77777777" w:rsidR="00C43F42" w:rsidRPr="006519D0" w:rsidRDefault="00C43F42" w:rsidP="004607C3">
            <w:pPr>
              <w:spacing w:before="40" w:after="40"/>
              <w:jc w:val="center"/>
              <w:rPr>
                <w:szCs w:val="20"/>
              </w:rPr>
            </w:pPr>
          </w:p>
        </w:tc>
        <w:tc>
          <w:tcPr>
            <w:tcW w:w="1496" w:type="dxa"/>
            <w:vAlign w:val="center"/>
            <w:hideMark/>
          </w:tcPr>
          <w:p w14:paraId="336EC694" w14:textId="77777777" w:rsidR="00C43F42" w:rsidRPr="006519D0" w:rsidRDefault="00C43F42" w:rsidP="004607C3">
            <w:pPr>
              <w:spacing w:before="40" w:after="40"/>
              <w:jc w:val="center"/>
              <w:rPr>
                <w:szCs w:val="20"/>
              </w:rPr>
            </w:pPr>
          </w:p>
        </w:tc>
        <w:tc>
          <w:tcPr>
            <w:tcW w:w="2465" w:type="dxa"/>
            <w:vAlign w:val="center"/>
          </w:tcPr>
          <w:p w14:paraId="3BC4E72E" w14:textId="77777777" w:rsidR="00C43F42" w:rsidRPr="006519D0" w:rsidRDefault="009731B0" w:rsidP="004607C3">
            <w:pPr>
              <w:spacing w:before="40" w:after="40"/>
              <w:jc w:val="center"/>
              <w:rPr>
                <w:szCs w:val="20"/>
              </w:rPr>
            </w:pPr>
            <w:r w:rsidRPr="006519D0">
              <w:rPr>
                <w:szCs w:val="20"/>
              </w:rPr>
              <w:t xml:space="preserve">MŽP – AZ na vydávání certifikátů </w:t>
            </w:r>
          </w:p>
        </w:tc>
        <w:tc>
          <w:tcPr>
            <w:tcW w:w="1456" w:type="dxa"/>
            <w:vAlign w:val="center"/>
          </w:tcPr>
          <w:p w14:paraId="0BE5B5E1" w14:textId="77777777" w:rsidR="00C43F42" w:rsidRPr="006519D0" w:rsidRDefault="009731B0" w:rsidP="004607C3">
            <w:pPr>
              <w:spacing w:before="40" w:after="40"/>
              <w:jc w:val="center"/>
              <w:rPr>
                <w:szCs w:val="20"/>
              </w:rPr>
            </w:pPr>
            <w:r w:rsidRPr="006519D0">
              <w:rPr>
                <w:szCs w:val="20"/>
              </w:rPr>
              <w:t>228 tis. Kč/rok</w:t>
            </w:r>
          </w:p>
        </w:tc>
      </w:tr>
      <w:tr w:rsidR="00326AB0" w14:paraId="6EDFB1E8" w14:textId="77777777" w:rsidTr="00B5660A">
        <w:trPr>
          <w:trHeight w:val="370"/>
        </w:trPr>
        <w:tc>
          <w:tcPr>
            <w:tcW w:w="1240" w:type="dxa"/>
            <w:vMerge/>
            <w:vAlign w:val="center"/>
            <w:hideMark/>
          </w:tcPr>
          <w:p w14:paraId="58C460A9" w14:textId="77777777" w:rsidR="00C43F42" w:rsidRPr="006519D0" w:rsidRDefault="00C43F42" w:rsidP="00B5660A">
            <w:pPr>
              <w:rPr>
                <w:b/>
                <w:bCs/>
                <w:szCs w:val="20"/>
              </w:rPr>
            </w:pPr>
          </w:p>
        </w:tc>
        <w:tc>
          <w:tcPr>
            <w:tcW w:w="7822" w:type="dxa"/>
            <w:gridSpan w:val="4"/>
            <w:vAlign w:val="center"/>
            <w:hideMark/>
          </w:tcPr>
          <w:p w14:paraId="00BD07C5" w14:textId="77777777" w:rsidR="00C43F42" w:rsidRPr="006519D0" w:rsidRDefault="009731B0" w:rsidP="004607C3">
            <w:pPr>
              <w:spacing w:before="40" w:after="40"/>
              <w:jc w:val="center"/>
              <w:rPr>
                <w:b/>
                <w:bCs/>
                <w:szCs w:val="20"/>
              </w:rPr>
            </w:pPr>
            <w:r w:rsidRPr="006519D0">
              <w:rPr>
                <w:b/>
                <w:bCs/>
                <w:szCs w:val="20"/>
              </w:rPr>
              <w:t>Podnikatelské subjekty</w:t>
            </w:r>
          </w:p>
        </w:tc>
      </w:tr>
      <w:tr w:rsidR="00326AB0" w14:paraId="0FD106C5" w14:textId="77777777" w:rsidTr="004607C3">
        <w:trPr>
          <w:trHeight w:val="452"/>
        </w:trPr>
        <w:tc>
          <w:tcPr>
            <w:tcW w:w="1240" w:type="dxa"/>
            <w:vMerge/>
            <w:vAlign w:val="center"/>
            <w:hideMark/>
          </w:tcPr>
          <w:p w14:paraId="16B90AF8" w14:textId="77777777" w:rsidR="00C43F42" w:rsidRPr="006519D0" w:rsidRDefault="00C43F42" w:rsidP="00B5660A">
            <w:pPr>
              <w:rPr>
                <w:b/>
                <w:bCs/>
                <w:szCs w:val="20"/>
              </w:rPr>
            </w:pPr>
          </w:p>
        </w:tc>
        <w:tc>
          <w:tcPr>
            <w:tcW w:w="2405" w:type="dxa"/>
            <w:vAlign w:val="center"/>
            <w:hideMark/>
          </w:tcPr>
          <w:p w14:paraId="53E68A82" w14:textId="77777777" w:rsidR="00C43F42" w:rsidRPr="006519D0" w:rsidRDefault="00C43F42" w:rsidP="004607C3">
            <w:pPr>
              <w:spacing w:before="40" w:after="40"/>
              <w:jc w:val="center"/>
              <w:rPr>
                <w:szCs w:val="20"/>
              </w:rPr>
            </w:pPr>
          </w:p>
        </w:tc>
        <w:tc>
          <w:tcPr>
            <w:tcW w:w="1496" w:type="dxa"/>
            <w:vAlign w:val="center"/>
            <w:hideMark/>
          </w:tcPr>
          <w:p w14:paraId="4E5C82D4" w14:textId="77777777" w:rsidR="00C43F42" w:rsidRPr="006519D0" w:rsidRDefault="00C43F42" w:rsidP="004607C3">
            <w:pPr>
              <w:spacing w:before="40" w:after="40"/>
              <w:jc w:val="center"/>
              <w:rPr>
                <w:szCs w:val="20"/>
              </w:rPr>
            </w:pPr>
          </w:p>
        </w:tc>
        <w:tc>
          <w:tcPr>
            <w:tcW w:w="2465" w:type="dxa"/>
            <w:vAlign w:val="center"/>
          </w:tcPr>
          <w:p w14:paraId="4E13E48B" w14:textId="77777777" w:rsidR="00C43F42" w:rsidRPr="006519D0" w:rsidRDefault="009731B0" w:rsidP="004607C3">
            <w:pPr>
              <w:spacing w:before="40" w:after="40"/>
              <w:jc w:val="center"/>
              <w:rPr>
                <w:szCs w:val="20"/>
              </w:rPr>
            </w:pPr>
            <w:r w:rsidRPr="006519D0">
              <w:rPr>
                <w:szCs w:val="20"/>
              </w:rPr>
              <w:t xml:space="preserve">Žadatelé o certifikát – AZ na podání žádosti </w:t>
            </w:r>
            <w:r w:rsidRPr="006519D0">
              <w:rPr>
                <w:szCs w:val="20"/>
              </w:rPr>
              <w:br/>
              <w:t>o certifikát</w:t>
            </w:r>
          </w:p>
        </w:tc>
        <w:tc>
          <w:tcPr>
            <w:tcW w:w="1456" w:type="dxa"/>
            <w:vAlign w:val="center"/>
          </w:tcPr>
          <w:p w14:paraId="6C33870E" w14:textId="77777777" w:rsidR="00C43F42" w:rsidRPr="006519D0" w:rsidRDefault="009731B0" w:rsidP="004607C3">
            <w:pPr>
              <w:spacing w:before="40" w:after="40"/>
              <w:jc w:val="center"/>
              <w:rPr>
                <w:szCs w:val="20"/>
              </w:rPr>
            </w:pPr>
            <w:r w:rsidRPr="006519D0">
              <w:rPr>
                <w:szCs w:val="20"/>
              </w:rPr>
              <w:t>1 150 Kč /žádost</w:t>
            </w:r>
          </w:p>
        </w:tc>
      </w:tr>
      <w:tr w:rsidR="00326AB0" w14:paraId="3FEAA36A" w14:textId="77777777" w:rsidTr="004607C3">
        <w:trPr>
          <w:trHeight w:val="925"/>
        </w:trPr>
        <w:tc>
          <w:tcPr>
            <w:tcW w:w="1240" w:type="dxa"/>
            <w:vMerge/>
            <w:vAlign w:val="center"/>
            <w:hideMark/>
          </w:tcPr>
          <w:p w14:paraId="60FD6F95" w14:textId="77777777" w:rsidR="00C43F42" w:rsidRPr="006519D0" w:rsidRDefault="00C43F42" w:rsidP="00B5660A">
            <w:pPr>
              <w:rPr>
                <w:b/>
                <w:bCs/>
                <w:szCs w:val="20"/>
              </w:rPr>
            </w:pPr>
          </w:p>
        </w:tc>
        <w:tc>
          <w:tcPr>
            <w:tcW w:w="2405" w:type="dxa"/>
            <w:vAlign w:val="center"/>
            <w:hideMark/>
          </w:tcPr>
          <w:p w14:paraId="75AE93EC" w14:textId="77777777" w:rsidR="00C43F42" w:rsidRPr="006519D0" w:rsidRDefault="00C43F42" w:rsidP="004607C3">
            <w:pPr>
              <w:spacing w:before="40" w:after="40"/>
              <w:jc w:val="center"/>
              <w:rPr>
                <w:szCs w:val="20"/>
              </w:rPr>
            </w:pPr>
          </w:p>
        </w:tc>
        <w:tc>
          <w:tcPr>
            <w:tcW w:w="1496" w:type="dxa"/>
            <w:vAlign w:val="center"/>
            <w:hideMark/>
          </w:tcPr>
          <w:p w14:paraId="456DBB0C" w14:textId="77777777" w:rsidR="00C43F42" w:rsidRPr="006519D0" w:rsidRDefault="00C43F42" w:rsidP="004607C3">
            <w:pPr>
              <w:spacing w:before="40" w:after="40"/>
              <w:jc w:val="center"/>
              <w:rPr>
                <w:szCs w:val="20"/>
              </w:rPr>
            </w:pPr>
          </w:p>
        </w:tc>
        <w:tc>
          <w:tcPr>
            <w:tcW w:w="2465" w:type="dxa"/>
            <w:vAlign w:val="center"/>
          </w:tcPr>
          <w:p w14:paraId="1DAD8E02" w14:textId="77777777" w:rsidR="00C43F42" w:rsidRPr="006519D0" w:rsidRDefault="009731B0" w:rsidP="004607C3">
            <w:pPr>
              <w:spacing w:before="40" w:after="40"/>
              <w:jc w:val="center"/>
              <w:rPr>
                <w:szCs w:val="20"/>
              </w:rPr>
            </w:pPr>
            <w:r w:rsidRPr="006519D0">
              <w:rPr>
                <w:szCs w:val="20"/>
              </w:rPr>
              <w:t xml:space="preserve">Hodnotící subjekt – zpracování </w:t>
            </w:r>
            <w:r w:rsidRPr="006519D0">
              <w:t xml:space="preserve">osvědčení </w:t>
            </w:r>
            <w:r w:rsidRPr="006519D0">
              <w:br/>
              <w:t xml:space="preserve">o absolvování </w:t>
            </w:r>
            <w:r w:rsidRPr="006519D0">
              <w:t>certifikační zkoušky</w:t>
            </w:r>
          </w:p>
        </w:tc>
        <w:tc>
          <w:tcPr>
            <w:tcW w:w="1456" w:type="dxa"/>
            <w:vAlign w:val="center"/>
          </w:tcPr>
          <w:p w14:paraId="262DA39E" w14:textId="77777777" w:rsidR="00C43F42" w:rsidRPr="006519D0" w:rsidRDefault="009731B0" w:rsidP="004607C3">
            <w:pPr>
              <w:spacing w:before="40" w:after="40"/>
              <w:jc w:val="center"/>
              <w:rPr>
                <w:szCs w:val="20"/>
              </w:rPr>
            </w:pPr>
            <w:r w:rsidRPr="006519D0">
              <w:rPr>
                <w:szCs w:val="20"/>
              </w:rPr>
              <w:t>*</w:t>
            </w:r>
          </w:p>
        </w:tc>
      </w:tr>
      <w:tr w:rsidR="00326AB0" w14:paraId="76FD74E7" w14:textId="77777777" w:rsidTr="004607C3">
        <w:trPr>
          <w:trHeight w:val="925"/>
        </w:trPr>
        <w:tc>
          <w:tcPr>
            <w:tcW w:w="1240" w:type="dxa"/>
            <w:vMerge/>
            <w:vAlign w:val="center"/>
          </w:tcPr>
          <w:p w14:paraId="278BEA22" w14:textId="77777777" w:rsidR="00C43F42" w:rsidRPr="006519D0" w:rsidRDefault="00C43F42" w:rsidP="00B5660A">
            <w:pPr>
              <w:rPr>
                <w:b/>
                <w:bCs/>
                <w:szCs w:val="20"/>
              </w:rPr>
            </w:pPr>
          </w:p>
        </w:tc>
        <w:tc>
          <w:tcPr>
            <w:tcW w:w="2405" w:type="dxa"/>
            <w:vAlign w:val="center"/>
          </w:tcPr>
          <w:p w14:paraId="3DA1DEE9" w14:textId="77777777" w:rsidR="00C43F42" w:rsidRPr="006519D0" w:rsidRDefault="00C43F42" w:rsidP="004607C3">
            <w:pPr>
              <w:spacing w:before="40" w:after="40"/>
              <w:jc w:val="center"/>
              <w:rPr>
                <w:szCs w:val="20"/>
              </w:rPr>
            </w:pPr>
          </w:p>
        </w:tc>
        <w:tc>
          <w:tcPr>
            <w:tcW w:w="1496" w:type="dxa"/>
            <w:vAlign w:val="center"/>
          </w:tcPr>
          <w:p w14:paraId="05F17234" w14:textId="77777777" w:rsidR="00C43F42" w:rsidRPr="006519D0" w:rsidRDefault="00C43F42" w:rsidP="004607C3">
            <w:pPr>
              <w:spacing w:before="40" w:after="40"/>
              <w:jc w:val="center"/>
              <w:rPr>
                <w:szCs w:val="20"/>
              </w:rPr>
            </w:pPr>
          </w:p>
        </w:tc>
        <w:tc>
          <w:tcPr>
            <w:tcW w:w="2465" w:type="dxa"/>
            <w:vAlign w:val="center"/>
          </w:tcPr>
          <w:p w14:paraId="1AB6FB67" w14:textId="77777777" w:rsidR="00C43F42" w:rsidRPr="006519D0" w:rsidRDefault="009731B0" w:rsidP="004607C3">
            <w:pPr>
              <w:spacing w:before="40" w:after="40"/>
              <w:jc w:val="center"/>
              <w:rPr>
                <w:szCs w:val="20"/>
              </w:rPr>
            </w:pPr>
            <w:r w:rsidRPr="006519D0">
              <w:rPr>
                <w:szCs w:val="20"/>
              </w:rPr>
              <w:t>Nesjednocené požadavky na zkoušku</w:t>
            </w:r>
          </w:p>
        </w:tc>
        <w:tc>
          <w:tcPr>
            <w:tcW w:w="1456" w:type="dxa"/>
            <w:vAlign w:val="center"/>
          </w:tcPr>
          <w:p w14:paraId="78D74EF8" w14:textId="77777777" w:rsidR="00C43F42" w:rsidRPr="006519D0" w:rsidRDefault="009731B0" w:rsidP="004607C3">
            <w:pPr>
              <w:spacing w:before="40" w:after="40"/>
              <w:jc w:val="center"/>
              <w:rPr>
                <w:szCs w:val="20"/>
              </w:rPr>
            </w:pPr>
            <w:r w:rsidRPr="006519D0">
              <w:rPr>
                <w:szCs w:val="20"/>
              </w:rPr>
              <w:t>*</w:t>
            </w:r>
          </w:p>
        </w:tc>
      </w:tr>
      <w:tr w:rsidR="00326AB0" w14:paraId="7CF9C819" w14:textId="77777777" w:rsidTr="00B5660A">
        <w:trPr>
          <w:trHeight w:val="383"/>
        </w:trPr>
        <w:tc>
          <w:tcPr>
            <w:tcW w:w="1240" w:type="dxa"/>
            <w:vMerge w:val="restart"/>
            <w:noWrap/>
            <w:vAlign w:val="center"/>
            <w:hideMark/>
          </w:tcPr>
          <w:p w14:paraId="747AC903" w14:textId="77777777" w:rsidR="00C43F42" w:rsidRPr="006519D0" w:rsidRDefault="009731B0" w:rsidP="00B5660A">
            <w:pPr>
              <w:rPr>
                <w:b/>
                <w:bCs/>
                <w:szCs w:val="20"/>
              </w:rPr>
            </w:pPr>
            <w:r w:rsidRPr="006519D0">
              <w:rPr>
                <w:b/>
                <w:bCs/>
                <w:szCs w:val="20"/>
              </w:rPr>
              <w:t>Varianta 1</w:t>
            </w:r>
          </w:p>
        </w:tc>
        <w:tc>
          <w:tcPr>
            <w:tcW w:w="7822" w:type="dxa"/>
            <w:gridSpan w:val="4"/>
            <w:vAlign w:val="center"/>
            <w:hideMark/>
          </w:tcPr>
          <w:p w14:paraId="257E651D" w14:textId="77777777" w:rsidR="00C43F42" w:rsidRPr="006519D0" w:rsidRDefault="009731B0" w:rsidP="004607C3">
            <w:pPr>
              <w:spacing w:before="40" w:after="40"/>
              <w:jc w:val="center"/>
              <w:rPr>
                <w:b/>
                <w:bCs/>
                <w:szCs w:val="20"/>
              </w:rPr>
            </w:pPr>
            <w:r w:rsidRPr="006519D0">
              <w:rPr>
                <w:b/>
                <w:bCs/>
                <w:szCs w:val="20"/>
              </w:rPr>
              <w:t>Státní rozpočet a ostatní veřejné rozpočty</w:t>
            </w:r>
          </w:p>
        </w:tc>
      </w:tr>
      <w:tr w:rsidR="00326AB0" w14:paraId="1598B324" w14:textId="77777777" w:rsidTr="004607C3">
        <w:trPr>
          <w:trHeight w:val="183"/>
        </w:trPr>
        <w:tc>
          <w:tcPr>
            <w:tcW w:w="1240" w:type="dxa"/>
            <w:vMerge/>
            <w:hideMark/>
          </w:tcPr>
          <w:p w14:paraId="157E5AA0" w14:textId="77777777" w:rsidR="00C43F42" w:rsidRPr="006519D0" w:rsidRDefault="00C43F42" w:rsidP="00AA2E64">
            <w:pPr>
              <w:rPr>
                <w:b/>
                <w:bCs/>
                <w:szCs w:val="20"/>
              </w:rPr>
            </w:pPr>
          </w:p>
        </w:tc>
        <w:tc>
          <w:tcPr>
            <w:tcW w:w="2405" w:type="dxa"/>
            <w:vAlign w:val="center"/>
          </w:tcPr>
          <w:p w14:paraId="2B676333" w14:textId="77777777" w:rsidR="00C43F42" w:rsidRPr="006519D0" w:rsidRDefault="009731B0" w:rsidP="004607C3">
            <w:pPr>
              <w:spacing w:before="40" w:after="40"/>
              <w:jc w:val="center"/>
              <w:rPr>
                <w:szCs w:val="20"/>
              </w:rPr>
            </w:pPr>
            <w:r w:rsidRPr="006519D0">
              <w:rPr>
                <w:szCs w:val="20"/>
              </w:rPr>
              <w:t xml:space="preserve">MŽP – snížení AZ </w:t>
            </w:r>
            <w:r w:rsidRPr="006519D0">
              <w:rPr>
                <w:szCs w:val="20"/>
              </w:rPr>
              <w:br/>
              <w:t xml:space="preserve">na vydávání certifikátů </w:t>
            </w:r>
          </w:p>
        </w:tc>
        <w:tc>
          <w:tcPr>
            <w:tcW w:w="1496" w:type="dxa"/>
            <w:vAlign w:val="center"/>
          </w:tcPr>
          <w:p w14:paraId="38556269" w14:textId="77777777" w:rsidR="00C43F42" w:rsidRPr="006519D0" w:rsidRDefault="009731B0" w:rsidP="004607C3">
            <w:pPr>
              <w:spacing w:before="40" w:after="40"/>
              <w:jc w:val="center"/>
              <w:rPr>
                <w:szCs w:val="20"/>
              </w:rPr>
            </w:pPr>
            <w:r w:rsidRPr="006519D0">
              <w:rPr>
                <w:szCs w:val="20"/>
              </w:rPr>
              <w:t>228 tis. Kč/rok</w:t>
            </w:r>
          </w:p>
        </w:tc>
        <w:tc>
          <w:tcPr>
            <w:tcW w:w="2465" w:type="dxa"/>
            <w:vAlign w:val="center"/>
          </w:tcPr>
          <w:p w14:paraId="3EAD298A" w14:textId="77777777" w:rsidR="00C43F42" w:rsidRPr="006519D0" w:rsidRDefault="00C43F42" w:rsidP="004607C3">
            <w:pPr>
              <w:spacing w:before="40" w:after="40"/>
              <w:jc w:val="center"/>
              <w:rPr>
                <w:szCs w:val="20"/>
              </w:rPr>
            </w:pPr>
          </w:p>
        </w:tc>
        <w:tc>
          <w:tcPr>
            <w:tcW w:w="1456" w:type="dxa"/>
            <w:vAlign w:val="center"/>
          </w:tcPr>
          <w:p w14:paraId="141F7358" w14:textId="77777777" w:rsidR="00C43F42" w:rsidRPr="006519D0" w:rsidRDefault="00C43F42" w:rsidP="004607C3">
            <w:pPr>
              <w:spacing w:before="40" w:after="40"/>
              <w:jc w:val="center"/>
              <w:rPr>
                <w:szCs w:val="20"/>
              </w:rPr>
            </w:pPr>
          </w:p>
        </w:tc>
      </w:tr>
      <w:tr w:rsidR="00326AB0" w14:paraId="59DBF759" w14:textId="77777777" w:rsidTr="00B5660A">
        <w:trPr>
          <w:trHeight w:val="324"/>
        </w:trPr>
        <w:tc>
          <w:tcPr>
            <w:tcW w:w="1240" w:type="dxa"/>
            <w:vMerge/>
            <w:hideMark/>
          </w:tcPr>
          <w:p w14:paraId="1E1D1A16" w14:textId="77777777" w:rsidR="00C43F42" w:rsidRPr="006519D0" w:rsidRDefault="00C43F42" w:rsidP="00AA2E64">
            <w:pPr>
              <w:rPr>
                <w:b/>
                <w:bCs/>
                <w:szCs w:val="20"/>
              </w:rPr>
            </w:pPr>
          </w:p>
        </w:tc>
        <w:tc>
          <w:tcPr>
            <w:tcW w:w="7822" w:type="dxa"/>
            <w:gridSpan w:val="4"/>
            <w:vAlign w:val="center"/>
            <w:hideMark/>
          </w:tcPr>
          <w:p w14:paraId="5D7E85B2" w14:textId="77777777" w:rsidR="00C43F42" w:rsidRPr="006519D0" w:rsidRDefault="009731B0" w:rsidP="004607C3">
            <w:pPr>
              <w:spacing w:before="40" w:after="40"/>
              <w:jc w:val="center"/>
              <w:rPr>
                <w:b/>
                <w:bCs/>
                <w:szCs w:val="20"/>
              </w:rPr>
            </w:pPr>
            <w:r w:rsidRPr="006519D0">
              <w:rPr>
                <w:b/>
                <w:bCs/>
                <w:szCs w:val="20"/>
              </w:rPr>
              <w:t>Podnikatelské subjekty</w:t>
            </w:r>
          </w:p>
        </w:tc>
      </w:tr>
      <w:tr w:rsidR="00326AB0" w14:paraId="28DBE57D" w14:textId="77777777" w:rsidTr="004607C3">
        <w:trPr>
          <w:trHeight w:val="428"/>
        </w:trPr>
        <w:tc>
          <w:tcPr>
            <w:tcW w:w="1240" w:type="dxa"/>
            <w:vMerge/>
            <w:hideMark/>
          </w:tcPr>
          <w:p w14:paraId="66ACEA92" w14:textId="77777777" w:rsidR="00C43F42" w:rsidRPr="006519D0" w:rsidRDefault="00C43F42" w:rsidP="00AA2E64">
            <w:pPr>
              <w:rPr>
                <w:b/>
                <w:bCs/>
                <w:szCs w:val="20"/>
              </w:rPr>
            </w:pPr>
          </w:p>
        </w:tc>
        <w:tc>
          <w:tcPr>
            <w:tcW w:w="2405" w:type="dxa"/>
            <w:vAlign w:val="center"/>
          </w:tcPr>
          <w:p w14:paraId="12AFC9B2" w14:textId="77777777" w:rsidR="00C43F42" w:rsidRPr="006519D0" w:rsidRDefault="009731B0" w:rsidP="004607C3">
            <w:pPr>
              <w:spacing w:before="40" w:after="40"/>
              <w:jc w:val="center"/>
              <w:rPr>
                <w:szCs w:val="20"/>
              </w:rPr>
            </w:pPr>
            <w:r w:rsidRPr="006519D0">
              <w:rPr>
                <w:szCs w:val="20"/>
              </w:rPr>
              <w:t xml:space="preserve">Žadatelé o certifikát – snížení AZ na podání </w:t>
            </w:r>
            <w:r w:rsidRPr="006519D0">
              <w:rPr>
                <w:szCs w:val="20"/>
              </w:rPr>
              <w:t>žádosti o certifikát</w:t>
            </w:r>
          </w:p>
        </w:tc>
        <w:tc>
          <w:tcPr>
            <w:tcW w:w="1496" w:type="dxa"/>
            <w:noWrap/>
            <w:vAlign w:val="center"/>
          </w:tcPr>
          <w:p w14:paraId="7CD95F4B" w14:textId="77777777" w:rsidR="00C43F42" w:rsidRPr="006519D0" w:rsidRDefault="009731B0" w:rsidP="004607C3">
            <w:pPr>
              <w:spacing w:before="40" w:after="40"/>
              <w:jc w:val="center"/>
              <w:rPr>
                <w:szCs w:val="20"/>
              </w:rPr>
            </w:pPr>
            <w:r w:rsidRPr="006519D0">
              <w:rPr>
                <w:szCs w:val="20"/>
              </w:rPr>
              <w:t>1 150 Kč /žádost</w:t>
            </w:r>
          </w:p>
        </w:tc>
        <w:tc>
          <w:tcPr>
            <w:tcW w:w="2465" w:type="dxa"/>
            <w:vAlign w:val="center"/>
          </w:tcPr>
          <w:p w14:paraId="3A29B1D7" w14:textId="77777777" w:rsidR="00C43F42" w:rsidRPr="006519D0" w:rsidRDefault="00C43F42" w:rsidP="004607C3">
            <w:pPr>
              <w:spacing w:before="40" w:after="40"/>
              <w:jc w:val="center"/>
              <w:rPr>
                <w:szCs w:val="20"/>
              </w:rPr>
            </w:pPr>
          </w:p>
        </w:tc>
        <w:tc>
          <w:tcPr>
            <w:tcW w:w="1456" w:type="dxa"/>
            <w:noWrap/>
            <w:vAlign w:val="center"/>
          </w:tcPr>
          <w:p w14:paraId="6C9846AA" w14:textId="77777777" w:rsidR="00C43F42" w:rsidRPr="006519D0" w:rsidRDefault="00C43F42" w:rsidP="004607C3">
            <w:pPr>
              <w:spacing w:before="40" w:after="40"/>
              <w:jc w:val="center"/>
              <w:rPr>
                <w:szCs w:val="20"/>
              </w:rPr>
            </w:pPr>
          </w:p>
        </w:tc>
      </w:tr>
      <w:tr w:rsidR="00326AB0" w14:paraId="01F8B9E1" w14:textId="77777777" w:rsidTr="004607C3">
        <w:trPr>
          <w:trHeight w:val="478"/>
        </w:trPr>
        <w:tc>
          <w:tcPr>
            <w:tcW w:w="1240" w:type="dxa"/>
            <w:vMerge/>
            <w:hideMark/>
          </w:tcPr>
          <w:p w14:paraId="16FFBE76" w14:textId="77777777" w:rsidR="00C43F42" w:rsidRPr="006519D0" w:rsidRDefault="00C43F42" w:rsidP="00AA2E64">
            <w:pPr>
              <w:rPr>
                <w:b/>
                <w:bCs/>
                <w:szCs w:val="20"/>
              </w:rPr>
            </w:pPr>
          </w:p>
        </w:tc>
        <w:tc>
          <w:tcPr>
            <w:tcW w:w="2405" w:type="dxa"/>
            <w:vAlign w:val="center"/>
          </w:tcPr>
          <w:p w14:paraId="6C3A645F" w14:textId="77777777" w:rsidR="00C43F42" w:rsidRPr="006519D0" w:rsidRDefault="009731B0" w:rsidP="004607C3">
            <w:pPr>
              <w:spacing w:before="40" w:after="40"/>
              <w:jc w:val="center"/>
              <w:rPr>
                <w:szCs w:val="20"/>
              </w:rPr>
            </w:pPr>
            <w:r w:rsidRPr="006519D0">
              <w:rPr>
                <w:szCs w:val="20"/>
              </w:rPr>
              <w:t xml:space="preserve">Hodnotící subjekt – nebude zpracovávat </w:t>
            </w:r>
            <w:r w:rsidRPr="006519D0">
              <w:t xml:space="preserve">osvědčení </w:t>
            </w:r>
            <w:r w:rsidRPr="006519D0">
              <w:br/>
              <w:t>o absolvování certifikační zkoušky</w:t>
            </w:r>
          </w:p>
        </w:tc>
        <w:tc>
          <w:tcPr>
            <w:tcW w:w="1496" w:type="dxa"/>
            <w:noWrap/>
            <w:vAlign w:val="center"/>
          </w:tcPr>
          <w:p w14:paraId="1729707F" w14:textId="77777777" w:rsidR="00C43F42" w:rsidRPr="006519D0" w:rsidRDefault="009731B0" w:rsidP="004607C3">
            <w:pPr>
              <w:spacing w:before="40" w:after="40"/>
              <w:jc w:val="center"/>
              <w:rPr>
                <w:szCs w:val="20"/>
              </w:rPr>
            </w:pPr>
            <w:r w:rsidRPr="006519D0">
              <w:rPr>
                <w:szCs w:val="20"/>
              </w:rPr>
              <w:t>*</w:t>
            </w:r>
          </w:p>
        </w:tc>
        <w:tc>
          <w:tcPr>
            <w:tcW w:w="2465" w:type="dxa"/>
            <w:vAlign w:val="center"/>
          </w:tcPr>
          <w:p w14:paraId="2BCD85D7" w14:textId="77777777" w:rsidR="00C43F42" w:rsidRPr="006519D0" w:rsidRDefault="009731B0" w:rsidP="004607C3">
            <w:pPr>
              <w:spacing w:before="40" w:after="40"/>
              <w:jc w:val="center"/>
              <w:rPr>
                <w:szCs w:val="20"/>
              </w:rPr>
            </w:pPr>
            <w:r w:rsidRPr="006519D0">
              <w:rPr>
                <w:szCs w:val="20"/>
              </w:rPr>
              <w:t>Hodnotící subjekt – bude vydávat certifikát</w:t>
            </w:r>
          </w:p>
        </w:tc>
        <w:tc>
          <w:tcPr>
            <w:tcW w:w="1456" w:type="dxa"/>
            <w:noWrap/>
            <w:vAlign w:val="center"/>
          </w:tcPr>
          <w:p w14:paraId="06944A72" w14:textId="77777777" w:rsidR="00C43F42" w:rsidRPr="006519D0" w:rsidRDefault="009731B0" w:rsidP="004607C3">
            <w:pPr>
              <w:spacing w:before="40" w:after="40"/>
              <w:jc w:val="center"/>
              <w:rPr>
                <w:szCs w:val="20"/>
              </w:rPr>
            </w:pPr>
            <w:r w:rsidRPr="006519D0">
              <w:rPr>
                <w:szCs w:val="20"/>
              </w:rPr>
              <w:t>*</w:t>
            </w:r>
          </w:p>
        </w:tc>
      </w:tr>
      <w:tr w:rsidR="00326AB0" w14:paraId="7D2345A6" w14:textId="77777777" w:rsidTr="004607C3">
        <w:trPr>
          <w:trHeight w:val="478"/>
        </w:trPr>
        <w:tc>
          <w:tcPr>
            <w:tcW w:w="1240" w:type="dxa"/>
            <w:vMerge/>
          </w:tcPr>
          <w:p w14:paraId="3DFFA4A3" w14:textId="77777777" w:rsidR="00C43F42" w:rsidRPr="006519D0" w:rsidRDefault="00C43F42" w:rsidP="00AA2E64">
            <w:pPr>
              <w:rPr>
                <w:b/>
                <w:bCs/>
                <w:szCs w:val="20"/>
              </w:rPr>
            </w:pPr>
          </w:p>
        </w:tc>
        <w:tc>
          <w:tcPr>
            <w:tcW w:w="2405" w:type="dxa"/>
            <w:vAlign w:val="center"/>
          </w:tcPr>
          <w:p w14:paraId="135BC807" w14:textId="77777777" w:rsidR="00C43F42" w:rsidRPr="006519D0" w:rsidRDefault="009731B0" w:rsidP="004607C3">
            <w:pPr>
              <w:spacing w:before="40" w:after="40"/>
              <w:jc w:val="center"/>
              <w:rPr>
                <w:szCs w:val="20"/>
              </w:rPr>
            </w:pPr>
            <w:r w:rsidRPr="006519D0">
              <w:rPr>
                <w:szCs w:val="20"/>
              </w:rPr>
              <w:t>Sjednocené požadavky na zkoušku</w:t>
            </w:r>
          </w:p>
        </w:tc>
        <w:tc>
          <w:tcPr>
            <w:tcW w:w="1496" w:type="dxa"/>
            <w:noWrap/>
            <w:vAlign w:val="center"/>
          </w:tcPr>
          <w:p w14:paraId="4315719C" w14:textId="77777777" w:rsidR="00C43F42" w:rsidRPr="006519D0" w:rsidRDefault="009731B0" w:rsidP="004607C3">
            <w:pPr>
              <w:spacing w:before="40" w:after="40"/>
              <w:jc w:val="center"/>
              <w:rPr>
                <w:szCs w:val="20"/>
              </w:rPr>
            </w:pPr>
            <w:r w:rsidRPr="006519D0">
              <w:rPr>
                <w:szCs w:val="20"/>
              </w:rPr>
              <w:t>*</w:t>
            </w:r>
          </w:p>
        </w:tc>
        <w:tc>
          <w:tcPr>
            <w:tcW w:w="2465" w:type="dxa"/>
            <w:vAlign w:val="center"/>
          </w:tcPr>
          <w:p w14:paraId="28B448F0" w14:textId="77777777" w:rsidR="00C43F42" w:rsidRPr="006519D0" w:rsidRDefault="00C43F42" w:rsidP="004607C3">
            <w:pPr>
              <w:spacing w:before="40" w:after="40"/>
              <w:jc w:val="center"/>
              <w:rPr>
                <w:szCs w:val="20"/>
              </w:rPr>
            </w:pPr>
          </w:p>
        </w:tc>
        <w:tc>
          <w:tcPr>
            <w:tcW w:w="1456" w:type="dxa"/>
            <w:noWrap/>
            <w:vAlign w:val="center"/>
          </w:tcPr>
          <w:p w14:paraId="275EDBCE" w14:textId="77777777" w:rsidR="00C43F42" w:rsidRPr="006519D0" w:rsidRDefault="00C43F42" w:rsidP="004607C3">
            <w:pPr>
              <w:spacing w:before="40" w:after="40"/>
              <w:jc w:val="center"/>
              <w:rPr>
                <w:szCs w:val="20"/>
              </w:rPr>
            </w:pPr>
          </w:p>
        </w:tc>
      </w:tr>
    </w:tbl>
    <w:p w14:paraId="4D33ED03" w14:textId="77777777" w:rsidR="00B5660A" w:rsidRPr="006519D0" w:rsidRDefault="009731B0" w:rsidP="000E112A">
      <w:r w:rsidRPr="006519D0">
        <w:t>- bez dopadů, * velmi nízké, ** nízké, ***</w:t>
      </w:r>
      <w:r w:rsidRPr="006519D0">
        <w:t xml:space="preserve"> střední, **** vysoké, ***** velmi vysoké</w:t>
      </w:r>
    </w:p>
    <w:p w14:paraId="5C1861BB" w14:textId="77777777" w:rsidR="00B5660A" w:rsidRPr="006519D0" w:rsidRDefault="00B5660A" w:rsidP="00F33E8B"/>
    <w:p w14:paraId="2E6A3460" w14:textId="77777777" w:rsidR="008539D8" w:rsidRPr="006519D0" w:rsidRDefault="009731B0" w:rsidP="008539D8">
      <w:pPr>
        <w:pStyle w:val="Nadpis2"/>
      </w:pPr>
      <w:r w:rsidRPr="006519D0">
        <w:t>Stanovení pořadí variant a výběr nejvhodnějšího řešení</w:t>
      </w:r>
    </w:p>
    <w:p w14:paraId="3B6820DD" w14:textId="77777777" w:rsidR="008539D8" w:rsidRPr="006519D0" w:rsidRDefault="009731B0" w:rsidP="008539D8">
      <w:pPr>
        <w:pStyle w:val="Odstavecseseznamem"/>
        <w:numPr>
          <w:ilvl w:val="0"/>
          <w:numId w:val="3"/>
        </w:numPr>
        <w:ind w:left="714" w:hanging="357"/>
        <w:contextualSpacing/>
        <w:rPr>
          <w:b/>
          <w:bCs/>
        </w:rPr>
      </w:pPr>
      <w:r w:rsidRPr="006519D0">
        <w:rPr>
          <w:b/>
          <w:bCs/>
        </w:rPr>
        <w:t xml:space="preserve">Varianta </w:t>
      </w:r>
      <w:r w:rsidR="00FD6D5C" w:rsidRPr="006519D0">
        <w:rPr>
          <w:b/>
          <w:bCs/>
        </w:rPr>
        <w:t>1</w:t>
      </w:r>
    </w:p>
    <w:p w14:paraId="24C19DE5" w14:textId="77777777" w:rsidR="008539D8" w:rsidRPr="006519D0" w:rsidRDefault="009731B0" w:rsidP="008539D8">
      <w:pPr>
        <w:pStyle w:val="Odstavecseseznamem"/>
        <w:numPr>
          <w:ilvl w:val="0"/>
          <w:numId w:val="3"/>
        </w:numPr>
        <w:ind w:left="714" w:hanging="357"/>
        <w:contextualSpacing/>
      </w:pPr>
      <w:r w:rsidRPr="006519D0">
        <w:t xml:space="preserve">Varianta </w:t>
      </w:r>
      <w:r w:rsidR="00FD6D5C" w:rsidRPr="006519D0">
        <w:t>0</w:t>
      </w:r>
    </w:p>
    <w:p w14:paraId="32D32B57" w14:textId="77777777" w:rsidR="00E17E4D" w:rsidRPr="006519D0" w:rsidRDefault="009731B0">
      <w:r w:rsidRPr="006519D0">
        <w:t>Doporučujeme přijmout variantu 1</w:t>
      </w:r>
      <w:r w:rsidR="0095785C" w:rsidRPr="006519D0">
        <w:t xml:space="preserve">, která zjednodušuje proces vydávání certifikátu </w:t>
      </w:r>
      <w:r w:rsidR="0095785C" w:rsidRPr="006519D0">
        <w:rPr>
          <w:rFonts w:eastAsiaTheme="minorEastAsia"/>
          <w:szCs w:val="22"/>
          <w:lang w:eastAsia="cs-CZ"/>
        </w:rPr>
        <w:t>v oblasti nakládání s regulovanými látkami a F-plyny</w:t>
      </w:r>
      <w:r w:rsidR="0095785C" w:rsidRPr="006519D0">
        <w:t>, a snižuje tak administrativní zátěž</w:t>
      </w:r>
      <w:r w:rsidRPr="006519D0">
        <w:t xml:space="preserve"> </w:t>
      </w:r>
      <w:r w:rsidR="0095785C" w:rsidRPr="006519D0">
        <w:t xml:space="preserve">jak u MŽP, tak u žadatelů o certifikát. </w:t>
      </w:r>
      <w:r w:rsidR="00C43F42" w:rsidRPr="006519D0">
        <w:t>Dále sjednocuje požadavky na zkoušky a zajišťuje tak rovné podmínky u různých hodnotících subjektů.</w:t>
      </w:r>
    </w:p>
    <w:p w14:paraId="6A327794" w14:textId="77777777" w:rsidR="00D91BC9" w:rsidRPr="006519D0" w:rsidRDefault="00D91BC9"/>
    <w:p w14:paraId="2D2253D7" w14:textId="77777777" w:rsidR="0014463F" w:rsidRPr="006519D0" w:rsidRDefault="009731B0" w:rsidP="0014463F">
      <w:pPr>
        <w:pStyle w:val="Nadpis1"/>
      </w:pPr>
      <w:bookmarkStart w:id="28" w:name="_Toc256000008"/>
      <w:bookmarkStart w:id="29" w:name="_Toc19624749"/>
      <w:r w:rsidRPr="006519D0">
        <w:lastRenderedPageBreak/>
        <w:t>Podávání zpráv o fluorovaných skleníkových plynech (§ 11)</w:t>
      </w:r>
      <w:bookmarkEnd w:id="28"/>
      <w:bookmarkEnd w:id="29"/>
    </w:p>
    <w:p w14:paraId="18F7283D" w14:textId="77777777" w:rsidR="0014463F" w:rsidRPr="006519D0" w:rsidRDefault="009731B0" w:rsidP="0014463F">
      <w:pPr>
        <w:pStyle w:val="Nadpis2"/>
      </w:pPr>
      <w:r w:rsidRPr="006519D0">
        <w:t>Důvod předložení a cíl</w:t>
      </w:r>
      <w:r w:rsidRPr="006519D0">
        <w:t>e</w:t>
      </w:r>
    </w:p>
    <w:p w14:paraId="5CCF6A6D" w14:textId="77777777" w:rsidR="0014463F" w:rsidRPr="006519D0" w:rsidRDefault="009731B0" w:rsidP="0014463F">
      <w:pPr>
        <w:pStyle w:val="Nadpis3"/>
      </w:pPr>
      <w:r w:rsidRPr="006519D0">
        <w:t>Definice problému</w:t>
      </w:r>
    </w:p>
    <w:p w14:paraId="1C32AF44" w14:textId="77777777" w:rsidR="00287525" w:rsidRPr="006519D0" w:rsidRDefault="009731B0" w:rsidP="00287525">
      <w:r w:rsidRPr="006519D0">
        <w:t xml:space="preserve">Zpracování bilance </w:t>
      </w:r>
      <w:r w:rsidR="00CC01E8" w:rsidRPr="006519D0">
        <w:t xml:space="preserve">dovozů a vývozů v rámci vnitřního trhu </w:t>
      </w:r>
      <w:r w:rsidRPr="006519D0">
        <w:t>nakládání s</w:t>
      </w:r>
      <w:r w:rsidR="001264B1" w:rsidRPr="006519D0">
        <w:t> fluorovanými skleníkovými plyny (</w:t>
      </w:r>
      <w:r w:rsidRPr="006519D0">
        <w:t>F-plyny</w:t>
      </w:r>
      <w:r w:rsidR="001264B1" w:rsidRPr="006519D0">
        <w:t>)</w:t>
      </w:r>
      <w:r w:rsidRPr="006519D0">
        <w:t xml:space="preserve"> je v současné době zavádějící. Podání zpráv o F-plynech je </w:t>
      </w:r>
      <w:r w:rsidR="00320B32" w:rsidRPr="006519D0">
        <w:t>dle</w:t>
      </w:r>
      <w:r w:rsidR="009C22CB" w:rsidRPr="006519D0">
        <w:t> </w:t>
      </w:r>
      <w:r w:rsidR="00320B32" w:rsidRPr="006519D0">
        <w:t xml:space="preserve">platné legislativy </w:t>
      </w:r>
      <w:r w:rsidRPr="006519D0">
        <w:t>požadováno jen v případě, kdy je s nimi na</w:t>
      </w:r>
      <w:r w:rsidRPr="006519D0">
        <w:t>kládáno samostatně</w:t>
      </w:r>
      <w:r w:rsidR="00EF7E7C" w:rsidRPr="006519D0">
        <w:t>, avšak p</w:t>
      </w:r>
      <w:r w:rsidRPr="006519D0">
        <w:t xml:space="preserve">okud jsou součástí zařízení, povinnost podání zpráv se na ně nevztahuje. Pokud je tedy </w:t>
      </w:r>
      <w:r w:rsidR="00A1507B" w:rsidRPr="006519D0">
        <w:br/>
      </w:r>
      <w:r w:rsidRPr="006519D0">
        <w:t xml:space="preserve">do ČR </w:t>
      </w:r>
      <w:r w:rsidR="00D115F1" w:rsidRPr="006519D0">
        <w:t>do</w:t>
      </w:r>
      <w:r w:rsidRPr="006519D0">
        <w:t>vezen F-pl</w:t>
      </w:r>
      <w:r w:rsidR="00AD60FE" w:rsidRPr="006519D0">
        <w:t>y</w:t>
      </w:r>
      <w:r w:rsidRPr="006519D0">
        <w:t xml:space="preserve">n samostatně a z ČR </w:t>
      </w:r>
      <w:r w:rsidR="00D115F1" w:rsidRPr="006519D0">
        <w:t>vy</w:t>
      </w:r>
      <w:r w:rsidRPr="006519D0">
        <w:t>vezen jako součást zařízení, je o tomto plynu jen jeden záznam</w:t>
      </w:r>
      <w:r w:rsidR="00EF7E7C" w:rsidRPr="006519D0">
        <w:t xml:space="preserve"> </w:t>
      </w:r>
      <w:r w:rsidR="00320B32" w:rsidRPr="006519D0">
        <w:t xml:space="preserve">(o dovozu) </w:t>
      </w:r>
      <w:r w:rsidR="00EF7E7C" w:rsidRPr="006519D0">
        <w:t>a evidence je tím pádem nepřesná</w:t>
      </w:r>
      <w:r w:rsidR="00320B32" w:rsidRPr="006519D0">
        <w:t xml:space="preserve">, </w:t>
      </w:r>
      <w:r w:rsidR="00EF7E7C" w:rsidRPr="006519D0">
        <w:t>zavádějící</w:t>
      </w:r>
      <w:r w:rsidR="00320B32" w:rsidRPr="006519D0">
        <w:t xml:space="preserve"> a pozbývá vypovídací hodnotu</w:t>
      </w:r>
      <w:r w:rsidRPr="006519D0">
        <w:t>.</w:t>
      </w:r>
      <w:r w:rsidR="00AD60FE" w:rsidRPr="006519D0">
        <w:t xml:space="preserve"> </w:t>
      </w:r>
    </w:p>
    <w:p w14:paraId="5F7A8B1C" w14:textId="77777777" w:rsidR="00D51AFE" w:rsidRPr="006519D0" w:rsidRDefault="009731B0" w:rsidP="00287525">
      <w:r w:rsidRPr="006519D0">
        <w:rPr>
          <w:rFonts w:cs="Arial"/>
          <w:lang w:eastAsia="cs-CZ"/>
        </w:rPr>
        <w:t>Zároveň neexistuje v současné úpravě povinnost osob, které regenerují F-plyny, podávat kontrolní zprávu, pokud množství regenerovaných F-plynů dosáhne určité výše, zde konkrétně 100 tun ekvivalentu CO</w:t>
      </w:r>
      <w:r w:rsidRPr="006519D0">
        <w:rPr>
          <w:rFonts w:cs="Arial"/>
          <w:vertAlign w:val="subscript"/>
          <w:lang w:eastAsia="cs-CZ"/>
        </w:rPr>
        <w:t>2</w:t>
      </w:r>
      <w:r w:rsidRPr="006519D0">
        <w:rPr>
          <w:rFonts w:cs="Arial"/>
          <w:lang w:eastAsia="cs-CZ"/>
        </w:rPr>
        <w:t>.</w:t>
      </w:r>
    </w:p>
    <w:p w14:paraId="7B378EFB" w14:textId="77777777" w:rsidR="00BD1744" w:rsidRPr="006519D0" w:rsidRDefault="00BD1744" w:rsidP="0014463F"/>
    <w:p w14:paraId="1D751CE9" w14:textId="77777777" w:rsidR="0014463F" w:rsidRPr="006519D0" w:rsidRDefault="009731B0" w:rsidP="0014463F">
      <w:pPr>
        <w:pStyle w:val="Nadpis3"/>
      </w:pPr>
      <w:r w:rsidRPr="006519D0">
        <w:t>Popis existujícího právního stavu v dané oblasti</w:t>
      </w:r>
    </w:p>
    <w:p w14:paraId="30E2D583" w14:textId="77777777" w:rsidR="0014463F" w:rsidRPr="006519D0" w:rsidRDefault="009731B0" w:rsidP="00287525">
      <w:r w:rsidRPr="006519D0">
        <w:t>Současná právní úprava požaduje podá</w:t>
      </w:r>
      <w:r w:rsidR="004A7CEF" w:rsidRPr="006519D0">
        <w:t>vá</w:t>
      </w:r>
      <w:r w:rsidRPr="006519D0">
        <w:t xml:space="preserve">ní zpráv jen o F-plynech, s kterými je nakládáno samostatně, nikoli </w:t>
      </w:r>
      <w:r w:rsidR="00C67FB2" w:rsidRPr="006519D0">
        <w:t>o F-plynech, které jsou součástí zařízení.</w:t>
      </w:r>
      <w:r w:rsidR="00AD60FE" w:rsidRPr="006519D0">
        <w:t xml:space="preserve"> </w:t>
      </w:r>
      <w:r w:rsidR="00E20F63" w:rsidRPr="006519D0">
        <w:t>Zprávy jsou předá</w:t>
      </w:r>
      <w:r w:rsidR="004A7CEF" w:rsidRPr="006519D0">
        <w:t>vá</w:t>
      </w:r>
      <w:r w:rsidR="00E20F63" w:rsidRPr="006519D0">
        <w:t>ny prostřednictvím integrovaného systému plnění ohlašovacích povinností v oblasti životního prostředí</w:t>
      </w:r>
      <w:r w:rsidR="001264B1" w:rsidRPr="006519D0">
        <w:t xml:space="preserve"> (ISPOP) </w:t>
      </w:r>
      <w:r w:rsidR="004A7CEF" w:rsidRPr="006519D0">
        <w:t>MŽP</w:t>
      </w:r>
      <w:r w:rsidR="001264B1" w:rsidRPr="006519D0">
        <w:t>.</w:t>
      </w:r>
      <w:r w:rsidR="00287525" w:rsidRPr="006519D0">
        <w:t xml:space="preserve"> </w:t>
      </w:r>
      <w:r w:rsidR="00D51AFE" w:rsidRPr="006519D0">
        <w:t xml:space="preserve">Zároveň současný stav neukládá </w:t>
      </w:r>
      <w:r w:rsidR="00D51AFE" w:rsidRPr="006519D0">
        <w:rPr>
          <w:rFonts w:cs="Arial"/>
          <w:lang w:eastAsia="cs-CZ"/>
        </w:rPr>
        <w:t>povinnost osobám, které regenerují F-plyny, podávat kontrolní zprávu, pokud množství regenerovaných F-plynů dosáhne určité výše, zde konkrétně 100 tun ekvivalentu CO</w:t>
      </w:r>
      <w:r w:rsidR="00D51AFE" w:rsidRPr="006519D0">
        <w:rPr>
          <w:rFonts w:cs="Arial"/>
          <w:vertAlign w:val="subscript"/>
          <w:lang w:eastAsia="cs-CZ"/>
        </w:rPr>
        <w:t>2</w:t>
      </w:r>
      <w:r w:rsidR="00D51AFE" w:rsidRPr="006519D0">
        <w:rPr>
          <w:rFonts w:cs="Arial"/>
          <w:lang w:eastAsia="cs-CZ"/>
        </w:rPr>
        <w:t>.</w:t>
      </w:r>
    </w:p>
    <w:p w14:paraId="0925C548" w14:textId="77777777" w:rsidR="0027532C" w:rsidRPr="006519D0" w:rsidRDefault="0027532C" w:rsidP="0014463F"/>
    <w:p w14:paraId="090E0199" w14:textId="77777777" w:rsidR="0014463F" w:rsidRPr="006519D0" w:rsidRDefault="009731B0" w:rsidP="0014463F">
      <w:pPr>
        <w:pStyle w:val="Nadpis3"/>
      </w:pPr>
      <w:r w:rsidRPr="006519D0">
        <w:t>Identifikace dotčených subjektů</w:t>
      </w:r>
    </w:p>
    <w:p w14:paraId="79600506" w14:textId="77777777" w:rsidR="0014463F" w:rsidRPr="006519D0" w:rsidRDefault="009731B0" w:rsidP="00BD1744">
      <w:pPr>
        <w:pStyle w:val="Odstavecseseznamem"/>
        <w:numPr>
          <w:ilvl w:val="0"/>
          <w:numId w:val="6"/>
        </w:numPr>
        <w:ind w:left="714" w:hanging="357"/>
        <w:contextualSpacing/>
      </w:pPr>
      <w:r w:rsidRPr="006519D0">
        <w:t xml:space="preserve">osoby podávající zprávu podle § 11 zákona </w:t>
      </w:r>
      <w:r w:rsidR="00264C59" w:rsidRPr="006519D0">
        <w:t xml:space="preserve">č. </w:t>
      </w:r>
      <w:r w:rsidRPr="006519D0">
        <w:t>73/2012 Sb.</w:t>
      </w:r>
      <w:r w:rsidR="00AD60FE" w:rsidRPr="006519D0">
        <w:t xml:space="preserve"> (osoba která získá, předá nebo zneškodní </w:t>
      </w:r>
      <w:r w:rsidR="00EF7E7C" w:rsidRPr="006519D0">
        <w:t>F-</w:t>
      </w:r>
      <w:r w:rsidR="004040C6" w:rsidRPr="006519D0">
        <w:t xml:space="preserve"> plyny)</w:t>
      </w:r>
      <w:r w:rsidR="00636ECF" w:rsidRPr="006519D0">
        <w:t>,</w:t>
      </w:r>
    </w:p>
    <w:p w14:paraId="73ADAB17" w14:textId="77777777" w:rsidR="00A6410C" w:rsidRPr="006519D0" w:rsidRDefault="009731B0" w:rsidP="00BD1744">
      <w:pPr>
        <w:pStyle w:val="Odstavecseseznamem"/>
        <w:numPr>
          <w:ilvl w:val="0"/>
          <w:numId w:val="6"/>
        </w:numPr>
        <w:ind w:left="714" w:hanging="357"/>
        <w:contextualSpacing/>
      </w:pPr>
      <w:r w:rsidRPr="006519D0">
        <w:t>MŽP,</w:t>
      </w:r>
    </w:p>
    <w:p w14:paraId="6889918E" w14:textId="77777777" w:rsidR="00B91C2E" w:rsidRPr="006519D0" w:rsidRDefault="009731B0" w:rsidP="00BD1744">
      <w:pPr>
        <w:pStyle w:val="Odstavecseseznamem"/>
        <w:numPr>
          <w:ilvl w:val="0"/>
          <w:numId w:val="6"/>
        </w:numPr>
        <w:ind w:left="714" w:hanging="357"/>
        <w:contextualSpacing/>
      </w:pPr>
      <w:r w:rsidRPr="006519D0">
        <w:t>osoby regenerující F-plyny v množství 100 tun ekvivalentu CO</w:t>
      </w:r>
      <w:r w:rsidRPr="006519D0">
        <w:rPr>
          <w:vertAlign w:val="subscript"/>
        </w:rPr>
        <w:t>2</w:t>
      </w:r>
      <w:r w:rsidRPr="006519D0">
        <w:t xml:space="preserve"> a vyšším za kalendářní rok</w:t>
      </w:r>
      <w:r w:rsidR="00303E59" w:rsidRPr="006519D0">
        <w:t>.</w:t>
      </w:r>
    </w:p>
    <w:p w14:paraId="00A1ECB3" w14:textId="77777777" w:rsidR="00BD1744" w:rsidRPr="006519D0" w:rsidRDefault="00BD1744" w:rsidP="00BD1744">
      <w:pPr>
        <w:contextualSpacing/>
      </w:pPr>
    </w:p>
    <w:p w14:paraId="5F024905" w14:textId="77777777" w:rsidR="0014463F" w:rsidRPr="006519D0" w:rsidRDefault="009731B0" w:rsidP="0014463F">
      <w:pPr>
        <w:pStyle w:val="Nadpis3"/>
      </w:pPr>
      <w:r w:rsidRPr="006519D0">
        <w:t>Popis cílového stavu</w:t>
      </w:r>
    </w:p>
    <w:p w14:paraId="75B83548" w14:textId="77777777" w:rsidR="0014463F" w:rsidRPr="006519D0" w:rsidRDefault="009731B0" w:rsidP="0014463F">
      <w:r w:rsidRPr="006519D0">
        <w:t xml:space="preserve">Navrhovaný stav by měl zajistit lepší přehled o </w:t>
      </w:r>
      <w:r w:rsidR="00220922" w:rsidRPr="006519D0">
        <w:t xml:space="preserve">skutečném </w:t>
      </w:r>
      <w:r w:rsidRPr="006519D0">
        <w:t xml:space="preserve">množství </w:t>
      </w:r>
      <w:r w:rsidR="006B5C26" w:rsidRPr="006519D0">
        <w:t>dovezen</w:t>
      </w:r>
      <w:r w:rsidR="003A5BB7" w:rsidRPr="006519D0">
        <w:t>ých a</w:t>
      </w:r>
      <w:r w:rsidR="006B5C26" w:rsidRPr="006519D0">
        <w:t xml:space="preserve"> vyvezen</w:t>
      </w:r>
      <w:r w:rsidR="003A5BB7" w:rsidRPr="006519D0">
        <w:t>ých</w:t>
      </w:r>
      <w:r w:rsidR="006B5C26" w:rsidRPr="006519D0">
        <w:t xml:space="preserve"> </w:t>
      </w:r>
      <w:r w:rsidRPr="006519D0">
        <w:t xml:space="preserve">F-plynů na území ČR, </w:t>
      </w:r>
      <w:r w:rsidR="00D115F1" w:rsidRPr="006519D0">
        <w:t xml:space="preserve">a to </w:t>
      </w:r>
      <w:r w:rsidR="00926120" w:rsidRPr="006519D0">
        <w:t>jak samostatně, tak jako součást zařízení</w:t>
      </w:r>
      <w:r w:rsidRPr="006519D0">
        <w:t>.</w:t>
      </w:r>
      <w:r w:rsidR="00A6410C" w:rsidRPr="006519D0">
        <w:t xml:space="preserve"> </w:t>
      </w:r>
      <w:r w:rsidR="000E3C35" w:rsidRPr="006519D0">
        <w:t>S</w:t>
      </w:r>
      <w:r w:rsidR="00A6410C" w:rsidRPr="006519D0">
        <w:t> ohledem na</w:t>
      </w:r>
      <w:r w:rsidR="000B32C1" w:rsidRPr="006519D0">
        <w:t> </w:t>
      </w:r>
      <w:r w:rsidR="00A6410C" w:rsidRPr="006519D0">
        <w:t>zavedení povinnosti disponovat platným povolením pro činnost regenerace F</w:t>
      </w:r>
      <w:r w:rsidR="00A6410C" w:rsidRPr="006519D0">
        <w:noBreakHyphen/>
        <w:t xml:space="preserve">plynů má být současně zavedena povinnost </w:t>
      </w:r>
      <w:r w:rsidR="00A45720" w:rsidRPr="006519D0">
        <w:t xml:space="preserve">podávat zprávu podle § 11 zákona č. 73/2012 Sb. </w:t>
      </w:r>
      <w:r w:rsidR="00A6410C" w:rsidRPr="006519D0">
        <w:t xml:space="preserve">pro osoby, </w:t>
      </w:r>
      <w:r w:rsidR="00362EFA" w:rsidRPr="006519D0">
        <w:t>které</w:t>
      </w:r>
      <w:r w:rsidR="00A6410C" w:rsidRPr="006519D0">
        <w:t xml:space="preserve"> tuto činnost provádí </w:t>
      </w:r>
      <w:r w:rsidR="009A6CE4" w:rsidRPr="006519D0">
        <w:t xml:space="preserve">s </w:t>
      </w:r>
      <w:r w:rsidR="00A6410C" w:rsidRPr="006519D0">
        <w:t>množství</w:t>
      </w:r>
      <w:r w:rsidR="009A6CE4" w:rsidRPr="006519D0">
        <w:t>m</w:t>
      </w:r>
      <w:r w:rsidR="00A6410C" w:rsidRPr="006519D0">
        <w:t xml:space="preserve"> regenerovaných F-plynů </w:t>
      </w:r>
      <w:r w:rsidR="009A6CE4" w:rsidRPr="006519D0">
        <w:t>nad</w:t>
      </w:r>
      <w:r w:rsidR="008D4121" w:rsidRPr="006519D0">
        <w:t xml:space="preserve"> </w:t>
      </w:r>
      <w:r w:rsidR="00A6410C" w:rsidRPr="006519D0">
        <w:t>100 tun ekvivalentu CO</w:t>
      </w:r>
      <w:r w:rsidR="00A6410C" w:rsidRPr="006519D0">
        <w:rPr>
          <w:vertAlign w:val="subscript"/>
        </w:rPr>
        <w:t>2</w:t>
      </w:r>
      <w:r w:rsidR="009A6CE4" w:rsidRPr="006519D0">
        <w:t>/rok</w:t>
      </w:r>
      <w:r w:rsidR="004B53AC" w:rsidRPr="006519D0">
        <w:t>.</w:t>
      </w:r>
      <w:r w:rsidR="008D4121" w:rsidRPr="006519D0">
        <w:t xml:space="preserve"> </w:t>
      </w:r>
    </w:p>
    <w:p w14:paraId="36E1091D" w14:textId="77777777" w:rsidR="001856C3" w:rsidRPr="006519D0" w:rsidRDefault="001856C3" w:rsidP="0014463F"/>
    <w:p w14:paraId="72275E0C" w14:textId="77777777" w:rsidR="0014463F" w:rsidRPr="006519D0" w:rsidRDefault="009731B0" w:rsidP="0014463F">
      <w:pPr>
        <w:pStyle w:val="Nadpis3"/>
      </w:pPr>
      <w:r w:rsidRPr="006519D0">
        <w:t>Zhodnocení rizika</w:t>
      </w:r>
    </w:p>
    <w:p w14:paraId="6B4FDB42" w14:textId="77777777" w:rsidR="0027532C" w:rsidRPr="006519D0" w:rsidRDefault="009731B0" w:rsidP="0014463F">
      <w:r w:rsidRPr="006519D0">
        <w:t xml:space="preserve">Při zachování současného stavu, kdy </w:t>
      </w:r>
      <w:r w:rsidR="00526EA2" w:rsidRPr="006519D0">
        <w:t>nejsou podávány</w:t>
      </w:r>
      <w:r w:rsidR="009A23BC" w:rsidRPr="006519D0">
        <w:t xml:space="preserve"> zpráv</w:t>
      </w:r>
      <w:r w:rsidR="00526EA2" w:rsidRPr="006519D0">
        <w:t>y</w:t>
      </w:r>
      <w:r w:rsidR="009A23BC" w:rsidRPr="006519D0">
        <w:t xml:space="preserve"> v případě, že byl </w:t>
      </w:r>
      <w:r w:rsidR="00CA3692" w:rsidRPr="006519D0">
        <w:br/>
      </w:r>
      <w:r w:rsidR="009A23BC" w:rsidRPr="006519D0">
        <w:t>např. F</w:t>
      </w:r>
      <w:r w:rsidR="009A23BC" w:rsidRPr="006519D0">
        <w:noBreakHyphen/>
        <w:t xml:space="preserve">plyn do ČR dovezen samostatně, ale vyvezen z ČR byl jako součást zařízení (nebo </w:t>
      </w:r>
      <w:r w:rsidR="009A23BC" w:rsidRPr="006519D0">
        <w:lastRenderedPageBreak/>
        <w:t>naopak)</w:t>
      </w:r>
      <w:r w:rsidR="004E41AF" w:rsidRPr="006519D0">
        <w:t xml:space="preserve">, </w:t>
      </w:r>
      <w:r w:rsidR="006E425D" w:rsidRPr="006519D0">
        <w:t>nelze</w:t>
      </w:r>
      <w:r w:rsidR="009A23BC" w:rsidRPr="006519D0">
        <w:t xml:space="preserve"> účinn</w:t>
      </w:r>
      <w:r w:rsidR="006E425D" w:rsidRPr="006519D0">
        <w:t>ě</w:t>
      </w:r>
      <w:r w:rsidR="009A23BC" w:rsidRPr="006519D0">
        <w:t xml:space="preserve"> kontrol</w:t>
      </w:r>
      <w:r w:rsidR="006E425D" w:rsidRPr="006519D0">
        <w:t>ovat</w:t>
      </w:r>
      <w:r w:rsidR="009A23BC" w:rsidRPr="006519D0">
        <w:t xml:space="preserve"> dovoz a vývoz F-plynů z důvodu neúplnosti dat.</w:t>
      </w:r>
      <w:r w:rsidR="008D4121" w:rsidRPr="006519D0">
        <w:t xml:space="preserve"> Zároveň je žádoucí, aby na nově vznikající povinnost provozovat činnost regenerace F-plynů pouze s platným povolením navazovala též povinnost podávat zprávy. V opačném případě by docházelo k nefunkčnímu systému veřejnosprávní kontroly v oblasti regenerace F-plynů a</w:t>
      </w:r>
      <w:r w:rsidR="004242B7" w:rsidRPr="006519D0">
        <w:t> </w:t>
      </w:r>
      <w:r w:rsidR="008D4121" w:rsidRPr="006519D0">
        <w:t xml:space="preserve">faktické nemožnosti </w:t>
      </w:r>
      <w:r w:rsidR="00236FB6" w:rsidRPr="006519D0">
        <w:t>realizace kontroly a dohledu.</w:t>
      </w:r>
    </w:p>
    <w:p w14:paraId="719B5834" w14:textId="77777777" w:rsidR="00526EA2" w:rsidRPr="006519D0" w:rsidRDefault="00526EA2" w:rsidP="0014463F"/>
    <w:p w14:paraId="6F93AC03" w14:textId="77777777" w:rsidR="0014463F" w:rsidRPr="006519D0" w:rsidRDefault="009731B0" w:rsidP="0014463F">
      <w:pPr>
        <w:pStyle w:val="Nadpis2"/>
      </w:pPr>
      <w:r w:rsidRPr="006519D0">
        <w:t>Návrh variant řešení</w:t>
      </w:r>
    </w:p>
    <w:p w14:paraId="0F3AE94D" w14:textId="77777777" w:rsidR="0014463F" w:rsidRPr="006519D0" w:rsidRDefault="009731B0" w:rsidP="0014463F">
      <w:pPr>
        <w:pStyle w:val="Nadpis3"/>
      </w:pPr>
      <w:r w:rsidRPr="006519D0">
        <w:t>Varianta 0</w:t>
      </w:r>
    </w:p>
    <w:p w14:paraId="6214EC56" w14:textId="77777777" w:rsidR="004E41AF" w:rsidRPr="006519D0" w:rsidRDefault="009731B0" w:rsidP="0014463F">
      <w:r w:rsidRPr="006519D0">
        <w:t>Zachování současného stavu, kdy je podání zpráv požadováno jen v případě získání, předání nebo zneškodnění F-plynů, s kterými je nakládáno samostatně</w:t>
      </w:r>
      <w:r w:rsidR="00236FB6" w:rsidRPr="006519D0">
        <w:t xml:space="preserve">, a není požadováno, aby osoby, které provádí činnost regenerace F-plynů </w:t>
      </w:r>
      <w:r w:rsidR="007C4C7A" w:rsidRPr="006519D0">
        <w:t xml:space="preserve">v </w:t>
      </w:r>
      <w:r w:rsidR="00236FB6" w:rsidRPr="006519D0">
        <w:t xml:space="preserve">množství </w:t>
      </w:r>
      <w:r w:rsidR="007C4C7A" w:rsidRPr="006519D0">
        <w:t>nad</w:t>
      </w:r>
      <w:r w:rsidR="00236FB6" w:rsidRPr="006519D0">
        <w:t xml:space="preserve"> 100 tun ekvivalentu CO</w:t>
      </w:r>
      <w:r w:rsidR="00236FB6" w:rsidRPr="006519D0">
        <w:rPr>
          <w:vertAlign w:val="subscript"/>
        </w:rPr>
        <w:t>2</w:t>
      </w:r>
      <w:r w:rsidR="007C4C7A" w:rsidRPr="006519D0">
        <w:t>/rok</w:t>
      </w:r>
      <w:r w:rsidR="00236FB6" w:rsidRPr="006519D0">
        <w:t>, podávaly zprávy</w:t>
      </w:r>
      <w:r w:rsidRPr="006519D0">
        <w:t xml:space="preserve">.   </w:t>
      </w:r>
    </w:p>
    <w:p w14:paraId="57BB9661" w14:textId="77777777" w:rsidR="0014463F" w:rsidRPr="006519D0" w:rsidRDefault="009731B0" w:rsidP="0014463F">
      <w:pPr>
        <w:pStyle w:val="Nadpis3"/>
      </w:pPr>
      <w:r w:rsidRPr="006519D0">
        <w:t>Varianta 1</w:t>
      </w:r>
    </w:p>
    <w:p w14:paraId="5284D9BC" w14:textId="77777777" w:rsidR="0014463F" w:rsidRPr="006519D0" w:rsidRDefault="009731B0" w:rsidP="0014463F">
      <w:r w:rsidRPr="006519D0">
        <w:t xml:space="preserve">Navrhovaná varianta </w:t>
      </w:r>
      <w:r w:rsidR="0027532C" w:rsidRPr="006519D0">
        <w:t xml:space="preserve">rozšiřuje </w:t>
      </w:r>
      <w:r w:rsidRPr="006519D0">
        <w:t>podání zpráv i o F-plynech, které jsou obsaženy v</w:t>
      </w:r>
      <w:r w:rsidR="00236FB6" w:rsidRPr="006519D0">
        <w:t> </w:t>
      </w:r>
      <w:r w:rsidRPr="006519D0">
        <w:t>zařízení</w:t>
      </w:r>
      <w:r w:rsidR="001762D6" w:rsidRPr="006519D0">
        <w:t>ch</w:t>
      </w:r>
      <w:r w:rsidR="00236FB6" w:rsidRPr="006519D0">
        <w:t>, a rozšiřuje povinnost podávat zprávy též na osoby, které provádí činnost regenerace F-plynů a množství regenerovaných F-plynů je v kalendářním roce 100 tun ekvivalentu CO</w:t>
      </w:r>
      <w:r w:rsidR="00236FB6" w:rsidRPr="006519D0">
        <w:rPr>
          <w:vertAlign w:val="subscript"/>
        </w:rPr>
        <w:t>2</w:t>
      </w:r>
      <w:r w:rsidR="00236FB6" w:rsidRPr="006519D0">
        <w:t xml:space="preserve"> nebo vyšší</w:t>
      </w:r>
      <w:r w:rsidRPr="006519D0">
        <w:t>.</w:t>
      </w:r>
    </w:p>
    <w:p w14:paraId="4DA1DA9C" w14:textId="77777777" w:rsidR="00571775" w:rsidRPr="006519D0" w:rsidRDefault="009731B0" w:rsidP="0028195C">
      <w:pPr>
        <w:spacing w:before="240"/>
      </w:pPr>
      <w:r w:rsidRPr="006519D0">
        <w:t xml:space="preserve">Vzhledem k potřebě získání úplných dat </w:t>
      </w:r>
      <w:r w:rsidR="00B2000F" w:rsidRPr="006519D0">
        <w:t xml:space="preserve">ohledně přeshraničního pohybu F-plynů, a to jak samostatně, tak i jako součást zařízení, </w:t>
      </w:r>
      <w:r w:rsidRPr="006519D0">
        <w:t>z důvodu systému veřejnosprávní kontroly</w:t>
      </w:r>
      <w:r w:rsidR="00B2000F" w:rsidRPr="006519D0">
        <w:t xml:space="preserve"> a dohledu</w:t>
      </w:r>
      <w:r w:rsidRPr="006519D0">
        <w:t xml:space="preserve"> v oblasti regenerace F-plynů</w:t>
      </w:r>
      <w:r w:rsidR="00E627B7" w:rsidRPr="006519D0">
        <w:t>,</w:t>
      </w:r>
      <w:r w:rsidRPr="006519D0">
        <w:t xml:space="preserve"> nebyly další varianty řešení zvažovány. Navrhovaná varianta sjednocuje podmínky platné </w:t>
      </w:r>
      <w:r w:rsidR="00E775EF" w:rsidRPr="006519D0">
        <w:t xml:space="preserve">pro celní systémy a rejstříky </w:t>
      </w:r>
      <w:r w:rsidRPr="006519D0">
        <w:t>na evropské úrovni a umožňuje tak sledo</w:t>
      </w:r>
      <w:r w:rsidRPr="006519D0">
        <w:t xml:space="preserve">vání a kontrolu </w:t>
      </w:r>
      <w:r w:rsidR="00B2000F" w:rsidRPr="006519D0">
        <w:t xml:space="preserve">dovozu a vývozu F-plynů </w:t>
      </w:r>
      <w:r w:rsidR="00E627B7" w:rsidRPr="006519D0">
        <w:t xml:space="preserve">nejen </w:t>
      </w:r>
      <w:r w:rsidR="00B2000F" w:rsidRPr="006519D0">
        <w:t>do/z ČR</w:t>
      </w:r>
      <w:r w:rsidR="00E627B7" w:rsidRPr="006519D0">
        <w:t>, ale také</w:t>
      </w:r>
      <w:r w:rsidR="00B2000F" w:rsidRPr="006519D0">
        <w:t xml:space="preserve"> </w:t>
      </w:r>
      <w:r w:rsidR="00E775EF" w:rsidRPr="006519D0">
        <w:t xml:space="preserve">ve všech členských státech </w:t>
      </w:r>
      <w:r w:rsidR="00B2000F" w:rsidRPr="006519D0">
        <w:t>EU.</w:t>
      </w:r>
    </w:p>
    <w:p w14:paraId="554C804A" w14:textId="77777777" w:rsidR="00BE0A1F" w:rsidRPr="006519D0" w:rsidRDefault="00BE0A1F" w:rsidP="0014463F"/>
    <w:p w14:paraId="72E28D1E" w14:textId="77777777" w:rsidR="0014463F" w:rsidRPr="006519D0" w:rsidRDefault="009731B0" w:rsidP="0014463F">
      <w:pPr>
        <w:pStyle w:val="Nadpis2"/>
      </w:pPr>
      <w:r w:rsidRPr="006519D0">
        <w:t>Vyhodnocení nákladů a přínosů</w:t>
      </w:r>
    </w:p>
    <w:p w14:paraId="784CA9DC" w14:textId="77777777" w:rsidR="0014463F" w:rsidRPr="006519D0" w:rsidRDefault="009731B0" w:rsidP="008D339A">
      <w:pPr>
        <w:pStyle w:val="Nadpis3"/>
        <w:spacing w:after="120"/>
      </w:pPr>
      <w:r w:rsidRPr="006519D0">
        <w:t>Identifikace nákladů a přínosů</w:t>
      </w:r>
    </w:p>
    <w:p w14:paraId="301D67C4" w14:textId="77777777" w:rsidR="0014463F" w:rsidRPr="006519D0" w:rsidRDefault="009731B0" w:rsidP="00BD1744">
      <w:pPr>
        <w:pStyle w:val="Odstavecseseznamem"/>
        <w:numPr>
          <w:ilvl w:val="0"/>
          <w:numId w:val="28"/>
        </w:numPr>
        <w:rPr>
          <w:b/>
        </w:rPr>
      </w:pPr>
      <w:r w:rsidRPr="006519D0">
        <w:rPr>
          <w:b/>
        </w:rPr>
        <w:t>Varianta 0</w:t>
      </w:r>
    </w:p>
    <w:p w14:paraId="73229401" w14:textId="77777777" w:rsidR="0014463F" w:rsidRPr="006519D0" w:rsidRDefault="009731B0" w:rsidP="001856C3">
      <w:pPr>
        <w:spacing w:before="240" w:after="0"/>
        <w:rPr>
          <w:b/>
        </w:rPr>
      </w:pPr>
      <w:r w:rsidRPr="006519D0">
        <w:rPr>
          <w:b/>
        </w:rPr>
        <w:t>Dopady na státní rozpočet a ostatní veřejné rozpočty</w:t>
      </w:r>
    </w:p>
    <w:p w14:paraId="1094E759" w14:textId="77777777" w:rsidR="00B91C2E" w:rsidRPr="006519D0" w:rsidRDefault="009731B0" w:rsidP="001856C3">
      <w:r w:rsidRPr="006519D0">
        <w:t>Současná praxe neumožňuje MŽP, jako</w:t>
      </w:r>
      <w:r w:rsidRPr="006519D0">
        <w:t xml:space="preserve"> správci ISPOP, </w:t>
      </w:r>
      <w:r w:rsidR="00220922" w:rsidRPr="006519D0">
        <w:t xml:space="preserve">získat </w:t>
      </w:r>
      <w:r w:rsidRPr="006519D0">
        <w:t>relevantní data o množst</w:t>
      </w:r>
      <w:r w:rsidR="00CF3342" w:rsidRPr="006519D0">
        <w:t>ví a</w:t>
      </w:r>
      <w:r w:rsidR="0027532C" w:rsidRPr="006519D0">
        <w:t> </w:t>
      </w:r>
      <w:r w:rsidR="00CF3342" w:rsidRPr="006519D0">
        <w:t>pohybu F-plynů na území ČR.</w:t>
      </w:r>
      <w:r w:rsidR="00220922" w:rsidRPr="006519D0">
        <w:t xml:space="preserve"> MŽP tak nemá </w:t>
      </w:r>
      <w:r w:rsidR="00277CD7" w:rsidRPr="006519D0">
        <w:t xml:space="preserve">adekvátní </w:t>
      </w:r>
      <w:r w:rsidR="00220922" w:rsidRPr="006519D0">
        <w:t>kontrolu nad množstvím, nakládáním a zneškodněním F-plynů.</w:t>
      </w:r>
      <w:r w:rsidR="00CA6871" w:rsidRPr="006519D0">
        <w:t xml:space="preserve"> Obdobě to platí pro oblast regenerace F-plynů.</w:t>
      </w:r>
    </w:p>
    <w:p w14:paraId="3B7BF3E9" w14:textId="77777777" w:rsidR="0014463F" w:rsidRPr="006519D0" w:rsidRDefault="009731B0" w:rsidP="001856C3">
      <w:pPr>
        <w:spacing w:before="240" w:after="0"/>
        <w:rPr>
          <w:b/>
        </w:rPr>
      </w:pPr>
      <w:r w:rsidRPr="006519D0">
        <w:rPr>
          <w:b/>
        </w:rPr>
        <w:t>Dopady na podnikatelské prostředí</w:t>
      </w:r>
    </w:p>
    <w:p w14:paraId="1D48FC6D" w14:textId="77777777" w:rsidR="0027532C" w:rsidRPr="006519D0" w:rsidRDefault="009731B0" w:rsidP="001856C3">
      <w:r w:rsidRPr="006519D0">
        <w:t>O samostatnýc</w:t>
      </w:r>
      <w:r w:rsidRPr="006519D0">
        <w:t xml:space="preserve">h F-plynech se podává </w:t>
      </w:r>
      <w:r w:rsidR="00E74263" w:rsidRPr="006519D0">
        <w:t xml:space="preserve">zpráva </w:t>
      </w:r>
      <w:r w:rsidR="006D7326" w:rsidRPr="006519D0">
        <w:t xml:space="preserve">MŽP </w:t>
      </w:r>
      <w:r w:rsidRPr="006519D0">
        <w:t>nejpozději do 31. března následujícího kalendářního roku, s údaji o názvu, množství</w:t>
      </w:r>
      <w:r w:rsidR="00277CD7" w:rsidRPr="006519D0">
        <w:t xml:space="preserve"> F-plynů</w:t>
      </w:r>
      <w:r w:rsidRPr="006519D0">
        <w:t xml:space="preserve">, členském státu, ze kterého byly </w:t>
      </w:r>
      <w:r w:rsidR="00277CD7" w:rsidRPr="006519D0">
        <w:t xml:space="preserve">F-plyny </w:t>
      </w:r>
      <w:r w:rsidRPr="006519D0">
        <w:t>získány nebo do kterého byly předány a původ látek uvedených na trh</w:t>
      </w:r>
      <w:r w:rsidR="00277CD7" w:rsidRPr="006519D0">
        <w:t xml:space="preserve"> na území ČR</w:t>
      </w:r>
      <w:r w:rsidRPr="006519D0">
        <w:t>.</w:t>
      </w:r>
      <w:r w:rsidR="00ED4038" w:rsidRPr="006519D0">
        <w:t xml:space="preserve"> S podáváním zpráv se tak pojí administrativní činnost spočívající ve zpracování příslušné zprávy.</w:t>
      </w:r>
      <w:r w:rsidR="00B560AC" w:rsidRPr="006519D0">
        <w:t xml:space="preserve"> Současný právní stav neukládá osobám, které provádí činnost regenerace F-plynů </w:t>
      </w:r>
      <w:r w:rsidR="00F153FE" w:rsidRPr="006519D0">
        <w:br/>
      </w:r>
      <w:r w:rsidR="00B560AC" w:rsidRPr="006519D0">
        <w:t>a množství regenerovaných F-plynů je v kalendářním roce 100 tun ekvivalentu CO</w:t>
      </w:r>
      <w:r w:rsidR="00B560AC" w:rsidRPr="006519D0">
        <w:rPr>
          <w:vertAlign w:val="subscript"/>
        </w:rPr>
        <w:t>2</w:t>
      </w:r>
      <w:r w:rsidR="00B560AC" w:rsidRPr="006519D0">
        <w:t xml:space="preserve"> nebo vyšší, povinnost podávat zprávu.</w:t>
      </w:r>
    </w:p>
    <w:p w14:paraId="14089FB7" w14:textId="77777777" w:rsidR="0014463F" w:rsidRPr="006519D0" w:rsidRDefault="009731B0" w:rsidP="00B632EB">
      <w:pPr>
        <w:keepNext/>
        <w:spacing w:before="240" w:after="0"/>
        <w:rPr>
          <w:b/>
        </w:rPr>
      </w:pPr>
      <w:r w:rsidRPr="006519D0">
        <w:rPr>
          <w:b/>
        </w:rPr>
        <w:lastRenderedPageBreak/>
        <w:t>Dopady na životní prostředí</w:t>
      </w:r>
    </w:p>
    <w:p w14:paraId="29E3F936" w14:textId="77777777" w:rsidR="0014463F" w:rsidRPr="006519D0" w:rsidRDefault="009731B0" w:rsidP="0014463F">
      <w:r w:rsidRPr="006519D0">
        <w:t>Současný stav má potenciálně negativní dopady na životní prostředí, neboť z</w:t>
      </w:r>
      <w:r w:rsidR="00220922" w:rsidRPr="006519D0">
        <w:t> důvodu nepřesn</w:t>
      </w:r>
      <w:r w:rsidR="00ED4038" w:rsidRPr="006519D0">
        <w:t>ých</w:t>
      </w:r>
      <w:r w:rsidR="00220922" w:rsidRPr="006519D0">
        <w:t xml:space="preserve"> </w:t>
      </w:r>
      <w:r w:rsidR="00ED4038" w:rsidRPr="006519D0">
        <w:t xml:space="preserve">údajů dostupných z podávaných zpráv </w:t>
      </w:r>
      <w:r w:rsidR="00220922" w:rsidRPr="006519D0">
        <w:t xml:space="preserve">nemůže být prováděna důsledná kontrola nakládání a zneškodňování </w:t>
      </w:r>
      <w:r w:rsidR="00CF3342" w:rsidRPr="006519D0">
        <w:t>F-plynů</w:t>
      </w:r>
      <w:r w:rsidR="00ED4038" w:rsidRPr="006519D0">
        <w:t>.</w:t>
      </w:r>
      <w:r w:rsidR="00CF3342" w:rsidRPr="006519D0">
        <w:t xml:space="preserve"> </w:t>
      </w:r>
      <w:r w:rsidR="003A5929" w:rsidRPr="006519D0">
        <w:t>Nepřesná data ztěžují tvorbu emisních inventur.</w:t>
      </w:r>
      <w:r w:rsidR="003806AB" w:rsidRPr="006519D0">
        <w:t xml:space="preserve"> Pokud v</w:t>
      </w:r>
      <w:r w:rsidR="00ED4038" w:rsidRPr="006519D0">
        <w:t xml:space="preserve"> emisních </w:t>
      </w:r>
      <w:r w:rsidR="003806AB" w:rsidRPr="006519D0">
        <w:t xml:space="preserve">inventurách chybí informace o F-plynech </w:t>
      </w:r>
      <w:r w:rsidR="00ED4038" w:rsidRPr="006519D0">
        <w:t>obsažených v</w:t>
      </w:r>
      <w:r w:rsidR="003806AB" w:rsidRPr="006519D0">
        <w:t> zařízeních, jejich vypovídací hodnota je velmi nízká.</w:t>
      </w:r>
      <w:r w:rsidR="00B560AC" w:rsidRPr="006519D0">
        <w:t xml:space="preserve"> V případě regenerace F-plynů nejsou z důvodu absence povinnosti podávat zprávy dostupná žádná data o množství regenerovaných F-plynů.</w:t>
      </w:r>
    </w:p>
    <w:p w14:paraId="29DC5C45" w14:textId="77777777" w:rsidR="00B91C2E" w:rsidRPr="006519D0" w:rsidRDefault="00B91C2E" w:rsidP="0014463F"/>
    <w:p w14:paraId="05CC79C5" w14:textId="77777777" w:rsidR="0014463F" w:rsidRPr="006519D0" w:rsidRDefault="009731B0" w:rsidP="00BD1744">
      <w:pPr>
        <w:pStyle w:val="Odstavecseseznamem"/>
        <w:numPr>
          <w:ilvl w:val="0"/>
          <w:numId w:val="28"/>
        </w:numPr>
        <w:rPr>
          <w:b/>
        </w:rPr>
      </w:pPr>
      <w:r w:rsidRPr="006519D0">
        <w:rPr>
          <w:b/>
        </w:rPr>
        <w:t>Varianta 1</w:t>
      </w:r>
      <w:r w:rsidR="00546682" w:rsidRPr="006519D0">
        <w:rPr>
          <w:b/>
        </w:rPr>
        <w:t xml:space="preserve">                                                        </w:t>
      </w:r>
    </w:p>
    <w:p w14:paraId="10681E9C" w14:textId="77777777" w:rsidR="0014463F" w:rsidRPr="006519D0" w:rsidRDefault="009731B0" w:rsidP="001856C3">
      <w:pPr>
        <w:spacing w:before="240" w:after="0"/>
        <w:rPr>
          <w:b/>
        </w:rPr>
      </w:pPr>
      <w:r w:rsidRPr="006519D0">
        <w:rPr>
          <w:b/>
        </w:rPr>
        <w:t>Dopady na státní rozpočet a ostatní veřejné rozpočty</w:t>
      </w:r>
    </w:p>
    <w:p w14:paraId="056B0850" w14:textId="77777777" w:rsidR="00F153FE" w:rsidRPr="006519D0" w:rsidRDefault="009731B0" w:rsidP="00D91BC9">
      <w:r w:rsidRPr="006519D0">
        <w:t>Při zaveden</w:t>
      </w:r>
      <w:r w:rsidRPr="006519D0">
        <w:t>í této varianty bude mít MŽP</w:t>
      </w:r>
      <w:r w:rsidR="00AC012F" w:rsidRPr="006519D0">
        <w:t xml:space="preserve"> k dispozici relevantní data o množství a pohybu </w:t>
      </w:r>
      <w:r w:rsidR="00AA2E53" w:rsidRPr="006519D0">
        <w:br/>
      </w:r>
      <w:r w:rsidR="00AC012F" w:rsidRPr="006519D0">
        <w:t>F-plynů na území ČR, tj.</w:t>
      </w:r>
      <w:r w:rsidRPr="006519D0">
        <w:t xml:space="preserve"> informace</w:t>
      </w:r>
      <w:r w:rsidR="00C23F39" w:rsidRPr="006519D0">
        <w:t xml:space="preserve"> jak</w:t>
      </w:r>
      <w:r w:rsidRPr="006519D0">
        <w:t xml:space="preserve"> o F-plynech</w:t>
      </w:r>
      <w:r w:rsidR="00C23F39" w:rsidRPr="006519D0">
        <w:t>,</w:t>
      </w:r>
      <w:r w:rsidRPr="006519D0">
        <w:t xml:space="preserve"> s kterými se nakládá</w:t>
      </w:r>
      <w:r w:rsidR="00C23F39" w:rsidRPr="006519D0">
        <w:t xml:space="preserve"> samostatně, tak </w:t>
      </w:r>
      <w:r w:rsidR="00CA3692" w:rsidRPr="006519D0">
        <w:br/>
      </w:r>
      <w:r w:rsidR="00C23F39" w:rsidRPr="006519D0">
        <w:t>i</w:t>
      </w:r>
      <w:r w:rsidR="00CA6940" w:rsidRPr="006519D0">
        <w:t> </w:t>
      </w:r>
      <w:r w:rsidR="00C23F39" w:rsidRPr="006519D0">
        <w:t>o</w:t>
      </w:r>
      <w:r w:rsidR="00CA6940" w:rsidRPr="006519D0">
        <w:t> </w:t>
      </w:r>
      <w:r w:rsidR="00C23F39" w:rsidRPr="006519D0">
        <w:t>F-plynech, které jsou součástí zařízení</w:t>
      </w:r>
      <w:r w:rsidR="00B91C2E" w:rsidRPr="006519D0">
        <w:t>. Tím se zvýší transparentnost při nakládání s těmito látkami, zároveň se zjednoduší kontrolní činnost a zvýší se vymahatelnost zákonných ustanovení ohledně nakládání s F-plyny.</w:t>
      </w:r>
      <w:r w:rsidR="001F629D" w:rsidRPr="006519D0">
        <w:t xml:space="preserve"> Obdobně to platí pro regeneraci F-plynů.</w:t>
      </w:r>
    </w:p>
    <w:p w14:paraId="762A9D08" w14:textId="77777777" w:rsidR="0014463F" w:rsidRPr="006519D0" w:rsidRDefault="009731B0" w:rsidP="002735A3">
      <w:pPr>
        <w:keepNext/>
        <w:spacing w:before="240" w:after="0"/>
        <w:rPr>
          <w:b/>
        </w:rPr>
      </w:pPr>
      <w:r w:rsidRPr="006519D0">
        <w:rPr>
          <w:b/>
        </w:rPr>
        <w:t>Dopady na podnikatelské prostředí</w:t>
      </w:r>
    </w:p>
    <w:p w14:paraId="5BD7300B" w14:textId="77777777" w:rsidR="00A1507B" w:rsidRPr="006519D0" w:rsidRDefault="009731B0" w:rsidP="001856C3">
      <w:r w:rsidRPr="006519D0">
        <w:t>Osoby, které nakládají s F-plyny, budou mít povi</w:t>
      </w:r>
      <w:r w:rsidRPr="006519D0">
        <w:t xml:space="preserve">nnost podávat zprávu nejen o F-plynech, s kterými je nakládáno samostatně, ale i o </w:t>
      </w:r>
      <w:r w:rsidR="006E5228" w:rsidRPr="006519D0">
        <w:t>F-plynech</w:t>
      </w:r>
      <w:r w:rsidRPr="006519D0">
        <w:t xml:space="preserve">, které jsou součástí zařízení. Tím </w:t>
      </w:r>
      <w:r w:rsidR="00AC012F" w:rsidRPr="006519D0">
        <w:t>dojde k</w:t>
      </w:r>
      <w:r w:rsidRPr="006519D0">
        <w:t xml:space="preserve"> mírn</w:t>
      </w:r>
      <w:r w:rsidR="00AC012F" w:rsidRPr="006519D0">
        <w:t>ému</w:t>
      </w:r>
      <w:r w:rsidRPr="006519D0">
        <w:t xml:space="preserve"> zvýš</w:t>
      </w:r>
      <w:r w:rsidR="00AC012F" w:rsidRPr="006519D0">
        <w:t>en</w:t>
      </w:r>
      <w:r w:rsidRPr="006519D0">
        <w:t>í administrativní zátěž</w:t>
      </w:r>
      <w:r w:rsidR="00AC012F" w:rsidRPr="006519D0">
        <w:t>e těchto osob</w:t>
      </w:r>
      <w:r w:rsidRPr="006519D0">
        <w:t>.</w:t>
      </w:r>
      <w:r w:rsidR="006D7326" w:rsidRPr="006519D0">
        <w:t xml:space="preserve"> </w:t>
      </w:r>
      <w:r w:rsidR="006B0FF3" w:rsidRPr="006519D0">
        <w:t xml:space="preserve">V současné době podává zprávu odhadem 30 subjektů a dalších cca 50 subjektů bude mít novou povinnost zprávu podat. Časová náročnost podání zprávy </w:t>
      </w:r>
      <w:r w:rsidR="00670D30" w:rsidRPr="006519D0">
        <w:t xml:space="preserve">(dle nařízení vlády č. 341/2017 Sb.) </w:t>
      </w:r>
      <w:r w:rsidR="00B91C2E" w:rsidRPr="006519D0">
        <w:t xml:space="preserve">se odhaduje </w:t>
      </w:r>
      <w:r w:rsidRPr="006519D0">
        <w:br/>
      </w:r>
      <w:r w:rsidR="00B91C2E" w:rsidRPr="006519D0">
        <w:t>na</w:t>
      </w:r>
      <w:r w:rsidR="00CA6940" w:rsidRPr="006519D0">
        <w:t> </w:t>
      </w:r>
      <w:r w:rsidR="006B0FF3" w:rsidRPr="006519D0">
        <w:t>cca 0,5</w:t>
      </w:r>
      <w:r w:rsidR="00670D30" w:rsidRPr="006519D0">
        <w:t> </w:t>
      </w:r>
      <w:r w:rsidR="006B0FF3" w:rsidRPr="006519D0">
        <w:t xml:space="preserve">hodiny, což představuje </w:t>
      </w:r>
      <w:r w:rsidR="00B91C2E" w:rsidRPr="006519D0">
        <w:t>administrativní zátěž</w:t>
      </w:r>
      <w:r w:rsidR="006B0FF3" w:rsidRPr="006519D0">
        <w:t xml:space="preserve"> </w:t>
      </w:r>
      <w:r w:rsidR="00B91C2E" w:rsidRPr="006519D0">
        <w:t>cca</w:t>
      </w:r>
      <w:r w:rsidR="006B0FF3" w:rsidRPr="006519D0">
        <w:t xml:space="preserve"> 150 Kč</w:t>
      </w:r>
      <w:r w:rsidR="00B632EB" w:rsidRPr="006519D0">
        <w:t>/subjekt</w:t>
      </w:r>
      <w:r w:rsidR="006B0FF3" w:rsidRPr="006519D0">
        <w:t xml:space="preserve">. </w:t>
      </w:r>
      <w:r w:rsidR="00670D30" w:rsidRPr="006519D0">
        <w:t>Celková roční administrativní zátěž p</w:t>
      </w:r>
      <w:r w:rsidR="006B0FF3" w:rsidRPr="006519D0">
        <w:t xml:space="preserve">ro všech 80 subjektů </w:t>
      </w:r>
      <w:r w:rsidR="00670D30" w:rsidRPr="006519D0">
        <w:t>je odhadována na</w:t>
      </w:r>
      <w:r w:rsidR="006B0FF3" w:rsidRPr="006519D0">
        <w:t xml:space="preserve"> cca 12 </w:t>
      </w:r>
      <w:r w:rsidR="00670D30" w:rsidRPr="006519D0">
        <w:t>tis.</w:t>
      </w:r>
      <w:r w:rsidR="006B0FF3" w:rsidRPr="006519D0">
        <w:t xml:space="preserve"> Kč</w:t>
      </w:r>
      <w:r w:rsidR="00670D30" w:rsidRPr="006519D0">
        <w:t xml:space="preserve">. Z toho administrativní zátěž subjektů, kteří budou zprávu podávat nově (50 subjektů), činí </w:t>
      </w:r>
      <w:r w:rsidRPr="006519D0">
        <w:br/>
      </w:r>
      <w:r w:rsidR="006B0FF3" w:rsidRPr="006519D0">
        <w:t>7</w:t>
      </w:r>
      <w:r w:rsidR="00670D30" w:rsidRPr="006519D0">
        <w:t> </w:t>
      </w:r>
      <w:r w:rsidR="006B0FF3" w:rsidRPr="006519D0">
        <w:t>500</w:t>
      </w:r>
      <w:r w:rsidR="00670D30" w:rsidRPr="006519D0">
        <w:t xml:space="preserve"> </w:t>
      </w:r>
      <w:r w:rsidR="006B0FF3" w:rsidRPr="006519D0">
        <w:t>Kč</w:t>
      </w:r>
      <w:r w:rsidR="00670D30" w:rsidRPr="006519D0">
        <w:t>/rok</w:t>
      </w:r>
      <w:r w:rsidR="006B0FF3" w:rsidRPr="006519D0">
        <w:t>.</w:t>
      </w:r>
      <w:r w:rsidR="001F629D" w:rsidRPr="006519D0">
        <w:t xml:space="preserve"> V případě zavedení povinnosti podávat zprávu o regeneraci F-plynů</w:t>
      </w:r>
      <w:r w:rsidR="008D5ED0" w:rsidRPr="006519D0">
        <w:t xml:space="preserve"> se tato povinnost bude týkat nízkých jednotek subjektů (cca 5 subjektů). K vyčíslení administrativní zátěže lze použít obdobný postup jako výše. Časová náročnost se odhaduje shodně </w:t>
      </w:r>
      <w:r w:rsidR="00F153FE" w:rsidRPr="006519D0">
        <w:br/>
      </w:r>
      <w:r w:rsidR="008D5ED0" w:rsidRPr="006519D0">
        <w:t>na cca 0,5 hodiny, tedy administrativní zátěž činí cca 150 Kč. Celková administrativní zátěž, budeme</w:t>
      </w:r>
      <w:r w:rsidR="008D5ED0" w:rsidRPr="006519D0">
        <w:noBreakHyphen/>
        <w:t>li pracovat s množstvím 5 subjektů</w:t>
      </w:r>
      <w:r w:rsidR="004313FD" w:rsidRPr="006519D0">
        <w:t>, je odhadována na 750 Kč za rok.</w:t>
      </w:r>
      <w:r w:rsidR="00634B37" w:rsidRPr="006519D0">
        <w:t xml:space="preserve"> </w:t>
      </w:r>
    </w:p>
    <w:p w14:paraId="695B04D0" w14:textId="77777777" w:rsidR="0014463F" w:rsidRPr="006519D0" w:rsidRDefault="009731B0" w:rsidP="001856C3">
      <w:pPr>
        <w:spacing w:before="240" w:after="0"/>
        <w:rPr>
          <w:b/>
        </w:rPr>
      </w:pPr>
      <w:r w:rsidRPr="006519D0">
        <w:rPr>
          <w:b/>
        </w:rPr>
        <w:t>Dopady na životní prostředí</w:t>
      </w:r>
    </w:p>
    <w:p w14:paraId="63D49233" w14:textId="77777777" w:rsidR="0014463F" w:rsidRPr="006519D0" w:rsidRDefault="009731B0" w:rsidP="0014463F">
      <w:r w:rsidRPr="006519D0">
        <w:t>O</w:t>
      </w:r>
      <w:r w:rsidR="00E5546E" w:rsidRPr="006519D0">
        <w:t xml:space="preserve">čekáváme pozitivní dopady na životní prostředí </w:t>
      </w:r>
      <w:r w:rsidR="00CD5BEC" w:rsidRPr="006519D0">
        <w:t>v důsledku komplexního podávání zpráv nejen o samostatných F-plynech, ale i F-plynech obsažených v</w:t>
      </w:r>
      <w:r w:rsidR="004313FD" w:rsidRPr="006519D0">
        <w:t> </w:t>
      </w:r>
      <w:r w:rsidR="00CD5BEC" w:rsidRPr="006519D0">
        <w:t>zařízeních</w:t>
      </w:r>
      <w:r w:rsidR="004313FD" w:rsidRPr="006519D0">
        <w:t xml:space="preserve"> a regenerovaných F-plynech</w:t>
      </w:r>
      <w:r w:rsidR="00CD5BEC" w:rsidRPr="006519D0">
        <w:t xml:space="preserve"> a</w:t>
      </w:r>
      <w:r w:rsidR="00670D30" w:rsidRPr="006519D0">
        <w:t> </w:t>
      </w:r>
      <w:r w:rsidR="00CD5BEC" w:rsidRPr="006519D0">
        <w:t>navazujících</w:t>
      </w:r>
      <w:r w:rsidR="004A771D" w:rsidRPr="006519D0">
        <w:t> efektivnějších kontrol z důvodu</w:t>
      </w:r>
      <w:r w:rsidR="00E5546E" w:rsidRPr="006519D0">
        <w:t xml:space="preserve"> lepší informovanosti o pohybu </w:t>
      </w:r>
      <w:r w:rsidR="00F153FE" w:rsidRPr="006519D0">
        <w:br/>
      </w:r>
      <w:r w:rsidR="00E5546E" w:rsidRPr="006519D0">
        <w:t>F-plynů nejen samostatně, ale i obsažených v</w:t>
      </w:r>
      <w:r w:rsidR="004313FD" w:rsidRPr="006519D0">
        <w:t> </w:t>
      </w:r>
      <w:r w:rsidR="00E5546E" w:rsidRPr="006519D0">
        <w:t>zařízení</w:t>
      </w:r>
      <w:r w:rsidR="004313FD" w:rsidRPr="006519D0">
        <w:t>, a také informaci o množství regenerovaných F-plynů</w:t>
      </w:r>
      <w:r w:rsidR="00E5546E" w:rsidRPr="006519D0">
        <w:t>.</w:t>
      </w:r>
      <w:r w:rsidR="00670D30" w:rsidRPr="006519D0">
        <w:t xml:space="preserve"> Zvýšením transparentnosti při nakládání s F-plyny a zjednodušením kontrolní činnost se zvýší vymahatelnost zákonných ustanovení ohledně nakládání s F-plyny, což bude mít pozitivní dopad na životní prostředí.</w:t>
      </w:r>
      <w:r w:rsidR="00E5546E" w:rsidRPr="006519D0">
        <w:t xml:space="preserve"> </w:t>
      </w:r>
      <w:r w:rsidR="00016A35" w:rsidRPr="006519D0">
        <w:t>Podle Kjótského protokolu se emise F-plynů započítávají do limitů snížení emisí skleníkových plynů, také proto je potřebné znát jejich bilanci.</w:t>
      </w:r>
    </w:p>
    <w:p w14:paraId="6CF9AB48" w14:textId="77777777" w:rsidR="00670D30" w:rsidRPr="006519D0" w:rsidRDefault="00670D30" w:rsidP="0014463F"/>
    <w:p w14:paraId="412CD38E" w14:textId="77777777" w:rsidR="0014463F" w:rsidRPr="006519D0" w:rsidRDefault="009731B0" w:rsidP="0014463F">
      <w:pPr>
        <w:pStyle w:val="Nadpis3"/>
      </w:pPr>
      <w:r w:rsidRPr="006519D0">
        <w:lastRenderedPageBreak/>
        <w:t>Vyhodnocení nákladů a přínosů variant</w:t>
      </w:r>
    </w:p>
    <w:p w14:paraId="6FBCC5BA" w14:textId="77777777" w:rsidR="00AC012F" w:rsidRPr="006519D0" w:rsidRDefault="009731B0" w:rsidP="00AC012F">
      <w:pPr>
        <w:keepNext/>
        <w:rPr>
          <w:rFonts w:cs="Arial"/>
          <w:b/>
          <w:spacing w:val="10"/>
          <w:sz w:val="20"/>
          <w:szCs w:val="20"/>
        </w:rPr>
      </w:pPr>
      <w:r w:rsidRPr="006519D0">
        <w:rPr>
          <w:rFonts w:cs="Arial"/>
          <w:b/>
          <w:spacing w:val="10"/>
          <w:sz w:val="20"/>
          <w:szCs w:val="20"/>
        </w:rPr>
        <w:t xml:space="preserve">Tabulka </w:t>
      </w:r>
      <w:r w:rsidR="00A1507B" w:rsidRPr="006519D0">
        <w:rPr>
          <w:rFonts w:cs="Arial"/>
          <w:b/>
          <w:spacing w:val="10"/>
          <w:sz w:val="20"/>
          <w:szCs w:val="20"/>
        </w:rPr>
        <w:t>6</w:t>
      </w:r>
      <w:r w:rsidRPr="006519D0">
        <w:rPr>
          <w:rFonts w:cs="Arial"/>
          <w:b/>
          <w:spacing w:val="10"/>
          <w:sz w:val="20"/>
          <w:szCs w:val="20"/>
        </w:rPr>
        <w:t>: Porovnání nákladů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3312D412" w14:textId="77777777" w:rsidTr="00904124">
        <w:trPr>
          <w:trHeight w:val="423"/>
        </w:trPr>
        <w:tc>
          <w:tcPr>
            <w:tcW w:w="1240" w:type="dxa"/>
            <w:noWrap/>
            <w:vAlign w:val="center"/>
            <w:hideMark/>
          </w:tcPr>
          <w:p w14:paraId="37FA53ED" w14:textId="77777777" w:rsidR="00AC012F" w:rsidRPr="006519D0" w:rsidRDefault="009731B0" w:rsidP="00904124">
            <w:pPr>
              <w:rPr>
                <w:b/>
                <w:bCs/>
                <w:szCs w:val="20"/>
              </w:rPr>
            </w:pPr>
            <w:r w:rsidRPr="006519D0">
              <w:rPr>
                <w:b/>
                <w:bCs/>
                <w:szCs w:val="20"/>
              </w:rPr>
              <w:t>Varianta</w:t>
            </w:r>
          </w:p>
        </w:tc>
        <w:tc>
          <w:tcPr>
            <w:tcW w:w="2405" w:type="dxa"/>
            <w:noWrap/>
            <w:vAlign w:val="center"/>
            <w:hideMark/>
          </w:tcPr>
          <w:p w14:paraId="19727F8B" w14:textId="77777777" w:rsidR="00AC012F" w:rsidRPr="006519D0" w:rsidRDefault="009731B0" w:rsidP="00904124">
            <w:pPr>
              <w:jc w:val="center"/>
              <w:rPr>
                <w:b/>
                <w:bCs/>
                <w:szCs w:val="20"/>
              </w:rPr>
            </w:pPr>
            <w:r w:rsidRPr="006519D0">
              <w:rPr>
                <w:b/>
                <w:bCs/>
                <w:szCs w:val="20"/>
              </w:rPr>
              <w:t>Přínosy</w:t>
            </w:r>
          </w:p>
        </w:tc>
        <w:tc>
          <w:tcPr>
            <w:tcW w:w="1496" w:type="dxa"/>
            <w:noWrap/>
            <w:vAlign w:val="center"/>
            <w:hideMark/>
          </w:tcPr>
          <w:p w14:paraId="5893C62B" w14:textId="77777777" w:rsidR="00AC012F" w:rsidRPr="006519D0" w:rsidRDefault="009731B0" w:rsidP="00904124">
            <w:pPr>
              <w:jc w:val="center"/>
              <w:rPr>
                <w:b/>
                <w:bCs/>
                <w:szCs w:val="20"/>
              </w:rPr>
            </w:pPr>
            <w:r w:rsidRPr="006519D0">
              <w:rPr>
                <w:b/>
                <w:bCs/>
                <w:szCs w:val="20"/>
              </w:rPr>
              <w:t>Hodnocení</w:t>
            </w:r>
          </w:p>
        </w:tc>
        <w:tc>
          <w:tcPr>
            <w:tcW w:w="2465" w:type="dxa"/>
            <w:noWrap/>
            <w:vAlign w:val="center"/>
            <w:hideMark/>
          </w:tcPr>
          <w:p w14:paraId="3826552F" w14:textId="77777777" w:rsidR="00AC012F" w:rsidRPr="006519D0" w:rsidRDefault="009731B0" w:rsidP="00904124">
            <w:pPr>
              <w:jc w:val="center"/>
              <w:rPr>
                <w:b/>
                <w:bCs/>
                <w:szCs w:val="20"/>
              </w:rPr>
            </w:pPr>
            <w:r w:rsidRPr="006519D0">
              <w:rPr>
                <w:b/>
                <w:bCs/>
                <w:szCs w:val="20"/>
              </w:rPr>
              <w:t>Náklady</w:t>
            </w:r>
          </w:p>
        </w:tc>
        <w:tc>
          <w:tcPr>
            <w:tcW w:w="1456" w:type="dxa"/>
            <w:noWrap/>
            <w:vAlign w:val="center"/>
            <w:hideMark/>
          </w:tcPr>
          <w:p w14:paraId="319EC5B1" w14:textId="77777777" w:rsidR="00AC012F" w:rsidRPr="006519D0" w:rsidRDefault="009731B0" w:rsidP="00904124">
            <w:pPr>
              <w:jc w:val="center"/>
              <w:rPr>
                <w:b/>
                <w:bCs/>
                <w:szCs w:val="20"/>
              </w:rPr>
            </w:pPr>
            <w:r w:rsidRPr="006519D0">
              <w:rPr>
                <w:b/>
                <w:bCs/>
                <w:szCs w:val="20"/>
              </w:rPr>
              <w:t>Hodnocení</w:t>
            </w:r>
          </w:p>
        </w:tc>
      </w:tr>
      <w:tr w:rsidR="00326AB0" w14:paraId="12F282B5" w14:textId="77777777" w:rsidTr="00904124">
        <w:trPr>
          <w:trHeight w:val="434"/>
        </w:trPr>
        <w:tc>
          <w:tcPr>
            <w:tcW w:w="1240" w:type="dxa"/>
            <w:vMerge w:val="restart"/>
            <w:noWrap/>
            <w:vAlign w:val="center"/>
            <w:hideMark/>
          </w:tcPr>
          <w:p w14:paraId="745E75ED" w14:textId="77777777" w:rsidR="00AC012F" w:rsidRPr="006519D0" w:rsidRDefault="009731B0" w:rsidP="00904124">
            <w:pPr>
              <w:rPr>
                <w:b/>
                <w:bCs/>
                <w:szCs w:val="20"/>
              </w:rPr>
            </w:pPr>
            <w:r w:rsidRPr="006519D0">
              <w:rPr>
                <w:b/>
                <w:bCs/>
                <w:szCs w:val="20"/>
              </w:rPr>
              <w:t>Varianta 0</w:t>
            </w:r>
          </w:p>
        </w:tc>
        <w:tc>
          <w:tcPr>
            <w:tcW w:w="7822" w:type="dxa"/>
            <w:gridSpan w:val="4"/>
            <w:vAlign w:val="center"/>
            <w:hideMark/>
          </w:tcPr>
          <w:p w14:paraId="66DEF88F" w14:textId="77777777" w:rsidR="00AC012F" w:rsidRPr="006519D0" w:rsidRDefault="009731B0" w:rsidP="00904124">
            <w:pPr>
              <w:jc w:val="center"/>
              <w:rPr>
                <w:b/>
                <w:bCs/>
                <w:szCs w:val="20"/>
              </w:rPr>
            </w:pPr>
            <w:r w:rsidRPr="006519D0">
              <w:rPr>
                <w:b/>
                <w:bCs/>
                <w:szCs w:val="20"/>
              </w:rPr>
              <w:t>Státní rozpočet a ostatní veřejné rozpočty</w:t>
            </w:r>
          </w:p>
        </w:tc>
      </w:tr>
      <w:tr w:rsidR="00326AB0" w14:paraId="3E5C5AF8" w14:textId="77777777" w:rsidTr="00904124">
        <w:trPr>
          <w:trHeight w:val="480"/>
        </w:trPr>
        <w:tc>
          <w:tcPr>
            <w:tcW w:w="1240" w:type="dxa"/>
            <w:vMerge/>
            <w:vAlign w:val="center"/>
            <w:hideMark/>
          </w:tcPr>
          <w:p w14:paraId="7C8D1DC9" w14:textId="77777777" w:rsidR="00AC012F" w:rsidRPr="006519D0" w:rsidRDefault="00AC012F" w:rsidP="00904124">
            <w:pPr>
              <w:rPr>
                <w:b/>
                <w:bCs/>
                <w:szCs w:val="20"/>
              </w:rPr>
            </w:pPr>
          </w:p>
        </w:tc>
        <w:tc>
          <w:tcPr>
            <w:tcW w:w="2405" w:type="dxa"/>
            <w:vAlign w:val="center"/>
            <w:hideMark/>
          </w:tcPr>
          <w:p w14:paraId="4CBCA586" w14:textId="77777777" w:rsidR="00AC012F" w:rsidRPr="006519D0" w:rsidRDefault="00AC012F" w:rsidP="00904124">
            <w:pPr>
              <w:jc w:val="center"/>
              <w:rPr>
                <w:szCs w:val="20"/>
              </w:rPr>
            </w:pPr>
          </w:p>
        </w:tc>
        <w:tc>
          <w:tcPr>
            <w:tcW w:w="1496" w:type="dxa"/>
            <w:vAlign w:val="center"/>
            <w:hideMark/>
          </w:tcPr>
          <w:p w14:paraId="7C26E91B" w14:textId="77777777" w:rsidR="00AC012F" w:rsidRPr="006519D0" w:rsidRDefault="00AC012F" w:rsidP="00904124">
            <w:pPr>
              <w:jc w:val="center"/>
              <w:rPr>
                <w:szCs w:val="20"/>
              </w:rPr>
            </w:pPr>
          </w:p>
        </w:tc>
        <w:tc>
          <w:tcPr>
            <w:tcW w:w="2465" w:type="dxa"/>
            <w:vAlign w:val="center"/>
          </w:tcPr>
          <w:p w14:paraId="7BC9B26E" w14:textId="77777777" w:rsidR="00AC012F" w:rsidRPr="006519D0" w:rsidRDefault="009731B0" w:rsidP="00904124">
            <w:pPr>
              <w:jc w:val="center"/>
              <w:rPr>
                <w:szCs w:val="20"/>
              </w:rPr>
            </w:pPr>
            <w:r w:rsidRPr="006519D0">
              <w:rPr>
                <w:szCs w:val="20"/>
              </w:rPr>
              <w:t xml:space="preserve">Absence relativních dat </w:t>
            </w:r>
            <w:r w:rsidR="001D43BB" w:rsidRPr="006519D0">
              <w:rPr>
                <w:szCs w:val="20"/>
              </w:rPr>
              <w:br/>
            </w:r>
            <w:r w:rsidRPr="006519D0">
              <w:rPr>
                <w:szCs w:val="20"/>
              </w:rPr>
              <w:t xml:space="preserve">o </w:t>
            </w:r>
            <w:r w:rsidRPr="006519D0">
              <w:rPr>
                <w:szCs w:val="20"/>
              </w:rPr>
              <w:t>F-plynech</w:t>
            </w:r>
          </w:p>
        </w:tc>
        <w:tc>
          <w:tcPr>
            <w:tcW w:w="1456" w:type="dxa"/>
            <w:vAlign w:val="center"/>
          </w:tcPr>
          <w:p w14:paraId="03CF2F75" w14:textId="77777777" w:rsidR="00AC012F" w:rsidRPr="006519D0" w:rsidRDefault="009731B0" w:rsidP="00904124">
            <w:pPr>
              <w:jc w:val="center"/>
              <w:rPr>
                <w:szCs w:val="20"/>
              </w:rPr>
            </w:pPr>
            <w:r w:rsidRPr="006519D0">
              <w:rPr>
                <w:szCs w:val="20"/>
              </w:rPr>
              <w:t>**</w:t>
            </w:r>
          </w:p>
        </w:tc>
      </w:tr>
      <w:tr w:rsidR="00326AB0" w14:paraId="1841FF06" w14:textId="77777777" w:rsidTr="00904124">
        <w:trPr>
          <w:trHeight w:val="370"/>
        </w:trPr>
        <w:tc>
          <w:tcPr>
            <w:tcW w:w="1240" w:type="dxa"/>
            <w:vMerge/>
            <w:vAlign w:val="center"/>
            <w:hideMark/>
          </w:tcPr>
          <w:p w14:paraId="781AB029" w14:textId="77777777" w:rsidR="00AC012F" w:rsidRPr="006519D0" w:rsidRDefault="00AC012F" w:rsidP="00904124">
            <w:pPr>
              <w:rPr>
                <w:b/>
                <w:bCs/>
                <w:szCs w:val="20"/>
              </w:rPr>
            </w:pPr>
          </w:p>
        </w:tc>
        <w:tc>
          <w:tcPr>
            <w:tcW w:w="7822" w:type="dxa"/>
            <w:gridSpan w:val="4"/>
            <w:vAlign w:val="center"/>
            <w:hideMark/>
          </w:tcPr>
          <w:p w14:paraId="32E50D75" w14:textId="77777777" w:rsidR="00AC012F" w:rsidRPr="006519D0" w:rsidRDefault="009731B0" w:rsidP="00904124">
            <w:pPr>
              <w:jc w:val="center"/>
              <w:rPr>
                <w:b/>
                <w:bCs/>
                <w:szCs w:val="20"/>
              </w:rPr>
            </w:pPr>
            <w:r w:rsidRPr="006519D0">
              <w:rPr>
                <w:b/>
                <w:bCs/>
                <w:szCs w:val="20"/>
              </w:rPr>
              <w:t>Podnikatelské subjekty</w:t>
            </w:r>
          </w:p>
        </w:tc>
      </w:tr>
      <w:tr w:rsidR="00326AB0" w14:paraId="35204D3D" w14:textId="77777777" w:rsidTr="00904124">
        <w:trPr>
          <w:trHeight w:val="452"/>
        </w:trPr>
        <w:tc>
          <w:tcPr>
            <w:tcW w:w="1240" w:type="dxa"/>
            <w:vMerge/>
            <w:vAlign w:val="center"/>
            <w:hideMark/>
          </w:tcPr>
          <w:p w14:paraId="36E14187" w14:textId="77777777" w:rsidR="00AC012F" w:rsidRPr="006519D0" w:rsidRDefault="00AC012F" w:rsidP="00904124">
            <w:pPr>
              <w:rPr>
                <w:b/>
                <w:bCs/>
                <w:szCs w:val="20"/>
              </w:rPr>
            </w:pPr>
          </w:p>
        </w:tc>
        <w:tc>
          <w:tcPr>
            <w:tcW w:w="2405" w:type="dxa"/>
            <w:vAlign w:val="center"/>
            <w:hideMark/>
          </w:tcPr>
          <w:p w14:paraId="7A9BA24B" w14:textId="77777777" w:rsidR="00AC012F" w:rsidRPr="006519D0" w:rsidRDefault="00AC012F" w:rsidP="00904124">
            <w:pPr>
              <w:jc w:val="center"/>
              <w:rPr>
                <w:szCs w:val="20"/>
              </w:rPr>
            </w:pPr>
          </w:p>
        </w:tc>
        <w:tc>
          <w:tcPr>
            <w:tcW w:w="1496" w:type="dxa"/>
            <w:vAlign w:val="center"/>
            <w:hideMark/>
          </w:tcPr>
          <w:p w14:paraId="3FAE17AC" w14:textId="77777777" w:rsidR="00AC012F" w:rsidRPr="006519D0" w:rsidRDefault="00AC012F" w:rsidP="00904124">
            <w:pPr>
              <w:jc w:val="center"/>
              <w:rPr>
                <w:szCs w:val="20"/>
              </w:rPr>
            </w:pPr>
          </w:p>
        </w:tc>
        <w:tc>
          <w:tcPr>
            <w:tcW w:w="2465" w:type="dxa"/>
            <w:vAlign w:val="center"/>
          </w:tcPr>
          <w:p w14:paraId="14CF0837" w14:textId="77777777" w:rsidR="00AC012F" w:rsidRPr="006519D0" w:rsidRDefault="009731B0" w:rsidP="00904124">
            <w:pPr>
              <w:jc w:val="center"/>
              <w:rPr>
                <w:szCs w:val="20"/>
              </w:rPr>
            </w:pPr>
            <w:r w:rsidRPr="006519D0">
              <w:rPr>
                <w:szCs w:val="20"/>
              </w:rPr>
              <w:t xml:space="preserve">Podávání zpráv MŽP </w:t>
            </w:r>
            <w:r w:rsidR="001D43BB" w:rsidRPr="006519D0">
              <w:rPr>
                <w:szCs w:val="20"/>
              </w:rPr>
              <w:br/>
            </w:r>
            <w:r w:rsidRPr="006519D0">
              <w:rPr>
                <w:szCs w:val="20"/>
              </w:rPr>
              <w:t xml:space="preserve">o </w:t>
            </w:r>
            <w:r w:rsidR="0077052E" w:rsidRPr="006519D0">
              <w:rPr>
                <w:szCs w:val="20"/>
              </w:rPr>
              <w:t>F-plynech vyskytujících se samostatně</w:t>
            </w:r>
          </w:p>
        </w:tc>
        <w:tc>
          <w:tcPr>
            <w:tcW w:w="1456" w:type="dxa"/>
            <w:vAlign w:val="center"/>
          </w:tcPr>
          <w:p w14:paraId="657ADA94" w14:textId="77777777" w:rsidR="00AC012F" w:rsidRPr="006519D0" w:rsidRDefault="009731B0" w:rsidP="0077052E">
            <w:pPr>
              <w:jc w:val="center"/>
              <w:rPr>
                <w:szCs w:val="20"/>
              </w:rPr>
            </w:pPr>
            <w:r w:rsidRPr="006519D0">
              <w:rPr>
                <w:szCs w:val="20"/>
              </w:rPr>
              <w:t>4 500 Kč</w:t>
            </w:r>
            <w:r w:rsidR="00CA6940" w:rsidRPr="006519D0">
              <w:rPr>
                <w:szCs w:val="20"/>
              </w:rPr>
              <w:t>/rok</w:t>
            </w:r>
          </w:p>
        </w:tc>
      </w:tr>
      <w:tr w:rsidR="00326AB0" w14:paraId="2BAA88C1" w14:textId="77777777" w:rsidTr="00904124">
        <w:trPr>
          <w:trHeight w:val="396"/>
        </w:trPr>
        <w:tc>
          <w:tcPr>
            <w:tcW w:w="1240" w:type="dxa"/>
            <w:vMerge/>
            <w:vAlign w:val="center"/>
            <w:hideMark/>
          </w:tcPr>
          <w:p w14:paraId="333FDF19" w14:textId="77777777" w:rsidR="00AC012F" w:rsidRPr="006519D0" w:rsidRDefault="00AC012F" w:rsidP="00904124">
            <w:pPr>
              <w:rPr>
                <w:b/>
                <w:bCs/>
                <w:szCs w:val="20"/>
              </w:rPr>
            </w:pPr>
          </w:p>
        </w:tc>
        <w:tc>
          <w:tcPr>
            <w:tcW w:w="7822" w:type="dxa"/>
            <w:gridSpan w:val="4"/>
            <w:vAlign w:val="center"/>
            <w:hideMark/>
          </w:tcPr>
          <w:p w14:paraId="345E95EE" w14:textId="77777777" w:rsidR="00AC012F" w:rsidRPr="006519D0" w:rsidRDefault="009731B0" w:rsidP="00904124">
            <w:pPr>
              <w:jc w:val="center"/>
              <w:rPr>
                <w:b/>
                <w:bCs/>
                <w:szCs w:val="20"/>
              </w:rPr>
            </w:pPr>
            <w:r w:rsidRPr="006519D0">
              <w:rPr>
                <w:b/>
                <w:bCs/>
                <w:szCs w:val="20"/>
              </w:rPr>
              <w:t>Životní prostředí</w:t>
            </w:r>
          </w:p>
        </w:tc>
      </w:tr>
      <w:tr w:rsidR="00326AB0" w14:paraId="24F081A9" w14:textId="77777777" w:rsidTr="00904124">
        <w:trPr>
          <w:trHeight w:val="425"/>
        </w:trPr>
        <w:tc>
          <w:tcPr>
            <w:tcW w:w="1240" w:type="dxa"/>
            <w:vMerge/>
            <w:vAlign w:val="center"/>
            <w:hideMark/>
          </w:tcPr>
          <w:p w14:paraId="484D1DEB" w14:textId="77777777" w:rsidR="00AC012F" w:rsidRPr="006519D0" w:rsidRDefault="00AC012F" w:rsidP="00904124">
            <w:pPr>
              <w:rPr>
                <w:b/>
                <w:bCs/>
                <w:szCs w:val="20"/>
              </w:rPr>
            </w:pPr>
          </w:p>
        </w:tc>
        <w:tc>
          <w:tcPr>
            <w:tcW w:w="2405" w:type="dxa"/>
            <w:vAlign w:val="center"/>
            <w:hideMark/>
          </w:tcPr>
          <w:p w14:paraId="518196FD" w14:textId="77777777" w:rsidR="00AC012F" w:rsidRPr="006519D0" w:rsidRDefault="00AC012F" w:rsidP="00904124">
            <w:pPr>
              <w:jc w:val="center"/>
              <w:rPr>
                <w:szCs w:val="20"/>
              </w:rPr>
            </w:pPr>
          </w:p>
        </w:tc>
        <w:tc>
          <w:tcPr>
            <w:tcW w:w="1496" w:type="dxa"/>
            <w:noWrap/>
            <w:vAlign w:val="center"/>
            <w:hideMark/>
          </w:tcPr>
          <w:p w14:paraId="738A40D9" w14:textId="77777777" w:rsidR="00AC012F" w:rsidRPr="006519D0" w:rsidRDefault="00AC012F" w:rsidP="00904124">
            <w:pPr>
              <w:jc w:val="center"/>
              <w:rPr>
                <w:szCs w:val="20"/>
              </w:rPr>
            </w:pPr>
          </w:p>
        </w:tc>
        <w:tc>
          <w:tcPr>
            <w:tcW w:w="2465" w:type="dxa"/>
            <w:vAlign w:val="center"/>
          </w:tcPr>
          <w:p w14:paraId="19E6B5FA" w14:textId="77777777" w:rsidR="00AC012F" w:rsidRPr="006519D0" w:rsidRDefault="009731B0" w:rsidP="0077052E">
            <w:pPr>
              <w:jc w:val="center"/>
              <w:rPr>
                <w:szCs w:val="20"/>
              </w:rPr>
            </w:pPr>
            <w:r w:rsidRPr="006519D0">
              <w:rPr>
                <w:szCs w:val="20"/>
              </w:rPr>
              <w:t>Nepřesná data pro tvorbu emisních inventur</w:t>
            </w:r>
          </w:p>
        </w:tc>
        <w:tc>
          <w:tcPr>
            <w:tcW w:w="1456" w:type="dxa"/>
            <w:vAlign w:val="center"/>
          </w:tcPr>
          <w:p w14:paraId="42DFF616" w14:textId="77777777" w:rsidR="00AC012F" w:rsidRPr="006519D0" w:rsidRDefault="009731B0" w:rsidP="00904124">
            <w:pPr>
              <w:jc w:val="center"/>
              <w:rPr>
                <w:szCs w:val="20"/>
              </w:rPr>
            </w:pPr>
            <w:r w:rsidRPr="006519D0">
              <w:rPr>
                <w:szCs w:val="20"/>
              </w:rPr>
              <w:t>**</w:t>
            </w:r>
          </w:p>
        </w:tc>
      </w:tr>
      <w:tr w:rsidR="00326AB0" w14:paraId="3AC820E1" w14:textId="77777777" w:rsidTr="00904124">
        <w:trPr>
          <w:trHeight w:val="383"/>
        </w:trPr>
        <w:tc>
          <w:tcPr>
            <w:tcW w:w="1240" w:type="dxa"/>
            <w:vMerge w:val="restart"/>
            <w:noWrap/>
            <w:vAlign w:val="center"/>
            <w:hideMark/>
          </w:tcPr>
          <w:p w14:paraId="39AAF7CD" w14:textId="77777777" w:rsidR="00AC012F" w:rsidRPr="006519D0" w:rsidRDefault="009731B0" w:rsidP="00904124">
            <w:pPr>
              <w:rPr>
                <w:b/>
                <w:bCs/>
                <w:szCs w:val="20"/>
              </w:rPr>
            </w:pPr>
            <w:r w:rsidRPr="006519D0">
              <w:rPr>
                <w:b/>
                <w:bCs/>
                <w:szCs w:val="20"/>
              </w:rPr>
              <w:t>Varianta 1</w:t>
            </w:r>
          </w:p>
        </w:tc>
        <w:tc>
          <w:tcPr>
            <w:tcW w:w="7822" w:type="dxa"/>
            <w:gridSpan w:val="4"/>
            <w:vAlign w:val="center"/>
            <w:hideMark/>
          </w:tcPr>
          <w:p w14:paraId="6EF15148" w14:textId="77777777" w:rsidR="00AC012F" w:rsidRPr="006519D0" w:rsidRDefault="009731B0" w:rsidP="00904124">
            <w:pPr>
              <w:jc w:val="center"/>
              <w:rPr>
                <w:b/>
                <w:bCs/>
                <w:szCs w:val="20"/>
              </w:rPr>
            </w:pPr>
            <w:r w:rsidRPr="006519D0">
              <w:rPr>
                <w:b/>
                <w:bCs/>
                <w:szCs w:val="20"/>
              </w:rPr>
              <w:t>Státní rozpočet a ostatní veřejné rozpočty</w:t>
            </w:r>
          </w:p>
        </w:tc>
      </w:tr>
      <w:tr w:rsidR="00326AB0" w14:paraId="353C44CD" w14:textId="77777777" w:rsidTr="00904124">
        <w:trPr>
          <w:trHeight w:val="183"/>
        </w:trPr>
        <w:tc>
          <w:tcPr>
            <w:tcW w:w="1240" w:type="dxa"/>
            <w:vMerge/>
            <w:hideMark/>
          </w:tcPr>
          <w:p w14:paraId="2AA23CF8" w14:textId="77777777" w:rsidR="00AC012F" w:rsidRPr="006519D0" w:rsidRDefault="00AC012F" w:rsidP="00904124">
            <w:pPr>
              <w:rPr>
                <w:b/>
                <w:bCs/>
                <w:szCs w:val="20"/>
              </w:rPr>
            </w:pPr>
          </w:p>
        </w:tc>
        <w:tc>
          <w:tcPr>
            <w:tcW w:w="2405" w:type="dxa"/>
            <w:vAlign w:val="center"/>
          </w:tcPr>
          <w:p w14:paraId="2D09B8C8" w14:textId="77777777" w:rsidR="00AC012F" w:rsidRPr="006519D0" w:rsidRDefault="009731B0" w:rsidP="0077052E">
            <w:pPr>
              <w:jc w:val="center"/>
              <w:rPr>
                <w:szCs w:val="20"/>
              </w:rPr>
            </w:pPr>
            <w:r w:rsidRPr="006519D0">
              <w:rPr>
                <w:szCs w:val="20"/>
              </w:rPr>
              <w:t xml:space="preserve">Získání relevantních dat o F-plynech, zjednodušení kontrolní činnosti </w:t>
            </w:r>
            <w:r w:rsidR="001D43BB" w:rsidRPr="006519D0">
              <w:rPr>
                <w:szCs w:val="20"/>
              </w:rPr>
              <w:br/>
            </w:r>
            <w:r w:rsidRPr="006519D0">
              <w:rPr>
                <w:szCs w:val="20"/>
              </w:rPr>
              <w:t>a vymahatelnosti</w:t>
            </w:r>
          </w:p>
        </w:tc>
        <w:tc>
          <w:tcPr>
            <w:tcW w:w="1496" w:type="dxa"/>
            <w:vAlign w:val="center"/>
          </w:tcPr>
          <w:p w14:paraId="69029D75" w14:textId="77777777" w:rsidR="00AC012F" w:rsidRPr="006519D0" w:rsidRDefault="009731B0" w:rsidP="00904124">
            <w:pPr>
              <w:jc w:val="center"/>
              <w:rPr>
                <w:szCs w:val="20"/>
              </w:rPr>
            </w:pPr>
            <w:r w:rsidRPr="006519D0">
              <w:rPr>
                <w:szCs w:val="20"/>
              </w:rPr>
              <w:t>**</w:t>
            </w:r>
          </w:p>
        </w:tc>
        <w:tc>
          <w:tcPr>
            <w:tcW w:w="2465" w:type="dxa"/>
            <w:vAlign w:val="center"/>
          </w:tcPr>
          <w:p w14:paraId="245F7250" w14:textId="77777777" w:rsidR="00AC012F" w:rsidRPr="006519D0" w:rsidRDefault="00AC012F" w:rsidP="00904124">
            <w:pPr>
              <w:jc w:val="center"/>
              <w:rPr>
                <w:szCs w:val="20"/>
              </w:rPr>
            </w:pPr>
          </w:p>
        </w:tc>
        <w:tc>
          <w:tcPr>
            <w:tcW w:w="1456" w:type="dxa"/>
            <w:vAlign w:val="center"/>
          </w:tcPr>
          <w:p w14:paraId="7CB1349C" w14:textId="77777777" w:rsidR="00AC012F" w:rsidRPr="006519D0" w:rsidRDefault="00AC012F" w:rsidP="00904124">
            <w:pPr>
              <w:jc w:val="center"/>
              <w:rPr>
                <w:szCs w:val="20"/>
              </w:rPr>
            </w:pPr>
          </w:p>
        </w:tc>
      </w:tr>
      <w:tr w:rsidR="00326AB0" w14:paraId="140A178F" w14:textId="77777777" w:rsidTr="00904124">
        <w:trPr>
          <w:trHeight w:val="324"/>
        </w:trPr>
        <w:tc>
          <w:tcPr>
            <w:tcW w:w="1240" w:type="dxa"/>
            <w:vMerge/>
            <w:hideMark/>
          </w:tcPr>
          <w:p w14:paraId="64283753" w14:textId="77777777" w:rsidR="00AC012F" w:rsidRPr="006519D0" w:rsidRDefault="00AC012F" w:rsidP="00904124">
            <w:pPr>
              <w:rPr>
                <w:b/>
                <w:bCs/>
                <w:szCs w:val="20"/>
              </w:rPr>
            </w:pPr>
          </w:p>
        </w:tc>
        <w:tc>
          <w:tcPr>
            <w:tcW w:w="7822" w:type="dxa"/>
            <w:gridSpan w:val="4"/>
            <w:vAlign w:val="center"/>
            <w:hideMark/>
          </w:tcPr>
          <w:p w14:paraId="75DF5699" w14:textId="77777777" w:rsidR="00AC012F" w:rsidRPr="006519D0" w:rsidRDefault="009731B0" w:rsidP="00904124">
            <w:pPr>
              <w:jc w:val="center"/>
              <w:rPr>
                <w:b/>
                <w:bCs/>
                <w:szCs w:val="20"/>
              </w:rPr>
            </w:pPr>
            <w:r w:rsidRPr="006519D0">
              <w:rPr>
                <w:b/>
                <w:bCs/>
                <w:szCs w:val="20"/>
              </w:rPr>
              <w:t>Podnikatelské subjekty</w:t>
            </w:r>
          </w:p>
        </w:tc>
      </w:tr>
      <w:tr w:rsidR="00326AB0" w14:paraId="48553814" w14:textId="77777777" w:rsidTr="00904124">
        <w:trPr>
          <w:trHeight w:val="428"/>
        </w:trPr>
        <w:tc>
          <w:tcPr>
            <w:tcW w:w="1240" w:type="dxa"/>
            <w:vMerge/>
            <w:hideMark/>
          </w:tcPr>
          <w:p w14:paraId="623672AF" w14:textId="77777777" w:rsidR="00AC012F" w:rsidRPr="006519D0" w:rsidRDefault="00AC012F" w:rsidP="00904124">
            <w:pPr>
              <w:rPr>
                <w:b/>
                <w:bCs/>
                <w:szCs w:val="20"/>
              </w:rPr>
            </w:pPr>
          </w:p>
        </w:tc>
        <w:tc>
          <w:tcPr>
            <w:tcW w:w="2405" w:type="dxa"/>
            <w:vAlign w:val="center"/>
          </w:tcPr>
          <w:p w14:paraId="5DDA8415" w14:textId="77777777" w:rsidR="00AC012F" w:rsidRPr="006519D0" w:rsidRDefault="00AC012F" w:rsidP="00904124">
            <w:pPr>
              <w:jc w:val="center"/>
              <w:rPr>
                <w:szCs w:val="20"/>
              </w:rPr>
            </w:pPr>
          </w:p>
        </w:tc>
        <w:tc>
          <w:tcPr>
            <w:tcW w:w="1496" w:type="dxa"/>
            <w:noWrap/>
            <w:vAlign w:val="center"/>
          </w:tcPr>
          <w:p w14:paraId="2309F1AC" w14:textId="77777777" w:rsidR="00AC012F" w:rsidRPr="006519D0" w:rsidRDefault="00AC012F" w:rsidP="00904124">
            <w:pPr>
              <w:jc w:val="center"/>
              <w:rPr>
                <w:szCs w:val="20"/>
              </w:rPr>
            </w:pPr>
          </w:p>
        </w:tc>
        <w:tc>
          <w:tcPr>
            <w:tcW w:w="2465" w:type="dxa"/>
            <w:vAlign w:val="center"/>
          </w:tcPr>
          <w:p w14:paraId="4F89175E" w14:textId="77777777" w:rsidR="00AC012F" w:rsidRPr="006519D0" w:rsidRDefault="009731B0" w:rsidP="0077052E">
            <w:pPr>
              <w:jc w:val="center"/>
              <w:rPr>
                <w:szCs w:val="20"/>
              </w:rPr>
            </w:pPr>
            <w:r w:rsidRPr="006519D0">
              <w:rPr>
                <w:szCs w:val="20"/>
              </w:rPr>
              <w:t>Zvýšení AZ – podávání zpráv i o F-plynech obsažených v zařízení</w:t>
            </w:r>
          </w:p>
        </w:tc>
        <w:tc>
          <w:tcPr>
            <w:tcW w:w="1456" w:type="dxa"/>
            <w:noWrap/>
            <w:vAlign w:val="center"/>
          </w:tcPr>
          <w:p w14:paraId="595260B7" w14:textId="77777777" w:rsidR="00AC012F" w:rsidRPr="006519D0" w:rsidRDefault="009731B0" w:rsidP="00904124">
            <w:pPr>
              <w:jc w:val="center"/>
              <w:rPr>
                <w:szCs w:val="20"/>
              </w:rPr>
            </w:pPr>
            <w:r w:rsidRPr="006519D0">
              <w:rPr>
                <w:szCs w:val="20"/>
              </w:rPr>
              <w:t>12 tis. Kč</w:t>
            </w:r>
            <w:r w:rsidR="00CA6940" w:rsidRPr="006519D0">
              <w:rPr>
                <w:szCs w:val="20"/>
              </w:rPr>
              <w:t>/rok</w:t>
            </w:r>
          </w:p>
        </w:tc>
      </w:tr>
      <w:tr w:rsidR="00326AB0" w14:paraId="1E164ADD" w14:textId="77777777" w:rsidTr="00904124">
        <w:trPr>
          <w:trHeight w:val="428"/>
        </w:trPr>
        <w:tc>
          <w:tcPr>
            <w:tcW w:w="1240" w:type="dxa"/>
            <w:vMerge/>
          </w:tcPr>
          <w:p w14:paraId="08552AD0" w14:textId="77777777" w:rsidR="004313FD" w:rsidRPr="006519D0" w:rsidRDefault="004313FD" w:rsidP="00904124">
            <w:pPr>
              <w:rPr>
                <w:b/>
                <w:bCs/>
                <w:szCs w:val="20"/>
              </w:rPr>
            </w:pPr>
          </w:p>
        </w:tc>
        <w:tc>
          <w:tcPr>
            <w:tcW w:w="2405" w:type="dxa"/>
            <w:vAlign w:val="center"/>
          </w:tcPr>
          <w:p w14:paraId="46583558" w14:textId="77777777" w:rsidR="004313FD" w:rsidRPr="006519D0" w:rsidRDefault="004313FD" w:rsidP="00904124">
            <w:pPr>
              <w:jc w:val="center"/>
              <w:rPr>
                <w:szCs w:val="20"/>
              </w:rPr>
            </w:pPr>
          </w:p>
        </w:tc>
        <w:tc>
          <w:tcPr>
            <w:tcW w:w="1496" w:type="dxa"/>
            <w:noWrap/>
            <w:vAlign w:val="center"/>
          </w:tcPr>
          <w:p w14:paraId="41034B42" w14:textId="77777777" w:rsidR="004313FD" w:rsidRPr="006519D0" w:rsidRDefault="004313FD" w:rsidP="00904124">
            <w:pPr>
              <w:jc w:val="center"/>
              <w:rPr>
                <w:szCs w:val="20"/>
              </w:rPr>
            </w:pPr>
          </w:p>
        </w:tc>
        <w:tc>
          <w:tcPr>
            <w:tcW w:w="2465" w:type="dxa"/>
            <w:vAlign w:val="center"/>
          </w:tcPr>
          <w:p w14:paraId="366AF819" w14:textId="77777777" w:rsidR="004313FD" w:rsidRPr="006519D0" w:rsidRDefault="009731B0" w:rsidP="0077052E">
            <w:pPr>
              <w:jc w:val="center"/>
              <w:rPr>
                <w:szCs w:val="20"/>
              </w:rPr>
            </w:pPr>
            <w:r w:rsidRPr="006519D0">
              <w:rPr>
                <w:szCs w:val="20"/>
              </w:rPr>
              <w:t xml:space="preserve">Zvýšení AZ – podávání zpráv o regenerovaných </w:t>
            </w:r>
            <w:r w:rsidRPr="006519D0">
              <w:rPr>
                <w:szCs w:val="20"/>
              </w:rPr>
              <w:t>F-plynech</w:t>
            </w:r>
          </w:p>
        </w:tc>
        <w:tc>
          <w:tcPr>
            <w:tcW w:w="1456" w:type="dxa"/>
            <w:noWrap/>
            <w:vAlign w:val="center"/>
          </w:tcPr>
          <w:p w14:paraId="40BC97BF" w14:textId="77777777" w:rsidR="004313FD" w:rsidRPr="006519D0" w:rsidRDefault="009731B0" w:rsidP="00904124">
            <w:pPr>
              <w:jc w:val="center"/>
              <w:rPr>
                <w:szCs w:val="20"/>
              </w:rPr>
            </w:pPr>
            <w:r w:rsidRPr="006519D0">
              <w:rPr>
                <w:szCs w:val="20"/>
              </w:rPr>
              <w:t>750 Kč/rok</w:t>
            </w:r>
          </w:p>
        </w:tc>
      </w:tr>
      <w:tr w:rsidR="00326AB0" w14:paraId="65F50763" w14:textId="77777777" w:rsidTr="00904124">
        <w:trPr>
          <w:trHeight w:val="398"/>
        </w:trPr>
        <w:tc>
          <w:tcPr>
            <w:tcW w:w="1240" w:type="dxa"/>
            <w:vMerge/>
            <w:hideMark/>
          </w:tcPr>
          <w:p w14:paraId="5842B6E8" w14:textId="77777777" w:rsidR="00AC012F" w:rsidRPr="006519D0" w:rsidRDefault="00AC012F" w:rsidP="00904124">
            <w:pPr>
              <w:rPr>
                <w:b/>
                <w:bCs/>
                <w:szCs w:val="20"/>
              </w:rPr>
            </w:pPr>
          </w:p>
        </w:tc>
        <w:tc>
          <w:tcPr>
            <w:tcW w:w="7822" w:type="dxa"/>
            <w:gridSpan w:val="4"/>
            <w:vAlign w:val="center"/>
            <w:hideMark/>
          </w:tcPr>
          <w:p w14:paraId="126FCC15" w14:textId="77777777" w:rsidR="00AC012F" w:rsidRPr="006519D0" w:rsidRDefault="009731B0" w:rsidP="00904124">
            <w:pPr>
              <w:jc w:val="center"/>
              <w:rPr>
                <w:b/>
                <w:bCs/>
                <w:szCs w:val="20"/>
              </w:rPr>
            </w:pPr>
            <w:r w:rsidRPr="006519D0">
              <w:rPr>
                <w:b/>
                <w:bCs/>
                <w:szCs w:val="20"/>
              </w:rPr>
              <w:t>Životní prostředí</w:t>
            </w:r>
          </w:p>
        </w:tc>
      </w:tr>
      <w:tr w:rsidR="00326AB0" w14:paraId="52B30DB8" w14:textId="77777777" w:rsidTr="00904124">
        <w:trPr>
          <w:trHeight w:val="437"/>
        </w:trPr>
        <w:tc>
          <w:tcPr>
            <w:tcW w:w="1240" w:type="dxa"/>
            <w:vMerge/>
            <w:hideMark/>
          </w:tcPr>
          <w:p w14:paraId="04293EEE" w14:textId="77777777" w:rsidR="00AC012F" w:rsidRPr="006519D0" w:rsidRDefault="00AC012F" w:rsidP="00904124">
            <w:pPr>
              <w:rPr>
                <w:b/>
                <w:bCs/>
                <w:szCs w:val="20"/>
              </w:rPr>
            </w:pPr>
          </w:p>
        </w:tc>
        <w:tc>
          <w:tcPr>
            <w:tcW w:w="2405" w:type="dxa"/>
            <w:vAlign w:val="center"/>
          </w:tcPr>
          <w:p w14:paraId="3D5FDB65" w14:textId="77777777" w:rsidR="00AC012F" w:rsidRPr="006519D0" w:rsidRDefault="009731B0" w:rsidP="00904124">
            <w:pPr>
              <w:jc w:val="center"/>
              <w:rPr>
                <w:szCs w:val="20"/>
              </w:rPr>
            </w:pPr>
            <w:r w:rsidRPr="006519D0">
              <w:rPr>
                <w:szCs w:val="20"/>
              </w:rPr>
              <w:t xml:space="preserve">Lepší informovanost </w:t>
            </w:r>
            <w:r w:rsidR="001D43BB" w:rsidRPr="006519D0">
              <w:rPr>
                <w:szCs w:val="20"/>
              </w:rPr>
              <w:br/>
            </w:r>
            <w:r w:rsidRPr="006519D0">
              <w:rPr>
                <w:szCs w:val="20"/>
              </w:rPr>
              <w:t xml:space="preserve">o pohybu F-plynů </w:t>
            </w:r>
            <w:r w:rsidR="00A1507B" w:rsidRPr="006519D0">
              <w:rPr>
                <w:szCs w:val="20"/>
              </w:rPr>
              <w:br/>
            </w:r>
            <w:r w:rsidRPr="006519D0">
              <w:rPr>
                <w:szCs w:val="20"/>
              </w:rPr>
              <w:t>a jejich snadnější kontrolovatelnost</w:t>
            </w:r>
          </w:p>
        </w:tc>
        <w:tc>
          <w:tcPr>
            <w:tcW w:w="1496" w:type="dxa"/>
            <w:vAlign w:val="center"/>
          </w:tcPr>
          <w:p w14:paraId="21708E9B" w14:textId="77777777" w:rsidR="00AC012F" w:rsidRPr="006519D0" w:rsidRDefault="009731B0" w:rsidP="00904124">
            <w:pPr>
              <w:jc w:val="center"/>
              <w:rPr>
                <w:szCs w:val="20"/>
              </w:rPr>
            </w:pPr>
            <w:r w:rsidRPr="006519D0">
              <w:rPr>
                <w:szCs w:val="20"/>
              </w:rPr>
              <w:t>**</w:t>
            </w:r>
          </w:p>
        </w:tc>
        <w:tc>
          <w:tcPr>
            <w:tcW w:w="2465" w:type="dxa"/>
            <w:vAlign w:val="center"/>
            <w:hideMark/>
          </w:tcPr>
          <w:p w14:paraId="761B8CC6" w14:textId="77777777" w:rsidR="00AC012F" w:rsidRPr="006519D0" w:rsidRDefault="00AC012F" w:rsidP="00904124">
            <w:pPr>
              <w:jc w:val="center"/>
              <w:rPr>
                <w:szCs w:val="20"/>
              </w:rPr>
            </w:pPr>
          </w:p>
        </w:tc>
        <w:tc>
          <w:tcPr>
            <w:tcW w:w="1456" w:type="dxa"/>
            <w:vAlign w:val="center"/>
            <w:hideMark/>
          </w:tcPr>
          <w:p w14:paraId="19F4782D" w14:textId="77777777" w:rsidR="00AC012F" w:rsidRPr="006519D0" w:rsidRDefault="00AC012F" w:rsidP="00904124">
            <w:pPr>
              <w:jc w:val="center"/>
              <w:rPr>
                <w:szCs w:val="20"/>
              </w:rPr>
            </w:pPr>
          </w:p>
        </w:tc>
      </w:tr>
    </w:tbl>
    <w:p w14:paraId="3A222E9A" w14:textId="77777777" w:rsidR="00AC012F" w:rsidRPr="006519D0" w:rsidRDefault="009731B0" w:rsidP="00407830">
      <w:r w:rsidRPr="006519D0">
        <w:t>- bez dopadů, * velmi nízké, ** nízké, *** střední, **** vysoké, ***** velmi vysoké</w:t>
      </w:r>
    </w:p>
    <w:p w14:paraId="4C628CDB" w14:textId="77777777" w:rsidR="00407830" w:rsidRPr="006519D0" w:rsidRDefault="00407830" w:rsidP="00407830"/>
    <w:p w14:paraId="7BC28F43" w14:textId="77777777" w:rsidR="00F153FE" w:rsidRPr="006519D0" w:rsidRDefault="00F153FE" w:rsidP="00407830"/>
    <w:p w14:paraId="71FEF825" w14:textId="77777777" w:rsidR="00F153FE" w:rsidRPr="006519D0" w:rsidRDefault="00F153FE" w:rsidP="00407830"/>
    <w:p w14:paraId="5D82988E" w14:textId="77777777" w:rsidR="0014463F" w:rsidRPr="006519D0" w:rsidRDefault="009731B0" w:rsidP="0014463F">
      <w:pPr>
        <w:pStyle w:val="Nadpis2"/>
      </w:pPr>
      <w:r w:rsidRPr="006519D0">
        <w:lastRenderedPageBreak/>
        <w:t xml:space="preserve">Stanovení pořadí variant a výběr </w:t>
      </w:r>
      <w:r w:rsidRPr="006519D0">
        <w:t>nejvhodnějšího řešení</w:t>
      </w:r>
    </w:p>
    <w:p w14:paraId="762355D3" w14:textId="77777777" w:rsidR="00E14815" w:rsidRPr="006519D0" w:rsidRDefault="009731B0" w:rsidP="00E14815">
      <w:pPr>
        <w:pStyle w:val="Odstavecseseznamem"/>
        <w:numPr>
          <w:ilvl w:val="3"/>
          <w:numId w:val="3"/>
        </w:numPr>
        <w:ind w:left="709"/>
        <w:contextualSpacing/>
        <w:rPr>
          <w:b/>
        </w:rPr>
      </w:pPr>
      <w:r w:rsidRPr="006519D0">
        <w:rPr>
          <w:b/>
        </w:rPr>
        <w:t xml:space="preserve">Varianta </w:t>
      </w:r>
      <w:r w:rsidR="00B27573" w:rsidRPr="006519D0">
        <w:rPr>
          <w:b/>
        </w:rPr>
        <w:t>1</w:t>
      </w:r>
    </w:p>
    <w:p w14:paraId="44A0827A" w14:textId="77777777" w:rsidR="0014463F" w:rsidRPr="006519D0" w:rsidRDefault="009731B0" w:rsidP="00E14815">
      <w:pPr>
        <w:pStyle w:val="Odstavecseseznamem"/>
        <w:numPr>
          <w:ilvl w:val="3"/>
          <w:numId w:val="3"/>
        </w:numPr>
        <w:ind w:left="709"/>
        <w:contextualSpacing/>
      </w:pPr>
      <w:r w:rsidRPr="006519D0">
        <w:t xml:space="preserve">Varianta </w:t>
      </w:r>
      <w:r w:rsidR="00B27573" w:rsidRPr="006519D0">
        <w:t>0</w:t>
      </w:r>
    </w:p>
    <w:p w14:paraId="5CBA61DA" w14:textId="77777777" w:rsidR="0056375E" w:rsidRPr="006519D0" w:rsidRDefault="009731B0" w:rsidP="0056375E">
      <w:r w:rsidRPr="006519D0">
        <w:t xml:space="preserve">Navrhujeme přijmout variantu 1, která zajistí </w:t>
      </w:r>
      <w:r w:rsidR="00B632EB" w:rsidRPr="006519D0">
        <w:t>sjednocení hlášených dat ohledně přeshraničního pohybu F-plynů v celé EU</w:t>
      </w:r>
      <w:r w:rsidR="00E775EF" w:rsidRPr="006519D0">
        <w:t>,</w:t>
      </w:r>
      <w:r w:rsidR="00B632EB" w:rsidRPr="006519D0">
        <w:t xml:space="preserve"> </w:t>
      </w:r>
      <w:r w:rsidR="00E627B7" w:rsidRPr="006519D0">
        <w:t>a umožní tak důslednou kontrolu</w:t>
      </w:r>
      <w:r w:rsidR="00E775EF" w:rsidRPr="006519D0">
        <w:t xml:space="preserve"> v oblasti regenerace F-plynů</w:t>
      </w:r>
      <w:r w:rsidR="00E627B7" w:rsidRPr="006519D0">
        <w:t>. Dále tím,</w:t>
      </w:r>
      <w:r w:rsidR="00B632EB" w:rsidRPr="006519D0">
        <w:t xml:space="preserve"> </w:t>
      </w:r>
      <w:r w:rsidRPr="006519D0">
        <w:t xml:space="preserve">že bude mít MŽP (i kontrolní orgány) k dispozici </w:t>
      </w:r>
      <w:r w:rsidR="00E9794E" w:rsidRPr="006519D0">
        <w:t xml:space="preserve">kompletní </w:t>
      </w:r>
      <w:r w:rsidRPr="006519D0">
        <w:t>relevantní data o množství a pohybu F-plynů na území ČR, se zvýší transparentnost při nakládání s těmito látkami, zároveň se zjednoduší kontrolní činnost a zvýší se vymahatelnost zákonných ustanove</w:t>
      </w:r>
      <w:r w:rsidRPr="006519D0">
        <w:t>ní ohledně nakládání s F-plyny.</w:t>
      </w:r>
    </w:p>
    <w:p w14:paraId="7548D8BC" w14:textId="77777777" w:rsidR="00D91BC9" w:rsidRPr="006519D0" w:rsidRDefault="00D91BC9" w:rsidP="0056375E"/>
    <w:p w14:paraId="06AF9DC2" w14:textId="77777777" w:rsidR="00D91BC9" w:rsidRPr="006519D0" w:rsidRDefault="009731B0" w:rsidP="00D91BC9">
      <w:pPr>
        <w:pStyle w:val="Nadpis1"/>
      </w:pPr>
      <w:bookmarkStart w:id="30" w:name="_Toc256000009"/>
      <w:bookmarkStart w:id="31" w:name="_Toc19624754"/>
      <w:r w:rsidRPr="006519D0">
        <w:t>Snížení limitu pro podávání zpráv ekvivalentu CO</w:t>
      </w:r>
      <w:r w:rsidRPr="006519D0">
        <w:rPr>
          <w:vertAlign w:val="subscript"/>
        </w:rPr>
        <w:t>2</w:t>
      </w:r>
      <w:r w:rsidRPr="006519D0">
        <w:t xml:space="preserve"> (§ 11)</w:t>
      </w:r>
      <w:bookmarkEnd w:id="30"/>
      <w:bookmarkEnd w:id="31"/>
    </w:p>
    <w:p w14:paraId="1A43DFE4" w14:textId="77777777" w:rsidR="00D91BC9" w:rsidRPr="006519D0" w:rsidRDefault="009731B0" w:rsidP="00D91BC9">
      <w:pPr>
        <w:pStyle w:val="Nadpis2"/>
      </w:pPr>
      <w:r w:rsidRPr="006519D0">
        <w:t>Důvod předložení a cíle</w:t>
      </w:r>
    </w:p>
    <w:p w14:paraId="38F0DB16" w14:textId="77777777" w:rsidR="00D91BC9" w:rsidRPr="006519D0" w:rsidRDefault="009731B0" w:rsidP="00D91BC9">
      <w:pPr>
        <w:pStyle w:val="Nadpis3"/>
      </w:pPr>
      <w:r w:rsidRPr="006519D0">
        <w:t>Definice problému</w:t>
      </w:r>
    </w:p>
    <w:p w14:paraId="0B11A9BF" w14:textId="77777777" w:rsidR="00D91BC9" w:rsidRPr="006519D0" w:rsidRDefault="009731B0" w:rsidP="00D91BC9">
      <w:r w:rsidRPr="006519D0">
        <w:t>Osoby nakládající s F-plyny mají povinnost podat zprávu MŽP prostřednictvím ISPOP. Tato povinnost se vztahuje na osoby, kter</w:t>
      </w:r>
      <w:r w:rsidRPr="006519D0">
        <w:t>é zneškodní nebo získají či předají v rámci jiného státu EU více jak 200 t ekvivalentu CO</w:t>
      </w:r>
      <w:r w:rsidRPr="006519D0">
        <w:rPr>
          <w:vertAlign w:val="subscript"/>
        </w:rPr>
        <w:t>2</w:t>
      </w:r>
      <w:r w:rsidRPr="006519D0">
        <w:t xml:space="preserve"> během předchozího kalendářního roku. To se však neshoduje s Nařízením EU č. 517/2014, které udává nižší limit pro ohlášení, a to 100 t ekvivalentu CO</w:t>
      </w:r>
      <w:r w:rsidRPr="006519D0">
        <w:rPr>
          <w:vertAlign w:val="subscript"/>
        </w:rPr>
        <w:t>2</w:t>
      </w:r>
      <w:r w:rsidRPr="006519D0">
        <w:t>. Nastavením to</w:t>
      </w:r>
      <w:r w:rsidRPr="006519D0">
        <w:t>hoto limitu se reguluje dovoz a vývoz na vnějších hranicích EU.</w:t>
      </w:r>
    </w:p>
    <w:p w14:paraId="3FA9B431" w14:textId="77777777" w:rsidR="00D91BC9" w:rsidRPr="006519D0" w:rsidRDefault="00D91BC9" w:rsidP="00D91BC9"/>
    <w:p w14:paraId="6C72914B" w14:textId="77777777" w:rsidR="00D91BC9" w:rsidRPr="006519D0" w:rsidRDefault="009731B0" w:rsidP="00D91BC9">
      <w:pPr>
        <w:pStyle w:val="Nadpis3"/>
      </w:pPr>
      <w:r w:rsidRPr="006519D0">
        <w:t>Popis existujícího právního stavu v dané oblasti</w:t>
      </w:r>
    </w:p>
    <w:p w14:paraId="023CCDC1" w14:textId="77777777" w:rsidR="00D91BC9" w:rsidRPr="006519D0" w:rsidRDefault="009731B0" w:rsidP="00D91BC9">
      <w:r w:rsidRPr="006519D0">
        <w:t>Současná právní úprava požaduje při překročení limitu 200 t ekvivalentu CO</w:t>
      </w:r>
      <w:r w:rsidRPr="006519D0">
        <w:rPr>
          <w:vertAlign w:val="subscript"/>
        </w:rPr>
        <w:t>2</w:t>
      </w:r>
      <w:r w:rsidRPr="006519D0">
        <w:t xml:space="preserve"> v kalendářním roce podat MŽP zprávu, která udává informace o názvu, množství a členském státu ze kterého/do kterého byly F-plyny získány či předány.</w:t>
      </w:r>
    </w:p>
    <w:p w14:paraId="71AE20FA" w14:textId="77777777" w:rsidR="00C74EEA" w:rsidRPr="006519D0" w:rsidRDefault="00C74EEA" w:rsidP="00D91BC9"/>
    <w:p w14:paraId="40341C0C" w14:textId="77777777" w:rsidR="00D91BC9" w:rsidRPr="006519D0" w:rsidRDefault="009731B0" w:rsidP="00D91BC9">
      <w:pPr>
        <w:pStyle w:val="Nadpis3"/>
      </w:pPr>
      <w:r w:rsidRPr="006519D0">
        <w:t>Identifikace dotčených subjektů</w:t>
      </w:r>
    </w:p>
    <w:p w14:paraId="2A24C144" w14:textId="77777777" w:rsidR="00D91BC9" w:rsidRPr="006519D0" w:rsidRDefault="009731B0" w:rsidP="00D91BC9">
      <w:pPr>
        <w:pStyle w:val="Odstavecseseznamem"/>
        <w:numPr>
          <w:ilvl w:val="0"/>
          <w:numId w:val="15"/>
        </w:numPr>
        <w:contextualSpacing/>
      </w:pPr>
      <w:r w:rsidRPr="006519D0">
        <w:t>MŽP,</w:t>
      </w:r>
    </w:p>
    <w:p w14:paraId="5F171D6D" w14:textId="77777777" w:rsidR="00D91BC9" w:rsidRPr="006519D0" w:rsidRDefault="009731B0" w:rsidP="00D91BC9">
      <w:pPr>
        <w:pStyle w:val="Odstavecseseznamem"/>
        <w:numPr>
          <w:ilvl w:val="0"/>
          <w:numId w:val="15"/>
        </w:numPr>
        <w:ind w:left="714" w:hanging="357"/>
        <w:contextualSpacing/>
      </w:pPr>
      <w:r w:rsidRPr="006519D0">
        <w:t>osoby, které nakládají s F-plyny.</w:t>
      </w:r>
    </w:p>
    <w:p w14:paraId="14D0C2A1" w14:textId="77777777" w:rsidR="000652E0" w:rsidRPr="006519D0" w:rsidRDefault="000652E0" w:rsidP="000652E0">
      <w:pPr>
        <w:pStyle w:val="Odstavecseseznamem"/>
        <w:ind w:left="714"/>
        <w:contextualSpacing/>
      </w:pPr>
    </w:p>
    <w:p w14:paraId="27C760C6" w14:textId="77777777" w:rsidR="00D91BC9" w:rsidRPr="006519D0" w:rsidRDefault="009731B0" w:rsidP="00D91BC9">
      <w:pPr>
        <w:pStyle w:val="Nadpis3"/>
      </w:pPr>
      <w:r w:rsidRPr="006519D0">
        <w:t>Popis cílového stavu</w:t>
      </w:r>
    </w:p>
    <w:p w14:paraId="26D84DF2" w14:textId="77777777" w:rsidR="00D91BC9" w:rsidRPr="006519D0" w:rsidRDefault="009731B0" w:rsidP="00D91BC9">
      <w:r w:rsidRPr="006519D0">
        <w:t>Cílem je sje</w:t>
      </w:r>
      <w:r w:rsidRPr="006519D0">
        <w:t>dnotit evropskou legislativu s právní úpravou v ČR z důvodu jednotných informací při přeshraniční přepravě F-plynů. Limit je třeba upravit z důvodu sjednocení limitů pro podávání zpráv na evropské a národní úrovni.</w:t>
      </w:r>
    </w:p>
    <w:p w14:paraId="5332F15D" w14:textId="77777777" w:rsidR="00D91BC9" w:rsidRPr="006519D0" w:rsidRDefault="00D91BC9" w:rsidP="00D91BC9"/>
    <w:p w14:paraId="64625C51" w14:textId="77777777" w:rsidR="00D91BC9" w:rsidRPr="006519D0" w:rsidRDefault="009731B0" w:rsidP="00D91BC9">
      <w:pPr>
        <w:pStyle w:val="Nadpis3"/>
      </w:pPr>
      <w:r w:rsidRPr="006519D0">
        <w:t>Zhodnocení rizika</w:t>
      </w:r>
    </w:p>
    <w:p w14:paraId="2C7C7FF8" w14:textId="77777777" w:rsidR="00D91BC9" w:rsidRPr="006519D0" w:rsidRDefault="009731B0" w:rsidP="00D91BC9">
      <w:r w:rsidRPr="006519D0">
        <w:t>Při ponechání současné</w:t>
      </w:r>
      <w:r w:rsidRPr="006519D0">
        <w:t xml:space="preserve">ho stavu nehrozí přímá rizika, avšak snižování limitů má za následek dosažení vyšší míry regulace dotčených subjektů, v souladu s všeobecně přijímaným </w:t>
      </w:r>
      <w:r w:rsidRPr="006519D0">
        <w:lastRenderedPageBreak/>
        <w:t>postojem v rámci EU, a to principy předběžné opatrnosti, vyšší míra regulace z důvodu právní ochrany živo</w:t>
      </w:r>
      <w:r w:rsidRPr="006519D0">
        <w:t>tního prostředí, trvale udržitelného rozvoje apod. Zároveň legislativní změna nepřímo navazuje na závazky ke snižování emisí skleníkových plynů vyplývající ze závazků ČR obsažených v mezinárodních smlouvách a dalších právních předpisech.</w:t>
      </w:r>
    </w:p>
    <w:p w14:paraId="3F462031" w14:textId="77777777" w:rsidR="00D91BC9" w:rsidRPr="006519D0" w:rsidRDefault="00D91BC9" w:rsidP="00D91BC9"/>
    <w:p w14:paraId="004DBC24" w14:textId="77777777" w:rsidR="00D91BC9" w:rsidRPr="006519D0" w:rsidRDefault="009731B0" w:rsidP="00D91BC9">
      <w:pPr>
        <w:pStyle w:val="Nadpis2"/>
      </w:pPr>
      <w:r w:rsidRPr="006519D0">
        <w:t>Návrh variant řeš</w:t>
      </w:r>
      <w:r w:rsidRPr="006519D0">
        <w:t>ení</w:t>
      </w:r>
    </w:p>
    <w:p w14:paraId="4137575E" w14:textId="77777777" w:rsidR="00D91BC9" w:rsidRPr="006519D0" w:rsidRDefault="009731B0" w:rsidP="00D91BC9">
      <w:pPr>
        <w:pStyle w:val="Nadpis3"/>
      </w:pPr>
      <w:r w:rsidRPr="006519D0">
        <w:t>Varianta 0</w:t>
      </w:r>
    </w:p>
    <w:p w14:paraId="031F8406" w14:textId="77777777" w:rsidR="00D91BC9" w:rsidRPr="006519D0" w:rsidRDefault="009731B0" w:rsidP="00D91BC9">
      <w:r w:rsidRPr="006519D0">
        <w:t>Ponechání současného stavu, kdy se povinnost podávání zpráv vztahuje na osoby nakládající s množstvím F-plynů větším nebo rovným 200 tunám ekvivalentu CO</w:t>
      </w:r>
      <w:r w:rsidRPr="006519D0">
        <w:rPr>
          <w:vertAlign w:val="subscript"/>
        </w:rPr>
        <w:t>2</w:t>
      </w:r>
      <w:r w:rsidRPr="006519D0">
        <w:t>.</w:t>
      </w:r>
    </w:p>
    <w:p w14:paraId="6B1897FE" w14:textId="77777777" w:rsidR="00D91BC9" w:rsidRPr="006519D0" w:rsidRDefault="009731B0" w:rsidP="00D91BC9">
      <w:pPr>
        <w:pStyle w:val="Nadpis3"/>
      </w:pPr>
      <w:r w:rsidRPr="006519D0">
        <w:t>Varianta 1</w:t>
      </w:r>
    </w:p>
    <w:p w14:paraId="298BE5DC" w14:textId="77777777" w:rsidR="00D91BC9" w:rsidRPr="006519D0" w:rsidRDefault="009731B0" w:rsidP="00D91BC9">
      <w:r w:rsidRPr="006519D0">
        <w:rPr>
          <w:szCs w:val="22"/>
        </w:rPr>
        <w:t>Návrh úpravy snižuje limit pro podávání zpráv z 200 tun ekvivalentu CO</w:t>
      </w:r>
      <w:r w:rsidRPr="006519D0">
        <w:rPr>
          <w:szCs w:val="22"/>
          <w:vertAlign w:val="subscript"/>
        </w:rPr>
        <w:t>2</w:t>
      </w:r>
      <w:r w:rsidRPr="006519D0">
        <w:rPr>
          <w:szCs w:val="22"/>
        </w:rPr>
        <w:t xml:space="preserve"> na</w:t>
      </w:r>
      <w:r w:rsidRPr="006519D0">
        <w:rPr>
          <w:szCs w:val="22"/>
        </w:rPr>
        <w:t xml:space="preserve"> 100 tun ekvivalentu CO</w:t>
      </w:r>
      <w:r w:rsidRPr="006519D0">
        <w:rPr>
          <w:szCs w:val="22"/>
          <w:vertAlign w:val="subscript"/>
        </w:rPr>
        <w:t>2</w:t>
      </w:r>
      <w:r w:rsidRPr="006519D0">
        <w:rPr>
          <w:szCs w:val="22"/>
        </w:rPr>
        <w:t>, který navazuje na evropskou legislativu, která obdobným způsobem reguluje (obsahuje požadavek hlásit) dovoz a vývoz na vnějších hranicích EU.</w:t>
      </w:r>
    </w:p>
    <w:p w14:paraId="76FDF9C4" w14:textId="77777777" w:rsidR="00BE3F7C" w:rsidRPr="006519D0" w:rsidRDefault="009731B0" w:rsidP="00BE3F7C">
      <w:pPr>
        <w:pStyle w:val="Nadpis3"/>
      </w:pPr>
      <w:r w:rsidRPr="006519D0">
        <w:t>Varianta 2</w:t>
      </w:r>
    </w:p>
    <w:p w14:paraId="0863D409" w14:textId="77777777" w:rsidR="00BE3F7C" w:rsidRPr="006519D0" w:rsidRDefault="009731B0" w:rsidP="00BE3F7C">
      <w:r w:rsidRPr="006519D0">
        <w:rPr>
          <w:szCs w:val="22"/>
        </w:rPr>
        <w:t>Varianta 2 snižuje limit pro podávání zpráv z 200 tun ekvivalentu CO</w:t>
      </w:r>
      <w:r w:rsidRPr="006519D0">
        <w:rPr>
          <w:szCs w:val="22"/>
          <w:vertAlign w:val="subscript"/>
        </w:rPr>
        <w:t>2</w:t>
      </w:r>
      <w:r w:rsidRPr="006519D0">
        <w:rPr>
          <w:szCs w:val="22"/>
        </w:rPr>
        <w:t xml:space="preserve"> na 150 </w:t>
      </w:r>
      <w:r w:rsidRPr="006519D0">
        <w:rPr>
          <w:szCs w:val="22"/>
        </w:rPr>
        <w:t>tun ekvivalentu CO</w:t>
      </w:r>
      <w:r w:rsidRPr="006519D0">
        <w:rPr>
          <w:szCs w:val="22"/>
          <w:vertAlign w:val="subscript"/>
        </w:rPr>
        <w:t>2</w:t>
      </w:r>
      <w:r w:rsidRPr="006519D0">
        <w:rPr>
          <w:szCs w:val="22"/>
        </w:rPr>
        <w:t>.</w:t>
      </w:r>
    </w:p>
    <w:p w14:paraId="78CA0C3F" w14:textId="77777777" w:rsidR="00D91BC9" w:rsidRPr="006519D0" w:rsidRDefault="00D91BC9" w:rsidP="00D91BC9">
      <w:pPr>
        <w:rPr>
          <w:szCs w:val="22"/>
        </w:rPr>
      </w:pPr>
    </w:p>
    <w:p w14:paraId="7A44C8D1" w14:textId="77777777" w:rsidR="00D91BC9" w:rsidRPr="006519D0" w:rsidRDefault="009731B0" w:rsidP="00D91BC9">
      <w:pPr>
        <w:pStyle w:val="Nadpis2"/>
      </w:pPr>
      <w:r w:rsidRPr="006519D0">
        <w:t>Vyhodnocení nákladů a přínosů</w:t>
      </w:r>
    </w:p>
    <w:p w14:paraId="3BD8E48D" w14:textId="77777777" w:rsidR="00D91BC9" w:rsidRPr="006519D0" w:rsidRDefault="009731B0" w:rsidP="00D91BC9">
      <w:pPr>
        <w:pStyle w:val="Nadpis3"/>
        <w:spacing w:after="120"/>
      </w:pPr>
      <w:r w:rsidRPr="006519D0">
        <w:t>Identifikace nákladů a přínosů</w:t>
      </w:r>
    </w:p>
    <w:p w14:paraId="0AC4BAFC" w14:textId="77777777" w:rsidR="00D91BC9" w:rsidRPr="006519D0" w:rsidRDefault="009731B0" w:rsidP="00D91BC9">
      <w:pPr>
        <w:pStyle w:val="Odstavecseseznamem"/>
        <w:numPr>
          <w:ilvl w:val="0"/>
          <w:numId w:val="33"/>
        </w:numPr>
        <w:rPr>
          <w:b/>
        </w:rPr>
      </w:pPr>
      <w:r w:rsidRPr="006519D0">
        <w:rPr>
          <w:b/>
        </w:rPr>
        <w:t>Varianta 0</w:t>
      </w:r>
    </w:p>
    <w:p w14:paraId="38460D25" w14:textId="77777777" w:rsidR="00D91BC9" w:rsidRPr="006519D0" w:rsidRDefault="009731B0" w:rsidP="001856C3">
      <w:pPr>
        <w:spacing w:before="240" w:after="0"/>
        <w:rPr>
          <w:b/>
        </w:rPr>
      </w:pPr>
      <w:r w:rsidRPr="006519D0">
        <w:rPr>
          <w:b/>
        </w:rPr>
        <w:t>Dopady na podnikatelské prostředí</w:t>
      </w:r>
    </w:p>
    <w:p w14:paraId="727315BC" w14:textId="77777777" w:rsidR="00D91BC9" w:rsidRPr="006519D0" w:rsidRDefault="009731B0" w:rsidP="00D91BC9">
      <w:r w:rsidRPr="006519D0">
        <w:t xml:space="preserve">Varianta 0 stanovuje povinnost pro osoby nakládající s F-plyny spočívající v podávání zpráv o získání, předání, zneškodnění, </w:t>
      </w:r>
      <w:r w:rsidRPr="006519D0">
        <w:t>příp. prvním uveden</w:t>
      </w:r>
      <w:r w:rsidR="00F8083D" w:rsidRPr="006519D0">
        <w:t>í na trh ČR, F-plynů v množství</w:t>
      </w:r>
      <w:r w:rsidRPr="006519D0">
        <w:t xml:space="preserve"> větším než 200 tun ekvivalentu CO</w:t>
      </w:r>
      <w:r w:rsidRPr="006519D0">
        <w:rPr>
          <w:vertAlign w:val="subscript"/>
        </w:rPr>
        <w:t>2</w:t>
      </w:r>
      <w:r w:rsidRPr="006519D0">
        <w:t>.</w:t>
      </w:r>
    </w:p>
    <w:p w14:paraId="4415D092" w14:textId="77777777" w:rsidR="00D91BC9" w:rsidRPr="006519D0" w:rsidRDefault="009731B0" w:rsidP="001856C3">
      <w:pPr>
        <w:spacing w:before="240" w:after="0"/>
        <w:rPr>
          <w:b/>
        </w:rPr>
      </w:pPr>
      <w:r w:rsidRPr="006519D0">
        <w:rPr>
          <w:b/>
        </w:rPr>
        <w:t>Dopady na životní prostředí</w:t>
      </w:r>
    </w:p>
    <w:p w14:paraId="13EF53DF" w14:textId="77777777" w:rsidR="003357EB" w:rsidRPr="006519D0" w:rsidRDefault="009731B0" w:rsidP="00D91BC9">
      <w:r w:rsidRPr="006519D0">
        <w:t>Varianta 0 nemá dopady na ž</w:t>
      </w:r>
      <w:r w:rsidR="008C2D8C" w:rsidRPr="006519D0">
        <w:t>ivotní prostředí.</w:t>
      </w:r>
    </w:p>
    <w:p w14:paraId="5F715BE4" w14:textId="77777777" w:rsidR="00D91BC9" w:rsidRPr="006519D0" w:rsidRDefault="00D91BC9" w:rsidP="00D91BC9"/>
    <w:p w14:paraId="1ADF176B" w14:textId="77777777" w:rsidR="00D91BC9" w:rsidRPr="006519D0" w:rsidRDefault="009731B0" w:rsidP="004D61D0">
      <w:pPr>
        <w:pStyle w:val="Odstavecseseznamem"/>
        <w:keepNext/>
        <w:numPr>
          <w:ilvl w:val="0"/>
          <w:numId w:val="33"/>
        </w:numPr>
        <w:ind w:left="714" w:hanging="357"/>
        <w:rPr>
          <w:b/>
        </w:rPr>
      </w:pPr>
      <w:r w:rsidRPr="006519D0">
        <w:rPr>
          <w:b/>
        </w:rPr>
        <w:t>Varianta 1</w:t>
      </w:r>
    </w:p>
    <w:p w14:paraId="7B921253" w14:textId="77777777" w:rsidR="0018677B" w:rsidRPr="006519D0" w:rsidRDefault="009731B0" w:rsidP="001856C3">
      <w:pPr>
        <w:spacing w:before="240" w:after="0"/>
        <w:rPr>
          <w:b/>
        </w:rPr>
      </w:pPr>
      <w:r w:rsidRPr="006519D0">
        <w:t>Vzhledem k potřebě sjednocení limitů pro podávání zpráv při přeshraniční přepravě F-</w:t>
      </w:r>
      <w:r w:rsidRPr="006519D0">
        <w:t>plynů na evropské a národní úrovni byl navržen limit shodný s limity evropskými.</w:t>
      </w:r>
    </w:p>
    <w:p w14:paraId="2DD5EBAC" w14:textId="77777777" w:rsidR="00D91BC9" w:rsidRPr="006519D0" w:rsidRDefault="009731B0" w:rsidP="001856C3">
      <w:pPr>
        <w:spacing w:before="240" w:after="0"/>
        <w:rPr>
          <w:b/>
        </w:rPr>
      </w:pPr>
      <w:r w:rsidRPr="006519D0">
        <w:rPr>
          <w:b/>
        </w:rPr>
        <w:t>Dopady na podnikatelské prostředí</w:t>
      </w:r>
    </w:p>
    <w:p w14:paraId="02BEE028" w14:textId="77777777" w:rsidR="00D91BC9" w:rsidRPr="006519D0" w:rsidRDefault="009731B0" w:rsidP="00D91BC9">
      <w:r w:rsidRPr="006519D0">
        <w:t>Varianta 1 stanoví povinnost pro osoby nakládající s F-plyny spočívající v podávání zpráv o získání, předání, zneškodnění, F-plynů v množství</w:t>
      </w:r>
      <w:r w:rsidRPr="006519D0">
        <w:t>m větším než 100 tun ekvivalentu CO</w:t>
      </w:r>
      <w:r w:rsidRPr="006519D0">
        <w:rPr>
          <w:vertAlign w:val="subscript"/>
        </w:rPr>
        <w:t>2</w:t>
      </w:r>
      <w:r w:rsidRPr="006519D0">
        <w:t>. Snížení limitu, při jehož dosažení vzniká povinnost podávat zprávu o nakládání s F-plyny, může mít za následek mírné zvýšení počtu subjektů, na které se tato povinnost vztahuje, identifikován je však nárůst maximálně v</w:t>
      </w:r>
      <w:r w:rsidRPr="006519D0">
        <w:t xml:space="preserve"> řádu jednotek. Praxe je taková, že množství F-plynů, se kterými osoby povinné podávat zprávy nakládají, jsou řádově vyšší, než je navrhovaný limit, </w:t>
      </w:r>
      <w:r w:rsidRPr="006519D0">
        <w:lastRenderedPageBreak/>
        <w:t>tedy povinnost se jich týká již za současného stavu, případně jsou řádově nižší, neboť se jedná o osoby nak</w:t>
      </w:r>
      <w:r w:rsidRPr="006519D0">
        <w:t>ládající s F-plyny ve výjimečných případech. Podíl hraniční skupiny subjektů, na které by se nová povinnost vztahovala, v rámci celku subjektů nakládajících s F-plyny, byl identifikován na základě údajů z praxe jako zanedbatelný</w:t>
      </w:r>
      <w:r w:rsidR="00412178" w:rsidRPr="006519D0">
        <w:t xml:space="preserve"> (v řádu jednotek případů)</w:t>
      </w:r>
      <w:r w:rsidRPr="006519D0">
        <w:t xml:space="preserve">. </w:t>
      </w:r>
      <w:r w:rsidRPr="006519D0">
        <w:t xml:space="preserve">Administrativní zátěž spojená s podáváním zpráv se odhaduje na maximálně 30 minut, tzn. cca 150 Kč/subjekt a rok. </w:t>
      </w:r>
      <w:r w:rsidR="008C34DA" w:rsidRPr="006519D0">
        <w:t>Celkov</w:t>
      </w:r>
      <w:r w:rsidR="00A53F50" w:rsidRPr="006519D0">
        <w:t>é navýšení</w:t>
      </w:r>
      <w:r w:rsidR="008C34DA" w:rsidRPr="006519D0">
        <w:t xml:space="preserve"> administrativní zátěž</w:t>
      </w:r>
      <w:r w:rsidR="00A53F50" w:rsidRPr="006519D0">
        <w:t>e u všech nově dotčených subjektů</w:t>
      </w:r>
      <w:r w:rsidR="008C34DA" w:rsidRPr="006519D0">
        <w:t xml:space="preserve"> </w:t>
      </w:r>
      <w:r w:rsidR="00A53F50" w:rsidRPr="006519D0">
        <w:t xml:space="preserve">je tedy zcela zanedbatelné, cca 1 000 – 1 500 Kč/rok.  </w:t>
      </w:r>
      <w:r w:rsidRPr="006519D0">
        <w:t xml:space="preserve">Současně přímo </w:t>
      </w:r>
      <w:r w:rsidRPr="006519D0">
        <w:t>použitelné předpisy EU stanovují dodavatelům F-plynů povinnost vedení evidence ve vztahu k nakládání s F-plyny, z níž následně mohou získat údaje potřebné pro podání zprávy.</w:t>
      </w:r>
    </w:p>
    <w:p w14:paraId="6FAA1A9F" w14:textId="77777777" w:rsidR="00D91BC9" w:rsidRPr="006519D0" w:rsidRDefault="009731B0" w:rsidP="001856C3">
      <w:pPr>
        <w:spacing w:before="240" w:after="0"/>
        <w:rPr>
          <w:b/>
        </w:rPr>
      </w:pPr>
      <w:r w:rsidRPr="006519D0">
        <w:rPr>
          <w:b/>
        </w:rPr>
        <w:t>Dopady na životní prostředí</w:t>
      </w:r>
    </w:p>
    <w:p w14:paraId="6BCC3987" w14:textId="77777777" w:rsidR="00D91BC9" w:rsidRPr="006519D0" w:rsidRDefault="009731B0" w:rsidP="00D91BC9">
      <w:r w:rsidRPr="006519D0">
        <w:t>Varianta 1 bude mít za důsledek vyšší míru regulace na</w:t>
      </w:r>
      <w:r w:rsidRPr="006519D0">
        <w:t xml:space="preserve">kládání s F-plyny, což povede k detailnější informovanosti relevantních orgánů o F-plynech dovozených, vyvezených, zneškodněných, poprvé uvedených na trh apod., a možnosti efektivnějšího fungování v rámci státní správy v oblasti nakládání s F-plyny. </w:t>
      </w:r>
    </w:p>
    <w:p w14:paraId="14C7D2E0" w14:textId="77777777" w:rsidR="000C6893" w:rsidRPr="006519D0" w:rsidRDefault="000C6893" w:rsidP="00D91BC9"/>
    <w:p w14:paraId="50F1A554" w14:textId="77777777" w:rsidR="00BE3F7C" w:rsidRPr="006519D0" w:rsidRDefault="009731B0" w:rsidP="00BE3F7C">
      <w:pPr>
        <w:pStyle w:val="Odstavecseseznamem"/>
        <w:keepNext/>
        <w:numPr>
          <w:ilvl w:val="0"/>
          <w:numId w:val="33"/>
        </w:numPr>
        <w:rPr>
          <w:b/>
        </w:rPr>
      </w:pPr>
      <w:r w:rsidRPr="006519D0">
        <w:rPr>
          <w:b/>
        </w:rPr>
        <w:t>Vari</w:t>
      </w:r>
      <w:r w:rsidRPr="006519D0">
        <w:rPr>
          <w:b/>
        </w:rPr>
        <w:t>anta 2</w:t>
      </w:r>
    </w:p>
    <w:p w14:paraId="61606C11" w14:textId="77777777" w:rsidR="000C6893" w:rsidRPr="006519D0" w:rsidRDefault="009731B0" w:rsidP="000C6893">
      <w:r w:rsidRPr="006519D0">
        <w:t>Varianta 2</w:t>
      </w:r>
      <w:r w:rsidR="008C4642" w:rsidRPr="006519D0">
        <w:t xml:space="preserve"> stanovuje</w:t>
      </w:r>
      <w:r w:rsidRPr="006519D0">
        <w:t xml:space="preserve"> pro osoby nakládající s F-plyny v množstvím větším než 150 tun ekvivalentu CO</w:t>
      </w:r>
      <w:r w:rsidRPr="006519D0">
        <w:rPr>
          <w:vertAlign w:val="subscript"/>
        </w:rPr>
        <w:t>2</w:t>
      </w:r>
      <w:r w:rsidRPr="006519D0">
        <w:t xml:space="preserve"> </w:t>
      </w:r>
      <w:r w:rsidR="008C4642" w:rsidRPr="006519D0">
        <w:t xml:space="preserve">povinnost </w:t>
      </w:r>
      <w:r w:rsidRPr="006519D0">
        <w:t>podávat zprávu o nakládání s F-plyny. Snížení limitu z 200 t na</w:t>
      </w:r>
      <w:r w:rsidR="008C4642" w:rsidRPr="006519D0">
        <w:t> </w:t>
      </w:r>
      <w:r w:rsidRPr="006519D0">
        <w:t>150</w:t>
      </w:r>
      <w:r w:rsidR="008C4642" w:rsidRPr="006519D0">
        <w:t> </w:t>
      </w:r>
      <w:r w:rsidRPr="006519D0">
        <w:t>t bude mít za následek mírné zvýšení počtu subjektů, na které se tato p</w:t>
      </w:r>
      <w:r w:rsidRPr="006519D0">
        <w:t>ovinnost bude vztahovat</w:t>
      </w:r>
      <w:r w:rsidR="008C4642" w:rsidRPr="006519D0">
        <w:t>, t</w:t>
      </w:r>
      <w:r w:rsidRPr="006519D0">
        <w:t>ento nárůst je však zcela minimální. Množství F-plynů, se kterými osoby povinné podávat zprávy nakládají, jsou řádově vyšší, než je navrhovaný limit, tedy povinnost se jich týká již za současného stavu, případně jsou řádově nižší,</w:t>
      </w:r>
      <w:r w:rsidRPr="006519D0">
        <w:t xml:space="preserve"> neboť se jedná o osoby nakládající s F-plyny ve výjimečných případech. Podíl hraniční skupiny subjektů (viz varianta 1) je zanedbatelný (v řádu jednotek případů). Administrativní zátěž spojená s podáváním zpráv se odhaduje na maximálně 30 minut, tzn. cca </w:t>
      </w:r>
      <w:r w:rsidRPr="006519D0">
        <w:t>150 Kč/subjekt a rok. Celkové navýšení administrativní zátěže u všech nově dotčených subjektů je tedy odhadováno na cca 700 – 1</w:t>
      </w:r>
      <w:r w:rsidR="0018677B" w:rsidRPr="006519D0">
        <w:t> </w:t>
      </w:r>
      <w:r w:rsidRPr="006519D0">
        <w:t>000 Kč/rok.</w:t>
      </w:r>
    </w:p>
    <w:p w14:paraId="4B1EBF3D" w14:textId="77777777" w:rsidR="0018677B" w:rsidRPr="006519D0" w:rsidRDefault="009731B0" w:rsidP="0018677B">
      <w:pPr>
        <w:spacing w:before="240" w:after="0"/>
        <w:rPr>
          <w:b/>
        </w:rPr>
      </w:pPr>
      <w:r w:rsidRPr="006519D0">
        <w:rPr>
          <w:b/>
        </w:rPr>
        <w:t>Dopady na životní prostředí</w:t>
      </w:r>
    </w:p>
    <w:p w14:paraId="759B52AF" w14:textId="77777777" w:rsidR="0018677B" w:rsidRPr="006519D0" w:rsidRDefault="009731B0" w:rsidP="0018677B">
      <w:r w:rsidRPr="006519D0">
        <w:t xml:space="preserve">Viz varianta 1. </w:t>
      </w:r>
    </w:p>
    <w:p w14:paraId="62C0075F" w14:textId="77777777" w:rsidR="00D91BC9" w:rsidRPr="006519D0" w:rsidRDefault="00D91BC9" w:rsidP="00D91BC9"/>
    <w:p w14:paraId="7BE7B4D4" w14:textId="77777777" w:rsidR="00D91BC9" w:rsidRPr="006519D0" w:rsidRDefault="009731B0" w:rsidP="00D91BC9">
      <w:pPr>
        <w:pStyle w:val="Nadpis2"/>
      </w:pPr>
      <w:r w:rsidRPr="006519D0">
        <w:t>Stanovení pořadí variant a výběr nejvhodnějšího řešení</w:t>
      </w:r>
    </w:p>
    <w:p w14:paraId="031129BF" w14:textId="77777777" w:rsidR="00D91BC9" w:rsidRPr="006519D0" w:rsidRDefault="009731B0" w:rsidP="00D91BC9">
      <w:pPr>
        <w:pStyle w:val="Odstavecseseznamem"/>
        <w:numPr>
          <w:ilvl w:val="0"/>
          <w:numId w:val="16"/>
        </w:numPr>
        <w:contextualSpacing/>
        <w:rPr>
          <w:b/>
          <w:bCs/>
        </w:rPr>
      </w:pPr>
      <w:r w:rsidRPr="006519D0">
        <w:rPr>
          <w:b/>
          <w:bCs/>
        </w:rPr>
        <w:t>Varianta 1</w:t>
      </w:r>
    </w:p>
    <w:p w14:paraId="447B3A43" w14:textId="77777777" w:rsidR="000C6893" w:rsidRPr="006519D0" w:rsidRDefault="009731B0" w:rsidP="00D91BC9">
      <w:pPr>
        <w:pStyle w:val="Odstavecseseznamem"/>
        <w:numPr>
          <w:ilvl w:val="0"/>
          <w:numId w:val="16"/>
        </w:numPr>
        <w:contextualSpacing/>
        <w:rPr>
          <w:bCs/>
        </w:rPr>
      </w:pPr>
      <w:r w:rsidRPr="006519D0">
        <w:rPr>
          <w:bCs/>
        </w:rPr>
        <w:t>Varianta 2</w:t>
      </w:r>
    </w:p>
    <w:p w14:paraId="4676E6D2" w14:textId="77777777" w:rsidR="00D91BC9" w:rsidRPr="006519D0" w:rsidRDefault="009731B0" w:rsidP="00D91BC9">
      <w:pPr>
        <w:pStyle w:val="Odstavecseseznamem"/>
        <w:numPr>
          <w:ilvl w:val="0"/>
          <w:numId w:val="16"/>
        </w:numPr>
        <w:ind w:left="714" w:hanging="357"/>
        <w:contextualSpacing/>
      </w:pPr>
      <w:r w:rsidRPr="006519D0">
        <w:t>Varianta 0</w:t>
      </w:r>
    </w:p>
    <w:p w14:paraId="5A81E5E5" w14:textId="77777777" w:rsidR="00D91BC9" w:rsidRPr="006519D0" w:rsidRDefault="009731B0" w:rsidP="00D91BC9">
      <w:pPr>
        <w:contextualSpacing/>
      </w:pPr>
      <w:r w:rsidRPr="006519D0">
        <w:t>V</w:t>
      </w:r>
      <w:r w:rsidR="0018677B" w:rsidRPr="006519D0">
        <w:t>arianta 1 a 2 se svými dopady téměř neliší, v obou případech jde o zcela zanedbatelné navýšení administrativní zátěže dotčených subjektů. Ovšem v</w:t>
      </w:r>
      <w:r w:rsidRPr="006519D0">
        <w:t>zhledem</w:t>
      </w:r>
      <w:r w:rsidR="0018677B" w:rsidRPr="006519D0">
        <w:t xml:space="preserve"> ke sjednocení limitů pro podávání zpráv při přeshraniční přepravě F-plynů na evropské a národní úrovni n</w:t>
      </w:r>
      <w:r w:rsidR="00417607" w:rsidRPr="006519D0">
        <w:t>avrhujeme přijmout variantu 1, která snižuje limit pro vznik povinnosti podávání zpráv z 200 na 100 tun ekvivalentu CO</w:t>
      </w:r>
      <w:r w:rsidR="00417607" w:rsidRPr="006519D0">
        <w:rPr>
          <w:vertAlign w:val="subscript"/>
        </w:rPr>
        <w:t>2</w:t>
      </w:r>
      <w:r w:rsidR="00D32400" w:rsidRPr="006519D0">
        <w:t>.</w:t>
      </w:r>
    </w:p>
    <w:p w14:paraId="445D79B4" w14:textId="77777777" w:rsidR="00FD1CBB" w:rsidRPr="006519D0" w:rsidRDefault="00FD1CBB" w:rsidP="00D91BC9">
      <w:pPr>
        <w:contextualSpacing/>
      </w:pPr>
    </w:p>
    <w:p w14:paraId="5112BD5D" w14:textId="77777777" w:rsidR="009A2B50" w:rsidRPr="006519D0" w:rsidRDefault="009731B0" w:rsidP="009A2B50">
      <w:pPr>
        <w:pStyle w:val="Nadpis1"/>
      </w:pPr>
      <w:bookmarkStart w:id="32" w:name="_Toc256000010"/>
      <w:bookmarkStart w:id="33" w:name="_Toc19624755"/>
      <w:r w:rsidRPr="006519D0">
        <w:lastRenderedPageBreak/>
        <w:t>Změna v informačním systému certifikovaných osob (§ 13)</w:t>
      </w:r>
      <w:bookmarkEnd w:id="32"/>
      <w:bookmarkEnd w:id="33"/>
    </w:p>
    <w:p w14:paraId="56F783DB" w14:textId="77777777" w:rsidR="009A2B50" w:rsidRPr="006519D0" w:rsidRDefault="009731B0" w:rsidP="009A2B50">
      <w:pPr>
        <w:pStyle w:val="Nadpis2"/>
      </w:pPr>
      <w:r w:rsidRPr="006519D0">
        <w:t>Důvod předložení a cíle</w:t>
      </w:r>
    </w:p>
    <w:p w14:paraId="708A580D" w14:textId="77777777" w:rsidR="009A2B50" w:rsidRPr="006519D0" w:rsidRDefault="009731B0" w:rsidP="009A2B50">
      <w:pPr>
        <w:pStyle w:val="Nadpis3"/>
      </w:pPr>
      <w:r w:rsidRPr="006519D0">
        <w:t>Definice problému</w:t>
      </w:r>
    </w:p>
    <w:p w14:paraId="0660CF5B" w14:textId="77777777" w:rsidR="009A2B50" w:rsidRPr="006519D0" w:rsidRDefault="009731B0" w:rsidP="009A2B50">
      <w:pPr>
        <w:rPr>
          <w:szCs w:val="22"/>
        </w:rPr>
      </w:pPr>
      <w:r w:rsidRPr="006519D0">
        <w:t xml:space="preserve">V současném </w:t>
      </w:r>
      <w:r w:rsidRPr="006519D0">
        <w:t>Informačním systému certifikovaných osob a osob, kterým bylo vydáno osvědčení o školení (IS), který spravuje a provozuje MŽP, se nyní vedou údaje jak o certifikovaných osobách, tak o osobách, kterým bylo vydáno osvědčení o školení. Pro obě skupiny platí st</w:t>
      </w:r>
      <w:r w:rsidRPr="006519D0">
        <w:t>ejné podmínky pro vedení údajů, ale pro shromažďování tak rozsáhlých dat o osobách se školením není důvod, neboť se jedná o enormní objem dat, která nejsou reálně využívaná a využitelná.</w:t>
      </w:r>
      <w:r w:rsidRPr="006519D0">
        <w:rPr>
          <w:szCs w:val="22"/>
        </w:rPr>
        <w:t xml:space="preserve"> Zároveň zde chybí právní titul ke zpracování osobních údajů dle Obecn</w:t>
      </w:r>
      <w:r w:rsidRPr="006519D0">
        <w:rPr>
          <w:szCs w:val="22"/>
        </w:rPr>
        <w:t>ého nařízení o ochraně osobních údajů (GDPR).</w:t>
      </w:r>
    </w:p>
    <w:p w14:paraId="4AFF8770" w14:textId="77777777" w:rsidR="009A2B50" w:rsidRPr="006519D0" w:rsidRDefault="009A2B50" w:rsidP="009A2B50">
      <w:pPr>
        <w:rPr>
          <w:szCs w:val="22"/>
        </w:rPr>
      </w:pPr>
    </w:p>
    <w:p w14:paraId="47FBA210" w14:textId="77777777" w:rsidR="009A2B50" w:rsidRPr="006519D0" w:rsidRDefault="009731B0" w:rsidP="009A2B50">
      <w:pPr>
        <w:pStyle w:val="Nadpis3"/>
      </w:pPr>
      <w:r w:rsidRPr="006519D0">
        <w:t>Popis existujícího právního stavu v dané oblasti</w:t>
      </w:r>
    </w:p>
    <w:p w14:paraId="1B851981" w14:textId="77777777" w:rsidR="009A2B50" w:rsidRPr="006519D0" w:rsidRDefault="009731B0" w:rsidP="009A2B50">
      <w:r w:rsidRPr="006519D0">
        <w:t>V současné době je MŽP správcem a provozovatelem IS, kde jsou vedeny údaje o certifikovaných osobách a o osobách, kterým bylo vydáno osvědčení o školení.</w:t>
      </w:r>
    </w:p>
    <w:p w14:paraId="5C302D99" w14:textId="77777777" w:rsidR="009A2B50" w:rsidRPr="006519D0" w:rsidRDefault="009A2B50" w:rsidP="009A2B50"/>
    <w:p w14:paraId="3F522837" w14:textId="77777777" w:rsidR="009A2B50" w:rsidRPr="006519D0" w:rsidRDefault="009731B0" w:rsidP="009A2B50">
      <w:pPr>
        <w:pStyle w:val="Nadpis3"/>
      </w:pPr>
      <w:r w:rsidRPr="006519D0">
        <w:t>Ident</w:t>
      </w:r>
      <w:r w:rsidRPr="006519D0">
        <w:t>ifikace dotčených subjektů</w:t>
      </w:r>
    </w:p>
    <w:p w14:paraId="4DDD9375" w14:textId="77777777" w:rsidR="009A2B50" w:rsidRPr="006519D0" w:rsidRDefault="009731B0" w:rsidP="009A2B50">
      <w:pPr>
        <w:pStyle w:val="Odstavecseseznamem"/>
        <w:numPr>
          <w:ilvl w:val="0"/>
          <w:numId w:val="17"/>
        </w:numPr>
      </w:pPr>
      <w:r w:rsidRPr="006519D0">
        <w:t>MŽP,</w:t>
      </w:r>
    </w:p>
    <w:p w14:paraId="486EC24D" w14:textId="77777777" w:rsidR="009A2B50" w:rsidRPr="006519D0" w:rsidRDefault="009731B0" w:rsidP="009A2B50">
      <w:pPr>
        <w:pStyle w:val="Odstavecseseznamem"/>
        <w:numPr>
          <w:ilvl w:val="0"/>
          <w:numId w:val="17"/>
        </w:numPr>
        <w:ind w:left="714" w:hanging="357"/>
      </w:pPr>
      <w:r w:rsidRPr="006519D0">
        <w:t>certifikované osoby,</w:t>
      </w:r>
    </w:p>
    <w:p w14:paraId="5C20D2CC" w14:textId="77777777" w:rsidR="009A2B50" w:rsidRPr="006519D0" w:rsidRDefault="009731B0" w:rsidP="009A2B50">
      <w:pPr>
        <w:pStyle w:val="Odstavecseseznamem"/>
        <w:numPr>
          <w:ilvl w:val="0"/>
          <w:numId w:val="17"/>
        </w:numPr>
        <w:ind w:left="714" w:hanging="357"/>
      </w:pPr>
      <w:r w:rsidRPr="006519D0">
        <w:t>atestační subjekty,</w:t>
      </w:r>
    </w:p>
    <w:p w14:paraId="7243B93E" w14:textId="77777777" w:rsidR="007F7DEA" w:rsidRPr="006519D0" w:rsidRDefault="009731B0" w:rsidP="007F7DEA">
      <w:pPr>
        <w:pStyle w:val="Odstavecseseznamem"/>
        <w:numPr>
          <w:ilvl w:val="0"/>
          <w:numId w:val="17"/>
        </w:numPr>
        <w:ind w:left="714" w:hanging="357"/>
      </w:pPr>
      <w:r w:rsidRPr="006519D0">
        <w:t>osoby, kterým bylo vydáno osvědčení o školení.</w:t>
      </w:r>
    </w:p>
    <w:p w14:paraId="2B267743" w14:textId="77777777" w:rsidR="00B8442C" w:rsidRPr="006519D0" w:rsidRDefault="00B8442C" w:rsidP="00B8442C"/>
    <w:p w14:paraId="7DBA0301" w14:textId="77777777" w:rsidR="009A2B50" w:rsidRPr="006519D0" w:rsidRDefault="009731B0" w:rsidP="009A2B50">
      <w:pPr>
        <w:pStyle w:val="Nadpis3"/>
      </w:pPr>
      <w:r w:rsidRPr="006519D0">
        <w:t>Popis cílového stavu</w:t>
      </w:r>
    </w:p>
    <w:p w14:paraId="64122A02" w14:textId="77777777" w:rsidR="009A2B50" w:rsidRPr="006519D0" w:rsidRDefault="009731B0" w:rsidP="009A2B50">
      <w:r w:rsidRPr="006519D0">
        <w:t xml:space="preserve">Zúžení IS tak, aby obsahoval jen nezbytně nutná data s cílem snížit administrativní zátěž certifikovaných osob a </w:t>
      </w:r>
      <w:r w:rsidRPr="006519D0">
        <w:t>osob, kterým bylo vydáno osvědčení o školení. Zároveň upravit systém a jeho fungování tak, aby odpovídal a byl kompatibilní s dalšími navrhovanými změnami – změna systému certifikace.</w:t>
      </w:r>
    </w:p>
    <w:p w14:paraId="27E27741" w14:textId="77777777" w:rsidR="00B8442C" w:rsidRPr="006519D0" w:rsidRDefault="00B8442C" w:rsidP="009A2B50"/>
    <w:p w14:paraId="3605BB00" w14:textId="77777777" w:rsidR="009A2B50" w:rsidRPr="006519D0" w:rsidRDefault="009731B0" w:rsidP="009A2B50">
      <w:pPr>
        <w:pStyle w:val="Nadpis3"/>
      </w:pPr>
      <w:r w:rsidRPr="006519D0">
        <w:t>Zhodnocení rizika</w:t>
      </w:r>
    </w:p>
    <w:p w14:paraId="14E3C64B" w14:textId="77777777" w:rsidR="009A2B50" w:rsidRPr="006519D0" w:rsidRDefault="009731B0" w:rsidP="009A2B50">
      <w:r w:rsidRPr="006519D0">
        <w:t xml:space="preserve">Při zachování současného stavu budou nadále </w:t>
      </w:r>
      <w:r w:rsidRPr="006519D0">
        <w:t>požadována a vybírána data, s kterými se dále nepracuje, a představují zbytečnou administrativní zátěž pro osoby, které údaje do IS vkládají i spravují. Existuje zde také riziko nesouladu s Obecným nařízením o ochraně osobních údajů.</w:t>
      </w:r>
    </w:p>
    <w:p w14:paraId="013AF62E" w14:textId="77777777" w:rsidR="009A2B50" w:rsidRPr="006519D0" w:rsidRDefault="009A2B50" w:rsidP="009A2B50"/>
    <w:p w14:paraId="4E02E866" w14:textId="77777777" w:rsidR="009A2B50" w:rsidRPr="006519D0" w:rsidRDefault="009731B0" w:rsidP="009A2B50">
      <w:pPr>
        <w:pStyle w:val="Nadpis2"/>
      </w:pPr>
      <w:r w:rsidRPr="006519D0">
        <w:t>Návrh variant řešení</w:t>
      </w:r>
    </w:p>
    <w:p w14:paraId="609A78E8" w14:textId="77777777" w:rsidR="009A2B50" w:rsidRPr="006519D0" w:rsidRDefault="009731B0" w:rsidP="009A2B50">
      <w:pPr>
        <w:pStyle w:val="Nadpis3"/>
      </w:pPr>
      <w:r w:rsidRPr="006519D0">
        <w:t>Varianta 0</w:t>
      </w:r>
    </w:p>
    <w:p w14:paraId="211D3825" w14:textId="77777777" w:rsidR="009A2B50" w:rsidRPr="006519D0" w:rsidRDefault="009731B0" w:rsidP="009A2B50">
      <w:pPr>
        <w:rPr>
          <w:szCs w:val="22"/>
        </w:rPr>
      </w:pPr>
      <w:r w:rsidRPr="006519D0">
        <w:rPr>
          <w:szCs w:val="22"/>
        </w:rPr>
        <w:t xml:space="preserve">Zachování současného stavu, kdy jsou v IS vedeny údaje jak o certifikovaných osobách, tak osobách, kterým bylo vydáno osvědčení o školení, a to v rozsahu dle platné právní úpravy. </w:t>
      </w:r>
      <w:r w:rsidRPr="006519D0">
        <w:rPr>
          <w:szCs w:val="22"/>
        </w:rPr>
        <w:lastRenderedPageBreak/>
        <w:t>MŽP je jak provozovatelem, tak správcem tohoto IS, tedy nese odpo</w:t>
      </w:r>
      <w:r w:rsidRPr="006519D0">
        <w:rPr>
          <w:szCs w:val="22"/>
        </w:rPr>
        <w:t xml:space="preserve">vědnost za správnost a aktuálnost údajů v něm uvedených. </w:t>
      </w:r>
    </w:p>
    <w:p w14:paraId="78FFB170" w14:textId="77777777" w:rsidR="009A2B50" w:rsidRPr="006519D0" w:rsidRDefault="009731B0" w:rsidP="009A2B50">
      <w:pPr>
        <w:pStyle w:val="Nadpis3"/>
      </w:pPr>
      <w:r w:rsidRPr="006519D0">
        <w:t>Varianta 1</w:t>
      </w:r>
    </w:p>
    <w:p w14:paraId="04471944" w14:textId="77777777" w:rsidR="009A2B50" w:rsidRPr="006519D0" w:rsidRDefault="009731B0" w:rsidP="009A2B50">
      <w:r w:rsidRPr="006519D0">
        <w:t>Dle této varianty by se vedly v IS pouze údaje o certifikovaných osobách, neboť tyto údaje jsou v praxi reálně využívány.</w:t>
      </w:r>
    </w:p>
    <w:p w14:paraId="36A0F7AE" w14:textId="77777777" w:rsidR="009A2B50" w:rsidRPr="006519D0" w:rsidRDefault="009731B0" w:rsidP="009A2B50">
      <w:r w:rsidRPr="006519D0">
        <w:t>Z důvodu ochrany osobních údajů je navrhovaná redukce rozsahu evi</w:t>
      </w:r>
      <w:r w:rsidRPr="006519D0">
        <w:t>dovaných údajů na nezbytné minimum, které je nutné k efektivnímu výkonu správy IS a naplňování jeho funkcí.  Nově by byly poskytovány a evidovány pouze identifikační údaje certifikované osoby (jméno/obchodní firma, sídlo, identifikační číslo) a číslo certi</w:t>
      </w:r>
      <w:r w:rsidRPr="006519D0">
        <w:t xml:space="preserve">fikátu. Navrhované změny mají za cíl redukci administrativní zátěže všech dotčených subjektů. </w:t>
      </w:r>
    </w:p>
    <w:p w14:paraId="584AADF8" w14:textId="77777777" w:rsidR="009A2B50" w:rsidRPr="006519D0" w:rsidRDefault="009731B0" w:rsidP="009A2B50">
      <w:r w:rsidRPr="006519D0">
        <w:t>Údaje nadále vkládá a aktualizuje MŽP na základě údajů, které budou mít nově povinnost MŽP poskytovat hodnotící a certifikační subjekty.</w:t>
      </w:r>
    </w:p>
    <w:p w14:paraId="4400E22E" w14:textId="77777777" w:rsidR="009A2B50" w:rsidRPr="006519D0" w:rsidRDefault="009A2B50" w:rsidP="009A2B50"/>
    <w:p w14:paraId="70F1C571" w14:textId="77777777" w:rsidR="009A2B50" w:rsidRPr="006519D0" w:rsidRDefault="009731B0" w:rsidP="009A2B50">
      <w:pPr>
        <w:pStyle w:val="Nadpis2"/>
      </w:pPr>
      <w:r w:rsidRPr="006519D0">
        <w:t>Vyhodnocení nákladů a p</w:t>
      </w:r>
      <w:r w:rsidRPr="006519D0">
        <w:t>řínosů</w:t>
      </w:r>
    </w:p>
    <w:p w14:paraId="06306BE0" w14:textId="77777777" w:rsidR="009A2B50" w:rsidRPr="006519D0" w:rsidRDefault="009731B0" w:rsidP="009A2B50">
      <w:pPr>
        <w:pStyle w:val="Nadpis3"/>
        <w:spacing w:after="120"/>
      </w:pPr>
      <w:r w:rsidRPr="006519D0">
        <w:t>Identifikace nákladů a přínosů</w:t>
      </w:r>
    </w:p>
    <w:p w14:paraId="0AA7328A" w14:textId="77777777" w:rsidR="009A2B50" w:rsidRPr="006519D0" w:rsidRDefault="009731B0" w:rsidP="009A2B50">
      <w:pPr>
        <w:pStyle w:val="Odstavecseseznamem"/>
        <w:numPr>
          <w:ilvl w:val="0"/>
          <w:numId w:val="34"/>
        </w:numPr>
        <w:rPr>
          <w:b/>
        </w:rPr>
      </w:pPr>
      <w:r w:rsidRPr="006519D0">
        <w:rPr>
          <w:b/>
        </w:rPr>
        <w:t>Varianta 0</w:t>
      </w:r>
    </w:p>
    <w:p w14:paraId="4B4A9A85" w14:textId="77777777" w:rsidR="009A2B50" w:rsidRPr="006519D0" w:rsidRDefault="009731B0" w:rsidP="001856C3">
      <w:pPr>
        <w:spacing w:before="240" w:after="0"/>
        <w:rPr>
          <w:b/>
        </w:rPr>
      </w:pPr>
      <w:r w:rsidRPr="006519D0">
        <w:rPr>
          <w:b/>
        </w:rPr>
        <w:t>Dopady na státní rozpočet a ostatní veřejné rozpočty</w:t>
      </w:r>
    </w:p>
    <w:p w14:paraId="0816B79D" w14:textId="77777777" w:rsidR="00A1507B" w:rsidRPr="006519D0" w:rsidRDefault="009731B0" w:rsidP="009A2B50">
      <w:r w:rsidRPr="006519D0">
        <w:t>Současný stav znamená nadbytečnou administrativní zátěž na straně MŽP s enormním objemem dat, které se dále nezpracovávají, čímž dochází k zahlcení IS, kd</w:t>
      </w:r>
      <w:r w:rsidRPr="006519D0">
        <w:t>y pracovníci odboru ochrany ovzduší nemohou efektivně plnit funkci správce systému. Administrativní zátěž na straně MŽP spojená s touto agendou byla odhadnuta na cca 10 hod/rok, což představuje náklady 4 560 Kč/rok.</w:t>
      </w:r>
    </w:p>
    <w:p w14:paraId="6A8EA699" w14:textId="77777777" w:rsidR="009A2B50" w:rsidRPr="006519D0" w:rsidRDefault="009731B0" w:rsidP="00095BAD">
      <w:pPr>
        <w:keepNext/>
        <w:spacing w:before="240" w:after="0"/>
        <w:rPr>
          <w:b/>
        </w:rPr>
      </w:pPr>
      <w:r w:rsidRPr="006519D0">
        <w:rPr>
          <w:b/>
        </w:rPr>
        <w:t>Dopady na podnikatelské prostředí</w:t>
      </w:r>
    </w:p>
    <w:p w14:paraId="7D9A2DFE" w14:textId="77777777" w:rsidR="009A2B50" w:rsidRPr="006519D0" w:rsidRDefault="009731B0" w:rsidP="009A2B50">
      <w:r w:rsidRPr="006519D0">
        <w:t>Nyní je atestační subjekt povinen po vydání osvědčení předat údaje MŽP o jménu/obchodní firmě, číslu osvědčení o školení a datum jeho vydání, adrese a telefonním čísle/elektronické poště. Administrativní zátěž těchto osob spojená s touto agendou byla odhad</w:t>
      </w:r>
      <w:r w:rsidRPr="006519D0">
        <w:t xml:space="preserve">nuta </w:t>
      </w:r>
      <w:r w:rsidR="00A1507B" w:rsidRPr="006519D0">
        <w:br/>
      </w:r>
      <w:r w:rsidRPr="006519D0">
        <w:t>na cca 100 hod/rok, což představuje náklady 35 900 Kč/rok.</w:t>
      </w:r>
    </w:p>
    <w:p w14:paraId="1EE3777D" w14:textId="77777777" w:rsidR="009A2B50" w:rsidRPr="006519D0" w:rsidRDefault="009A2B50" w:rsidP="009A2B50"/>
    <w:p w14:paraId="176BC6F6" w14:textId="77777777" w:rsidR="009A2B50" w:rsidRPr="006519D0" w:rsidRDefault="009731B0" w:rsidP="009A2B50">
      <w:pPr>
        <w:pStyle w:val="Odstavecseseznamem"/>
        <w:numPr>
          <w:ilvl w:val="0"/>
          <w:numId w:val="34"/>
        </w:numPr>
        <w:rPr>
          <w:b/>
        </w:rPr>
      </w:pPr>
      <w:r w:rsidRPr="006519D0">
        <w:rPr>
          <w:b/>
        </w:rPr>
        <w:t>Varianta 1</w:t>
      </w:r>
    </w:p>
    <w:p w14:paraId="1CBC88F6" w14:textId="77777777" w:rsidR="009A2B50" w:rsidRPr="006519D0" w:rsidRDefault="009731B0" w:rsidP="001856C3">
      <w:pPr>
        <w:spacing w:after="0"/>
        <w:rPr>
          <w:b/>
        </w:rPr>
      </w:pPr>
      <w:r w:rsidRPr="006519D0">
        <w:rPr>
          <w:b/>
        </w:rPr>
        <w:t>Dopady na státní rozpočet a ostatní veřejné rozpočty</w:t>
      </w:r>
    </w:p>
    <w:p w14:paraId="07DF04AF" w14:textId="77777777" w:rsidR="009A2B50" w:rsidRPr="006519D0" w:rsidRDefault="009731B0" w:rsidP="009A2B50">
      <w:r w:rsidRPr="006519D0">
        <w:t xml:space="preserve">Zavedením této varianty dojde k mírnému snížení administrativní zátěže zaměstnanců MŽP (o cca 4 560 Kč/rok), kteří spravovali </w:t>
      </w:r>
      <w:r w:rsidRPr="006519D0">
        <w:t xml:space="preserve">data o proškolených osobách. </w:t>
      </w:r>
    </w:p>
    <w:p w14:paraId="11C373B6" w14:textId="77777777" w:rsidR="009A2B50" w:rsidRPr="006519D0" w:rsidRDefault="009731B0" w:rsidP="001856C3">
      <w:pPr>
        <w:spacing w:before="240" w:after="0"/>
        <w:rPr>
          <w:b/>
        </w:rPr>
      </w:pPr>
      <w:r w:rsidRPr="006519D0">
        <w:rPr>
          <w:b/>
        </w:rPr>
        <w:t>Dopady na podnikatelské prostředí</w:t>
      </w:r>
    </w:p>
    <w:p w14:paraId="123AC132" w14:textId="77777777" w:rsidR="00C74EEA" w:rsidRPr="006519D0" w:rsidRDefault="009731B0" w:rsidP="009A2B50">
      <w:r w:rsidRPr="006519D0">
        <w:t>Při zavedení této varianty kompletně zanikne atestačním subjektům povinnost poskytovat MŽP údaje o osobách, kterým bylo vydáno osvědčení, což povede ke snížení jejich administrativní zátěže ve</w:t>
      </w:r>
      <w:r w:rsidRPr="006519D0">
        <w:t xml:space="preserve"> spojitosti s výkonem činnosti atestačního subjektu. Celkově dojde k poklesu administrativní zátěže atesta</w:t>
      </w:r>
      <w:r w:rsidR="008C2D8C" w:rsidRPr="006519D0">
        <w:t>čních subjektů o 35 900 Kč/rok.</w:t>
      </w:r>
    </w:p>
    <w:p w14:paraId="731257DA" w14:textId="77777777" w:rsidR="00251A96" w:rsidRPr="006519D0" w:rsidRDefault="00251A96" w:rsidP="009A2B50"/>
    <w:p w14:paraId="21C14B58" w14:textId="77777777" w:rsidR="009A2B50" w:rsidRPr="006519D0" w:rsidRDefault="009731B0" w:rsidP="009A2B50">
      <w:pPr>
        <w:pStyle w:val="Nadpis3"/>
      </w:pPr>
      <w:r w:rsidRPr="006519D0">
        <w:lastRenderedPageBreak/>
        <w:t>Vyhodnocení nákladů a přínosů variant</w:t>
      </w:r>
    </w:p>
    <w:p w14:paraId="0F744045" w14:textId="77777777" w:rsidR="009A2B50" w:rsidRPr="006519D0" w:rsidRDefault="009731B0" w:rsidP="009A2B50">
      <w:pPr>
        <w:keepNext/>
        <w:rPr>
          <w:rFonts w:cs="Arial"/>
          <w:b/>
          <w:spacing w:val="10"/>
          <w:sz w:val="20"/>
          <w:szCs w:val="20"/>
        </w:rPr>
      </w:pPr>
      <w:r w:rsidRPr="006519D0">
        <w:rPr>
          <w:rFonts w:cs="Arial"/>
          <w:b/>
          <w:spacing w:val="10"/>
          <w:sz w:val="20"/>
          <w:szCs w:val="20"/>
        </w:rPr>
        <w:t xml:space="preserve">Tabulka </w:t>
      </w:r>
      <w:r w:rsidR="00A1507B" w:rsidRPr="006519D0">
        <w:rPr>
          <w:rFonts w:cs="Arial"/>
          <w:b/>
          <w:spacing w:val="10"/>
          <w:sz w:val="20"/>
          <w:szCs w:val="20"/>
        </w:rPr>
        <w:t>7</w:t>
      </w:r>
      <w:r w:rsidRPr="006519D0">
        <w:rPr>
          <w:rFonts w:cs="Arial"/>
          <w:b/>
          <w:spacing w:val="10"/>
          <w:sz w:val="20"/>
          <w:szCs w:val="20"/>
        </w:rPr>
        <w:t>: Porovnání nákladů a přínosů</w:t>
      </w:r>
    </w:p>
    <w:tbl>
      <w:tblPr>
        <w:tblStyle w:val="Mkatabulky"/>
        <w:tblW w:w="0" w:type="auto"/>
        <w:tblLook w:val="04A0" w:firstRow="1" w:lastRow="0" w:firstColumn="1" w:lastColumn="0" w:noHBand="0" w:noVBand="1"/>
      </w:tblPr>
      <w:tblGrid>
        <w:gridCol w:w="1240"/>
        <w:gridCol w:w="2405"/>
        <w:gridCol w:w="1496"/>
        <w:gridCol w:w="2465"/>
        <w:gridCol w:w="1456"/>
      </w:tblGrid>
      <w:tr w:rsidR="00326AB0" w14:paraId="24F01322" w14:textId="77777777" w:rsidTr="00F56CCB">
        <w:trPr>
          <w:trHeight w:val="423"/>
        </w:trPr>
        <w:tc>
          <w:tcPr>
            <w:tcW w:w="1240" w:type="dxa"/>
            <w:noWrap/>
            <w:vAlign w:val="center"/>
            <w:hideMark/>
          </w:tcPr>
          <w:p w14:paraId="79D24D9C" w14:textId="77777777" w:rsidR="009A2B50" w:rsidRPr="006519D0" w:rsidRDefault="009731B0" w:rsidP="00F56CCB">
            <w:pPr>
              <w:rPr>
                <w:b/>
                <w:bCs/>
                <w:szCs w:val="20"/>
              </w:rPr>
            </w:pPr>
            <w:r w:rsidRPr="006519D0">
              <w:rPr>
                <w:b/>
                <w:bCs/>
                <w:szCs w:val="20"/>
              </w:rPr>
              <w:t>Varianta</w:t>
            </w:r>
          </w:p>
        </w:tc>
        <w:tc>
          <w:tcPr>
            <w:tcW w:w="2405" w:type="dxa"/>
            <w:noWrap/>
            <w:vAlign w:val="center"/>
            <w:hideMark/>
          </w:tcPr>
          <w:p w14:paraId="13F862DE" w14:textId="77777777" w:rsidR="009A2B50" w:rsidRPr="006519D0" w:rsidRDefault="009731B0" w:rsidP="00F56CCB">
            <w:pPr>
              <w:jc w:val="center"/>
              <w:rPr>
                <w:b/>
                <w:bCs/>
                <w:szCs w:val="20"/>
              </w:rPr>
            </w:pPr>
            <w:r w:rsidRPr="006519D0">
              <w:rPr>
                <w:b/>
                <w:bCs/>
                <w:szCs w:val="20"/>
              </w:rPr>
              <w:t>Přínosy</w:t>
            </w:r>
          </w:p>
        </w:tc>
        <w:tc>
          <w:tcPr>
            <w:tcW w:w="1496" w:type="dxa"/>
            <w:noWrap/>
            <w:vAlign w:val="center"/>
            <w:hideMark/>
          </w:tcPr>
          <w:p w14:paraId="3AF5A89A" w14:textId="77777777" w:rsidR="009A2B50" w:rsidRPr="006519D0" w:rsidRDefault="009731B0" w:rsidP="00F56CCB">
            <w:pPr>
              <w:jc w:val="center"/>
              <w:rPr>
                <w:b/>
                <w:bCs/>
                <w:szCs w:val="20"/>
              </w:rPr>
            </w:pPr>
            <w:r w:rsidRPr="006519D0">
              <w:rPr>
                <w:b/>
                <w:bCs/>
                <w:szCs w:val="20"/>
              </w:rPr>
              <w:t>Hodnocení</w:t>
            </w:r>
          </w:p>
        </w:tc>
        <w:tc>
          <w:tcPr>
            <w:tcW w:w="2465" w:type="dxa"/>
            <w:noWrap/>
            <w:vAlign w:val="center"/>
            <w:hideMark/>
          </w:tcPr>
          <w:p w14:paraId="7D52007F" w14:textId="77777777" w:rsidR="009A2B50" w:rsidRPr="006519D0" w:rsidRDefault="009731B0" w:rsidP="00F56CCB">
            <w:pPr>
              <w:jc w:val="center"/>
              <w:rPr>
                <w:b/>
                <w:bCs/>
                <w:szCs w:val="20"/>
              </w:rPr>
            </w:pPr>
            <w:r w:rsidRPr="006519D0">
              <w:rPr>
                <w:b/>
                <w:bCs/>
                <w:szCs w:val="20"/>
              </w:rPr>
              <w:t>Náklady</w:t>
            </w:r>
          </w:p>
        </w:tc>
        <w:tc>
          <w:tcPr>
            <w:tcW w:w="1456" w:type="dxa"/>
            <w:noWrap/>
            <w:vAlign w:val="center"/>
            <w:hideMark/>
          </w:tcPr>
          <w:p w14:paraId="4DE9FF32" w14:textId="77777777" w:rsidR="009A2B50" w:rsidRPr="006519D0" w:rsidRDefault="009731B0" w:rsidP="00F56CCB">
            <w:pPr>
              <w:jc w:val="center"/>
              <w:rPr>
                <w:b/>
                <w:bCs/>
                <w:szCs w:val="20"/>
              </w:rPr>
            </w:pPr>
            <w:r w:rsidRPr="006519D0">
              <w:rPr>
                <w:b/>
                <w:bCs/>
                <w:szCs w:val="20"/>
              </w:rPr>
              <w:t>Hodnocení</w:t>
            </w:r>
          </w:p>
        </w:tc>
      </w:tr>
      <w:tr w:rsidR="00326AB0" w14:paraId="1EC5CBEA" w14:textId="77777777" w:rsidTr="00F56CCB">
        <w:trPr>
          <w:trHeight w:val="434"/>
        </w:trPr>
        <w:tc>
          <w:tcPr>
            <w:tcW w:w="1240" w:type="dxa"/>
            <w:vMerge w:val="restart"/>
            <w:noWrap/>
            <w:vAlign w:val="center"/>
            <w:hideMark/>
          </w:tcPr>
          <w:p w14:paraId="291ABD65" w14:textId="77777777" w:rsidR="009A2B50" w:rsidRPr="006519D0" w:rsidRDefault="009731B0" w:rsidP="00F56CCB">
            <w:pPr>
              <w:rPr>
                <w:b/>
                <w:bCs/>
                <w:szCs w:val="20"/>
              </w:rPr>
            </w:pPr>
            <w:r w:rsidRPr="006519D0">
              <w:rPr>
                <w:b/>
                <w:bCs/>
                <w:szCs w:val="20"/>
              </w:rPr>
              <w:t>Varianta 0</w:t>
            </w:r>
          </w:p>
        </w:tc>
        <w:tc>
          <w:tcPr>
            <w:tcW w:w="7822" w:type="dxa"/>
            <w:gridSpan w:val="4"/>
            <w:vAlign w:val="center"/>
            <w:hideMark/>
          </w:tcPr>
          <w:p w14:paraId="01E08E75" w14:textId="77777777" w:rsidR="009A2B50" w:rsidRPr="006519D0" w:rsidRDefault="009731B0" w:rsidP="00F56CCB">
            <w:pPr>
              <w:jc w:val="center"/>
              <w:rPr>
                <w:b/>
                <w:bCs/>
                <w:szCs w:val="20"/>
              </w:rPr>
            </w:pPr>
            <w:r w:rsidRPr="006519D0">
              <w:rPr>
                <w:b/>
                <w:bCs/>
                <w:szCs w:val="20"/>
              </w:rPr>
              <w:t>Státní rozpočet a ostatní veřejné rozpočty</w:t>
            </w:r>
          </w:p>
        </w:tc>
      </w:tr>
      <w:tr w:rsidR="00326AB0" w14:paraId="0478F388" w14:textId="77777777" w:rsidTr="00F56CCB">
        <w:trPr>
          <w:trHeight w:val="480"/>
        </w:trPr>
        <w:tc>
          <w:tcPr>
            <w:tcW w:w="1240" w:type="dxa"/>
            <w:vMerge/>
            <w:vAlign w:val="center"/>
            <w:hideMark/>
          </w:tcPr>
          <w:p w14:paraId="252C8656" w14:textId="77777777" w:rsidR="009A2B50" w:rsidRPr="006519D0" w:rsidRDefault="009A2B50" w:rsidP="00F56CCB">
            <w:pPr>
              <w:rPr>
                <w:b/>
                <w:bCs/>
                <w:szCs w:val="20"/>
              </w:rPr>
            </w:pPr>
          </w:p>
        </w:tc>
        <w:tc>
          <w:tcPr>
            <w:tcW w:w="2405" w:type="dxa"/>
            <w:vAlign w:val="center"/>
            <w:hideMark/>
          </w:tcPr>
          <w:p w14:paraId="382A4FCF" w14:textId="77777777" w:rsidR="009A2B50" w:rsidRPr="006519D0" w:rsidRDefault="009A2B50" w:rsidP="00F56CCB">
            <w:pPr>
              <w:jc w:val="center"/>
              <w:rPr>
                <w:szCs w:val="20"/>
              </w:rPr>
            </w:pPr>
          </w:p>
        </w:tc>
        <w:tc>
          <w:tcPr>
            <w:tcW w:w="1496" w:type="dxa"/>
            <w:vAlign w:val="center"/>
            <w:hideMark/>
          </w:tcPr>
          <w:p w14:paraId="4A448560" w14:textId="77777777" w:rsidR="009A2B50" w:rsidRPr="006519D0" w:rsidRDefault="009A2B50" w:rsidP="00F56CCB">
            <w:pPr>
              <w:jc w:val="center"/>
              <w:rPr>
                <w:szCs w:val="20"/>
              </w:rPr>
            </w:pPr>
          </w:p>
        </w:tc>
        <w:tc>
          <w:tcPr>
            <w:tcW w:w="2465" w:type="dxa"/>
            <w:vAlign w:val="center"/>
          </w:tcPr>
          <w:p w14:paraId="41BD9129" w14:textId="77777777" w:rsidR="009A2B50" w:rsidRPr="006519D0" w:rsidRDefault="009731B0" w:rsidP="00F56CCB">
            <w:pPr>
              <w:jc w:val="center"/>
              <w:rPr>
                <w:szCs w:val="20"/>
              </w:rPr>
            </w:pPr>
            <w:r w:rsidRPr="006519D0">
              <w:rPr>
                <w:szCs w:val="20"/>
              </w:rPr>
              <w:t xml:space="preserve">MŽP – vkládání </w:t>
            </w:r>
            <w:r w:rsidRPr="006519D0">
              <w:t xml:space="preserve">údajů </w:t>
            </w:r>
            <w:r w:rsidR="001D43BB" w:rsidRPr="006519D0">
              <w:br/>
            </w:r>
            <w:r w:rsidRPr="006519D0">
              <w:t>o certifikovaných osobách do IS</w:t>
            </w:r>
          </w:p>
        </w:tc>
        <w:tc>
          <w:tcPr>
            <w:tcW w:w="1456" w:type="dxa"/>
            <w:vAlign w:val="center"/>
          </w:tcPr>
          <w:p w14:paraId="2076B135" w14:textId="77777777" w:rsidR="009A2B50" w:rsidRPr="006519D0" w:rsidRDefault="009731B0" w:rsidP="00F56CCB">
            <w:pPr>
              <w:jc w:val="center"/>
              <w:rPr>
                <w:szCs w:val="20"/>
              </w:rPr>
            </w:pPr>
            <w:r w:rsidRPr="006519D0">
              <w:t>4 560 Kč/rok</w:t>
            </w:r>
          </w:p>
        </w:tc>
      </w:tr>
      <w:tr w:rsidR="00326AB0" w14:paraId="04239738" w14:textId="77777777" w:rsidTr="00F56CCB">
        <w:trPr>
          <w:trHeight w:val="480"/>
        </w:trPr>
        <w:tc>
          <w:tcPr>
            <w:tcW w:w="1240" w:type="dxa"/>
            <w:vMerge/>
            <w:vAlign w:val="center"/>
          </w:tcPr>
          <w:p w14:paraId="2F236181" w14:textId="77777777" w:rsidR="009A2B50" w:rsidRPr="006519D0" w:rsidRDefault="009A2B50" w:rsidP="00F56CCB">
            <w:pPr>
              <w:rPr>
                <w:b/>
                <w:bCs/>
                <w:szCs w:val="20"/>
              </w:rPr>
            </w:pPr>
          </w:p>
        </w:tc>
        <w:tc>
          <w:tcPr>
            <w:tcW w:w="2405" w:type="dxa"/>
            <w:vAlign w:val="center"/>
          </w:tcPr>
          <w:p w14:paraId="7B605512" w14:textId="77777777" w:rsidR="009A2B50" w:rsidRPr="006519D0" w:rsidRDefault="009A2B50" w:rsidP="00F56CCB">
            <w:pPr>
              <w:jc w:val="center"/>
              <w:rPr>
                <w:szCs w:val="20"/>
              </w:rPr>
            </w:pPr>
          </w:p>
        </w:tc>
        <w:tc>
          <w:tcPr>
            <w:tcW w:w="1496" w:type="dxa"/>
            <w:vAlign w:val="center"/>
          </w:tcPr>
          <w:p w14:paraId="39AC911F" w14:textId="77777777" w:rsidR="009A2B50" w:rsidRPr="006519D0" w:rsidRDefault="009A2B50" w:rsidP="00F56CCB">
            <w:pPr>
              <w:jc w:val="center"/>
              <w:rPr>
                <w:szCs w:val="20"/>
              </w:rPr>
            </w:pPr>
          </w:p>
        </w:tc>
        <w:tc>
          <w:tcPr>
            <w:tcW w:w="2465" w:type="dxa"/>
            <w:vAlign w:val="center"/>
          </w:tcPr>
          <w:p w14:paraId="2C481639" w14:textId="77777777" w:rsidR="009A2B50" w:rsidRPr="006519D0" w:rsidRDefault="009731B0" w:rsidP="00F56CCB">
            <w:pPr>
              <w:jc w:val="center"/>
              <w:rPr>
                <w:szCs w:val="20"/>
              </w:rPr>
            </w:pPr>
            <w:r w:rsidRPr="006519D0">
              <w:rPr>
                <w:szCs w:val="20"/>
              </w:rPr>
              <w:t>Chybí reálné využití dat a</w:t>
            </w:r>
            <w:r w:rsidR="00263CB9" w:rsidRPr="006519D0">
              <w:rPr>
                <w:szCs w:val="20"/>
              </w:rPr>
              <w:t xml:space="preserve"> dochází k</w:t>
            </w:r>
            <w:r w:rsidRPr="006519D0">
              <w:rPr>
                <w:szCs w:val="20"/>
              </w:rPr>
              <w:t xml:space="preserve"> zahlcování IS</w:t>
            </w:r>
          </w:p>
        </w:tc>
        <w:tc>
          <w:tcPr>
            <w:tcW w:w="1456" w:type="dxa"/>
            <w:vAlign w:val="center"/>
          </w:tcPr>
          <w:p w14:paraId="648958E1" w14:textId="77777777" w:rsidR="009A2B50" w:rsidRPr="006519D0" w:rsidRDefault="009731B0" w:rsidP="00F56CCB">
            <w:pPr>
              <w:jc w:val="center"/>
            </w:pPr>
            <w:r w:rsidRPr="006519D0">
              <w:t>**</w:t>
            </w:r>
          </w:p>
        </w:tc>
      </w:tr>
      <w:tr w:rsidR="00326AB0" w14:paraId="5B979065" w14:textId="77777777" w:rsidTr="00F56CCB">
        <w:trPr>
          <w:trHeight w:val="370"/>
        </w:trPr>
        <w:tc>
          <w:tcPr>
            <w:tcW w:w="1240" w:type="dxa"/>
            <w:vMerge/>
            <w:vAlign w:val="center"/>
            <w:hideMark/>
          </w:tcPr>
          <w:p w14:paraId="646CECE6" w14:textId="77777777" w:rsidR="009A2B50" w:rsidRPr="006519D0" w:rsidRDefault="009A2B50" w:rsidP="00F56CCB">
            <w:pPr>
              <w:rPr>
                <w:b/>
                <w:bCs/>
                <w:szCs w:val="20"/>
              </w:rPr>
            </w:pPr>
          </w:p>
        </w:tc>
        <w:tc>
          <w:tcPr>
            <w:tcW w:w="7822" w:type="dxa"/>
            <w:gridSpan w:val="4"/>
            <w:vAlign w:val="center"/>
            <w:hideMark/>
          </w:tcPr>
          <w:p w14:paraId="41C91E2E" w14:textId="77777777" w:rsidR="009A2B50" w:rsidRPr="006519D0" w:rsidRDefault="009731B0" w:rsidP="00F56CCB">
            <w:pPr>
              <w:jc w:val="center"/>
              <w:rPr>
                <w:b/>
                <w:bCs/>
                <w:szCs w:val="20"/>
              </w:rPr>
            </w:pPr>
            <w:r w:rsidRPr="006519D0">
              <w:rPr>
                <w:b/>
                <w:bCs/>
                <w:szCs w:val="20"/>
              </w:rPr>
              <w:t>Podnikatelské subjekty</w:t>
            </w:r>
          </w:p>
        </w:tc>
      </w:tr>
      <w:tr w:rsidR="00326AB0" w14:paraId="57C7C077" w14:textId="77777777" w:rsidTr="00F56CCB">
        <w:trPr>
          <w:trHeight w:val="452"/>
        </w:trPr>
        <w:tc>
          <w:tcPr>
            <w:tcW w:w="1240" w:type="dxa"/>
            <w:vMerge/>
            <w:vAlign w:val="center"/>
            <w:hideMark/>
          </w:tcPr>
          <w:p w14:paraId="608B49AE" w14:textId="77777777" w:rsidR="009A2B50" w:rsidRPr="006519D0" w:rsidRDefault="009A2B50" w:rsidP="00F56CCB">
            <w:pPr>
              <w:rPr>
                <w:b/>
                <w:bCs/>
                <w:szCs w:val="20"/>
              </w:rPr>
            </w:pPr>
          </w:p>
        </w:tc>
        <w:tc>
          <w:tcPr>
            <w:tcW w:w="2405" w:type="dxa"/>
            <w:vAlign w:val="center"/>
            <w:hideMark/>
          </w:tcPr>
          <w:p w14:paraId="5A9693FE" w14:textId="77777777" w:rsidR="009A2B50" w:rsidRPr="006519D0" w:rsidRDefault="009A2B50" w:rsidP="00F56CCB">
            <w:pPr>
              <w:jc w:val="center"/>
              <w:rPr>
                <w:szCs w:val="20"/>
              </w:rPr>
            </w:pPr>
          </w:p>
        </w:tc>
        <w:tc>
          <w:tcPr>
            <w:tcW w:w="1496" w:type="dxa"/>
            <w:vAlign w:val="center"/>
            <w:hideMark/>
          </w:tcPr>
          <w:p w14:paraId="5DB853CF" w14:textId="77777777" w:rsidR="009A2B50" w:rsidRPr="006519D0" w:rsidRDefault="009A2B50" w:rsidP="00F56CCB">
            <w:pPr>
              <w:jc w:val="center"/>
              <w:rPr>
                <w:szCs w:val="20"/>
              </w:rPr>
            </w:pPr>
          </w:p>
        </w:tc>
        <w:tc>
          <w:tcPr>
            <w:tcW w:w="2465" w:type="dxa"/>
            <w:vAlign w:val="center"/>
          </w:tcPr>
          <w:p w14:paraId="0374128E" w14:textId="77777777" w:rsidR="009A2B50" w:rsidRPr="006519D0" w:rsidRDefault="009731B0" w:rsidP="00F56CCB">
            <w:pPr>
              <w:jc w:val="center"/>
              <w:rPr>
                <w:szCs w:val="20"/>
              </w:rPr>
            </w:pPr>
            <w:r w:rsidRPr="006519D0">
              <w:t xml:space="preserve">Atestační subjekty – poskytování </w:t>
            </w:r>
            <w:r w:rsidRPr="006519D0">
              <w:t>údajů MŽP o certifikovaných osobách</w:t>
            </w:r>
          </w:p>
        </w:tc>
        <w:tc>
          <w:tcPr>
            <w:tcW w:w="1456" w:type="dxa"/>
            <w:vAlign w:val="center"/>
          </w:tcPr>
          <w:p w14:paraId="16F889B6" w14:textId="77777777" w:rsidR="009A2B50" w:rsidRPr="006519D0" w:rsidRDefault="009731B0" w:rsidP="00F56CCB">
            <w:pPr>
              <w:jc w:val="center"/>
              <w:rPr>
                <w:szCs w:val="20"/>
              </w:rPr>
            </w:pPr>
            <w:r w:rsidRPr="006519D0">
              <w:t>35 900 Kč/rok</w:t>
            </w:r>
          </w:p>
        </w:tc>
      </w:tr>
      <w:tr w:rsidR="00326AB0" w14:paraId="23B689A4" w14:textId="77777777" w:rsidTr="00F56CCB">
        <w:trPr>
          <w:trHeight w:val="383"/>
        </w:trPr>
        <w:tc>
          <w:tcPr>
            <w:tcW w:w="1240" w:type="dxa"/>
            <w:vMerge w:val="restart"/>
            <w:noWrap/>
            <w:vAlign w:val="center"/>
            <w:hideMark/>
          </w:tcPr>
          <w:p w14:paraId="252F7BA9" w14:textId="77777777" w:rsidR="009A2B50" w:rsidRPr="006519D0" w:rsidRDefault="009731B0" w:rsidP="00F56CCB">
            <w:pPr>
              <w:rPr>
                <w:b/>
                <w:bCs/>
                <w:szCs w:val="20"/>
              </w:rPr>
            </w:pPr>
            <w:r w:rsidRPr="006519D0">
              <w:rPr>
                <w:b/>
                <w:bCs/>
                <w:szCs w:val="20"/>
              </w:rPr>
              <w:t>Varianta 1</w:t>
            </w:r>
          </w:p>
        </w:tc>
        <w:tc>
          <w:tcPr>
            <w:tcW w:w="7822" w:type="dxa"/>
            <w:gridSpan w:val="4"/>
            <w:vAlign w:val="center"/>
            <w:hideMark/>
          </w:tcPr>
          <w:p w14:paraId="29A7C17C" w14:textId="77777777" w:rsidR="009A2B50" w:rsidRPr="006519D0" w:rsidRDefault="009731B0" w:rsidP="00F56CCB">
            <w:pPr>
              <w:jc w:val="center"/>
              <w:rPr>
                <w:b/>
                <w:bCs/>
                <w:szCs w:val="20"/>
              </w:rPr>
            </w:pPr>
            <w:r w:rsidRPr="006519D0">
              <w:rPr>
                <w:b/>
                <w:bCs/>
                <w:szCs w:val="20"/>
              </w:rPr>
              <w:t>Státní rozpočet a ostatní veřejné rozpočty</w:t>
            </w:r>
          </w:p>
        </w:tc>
      </w:tr>
      <w:tr w:rsidR="00326AB0" w14:paraId="1ECF9CC8" w14:textId="77777777" w:rsidTr="00F56CCB">
        <w:trPr>
          <w:trHeight w:val="183"/>
        </w:trPr>
        <w:tc>
          <w:tcPr>
            <w:tcW w:w="1240" w:type="dxa"/>
            <w:vMerge/>
            <w:hideMark/>
          </w:tcPr>
          <w:p w14:paraId="2CCB1905" w14:textId="77777777" w:rsidR="009A2B50" w:rsidRPr="006519D0" w:rsidRDefault="009A2B50" w:rsidP="00F56CCB">
            <w:pPr>
              <w:rPr>
                <w:b/>
                <w:bCs/>
                <w:szCs w:val="20"/>
              </w:rPr>
            </w:pPr>
          </w:p>
        </w:tc>
        <w:tc>
          <w:tcPr>
            <w:tcW w:w="2405" w:type="dxa"/>
            <w:vAlign w:val="center"/>
          </w:tcPr>
          <w:p w14:paraId="068B9063" w14:textId="77777777" w:rsidR="009A2B50" w:rsidRPr="006519D0" w:rsidRDefault="009731B0" w:rsidP="00F56CCB">
            <w:pPr>
              <w:jc w:val="center"/>
              <w:rPr>
                <w:szCs w:val="20"/>
              </w:rPr>
            </w:pPr>
            <w:r w:rsidRPr="006519D0">
              <w:rPr>
                <w:szCs w:val="20"/>
              </w:rPr>
              <w:t xml:space="preserve">MŽP – pokles AZ - zrušení agendy </w:t>
            </w:r>
            <w:r w:rsidR="001D43BB" w:rsidRPr="006519D0">
              <w:rPr>
                <w:szCs w:val="20"/>
              </w:rPr>
              <w:br/>
            </w:r>
            <w:r w:rsidRPr="006519D0">
              <w:rPr>
                <w:szCs w:val="20"/>
              </w:rPr>
              <w:t>o certifikovaných osobách</w:t>
            </w:r>
          </w:p>
        </w:tc>
        <w:tc>
          <w:tcPr>
            <w:tcW w:w="1496" w:type="dxa"/>
            <w:vAlign w:val="center"/>
          </w:tcPr>
          <w:p w14:paraId="332EE8F4" w14:textId="77777777" w:rsidR="009A2B50" w:rsidRPr="006519D0" w:rsidRDefault="009731B0" w:rsidP="00F56CCB">
            <w:pPr>
              <w:jc w:val="center"/>
              <w:rPr>
                <w:szCs w:val="20"/>
              </w:rPr>
            </w:pPr>
            <w:r w:rsidRPr="006519D0">
              <w:t>4 560 Kč/rok</w:t>
            </w:r>
          </w:p>
        </w:tc>
        <w:tc>
          <w:tcPr>
            <w:tcW w:w="2465" w:type="dxa"/>
            <w:vAlign w:val="center"/>
          </w:tcPr>
          <w:p w14:paraId="29AB9AF4" w14:textId="77777777" w:rsidR="009A2B50" w:rsidRPr="006519D0" w:rsidRDefault="009A2B50" w:rsidP="00F56CCB">
            <w:pPr>
              <w:jc w:val="center"/>
              <w:rPr>
                <w:szCs w:val="20"/>
              </w:rPr>
            </w:pPr>
          </w:p>
        </w:tc>
        <w:tc>
          <w:tcPr>
            <w:tcW w:w="1456" w:type="dxa"/>
            <w:vAlign w:val="center"/>
          </w:tcPr>
          <w:p w14:paraId="376452F7" w14:textId="77777777" w:rsidR="009A2B50" w:rsidRPr="006519D0" w:rsidRDefault="009A2B50" w:rsidP="00F56CCB">
            <w:pPr>
              <w:jc w:val="center"/>
              <w:rPr>
                <w:szCs w:val="20"/>
              </w:rPr>
            </w:pPr>
          </w:p>
        </w:tc>
      </w:tr>
      <w:tr w:rsidR="00326AB0" w14:paraId="458E7441" w14:textId="77777777" w:rsidTr="00F56CCB">
        <w:trPr>
          <w:trHeight w:val="324"/>
        </w:trPr>
        <w:tc>
          <w:tcPr>
            <w:tcW w:w="1240" w:type="dxa"/>
            <w:vMerge/>
            <w:hideMark/>
          </w:tcPr>
          <w:p w14:paraId="1DBE7056" w14:textId="77777777" w:rsidR="009A2B50" w:rsidRPr="006519D0" w:rsidRDefault="009A2B50" w:rsidP="00F56CCB">
            <w:pPr>
              <w:rPr>
                <w:b/>
                <w:bCs/>
                <w:szCs w:val="20"/>
              </w:rPr>
            </w:pPr>
          </w:p>
        </w:tc>
        <w:tc>
          <w:tcPr>
            <w:tcW w:w="7822" w:type="dxa"/>
            <w:gridSpan w:val="4"/>
            <w:vAlign w:val="center"/>
            <w:hideMark/>
          </w:tcPr>
          <w:p w14:paraId="2DE85841" w14:textId="77777777" w:rsidR="009A2B50" w:rsidRPr="006519D0" w:rsidRDefault="009731B0" w:rsidP="00F56CCB">
            <w:pPr>
              <w:jc w:val="center"/>
              <w:rPr>
                <w:b/>
                <w:bCs/>
                <w:szCs w:val="20"/>
              </w:rPr>
            </w:pPr>
            <w:r w:rsidRPr="006519D0">
              <w:rPr>
                <w:b/>
                <w:bCs/>
                <w:szCs w:val="20"/>
              </w:rPr>
              <w:t>Podnikatelské subjekty</w:t>
            </w:r>
          </w:p>
        </w:tc>
      </w:tr>
      <w:tr w:rsidR="00326AB0" w14:paraId="3C24D282" w14:textId="77777777" w:rsidTr="00F56CCB">
        <w:trPr>
          <w:trHeight w:val="428"/>
        </w:trPr>
        <w:tc>
          <w:tcPr>
            <w:tcW w:w="1240" w:type="dxa"/>
            <w:vMerge/>
            <w:hideMark/>
          </w:tcPr>
          <w:p w14:paraId="050EB5C3" w14:textId="77777777" w:rsidR="009A2B50" w:rsidRPr="006519D0" w:rsidRDefault="009A2B50" w:rsidP="00F56CCB">
            <w:pPr>
              <w:rPr>
                <w:b/>
                <w:bCs/>
                <w:szCs w:val="20"/>
              </w:rPr>
            </w:pPr>
          </w:p>
        </w:tc>
        <w:tc>
          <w:tcPr>
            <w:tcW w:w="2405" w:type="dxa"/>
            <w:vAlign w:val="center"/>
          </w:tcPr>
          <w:p w14:paraId="205FACA5" w14:textId="77777777" w:rsidR="009A2B50" w:rsidRPr="006519D0" w:rsidRDefault="009731B0" w:rsidP="00F56CCB">
            <w:pPr>
              <w:jc w:val="center"/>
              <w:rPr>
                <w:szCs w:val="20"/>
              </w:rPr>
            </w:pPr>
            <w:r w:rsidRPr="006519D0">
              <w:t xml:space="preserve">Atestační subjekty – pokles AZ – nebudou poskytovat MŽP údaje </w:t>
            </w:r>
            <w:r w:rsidR="001D43BB" w:rsidRPr="006519D0">
              <w:br/>
            </w:r>
            <w:r w:rsidRPr="006519D0">
              <w:t>o certifikovaných osobách</w:t>
            </w:r>
          </w:p>
        </w:tc>
        <w:tc>
          <w:tcPr>
            <w:tcW w:w="1496" w:type="dxa"/>
            <w:noWrap/>
            <w:vAlign w:val="center"/>
          </w:tcPr>
          <w:p w14:paraId="116EEF44" w14:textId="77777777" w:rsidR="009A2B50" w:rsidRPr="006519D0" w:rsidRDefault="009731B0" w:rsidP="00F56CCB">
            <w:pPr>
              <w:jc w:val="center"/>
              <w:rPr>
                <w:szCs w:val="20"/>
              </w:rPr>
            </w:pPr>
            <w:r w:rsidRPr="006519D0">
              <w:t>35 900 Kč/rok</w:t>
            </w:r>
          </w:p>
        </w:tc>
        <w:tc>
          <w:tcPr>
            <w:tcW w:w="2465" w:type="dxa"/>
            <w:vAlign w:val="center"/>
          </w:tcPr>
          <w:p w14:paraId="67DDB574" w14:textId="77777777" w:rsidR="009A2B50" w:rsidRPr="006519D0" w:rsidRDefault="009A2B50" w:rsidP="00F56CCB">
            <w:pPr>
              <w:jc w:val="center"/>
              <w:rPr>
                <w:szCs w:val="20"/>
              </w:rPr>
            </w:pPr>
          </w:p>
        </w:tc>
        <w:tc>
          <w:tcPr>
            <w:tcW w:w="1456" w:type="dxa"/>
            <w:noWrap/>
            <w:vAlign w:val="center"/>
          </w:tcPr>
          <w:p w14:paraId="3F87145C" w14:textId="77777777" w:rsidR="009A2B50" w:rsidRPr="006519D0" w:rsidRDefault="009A2B50" w:rsidP="00F56CCB">
            <w:pPr>
              <w:jc w:val="center"/>
              <w:rPr>
                <w:szCs w:val="20"/>
              </w:rPr>
            </w:pPr>
          </w:p>
        </w:tc>
      </w:tr>
    </w:tbl>
    <w:p w14:paraId="6BAC8AD5" w14:textId="77777777" w:rsidR="009A2B50" w:rsidRPr="006519D0" w:rsidRDefault="009731B0" w:rsidP="009A2B50">
      <w:r w:rsidRPr="006519D0">
        <w:t>- bez dopadů, * velmi nízké, ** nízké, *** střední, **** vysoké, ***** velmi vysoké</w:t>
      </w:r>
    </w:p>
    <w:p w14:paraId="555703C4" w14:textId="77777777" w:rsidR="007F7DEA" w:rsidRPr="006519D0" w:rsidRDefault="007F7DEA" w:rsidP="009A2B50"/>
    <w:p w14:paraId="06384FBF" w14:textId="77777777" w:rsidR="009A2B50" w:rsidRPr="006519D0" w:rsidRDefault="009731B0" w:rsidP="009A2B50">
      <w:pPr>
        <w:pStyle w:val="Nadpis2"/>
      </w:pPr>
      <w:r w:rsidRPr="006519D0">
        <w:t>Stanovení pořadí variant a výběr nejvhodnějšího řešení</w:t>
      </w:r>
    </w:p>
    <w:p w14:paraId="39580830" w14:textId="77777777" w:rsidR="009A2B50" w:rsidRPr="006519D0" w:rsidRDefault="009731B0" w:rsidP="009A2B50">
      <w:pPr>
        <w:pStyle w:val="Odstavecseseznamem"/>
        <w:numPr>
          <w:ilvl w:val="0"/>
          <w:numId w:val="18"/>
        </w:numPr>
        <w:contextualSpacing/>
        <w:rPr>
          <w:b/>
          <w:bCs/>
        </w:rPr>
      </w:pPr>
      <w:r w:rsidRPr="006519D0">
        <w:rPr>
          <w:b/>
          <w:bCs/>
        </w:rPr>
        <w:t>Varianta 1</w:t>
      </w:r>
    </w:p>
    <w:p w14:paraId="013EDCF4" w14:textId="77777777" w:rsidR="009A2B50" w:rsidRPr="006519D0" w:rsidRDefault="009731B0" w:rsidP="009A2B50">
      <w:pPr>
        <w:pStyle w:val="Odstavecseseznamem"/>
        <w:numPr>
          <w:ilvl w:val="0"/>
          <w:numId w:val="18"/>
        </w:numPr>
        <w:ind w:left="714" w:hanging="357"/>
        <w:contextualSpacing/>
      </w:pPr>
      <w:r w:rsidRPr="006519D0">
        <w:t>Varianta 0</w:t>
      </w:r>
    </w:p>
    <w:p w14:paraId="63AF2301" w14:textId="77777777" w:rsidR="009A2B50" w:rsidRPr="006519D0" w:rsidRDefault="009731B0" w:rsidP="009A2B50">
      <w:r w:rsidRPr="006519D0">
        <w:t xml:space="preserve">Navrhujeme přijmout variantu 1, která zefektivní množství údajů v IS a sníží administrativní zátěž spojenou s jejich vedením. </w:t>
      </w:r>
    </w:p>
    <w:p w14:paraId="50DEB734" w14:textId="77777777" w:rsidR="00A11C1B" w:rsidRPr="006519D0" w:rsidRDefault="00A11C1B" w:rsidP="00E14815">
      <w:pPr>
        <w:contextualSpacing/>
      </w:pPr>
    </w:p>
    <w:p w14:paraId="0B272308" w14:textId="77777777" w:rsidR="00AA6FAF" w:rsidRPr="006519D0" w:rsidRDefault="009731B0" w:rsidP="00AA6FAF">
      <w:pPr>
        <w:pStyle w:val="Nadpis1"/>
      </w:pPr>
      <w:bookmarkStart w:id="34" w:name="_Toc256000011"/>
      <w:bookmarkStart w:id="35" w:name="_Toc19624750"/>
      <w:r w:rsidRPr="006519D0">
        <w:lastRenderedPageBreak/>
        <w:t>Opatření k nápravě pro nakládání s regulovanými látkami (§ 14)</w:t>
      </w:r>
      <w:bookmarkEnd w:id="34"/>
      <w:bookmarkEnd w:id="35"/>
    </w:p>
    <w:p w14:paraId="777794E9" w14:textId="77777777" w:rsidR="00AA6FAF" w:rsidRPr="006519D0" w:rsidRDefault="009731B0" w:rsidP="00AA6FAF">
      <w:pPr>
        <w:pStyle w:val="Nadpis2"/>
      </w:pPr>
      <w:r w:rsidRPr="006519D0">
        <w:t>Důvod předložení a cíle</w:t>
      </w:r>
    </w:p>
    <w:p w14:paraId="4198B8E3" w14:textId="77777777" w:rsidR="00AA6FAF" w:rsidRPr="006519D0" w:rsidRDefault="009731B0" w:rsidP="00AA6FAF">
      <w:pPr>
        <w:pStyle w:val="Nadpis3"/>
      </w:pPr>
      <w:r w:rsidRPr="006519D0">
        <w:t>Definice problému</w:t>
      </w:r>
    </w:p>
    <w:p w14:paraId="1AF9BB40" w14:textId="77777777" w:rsidR="00AA6FAF" w:rsidRPr="006519D0" w:rsidRDefault="009731B0" w:rsidP="00AA6FAF">
      <w:r w:rsidRPr="006519D0">
        <w:t>Při porušen</w:t>
      </w:r>
      <w:r w:rsidRPr="006519D0">
        <w:t xml:space="preserve">í povinností u označování výrobků nebo zařízení obsahujících regulované látky </w:t>
      </w:r>
      <w:r w:rsidR="003B4711" w:rsidRPr="006519D0">
        <w:t>(a</w:t>
      </w:r>
      <w:r w:rsidR="00715A73" w:rsidRPr="006519D0">
        <w:t> </w:t>
      </w:r>
      <w:r w:rsidR="003B4711" w:rsidRPr="006519D0">
        <w:t xml:space="preserve">to konkrétně při </w:t>
      </w:r>
      <w:r w:rsidR="00633F20" w:rsidRPr="006519D0">
        <w:t>ne</w:t>
      </w:r>
      <w:r w:rsidR="003B4711" w:rsidRPr="006519D0">
        <w:t xml:space="preserve">uvádění názvu a označení dovozcem či vývozcem, </w:t>
      </w:r>
      <w:r w:rsidR="00633F20" w:rsidRPr="006519D0">
        <w:t>ne</w:t>
      </w:r>
      <w:r w:rsidR="003B4711" w:rsidRPr="006519D0">
        <w:t>předlož</w:t>
      </w:r>
      <w:r w:rsidR="00AC012F" w:rsidRPr="006519D0">
        <w:t>ení</w:t>
      </w:r>
      <w:r w:rsidR="003B4711" w:rsidRPr="006519D0">
        <w:t xml:space="preserve"> dodací listin</w:t>
      </w:r>
      <w:r w:rsidR="00AC012F" w:rsidRPr="006519D0">
        <w:t>y</w:t>
      </w:r>
      <w:r w:rsidR="003B4711" w:rsidRPr="006519D0">
        <w:t xml:space="preserve"> a celní</w:t>
      </w:r>
      <w:r w:rsidR="00AC012F" w:rsidRPr="006519D0">
        <w:t>ch</w:t>
      </w:r>
      <w:r w:rsidR="003B4711" w:rsidRPr="006519D0">
        <w:t xml:space="preserve"> doklad</w:t>
      </w:r>
      <w:r w:rsidR="00AC012F" w:rsidRPr="006519D0">
        <w:t>ů</w:t>
      </w:r>
      <w:r w:rsidR="003B4711" w:rsidRPr="006519D0">
        <w:t>, nebo neoznač</w:t>
      </w:r>
      <w:r w:rsidR="00AC012F" w:rsidRPr="006519D0">
        <w:t>ení</w:t>
      </w:r>
      <w:r w:rsidR="003B4711" w:rsidRPr="006519D0">
        <w:t xml:space="preserve"> </w:t>
      </w:r>
      <w:r w:rsidR="00633F20" w:rsidRPr="006519D0">
        <w:t>výrobk</w:t>
      </w:r>
      <w:r w:rsidR="00AC012F" w:rsidRPr="006519D0">
        <w:t>ů</w:t>
      </w:r>
      <w:r w:rsidR="00633F20" w:rsidRPr="006519D0">
        <w:t xml:space="preserve"> a zařízení uveden</w:t>
      </w:r>
      <w:r w:rsidR="00AC012F" w:rsidRPr="006519D0">
        <w:t>ých</w:t>
      </w:r>
      <w:r w:rsidR="00633F20" w:rsidRPr="006519D0">
        <w:t xml:space="preserve"> na trh v ČR českým nebo slovenským jazykem) </w:t>
      </w:r>
      <w:r w:rsidRPr="006519D0">
        <w:t>není dle současné právní úpravy možné uložit opatření k nápravě.</w:t>
      </w:r>
      <w:r w:rsidR="00715A73" w:rsidRPr="006519D0">
        <w:t xml:space="preserve"> To v důsledku vyvolává disproporční postup u regulovaných látek a F-plynů, kdy v případě regulovaných látek lze pochybení řešit pouze přestupkovým řízením, bez možnosti uložení opatření k nápravě. Takový přístup není v souladu se zásadou rovného zacházení a zásadou subsidiarity trestní represe.</w:t>
      </w:r>
      <w:r w:rsidRPr="006519D0">
        <w:t xml:space="preserve"> </w:t>
      </w:r>
    </w:p>
    <w:p w14:paraId="79915778" w14:textId="77777777" w:rsidR="00715A73" w:rsidRPr="006519D0" w:rsidRDefault="00715A73" w:rsidP="00AA6FAF"/>
    <w:p w14:paraId="57D592E6" w14:textId="77777777" w:rsidR="00AA6FAF" w:rsidRPr="006519D0" w:rsidRDefault="009731B0" w:rsidP="00AA6FAF">
      <w:pPr>
        <w:pStyle w:val="Nadpis3"/>
      </w:pPr>
      <w:r w:rsidRPr="006519D0">
        <w:t>Popis existujícího právního stavu v dané oblasti</w:t>
      </w:r>
    </w:p>
    <w:p w14:paraId="37716895" w14:textId="77777777" w:rsidR="00AA6FAF" w:rsidRPr="006519D0" w:rsidRDefault="009731B0" w:rsidP="00AA6FAF">
      <w:r w:rsidRPr="006519D0">
        <w:t>Předchozí novelizace zavedla možnost ukládání opatření k nápravě pouze v </w:t>
      </w:r>
      <w:r w:rsidRPr="006519D0">
        <w:t xml:space="preserve">případě </w:t>
      </w:r>
      <w:r w:rsidR="00FE4DE2" w:rsidRPr="006519D0">
        <w:t>nesprávného označení výrobku či zařízení</w:t>
      </w:r>
      <w:r w:rsidRPr="006519D0">
        <w:t xml:space="preserve"> s F-plyny. </w:t>
      </w:r>
      <w:r w:rsidR="00867D7F" w:rsidRPr="006519D0">
        <w:t>Uložit n</w:t>
      </w:r>
      <w:r w:rsidR="00FE4DE2" w:rsidRPr="006519D0">
        <w:t>ápravné opatření pro chybné označení regulované látky tedy není možné.</w:t>
      </w:r>
    </w:p>
    <w:p w14:paraId="14C5EC9B" w14:textId="77777777" w:rsidR="00715A73" w:rsidRPr="006519D0" w:rsidRDefault="00715A73" w:rsidP="00AA6FAF"/>
    <w:p w14:paraId="0812ACEF" w14:textId="77777777" w:rsidR="00AA6FAF" w:rsidRPr="006519D0" w:rsidRDefault="009731B0" w:rsidP="00AA6FAF">
      <w:pPr>
        <w:pStyle w:val="Nadpis3"/>
      </w:pPr>
      <w:r w:rsidRPr="006519D0">
        <w:t>Identifikace dotčených subjektů</w:t>
      </w:r>
    </w:p>
    <w:p w14:paraId="4F811042" w14:textId="77777777" w:rsidR="00AA6FAF" w:rsidRPr="006519D0" w:rsidRDefault="009731B0" w:rsidP="00BD1744">
      <w:pPr>
        <w:pStyle w:val="Odstavecseseznamem"/>
        <w:numPr>
          <w:ilvl w:val="0"/>
          <w:numId w:val="7"/>
        </w:numPr>
      </w:pPr>
      <w:r w:rsidRPr="006519D0">
        <w:t>Česká obchodní inspekce</w:t>
      </w:r>
      <w:r w:rsidR="00DE2800" w:rsidRPr="006519D0">
        <w:t xml:space="preserve"> (ČOI)</w:t>
      </w:r>
      <w:r w:rsidRPr="006519D0">
        <w:t>,</w:t>
      </w:r>
    </w:p>
    <w:p w14:paraId="2559A01A" w14:textId="77777777" w:rsidR="008D796A" w:rsidRPr="006519D0" w:rsidRDefault="009731B0" w:rsidP="00BD1744">
      <w:pPr>
        <w:pStyle w:val="Odstavecseseznamem"/>
        <w:numPr>
          <w:ilvl w:val="0"/>
          <w:numId w:val="7"/>
        </w:numPr>
      </w:pPr>
      <w:r w:rsidRPr="006519D0">
        <w:t>ČIŽP</w:t>
      </w:r>
      <w:r w:rsidR="00715A73" w:rsidRPr="006519D0">
        <w:t>,</w:t>
      </w:r>
    </w:p>
    <w:p w14:paraId="7A5FBD0A" w14:textId="77777777" w:rsidR="00715A73" w:rsidRPr="006519D0" w:rsidRDefault="009731B0" w:rsidP="00BD1744">
      <w:pPr>
        <w:pStyle w:val="Odstavecseseznamem"/>
        <w:numPr>
          <w:ilvl w:val="0"/>
          <w:numId w:val="7"/>
        </w:numPr>
        <w:ind w:left="714" w:hanging="357"/>
      </w:pPr>
      <w:r w:rsidRPr="006519D0">
        <w:t>osoby vlastnící výrobky nebo zařízení</w:t>
      </w:r>
      <w:r w:rsidR="008D796A" w:rsidRPr="006519D0">
        <w:t>, které obsahují</w:t>
      </w:r>
      <w:r w:rsidRPr="006519D0">
        <w:t> regulovan</w:t>
      </w:r>
      <w:r w:rsidR="008D796A" w:rsidRPr="006519D0">
        <w:t>é</w:t>
      </w:r>
      <w:r w:rsidRPr="006519D0">
        <w:t xml:space="preserve"> </w:t>
      </w:r>
      <w:r w:rsidR="00CD25FC" w:rsidRPr="006519D0">
        <w:t>látk</w:t>
      </w:r>
      <w:r w:rsidR="008D796A" w:rsidRPr="006519D0">
        <w:t>y</w:t>
      </w:r>
      <w:r w:rsidRPr="006519D0">
        <w:t>.</w:t>
      </w:r>
    </w:p>
    <w:p w14:paraId="45E4204B" w14:textId="77777777" w:rsidR="00AA6FAF" w:rsidRPr="006519D0" w:rsidRDefault="00AA6FAF" w:rsidP="002D0BDE">
      <w:pPr>
        <w:contextualSpacing/>
      </w:pPr>
    </w:p>
    <w:p w14:paraId="5BB7BA3B" w14:textId="77777777" w:rsidR="00AA6FAF" w:rsidRPr="006519D0" w:rsidRDefault="009731B0" w:rsidP="00AA6FAF">
      <w:pPr>
        <w:pStyle w:val="Nadpis3"/>
      </w:pPr>
      <w:r w:rsidRPr="006519D0">
        <w:t>Popis cílového stavu</w:t>
      </w:r>
    </w:p>
    <w:p w14:paraId="3270533C" w14:textId="77777777" w:rsidR="00233343" w:rsidRPr="006519D0" w:rsidRDefault="009731B0" w:rsidP="00233343">
      <w:r w:rsidRPr="006519D0">
        <w:t>Cílem je</w:t>
      </w:r>
      <w:r w:rsidR="00DE2800" w:rsidRPr="006519D0">
        <w:t xml:space="preserve"> zajistit možnost </w:t>
      </w:r>
      <w:r w:rsidR="008D796A" w:rsidRPr="006519D0">
        <w:t>reagovat na zjištěn</w:t>
      </w:r>
      <w:r w:rsidR="00715A73" w:rsidRPr="006519D0">
        <w:t>é</w:t>
      </w:r>
      <w:r w:rsidR="008D796A" w:rsidRPr="006519D0">
        <w:t xml:space="preserve"> </w:t>
      </w:r>
      <w:r w:rsidR="00DE2800" w:rsidRPr="006519D0">
        <w:t>nesprávné označení výrobků nebo zařízení, které obsahují regulované látky</w:t>
      </w:r>
      <w:r w:rsidR="00171D07" w:rsidRPr="006519D0">
        <w:t xml:space="preserve"> a možnost uložit </w:t>
      </w:r>
      <w:r w:rsidR="008D796A" w:rsidRPr="006519D0">
        <w:t xml:space="preserve">v takovém případě </w:t>
      </w:r>
      <w:r w:rsidR="00171D07" w:rsidRPr="006519D0">
        <w:t>nápravné opatření, a tím</w:t>
      </w:r>
      <w:r w:rsidRPr="006519D0">
        <w:t xml:space="preserve"> předejít </w:t>
      </w:r>
      <w:r w:rsidR="003F7C94" w:rsidRPr="006519D0">
        <w:t>správnímu trestání (tj. přestupkovému řízení), jež by mělo být uplatňováno s ohledem na princip ultima ratio</w:t>
      </w:r>
      <w:r w:rsidR="006C49A5" w:rsidRPr="006519D0">
        <w:t>.</w:t>
      </w:r>
    </w:p>
    <w:p w14:paraId="1A35EA8F" w14:textId="77777777" w:rsidR="007F7DEA" w:rsidRPr="006519D0" w:rsidRDefault="007F7DEA" w:rsidP="00233343"/>
    <w:p w14:paraId="2174278C" w14:textId="77777777" w:rsidR="00AA6FAF" w:rsidRPr="006519D0" w:rsidRDefault="009731B0" w:rsidP="00AA6FAF">
      <w:pPr>
        <w:pStyle w:val="Nadpis3"/>
      </w:pPr>
      <w:r w:rsidRPr="006519D0">
        <w:t>Zhodnocení rizika</w:t>
      </w:r>
    </w:p>
    <w:p w14:paraId="001DF729" w14:textId="77777777" w:rsidR="00AA6FAF" w:rsidRPr="006519D0" w:rsidRDefault="009731B0" w:rsidP="00AA6FAF">
      <w:r w:rsidRPr="006519D0">
        <w:t xml:space="preserve">V případě nesprávného označení výrobků nebo zařízení s regulovanými látkami </w:t>
      </w:r>
      <w:r w:rsidR="00171D07" w:rsidRPr="006519D0">
        <w:t xml:space="preserve">není </w:t>
      </w:r>
      <w:r w:rsidR="003A0C78" w:rsidRPr="006519D0">
        <w:t xml:space="preserve">možné uložit </w:t>
      </w:r>
      <w:r w:rsidR="00171D07" w:rsidRPr="006519D0">
        <w:t xml:space="preserve">pouze </w:t>
      </w:r>
      <w:r w:rsidR="003A0C78" w:rsidRPr="006519D0">
        <w:t>opatření k</w:t>
      </w:r>
      <w:r w:rsidR="00B505B4" w:rsidRPr="006519D0">
        <w:t> </w:t>
      </w:r>
      <w:r w:rsidR="003A0C78" w:rsidRPr="006519D0">
        <w:t>nápravě</w:t>
      </w:r>
      <w:r w:rsidR="00B505B4" w:rsidRPr="006519D0">
        <w:t xml:space="preserve">, což v důsledku vyvolává disproporční postup </w:t>
      </w:r>
      <w:r w:rsidR="00715A73" w:rsidRPr="006519D0">
        <w:t>u</w:t>
      </w:r>
      <w:r w:rsidR="00B505B4" w:rsidRPr="006519D0">
        <w:t xml:space="preserve"> regulovaných látek a F-plynů, kdy v případě regulovaných látek lze pochybení řešit pouze</w:t>
      </w:r>
      <w:r w:rsidR="00171D07" w:rsidRPr="006519D0">
        <w:t xml:space="preserve"> </w:t>
      </w:r>
      <w:r w:rsidR="001820FD" w:rsidRPr="006519D0">
        <w:t xml:space="preserve">přestupkovým </w:t>
      </w:r>
      <w:r w:rsidR="00171D07" w:rsidRPr="006519D0">
        <w:t>řízením</w:t>
      </w:r>
      <w:r w:rsidR="00B505B4" w:rsidRPr="006519D0">
        <w:t xml:space="preserve">, bez možnosti uložení opatření k nápravě. Takový přístup není v souladu </w:t>
      </w:r>
      <w:r w:rsidR="004E6D16" w:rsidRPr="006519D0">
        <w:t>se zásadou rovného zacházení a zásadou subsidiarity trestní represe.</w:t>
      </w:r>
    </w:p>
    <w:p w14:paraId="189F9672" w14:textId="77777777" w:rsidR="00814A6B" w:rsidRPr="006519D0" w:rsidRDefault="00814A6B" w:rsidP="00AA6FAF"/>
    <w:p w14:paraId="3D5B4FE2" w14:textId="77777777" w:rsidR="00AA6FAF" w:rsidRPr="006519D0" w:rsidRDefault="009731B0" w:rsidP="00AA6FAF">
      <w:pPr>
        <w:pStyle w:val="Nadpis2"/>
      </w:pPr>
      <w:r w:rsidRPr="006519D0">
        <w:lastRenderedPageBreak/>
        <w:t>Návrh variant řešení</w:t>
      </w:r>
    </w:p>
    <w:p w14:paraId="73146958" w14:textId="77777777" w:rsidR="00AA6FAF" w:rsidRPr="006519D0" w:rsidRDefault="009731B0" w:rsidP="00AA6FAF">
      <w:pPr>
        <w:pStyle w:val="Nadpis3"/>
      </w:pPr>
      <w:r w:rsidRPr="006519D0">
        <w:t>Varianta 0</w:t>
      </w:r>
    </w:p>
    <w:p w14:paraId="711A5BFD" w14:textId="77777777" w:rsidR="00AA6FAF" w:rsidRPr="006519D0" w:rsidRDefault="009731B0" w:rsidP="00AA6FAF">
      <w:r w:rsidRPr="006519D0">
        <w:t xml:space="preserve">Zachování současného stavu, kdy </w:t>
      </w:r>
      <w:r w:rsidR="001D20B0" w:rsidRPr="006519D0">
        <w:t>lze</w:t>
      </w:r>
      <w:r w:rsidRPr="006519D0">
        <w:t xml:space="preserve"> uložit opatření k nápravě jen u nesprávného označení výrobků a zařízení obsahujících F-plyny a ne u výrobků a zařízení obsahujících regulované látky.</w:t>
      </w:r>
    </w:p>
    <w:p w14:paraId="1B47DF0A" w14:textId="77777777" w:rsidR="00AA6FAF" w:rsidRPr="006519D0" w:rsidRDefault="009731B0" w:rsidP="00AA6FAF">
      <w:pPr>
        <w:pStyle w:val="Nadpis3"/>
      </w:pPr>
      <w:r w:rsidRPr="006519D0">
        <w:t>Varianta 1</w:t>
      </w:r>
    </w:p>
    <w:p w14:paraId="2F444C4A" w14:textId="77777777" w:rsidR="00AA6FAF" w:rsidRPr="006519D0" w:rsidRDefault="009731B0" w:rsidP="00AA6FAF">
      <w:r w:rsidRPr="006519D0">
        <w:t xml:space="preserve">Zavedením této varianty bude možné uložit opatření k nápravě i </w:t>
      </w:r>
      <w:r w:rsidR="00CF330C" w:rsidRPr="006519D0">
        <w:t>osobám nakládajícím s</w:t>
      </w:r>
      <w:r w:rsidR="00715A73" w:rsidRPr="006519D0">
        <w:t> </w:t>
      </w:r>
      <w:r w:rsidR="00CF330C" w:rsidRPr="006519D0">
        <w:t>výrobky</w:t>
      </w:r>
      <w:r w:rsidRPr="006519D0">
        <w:t xml:space="preserve"> a zařízení</w:t>
      </w:r>
      <w:r w:rsidR="00CF330C" w:rsidRPr="006519D0">
        <w:t>mi</w:t>
      </w:r>
      <w:r w:rsidRPr="006519D0">
        <w:t xml:space="preserve"> obsahující</w:t>
      </w:r>
      <w:r w:rsidR="00CF330C" w:rsidRPr="006519D0">
        <w:t>mi</w:t>
      </w:r>
      <w:r w:rsidRPr="006519D0">
        <w:t xml:space="preserve"> regulované látky</w:t>
      </w:r>
      <w:r w:rsidR="00CF330C" w:rsidRPr="006519D0">
        <w:t xml:space="preserve"> při porušení </w:t>
      </w:r>
      <w:r w:rsidR="00CC01E8" w:rsidRPr="006519D0">
        <w:t>povinností dle</w:t>
      </w:r>
      <w:r w:rsidRPr="006519D0">
        <w:t xml:space="preserve"> § 5.</w:t>
      </w:r>
    </w:p>
    <w:p w14:paraId="6A2F7B90" w14:textId="77777777" w:rsidR="003357EB" w:rsidRPr="006519D0" w:rsidRDefault="003357EB" w:rsidP="00AA6FAF"/>
    <w:p w14:paraId="3AA4247F" w14:textId="77777777" w:rsidR="00AA6FAF" w:rsidRPr="006519D0" w:rsidRDefault="009731B0" w:rsidP="00AA6FAF">
      <w:pPr>
        <w:pStyle w:val="Nadpis2"/>
      </w:pPr>
      <w:r w:rsidRPr="006519D0">
        <w:t>Vyhodnocení nákladů a přínosů</w:t>
      </w:r>
    </w:p>
    <w:p w14:paraId="4618E62A" w14:textId="77777777" w:rsidR="00AA6FAF" w:rsidRPr="006519D0" w:rsidRDefault="009731B0" w:rsidP="008D339A">
      <w:pPr>
        <w:pStyle w:val="Nadpis3"/>
        <w:spacing w:after="120"/>
      </w:pPr>
      <w:r w:rsidRPr="006519D0">
        <w:t>Identifikace nákladů a přínosů</w:t>
      </w:r>
    </w:p>
    <w:p w14:paraId="4442C4C8" w14:textId="77777777" w:rsidR="00AA6FAF" w:rsidRPr="006519D0" w:rsidRDefault="009731B0" w:rsidP="00BD1744">
      <w:pPr>
        <w:pStyle w:val="Odstavecseseznamem"/>
        <w:numPr>
          <w:ilvl w:val="0"/>
          <w:numId w:val="29"/>
        </w:numPr>
        <w:rPr>
          <w:b/>
        </w:rPr>
      </w:pPr>
      <w:r w:rsidRPr="006519D0">
        <w:rPr>
          <w:b/>
        </w:rPr>
        <w:t>Varianta 0</w:t>
      </w:r>
    </w:p>
    <w:p w14:paraId="5083F93B" w14:textId="77777777" w:rsidR="00AA6FAF" w:rsidRPr="006519D0" w:rsidRDefault="009731B0" w:rsidP="001856C3">
      <w:pPr>
        <w:spacing w:before="240" w:after="0"/>
        <w:rPr>
          <w:b/>
        </w:rPr>
      </w:pPr>
      <w:r w:rsidRPr="006519D0">
        <w:rPr>
          <w:b/>
        </w:rPr>
        <w:t>Dopady na stát</w:t>
      </w:r>
      <w:r w:rsidRPr="006519D0">
        <w:rPr>
          <w:b/>
        </w:rPr>
        <w:t>ní rozpočet a ostatní veřejné rozpočty</w:t>
      </w:r>
    </w:p>
    <w:p w14:paraId="71FD3EB2" w14:textId="77777777" w:rsidR="00BD1744" w:rsidRPr="006519D0" w:rsidRDefault="009731B0" w:rsidP="002E2FBD">
      <w:pPr>
        <w:spacing w:before="120"/>
      </w:pPr>
      <w:r w:rsidRPr="006519D0">
        <w:t>Při porušení povinností u označování výrobků nebo zařízení obsahujících regulované látky (při neuv</w:t>
      </w:r>
      <w:r w:rsidR="000B5431" w:rsidRPr="006519D0">
        <w:t>ede</w:t>
      </w:r>
      <w:r w:rsidRPr="006519D0">
        <w:t>ní názvu a označení dovozcem či vývozcem, nepředložení dodací listiny a celních dokladů, nebo neoznačení výrobků a z</w:t>
      </w:r>
      <w:r w:rsidRPr="006519D0">
        <w:t>ařízení uvedených na trh v ČR českým nebo slovenským jazykem) nemůže kontrolní orgán (ČOI</w:t>
      </w:r>
      <w:r w:rsidR="00AE0808" w:rsidRPr="006519D0">
        <w:t xml:space="preserve">, </w:t>
      </w:r>
      <w:r w:rsidRPr="006519D0">
        <w:t>ČIŽP</w:t>
      </w:r>
      <w:r w:rsidR="00AE0808" w:rsidRPr="006519D0">
        <w:t xml:space="preserve"> nebo celní úřad</w:t>
      </w:r>
      <w:r w:rsidRPr="006519D0">
        <w:t>) dle současné právní úpravy uložit opatření k nápravě.</w:t>
      </w:r>
    </w:p>
    <w:p w14:paraId="1B5B32F2" w14:textId="77777777" w:rsidR="00AA6FAF" w:rsidRPr="006519D0" w:rsidRDefault="009731B0" w:rsidP="001856C3">
      <w:pPr>
        <w:spacing w:before="240" w:after="0"/>
        <w:rPr>
          <w:b/>
        </w:rPr>
      </w:pPr>
      <w:r w:rsidRPr="006519D0">
        <w:rPr>
          <w:b/>
        </w:rPr>
        <w:t>Dopady na podnikatelské prostředí</w:t>
      </w:r>
    </w:p>
    <w:p w14:paraId="14BE2032" w14:textId="77777777" w:rsidR="00AA6FAF" w:rsidRPr="006519D0" w:rsidRDefault="009731B0" w:rsidP="00AA6FAF">
      <w:r w:rsidRPr="006519D0">
        <w:t xml:space="preserve">V současné </w:t>
      </w:r>
      <w:r w:rsidR="00794DC2" w:rsidRPr="006519D0">
        <w:t>praxi je</w:t>
      </w:r>
      <w:r w:rsidRPr="006519D0">
        <w:t xml:space="preserve"> povinnost:</w:t>
      </w:r>
    </w:p>
    <w:p w14:paraId="5CE5CD11" w14:textId="77777777" w:rsidR="00523AF1" w:rsidRPr="006519D0" w:rsidRDefault="009731B0" w:rsidP="00CE0270">
      <w:r w:rsidRPr="006519D0">
        <w:t xml:space="preserve">- </w:t>
      </w:r>
      <w:r w:rsidR="001306C4" w:rsidRPr="006519D0">
        <w:t>d</w:t>
      </w:r>
      <w:r w:rsidRPr="006519D0">
        <w:t>ovozce a vývozce výro</w:t>
      </w:r>
      <w:r w:rsidRPr="006519D0">
        <w:t>bků nebo zařízení, které obsahují regulované látky, uvádět v kolonce celní</w:t>
      </w:r>
      <w:r w:rsidR="00B94F7F" w:rsidRPr="006519D0">
        <w:t>ho</w:t>
      </w:r>
      <w:r w:rsidRPr="006519D0">
        <w:t xml:space="preserve"> </w:t>
      </w:r>
      <w:r w:rsidR="00B94F7F" w:rsidRPr="006519D0">
        <w:t xml:space="preserve">prohlášení </w:t>
      </w:r>
      <w:r w:rsidRPr="006519D0">
        <w:t>název a označení regulované látky</w:t>
      </w:r>
      <w:r w:rsidR="001306C4" w:rsidRPr="006519D0">
        <w:t xml:space="preserve"> a kód kombinované nomenklatury,</w:t>
      </w:r>
      <w:r w:rsidRPr="006519D0">
        <w:t xml:space="preserve"> </w:t>
      </w:r>
    </w:p>
    <w:p w14:paraId="76F8FA23" w14:textId="77777777" w:rsidR="00523AF1" w:rsidRPr="006519D0" w:rsidRDefault="009731B0" w:rsidP="00CE0270">
      <w:pPr>
        <w:widowControl w:val="0"/>
        <w:autoSpaceDE w:val="0"/>
        <w:autoSpaceDN w:val="0"/>
        <w:adjustRightInd w:val="0"/>
        <w:spacing w:after="0"/>
      </w:pPr>
      <w:r w:rsidRPr="006519D0">
        <w:t xml:space="preserve"> - </w:t>
      </w:r>
      <w:r w:rsidR="001306C4" w:rsidRPr="006519D0">
        <w:t>v</w:t>
      </w:r>
      <w:r w:rsidRPr="006519D0">
        <w:t>ýrobce, dovozce, vývozce, prodejce a přepravce výrobků nebo zařízení, které obsahují regulované l</w:t>
      </w:r>
      <w:r w:rsidRPr="006519D0">
        <w:t xml:space="preserve">átky, na vyžádání MŽP, ČIŽP, ČOI nebo příslušného celního úřadu předložit dodací list a </w:t>
      </w:r>
      <w:r w:rsidR="001306C4" w:rsidRPr="006519D0">
        <w:t>celní doklady k jejich kontrole,</w:t>
      </w:r>
      <w:r w:rsidRPr="006519D0">
        <w:t xml:space="preserve"> </w:t>
      </w:r>
    </w:p>
    <w:p w14:paraId="48A0FF4F" w14:textId="77777777" w:rsidR="00523AF1" w:rsidRPr="006519D0" w:rsidRDefault="009731B0" w:rsidP="00CE0270">
      <w:pPr>
        <w:widowControl w:val="0"/>
        <w:autoSpaceDE w:val="0"/>
        <w:autoSpaceDN w:val="0"/>
        <w:adjustRightInd w:val="0"/>
        <w:spacing w:after="0"/>
      </w:pPr>
      <w:r w:rsidRPr="006519D0">
        <w:t xml:space="preserve"> </w:t>
      </w:r>
    </w:p>
    <w:p w14:paraId="636F576F" w14:textId="77777777" w:rsidR="00523AF1" w:rsidRPr="006519D0" w:rsidRDefault="009731B0" w:rsidP="00CE0270">
      <w:pPr>
        <w:widowControl w:val="0"/>
        <w:autoSpaceDE w:val="0"/>
        <w:autoSpaceDN w:val="0"/>
        <w:adjustRightInd w:val="0"/>
        <w:spacing w:after="0"/>
      </w:pPr>
      <w:r w:rsidRPr="006519D0">
        <w:t xml:space="preserve">- </w:t>
      </w:r>
      <w:r w:rsidR="001306C4" w:rsidRPr="006519D0">
        <w:t>v</w:t>
      </w:r>
      <w:r w:rsidRPr="006519D0">
        <w:t xml:space="preserve">ýrobky a zařízení obsahující regulované látky, u kterých přímo použitelný předpis Evropské unie vyžaduje jejich označení, lze na </w:t>
      </w:r>
      <w:r w:rsidRPr="006519D0">
        <w:t>území ČR uvést na trh jen, pokud je jejich označení uvedeno v českém nebo slovenském jazyce.</w:t>
      </w:r>
    </w:p>
    <w:p w14:paraId="417A2014" w14:textId="77777777" w:rsidR="00794DC2" w:rsidRPr="006519D0" w:rsidRDefault="00794DC2" w:rsidP="00CE0270">
      <w:pPr>
        <w:widowControl w:val="0"/>
        <w:autoSpaceDE w:val="0"/>
        <w:autoSpaceDN w:val="0"/>
        <w:adjustRightInd w:val="0"/>
        <w:spacing w:after="0"/>
      </w:pPr>
    </w:p>
    <w:p w14:paraId="052D888B" w14:textId="77777777" w:rsidR="00794DC2" w:rsidRPr="006519D0" w:rsidRDefault="009731B0" w:rsidP="00CE0270">
      <w:pPr>
        <w:widowControl w:val="0"/>
        <w:autoSpaceDE w:val="0"/>
        <w:autoSpaceDN w:val="0"/>
        <w:adjustRightInd w:val="0"/>
        <w:spacing w:after="0"/>
      </w:pPr>
      <w:r w:rsidRPr="006519D0">
        <w:t xml:space="preserve">V případě jejich nedodržení mohou být </w:t>
      </w:r>
      <w:r w:rsidR="0090134D" w:rsidRPr="006519D0">
        <w:t>sankcionováni v rámci přestupkového řízení, a to do</w:t>
      </w:r>
      <w:r w:rsidR="002D0BDE" w:rsidRPr="006519D0">
        <w:t> </w:t>
      </w:r>
      <w:r w:rsidR="0090134D" w:rsidRPr="006519D0">
        <w:t>výše 2</w:t>
      </w:r>
      <w:r w:rsidR="004A081A" w:rsidRPr="006519D0">
        <w:t> </w:t>
      </w:r>
      <w:r w:rsidR="0090134D" w:rsidRPr="006519D0">
        <w:t>500</w:t>
      </w:r>
      <w:r w:rsidR="004A081A" w:rsidRPr="006519D0">
        <w:t xml:space="preserve"> </w:t>
      </w:r>
      <w:r w:rsidR="0090134D" w:rsidRPr="006519D0">
        <w:t>000 Kč.</w:t>
      </w:r>
      <w:r w:rsidR="007B1FDD" w:rsidRPr="006519D0">
        <w:t xml:space="preserve"> </w:t>
      </w:r>
      <w:r w:rsidR="002D0BDE" w:rsidRPr="006519D0">
        <w:t>Tyto případy jsou v současnosti zcela výjimečné.</w:t>
      </w:r>
      <w:r w:rsidR="007B1FDD" w:rsidRPr="006519D0">
        <w:t xml:space="preserve"> </w:t>
      </w:r>
    </w:p>
    <w:p w14:paraId="3EDBF7D7" w14:textId="77777777" w:rsidR="008C2D8C" w:rsidRPr="006519D0" w:rsidRDefault="008C2D8C" w:rsidP="00523AF1">
      <w:pPr>
        <w:widowControl w:val="0"/>
        <w:autoSpaceDE w:val="0"/>
        <w:autoSpaceDN w:val="0"/>
        <w:adjustRightInd w:val="0"/>
        <w:spacing w:after="0" w:line="240" w:lineRule="auto"/>
      </w:pPr>
    </w:p>
    <w:p w14:paraId="17BFC78D" w14:textId="77777777" w:rsidR="008C2D8C" w:rsidRPr="006519D0" w:rsidRDefault="008C2D8C" w:rsidP="00523AF1">
      <w:pPr>
        <w:widowControl w:val="0"/>
        <w:autoSpaceDE w:val="0"/>
        <w:autoSpaceDN w:val="0"/>
        <w:adjustRightInd w:val="0"/>
        <w:spacing w:after="0" w:line="240" w:lineRule="auto"/>
      </w:pPr>
    </w:p>
    <w:p w14:paraId="33573AE6" w14:textId="77777777" w:rsidR="00AA6FAF" w:rsidRPr="006519D0" w:rsidRDefault="009731B0" w:rsidP="00BD1744">
      <w:pPr>
        <w:pStyle w:val="Odstavecseseznamem"/>
        <w:numPr>
          <w:ilvl w:val="0"/>
          <w:numId w:val="29"/>
        </w:numPr>
        <w:rPr>
          <w:b/>
        </w:rPr>
      </w:pPr>
      <w:r w:rsidRPr="006519D0">
        <w:rPr>
          <w:b/>
        </w:rPr>
        <w:t>Varianta 1</w:t>
      </w:r>
    </w:p>
    <w:p w14:paraId="347B58C1" w14:textId="77777777" w:rsidR="00AA6FAF" w:rsidRPr="006519D0" w:rsidRDefault="009731B0" w:rsidP="001856C3">
      <w:pPr>
        <w:spacing w:before="240" w:after="0"/>
        <w:rPr>
          <w:b/>
        </w:rPr>
      </w:pPr>
      <w:r w:rsidRPr="006519D0">
        <w:rPr>
          <w:b/>
        </w:rPr>
        <w:t>Dopady na státní rozpočet a ostatní veřejné rozpočty</w:t>
      </w:r>
    </w:p>
    <w:p w14:paraId="7B08BDB9" w14:textId="77777777" w:rsidR="00BD1744" w:rsidRPr="006519D0" w:rsidRDefault="009731B0" w:rsidP="00407830">
      <w:r w:rsidRPr="006519D0">
        <w:t xml:space="preserve">Varianta 1 </w:t>
      </w:r>
      <w:r w:rsidR="00DB2ED7" w:rsidRPr="006519D0">
        <w:t>umožní</w:t>
      </w:r>
      <w:r w:rsidRPr="006519D0">
        <w:t xml:space="preserve"> </w:t>
      </w:r>
      <w:r w:rsidR="005F78BB" w:rsidRPr="006519D0">
        <w:t xml:space="preserve">kontrolním orgánům </w:t>
      </w:r>
      <w:r w:rsidRPr="006519D0">
        <w:t>reagovat na zjištění nesprávného označení výrobků nebo zařízení, které obsahují regulované látky</w:t>
      </w:r>
      <w:r w:rsidR="00AF76F6" w:rsidRPr="006519D0">
        <w:t>,</w:t>
      </w:r>
      <w:r w:rsidRPr="006519D0">
        <w:t xml:space="preserve"> a </w:t>
      </w:r>
      <w:r w:rsidR="003E3670" w:rsidRPr="006519D0">
        <w:t xml:space="preserve">zavádí </w:t>
      </w:r>
      <w:r w:rsidRPr="006519D0">
        <w:t>možnost uložit v takovém případě nápravné opatře</w:t>
      </w:r>
      <w:r w:rsidRPr="006519D0">
        <w:t xml:space="preserve">ní, </w:t>
      </w:r>
      <w:r w:rsidR="00E16879" w:rsidRPr="006519D0">
        <w:t>čímž</w:t>
      </w:r>
      <w:r w:rsidRPr="006519D0">
        <w:t xml:space="preserve"> </w:t>
      </w:r>
      <w:r w:rsidR="00C845C3" w:rsidRPr="006519D0">
        <w:t xml:space="preserve">se </w:t>
      </w:r>
      <w:r w:rsidRPr="006519D0">
        <w:t>předej</w:t>
      </w:r>
      <w:r w:rsidR="00C845C3" w:rsidRPr="006519D0">
        <w:t>de</w:t>
      </w:r>
      <w:r w:rsidRPr="006519D0">
        <w:t xml:space="preserve"> správnímu trestání (tj. přestupkovému řízení), jež by mělo být uplatňováno s ohledem na princip ultima ratio</w:t>
      </w:r>
      <w:r w:rsidR="002D0BDE" w:rsidRPr="006519D0">
        <w:t>.</w:t>
      </w:r>
      <w:r w:rsidR="00CD25FC" w:rsidRPr="006519D0">
        <w:t xml:space="preserve"> </w:t>
      </w:r>
    </w:p>
    <w:p w14:paraId="19636BB4" w14:textId="77777777" w:rsidR="00AA6FAF" w:rsidRPr="006519D0" w:rsidRDefault="009731B0" w:rsidP="001856C3">
      <w:pPr>
        <w:spacing w:before="240" w:after="0"/>
        <w:rPr>
          <w:b/>
        </w:rPr>
      </w:pPr>
      <w:r w:rsidRPr="006519D0">
        <w:rPr>
          <w:b/>
        </w:rPr>
        <w:lastRenderedPageBreak/>
        <w:t>Dopady na podnikatelské prostředí</w:t>
      </w:r>
    </w:p>
    <w:p w14:paraId="162797DC" w14:textId="77777777" w:rsidR="00AA6FAF" w:rsidRPr="006519D0" w:rsidRDefault="009731B0" w:rsidP="00233343">
      <w:r w:rsidRPr="006519D0">
        <w:t>Varianta 1 bude mít</w:t>
      </w:r>
      <w:r w:rsidR="00DF32FB" w:rsidRPr="006519D0">
        <w:t xml:space="preserve"> pozitivní</w:t>
      </w:r>
      <w:r w:rsidRPr="006519D0">
        <w:t xml:space="preserve"> dopad na </w:t>
      </w:r>
      <w:r w:rsidR="00C9580C" w:rsidRPr="006519D0">
        <w:t xml:space="preserve">výrobce, dovozce, vývozce, prodejce a přepravce výrobků nebo zařízení, které obsahují regulované látky v případě </w:t>
      </w:r>
      <w:r w:rsidR="00E56B16" w:rsidRPr="006519D0">
        <w:t xml:space="preserve">nesprávného označení </w:t>
      </w:r>
      <w:r w:rsidR="00DB1DEA" w:rsidRPr="006519D0">
        <w:t xml:space="preserve">těchto </w:t>
      </w:r>
      <w:r w:rsidR="00E56B16" w:rsidRPr="006519D0">
        <w:t>výrobků a zařízení</w:t>
      </w:r>
      <w:r w:rsidR="00F02C61" w:rsidRPr="006519D0">
        <w:t xml:space="preserve">, kdy bude zavedena možnost uložit nápravné opatření </w:t>
      </w:r>
      <w:r w:rsidR="009A5077" w:rsidRPr="006519D0">
        <w:t xml:space="preserve">a předejít tak </w:t>
      </w:r>
      <w:r w:rsidR="006E66B9" w:rsidRPr="006519D0">
        <w:t>přestupkovému řízení a pokutě.</w:t>
      </w:r>
      <w:r w:rsidR="00581640" w:rsidRPr="006519D0">
        <w:t xml:space="preserve"> </w:t>
      </w:r>
      <w:r w:rsidR="0056757B" w:rsidRPr="006519D0">
        <w:t>Předpokládáme, že se touto</w:t>
      </w:r>
      <w:r w:rsidR="00581640" w:rsidRPr="006519D0">
        <w:t xml:space="preserve"> variant</w:t>
      </w:r>
      <w:r w:rsidR="0056757B" w:rsidRPr="006519D0">
        <w:t>ou</w:t>
      </w:r>
      <w:r w:rsidR="00581640" w:rsidRPr="006519D0">
        <w:t xml:space="preserve"> zároveň </w:t>
      </w:r>
      <w:r w:rsidR="00AF74ED" w:rsidRPr="006519D0">
        <w:t>zlepší</w:t>
      </w:r>
      <w:r w:rsidR="00581640" w:rsidRPr="006519D0">
        <w:t xml:space="preserve"> řádné označování </w:t>
      </w:r>
      <w:r w:rsidR="00AF74ED" w:rsidRPr="006519D0">
        <w:t>výrobků nebo zařízení, které obsahují regulované látky</w:t>
      </w:r>
      <w:r w:rsidR="00776362" w:rsidRPr="006519D0">
        <w:t>.</w:t>
      </w:r>
      <w:r w:rsidR="00062058" w:rsidRPr="006519D0">
        <w:t xml:space="preserve"> Řádné označení tak bude mít pozitivní dopad i na u</w:t>
      </w:r>
      <w:r w:rsidR="00DB2037" w:rsidRPr="006519D0">
        <w:t>živatele těchto zařízení a ostatní osoby, které přijdou do kontaktu s těmito výrobky či zařízeními.</w:t>
      </w:r>
      <w:r w:rsidR="00F42166" w:rsidRPr="006519D0">
        <w:t xml:space="preserve"> Tím se zároveň sníží riziko nevhodného nakládání</w:t>
      </w:r>
      <w:r w:rsidR="00281E1F" w:rsidRPr="006519D0">
        <w:t xml:space="preserve"> a</w:t>
      </w:r>
      <w:r w:rsidR="0075633B" w:rsidRPr="006519D0">
        <w:t> </w:t>
      </w:r>
      <w:r w:rsidR="00281E1F" w:rsidRPr="006519D0">
        <w:t>manipulace s těmito výrobky či zařízeními</w:t>
      </w:r>
      <w:r w:rsidR="00F42166" w:rsidRPr="006519D0">
        <w:t xml:space="preserve">, a tím </w:t>
      </w:r>
      <w:r w:rsidR="006B4C3D" w:rsidRPr="006519D0">
        <w:t xml:space="preserve">se omezí </w:t>
      </w:r>
      <w:r w:rsidR="00F42166" w:rsidRPr="006519D0">
        <w:t xml:space="preserve">i riziko úniku </w:t>
      </w:r>
      <w:r w:rsidR="00281E1F" w:rsidRPr="006519D0">
        <w:t>regulovaných</w:t>
      </w:r>
      <w:r w:rsidR="00F42166" w:rsidRPr="006519D0">
        <w:t xml:space="preserve"> látek do</w:t>
      </w:r>
      <w:r w:rsidR="006B4C3D" w:rsidRPr="006519D0">
        <w:t> </w:t>
      </w:r>
      <w:r w:rsidR="00F42166" w:rsidRPr="006519D0">
        <w:t>životního prostředí</w:t>
      </w:r>
      <w:r w:rsidR="00281E1F" w:rsidRPr="006519D0">
        <w:t>.</w:t>
      </w:r>
      <w:r w:rsidR="00AF74ED" w:rsidRPr="006519D0">
        <w:t xml:space="preserve"> </w:t>
      </w:r>
    </w:p>
    <w:p w14:paraId="07F980A2" w14:textId="77777777" w:rsidR="00BD1744" w:rsidRPr="006519D0" w:rsidRDefault="00BD1744" w:rsidP="00233343"/>
    <w:p w14:paraId="09C872B0" w14:textId="77777777" w:rsidR="00AA6FAF" w:rsidRPr="006519D0" w:rsidRDefault="009731B0" w:rsidP="00AA6FAF">
      <w:pPr>
        <w:pStyle w:val="Nadpis2"/>
      </w:pPr>
      <w:r w:rsidRPr="006519D0">
        <w:t>Stanovení pořadí variant a výběr nejvhodnějšího řešení</w:t>
      </w:r>
    </w:p>
    <w:p w14:paraId="69E48760" w14:textId="77777777" w:rsidR="00AA6FAF" w:rsidRPr="006519D0" w:rsidRDefault="009731B0" w:rsidP="00BD1744">
      <w:pPr>
        <w:pStyle w:val="Odstavecseseznamem"/>
        <w:numPr>
          <w:ilvl w:val="0"/>
          <w:numId w:val="8"/>
        </w:numPr>
        <w:contextualSpacing/>
        <w:rPr>
          <w:b/>
          <w:bCs/>
        </w:rPr>
      </w:pPr>
      <w:r w:rsidRPr="006519D0">
        <w:rPr>
          <w:b/>
          <w:bCs/>
        </w:rPr>
        <w:t xml:space="preserve">Varianta </w:t>
      </w:r>
      <w:r w:rsidR="00FE31CC" w:rsidRPr="006519D0">
        <w:rPr>
          <w:b/>
          <w:bCs/>
        </w:rPr>
        <w:t>1</w:t>
      </w:r>
    </w:p>
    <w:p w14:paraId="7F2A6BFA" w14:textId="77777777" w:rsidR="00AA6FAF" w:rsidRPr="006519D0" w:rsidRDefault="009731B0" w:rsidP="00BD1744">
      <w:pPr>
        <w:pStyle w:val="Odstavecseseznamem"/>
        <w:numPr>
          <w:ilvl w:val="0"/>
          <w:numId w:val="8"/>
        </w:numPr>
        <w:ind w:left="714" w:hanging="357"/>
        <w:contextualSpacing/>
      </w:pPr>
      <w:r w:rsidRPr="006519D0">
        <w:t xml:space="preserve">Varianta </w:t>
      </w:r>
      <w:r w:rsidR="00FE31CC" w:rsidRPr="006519D0">
        <w:t>0</w:t>
      </w:r>
    </w:p>
    <w:p w14:paraId="197D4A90" w14:textId="77777777" w:rsidR="006B120A" w:rsidRPr="006519D0" w:rsidRDefault="009731B0" w:rsidP="009A2B50">
      <w:pPr>
        <w:contextualSpacing/>
      </w:pPr>
      <w:r w:rsidRPr="006519D0">
        <w:t>Navrhujeme přijmout variantu 1, kter</w:t>
      </w:r>
      <w:r w:rsidRPr="006519D0">
        <w:t xml:space="preserve">á umožní uložit opatření k nápravě </w:t>
      </w:r>
      <w:r w:rsidR="00823183" w:rsidRPr="006519D0">
        <w:t xml:space="preserve">v případě </w:t>
      </w:r>
      <w:r w:rsidRPr="006519D0">
        <w:t>nesprávné</w:t>
      </w:r>
      <w:r w:rsidR="00823183" w:rsidRPr="006519D0">
        <w:t>ho</w:t>
      </w:r>
      <w:r w:rsidRPr="006519D0">
        <w:t xml:space="preserve"> označení </w:t>
      </w:r>
      <w:r w:rsidR="00CE3ADF" w:rsidRPr="006519D0">
        <w:t>výrobků nebo zařízení s regulovanými látkami</w:t>
      </w:r>
      <w:r w:rsidR="00823183" w:rsidRPr="006519D0">
        <w:t>.</w:t>
      </w:r>
      <w:r w:rsidR="00D3204A" w:rsidRPr="006519D0">
        <w:t xml:space="preserve"> Řádné označení </w:t>
      </w:r>
      <w:r w:rsidR="008C2923" w:rsidRPr="006519D0">
        <w:t xml:space="preserve">by mělo </w:t>
      </w:r>
      <w:r w:rsidR="00D3204A" w:rsidRPr="006519D0">
        <w:t>sníž</w:t>
      </w:r>
      <w:r w:rsidR="008C2923" w:rsidRPr="006519D0">
        <w:t>it</w:t>
      </w:r>
      <w:r w:rsidR="00D3204A" w:rsidRPr="006519D0">
        <w:t xml:space="preserve"> riziko nevhodného nakládání a manipulace s těmito výrobky či zařízeními, a tím i riziko úniku regulovaných látek do životního prostředí</w:t>
      </w:r>
      <w:r w:rsidR="00297CB5" w:rsidRPr="006519D0">
        <w:t xml:space="preserve"> </w:t>
      </w:r>
      <w:r w:rsidR="00122D28" w:rsidRPr="006519D0">
        <w:rPr>
          <w:rFonts w:cs="Arial"/>
        </w:rPr>
        <w:t>a poškozením</w:t>
      </w:r>
      <w:r w:rsidR="00297CB5" w:rsidRPr="006519D0">
        <w:rPr>
          <w:rFonts w:cs="Arial"/>
        </w:rPr>
        <w:t xml:space="preserve"> ozonové vrstvy Země</w:t>
      </w:r>
      <w:r w:rsidR="00D3204A" w:rsidRPr="006519D0">
        <w:t>.</w:t>
      </w:r>
    </w:p>
    <w:p w14:paraId="76A229C9" w14:textId="77777777" w:rsidR="00480EE8" w:rsidRPr="006519D0" w:rsidRDefault="009731B0" w:rsidP="006B120A">
      <w:pPr>
        <w:spacing w:after="160" w:line="259" w:lineRule="auto"/>
        <w:jc w:val="left"/>
      </w:pPr>
      <w:r w:rsidRPr="006519D0">
        <w:br w:type="page"/>
      </w:r>
    </w:p>
    <w:p w14:paraId="4629FC0E" w14:textId="77777777" w:rsidR="00AB31F5" w:rsidRPr="006519D0" w:rsidRDefault="009731B0" w:rsidP="00AB31F5">
      <w:pPr>
        <w:pStyle w:val="Nadpis1"/>
      </w:pPr>
      <w:bookmarkStart w:id="36" w:name="_Toc3450116"/>
      <w:bookmarkStart w:id="37" w:name="_Toc256000012"/>
      <w:bookmarkStart w:id="38" w:name="_Toc19624757"/>
      <w:r w:rsidRPr="006519D0">
        <w:lastRenderedPageBreak/>
        <w:t>Celkové shrnutí vyhodnocení nákladů a přínosů</w:t>
      </w:r>
      <w:bookmarkEnd w:id="36"/>
      <w:r w:rsidRPr="006519D0">
        <w:t xml:space="preserve"> návrhu zákona</w:t>
      </w:r>
      <w:bookmarkEnd w:id="37"/>
      <w:bookmarkEnd w:id="38"/>
    </w:p>
    <w:p w14:paraId="53B77EA0" w14:textId="77777777" w:rsidR="00624666" w:rsidRPr="006519D0" w:rsidRDefault="00624666" w:rsidP="00AB31F5">
      <w:pPr>
        <w:spacing w:before="120" w:line="240" w:lineRule="auto"/>
        <w:rPr>
          <w:rFonts w:cs="Cambria"/>
          <w:b/>
        </w:rPr>
      </w:pPr>
    </w:p>
    <w:p w14:paraId="41819C49" w14:textId="77777777" w:rsidR="00AB31F5" w:rsidRPr="006519D0" w:rsidRDefault="009731B0" w:rsidP="00AB31F5">
      <w:pPr>
        <w:spacing w:before="120" w:line="240" w:lineRule="auto"/>
        <w:rPr>
          <w:rFonts w:cs="Cambria"/>
          <w:b/>
          <w:u w:val="single"/>
        </w:rPr>
      </w:pPr>
      <w:r w:rsidRPr="006519D0">
        <w:rPr>
          <w:rFonts w:cs="Cambria"/>
          <w:b/>
          <w:u w:val="single"/>
        </w:rPr>
        <w:t xml:space="preserve">Dopady na státní </w:t>
      </w:r>
      <w:r w:rsidRPr="006519D0">
        <w:rPr>
          <w:rFonts w:cs="Cambria"/>
          <w:b/>
          <w:u w:val="single"/>
        </w:rPr>
        <w:t>rozpočet a ostatní veřejné rozpočty</w:t>
      </w:r>
    </w:p>
    <w:p w14:paraId="24558665" w14:textId="77777777" w:rsidR="006B120A" w:rsidRPr="006519D0" w:rsidRDefault="009731B0" w:rsidP="00AB31F5">
      <w:pPr>
        <w:spacing w:before="120" w:line="240" w:lineRule="auto"/>
        <w:rPr>
          <w:rFonts w:cs="Cambria"/>
          <w:b/>
        </w:rPr>
      </w:pPr>
      <w:r w:rsidRPr="006519D0">
        <w:rPr>
          <w:b/>
        </w:rPr>
        <w:t xml:space="preserve">Vydávání povolení ke zneškodňování </w:t>
      </w:r>
      <w:r w:rsidR="00C930A2" w:rsidRPr="006519D0">
        <w:rPr>
          <w:b/>
        </w:rPr>
        <w:t xml:space="preserve">a regeneraci </w:t>
      </w:r>
      <w:r w:rsidRPr="006519D0">
        <w:rPr>
          <w:b/>
        </w:rPr>
        <w:t>F-plynů</w:t>
      </w:r>
      <w:r w:rsidRPr="006519D0">
        <w:t xml:space="preserve"> bude pro MŽP znamenat zanedbatelné jednorázové navýšení administrativní zátěže, neboť v současnosti se jedná pouze o </w:t>
      </w:r>
      <w:r w:rsidR="00C930A2" w:rsidRPr="006519D0">
        <w:t xml:space="preserve">jednotky </w:t>
      </w:r>
      <w:r w:rsidRPr="006519D0">
        <w:t>subjekt</w:t>
      </w:r>
      <w:r w:rsidR="00C930A2" w:rsidRPr="006519D0">
        <w:t>ů</w:t>
      </w:r>
      <w:r w:rsidRPr="006519D0">
        <w:t xml:space="preserve"> (bod 3).</w:t>
      </w:r>
    </w:p>
    <w:p w14:paraId="00119D6C" w14:textId="77777777" w:rsidR="006B120A" w:rsidRPr="006519D0" w:rsidRDefault="009731B0" w:rsidP="00AB31F5">
      <w:pPr>
        <w:spacing w:before="120" w:line="240" w:lineRule="auto"/>
      </w:pPr>
      <w:r w:rsidRPr="006519D0">
        <w:t xml:space="preserve">Zavedením </w:t>
      </w:r>
      <w:r w:rsidRPr="006519D0">
        <w:rPr>
          <w:b/>
        </w:rPr>
        <w:t>všeobecnéh</w:t>
      </w:r>
      <w:r w:rsidRPr="006519D0">
        <w:rPr>
          <w:b/>
        </w:rPr>
        <w:t xml:space="preserve">o zákazu dispozicí </w:t>
      </w:r>
      <w:r w:rsidRPr="006519D0">
        <w:t xml:space="preserve">(zahrnující uvádění na trh, nakládání, převod, skladování apod.) </w:t>
      </w:r>
      <w:r w:rsidRPr="006519D0">
        <w:rPr>
          <w:b/>
        </w:rPr>
        <w:t>s nádobami na jednorázové použití obsahujícími F-plyny</w:t>
      </w:r>
      <w:r w:rsidRPr="006519D0">
        <w:t xml:space="preserve"> na území ČR lze očekávat mírné zvýšení příjmu z cel za dovoz F-plynů ve znovu naplnitelných lahvích </w:t>
      </w:r>
      <w:r w:rsidRPr="006519D0">
        <w:br/>
        <w:t>(bod 4).</w:t>
      </w:r>
    </w:p>
    <w:p w14:paraId="3ED0EBB6" w14:textId="77777777" w:rsidR="006B120A" w:rsidRPr="006519D0" w:rsidRDefault="009731B0" w:rsidP="00AB31F5">
      <w:pPr>
        <w:spacing w:before="120" w:line="240" w:lineRule="auto"/>
        <w:rPr>
          <w:rFonts w:cs="Cambria"/>
          <w:b/>
        </w:rPr>
      </w:pPr>
      <w:r w:rsidRPr="006519D0">
        <w:t>Zaveden</w:t>
      </w:r>
      <w:r w:rsidRPr="006519D0">
        <w:t xml:space="preserve">í povinnosti pro dovozce uvádět do celního prohlášení </w:t>
      </w:r>
      <w:r w:rsidRPr="006519D0">
        <w:rPr>
          <w:b/>
        </w:rPr>
        <w:t xml:space="preserve">množství dovážených </w:t>
      </w:r>
      <w:r w:rsidRPr="006519D0">
        <w:rPr>
          <w:b/>
        </w:rPr>
        <w:br/>
        <w:t>F-plynů v ekvivalentu CO</w:t>
      </w:r>
      <w:r w:rsidRPr="006519D0">
        <w:rPr>
          <w:b/>
          <w:vertAlign w:val="subscript"/>
        </w:rPr>
        <w:t>2</w:t>
      </w:r>
      <w:r w:rsidRPr="006519D0">
        <w:t>, čímž bude zajištěna kontrolovatelnost dodržování přidělených kvót nebo dovozem způsobené překročení hranice pro vznik povinnosti požádat o přidělení kvóty</w:t>
      </w:r>
      <w:r w:rsidRPr="006519D0">
        <w:t xml:space="preserve"> (bod 5).</w:t>
      </w:r>
    </w:p>
    <w:p w14:paraId="6FEF76CA" w14:textId="77777777" w:rsidR="00AB31F5" w:rsidRPr="006519D0" w:rsidRDefault="009731B0" w:rsidP="00AB31F5">
      <w:pPr>
        <w:spacing w:before="120"/>
      </w:pPr>
      <w:r w:rsidRPr="006519D0">
        <w:t xml:space="preserve">V souvislosti se </w:t>
      </w:r>
      <w:r w:rsidRPr="006519D0">
        <w:rPr>
          <w:b/>
        </w:rPr>
        <w:t>zjednodušením systému certifikace</w:t>
      </w:r>
      <w:r w:rsidRPr="006519D0">
        <w:t xml:space="preserve"> </w:t>
      </w:r>
      <w:r w:rsidRPr="006519D0">
        <w:rPr>
          <w:rFonts w:eastAsiaTheme="minorEastAsia"/>
          <w:szCs w:val="22"/>
          <w:lang w:eastAsia="cs-CZ"/>
        </w:rPr>
        <w:t>v oblasti nakládání s regulovanými látkami a F-plyny</w:t>
      </w:r>
      <w:r w:rsidRPr="006519D0">
        <w:t xml:space="preserve"> se očekává snížení administrativní zátěže MŽP o cca 228 tis. Kč/rok (bod </w:t>
      </w:r>
      <w:r w:rsidR="006B120A" w:rsidRPr="006519D0">
        <w:t>6</w:t>
      </w:r>
      <w:r w:rsidRPr="006519D0">
        <w:t xml:space="preserve">). </w:t>
      </w:r>
    </w:p>
    <w:p w14:paraId="50AD0A69" w14:textId="77777777" w:rsidR="00AB31F5" w:rsidRPr="006519D0" w:rsidRDefault="009731B0" w:rsidP="00AB31F5">
      <w:pPr>
        <w:spacing w:before="120"/>
      </w:pPr>
      <w:r w:rsidRPr="006519D0">
        <w:t xml:space="preserve">Rozšířením </w:t>
      </w:r>
      <w:r w:rsidRPr="006519D0">
        <w:rPr>
          <w:b/>
        </w:rPr>
        <w:t>podávání zpráv o F-plynech</w:t>
      </w:r>
      <w:r w:rsidRPr="006519D0">
        <w:t>, které jsou obsaženy v</w:t>
      </w:r>
      <w:r w:rsidR="00130BF0" w:rsidRPr="006519D0">
        <w:t> </w:t>
      </w:r>
      <w:r w:rsidRPr="006519D0">
        <w:t>zařízeních</w:t>
      </w:r>
      <w:r w:rsidR="00130BF0" w:rsidRPr="006519D0">
        <w:t xml:space="preserve"> a o regenerované F-plyny</w:t>
      </w:r>
      <w:r w:rsidRPr="006519D0">
        <w:t xml:space="preserve">, se zvýší transparentnost při nakládání s těmito látkami, zjednoduší se kontrolní činnost a zvýší se vymahatelnost (bod </w:t>
      </w:r>
      <w:r w:rsidR="00C22B6F" w:rsidRPr="006519D0">
        <w:t>7</w:t>
      </w:r>
      <w:r w:rsidRPr="006519D0">
        <w:t xml:space="preserve">). </w:t>
      </w:r>
    </w:p>
    <w:p w14:paraId="19752EB2" w14:textId="77777777" w:rsidR="006B120A" w:rsidRPr="006519D0" w:rsidRDefault="009731B0" w:rsidP="00AB31F5">
      <w:pPr>
        <w:spacing w:before="120"/>
      </w:pPr>
      <w:r w:rsidRPr="006519D0">
        <w:rPr>
          <w:b/>
        </w:rPr>
        <w:t>Zúžením informačního systému</w:t>
      </w:r>
      <w:r w:rsidRPr="006519D0">
        <w:t xml:space="preserve">, aby neobsahoval data </w:t>
      </w:r>
      <w:r w:rsidRPr="006519D0">
        <w:rPr>
          <w:szCs w:val="22"/>
        </w:rPr>
        <w:t xml:space="preserve">o certifikovaných osobách a osobách, kterým </w:t>
      </w:r>
      <w:r w:rsidRPr="006519D0">
        <w:rPr>
          <w:szCs w:val="22"/>
        </w:rPr>
        <w:t>bylo vydáno osvědčení o školení</w:t>
      </w:r>
      <w:r w:rsidRPr="006519D0">
        <w:t xml:space="preserve">, dojde k mírnému snížení administrativní zátěže zaměstnanců MŽP o cca 4 560 Kč/rok </w:t>
      </w:r>
      <w:r w:rsidRPr="006519D0">
        <w:rPr>
          <w:szCs w:val="22"/>
        </w:rPr>
        <w:t xml:space="preserve">(bod </w:t>
      </w:r>
      <w:r w:rsidR="00C22B6F" w:rsidRPr="006519D0">
        <w:rPr>
          <w:szCs w:val="22"/>
        </w:rPr>
        <w:t>9</w:t>
      </w:r>
      <w:r w:rsidRPr="006519D0">
        <w:rPr>
          <w:szCs w:val="22"/>
        </w:rPr>
        <w:t>).</w:t>
      </w:r>
    </w:p>
    <w:p w14:paraId="3F8D2041" w14:textId="77777777" w:rsidR="00AB31F5" w:rsidRPr="006519D0" w:rsidRDefault="009731B0" w:rsidP="00AB31F5">
      <w:pPr>
        <w:spacing w:before="120"/>
      </w:pPr>
      <w:r w:rsidRPr="006519D0">
        <w:t xml:space="preserve">Zavedením možnosti uložit </w:t>
      </w:r>
      <w:r w:rsidRPr="006519D0">
        <w:rPr>
          <w:b/>
        </w:rPr>
        <w:t>opatření k nápravě</w:t>
      </w:r>
      <w:r w:rsidRPr="006519D0">
        <w:t xml:space="preserve"> i osobám nakládajícím s výrobky a zařízeními obsahujícími regulované látky při porušení</w:t>
      </w:r>
      <w:r w:rsidRPr="006519D0">
        <w:t xml:space="preserve"> povinností dle § 5</w:t>
      </w:r>
      <w:r w:rsidR="00C674C3" w:rsidRPr="006519D0">
        <w:t xml:space="preserve"> zákona</w:t>
      </w:r>
      <w:r w:rsidRPr="006519D0">
        <w:t xml:space="preserve"> se zjednoduší možnost nápravy při zjištění nesprávného označení výrobků nebo zařízení, které obsahují regulované látky, a tím se předejde přestupkovému řízení (bod </w:t>
      </w:r>
      <w:r w:rsidR="00C22B6F" w:rsidRPr="006519D0">
        <w:t>10</w:t>
      </w:r>
      <w:r w:rsidRPr="006519D0">
        <w:t>).</w:t>
      </w:r>
    </w:p>
    <w:p w14:paraId="241B434B" w14:textId="77777777" w:rsidR="00AB31F5" w:rsidRPr="006519D0" w:rsidRDefault="00AB31F5" w:rsidP="00AB31F5">
      <w:pPr>
        <w:spacing w:before="120"/>
        <w:rPr>
          <w:rFonts w:cs="Cambria"/>
          <w:b/>
        </w:rPr>
      </w:pPr>
    </w:p>
    <w:p w14:paraId="44F15A61" w14:textId="77777777" w:rsidR="00AB31F5" w:rsidRPr="006519D0" w:rsidRDefault="009731B0" w:rsidP="00AB31F5">
      <w:pPr>
        <w:spacing w:before="120"/>
        <w:rPr>
          <w:rFonts w:cs="Cambria"/>
          <w:b/>
          <w:u w:val="single"/>
        </w:rPr>
      </w:pPr>
      <w:r w:rsidRPr="006519D0">
        <w:rPr>
          <w:rFonts w:cs="Cambria"/>
          <w:b/>
          <w:u w:val="single"/>
        </w:rPr>
        <w:t>Dopady na mezinárodní konkurenceschopnost</w:t>
      </w:r>
    </w:p>
    <w:p w14:paraId="7A2515AC" w14:textId="77777777" w:rsidR="00AB31F5" w:rsidRPr="006519D0" w:rsidRDefault="009731B0" w:rsidP="00AB31F5">
      <w:pPr>
        <w:spacing w:before="120"/>
      </w:pPr>
      <w:r w:rsidRPr="006519D0">
        <w:t>Zaváděná agenda n</w:t>
      </w:r>
      <w:r w:rsidRPr="006519D0">
        <w:t xml:space="preserve">eovlivní konkurenceschopnost ČR. Nařízení EP a Rady (EU) </w:t>
      </w:r>
      <w:r w:rsidRPr="006519D0">
        <w:rPr>
          <w:rFonts w:cs="Arial"/>
          <w:szCs w:val="16"/>
        </w:rPr>
        <w:t xml:space="preserve">č. 1143/2014 a nařízení Rady (ES) č. 708/2007 </w:t>
      </w:r>
      <w:r w:rsidRPr="006519D0">
        <w:t>jsou účinná v rámci celé EU a podmínky tak budou pro všechny členské státy EU shodné.</w:t>
      </w:r>
    </w:p>
    <w:p w14:paraId="7BBD70E6" w14:textId="77777777" w:rsidR="00AB31F5" w:rsidRPr="006519D0" w:rsidRDefault="009731B0" w:rsidP="00AB31F5">
      <w:pPr>
        <w:spacing w:before="120"/>
      </w:pPr>
      <w:r w:rsidRPr="006519D0">
        <w:t xml:space="preserve"> </w:t>
      </w:r>
    </w:p>
    <w:p w14:paraId="2DA12CDB" w14:textId="77777777" w:rsidR="00AB31F5" w:rsidRPr="006519D0" w:rsidRDefault="009731B0" w:rsidP="00AB31F5">
      <w:pPr>
        <w:keepNext/>
        <w:spacing w:before="120"/>
        <w:rPr>
          <w:rFonts w:cs="Cambria"/>
          <w:b/>
          <w:u w:val="single"/>
        </w:rPr>
      </w:pPr>
      <w:r w:rsidRPr="006519D0">
        <w:rPr>
          <w:b/>
          <w:u w:val="single"/>
        </w:rPr>
        <w:t>Dopady na soukromé či podnikatelské subjekty</w:t>
      </w:r>
      <w:r w:rsidRPr="006519D0">
        <w:rPr>
          <w:rFonts w:cs="Cambria"/>
          <w:b/>
          <w:u w:val="single"/>
        </w:rPr>
        <w:t xml:space="preserve"> </w:t>
      </w:r>
    </w:p>
    <w:p w14:paraId="1B42866F" w14:textId="77777777" w:rsidR="00224C6F" w:rsidRPr="006519D0" w:rsidRDefault="009731B0" w:rsidP="00AB31F5">
      <w:pPr>
        <w:keepNext/>
        <w:spacing w:before="120"/>
        <w:rPr>
          <w:b/>
        </w:rPr>
      </w:pPr>
      <w:r w:rsidRPr="006519D0">
        <w:rPr>
          <w:b/>
        </w:rPr>
        <w:t xml:space="preserve">Prodloužení lhůty, </w:t>
      </w:r>
      <w:r w:rsidRPr="006519D0">
        <w:rPr>
          <w:rFonts w:cstheme="minorBidi"/>
          <w:b/>
        </w:rPr>
        <w:t>ve které musí být regulované látky předány ke zneškodnění</w:t>
      </w:r>
      <w:r w:rsidRPr="006519D0">
        <w:rPr>
          <w:rFonts w:cstheme="minorBidi"/>
        </w:rPr>
        <w:t xml:space="preserve"> (</w:t>
      </w:r>
      <w:r w:rsidR="007944D1" w:rsidRPr="006519D0">
        <w:rPr>
          <w:rFonts w:cstheme="minorBidi"/>
        </w:rPr>
        <w:t xml:space="preserve">z 9 </w:t>
      </w:r>
      <w:r w:rsidRPr="006519D0">
        <w:t>na </w:t>
      </w:r>
      <w:r w:rsidR="007944D1" w:rsidRPr="006519D0">
        <w:t>12</w:t>
      </w:r>
      <w:r w:rsidRPr="006519D0">
        <w:t xml:space="preserve"> měsíců), zajistí pro subjekty povinné předávat regulované látky ke zneškodnění, tak </w:t>
      </w:r>
      <w:r w:rsidR="007802C9" w:rsidRPr="006519D0">
        <w:t xml:space="preserve">i </w:t>
      </w:r>
      <w:r w:rsidRPr="006519D0">
        <w:t xml:space="preserve">pro osoby certifikované ke zneškodňování regulovaných látek vyšší ekonomickou přijatelnosti z důvodu </w:t>
      </w:r>
      <w:r w:rsidRPr="006519D0">
        <w:t>poklesu nákladů na odstraňování většího množství regulovaných látek (bod 2).</w:t>
      </w:r>
    </w:p>
    <w:p w14:paraId="622BFEA1" w14:textId="77777777" w:rsidR="00224C6F" w:rsidRPr="006519D0" w:rsidRDefault="009731B0" w:rsidP="00AB31F5">
      <w:pPr>
        <w:keepNext/>
        <w:spacing w:before="120"/>
        <w:rPr>
          <w:rFonts w:cs="Cambria"/>
          <w:b/>
          <w:u w:val="single"/>
        </w:rPr>
      </w:pPr>
      <w:r w:rsidRPr="006519D0">
        <w:rPr>
          <w:b/>
        </w:rPr>
        <w:t>Zneškodňování</w:t>
      </w:r>
      <w:r w:rsidR="00C930A2" w:rsidRPr="006519D0">
        <w:rPr>
          <w:b/>
        </w:rPr>
        <w:t xml:space="preserve"> regeneraci</w:t>
      </w:r>
      <w:r w:rsidRPr="006519D0">
        <w:rPr>
          <w:b/>
        </w:rPr>
        <w:t xml:space="preserve"> F-plynů</w:t>
      </w:r>
      <w:r w:rsidRPr="006519D0">
        <w:t xml:space="preserve"> bude možné vykonávat pouze na základě vydaného </w:t>
      </w:r>
      <w:r w:rsidRPr="006519D0">
        <w:rPr>
          <w:b/>
        </w:rPr>
        <w:t>povolení</w:t>
      </w:r>
      <w:r w:rsidRPr="006519D0">
        <w:t xml:space="preserve">. Administrativní zátěž v souvislosti se získáním nového povolení činí </w:t>
      </w:r>
      <w:r w:rsidR="007F7DEA" w:rsidRPr="006519D0">
        <w:br/>
      </w:r>
      <w:r w:rsidRPr="006519D0">
        <w:lastRenderedPageBreak/>
        <w:t>cca 500 Kč/povolení</w:t>
      </w:r>
      <w:r w:rsidR="007F7DEA" w:rsidRPr="006519D0">
        <w:t xml:space="preserve"> </w:t>
      </w:r>
      <w:r w:rsidRPr="006519D0">
        <w:t xml:space="preserve">a 1000 Kč jako správní poplatek za podanou žádost, přičemž </w:t>
      </w:r>
      <w:r w:rsidR="007F7DEA" w:rsidRPr="006519D0">
        <w:t xml:space="preserve">v současnosti se jedná pouze </w:t>
      </w:r>
      <w:r w:rsidRPr="006519D0">
        <w:t xml:space="preserve">o </w:t>
      </w:r>
      <w:r w:rsidR="00C930A2" w:rsidRPr="006519D0">
        <w:t xml:space="preserve">jednotky </w:t>
      </w:r>
      <w:r w:rsidRPr="006519D0">
        <w:t>subjekt</w:t>
      </w:r>
      <w:r w:rsidR="00C930A2" w:rsidRPr="006519D0">
        <w:t>ů</w:t>
      </w:r>
      <w:r w:rsidRPr="006519D0">
        <w:t>, který se zabývá touto činností (bod 3).</w:t>
      </w:r>
    </w:p>
    <w:p w14:paraId="4CD44A11" w14:textId="77777777" w:rsidR="00C22B6F" w:rsidRPr="006519D0" w:rsidRDefault="009731B0" w:rsidP="00AB31F5">
      <w:pPr>
        <w:spacing w:before="120"/>
        <w:rPr>
          <w:szCs w:val="20"/>
        </w:rPr>
      </w:pPr>
      <w:r w:rsidRPr="006519D0">
        <w:t xml:space="preserve">V souvislosti se </w:t>
      </w:r>
      <w:r w:rsidRPr="006519D0">
        <w:rPr>
          <w:b/>
        </w:rPr>
        <w:t>zjednodušením systému certifikace</w:t>
      </w:r>
      <w:r w:rsidRPr="006519D0">
        <w:t xml:space="preserve"> </w:t>
      </w:r>
      <w:r w:rsidRPr="006519D0">
        <w:rPr>
          <w:rFonts w:eastAsiaTheme="minorEastAsia"/>
          <w:szCs w:val="22"/>
          <w:lang w:eastAsia="cs-CZ"/>
        </w:rPr>
        <w:t>v oblasti nakládání s regulovanými látkami a F-plyny</w:t>
      </w:r>
      <w:r w:rsidRPr="006519D0">
        <w:t xml:space="preserve"> se</w:t>
      </w:r>
      <w:r w:rsidRPr="006519D0">
        <w:t xml:space="preserve"> očekává snížení administrativní zátěže žadatele o 150 Kč/certifikát a úsporu 1000 Kč/žádost za správní poplatek. Zároveň se zkrátí doba vydání certifikátu. U hodnotících subjektů zůstane administrativní zátěž nezměněná, neboť </w:t>
      </w:r>
      <w:r w:rsidRPr="006519D0">
        <w:rPr>
          <w:szCs w:val="20"/>
        </w:rPr>
        <w:t xml:space="preserve">nebudou zpracovávat </w:t>
      </w:r>
      <w:r w:rsidRPr="006519D0">
        <w:t>osvědčení</w:t>
      </w:r>
      <w:r w:rsidRPr="006519D0">
        <w:t xml:space="preserve"> o absolvování certifikační zkoušky, ale nově </w:t>
      </w:r>
      <w:r w:rsidRPr="006519D0">
        <w:rPr>
          <w:szCs w:val="20"/>
        </w:rPr>
        <w:t xml:space="preserve">budou vydávat certifikát </w:t>
      </w:r>
      <w:r w:rsidRPr="006519D0">
        <w:t xml:space="preserve">(bod </w:t>
      </w:r>
      <w:r w:rsidR="006B120A" w:rsidRPr="006519D0">
        <w:t>6</w:t>
      </w:r>
      <w:r w:rsidRPr="006519D0">
        <w:t>)</w:t>
      </w:r>
      <w:r w:rsidR="00224C6F" w:rsidRPr="006519D0">
        <w:rPr>
          <w:szCs w:val="20"/>
        </w:rPr>
        <w:t>.</w:t>
      </w:r>
    </w:p>
    <w:p w14:paraId="072A5761" w14:textId="77777777" w:rsidR="00AB31F5" w:rsidRPr="006519D0" w:rsidRDefault="009731B0" w:rsidP="00AB31F5">
      <w:pPr>
        <w:spacing w:before="120"/>
      </w:pPr>
      <w:r w:rsidRPr="006519D0">
        <w:t xml:space="preserve">Subjekty, které nakládají s F-plyny, budou nově </w:t>
      </w:r>
      <w:r w:rsidRPr="006519D0">
        <w:rPr>
          <w:b/>
        </w:rPr>
        <w:t>podávat zprávu o F-plynech</w:t>
      </w:r>
      <w:r w:rsidRPr="006519D0">
        <w:t>, které jsou součástí zařízení. Tím dojde k mírnému zvýšení administrativní zátěže o cca 12 tis. Kč/ro</w:t>
      </w:r>
      <w:r w:rsidRPr="006519D0">
        <w:t xml:space="preserve">k </w:t>
      </w:r>
      <w:r w:rsidR="00CA3692" w:rsidRPr="006519D0">
        <w:br/>
      </w:r>
      <w:r w:rsidRPr="006519D0">
        <w:t>(80 subjektů), z toho 7 500 Kč/rok činí administrativní zátěž subjektů (50 osob), kteří budou zprávu podávat nově</w:t>
      </w:r>
      <w:r w:rsidR="00130BF0" w:rsidRPr="006519D0">
        <w:t xml:space="preserve">. Celková administrativní zátěž subjektů regenerujících F-plyny bude </w:t>
      </w:r>
      <w:r w:rsidR="007F7DEA" w:rsidRPr="006519D0">
        <w:br/>
      </w:r>
      <w:r w:rsidR="00130BF0" w:rsidRPr="006519D0">
        <w:t>cca 750 Kč/rok</w:t>
      </w:r>
      <w:r w:rsidRPr="006519D0">
        <w:t xml:space="preserve"> (bod </w:t>
      </w:r>
      <w:r w:rsidR="00C22B6F" w:rsidRPr="006519D0">
        <w:t>7</w:t>
      </w:r>
      <w:r w:rsidR="00224C6F" w:rsidRPr="006519D0">
        <w:t>).</w:t>
      </w:r>
    </w:p>
    <w:p w14:paraId="7E66D89C" w14:textId="77777777" w:rsidR="00AB31F5" w:rsidRPr="006519D0" w:rsidRDefault="009731B0" w:rsidP="00AB31F5">
      <w:pPr>
        <w:spacing w:before="120"/>
        <w:rPr>
          <w:szCs w:val="22"/>
        </w:rPr>
      </w:pPr>
      <w:r w:rsidRPr="006519D0">
        <w:rPr>
          <w:szCs w:val="22"/>
        </w:rPr>
        <w:t xml:space="preserve">Snížením limitu pro podávání zpráv </w:t>
      </w:r>
      <w:r w:rsidRPr="006519D0">
        <w:t>o nakládání</w:t>
      </w:r>
      <w:r w:rsidRPr="006519D0">
        <w:t xml:space="preserve"> s F-plyny</w:t>
      </w:r>
      <w:r w:rsidRPr="006519D0">
        <w:rPr>
          <w:szCs w:val="22"/>
        </w:rPr>
        <w:t xml:space="preserve"> z 200 tun ekvivalentu CO</w:t>
      </w:r>
      <w:r w:rsidRPr="006519D0">
        <w:rPr>
          <w:szCs w:val="22"/>
          <w:vertAlign w:val="subscript"/>
        </w:rPr>
        <w:t>2</w:t>
      </w:r>
      <w:r w:rsidRPr="006519D0">
        <w:rPr>
          <w:szCs w:val="22"/>
        </w:rPr>
        <w:t xml:space="preserve"> </w:t>
      </w:r>
      <w:r w:rsidR="00A1507B" w:rsidRPr="006519D0">
        <w:rPr>
          <w:szCs w:val="22"/>
        </w:rPr>
        <w:br/>
      </w:r>
      <w:r w:rsidRPr="006519D0">
        <w:rPr>
          <w:szCs w:val="22"/>
        </w:rPr>
        <w:t>na 100 tun ekvivalentu CO</w:t>
      </w:r>
      <w:r w:rsidRPr="006519D0">
        <w:rPr>
          <w:szCs w:val="22"/>
          <w:vertAlign w:val="subscript"/>
        </w:rPr>
        <w:t>2</w:t>
      </w:r>
      <w:r w:rsidRPr="006519D0">
        <w:rPr>
          <w:szCs w:val="22"/>
        </w:rPr>
        <w:t xml:space="preserve">, dojde k </w:t>
      </w:r>
      <w:r w:rsidRPr="006519D0">
        <w:t xml:space="preserve">mírnému zvýšení počtu subjektů, na které se tato povinnost bude vztahovat, identifikován je však nárůst maximálně v řádu jednotek. Administrativní zátěž spojená s podáváním zpráv se </w:t>
      </w:r>
      <w:r w:rsidRPr="006519D0">
        <w:t xml:space="preserve">odhaduje na cca 150 Kč/subjekt a rok </w:t>
      </w:r>
      <w:r w:rsidRPr="006519D0">
        <w:rPr>
          <w:szCs w:val="22"/>
        </w:rPr>
        <w:t xml:space="preserve">(bod </w:t>
      </w:r>
      <w:r w:rsidR="00C22B6F" w:rsidRPr="006519D0">
        <w:rPr>
          <w:szCs w:val="22"/>
        </w:rPr>
        <w:t>8</w:t>
      </w:r>
      <w:r w:rsidRPr="006519D0">
        <w:rPr>
          <w:szCs w:val="22"/>
        </w:rPr>
        <w:t>).</w:t>
      </w:r>
    </w:p>
    <w:p w14:paraId="4A90D79A" w14:textId="77777777" w:rsidR="00AB31F5" w:rsidRPr="006519D0" w:rsidRDefault="009731B0" w:rsidP="00AB31F5">
      <w:pPr>
        <w:spacing w:before="120"/>
        <w:rPr>
          <w:szCs w:val="22"/>
        </w:rPr>
      </w:pPr>
      <w:r w:rsidRPr="006519D0">
        <w:rPr>
          <w:b/>
        </w:rPr>
        <w:t>Zúžením informačního systému</w:t>
      </w:r>
      <w:r w:rsidRPr="006519D0">
        <w:t xml:space="preserve">, aby neobsahoval data </w:t>
      </w:r>
      <w:r w:rsidRPr="006519D0">
        <w:rPr>
          <w:szCs w:val="22"/>
        </w:rPr>
        <w:t>o certifikovaných osobách a osobách, kterým bylo vydáno osvědčení o školení</w:t>
      </w:r>
      <w:r w:rsidRPr="006519D0">
        <w:t>, zanikne atestačním subjektům povinnost poskytovat MŽP údaje o těchto osobách, a tí</w:t>
      </w:r>
      <w:r w:rsidRPr="006519D0">
        <w:t xml:space="preserve">m dojde ke snížení administrativní zátěže o 35 900 Kč/rok (bod </w:t>
      </w:r>
      <w:r w:rsidR="00C22B6F" w:rsidRPr="006519D0">
        <w:t>9</w:t>
      </w:r>
      <w:r w:rsidRPr="006519D0">
        <w:t>).</w:t>
      </w:r>
    </w:p>
    <w:p w14:paraId="31ABFD65" w14:textId="77777777" w:rsidR="00AB31F5" w:rsidRPr="006519D0" w:rsidRDefault="00AB31F5" w:rsidP="00AB31F5">
      <w:pPr>
        <w:spacing w:before="120" w:line="240" w:lineRule="auto"/>
        <w:rPr>
          <w:b/>
        </w:rPr>
      </w:pPr>
    </w:p>
    <w:p w14:paraId="2E24EC5A" w14:textId="77777777" w:rsidR="00AB31F5" w:rsidRPr="006519D0" w:rsidRDefault="009731B0" w:rsidP="00AB31F5">
      <w:pPr>
        <w:spacing w:before="120" w:line="240" w:lineRule="auto"/>
        <w:rPr>
          <w:b/>
          <w:u w:val="single"/>
        </w:rPr>
      </w:pPr>
      <w:r w:rsidRPr="006519D0">
        <w:rPr>
          <w:b/>
          <w:u w:val="single"/>
        </w:rPr>
        <w:t>Dopady na územní samosprávné celky (obce, kraje)</w:t>
      </w:r>
    </w:p>
    <w:p w14:paraId="598BF84F" w14:textId="77777777" w:rsidR="007C1484" w:rsidRPr="006519D0" w:rsidRDefault="009731B0" w:rsidP="007C1484">
      <w:r w:rsidRPr="006519D0">
        <w:t>Návrh zákona nebude mít dopady na územní samosprávní celky</w:t>
      </w:r>
      <w:r w:rsidRPr="006519D0">
        <w:rPr>
          <w:rFonts w:cs="Arial"/>
          <w:color w:val="000000"/>
          <w:szCs w:val="22"/>
          <w:lang w:eastAsia="cs-CZ"/>
        </w:rPr>
        <w:t>.</w:t>
      </w:r>
    </w:p>
    <w:p w14:paraId="69C1D0B4" w14:textId="77777777" w:rsidR="00AB31F5" w:rsidRPr="006519D0" w:rsidRDefault="009731B0" w:rsidP="00AB31F5">
      <w:pPr>
        <w:spacing w:before="120"/>
        <w:rPr>
          <w:szCs w:val="22"/>
        </w:rPr>
      </w:pPr>
      <w:r w:rsidRPr="006519D0">
        <w:rPr>
          <w:rFonts w:eastAsia="MS Mincho" w:cs="Arial"/>
          <w:bCs/>
          <w:sz w:val="24"/>
        </w:rPr>
        <w:t xml:space="preserve"> </w:t>
      </w:r>
      <w:r w:rsidRPr="006519D0">
        <w:rPr>
          <w:b/>
          <w:szCs w:val="22"/>
        </w:rPr>
        <w:t xml:space="preserve"> </w:t>
      </w:r>
    </w:p>
    <w:p w14:paraId="4B7079B5" w14:textId="77777777" w:rsidR="00AB31F5" w:rsidRPr="006519D0" w:rsidRDefault="009731B0" w:rsidP="00D216EF">
      <w:pPr>
        <w:keepNext/>
        <w:spacing w:before="120" w:line="240" w:lineRule="auto"/>
        <w:rPr>
          <w:rFonts w:cs="Cambria"/>
          <w:b/>
          <w:u w:val="single"/>
        </w:rPr>
      </w:pPr>
      <w:r w:rsidRPr="006519D0">
        <w:rPr>
          <w:rFonts w:cs="Cambria"/>
          <w:b/>
          <w:u w:val="single"/>
        </w:rPr>
        <w:t>Dopady na spotřebitele</w:t>
      </w:r>
    </w:p>
    <w:p w14:paraId="34F9F94F" w14:textId="77777777" w:rsidR="00AB31F5" w:rsidRPr="006519D0" w:rsidRDefault="009731B0" w:rsidP="00AB31F5">
      <w:pPr>
        <w:spacing w:before="120"/>
      </w:pPr>
      <w:r w:rsidRPr="006519D0">
        <w:t>Návrh zákona nebude mít dopady na spotřebitele.</w:t>
      </w:r>
    </w:p>
    <w:p w14:paraId="74DE1C65" w14:textId="77777777" w:rsidR="00AB31F5" w:rsidRPr="006519D0" w:rsidRDefault="00AB31F5" w:rsidP="00AB31F5">
      <w:pPr>
        <w:spacing w:before="120" w:line="240" w:lineRule="auto"/>
        <w:rPr>
          <w:rFonts w:cs="Cambria"/>
          <w:b/>
        </w:rPr>
      </w:pPr>
    </w:p>
    <w:p w14:paraId="07F44096" w14:textId="77777777" w:rsidR="00AB31F5" w:rsidRPr="006519D0" w:rsidRDefault="009731B0" w:rsidP="00303FD1">
      <w:pPr>
        <w:keepNext/>
        <w:spacing w:before="120" w:line="240" w:lineRule="auto"/>
        <w:rPr>
          <w:rFonts w:cs="Cambria"/>
          <w:b/>
          <w:u w:val="single"/>
        </w:rPr>
      </w:pPr>
      <w:r w:rsidRPr="006519D0">
        <w:rPr>
          <w:rFonts w:cs="Cambria"/>
          <w:b/>
          <w:u w:val="single"/>
        </w:rPr>
        <w:t>Sociální dopady</w:t>
      </w:r>
    </w:p>
    <w:p w14:paraId="405E7191" w14:textId="77777777" w:rsidR="007C1484" w:rsidRPr="006519D0" w:rsidRDefault="009731B0" w:rsidP="007C1484">
      <w:r w:rsidRPr="006519D0">
        <w:t>Návrh zákona neupravuje vztahy, které by měly dopad na rodiny či specifické sociální skupiny obyvatel ani jejich práva, např. sociálně slabé, osoby se zdravotním postižením, národnostní menšiny či sociálně vyloučené osoby. Návrh zákona takt</w:t>
      </w:r>
      <w:r w:rsidRPr="006519D0">
        <w:t>éž neupravuje vztahy, které by se dotýkaly sociální rovnosti, pracovně právních vztahů, sociálního začleňování, sdružování, práv menšin, sociálního dialogu, soukromí a ochrany osobních údajů.</w:t>
      </w:r>
    </w:p>
    <w:p w14:paraId="02378E90" w14:textId="77777777" w:rsidR="00AB31F5" w:rsidRPr="006519D0" w:rsidRDefault="00AB31F5" w:rsidP="00AB31F5">
      <w:pPr>
        <w:spacing w:before="120" w:line="240" w:lineRule="auto"/>
        <w:rPr>
          <w:rFonts w:cs="Cambria"/>
          <w:b/>
        </w:rPr>
      </w:pPr>
    </w:p>
    <w:p w14:paraId="2864D759" w14:textId="77777777" w:rsidR="00AB31F5" w:rsidRPr="006519D0" w:rsidRDefault="009731B0" w:rsidP="00224C6F">
      <w:pPr>
        <w:keepNext/>
        <w:spacing w:before="120" w:line="240" w:lineRule="auto"/>
        <w:rPr>
          <w:rFonts w:cs="Cambria"/>
          <w:b/>
          <w:u w:val="single"/>
        </w:rPr>
      </w:pPr>
      <w:r w:rsidRPr="006519D0">
        <w:rPr>
          <w:rFonts w:cs="Cambria"/>
          <w:b/>
          <w:u w:val="single"/>
        </w:rPr>
        <w:t>Dopady na životní prostředí</w:t>
      </w:r>
    </w:p>
    <w:p w14:paraId="3FA62B2E" w14:textId="77777777" w:rsidR="00AB31F5" w:rsidRPr="006519D0" w:rsidRDefault="009731B0" w:rsidP="00AB31F5">
      <w:pPr>
        <w:spacing w:before="120"/>
      </w:pPr>
      <w:r w:rsidRPr="006519D0">
        <w:t>Zneškodňování</w:t>
      </w:r>
      <w:r w:rsidR="00613AC5" w:rsidRPr="006519D0">
        <w:t xml:space="preserve"> a regeneraci</w:t>
      </w:r>
      <w:r w:rsidRPr="006519D0">
        <w:t xml:space="preserve"> F-plynů </w:t>
      </w:r>
      <w:r w:rsidRPr="006519D0">
        <w:t xml:space="preserve">budou provádět pouze osoby s platným povolením, čímž bude zajištěno kvalifikované zacházení s F-plyny v rámci procesu zneškodňování </w:t>
      </w:r>
      <w:r w:rsidR="007F7DEA" w:rsidRPr="006519D0">
        <w:br/>
      </w:r>
      <w:r w:rsidR="00613AC5" w:rsidRPr="006519D0">
        <w:t xml:space="preserve">a regenerace </w:t>
      </w:r>
      <w:r w:rsidRPr="006519D0">
        <w:t xml:space="preserve">a bude tedy minimalizováno riziko úniku F-plynů do ovzduší (bod </w:t>
      </w:r>
      <w:r w:rsidR="00224C6F" w:rsidRPr="006519D0">
        <w:t>3</w:t>
      </w:r>
      <w:r w:rsidRPr="006519D0">
        <w:t>).</w:t>
      </w:r>
    </w:p>
    <w:p w14:paraId="64D356E1" w14:textId="77777777" w:rsidR="00AB31F5" w:rsidRPr="006519D0" w:rsidRDefault="009731B0" w:rsidP="000D6100">
      <w:pPr>
        <w:spacing w:before="120"/>
        <w:rPr>
          <w:rFonts w:eastAsiaTheme="minorEastAsia"/>
          <w:szCs w:val="22"/>
          <w:lang w:eastAsia="cs-CZ"/>
        </w:rPr>
      </w:pPr>
      <w:r w:rsidRPr="006519D0">
        <w:t xml:space="preserve">Zavedením </w:t>
      </w:r>
      <w:r w:rsidRPr="006519D0">
        <w:rPr>
          <w:b/>
        </w:rPr>
        <w:t xml:space="preserve">všeobecného zákazu dispozicí </w:t>
      </w:r>
      <w:r w:rsidRPr="006519D0">
        <w:t>(za</w:t>
      </w:r>
      <w:r w:rsidRPr="006519D0">
        <w:t xml:space="preserve">hrnující uvádění na trh, nakládání, převod, skladování apod.) </w:t>
      </w:r>
      <w:r w:rsidRPr="006519D0">
        <w:rPr>
          <w:b/>
        </w:rPr>
        <w:t>s nádobami na jednorázové použití obsahujícími F-plyny</w:t>
      </w:r>
      <w:r w:rsidRPr="006519D0">
        <w:t xml:space="preserve"> na území ČR </w:t>
      </w:r>
      <w:r w:rsidRPr="006519D0">
        <w:lastRenderedPageBreak/>
        <w:t>lze očekávat zamezení černého trhu s těmito lahvemi, a tím i snížení rizika nekontrolovaných úniků F-plynů do ovzduší při jejic</w:t>
      </w:r>
      <w:r w:rsidRPr="006519D0">
        <w:t xml:space="preserve">h užívání a následné environmentální důsledky těchto úniků. Zároveň lze očekávat, že redukcí až eliminací černého trhu se zakázanými nádobami </w:t>
      </w:r>
      <w:r w:rsidRPr="006519D0">
        <w:rPr>
          <w:rFonts w:eastAsiaTheme="minorEastAsia"/>
          <w:szCs w:val="22"/>
          <w:lang w:eastAsia="cs-CZ"/>
        </w:rPr>
        <w:t>na jednorázové použití obsahujícími F-plyny dojde k dalšímu žádoucímu rozvoji alternativních chladiv s nízkým glob</w:t>
      </w:r>
      <w:r w:rsidRPr="006519D0">
        <w:rPr>
          <w:rFonts w:eastAsiaTheme="minorEastAsia"/>
          <w:szCs w:val="22"/>
          <w:lang w:eastAsia="cs-CZ"/>
        </w:rPr>
        <w:t xml:space="preserve">al warming potencial (GWP) a investic do rozvoje tohoto odvětví (bod </w:t>
      </w:r>
      <w:r w:rsidR="00224C6F" w:rsidRPr="006519D0">
        <w:rPr>
          <w:rFonts w:eastAsiaTheme="minorEastAsia"/>
          <w:szCs w:val="22"/>
          <w:lang w:eastAsia="cs-CZ"/>
        </w:rPr>
        <w:t>4</w:t>
      </w:r>
      <w:r w:rsidRPr="006519D0">
        <w:rPr>
          <w:rFonts w:eastAsiaTheme="minorEastAsia"/>
          <w:szCs w:val="22"/>
          <w:lang w:eastAsia="cs-CZ"/>
        </w:rPr>
        <w:t>).</w:t>
      </w:r>
    </w:p>
    <w:p w14:paraId="1AB8E768" w14:textId="77777777" w:rsidR="000269CD" w:rsidRPr="006519D0" w:rsidRDefault="009731B0" w:rsidP="000D6100">
      <w:pPr>
        <w:spacing w:before="120"/>
        <w:rPr>
          <w:rFonts w:eastAsiaTheme="minorEastAsia"/>
          <w:szCs w:val="22"/>
          <w:lang w:eastAsia="cs-CZ"/>
        </w:rPr>
      </w:pPr>
      <w:r w:rsidRPr="006519D0">
        <w:t xml:space="preserve">Zavedení povinnosti pro dovozce uvádět do celního prohlášení </w:t>
      </w:r>
      <w:r w:rsidRPr="006519D0">
        <w:rPr>
          <w:b/>
        </w:rPr>
        <w:t xml:space="preserve">množství dovážených </w:t>
      </w:r>
      <w:r w:rsidR="000D6100" w:rsidRPr="006519D0">
        <w:rPr>
          <w:b/>
        </w:rPr>
        <w:br/>
      </w:r>
      <w:r w:rsidRPr="006519D0">
        <w:rPr>
          <w:b/>
        </w:rPr>
        <w:t>F-plynů v ekvivalentu CO</w:t>
      </w:r>
      <w:r w:rsidRPr="006519D0">
        <w:rPr>
          <w:b/>
          <w:vertAlign w:val="subscript"/>
        </w:rPr>
        <w:t>2</w:t>
      </w:r>
      <w:r w:rsidRPr="006519D0">
        <w:t xml:space="preserve">, </w:t>
      </w:r>
      <w:r w:rsidR="00AB31F5" w:rsidRPr="006519D0">
        <w:rPr>
          <w:rFonts w:eastAsiaTheme="minorEastAsia"/>
          <w:szCs w:val="22"/>
          <w:lang w:eastAsia="cs-CZ"/>
        </w:rPr>
        <w:t xml:space="preserve">umožní celním úřadům provést řádnou celní kontrolu, konkrétně kontrolu dodržování přidělených kvót pro dovoz F-plynů nebo dovozem způsobené překročení přímo použitelným předpisem EU stanoveného limitu pro vznik povinnosti požádat o přidělení kvót. Z toho důvodu nebude nadále docházet k nekontrolovanému a nadměrnému dovozu </w:t>
      </w:r>
      <w:r w:rsidR="000D6100" w:rsidRPr="006519D0">
        <w:rPr>
          <w:rFonts w:eastAsiaTheme="minorEastAsia"/>
          <w:szCs w:val="22"/>
          <w:lang w:eastAsia="cs-CZ"/>
        </w:rPr>
        <w:br/>
      </w:r>
      <w:r w:rsidR="00AB31F5" w:rsidRPr="006519D0">
        <w:rPr>
          <w:rFonts w:eastAsiaTheme="minorEastAsia"/>
          <w:szCs w:val="22"/>
          <w:lang w:eastAsia="cs-CZ"/>
        </w:rPr>
        <w:t>F-plynů na území ČR. Dovezené F-plyny budou podléhat řádné regulaci a nebude docházet k nekvalifikovanému zacházení, které by mohlo mít za důsledek např. únik F-plynů do ovzduší</w:t>
      </w:r>
      <w:r w:rsidR="00BE0F6C" w:rsidRPr="006519D0">
        <w:rPr>
          <w:rFonts w:eastAsiaTheme="minorEastAsia"/>
          <w:szCs w:val="22"/>
          <w:lang w:eastAsia="cs-CZ"/>
        </w:rPr>
        <w:t>,</w:t>
      </w:r>
      <w:r w:rsidR="00AB31F5" w:rsidRPr="006519D0">
        <w:rPr>
          <w:rFonts w:eastAsiaTheme="minorEastAsia"/>
          <w:szCs w:val="22"/>
          <w:lang w:eastAsia="cs-CZ"/>
        </w:rPr>
        <w:t xml:space="preserve"> a s tím sp</w:t>
      </w:r>
      <w:r w:rsidRPr="006519D0">
        <w:rPr>
          <w:rFonts w:eastAsiaTheme="minorEastAsia"/>
          <w:szCs w:val="22"/>
          <w:lang w:eastAsia="cs-CZ"/>
        </w:rPr>
        <w:t xml:space="preserve">ojené environmentální následky </w:t>
      </w:r>
      <w:r w:rsidR="00AB31F5" w:rsidRPr="006519D0">
        <w:rPr>
          <w:rFonts w:eastAsiaTheme="minorEastAsia"/>
          <w:szCs w:val="22"/>
          <w:lang w:eastAsia="cs-CZ"/>
        </w:rPr>
        <w:t xml:space="preserve">(bod </w:t>
      </w:r>
      <w:r w:rsidR="00224C6F" w:rsidRPr="006519D0">
        <w:rPr>
          <w:rFonts w:eastAsiaTheme="minorEastAsia"/>
          <w:szCs w:val="22"/>
          <w:lang w:eastAsia="cs-CZ"/>
        </w:rPr>
        <w:t>5</w:t>
      </w:r>
      <w:r w:rsidR="00AB31F5" w:rsidRPr="006519D0">
        <w:rPr>
          <w:rFonts w:eastAsiaTheme="minorEastAsia"/>
          <w:szCs w:val="22"/>
          <w:lang w:eastAsia="cs-CZ"/>
        </w:rPr>
        <w:t>).</w:t>
      </w:r>
    </w:p>
    <w:p w14:paraId="42924950" w14:textId="77777777" w:rsidR="00224C6F" w:rsidRPr="006519D0" w:rsidRDefault="009731B0" w:rsidP="000D6100">
      <w:pPr>
        <w:spacing w:before="120"/>
      </w:pPr>
      <w:r w:rsidRPr="006519D0">
        <w:t>Podle Kjótského protokolu s</w:t>
      </w:r>
      <w:r w:rsidRPr="006519D0">
        <w:t>e emise F-plynů započítávají do limitů snížení emisí skleníkových plynů, proto je potřebné znát jejich bilanci. Očekáváme pozitivní dopady na životní prostředí v důsledku komplexního podávání zpráv o F-plynech obsažených v</w:t>
      </w:r>
      <w:r w:rsidR="00A8389C" w:rsidRPr="006519D0">
        <w:t> </w:t>
      </w:r>
      <w:r w:rsidRPr="006519D0">
        <w:t>zařízeních</w:t>
      </w:r>
      <w:r w:rsidR="00A8389C" w:rsidRPr="006519D0">
        <w:t xml:space="preserve"> </w:t>
      </w:r>
      <w:r w:rsidR="007F7DEA" w:rsidRPr="006519D0">
        <w:br/>
      </w:r>
      <w:r w:rsidR="00A8389C" w:rsidRPr="006519D0">
        <w:t>a o regenerovaných F-plynech</w:t>
      </w:r>
      <w:r w:rsidRPr="006519D0">
        <w:t xml:space="preserve"> a navazujících efektivnějších kontrol z důvodu lepší informovanosti o pohybu F-plynů obsažených v</w:t>
      </w:r>
      <w:r w:rsidR="00A8389C" w:rsidRPr="006519D0">
        <w:t> </w:t>
      </w:r>
      <w:r w:rsidRPr="006519D0">
        <w:t>zařízení</w:t>
      </w:r>
      <w:r w:rsidR="00A8389C" w:rsidRPr="006519D0">
        <w:t xml:space="preserve"> a množství regenerovaných F-plynů</w:t>
      </w:r>
      <w:r w:rsidRPr="006519D0">
        <w:t>. Stejně tak zvýšením transparentnosti při nakládání s F-plyny a zjednodušením kontrolní činnost se zvýší vy</w:t>
      </w:r>
      <w:r w:rsidRPr="006519D0">
        <w:t xml:space="preserve">mahatelnost zákonných ustanovení ohledně nakládání s F-plyny, což bude mít pozitivní dopad na životní prostředí (bod </w:t>
      </w:r>
      <w:r w:rsidR="00C22B6F" w:rsidRPr="006519D0">
        <w:t>7</w:t>
      </w:r>
      <w:r w:rsidRPr="006519D0">
        <w:t>).</w:t>
      </w:r>
    </w:p>
    <w:p w14:paraId="01135550" w14:textId="77777777" w:rsidR="00AB31F5" w:rsidRPr="006519D0" w:rsidRDefault="00AB31F5" w:rsidP="000D6100">
      <w:pPr>
        <w:keepNext/>
        <w:spacing w:before="120"/>
        <w:rPr>
          <w:rFonts w:eastAsiaTheme="minorEastAsia"/>
          <w:szCs w:val="22"/>
          <w:lang w:eastAsia="cs-CZ"/>
        </w:rPr>
      </w:pPr>
    </w:p>
    <w:p w14:paraId="5DBC89F8" w14:textId="77777777" w:rsidR="00AB31F5" w:rsidRPr="006519D0" w:rsidRDefault="009731B0" w:rsidP="00AB31F5">
      <w:pPr>
        <w:keepNext/>
        <w:spacing w:before="120" w:line="240" w:lineRule="auto"/>
        <w:rPr>
          <w:rFonts w:cs="Cambria"/>
          <w:b/>
          <w:u w:val="single"/>
        </w:rPr>
      </w:pPr>
      <w:r w:rsidRPr="006519D0">
        <w:rPr>
          <w:rFonts w:cs="Cambria"/>
          <w:b/>
          <w:u w:val="single"/>
        </w:rPr>
        <w:t>Dopady ve vztahu k zákazu diskriminace a ve vztahu k rovnosti žen a mužů</w:t>
      </w:r>
    </w:p>
    <w:p w14:paraId="2505D9DF" w14:textId="77777777" w:rsidR="002F0883" w:rsidRPr="006519D0" w:rsidRDefault="009731B0" w:rsidP="00480EE8">
      <w:pPr>
        <w:spacing w:before="120"/>
      </w:pPr>
      <w:r w:rsidRPr="006519D0">
        <w:t>Platná právní úprava v oblasti látek, které poškozují ozonovo</w:t>
      </w:r>
      <w:r w:rsidRPr="006519D0">
        <w:t>u vrstvu, a fluorovaných skleníkových plynů neupravuje vztahy, které by se dotýkaly zákazu diskriminace (ve smyslu antidiskriminačního zákona jde o nerovné zacházení či znevýhodnění některé osoby z důvodu rasy, etnického původu, národnosti, pohlaví, sexuál</w:t>
      </w:r>
      <w:r w:rsidRPr="006519D0">
        <w:t>ní orientace, věku, zdravotního postižení, náboženského vyznání, víry či světového názoru). Takové vztahy neupravuje ani navrhovaná právní úprava, proto lze konstatovat, že navrhované řešení nemá žádné dopady ve vztahu k zákazu diskriminace, včetně rovného</w:t>
      </w:r>
      <w:r w:rsidRPr="006519D0">
        <w:t xml:space="preserve"> postavení mužů a žen.</w:t>
      </w:r>
    </w:p>
    <w:p w14:paraId="6C83F8BB" w14:textId="77777777" w:rsidR="00480EE8" w:rsidRPr="006519D0" w:rsidRDefault="00480EE8" w:rsidP="00480EE8">
      <w:pPr>
        <w:spacing w:before="120"/>
        <w:rPr>
          <w:rFonts w:cs="Cambria"/>
          <w:b/>
        </w:rPr>
      </w:pPr>
    </w:p>
    <w:p w14:paraId="1DEA0B08" w14:textId="77777777" w:rsidR="00AB31F5" w:rsidRPr="006519D0" w:rsidRDefault="009731B0" w:rsidP="00AB31F5">
      <w:pPr>
        <w:spacing w:before="120" w:line="240" w:lineRule="auto"/>
        <w:rPr>
          <w:rFonts w:cs="Cambria"/>
          <w:b/>
          <w:u w:val="single"/>
        </w:rPr>
      </w:pPr>
      <w:r w:rsidRPr="006519D0">
        <w:rPr>
          <w:rFonts w:cs="Cambria"/>
          <w:b/>
          <w:u w:val="single"/>
        </w:rPr>
        <w:t>Dopady na výkon státní statistické služby</w:t>
      </w:r>
    </w:p>
    <w:p w14:paraId="36B5F75E" w14:textId="77777777" w:rsidR="00AB31F5" w:rsidRPr="006519D0" w:rsidRDefault="009731B0" w:rsidP="000D6100">
      <w:pPr>
        <w:spacing w:before="120"/>
      </w:pPr>
      <w:r w:rsidRPr="006519D0">
        <w:t>Návrh zákona nemá dopady na výkon státní statistické služby, nezakládá nové oprávnění vytvářet a provozovat nové administrativní zdroje dat či měnit stávající, které jsou potencionálně využi</w:t>
      </w:r>
      <w:r w:rsidRPr="006519D0">
        <w:t>telné pro potřeby státní statistické služby.</w:t>
      </w:r>
    </w:p>
    <w:p w14:paraId="7DDF933B" w14:textId="77777777" w:rsidR="007C1484" w:rsidRPr="006519D0" w:rsidRDefault="007C1484" w:rsidP="00AB31F5">
      <w:pPr>
        <w:spacing w:before="120" w:line="240" w:lineRule="auto"/>
        <w:rPr>
          <w:rFonts w:cs="Cambria"/>
          <w:b/>
        </w:rPr>
      </w:pPr>
    </w:p>
    <w:p w14:paraId="05204695" w14:textId="77777777" w:rsidR="00AB31F5" w:rsidRPr="006519D0" w:rsidRDefault="009731B0" w:rsidP="00AB31F5">
      <w:pPr>
        <w:spacing w:before="120" w:line="240" w:lineRule="auto"/>
        <w:rPr>
          <w:rFonts w:cs="Cambria"/>
          <w:b/>
          <w:u w:val="single"/>
        </w:rPr>
      </w:pPr>
      <w:r w:rsidRPr="006519D0">
        <w:rPr>
          <w:rFonts w:cs="Cambria"/>
          <w:b/>
          <w:u w:val="single"/>
        </w:rPr>
        <w:t>Korupční rizika</w:t>
      </w:r>
    </w:p>
    <w:p w14:paraId="42407741" w14:textId="77777777" w:rsidR="007C1484" w:rsidRPr="006519D0" w:rsidRDefault="009731B0" w:rsidP="007C1484">
      <w:pPr>
        <w:rPr>
          <w:rFonts w:eastAsia="MS Mincho"/>
        </w:rPr>
      </w:pPr>
      <w:r w:rsidRPr="006519D0">
        <w:rPr>
          <w:rFonts w:eastAsia="MS Mincho"/>
        </w:rPr>
        <w:t>Návrh zákona nezakládá korupční rizika ani nemá žádné dopady na míru korupce.</w:t>
      </w:r>
    </w:p>
    <w:p w14:paraId="3E2BCA23" w14:textId="77777777" w:rsidR="00AB31F5" w:rsidRPr="006519D0" w:rsidRDefault="00AB31F5" w:rsidP="00AB31F5">
      <w:pPr>
        <w:spacing w:before="120" w:line="240" w:lineRule="auto"/>
        <w:rPr>
          <w:rFonts w:cs="Cambria"/>
          <w:b/>
        </w:rPr>
      </w:pPr>
    </w:p>
    <w:p w14:paraId="30F66C2B" w14:textId="77777777" w:rsidR="00AB31F5" w:rsidRPr="006519D0" w:rsidRDefault="009731B0" w:rsidP="00AB31F5">
      <w:pPr>
        <w:spacing w:before="120" w:line="240" w:lineRule="auto"/>
        <w:rPr>
          <w:rFonts w:cs="Cambria"/>
          <w:b/>
          <w:u w:val="single"/>
        </w:rPr>
      </w:pPr>
      <w:r w:rsidRPr="006519D0">
        <w:rPr>
          <w:rFonts w:cs="Cambria"/>
          <w:b/>
          <w:u w:val="single"/>
        </w:rPr>
        <w:t>Dopady na bezpečnost nebo obranu státu</w:t>
      </w:r>
    </w:p>
    <w:p w14:paraId="78A08416" w14:textId="77777777" w:rsidR="00AB31F5" w:rsidRPr="006519D0" w:rsidRDefault="009731B0" w:rsidP="00AB31F5">
      <w:pPr>
        <w:spacing w:after="240"/>
      </w:pPr>
      <w:r w:rsidRPr="006519D0">
        <w:t>Návrh zákona nebude mít dopady na bezpečnost a obranu státu.</w:t>
      </w:r>
    </w:p>
    <w:p w14:paraId="40F8315C" w14:textId="77777777" w:rsidR="007C1484" w:rsidRPr="006519D0" w:rsidRDefault="007C1484" w:rsidP="00AB31F5">
      <w:pPr>
        <w:spacing w:after="240"/>
      </w:pPr>
    </w:p>
    <w:p w14:paraId="0C8A6985" w14:textId="77777777" w:rsidR="00AB31F5" w:rsidRPr="006519D0" w:rsidRDefault="009731B0" w:rsidP="00AB31F5">
      <w:pPr>
        <w:pStyle w:val="Nadpis1"/>
        <w:spacing w:before="360"/>
      </w:pPr>
      <w:bookmarkStart w:id="39" w:name="_Toc256000013"/>
      <w:bookmarkStart w:id="40" w:name="_Toc14942104"/>
      <w:bookmarkStart w:id="41" w:name="_Toc19624758"/>
      <w:r w:rsidRPr="006519D0">
        <w:lastRenderedPageBreak/>
        <w:t xml:space="preserve">Implementace </w:t>
      </w:r>
      <w:r w:rsidRPr="006519D0">
        <w:t>doporučené varianty a vynucování</w:t>
      </w:r>
      <w:bookmarkEnd w:id="39"/>
      <w:bookmarkEnd w:id="40"/>
      <w:bookmarkEnd w:id="41"/>
    </w:p>
    <w:p w14:paraId="34FED7A7" w14:textId="77777777" w:rsidR="00B05E4D" w:rsidRPr="006519D0" w:rsidRDefault="009731B0" w:rsidP="00B05E4D">
      <w:pPr>
        <w:rPr>
          <w:rFonts w:cs="Arial"/>
        </w:rPr>
      </w:pPr>
      <w:r w:rsidRPr="006519D0">
        <w:rPr>
          <w:rFonts w:cs="Arial"/>
        </w:rPr>
        <w:t>Orgánem odpovědným za implementaci navrhované právní úpravy v oblasti regulovaných látek a F-plynů je Ministerstvo životního prostředí</w:t>
      </w:r>
      <w:r w:rsidRPr="006519D0">
        <w:rPr>
          <w:szCs w:val="22"/>
        </w:rPr>
        <w:t xml:space="preserve"> jako věcně příslušný ústřední orgán státní správy</w:t>
      </w:r>
      <w:r w:rsidRPr="006519D0">
        <w:rPr>
          <w:rFonts w:cs="Arial"/>
        </w:rPr>
        <w:t>.</w:t>
      </w:r>
      <w:r w:rsidRPr="006519D0">
        <w:rPr>
          <w:szCs w:val="22"/>
        </w:rPr>
        <w:t xml:space="preserve"> Kontrolními orgány</w:t>
      </w:r>
      <w:r w:rsidRPr="006519D0">
        <w:rPr>
          <w:rFonts w:cs="Arial"/>
        </w:rPr>
        <w:t>, které dohlížejí n</w:t>
      </w:r>
      <w:r w:rsidRPr="006519D0">
        <w:rPr>
          <w:rFonts w:cs="Arial"/>
        </w:rPr>
        <w:t>ad dodržováním povinností vyplývajících ze zákona, jsou Česká inspekce životního prostředí, Česká obchodní inspekce a celní orgány.</w:t>
      </w:r>
    </w:p>
    <w:p w14:paraId="2FA3EE52" w14:textId="77777777" w:rsidR="00B05E4D" w:rsidRPr="006519D0" w:rsidRDefault="009731B0" w:rsidP="00B05E4D">
      <w:pPr>
        <w:spacing w:before="120"/>
        <w:rPr>
          <w:rFonts w:cs="Arial"/>
        </w:rPr>
      </w:pPr>
      <w:r w:rsidRPr="006519D0">
        <w:rPr>
          <w:rFonts w:cs="Arial"/>
        </w:rPr>
        <w:t>V případě porušování povinností, které vyplývají z navrhovaných legislativních změn, lze vést řízení o uložení nápravného op</w:t>
      </w:r>
      <w:r w:rsidRPr="006519D0">
        <w:rPr>
          <w:rFonts w:cs="Arial"/>
        </w:rPr>
        <w:t xml:space="preserve">atření, </w:t>
      </w:r>
      <w:r w:rsidR="00995782" w:rsidRPr="006519D0">
        <w:rPr>
          <w:rFonts w:cs="Arial"/>
        </w:rPr>
        <w:t>jakožto nástroj přímé regulace, kdy takto uložená opatření lze následně adekvátně vymáhat</w:t>
      </w:r>
      <w:r w:rsidR="00594F3F" w:rsidRPr="006519D0">
        <w:rPr>
          <w:rFonts w:cs="Arial"/>
        </w:rPr>
        <w:t>.</w:t>
      </w:r>
      <w:r w:rsidR="00995782" w:rsidRPr="006519D0">
        <w:rPr>
          <w:rFonts w:cs="Arial"/>
        </w:rPr>
        <w:t xml:space="preserve"> </w:t>
      </w:r>
      <w:r w:rsidR="00594F3F" w:rsidRPr="006519D0">
        <w:rPr>
          <w:rFonts w:cs="Arial"/>
        </w:rPr>
        <w:t>S</w:t>
      </w:r>
      <w:r w:rsidR="00995782" w:rsidRPr="006519D0">
        <w:rPr>
          <w:rFonts w:cs="Arial"/>
        </w:rPr>
        <w:t>oučástí rozhodnutí o uložení opatření k nápravě může být též výrok o uložení povinnosti provést na vlastní náklad nezávadné zneškodnění, recyklaci nebo regeneraci regulovaných látek nebo F-plynů.</w:t>
      </w:r>
      <w:r w:rsidR="00D65176" w:rsidRPr="006519D0">
        <w:rPr>
          <w:rFonts w:cs="Arial"/>
        </w:rPr>
        <w:t xml:space="preserve"> Splnění uložených povinností lze adekvátně vymáhat v souladu s platnými předpisy upravujícími správní řízení a výkon rozhodnutí v něm vydaných.</w:t>
      </w:r>
    </w:p>
    <w:p w14:paraId="3EFA92A9" w14:textId="77777777" w:rsidR="00995782" w:rsidRPr="006519D0" w:rsidRDefault="009731B0" w:rsidP="00B05E4D">
      <w:pPr>
        <w:spacing w:before="120"/>
        <w:rPr>
          <w:rFonts w:cs="Arial"/>
        </w:rPr>
      </w:pPr>
      <w:r w:rsidRPr="006519D0">
        <w:rPr>
          <w:rFonts w:cs="Arial"/>
        </w:rPr>
        <w:t>Zároveň obsahuje zákonná úprava k povinnostem adekvátní skutkovou podsta</w:t>
      </w:r>
      <w:r w:rsidRPr="006519D0">
        <w:rPr>
          <w:rFonts w:cs="Arial"/>
        </w:rPr>
        <w:t>tu přestupku, za jehož spáchání (tedy porušení zákonné povinnosti) lze dané osobě uložit pokutu. Správním orgánem příslušným k projednávání přestupků je ČIŽP, nebo ČOI v závislosti na charakteru přestupku, v souladu s § 20 zákona.</w:t>
      </w:r>
      <w:r w:rsidR="00D65176" w:rsidRPr="006519D0">
        <w:rPr>
          <w:rFonts w:cs="Arial"/>
        </w:rPr>
        <w:t xml:space="preserve"> Pokuty uložené v přestupkovém řízení vybírá </w:t>
      </w:r>
      <w:r w:rsidR="00CD3ECC" w:rsidRPr="006519D0">
        <w:rPr>
          <w:rFonts w:cs="Arial"/>
        </w:rPr>
        <w:t>správní orgán, který vedl řízení a vymáhá je celní úřad.</w:t>
      </w:r>
    </w:p>
    <w:p w14:paraId="2DD93330" w14:textId="77777777" w:rsidR="00AB31F5" w:rsidRPr="006519D0" w:rsidRDefault="009731B0" w:rsidP="00C576FC">
      <w:pPr>
        <w:spacing w:before="120"/>
      </w:pPr>
      <w:r w:rsidRPr="006519D0">
        <w:rPr>
          <w:rFonts w:cs="Arial"/>
        </w:rPr>
        <w:t>Zákon zavádí některé povinnosti, které z</w:t>
      </w:r>
      <w:r w:rsidR="00465039" w:rsidRPr="006519D0">
        <w:t>výš</w:t>
      </w:r>
      <w:r w:rsidRPr="006519D0">
        <w:t>í</w:t>
      </w:r>
      <w:r w:rsidR="00465039" w:rsidRPr="006519D0">
        <w:t xml:space="preserve"> transparentnost při nakládání s F-plyny a zjednoduší kontrolní činnost</w:t>
      </w:r>
      <w:r w:rsidRPr="006519D0">
        <w:t>, čímž dojde ke</w:t>
      </w:r>
      <w:r w:rsidR="00465039" w:rsidRPr="006519D0">
        <w:t xml:space="preserve"> zvýš</w:t>
      </w:r>
      <w:r w:rsidRPr="006519D0">
        <w:t>en</w:t>
      </w:r>
      <w:r w:rsidR="00465039" w:rsidRPr="006519D0">
        <w:t>í vymahatelnost</w:t>
      </w:r>
      <w:r w:rsidRPr="006519D0">
        <w:t>i</w:t>
      </w:r>
      <w:r w:rsidR="00465039" w:rsidRPr="006519D0">
        <w:t xml:space="preserve"> zákonných ustanovení ohledně nakládání s F-plyny.</w:t>
      </w:r>
    </w:p>
    <w:p w14:paraId="008D9175" w14:textId="77777777" w:rsidR="00397A7E" w:rsidRPr="006519D0" w:rsidRDefault="00397A7E" w:rsidP="00AB31F5">
      <w:pPr>
        <w:rPr>
          <w:rFonts w:cs="Arial"/>
        </w:rPr>
      </w:pPr>
    </w:p>
    <w:p w14:paraId="5211E0E3" w14:textId="77777777" w:rsidR="00AB31F5" w:rsidRPr="006519D0" w:rsidRDefault="009731B0" w:rsidP="00AB31F5">
      <w:pPr>
        <w:pStyle w:val="Nadpis1"/>
        <w:spacing w:before="360"/>
      </w:pPr>
      <w:bookmarkStart w:id="42" w:name="_Toc256000014"/>
      <w:bookmarkStart w:id="43" w:name="_Toc441759972"/>
      <w:bookmarkStart w:id="44" w:name="_Toc14942105"/>
      <w:bookmarkStart w:id="45" w:name="_Toc19624759"/>
      <w:r w:rsidRPr="006519D0">
        <w:t>Přezkum účinnosti regulace</w:t>
      </w:r>
      <w:bookmarkEnd w:id="42"/>
      <w:bookmarkEnd w:id="43"/>
      <w:bookmarkEnd w:id="44"/>
      <w:bookmarkEnd w:id="45"/>
    </w:p>
    <w:p w14:paraId="12ED44D4" w14:textId="77777777" w:rsidR="00AB31F5" w:rsidRPr="006519D0" w:rsidRDefault="009731B0" w:rsidP="00AB31F5">
      <w:pPr>
        <w:rPr>
          <w:rFonts w:cs="Arial"/>
        </w:rPr>
      </w:pPr>
      <w:r w:rsidRPr="006519D0">
        <w:rPr>
          <w:rFonts w:cs="Arial"/>
        </w:rPr>
        <w:t>Přezkum účinnosti regulace provede Ministerstvo životního prostředí do 5 let ode dne účinnosti navrhované právní úpravy.</w:t>
      </w:r>
    </w:p>
    <w:p w14:paraId="33762839" w14:textId="77777777" w:rsidR="00202A58" w:rsidRPr="006519D0" w:rsidRDefault="009731B0" w:rsidP="00AB31F5">
      <w:pPr>
        <w:widowControl w:val="0"/>
        <w:rPr>
          <w:rFonts w:cs="Arial"/>
        </w:rPr>
      </w:pPr>
      <w:r w:rsidRPr="006519D0">
        <w:rPr>
          <w:rFonts w:cs="Arial"/>
        </w:rPr>
        <w:t>Zpracovatel doporučuje sledovat zejména následující ukazatele:</w:t>
      </w:r>
    </w:p>
    <w:p w14:paraId="56F1D6D1" w14:textId="77777777" w:rsidR="00202A58" w:rsidRPr="006519D0" w:rsidRDefault="009731B0" w:rsidP="00BD1744">
      <w:pPr>
        <w:pStyle w:val="Odstavecseseznamem"/>
        <w:widowControl w:val="0"/>
        <w:numPr>
          <w:ilvl w:val="0"/>
          <w:numId w:val="25"/>
        </w:numPr>
        <w:rPr>
          <w:rFonts w:cs="Arial"/>
        </w:rPr>
      </w:pPr>
      <w:r w:rsidRPr="006519D0">
        <w:rPr>
          <w:rFonts w:cs="Arial"/>
        </w:rPr>
        <w:t xml:space="preserve">množství </w:t>
      </w:r>
      <w:r w:rsidRPr="006519D0">
        <w:rPr>
          <w:rFonts w:cs="Arial"/>
        </w:rPr>
        <w:t>zneškodněných regulovaných látek;</w:t>
      </w:r>
    </w:p>
    <w:p w14:paraId="16CAEE0A" w14:textId="77777777" w:rsidR="00202A58" w:rsidRPr="006519D0" w:rsidRDefault="009731B0" w:rsidP="00BD1744">
      <w:pPr>
        <w:pStyle w:val="Odstavecseseznamem"/>
        <w:widowControl w:val="0"/>
        <w:numPr>
          <w:ilvl w:val="0"/>
          <w:numId w:val="25"/>
        </w:numPr>
        <w:rPr>
          <w:rFonts w:cs="Arial"/>
        </w:rPr>
      </w:pPr>
      <w:r w:rsidRPr="006519D0">
        <w:rPr>
          <w:rFonts w:cs="Arial"/>
        </w:rPr>
        <w:t>množství</w:t>
      </w:r>
      <w:r w:rsidR="008C2D8C" w:rsidRPr="006519D0">
        <w:rPr>
          <w:rFonts w:cs="Arial"/>
        </w:rPr>
        <w:t xml:space="preserve"> </w:t>
      </w:r>
      <w:r w:rsidRPr="006519D0">
        <w:rPr>
          <w:rFonts w:cs="Arial"/>
        </w:rPr>
        <w:t>dovezených F-plynů nad rámec kvót;</w:t>
      </w:r>
    </w:p>
    <w:p w14:paraId="021AAE82" w14:textId="77777777" w:rsidR="00202A58" w:rsidRPr="006519D0" w:rsidRDefault="009731B0" w:rsidP="00BD1744">
      <w:pPr>
        <w:pStyle w:val="Odstavecseseznamem"/>
        <w:widowControl w:val="0"/>
        <w:numPr>
          <w:ilvl w:val="0"/>
          <w:numId w:val="25"/>
        </w:numPr>
        <w:rPr>
          <w:rFonts w:cs="Arial"/>
        </w:rPr>
      </w:pPr>
      <w:r w:rsidRPr="006519D0">
        <w:rPr>
          <w:rFonts w:cs="Arial"/>
        </w:rPr>
        <w:t xml:space="preserve">množství případů nelegálního použití jednorázových lahví s obsahem </w:t>
      </w:r>
      <w:r w:rsidR="008C012B" w:rsidRPr="006519D0">
        <w:rPr>
          <w:rFonts w:cs="Arial"/>
        </w:rPr>
        <w:t>F-plynů.</w:t>
      </w:r>
    </w:p>
    <w:p w14:paraId="54A55F88" w14:textId="77777777" w:rsidR="00EA4692" w:rsidRPr="006519D0" w:rsidRDefault="00EA4692" w:rsidP="00D216EF">
      <w:pPr>
        <w:rPr>
          <w:rFonts w:cs="Arial"/>
        </w:rPr>
      </w:pPr>
    </w:p>
    <w:p w14:paraId="674EC7FC" w14:textId="77777777" w:rsidR="00AB31F5" w:rsidRPr="006519D0" w:rsidRDefault="009731B0" w:rsidP="00AB31F5">
      <w:pPr>
        <w:pStyle w:val="Nadpis1"/>
        <w:spacing w:before="360"/>
      </w:pPr>
      <w:bookmarkStart w:id="46" w:name="_Toc256000015"/>
      <w:bookmarkStart w:id="47" w:name="_Toc441759973"/>
      <w:bookmarkStart w:id="48" w:name="_Toc14942106"/>
      <w:bookmarkStart w:id="49" w:name="_Toc19624760"/>
      <w:r w:rsidRPr="006519D0">
        <w:t>Konzultace a zdroje dat</w:t>
      </w:r>
      <w:bookmarkEnd w:id="46"/>
      <w:bookmarkEnd w:id="47"/>
      <w:bookmarkEnd w:id="48"/>
      <w:bookmarkEnd w:id="49"/>
    </w:p>
    <w:p w14:paraId="545B0EC0" w14:textId="77777777" w:rsidR="00C576FC" w:rsidRPr="006519D0" w:rsidRDefault="009731B0" w:rsidP="00AB31F5">
      <w:pPr>
        <w:rPr>
          <w:rFonts w:cs="Arial"/>
        </w:rPr>
      </w:pPr>
      <w:r w:rsidRPr="006519D0">
        <w:rPr>
          <w:rFonts w:cs="Arial"/>
        </w:rPr>
        <w:t>Data a informace uvedené v RIA vychází z</w:t>
      </w:r>
      <w:r w:rsidR="00A55C88" w:rsidRPr="006519D0">
        <w:rPr>
          <w:rFonts w:cs="Arial"/>
        </w:rPr>
        <w:t> </w:t>
      </w:r>
      <w:r w:rsidRPr="006519D0">
        <w:rPr>
          <w:rFonts w:cs="Arial"/>
        </w:rPr>
        <w:t>komunikace</w:t>
      </w:r>
      <w:r w:rsidR="00A55C88" w:rsidRPr="006519D0">
        <w:rPr>
          <w:rFonts w:cs="Arial"/>
        </w:rPr>
        <w:t xml:space="preserve"> s</w:t>
      </w:r>
      <w:r w:rsidR="00CD3ECC" w:rsidRPr="006519D0">
        <w:rPr>
          <w:rFonts w:cs="Arial"/>
        </w:rPr>
        <w:t> odborem ochrany ovzduší</w:t>
      </w:r>
      <w:r w:rsidR="00A74D8F" w:rsidRPr="006519D0">
        <w:rPr>
          <w:rFonts w:cs="Arial"/>
        </w:rPr>
        <w:t xml:space="preserve"> </w:t>
      </w:r>
      <w:r w:rsidR="00D216EF" w:rsidRPr="006519D0">
        <w:rPr>
          <w:rFonts w:cs="Arial"/>
        </w:rPr>
        <w:br/>
      </w:r>
      <w:r w:rsidR="00A74D8F" w:rsidRPr="006519D0">
        <w:rPr>
          <w:rFonts w:cs="Arial"/>
        </w:rPr>
        <w:t>a z ročních hlášení subjektů podle čl. 19 nařízení (EU) 517/2014 a § 11 zákona</w:t>
      </w:r>
      <w:r w:rsidR="005B799F" w:rsidRPr="006519D0">
        <w:rPr>
          <w:rFonts w:cs="Arial"/>
        </w:rPr>
        <w:t>.</w:t>
      </w:r>
      <w:r w:rsidR="00CD3ECC" w:rsidRPr="006519D0">
        <w:rPr>
          <w:rFonts w:cs="Arial"/>
        </w:rPr>
        <w:t xml:space="preserve"> </w:t>
      </w:r>
      <w:r w:rsidR="000E5852" w:rsidRPr="006519D0">
        <w:rPr>
          <w:rFonts w:cs="Arial"/>
        </w:rPr>
        <w:t>Při přípravě předpisu byly provedeny konzultace se zástupci ostatních zemí EU, s celními orgány</w:t>
      </w:r>
      <w:r w:rsidR="00A74D8F" w:rsidRPr="006519D0">
        <w:rPr>
          <w:rFonts w:cs="Arial"/>
        </w:rPr>
        <w:t xml:space="preserve">, </w:t>
      </w:r>
      <w:r w:rsidR="00A74D8F" w:rsidRPr="006519D0">
        <w:t>hodnotícími subjekty</w:t>
      </w:r>
      <w:r w:rsidR="000E5852" w:rsidRPr="006519D0">
        <w:rPr>
          <w:rFonts w:cs="Arial"/>
        </w:rPr>
        <w:t xml:space="preserve"> a osobami s dlouholetou praxí a zkušenostmi v ochraně ovzduší.</w:t>
      </w:r>
    </w:p>
    <w:p w14:paraId="4451AD6C" w14:textId="77777777" w:rsidR="00D216EF" w:rsidRPr="006519D0" w:rsidRDefault="009731B0" w:rsidP="007C1484">
      <w:r w:rsidRPr="006519D0">
        <w:t xml:space="preserve">Další zdroje informací: </w:t>
      </w:r>
    </w:p>
    <w:p w14:paraId="0C76E1A1" w14:textId="77777777" w:rsidR="00AB31F5" w:rsidRPr="006519D0" w:rsidRDefault="009731B0" w:rsidP="00AB31F5">
      <w:r w:rsidRPr="006519D0">
        <w:t>INFORMACE ODBORU OCHRANY OVZDUŠÍ A ODBORU OD</w:t>
      </w:r>
      <w:r w:rsidR="00A74D8F" w:rsidRPr="006519D0">
        <w:t>P</w:t>
      </w:r>
      <w:r w:rsidRPr="006519D0">
        <w:t>ADŮ MŽP K NAKLÁDÁNÍ S REGULOVANÝMI LÁTKAMI OD 1. 1. 2015:</w:t>
      </w:r>
      <w:r w:rsidR="00C74EEA" w:rsidRPr="006519D0">
        <w:t xml:space="preserve"> </w:t>
      </w:r>
      <w:r w:rsidRPr="006519D0">
        <w:t>https://www.mzp.cz/C1257458002F0DC7/cz/regulovane_latky_informace_leden_2015/$FILE/OOO-RL_od_1_ledna_2015-20150330.pdf</w:t>
      </w:r>
    </w:p>
    <w:p w14:paraId="47BA855A" w14:textId="77777777" w:rsidR="00AB31F5" w:rsidRPr="006519D0" w:rsidRDefault="009731B0" w:rsidP="00AB31F5">
      <w:pPr>
        <w:pStyle w:val="Nadpis1"/>
        <w:spacing w:before="360"/>
      </w:pPr>
      <w:bookmarkStart w:id="50" w:name="_Toc256000016"/>
      <w:bookmarkStart w:id="51" w:name="_Toc441759974"/>
      <w:bookmarkStart w:id="52" w:name="_Toc14942107"/>
      <w:bookmarkStart w:id="53" w:name="_Toc19624761"/>
      <w:r w:rsidRPr="006519D0">
        <w:lastRenderedPageBreak/>
        <w:t>Seznam použitých zkratek</w:t>
      </w:r>
      <w:bookmarkEnd w:id="50"/>
      <w:bookmarkEnd w:id="51"/>
      <w:bookmarkEnd w:id="52"/>
      <w:bookmarkEnd w:id="53"/>
    </w:p>
    <w:tbl>
      <w:tblPr>
        <w:tblW w:w="893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90"/>
        <w:gridCol w:w="6946"/>
      </w:tblGrid>
      <w:tr w:rsidR="00326AB0" w14:paraId="0E737900" w14:textId="77777777" w:rsidTr="007C1484">
        <w:trPr>
          <w:trHeight w:val="397"/>
        </w:trPr>
        <w:tc>
          <w:tcPr>
            <w:tcW w:w="1990" w:type="dxa"/>
            <w:shd w:val="clear" w:color="auto" w:fill="auto"/>
            <w:vAlign w:val="center"/>
          </w:tcPr>
          <w:p w14:paraId="599A9972" w14:textId="77777777" w:rsidR="00AB31F5" w:rsidRPr="006519D0" w:rsidRDefault="009731B0" w:rsidP="007C1484">
            <w:pPr>
              <w:spacing w:line="240" w:lineRule="auto"/>
              <w:jc w:val="left"/>
              <w:rPr>
                <w:rFonts w:cs="Arial"/>
                <w:color w:val="000000"/>
                <w:lang w:eastAsia="cs-CZ"/>
              </w:rPr>
            </w:pPr>
            <w:r w:rsidRPr="006519D0">
              <w:rPr>
                <w:rFonts w:cs="Arial"/>
                <w:color w:val="000000"/>
                <w:lang w:eastAsia="cs-CZ"/>
              </w:rPr>
              <w:t>AZ</w:t>
            </w:r>
          </w:p>
        </w:tc>
        <w:tc>
          <w:tcPr>
            <w:tcW w:w="6946" w:type="dxa"/>
            <w:shd w:val="clear" w:color="auto" w:fill="auto"/>
            <w:vAlign w:val="center"/>
          </w:tcPr>
          <w:p w14:paraId="1AFD9CC2"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Administrativní zátěž</w:t>
            </w:r>
          </w:p>
        </w:tc>
      </w:tr>
      <w:tr w:rsidR="00326AB0" w14:paraId="61968880" w14:textId="77777777" w:rsidTr="007C1484">
        <w:trPr>
          <w:trHeight w:val="397"/>
        </w:trPr>
        <w:tc>
          <w:tcPr>
            <w:tcW w:w="1990" w:type="dxa"/>
            <w:shd w:val="clear" w:color="auto" w:fill="auto"/>
            <w:vAlign w:val="center"/>
          </w:tcPr>
          <w:p w14:paraId="7EF5A327" w14:textId="77777777" w:rsidR="00AB31F5" w:rsidRPr="006519D0" w:rsidRDefault="009731B0" w:rsidP="007C1484">
            <w:pPr>
              <w:spacing w:line="240" w:lineRule="auto"/>
              <w:jc w:val="left"/>
              <w:rPr>
                <w:rFonts w:cs="Arial"/>
                <w:color w:val="000000"/>
                <w:vertAlign w:val="subscript"/>
                <w:lang w:eastAsia="cs-CZ"/>
              </w:rPr>
            </w:pPr>
            <w:r w:rsidRPr="006519D0">
              <w:rPr>
                <w:rFonts w:cs="Arial"/>
                <w:color w:val="000000"/>
                <w:lang w:eastAsia="cs-CZ"/>
              </w:rPr>
              <w:t>CO</w:t>
            </w:r>
            <w:r w:rsidRPr="006519D0">
              <w:rPr>
                <w:rFonts w:cs="Arial"/>
                <w:color w:val="000000"/>
                <w:vertAlign w:val="subscript"/>
                <w:lang w:eastAsia="cs-CZ"/>
              </w:rPr>
              <w:t>2</w:t>
            </w:r>
          </w:p>
        </w:tc>
        <w:tc>
          <w:tcPr>
            <w:tcW w:w="6946" w:type="dxa"/>
            <w:shd w:val="clear" w:color="auto" w:fill="auto"/>
            <w:vAlign w:val="center"/>
          </w:tcPr>
          <w:p w14:paraId="30810B2D"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Oxid uhličitý</w:t>
            </w:r>
          </w:p>
        </w:tc>
      </w:tr>
      <w:tr w:rsidR="00326AB0" w14:paraId="3A5E47CC" w14:textId="77777777" w:rsidTr="007C1484">
        <w:trPr>
          <w:trHeight w:val="397"/>
        </w:trPr>
        <w:tc>
          <w:tcPr>
            <w:tcW w:w="1990" w:type="dxa"/>
            <w:shd w:val="clear" w:color="auto" w:fill="auto"/>
            <w:vAlign w:val="center"/>
          </w:tcPr>
          <w:p w14:paraId="66FF7775"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ČIŽP</w:t>
            </w:r>
          </w:p>
        </w:tc>
        <w:tc>
          <w:tcPr>
            <w:tcW w:w="6946" w:type="dxa"/>
            <w:shd w:val="clear" w:color="auto" w:fill="auto"/>
            <w:vAlign w:val="center"/>
          </w:tcPr>
          <w:p w14:paraId="71969EFD"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Česká inspekce životního prostředí</w:t>
            </w:r>
          </w:p>
        </w:tc>
      </w:tr>
      <w:tr w:rsidR="00326AB0" w14:paraId="1E6BADA9" w14:textId="77777777" w:rsidTr="007C1484">
        <w:trPr>
          <w:trHeight w:val="397"/>
        </w:trPr>
        <w:tc>
          <w:tcPr>
            <w:tcW w:w="1990" w:type="dxa"/>
            <w:shd w:val="clear" w:color="auto" w:fill="auto"/>
            <w:vAlign w:val="center"/>
          </w:tcPr>
          <w:p w14:paraId="4DF52890" w14:textId="77777777" w:rsidR="00AB31F5" w:rsidRPr="006519D0" w:rsidRDefault="009731B0" w:rsidP="007C1484">
            <w:pPr>
              <w:spacing w:line="240" w:lineRule="auto"/>
              <w:jc w:val="left"/>
              <w:rPr>
                <w:rFonts w:cs="Arial"/>
                <w:color w:val="000000"/>
                <w:lang w:eastAsia="cs-CZ"/>
              </w:rPr>
            </w:pPr>
            <w:r w:rsidRPr="006519D0">
              <w:rPr>
                <w:rFonts w:cs="Arial"/>
                <w:color w:val="000000"/>
                <w:lang w:eastAsia="cs-CZ"/>
              </w:rPr>
              <w:t>ČOI</w:t>
            </w:r>
          </w:p>
        </w:tc>
        <w:tc>
          <w:tcPr>
            <w:tcW w:w="6946" w:type="dxa"/>
            <w:shd w:val="clear" w:color="auto" w:fill="auto"/>
            <w:vAlign w:val="center"/>
          </w:tcPr>
          <w:p w14:paraId="5121F2C7"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Česká obchodní inspekce</w:t>
            </w:r>
          </w:p>
        </w:tc>
      </w:tr>
      <w:tr w:rsidR="00326AB0" w14:paraId="5D3219EE" w14:textId="77777777" w:rsidTr="007C1484">
        <w:trPr>
          <w:trHeight w:val="397"/>
        </w:trPr>
        <w:tc>
          <w:tcPr>
            <w:tcW w:w="1990" w:type="dxa"/>
            <w:shd w:val="clear" w:color="auto" w:fill="auto"/>
            <w:vAlign w:val="center"/>
          </w:tcPr>
          <w:p w14:paraId="23F1FF6B" w14:textId="77777777" w:rsidR="00AB31F5" w:rsidRPr="006519D0" w:rsidRDefault="009731B0" w:rsidP="007C1484">
            <w:pPr>
              <w:spacing w:line="240" w:lineRule="auto"/>
              <w:jc w:val="left"/>
              <w:rPr>
                <w:rFonts w:cs="Arial"/>
                <w:color w:val="000000"/>
                <w:lang w:eastAsia="cs-CZ"/>
              </w:rPr>
            </w:pPr>
            <w:r w:rsidRPr="006519D0">
              <w:rPr>
                <w:rFonts w:cs="Arial"/>
                <w:color w:val="000000"/>
                <w:lang w:eastAsia="cs-CZ"/>
              </w:rPr>
              <w:t>ČR</w:t>
            </w:r>
          </w:p>
        </w:tc>
        <w:tc>
          <w:tcPr>
            <w:tcW w:w="6946" w:type="dxa"/>
            <w:shd w:val="clear" w:color="auto" w:fill="auto"/>
            <w:vAlign w:val="center"/>
          </w:tcPr>
          <w:p w14:paraId="15E0693E"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Česká republika</w:t>
            </w:r>
          </w:p>
        </w:tc>
      </w:tr>
      <w:tr w:rsidR="00326AB0" w14:paraId="1D6E0211" w14:textId="77777777" w:rsidTr="007C1484">
        <w:trPr>
          <w:trHeight w:val="397"/>
        </w:trPr>
        <w:tc>
          <w:tcPr>
            <w:tcW w:w="1990" w:type="dxa"/>
            <w:shd w:val="clear" w:color="auto" w:fill="auto"/>
            <w:vAlign w:val="center"/>
          </w:tcPr>
          <w:p w14:paraId="6619B851" w14:textId="77777777" w:rsidR="00AB31F5" w:rsidRPr="006519D0" w:rsidRDefault="009731B0" w:rsidP="007C1484">
            <w:pPr>
              <w:spacing w:line="240" w:lineRule="auto"/>
              <w:jc w:val="left"/>
              <w:rPr>
                <w:rFonts w:cs="Arial"/>
                <w:color w:val="000000"/>
                <w:lang w:eastAsia="cs-CZ"/>
              </w:rPr>
            </w:pPr>
            <w:r w:rsidRPr="006519D0">
              <w:rPr>
                <w:rFonts w:cs="Arial"/>
                <w:color w:val="000000"/>
                <w:lang w:eastAsia="cs-CZ"/>
              </w:rPr>
              <w:t>EP</w:t>
            </w:r>
          </w:p>
        </w:tc>
        <w:tc>
          <w:tcPr>
            <w:tcW w:w="6946" w:type="dxa"/>
            <w:shd w:val="clear" w:color="auto" w:fill="auto"/>
            <w:vAlign w:val="center"/>
          </w:tcPr>
          <w:p w14:paraId="03C0FB1C" w14:textId="77777777" w:rsidR="00AB31F5" w:rsidRPr="006519D0" w:rsidRDefault="009731B0" w:rsidP="007C1484">
            <w:pPr>
              <w:spacing w:line="240" w:lineRule="auto"/>
              <w:rPr>
                <w:rFonts w:cs="Arial"/>
                <w:color w:val="000000"/>
                <w:lang w:eastAsia="cs-CZ"/>
              </w:rPr>
            </w:pPr>
            <w:r w:rsidRPr="006519D0">
              <w:rPr>
                <w:rFonts w:cs="Arial"/>
                <w:color w:val="000000"/>
                <w:lang w:eastAsia="cs-CZ"/>
              </w:rPr>
              <w:t>Evropský parlament</w:t>
            </w:r>
          </w:p>
        </w:tc>
      </w:tr>
      <w:tr w:rsidR="00326AB0" w14:paraId="0459A08F" w14:textId="77777777" w:rsidTr="007C1484">
        <w:trPr>
          <w:trHeight w:val="397"/>
        </w:trPr>
        <w:tc>
          <w:tcPr>
            <w:tcW w:w="1990" w:type="dxa"/>
            <w:shd w:val="clear" w:color="auto" w:fill="auto"/>
            <w:vAlign w:val="center"/>
          </w:tcPr>
          <w:p w14:paraId="2052160D"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EU</w:t>
            </w:r>
          </w:p>
        </w:tc>
        <w:tc>
          <w:tcPr>
            <w:tcW w:w="6946" w:type="dxa"/>
            <w:shd w:val="clear" w:color="auto" w:fill="auto"/>
            <w:vAlign w:val="center"/>
          </w:tcPr>
          <w:p w14:paraId="0824BC54"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Evropská unie</w:t>
            </w:r>
          </w:p>
        </w:tc>
      </w:tr>
      <w:tr w:rsidR="00326AB0" w14:paraId="427DC64D" w14:textId="77777777" w:rsidTr="007C1484">
        <w:trPr>
          <w:trHeight w:val="397"/>
        </w:trPr>
        <w:tc>
          <w:tcPr>
            <w:tcW w:w="1990" w:type="dxa"/>
            <w:shd w:val="clear" w:color="auto" w:fill="auto"/>
            <w:vAlign w:val="center"/>
          </w:tcPr>
          <w:p w14:paraId="7D7150B5"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F-plyny</w:t>
            </w:r>
          </w:p>
        </w:tc>
        <w:tc>
          <w:tcPr>
            <w:tcW w:w="6946" w:type="dxa"/>
            <w:shd w:val="clear" w:color="auto" w:fill="auto"/>
            <w:vAlign w:val="center"/>
          </w:tcPr>
          <w:p w14:paraId="7F3229E2"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Fluorované skleníkové plyny</w:t>
            </w:r>
          </w:p>
        </w:tc>
      </w:tr>
      <w:tr w:rsidR="00326AB0" w14:paraId="76B3EE46" w14:textId="77777777" w:rsidTr="007C1484">
        <w:trPr>
          <w:trHeight w:val="397"/>
        </w:trPr>
        <w:tc>
          <w:tcPr>
            <w:tcW w:w="1990" w:type="dxa"/>
            <w:shd w:val="clear" w:color="auto" w:fill="auto"/>
            <w:vAlign w:val="center"/>
          </w:tcPr>
          <w:p w14:paraId="6E2D53E8"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GDPR</w:t>
            </w:r>
          </w:p>
        </w:tc>
        <w:tc>
          <w:tcPr>
            <w:tcW w:w="6946" w:type="dxa"/>
            <w:shd w:val="clear" w:color="auto" w:fill="auto"/>
            <w:vAlign w:val="center"/>
          </w:tcPr>
          <w:p w14:paraId="5BF8E69D" w14:textId="77777777" w:rsidR="002F0883" w:rsidRPr="006519D0" w:rsidRDefault="009731B0" w:rsidP="007C1484">
            <w:pPr>
              <w:spacing w:line="240" w:lineRule="auto"/>
              <w:rPr>
                <w:rFonts w:cs="Arial"/>
                <w:color w:val="000000"/>
                <w:lang w:eastAsia="cs-CZ"/>
              </w:rPr>
            </w:pPr>
            <w:r w:rsidRPr="006519D0">
              <w:rPr>
                <w:lang w:val="en-US"/>
              </w:rPr>
              <w:t xml:space="preserve">General Data </w:t>
            </w:r>
            <w:r w:rsidRPr="006519D0">
              <w:rPr>
                <w:lang w:val="en-US"/>
              </w:rPr>
              <w:t>Protection Regulation</w:t>
            </w:r>
            <w:r w:rsidRPr="006519D0">
              <w:t xml:space="preserve"> (</w:t>
            </w:r>
            <w:r w:rsidRPr="006519D0">
              <w:rPr>
                <w:iCs/>
              </w:rPr>
              <w:t>Obecné nařízení na ochranu osobních údajů)</w:t>
            </w:r>
          </w:p>
        </w:tc>
      </w:tr>
      <w:tr w:rsidR="00326AB0" w14:paraId="0293242C" w14:textId="77777777" w:rsidTr="007C1484">
        <w:trPr>
          <w:trHeight w:val="397"/>
        </w:trPr>
        <w:tc>
          <w:tcPr>
            <w:tcW w:w="1990" w:type="dxa"/>
            <w:shd w:val="clear" w:color="auto" w:fill="auto"/>
            <w:vAlign w:val="center"/>
          </w:tcPr>
          <w:p w14:paraId="6FC8DA14"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GWP</w:t>
            </w:r>
          </w:p>
        </w:tc>
        <w:tc>
          <w:tcPr>
            <w:tcW w:w="6946" w:type="dxa"/>
            <w:shd w:val="clear" w:color="auto" w:fill="auto"/>
            <w:vAlign w:val="center"/>
          </w:tcPr>
          <w:p w14:paraId="07632BC7" w14:textId="77777777" w:rsidR="002F0883" w:rsidRPr="006519D0" w:rsidRDefault="009731B0" w:rsidP="007C1484">
            <w:pPr>
              <w:spacing w:line="240" w:lineRule="auto"/>
              <w:rPr>
                <w:rFonts w:cs="Arial"/>
                <w:color w:val="000000"/>
                <w:lang w:eastAsia="cs-CZ"/>
              </w:rPr>
            </w:pPr>
            <w:r w:rsidRPr="006519D0">
              <w:rPr>
                <w:rFonts w:cs="Arial"/>
                <w:color w:val="000000"/>
                <w:lang w:val="en-US" w:eastAsia="cs-CZ"/>
              </w:rPr>
              <w:t xml:space="preserve">Global Warming </w:t>
            </w:r>
            <w:r w:rsidR="009A3339" w:rsidRPr="006519D0">
              <w:rPr>
                <w:rFonts w:cs="Arial"/>
                <w:color w:val="000000"/>
                <w:lang w:val="en-US" w:eastAsia="cs-CZ"/>
              </w:rPr>
              <w:t>Potential</w:t>
            </w:r>
            <w:r w:rsidRPr="006519D0">
              <w:rPr>
                <w:rFonts w:cs="Arial"/>
                <w:color w:val="000000"/>
                <w:lang w:eastAsia="cs-CZ"/>
              </w:rPr>
              <w:t xml:space="preserve"> (</w:t>
            </w:r>
            <w:r w:rsidRPr="006519D0">
              <w:t>Potenciál globálního oteplování)</w:t>
            </w:r>
          </w:p>
        </w:tc>
      </w:tr>
      <w:tr w:rsidR="00326AB0" w14:paraId="47C370D4" w14:textId="77777777" w:rsidTr="007C1484">
        <w:trPr>
          <w:trHeight w:val="397"/>
        </w:trPr>
        <w:tc>
          <w:tcPr>
            <w:tcW w:w="1990" w:type="dxa"/>
            <w:shd w:val="clear" w:color="auto" w:fill="auto"/>
            <w:vAlign w:val="center"/>
          </w:tcPr>
          <w:p w14:paraId="61DF6C45"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IS</w:t>
            </w:r>
          </w:p>
        </w:tc>
        <w:tc>
          <w:tcPr>
            <w:tcW w:w="6946" w:type="dxa"/>
            <w:shd w:val="clear" w:color="auto" w:fill="auto"/>
            <w:vAlign w:val="center"/>
          </w:tcPr>
          <w:p w14:paraId="53498D6D"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Informační systém</w:t>
            </w:r>
          </w:p>
        </w:tc>
      </w:tr>
      <w:tr w:rsidR="00326AB0" w14:paraId="2C48DC80" w14:textId="77777777" w:rsidTr="007C1484">
        <w:trPr>
          <w:trHeight w:val="397"/>
        </w:trPr>
        <w:tc>
          <w:tcPr>
            <w:tcW w:w="1990" w:type="dxa"/>
            <w:shd w:val="clear" w:color="auto" w:fill="auto"/>
            <w:vAlign w:val="center"/>
          </w:tcPr>
          <w:p w14:paraId="2FCC53E0"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ISPOP</w:t>
            </w:r>
          </w:p>
        </w:tc>
        <w:tc>
          <w:tcPr>
            <w:tcW w:w="6946" w:type="dxa"/>
            <w:shd w:val="clear" w:color="auto" w:fill="auto"/>
            <w:vAlign w:val="center"/>
          </w:tcPr>
          <w:p w14:paraId="4CBA9091"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Integrovaný systém plnění ohlašovacích povinností</w:t>
            </w:r>
          </w:p>
        </w:tc>
      </w:tr>
      <w:tr w:rsidR="00326AB0" w14:paraId="4E074C7C" w14:textId="77777777" w:rsidTr="007C1484">
        <w:trPr>
          <w:trHeight w:val="397"/>
        </w:trPr>
        <w:tc>
          <w:tcPr>
            <w:tcW w:w="1990" w:type="dxa"/>
            <w:shd w:val="clear" w:color="auto" w:fill="auto"/>
            <w:vAlign w:val="center"/>
          </w:tcPr>
          <w:p w14:paraId="023FDB78"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MŽP</w:t>
            </w:r>
          </w:p>
        </w:tc>
        <w:tc>
          <w:tcPr>
            <w:tcW w:w="6946" w:type="dxa"/>
            <w:shd w:val="clear" w:color="auto" w:fill="auto"/>
            <w:vAlign w:val="center"/>
          </w:tcPr>
          <w:p w14:paraId="66D32A36"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Ministerstvo životního prostředí</w:t>
            </w:r>
          </w:p>
        </w:tc>
      </w:tr>
      <w:tr w:rsidR="00326AB0" w14:paraId="6DF5450A" w14:textId="77777777" w:rsidTr="007C1484">
        <w:trPr>
          <w:trHeight w:val="397"/>
        </w:trPr>
        <w:tc>
          <w:tcPr>
            <w:tcW w:w="1990" w:type="dxa"/>
            <w:shd w:val="clear" w:color="auto" w:fill="auto"/>
            <w:vAlign w:val="center"/>
          </w:tcPr>
          <w:p w14:paraId="090E0CFD"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RIA</w:t>
            </w:r>
          </w:p>
        </w:tc>
        <w:tc>
          <w:tcPr>
            <w:tcW w:w="6946" w:type="dxa"/>
            <w:shd w:val="clear" w:color="auto" w:fill="auto"/>
            <w:vAlign w:val="center"/>
          </w:tcPr>
          <w:p w14:paraId="7B14F483" w14:textId="77777777" w:rsidR="002F0883" w:rsidRPr="006519D0" w:rsidRDefault="009731B0" w:rsidP="007C1484">
            <w:pPr>
              <w:spacing w:line="240" w:lineRule="auto"/>
              <w:rPr>
                <w:rFonts w:cs="Arial"/>
                <w:color w:val="000000"/>
                <w:lang w:eastAsia="cs-CZ"/>
              </w:rPr>
            </w:pPr>
            <w:r w:rsidRPr="006519D0">
              <w:rPr>
                <w:rFonts w:cs="Arial"/>
                <w:color w:val="000000"/>
                <w:lang w:val="en-US" w:eastAsia="cs-CZ"/>
              </w:rPr>
              <w:t>Regulatory Impact Assessment</w:t>
            </w:r>
            <w:r w:rsidRPr="006519D0">
              <w:rPr>
                <w:rFonts w:cs="Arial"/>
                <w:color w:val="000000"/>
                <w:lang w:eastAsia="cs-CZ"/>
              </w:rPr>
              <w:t xml:space="preserve"> (Hodnocení dopadů regulace)</w:t>
            </w:r>
          </w:p>
        </w:tc>
      </w:tr>
      <w:tr w:rsidR="00326AB0" w14:paraId="721D585F" w14:textId="77777777" w:rsidTr="007C1484">
        <w:trPr>
          <w:trHeight w:val="397"/>
        </w:trPr>
        <w:tc>
          <w:tcPr>
            <w:tcW w:w="1990" w:type="dxa"/>
            <w:shd w:val="clear" w:color="auto" w:fill="auto"/>
            <w:vAlign w:val="center"/>
          </w:tcPr>
          <w:p w14:paraId="75668FC8" w14:textId="77777777" w:rsidR="002F0883" w:rsidRPr="006519D0" w:rsidRDefault="009731B0" w:rsidP="007C1484">
            <w:pPr>
              <w:spacing w:line="240" w:lineRule="auto"/>
              <w:jc w:val="left"/>
              <w:rPr>
                <w:rFonts w:cs="Arial"/>
                <w:color w:val="000000"/>
                <w:lang w:eastAsia="cs-CZ"/>
              </w:rPr>
            </w:pPr>
            <w:r w:rsidRPr="006519D0">
              <w:rPr>
                <w:rFonts w:cs="Arial"/>
                <w:color w:val="000000"/>
                <w:lang w:eastAsia="cs-CZ"/>
              </w:rPr>
              <w:t>SFŽP</w:t>
            </w:r>
          </w:p>
        </w:tc>
        <w:tc>
          <w:tcPr>
            <w:tcW w:w="6946" w:type="dxa"/>
            <w:shd w:val="clear" w:color="auto" w:fill="auto"/>
            <w:vAlign w:val="center"/>
          </w:tcPr>
          <w:p w14:paraId="7AA6F54C" w14:textId="77777777" w:rsidR="002F0883" w:rsidRPr="006519D0" w:rsidRDefault="009731B0" w:rsidP="007C1484">
            <w:pPr>
              <w:spacing w:line="240" w:lineRule="auto"/>
              <w:rPr>
                <w:rFonts w:cs="Arial"/>
                <w:color w:val="000000"/>
                <w:lang w:eastAsia="cs-CZ"/>
              </w:rPr>
            </w:pPr>
            <w:r w:rsidRPr="006519D0">
              <w:rPr>
                <w:rFonts w:cs="Arial"/>
                <w:color w:val="000000"/>
                <w:lang w:eastAsia="cs-CZ"/>
              </w:rPr>
              <w:t>Státní fond životního prostředí</w:t>
            </w:r>
          </w:p>
        </w:tc>
      </w:tr>
    </w:tbl>
    <w:p w14:paraId="6AD426C6" w14:textId="77777777" w:rsidR="00DA760B" w:rsidRPr="006519D0" w:rsidRDefault="009731B0">
      <w:pPr>
        <w:spacing w:after="160" w:line="259" w:lineRule="auto"/>
        <w:jc w:val="left"/>
        <w:rPr>
          <w:b/>
          <w:bCs/>
          <w:kern w:val="32"/>
          <w:sz w:val="28"/>
          <w:szCs w:val="28"/>
        </w:rPr>
      </w:pPr>
      <w:bookmarkStart w:id="54" w:name="_Toc9602151"/>
      <w:bookmarkStart w:id="55" w:name="_Toc19624762"/>
      <w:r w:rsidRPr="006519D0">
        <w:br w:type="page"/>
      </w:r>
    </w:p>
    <w:p w14:paraId="67E07A48" w14:textId="77777777" w:rsidR="00340868" w:rsidRPr="006519D0" w:rsidRDefault="009731B0" w:rsidP="00340868">
      <w:pPr>
        <w:pStyle w:val="Nadpis1"/>
        <w:ind w:left="431" w:hanging="431"/>
      </w:pPr>
      <w:bookmarkStart w:id="56" w:name="_Toc256000017"/>
      <w:r w:rsidRPr="006519D0">
        <w:lastRenderedPageBreak/>
        <w:t>Kontakt na zpracovatele RIA</w:t>
      </w:r>
      <w:bookmarkEnd w:id="54"/>
      <w:bookmarkEnd w:id="55"/>
      <w:bookmarkEnd w:id="56"/>
    </w:p>
    <w:p w14:paraId="29BFFBD7" w14:textId="77777777" w:rsidR="00340868" w:rsidRPr="006519D0" w:rsidRDefault="009731B0" w:rsidP="00340868">
      <w:pPr>
        <w:keepNext/>
        <w:spacing w:before="120" w:line="240" w:lineRule="auto"/>
        <w:rPr>
          <w:b/>
        </w:rPr>
      </w:pPr>
      <w:r w:rsidRPr="006519D0">
        <w:rPr>
          <w:b/>
        </w:rPr>
        <w:t>Ing. Dagmar Rechnerová</w:t>
      </w:r>
    </w:p>
    <w:p w14:paraId="452D3F39" w14:textId="77777777" w:rsidR="007C1484" w:rsidRPr="006519D0" w:rsidRDefault="009731B0" w:rsidP="007C1484">
      <w:pPr>
        <w:keepNext/>
        <w:spacing w:before="120" w:line="240" w:lineRule="auto"/>
      </w:pPr>
      <w:r w:rsidRPr="006519D0">
        <w:t>Odbor ekonomiky životního prostředí</w:t>
      </w:r>
    </w:p>
    <w:p w14:paraId="73DF388F" w14:textId="77777777" w:rsidR="007C1484" w:rsidRPr="006519D0" w:rsidRDefault="009731B0" w:rsidP="007C1484">
      <w:pPr>
        <w:keepNext/>
        <w:spacing w:before="120" w:line="240" w:lineRule="auto"/>
      </w:pPr>
      <w:r w:rsidRPr="006519D0">
        <w:t>Ministerstvo životního prostředí</w:t>
      </w:r>
    </w:p>
    <w:p w14:paraId="5589B165" w14:textId="77777777" w:rsidR="007C1484" w:rsidRPr="006519D0" w:rsidRDefault="009731B0" w:rsidP="007C1484">
      <w:pPr>
        <w:keepNext/>
        <w:spacing w:before="120" w:line="240" w:lineRule="auto"/>
      </w:pPr>
      <w:r w:rsidRPr="006519D0">
        <w:t>email:</w:t>
      </w:r>
      <w:r w:rsidR="00A55C88" w:rsidRPr="006519D0">
        <w:t xml:space="preserve"> </w:t>
      </w:r>
      <w:r w:rsidRPr="006519D0">
        <w:rPr>
          <w:rStyle w:val="Hypertextovodkaz"/>
        </w:rPr>
        <w:t>dagmar.rechnerova@mzp.cz</w:t>
      </w:r>
    </w:p>
    <w:p w14:paraId="1E675BD1" w14:textId="77777777" w:rsidR="007C1484" w:rsidRPr="006519D0" w:rsidRDefault="009731B0" w:rsidP="007C1484">
      <w:pPr>
        <w:keepNext/>
        <w:spacing w:before="120" w:line="240" w:lineRule="auto"/>
      </w:pPr>
      <w:r w:rsidRPr="006519D0">
        <w:t xml:space="preserve">tel: </w:t>
      </w:r>
      <w:r w:rsidRPr="006519D0">
        <w:t>+420 267 122 856</w:t>
      </w:r>
    </w:p>
    <w:p w14:paraId="7E3A1885" w14:textId="77777777" w:rsidR="007C1484" w:rsidRPr="006519D0" w:rsidRDefault="007C1484" w:rsidP="007C1484">
      <w:pPr>
        <w:keepNext/>
        <w:spacing w:before="120" w:line="240" w:lineRule="auto"/>
        <w:rPr>
          <w:b/>
        </w:rPr>
      </w:pPr>
    </w:p>
    <w:p w14:paraId="15CB9DFB" w14:textId="77777777" w:rsidR="007C1484" w:rsidRPr="006519D0" w:rsidRDefault="009731B0" w:rsidP="007C1484">
      <w:pPr>
        <w:keepNext/>
        <w:spacing w:before="120" w:line="240" w:lineRule="auto"/>
        <w:rPr>
          <w:b/>
        </w:rPr>
      </w:pPr>
      <w:r w:rsidRPr="006519D0">
        <w:rPr>
          <w:b/>
        </w:rPr>
        <w:t>Na přípravě spolupracovali:</w:t>
      </w:r>
    </w:p>
    <w:p w14:paraId="3F785CCF" w14:textId="77777777" w:rsidR="00465039" w:rsidRPr="006519D0" w:rsidRDefault="009731B0" w:rsidP="00465039">
      <w:pPr>
        <w:keepNext/>
        <w:spacing w:before="120" w:line="240" w:lineRule="auto"/>
        <w:rPr>
          <w:b/>
        </w:rPr>
      </w:pPr>
      <w:r w:rsidRPr="006519D0">
        <w:rPr>
          <w:b/>
        </w:rPr>
        <w:t>Ing. Eva Dvořáková, Ph.D.</w:t>
      </w:r>
    </w:p>
    <w:p w14:paraId="078D34A3" w14:textId="77777777" w:rsidR="00465039" w:rsidRPr="006519D0" w:rsidRDefault="009731B0" w:rsidP="00465039">
      <w:pPr>
        <w:keepNext/>
        <w:spacing w:before="120" w:line="240" w:lineRule="auto"/>
      </w:pPr>
      <w:r w:rsidRPr="006519D0">
        <w:t>Odbor ekonomiky životního prostředí</w:t>
      </w:r>
    </w:p>
    <w:p w14:paraId="4F2916F9" w14:textId="77777777" w:rsidR="00465039" w:rsidRPr="006519D0" w:rsidRDefault="009731B0" w:rsidP="00465039">
      <w:pPr>
        <w:keepNext/>
        <w:spacing w:before="120" w:line="240" w:lineRule="auto"/>
      </w:pPr>
      <w:r w:rsidRPr="006519D0">
        <w:t xml:space="preserve">email: </w:t>
      </w:r>
      <w:hyperlink r:id="rId11" w:history="1">
        <w:r w:rsidRPr="006519D0">
          <w:rPr>
            <w:rStyle w:val="Hypertextovodkaz"/>
          </w:rPr>
          <w:t>eva.dvorakova@mzp.cz</w:t>
        </w:r>
      </w:hyperlink>
    </w:p>
    <w:p w14:paraId="76632C6A" w14:textId="77777777" w:rsidR="00465039" w:rsidRPr="006519D0" w:rsidRDefault="009731B0" w:rsidP="00A55C88">
      <w:pPr>
        <w:keepNext/>
        <w:tabs>
          <w:tab w:val="left" w:pos="2760"/>
        </w:tabs>
        <w:spacing w:before="120" w:line="240" w:lineRule="auto"/>
      </w:pPr>
      <w:r w:rsidRPr="006519D0">
        <w:t>tel: +420 267 122 902</w:t>
      </w:r>
    </w:p>
    <w:p w14:paraId="55ABD62B" w14:textId="77777777" w:rsidR="00465039" w:rsidRPr="006519D0" w:rsidRDefault="00465039" w:rsidP="00A55C88">
      <w:pPr>
        <w:keepNext/>
        <w:tabs>
          <w:tab w:val="left" w:pos="2760"/>
        </w:tabs>
        <w:spacing w:before="120" w:line="240" w:lineRule="auto"/>
        <w:rPr>
          <w:b/>
        </w:rPr>
      </w:pPr>
    </w:p>
    <w:p w14:paraId="3C440C9C" w14:textId="77777777" w:rsidR="007C1484" w:rsidRPr="006519D0" w:rsidRDefault="009731B0" w:rsidP="00A55C88">
      <w:pPr>
        <w:keepNext/>
        <w:tabs>
          <w:tab w:val="left" w:pos="2760"/>
        </w:tabs>
        <w:spacing w:before="120" w:line="240" w:lineRule="auto"/>
        <w:rPr>
          <w:b/>
        </w:rPr>
      </w:pPr>
      <w:r w:rsidRPr="006519D0">
        <w:rPr>
          <w:b/>
        </w:rPr>
        <w:t>Mgr. Matěj Mrlina</w:t>
      </w:r>
    </w:p>
    <w:p w14:paraId="19A4801C" w14:textId="77777777" w:rsidR="00465039" w:rsidRPr="006519D0" w:rsidRDefault="009731B0" w:rsidP="00465039">
      <w:r w:rsidRPr="006519D0">
        <w:t>Odbor ochrany ovzduší</w:t>
      </w:r>
    </w:p>
    <w:p w14:paraId="56D377EE" w14:textId="77777777" w:rsidR="00465039" w:rsidRPr="006519D0" w:rsidRDefault="009731B0" w:rsidP="00465039">
      <w:r w:rsidRPr="006519D0">
        <w:t xml:space="preserve">email: </w:t>
      </w:r>
      <w:hyperlink r:id="rId12" w:history="1">
        <w:r w:rsidRPr="006519D0">
          <w:rPr>
            <w:rStyle w:val="Hypertextovodkaz"/>
          </w:rPr>
          <w:t>matej.mrlina@mzp.cz</w:t>
        </w:r>
      </w:hyperlink>
    </w:p>
    <w:p w14:paraId="09ACC36D" w14:textId="77777777" w:rsidR="00465039" w:rsidRPr="006519D0" w:rsidRDefault="009731B0" w:rsidP="00465039">
      <w:r w:rsidRPr="006519D0">
        <w:t>tel: +420 267 122 517</w:t>
      </w:r>
    </w:p>
    <w:p w14:paraId="43D1D788" w14:textId="77777777" w:rsidR="00465039" w:rsidRPr="006519D0" w:rsidRDefault="00465039" w:rsidP="00465039"/>
    <w:p w14:paraId="64465951" w14:textId="77777777" w:rsidR="00465039" w:rsidRPr="006519D0" w:rsidRDefault="009731B0" w:rsidP="00465039">
      <w:pPr>
        <w:rPr>
          <w:b/>
        </w:rPr>
      </w:pPr>
      <w:r w:rsidRPr="006519D0">
        <w:rPr>
          <w:b/>
        </w:rPr>
        <w:t xml:space="preserve">Mgr. </w:t>
      </w:r>
      <w:r w:rsidR="007A054B" w:rsidRPr="006519D0">
        <w:rPr>
          <w:b/>
        </w:rPr>
        <w:t>Jana Mašíčková</w:t>
      </w:r>
    </w:p>
    <w:p w14:paraId="79DD5B41" w14:textId="77777777" w:rsidR="00465039" w:rsidRPr="006519D0" w:rsidRDefault="009731B0" w:rsidP="00465039">
      <w:r w:rsidRPr="006519D0">
        <w:t>Odbor ochrany ovzduší</w:t>
      </w:r>
    </w:p>
    <w:p w14:paraId="3C02BCDB" w14:textId="77777777" w:rsidR="00465039" w:rsidRPr="006519D0" w:rsidRDefault="009731B0" w:rsidP="00465039">
      <w:r w:rsidRPr="006519D0">
        <w:t xml:space="preserve">email: </w:t>
      </w:r>
      <w:hyperlink r:id="rId13" w:history="1">
        <w:r w:rsidR="007A054B" w:rsidRPr="006519D0">
          <w:rPr>
            <w:rStyle w:val="Hypertextovodkaz"/>
          </w:rPr>
          <w:t>jana.masickova@mzp.cz</w:t>
        </w:r>
      </w:hyperlink>
    </w:p>
    <w:p w14:paraId="5013FB4B" w14:textId="77777777" w:rsidR="00465039" w:rsidRDefault="009731B0" w:rsidP="00465039">
      <w:r w:rsidRPr="006519D0">
        <w:t>tel: +420 267 122 </w:t>
      </w:r>
      <w:r w:rsidR="007A054B" w:rsidRPr="006519D0">
        <w:t>278</w:t>
      </w:r>
    </w:p>
    <w:p w14:paraId="299C4F01" w14:textId="77777777" w:rsidR="00B851D7" w:rsidRPr="00E44176" w:rsidRDefault="00B851D7" w:rsidP="00A55C88"/>
    <w:sectPr w:rsidR="00B851D7" w:rsidRPr="00E44176" w:rsidSect="00C8456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4AFB9" w14:textId="77777777" w:rsidR="009731B0" w:rsidRDefault="009731B0">
      <w:pPr>
        <w:spacing w:after="0" w:line="240" w:lineRule="auto"/>
      </w:pPr>
      <w:r>
        <w:separator/>
      </w:r>
    </w:p>
  </w:endnote>
  <w:endnote w:type="continuationSeparator" w:id="0">
    <w:p w14:paraId="05228A5E" w14:textId="77777777" w:rsidR="009731B0" w:rsidRDefault="00973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40DB6" w14:textId="77777777" w:rsidR="00C30FFD" w:rsidRDefault="00C30FFD">
    <w:pPr>
      <w:pStyle w:val="Zpat"/>
      <w:jc w:val="center"/>
    </w:pPr>
  </w:p>
  <w:p w14:paraId="0D5ECF25" w14:textId="77777777" w:rsidR="00C30FFD" w:rsidRDefault="00C30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955498"/>
      <w:docPartObj>
        <w:docPartGallery w:val="Page Numbers (Bottom of Page)"/>
        <w:docPartUnique/>
      </w:docPartObj>
    </w:sdtPr>
    <w:sdtEndPr/>
    <w:sdtContent>
      <w:p w14:paraId="60DFCC61" w14:textId="77777777" w:rsidR="00C30FFD" w:rsidRDefault="009731B0">
        <w:pPr>
          <w:pStyle w:val="Zpat"/>
          <w:jc w:val="center"/>
        </w:pPr>
        <w:r>
          <w:fldChar w:fldCharType="begin"/>
        </w:r>
        <w:r>
          <w:instrText>PAGE   \* MERGEFORMAT</w:instrText>
        </w:r>
        <w:r>
          <w:fldChar w:fldCharType="separate"/>
        </w:r>
        <w:r>
          <w:rPr>
            <w:noProof/>
          </w:rPr>
          <w:t>51</w:t>
        </w:r>
        <w:r>
          <w:fldChar w:fldCharType="end"/>
        </w:r>
      </w:p>
    </w:sdtContent>
  </w:sdt>
  <w:p w14:paraId="04B07F15" w14:textId="77777777" w:rsidR="00C30FFD" w:rsidRDefault="00C30F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38927" w14:textId="77777777" w:rsidR="009731B0" w:rsidRDefault="009731B0" w:rsidP="00822683">
      <w:pPr>
        <w:spacing w:after="0" w:line="240" w:lineRule="auto"/>
      </w:pPr>
      <w:r>
        <w:separator/>
      </w:r>
    </w:p>
  </w:footnote>
  <w:footnote w:type="continuationSeparator" w:id="0">
    <w:p w14:paraId="314A0FE3" w14:textId="77777777" w:rsidR="009731B0" w:rsidRDefault="009731B0" w:rsidP="00822683">
      <w:pPr>
        <w:spacing w:after="0" w:line="240" w:lineRule="auto"/>
      </w:pPr>
      <w:r>
        <w:continuationSeparator/>
      </w:r>
    </w:p>
  </w:footnote>
  <w:footnote w:id="1">
    <w:p w14:paraId="7E6356FD" w14:textId="77777777" w:rsidR="00C30FFD" w:rsidRDefault="009731B0">
      <w:pPr>
        <w:pStyle w:val="Textpoznpodarou"/>
      </w:pPr>
      <w:r>
        <w:rPr>
          <w:rStyle w:val="Znakapoznpodarou"/>
        </w:rPr>
        <w:footnoteRef/>
      </w:r>
      <w:r>
        <w:t xml:space="preserve"> </w:t>
      </w:r>
      <w:r w:rsidRPr="00822683">
        <w:t>Metodika stanovení plánovaných nákladů na výkon státní správy, Praha 2007, Ministerstvo vnitra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A703C" w14:textId="77777777" w:rsidR="00C30FFD" w:rsidRDefault="009731B0" w:rsidP="004F4BB4">
    <w:pPr>
      <w:pStyle w:val="Zhlav"/>
      <w:tabs>
        <w:tab w:val="clear" w:pos="4536"/>
        <w:tab w:val="clear" w:pos="9072"/>
        <w:tab w:val="left" w:pos="5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9690" w14:textId="77777777" w:rsidR="00C30FFD" w:rsidRDefault="009731B0" w:rsidP="004F4BB4">
    <w:pPr>
      <w:pStyle w:val="Zhlav"/>
      <w:tabs>
        <w:tab w:val="clear" w:pos="4536"/>
        <w:tab w:val="clear" w:pos="9072"/>
        <w:tab w:val="left" w:pos="58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4B98"/>
    <w:multiLevelType w:val="hybridMultilevel"/>
    <w:tmpl w:val="E25CA9A0"/>
    <w:lvl w:ilvl="0" w:tplc="04EABE8C">
      <w:start w:val="1"/>
      <w:numFmt w:val="decimal"/>
      <w:lvlText w:val="%1."/>
      <w:lvlJc w:val="left"/>
      <w:pPr>
        <w:ind w:left="720" w:hanging="360"/>
      </w:pPr>
    </w:lvl>
    <w:lvl w:ilvl="1" w:tplc="ADF65CAE">
      <w:start w:val="1"/>
      <w:numFmt w:val="lowerLetter"/>
      <w:lvlText w:val="%2."/>
      <w:lvlJc w:val="left"/>
      <w:pPr>
        <w:ind w:left="1440" w:hanging="360"/>
      </w:pPr>
    </w:lvl>
    <w:lvl w:ilvl="2" w:tplc="0F50D588">
      <w:start w:val="1"/>
      <w:numFmt w:val="lowerRoman"/>
      <w:lvlText w:val="%3."/>
      <w:lvlJc w:val="right"/>
      <w:pPr>
        <w:ind w:left="2160" w:hanging="180"/>
      </w:pPr>
    </w:lvl>
    <w:lvl w:ilvl="3" w:tplc="550AE8F2">
      <w:start w:val="1"/>
      <w:numFmt w:val="decimal"/>
      <w:lvlText w:val="%4."/>
      <w:lvlJc w:val="left"/>
      <w:pPr>
        <w:ind w:left="2880" w:hanging="360"/>
      </w:pPr>
    </w:lvl>
    <w:lvl w:ilvl="4" w:tplc="0AE41BD8">
      <w:start w:val="1"/>
      <w:numFmt w:val="lowerLetter"/>
      <w:lvlText w:val="%5."/>
      <w:lvlJc w:val="left"/>
      <w:pPr>
        <w:ind w:left="3600" w:hanging="360"/>
      </w:pPr>
    </w:lvl>
    <w:lvl w:ilvl="5" w:tplc="911C5980">
      <w:start w:val="1"/>
      <w:numFmt w:val="lowerRoman"/>
      <w:lvlText w:val="%6."/>
      <w:lvlJc w:val="right"/>
      <w:pPr>
        <w:ind w:left="4320" w:hanging="180"/>
      </w:pPr>
    </w:lvl>
    <w:lvl w:ilvl="6" w:tplc="D67843CC">
      <w:start w:val="1"/>
      <w:numFmt w:val="decimal"/>
      <w:lvlText w:val="%7."/>
      <w:lvlJc w:val="left"/>
      <w:pPr>
        <w:ind w:left="5040" w:hanging="360"/>
      </w:pPr>
    </w:lvl>
    <w:lvl w:ilvl="7" w:tplc="6F3EF7EC">
      <w:start w:val="1"/>
      <w:numFmt w:val="lowerLetter"/>
      <w:lvlText w:val="%8."/>
      <w:lvlJc w:val="left"/>
      <w:pPr>
        <w:ind w:left="5760" w:hanging="360"/>
      </w:pPr>
    </w:lvl>
    <w:lvl w:ilvl="8" w:tplc="AAEA3E36">
      <w:start w:val="1"/>
      <w:numFmt w:val="lowerRoman"/>
      <w:lvlText w:val="%9."/>
      <w:lvlJc w:val="right"/>
      <w:pPr>
        <w:ind w:left="6480" w:hanging="180"/>
      </w:pPr>
    </w:lvl>
  </w:abstractNum>
  <w:abstractNum w:abstractNumId="1" w15:restartNumberingAfterBreak="0">
    <w:nsid w:val="005D1ECA"/>
    <w:multiLevelType w:val="hybridMultilevel"/>
    <w:tmpl w:val="5AAE2C42"/>
    <w:lvl w:ilvl="0" w:tplc="2F8A2244">
      <w:numFmt w:val="bullet"/>
      <w:lvlText w:val="-"/>
      <w:lvlJc w:val="left"/>
      <w:pPr>
        <w:ind w:left="720" w:hanging="360"/>
      </w:pPr>
      <w:rPr>
        <w:rFonts w:ascii="Arial" w:eastAsia="Times New Roman" w:hAnsi="Arial" w:cs="Arial" w:hint="default"/>
      </w:rPr>
    </w:lvl>
    <w:lvl w:ilvl="1" w:tplc="1736ECC0" w:tentative="1">
      <w:start w:val="1"/>
      <w:numFmt w:val="bullet"/>
      <w:lvlText w:val="o"/>
      <w:lvlJc w:val="left"/>
      <w:pPr>
        <w:ind w:left="1440" w:hanging="360"/>
      </w:pPr>
      <w:rPr>
        <w:rFonts w:ascii="Courier New" w:hAnsi="Courier New" w:cs="Courier New" w:hint="default"/>
      </w:rPr>
    </w:lvl>
    <w:lvl w:ilvl="2" w:tplc="13DAE14E" w:tentative="1">
      <w:start w:val="1"/>
      <w:numFmt w:val="bullet"/>
      <w:lvlText w:val=""/>
      <w:lvlJc w:val="left"/>
      <w:pPr>
        <w:ind w:left="2160" w:hanging="360"/>
      </w:pPr>
      <w:rPr>
        <w:rFonts w:ascii="Wingdings" w:hAnsi="Wingdings" w:hint="default"/>
      </w:rPr>
    </w:lvl>
    <w:lvl w:ilvl="3" w:tplc="F828B00E" w:tentative="1">
      <w:start w:val="1"/>
      <w:numFmt w:val="bullet"/>
      <w:lvlText w:val=""/>
      <w:lvlJc w:val="left"/>
      <w:pPr>
        <w:ind w:left="2880" w:hanging="360"/>
      </w:pPr>
      <w:rPr>
        <w:rFonts w:ascii="Symbol" w:hAnsi="Symbol" w:hint="default"/>
      </w:rPr>
    </w:lvl>
    <w:lvl w:ilvl="4" w:tplc="7D385F9A" w:tentative="1">
      <w:start w:val="1"/>
      <w:numFmt w:val="bullet"/>
      <w:lvlText w:val="o"/>
      <w:lvlJc w:val="left"/>
      <w:pPr>
        <w:ind w:left="3600" w:hanging="360"/>
      </w:pPr>
      <w:rPr>
        <w:rFonts w:ascii="Courier New" w:hAnsi="Courier New" w:cs="Courier New" w:hint="default"/>
      </w:rPr>
    </w:lvl>
    <w:lvl w:ilvl="5" w:tplc="FDE62098" w:tentative="1">
      <w:start w:val="1"/>
      <w:numFmt w:val="bullet"/>
      <w:lvlText w:val=""/>
      <w:lvlJc w:val="left"/>
      <w:pPr>
        <w:ind w:left="4320" w:hanging="360"/>
      </w:pPr>
      <w:rPr>
        <w:rFonts w:ascii="Wingdings" w:hAnsi="Wingdings" w:hint="default"/>
      </w:rPr>
    </w:lvl>
    <w:lvl w:ilvl="6" w:tplc="F28ED2DC" w:tentative="1">
      <w:start w:val="1"/>
      <w:numFmt w:val="bullet"/>
      <w:lvlText w:val=""/>
      <w:lvlJc w:val="left"/>
      <w:pPr>
        <w:ind w:left="5040" w:hanging="360"/>
      </w:pPr>
      <w:rPr>
        <w:rFonts w:ascii="Symbol" w:hAnsi="Symbol" w:hint="default"/>
      </w:rPr>
    </w:lvl>
    <w:lvl w:ilvl="7" w:tplc="F23A33CC" w:tentative="1">
      <w:start w:val="1"/>
      <w:numFmt w:val="bullet"/>
      <w:lvlText w:val="o"/>
      <w:lvlJc w:val="left"/>
      <w:pPr>
        <w:ind w:left="5760" w:hanging="360"/>
      </w:pPr>
      <w:rPr>
        <w:rFonts w:ascii="Courier New" w:hAnsi="Courier New" w:cs="Courier New" w:hint="default"/>
      </w:rPr>
    </w:lvl>
    <w:lvl w:ilvl="8" w:tplc="925EB720" w:tentative="1">
      <w:start w:val="1"/>
      <w:numFmt w:val="bullet"/>
      <w:lvlText w:val=""/>
      <w:lvlJc w:val="left"/>
      <w:pPr>
        <w:ind w:left="6480" w:hanging="360"/>
      </w:pPr>
      <w:rPr>
        <w:rFonts w:ascii="Wingdings" w:hAnsi="Wingdings" w:hint="default"/>
      </w:rPr>
    </w:lvl>
  </w:abstractNum>
  <w:abstractNum w:abstractNumId="2" w15:restartNumberingAfterBreak="0">
    <w:nsid w:val="071032DC"/>
    <w:multiLevelType w:val="multilevel"/>
    <w:tmpl w:val="04050025"/>
    <w:lvl w:ilvl="0">
      <w:start w:val="1"/>
      <w:numFmt w:val="decimal"/>
      <w:pStyle w:val="Nadpis1"/>
      <w:lvlText w:val="%1"/>
      <w:lvlJc w:val="left"/>
      <w:pPr>
        <w:ind w:left="574"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96E7BC6"/>
    <w:multiLevelType w:val="hybridMultilevel"/>
    <w:tmpl w:val="2B6673DC"/>
    <w:lvl w:ilvl="0" w:tplc="3D8C8EDA">
      <w:start w:val="1"/>
      <w:numFmt w:val="upperRoman"/>
      <w:pStyle w:val="Nzev"/>
      <w:lvlText w:val="%1."/>
      <w:lvlJc w:val="left"/>
      <w:pPr>
        <w:ind w:left="720" w:hanging="360"/>
      </w:pPr>
      <w:rPr>
        <w:rFonts w:hint="default"/>
      </w:rPr>
    </w:lvl>
    <w:lvl w:ilvl="1" w:tplc="EA86994A">
      <w:start w:val="1"/>
      <w:numFmt w:val="lowerLetter"/>
      <w:lvlText w:val="%2."/>
      <w:lvlJc w:val="left"/>
      <w:pPr>
        <w:ind w:left="1440" w:hanging="360"/>
      </w:pPr>
    </w:lvl>
    <w:lvl w:ilvl="2" w:tplc="20441D0C" w:tentative="1">
      <w:start w:val="1"/>
      <w:numFmt w:val="lowerRoman"/>
      <w:lvlText w:val="%3."/>
      <w:lvlJc w:val="right"/>
      <w:pPr>
        <w:ind w:left="2160" w:hanging="180"/>
      </w:pPr>
    </w:lvl>
    <w:lvl w:ilvl="3" w:tplc="C34A897E" w:tentative="1">
      <w:start w:val="1"/>
      <w:numFmt w:val="decimal"/>
      <w:lvlText w:val="%4."/>
      <w:lvlJc w:val="left"/>
      <w:pPr>
        <w:ind w:left="2880" w:hanging="360"/>
      </w:pPr>
    </w:lvl>
    <w:lvl w:ilvl="4" w:tplc="45BA7512" w:tentative="1">
      <w:start w:val="1"/>
      <w:numFmt w:val="lowerLetter"/>
      <w:lvlText w:val="%5."/>
      <w:lvlJc w:val="left"/>
      <w:pPr>
        <w:ind w:left="3600" w:hanging="360"/>
      </w:pPr>
    </w:lvl>
    <w:lvl w:ilvl="5" w:tplc="B7966E70" w:tentative="1">
      <w:start w:val="1"/>
      <w:numFmt w:val="lowerRoman"/>
      <w:lvlText w:val="%6."/>
      <w:lvlJc w:val="right"/>
      <w:pPr>
        <w:ind w:left="4320" w:hanging="180"/>
      </w:pPr>
    </w:lvl>
    <w:lvl w:ilvl="6" w:tplc="5CA6BEAA" w:tentative="1">
      <w:start w:val="1"/>
      <w:numFmt w:val="decimal"/>
      <w:lvlText w:val="%7."/>
      <w:lvlJc w:val="left"/>
      <w:pPr>
        <w:ind w:left="5040" w:hanging="360"/>
      </w:pPr>
    </w:lvl>
    <w:lvl w:ilvl="7" w:tplc="0C34A560" w:tentative="1">
      <w:start w:val="1"/>
      <w:numFmt w:val="lowerLetter"/>
      <w:lvlText w:val="%8."/>
      <w:lvlJc w:val="left"/>
      <w:pPr>
        <w:ind w:left="5760" w:hanging="360"/>
      </w:pPr>
    </w:lvl>
    <w:lvl w:ilvl="8" w:tplc="EC7E5460" w:tentative="1">
      <w:start w:val="1"/>
      <w:numFmt w:val="lowerRoman"/>
      <w:lvlText w:val="%9."/>
      <w:lvlJc w:val="right"/>
      <w:pPr>
        <w:ind w:left="6480" w:hanging="180"/>
      </w:pPr>
    </w:lvl>
  </w:abstractNum>
  <w:abstractNum w:abstractNumId="4" w15:restartNumberingAfterBreak="0">
    <w:nsid w:val="09867954"/>
    <w:multiLevelType w:val="hybridMultilevel"/>
    <w:tmpl w:val="D026BEDC"/>
    <w:lvl w:ilvl="0" w:tplc="B9EE550E">
      <w:start w:val="1"/>
      <w:numFmt w:val="lowerLetter"/>
      <w:lvlText w:val="%1)"/>
      <w:lvlJc w:val="left"/>
      <w:pPr>
        <w:ind w:left="720" w:hanging="360"/>
      </w:pPr>
      <w:rPr>
        <w:rFonts w:hint="default"/>
      </w:rPr>
    </w:lvl>
    <w:lvl w:ilvl="1" w:tplc="817C1AD8" w:tentative="1">
      <w:start w:val="1"/>
      <w:numFmt w:val="lowerLetter"/>
      <w:lvlText w:val="%2."/>
      <w:lvlJc w:val="left"/>
      <w:pPr>
        <w:ind w:left="1440" w:hanging="360"/>
      </w:pPr>
    </w:lvl>
    <w:lvl w:ilvl="2" w:tplc="1F8A413C" w:tentative="1">
      <w:start w:val="1"/>
      <w:numFmt w:val="lowerRoman"/>
      <w:lvlText w:val="%3."/>
      <w:lvlJc w:val="right"/>
      <w:pPr>
        <w:ind w:left="2160" w:hanging="180"/>
      </w:pPr>
    </w:lvl>
    <w:lvl w:ilvl="3" w:tplc="F704D8A4" w:tentative="1">
      <w:start w:val="1"/>
      <w:numFmt w:val="decimal"/>
      <w:lvlText w:val="%4."/>
      <w:lvlJc w:val="left"/>
      <w:pPr>
        <w:ind w:left="2880" w:hanging="360"/>
      </w:pPr>
    </w:lvl>
    <w:lvl w:ilvl="4" w:tplc="9FA889F2" w:tentative="1">
      <w:start w:val="1"/>
      <w:numFmt w:val="lowerLetter"/>
      <w:lvlText w:val="%5."/>
      <w:lvlJc w:val="left"/>
      <w:pPr>
        <w:ind w:left="3600" w:hanging="360"/>
      </w:pPr>
    </w:lvl>
    <w:lvl w:ilvl="5" w:tplc="A81E2AE2" w:tentative="1">
      <w:start w:val="1"/>
      <w:numFmt w:val="lowerRoman"/>
      <w:lvlText w:val="%6."/>
      <w:lvlJc w:val="right"/>
      <w:pPr>
        <w:ind w:left="4320" w:hanging="180"/>
      </w:pPr>
    </w:lvl>
    <w:lvl w:ilvl="6" w:tplc="78CCA9E4" w:tentative="1">
      <w:start w:val="1"/>
      <w:numFmt w:val="decimal"/>
      <w:lvlText w:val="%7."/>
      <w:lvlJc w:val="left"/>
      <w:pPr>
        <w:ind w:left="5040" w:hanging="360"/>
      </w:pPr>
    </w:lvl>
    <w:lvl w:ilvl="7" w:tplc="1C16EC72" w:tentative="1">
      <w:start w:val="1"/>
      <w:numFmt w:val="lowerLetter"/>
      <w:lvlText w:val="%8."/>
      <w:lvlJc w:val="left"/>
      <w:pPr>
        <w:ind w:left="5760" w:hanging="360"/>
      </w:pPr>
    </w:lvl>
    <w:lvl w:ilvl="8" w:tplc="7F1A6536" w:tentative="1">
      <w:start w:val="1"/>
      <w:numFmt w:val="lowerRoman"/>
      <w:lvlText w:val="%9."/>
      <w:lvlJc w:val="right"/>
      <w:pPr>
        <w:ind w:left="6480" w:hanging="180"/>
      </w:pPr>
    </w:lvl>
  </w:abstractNum>
  <w:abstractNum w:abstractNumId="5" w15:restartNumberingAfterBreak="0">
    <w:nsid w:val="0EB85FF1"/>
    <w:multiLevelType w:val="hybridMultilevel"/>
    <w:tmpl w:val="B168911C"/>
    <w:lvl w:ilvl="0" w:tplc="383225EE">
      <w:start w:val="1"/>
      <w:numFmt w:val="lowerLetter"/>
      <w:lvlText w:val="%1)"/>
      <w:lvlJc w:val="left"/>
      <w:pPr>
        <w:ind w:left="720" w:hanging="360"/>
      </w:pPr>
      <w:rPr>
        <w:rFonts w:hint="default"/>
      </w:rPr>
    </w:lvl>
    <w:lvl w:ilvl="1" w:tplc="A14A10EC" w:tentative="1">
      <w:start w:val="1"/>
      <w:numFmt w:val="lowerLetter"/>
      <w:lvlText w:val="%2."/>
      <w:lvlJc w:val="left"/>
      <w:pPr>
        <w:ind w:left="1440" w:hanging="360"/>
      </w:pPr>
    </w:lvl>
    <w:lvl w:ilvl="2" w:tplc="A5CCF9C2" w:tentative="1">
      <w:start w:val="1"/>
      <w:numFmt w:val="lowerRoman"/>
      <w:lvlText w:val="%3."/>
      <w:lvlJc w:val="right"/>
      <w:pPr>
        <w:ind w:left="2160" w:hanging="180"/>
      </w:pPr>
    </w:lvl>
    <w:lvl w:ilvl="3" w:tplc="53BCB47C" w:tentative="1">
      <w:start w:val="1"/>
      <w:numFmt w:val="decimal"/>
      <w:lvlText w:val="%4."/>
      <w:lvlJc w:val="left"/>
      <w:pPr>
        <w:ind w:left="2880" w:hanging="360"/>
      </w:pPr>
    </w:lvl>
    <w:lvl w:ilvl="4" w:tplc="868ACE48" w:tentative="1">
      <w:start w:val="1"/>
      <w:numFmt w:val="lowerLetter"/>
      <w:lvlText w:val="%5."/>
      <w:lvlJc w:val="left"/>
      <w:pPr>
        <w:ind w:left="3600" w:hanging="360"/>
      </w:pPr>
    </w:lvl>
    <w:lvl w:ilvl="5" w:tplc="1B90D712" w:tentative="1">
      <w:start w:val="1"/>
      <w:numFmt w:val="lowerRoman"/>
      <w:lvlText w:val="%6."/>
      <w:lvlJc w:val="right"/>
      <w:pPr>
        <w:ind w:left="4320" w:hanging="180"/>
      </w:pPr>
    </w:lvl>
    <w:lvl w:ilvl="6" w:tplc="67165268" w:tentative="1">
      <w:start w:val="1"/>
      <w:numFmt w:val="decimal"/>
      <w:lvlText w:val="%7."/>
      <w:lvlJc w:val="left"/>
      <w:pPr>
        <w:ind w:left="5040" w:hanging="360"/>
      </w:pPr>
    </w:lvl>
    <w:lvl w:ilvl="7" w:tplc="F6EA2946" w:tentative="1">
      <w:start w:val="1"/>
      <w:numFmt w:val="lowerLetter"/>
      <w:lvlText w:val="%8."/>
      <w:lvlJc w:val="left"/>
      <w:pPr>
        <w:ind w:left="5760" w:hanging="360"/>
      </w:pPr>
    </w:lvl>
    <w:lvl w:ilvl="8" w:tplc="B770C6E4" w:tentative="1">
      <w:start w:val="1"/>
      <w:numFmt w:val="lowerRoman"/>
      <w:lvlText w:val="%9."/>
      <w:lvlJc w:val="right"/>
      <w:pPr>
        <w:ind w:left="6480" w:hanging="180"/>
      </w:pPr>
    </w:lvl>
  </w:abstractNum>
  <w:abstractNum w:abstractNumId="6" w15:restartNumberingAfterBreak="0">
    <w:nsid w:val="0FDD3FAD"/>
    <w:multiLevelType w:val="hybridMultilevel"/>
    <w:tmpl w:val="E25CA9A0"/>
    <w:lvl w:ilvl="0" w:tplc="73D29D2E">
      <w:start w:val="1"/>
      <w:numFmt w:val="decimal"/>
      <w:lvlText w:val="%1."/>
      <w:lvlJc w:val="left"/>
      <w:pPr>
        <w:ind w:left="720" w:hanging="360"/>
      </w:pPr>
    </w:lvl>
    <w:lvl w:ilvl="1" w:tplc="9D0E8962">
      <w:start w:val="1"/>
      <w:numFmt w:val="lowerLetter"/>
      <w:lvlText w:val="%2."/>
      <w:lvlJc w:val="left"/>
      <w:pPr>
        <w:ind w:left="1440" w:hanging="360"/>
      </w:pPr>
    </w:lvl>
    <w:lvl w:ilvl="2" w:tplc="DD520C86">
      <w:start w:val="1"/>
      <w:numFmt w:val="lowerRoman"/>
      <w:lvlText w:val="%3."/>
      <w:lvlJc w:val="right"/>
      <w:pPr>
        <w:ind w:left="2160" w:hanging="180"/>
      </w:pPr>
    </w:lvl>
    <w:lvl w:ilvl="3" w:tplc="F2EE4DA4">
      <w:start w:val="1"/>
      <w:numFmt w:val="decimal"/>
      <w:lvlText w:val="%4."/>
      <w:lvlJc w:val="left"/>
      <w:pPr>
        <w:ind w:left="2880" w:hanging="360"/>
      </w:pPr>
    </w:lvl>
    <w:lvl w:ilvl="4" w:tplc="F39A0EB2">
      <w:start w:val="1"/>
      <w:numFmt w:val="lowerLetter"/>
      <w:lvlText w:val="%5."/>
      <w:lvlJc w:val="left"/>
      <w:pPr>
        <w:ind w:left="3600" w:hanging="360"/>
      </w:pPr>
    </w:lvl>
    <w:lvl w:ilvl="5" w:tplc="27126170">
      <w:start w:val="1"/>
      <w:numFmt w:val="lowerRoman"/>
      <w:lvlText w:val="%6."/>
      <w:lvlJc w:val="right"/>
      <w:pPr>
        <w:ind w:left="4320" w:hanging="180"/>
      </w:pPr>
    </w:lvl>
    <w:lvl w:ilvl="6" w:tplc="599880CE">
      <w:start w:val="1"/>
      <w:numFmt w:val="decimal"/>
      <w:lvlText w:val="%7."/>
      <w:lvlJc w:val="left"/>
      <w:pPr>
        <w:ind w:left="5040" w:hanging="360"/>
      </w:pPr>
    </w:lvl>
    <w:lvl w:ilvl="7" w:tplc="ECC4DE72">
      <w:start w:val="1"/>
      <w:numFmt w:val="lowerLetter"/>
      <w:lvlText w:val="%8."/>
      <w:lvlJc w:val="left"/>
      <w:pPr>
        <w:ind w:left="5760" w:hanging="360"/>
      </w:pPr>
    </w:lvl>
    <w:lvl w:ilvl="8" w:tplc="7B7A916A">
      <w:start w:val="1"/>
      <w:numFmt w:val="lowerRoman"/>
      <w:lvlText w:val="%9."/>
      <w:lvlJc w:val="right"/>
      <w:pPr>
        <w:ind w:left="6480" w:hanging="180"/>
      </w:pPr>
    </w:lvl>
  </w:abstractNum>
  <w:abstractNum w:abstractNumId="7" w15:restartNumberingAfterBreak="0">
    <w:nsid w:val="14AD603A"/>
    <w:multiLevelType w:val="hybridMultilevel"/>
    <w:tmpl w:val="4EC2E492"/>
    <w:lvl w:ilvl="0" w:tplc="B964CDFC">
      <w:start w:val="1"/>
      <w:numFmt w:val="lowerLetter"/>
      <w:lvlText w:val="%1)"/>
      <w:lvlJc w:val="left"/>
      <w:pPr>
        <w:ind w:left="720" w:hanging="360"/>
      </w:pPr>
    </w:lvl>
    <w:lvl w:ilvl="1" w:tplc="B4583CB8">
      <w:start w:val="1"/>
      <w:numFmt w:val="lowerLetter"/>
      <w:lvlText w:val="%2."/>
      <w:lvlJc w:val="left"/>
      <w:pPr>
        <w:ind w:left="1440" w:hanging="360"/>
      </w:pPr>
    </w:lvl>
    <w:lvl w:ilvl="2" w:tplc="A934D35E">
      <w:start w:val="1"/>
      <w:numFmt w:val="lowerRoman"/>
      <w:lvlText w:val="%3."/>
      <w:lvlJc w:val="right"/>
      <w:pPr>
        <w:ind w:left="2160" w:hanging="180"/>
      </w:pPr>
    </w:lvl>
    <w:lvl w:ilvl="3" w:tplc="67F81BF4">
      <w:start w:val="1"/>
      <w:numFmt w:val="decimal"/>
      <w:lvlText w:val="%4."/>
      <w:lvlJc w:val="left"/>
      <w:pPr>
        <w:ind w:left="2880" w:hanging="360"/>
      </w:pPr>
    </w:lvl>
    <w:lvl w:ilvl="4" w:tplc="E6606EBA">
      <w:start w:val="1"/>
      <w:numFmt w:val="lowerLetter"/>
      <w:lvlText w:val="%5."/>
      <w:lvlJc w:val="left"/>
      <w:pPr>
        <w:ind w:left="3600" w:hanging="360"/>
      </w:pPr>
    </w:lvl>
    <w:lvl w:ilvl="5" w:tplc="753C10C2">
      <w:start w:val="1"/>
      <w:numFmt w:val="lowerRoman"/>
      <w:lvlText w:val="%6."/>
      <w:lvlJc w:val="right"/>
      <w:pPr>
        <w:ind w:left="4320" w:hanging="180"/>
      </w:pPr>
    </w:lvl>
    <w:lvl w:ilvl="6" w:tplc="5D7235F0">
      <w:start w:val="1"/>
      <w:numFmt w:val="decimal"/>
      <w:lvlText w:val="%7."/>
      <w:lvlJc w:val="left"/>
      <w:pPr>
        <w:ind w:left="5040" w:hanging="360"/>
      </w:pPr>
    </w:lvl>
    <w:lvl w:ilvl="7" w:tplc="B81A681A">
      <w:start w:val="1"/>
      <w:numFmt w:val="lowerLetter"/>
      <w:lvlText w:val="%8."/>
      <w:lvlJc w:val="left"/>
      <w:pPr>
        <w:ind w:left="5760" w:hanging="360"/>
      </w:pPr>
    </w:lvl>
    <w:lvl w:ilvl="8" w:tplc="464AD916">
      <w:start w:val="1"/>
      <w:numFmt w:val="lowerRoman"/>
      <w:lvlText w:val="%9."/>
      <w:lvlJc w:val="right"/>
      <w:pPr>
        <w:ind w:left="6480" w:hanging="180"/>
      </w:pPr>
    </w:lvl>
  </w:abstractNum>
  <w:abstractNum w:abstractNumId="8" w15:restartNumberingAfterBreak="0">
    <w:nsid w:val="18650644"/>
    <w:multiLevelType w:val="hybridMultilevel"/>
    <w:tmpl w:val="4EC2E492"/>
    <w:lvl w:ilvl="0" w:tplc="7D909F32">
      <w:start w:val="1"/>
      <w:numFmt w:val="lowerLetter"/>
      <w:lvlText w:val="%1)"/>
      <w:lvlJc w:val="left"/>
      <w:pPr>
        <w:ind w:left="720" w:hanging="360"/>
      </w:pPr>
    </w:lvl>
    <w:lvl w:ilvl="1" w:tplc="A78C247C">
      <w:start w:val="1"/>
      <w:numFmt w:val="lowerLetter"/>
      <w:lvlText w:val="%2."/>
      <w:lvlJc w:val="left"/>
      <w:pPr>
        <w:ind w:left="1440" w:hanging="360"/>
      </w:pPr>
    </w:lvl>
    <w:lvl w:ilvl="2" w:tplc="EEE46466">
      <w:start w:val="1"/>
      <w:numFmt w:val="lowerRoman"/>
      <w:lvlText w:val="%3."/>
      <w:lvlJc w:val="right"/>
      <w:pPr>
        <w:ind w:left="2160" w:hanging="180"/>
      </w:pPr>
    </w:lvl>
    <w:lvl w:ilvl="3" w:tplc="2D48A6EE">
      <w:start w:val="1"/>
      <w:numFmt w:val="decimal"/>
      <w:lvlText w:val="%4."/>
      <w:lvlJc w:val="left"/>
      <w:pPr>
        <w:ind w:left="2880" w:hanging="360"/>
      </w:pPr>
    </w:lvl>
    <w:lvl w:ilvl="4" w:tplc="7DDA8C2C">
      <w:start w:val="1"/>
      <w:numFmt w:val="lowerLetter"/>
      <w:lvlText w:val="%5."/>
      <w:lvlJc w:val="left"/>
      <w:pPr>
        <w:ind w:left="3600" w:hanging="360"/>
      </w:pPr>
    </w:lvl>
    <w:lvl w:ilvl="5" w:tplc="F7229C22">
      <w:start w:val="1"/>
      <w:numFmt w:val="lowerRoman"/>
      <w:lvlText w:val="%6."/>
      <w:lvlJc w:val="right"/>
      <w:pPr>
        <w:ind w:left="4320" w:hanging="180"/>
      </w:pPr>
    </w:lvl>
    <w:lvl w:ilvl="6" w:tplc="5DFAD0F8">
      <w:start w:val="1"/>
      <w:numFmt w:val="decimal"/>
      <w:lvlText w:val="%7."/>
      <w:lvlJc w:val="left"/>
      <w:pPr>
        <w:ind w:left="5040" w:hanging="360"/>
      </w:pPr>
    </w:lvl>
    <w:lvl w:ilvl="7" w:tplc="6BBA5176">
      <w:start w:val="1"/>
      <w:numFmt w:val="lowerLetter"/>
      <w:lvlText w:val="%8."/>
      <w:lvlJc w:val="left"/>
      <w:pPr>
        <w:ind w:left="5760" w:hanging="360"/>
      </w:pPr>
    </w:lvl>
    <w:lvl w:ilvl="8" w:tplc="6BDC6D9C">
      <w:start w:val="1"/>
      <w:numFmt w:val="lowerRoman"/>
      <w:lvlText w:val="%9."/>
      <w:lvlJc w:val="right"/>
      <w:pPr>
        <w:ind w:left="6480" w:hanging="180"/>
      </w:pPr>
    </w:lvl>
  </w:abstractNum>
  <w:abstractNum w:abstractNumId="9" w15:restartNumberingAfterBreak="0">
    <w:nsid w:val="1E7A6A5E"/>
    <w:multiLevelType w:val="hybridMultilevel"/>
    <w:tmpl w:val="E25CA9A0"/>
    <w:lvl w:ilvl="0" w:tplc="F3DE18D6">
      <w:start w:val="1"/>
      <w:numFmt w:val="decimal"/>
      <w:lvlText w:val="%1."/>
      <w:lvlJc w:val="left"/>
      <w:pPr>
        <w:ind w:left="720" w:hanging="360"/>
      </w:pPr>
    </w:lvl>
    <w:lvl w:ilvl="1" w:tplc="4B42B8BA">
      <w:start w:val="1"/>
      <w:numFmt w:val="lowerLetter"/>
      <w:lvlText w:val="%2."/>
      <w:lvlJc w:val="left"/>
      <w:pPr>
        <w:ind w:left="1440" w:hanging="360"/>
      </w:pPr>
    </w:lvl>
    <w:lvl w:ilvl="2" w:tplc="34E48062">
      <w:start w:val="1"/>
      <w:numFmt w:val="lowerRoman"/>
      <w:lvlText w:val="%3."/>
      <w:lvlJc w:val="right"/>
      <w:pPr>
        <w:ind w:left="2160" w:hanging="180"/>
      </w:pPr>
    </w:lvl>
    <w:lvl w:ilvl="3" w:tplc="CD6C4462">
      <w:start w:val="1"/>
      <w:numFmt w:val="decimal"/>
      <w:lvlText w:val="%4."/>
      <w:lvlJc w:val="left"/>
      <w:pPr>
        <w:ind w:left="2880" w:hanging="360"/>
      </w:pPr>
    </w:lvl>
    <w:lvl w:ilvl="4" w:tplc="E6AC01EC">
      <w:start w:val="1"/>
      <w:numFmt w:val="lowerLetter"/>
      <w:lvlText w:val="%5."/>
      <w:lvlJc w:val="left"/>
      <w:pPr>
        <w:ind w:left="3600" w:hanging="360"/>
      </w:pPr>
    </w:lvl>
    <w:lvl w:ilvl="5" w:tplc="FE103734">
      <w:start w:val="1"/>
      <w:numFmt w:val="lowerRoman"/>
      <w:lvlText w:val="%6."/>
      <w:lvlJc w:val="right"/>
      <w:pPr>
        <w:ind w:left="4320" w:hanging="180"/>
      </w:pPr>
    </w:lvl>
    <w:lvl w:ilvl="6" w:tplc="4F284552">
      <w:start w:val="1"/>
      <w:numFmt w:val="decimal"/>
      <w:lvlText w:val="%7."/>
      <w:lvlJc w:val="left"/>
      <w:pPr>
        <w:ind w:left="5040" w:hanging="360"/>
      </w:pPr>
    </w:lvl>
    <w:lvl w:ilvl="7" w:tplc="A6C21218">
      <w:start w:val="1"/>
      <w:numFmt w:val="lowerLetter"/>
      <w:lvlText w:val="%8."/>
      <w:lvlJc w:val="left"/>
      <w:pPr>
        <w:ind w:left="5760" w:hanging="360"/>
      </w:pPr>
    </w:lvl>
    <w:lvl w:ilvl="8" w:tplc="80F8347C">
      <w:start w:val="1"/>
      <w:numFmt w:val="lowerRoman"/>
      <w:lvlText w:val="%9."/>
      <w:lvlJc w:val="right"/>
      <w:pPr>
        <w:ind w:left="6480" w:hanging="180"/>
      </w:pPr>
    </w:lvl>
  </w:abstractNum>
  <w:abstractNum w:abstractNumId="10" w15:restartNumberingAfterBreak="0">
    <w:nsid w:val="26722330"/>
    <w:multiLevelType w:val="hybridMultilevel"/>
    <w:tmpl w:val="15BE8A18"/>
    <w:lvl w:ilvl="0" w:tplc="3EFA7DB8">
      <w:start w:val="1"/>
      <w:numFmt w:val="decimal"/>
      <w:lvlText w:val="%1)"/>
      <w:lvlJc w:val="left"/>
      <w:pPr>
        <w:ind w:left="720" w:hanging="360"/>
      </w:pPr>
      <w:rPr>
        <w:rFonts w:hint="default"/>
      </w:rPr>
    </w:lvl>
    <w:lvl w:ilvl="1" w:tplc="7304EA8A" w:tentative="1">
      <w:start w:val="1"/>
      <w:numFmt w:val="lowerLetter"/>
      <w:lvlText w:val="%2."/>
      <w:lvlJc w:val="left"/>
      <w:pPr>
        <w:ind w:left="1440" w:hanging="360"/>
      </w:pPr>
    </w:lvl>
    <w:lvl w:ilvl="2" w:tplc="6578168E" w:tentative="1">
      <w:start w:val="1"/>
      <w:numFmt w:val="lowerRoman"/>
      <w:lvlText w:val="%3."/>
      <w:lvlJc w:val="right"/>
      <w:pPr>
        <w:ind w:left="2160" w:hanging="180"/>
      </w:pPr>
    </w:lvl>
    <w:lvl w:ilvl="3" w:tplc="995CD100" w:tentative="1">
      <w:start w:val="1"/>
      <w:numFmt w:val="decimal"/>
      <w:lvlText w:val="%4."/>
      <w:lvlJc w:val="left"/>
      <w:pPr>
        <w:ind w:left="2880" w:hanging="360"/>
      </w:pPr>
    </w:lvl>
    <w:lvl w:ilvl="4" w:tplc="99CA4B08" w:tentative="1">
      <w:start w:val="1"/>
      <w:numFmt w:val="lowerLetter"/>
      <w:lvlText w:val="%5."/>
      <w:lvlJc w:val="left"/>
      <w:pPr>
        <w:ind w:left="3600" w:hanging="360"/>
      </w:pPr>
    </w:lvl>
    <w:lvl w:ilvl="5" w:tplc="C2DAA058" w:tentative="1">
      <w:start w:val="1"/>
      <w:numFmt w:val="lowerRoman"/>
      <w:lvlText w:val="%6."/>
      <w:lvlJc w:val="right"/>
      <w:pPr>
        <w:ind w:left="4320" w:hanging="180"/>
      </w:pPr>
    </w:lvl>
    <w:lvl w:ilvl="6" w:tplc="B90EED3A" w:tentative="1">
      <w:start w:val="1"/>
      <w:numFmt w:val="decimal"/>
      <w:lvlText w:val="%7."/>
      <w:lvlJc w:val="left"/>
      <w:pPr>
        <w:ind w:left="5040" w:hanging="360"/>
      </w:pPr>
    </w:lvl>
    <w:lvl w:ilvl="7" w:tplc="62548520" w:tentative="1">
      <w:start w:val="1"/>
      <w:numFmt w:val="lowerLetter"/>
      <w:lvlText w:val="%8."/>
      <w:lvlJc w:val="left"/>
      <w:pPr>
        <w:ind w:left="5760" w:hanging="360"/>
      </w:pPr>
    </w:lvl>
    <w:lvl w:ilvl="8" w:tplc="AAB69448" w:tentative="1">
      <w:start w:val="1"/>
      <w:numFmt w:val="lowerRoman"/>
      <w:lvlText w:val="%9."/>
      <w:lvlJc w:val="right"/>
      <w:pPr>
        <w:ind w:left="6480" w:hanging="180"/>
      </w:pPr>
    </w:lvl>
  </w:abstractNum>
  <w:abstractNum w:abstractNumId="11" w15:restartNumberingAfterBreak="0">
    <w:nsid w:val="34460F01"/>
    <w:multiLevelType w:val="hybridMultilevel"/>
    <w:tmpl w:val="8D4AB5C2"/>
    <w:lvl w:ilvl="0" w:tplc="2A2C27F0">
      <w:start w:val="1"/>
      <w:numFmt w:val="bullet"/>
      <w:lvlText w:val=""/>
      <w:lvlJc w:val="left"/>
      <w:pPr>
        <w:ind w:left="720" w:hanging="360"/>
      </w:pPr>
      <w:rPr>
        <w:rFonts w:ascii="Symbol" w:hAnsi="Symbol" w:hint="default"/>
      </w:rPr>
    </w:lvl>
    <w:lvl w:ilvl="1" w:tplc="6F7A0B26" w:tentative="1">
      <w:start w:val="1"/>
      <w:numFmt w:val="bullet"/>
      <w:lvlText w:val="o"/>
      <w:lvlJc w:val="left"/>
      <w:pPr>
        <w:ind w:left="1440" w:hanging="360"/>
      </w:pPr>
      <w:rPr>
        <w:rFonts w:ascii="Courier New" w:hAnsi="Courier New" w:cs="Courier New" w:hint="default"/>
      </w:rPr>
    </w:lvl>
    <w:lvl w:ilvl="2" w:tplc="250EF6AE" w:tentative="1">
      <w:start w:val="1"/>
      <w:numFmt w:val="bullet"/>
      <w:lvlText w:val=""/>
      <w:lvlJc w:val="left"/>
      <w:pPr>
        <w:ind w:left="2160" w:hanging="360"/>
      </w:pPr>
      <w:rPr>
        <w:rFonts w:ascii="Wingdings" w:hAnsi="Wingdings" w:hint="default"/>
      </w:rPr>
    </w:lvl>
    <w:lvl w:ilvl="3" w:tplc="FB4071E6" w:tentative="1">
      <w:start w:val="1"/>
      <w:numFmt w:val="bullet"/>
      <w:lvlText w:val=""/>
      <w:lvlJc w:val="left"/>
      <w:pPr>
        <w:ind w:left="2880" w:hanging="360"/>
      </w:pPr>
      <w:rPr>
        <w:rFonts w:ascii="Symbol" w:hAnsi="Symbol" w:hint="default"/>
      </w:rPr>
    </w:lvl>
    <w:lvl w:ilvl="4" w:tplc="EA9C08B0" w:tentative="1">
      <w:start w:val="1"/>
      <w:numFmt w:val="bullet"/>
      <w:lvlText w:val="o"/>
      <w:lvlJc w:val="left"/>
      <w:pPr>
        <w:ind w:left="3600" w:hanging="360"/>
      </w:pPr>
      <w:rPr>
        <w:rFonts w:ascii="Courier New" w:hAnsi="Courier New" w:cs="Courier New" w:hint="default"/>
      </w:rPr>
    </w:lvl>
    <w:lvl w:ilvl="5" w:tplc="B2AAA084" w:tentative="1">
      <w:start w:val="1"/>
      <w:numFmt w:val="bullet"/>
      <w:lvlText w:val=""/>
      <w:lvlJc w:val="left"/>
      <w:pPr>
        <w:ind w:left="4320" w:hanging="360"/>
      </w:pPr>
      <w:rPr>
        <w:rFonts w:ascii="Wingdings" w:hAnsi="Wingdings" w:hint="default"/>
      </w:rPr>
    </w:lvl>
    <w:lvl w:ilvl="6" w:tplc="7B90B19E" w:tentative="1">
      <w:start w:val="1"/>
      <w:numFmt w:val="bullet"/>
      <w:lvlText w:val=""/>
      <w:lvlJc w:val="left"/>
      <w:pPr>
        <w:ind w:left="5040" w:hanging="360"/>
      </w:pPr>
      <w:rPr>
        <w:rFonts w:ascii="Symbol" w:hAnsi="Symbol" w:hint="default"/>
      </w:rPr>
    </w:lvl>
    <w:lvl w:ilvl="7" w:tplc="89889044" w:tentative="1">
      <w:start w:val="1"/>
      <w:numFmt w:val="bullet"/>
      <w:lvlText w:val="o"/>
      <w:lvlJc w:val="left"/>
      <w:pPr>
        <w:ind w:left="5760" w:hanging="360"/>
      </w:pPr>
      <w:rPr>
        <w:rFonts w:ascii="Courier New" w:hAnsi="Courier New" w:cs="Courier New" w:hint="default"/>
      </w:rPr>
    </w:lvl>
    <w:lvl w:ilvl="8" w:tplc="03F8B342" w:tentative="1">
      <w:start w:val="1"/>
      <w:numFmt w:val="bullet"/>
      <w:lvlText w:val=""/>
      <w:lvlJc w:val="left"/>
      <w:pPr>
        <w:ind w:left="6480" w:hanging="360"/>
      </w:pPr>
      <w:rPr>
        <w:rFonts w:ascii="Wingdings" w:hAnsi="Wingdings" w:hint="default"/>
      </w:rPr>
    </w:lvl>
  </w:abstractNum>
  <w:abstractNum w:abstractNumId="12" w15:restartNumberingAfterBreak="0">
    <w:nsid w:val="36726751"/>
    <w:multiLevelType w:val="hybridMultilevel"/>
    <w:tmpl w:val="4EC2E492"/>
    <w:lvl w:ilvl="0" w:tplc="FC529AF2">
      <w:start w:val="1"/>
      <w:numFmt w:val="lowerLetter"/>
      <w:lvlText w:val="%1)"/>
      <w:lvlJc w:val="left"/>
      <w:pPr>
        <w:ind w:left="720" w:hanging="360"/>
      </w:pPr>
    </w:lvl>
    <w:lvl w:ilvl="1" w:tplc="D5C69256">
      <w:start w:val="1"/>
      <w:numFmt w:val="lowerLetter"/>
      <w:lvlText w:val="%2."/>
      <w:lvlJc w:val="left"/>
      <w:pPr>
        <w:ind w:left="1440" w:hanging="360"/>
      </w:pPr>
    </w:lvl>
    <w:lvl w:ilvl="2" w:tplc="726046A6">
      <w:start w:val="1"/>
      <w:numFmt w:val="lowerRoman"/>
      <w:lvlText w:val="%3."/>
      <w:lvlJc w:val="right"/>
      <w:pPr>
        <w:ind w:left="2160" w:hanging="180"/>
      </w:pPr>
    </w:lvl>
    <w:lvl w:ilvl="3" w:tplc="A4C497A6">
      <w:start w:val="1"/>
      <w:numFmt w:val="decimal"/>
      <w:lvlText w:val="%4."/>
      <w:lvlJc w:val="left"/>
      <w:pPr>
        <w:ind w:left="2880" w:hanging="360"/>
      </w:pPr>
    </w:lvl>
    <w:lvl w:ilvl="4" w:tplc="55BEF1C4">
      <w:start w:val="1"/>
      <w:numFmt w:val="lowerLetter"/>
      <w:lvlText w:val="%5."/>
      <w:lvlJc w:val="left"/>
      <w:pPr>
        <w:ind w:left="3600" w:hanging="360"/>
      </w:pPr>
    </w:lvl>
    <w:lvl w:ilvl="5" w:tplc="9230D002">
      <w:start w:val="1"/>
      <w:numFmt w:val="lowerRoman"/>
      <w:lvlText w:val="%6."/>
      <w:lvlJc w:val="right"/>
      <w:pPr>
        <w:ind w:left="4320" w:hanging="180"/>
      </w:pPr>
    </w:lvl>
    <w:lvl w:ilvl="6" w:tplc="736A28DA">
      <w:start w:val="1"/>
      <w:numFmt w:val="decimal"/>
      <w:lvlText w:val="%7."/>
      <w:lvlJc w:val="left"/>
      <w:pPr>
        <w:ind w:left="5040" w:hanging="360"/>
      </w:pPr>
    </w:lvl>
    <w:lvl w:ilvl="7" w:tplc="84ECC412">
      <w:start w:val="1"/>
      <w:numFmt w:val="lowerLetter"/>
      <w:lvlText w:val="%8."/>
      <w:lvlJc w:val="left"/>
      <w:pPr>
        <w:ind w:left="5760" w:hanging="360"/>
      </w:pPr>
    </w:lvl>
    <w:lvl w:ilvl="8" w:tplc="A3EAC2D6">
      <w:start w:val="1"/>
      <w:numFmt w:val="lowerRoman"/>
      <w:lvlText w:val="%9."/>
      <w:lvlJc w:val="right"/>
      <w:pPr>
        <w:ind w:left="6480" w:hanging="180"/>
      </w:pPr>
    </w:lvl>
  </w:abstractNum>
  <w:abstractNum w:abstractNumId="13" w15:restartNumberingAfterBreak="0">
    <w:nsid w:val="3A3E2F3D"/>
    <w:multiLevelType w:val="hybridMultilevel"/>
    <w:tmpl w:val="FC9803A2"/>
    <w:lvl w:ilvl="0" w:tplc="FF3E8588">
      <w:start w:val="1"/>
      <w:numFmt w:val="lowerLetter"/>
      <w:lvlText w:val="%1)"/>
      <w:lvlJc w:val="left"/>
      <w:pPr>
        <w:ind w:left="720" w:hanging="360"/>
      </w:pPr>
    </w:lvl>
    <w:lvl w:ilvl="1" w:tplc="2AFE9C14" w:tentative="1">
      <w:start w:val="1"/>
      <w:numFmt w:val="lowerLetter"/>
      <w:lvlText w:val="%2."/>
      <w:lvlJc w:val="left"/>
      <w:pPr>
        <w:ind w:left="1440" w:hanging="360"/>
      </w:pPr>
    </w:lvl>
    <w:lvl w:ilvl="2" w:tplc="2A347406" w:tentative="1">
      <w:start w:val="1"/>
      <w:numFmt w:val="lowerRoman"/>
      <w:lvlText w:val="%3."/>
      <w:lvlJc w:val="right"/>
      <w:pPr>
        <w:ind w:left="2160" w:hanging="180"/>
      </w:pPr>
    </w:lvl>
    <w:lvl w:ilvl="3" w:tplc="7E120EA0" w:tentative="1">
      <w:start w:val="1"/>
      <w:numFmt w:val="decimal"/>
      <w:lvlText w:val="%4."/>
      <w:lvlJc w:val="left"/>
      <w:pPr>
        <w:ind w:left="2880" w:hanging="360"/>
      </w:pPr>
    </w:lvl>
    <w:lvl w:ilvl="4" w:tplc="974841C0" w:tentative="1">
      <w:start w:val="1"/>
      <w:numFmt w:val="lowerLetter"/>
      <w:lvlText w:val="%5."/>
      <w:lvlJc w:val="left"/>
      <w:pPr>
        <w:ind w:left="3600" w:hanging="360"/>
      </w:pPr>
    </w:lvl>
    <w:lvl w:ilvl="5" w:tplc="B424756C" w:tentative="1">
      <w:start w:val="1"/>
      <w:numFmt w:val="lowerRoman"/>
      <w:lvlText w:val="%6."/>
      <w:lvlJc w:val="right"/>
      <w:pPr>
        <w:ind w:left="4320" w:hanging="180"/>
      </w:pPr>
    </w:lvl>
    <w:lvl w:ilvl="6" w:tplc="36FCBCD0" w:tentative="1">
      <w:start w:val="1"/>
      <w:numFmt w:val="decimal"/>
      <w:lvlText w:val="%7."/>
      <w:lvlJc w:val="left"/>
      <w:pPr>
        <w:ind w:left="5040" w:hanging="360"/>
      </w:pPr>
    </w:lvl>
    <w:lvl w:ilvl="7" w:tplc="004CC560" w:tentative="1">
      <w:start w:val="1"/>
      <w:numFmt w:val="lowerLetter"/>
      <w:lvlText w:val="%8."/>
      <w:lvlJc w:val="left"/>
      <w:pPr>
        <w:ind w:left="5760" w:hanging="360"/>
      </w:pPr>
    </w:lvl>
    <w:lvl w:ilvl="8" w:tplc="8C0640BA" w:tentative="1">
      <w:start w:val="1"/>
      <w:numFmt w:val="lowerRoman"/>
      <w:lvlText w:val="%9."/>
      <w:lvlJc w:val="right"/>
      <w:pPr>
        <w:ind w:left="6480" w:hanging="180"/>
      </w:pPr>
    </w:lvl>
  </w:abstractNum>
  <w:abstractNum w:abstractNumId="14" w15:restartNumberingAfterBreak="0">
    <w:nsid w:val="41005B1E"/>
    <w:multiLevelType w:val="hybridMultilevel"/>
    <w:tmpl w:val="4EC2E492"/>
    <w:lvl w:ilvl="0" w:tplc="A3A69D78">
      <w:start w:val="1"/>
      <w:numFmt w:val="lowerLetter"/>
      <w:lvlText w:val="%1)"/>
      <w:lvlJc w:val="left"/>
      <w:pPr>
        <w:ind w:left="720" w:hanging="360"/>
      </w:pPr>
    </w:lvl>
    <w:lvl w:ilvl="1" w:tplc="7D803F86">
      <w:start w:val="1"/>
      <w:numFmt w:val="lowerLetter"/>
      <w:lvlText w:val="%2."/>
      <w:lvlJc w:val="left"/>
      <w:pPr>
        <w:ind w:left="1440" w:hanging="360"/>
      </w:pPr>
    </w:lvl>
    <w:lvl w:ilvl="2" w:tplc="590E07F8">
      <w:start w:val="1"/>
      <w:numFmt w:val="lowerRoman"/>
      <w:lvlText w:val="%3."/>
      <w:lvlJc w:val="right"/>
      <w:pPr>
        <w:ind w:left="2160" w:hanging="180"/>
      </w:pPr>
    </w:lvl>
    <w:lvl w:ilvl="3" w:tplc="0486E596">
      <w:start w:val="1"/>
      <w:numFmt w:val="decimal"/>
      <w:lvlText w:val="%4."/>
      <w:lvlJc w:val="left"/>
      <w:pPr>
        <w:ind w:left="2880" w:hanging="360"/>
      </w:pPr>
    </w:lvl>
    <w:lvl w:ilvl="4" w:tplc="33268C66">
      <w:start w:val="1"/>
      <w:numFmt w:val="lowerLetter"/>
      <w:lvlText w:val="%5."/>
      <w:lvlJc w:val="left"/>
      <w:pPr>
        <w:ind w:left="3600" w:hanging="360"/>
      </w:pPr>
    </w:lvl>
    <w:lvl w:ilvl="5" w:tplc="B164CF42">
      <w:start w:val="1"/>
      <w:numFmt w:val="lowerRoman"/>
      <w:lvlText w:val="%6."/>
      <w:lvlJc w:val="right"/>
      <w:pPr>
        <w:ind w:left="4320" w:hanging="180"/>
      </w:pPr>
    </w:lvl>
    <w:lvl w:ilvl="6" w:tplc="929000E0">
      <w:start w:val="1"/>
      <w:numFmt w:val="decimal"/>
      <w:lvlText w:val="%7."/>
      <w:lvlJc w:val="left"/>
      <w:pPr>
        <w:ind w:left="5040" w:hanging="360"/>
      </w:pPr>
    </w:lvl>
    <w:lvl w:ilvl="7" w:tplc="1310BE38">
      <w:start w:val="1"/>
      <w:numFmt w:val="lowerLetter"/>
      <w:lvlText w:val="%8."/>
      <w:lvlJc w:val="left"/>
      <w:pPr>
        <w:ind w:left="5760" w:hanging="360"/>
      </w:pPr>
    </w:lvl>
    <w:lvl w:ilvl="8" w:tplc="0BC6048C">
      <w:start w:val="1"/>
      <w:numFmt w:val="lowerRoman"/>
      <w:lvlText w:val="%9."/>
      <w:lvlJc w:val="right"/>
      <w:pPr>
        <w:ind w:left="6480" w:hanging="180"/>
      </w:pPr>
    </w:lvl>
  </w:abstractNum>
  <w:abstractNum w:abstractNumId="15" w15:restartNumberingAfterBreak="0">
    <w:nsid w:val="41ED7533"/>
    <w:multiLevelType w:val="hybridMultilevel"/>
    <w:tmpl w:val="B560953E"/>
    <w:lvl w:ilvl="0" w:tplc="1A185404">
      <w:start w:val="1"/>
      <w:numFmt w:val="lowerLetter"/>
      <w:lvlText w:val="%1)"/>
      <w:lvlJc w:val="left"/>
      <w:pPr>
        <w:ind w:left="720" w:hanging="360"/>
      </w:pPr>
      <w:rPr>
        <w:rFonts w:hint="default"/>
      </w:rPr>
    </w:lvl>
    <w:lvl w:ilvl="1" w:tplc="9AFEAA50" w:tentative="1">
      <w:start w:val="1"/>
      <w:numFmt w:val="lowerLetter"/>
      <w:lvlText w:val="%2."/>
      <w:lvlJc w:val="left"/>
      <w:pPr>
        <w:ind w:left="1440" w:hanging="360"/>
      </w:pPr>
    </w:lvl>
    <w:lvl w:ilvl="2" w:tplc="625E456A" w:tentative="1">
      <w:start w:val="1"/>
      <w:numFmt w:val="lowerRoman"/>
      <w:lvlText w:val="%3."/>
      <w:lvlJc w:val="right"/>
      <w:pPr>
        <w:ind w:left="2160" w:hanging="180"/>
      </w:pPr>
    </w:lvl>
    <w:lvl w:ilvl="3" w:tplc="80A49AB0" w:tentative="1">
      <w:start w:val="1"/>
      <w:numFmt w:val="decimal"/>
      <w:lvlText w:val="%4."/>
      <w:lvlJc w:val="left"/>
      <w:pPr>
        <w:ind w:left="2880" w:hanging="360"/>
      </w:pPr>
    </w:lvl>
    <w:lvl w:ilvl="4" w:tplc="01126F6E" w:tentative="1">
      <w:start w:val="1"/>
      <w:numFmt w:val="lowerLetter"/>
      <w:lvlText w:val="%5."/>
      <w:lvlJc w:val="left"/>
      <w:pPr>
        <w:ind w:left="3600" w:hanging="360"/>
      </w:pPr>
    </w:lvl>
    <w:lvl w:ilvl="5" w:tplc="391AEAE0" w:tentative="1">
      <w:start w:val="1"/>
      <w:numFmt w:val="lowerRoman"/>
      <w:lvlText w:val="%6."/>
      <w:lvlJc w:val="right"/>
      <w:pPr>
        <w:ind w:left="4320" w:hanging="180"/>
      </w:pPr>
    </w:lvl>
    <w:lvl w:ilvl="6" w:tplc="1CC0755C" w:tentative="1">
      <w:start w:val="1"/>
      <w:numFmt w:val="decimal"/>
      <w:lvlText w:val="%7."/>
      <w:lvlJc w:val="left"/>
      <w:pPr>
        <w:ind w:left="5040" w:hanging="360"/>
      </w:pPr>
    </w:lvl>
    <w:lvl w:ilvl="7" w:tplc="A5C4BA20" w:tentative="1">
      <w:start w:val="1"/>
      <w:numFmt w:val="lowerLetter"/>
      <w:lvlText w:val="%8."/>
      <w:lvlJc w:val="left"/>
      <w:pPr>
        <w:ind w:left="5760" w:hanging="360"/>
      </w:pPr>
    </w:lvl>
    <w:lvl w:ilvl="8" w:tplc="CD72141A" w:tentative="1">
      <w:start w:val="1"/>
      <w:numFmt w:val="lowerRoman"/>
      <w:lvlText w:val="%9."/>
      <w:lvlJc w:val="right"/>
      <w:pPr>
        <w:ind w:left="6480" w:hanging="180"/>
      </w:pPr>
    </w:lvl>
  </w:abstractNum>
  <w:abstractNum w:abstractNumId="16" w15:restartNumberingAfterBreak="0">
    <w:nsid w:val="4352589D"/>
    <w:multiLevelType w:val="hybridMultilevel"/>
    <w:tmpl w:val="8B58430C"/>
    <w:lvl w:ilvl="0" w:tplc="C038D7A8">
      <w:start w:val="1"/>
      <w:numFmt w:val="lowerLetter"/>
      <w:lvlText w:val="%1)"/>
      <w:lvlJc w:val="left"/>
      <w:pPr>
        <w:ind w:left="720" w:hanging="360"/>
      </w:pPr>
      <w:rPr>
        <w:rFonts w:hint="default"/>
      </w:rPr>
    </w:lvl>
    <w:lvl w:ilvl="1" w:tplc="F9BEAE9C" w:tentative="1">
      <w:start w:val="1"/>
      <w:numFmt w:val="lowerLetter"/>
      <w:lvlText w:val="%2."/>
      <w:lvlJc w:val="left"/>
      <w:pPr>
        <w:ind w:left="1440" w:hanging="360"/>
      </w:pPr>
    </w:lvl>
    <w:lvl w:ilvl="2" w:tplc="13C0315E" w:tentative="1">
      <w:start w:val="1"/>
      <w:numFmt w:val="lowerRoman"/>
      <w:lvlText w:val="%3."/>
      <w:lvlJc w:val="right"/>
      <w:pPr>
        <w:ind w:left="2160" w:hanging="180"/>
      </w:pPr>
    </w:lvl>
    <w:lvl w:ilvl="3" w:tplc="4D5AC3CA" w:tentative="1">
      <w:start w:val="1"/>
      <w:numFmt w:val="decimal"/>
      <w:lvlText w:val="%4."/>
      <w:lvlJc w:val="left"/>
      <w:pPr>
        <w:ind w:left="2880" w:hanging="360"/>
      </w:pPr>
    </w:lvl>
    <w:lvl w:ilvl="4" w:tplc="D1DA21FE" w:tentative="1">
      <w:start w:val="1"/>
      <w:numFmt w:val="lowerLetter"/>
      <w:lvlText w:val="%5."/>
      <w:lvlJc w:val="left"/>
      <w:pPr>
        <w:ind w:left="3600" w:hanging="360"/>
      </w:pPr>
    </w:lvl>
    <w:lvl w:ilvl="5" w:tplc="82EC2B76" w:tentative="1">
      <w:start w:val="1"/>
      <w:numFmt w:val="lowerRoman"/>
      <w:lvlText w:val="%6."/>
      <w:lvlJc w:val="right"/>
      <w:pPr>
        <w:ind w:left="4320" w:hanging="180"/>
      </w:pPr>
    </w:lvl>
    <w:lvl w:ilvl="6" w:tplc="D182E492" w:tentative="1">
      <w:start w:val="1"/>
      <w:numFmt w:val="decimal"/>
      <w:lvlText w:val="%7."/>
      <w:lvlJc w:val="left"/>
      <w:pPr>
        <w:ind w:left="5040" w:hanging="360"/>
      </w:pPr>
    </w:lvl>
    <w:lvl w:ilvl="7" w:tplc="3A180A14" w:tentative="1">
      <w:start w:val="1"/>
      <w:numFmt w:val="lowerLetter"/>
      <w:lvlText w:val="%8."/>
      <w:lvlJc w:val="left"/>
      <w:pPr>
        <w:ind w:left="5760" w:hanging="360"/>
      </w:pPr>
    </w:lvl>
    <w:lvl w:ilvl="8" w:tplc="261A1860" w:tentative="1">
      <w:start w:val="1"/>
      <w:numFmt w:val="lowerRoman"/>
      <w:lvlText w:val="%9."/>
      <w:lvlJc w:val="right"/>
      <w:pPr>
        <w:ind w:left="6480" w:hanging="180"/>
      </w:pPr>
    </w:lvl>
  </w:abstractNum>
  <w:abstractNum w:abstractNumId="17" w15:restartNumberingAfterBreak="0">
    <w:nsid w:val="4365387D"/>
    <w:multiLevelType w:val="hybridMultilevel"/>
    <w:tmpl w:val="4EC2E492"/>
    <w:lvl w:ilvl="0" w:tplc="907A01C4">
      <w:start w:val="1"/>
      <w:numFmt w:val="lowerLetter"/>
      <w:lvlText w:val="%1)"/>
      <w:lvlJc w:val="left"/>
      <w:pPr>
        <w:ind w:left="720" w:hanging="360"/>
      </w:pPr>
    </w:lvl>
    <w:lvl w:ilvl="1" w:tplc="FEE64724">
      <w:start w:val="1"/>
      <w:numFmt w:val="lowerLetter"/>
      <w:lvlText w:val="%2."/>
      <w:lvlJc w:val="left"/>
      <w:pPr>
        <w:ind w:left="1440" w:hanging="360"/>
      </w:pPr>
    </w:lvl>
    <w:lvl w:ilvl="2" w:tplc="B7224448">
      <w:start w:val="1"/>
      <w:numFmt w:val="lowerRoman"/>
      <w:lvlText w:val="%3."/>
      <w:lvlJc w:val="right"/>
      <w:pPr>
        <w:ind w:left="2160" w:hanging="180"/>
      </w:pPr>
    </w:lvl>
    <w:lvl w:ilvl="3" w:tplc="07989CA2">
      <w:start w:val="1"/>
      <w:numFmt w:val="decimal"/>
      <w:lvlText w:val="%4."/>
      <w:lvlJc w:val="left"/>
      <w:pPr>
        <w:ind w:left="2880" w:hanging="360"/>
      </w:pPr>
    </w:lvl>
    <w:lvl w:ilvl="4" w:tplc="5FB658D6">
      <w:start w:val="1"/>
      <w:numFmt w:val="lowerLetter"/>
      <w:lvlText w:val="%5."/>
      <w:lvlJc w:val="left"/>
      <w:pPr>
        <w:ind w:left="3600" w:hanging="360"/>
      </w:pPr>
    </w:lvl>
    <w:lvl w:ilvl="5" w:tplc="6D8ABBF4">
      <w:start w:val="1"/>
      <w:numFmt w:val="lowerRoman"/>
      <w:lvlText w:val="%6."/>
      <w:lvlJc w:val="right"/>
      <w:pPr>
        <w:ind w:left="4320" w:hanging="180"/>
      </w:pPr>
    </w:lvl>
    <w:lvl w:ilvl="6" w:tplc="0A8A9C78">
      <w:start w:val="1"/>
      <w:numFmt w:val="decimal"/>
      <w:lvlText w:val="%7."/>
      <w:lvlJc w:val="left"/>
      <w:pPr>
        <w:ind w:left="5040" w:hanging="360"/>
      </w:pPr>
    </w:lvl>
    <w:lvl w:ilvl="7" w:tplc="36A4B88E">
      <w:start w:val="1"/>
      <w:numFmt w:val="lowerLetter"/>
      <w:lvlText w:val="%8."/>
      <w:lvlJc w:val="left"/>
      <w:pPr>
        <w:ind w:left="5760" w:hanging="360"/>
      </w:pPr>
    </w:lvl>
    <w:lvl w:ilvl="8" w:tplc="A90E2F9E">
      <w:start w:val="1"/>
      <w:numFmt w:val="lowerRoman"/>
      <w:lvlText w:val="%9."/>
      <w:lvlJc w:val="right"/>
      <w:pPr>
        <w:ind w:left="6480" w:hanging="180"/>
      </w:pPr>
    </w:lvl>
  </w:abstractNum>
  <w:abstractNum w:abstractNumId="18" w15:restartNumberingAfterBreak="0">
    <w:nsid w:val="46660A49"/>
    <w:multiLevelType w:val="hybridMultilevel"/>
    <w:tmpl w:val="FFF87528"/>
    <w:lvl w:ilvl="0" w:tplc="F0D8116A">
      <w:start w:val="1"/>
      <w:numFmt w:val="lowerLetter"/>
      <w:lvlText w:val="%1)"/>
      <w:lvlJc w:val="left"/>
      <w:pPr>
        <w:ind w:left="720" w:hanging="360"/>
      </w:pPr>
      <w:rPr>
        <w:rFonts w:hint="default"/>
      </w:rPr>
    </w:lvl>
    <w:lvl w:ilvl="1" w:tplc="8A2E7106" w:tentative="1">
      <w:start w:val="1"/>
      <w:numFmt w:val="lowerLetter"/>
      <w:lvlText w:val="%2."/>
      <w:lvlJc w:val="left"/>
      <w:pPr>
        <w:ind w:left="1440" w:hanging="360"/>
      </w:pPr>
    </w:lvl>
    <w:lvl w:ilvl="2" w:tplc="92F2D358" w:tentative="1">
      <w:start w:val="1"/>
      <w:numFmt w:val="lowerRoman"/>
      <w:lvlText w:val="%3."/>
      <w:lvlJc w:val="right"/>
      <w:pPr>
        <w:ind w:left="2160" w:hanging="180"/>
      </w:pPr>
    </w:lvl>
    <w:lvl w:ilvl="3" w:tplc="7F80BA04" w:tentative="1">
      <w:start w:val="1"/>
      <w:numFmt w:val="decimal"/>
      <w:lvlText w:val="%4."/>
      <w:lvlJc w:val="left"/>
      <w:pPr>
        <w:ind w:left="2880" w:hanging="360"/>
      </w:pPr>
    </w:lvl>
    <w:lvl w:ilvl="4" w:tplc="C738606C" w:tentative="1">
      <w:start w:val="1"/>
      <w:numFmt w:val="lowerLetter"/>
      <w:lvlText w:val="%5."/>
      <w:lvlJc w:val="left"/>
      <w:pPr>
        <w:ind w:left="3600" w:hanging="360"/>
      </w:pPr>
    </w:lvl>
    <w:lvl w:ilvl="5" w:tplc="7C8471F2" w:tentative="1">
      <w:start w:val="1"/>
      <w:numFmt w:val="lowerRoman"/>
      <w:lvlText w:val="%6."/>
      <w:lvlJc w:val="right"/>
      <w:pPr>
        <w:ind w:left="4320" w:hanging="180"/>
      </w:pPr>
    </w:lvl>
    <w:lvl w:ilvl="6" w:tplc="B2CE0920" w:tentative="1">
      <w:start w:val="1"/>
      <w:numFmt w:val="decimal"/>
      <w:lvlText w:val="%7."/>
      <w:lvlJc w:val="left"/>
      <w:pPr>
        <w:ind w:left="5040" w:hanging="360"/>
      </w:pPr>
    </w:lvl>
    <w:lvl w:ilvl="7" w:tplc="6C545C44" w:tentative="1">
      <w:start w:val="1"/>
      <w:numFmt w:val="lowerLetter"/>
      <w:lvlText w:val="%8."/>
      <w:lvlJc w:val="left"/>
      <w:pPr>
        <w:ind w:left="5760" w:hanging="360"/>
      </w:pPr>
    </w:lvl>
    <w:lvl w:ilvl="8" w:tplc="20B8A2BA" w:tentative="1">
      <w:start w:val="1"/>
      <w:numFmt w:val="lowerRoman"/>
      <w:lvlText w:val="%9."/>
      <w:lvlJc w:val="right"/>
      <w:pPr>
        <w:ind w:left="6480" w:hanging="180"/>
      </w:pPr>
    </w:lvl>
  </w:abstractNum>
  <w:abstractNum w:abstractNumId="19" w15:restartNumberingAfterBreak="0">
    <w:nsid w:val="46741D95"/>
    <w:multiLevelType w:val="hybridMultilevel"/>
    <w:tmpl w:val="E25CA9A0"/>
    <w:lvl w:ilvl="0" w:tplc="35849080">
      <w:start w:val="1"/>
      <w:numFmt w:val="decimal"/>
      <w:lvlText w:val="%1."/>
      <w:lvlJc w:val="left"/>
      <w:pPr>
        <w:ind w:left="720" w:hanging="360"/>
      </w:pPr>
    </w:lvl>
    <w:lvl w:ilvl="1" w:tplc="04A80BBE">
      <w:start w:val="1"/>
      <w:numFmt w:val="lowerLetter"/>
      <w:lvlText w:val="%2."/>
      <w:lvlJc w:val="left"/>
      <w:pPr>
        <w:ind w:left="1440" w:hanging="360"/>
      </w:pPr>
    </w:lvl>
    <w:lvl w:ilvl="2" w:tplc="E0641908">
      <w:start w:val="1"/>
      <w:numFmt w:val="lowerRoman"/>
      <w:lvlText w:val="%3."/>
      <w:lvlJc w:val="right"/>
      <w:pPr>
        <w:ind w:left="2160" w:hanging="180"/>
      </w:pPr>
    </w:lvl>
    <w:lvl w:ilvl="3" w:tplc="C0D07452">
      <w:start w:val="1"/>
      <w:numFmt w:val="decimal"/>
      <w:lvlText w:val="%4."/>
      <w:lvlJc w:val="left"/>
      <w:pPr>
        <w:ind w:left="2880" w:hanging="360"/>
      </w:pPr>
    </w:lvl>
    <w:lvl w:ilvl="4" w:tplc="0520FA9E">
      <w:start w:val="1"/>
      <w:numFmt w:val="lowerLetter"/>
      <w:lvlText w:val="%5."/>
      <w:lvlJc w:val="left"/>
      <w:pPr>
        <w:ind w:left="3600" w:hanging="360"/>
      </w:pPr>
    </w:lvl>
    <w:lvl w:ilvl="5" w:tplc="13B09E8E">
      <w:start w:val="1"/>
      <w:numFmt w:val="lowerRoman"/>
      <w:lvlText w:val="%6."/>
      <w:lvlJc w:val="right"/>
      <w:pPr>
        <w:ind w:left="4320" w:hanging="180"/>
      </w:pPr>
    </w:lvl>
    <w:lvl w:ilvl="6" w:tplc="4B30F45E">
      <w:start w:val="1"/>
      <w:numFmt w:val="decimal"/>
      <w:lvlText w:val="%7."/>
      <w:lvlJc w:val="left"/>
      <w:pPr>
        <w:ind w:left="5040" w:hanging="360"/>
      </w:pPr>
    </w:lvl>
    <w:lvl w:ilvl="7" w:tplc="76949FE4">
      <w:start w:val="1"/>
      <w:numFmt w:val="lowerLetter"/>
      <w:lvlText w:val="%8."/>
      <w:lvlJc w:val="left"/>
      <w:pPr>
        <w:ind w:left="5760" w:hanging="360"/>
      </w:pPr>
    </w:lvl>
    <w:lvl w:ilvl="8" w:tplc="8C3EC8FE">
      <w:start w:val="1"/>
      <w:numFmt w:val="lowerRoman"/>
      <w:lvlText w:val="%9."/>
      <w:lvlJc w:val="right"/>
      <w:pPr>
        <w:ind w:left="6480" w:hanging="180"/>
      </w:pPr>
    </w:lvl>
  </w:abstractNum>
  <w:abstractNum w:abstractNumId="20" w15:restartNumberingAfterBreak="0">
    <w:nsid w:val="48367532"/>
    <w:multiLevelType w:val="hybridMultilevel"/>
    <w:tmpl w:val="09CE63FA"/>
    <w:lvl w:ilvl="0" w:tplc="62A613BC">
      <w:start w:val="1"/>
      <w:numFmt w:val="lowerLetter"/>
      <w:lvlText w:val="%1)"/>
      <w:lvlJc w:val="left"/>
      <w:pPr>
        <w:ind w:left="720" w:hanging="360"/>
      </w:pPr>
      <w:rPr>
        <w:rFonts w:hint="default"/>
      </w:rPr>
    </w:lvl>
    <w:lvl w:ilvl="1" w:tplc="993E7674" w:tentative="1">
      <w:start w:val="1"/>
      <w:numFmt w:val="lowerLetter"/>
      <w:lvlText w:val="%2."/>
      <w:lvlJc w:val="left"/>
      <w:pPr>
        <w:ind w:left="1440" w:hanging="360"/>
      </w:pPr>
    </w:lvl>
    <w:lvl w:ilvl="2" w:tplc="CD8036E4" w:tentative="1">
      <w:start w:val="1"/>
      <w:numFmt w:val="lowerRoman"/>
      <w:lvlText w:val="%3."/>
      <w:lvlJc w:val="right"/>
      <w:pPr>
        <w:ind w:left="2160" w:hanging="180"/>
      </w:pPr>
    </w:lvl>
    <w:lvl w:ilvl="3" w:tplc="525CF670" w:tentative="1">
      <w:start w:val="1"/>
      <w:numFmt w:val="decimal"/>
      <w:lvlText w:val="%4."/>
      <w:lvlJc w:val="left"/>
      <w:pPr>
        <w:ind w:left="2880" w:hanging="360"/>
      </w:pPr>
    </w:lvl>
    <w:lvl w:ilvl="4" w:tplc="D57ED120" w:tentative="1">
      <w:start w:val="1"/>
      <w:numFmt w:val="lowerLetter"/>
      <w:lvlText w:val="%5."/>
      <w:lvlJc w:val="left"/>
      <w:pPr>
        <w:ind w:left="3600" w:hanging="360"/>
      </w:pPr>
    </w:lvl>
    <w:lvl w:ilvl="5" w:tplc="6B6EB4B0" w:tentative="1">
      <w:start w:val="1"/>
      <w:numFmt w:val="lowerRoman"/>
      <w:lvlText w:val="%6."/>
      <w:lvlJc w:val="right"/>
      <w:pPr>
        <w:ind w:left="4320" w:hanging="180"/>
      </w:pPr>
    </w:lvl>
    <w:lvl w:ilvl="6" w:tplc="74B81840" w:tentative="1">
      <w:start w:val="1"/>
      <w:numFmt w:val="decimal"/>
      <w:lvlText w:val="%7."/>
      <w:lvlJc w:val="left"/>
      <w:pPr>
        <w:ind w:left="5040" w:hanging="360"/>
      </w:pPr>
    </w:lvl>
    <w:lvl w:ilvl="7" w:tplc="9566F174" w:tentative="1">
      <w:start w:val="1"/>
      <w:numFmt w:val="lowerLetter"/>
      <w:lvlText w:val="%8."/>
      <w:lvlJc w:val="left"/>
      <w:pPr>
        <w:ind w:left="5760" w:hanging="360"/>
      </w:pPr>
    </w:lvl>
    <w:lvl w:ilvl="8" w:tplc="826CCA40" w:tentative="1">
      <w:start w:val="1"/>
      <w:numFmt w:val="lowerRoman"/>
      <w:lvlText w:val="%9."/>
      <w:lvlJc w:val="right"/>
      <w:pPr>
        <w:ind w:left="6480" w:hanging="180"/>
      </w:pPr>
    </w:lvl>
  </w:abstractNum>
  <w:abstractNum w:abstractNumId="21" w15:restartNumberingAfterBreak="0">
    <w:nsid w:val="493F3F1B"/>
    <w:multiLevelType w:val="hybridMultilevel"/>
    <w:tmpl w:val="CB16B706"/>
    <w:lvl w:ilvl="0" w:tplc="C3E0DF92">
      <w:start w:val="1"/>
      <w:numFmt w:val="lowerLetter"/>
      <w:lvlText w:val="%1)"/>
      <w:lvlJc w:val="left"/>
      <w:pPr>
        <w:ind w:left="720" w:hanging="360"/>
      </w:pPr>
      <w:rPr>
        <w:rFonts w:hint="default"/>
      </w:rPr>
    </w:lvl>
    <w:lvl w:ilvl="1" w:tplc="77EE42B0" w:tentative="1">
      <w:start w:val="1"/>
      <w:numFmt w:val="lowerLetter"/>
      <w:lvlText w:val="%2."/>
      <w:lvlJc w:val="left"/>
      <w:pPr>
        <w:ind w:left="1440" w:hanging="360"/>
      </w:pPr>
    </w:lvl>
    <w:lvl w:ilvl="2" w:tplc="CC380134" w:tentative="1">
      <w:start w:val="1"/>
      <w:numFmt w:val="lowerRoman"/>
      <w:lvlText w:val="%3."/>
      <w:lvlJc w:val="right"/>
      <w:pPr>
        <w:ind w:left="2160" w:hanging="180"/>
      </w:pPr>
    </w:lvl>
    <w:lvl w:ilvl="3" w:tplc="94C61F56" w:tentative="1">
      <w:start w:val="1"/>
      <w:numFmt w:val="decimal"/>
      <w:lvlText w:val="%4."/>
      <w:lvlJc w:val="left"/>
      <w:pPr>
        <w:ind w:left="2880" w:hanging="360"/>
      </w:pPr>
    </w:lvl>
    <w:lvl w:ilvl="4" w:tplc="AF2E0EDA" w:tentative="1">
      <w:start w:val="1"/>
      <w:numFmt w:val="lowerLetter"/>
      <w:lvlText w:val="%5."/>
      <w:lvlJc w:val="left"/>
      <w:pPr>
        <w:ind w:left="3600" w:hanging="360"/>
      </w:pPr>
    </w:lvl>
    <w:lvl w:ilvl="5" w:tplc="06C2B41E" w:tentative="1">
      <w:start w:val="1"/>
      <w:numFmt w:val="lowerRoman"/>
      <w:lvlText w:val="%6."/>
      <w:lvlJc w:val="right"/>
      <w:pPr>
        <w:ind w:left="4320" w:hanging="180"/>
      </w:pPr>
    </w:lvl>
    <w:lvl w:ilvl="6" w:tplc="514AE4AA" w:tentative="1">
      <w:start w:val="1"/>
      <w:numFmt w:val="decimal"/>
      <w:lvlText w:val="%7."/>
      <w:lvlJc w:val="left"/>
      <w:pPr>
        <w:ind w:left="5040" w:hanging="360"/>
      </w:pPr>
    </w:lvl>
    <w:lvl w:ilvl="7" w:tplc="1246843E" w:tentative="1">
      <w:start w:val="1"/>
      <w:numFmt w:val="lowerLetter"/>
      <w:lvlText w:val="%8."/>
      <w:lvlJc w:val="left"/>
      <w:pPr>
        <w:ind w:left="5760" w:hanging="360"/>
      </w:pPr>
    </w:lvl>
    <w:lvl w:ilvl="8" w:tplc="A2F2943E" w:tentative="1">
      <w:start w:val="1"/>
      <w:numFmt w:val="lowerRoman"/>
      <w:lvlText w:val="%9."/>
      <w:lvlJc w:val="right"/>
      <w:pPr>
        <w:ind w:left="6480" w:hanging="180"/>
      </w:pPr>
    </w:lvl>
  </w:abstractNum>
  <w:abstractNum w:abstractNumId="22" w15:restartNumberingAfterBreak="0">
    <w:nsid w:val="4CE522F4"/>
    <w:multiLevelType w:val="hybridMultilevel"/>
    <w:tmpl w:val="29CCCF8C"/>
    <w:lvl w:ilvl="0" w:tplc="1E945994">
      <w:start w:val="1"/>
      <w:numFmt w:val="bullet"/>
      <w:lvlText w:val=""/>
      <w:lvlJc w:val="left"/>
      <w:pPr>
        <w:ind w:left="720" w:hanging="360"/>
      </w:pPr>
      <w:rPr>
        <w:rFonts w:ascii="Symbol" w:hAnsi="Symbol" w:hint="default"/>
      </w:rPr>
    </w:lvl>
    <w:lvl w:ilvl="1" w:tplc="F3C46740">
      <w:start w:val="1"/>
      <w:numFmt w:val="bullet"/>
      <w:lvlText w:val="o"/>
      <w:lvlJc w:val="left"/>
      <w:pPr>
        <w:ind w:left="1440" w:hanging="360"/>
      </w:pPr>
      <w:rPr>
        <w:rFonts w:ascii="Courier New" w:hAnsi="Courier New" w:cs="Courier New" w:hint="default"/>
      </w:rPr>
    </w:lvl>
    <w:lvl w:ilvl="2" w:tplc="9EA6B4CE" w:tentative="1">
      <w:start w:val="1"/>
      <w:numFmt w:val="bullet"/>
      <w:lvlText w:val=""/>
      <w:lvlJc w:val="left"/>
      <w:pPr>
        <w:ind w:left="2160" w:hanging="360"/>
      </w:pPr>
      <w:rPr>
        <w:rFonts w:ascii="Wingdings" w:hAnsi="Wingdings" w:hint="default"/>
      </w:rPr>
    </w:lvl>
    <w:lvl w:ilvl="3" w:tplc="BEDA56E8" w:tentative="1">
      <w:start w:val="1"/>
      <w:numFmt w:val="bullet"/>
      <w:lvlText w:val=""/>
      <w:lvlJc w:val="left"/>
      <w:pPr>
        <w:ind w:left="2880" w:hanging="360"/>
      </w:pPr>
      <w:rPr>
        <w:rFonts w:ascii="Symbol" w:hAnsi="Symbol" w:hint="default"/>
      </w:rPr>
    </w:lvl>
    <w:lvl w:ilvl="4" w:tplc="6BC85B6E" w:tentative="1">
      <w:start w:val="1"/>
      <w:numFmt w:val="bullet"/>
      <w:lvlText w:val="o"/>
      <w:lvlJc w:val="left"/>
      <w:pPr>
        <w:ind w:left="3600" w:hanging="360"/>
      </w:pPr>
      <w:rPr>
        <w:rFonts w:ascii="Courier New" w:hAnsi="Courier New" w:cs="Courier New" w:hint="default"/>
      </w:rPr>
    </w:lvl>
    <w:lvl w:ilvl="5" w:tplc="FDD8DF62" w:tentative="1">
      <w:start w:val="1"/>
      <w:numFmt w:val="bullet"/>
      <w:lvlText w:val=""/>
      <w:lvlJc w:val="left"/>
      <w:pPr>
        <w:ind w:left="4320" w:hanging="360"/>
      </w:pPr>
      <w:rPr>
        <w:rFonts w:ascii="Wingdings" w:hAnsi="Wingdings" w:hint="default"/>
      </w:rPr>
    </w:lvl>
    <w:lvl w:ilvl="6" w:tplc="4260CD44" w:tentative="1">
      <w:start w:val="1"/>
      <w:numFmt w:val="bullet"/>
      <w:lvlText w:val=""/>
      <w:lvlJc w:val="left"/>
      <w:pPr>
        <w:ind w:left="5040" w:hanging="360"/>
      </w:pPr>
      <w:rPr>
        <w:rFonts w:ascii="Symbol" w:hAnsi="Symbol" w:hint="default"/>
      </w:rPr>
    </w:lvl>
    <w:lvl w:ilvl="7" w:tplc="1F4C05A4" w:tentative="1">
      <w:start w:val="1"/>
      <w:numFmt w:val="bullet"/>
      <w:lvlText w:val="o"/>
      <w:lvlJc w:val="left"/>
      <w:pPr>
        <w:ind w:left="5760" w:hanging="360"/>
      </w:pPr>
      <w:rPr>
        <w:rFonts w:ascii="Courier New" w:hAnsi="Courier New" w:cs="Courier New" w:hint="default"/>
      </w:rPr>
    </w:lvl>
    <w:lvl w:ilvl="8" w:tplc="A66C2EC8" w:tentative="1">
      <w:start w:val="1"/>
      <w:numFmt w:val="bullet"/>
      <w:lvlText w:val=""/>
      <w:lvlJc w:val="left"/>
      <w:pPr>
        <w:ind w:left="6480" w:hanging="360"/>
      </w:pPr>
      <w:rPr>
        <w:rFonts w:ascii="Wingdings" w:hAnsi="Wingdings" w:hint="default"/>
      </w:rPr>
    </w:lvl>
  </w:abstractNum>
  <w:abstractNum w:abstractNumId="23" w15:restartNumberingAfterBreak="0">
    <w:nsid w:val="4D061A8E"/>
    <w:multiLevelType w:val="hybridMultilevel"/>
    <w:tmpl w:val="4DA63FF6"/>
    <w:lvl w:ilvl="0" w:tplc="8E1AE196">
      <w:start w:val="1"/>
      <w:numFmt w:val="lowerLetter"/>
      <w:lvlText w:val="%1)"/>
      <w:lvlJc w:val="left"/>
      <w:pPr>
        <w:ind w:left="720" w:hanging="360"/>
      </w:pPr>
      <w:rPr>
        <w:rFonts w:hint="default"/>
      </w:rPr>
    </w:lvl>
    <w:lvl w:ilvl="1" w:tplc="B7BE710E" w:tentative="1">
      <w:start w:val="1"/>
      <w:numFmt w:val="lowerLetter"/>
      <w:lvlText w:val="%2."/>
      <w:lvlJc w:val="left"/>
      <w:pPr>
        <w:ind w:left="1440" w:hanging="360"/>
      </w:pPr>
    </w:lvl>
    <w:lvl w:ilvl="2" w:tplc="9D14B876" w:tentative="1">
      <w:start w:val="1"/>
      <w:numFmt w:val="lowerRoman"/>
      <w:lvlText w:val="%3."/>
      <w:lvlJc w:val="right"/>
      <w:pPr>
        <w:ind w:left="2160" w:hanging="180"/>
      </w:pPr>
    </w:lvl>
    <w:lvl w:ilvl="3" w:tplc="13364D1C" w:tentative="1">
      <w:start w:val="1"/>
      <w:numFmt w:val="decimal"/>
      <w:lvlText w:val="%4."/>
      <w:lvlJc w:val="left"/>
      <w:pPr>
        <w:ind w:left="2880" w:hanging="360"/>
      </w:pPr>
    </w:lvl>
    <w:lvl w:ilvl="4" w:tplc="A860D722" w:tentative="1">
      <w:start w:val="1"/>
      <w:numFmt w:val="lowerLetter"/>
      <w:lvlText w:val="%5."/>
      <w:lvlJc w:val="left"/>
      <w:pPr>
        <w:ind w:left="3600" w:hanging="360"/>
      </w:pPr>
    </w:lvl>
    <w:lvl w:ilvl="5" w:tplc="B51A4128" w:tentative="1">
      <w:start w:val="1"/>
      <w:numFmt w:val="lowerRoman"/>
      <w:lvlText w:val="%6."/>
      <w:lvlJc w:val="right"/>
      <w:pPr>
        <w:ind w:left="4320" w:hanging="180"/>
      </w:pPr>
    </w:lvl>
    <w:lvl w:ilvl="6" w:tplc="2AD0DC5A" w:tentative="1">
      <w:start w:val="1"/>
      <w:numFmt w:val="decimal"/>
      <w:lvlText w:val="%7."/>
      <w:lvlJc w:val="left"/>
      <w:pPr>
        <w:ind w:left="5040" w:hanging="360"/>
      </w:pPr>
    </w:lvl>
    <w:lvl w:ilvl="7" w:tplc="FCD8B440" w:tentative="1">
      <w:start w:val="1"/>
      <w:numFmt w:val="lowerLetter"/>
      <w:lvlText w:val="%8."/>
      <w:lvlJc w:val="left"/>
      <w:pPr>
        <w:ind w:left="5760" w:hanging="360"/>
      </w:pPr>
    </w:lvl>
    <w:lvl w:ilvl="8" w:tplc="AEB4C982" w:tentative="1">
      <w:start w:val="1"/>
      <w:numFmt w:val="lowerRoman"/>
      <w:lvlText w:val="%9."/>
      <w:lvlJc w:val="right"/>
      <w:pPr>
        <w:ind w:left="6480" w:hanging="180"/>
      </w:pPr>
    </w:lvl>
  </w:abstractNum>
  <w:abstractNum w:abstractNumId="24" w15:restartNumberingAfterBreak="0">
    <w:nsid w:val="4DC844F5"/>
    <w:multiLevelType w:val="hybridMultilevel"/>
    <w:tmpl w:val="ADA03EDC"/>
    <w:lvl w:ilvl="0" w:tplc="78F25D50">
      <w:start w:val="1"/>
      <w:numFmt w:val="lowerLetter"/>
      <w:lvlText w:val="%1)"/>
      <w:lvlJc w:val="left"/>
      <w:pPr>
        <w:ind w:left="720" w:hanging="360"/>
      </w:pPr>
      <w:rPr>
        <w:rFonts w:hint="default"/>
      </w:rPr>
    </w:lvl>
    <w:lvl w:ilvl="1" w:tplc="26D086C6" w:tentative="1">
      <w:start w:val="1"/>
      <w:numFmt w:val="lowerLetter"/>
      <w:lvlText w:val="%2."/>
      <w:lvlJc w:val="left"/>
      <w:pPr>
        <w:ind w:left="1440" w:hanging="360"/>
      </w:pPr>
    </w:lvl>
    <w:lvl w:ilvl="2" w:tplc="EBB047C0" w:tentative="1">
      <w:start w:val="1"/>
      <w:numFmt w:val="lowerRoman"/>
      <w:lvlText w:val="%3."/>
      <w:lvlJc w:val="right"/>
      <w:pPr>
        <w:ind w:left="2160" w:hanging="180"/>
      </w:pPr>
    </w:lvl>
    <w:lvl w:ilvl="3" w:tplc="09FE943E" w:tentative="1">
      <w:start w:val="1"/>
      <w:numFmt w:val="decimal"/>
      <w:lvlText w:val="%4."/>
      <w:lvlJc w:val="left"/>
      <w:pPr>
        <w:ind w:left="2880" w:hanging="360"/>
      </w:pPr>
    </w:lvl>
    <w:lvl w:ilvl="4" w:tplc="A16AED80" w:tentative="1">
      <w:start w:val="1"/>
      <w:numFmt w:val="lowerLetter"/>
      <w:lvlText w:val="%5."/>
      <w:lvlJc w:val="left"/>
      <w:pPr>
        <w:ind w:left="3600" w:hanging="360"/>
      </w:pPr>
    </w:lvl>
    <w:lvl w:ilvl="5" w:tplc="0308A95A" w:tentative="1">
      <w:start w:val="1"/>
      <w:numFmt w:val="lowerRoman"/>
      <w:lvlText w:val="%6."/>
      <w:lvlJc w:val="right"/>
      <w:pPr>
        <w:ind w:left="4320" w:hanging="180"/>
      </w:pPr>
    </w:lvl>
    <w:lvl w:ilvl="6" w:tplc="5D88B31E" w:tentative="1">
      <w:start w:val="1"/>
      <w:numFmt w:val="decimal"/>
      <w:lvlText w:val="%7."/>
      <w:lvlJc w:val="left"/>
      <w:pPr>
        <w:ind w:left="5040" w:hanging="360"/>
      </w:pPr>
    </w:lvl>
    <w:lvl w:ilvl="7" w:tplc="174C1BCE" w:tentative="1">
      <w:start w:val="1"/>
      <w:numFmt w:val="lowerLetter"/>
      <w:lvlText w:val="%8."/>
      <w:lvlJc w:val="left"/>
      <w:pPr>
        <w:ind w:left="5760" w:hanging="360"/>
      </w:pPr>
    </w:lvl>
    <w:lvl w:ilvl="8" w:tplc="0A76996E" w:tentative="1">
      <w:start w:val="1"/>
      <w:numFmt w:val="lowerRoman"/>
      <w:lvlText w:val="%9."/>
      <w:lvlJc w:val="right"/>
      <w:pPr>
        <w:ind w:left="6480" w:hanging="180"/>
      </w:pPr>
    </w:lvl>
  </w:abstractNum>
  <w:abstractNum w:abstractNumId="25" w15:restartNumberingAfterBreak="0">
    <w:nsid w:val="50DF48DB"/>
    <w:multiLevelType w:val="hybridMultilevel"/>
    <w:tmpl w:val="4EC2E492"/>
    <w:lvl w:ilvl="0" w:tplc="066A623A">
      <w:start w:val="1"/>
      <w:numFmt w:val="lowerLetter"/>
      <w:lvlText w:val="%1)"/>
      <w:lvlJc w:val="left"/>
      <w:pPr>
        <w:ind w:left="720" w:hanging="360"/>
      </w:pPr>
    </w:lvl>
    <w:lvl w:ilvl="1" w:tplc="E6EC9928">
      <w:start w:val="1"/>
      <w:numFmt w:val="lowerLetter"/>
      <w:lvlText w:val="%2."/>
      <w:lvlJc w:val="left"/>
      <w:pPr>
        <w:ind w:left="1440" w:hanging="360"/>
      </w:pPr>
    </w:lvl>
    <w:lvl w:ilvl="2" w:tplc="35742AA6">
      <w:start w:val="1"/>
      <w:numFmt w:val="lowerRoman"/>
      <w:lvlText w:val="%3."/>
      <w:lvlJc w:val="right"/>
      <w:pPr>
        <w:ind w:left="2160" w:hanging="180"/>
      </w:pPr>
    </w:lvl>
    <w:lvl w:ilvl="3" w:tplc="9752CA3A">
      <w:start w:val="1"/>
      <w:numFmt w:val="decimal"/>
      <w:lvlText w:val="%4."/>
      <w:lvlJc w:val="left"/>
      <w:pPr>
        <w:ind w:left="2880" w:hanging="360"/>
      </w:pPr>
    </w:lvl>
    <w:lvl w:ilvl="4" w:tplc="8F98296E">
      <w:start w:val="1"/>
      <w:numFmt w:val="lowerLetter"/>
      <w:lvlText w:val="%5."/>
      <w:lvlJc w:val="left"/>
      <w:pPr>
        <w:ind w:left="3600" w:hanging="360"/>
      </w:pPr>
    </w:lvl>
    <w:lvl w:ilvl="5" w:tplc="A6E4F098">
      <w:start w:val="1"/>
      <w:numFmt w:val="lowerRoman"/>
      <w:lvlText w:val="%6."/>
      <w:lvlJc w:val="right"/>
      <w:pPr>
        <w:ind w:left="4320" w:hanging="180"/>
      </w:pPr>
    </w:lvl>
    <w:lvl w:ilvl="6" w:tplc="7B80729C">
      <w:start w:val="1"/>
      <w:numFmt w:val="decimal"/>
      <w:lvlText w:val="%7."/>
      <w:lvlJc w:val="left"/>
      <w:pPr>
        <w:ind w:left="5040" w:hanging="360"/>
      </w:pPr>
    </w:lvl>
    <w:lvl w:ilvl="7" w:tplc="48F0AE4E">
      <w:start w:val="1"/>
      <w:numFmt w:val="lowerLetter"/>
      <w:lvlText w:val="%8."/>
      <w:lvlJc w:val="left"/>
      <w:pPr>
        <w:ind w:left="5760" w:hanging="360"/>
      </w:pPr>
    </w:lvl>
    <w:lvl w:ilvl="8" w:tplc="79C4EBF0">
      <w:start w:val="1"/>
      <w:numFmt w:val="lowerRoman"/>
      <w:lvlText w:val="%9."/>
      <w:lvlJc w:val="right"/>
      <w:pPr>
        <w:ind w:left="6480" w:hanging="180"/>
      </w:pPr>
    </w:lvl>
  </w:abstractNum>
  <w:abstractNum w:abstractNumId="26" w15:restartNumberingAfterBreak="0">
    <w:nsid w:val="510F69F2"/>
    <w:multiLevelType w:val="hybridMultilevel"/>
    <w:tmpl w:val="4EC2E492"/>
    <w:lvl w:ilvl="0" w:tplc="6A6ADAA0">
      <w:start w:val="1"/>
      <w:numFmt w:val="lowerLetter"/>
      <w:lvlText w:val="%1)"/>
      <w:lvlJc w:val="left"/>
      <w:pPr>
        <w:ind w:left="720" w:hanging="360"/>
      </w:pPr>
    </w:lvl>
    <w:lvl w:ilvl="1" w:tplc="DC483DB0">
      <w:start w:val="1"/>
      <w:numFmt w:val="lowerLetter"/>
      <w:lvlText w:val="%2."/>
      <w:lvlJc w:val="left"/>
      <w:pPr>
        <w:ind w:left="1440" w:hanging="360"/>
      </w:pPr>
    </w:lvl>
    <w:lvl w:ilvl="2" w:tplc="19B2465E">
      <w:start w:val="1"/>
      <w:numFmt w:val="lowerRoman"/>
      <w:lvlText w:val="%3."/>
      <w:lvlJc w:val="right"/>
      <w:pPr>
        <w:ind w:left="2160" w:hanging="180"/>
      </w:pPr>
    </w:lvl>
    <w:lvl w:ilvl="3" w:tplc="D88C0E06">
      <w:start w:val="1"/>
      <w:numFmt w:val="decimal"/>
      <w:lvlText w:val="%4."/>
      <w:lvlJc w:val="left"/>
      <w:pPr>
        <w:ind w:left="2880" w:hanging="360"/>
      </w:pPr>
    </w:lvl>
    <w:lvl w:ilvl="4" w:tplc="666840AA">
      <w:start w:val="1"/>
      <w:numFmt w:val="lowerLetter"/>
      <w:lvlText w:val="%5."/>
      <w:lvlJc w:val="left"/>
      <w:pPr>
        <w:ind w:left="3600" w:hanging="360"/>
      </w:pPr>
    </w:lvl>
    <w:lvl w:ilvl="5" w:tplc="39805DA2">
      <w:start w:val="1"/>
      <w:numFmt w:val="lowerRoman"/>
      <w:lvlText w:val="%6."/>
      <w:lvlJc w:val="right"/>
      <w:pPr>
        <w:ind w:left="4320" w:hanging="180"/>
      </w:pPr>
    </w:lvl>
    <w:lvl w:ilvl="6" w:tplc="9A62075E">
      <w:start w:val="1"/>
      <w:numFmt w:val="decimal"/>
      <w:lvlText w:val="%7."/>
      <w:lvlJc w:val="left"/>
      <w:pPr>
        <w:ind w:left="5040" w:hanging="360"/>
      </w:pPr>
    </w:lvl>
    <w:lvl w:ilvl="7" w:tplc="0DA85318">
      <w:start w:val="1"/>
      <w:numFmt w:val="lowerLetter"/>
      <w:lvlText w:val="%8."/>
      <w:lvlJc w:val="left"/>
      <w:pPr>
        <w:ind w:left="5760" w:hanging="360"/>
      </w:pPr>
    </w:lvl>
    <w:lvl w:ilvl="8" w:tplc="592C3FEA">
      <w:start w:val="1"/>
      <w:numFmt w:val="lowerRoman"/>
      <w:lvlText w:val="%9."/>
      <w:lvlJc w:val="right"/>
      <w:pPr>
        <w:ind w:left="6480" w:hanging="180"/>
      </w:pPr>
    </w:lvl>
  </w:abstractNum>
  <w:abstractNum w:abstractNumId="27" w15:restartNumberingAfterBreak="0">
    <w:nsid w:val="525D13BA"/>
    <w:multiLevelType w:val="hybridMultilevel"/>
    <w:tmpl w:val="4EC2E492"/>
    <w:lvl w:ilvl="0" w:tplc="A95EF33E">
      <w:start w:val="1"/>
      <w:numFmt w:val="lowerLetter"/>
      <w:lvlText w:val="%1)"/>
      <w:lvlJc w:val="left"/>
      <w:pPr>
        <w:ind w:left="720" w:hanging="360"/>
      </w:pPr>
    </w:lvl>
    <w:lvl w:ilvl="1" w:tplc="4724AA36">
      <w:start w:val="1"/>
      <w:numFmt w:val="lowerLetter"/>
      <w:lvlText w:val="%2."/>
      <w:lvlJc w:val="left"/>
      <w:pPr>
        <w:ind w:left="1440" w:hanging="360"/>
      </w:pPr>
    </w:lvl>
    <w:lvl w:ilvl="2" w:tplc="66F41C56">
      <w:start w:val="1"/>
      <w:numFmt w:val="lowerRoman"/>
      <w:lvlText w:val="%3."/>
      <w:lvlJc w:val="right"/>
      <w:pPr>
        <w:ind w:left="2160" w:hanging="180"/>
      </w:pPr>
    </w:lvl>
    <w:lvl w:ilvl="3" w:tplc="6512DCFE">
      <w:start w:val="1"/>
      <w:numFmt w:val="decimal"/>
      <w:lvlText w:val="%4."/>
      <w:lvlJc w:val="left"/>
      <w:pPr>
        <w:ind w:left="2880" w:hanging="360"/>
      </w:pPr>
    </w:lvl>
    <w:lvl w:ilvl="4" w:tplc="A20C2CA2">
      <w:start w:val="1"/>
      <w:numFmt w:val="lowerLetter"/>
      <w:lvlText w:val="%5."/>
      <w:lvlJc w:val="left"/>
      <w:pPr>
        <w:ind w:left="3600" w:hanging="360"/>
      </w:pPr>
    </w:lvl>
    <w:lvl w:ilvl="5" w:tplc="B6E05CD6">
      <w:start w:val="1"/>
      <w:numFmt w:val="lowerRoman"/>
      <w:lvlText w:val="%6."/>
      <w:lvlJc w:val="right"/>
      <w:pPr>
        <w:ind w:left="4320" w:hanging="180"/>
      </w:pPr>
    </w:lvl>
    <w:lvl w:ilvl="6" w:tplc="F2462018">
      <w:start w:val="1"/>
      <w:numFmt w:val="decimal"/>
      <w:lvlText w:val="%7."/>
      <w:lvlJc w:val="left"/>
      <w:pPr>
        <w:ind w:left="5040" w:hanging="360"/>
      </w:pPr>
    </w:lvl>
    <w:lvl w:ilvl="7" w:tplc="C4E86F0A">
      <w:start w:val="1"/>
      <w:numFmt w:val="lowerLetter"/>
      <w:lvlText w:val="%8."/>
      <w:lvlJc w:val="left"/>
      <w:pPr>
        <w:ind w:left="5760" w:hanging="360"/>
      </w:pPr>
    </w:lvl>
    <w:lvl w:ilvl="8" w:tplc="4F002800">
      <w:start w:val="1"/>
      <w:numFmt w:val="lowerRoman"/>
      <w:lvlText w:val="%9."/>
      <w:lvlJc w:val="right"/>
      <w:pPr>
        <w:ind w:left="6480" w:hanging="180"/>
      </w:pPr>
    </w:lvl>
  </w:abstractNum>
  <w:abstractNum w:abstractNumId="28" w15:restartNumberingAfterBreak="0">
    <w:nsid w:val="53FE7A6F"/>
    <w:multiLevelType w:val="hybridMultilevel"/>
    <w:tmpl w:val="4EC2E492"/>
    <w:lvl w:ilvl="0" w:tplc="B4247980">
      <w:start w:val="1"/>
      <w:numFmt w:val="lowerLetter"/>
      <w:lvlText w:val="%1)"/>
      <w:lvlJc w:val="left"/>
      <w:pPr>
        <w:ind w:left="720" w:hanging="360"/>
      </w:pPr>
    </w:lvl>
    <w:lvl w:ilvl="1" w:tplc="BF52591A">
      <w:start w:val="1"/>
      <w:numFmt w:val="lowerLetter"/>
      <w:lvlText w:val="%2."/>
      <w:lvlJc w:val="left"/>
      <w:pPr>
        <w:ind w:left="1440" w:hanging="360"/>
      </w:pPr>
    </w:lvl>
    <w:lvl w:ilvl="2" w:tplc="A9AA6E72">
      <w:start w:val="1"/>
      <w:numFmt w:val="lowerRoman"/>
      <w:lvlText w:val="%3."/>
      <w:lvlJc w:val="right"/>
      <w:pPr>
        <w:ind w:left="2160" w:hanging="180"/>
      </w:pPr>
    </w:lvl>
    <w:lvl w:ilvl="3" w:tplc="8266F5C0">
      <w:start w:val="1"/>
      <w:numFmt w:val="decimal"/>
      <w:lvlText w:val="%4."/>
      <w:lvlJc w:val="left"/>
      <w:pPr>
        <w:ind w:left="2880" w:hanging="360"/>
      </w:pPr>
    </w:lvl>
    <w:lvl w:ilvl="4" w:tplc="7840D026">
      <w:start w:val="1"/>
      <w:numFmt w:val="lowerLetter"/>
      <w:lvlText w:val="%5."/>
      <w:lvlJc w:val="left"/>
      <w:pPr>
        <w:ind w:left="3600" w:hanging="360"/>
      </w:pPr>
    </w:lvl>
    <w:lvl w:ilvl="5" w:tplc="F3C44D1E">
      <w:start w:val="1"/>
      <w:numFmt w:val="lowerRoman"/>
      <w:lvlText w:val="%6."/>
      <w:lvlJc w:val="right"/>
      <w:pPr>
        <w:ind w:left="4320" w:hanging="180"/>
      </w:pPr>
    </w:lvl>
    <w:lvl w:ilvl="6" w:tplc="E916A68E">
      <w:start w:val="1"/>
      <w:numFmt w:val="decimal"/>
      <w:lvlText w:val="%7."/>
      <w:lvlJc w:val="left"/>
      <w:pPr>
        <w:ind w:left="5040" w:hanging="360"/>
      </w:pPr>
    </w:lvl>
    <w:lvl w:ilvl="7" w:tplc="2EE0AECC">
      <w:start w:val="1"/>
      <w:numFmt w:val="lowerLetter"/>
      <w:lvlText w:val="%8."/>
      <w:lvlJc w:val="left"/>
      <w:pPr>
        <w:ind w:left="5760" w:hanging="360"/>
      </w:pPr>
    </w:lvl>
    <w:lvl w:ilvl="8" w:tplc="5F64F61E">
      <w:start w:val="1"/>
      <w:numFmt w:val="lowerRoman"/>
      <w:lvlText w:val="%9."/>
      <w:lvlJc w:val="right"/>
      <w:pPr>
        <w:ind w:left="6480" w:hanging="180"/>
      </w:pPr>
    </w:lvl>
  </w:abstractNum>
  <w:abstractNum w:abstractNumId="29" w15:restartNumberingAfterBreak="0">
    <w:nsid w:val="549E7D92"/>
    <w:multiLevelType w:val="hybridMultilevel"/>
    <w:tmpl w:val="E25CA9A0"/>
    <w:lvl w:ilvl="0" w:tplc="B6543910">
      <w:start w:val="1"/>
      <w:numFmt w:val="decimal"/>
      <w:lvlText w:val="%1."/>
      <w:lvlJc w:val="left"/>
      <w:pPr>
        <w:ind w:left="720" w:hanging="360"/>
      </w:pPr>
    </w:lvl>
    <w:lvl w:ilvl="1" w:tplc="AC002C72">
      <w:start w:val="1"/>
      <w:numFmt w:val="lowerLetter"/>
      <w:lvlText w:val="%2."/>
      <w:lvlJc w:val="left"/>
      <w:pPr>
        <w:ind w:left="1440" w:hanging="360"/>
      </w:pPr>
    </w:lvl>
    <w:lvl w:ilvl="2" w:tplc="8934F010">
      <w:start w:val="1"/>
      <w:numFmt w:val="lowerRoman"/>
      <w:lvlText w:val="%3."/>
      <w:lvlJc w:val="right"/>
      <w:pPr>
        <w:ind w:left="2160" w:hanging="180"/>
      </w:pPr>
    </w:lvl>
    <w:lvl w:ilvl="3" w:tplc="48682030">
      <w:start w:val="1"/>
      <w:numFmt w:val="decimal"/>
      <w:lvlText w:val="%4."/>
      <w:lvlJc w:val="left"/>
      <w:pPr>
        <w:ind w:left="2880" w:hanging="360"/>
      </w:pPr>
    </w:lvl>
    <w:lvl w:ilvl="4" w:tplc="4184F646">
      <w:start w:val="1"/>
      <w:numFmt w:val="lowerLetter"/>
      <w:lvlText w:val="%5."/>
      <w:lvlJc w:val="left"/>
      <w:pPr>
        <w:ind w:left="3600" w:hanging="360"/>
      </w:pPr>
    </w:lvl>
    <w:lvl w:ilvl="5" w:tplc="8A52E8CA">
      <w:start w:val="1"/>
      <w:numFmt w:val="lowerRoman"/>
      <w:lvlText w:val="%6."/>
      <w:lvlJc w:val="right"/>
      <w:pPr>
        <w:ind w:left="4320" w:hanging="180"/>
      </w:pPr>
    </w:lvl>
    <w:lvl w:ilvl="6" w:tplc="4BFC6956">
      <w:start w:val="1"/>
      <w:numFmt w:val="decimal"/>
      <w:lvlText w:val="%7."/>
      <w:lvlJc w:val="left"/>
      <w:pPr>
        <w:ind w:left="5040" w:hanging="360"/>
      </w:pPr>
    </w:lvl>
    <w:lvl w:ilvl="7" w:tplc="8F1E12DC">
      <w:start w:val="1"/>
      <w:numFmt w:val="lowerLetter"/>
      <w:lvlText w:val="%8."/>
      <w:lvlJc w:val="left"/>
      <w:pPr>
        <w:ind w:left="5760" w:hanging="360"/>
      </w:pPr>
    </w:lvl>
    <w:lvl w:ilvl="8" w:tplc="F2F68D28">
      <w:start w:val="1"/>
      <w:numFmt w:val="lowerRoman"/>
      <w:lvlText w:val="%9."/>
      <w:lvlJc w:val="right"/>
      <w:pPr>
        <w:ind w:left="6480" w:hanging="180"/>
      </w:pPr>
    </w:lvl>
  </w:abstractNum>
  <w:abstractNum w:abstractNumId="30" w15:restartNumberingAfterBreak="0">
    <w:nsid w:val="55904EEE"/>
    <w:multiLevelType w:val="hybridMultilevel"/>
    <w:tmpl w:val="E25CA9A0"/>
    <w:lvl w:ilvl="0" w:tplc="B1ACC766">
      <w:start w:val="1"/>
      <w:numFmt w:val="decimal"/>
      <w:lvlText w:val="%1."/>
      <w:lvlJc w:val="left"/>
      <w:pPr>
        <w:ind w:left="720" w:hanging="360"/>
      </w:pPr>
    </w:lvl>
    <w:lvl w:ilvl="1" w:tplc="3E4A1B9E">
      <w:start w:val="1"/>
      <w:numFmt w:val="lowerLetter"/>
      <w:lvlText w:val="%2."/>
      <w:lvlJc w:val="left"/>
      <w:pPr>
        <w:ind w:left="1440" w:hanging="360"/>
      </w:pPr>
    </w:lvl>
    <w:lvl w:ilvl="2" w:tplc="DD580ACA">
      <w:start w:val="1"/>
      <w:numFmt w:val="lowerRoman"/>
      <w:lvlText w:val="%3."/>
      <w:lvlJc w:val="right"/>
      <w:pPr>
        <w:ind w:left="2160" w:hanging="180"/>
      </w:pPr>
    </w:lvl>
    <w:lvl w:ilvl="3" w:tplc="3F5625DE">
      <w:start w:val="1"/>
      <w:numFmt w:val="decimal"/>
      <w:lvlText w:val="%4."/>
      <w:lvlJc w:val="left"/>
      <w:pPr>
        <w:ind w:left="2880" w:hanging="360"/>
      </w:pPr>
    </w:lvl>
    <w:lvl w:ilvl="4" w:tplc="33F0FD12">
      <w:start w:val="1"/>
      <w:numFmt w:val="lowerLetter"/>
      <w:lvlText w:val="%5."/>
      <w:lvlJc w:val="left"/>
      <w:pPr>
        <w:ind w:left="3600" w:hanging="360"/>
      </w:pPr>
    </w:lvl>
    <w:lvl w:ilvl="5" w:tplc="46EC4CCC">
      <w:start w:val="1"/>
      <w:numFmt w:val="lowerRoman"/>
      <w:lvlText w:val="%6."/>
      <w:lvlJc w:val="right"/>
      <w:pPr>
        <w:ind w:left="4320" w:hanging="180"/>
      </w:pPr>
    </w:lvl>
    <w:lvl w:ilvl="6" w:tplc="A070850A">
      <w:start w:val="1"/>
      <w:numFmt w:val="decimal"/>
      <w:lvlText w:val="%7."/>
      <w:lvlJc w:val="left"/>
      <w:pPr>
        <w:ind w:left="5040" w:hanging="360"/>
      </w:pPr>
    </w:lvl>
    <w:lvl w:ilvl="7" w:tplc="65D663FE">
      <w:start w:val="1"/>
      <w:numFmt w:val="lowerLetter"/>
      <w:lvlText w:val="%8."/>
      <w:lvlJc w:val="left"/>
      <w:pPr>
        <w:ind w:left="5760" w:hanging="360"/>
      </w:pPr>
    </w:lvl>
    <w:lvl w:ilvl="8" w:tplc="8CE253D0">
      <w:start w:val="1"/>
      <w:numFmt w:val="lowerRoman"/>
      <w:lvlText w:val="%9."/>
      <w:lvlJc w:val="right"/>
      <w:pPr>
        <w:ind w:left="6480" w:hanging="180"/>
      </w:pPr>
    </w:lvl>
  </w:abstractNum>
  <w:abstractNum w:abstractNumId="31" w15:restartNumberingAfterBreak="0">
    <w:nsid w:val="567A44D8"/>
    <w:multiLevelType w:val="hybridMultilevel"/>
    <w:tmpl w:val="4EC2E492"/>
    <w:lvl w:ilvl="0" w:tplc="CB2CF3E8">
      <w:start w:val="1"/>
      <w:numFmt w:val="lowerLetter"/>
      <w:lvlText w:val="%1)"/>
      <w:lvlJc w:val="left"/>
      <w:pPr>
        <w:ind w:left="720" w:hanging="360"/>
      </w:pPr>
    </w:lvl>
    <w:lvl w:ilvl="1" w:tplc="ACBA04A6">
      <w:start w:val="1"/>
      <w:numFmt w:val="lowerLetter"/>
      <w:lvlText w:val="%2."/>
      <w:lvlJc w:val="left"/>
      <w:pPr>
        <w:ind w:left="1440" w:hanging="360"/>
      </w:pPr>
    </w:lvl>
    <w:lvl w:ilvl="2" w:tplc="92287584">
      <w:start w:val="1"/>
      <w:numFmt w:val="lowerRoman"/>
      <w:lvlText w:val="%3."/>
      <w:lvlJc w:val="right"/>
      <w:pPr>
        <w:ind w:left="2160" w:hanging="180"/>
      </w:pPr>
    </w:lvl>
    <w:lvl w:ilvl="3" w:tplc="AA76FC0C">
      <w:start w:val="1"/>
      <w:numFmt w:val="decimal"/>
      <w:lvlText w:val="%4."/>
      <w:lvlJc w:val="left"/>
      <w:pPr>
        <w:ind w:left="2880" w:hanging="360"/>
      </w:pPr>
    </w:lvl>
    <w:lvl w:ilvl="4" w:tplc="1A00E262">
      <w:start w:val="1"/>
      <w:numFmt w:val="lowerLetter"/>
      <w:lvlText w:val="%5."/>
      <w:lvlJc w:val="left"/>
      <w:pPr>
        <w:ind w:left="3600" w:hanging="360"/>
      </w:pPr>
    </w:lvl>
    <w:lvl w:ilvl="5" w:tplc="89C486F2">
      <w:start w:val="1"/>
      <w:numFmt w:val="lowerRoman"/>
      <w:lvlText w:val="%6."/>
      <w:lvlJc w:val="right"/>
      <w:pPr>
        <w:ind w:left="4320" w:hanging="180"/>
      </w:pPr>
    </w:lvl>
    <w:lvl w:ilvl="6" w:tplc="96DC0E62">
      <w:start w:val="1"/>
      <w:numFmt w:val="decimal"/>
      <w:lvlText w:val="%7."/>
      <w:lvlJc w:val="left"/>
      <w:pPr>
        <w:ind w:left="5040" w:hanging="360"/>
      </w:pPr>
    </w:lvl>
    <w:lvl w:ilvl="7" w:tplc="03A8990A">
      <w:start w:val="1"/>
      <w:numFmt w:val="lowerLetter"/>
      <w:lvlText w:val="%8."/>
      <w:lvlJc w:val="left"/>
      <w:pPr>
        <w:ind w:left="5760" w:hanging="360"/>
      </w:pPr>
    </w:lvl>
    <w:lvl w:ilvl="8" w:tplc="82AEE854">
      <w:start w:val="1"/>
      <w:numFmt w:val="lowerRoman"/>
      <w:lvlText w:val="%9."/>
      <w:lvlJc w:val="right"/>
      <w:pPr>
        <w:ind w:left="6480" w:hanging="180"/>
      </w:pPr>
    </w:lvl>
  </w:abstractNum>
  <w:abstractNum w:abstractNumId="32" w15:restartNumberingAfterBreak="0">
    <w:nsid w:val="5BD37F37"/>
    <w:multiLevelType w:val="hybridMultilevel"/>
    <w:tmpl w:val="D94E024C"/>
    <w:lvl w:ilvl="0" w:tplc="A93ABAAC">
      <w:start w:val="1"/>
      <w:numFmt w:val="lowerLetter"/>
      <w:lvlText w:val="%1)"/>
      <w:lvlJc w:val="left"/>
      <w:pPr>
        <w:ind w:left="720" w:hanging="360"/>
      </w:pPr>
      <w:rPr>
        <w:rFonts w:hint="default"/>
      </w:rPr>
    </w:lvl>
    <w:lvl w:ilvl="1" w:tplc="F8F69DEE" w:tentative="1">
      <w:start w:val="1"/>
      <w:numFmt w:val="lowerLetter"/>
      <w:lvlText w:val="%2."/>
      <w:lvlJc w:val="left"/>
      <w:pPr>
        <w:ind w:left="1440" w:hanging="360"/>
      </w:pPr>
    </w:lvl>
    <w:lvl w:ilvl="2" w:tplc="4A48FF68" w:tentative="1">
      <w:start w:val="1"/>
      <w:numFmt w:val="lowerRoman"/>
      <w:lvlText w:val="%3."/>
      <w:lvlJc w:val="right"/>
      <w:pPr>
        <w:ind w:left="2160" w:hanging="180"/>
      </w:pPr>
    </w:lvl>
    <w:lvl w:ilvl="3" w:tplc="C5F4D1C2" w:tentative="1">
      <w:start w:val="1"/>
      <w:numFmt w:val="decimal"/>
      <w:lvlText w:val="%4."/>
      <w:lvlJc w:val="left"/>
      <w:pPr>
        <w:ind w:left="2880" w:hanging="360"/>
      </w:pPr>
    </w:lvl>
    <w:lvl w:ilvl="4" w:tplc="A1048DD8" w:tentative="1">
      <w:start w:val="1"/>
      <w:numFmt w:val="lowerLetter"/>
      <w:lvlText w:val="%5."/>
      <w:lvlJc w:val="left"/>
      <w:pPr>
        <w:ind w:left="3600" w:hanging="360"/>
      </w:pPr>
    </w:lvl>
    <w:lvl w:ilvl="5" w:tplc="2460D4A6" w:tentative="1">
      <w:start w:val="1"/>
      <w:numFmt w:val="lowerRoman"/>
      <w:lvlText w:val="%6."/>
      <w:lvlJc w:val="right"/>
      <w:pPr>
        <w:ind w:left="4320" w:hanging="180"/>
      </w:pPr>
    </w:lvl>
    <w:lvl w:ilvl="6" w:tplc="A55C6DC8" w:tentative="1">
      <w:start w:val="1"/>
      <w:numFmt w:val="decimal"/>
      <w:lvlText w:val="%7."/>
      <w:lvlJc w:val="left"/>
      <w:pPr>
        <w:ind w:left="5040" w:hanging="360"/>
      </w:pPr>
    </w:lvl>
    <w:lvl w:ilvl="7" w:tplc="F71EC954" w:tentative="1">
      <w:start w:val="1"/>
      <w:numFmt w:val="lowerLetter"/>
      <w:lvlText w:val="%8."/>
      <w:lvlJc w:val="left"/>
      <w:pPr>
        <w:ind w:left="5760" w:hanging="360"/>
      </w:pPr>
    </w:lvl>
    <w:lvl w:ilvl="8" w:tplc="5776BF02" w:tentative="1">
      <w:start w:val="1"/>
      <w:numFmt w:val="lowerRoman"/>
      <w:lvlText w:val="%9."/>
      <w:lvlJc w:val="right"/>
      <w:pPr>
        <w:ind w:left="6480" w:hanging="180"/>
      </w:pPr>
    </w:lvl>
  </w:abstractNum>
  <w:abstractNum w:abstractNumId="33" w15:restartNumberingAfterBreak="0">
    <w:nsid w:val="608B0165"/>
    <w:multiLevelType w:val="hybridMultilevel"/>
    <w:tmpl w:val="E25CA9A0"/>
    <w:lvl w:ilvl="0" w:tplc="3A88F5B0">
      <w:start w:val="1"/>
      <w:numFmt w:val="decimal"/>
      <w:lvlText w:val="%1."/>
      <w:lvlJc w:val="left"/>
      <w:pPr>
        <w:ind w:left="720" w:hanging="360"/>
      </w:pPr>
    </w:lvl>
    <w:lvl w:ilvl="1" w:tplc="190E818C">
      <w:start w:val="1"/>
      <w:numFmt w:val="lowerLetter"/>
      <w:lvlText w:val="%2."/>
      <w:lvlJc w:val="left"/>
      <w:pPr>
        <w:ind w:left="1440" w:hanging="360"/>
      </w:pPr>
    </w:lvl>
    <w:lvl w:ilvl="2" w:tplc="55F650BC">
      <w:start w:val="1"/>
      <w:numFmt w:val="lowerRoman"/>
      <w:lvlText w:val="%3."/>
      <w:lvlJc w:val="right"/>
      <w:pPr>
        <w:ind w:left="2160" w:hanging="180"/>
      </w:pPr>
    </w:lvl>
    <w:lvl w:ilvl="3" w:tplc="B6A0B3BE">
      <w:start w:val="1"/>
      <w:numFmt w:val="decimal"/>
      <w:lvlText w:val="%4."/>
      <w:lvlJc w:val="left"/>
      <w:pPr>
        <w:ind w:left="2880" w:hanging="360"/>
      </w:pPr>
    </w:lvl>
    <w:lvl w:ilvl="4" w:tplc="09869B90">
      <w:start w:val="1"/>
      <w:numFmt w:val="lowerLetter"/>
      <w:lvlText w:val="%5."/>
      <w:lvlJc w:val="left"/>
      <w:pPr>
        <w:ind w:left="3600" w:hanging="360"/>
      </w:pPr>
    </w:lvl>
    <w:lvl w:ilvl="5" w:tplc="640A4D7C">
      <w:start w:val="1"/>
      <w:numFmt w:val="lowerRoman"/>
      <w:lvlText w:val="%6."/>
      <w:lvlJc w:val="right"/>
      <w:pPr>
        <w:ind w:left="4320" w:hanging="180"/>
      </w:pPr>
    </w:lvl>
    <w:lvl w:ilvl="6" w:tplc="FE2CABAE">
      <w:start w:val="1"/>
      <w:numFmt w:val="decimal"/>
      <w:lvlText w:val="%7."/>
      <w:lvlJc w:val="left"/>
      <w:pPr>
        <w:ind w:left="5040" w:hanging="360"/>
      </w:pPr>
    </w:lvl>
    <w:lvl w:ilvl="7" w:tplc="D0ACF07E">
      <w:start w:val="1"/>
      <w:numFmt w:val="lowerLetter"/>
      <w:lvlText w:val="%8."/>
      <w:lvlJc w:val="left"/>
      <w:pPr>
        <w:ind w:left="5760" w:hanging="360"/>
      </w:pPr>
    </w:lvl>
    <w:lvl w:ilvl="8" w:tplc="A94C39A4">
      <w:start w:val="1"/>
      <w:numFmt w:val="lowerRoman"/>
      <w:lvlText w:val="%9."/>
      <w:lvlJc w:val="right"/>
      <w:pPr>
        <w:ind w:left="6480" w:hanging="180"/>
      </w:pPr>
    </w:lvl>
  </w:abstractNum>
  <w:abstractNum w:abstractNumId="34" w15:restartNumberingAfterBreak="0">
    <w:nsid w:val="65704C79"/>
    <w:multiLevelType w:val="hybridMultilevel"/>
    <w:tmpl w:val="E25CA9A0"/>
    <w:lvl w:ilvl="0" w:tplc="9DA2D01A">
      <w:start w:val="1"/>
      <w:numFmt w:val="decimal"/>
      <w:lvlText w:val="%1."/>
      <w:lvlJc w:val="left"/>
      <w:pPr>
        <w:ind w:left="720" w:hanging="360"/>
      </w:pPr>
    </w:lvl>
    <w:lvl w:ilvl="1" w:tplc="2C761DAC">
      <w:start w:val="1"/>
      <w:numFmt w:val="lowerLetter"/>
      <w:lvlText w:val="%2."/>
      <w:lvlJc w:val="left"/>
      <w:pPr>
        <w:ind w:left="1440" w:hanging="360"/>
      </w:pPr>
    </w:lvl>
    <w:lvl w:ilvl="2" w:tplc="BD16A830">
      <w:start w:val="1"/>
      <w:numFmt w:val="lowerRoman"/>
      <w:lvlText w:val="%3."/>
      <w:lvlJc w:val="right"/>
      <w:pPr>
        <w:ind w:left="2160" w:hanging="180"/>
      </w:pPr>
    </w:lvl>
    <w:lvl w:ilvl="3" w:tplc="CBD4FF22">
      <w:start w:val="1"/>
      <w:numFmt w:val="decimal"/>
      <w:lvlText w:val="%4."/>
      <w:lvlJc w:val="left"/>
      <w:pPr>
        <w:ind w:left="2880" w:hanging="360"/>
      </w:pPr>
    </w:lvl>
    <w:lvl w:ilvl="4" w:tplc="64B882C2">
      <w:start w:val="1"/>
      <w:numFmt w:val="lowerLetter"/>
      <w:lvlText w:val="%5."/>
      <w:lvlJc w:val="left"/>
      <w:pPr>
        <w:ind w:left="3600" w:hanging="360"/>
      </w:pPr>
    </w:lvl>
    <w:lvl w:ilvl="5" w:tplc="EB1AF48E">
      <w:start w:val="1"/>
      <w:numFmt w:val="lowerRoman"/>
      <w:lvlText w:val="%6."/>
      <w:lvlJc w:val="right"/>
      <w:pPr>
        <w:ind w:left="4320" w:hanging="180"/>
      </w:pPr>
    </w:lvl>
    <w:lvl w:ilvl="6" w:tplc="B396EE3A">
      <w:start w:val="1"/>
      <w:numFmt w:val="decimal"/>
      <w:lvlText w:val="%7."/>
      <w:lvlJc w:val="left"/>
      <w:pPr>
        <w:ind w:left="5040" w:hanging="360"/>
      </w:pPr>
    </w:lvl>
    <w:lvl w:ilvl="7" w:tplc="B70CC6C8">
      <w:start w:val="1"/>
      <w:numFmt w:val="lowerLetter"/>
      <w:lvlText w:val="%8."/>
      <w:lvlJc w:val="left"/>
      <w:pPr>
        <w:ind w:left="5760" w:hanging="360"/>
      </w:pPr>
    </w:lvl>
    <w:lvl w:ilvl="8" w:tplc="68944DB6">
      <w:start w:val="1"/>
      <w:numFmt w:val="lowerRoman"/>
      <w:lvlText w:val="%9."/>
      <w:lvlJc w:val="right"/>
      <w:pPr>
        <w:ind w:left="6480" w:hanging="180"/>
      </w:pPr>
    </w:lvl>
  </w:abstractNum>
  <w:abstractNum w:abstractNumId="35" w15:restartNumberingAfterBreak="0">
    <w:nsid w:val="6A940F57"/>
    <w:multiLevelType w:val="hybridMultilevel"/>
    <w:tmpl w:val="E25CA9A0"/>
    <w:lvl w:ilvl="0" w:tplc="0ED42C5C">
      <w:start w:val="1"/>
      <w:numFmt w:val="decimal"/>
      <w:lvlText w:val="%1."/>
      <w:lvlJc w:val="left"/>
      <w:pPr>
        <w:ind w:left="720" w:hanging="360"/>
      </w:pPr>
    </w:lvl>
    <w:lvl w:ilvl="1" w:tplc="27122D8A">
      <w:start w:val="1"/>
      <w:numFmt w:val="lowerLetter"/>
      <w:lvlText w:val="%2."/>
      <w:lvlJc w:val="left"/>
      <w:pPr>
        <w:ind w:left="1440" w:hanging="360"/>
      </w:pPr>
    </w:lvl>
    <w:lvl w:ilvl="2" w:tplc="4D24C0B6">
      <w:start w:val="1"/>
      <w:numFmt w:val="lowerRoman"/>
      <w:lvlText w:val="%3."/>
      <w:lvlJc w:val="right"/>
      <w:pPr>
        <w:ind w:left="2160" w:hanging="180"/>
      </w:pPr>
    </w:lvl>
    <w:lvl w:ilvl="3" w:tplc="91562822">
      <w:start w:val="1"/>
      <w:numFmt w:val="decimal"/>
      <w:lvlText w:val="%4."/>
      <w:lvlJc w:val="left"/>
      <w:pPr>
        <w:ind w:left="2880" w:hanging="360"/>
      </w:pPr>
    </w:lvl>
    <w:lvl w:ilvl="4" w:tplc="2876B880">
      <w:start w:val="1"/>
      <w:numFmt w:val="lowerLetter"/>
      <w:lvlText w:val="%5."/>
      <w:lvlJc w:val="left"/>
      <w:pPr>
        <w:ind w:left="3600" w:hanging="360"/>
      </w:pPr>
    </w:lvl>
    <w:lvl w:ilvl="5" w:tplc="9DB6BF2E">
      <w:start w:val="1"/>
      <w:numFmt w:val="lowerRoman"/>
      <w:lvlText w:val="%6."/>
      <w:lvlJc w:val="right"/>
      <w:pPr>
        <w:ind w:left="4320" w:hanging="180"/>
      </w:pPr>
    </w:lvl>
    <w:lvl w:ilvl="6" w:tplc="CF4AFC50">
      <w:start w:val="1"/>
      <w:numFmt w:val="decimal"/>
      <w:lvlText w:val="%7."/>
      <w:lvlJc w:val="left"/>
      <w:pPr>
        <w:ind w:left="5040" w:hanging="360"/>
      </w:pPr>
    </w:lvl>
    <w:lvl w:ilvl="7" w:tplc="0EA29986">
      <w:start w:val="1"/>
      <w:numFmt w:val="lowerLetter"/>
      <w:lvlText w:val="%8."/>
      <w:lvlJc w:val="left"/>
      <w:pPr>
        <w:ind w:left="5760" w:hanging="360"/>
      </w:pPr>
    </w:lvl>
    <w:lvl w:ilvl="8" w:tplc="2DB278FC">
      <w:start w:val="1"/>
      <w:numFmt w:val="lowerRoman"/>
      <w:lvlText w:val="%9."/>
      <w:lvlJc w:val="right"/>
      <w:pPr>
        <w:ind w:left="6480" w:hanging="180"/>
      </w:pPr>
    </w:lvl>
  </w:abstractNum>
  <w:abstractNum w:abstractNumId="36" w15:restartNumberingAfterBreak="0">
    <w:nsid w:val="70C03C93"/>
    <w:multiLevelType w:val="hybridMultilevel"/>
    <w:tmpl w:val="4EC2E492"/>
    <w:lvl w:ilvl="0" w:tplc="4FE0B634">
      <w:start w:val="1"/>
      <w:numFmt w:val="lowerLetter"/>
      <w:lvlText w:val="%1)"/>
      <w:lvlJc w:val="left"/>
      <w:pPr>
        <w:ind w:left="720" w:hanging="360"/>
      </w:pPr>
    </w:lvl>
    <w:lvl w:ilvl="1" w:tplc="646C0196">
      <w:start w:val="1"/>
      <w:numFmt w:val="lowerLetter"/>
      <w:lvlText w:val="%2."/>
      <w:lvlJc w:val="left"/>
      <w:pPr>
        <w:ind w:left="1440" w:hanging="360"/>
      </w:pPr>
    </w:lvl>
    <w:lvl w:ilvl="2" w:tplc="25EC4CA0">
      <w:start w:val="1"/>
      <w:numFmt w:val="lowerRoman"/>
      <w:lvlText w:val="%3."/>
      <w:lvlJc w:val="right"/>
      <w:pPr>
        <w:ind w:left="2160" w:hanging="180"/>
      </w:pPr>
    </w:lvl>
    <w:lvl w:ilvl="3" w:tplc="2C007B8A">
      <w:start w:val="1"/>
      <w:numFmt w:val="decimal"/>
      <w:lvlText w:val="%4."/>
      <w:lvlJc w:val="left"/>
      <w:pPr>
        <w:ind w:left="2880" w:hanging="360"/>
      </w:pPr>
    </w:lvl>
    <w:lvl w:ilvl="4" w:tplc="E38652A2">
      <w:start w:val="1"/>
      <w:numFmt w:val="lowerLetter"/>
      <w:lvlText w:val="%5."/>
      <w:lvlJc w:val="left"/>
      <w:pPr>
        <w:ind w:left="3600" w:hanging="360"/>
      </w:pPr>
    </w:lvl>
    <w:lvl w:ilvl="5" w:tplc="75FCC774">
      <w:start w:val="1"/>
      <w:numFmt w:val="lowerRoman"/>
      <w:lvlText w:val="%6."/>
      <w:lvlJc w:val="right"/>
      <w:pPr>
        <w:ind w:left="4320" w:hanging="180"/>
      </w:pPr>
    </w:lvl>
    <w:lvl w:ilvl="6" w:tplc="4E2083B8">
      <w:start w:val="1"/>
      <w:numFmt w:val="decimal"/>
      <w:lvlText w:val="%7."/>
      <w:lvlJc w:val="left"/>
      <w:pPr>
        <w:ind w:left="5040" w:hanging="360"/>
      </w:pPr>
    </w:lvl>
    <w:lvl w:ilvl="7" w:tplc="AF0E38C4">
      <w:start w:val="1"/>
      <w:numFmt w:val="lowerLetter"/>
      <w:lvlText w:val="%8."/>
      <w:lvlJc w:val="left"/>
      <w:pPr>
        <w:ind w:left="5760" w:hanging="360"/>
      </w:pPr>
    </w:lvl>
    <w:lvl w:ilvl="8" w:tplc="25D01E58">
      <w:start w:val="1"/>
      <w:numFmt w:val="lowerRoman"/>
      <w:lvlText w:val="%9."/>
      <w:lvlJc w:val="right"/>
      <w:pPr>
        <w:ind w:left="6480" w:hanging="180"/>
      </w:pPr>
    </w:lvl>
  </w:abstractNum>
  <w:abstractNum w:abstractNumId="37" w15:restartNumberingAfterBreak="0">
    <w:nsid w:val="77F07FEC"/>
    <w:multiLevelType w:val="hybridMultilevel"/>
    <w:tmpl w:val="4EC2E492"/>
    <w:lvl w:ilvl="0" w:tplc="48868DE2">
      <w:start w:val="1"/>
      <w:numFmt w:val="lowerLetter"/>
      <w:lvlText w:val="%1)"/>
      <w:lvlJc w:val="left"/>
      <w:pPr>
        <w:ind w:left="720" w:hanging="360"/>
      </w:pPr>
    </w:lvl>
    <w:lvl w:ilvl="1" w:tplc="BFC0A672">
      <w:start w:val="1"/>
      <w:numFmt w:val="lowerLetter"/>
      <w:lvlText w:val="%2."/>
      <w:lvlJc w:val="left"/>
      <w:pPr>
        <w:ind w:left="1440" w:hanging="360"/>
      </w:pPr>
    </w:lvl>
    <w:lvl w:ilvl="2" w:tplc="E314FDD4">
      <w:start w:val="1"/>
      <w:numFmt w:val="lowerRoman"/>
      <w:lvlText w:val="%3."/>
      <w:lvlJc w:val="right"/>
      <w:pPr>
        <w:ind w:left="2160" w:hanging="180"/>
      </w:pPr>
    </w:lvl>
    <w:lvl w:ilvl="3" w:tplc="3550AA7C">
      <w:start w:val="1"/>
      <w:numFmt w:val="decimal"/>
      <w:lvlText w:val="%4."/>
      <w:lvlJc w:val="left"/>
      <w:pPr>
        <w:ind w:left="2880" w:hanging="360"/>
      </w:pPr>
    </w:lvl>
    <w:lvl w:ilvl="4" w:tplc="E334DE22">
      <w:start w:val="1"/>
      <w:numFmt w:val="lowerLetter"/>
      <w:lvlText w:val="%5."/>
      <w:lvlJc w:val="left"/>
      <w:pPr>
        <w:ind w:left="3600" w:hanging="360"/>
      </w:pPr>
    </w:lvl>
    <w:lvl w:ilvl="5" w:tplc="6F544114">
      <w:start w:val="1"/>
      <w:numFmt w:val="lowerRoman"/>
      <w:lvlText w:val="%6."/>
      <w:lvlJc w:val="right"/>
      <w:pPr>
        <w:ind w:left="4320" w:hanging="180"/>
      </w:pPr>
    </w:lvl>
    <w:lvl w:ilvl="6" w:tplc="2B0E0F2A">
      <w:start w:val="1"/>
      <w:numFmt w:val="decimal"/>
      <w:lvlText w:val="%7."/>
      <w:lvlJc w:val="left"/>
      <w:pPr>
        <w:ind w:left="5040" w:hanging="360"/>
      </w:pPr>
    </w:lvl>
    <w:lvl w:ilvl="7" w:tplc="07524532">
      <w:start w:val="1"/>
      <w:numFmt w:val="lowerLetter"/>
      <w:lvlText w:val="%8."/>
      <w:lvlJc w:val="left"/>
      <w:pPr>
        <w:ind w:left="5760" w:hanging="360"/>
      </w:pPr>
    </w:lvl>
    <w:lvl w:ilvl="8" w:tplc="0D0AA03A">
      <w:start w:val="1"/>
      <w:numFmt w:val="lowerRoman"/>
      <w:lvlText w:val="%9."/>
      <w:lvlJc w:val="right"/>
      <w:pPr>
        <w:ind w:left="6480" w:hanging="180"/>
      </w:pPr>
    </w:lvl>
  </w:abstractNum>
  <w:abstractNum w:abstractNumId="38" w15:restartNumberingAfterBreak="0">
    <w:nsid w:val="7CF62CC7"/>
    <w:multiLevelType w:val="hybridMultilevel"/>
    <w:tmpl w:val="0CF8D8E4"/>
    <w:lvl w:ilvl="0" w:tplc="A9F6CF5C">
      <w:start w:val="1"/>
      <w:numFmt w:val="lowerLetter"/>
      <w:lvlText w:val="%1)"/>
      <w:lvlJc w:val="left"/>
      <w:pPr>
        <w:ind w:left="720" w:hanging="360"/>
      </w:pPr>
      <w:rPr>
        <w:rFonts w:hint="default"/>
      </w:rPr>
    </w:lvl>
    <w:lvl w:ilvl="1" w:tplc="7B669DAA" w:tentative="1">
      <w:start w:val="1"/>
      <w:numFmt w:val="lowerLetter"/>
      <w:lvlText w:val="%2."/>
      <w:lvlJc w:val="left"/>
      <w:pPr>
        <w:ind w:left="1440" w:hanging="360"/>
      </w:pPr>
    </w:lvl>
    <w:lvl w:ilvl="2" w:tplc="EA58BDDE" w:tentative="1">
      <w:start w:val="1"/>
      <w:numFmt w:val="lowerRoman"/>
      <w:lvlText w:val="%3."/>
      <w:lvlJc w:val="right"/>
      <w:pPr>
        <w:ind w:left="2160" w:hanging="180"/>
      </w:pPr>
    </w:lvl>
    <w:lvl w:ilvl="3" w:tplc="9EC0D248" w:tentative="1">
      <w:start w:val="1"/>
      <w:numFmt w:val="decimal"/>
      <w:lvlText w:val="%4."/>
      <w:lvlJc w:val="left"/>
      <w:pPr>
        <w:ind w:left="2880" w:hanging="360"/>
      </w:pPr>
    </w:lvl>
    <w:lvl w:ilvl="4" w:tplc="9800A310" w:tentative="1">
      <w:start w:val="1"/>
      <w:numFmt w:val="lowerLetter"/>
      <w:lvlText w:val="%5."/>
      <w:lvlJc w:val="left"/>
      <w:pPr>
        <w:ind w:left="3600" w:hanging="360"/>
      </w:pPr>
    </w:lvl>
    <w:lvl w:ilvl="5" w:tplc="0FAEC3E0" w:tentative="1">
      <w:start w:val="1"/>
      <w:numFmt w:val="lowerRoman"/>
      <w:lvlText w:val="%6."/>
      <w:lvlJc w:val="right"/>
      <w:pPr>
        <w:ind w:left="4320" w:hanging="180"/>
      </w:pPr>
    </w:lvl>
    <w:lvl w:ilvl="6" w:tplc="F6C8D88A" w:tentative="1">
      <w:start w:val="1"/>
      <w:numFmt w:val="decimal"/>
      <w:lvlText w:val="%7."/>
      <w:lvlJc w:val="left"/>
      <w:pPr>
        <w:ind w:left="5040" w:hanging="360"/>
      </w:pPr>
    </w:lvl>
    <w:lvl w:ilvl="7" w:tplc="BAD29CDE" w:tentative="1">
      <w:start w:val="1"/>
      <w:numFmt w:val="lowerLetter"/>
      <w:lvlText w:val="%8."/>
      <w:lvlJc w:val="left"/>
      <w:pPr>
        <w:ind w:left="5760" w:hanging="360"/>
      </w:pPr>
    </w:lvl>
    <w:lvl w:ilvl="8" w:tplc="6C5ED05E" w:tentative="1">
      <w:start w:val="1"/>
      <w:numFmt w:val="lowerRoman"/>
      <w:lvlText w:val="%9."/>
      <w:lvlJc w:val="right"/>
      <w:pPr>
        <w:ind w:left="6480" w:hanging="180"/>
      </w:pPr>
    </w:lvl>
  </w:abstractNum>
  <w:abstractNum w:abstractNumId="39" w15:restartNumberingAfterBreak="0">
    <w:nsid w:val="7F676989"/>
    <w:multiLevelType w:val="hybridMultilevel"/>
    <w:tmpl w:val="7E526D2C"/>
    <w:lvl w:ilvl="0" w:tplc="71881048">
      <w:start w:val="1"/>
      <w:numFmt w:val="lowerLetter"/>
      <w:lvlText w:val="%1)"/>
      <w:lvlJc w:val="left"/>
      <w:pPr>
        <w:ind w:left="720" w:hanging="360"/>
      </w:pPr>
      <w:rPr>
        <w:rFonts w:hint="default"/>
      </w:rPr>
    </w:lvl>
    <w:lvl w:ilvl="1" w:tplc="19425E46" w:tentative="1">
      <w:start w:val="1"/>
      <w:numFmt w:val="lowerLetter"/>
      <w:lvlText w:val="%2."/>
      <w:lvlJc w:val="left"/>
      <w:pPr>
        <w:ind w:left="1440" w:hanging="360"/>
      </w:pPr>
    </w:lvl>
    <w:lvl w:ilvl="2" w:tplc="379472C6" w:tentative="1">
      <w:start w:val="1"/>
      <w:numFmt w:val="lowerRoman"/>
      <w:lvlText w:val="%3."/>
      <w:lvlJc w:val="right"/>
      <w:pPr>
        <w:ind w:left="2160" w:hanging="180"/>
      </w:pPr>
    </w:lvl>
    <w:lvl w:ilvl="3" w:tplc="863632CC" w:tentative="1">
      <w:start w:val="1"/>
      <w:numFmt w:val="decimal"/>
      <w:lvlText w:val="%4."/>
      <w:lvlJc w:val="left"/>
      <w:pPr>
        <w:ind w:left="2880" w:hanging="360"/>
      </w:pPr>
    </w:lvl>
    <w:lvl w:ilvl="4" w:tplc="2CA414CE" w:tentative="1">
      <w:start w:val="1"/>
      <w:numFmt w:val="lowerLetter"/>
      <w:lvlText w:val="%5."/>
      <w:lvlJc w:val="left"/>
      <w:pPr>
        <w:ind w:left="3600" w:hanging="360"/>
      </w:pPr>
    </w:lvl>
    <w:lvl w:ilvl="5" w:tplc="919EED1A" w:tentative="1">
      <w:start w:val="1"/>
      <w:numFmt w:val="lowerRoman"/>
      <w:lvlText w:val="%6."/>
      <w:lvlJc w:val="right"/>
      <w:pPr>
        <w:ind w:left="4320" w:hanging="180"/>
      </w:pPr>
    </w:lvl>
    <w:lvl w:ilvl="6" w:tplc="BF4C37B6" w:tentative="1">
      <w:start w:val="1"/>
      <w:numFmt w:val="decimal"/>
      <w:lvlText w:val="%7."/>
      <w:lvlJc w:val="left"/>
      <w:pPr>
        <w:ind w:left="5040" w:hanging="360"/>
      </w:pPr>
    </w:lvl>
    <w:lvl w:ilvl="7" w:tplc="AF8C40EE" w:tentative="1">
      <w:start w:val="1"/>
      <w:numFmt w:val="lowerLetter"/>
      <w:lvlText w:val="%8."/>
      <w:lvlJc w:val="left"/>
      <w:pPr>
        <w:ind w:left="5760" w:hanging="360"/>
      </w:pPr>
    </w:lvl>
    <w:lvl w:ilvl="8" w:tplc="6D4EAEA4" w:tentative="1">
      <w:start w:val="1"/>
      <w:numFmt w:val="lowerRoman"/>
      <w:lvlText w:val="%9."/>
      <w:lvlJc w:val="right"/>
      <w:pPr>
        <w:ind w:left="6480" w:hanging="180"/>
      </w:pPr>
    </w:lvl>
  </w:abstractNum>
  <w:num w:numId="1">
    <w:abstractNumId w:val="2"/>
  </w:num>
  <w:num w:numId="2">
    <w:abstractNumId w:val="31"/>
  </w:num>
  <w:num w:numId="3">
    <w:abstractNumId w:val="0"/>
  </w:num>
  <w:num w:numId="4">
    <w:abstractNumId w:val="19"/>
  </w:num>
  <w:num w:numId="5">
    <w:abstractNumId w:val="27"/>
  </w:num>
  <w:num w:numId="6">
    <w:abstractNumId w:val="28"/>
  </w:num>
  <w:num w:numId="7">
    <w:abstractNumId w:val="8"/>
  </w:num>
  <w:num w:numId="8">
    <w:abstractNumId w:val="6"/>
  </w:num>
  <w:num w:numId="9">
    <w:abstractNumId w:val="26"/>
  </w:num>
  <w:num w:numId="10">
    <w:abstractNumId w:val="29"/>
  </w:num>
  <w:num w:numId="11">
    <w:abstractNumId w:val="36"/>
  </w:num>
  <w:num w:numId="12">
    <w:abstractNumId w:val="3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4"/>
  </w:num>
  <w:num w:numId="17">
    <w:abstractNumId w:val="37"/>
  </w:num>
  <w:num w:numId="18">
    <w:abstractNumId w:val="9"/>
  </w:num>
  <w:num w:numId="19">
    <w:abstractNumId w:val="3"/>
  </w:num>
  <w:num w:numId="20">
    <w:abstractNumId w:val="14"/>
  </w:num>
  <w:num w:numId="21">
    <w:abstractNumId w:val="7"/>
  </w:num>
  <w:num w:numId="22">
    <w:abstractNumId w:val="11"/>
  </w:num>
  <w:num w:numId="23">
    <w:abstractNumId w:val="17"/>
  </w:num>
  <w:num w:numId="24">
    <w:abstractNumId w:val="35"/>
  </w:num>
  <w:num w:numId="25">
    <w:abstractNumId w:val="1"/>
  </w:num>
  <w:num w:numId="26">
    <w:abstractNumId w:val="13"/>
  </w:num>
  <w:num w:numId="27">
    <w:abstractNumId w:val="24"/>
  </w:num>
  <w:num w:numId="28">
    <w:abstractNumId w:val="18"/>
  </w:num>
  <w:num w:numId="29">
    <w:abstractNumId w:val="15"/>
  </w:num>
  <w:num w:numId="30">
    <w:abstractNumId w:val="21"/>
  </w:num>
  <w:num w:numId="31">
    <w:abstractNumId w:val="4"/>
  </w:num>
  <w:num w:numId="32">
    <w:abstractNumId w:val="32"/>
  </w:num>
  <w:num w:numId="33">
    <w:abstractNumId w:val="5"/>
  </w:num>
  <w:num w:numId="34">
    <w:abstractNumId w:val="23"/>
  </w:num>
  <w:num w:numId="35">
    <w:abstractNumId w:val="39"/>
  </w:num>
  <w:num w:numId="36">
    <w:abstractNumId w:val="10"/>
  </w:num>
  <w:num w:numId="37">
    <w:abstractNumId w:val="16"/>
  </w:num>
  <w:num w:numId="38">
    <w:abstractNumId w:val="38"/>
  </w:num>
  <w:num w:numId="39">
    <w:abstractNumId w:val="22"/>
  </w:num>
  <w:num w:numId="40">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9D8"/>
    <w:rsid w:val="0000028C"/>
    <w:rsid w:val="00002993"/>
    <w:rsid w:val="00004354"/>
    <w:rsid w:val="00011481"/>
    <w:rsid w:val="000140FA"/>
    <w:rsid w:val="00015267"/>
    <w:rsid w:val="000160CB"/>
    <w:rsid w:val="00016A35"/>
    <w:rsid w:val="000202D3"/>
    <w:rsid w:val="000206B8"/>
    <w:rsid w:val="00020A75"/>
    <w:rsid w:val="000242BA"/>
    <w:rsid w:val="00024AB5"/>
    <w:rsid w:val="00025BB3"/>
    <w:rsid w:val="00026625"/>
    <w:rsid w:val="000269CD"/>
    <w:rsid w:val="00030C1C"/>
    <w:rsid w:val="00032863"/>
    <w:rsid w:val="00033FB2"/>
    <w:rsid w:val="00035672"/>
    <w:rsid w:val="00035CA0"/>
    <w:rsid w:val="0004059B"/>
    <w:rsid w:val="00041C76"/>
    <w:rsid w:val="00044195"/>
    <w:rsid w:val="000471B3"/>
    <w:rsid w:val="000471E8"/>
    <w:rsid w:val="00050FDE"/>
    <w:rsid w:val="0005102E"/>
    <w:rsid w:val="00053DAC"/>
    <w:rsid w:val="00056567"/>
    <w:rsid w:val="00056EF7"/>
    <w:rsid w:val="000571E3"/>
    <w:rsid w:val="000574DD"/>
    <w:rsid w:val="00062058"/>
    <w:rsid w:val="000652E0"/>
    <w:rsid w:val="00067EFF"/>
    <w:rsid w:val="000705E2"/>
    <w:rsid w:val="0007310C"/>
    <w:rsid w:val="00074701"/>
    <w:rsid w:val="00077333"/>
    <w:rsid w:val="00082DC7"/>
    <w:rsid w:val="000931F4"/>
    <w:rsid w:val="000944CB"/>
    <w:rsid w:val="000954A4"/>
    <w:rsid w:val="00095687"/>
    <w:rsid w:val="00095BAD"/>
    <w:rsid w:val="000A21A7"/>
    <w:rsid w:val="000A35FF"/>
    <w:rsid w:val="000A58D6"/>
    <w:rsid w:val="000A5D69"/>
    <w:rsid w:val="000A7862"/>
    <w:rsid w:val="000B1164"/>
    <w:rsid w:val="000B270D"/>
    <w:rsid w:val="000B27F2"/>
    <w:rsid w:val="000B32AE"/>
    <w:rsid w:val="000B32C1"/>
    <w:rsid w:val="000B44A6"/>
    <w:rsid w:val="000B5431"/>
    <w:rsid w:val="000B5C46"/>
    <w:rsid w:val="000B65E9"/>
    <w:rsid w:val="000C0518"/>
    <w:rsid w:val="000C6893"/>
    <w:rsid w:val="000C72C9"/>
    <w:rsid w:val="000D41FA"/>
    <w:rsid w:val="000D4242"/>
    <w:rsid w:val="000D6100"/>
    <w:rsid w:val="000D625A"/>
    <w:rsid w:val="000E112A"/>
    <w:rsid w:val="000E278E"/>
    <w:rsid w:val="000E3C35"/>
    <w:rsid w:val="000E49A0"/>
    <w:rsid w:val="000E548E"/>
    <w:rsid w:val="000E5852"/>
    <w:rsid w:val="000E5E38"/>
    <w:rsid w:val="000E5F62"/>
    <w:rsid w:val="000E6CF9"/>
    <w:rsid w:val="000E7E15"/>
    <w:rsid w:val="000F3220"/>
    <w:rsid w:val="000F7E6D"/>
    <w:rsid w:val="00102282"/>
    <w:rsid w:val="001049B6"/>
    <w:rsid w:val="001071E0"/>
    <w:rsid w:val="001077E7"/>
    <w:rsid w:val="001110A9"/>
    <w:rsid w:val="0012034B"/>
    <w:rsid w:val="00122627"/>
    <w:rsid w:val="00122D28"/>
    <w:rsid w:val="00123C4B"/>
    <w:rsid w:val="00123F8F"/>
    <w:rsid w:val="001264B1"/>
    <w:rsid w:val="00126BCD"/>
    <w:rsid w:val="00127E04"/>
    <w:rsid w:val="001306C4"/>
    <w:rsid w:val="00130BF0"/>
    <w:rsid w:val="00137DC8"/>
    <w:rsid w:val="0014210E"/>
    <w:rsid w:val="00143E8B"/>
    <w:rsid w:val="001444E7"/>
    <w:rsid w:val="0014463F"/>
    <w:rsid w:val="001476E8"/>
    <w:rsid w:val="001539F1"/>
    <w:rsid w:val="001600B3"/>
    <w:rsid w:val="00160755"/>
    <w:rsid w:val="00160E85"/>
    <w:rsid w:val="0016186E"/>
    <w:rsid w:val="0016237C"/>
    <w:rsid w:val="00162A96"/>
    <w:rsid w:val="001635AD"/>
    <w:rsid w:val="00163C21"/>
    <w:rsid w:val="00167CED"/>
    <w:rsid w:val="00170316"/>
    <w:rsid w:val="00170F04"/>
    <w:rsid w:val="00171416"/>
    <w:rsid w:val="00171D07"/>
    <w:rsid w:val="001724B9"/>
    <w:rsid w:val="001729E6"/>
    <w:rsid w:val="00174B56"/>
    <w:rsid w:val="001762D6"/>
    <w:rsid w:val="00180C0C"/>
    <w:rsid w:val="00181139"/>
    <w:rsid w:val="001820FD"/>
    <w:rsid w:val="00182840"/>
    <w:rsid w:val="001856C3"/>
    <w:rsid w:val="00186725"/>
    <w:rsid w:val="0018677B"/>
    <w:rsid w:val="001912EA"/>
    <w:rsid w:val="001913A3"/>
    <w:rsid w:val="001A6C1A"/>
    <w:rsid w:val="001B1AB4"/>
    <w:rsid w:val="001B1D18"/>
    <w:rsid w:val="001B6C2E"/>
    <w:rsid w:val="001B75DE"/>
    <w:rsid w:val="001B7BEC"/>
    <w:rsid w:val="001C4CD7"/>
    <w:rsid w:val="001C5ADE"/>
    <w:rsid w:val="001D047B"/>
    <w:rsid w:val="001D05A9"/>
    <w:rsid w:val="001D20B0"/>
    <w:rsid w:val="001D23D1"/>
    <w:rsid w:val="001D2AEF"/>
    <w:rsid w:val="001D2B09"/>
    <w:rsid w:val="001D430A"/>
    <w:rsid w:val="001D43BB"/>
    <w:rsid w:val="001D46EF"/>
    <w:rsid w:val="001E07D0"/>
    <w:rsid w:val="001E2A8C"/>
    <w:rsid w:val="001E2AE3"/>
    <w:rsid w:val="001E72DB"/>
    <w:rsid w:val="001E7349"/>
    <w:rsid w:val="001F1A51"/>
    <w:rsid w:val="001F46FD"/>
    <w:rsid w:val="001F4DDB"/>
    <w:rsid w:val="001F629D"/>
    <w:rsid w:val="001F7863"/>
    <w:rsid w:val="001F7DDD"/>
    <w:rsid w:val="00200E4E"/>
    <w:rsid w:val="00202A58"/>
    <w:rsid w:val="00202CC6"/>
    <w:rsid w:val="00202D3D"/>
    <w:rsid w:val="00210A2E"/>
    <w:rsid w:val="0021532F"/>
    <w:rsid w:val="00216D6B"/>
    <w:rsid w:val="00220182"/>
    <w:rsid w:val="00220922"/>
    <w:rsid w:val="002216E3"/>
    <w:rsid w:val="00224C6F"/>
    <w:rsid w:val="002264BB"/>
    <w:rsid w:val="00226FF5"/>
    <w:rsid w:val="002279DF"/>
    <w:rsid w:val="00227C41"/>
    <w:rsid w:val="00232018"/>
    <w:rsid w:val="00232AEA"/>
    <w:rsid w:val="00233343"/>
    <w:rsid w:val="00234E3D"/>
    <w:rsid w:val="00236FB6"/>
    <w:rsid w:val="00240270"/>
    <w:rsid w:val="00242B32"/>
    <w:rsid w:val="00242E3C"/>
    <w:rsid w:val="00242FB7"/>
    <w:rsid w:val="00244B00"/>
    <w:rsid w:val="002507CC"/>
    <w:rsid w:val="00251A96"/>
    <w:rsid w:val="0025269D"/>
    <w:rsid w:val="002608D3"/>
    <w:rsid w:val="00263CB9"/>
    <w:rsid w:val="00264C59"/>
    <w:rsid w:val="00267740"/>
    <w:rsid w:val="00270982"/>
    <w:rsid w:val="00272594"/>
    <w:rsid w:val="002725B0"/>
    <w:rsid w:val="00272FAB"/>
    <w:rsid w:val="002735A3"/>
    <w:rsid w:val="0027532C"/>
    <w:rsid w:val="002776E3"/>
    <w:rsid w:val="00277CD7"/>
    <w:rsid w:val="0028195C"/>
    <w:rsid w:val="00281E1F"/>
    <w:rsid w:val="00286770"/>
    <w:rsid w:val="00287525"/>
    <w:rsid w:val="00291EE1"/>
    <w:rsid w:val="00297719"/>
    <w:rsid w:val="00297CB5"/>
    <w:rsid w:val="002A2B5F"/>
    <w:rsid w:val="002A35E7"/>
    <w:rsid w:val="002A371F"/>
    <w:rsid w:val="002A3ED7"/>
    <w:rsid w:val="002A4E23"/>
    <w:rsid w:val="002A7AE1"/>
    <w:rsid w:val="002B1EE6"/>
    <w:rsid w:val="002B2EDB"/>
    <w:rsid w:val="002B388B"/>
    <w:rsid w:val="002B41BA"/>
    <w:rsid w:val="002B5798"/>
    <w:rsid w:val="002B78D1"/>
    <w:rsid w:val="002C10FA"/>
    <w:rsid w:val="002C1C78"/>
    <w:rsid w:val="002C302F"/>
    <w:rsid w:val="002C4E98"/>
    <w:rsid w:val="002C788D"/>
    <w:rsid w:val="002D0B8E"/>
    <w:rsid w:val="002D0BDE"/>
    <w:rsid w:val="002D1D91"/>
    <w:rsid w:val="002D2AB3"/>
    <w:rsid w:val="002D4403"/>
    <w:rsid w:val="002D6A08"/>
    <w:rsid w:val="002D729C"/>
    <w:rsid w:val="002E131B"/>
    <w:rsid w:val="002E2FBD"/>
    <w:rsid w:val="002E5B0D"/>
    <w:rsid w:val="002F0883"/>
    <w:rsid w:val="002F13DB"/>
    <w:rsid w:val="002F2346"/>
    <w:rsid w:val="002F7D0E"/>
    <w:rsid w:val="003029FF"/>
    <w:rsid w:val="00302E12"/>
    <w:rsid w:val="003034C0"/>
    <w:rsid w:val="00303E59"/>
    <w:rsid w:val="00303FD1"/>
    <w:rsid w:val="003107E3"/>
    <w:rsid w:val="00310A3B"/>
    <w:rsid w:val="00310BC0"/>
    <w:rsid w:val="00312841"/>
    <w:rsid w:val="00314ABD"/>
    <w:rsid w:val="00315397"/>
    <w:rsid w:val="00320B32"/>
    <w:rsid w:val="00320E82"/>
    <w:rsid w:val="00321CEC"/>
    <w:rsid w:val="00326AB0"/>
    <w:rsid w:val="00326B2E"/>
    <w:rsid w:val="00327818"/>
    <w:rsid w:val="00330EB7"/>
    <w:rsid w:val="00331CE3"/>
    <w:rsid w:val="00332784"/>
    <w:rsid w:val="0033281A"/>
    <w:rsid w:val="0033476B"/>
    <w:rsid w:val="0033548C"/>
    <w:rsid w:val="003357EB"/>
    <w:rsid w:val="00340868"/>
    <w:rsid w:val="003411F7"/>
    <w:rsid w:val="00345C4D"/>
    <w:rsid w:val="00346E29"/>
    <w:rsid w:val="003476CA"/>
    <w:rsid w:val="00347E5C"/>
    <w:rsid w:val="00354A47"/>
    <w:rsid w:val="003619C3"/>
    <w:rsid w:val="003619CD"/>
    <w:rsid w:val="00362EFA"/>
    <w:rsid w:val="00364566"/>
    <w:rsid w:val="00366B08"/>
    <w:rsid w:val="00366D4C"/>
    <w:rsid w:val="003670B4"/>
    <w:rsid w:val="003670BF"/>
    <w:rsid w:val="00367FC7"/>
    <w:rsid w:val="0037240C"/>
    <w:rsid w:val="003806AB"/>
    <w:rsid w:val="003814EA"/>
    <w:rsid w:val="0038199C"/>
    <w:rsid w:val="003829CA"/>
    <w:rsid w:val="00383976"/>
    <w:rsid w:val="00385DA0"/>
    <w:rsid w:val="00386759"/>
    <w:rsid w:val="00387522"/>
    <w:rsid w:val="00392C67"/>
    <w:rsid w:val="0039377F"/>
    <w:rsid w:val="00393933"/>
    <w:rsid w:val="00394BDE"/>
    <w:rsid w:val="0039758E"/>
    <w:rsid w:val="00397A7E"/>
    <w:rsid w:val="003A05B0"/>
    <w:rsid w:val="003A0C78"/>
    <w:rsid w:val="003A109B"/>
    <w:rsid w:val="003A18C1"/>
    <w:rsid w:val="003A1BCE"/>
    <w:rsid w:val="003A3A54"/>
    <w:rsid w:val="003A5929"/>
    <w:rsid w:val="003A5BB7"/>
    <w:rsid w:val="003A60C3"/>
    <w:rsid w:val="003B007B"/>
    <w:rsid w:val="003B056F"/>
    <w:rsid w:val="003B2069"/>
    <w:rsid w:val="003B3C01"/>
    <w:rsid w:val="003B4711"/>
    <w:rsid w:val="003C00FB"/>
    <w:rsid w:val="003C0930"/>
    <w:rsid w:val="003C1699"/>
    <w:rsid w:val="003C1F8F"/>
    <w:rsid w:val="003C2614"/>
    <w:rsid w:val="003C5F34"/>
    <w:rsid w:val="003C67C5"/>
    <w:rsid w:val="003D2228"/>
    <w:rsid w:val="003D4D8C"/>
    <w:rsid w:val="003D52E5"/>
    <w:rsid w:val="003D6032"/>
    <w:rsid w:val="003D6544"/>
    <w:rsid w:val="003D6C09"/>
    <w:rsid w:val="003D6E67"/>
    <w:rsid w:val="003D6F1C"/>
    <w:rsid w:val="003E1289"/>
    <w:rsid w:val="003E3670"/>
    <w:rsid w:val="003E6993"/>
    <w:rsid w:val="003F26DF"/>
    <w:rsid w:val="003F48AE"/>
    <w:rsid w:val="003F54AF"/>
    <w:rsid w:val="003F750C"/>
    <w:rsid w:val="003F7C94"/>
    <w:rsid w:val="0040100E"/>
    <w:rsid w:val="00401711"/>
    <w:rsid w:val="004035AB"/>
    <w:rsid w:val="004040C6"/>
    <w:rsid w:val="00404D7B"/>
    <w:rsid w:val="0040748D"/>
    <w:rsid w:val="00407830"/>
    <w:rsid w:val="004103BA"/>
    <w:rsid w:val="00412178"/>
    <w:rsid w:val="004125A1"/>
    <w:rsid w:val="0041337A"/>
    <w:rsid w:val="00416B3A"/>
    <w:rsid w:val="0041755D"/>
    <w:rsid w:val="00417607"/>
    <w:rsid w:val="00421865"/>
    <w:rsid w:val="00422ABD"/>
    <w:rsid w:val="004242B7"/>
    <w:rsid w:val="004245C4"/>
    <w:rsid w:val="00425EA8"/>
    <w:rsid w:val="004313FD"/>
    <w:rsid w:val="00433258"/>
    <w:rsid w:val="0043404B"/>
    <w:rsid w:val="00436117"/>
    <w:rsid w:val="004416D1"/>
    <w:rsid w:val="0044188E"/>
    <w:rsid w:val="00444E51"/>
    <w:rsid w:val="00452FA4"/>
    <w:rsid w:val="0045667D"/>
    <w:rsid w:val="004607C3"/>
    <w:rsid w:val="00461D85"/>
    <w:rsid w:val="004627E3"/>
    <w:rsid w:val="0046427C"/>
    <w:rsid w:val="00464353"/>
    <w:rsid w:val="00465039"/>
    <w:rsid w:val="00467B91"/>
    <w:rsid w:val="00470EFF"/>
    <w:rsid w:val="0047439D"/>
    <w:rsid w:val="00474F26"/>
    <w:rsid w:val="004756D6"/>
    <w:rsid w:val="0047764B"/>
    <w:rsid w:val="00480EE8"/>
    <w:rsid w:val="004816DA"/>
    <w:rsid w:val="00486024"/>
    <w:rsid w:val="00495057"/>
    <w:rsid w:val="00495A37"/>
    <w:rsid w:val="00497983"/>
    <w:rsid w:val="004A0798"/>
    <w:rsid w:val="004A081A"/>
    <w:rsid w:val="004A216E"/>
    <w:rsid w:val="004A2259"/>
    <w:rsid w:val="004A5A0A"/>
    <w:rsid w:val="004A771D"/>
    <w:rsid w:val="004A7CEF"/>
    <w:rsid w:val="004B1390"/>
    <w:rsid w:val="004B31D8"/>
    <w:rsid w:val="004B53AC"/>
    <w:rsid w:val="004B65D3"/>
    <w:rsid w:val="004C055A"/>
    <w:rsid w:val="004C111A"/>
    <w:rsid w:val="004C18DD"/>
    <w:rsid w:val="004C5851"/>
    <w:rsid w:val="004C588D"/>
    <w:rsid w:val="004D19EE"/>
    <w:rsid w:val="004D350D"/>
    <w:rsid w:val="004D3B5E"/>
    <w:rsid w:val="004D3DEA"/>
    <w:rsid w:val="004D42BC"/>
    <w:rsid w:val="004D4F02"/>
    <w:rsid w:val="004D61D0"/>
    <w:rsid w:val="004D68FF"/>
    <w:rsid w:val="004D754B"/>
    <w:rsid w:val="004D7EEB"/>
    <w:rsid w:val="004E0898"/>
    <w:rsid w:val="004E0E3B"/>
    <w:rsid w:val="004E3D54"/>
    <w:rsid w:val="004E41AF"/>
    <w:rsid w:val="004E4EB2"/>
    <w:rsid w:val="004E5FD1"/>
    <w:rsid w:val="004E6D16"/>
    <w:rsid w:val="004F1A12"/>
    <w:rsid w:val="004F3DD0"/>
    <w:rsid w:val="004F4022"/>
    <w:rsid w:val="004F4BB4"/>
    <w:rsid w:val="004F68A5"/>
    <w:rsid w:val="00504E5F"/>
    <w:rsid w:val="00506223"/>
    <w:rsid w:val="005119EF"/>
    <w:rsid w:val="00511E8A"/>
    <w:rsid w:val="00521085"/>
    <w:rsid w:val="005231B1"/>
    <w:rsid w:val="00523AF1"/>
    <w:rsid w:val="00525D5A"/>
    <w:rsid w:val="00526673"/>
    <w:rsid w:val="00526EA2"/>
    <w:rsid w:val="00527632"/>
    <w:rsid w:val="0053062F"/>
    <w:rsid w:val="0053156E"/>
    <w:rsid w:val="005333A4"/>
    <w:rsid w:val="00536150"/>
    <w:rsid w:val="00536AE7"/>
    <w:rsid w:val="00540365"/>
    <w:rsid w:val="0054295F"/>
    <w:rsid w:val="005462EC"/>
    <w:rsid w:val="00546682"/>
    <w:rsid w:val="00546E8A"/>
    <w:rsid w:val="005529D7"/>
    <w:rsid w:val="00553830"/>
    <w:rsid w:val="00553D72"/>
    <w:rsid w:val="0055486D"/>
    <w:rsid w:val="00554D72"/>
    <w:rsid w:val="00554F28"/>
    <w:rsid w:val="0055559B"/>
    <w:rsid w:val="005601CE"/>
    <w:rsid w:val="00560241"/>
    <w:rsid w:val="005606C1"/>
    <w:rsid w:val="0056369A"/>
    <w:rsid w:val="0056375E"/>
    <w:rsid w:val="0056757B"/>
    <w:rsid w:val="00571519"/>
    <w:rsid w:val="00571775"/>
    <w:rsid w:val="00577A34"/>
    <w:rsid w:val="005811EA"/>
    <w:rsid w:val="00581535"/>
    <w:rsid w:val="00581640"/>
    <w:rsid w:val="005829D5"/>
    <w:rsid w:val="005843F1"/>
    <w:rsid w:val="005864A0"/>
    <w:rsid w:val="00593E07"/>
    <w:rsid w:val="00594CF2"/>
    <w:rsid w:val="00594F3F"/>
    <w:rsid w:val="00596A4A"/>
    <w:rsid w:val="005A3939"/>
    <w:rsid w:val="005A5F34"/>
    <w:rsid w:val="005B0C0E"/>
    <w:rsid w:val="005B1D03"/>
    <w:rsid w:val="005B3955"/>
    <w:rsid w:val="005B437F"/>
    <w:rsid w:val="005B4C0E"/>
    <w:rsid w:val="005B4CAE"/>
    <w:rsid w:val="005B799F"/>
    <w:rsid w:val="005C1787"/>
    <w:rsid w:val="005C44D2"/>
    <w:rsid w:val="005C662A"/>
    <w:rsid w:val="005D33AF"/>
    <w:rsid w:val="005D3613"/>
    <w:rsid w:val="005D454A"/>
    <w:rsid w:val="005D7322"/>
    <w:rsid w:val="005D7E0B"/>
    <w:rsid w:val="005E0C81"/>
    <w:rsid w:val="005E132E"/>
    <w:rsid w:val="005E29F1"/>
    <w:rsid w:val="005E4FC6"/>
    <w:rsid w:val="005F0C7D"/>
    <w:rsid w:val="005F335B"/>
    <w:rsid w:val="005F78BB"/>
    <w:rsid w:val="00600917"/>
    <w:rsid w:val="00603EB2"/>
    <w:rsid w:val="0061069D"/>
    <w:rsid w:val="00613AC5"/>
    <w:rsid w:val="00613C46"/>
    <w:rsid w:val="0062368A"/>
    <w:rsid w:val="00624666"/>
    <w:rsid w:val="006268A8"/>
    <w:rsid w:val="00630925"/>
    <w:rsid w:val="00631288"/>
    <w:rsid w:val="00633F20"/>
    <w:rsid w:val="00634B37"/>
    <w:rsid w:val="00634FFC"/>
    <w:rsid w:val="00636ECF"/>
    <w:rsid w:val="00642B88"/>
    <w:rsid w:val="00647F3B"/>
    <w:rsid w:val="006512FC"/>
    <w:rsid w:val="006519D0"/>
    <w:rsid w:val="00653A13"/>
    <w:rsid w:val="0065442E"/>
    <w:rsid w:val="00654B2A"/>
    <w:rsid w:val="0065506D"/>
    <w:rsid w:val="0066074C"/>
    <w:rsid w:val="00660FC1"/>
    <w:rsid w:val="006615EF"/>
    <w:rsid w:val="0066254E"/>
    <w:rsid w:val="00662BD6"/>
    <w:rsid w:val="00664927"/>
    <w:rsid w:val="00670D30"/>
    <w:rsid w:val="00673638"/>
    <w:rsid w:val="00677D9E"/>
    <w:rsid w:val="00680DFC"/>
    <w:rsid w:val="00681D26"/>
    <w:rsid w:val="0068272A"/>
    <w:rsid w:val="00683C23"/>
    <w:rsid w:val="006845C5"/>
    <w:rsid w:val="006847FD"/>
    <w:rsid w:val="0068615B"/>
    <w:rsid w:val="006861A3"/>
    <w:rsid w:val="00694B46"/>
    <w:rsid w:val="006957F5"/>
    <w:rsid w:val="006960AE"/>
    <w:rsid w:val="00696BE6"/>
    <w:rsid w:val="006A5D65"/>
    <w:rsid w:val="006A6291"/>
    <w:rsid w:val="006B0FF3"/>
    <w:rsid w:val="006B120A"/>
    <w:rsid w:val="006B4C3D"/>
    <w:rsid w:val="006B524D"/>
    <w:rsid w:val="006B5C26"/>
    <w:rsid w:val="006C2720"/>
    <w:rsid w:val="006C49A5"/>
    <w:rsid w:val="006D076A"/>
    <w:rsid w:val="006D1A32"/>
    <w:rsid w:val="006D1B30"/>
    <w:rsid w:val="006D37F6"/>
    <w:rsid w:val="006D5A24"/>
    <w:rsid w:val="006D690A"/>
    <w:rsid w:val="006D7326"/>
    <w:rsid w:val="006E010E"/>
    <w:rsid w:val="006E1EB8"/>
    <w:rsid w:val="006E425D"/>
    <w:rsid w:val="006E4899"/>
    <w:rsid w:val="006E4D13"/>
    <w:rsid w:val="006E5228"/>
    <w:rsid w:val="006E66B9"/>
    <w:rsid w:val="006E7393"/>
    <w:rsid w:val="006F1D5F"/>
    <w:rsid w:val="006F5334"/>
    <w:rsid w:val="00702EA8"/>
    <w:rsid w:val="00704D86"/>
    <w:rsid w:val="00705BD3"/>
    <w:rsid w:val="00706C05"/>
    <w:rsid w:val="00712CB1"/>
    <w:rsid w:val="00714026"/>
    <w:rsid w:val="00715A73"/>
    <w:rsid w:val="00716BBC"/>
    <w:rsid w:val="00720A2F"/>
    <w:rsid w:val="00725747"/>
    <w:rsid w:val="007268D1"/>
    <w:rsid w:val="00730484"/>
    <w:rsid w:val="00736177"/>
    <w:rsid w:val="0073740B"/>
    <w:rsid w:val="00737DD5"/>
    <w:rsid w:val="00740753"/>
    <w:rsid w:val="00740C5D"/>
    <w:rsid w:val="00741ECA"/>
    <w:rsid w:val="00743824"/>
    <w:rsid w:val="007460E6"/>
    <w:rsid w:val="00746B3B"/>
    <w:rsid w:val="00751988"/>
    <w:rsid w:val="0075633B"/>
    <w:rsid w:val="0076410D"/>
    <w:rsid w:val="0077052E"/>
    <w:rsid w:val="00774044"/>
    <w:rsid w:val="00776362"/>
    <w:rsid w:val="007802C9"/>
    <w:rsid w:val="00782787"/>
    <w:rsid w:val="00783A3A"/>
    <w:rsid w:val="00786823"/>
    <w:rsid w:val="00786C16"/>
    <w:rsid w:val="007870EA"/>
    <w:rsid w:val="00794006"/>
    <w:rsid w:val="007944D1"/>
    <w:rsid w:val="00794DC2"/>
    <w:rsid w:val="00796A5C"/>
    <w:rsid w:val="00797113"/>
    <w:rsid w:val="007A054B"/>
    <w:rsid w:val="007A23F6"/>
    <w:rsid w:val="007A3ACE"/>
    <w:rsid w:val="007A582E"/>
    <w:rsid w:val="007A7114"/>
    <w:rsid w:val="007B1948"/>
    <w:rsid w:val="007B1F7B"/>
    <w:rsid w:val="007B1FDD"/>
    <w:rsid w:val="007B3AAE"/>
    <w:rsid w:val="007B6F29"/>
    <w:rsid w:val="007B7BE3"/>
    <w:rsid w:val="007C0FA0"/>
    <w:rsid w:val="007C1484"/>
    <w:rsid w:val="007C27FD"/>
    <w:rsid w:val="007C43B9"/>
    <w:rsid w:val="007C4C7A"/>
    <w:rsid w:val="007C4DFB"/>
    <w:rsid w:val="007C5287"/>
    <w:rsid w:val="007C611F"/>
    <w:rsid w:val="007C68BC"/>
    <w:rsid w:val="007D2D08"/>
    <w:rsid w:val="007D7531"/>
    <w:rsid w:val="007E1050"/>
    <w:rsid w:val="007F1AE6"/>
    <w:rsid w:val="007F1BDF"/>
    <w:rsid w:val="007F5EF4"/>
    <w:rsid w:val="007F7DEA"/>
    <w:rsid w:val="00800E3A"/>
    <w:rsid w:val="008015F4"/>
    <w:rsid w:val="00803125"/>
    <w:rsid w:val="00807BBB"/>
    <w:rsid w:val="00810629"/>
    <w:rsid w:val="00812831"/>
    <w:rsid w:val="00813582"/>
    <w:rsid w:val="00814070"/>
    <w:rsid w:val="0081454B"/>
    <w:rsid w:val="00814A6B"/>
    <w:rsid w:val="00816959"/>
    <w:rsid w:val="008204C7"/>
    <w:rsid w:val="0082189F"/>
    <w:rsid w:val="00822683"/>
    <w:rsid w:val="00822B1F"/>
    <w:rsid w:val="0082317A"/>
    <w:rsid w:val="00823183"/>
    <w:rsid w:val="00826598"/>
    <w:rsid w:val="008331B1"/>
    <w:rsid w:val="00833FA2"/>
    <w:rsid w:val="00834DAE"/>
    <w:rsid w:val="00835050"/>
    <w:rsid w:val="0083786B"/>
    <w:rsid w:val="00840253"/>
    <w:rsid w:val="008413EE"/>
    <w:rsid w:val="0084275E"/>
    <w:rsid w:val="0084375C"/>
    <w:rsid w:val="008465DA"/>
    <w:rsid w:val="00850519"/>
    <w:rsid w:val="008539D8"/>
    <w:rsid w:val="00853D5E"/>
    <w:rsid w:val="00863A42"/>
    <w:rsid w:val="00867D7F"/>
    <w:rsid w:val="0088109D"/>
    <w:rsid w:val="008833F4"/>
    <w:rsid w:val="008853A2"/>
    <w:rsid w:val="00885AC6"/>
    <w:rsid w:val="00886BC6"/>
    <w:rsid w:val="008906AE"/>
    <w:rsid w:val="00893B70"/>
    <w:rsid w:val="00893E13"/>
    <w:rsid w:val="0089602B"/>
    <w:rsid w:val="0089713C"/>
    <w:rsid w:val="008A01B6"/>
    <w:rsid w:val="008A3669"/>
    <w:rsid w:val="008A415B"/>
    <w:rsid w:val="008A6153"/>
    <w:rsid w:val="008A7FFE"/>
    <w:rsid w:val="008B1FED"/>
    <w:rsid w:val="008B3310"/>
    <w:rsid w:val="008B6877"/>
    <w:rsid w:val="008C012B"/>
    <w:rsid w:val="008C0E77"/>
    <w:rsid w:val="008C2923"/>
    <w:rsid w:val="008C2D8C"/>
    <w:rsid w:val="008C2EAF"/>
    <w:rsid w:val="008C34DA"/>
    <w:rsid w:val="008C389B"/>
    <w:rsid w:val="008C4642"/>
    <w:rsid w:val="008C53AF"/>
    <w:rsid w:val="008C71C2"/>
    <w:rsid w:val="008C71F0"/>
    <w:rsid w:val="008D01EE"/>
    <w:rsid w:val="008D1953"/>
    <w:rsid w:val="008D339A"/>
    <w:rsid w:val="008D39D9"/>
    <w:rsid w:val="008D3FE8"/>
    <w:rsid w:val="008D4121"/>
    <w:rsid w:val="008D425C"/>
    <w:rsid w:val="008D5E91"/>
    <w:rsid w:val="008D5ED0"/>
    <w:rsid w:val="008D796A"/>
    <w:rsid w:val="008E549E"/>
    <w:rsid w:val="008F11BB"/>
    <w:rsid w:val="008F26D5"/>
    <w:rsid w:val="008F35C8"/>
    <w:rsid w:val="008F6454"/>
    <w:rsid w:val="0090134D"/>
    <w:rsid w:val="00902BEF"/>
    <w:rsid w:val="00903188"/>
    <w:rsid w:val="00904124"/>
    <w:rsid w:val="00905A4C"/>
    <w:rsid w:val="00906B9C"/>
    <w:rsid w:val="009077D8"/>
    <w:rsid w:val="009079D6"/>
    <w:rsid w:val="00907BF5"/>
    <w:rsid w:val="009112B3"/>
    <w:rsid w:val="00913018"/>
    <w:rsid w:val="009164E3"/>
    <w:rsid w:val="009241DB"/>
    <w:rsid w:val="00924559"/>
    <w:rsid w:val="009249AE"/>
    <w:rsid w:val="00924B9B"/>
    <w:rsid w:val="00926120"/>
    <w:rsid w:val="0092612C"/>
    <w:rsid w:val="00931CDA"/>
    <w:rsid w:val="00937DB8"/>
    <w:rsid w:val="00940CFD"/>
    <w:rsid w:val="009439C2"/>
    <w:rsid w:val="00944D39"/>
    <w:rsid w:val="00945A38"/>
    <w:rsid w:val="00945F61"/>
    <w:rsid w:val="0094697F"/>
    <w:rsid w:val="009516C6"/>
    <w:rsid w:val="00951BAB"/>
    <w:rsid w:val="00956204"/>
    <w:rsid w:val="0095785C"/>
    <w:rsid w:val="00957BE4"/>
    <w:rsid w:val="00957C09"/>
    <w:rsid w:val="0096298A"/>
    <w:rsid w:val="00963951"/>
    <w:rsid w:val="0096728B"/>
    <w:rsid w:val="009731B0"/>
    <w:rsid w:val="00974517"/>
    <w:rsid w:val="00974992"/>
    <w:rsid w:val="00974E7A"/>
    <w:rsid w:val="00975F1C"/>
    <w:rsid w:val="00976C6B"/>
    <w:rsid w:val="00977B06"/>
    <w:rsid w:val="0098123B"/>
    <w:rsid w:val="00981B5A"/>
    <w:rsid w:val="00983043"/>
    <w:rsid w:val="00984723"/>
    <w:rsid w:val="00984E0D"/>
    <w:rsid w:val="009852A7"/>
    <w:rsid w:val="00990773"/>
    <w:rsid w:val="00991568"/>
    <w:rsid w:val="00992E3B"/>
    <w:rsid w:val="00993BFD"/>
    <w:rsid w:val="0099520D"/>
    <w:rsid w:val="00995782"/>
    <w:rsid w:val="009A0EBF"/>
    <w:rsid w:val="009A17B1"/>
    <w:rsid w:val="009A23BC"/>
    <w:rsid w:val="009A2B50"/>
    <w:rsid w:val="009A3339"/>
    <w:rsid w:val="009A5077"/>
    <w:rsid w:val="009A535A"/>
    <w:rsid w:val="009A6CE4"/>
    <w:rsid w:val="009A7C8D"/>
    <w:rsid w:val="009B087A"/>
    <w:rsid w:val="009B2D6A"/>
    <w:rsid w:val="009B3D31"/>
    <w:rsid w:val="009B41BB"/>
    <w:rsid w:val="009C22CB"/>
    <w:rsid w:val="009C26B0"/>
    <w:rsid w:val="009C346D"/>
    <w:rsid w:val="009D11A5"/>
    <w:rsid w:val="009D1D44"/>
    <w:rsid w:val="009D2FC9"/>
    <w:rsid w:val="009D34AA"/>
    <w:rsid w:val="009E3431"/>
    <w:rsid w:val="009F079C"/>
    <w:rsid w:val="009F09E0"/>
    <w:rsid w:val="009F44BB"/>
    <w:rsid w:val="00A01D3F"/>
    <w:rsid w:val="00A02926"/>
    <w:rsid w:val="00A031FA"/>
    <w:rsid w:val="00A048E6"/>
    <w:rsid w:val="00A06DB3"/>
    <w:rsid w:val="00A11C1B"/>
    <w:rsid w:val="00A125EF"/>
    <w:rsid w:val="00A149D9"/>
    <w:rsid w:val="00A1507B"/>
    <w:rsid w:val="00A15591"/>
    <w:rsid w:val="00A164BC"/>
    <w:rsid w:val="00A217A0"/>
    <w:rsid w:val="00A267A3"/>
    <w:rsid w:val="00A311A5"/>
    <w:rsid w:val="00A32C25"/>
    <w:rsid w:val="00A42518"/>
    <w:rsid w:val="00A42925"/>
    <w:rsid w:val="00A45720"/>
    <w:rsid w:val="00A45A31"/>
    <w:rsid w:val="00A466B5"/>
    <w:rsid w:val="00A53F50"/>
    <w:rsid w:val="00A54686"/>
    <w:rsid w:val="00A558C0"/>
    <w:rsid w:val="00A55C88"/>
    <w:rsid w:val="00A571DB"/>
    <w:rsid w:val="00A57DB6"/>
    <w:rsid w:val="00A6352D"/>
    <w:rsid w:val="00A6410C"/>
    <w:rsid w:val="00A64B7B"/>
    <w:rsid w:val="00A6518E"/>
    <w:rsid w:val="00A67211"/>
    <w:rsid w:val="00A67325"/>
    <w:rsid w:val="00A70BCC"/>
    <w:rsid w:val="00A70E6B"/>
    <w:rsid w:val="00A7135C"/>
    <w:rsid w:val="00A7381F"/>
    <w:rsid w:val="00A74D8F"/>
    <w:rsid w:val="00A76788"/>
    <w:rsid w:val="00A804A6"/>
    <w:rsid w:val="00A81DAC"/>
    <w:rsid w:val="00A82A2F"/>
    <w:rsid w:val="00A8389C"/>
    <w:rsid w:val="00A8414C"/>
    <w:rsid w:val="00A84B16"/>
    <w:rsid w:val="00A919E2"/>
    <w:rsid w:val="00A91BFA"/>
    <w:rsid w:val="00A94331"/>
    <w:rsid w:val="00A97D0F"/>
    <w:rsid w:val="00AA1F1D"/>
    <w:rsid w:val="00AA2E53"/>
    <w:rsid w:val="00AA2E64"/>
    <w:rsid w:val="00AA5D71"/>
    <w:rsid w:val="00AA64BA"/>
    <w:rsid w:val="00AA6654"/>
    <w:rsid w:val="00AA6FAF"/>
    <w:rsid w:val="00AA7E69"/>
    <w:rsid w:val="00AB0773"/>
    <w:rsid w:val="00AB165E"/>
    <w:rsid w:val="00AB31F5"/>
    <w:rsid w:val="00AB6276"/>
    <w:rsid w:val="00AB676D"/>
    <w:rsid w:val="00AC012F"/>
    <w:rsid w:val="00AC2284"/>
    <w:rsid w:val="00AC5238"/>
    <w:rsid w:val="00AC7B8D"/>
    <w:rsid w:val="00AC7BEE"/>
    <w:rsid w:val="00AD03BC"/>
    <w:rsid w:val="00AD33E4"/>
    <w:rsid w:val="00AD60FE"/>
    <w:rsid w:val="00AE0055"/>
    <w:rsid w:val="00AE0808"/>
    <w:rsid w:val="00AE21F3"/>
    <w:rsid w:val="00AE2C3C"/>
    <w:rsid w:val="00AE5E9B"/>
    <w:rsid w:val="00AE5FF9"/>
    <w:rsid w:val="00AF100F"/>
    <w:rsid w:val="00AF10EF"/>
    <w:rsid w:val="00AF6AFB"/>
    <w:rsid w:val="00AF74ED"/>
    <w:rsid w:val="00AF76F6"/>
    <w:rsid w:val="00AF7B25"/>
    <w:rsid w:val="00B04382"/>
    <w:rsid w:val="00B05163"/>
    <w:rsid w:val="00B05E4D"/>
    <w:rsid w:val="00B07ED8"/>
    <w:rsid w:val="00B1313E"/>
    <w:rsid w:val="00B13B66"/>
    <w:rsid w:val="00B145F1"/>
    <w:rsid w:val="00B15D55"/>
    <w:rsid w:val="00B165AB"/>
    <w:rsid w:val="00B2000F"/>
    <w:rsid w:val="00B22539"/>
    <w:rsid w:val="00B23A3D"/>
    <w:rsid w:val="00B2522E"/>
    <w:rsid w:val="00B27573"/>
    <w:rsid w:val="00B311B0"/>
    <w:rsid w:val="00B314EA"/>
    <w:rsid w:val="00B32D67"/>
    <w:rsid w:val="00B36510"/>
    <w:rsid w:val="00B3713B"/>
    <w:rsid w:val="00B409C7"/>
    <w:rsid w:val="00B43E7B"/>
    <w:rsid w:val="00B44A9E"/>
    <w:rsid w:val="00B44D0F"/>
    <w:rsid w:val="00B457EA"/>
    <w:rsid w:val="00B45B3A"/>
    <w:rsid w:val="00B505B4"/>
    <w:rsid w:val="00B50DA5"/>
    <w:rsid w:val="00B51590"/>
    <w:rsid w:val="00B53149"/>
    <w:rsid w:val="00B53530"/>
    <w:rsid w:val="00B54C5F"/>
    <w:rsid w:val="00B560AC"/>
    <w:rsid w:val="00B5660A"/>
    <w:rsid w:val="00B57479"/>
    <w:rsid w:val="00B62988"/>
    <w:rsid w:val="00B632EB"/>
    <w:rsid w:val="00B66BEB"/>
    <w:rsid w:val="00B73416"/>
    <w:rsid w:val="00B741A6"/>
    <w:rsid w:val="00B74DAD"/>
    <w:rsid w:val="00B75D20"/>
    <w:rsid w:val="00B763F1"/>
    <w:rsid w:val="00B77998"/>
    <w:rsid w:val="00B77D32"/>
    <w:rsid w:val="00B8211B"/>
    <w:rsid w:val="00B8442C"/>
    <w:rsid w:val="00B851D7"/>
    <w:rsid w:val="00B87E50"/>
    <w:rsid w:val="00B9028D"/>
    <w:rsid w:val="00B91C2E"/>
    <w:rsid w:val="00B9274A"/>
    <w:rsid w:val="00B938F5"/>
    <w:rsid w:val="00B948C7"/>
    <w:rsid w:val="00B94BCB"/>
    <w:rsid w:val="00B94F7F"/>
    <w:rsid w:val="00B971CF"/>
    <w:rsid w:val="00BA262E"/>
    <w:rsid w:val="00BA3B5E"/>
    <w:rsid w:val="00BA496D"/>
    <w:rsid w:val="00BA4E5B"/>
    <w:rsid w:val="00BA5A2B"/>
    <w:rsid w:val="00BA5B56"/>
    <w:rsid w:val="00BB0ACA"/>
    <w:rsid w:val="00BB3BB6"/>
    <w:rsid w:val="00BB5DFF"/>
    <w:rsid w:val="00BB7B69"/>
    <w:rsid w:val="00BB7C06"/>
    <w:rsid w:val="00BB7EED"/>
    <w:rsid w:val="00BC094D"/>
    <w:rsid w:val="00BC65E4"/>
    <w:rsid w:val="00BC7CCD"/>
    <w:rsid w:val="00BD0406"/>
    <w:rsid w:val="00BD101A"/>
    <w:rsid w:val="00BD13BF"/>
    <w:rsid w:val="00BD1744"/>
    <w:rsid w:val="00BD4107"/>
    <w:rsid w:val="00BD415C"/>
    <w:rsid w:val="00BD4309"/>
    <w:rsid w:val="00BD5E51"/>
    <w:rsid w:val="00BE0A1F"/>
    <w:rsid w:val="00BE0F6C"/>
    <w:rsid w:val="00BE28B6"/>
    <w:rsid w:val="00BE3678"/>
    <w:rsid w:val="00BE37B6"/>
    <w:rsid w:val="00BE3F7C"/>
    <w:rsid w:val="00BF06C3"/>
    <w:rsid w:val="00BF21CB"/>
    <w:rsid w:val="00BF2327"/>
    <w:rsid w:val="00BF31E7"/>
    <w:rsid w:val="00BF7155"/>
    <w:rsid w:val="00C029BF"/>
    <w:rsid w:val="00C04FA1"/>
    <w:rsid w:val="00C0563A"/>
    <w:rsid w:val="00C0648D"/>
    <w:rsid w:val="00C06570"/>
    <w:rsid w:val="00C15669"/>
    <w:rsid w:val="00C15A79"/>
    <w:rsid w:val="00C20380"/>
    <w:rsid w:val="00C209E5"/>
    <w:rsid w:val="00C22B6F"/>
    <w:rsid w:val="00C23671"/>
    <w:rsid w:val="00C23765"/>
    <w:rsid w:val="00C23F39"/>
    <w:rsid w:val="00C23FE4"/>
    <w:rsid w:val="00C251ED"/>
    <w:rsid w:val="00C26100"/>
    <w:rsid w:val="00C30C1D"/>
    <w:rsid w:val="00C30FFD"/>
    <w:rsid w:val="00C31988"/>
    <w:rsid w:val="00C3535D"/>
    <w:rsid w:val="00C367FF"/>
    <w:rsid w:val="00C37539"/>
    <w:rsid w:val="00C377D8"/>
    <w:rsid w:val="00C4036B"/>
    <w:rsid w:val="00C409DF"/>
    <w:rsid w:val="00C40E4F"/>
    <w:rsid w:val="00C412A3"/>
    <w:rsid w:val="00C41B35"/>
    <w:rsid w:val="00C42F4D"/>
    <w:rsid w:val="00C43F42"/>
    <w:rsid w:val="00C46184"/>
    <w:rsid w:val="00C47481"/>
    <w:rsid w:val="00C47778"/>
    <w:rsid w:val="00C47D5B"/>
    <w:rsid w:val="00C5026C"/>
    <w:rsid w:val="00C50308"/>
    <w:rsid w:val="00C50E5E"/>
    <w:rsid w:val="00C557C9"/>
    <w:rsid w:val="00C55D6D"/>
    <w:rsid w:val="00C55F8E"/>
    <w:rsid w:val="00C562F0"/>
    <w:rsid w:val="00C576FC"/>
    <w:rsid w:val="00C57D05"/>
    <w:rsid w:val="00C63C9B"/>
    <w:rsid w:val="00C674C3"/>
    <w:rsid w:val="00C6793D"/>
    <w:rsid w:val="00C67FB2"/>
    <w:rsid w:val="00C70A68"/>
    <w:rsid w:val="00C738EF"/>
    <w:rsid w:val="00C744BD"/>
    <w:rsid w:val="00C74BBE"/>
    <w:rsid w:val="00C74EEA"/>
    <w:rsid w:val="00C8331A"/>
    <w:rsid w:val="00C84561"/>
    <w:rsid w:val="00C845C3"/>
    <w:rsid w:val="00C92A0A"/>
    <w:rsid w:val="00C930A2"/>
    <w:rsid w:val="00C953FE"/>
    <w:rsid w:val="00C9580C"/>
    <w:rsid w:val="00C96654"/>
    <w:rsid w:val="00CA11EE"/>
    <w:rsid w:val="00CA3692"/>
    <w:rsid w:val="00CA6871"/>
    <w:rsid w:val="00CA6940"/>
    <w:rsid w:val="00CA7C0A"/>
    <w:rsid w:val="00CB05A2"/>
    <w:rsid w:val="00CC01E8"/>
    <w:rsid w:val="00CC0678"/>
    <w:rsid w:val="00CC0A0F"/>
    <w:rsid w:val="00CC1CFB"/>
    <w:rsid w:val="00CC2A5F"/>
    <w:rsid w:val="00CC40D6"/>
    <w:rsid w:val="00CC6990"/>
    <w:rsid w:val="00CD01BE"/>
    <w:rsid w:val="00CD0597"/>
    <w:rsid w:val="00CD0FAD"/>
    <w:rsid w:val="00CD1512"/>
    <w:rsid w:val="00CD25FC"/>
    <w:rsid w:val="00CD3ECC"/>
    <w:rsid w:val="00CD4EC3"/>
    <w:rsid w:val="00CD5926"/>
    <w:rsid w:val="00CD5BEC"/>
    <w:rsid w:val="00CE0270"/>
    <w:rsid w:val="00CE12A3"/>
    <w:rsid w:val="00CE37F9"/>
    <w:rsid w:val="00CE3ADF"/>
    <w:rsid w:val="00CE4533"/>
    <w:rsid w:val="00CE5196"/>
    <w:rsid w:val="00CE5F6D"/>
    <w:rsid w:val="00CF2872"/>
    <w:rsid w:val="00CF330C"/>
    <w:rsid w:val="00CF3330"/>
    <w:rsid w:val="00CF3342"/>
    <w:rsid w:val="00CF6F0A"/>
    <w:rsid w:val="00D02666"/>
    <w:rsid w:val="00D06D5B"/>
    <w:rsid w:val="00D0724A"/>
    <w:rsid w:val="00D10186"/>
    <w:rsid w:val="00D115F1"/>
    <w:rsid w:val="00D14AF4"/>
    <w:rsid w:val="00D15EB6"/>
    <w:rsid w:val="00D16F4B"/>
    <w:rsid w:val="00D1709A"/>
    <w:rsid w:val="00D17B3B"/>
    <w:rsid w:val="00D216EF"/>
    <w:rsid w:val="00D21766"/>
    <w:rsid w:val="00D22D27"/>
    <w:rsid w:val="00D2349C"/>
    <w:rsid w:val="00D24CBE"/>
    <w:rsid w:val="00D25B2E"/>
    <w:rsid w:val="00D260A9"/>
    <w:rsid w:val="00D3019B"/>
    <w:rsid w:val="00D3204A"/>
    <w:rsid w:val="00D32400"/>
    <w:rsid w:val="00D37BC1"/>
    <w:rsid w:val="00D40C0A"/>
    <w:rsid w:val="00D4116E"/>
    <w:rsid w:val="00D42F72"/>
    <w:rsid w:val="00D4445E"/>
    <w:rsid w:val="00D44D4F"/>
    <w:rsid w:val="00D47E8D"/>
    <w:rsid w:val="00D51AFE"/>
    <w:rsid w:val="00D5250A"/>
    <w:rsid w:val="00D54FC4"/>
    <w:rsid w:val="00D5603A"/>
    <w:rsid w:val="00D600FE"/>
    <w:rsid w:val="00D63564"/>
    <w:rsid w:val="00D65176"/>
    <w:rsid w:val="00D65C03"/>
    <w:rsid w:val="00D6698B"/>
    <w:rsid w:val="00D66DBC"/>
    <w:rsid w:val="00D75370"/>
    <w:rsid w:val="00D77CA4"/>
    <w:rsid w:val="00D82C1B"/>
    <w:rsid w:val="00D82D9E"/>
    <w:rsid w:val="00D83403"/>
    <w:rsid w:val="00D90508"/>
    <w:rsid w:val="00D915BC"/>
    <w:rsid w:val="00D91BC9"/>
    <w:rsid w:val="00D97E03"/>
    <w:rsid w:val="00DA0C84"/>
    <w:rsid w:val="00DA4E44"/>
    <w:rsid w:val="00DA71EA"/>
    <w:rsid w:val="00DA760B"/>
    <w:rsid w:val="00DB1603"/>
    <w:rsid w:val="00DB1DEA"/>
    <w:rsid w:val="00DB2037"/>
    <w:rsid w:val="00DB2ED7"/>
    <w:rsid w:val="00DB3F0D"/>
    <w:rsid w:val="00DB4BFE"/>
    <w:rsid w:val="00DB5BF2"/>
    <w:rsid w:val="00DB727F"/>
    <w:rsid w:val="00DC02EB"/>
    <w:rsid w:val="00DC03CA"/>
    <w:rsid w:val="00DC5440"/>
    <w:rsid w:val="00DC5EDA"/>
    <w:rsid w:val="00DC5FC6"/>
    <w:rsid w:val="00DD0C6A"/>
    <w:rsid w:val="00DD1734"/>
    <w:rsid w:val="00DD3646"/>
    <w:rsid w:val="00DD383D"/>
    <w:rsid w:val="00DD456D"/>
    <w:rsid w:val="00DE0295"/>
    <w:rsid w:val="00DE1459"/>
    <w:rsid w:val="00DE2800"/>
    <w:rsid w:val="00DE4BDD"/>
    <w:rsid w:val="00DF1526"/>
    <w:rsid w:val="00DF32FB"/>
    <w:rsid w:val="00DF3CE8"/>
    <w:rsid w:val="00DF3E38"/>
    <w:rsid w:val="00DF7F64"/>
    <w:rsid w:val="00E0076A"/>
    <w:rsid w:val="00E07753"/>
    <w:rsid w:val="00E11408"/>
    <w:rsid w:val="00E118A6"/>
    <w:rsid w:val="00E14815"/>
    <w:rsid w:val="00E15D1B"/>
    <w:rsid w:val="00E16879"/>
    <w:rsid w:val="00E17E4D"/>
    <w:rsid w:val="00E20F63"/>
    <w:rsid w:val="00E21986"/>
    <w:rsid w:val="00E238D7"/>
    <w:rsid w:val="00E24050"/>
    <w:rsid w:val="00E24264"/>
    <w:rsid w:val="00E24349"/>
    <w:rsid w:val="00E26B5A"/>
    <w:rsid w:val="00E26D28"/>
    <w:rsid w:val="00E3243A"/>
    <w:rsid w:val="00E326B1"/>
    <w:rsid w:val="00E32FE4"/>
    <w:rsid w:val="00E37F3F"/>
    <w:rsid w:val="00E43FF7"/>
    <w:rsid w:val="00E44176"/>
    <w:rsid w:val="00E50030"/>
    <w:rsid w:val="00E50E05"/>
    <w:rsid w:val="00E52058"/>
    <w:rsid w:val="00E5546E"/>
    <w:rsid w:val="00E55D12"/>
    <w:rsid w:val="00E56B16"/>
    <w:rsid w:val="00E56C53"/>
    <w:rsid w:val="00E56F14"/>
    <w:rsid w:val="00E60234"/>
    <w:rsid w:val="00E627B7"/>
    <w:rsid w:val="00E636CE"/>
    <w:rsid w:val="00E63F02"/>
    <w:rsid w:val="00E66BAA"/>
    <w:rsid w:val="00E67BAB"/>
    <w:rsid w:val="00E71000"/>
    <w:rsid w:val="00E71B32"/>
    <w:rsid w:val="00E74263"/>
    <w:rsid w:val="00E74B29"/>
    <w:rsid w:val="00E763D9"/>
    <w:rsid w:val="00E775EF"/>
    <w:rsid w:val="00E777D2"/>
    <w:rsid w:val="00E80545"/>
    <w:rsid w:val="00E819E7"/>
    <w:rsid w:val="00E86320"/>
    <w:rsid w:val="00E87FFD"/>
    <w:rsid w:val="00E9042D"/>
    <w:rsid w:val="00E90A70"/>
    <w:rsid w:val="00E93FF5"/>
    <w:rsid w:val="00E959BF"/>
    <w:rsid w:val="00E9794E"/>
    <w:rsid w:val="00EA095E"/>
    <w:rsid w:val="00EA0C9C"/>
    <w:rsid w:val="00EA10FE"/>
    <w:rsid w:val="00EA4692"/>
    <w:rsid w:val="00EA47EC"/>
    <w:rsid w:val="00EA48A1"/>
    <w:rsid w:val="00EA5AEC"/>
    <w:rsid w:val="00EA7732"/>
    <w:rsid w:val="00EB10E2"/>
    <w:rsid w:val="00EB22D9"/>
    <w:rsid w:val="00EB372B"/>
    <w:rsid w:val="00EB3ABA"/>
    <w:rsid w:val="00EB6033"/>
    <w:rsid w:val="00EB67F3"/>
    <w:rsid w:val="00EC14BB"/>
    <w:rsid w:val="00EC6C54"/>
    <w:rsid w:val="00EC7FA0"/>
    <w:rsid w:val="00ED2312"/>
    <w:rsid w:val="00ED2A54"/>
    <w:rsid w:val="00ED330D"/>
    <w:rsid w:val="00ED38E9"/>
    <w:rsid w:val="00ED4038"/>
    <w:rsid w:val="00ED430B"/>
    <w:rsid w:val="00EE23DC"/>
    <w:rsid w:val="00EF1ECF"/>
    <w:rsid w:val="00EF45AB"/>
    <w:rsid w:val="00EF4F8A"/>
    <w:rsid w:val="00EF7E7C"/>
    <w:rsid w:val="00F02C61"/>
    <w:rsid w:val="00F04B0A"/>
    <w:rsid w:val="00F04D11"/>
    <w:rsid w:val="00F04D60"/>
    <w:rsid w:val="00F114B2"/>
    <w:rsid w:val="00F1467E"/>
    <w:rsid w:val="00F153FE"/>
    <w:rsid w:val="00F178F5"/>
    <w:rsid w:val="00F17A8D"/>
    <w:rsid w:val="00F222DD"/>
    <w:rsid w:val="00F23CE1"/>
    <w:rsid w:val="00F33E8B"/>
    <w:rsid w:val="00F362E4"/>
    <w:rsid w:val="00F41555"/>
    <w:rsid w:val="00F42166"/>
    <w:rsid w:val="00F43E14"/>
    <w:rsid w:val="00F440AD"/>
    <w:rsid w:val="00F47CA4"/>
    <w:rsid w:val="00F502DB"/>
    <w:rsid w:val="00F534B9"/>
    <w:rsid w:val="00F54913"/>
    <w:rsid w:val="00F56CCB"/>
    <w:rsid w:val="00F64317"/>
    <w:rsid w:val="00F703EE"/>
    <w:rsid w:val="00F72141"/>
    <w:rsid w:val="00F732EC"/>
    <w:rsid w:val="00F7393A"/>
    <w:rsid w:val="00F7496D"/>
    <w:rsid w:val="00F753EB"/>
    <w:rsid w:val="00F8083D"/>
    <w:rsid w:val="00F81180"/>
    <w:rsid w:val="00F824A4"/>
    <w:rsid w:val="00F825D6"/>
    <w:rsid w:val="00F8295C"/>
    <w:rsid w:val="00F856E4"/>
    <w:rsid w:val="00F85BF8"/>
    <w:rsid w:val="00F86B8B"/>
    <w:rsid w:val="00F92E06"/>
    <w:rsid w:val="00F974D3"/>
    <w:rsid w:val="00FA0342"/>
    <w:rsid w:val="00FA4C96"/>
    <w:rsid w:val="00FB01EB"/>
    <w:rsid w:val="00FB3722"/>
    <w:rsid w:val="00FB6F3A"/>
    <w:rsid w:val="00FC010C"/>
    <w:rsid w:val="00FC3585"/>
    <w:rsid w:val="00FC3798"/>
    <w:rsid w:val="00FC418C"/>
    <w:rsid w:val="00FC513C"/>
    <w:rsid w:val="00FD0BAD"/>
    <w:rsid w:val="00FD1A6B"/>
    <w:rsid w:val="00FD1CBB"/>
    <w:rsid w:val="00FD1D20"/>
    <w:rsid w:val="00FD6D5C"/>
    <w:rsid w:val="00FE009C"/>
    <w:rsid w:val="00FE08E5"/>
    <w:rsid w:val="00FE2C7D"/>
    <w:rsid w:val="00FE304E"/>
    <w:rsid w:val="00FE31CC"/>
    <w:rsid w:val="00FE3C02"/>
    <w:rsid w:val="00FE4DE2"/>
    <w:rsid w:val="00FE6552"/>
    <w:rsid w:val="00FE6E8C"/>
    <w:rsid w:val="00FF0AC6"/>
    <w:rsid w:val="00FF4474"/>
    <w:rsid w:val="00FF483E"/>
    <w:rsid w:val="00FF4D16"/>
    <w:rsid w:val="00FF7F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8C30"/>
  <w15:chartTrackingRefBased/>
  <w15:docId w15:val="{2C40F787-3D3A-4A70-9DD5-4C9B9D98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39D8"/>
    <w:pPr>
      <w:spacing w:after="120" w:line="276" w:lineRule="auto"/>
      <w:jc w:val="both"/>
    </w:pPr>
    <w:rPr>
      <w:rFonts w:ascii="Arial" w:eastAsia="Times New Roman" w:hAnsi="Arial" w:cs="Times New Roman"/>
      <w:szCs w:val="24"/>
    </w:rPr>
  </w:style>
  <w:style w:type="paragraph" w:styleId="Nadpis1">
    <w:name w:val="heading 1"/>
    <w:basedOn w:val="Normln"/>
    <w:next w:val="Nadpis2"/>
    <w:link w:val="Nadpis1Char"/>
    <w:uiPriority w:val="99"/>
    <w:qFormat/>
    <w:rsid w:val="008539D8"/>
    <w:pPr>
      <w:keepNext/>
      <w:numPr>
        <w:numId w:val="1"/>
      </w:numPr>
      <w:spacing w:before="480" w:after="60"/>
      <w:outlineLvl w:val="0"/>
    </w:pPr>
    <w:rPr>
      <w:b/>
      <w:bCs/>
      <w:kern w:val="32"/>
      <w:sz w:val="28"/>
      <w:szCs w:val="28"/>
    </w:rPr>
  </w:style>
  <w:style w:type="paragraph" w:styleId="Nadpis2">
    <w:name w:val="heading 2"/>
    <w:basedOn w:val="Nadpis1"/>
    <w:link w:val="Nadpis2Char"/>
    <w:uiPriority w:val="99"/>
    <w:qFormat/>
    <w:rsid w:val="008539D8"/>
    <w:pPr>
      <w:numPr>
        <w:ilvl w:val="1"/>
      </w:numPr>
      <w:spacing w:before="240"/>
      <w:ind w:left="578" w:hanging="578"/>
      <w:outlineLvl w:val="1"/>
    </w:pPr>
    <w:rPr>
      <w:sz w:val="24"/>
      <w:szCs w:val="24"/>
    </w:rPr>
  </w:style>
  <w:style w:type="paragraph" w:styleId="Nadpis3">
    <w:name w:val="heading 3"/>
    <w:basedOn w:val="Normln"/>
    <w:next w:val="Normln"/>
    <w:link w:val="Nadpis3Char"/>
    <w:uiPriority w:val="99"/>
    <w:qFormat/>
    <w:rsid w:val="008539D8"/>
    <w:pPr>
      <w:keepNext/>
      <w:numPr>
        <w:ilvl w:val="2"/>
        <w:numId w:val="1"/>
      </w:numPr>
      <w:spacing w:before="240" w:after="60"/>
      <w:outlineLvl w:val="2"/>
    </w:pPr>
    <w:rPr>
      <w:b/>
      <w:bCs/>
      <w:i/>
      <w:iCs/>
    </w:rPr>
  </w:style>
  <w:style w:type="paragraph" w:styleId="Nadpis4">
    <w:name w:val="heading 4"/>
    <w:basedOn w:val="Normln"/>
    <w:next w:val="Normln"/>
    <w:link w:val="Nadpis4Char"/>
    <w:uiPriority w:val="99"/>
    <w:qFormat/>
    <w:rsid w:val="008539D8"/>
    <w:pPr>
      <w:keepNext/>
      <w:numPr>
        <w:ilvl w:val="3"/>
        <w:numId w:val="1"/>
      </w:numPr>
      <w:spacing w:before="240" w:after="60"/>
      <w:outlineLvl w:val="3"/>
    </w:pPr>
    <w:rPr>
      <w:sz w:val="28"/>
      <w:szCs w:val="28"/>
    </w:rPr>
  </w:style>
  <w:style w:type="paragraph" w:styleId="Nadpis5">
    <w:name w:val="heading 5"/>
    <w:basedOn w:val="Normln"/>
    <w:next w:val="Normln"/>
    <w:link w:val="Nadpis5Char"/>
    <w:uiPriority w:val="99"/>
    <w:qFormat/>
    <w:rsid w:val="008539D8"/>
    <w:pPr>
      <w:numPr>
        <w:ilvl w:val="4"/>
        <w:numId w:val="1"/>
      </w:numPr>
      <w:spacing w:before="240" w:after="60"/>
      <w:outlineLvl w:val="4"/>
    </w:pPr>
    <w:rPr>
      <w:i/>
      <w:iCs/>
      <w:sz w:val="26"/>
      <w:szCs w:val="26"/>
    </w:rPr>
  </w:style>
  <w:style w:type="paragraph" w:styleId="Nadpis6">
    <w:name w:val="heading 6"/>
    <w:basedOn w:val="Normln"/>
    <w:next w:val="Normln"/>
    <w:link w:val="Nadpis6Char"/>
    <w:uiPriority w:val="99"/>
    <w:qFormat/>
    <w:rsid w:val="008539D8"/>
    <w:pPr>
      <w:numPr>
        <w:ilvl w:val="5"/>
        <w:numId w:val="1"/>
      </w:numPr>
      <w:spacing w:before="240" w:after="60"/>
      <w:outlineLvl w:val="5"/>
    </w:pPr>
    <w:rPr>
      <w:szCs w:val="22"/>
    </w:rPr>
  </w:style>
  <w:style w:type="paragraph" w:styleId="Nadpis7">
    <w:name w:val="heading 7"/>
    <w:basedOn w:val="Normln"/>
    <w:next w:val="Normln"/>
    <w:link w:val="Nadpis7Char"/>
    <w:uiPriority w:val="99"/>
    <w:qFormat/>
    <w:rsid w:val="008539D8"/>
    <w:pPr>
      <w:numPr>
        <w:ilvl w:val="6"/>
        <w:numId w:val="1"/>
      </w:numPr>
      <w:spacing w:before="240" w:after="60"/>
      <w:outlineLvl w:val="6"/>
    </w:pPr>
  </w:style>
  <w:style w:type="paragraph" w:styleId="Nadpis8">
    <w:name w:val="heading 8"/>
    <w:basedOn w:val="Normln"/>
    <w:next w:val="Normln"/>
    <w:link w:val="Nadpis8Char"/>
    <w:uiPriority w:val="99"/>
    <w:qFormat/>
    <w:rsid w:val="008539D8"/>
    <w:pPr>
      <w:numPr>
        <w:ilvl w:val="7"/>
        <w:numId w:val="1"/>
      </w:numPr>
      <w:spacing w:before="240" w:after="60"/>
      <w:outlineLvl w:val="7"/>
    </w:pPr>
    <w:rPr>
      <w:i/>
      <w:iCs/>
    </w:rPr>
  </w:style>
  <w:style w:type="paragraph" w:styleId="Nadpis9">
    <w:name w:val="heading 9"/>
    <w:basedOn w:val="Normln"/>
    <w:next w:val="Normln"/>
    <w:link w:val="Nadpis9Char"/>
    <w:uiPriority w:val="99"/>
    <w:qFormat/>
    <w:rsid w:val="008539D8"/>
    <w:pPr>
      <w:numPr>
        <w:ilvl w:val="8"/>
        <w:numId w:val="1"/>
      </w:numPr>
      <w:spacing w:before="240" w:after="60"/>
      <w:outlineLvl w:val="8"/>
    </w:pPr>
    <w:rPr>
      <w:rFonts w:ascii="Cambria" w:hAnsi="Cambria" w:cs="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539D8"/>
    <w:rPr>
      <w:rFonts w:ascii="Arial" w:eastAsia="Times New Roman" w:hAnsi="Arial" w:cs="Times New Roman"/>
      <w:b/>
      <w:bCs/>
      <w:kern w:val="32"/>
      <w:sz w:val="28"/>
      <w:szCs w:val="28"/>
    </w:rPr>
  </w:style>
  <w:style w:type="character" w:customStyle="1" w:styleId="Nadpis2Char">
    <w:name w:val="Nadpis 2 Char"/>
    <w:basedOn w:val="Standardnpsmoodstavce"/>
    <w:link w:val="Nadpis2"/>
    <w:uiPriority w:val="99"/>
    <w:rsid w:val="008539D8"/>
    <w:rPr>
      <w:rFonts w:ascii="Arial" w:eastAsia="Times New Roman" w:hAnsi="Arial" w:cs="Times New Roman"/>
      <w:b/>
      <w:bCs/>
      <w:kern w:val="32"/>
      <w:sz w:val="24"/>
      <w:szCs w:val="24"/>
    </w:rPr>
  </w:style>
  <w:style w:type="character" w:customStyle="1" w:styleId="Nadpis3Char">
    <w:name w:val="Nadpis 3 Char"/>
    <w:basedOn w:val="Standardnpsmoodstavce"/>
    <w:link w:val="Nadpis3"/>
    <w:uiPriority w:val="99"/>
    <w:rsid w:val="008539D8"/>
    <w:rPr>
      <w:rFonts w:ascii="Arial" w:eastAsia="Times New Roman" w:hAnsi="Arial" w:cs="Times New Roman"/>
      <w:b/>
      <w:bCs/>
      <w:i/>
      <w:iCs/>
      <w:szCs w:val="24"/>
    </w:rPr>
  </w:style>
  <w:style w:type="character" w:customStyle="1" w:styleId="Nadpis4Char">
    <w:name w:val="Nadpis 4 Char"/>
    <w:basedOn w:val="Standardnpsmoodstavce"/>
    <w:link w:val="Nadpis4"/>
    <w:uiPriority w:val="99"/>
    <w:rsid w:val="008539D8"/>
    <w:rPr>
      <w:rFonts w:ascii="Arial" w:eastAsia="Times New Roman" w:hAnsi="Arial" w:cs="Times New Roman"/>
      <w:sz w:val="28"/>
      <w:szCs w:val="28"/>
    </w:rPr>
  </w:style>
  <w:style w:type="character" w:customStyle="1" w:styleId="Nadpis5Char">
    <w:name w:val="Nadpis 5 Char"/>
    <w:basedOn w:val="Standardnpsmoodstavce"/>
    <w:link w:val="Nadpis5"/>
    <w:uiPriority w:val="99"/>
    <w:rsid w:val="008539D8"/>
    <w:rPr>
      <w:rFonts w:ascii="Arial" w:eastAsia="Times New Roman" w:hAnsi="Arial" w:cs="Times New Roman"/>
      <w:i/>
      <w:iCs/>
      <w:sz w:val="26"/>
      <w:szCs w:val="26"/>
    </w:rPr>
  </w:style>
  <w:style w:type="character" w:customStyle="1" w:styleId="Nadpis6Char">
    <w:name w:val="Nadpis 6 Char"/>
    <w:basedOn w:val="Standardnpsmoodstavce"/>
    <w:link w:val="Nadpis6"/>
    <w:uiPriority w:val="99"/>
    <w:rsid w:val="008539D8"/>
    <w:rPr>
      <w:rFonts w:ascii="Arial" w:eastAsia="Times New Roman" w:hAnsi="Arial" w:cs="Times New Roman"/>
    </w:rPr>
  </w:style>
  <w:style w:type="character" w:customStyle="1" w:styleId="Nadpis7Char">
    <w:name w:val="Nadpis 7 Char"/>
    <w:basedOn w:val="Standardnpsmoodstavce"/>
    <w:link w:val="Nadpis7"/>
    <w:uiPriority w:val="99"/>
    <w:rsid w:val="008539D8"/>
    <w:rPr>
      <w:rFonts w:ascii="Arial" w:eastAsia="Times New Roman" w:hAnsi="Arial" w:cs="Times New Roman"/>
      <w:szCs w:val="24"/>
    </w:rPr>
  </w:style>
  <w:style w:type="character" w:customStyle="1" w:styleId="Nadpis8Char">
    <w:name w:val="Nadpis 8 Char"/>
    <w:basedOn w:val="Standardnpsmoodstavce"/>
    <w:link w:val="Nadpis8"/>
    <w:uiPriority w:val="99"/>
    <w:rsid w:val="008539D8"/>
    <w:rPr>
      <w:rFonts w:ascii="Arial" w:eastAsia="Times New Roman" w:hAnsi="Arial" w:cs="Times New Roman"/>
      <w:i/>
      <w:iCs/>
      <w:szCs w:val="24"/>
    </w:rPr>
  </w:style>
  <w:style w:type="character" w:customStyle="1" w:styleId="Nadpis9Char">
    <w:name w:val="Nadpis 9 Char"/>
    <w:basedOn w:val="Standardnpsmoodstavce"/>
    <w:link w:val="Nadpis9"/>
    <w:uiPriority w:val="99"/>
    <w:rsid w:val="008539D8"/>
    <w:rPr>
      <w:rFonts w:ascii="Cambria" w:eastAsia="Times New Roman" w:hAnsi="Cambria" w:cs="Cambria"/>
    </w:rPr>
  </w:style>
  <w:style w:type="paragraph" w:styleId="Titulek">
    <w:name w:val="caption"/>
    <w:basedOn w:val="Normln"/>
    <w:next w:val="Normln"/>
    <w:uiPriority w:val="99"/>
    <w:qFormat/>
    <w:rsid w:val="008539D8"/>
    <w:pPr>
      <w:spacing w:before="240"/>
    </w:pPr>
    <w:rPr>
      <w:b/>
      <w:bCs/>
      <w:spacing w:val="10"/>
      <w:sz w:val="18"/>
      <w:szCs w:val="18"/>
    </w:rPr>
  </w:style>
  <w:style w:type="paragraph" w:styleId="Podnadpis">
    <w:name w:val="Subtitle"/>
    <w:basedOn w:val="Normln"/>
    <w:next w:val="Normln"/>
    <w:link w:val="PodnadpisChar"/>
    <w:uiPriority w:val="11"/>
    <w:qFormat/>
    <w:rsid w:val="008539D8"/>
    <w:pPr>
      <w:keepNext/>
      <w:spacing w:before="240"/>
      <w:outlineLvl w:val="1"/>
    </w:pPr>
    <w:rPr>
      <w:rFonts w:cs="Cambria"/>
      <w:b/>
    </w:rPr>
  </w:style>
  <w:style w:type="character" w:customStyle="1" w:styleId="PodnadpisChar">
    <w:name w:val="Podnadpis Char"/>
    <w:basedOn w:val="Standardnpsmoodstavce"/>
    <w:link w:val="Podnadpis"/>
    <w:uiPriority w:val="11"/>
    <w:rsid w:val="008539D8"/>
    <w:rPr>
      <w:rFonts w:ascii="Arial" w:eastAsia="Times New Roman" w:hAnsi="Arial" w:cs="Cambria"/>
      <w:b/>
      <w:szCs w:val="24"/>
    </w:rPr>
  </w:style>
  <w:style w:type="paragraph" w:styleId="Odstavecseseznamem">
    <w:name w:val="List Paragraph"/>
    <w:aliases w:val="Dot pt,Indicator Text,LISTA,List Paragraph Char Char Char,List Paragraph à moi,List Paragraph1,Listaszerű bekezdés1,Listaszerű bekezdés2,Listaszerű bekezdés3,Nad,No Spacing1,Numbered Para 1,Odstavec cíl se seznamem"/>
    <w:basedOn w:val="Normln"/>
    <w:link w:val="OdstavecseseznamemChar"/>
    <w:uiPriority w:val="99"/>
    <w:qFormat/>
    <w:rsid w:val="008539D8"/>
    <w:pPr>
      <w:ind w:left="720"/>
    </w:pPr>
  </w:style>
  <w:style w:type="character" w:styleId="Odkaznakoment">
    <w:name w:val="annotation reference"/>
    <w:basedOn w:val="Standardnpsmoodstavce"/>
    <w:uiPriority w:val="99"/>
    <w:semiHidden/>
    <w:unhideWhenUsed/>
    <w:rsid w:val="00751988"/>
    <w:rPr>
      <w:sz w:val="16"/>
      <w:szCs w:val="16"/>
    </w:rPr>
  </w:style>
  <w:style w:type="paragraph" w:styleId="Textkomente">
    <w:name w:val="annotation text"/>
    <w:basedOn w:val="Normln"/>
    <w:link w:val="TextkomenteChar"/>
    <w:uiPriority w:val="99"/>
    <w:unhideWhenUsed/>
    <w:rsid w:val="00751988"/>
    <w:pPr>
      <w:spacing w:line="240" w:lineRule="auto"/>
    </w:pPr>
    <w:rPr>
      <w:sz w:val="20"/>
      <w:szCs w:val="20"/>
    </w:rPr>
  </w:style>
  <w:style w:type="character" w:customStyle="1" w:styleId="TextkomenteChar">
    <w:name w:val="Text komentáře Char"/>
    <w:basedOn w:val="Standardnpsmoodstavce"/>
    <w:link w:val="Textkomente"/>
    <w:uiPriority w:val="99"/>
    <w:rsid w:val="00751988"/>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751988"/>
    <w:rPr>
      <w:b/>
      <w:bCs/>
    </w:rPr>
  </w:style>
  <w:style w:type="character" w:customStyle="1" w:styleId="PedmtkomenteChar">
    <w:name w:val="Předmět komentáře Char"/>
    <w:basedOn w:val="TextkomenteChar"/>
    <w:link w:val="Pedmtkomente"/>
    <w:uiPriority w:val="99"/>
    <w:semiHidden/>
    <w:rsid w:val="00751988"/>
    <w:rPr>
      <w:rFonts w:ascii="Arial" w:eastAsia="Times New Roman" w:hAnsi="Arial" w:cs="Times New Roman"/>
      <w:b/>
      <w:bCs/>
      <w:sz w:val="20"/>
      <w:szCs w:val="20"/>
    </w:rPr>
  </w:style>
  <w:style w:type="paragraph" w:styleId="Textbubliny">
    <w:name w:val="Balloon Text"/>
    <w:basedOn w:val="Normln"/>
    <w:link w:val="TextbublinyChar"/>
    <w:uiPriority w:val="99"/>
    <w:semiHidden/>
    <w:unhideWhenUsed/>
    <w:rsid w:val="007519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988"/>
    <w:rPr>
      <w:rFonts w:ascii="Segoe UI" w:eastAsia="Times New Roman" w:hAnsi="Segoe UI" w:cs="Segoe UI"/>
      <w:sz w:val="18"/>
      <w:szCs w:val="18"/>
    </w:rPr>
  </w:style>
  <w:style w:type="paragraph" w:styleId="Revize">
    <w:name w:val="Revision"/>
    <w:hidden/>
    <w:uiPriority w:val="99"/>
    <w:semiHidden/>
    <w:rsid w:val="00126BCD"/>
    <w:pPr>
      <w:spacing w:after="0" w:line="240" w:lineRule="auto"/>
    </w:pPr>
    <w:rPr>
      <w:rFonts w:ascii="Arial" w:eastAsia="Times New Roman" w:hAnsi="Arial" w:cs="Times New Roman"/>
      <w:szCs w:val="24"/>
    </w:rPr>
  </w:style>
  <w:style w:type="table" w:styleId="Mkatabulky">
    <w:name w:val="Table Grid"/>
    <w:basedOn w:val="Normlntabulka"/>
    <w:uiPriority w:val="59"/>
    <w:rsid w:val="00B5660A"/>
    <w:pPr>
      <w:spacing w:before="120" w:after="60" w:line="276" w:lineRule="auto"/>
      <w:jc w:val="both"/>
    </w:pPr>
    <w:rPr>
      <w:rFonts w:ascii="Times New Roman" w:eastAsia="MS Mincho"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podarou">
    <w:name w:val="footnote text"/>
    <w:basedOn w:val="Normln"/>
    <w:link w:val="TextpoznpodarouChar"/>
    <w:uiPriority w:val="99"/>
    <w:semiHidden/>
    <w:unhideWhenUsed/>
    <w:rsid w:val="0082268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22683"/>
    <w:rPr>
      <w:rFonts w:ascii="Arial" w:eastAsia="Times New Roman" w:hAnsi="Arial" w:cs="Times New Roman"/>
      <w:sz w:val="20"/>
      <w:szCs w:val="20"/>
    </w:rPr>
  </w:style>
  <w:style w:type="character" w:styleId="Znakapoznpodarou">
    <w:name w:val="footnote reference"/>
    <w:basedOn w:val="Standardnpsmoodstavce"/>
    <w:uiPriority w:val="99"/>
    <w:semiHidden/>
    <w:unhideWhenUsed/>
    <w:rsid w:val="00822683"/>
    <w:rPr>
      <w:vertAlign w:val="superscript"/>
    </w:rPr>
  </w:style>
  <w:style w:type="paragraph" w:styleId="Nzev">
    <w:name w:val="Title"/>
    <w:basedOn w:val="Normln"/>
    <w:next w:val="Normln"/>
    <w:link w:val="NzevChar"/>
    <w:uiPriority w:val="10"/>
    <w:qFormat/>
    <w:rsid w:val="00EB67F3"/>
    <w:pPr>
      <w:numPr>
        <w:numId w:val="19"/>
      </w:numPr>
      <w:spacing w:before="240" w:after="60"/>
      <w:ind w:left="357" w:hanging="357"/>
      <w:outlineLvl w:val="0"/>
    </w:pPr>
    <w:rPr>
      <w:rFonts w:cs="Cambria"/>
      <w:b/>
      <w:caps/>
      <w:kern w:val="28"/>
      <w:szCs w:val="32"/>
    </w:rPr>
  </w:style>
  <w:style w:type="character" w:customStyle="1" w:styleId="NzevChar">
    <w:name w:val="Název Char"/>
    <w:basedOn w:val="Standardnpsmoodstavce"/>
    <w:link w:val="Nzev"/>
    <w:uiPriority w:val="10"/>
    <w:rsid w:val="00EB67F3"/>
    <w:rPr>
      <w:rFonts w:ascii="Arial" w:eastAsia="Times New Roman" w:hAnsi="Arial" w:cs="Cambria"/>
      <w:b/>
      <w:caps/>
      <w:kern w:val="28"/>
      <w:szCs w:val="32"/>
    </w:rPr>
  </w:style>
  <w:style w:type="paragraph" w:styleId="Nadpisobsahu">
    <w:name w:val="TOC Heading"/>
    <w:basedOn w:val="Nadpis1"/>
    <w:next w:val="Normln"/>
    <w:uiPriority w:val="39"/>
    <w:qFormat/>
    <w:rsid w:val="00EB67F3"/>
    <w:pPr>
      <w:ind w:left="431" w:hanging="431"/>
      <w:outlineLvl w:val="9"/>
    </w:pPr>
  </w:style>
  <w:style w:type="paragraph" w:styleId="Zhlav">
    <w:name w:val="header"/>
    <w:basedOn w:val="Normln"/>
    <w:link w:val="ZhlavChar"/>
    <w:uiPriority w:val="99"/>
    <w:rsid w:val="00EB67F3"/>
    <w:pPr>
      <w:tabs>
        <w:tab w:val="center" w:pos="4536"/>
        <w:tab w:val="right" w:pos="9072"/>
      </w:tabs>
      <w:spacing w:line="240" w:lineRule="auto"/>
    </w:pPr>
  </w:style>
  <w:style w:type="character" w:customStyle="1" w:styleId="ZhlavChar">
    <w:name w:val="Záhlaví Char"/>
    <w:basedOn w:val="Standardnpsmoodstavce"/>
    <w:link w:val="Zhlav"/>
    <w:uiPriority w:val="99"/>
    <w:rsid w:val="00EB67F3"/>
    <w:rPr>
      <w:rFonts w:ascii="Arial" w:eastAsia="Times New Roman" w:hAnsi="Arial" w:cs="Times New Roman"/>
      <w:szCs w:val="24"/>
    </w:rPr>
  </w:style>
  <w:style w:type="character" w:styleId="Hypertextovodkaz">
    <w:name w:val="Hyperlink"/>
    <w:basedOn w:val="Standardnpsmoodstavce"/>
    <w:uiPriority w:val="99"/>
    <w:rsid w:val="00EB67F3"/>
    <w:rPr>
      <w:color w:val="0000FF"/>
      <w:u w:val="single"/>
    </w:rPr>
  </w:style>
  <w:style w:type="character" w:customStyle="1" w:styleId="OdstavecseseznamemChar">
    <w:name w:val="Odstavec se seznamem Char"/>
    <w:aliases w:val="Dot pt Char,Indicator Text Char,LISTA Char,List Paragraph Char Char Char Char,List Paragraph à moi Char,List Paragraph1 Char,Listaszerű bekezdés1 Char,Listaszerű bekezdés2 Char,Listaszerű bekezdés3 Char,Nad Char"/>
    <w:link w:val="Odstavecseseznamem"/>
    <w:uiPriority w:val="99"/>
    <w:locked/>
    <w:rsid w:val="00EB67F3"/>
    <w:rPr>
      <w:rFonts w:ascii="Arial" w:eastAsia="Times New Roman" w:hAnsi="Arial" w:cs="Times New Roman"/>
      <w:szCs w:val="24"/>
    </w:rPr>
  </w:style>
  <w:style w:type="paragraph" w:styleId="Obsah1">
    <w:name w:val="toc 1"/>
    <w:basedOn w:val="Normln"/>
    <w:next w:val="Normln"/>
    <w:autoRedefine/>
    <w:uiPriority w:val="39"/>
    <w:unhideWhenUsed/>
    <w:rsid w:val="00EB67F3"/>
    <w:pPr>
      <w:spacing w:after="100"/>
    </w:pPr>
  </w:style>
  <w:style w:type="paragraph" w:styleId="Obsah2">
    <w:name w:val="toc 2"/>
    <w:basedOn w:val="Normln"/>
    <w:next w:val="Normln"/>
    <w:autoRedefine/>
    <w:uiPriority w:val="39"/>
    <w:unhideWhenUsed/>
    <w:rsid w:val="00EB67F3"/>
    <w:pPr>
      <w:spacing w:after="100"/>
      <w:ind w:left="220"/>
    </w:pPr>
  </w:style>
  <w:style w:type="paragraph" w:styleId="Zpat">
    <w:name w:val="footer"/>
    <w:basedOn w:val="Normln"/>
    <w:link w:val="ZpatChar"/>
    <w:uiPriority w:val="99"/>
    <w:unhideWhenUsed/>
    <w:rsid w:val="00AF76F6"/>
    <w:pPr>
      <w:tabs>
        <w:tab w:val="center" w:pos="4536"/>
        <w:tab w:val="right" w:pos="9072"/>
      </w:tabs>
      <w:spacing w:after="0" w:line="240" w:lineRule="auto"/>
    </w:pPr>
  </w:style>
  <w:style w:type="character" w:customStyle="1" w:styleId="ZpatChar">
    <w:name w:val="Zápatí Char"/>
    <w:basedOn w:val="Standardnpsmoodstavce"/>
    <w:link w:val="Zpat"/>
    <w:uiPriority w:val="99"/>
    <w:rsid w:val="00AF76F6"/>
    <w:rPr>
      <w:rFonts w:ascii="Arial" w:eastAsia="Times New Roman" w:hAnsi="Arial" w:cs="Times New Roman"/>
      <w:szCs w:val="24"/>
    </w:rPr>
  </w:style>
  <w:style w:type="paragraph" w:styleId="Obsah3">
    <w:name w:val="toc 3"/>
    <w:basedOn w:val="Normln"/>
    <w:next w:val="Normln"/>
    <w:autoRedefine/>
    <w:uiPriority w:val="39"/>
    <w:unhideWhenUsed/>
    <w:rsid w:val="000E112A"/>
    <w:pPr>
      <w:spacing w:after="100"/>
      <w:ind w:left="440"/>
    </w:pPr>
  </w:style>
  <w:style w:type="paragraph" w:styleId="Obsah4">
    <w:name w:val="toc 4"/>
    <w:basedOn w:val="Normln"/>
    <w:next w:val="Normln"/>
    <w:autoRedefine/>
    <w:uiPriority w:val="39"/>
    <w:unhideWhenUsed/>
    <w:rsid w:val="000E112A"/>
    <w:pPr>
      <w:spacing w:after="100" w:line="259" w:lineRule="auto"/>
      <w:ind w:left="660"/>
      <w:jc w:val="left"/>
    </w:pPr>
    <w:rPr>
      <w:rFonts w:asciiTheme="minorHAnsi" w:eastAsiaTheme="minorEastAsia" w:hAnsiTheme="minorHAnsi" w:cstheme="minorBidi"/>
      <w:szCs w:val="22"/>
      <w:lang w:eastAsia="cs-CZ"/>
    </w:rPr>
  </w:style>
  <w:style w:type="paragraph" w:styleId="Obsah5">
    <w:name w:val="toc 5"/>
    <w:basedOn w:val="Normln"/>
    <w:next w:val="Normln"/>
    <w:autoRedefine/>
    <w:uiPriority w:val="39"/>
    <w:unhideWhenUsed/>
    <w:rsid w:val="000E112A"/>
    <w:pPr>
      <w:spacing w:after="100" w:line="259" w:lineRule="auto"/>
      <w:ind w:left="880"/>
      <w:jc w:val="left"/>
    </w:pPr>
    <w:rPr>
      <w:rFonts w:asciiTheme="minorHAnsi" w:eastAsiaTheme="minorEastAsia" w:hAnsiTheme="minorHAnsi" w:cstheme="minorBidi"/>
      <w:szCs w:val="22"/>
      <w:lang w:eastAsia="cs-CZ"/>
    </w:rPr>
  </w:style>
  <w:style w:type="paragraph" w:styleId="Obsah6">
    <w:name w:val="toc 6"/>
    <w:basedOn w:val="Normln"/>
    <w:next w:val="Normln"/>
    <w:autoRedefine/>
    <w:uiPriority w:val="39"/>
    <w:unhideWhenUsed/>
    <w:rsid w:val="000E112A"/>
    <w:pPr>
      <w:spacing w:after="100" w:line="259" w:lineRule="auto"/>
      <w:ind w:left="1100"/>
      <w:jc w:val="left"/>
    </w:pPr>
    <w:rPr>
      <w:rFonts w:asciiTheme="minorHAnsi" w:eastAsiaTheme="minorEastAsia" w:hAnsiTheme="minorHAnsi" w:cstheme="minorBidi"/>
      <w:szCs w:val="22"/>
      <w:lang w:eastAsia="cs-CZ"/>
    </w:rPr>
  </w:style>
  <w:style w:type="paragraph" w:styleId="Obsah7">
    <w:name w:val="toc 7"/>
    <w:basedOn w:val="Normln"/>
    <w:next w:val="Normln"/>
    <w:autoRedefine/>
    <w:uiPriority w:val="39"/>
    <w:unhideWhenUsed/>
    <w:rsid w:val="000E112A"/>
    <w:pPr>
      <w:spacing w:after="100" w:line="259" w:lineRule="auto"/>
      <w:ind w:left="1320"/>
      <w:jc w:val="left"/>
    </w:pPr>
    <w:rPr>
      <w:rFonts w:asciiTheme="minorHAnsi" w:eastAsiaTheme="minorEastAsia" w:hAnsiTheme="minorHAnsi" w:cstheme="minorBidi"/>
      <w:szCs w:val="22"/>
      <w:lang w:eastAsia="cs-CZ"/>
    </w:rPr>
  </w:style>
  <w:style w:type="paragraph" w:styleId="Obsah8">
    <w:name w:val="toc 8"/>
    <w:basedOn w:val="Normln"/>
    <w:next w:val="Normln"/>
    <w:autoRedefine/>
    <w:uiPriority w:val="39"/>
    <w:unhideWhenUsed/>
    <w:rsid w:val="000E112A"/>
    <w:pPr>
      <w:spacing w:after="100" w:line="259" w:lineRule="auto"/>
      <w:ind w:left="1540"/>
      <w:jc w:val="left"/>
    </w:pPr>
    <w:rPr>
      <w:rFonts w:asciiTheme="minorHAnsi" w:eastAsiaTheme="minorEastAsia" w:hAnsiTheme="minorHAnsi" w:cstheme="minorBidi"/>
      <w:szCs w:val="22"/>
      <w:lang w:eastAsia="cs-CZ"/>
    </w:rPr>
  </w:style>
  <w:style w:type="paragraph" w:styleId="Obsah9">
    <w:name w:val="toc 9"/>
    <w:basedOn w:val="Normln"/>
    <w:next w:val="Normln"/>
    <w:autoRedefine/>
    <w:uiPriority w:val="39"/>
    <w:unhideWhenUsed/>
    <w:rsid w:val="000E112A"/>
    <w:pPr>
      <w:spacing w:after="100" w:line="259" w:lineRule="auto"/>
      <w:ind w:left="1760"/>
      <w:jc w:val="left"/>
    </w:pPr>
    <w:rPr>
      <w:rFonts w:asciiTheme="minorHAnsi" w:eastAsiaTheme="minorEastAsia" w:hAnsiTheme="minorHAnsi" w:cstheme="minorBidi"/>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enka.nezbedova@mzp.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tej.mrlina@mzp.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a.dvorakova@mzp.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00EA1-3E3C-4BDE-9AA3-1B2E9C9D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16108</Words>
  <Characters>95039</Characters>
  <Application>Microsoft Office Word</Application>
  <DocSecurity>0</DocSecurity>
  <Lines>791</Lines>
  <Paragraphs>221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Rechnerová</dc:creator>
  <cp:lastModifiedBy>Jankovská Michaela</cp:lastModifiedBy>
  <cp:revision>10</cp:revision>
  <cp:lastPrinted>2021-06-09T05:32:00Z</cp:lastPrinted>
  <dcterms:created xsi:type="dcterms:W3CDTF">2021-05-05T13:49:00Z</dcterms:created>
  <dcterms:modified xsi:type="dcterms:W3CDTF">2021-06-09T05:32:00Z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MZP/2021/410/440</vt:lpwstr>
  </property>
  <property fmtid="{D5CDD505-2E9C-101B-9397-08002B2CF9AE}" pid="5" name="CJ_PostaDoruc_PisemnostOdpovedNa_Pisemnost">
    <vt:lpwstr>XXX-XXX-XXX</vt:lpwstr>
  </property>
  <property fmtid="{D5CDD505-2E9C-101B-9397-08002B2CF9AE}" pid="6" name="CJ_Spis_Pisemnost">
    <vt:lpwstr>MZP/2021/410/283</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8.6.2021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&lt;TABLE&gt;&lt;TR&gt;&lt;TD&gt;Č.j.:&lt;/TD&gt;&lt;TD&gt;MZP/2021/410/440&lt;/TD&gt;&lt;/TR&gt;&lt;TR&gt;&lt;TD&gt;&lt;/TD&gt;&lt;TD&gt;&lt;/TD&gt;&lt;/TR&gt;&lt;/TABLE&gt;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Tomáš Hrdlička</vt:lpwstr>
  </property>
  <property fmtid="{D5CDD505-2E9C-101B-9397-08002B2CF9AE}" pid="17" name="DuvodZmeny_SlozkaStupenUtajeniCollection_Slozka_Pisemnost">
    <vt:lpwstr/>
  </property>
  <property fmtid="{D5CDD505-2E9C-101B-9397-08002B2CF9AE}" pid="18" name="EC_Pisemnost">
    <vt:lpwstr>ENV/2021/64753</vt:lpwstr>
  </property>
  <property fmtid="{D5CDD505-2E9C-101B-9397-08002B2CF9AE}" pid="19" name="Key_BarCode_Pisemnost">
    <vt:lpwstr>*B000884268*</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ENV/2021/64753</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ZN/MZP/2020/410/75</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kterým se mění zákon č. 73/2012 Sb., o látkách, které poškozují ozonovou vrstvu, a o fluorovaných skleníkových plynech, ve znění pozdějších předpisů - materiál do PSP</vt:lpwstr>
  </property>
  <property fmtid="{D5CDD505-2E9C-101B-9397-08002B2CF9AE}" pid="41" name="Zkratka_SpisovyUzel_PoziceZodpo_Pisemnost">
    <vt:lpwstr>410</vt:lpwstr>
  </property>
</Properties>
</file>