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22D" w:rsidRPr="00754881" w:rsidRDefault="0069622D" w:rsidP="0069622D">
      <w:pPr>
        <w:pStyle w:val="Nadpis1-operace"/>
        <w:spacing w:line="288" w:lineRule="auto"/>
        <w:ind w:firstLine="708"/>
        <w:jc w:val="right"/>
        <w:rPr>
          <w:bCs/>
        </w:rPr>
      </w:pPr>
    </w:p>
    <w:p w:rsidR="0069622D" w:rsidRPr="006B2E0B" w:rsidRDefault="0069622D" w:rsidP="0069622D">
      <w:pPr>
        <w:pStyle w:val="normln-operace"/>
        <w:spacing w:after="0" w:line="312" w:lineRule="auto"/>
        <w:ind w:left="2126" w:firstLine="0"/>
        <w:rPr>
          <w:b/>
        </w:rPr>
      </w:pPr>
      <w:r w:rsidRPr="006B2E0B">
        <w:rPr>
          <w:b/>
        </w:rPr>
        <w:t>Předkládací zpráva pro Parlament České republiky</w:t>
      </w:r>
    </w:p>
    <w:p w:rsidR="00C42224" w:rsidRDefault="00C42224" w:rsidP="004F2CA1">
      <w:pPr>
        <w:spacing w:before="360" w:after="120" w:line="276" w:lineRule="auto"/>
        <w:rPr>
          <w:b/>
          <w:bCs/>
        </w:rPr>
      </w:pPr>
    </w:p>
    <w:p w:rsidR="00694C2D" w:rsidRPr="00694C2D" w:rsidRDefault="00694C2D" w:rsidP="004F2CA1">
      <w:pPr>
        <w:spacing w:before="360" w:after="120" w:line="276" w:lineRule="auto"/>
        <w:rPr>
          <w:b/>
          <w:bCs/>
        </w:rPr>
      </w:pPr>
      <w:r w:rsidRPr="00EF4476">
        <w:rPr>
          <w:b/>
          <w:bCs/>
        </w:rPr>
        <w:t>Úvod</w:t>
      </w:r>
      <w:r w:rsidR="005332CD" w:rsidRPr="00DE0DBD">
        <w:rPr>
          <w:b/>
          <w:bCs/>
        </w:rPr>
        <w:t xml:space="preserve"> </w:t>
      </w:r>
    </w:p>
    <w:p w:rsidR="008176D1" w:rsidRDefault="008176D1" w:rsidP="00F95A45">
      <w:pPr>
        <w:spacing w:before="120" w:line="276" w:lineRule="auto"/>
        <w:ind w:firstLine="709"/>
        <w:jc w:val="both"/>
      </w:pPr>
      <w:r w:rsidRPr="00694C2D">
        <w:t xml:space="preserve">Cílem Informace o nasazení sil a prostředků </w:t>
      </w:r>
      <w:r w:rsidRPr="00694C2D">
        <w:rPr>
          <w:bCs/>
        </w:rPr>
        <w:t xml:space="preserve">rezortu Ministerstva obrany </w:t>
      </w:r>
      <w:r w:rsidRPr="00694C2D">
        <w:t>v z</w:t>
      </w:r>
      <w:r w:rsidR="00FB7073">
        <w:t>ahraničních operacích v roce 2020</w:t>
      </w:r>
      <w:r w:rsidRPr="00694C2D">
        <w:t xml:space="preserve"> (</w:t>
      </w:r>
      <w:r w:rsidR="00D522AB">
        <w:t xml:space="preserve">dále jen </w:t>
      </w:r>
      <w:r w:rsidR="004C2B34">
        <w:t>„</w:t>
      </w:r>
      <w:r w:rsidRPr="00694C2D">
        <w:t>Informace</w:t>
      </w:r>
      <w:r w:rsidR="004C2B34">
        <w:t>“</w:t>
      </w:r>
      <w:r w:rsidRPr="00694C2D">
        <w:t xml:space="preserve">) je seznámit vládu </w:t>
      </w:r>
      <w:r w:rsidR="00605FE6">
        <w:t xml:space="preserve">a Parlament České republiky </w:t>
      </w:r>
      <w:r w:rsidRPr="00694C2D">
        <w:t>s politickými, vojenskými a finančními aspekty působení v z</w:t>
      </w:r>
      <w:r w:rsidR="00FB7073">
        <w:t>ahraničních operacích v roce 2020</w:t>
      </w:r>
      <w:r w:rsidRPr="00694C2D">
        <w:t xml:space="preserve">. </w:t>
      </w:r>
      <w:r>
        <w:t>Materiál</w:t>
      </w:r>
      <w:r w:rsidRPr="00694C2D">
        <w:t xml:space="preserve"> </w:t>
      </w:r>
      <w:r>
        <w:t xml:space="preserve">obsahuje hodnocení </w:t>
      </w:r>
      <w:r w:rsidRPr="00694C2D">
        <w:t>politicko-bezpečnostní situac</w:t>
      </w:r>
      <w:r>
        <w:t>e</w:t>
      </w:r>
      <w:r w:rsidRPr="00694C2D">
        <w:t xml:space="preserve"> v jednotlivých zemích, </w:t>
      </w:r>
      <w:r w:rsidR="007C20D4">
        <w:t xml:space="preserve">informace o </w:t>
      </w:r>
      <w:r w:rsidRPr="00694C2D">
        <w:t>operační</w:t>
      </w:r>
      <w:r>
        <w:t>ch</w:t>
      </w:r>
      <w:r w:rsidRPr="00694C2D">
        <w:t xml:space="preserve"> úkol</w:t>
      </w:r>
      <w:r w:rsidR="007C20D4">
        <w:t>ech</w:t>
      </w:r>
      <w:r w:rsidRPr="00694C2D">
        <w:t xml:space="preserve"> </w:t>
      </w:r>
      <w:r w:rsidR="00EA1F87">
        <w:t>nasazených sil</w:t>
      </w:r>
      <w:r w:rsidRPr="00694C2D">
        <w:t xml:space="preserve"> </w:t>
      </w:r>
      <w:r w:rsidR="0000742C">
        <w:rPr>
          <w:bCs/>
        </w:rPr>
        <w:t xml:space="preserve">rezortu </w:t>
      </w:r>
      <w:r w:rsidR="00605FE6">
        <w:rPr>
          <w:bCs/>
        </w:rPr>
        <w:t>Ministerstva obrany (</w:t>
      </w:r>
      <w:r w:rsidR="0000742C">
        <w:rPr>
          <w:bCs/>
        </w:rPr>
        <w:t>MO</w:t>
      </w:r>
      <w:r w:rsidR="00605FE6">
        <w:rPr>
          <w:bCs/>
        </w:rPr>
        <w:t>)</w:t>
      </w:r>
      <w:r w:rsidRPr="00694C2D">
        <w:rPr>
          <w:bCs/>
        </w:rPr>
        <w:t xml:space="preserve"> </w:t>
      </w:r>
      <w:r w:rsidRPr="00694C2D">
        <w:t xml:space="preserve">v místech působení a čerpání finančních prostředků v jednotlivých operacích za sledované období. </w:t>
      </w:r>
    </w:p>
    <w:p w:rsidR="008176D1" w:rsidRPr="00DE0DBD" w:rsidRDefault="008176D1" w:rsidP="00F95A45">
      <w:pPr>
        <w:spacing w:before="120" w:line="276" w:lineRule="auto"/>
        <w:ind w:firstLine="709"/>
        <w:jc w:val="both"/>
      </w:pPr>
      <w:r w:rsidRPr="009F4286">
        <w:t xml:space="preserve">Informace </w:t>
      </w:r>
      <w:r w:rsidR="008132A1" w:rsidRPr="009F4286">
        <w:t>se</w:t>
      </w:r>
      <w:r w:rsidRPr="009F4286">
        <w:t xml:space="preserve"> předk</w:t>
      </w:r>
      <w:r w:rsidR="008132A1" w:rsidRPr="009F4286">
        <w:t>ládá</w:t>
      </w:r>
      <w:r w:rsidRPr="009F4286">
        <w:t xml:space="preserve"> v souladu </w:t>
      </w:r>
      <w:r w:rsidR="004A0118" w:rsidRPr="009F4286">
        <w:t>s</w:t>
      </w:r>
      <w:r w:rsidR="00F21DBD" w:rsidRPr="009F4286">
        <w:t xml:space="preserve"> </w:t>
      </w:r>
      <w:r w:rsidRPr="009F4286">
        <w:t>usnesením</w:t>
      </w:r>
      <w:r w:rsidR="0086065F" w:rsidRPr="009F4286">
        <w:t>i</w:t>
      </w:r>
      <w:r w:rsidRPr="009F4286">
        <w:t xml:space="preserve"> Poslanecké sněmovny Parlamentu ČR ze dne </w:t>
      </w:r>
      <w:r w:rsidR="00F21DBD" w:rsidRPr="009F4286">
        <w:t>1</w:t>
      </w:r>
      <w:r w:rsidRPr="009F4286">
        <w:t>. června 201</w:t>
      </w:r>
      <w:r w:rsidR="00F21DBD" w:rsidRPr="009F4286">
        <w:t>8 č. 260</w:t>
      </w:r>
      <w:r w:rsidRPr="009F4286">
        <w:t xml:space="preserve"> a Senátu Parlamentu ČR ze dne </w:t>
      </w:r>
      <w:r w:rsidR="00F21DBD" w:rsidRPr="009F4286">
        <w:t>17. května 2018 č. 429</w:t>
      </w:r>
      <w:r w:rsidRPr="009F4286">
        <w:t>.</w:t>
      </w:r>
      <w:r w:rsidR="00EA7D73" w:rsidRPr="009F4286">
        <w:t xml:space="preserve"> Na</w:t>
      </w:r>
      <w:r w:rsidR="00EA7D73">
        <w:t xml:space="preserve"> základě usnesení Poslanecké sněmovny Parlamentu ČR ze dne 27. října 2020 č. 1319 a</w:t>
      </w:r>
      <w:r w:rsidR="00A45A07">
        <w:t> </w:t>
      </w:r>
      <w:r w:rsidR="00EA7D73">
        <w:t>usnesení Senátu Parlamentu ČR ze dne 12. srpna 2020 č. 483 je součástí materiálu též informace o působení sil a prostředků rezortu Ministerstva obrany v rámci boje proti terorismu v Mali, Nigeru a Čadu.</w:t>
      </w:r>
    </w:p>
    <w:p w:rsidR="008176D1" w:rsidRPr="00694C2D" w:rsidRDefault="008176D1" w:rsidP="00F95A45">
      <w:pPr>
        <w:spacing w:before="120" w:line="276" w:lineRule="auto"/>
        <w:ind w:firstLine="709"/>
        <w:jc w:val="both"/>
      </w:pPr>
      <w:r w:rsidRPr="00694C2D">
        <w:t xml:space="preserve">Financování působení sil a prostředků rezortu </w:t>
      </w:r>
      <w:r w:rsidR="00605FE6">
        <w:t xml:space="preserve">MO </w:t>
      </w:r>
      <w:r w:rsidRPr="00694C2D">
        <w:t xml:space="preserve">ve všech zahraničních operacích v hodnoceném období bylo zabezpečeno z rozpočtové kapitoly MO v celkové výši </w:t>
      </w:r>
      <w:r w:rsidR="00D2143E">
        <w:rPr>
          <w:b/>
          <w:bCs/>
          <w:color w:val="000000"/>
        </w:rPr>
        <w:t>971 </w:t>
      </w:r>
      <w:r w:rsidR="00D2143E" w:rsidRPr="00B211FB">
        <w:rPr>
          <w:b/>
          <w:bCs/>
          <w:color w:val="000000"/>
        </w:rPr>
        <w:t>739 </w:t>
      </w:r>
      <w:r w:rsidR="00D2143E" w:rsidRPr="00B211FB">
        <w:rPr>
          <w:b/>
        </w:rPr>
        <w:t>tis. Kč</w:t>
      </w:r>
      <w:r w:rsidR="00D2143E">
        <w:rPr>
          <w:b/>
        </w:rPr>
        <w:t>.</w:t>
      </w:r>
    </w:p>
    <w:p w:rsidR="008176D1" w:rsidRPr="00694C2D" w:rsidRDefault="008176D1" w:rsidP="00F95A45">
      <w:pPr>
        <w:spacing w:before="120" w:line="276" w:lineRule="auto"/>
        <w:ind w:firstLine="709"/>
        <w:jc w:val="both"/>
      </w:pPr>
      <w:r>
        <w:t>M</w:t>
      </w:r>
      <w:r w:rsidRPr="00694C2D">
        <w:t xml:space="preserve">ateriál </w:t>
      </w:r>
      <w:r>
        <w:t>dále</w:t>
      </w:r>
      <w:r w:rsidRPr="00694C2D">
        <w:t xml:space="preserve"> informuje o využití peněžního daru do zahraničí na financování projektů rychlého dopadu (</w:t>
      </w:r>
      <w:r w:rsidR="00605FE6">
        <w:t>QIP</w:t>
      </w:r>
      <w:r w:rsidR="00DC1225">
        <w:t>/</w:t>
      </w:r>
      <w:proofErr w:type="spellStart"/>
      <w:r w:rsidRPr="00694C2D">
        <w:t>Quick</w:t>
      </w:r>
      <w:proofErr w:type="spellEnd"/>
      <w:r w:rsidRPr="00694C2D">
        <w:t xml:space="preserve"> </w:t>
      </w:r>
      <w:proofErr w:type="spellStart"/>
      <w:r w:rsidRPr="00694C2D">
        <w:t>Impact</w:t>
      </w:r>
      <w:proofErr w:type="spellEnd"/>
      <w:r w:rsidRPr="00694C2D">
        <w:t xml:space="preserve"> </w:t>
      </w:r>
      <w:proofErr w:type="spellStart"/>
      <w:r w:rsidRPr="00694C2D">
        <w:t>Projec</w:t>
      </w:r>
      <w:r>
        <w:t>ts</w:t>
      </w:r>
      <w:proofErr w:type="spellEnd"/>
      <w:r>
        <w:t>) v rámci působení sil a </w:t>
      </w:r>
      <w:r w:rsidRPr="00694C2D">
        <w:t xml:space="preserve">prostředků rezortu </w:t>
      </w:r>
      <w:r w:rsidR="007171CD">
        <w:t>MO</w:t>
      </w:r>
      <w:r w:rsidRPr="00694C2D">
        <w:t xml:space="preserve"> v z</w:t>
      </w:r>
      <w:r w:rsidR="006834C3">
        <w:t>ahraničních operacích v roce 2020</w:t>
      </w:r>
      <w:r w:rsidRPr="00694C2D">
        <w:t>.</w:t>
      </w:r>
    </w:p>
    <w:p w:rsidR="00663ED8" w:rsidRDefault="008176D1" w:rsidP="00663ED8">
      <w:pPr>
        <w:spacing w:before="120" w:line="276" w:lineRule="auto"/>
        <w:ind w:firstLine="709"/>
        <w:jc w:val="both"/>
      </w:pPr>
      <w:r w:rsidRPr="00694C2D">
        <w:t xml:space="preserve">Na základě usnesení Bezpečnostní rady státu ze dne 9. června 2015 č. 30 je přílohou materiálu Informace o stavu zapojení České </w:t>
      </w:r>
      <w:r w:rsidR="006834C3">
        <w:t>republiky do misí OSN v roce 2020</w:t>
      </w:r>
      <w:r>
        <w:t xml:space="preserve"> a o </w:t>
      </w:r>
      <w:r w:rsidRPr="00694C2D">
        <w:t>příležitostech a možnostech pro působení České republiky v těchto misích.</w:t>
      </w:r>
      <w:r w:rsidR="00663ED8" w:rsidRPr="00663ED8">
        <w:t xml:space="preserve"> </w:t>
      </w:r>
    </w:p>
    <w:p w:rsidR="00663ED8" w:rsidRDefault="00663ED8" w:rsidP="00663ED8">
      <w:pPr>
        <w:spacing w:before="120" w:line="276" w:lineRule="auto"/>
        <w:ind w:firstLine="709"/>
        <w:jc w:val="both"/>
      </w:pPr>
      <w:r>
        <w:t xml:space="preserve">Do působení českých vojáků v zahraničních operacích v roce 2020 se promítly 3 hlavní události, které ovlivňovaly jak vlastní činnost vojáků </w:t>
      </w:r>
      <w:r w:rsidR="00C92522">
        <w:t xml:space="preserve">v </w:t>
      </w:r>
      <w:r>
        <w:t xml:space="preserve">operacích, tak i vyčleňování a přípravu nových jednotek a jednotlivců pro jejich střídání: 1) došlo k zásadnímu snížení českého vojenského příspěvku v Afghánistánu, a to v souvislosti s postupným ukončováním stávající podoby mise </w:t>
      </w:r>
      <w:proofErr w:type="spellStart"/>
      <w:r>
        <w:t>Resolute</w:t>
      </w:r>
      <w:proofErr w:type="spellEnd"/>
      <w:r>
        <w:t xml:space="preserve"> Support, 2) úspěšné velení mnohonárodním silám ve výcvikové misi EU v Mali posílilo ambice ČR pro budoucí působení v zahraničních operacích a 3) na všech zahraničních operacích se negativně podepsala zásadní omezení v souvislosti s pandemií COVID</w:t>
      </w:r>
      <w:r w:rsidR="00161C53">
        <w:t>-</w:t>
      </w:r>
      <w:r>
        <w:t>19.</w:t>
      </w:r>
    </w:p>
    <w:p w:rsidR="00694C2D" w:rsidRPr="00EF4476" w:rsidRDefault="00D51D2E" w:rsidP="00EB1F0F">
      <w:pPr>
        <w:numPr>
          <w:ilvl w:val="0"/>
          <w:numId w:val="15"/>
        </w:numPr>
        <w:spacing w:before="360" w:after="120" w:line="288" w:lineRule="auto"/>
        <w:ind w:left="357" w:hanging="357"/>
        <w:jc w:val="both"/>
        <w:rPr>
          <w:b/>
          <w:bCs/>
        </w:rPr>
      </w:pPr>
      <w:r>
        <w:br w:type="page"/>
      </w:r>
      <w:r w:rsidR="00694C2D" w:rsidRPr="00EF4476">
        <w:rPr>
          <w:b/>
          <w:bCs/>
        </w:rPr>
        <w:lastRenderedPageBreak/>
        <w:t>Afghánistán</w:t>
      </w:r>
    </w:p>
    <w:p w:rsidR="00694C2D" w:rsidRPr="00EF4476" w:rsidRDefault="00694C2D" w:rsidP="005407A4">
      <w:pPr>
        <w:keepNext/>
        <w:numPr>
          <w:ilvl w:val="1"/>
          <w:numId w:val="3"/>
        </w:numPr>
        <w:spacing w:before="240" w:line="276" w:lineRule="auto"/>
        <w:jc w:val="both"/>
        <w:outlineLvl w:val="0"/>
        <w:rPr>
          <w:b/>
          <w:bCs/>
        </w:rPr>
      </w:pPr>
      <w:r w:rsidRPr="00EF4476">
        <w:rPr>
          <w:b/>
          <w:bCs/>
        </w:rPr>
        <w:t>Politicko-bezpečnostní situace</w:t>
      </w:r>
    </w:p>
    <w:p w:rsidR="0000742C" w:rsidRDefault="0000742C" w:rsidP="0000742C">
      <w:pPr>
        <w:spacing w:before="120" w:line="276" w:lineRule="auto"/>
        <w:ind w:firstLine="709"/>
        <w:jc w:val="both"/>
      </w:pPr>
      <w:r>
        <w:t xml:space="preserve">Rok 2020 byl pro Afghánistán rokem </w:t>
      </w:r>
      <w:r w:rsidR="00EF1649">
        <w:t>významných změn</w:t>
      </w:r>
      <w:r>
        <w:t xml:space="preserve">. Došlo k podepsání dohody mezi USA a hnutím Tálibán, bylo zahájeno postupné snižování počtu spojeneckých jednotek v zemi, byly zahájeny vnitro-afghánské mírové rozhovory a ve funkci prezidenta byl po volbách ze září 2019 definitivně potvrzen dosavadní prezident </w:t>
      </w:r>
      <w:proofErr w:type="spellStart"/>
      <w:r>
        <w:t>Ašraf</w:t>
      </w:r>
      <w:proofErr w:type="spellEnd"/>
      <w:r>
        <w:t xml:space="preserve"> </w:t>
      </w:r>
      <w:proofErr w:type="spellStart"/>
      <w:r>
        <w:t>Ghání</w:t>
      </w:r>
      <w:proofErr w:type="spellEnd"/>
      <w:r>
        <w:t xml:space="preserve"> se ziskem 50,6 % hlasů.</w:t>
      </w:r>
    </w:p>
    <w:p w:rsidR="0000742C" w:rsidRDefault="0000742C" w:rsidP="0000742C">
      <w:pPr>
        <w:spacing w:before="120" w:line="276" w:lineRule="auto"/>
        <w:ind w:firstLine="709"/>
        <w:jc w:val="both"/>
      </w:pPr>
      <w:r>
        <w:t xml:space="preserve">Zvláštní představitel USA pro Afghánistán </w:t>
      </w:r>
      <w:proofErr w:type="spellStart"/>
      <w:r>
        <w:t>Zalmay</w:t>
      </w:r>
      <w:proofErr w:type="spellEnd"/>
      <w:r>
        <w:t xml:space="preserve"> </w:t>
      </w:r>
      <w:proofErr w:type="spellStart"/>
      <w:r>
        <w:t>Khalizalad</w:t>
      </w:r>
      <w:proofErr w:type="spellEnd"/>
      <w:r>
        <w:t xml:space="preserve"> a Abdul </w:t>
      </w:r>
      <w:proofErr w:type="spellStart"/>
      <w:r>
        <w:t>Ghání</w:t>
      </w:r>
      <w:proofErr w:type="spellEnd"/>
      <w:r>
        <w:t xml:space="preserve"> </w:t>
      </w:r>
      <w:proofErr w:type="spellStart"/>
      <w:r>
        <w:t>Baradar</w:t>
      </w:r>
      <w:proofErr w:type="spellEnd"/>
      <w:r>
        <w:t>, vedoucí politické kanceláře Tálibánu v Kataru, pode</w:t>
      </w:r>
      <w:r w:rsidR="00945F27">
        <w:t>psali v katarském Dauhá dne 29. </w:t>
      </w:r>
      <w:r>
        <w:t>února 2020 za přítomnosti ministra zahranič</w:t>
      </w:r>
      <w:r w:rsidR="00746142">
        <w:t>í</w:t>
      </w:r>
      <w:r>
        <w:t xml:space="preserve"> USA Mika </w:t>
      </w:r>
      <w:proofErr w:type="spellStart"/>
      <w:r>
        <w:t>Pompea</w:t>
      </w:r>
      <w:proofErr w:type="spellEnd"/>
      <w:r>
        <w:t xml:space="preserve"> Dohodu pro mír v Afghánistánu mezi USA a hnutím Tálibán. Dohodě předcházelo vydání Společné deklarace pro mír v Afghánistánu afghánské vlády a USA, kterou stvrdili prezident </w:t>
      </w:r>
      <w:proofErr w:type="spellStart"/>
      <w:r>
        <w:t>Ašraf</w:t>
      </w:r>
      <w:proofErr w:type="spellEnd"/>
      <w:r>
        <w:t xml:space="preserve"> </w:t>
      </w:r>
      <w:proofErr w:type="spellStart"/>
      <w:r>
        <w:t>Ghání</w:t>
      </w:r>
      <w:proofErr w:type="spellEnd"/>
      <w:r>
        <w:t xml:space="preserve"> společně s ministrem obrany USA Markem </w:t>
      </w:r>
      <w:proofErr w:type="spellStart"/>
      <w:r>
        <w:t>Esperem</w:t>
      </w:r>
      <w:proofErr w:type="spellEnd"/>
      <w:r>
        <w:t xml:space="preserve"> za účasti generálního tajemníka NATO </w:t>
      </w:r>
      <w:proofErr w:type="spellStart"/>
      <w:r>
        <w:t>Jense</w:t>
      </w:r>
      <w:proofErr w:type="spellEnd"/>
      <w:r>
        <w:t xml:space="preserve"> </w:t>
      </w:r>
      <w:proofErr w:type="spellStart"/>
      <w:r>
        <w:t>Stoltenberga</w:t>
      </w:r>
      <w:proofErr w:type="spellEnd"/>
      <w:r>
        <w:t>.</w:t>
      </w:r>
    </w:p>
    <w:p w:rsidR="0000742C" w:rsidRDefault="0000742C" w:rsidP="0000742C">
      <w:pPr>
        <w:spacing w:before="120" w:line="276" w:lineRule="auto"/>
        <w:ind w:firstLine="709"/>
        <w:jc w:val="both"/>
      </w:pPr>
      <w:r>
        <w:t xml:space="preserve">Cílem dohody bylo odblokovat patovou situaci a předat mírový proces do rukou Afghánců. Dohoda mimo jiné </w:t>
      </w:r>
      <w:r w:rsidR="009702BC">
        <w:t>obsahovala</w:t>
      </w:r>
      <w:r>
        <w:t xml:space="preserve"> podmínku za</w:t>
      </w:r>
      <w:r w:rsidR="009702BC">
        <w:t>stavení útoků hnutí Tálibán na spojenecké</w:t>
      </w:r>
      <w:r>
        <w:t xml:space="preserve"> jednotky v Afghánistánu, zahájení vnitro-a</w:t>
      </w:r>
      <w:r w:rsidR="009702BC">
        <w:t>fghánských mírových rozhovorů a </w:t>
      </w:r>
      <w:r>
        <w:t xml:space="preserve">postupné snižování </w:t>
      </w:r>
      <w:r w:rsidR="009702BC">
        <w:t xml:space="preserve">vojenské přítomnosti </w:t>
      </w:r>
      <w:r>
        <w:t>USA a dalších spojenců</w:t>
      </w:r>
      <w:r w:rsidR="009702BC">
        <w:t xml:space="preserve"> v zemi</w:t>
      </w:r>
      <w:r>
        <w:t>. Při oboustranném dodržení dohody má dojít do 14 měsíců od jejího podpisu k úplnému stažení zahraničních jednotek ze země (k 30. 4. 2021).</w:t>
      </w:r>
    </w:p>
    <w:p w:rsidR="00BD761D" w:rsidRDefault="00BD761D" w:rsidP="00BD761D">
      <w:pPr>
        <w:spacing w:before="120" w:line="276" w:lineRule="auto"/>
        <w:ind w:firstLine="709"/>
        <w:jc w:val="both"/>
      </w:pPr>
      <w:r>
        <w:t xml:space="preserve">Vnitro-afghánské mírové rozhovory, které měly plynule navázat na podepsání dohody, se podařilo zahájit až 12. září 2020 v katarském Dauhá. Hlavním důvodem zdržení bylo naplnění podmínky výměny zajatců mezi vládou a hnutím Tálibán, ale také dlouhodobé vnitropolitické rozpory mezi prezidentem </w:t>
      </w:r>
      <w:proofErr w:type="spellStart"/>
      <w:r>
        <w:t>Gháním</w:t>
      </w:r>
      <w:proofErr w:type="spellEnd"/>
      <w:r>
        <w:t xml:space="preserve"> a jeho hlavním politickým rivalem </w:t>
      </w:r>
      <w:proofErr w:type="spellStart"/>
      <w:r>
        <w:t>Abdulláhem</w:t>
      </w:r>
      <w:proofErr w:type="spellEnd"/>
      <w:r>
        <w:t xml:space="preserve"> </w:t>
      </w:r>
      <w:proofErr w:type="spellStart"/>
      <w:r>
        <w:t>Abdulláhem</w:t>
      </w:r>
      <w:proofErr w:type="spellEnd"/>
      <w:r>
        <w:t>. Politický pat po prezidentských volbách byl ukončen dohodou mezi oběma hlavními aktéry ustanovením Vysoké rady pro národní usmíření („</w:t>
      </w:r>
      <w:proofErr w:type="spellStart"/>
      <w:r>
        <w:t>High</w:t>
      </w:r>
      <w:proofErr w:type="spellEnd"/>
      <w:r>
        <w:t xml:space="preserve"> </w:t>
      </w:r>
      <w:proofErr w:type="spellStart"/>
      <w:r>
        <w:t>Council</w:t>
      </w:r>
      <w:proofErr w:type="spellEnd"/>
      <w:r>
        <w:t xml:space="preserve"> </w:t>
      </w:r>
      <w:proofErr w:type="spellStart"/>
      <w:r>
        <w:t>for</w:t>
      </w:r>
      <w:proofErr w:type="spellEnd"/>
      <w:r>
        <w:t xml:space="preserve"> </w:t>
      </w:r>
      <w:proofErr w:type="spellStart"/>
      <w:r>
        <w:t>National</w:t>
      </w:r>
      <w:proofErr w:type="spellEnd"/>
      <w:r>
        <w:t xml:space="preserve"> </w:t>
      </w:r>
      <w:proofErr w:type="spellStart"/>
      <w:r>
        <w:t>Reconciliation</w:t>
      </w:r>
      <w:proofErr w:type="spellEnd"/>
      <w:r>
        <w:t xml:space="preserve">“) a jmenováním </w:t>
      </w:r>
      <w:proofErr w:type="spellStart"/>
      <w:r>
        <w:t>Abdulláha</w:t>
      </w:r>
      <w:proofErr w:type="spellEnd"/>
      <w:r>
        <w:t xml:space="preserve"> </w:t>
      </w:r>
      <w:proofErr w:type="spellStart"/>
      <w:r>
        <w:t>Abdulláha</w:t>
      </w:r>
      <w:proofErr w:type="spellEnd"/>
      <w:r>
        <w:t xml:space="preserve"> do jejího čela.</w:t>
      </w:r>
    </w:p>
    <w:p w:rsidR="00BD761D" w:rsidRDefault="00BD761D" w:rsidP="00BD761D">
      <w:pPr>
        <w:spacing w:before="120" w:line="276" w:lineRule="auto"/>
        <w:ind w:firstLine="709"/>
        <w:jc w:val="both"/>
      </w:pPr>
      <w:r w:rsidRPr="00A75B71">
        <w:t xml:space="preserve">Po necelých 3 měsících od zahájení jednání byla dne 2. </w:t>
      </w:r>
      <w:r>
        <w:t>prosince</w:t>
      </w:r>
      <w:r w:rsidRPr="00A75B71">
        <w:t xml:space="preserve"> 2020 dosažena shoda mezi vyjednávacími týmy hnutí Tálibán a afghánské vlády na procedurálních a technických pravidlech jednání.</w:t>
      </w:r>
      <w:r>
        <w:t xml:space="preserve"> </w:t>
      </w:r>
      <w:r w:rsidRPr="009E1261">
        <w:t xml:space="preserve">Po 20denním přerušení bylo jednání obnoveno 6. </w:t>
      </w:r>
      <w:r>
        <w:t>ledna</w:t>
      </w:r>
      <w:r w:rsidRPr="009E1261">
        <w:t xml:space="preserve"> 2021 opět v katarském Dauhá.</w:t>
      </w:r>
    </w:p>
    <w:p w:rsidR="00BD761D" w:rsidRDefault="00BD761D" w:rsidP="00BD761D">
      <w:pPr>
        <w:spacing w:before="120" w:line="276" w:lineRule="auto"/>
        <w:ind w:firstLine="709"/>
        <w:jc w:val="both"/>
      </w:pPr>
      <w:r w:rsidRPr="009E1261">
        <w:t xml:space="preserve">V Ženevě </w:t>
      </w:r>
      <w:r>
        <w:t xml:space="preserve">se </w:t>
      </w:r>
      <w:r w:rsidRPr="009E1261">
        <w:t>ve dnech 23</w:t>
      </w:r>
      <w:r w:rsidR="00161C53">
        <w:t>.</w:t>
      </w:r>
      <w:r w:rsidR="00605FE6">
        <w:t> </w:t>
      </w:r>
      <w:r w:rsidRPr="009E1261">
        <w:t>-</w:t>
      </w:r>
      <w:r w:rsidR="00605FE6">
        <w:t> </w:t>
      </w:r>
      <w:r w:rsidRPr="009E1261">
        <w:t xml:space="preserve">24. </w:t>
      </w:r>
      <w:r>
        <w:t xml:space="preserve">listopadu </w:t>
      </w:r>
      <w:r w:rsidRPr="009E1261">
        <w:t xml:space="preserve">2020 </w:t>
      </w:r>
      <w:r>
        <w:t xml:space="preserve">konala </w:t>
      </w:r>
      <w:r w:rsidRPr="009E1261">
        <w:t xml:space="preserve">pod záštitou OSN a Finska dárcovská konference pro Afghánistán, na které bylo pro rok 2021 přislíbeno téměř 3,3 mld. USD. </w:t>
      </w:r>
      <w:r>
        <w:t xml:space="preserve">Zazněly vážné </w:t>
      </w:r>
      <w:r w:rsidRPr="009E1261">
        <w:t>výzvy ke snížení míry násilí, ale také k boji proti korupci, podpoře demokratických hodnot (republiky),</w:t>
      </w:r>
      <w:r>
        <w:t xml:space="preserve"> </w:t>
      </w:r>
      <w:r w:rsidRPr="009E1261">
        <w:t>dodržování lidských práv včetně práv žen, dětí a menšin, zlepšení úrovně vládnutí</w:t>
      </w:r>
      <w:r>
        <w:t xml:space="preserve"> a</w:t>
      </w:r>
      <w:r w:rsidRPr="009E1261">
        <w:t xml:space="preserve"> zvýšení a udržení úrovně života obyvatel Afghánistánu.</w:t>
      </w:r>
    </w:p>
    <w:p w:rsidR="0000742C" w:rsidRDefault="0000742C" w:rsidP="0000742C">
      <w:pPr>
        <w:spacing w:before="120" w:line="276" w:lineRule="auto"/>
        <w:ind w:firstLine="709"/>
        <w:jc w:val="both"/>
      </w:pPr>
      <w:r>
        <w:t>Navzdory uzavření dohody</w:t>
      </w:r>
      <w:r w:rsidR="00BD761D">
        <w:t xml:space="preserve"> mezi USA a hnutím Tálibán</w:t>
      </w:r>
      <w:r>
        <w:t xml:space="preserve"> </w:t>
      </w:r>
      <w:r w:rsidR="00BD761D">
        <w:t xml:space="preserve">zůstávala </w:t>
      </w:r>
      <w:r>
        <w:t>bezpečnostní situace</w:t>
      </w:r>
      <w:r w:rsidR="00BD761D">
        <w:t xml:space="preserve"> v zemi</w:t>
      </w:r>
      <w:r>
        <w:t xml:space="preserve"> </w:t>
      </w:r>
      <w:r w:rsidR="009702BC">
        <w:t>i nadále</w:t>
      </w:r>
      <w:r>
        <w:t xml:space="preserve"> kritická. Ačkoliv hnutí Tálibán </w:t>
      </w:r>
      <w:r w:rsidR="009702BC">
        <w:t>dodržovalo</w:t>
      </w:r>
      <w:r>
        <w:t xml:space="preserve"> podmínku a neúto</w:t>
      </w:r>
      <w:r w:rsidR="009702BC">
        <w:t>čilo na spojence</w:t>
      </w:r>
      <w:r>
        <w:t xml:space="preserve">, míra násilí vůči Afghánským </w:t>
      </w:r>
      <w:r w:rsidR="009702BC">
        <w:t xml:space="preserve">národním obranným a </w:t>
      </w:r>
      <w:r>
        <w:t>bezpečnostním silám (ANDSF</w:t>
      </w:r>
      <w:r w:rsidR="009702BC">
        <w:t>/</w:t>
      </w:r>
      <w:proofErr w:type="spellStart"/>
      <w:r w:rsidR="009702BC" w:rsidRPr="00E61FE1">
        <w:t>Afghan</w:t>
      </w:r>
      <w:proofErr w:type="spellEnd"/>
      <w:r w:rsidR="009702BC" w:rsidRPr="00E61FE1">
        <w:t xml:space="preserve"> </w:t>
      </w:r>
      <w:proofErr w:type="spellStart"/>
      <w:r w:rsidR="009702BC" w:rsidRPr="00E61FE1">
        <w:t>National</w:t>
      </w:r>
      <w:proofErr w:type="spellEnd"/>
      <w:r w:rsidR="009702BC" w:rsidRPr="00E61FE1">
        <w:t xml:space="preserve"> </w:t>
      </w:r>
      <w:proofErr w:type="spellStart"/>
      <w:r w:rsidR="009702BC" w:rsidRPr="00E61FE1">
        <w:t>Defence</w:t>
      </w:r>
      <w:proofErr w:type="spellEnd"/>
      <w:r w:rsidR="009702BC" w:rsidRPr="00E61FE1">
        <w:t xml:space="preserve"> and </w:t>
      </w:r>
      <w:proofErr w:type="spellStart"/>
      <w:r w:rsidR="009702BC" w:rsidRPr="00E61FE1">
        <w:t>Security</w:t>
      </w:r>
      <w:proofErr w:type="spellEnd"/>
      <w:r w:rsidR="009702BC" w:rsidRPr="00E61FE1">
        <w:t xml:space="preserve"> </w:t>
      </w:r>
      <w:proofErr w:type="spellStart"/>
      <w:r w:rsidR="009702BC" w:rsidRPr="00E61FE1">
        <w:t>Forces</w:t>
      </w:r>
      <w:proofErr w:type="spellEnd"/>
      <w:r w:rsidRPr="00E61FE1">
        <w:t>)</w:t>
      </w:r>
      <w:r>
        <w:t xml:space="preserve">, státnímu aparátu a místnímu obyvatelstvu postupně </w:t>
      </w:r>
      <w:r w:rsidR="00BD761D">
        <w:t>výrazně narostla</w:t>
      </w:r>
      <w:r>
        <w:t xml:space="preserve">. </w:t>
      </w:r>
      <w:r w:rsidRPr="00A75B71">
        <w:t xml:space="preserve">Hnutí Tálibán </w:t>
      </w:r>
      <w:r w:rsidR="009702BC">
        <w:t>operovalo</w:t>
      </w:r>
      <w:r w:rsidRPr="00A75B71">
        <w:t xml:space="preserve"> zejména v oblastech </w:t>
      </w:r>
      <w:proofErr w:type="spellStart"/>
      <w:r w:rsidRPr="00A75B71">
        <w:lastRenderedPageBreak/>
        <w:t>Helmand</w:t>
      </w:r>
      <w:proofErr w:type="spellEnd"/>
      <w:r w:rsidRPr="00A75B71">
        <w:t xml:space="preserve">, Kandahár a </w:t>
      </w:r>
      <w:proofErr w:type="spellStart"/>
      <w:r w:rsidRPr="00A75B71">
        <w:t>Kundúz</w:t>
      </w:r>
      <w:proofErr w:type="spellEnd"/>
      <w:r w:rsidRPr="00A75B71">
        <w:t xml:space="preserve">, ale také </w:t>
      </w:r>
      <w:r w:rsidR="00BD761D" w:rsidRPr="00A75B71">
        <w:t xml:space="preserve">již </w:t>
      </w:r>
      <w:r w:rsidR="009702BC">
        <w:t>podnikalo</w:t>
      </w:r>
      <w:r w:rsidRPr="00A75B71">
        <w:t xml:space="preserve"> útoky ve větších městech na celém území Afghánistánu, včetně Kábulu. Významně </w:t>
      </w:r>
      <w:r w:rsidR="002D0B75">
        <w:t>přibývalo</w:t>
      </w:r>
      <w:r w:rsidRPr="00A75B71">
        <w:t xml:space="preserve"> cílených útoků na novináře, představitele o</w:t>
      </w:r>
      <w:r w:rsidR="00BD761D">
        <w:t>bčanské společnosti a vládní a </w:t>
      </w:r>
      <w:r w:rsidRPr="00A75B71">
        <w:t>regionální administrativu.</w:t>
      </w:r>
      <w:r>
        <w:t xml:space="preserve"> </w:t>
      </w:r>
    </w:p>
    <w:p w:rsidR="0000742C" w:rsidRDefault="0000742C" w:rsidP="0000742C">
      <w:pPr>
        <w:spacing w:before="120" w:line="276" w:lineRule="auto"/>
        <w:ind w:firstLine="709"/>
        <w:jc w:val="both"/>
      </w:pPr>
      <w:r w:rsidRPr="00A75B71">
        <w:t>Na snížení míry násilí dlouhodobě apel</w:t>
      </w:r>
      <w:r w:rsidR="008949FE">
        <w:t>ovali</w:t>
      </w:r>
      <w:r w:rsidRPr="00A75B71">
        <w:t xml:space="preserve"> vrcholní představitelé mezinárodního společenství v čele s generálním tajemníkem NATO </w:t>
      </w:r>
      <w:proofErr w:type="spellStart"/>
      <w:r w:rsidRPr="00A75B71">
        <w:t>Jensem</w:t>
      </w:r>
      <w:proofErr w:type="spellEnd"/>
      <w:r w:rsidRPr="00A75B71">
        <w:t xml:space="preserve"> </w:t>
      </w:r>
      <w:proofErr w:type="spellStart"/>
      <w:r w:rsidRPr="00A75B71">
        <w:t>Stoltenbergem</w:t>
      </w:r>
      <w:proofErr w:type="spellEnd"/>
      <w:r w:rsidRPr="00A75B71">
        <w:t xml:space="preserve">. </w:t>
      </w:r>
      <w:r w:rsidR="00605FE6">
        <w:t xml:space="preserve">Administrativa </w:t>
      </w:r>
      <w:r w:rsidR="00746142">
        <w:t xml:space="preserve">amerického prezidenta </w:t>
      </w:r>
      <w:r w:rsidR="00605FE6">
        <w:t xml:space="preserve">Donalda </w:t>
      </w:r>
      <w:proofErr w:type="spellStart"/>
      <w:r w:rsidRPr="00A75B71">
        <w:t>Trumpa</w:t>
      </w:r>
      <w:proofErr w:type="spellEnd"/>
      <w:r w:rsidRPr="00A75B71">
        <w:t xml:space="preserve"> pokračovala ve snižování počt</w:t>
      </w:r>
      <w:r w:rsidR="00BD761D">
        <w:t>u</w:t>
      </w:r>
      <w:r w:rsidRPr="00A75B71">
        <w:t xml:space="preserve"> </w:t>
      </w:r>
      <w:r w:rsidR="00BD761D">
        <w:t xml:space="preserve">amerických </w:t>
      </w:r>
      <w:r w:rsidR="009702BC">
        <w:t>vojáků</w:t>
      </w:r>
      <w:r w:rsidRPr="00A75B71">
        <w:t xml:space="preserve"> v souladu s </w:t>
      </w:r>
      <w:r>
        <w:t>d</w:t>
      </w:r>
      <w:r w:rsidRPr="00A75B71">
        <w:t>ohod</w:t>
      </w:r>
      <w:r w:rsidR="009702BC">
        <w:t>ou, z původních přibližně 13 000 osob</w:t>
      </w:r>
      <w:r w:rsidRPr="00A75B71">
        <w:t xml:space="preserve"> před podpisem dohody na přibližně </w:t>
      </w:r>
      <w:r w:rsidR="009702BC">
        <w:t xml:space="preserve">2 500 osob </w:t>
      </w:r>
      <w:r w:rsidR="00BD761D">
        <w:t xml:space="preserve">oficiálně deklarovaných </w:t>
      </w:r>
      <w:r w:rsidR="009702BC">
        <w:t>v polovině ledna</w:t>
      </w:r>
      <w:r w:rsidRPr="00A75B71">
        <w:t xml:space="preserve"> 2021. Hnutí Tálibán </w:t>
      </w:r>
      <w:r w:rsidR="00BD761D">
        <w:t xml:space="preserve">nadále </w:t>
      </w:r>
      <w:r w:rsidR="00DA3C76">
        <w:t>vedlo vojenské operace</w:t>
      </w:r>
      <w:r w:rsidR="00A953A1">
        <w:t xml:space="preserve"> a </w:t>
      </w:r>
      <w:r w:rsidR="00DA3C76">
        <w:t>dostávalo pod svou kontrolu s</w:t>
      </w:r>
      <w:r w:rsidRPr="00A75B71">
        <w:t>tále více území</w:t>
      </w:r>
      <w:r w:rsidR="00DA3C76">
        <w:t xml:space="preserve"> Afghánistánu</w:t>
      </w:r>
      <w:r w:rsidR="00A953A1">
        <w:t>. ANDSF již provádějí 96 </w:t>
      </w:r>
      <w:r w:rsidRPr="00A75B71">
        <w:t>% všech operací</w:t>
      </w:r>
      <w:r w:rsidR="00DA3C76">
        <w:t xml:space="preserve"> samostatně</w:t>
      </w:r>
      <w:r w:rsidRPr="00A75B71">
        <w:t xml:space="preserve">, v některých případech </w:t>
      </w:r>
      <w:r w:rsidR="00F00BDB">
        <w:t xml:space="preserve">je však pro ně nadále klíčová </w:t>
      </w:r>
      <w:r w:rsidR="002D0B75">
        <w:t>vzdušn</w:t>
      </w:r>
      <w:r w:rsidR="00F00BDB">
        <w:t>á</w:t>
      </w:r>
      <w:r w:rsidR="002D0B75">
        <w:t xml:space="preserve"> podpor</w:t>
      </w:r>
      <w:r w:rsidR="00F00BDB">
        <w:t>a</w:t>
      </w:r>
      <w:r w:rsidR="002D0B75">
        <w:t xml:space="preserve"> USA. </w:t>
      </w:r>
      <w:r w:rsidRPr="00A75B71">
        <w:t xml:space="preserve">Situaci </w:t>
      </w:r>
      <w:r w:rsidR="00DA3C76">
        <w:t>v zemi také</w:t>
      </w:r>
      <w:r w:rsidRPr="00A75B71">
        <w:t xml:space="preserve"> komplik</w:t>
      </w:r>
      <w:r w:rsidR="008949FE">
        <w:t>ovala</w:t>
      </w:r>
      <w:r w:rsidRPr="00A75B71">
        <w:t xml:space="preserve"> obava </w:t>
      </w:r>
      <w:r w:rsidR="00BD761D">
        <w:t>z nástupu druhé vlny pandemie COVID</w:t>
      </w:r>
      <w:r w:rsidR="00161C53">
        <w:t>-</w:t>
      </w:r>
      <w:r w:rsidR="00BD761D">
        <w:t>19</w:t>
      </w:r>
      <w:r w:rsidR="00F00BDB">
        <w:t xml:space="preserve">, ta první byla </w:t>
      </w:r>
      <w:r w:rsidR="00231E93">
        <w:t>relativně zvládnuta.</w:t>
      </w:r>
    </w:p>
    <w:p w:rsidR="00694C2D" w:rsidRPr="00EF4476" w:rsidRDefault="00694C2D" w:rsidP="005407A4">
      <w:pPr>
        <w:keepNext/>
        <w:numPr>
          <w:ilvl w:val="1"/>
          <w:numId w:val="3"/>
        </w:numPr>
        <w:spacing w:before="240" w:line="276" w:lineRule="auto"/>
        <w:jc w:val="both"/>
        <w:outlineLvl w:val="0"/>
        <w:rPr>
          <w:b/>
          <w:bCs/>
        </w:rPr>
      </w:pPr>
      <w:r w:rsidRPr="00EF4476">
        <w:rPr>
          <w:b/>
          <w:bCs/>
        </w:rPr>
        <w:t>Působení sil a prostředků rezortu MO v</w:t>
      </w:r>
      <w:r w:rsidR="00107617" w:rsidRPr="00EF4476">
        <w:rPr>
          <w:b/>
          <w:bCs/>
        </w:rPr>
        <w:t xml:space="preserve"> misi </w:t>
      </w:r>
      <w:proofErr w:type="spellStart"/>
      <w:r w:rsidR="00107617" w:rsidRPr="00EF4476">
        <w:rPr>
          <w:b/>
          <w:bCs/>
        </w:rPr>
        <w:t>R</w:t>
      </w:r>
      <w:r w:rsidR="00605FE6">
        <w:rPr>
          <w:b/>
          <w:bCs/>
        </w:rPr>
        <w:t>esolute</w:t>
      </w:r>
      <w:proofErr w:type="spellEnd"/>
      <w:r w:rsidR="00605FE6">
        <w:rPr>
          <w:b/>
          <w:bCs/>
        </w:rPr>
        <w:t xml:space="preserve"> </w:t>
      </w:r>
      <w:r w:rsidR="00107617" w:rsidRPr="00EF4476">
        <w:rPr>
          <w:b/>
          <w:bCs/>
        </w:rPr>
        <w:t>S</w:t>
      </w:r>
      <w:r w:rsidR="00605FE6">
        <w:rPr>
          <w:b/>
          <w:bCs/>
        </w:rPr>
        <w:t>upport</w:t>
      </w:r>
    </w:p>
    <w:p w:rsidR="00B42F2A" w:rsidRPr="000B6960" w:rsidRDefault="00B42F2A" w:rsidP="00F95A45">
      <w:pPr>
        <w:spacing w:before="120" w:line="276" w:lineRule="auto"/>
        <w:ind w:firstLine="709"/>
        <w:jc w:val="both"/>
      </w:pPr>
      <w:r w:rsidRPr="000B6960">
        <w:t xml:space="preserve">Mandát pro působení sil a prostředků </w:t>
      </w:r>
      <w:r w:rsidR="002D75E9">
        <w:t xml:space="preserve">rezortu </w:t>
      </w:r>
      <w:r w:rsidRPr="000B6960">
        <w:t xml:space="preserve">MO v misi </w:t>
      </w:r>
      <w:proofErr w:type="spellStart"/>
      <w:r w:rsidRPr="000B6960">
        <w:t>R</w:t>
      </w:r>
      <w:r w:rsidR="00605FE6">
        <w:t>esolute</w:t>
      </w:r>
      <w:proofErr w:type="spellEnd"/>
      <w:r w:rsidRPr="000B6960">
        <w:t xml:space="preserve"> S</w:t>
      </w:r>
      <w:r w:rsidR="00605FE6">
        <w:t>upport</w:t>
      </w:r>
      <w:r w:rsidRPr="000B6960">
        <w:t xml:space="preserve"> </w:t>
      </w:r>
      <w:r w:rsidR="00BD761D">
        <w:t>(RSM)</w:t>
      </w:r>
      <w:r w:rsidR="000C3E01">
        <w:t xml:space="preserve"> </w:t>
      </w:r>
      <w:r w:rsidR="00EA1F87">
        <w:t>v </w:t>
      </w:r>
      <w:r w:rsidR="000431B1">
        <w:t>roce</w:t>
      </w:r>
      <w:r w:rsidR="00DA3C76">
        <w:t xml:space="preserve"> 2020</w:t>
      </w:r>
      <w:r w:rsidRPr="000B6960">
        <w:t xml:space="preserve"> byl stanoven do 390 osob.</w:t>
      </w:r>
    </w:p>
    <w:p w:rsidR="005277CC" w:rsidRDefault="005277CC" w:rsidP="00F95A45">
      <w:pPr>
        <w:spacing w:before="120" w:line="276" w:lineRule="auto"/>
        <w:ind w:firstLine="709"/>
        <w:jc w:val="both"/>
      </w:pPr>
      <w:r>
        <w:t xml:space="preserve">V roce 2020 došlo k zásadnímu vývoji v </w:t>
      </w:r>
      <w:r w:rsidR="000C3E01">
        <w:t>RSM</w:t>
      </w:r>
      <w:r>
        <w:t>, který ov</w:t>
      </w:r>
      <w:r w:rsidR="00605FE6">
        <w:t>livnilo rozhodnutí prezidenta Donalda</w:t>
      </w:r>
      <w:r>
        <w:t xml:space="preserve"> </w:t>
      </w:r>
      <w:proofErr w:type="spellStart"/>
      <w:r>
        <w:t>Trumpa</w:t>
      </w:r>
      <w:proofErr w:type="spellEnd"/>
      <w:r>
        <w:t xml:space="preserve"> o celkovém snížení amerických sil ve světě, únorové uzavření </w:t>
      </w:r>
      <w:r w:rsidR="00C95178">
        <w:t>„</w:t>
      </w:r>
      <w:r>
        <w:t>mírové dohody</w:t>
      </w:r>
      <w:r w:rsidR="00C95178">
        <w:t>“</w:t>
      </w:r>
      <w:r>
        <w:t xml:space="preserve"> mezi USA a Tálibánem a v neposlední řadě </w:t>
      </w:r>
      <w:r w:rsidR="00C95178">
        <w:t>dopady</w:t>
      </w:r>
      <w:r>
        <w:t xml:space="preserve"> celosvětové pandemie COV</w:t>
      </w:r>
      <w:r w:rsidR="00D866DB">
        <w:t>ID-</w:t>
      </w:r>
      <w:r>
        <w:t>19.</w:t>
      </w:r>
    </w:p>
    <w:p w:rsidR="005277CC" w:rsidRDefault="005277CC" w:rsidP="00F95A45">
      <w:pPr>
        <w:spacing w:before="120" w:line="276" w:lineRule="auto"/>
        <w:ind w:firstLine="709"/>
        <w:jc w:val="both"/>
      </w:pPr>
      <w:r>
        <w:t>Č</w:t>
      </w:r>
      <w:r w:rsidR="00231E93">
        <w:t>R</w:t>
      </w:r>
      <w:r>
        <w:t>, podobně jako ostatní spojenci</w:t>
      </w:r>
      <w:r w:rsidR="00C95178">
        <w:t>,</w:t>
      </w:r>
      <w:r>
        <w:t xml:space="preserve"> zahájila postu</w:t>
      </w:r>
      <w:r w:rsidR="00C95178">
        <w:t>pnou</w:t>
      </w:r>
      <w:r>
        <w:t xml:space="preserve"> </w:t>
      </w:r>
      <w:r w:rsidR="00C95178">
        <w:t>redukci</w:t>
      </w:r>
      <w:r>
        <w:t xml:space="preserve"> vlastní vojenské přítomnosti v</w:t>
      </w:r>
      <w:r w:rsidR="00C95178">
        <w:t> </w:t>
      </w:r>
      <w:r>
        <w:t>RSM</w:t>
      </w:r>
      <w:r w:rsidR="00C95178">
        <w:t>,</w:t>
      </w:r>
      <w:r>
        <w:t xml:space="preserve"> čímž došlo ke snížení o téměř 300 vojáků na </w:t>
      </w:r>
      <w:r w:rsidR="00913218">
        <w:t>konečných</w:t>
      </w:r>
      <w:r>
        <w:t xml:space="preserve"> 5</w:t>
      </w:r>
      <w:r w:rsidR="0096643C">
        <w:t>5</w:t>
      </w:r>
      <w:r w:rsidR="00913218">
        <w:t> </w:t>
      </w:r>
      <w:r>
        <w:t xml:space="preserve">osob v závěru </w:t>
      </w:r>
      <w:r w:rsidR="00913218">
        <w:t xml:space="preserve">roku </w:t>
      </w:r>
      <w:r>
        <w:t>2020.</w:t>
      </w:r>
      <w:r w:rsidR="00401760">
        <w:t xml:space="preserve"> Při vlastní redukci vycházelo velení A</w:t>
      </w:r>
      <w:r w:rsidR="0029430C">
        <w:t>rmády České republiky (AČR)</w:t>
      </w:r>
      <w:r w:rsidR="00401760">
        <w:t xml:space="preserve"> z a</w:t>
      </w:r>
      <w:r w:rsidR="0096643C">
        <w:t>liančních plánovacích procesů a </w:t>
      </w:r>
      <w:r w:rsidR="00401760">
        <w:t xml:space="preserve">požadavků na vyčleňované schopnosti a </w:t>
      </w:r>
      <w:r w:rsidR="0096643C">
        <w:t>pravidelně</w:t>
      </w:r>
      <w:r w:rsidR="00401760">
        <w:t xml:space="preserve"> aktualizovalo varianty </w:t>
      </w:r>
      <w:r w:rsidR="000E3E11">
        <w:t>k </w:t>
      </w:r>
      <w:r w:rsidR="00401760">
        <w:t xml:space="preserve">ukončení přítomnosti v RSM, </w:t>
      </w:r>
      <w:r w:rsidR="00D866DB">
        <w:t>její</w:t>
      </w:r>
      <w:r w:rsidR="00913218">
        <w:t>mu</w:t>
      </w:r>
      <w:r w:rsidR="00D866DB">
        <w:t xml:space="preserve"> </w:t>
      </w:r>
      <w:r w:rsidR="00401760">
        <w:t>další pokračování</w:t>
      </w:r>
      <w:r w:rsidR="000E3E11">
        <w:t xml:space="preserve"> nebo nahrazení novou alianční misí</w:t>
      </w:r>
      <w:r w:rsidR="00401760">
        <w:t xml:space="preserve">. </w:t>
      </w:r>
    </w:p>
    <w:p w:rsidR="005277CC" w:rsidRDefault="00B42F2A" w:rsidP="00F95A45">
      <w:pPr>
        <w:spacing w:before="120" w:line="276" w:lineRule="auto"/>
        <w:ind w:firstLine="709"/>
        <w:jc w:val="both"/>
      </w:pPr>
      <w:r w:rsidRPr="000B6960">
        <w:t>Úkolové uskupení A</w:t>
      </w:r>
      <w:r w:rsidR="00F701B1">
        <w:t>Č</w:t>
      </w:r>
      <w:r w:rsidR="00231E93">
        <w:t>R</w:t>
      </w:r>
      <w:r w:rsidRPr="000B6960">
        <w:t xml:space="preserve"> </w:t>
      </w:r>
      <w:proofErr w:type="spellStart"/>
      <w:r w:rsidRPr="000B6960">
        <w:t>R</w:t>
      </w:r>
      <w:r w:rsidR="00605FE6">
        <w:t>esolute</w:t>
      </w:r>
      <w:proofErr w:type="spellEnd"/>
      <w:r w:rsidRPr="000B6960">
        <w:t xml:space="preserve"> S</w:t>
      </w:r>
      <w:r w:rsidR="00605FE6">
        <w:t>upport</w:t>
      </w:r>
      <w:r w:rsidRPr="000B6960">
        <w:t xml:space="preserve"> (ÚU AČR RS) organizačně zastřešovalo </w:t>
      </w:r>
      <w:r w:rsidR="00401760">
        <w:t>následující</w:t>
      </w:r>
      <w:r w:rsidRPr="000B6960">
        <w:t xml:space="preserve"> jednotky </w:t>
      </w:r>
      <w:r w:rsidR="00401760">
        <w:t>a jednotlivce rezortu MO působící v RSM</w:t>
      </w:r>
      <w:r w:rsidR="00D41AE1">
        <w:t xml:space="preserve">: </w:t>
      </w:r>
      <w:r w:rsidR="002D75E9">
        <w:t>v</w:t>
      </w:r>
      <w:r w:rsidR="00D41AE1">
        <w:t xml:space="preserve">elitelství ÚU AČR RS, </w:t>
      </w:r>
      <w:r w:rsidR="002D75E9">
        <w:t>j</w:t>
      </w:r>
      <w:r w:rsidR="00C95178">
        <w:t>ednotku</w:t>
      </w:r>
      <w:r w:rsidR="002D75E9" w:rsidRPr="00917BC9">
        <w:t xml:space="preserve"> podpory a vlivu</w:t>
      </w:r>
      <w:r w:rsidR="002D75E9">
        <w:t>, j</w:t>
      </w:r>
      <w:r w:rsidR="00C95178">
        <w:t>ednotku</w:t>
      </w:r>
      <w:r w:rsidR="00534FB0" w:rsidRPr="00534FB0">
        <w:t xml:space="preserve"> ochrany </w:t>
      </w:r>
      <w:proofErr w:type="spellStart"/>
      <w:r w:rsidR="00534FB0" w:rsidRPr="00534FB0">
        <w:t>Guardian</w:t>
      </w:r>
      <w:proofErr w:type="spellEnd"/>
      <w:r w:rsidR="00534FB0" w:rsidRPr="00534FB0">
        <w:t xml:space="preserve"> </w:t>
      </w:r>
      <w:proofErr w:type="spellStart"/>
      <w:r w:rsidR="00534FB0" w:rsidRPr="00534FB0">
        <w:t>Angels</w:t>
      </w:r>
      <w:proofErr w:type="spellEnd"/>
      <w:r w:rsidR="002D75E9">
        <w:t>, s</w:t>
      </w:r>
      <w:r w:rsidR="00C95178">
        <w:t>trážní rotu</w:t>
      </w:r>
      <w:r w:rsidR="00DA3E6A">
        <w:t xml:space="preserve"> na základně </w:t>
      </w:r>
      <w:proofErr w:type="spellStart"/>
      <w:r w:rsidR="00DA3E6A">
        <w:t>Bagr</w:t>
      </w:r>
      <w:r w:rsidR="005677AE">
        <w:t>á</w:t>
      </w:r>
      <w:r w:rsidR="00DA3E6A">
        <w:t>m</w:t>
      </w:r>
      <w:proofErr w:type="spellEnd"/>
      <w:r w:rsidR="008949FE">
        <w:t>,</w:t>
      </w:r>
      <w:r w:rsidR="002D75E9">
        <w:t xml:space="preserve"> </w:t>
      </w:r>
      <w:r w:rsidR="00C95178">
        <w:t>jednotlivce</w:t>
      </w:r>
      <w:r w:rsidR="00401760">
        <w:t xml:space="preserve"> </w:t>
      </w:r>
      <w:r w:rsidR="00D866DB">
        <w:t>zařazen</w:t>
      </w:r>
      <w:r w:rsidR="00C95178">
        <w:t>é</w:t>
      </w:r>
      <w:r w:rsidR="00D866DB">
        <w:t xml:space="preserve"> na funkcích ve velitelských strukturách</w:t>
      </w:r>
      <w:r w:rsidR="002D75E9" w:rsidRPr="000B6960">
        <w:t xml:space="preserve"> RS</w:t>
      </w:r>
      <w:r w:rsidR="002D75E9">
        <w:t>M</w:t>
      </w:r>
      <w:r w:rsidR="000F0DF1">
        <w:t xml:space="preserve"> a polní chirurgický tým (PCHT)</w:t>
      </w:r>
      <w:r w:rsidR="00365872">
        <w:t>.</w:t>
      </w:r>
    </w:p>
    <w:p w:rsidR="00AB51E2" w:rsidRPr="000D0CF7" w:rsidRDefault="00AB51E2" w:rsidP="005407A4">
      <w:pPr>
        <w:spacing w:before="240" w:line="276" w:lineRule="auto"/>
        <w:ind w:firstLine="709"/>
        <w:jc w:val="both"/>
        <w:rPr>
          <w:b/>
        </w:rPr>
      </w:pPr>
      <w:r w:rsidRPr="00EC01EC">
        <w:rPr>
          <w:b/>
        </w:rPr>
        <w:t>a) Výcvik Afghánských národních obranných a bezpečnostních sil</w:t>
      </w:r>
      <w:r w:rsidRPr="000D0CF7">
        <w:rPr>
          <w:b/>
        </w:rPr>
        <w:t xml:space="preserve"> </w:t>
      </w:r>
    </w:p>
    <w:p w:rsidR="003678A7" w:rsidRDefault="003678A7" w:rsidP="00F95A45">
      <w:pPr>
        <w:spacing w:before="120" w:line="276" w:lineRule="auto"/>
        <w:ind w:firstLine="709"/>
        <w:jc w:val="both"/>
      </w:pPr>
      <w:r>
        <w:t xml:space="preserve">Na výcviku a </w:t>
      </w:r>
      <w:proofErr w:type="spellStart"/>
      <w:r>
        <w:t>mentoringu</w:t>
      </w:r>
      <w:proofErr w:type="spellEnd"/>
      <w:r>
        <w:t xml:space="preserve"> příslušníků Afghánských bezpečnostních sil se podílela </w:t>
      </w:r>
      <w:r w:rsidR="00C825DD">
        <w:t>j</w:t>
      </w:r>
      <w:r w:rsidR="003C1B49">
        <w:t>ednotka podpory a vlivu (</w:t>
      </w:r>
      <w:proofErr w:type="spellStart"/>
      <w:r w:rsidR="003C1B49">
        <w:t>JPaV</w:t>
      </w:r>
      <w:proofErr w:type="spellEnd"/>
      <w:r w:rsidR="00913218">
        <w:t>)</w:t>
      </w:r>
      <w:r w:rsidR="003C1B49">
        <w:t>.</w:t>
      </w:r>
      <w:r>
        <w:t xml:space="preserve"> </w:t>
      </w:r>
      <w:r w:rsidR="00966656">
        <w:t>Vzhledem k postupnému snižování počtů osob v</w:t>
      </w:r>
      <w:r w:rsidR="009B276E">
        <w:t> </w:t>
      </w:r>
      <w:r w:rsidR="00966656">
        <w:t>RSM</w:t>
      </w:r>
      <w:r w:rsidR="009B276E">
        <w:t xml:space="preserve"> a </w:t>
      </w:r>
      <w:r w:rsidR="00966656">
        <w:t xml:space="preserve">uzavírání některých základen </w:t>
      </w:r>
      <w:r w:rsidR="009B276E">
        <w:t xml:space="preserve">pokračovala </w:t>
      </w:r>
      <w:proofErr w:type="spellStart"/>
      <w:r w:rsidR="00913218">
        <w:t>JPaV</w:t>
      </w:r>
      <w:proofErr w:type="spellEnd"/>
      <w:r w:rsidR="00913218">
        <w:t xml:space="preserve"> ve výcviku a poradenství afghánských speciálních sil</w:t>
      </w:r>
      <w:r w:rsidR="00966656">
        <w:t xml:space="preserve"> </w:t>
      </w:r>
      <w:r w:rsidR="0029430C">
        <w:t xml:space="preserve">nejprve </w:t>
      </w:r>
      <w:r w:rsidR="00966656">
        <w:t xml:space="preserve">na základně </w:t>
      </w:r>
      <w:r w:rsidR="009B276E">
        <w:t xml:space="preserve">v </w:t>
      </w:r>
      <w:r w:rsidR="00913218">
        <w:t>provinci</w:t>
      </w:r>
      <w:r w:rsidR="009B276E">
        <w:t xml:space="preserve">i </w:t>
      </w:r>
      <w:proofErr w:type="spellStart"/>
      <w:r w:rsidR="009B276E">
        <w:t>Farah</w:t>
      </w:r>
      <w:proofErr w:type="spellEnd"/>
      <w:r w:rsidR="00913218">
        <w:t xml:space="preserve"> a později, </w:t>
      </w:r>
      <w:r w:rsidR="00966656">
        <w:t xml:space="preserve">ve značně </w:t>
      </w:r>
      <w:r w:rsidR="00190C19">
        <w:t>omezeném</w:t>
      </w:r>
      <w:r w:rsidR="00966656">
        <w:t xml:space="preserve"> počtu </w:t>
      </w:r>
      <w:r w:rsidR="00190C19">
        <w:t xml:space="preserve">(z původních 58 vojáků začátkem roku 2020 na 14 osob v jeho závěru) </w:t>
      </w:r>
      <w:r w:rsidR="00913218">
        <w:t>působila na základně</w:t>
      </w:r>
      <w:r w:rsidR="00966656">
        <w:t xml:space="preserve"> </w:t>
      </w:r>
      <w:r w:rsidR="009B276E">
        <w:t>v </w:t>
      </w:r>
      <w:r w:rsidR="00966656">
        <w:t>Kábul</w:t>
      </w:r>
      <w:r w:rsidR="00190C19">
        <w:t>u</w:t>
      </w:r>
      <w:r w:rsidR="00966656">
        <w:t xml:space="preserve">. </w:t>
      </w:r>
    </w:p>
    <w:p w:rsidR="00AB51E2" w:rsidRPr="00EC01EC" w:rsidRDefault="00AB51E2" w:rsidP="00192DFC">
      <w:pPr>
        <w:spacing w:before="240" w:line="276" w:lineRule="auto"/>
        <w:ind w:firstLine="709"/>
        <w:jc w:val="both"/>
        <w:rPr>
          <w:b/>
        </w:rPr>
      </w:pPr>
      <w:r w:rsidRPr="00EC01EC">
        <w:rPr>
          <w:b/>
        </w:rPr>
        <w:t>b) Ochrana spojeneckých sil</w:t>
      </w:r>
    </w:p>
    <w:p w:rsidR="00AB51E2" w:rsidRPr="000D0CF7" w:rsidRDefault="00AB51E2" w:rsidP="00F95A45">
      <w:pPr>
        <w:spacing w:before="120" w:line="276" w:lineRule="auto"/>
        <w:ind w:firstLine="709"/>
        <w:jc w:val="both"/>
        <w:rPr>
          <w:snapToGrid w:val="0"/>
          <w:szCs w:val="13"/>
        </w:rPr>
      </w:pPr>
      <w:r w:rsidRPr="000D0CF7">
        <w:rPr>
          <w:snapToGrid w:val="0"/>
          <w:szCs w:val="13"/>
        </w:rPr>
        <w:t>V </w:t>
      </w:r>
      <w:r w:rsidRPr="000D0CF7">
        <w:rPr>
          <w:snapToGrid w:val="0"/>
          <w:szCs w:val="20"/>
        </w:rPr>
        <w:t xml:space="preserve">provincii </w:t>
      </w:r>
      <w:proofErr w:type="spellStart"/>
      <w:r w:rsidRPr="000D0CF7">
        <w:rPr>
          <w:bCs/>
          <w:snapToGrid w:val="0"/>
          <w:szCs w:val="13"/>
        </w:rPr>
        <w:t>Par</w:t>
      </w:r>
      <w:r w:rsidR="005677AE">
        <w:rPr>
          <w:bCs/>
          <w:snapToGrid w:val="0"/>
          <w:szCs w:val="13"/>
        </w:rPr>
        <w:t>vá</w:t>
      </w:r>
      <w:r w:rsidRPr="000D0CF7">
        <w:rPr>
          <w:bCs/>
          <w:snapToGrid w:val="0"/>
          <w:szCs w:val="13"/>
        </w:rPr>
        <w:t>n</w:t>
      </w:r>
      <w:proofErr w:type="spellEnd"/>
      <w:r w:rsidRPr="000D0CF7">
        <w:rPr>
          <w:snapToGrid w:val="0"/>
          <w:szCs w:val="13"/>
        </w:rPr>
        <w:t xml:space="preserve"> působila </w:t>
      </w:r>
      <w:r w:rsidR="00D33094">
        <w:rPr>
          <w:snapToGrid w:val="0"/>
          <w:szCs w:val="13"/>
        </w:rPr>
        <w:t>s</w:t>
      </w:r>
      <w:r w:rsidRPr="000D0CF7">
        <w:rPr>
          <w:snapToGrid w:val="0"/>
          <w:szCs w:val="13"/>
        </w:rPr>
        <w:t>trážní rota v počtu do 1</w:t>
      </w:r>
      <w:r w:rsidR="0082148F" w:rsidRPr="000D0CF7">
        <w:rPr>
          <w:snapToGrid w:val="0"/>
          <w:szCs w:val="13"/>
        </w:rPr>
        <w:t>73</w:t>
      </w:r>
      <w:r w:rsidRPr="000D0CF7">
        <w:rPr>
          <w:snapToGrid w:val="0"/>
          <w:szCs w:val="13"/>
        </w:rPr>
        <w:t xml:space="preserve"> osob s úkolem eliminovat nepřátelské aktivity vedené proti letecké základně </w:t>
      </w:r>
      <w:proofErr w:type="spellStart"/>
      <w:r w:rsidRPr="000D0CF7">
        <w:rPr>
          <w:snapToGrid w:val="0"/>
          <w:szCs w:val="13"/>
        </w:rPr>
        <w:t>Bagr</w:t>
      </w:r>
      <w:r w:rsidR="005677AE">
        <w:rPr>
          <w:snapToGrid w:val="0"/>
          <w:szCs w:val="13"/>
        </w:rPr>
        <w:t>á</w:t>
      </w:r>
      <w:r w:rsidRPr="000D0CF7">
        <w:rPr>
          <w:snapToGrid w:val="0"/>
          <w:szCs w:val="13"/>
        </w:rPr>
        <w:t>m</w:t>
      </w:r>
      <w:proofErr w:type="spellEnd"/>
      <w:r w:rsidRPr="000D0CF7">
        <w:rPr>
          <w:snapToGrid w:val="0"/>
          <w:szCs w:val="13"/>
        </w:rPr>
        <w:t xml:space="preserve"> ve svěřeném prostoru odpovědnosti.</w:t>
      </w:r>
    </w:p>
    <w:p w:rsidR="00AB51E2" w:rsidRDefault="00F62313" w:rsidP="00F95A45">
      <w:pPr>
        <w:spacing w:before="120" w:line="276" w:lineRule="auto"/>
        <w:ind w:firstLine="709"/>
        <w:jc w:val="both"/>
        <w:rPr>
          <w:snapToGrid w:val="0"/>
        </w:rPr>
      </w:pPr>
      <w:r>
        <w:rPr>
          <w:snapToGrid w:val="0"/>
        </w:rPr>
        <w:lastRenderedPageBreak/>
        <w:t xml:space="preserve">V sestavě </w:t>
      </w:r>
      <w:r w:rsidR="00AB51E2" w:rsidRPr="000D0CF7">
        <w:rPr>
          <w:snapToGrid w:val="0"/>
        </w:rPr>
        <w:t xml:space="preserve">strážní roty </w:t>
      </w:r>
      <w:r w:rsidRPr="000D0CF7">
        <w:rPr>
          <w:snapToGrid w:val="0"/>
        </w:rPr>
        <w:t xml:space="preserve">operoval </w:t>
      </w:r>
      <w:r w:rsidR="00AB51E2" w:rsidRPr="000D0CF7">
        <w:rPr>
          <w:snapToGrid w:val="0"/>
        </w:rPr>
        <w:t>bezpilotní průzkumný prostředek SCAN EAGLE</w:t>
      </w:r>
      <w:r w:rsidR="004664F4" w:rsidRPr="000D0CF7">
        <w:rPr>
          <w:snapToGrid w:val="0"/>
        </w:rPr>
        <w:t xml:space="preserve">, který </w:t>
      </w:r>
      <w:r w:rsidR="00190C19">
        <w:rPr>
          <w:snapToGrid w:val="0"/>
        </w:rPr>
        <w:t>z</w:t>
      </w:r>
      <w:r>
        <w:rPr>
          <w:snapToGrid w:val="0"/>
        </w:rPr>
        <w:t>aujímal</w:t>
      </w:r>
      <w:r w:rsidR="005677AE">
        <w:rPr>
          <w:snapToGrid w:val="0"/>
        </w:rPr>
        <w:t xml:space="preserve"> </w:t>
      </w:r>
      <w:r w:rsidR="00AB51E2" w:rsidRPr="000D0CF7">
        <w:rPr>
          <w:snapToGrid w:val="0"/>
        </w:rPr>
        <w:t xml:space="preserve">nezastupitelné místo spočívající především v zabezpečení </w:t>
      </w:r>
      <w:r w:rsidR="003F2EA2" w:rsidRPr="000D0CF7">
        <w:rPr>
          <w:snapToGrid w:val="0"/>
        </w:rPr>
        <w:t>průzkumu a </w:t>
      </w:r>
      <w:r w:rsidR="00AB51E2" w:rsidRPr="000D0CF7">
        <w:rPr>
          <w:snapToGrid w:val="0"/>
        </w:rPr>
        <w:t>včasného varování nezávisle na koaličních partnerech.</w:t>
      </w:r>
      <w:r w:rsidR="008B13A6">
        <w:rPr>
          <w:snapToGrid w:val="0"/>
        </w:rPr>
        <w:t xml:space="preserve"> Dále v sestavě strážní roty působila skupina EOD (</w:t>
      </w:r>
      <w:proofErr w:type="spellStart"/>
      <w:r w:rsidR="008B13A6">
        <w:rPr>
          <w:snapToGrid w:val="0"/>
        </w:rPr>
        <w:t>Explosive</w:t>
      </w:r>
      <w:proofErr w:type="spellEnd"/>
      <w:r w:rsidR="008B13A6">
        <w:rPr>
          <w:snapToGrid w:val="0"/>
        </w:rPr>
        <w:t xml:space="preserve"> </w:t>
      </w:r>
      <w:proofErr w:type="spellStart"/>
      <w:r w:rsidR="008B13A6">
        <w:rPr>
          <w:snapToGrid w:val="0"/>
        </w:rPr>
        <w:t>Ordnance</w:t>
      </w:r>
      <w:proofErr w:type="spellEnd"/>
      <w:r w:rsidR="008B13A6">
        <w:rPr>
          <w:snapToGrid w:val="0"/>
        </w:rPr>
        <w:t xml:space="preserve"> </w:t>
      </w:r>
      <w:proofErr w:type="spellStart"/>
      <w:r w:rsidR="008B13A6">
        <w:rPr>
          <w:snapToGrid w:val="0"/>
        </w:rPr>
        <w:t>Disposal</w:t>
      </w:r>
      <w:proofErr w:type="spellEnd"/>
      <w:r w:rsidR="008B13A6">
        <w:rPr>
          <w:snapToGrid w:val="0"/>
        </w:rPr>
        <w:t>), která primárně zabezpečovala ochranu proti improvizovaným nástražným výbušným zařízením jednotkám plnícím úkol mimo základnu.</w:t>
      </w:r>
      <w:r>
        <w:rPr>
          <w:snapToGrid w:val="0"/>
        </w:rPr>
        <w:t xml:space="preserve"> Strážní rota ukončila operační úkol k 31. březnu 2020 a během dubna se </w:t>
      </w:r>
      <w:r w:rsidR="00190C19">
        <w:rPr>
          <w:snapToGrid w:val="0"/>
        </w:rPr>
        <w:t xml:space="preserve">celá </w:t>
      </w:r>
      <w:r>
        <w:rPr>
          <w:snapToGrid w:val="0"/>
        </w:rPr>
        <w:t xml:space="preserve">jednotka vrátila do </w:t>
      </w:r>
      <w:r w:rsidR="009B276E">
        <w:rPr>
          <w:snapToGrid w:val="0"/>
        </w:rPr>
        <w:t>ČR</w:t>
      </w:r>
      <w:r>
        <w:rPr>
          <w:snapToGrid w:val="0"/>
        </w:rPr>
        <w:t>.</w:t>
      </w:r>
    </w:p>
    <w:p w:rsidR="00534FB0" w:rsidRDefault="00F62313" w:rsidP="00F95A45">
      <w:pPr>
        <w:spacing w:before="120" w:line="276" w:lineRule="auto"/>
        <w:ind w:firstLine="709"/>
        <w:jc w:val="both"/>
        <w:rPr>
          <w:snapToGrid w:val="0"/>
        </w:rPr>
      </w:pPr>
      <w:r>
        <w:rPr>
          <w:snapToGrid w:val="0"/>
        </w:rPr>
        <w:t xml:space="preserve">Ve vojenské části kábulského letiště </w:t>
      </w:r>
      <w:r w:rsidR="00534FB0">
        <w:rPr>
          <w:snapToGrid w:val="0"/>
        </w:rPr>
        <w:t xml:space="preserve">působila jednotka tzv. </w:t>
      </w:r>
      <w:proofErr w:type="spellStart"/>
      <w:r w:rsidR="00534FB0">
        <w:rPr>
          <w:snapToGrid w:val="0"/>
        </w:rPr>
        <w:t>Guardian</w:t>
      </w:r>
      <w:proofErr w:type="spellEnd"/>
      <w:r w:rsidR="00534FB0">
        <w:rPr>
          <w:snapToGrid w:val="0"/>
        </w:rPr>
        <w:t xml:space="preserve"> </w:t>
      </w:r>
      <w:proofErr w:type="spellStart"/>
      <w:r w:rsidR="00534FB0">
        <w:rPr>
          <w:snapToGrid w:val="0"/>
        </w:rPr>
        <w:t>Angels</w:t>
      </w:r>
      <w:proofErr w:type="spellEnd"/>
      <w:r w:rsidR="00534FB0">
        <w:rPr>
          <w:snapToGrid w:val="0"/>
        </w:rPr>
        <w:t xml:space="preserve"> v počtu 21 osob. </w:t>
      </w:r>
      <w:r>
        <w:rPr>
          <w:snapToGrid w:val="0"/>
        </w:rPr>
        <w:t>Hlavním úkolem jednotky bylo zabezpečení ochra</w:t>
      </w:r>
      <w:r w:rsidR="009B276E">
        <w:rPr>
          <w:snapToGrid w:val="0"/>
        </w:rPr>
        <w:t>ny koaličních instruktorů a </w:t>
      </w:r>
      <w:r>
        <w:rPr>
          <w:snapToGrid w:val="0"/>
        </w:rPr>
        <w:t xml:space="preserve">mentorů </w:t>
      </w:r>
      <w:r w:rsidR="00190C19">
        <w:rPr>
          <w:snapToGrid w:val="0"/>
        </w:rPr>
        <w:t>při výcviku afghánských vojenských pilotů a technického personálu. Jednotka ukončila plnění operačního úkolu k 31. lednu 2020 a byla odsunuta do ČR.</w:t>
      </w:r>
    </w:p>
    <w:p w:rsidR="00AB51E2" w:rsidRPr="00694C2D" w:rsidRDefault="00AB51E2" w:rsidP="00192DFC">
      <w:pPr>
        <w:spacing w:before="240" w:line="276" w:lineRule="auto"/>
        <w:ind w:firstLine="709"/>
        <w:jc w:val="both"/>
        <w:rPr>
          <w:b/>
        </w:rPr>
      </w:pPr>
      <w:r w:rsidRPr="00EC01EC">
        <w:rPr>
          <w:b/>
        </w:rPr>
        <w:t>c) Podpora nasazených sil</w:t>
      </w:r>
    </w:p>
    <w:p w:rsidR="007D548B" w:rsidRPr="000B6960" w:rsidRDefault="007D548B" w:rsidP="007D548B">
      <w:pPr>
        <w:spacing w:before="120" w:line="276" w:lineRule="auto"/>
        <w:ind w:firstLine="709"/>
        <w:jc w:val="both"/>
      </w:pPr>
      <w:r w:rsidRPr="000B6960">
        <w:t xml:space="preserve">Velitelství ÚU AČR RS </w:t>
      </w:r>
      <w:r>
        <w:t>(</w:t>
      </w:r>
      <w:r w:rsidR="00913218">
        <w:t>sníženo</w:t>
      </w:r>
      <w:r>
        <w:t xml:space="preserve"> z 34 na 20 vojáků v závěru roku) </w:t>
      </w:r>
      <w:r w:rsidRPr="000B6960">
        <w:t xml:space="preserve">bylo dislokováno na základně HKIA (Hamid </w:t>
      </w:r>
      <w:proofErr w:type="spellStart"/>
      <w:r w:rsidRPr="000B6960">
        <w:t>Karzai</w:t>
      </w:r>
      <w:proofErr w:type="spellEnd"/>
      <w:r w:rsidRPr="000B6960">
        <w:t xml:space="preserve"> International </w:t>
      </w:r>
      <w:proofErr w:type="spellStart"/>
      <w:r w:rsidRPr="000B6960">
        <w:t>Airport</w:t>
      </w:r>
      <w:proofErr w:type="spellEnd"/>
      <w:r w:rsidRPr="000B6960">
        <w:t xml:space="preserve">) </w:t>
      </w:r>
      <w:r>
        <w:t>a všestranně zabezpečovalo</w:t>
      </w:r>
      <w:r w:rsidRPr="000B6960">
        <w:t xml:space="preserve"> </w:t>
      </w:r>
      <w:r>
        <w:t xml:space="preserve">národní </w:t>
      </w:r>
      <w:r w:rsidRPr="000B6960">
        <w:t>jednotk</w:t>
      </w:r>
      <w:r>
        <w:t>y</w:t>
      </w:r>
      <w:r w:rsidRPr="000B6960">
        <w:t xml:space="preserve"> v</w:t>
      </w:r>
      <w:r>
        <w:t> </w:t>
      </w:r>
      <w:r w:rsidRPr="000B6960">
        <w:t>RSM</w:t>
      </w:r>
      <w:r>
        <w:t xml:space="preserve">, především pak v administrativní, logistické </w:t>
      </w:r>
      <w:r w:rsidR="000F0DF1">
        <w:t>a </w:t>
      </w:r>
      <w:r>
        <w:t>zpravodajské oblasti, včetně koordinace zdravotnického zabezpečení</w:t>
      </w:r>
      <w:r w:rsidRPr="000B6960">
        <w:t>.</w:t>
      </w:r>
      <w:r>
        <w:t xml:space="preserve"> Nemalou měrou se podílelo na realizaci opatření k zamezení šíření COVID-19.</w:t>
      </w:r>
      <w:r w:rsidRPr="000B6960">
        <w:t xml:space="preserve"> </w:t>
      </w:r>
    </w:p>
    <w:p w:rsidR="00DA0358" w:rsidRDefault="00DA0358" w:rsidP="00F95A45">
      <w:pPr>
        <w:spacing w:before="120" w:line="276" w:lineRule="auto"/>
        <w:ind w:firstLine="709"/>
        <w:jc w:val="both"/>
        <w:rPr>
          <w:snapToGrid w:val="0"/>
        </w:rPr>
      </w:pPr>
      <w:r w:rsidRPr="000D0CF7">
        <w:rPr>
          <w:snapToGrid w:val="0"/>
        </w:rPr>
        <w:t xml:space="preserve">Do struktury ÚU AČR RS patřila také národní zpravodajská buňka, která poskytovala </w:t>
      </w:r>
      <w:r w:rsidR="00000AA4">
        <w:rPr>
          <w:snapToGrid w:val="0"/>
        </w:rPr>
        <w:t>zpravodajskou podporu</w:t>
      </w:r>
      <w:r w:rsidRPr="000D0CF7">
        <w:rPr>
          <w:snapToGrid w:val="0"/>
        </w:rPr>
        <w:t xml:space="preserve"> českým jednotkám v RSM, Zast</w:t>
      </w:r>
      <w:r w:rsidR="00125788">
        <w:rPr>
          <w:snapToGrid w:val="0"/>
        </w:rPr>
        <w:t>upitelskému úřadu ČR v Kábulu a </w:t>
      </w:r>
      <w:r w:rsidRPr="000D0CF7">
        <w:rPr>
          <w:snapToGrid w:val="0"/>
        </w:rPr>
        <w:t>velitelství RSM.</w:t>
      </w:r>
    </w:p>
    <w:p w:rsidR="00132FF9" w:rsidRDefault="00132FF9" w:rsidP="00F95A45">
      <w:pPr>
        <w:spacing w:before="120" w:line="276" w:lineRule="auto"/>
        <w:ind w:firstLine="709"/>
        <w:jc w:val="both"/>
        <w:rPr>
          <w:snapToGrid w:val="0"/>
        </w:rPr>
      </w:pPr>
      <w:r>
        <w:rPr>
          <w:snapToGrid w:val="0"/>
        </w:rPr>
        <w:t xml:space="preserve">Jednotlivci, v počtu </w:t>
      </w:r>
      <w:r w:rsidR="007D548B">
        <w:rPr>
          <w:snapToGrid w:val="0"/>
        </w:rPr>
        <w:t>do 10</w:t>
      </w:r>
      <w:r>
        <w:rPr>
          <w:snapToGrid w:val="0"/>
        </w:rPr>
        <w:t xml:space="preserve"> osob, plnili úkoly souvise</w:t>
      </w:r>
      <w:r w:rsidR="003E5ECD">
        <w:rPr>
          <w:snapToGrid w:val="0"/>
        </w:rPr>
        <w:t>jící se zastávanými funkcemi ve </w:t>
      </w:r>
      <w:r>
        <w:rPr>
          <w:snapToGrid w:val="0"/>
        </w:rPr>
        <w:t xml:space="preserve">velitelské struktuře RSM na základnách v Kábulu a </w:t>
      </w:r>
      <w:r w:rsidR="00F27A97">
        <w:rPr>
          <w:snapToGrid w:val="0"/>
        </w:rPr>
        <w:t xml:space="preserve">na </w:t>
      </w:r>
      <w:proofErr w:type="spellStart"/>
      <w:r>
        <w:rPr>
          <w:snapToGrid w:val="0"/>
        </w:rPr>
        <w:t>Bagr</w:t>
      </w:r>
      <w:r w:rsidR="005677AE">
        <w:rPr>
          <w:snapToGrid w:val="0"/>
        </w:rPr>
        <w:t>á</w:t>
      </w:r>
      <w:r>
        <w:rPr>
          <w:snapToGrid w:val="0"/>
        </w:rPr>
        <w:t>mu</w:t>
      </w:r>
      <w:proofErr w:type="spellEnd"/>
      <w:r>
        <w:rPr>
          <w:snapToGrid w:val="0"/>
        </w:rPr>
        <w:t>.</w:t>
      </w:r>
      <w:r w:rsidR="000F0DF1">
        <w:rPr>
          <w:snapToGrid w:val="0"/>
        </w:rPr>
        <w:t xml:space="preserve"> </w:t>
      </w:r>
    </w:p>
    <w:p w:rsidR="00781DD3" w:rsidRDefault="007D548B" w:rsidP="00F95A45">
      <w:pPr>
        <w:spacing w:before="120" w:line="276" w:lineRule="auto"/>
        <w:ind w:firstLine="709"/>
        <w:jc w:val="both"/>
        <w:rPr>
          <w:snapToGrid w:val="0"/>
        </w:rPr>
      </w:pPr>
      <w:r w:rsidRPr="00BF3458">
        <w:rPr>
          <w:snapToGrid w:val="0"/>
        </w:rPr>
        <w:t xml:space="preserve">Novým příspěvkem misi RS se </w:t>
      </w:r>
      <w:r w:rsidR="000F0DF1" w:rsidRPr="00BF3458">
        <w:rPr>
          <w:snapToGrid w:val="0"/>
        </w:rPr>
        <w:t xml:space="preserve">stal se </w:t>
      </w:r>
      <w:r w:rsidRPr="00BF3458">
        <w:rPr>
          <w:snapToGrid w:val="0"/>
        </w:rPr>
        <w:t xml:space="preserve">začátkem roku </w:t>
      </w:r>
      <w:r w:rsidR="00BF3458" w:rsidRPr="00BF3458">
        <w:rPr>
          <w:snapToGrid w:val="0"/>
        </w:rPr>
        <w:t xml:space="preserve">2020 </w:t>
      </w:r>
      <w:r w:rsidRPr="00BF3458">
        <w:rPr>
          <w:snapToGrid w:val="0"/>
        </w:rPr>
        <w:t xml:space="preserve">PCHT (polní chirurgický tým) o 10 vojácích, který </w:t>
      </w:r>
      <w:r w:rsidR="0067797E">
        <w:rPr>
          <w:snapToGrid w:val="0"/>
        </w:rPr>
        <w:t>byl součástí</w:t>
      </w:r>
      <w:r w:rsidRPr="00BF3458">
        <w:rPr>
          <w:snapToGrid w:val="0"/>
        </w:rPr>
        <w:t xml:space="preserve"> mnohonárodního zdravotnického zařízení NATO Role 2E na mezinárodním letišti v Kábulu.</w:t>
      </w:r>
      <w:r w:rsidR="00390C0B">
        <w:rPr>
          <w:snapToGrid w:val="0"/>
        </w:rPr>
        <w:t xml:space="preserve"> Zajišťoval resuscitaci, an</w:t>
      </w:r>
      <w:r w:rsidR="009B276E">
        <w:rPr>
          <w:snapToGrid w:val="0"/>
        </w:rPr>
        <w:t>esteziologii, pooperační péči a </w:t>
      </w:r>
      <w:r w:rsidR="00390C0B">
        <w:rPr>
          <w:snapToGrid w:val="0"/>
        </w:rPr>
        <w:t xml:space="preserve">zdravotnické odsuny </w:t>
      </w:r>
      <w:r w:rsidR="000F0DF1">
        <w:rPr>
          <w:snapToGrid w:val="0"/>
        </w:rPr>
        <w:t xml:space="preserve">v prostoru základny </w:t>
      </w:r>
      <w:r w:rsidR="00390C0B">
        <w:rPr>
          <w:snapToGrid w:val="0"/>
        </w:rPr>
        <w:t xml:space="preserve">podle požadavků velitele </w:t>
      </w:r>
      <w:r w:rsidR="009B276E">
        <w:rPr>
          <w:snapToGrid w:val="0"/>
        </w:rPr>
        <w:t>nemocnice</w:t>
      </w:r>
      <w:r w:rsidR="000F0DF1">
        <w:rPr>
          <w:snapToGrid w:val="0"/>
        </w:rPr>
        <w:t>. Dále se PCHT podílel na zdravotnickém zabezpečení koaličních vojáků a plnil úkoly spojené se zamezením šíření COVID-19 v prostoru působení. Snižování v rámci RSM se PCHT nedotklo.</w:t>
      </w:r>
    </w:p>
    <w:p w:rsidR="00AB51E2" w:rsidRPr="009B276E" w:rsidRDefault="00AB51E2" w:rsidP="009B276E">
      <w:pPr>
        <w:keepNext/>
        <w:numPr>
          <w:ilvl w:val="1"/>
          <w:numId w:val="3"/>
        </w:numPr>
        <w:spacing w:before="240" w:line="276" w:lineRule="auto"/>
        <w:jc w:val="both"/>
        <w:outlineLvl w:val="0"/>
        <w:rPr>
          <w:b/>
          <w:bCs/>
        </w:rPr>
      </w:pPr>
      <w:r w:rsidRPr="009B276E">
        <w:rPr>
          <w:b/>
          <w:bCs/>
        </w:rPr>
        <w:t>Ochrana Zastupitelského úřadu ČR v Kábulu</w:t>
      </w:r>
    </w:p>
    <w:p w:rsidR="00125788" w:rsidRDefault="00125788" w:rsidP="00F95A45">
      <w:pPr>
        <w:spacing w:before="120" w:line="276" w:lineRule="auto"/>
        <w:ind w:firstLine="709"/>
        <w:jc w:val="both"/>
        <w:rPr>
          <w:snapToGrid w:val="0"/>
        </w:rPr>
      </w:pPr>
      <w:r>
        <w:rPr>
          <w:snapToGrid w:val="0"/>
        </w:rPr>
        <w:t xml:space="preserve">Mandát pro působení sil a prostředků rezortu MO v rámci ochrany Zastupitelského úřadu ČR v Kábulu v roce </w:t>
      </w:r>
      <w:r w:rsidR="00C62CC4">
        <w:rPr>
          <w:snapToGrid w:val="0"/>
        </w:rPr>
        <w:t>2020</w:t>
      </w:r>
      <w:r>
        <w:rPr>
          <w:snapToGrid w:val="0"/>
        </w:rPr>
        <w:t xml:space="preserve"> byl stanoven do 20 osob.</w:t>
      </w:r>
    </w:p>
    <w:p w:rsidR="0067797E" w:rsidRDefault="00DE017C" w:rsidP="0067797E">
      <w:pPr>
        <w:spacing w:before="120" w:line="276" w:lineRule="auto"/>
        <w:ind w:firstLine="709"/>
        <w:jc w:val="both"/>
        <w:rPr>
          <w:snapToGrid w:val="0"/>
        </w:rPr>
      </w:pPr>
      <w:r>
        <w:rPr>
          <w:snapToGrid w:val="0"/>
        </w:rPr>
        <w:t>O</w:t>
      </w:r>
      <w:r w:rsidR="00404DC1" w:rsidRPr="000D0CF7">
        <w:rPr>
          <w:snapToGrid w:val="0"/>
        </w:rPr>
        <w:t>chranu osob a majetku Zastupitelského úřadu ČR v Kábulu včetně rezidence vedoucího zastupitelského úřadu</w:t>
      </w:r>
      <w:r>
        <w:rPr>
          <w:snapToGrid w:val="0"/>
        </w:rPr>
        <w:t xml:space="preserve"> </w:t>
      </w:r>
      <w:r w:rsidR="00BC56A3">
        <w:rPr>
          <w:snapToGrid w:val="0"/>
        </w:rPr>
        <w:t>zabezpečovali</w:t>
      </w:r>
      <w:r w:rsidR="00404DC1" w:rsidRPr="000D0CF7">
        <w:rPr>
          <w:snapToGrid w:val="0"/>
        </w:rPr>
        <w:t xml:space="preserve"> příslušníci Vojenské policie</w:t>
      </w:r>
      <w:r w:rsidR="006234BA">
        <w:rPr>
          <w:snapToGrid w:val="0"/>
        </w:rPr>
        <w:t xml:space="preserve"> v počtu </w:t>
      </w:r>
      <w:r w:rsidR="00132FF9">
        <w:rPr>
          <w:snapToGrid w:val="0"/>
        </w:rPr>
        <w:t>14 </w:t>
      </w:r>
      <w:r w:rsidR="006234BA">
        <w:rPr>
          <w:snapToGrid w:val="0"/>
        </w:rPr>
        <w:t>vojáků</w:t>
      </w:r>
      <w:r w:rsidR="00404DC1" w:rsidRPr="000D0CF7">
        <w:rPr>
          <w:snapToGrid w:val="0"/>
        </w:rPr>
        <w:t>. </w:t>
      </w:r>
      <w:r w:rsidR="0067797E" w:rsidRPr="000D0CF7">
        <w:rPr>
          <w:snapToGrid w:val="0"/>
        </w:rPr>
        <w:t>Ochrana Zastupitelského úřadu ČR v Kábulu nespadá po</w:t>
      </w:r>
      <w:r w:rsidR="0067797E">
        <w:rPr>
          <w:snapToGrid w:val="0"/>
        </w:rPr>
        <w:t>d RSM, nicméně využívá její podporu.</w:t>
      </w:r>
    </w:p>
    <w:p w:rsidR="00E4097C" w:rsidRPr="000D0CF7" w:rsidRDefault="00E4097C" w:rsidP="00E4097C">
      <w:pPr>
        <w:spacing w:before="120" w:line="276" w:lineRule="auto"/>
        <w:ind w:firstLine="709"/>
        <w:jc w:val="both"/>
        <w:rPr>
          <w:snapToGrid w:val="0"/>
        </w:rPr>
      </w:pPr>
      <w:r w:rsidRPr="00BF3458">
        <w:rPr>
          <w:snapToGrid w:val="0"/>
        </w:rPr>
        <w:t>V souvislosti s </w:t>
      </w:r>
      <w:r w:rsidR="00663ED8">
        <w:rPr>
          <w:snapToGrid w:val="0"/>
        </w:rPr>
        <w:t>možným</w:t>
      </w:r>
      <w:r w:rsidRPr="00BF3458">
        <w:rPr>
          <w:snapToGrid w:val="0"/>
        </w:rPr>
        <w:t xml:space="preserve"> ukončením </w:t>
      </w:r>
      <w:r w:rsidR="00663ED8">
        <w:rPr>
          <w:snapToGrid w:val="0"/>
        </w:rPr>
        <w:t xml:space="preserve">RSM </w:t>
      </w:r>
      <w:r w:rsidR="00C62CC4" w:rsidRPr="00BF3458">
        <w:rPr>
          <w:snapToGrid w:val="0"/>
        </w:rPr>
        <w:t>a následnou ztrátou podpory</w:t>
      </w:r>
      <w:r w:rsidR="0063211F">
        <w:rPr>
          <w:snapToGrid w:val="0"/>
        </w:rPr>
        <w:t xml:space="preserve"> ve prospěch Zastupitelského úřadu </w:t>
      </w:r>
      <w:r w:rsidRPr="00BF3458">
        <w:rPr>
          <w:snapToGrid w:val="0"/>
        </w:rPr>
        <w:t xml:space="preserve">ČR v Kábulu </w:t>
      </w:r>
      <w:r w:rsidR="00663ED8">
        <w:rPr>
          <w:snapToGrid w:val="0"/>
        </w:rPr>
        <w:t>z její strany</w:t>
      </w:r>
      <w:r w:rsidR="00317450" w:rsidRPr="00BF3458">
        <w:rPr>
          <w:snapToGrid w:val="0"/>
        </w:rPr>
        <w:t xml:space="preserve"> </w:t>
      </w:r>
      <w:r w:rsidRPr="00BF3458">
        <w:rPr>
          <w:snapToGrid w:val="0"/>
        </w:rPr>
        <w:t xml:space="preserve">zahájilo MO </w:t>
      </w:r>
      <w:r w:rsidR="00317450" w:rsidRPr="00BF3458">
        <w:rPr>
          <w:snapToGrid w:val="0"/>
        </w:rPr>
        <w:t xml:space="preserve">ČR </w:t>
      </w:r>
      <w:r w:rsidRPr="00BF3458">
        <w:rPr>
          <w:snapToGrid w:val="0"/>
        </w:rPr>
        <w:t xml:space="preserve">v polovině roku </w:t>
      </w:r>
      <w:r w:rsidR="0067797E">
        <w:rPr>
          <w:snapToGrid w:val="0"/>
        </w:rPr>
        <w:t xml:space="preserve">2020 </w:t>
      </w:r>
      <w:r w:rsidR="00663ED8" w:rsidRPr="00BF3458">
        <w:rPr>
          <w:snapToGrid w:val="0"/>
        </w:rPr>
        <w:t>sérii</w:t>
      </w:r>
      <w:r w:rsidRPr="00BF3458">
        <w:rPr>
          <w:snapToGrid w:val="0"/>
        </w:rPr>
        <w:t xml:space="preserve"> jednání s M</w:t>
      </w:r>
      <w:r w:rsidR="0029430C">
        <w:rPr>
          <w:snapToGrid w:val="0"/>
        </w:rPr>
        <w:t>inisterstvem zahraničních věcí</w:t>
      </w:r>
      <w:r w:rsidRPr="00BF3458">
        <w:rPr>
          <w:snapToGrid w:val="0"/>
        </w:rPr>
        <w:t xml:space="preserve"> ČR</w:t>
      </w:r>
      <w:r w:rsidR="00317450" w:rsidRPr="00BF3458">
        <w:rPr>
          <w:snapToGrid w:val="0"/>
        </w:rPr>
        <w:t xml:space="preserve">. Cílem bylo </w:t>
      </w:r>
      <w:r w:rsidRPr="00BF3458">
        <w:rPr>
          <w:snapToGrid w:val="0"/>
        </w:rPr>
        <w:t>nastav</w:t>
      </w:r>
      <w:r w:rsidR="00317450" w:rsidRPr="00BF3458">
        <w:rPr>
          <w:snapToGrid w:val="0"/>
        </w:rPr>
        <w:t>ení</w:t>
      </w:r>
      <w:r w:rsidRPr="00BF3458">
        <w:rPr>
          <w:snapToGrid w:val="0"/>
        </w:rPr>
        <w:t xml:space="preserve"> pravid</w:t>
      </w:r>
      <w:r w:rsidR="00317450" w:rsidRPr="00BF3458">
        <w:rPr>
          <w:snapToGrid w:val="0"/>
        </w:rPr>
        <w:t>e</w:t>
      </w:r>
      <w:r w:rsidRPr="00BF3458">
        <w:rPr>
          <w:snapToGrid w:val="0"/>
        </w:rPr>
        <w:t>l ochrany velvyslance a z</w:t>
      </w:r>
      <w:r w:rsidR="00663ED8">
        <w:rPr>
          <w:snapToGrid w:val="0"/>
        </w:rPr>
        <w:t>astupitelského úřadu v nových a </w:t>
      </w:r>
      <w:r w:rsidRPr="00BF3458">
        <w:rPr>
          <w:snapToGrid w:val="0"/>
        </w:rPr>
        <w:t xml:space="preserve">složitějších podmínkách, </w:t>
      </w:r>
      <w:r w:rsidR="00CC59BC" w:rsidRPr="00BF3458">
        <w:rPr>
          <w:snapToGrid w:val="0"/>
        </w:rPr>
        <w:t xml:space="preserve">které by </w:t>
      </w:r>
      <w:r w:rsidR="0067797E">
        <w:rPr>
          <w:snapToGrid w:val="0"/>
        </w:rPr>
        <w:t xml:space="preserve">nastaly </w:t>
      </w:r>
      <w:r w:rsidR="00317450" w:rsidRPr="00BF3458">
        <w:rPr>
          <w:snapToGrid w:val="0"/>
        </w:rPr>
        <w:lastRenderedPageBreak/>
        <w:t>v případě zániku</w:t>
      </w:r>
      <w:r w:rsidRPr="00BF3458">
        <w:rPr>
          <w:snapToGrid w:val="0"/>
        </w:rPr>
        <w:t xml:space="preserve"> současn</w:t>
      </w:r>
      <w:r w:rsidR="00317450" w:rsidRPr="00BF3458">
        <w:rPr>
          <w:snapToGrid w:val="0"/>
        </w:rPr>
        <w:t>é</w:t>
      </w:r>
      <w:r w:rsidRPr="00BF3458">
        <w:rPr>
          <w:snapToGrid w:val="0"/>
        </w:rPr>
        <w:t xml:space="preserve"> podob</w:t>
      </w:r>
      <w:r w:rsidR="00317450" w:rsidRPr="00BF3458">
        <w:rPr>
          <w:snapToGrid w:val="0"/>
        </w:rPr>
        <w:t>y</w:t>
      </w:r>
      <w:r w:rsidRPr="00BF3458">
        <w:rPr>
          <w:snapToGrid w:val="0"/>
        </w:rPr>
        <w:t xml:space="preserve"> RSM. Jednání do konce roku 2020 nebyla uzavřena a</w:t>
      </w:r>
      <w:r w:rsidR="008F3E50">
        <w:rPr>
          <w:snapToGrid w:val="0"/>
        </w:rPr>
        <w:t> </w:t>
      </w:r>
      <w:r w:rsidRPr="00BF3458">
        <w:rPr>
          <w:snapToGrid w:val="0"/>
        </w:rPr>
        <w:t>pokračovala i v roce 2021.</w:t>
      </w:r>
    </w:p>
    <w:p w:rsidR="005C032D" w:rsidRPr="00EF4476" w:rsidRDefault="005C032D" w:rsidP="00EB1F0F">
      <w:pPr>
        <w:keepNext/>
        <w:numPr>
          <w:ilvl w:val="0"/>
          <w:numId w:val="2"/>
        </w:numPr>
        <w:spacing w:before="360" w:after="120" w:line="276" w:lineRule="auto"/>
        <w:ind w:left="431" w:hanging="431"/>
        <w:jc w:val="both"/>
        <w:outlineLvl w:val="0"/>
        <w:rPr>
          <w:b/>
          <w:bCs/>
        </w:rPr>
      </w:pPr>
      <w:r w:rsidRPr="00EF4476">
        <w:rPr>
          <w:b/>
          <w:bCs/>
        </w:rPr>
        <w:t>Irácká republika</w:t>
      </w:r>
    </w:p>
    <w:p w:rsidR="005C032D" w:rsidRPr="00EF4476" w:rsidRDefault="005C032D" w:rsidP="00192DFC">
      <w:pPr>
        <w:keepNext/>
        <w:numPr>
          <w:ilvl w:val="1"/>
          <w:numId w:val="3"/>
        </w:numPr>
        <w:spacing w:before="240" w:line="276" w:lineRule="auto"/>
        <w:jc w:val="both"/>
        <w:outlineLvl w:val="0"/>
        <w:rPr>
          <w:b/>
          <w:bCs/>
        </w:rPr>
      </w:pPr>
      <w:r w:rsidRPr="00EF4476">
        <w:rPr>
          <w:b/>
          <w:bCs/>
        </w:rPr>
        <w:t>Politicko-bezpečnostní situace</w:t>
      </w:r>
    </w:p>
    <w:p w:rsidR="006834C3" w:rsidRPr="006834C3" w:rsidRDefault="006834C3" w:rsidP="00D759F6">
      <w:pPr>
        <w:spacing w:before="120" w:line="276" w:lineRule="auto"/>
        <w:ind w:firstLine="709"/>
        <w:jc w:val="both"/>
        <w:rPr>
          <w:snapToGrid w:val="0"/>
          <w:szCs w:val="12"/>
        </w:rPr>
      </w:pPr>
      <w:r w:rsidRPr="006834C3">
        <w:rPr>
          <w:snapToGrid w:val="0"/>
          <w:szCs w:val="12"/>
        </w:rPr>
        <w:t xml:space="preserve">Začátek roku 2020 </w:t>
      </w:r>
      <w:r>
        <w:rPr>
          <w:snapToGrid w:val="0"/>
          <w:szCs w:val="12"/>
        </w:rPr>
        <w:t>zastihl</w:t>
      </w:r>
      <w:r w:rsidRPr="006834C3">
        <w:rPr>
          <w:snapToGrid w:val="0"/>
          <w:szCs w:val="12"/>
        </w:rPr>
        <w:t xml:space="preserve"> Irák uprostřed dramatické </w:t>
      </w:r>
      <w:r w:rsidR="000846C2">
        <w:rPr>
          <w:snapToGrid w:val="0"/>
          <w:szCs w:val="12"/>
        </w:rPr>
        <w:t>vojenské eskalace mezi Íránem a </w:t>
      </w:r>
      <w:r w:rsidRPr="006834C3">
        <w:rPr>
          <w:snapToGrid w:val="0"/>
          <w:szCs w:val="12"/>
        </w:rPr>
        <w:t xml:space="preserve">USA. Ta vyvrcholila </w:t>
      </w:r>
      <w:r w:rsidR="000846C2">
        <w:rPr>
          <w:snapToGrid w:val="0"/>
          <w:szCs w:val="12"/>
        </w:rPr>
        <w:t>vzdušným</w:t>
      </w:r>
      <w:r w:rsidRPr="006834C3">
        <w:rPr>
          <w:snapToGrid w:val="0"/>
          <w:szCs w:val="12"/>
        </w:rPr>
        <w:t xml:space="preserve"> </w:t>
      </w:r>
      <w:r w:rsidR="000846C2">
        <w:rPr>
          <w:snapToGrid w:val="0"/>
          <w:szCs w:val="12"/>
        </w:rPr>
        <w:t>úderem</w:t>
      </w:r>
      <w:r w:rsidRPr="006834C3">
        <w:rPr>
          <w:snapToGrid w:val="0"/>
          <w:szCs w:val="12"/>
        </w:rPr>
        <w:t xml:space="preserve"> USA, při němž byl zabit vysoký představitel íráns</w:t>
      </w:r>
      <w:r w:rsidR="0063211F">
        <w:rPr>
          <w:snapToGrid w:val="0"/>
          <w:szCs w:val="12"/>
        </w:rPr>
        <w:t xml:space="preserve">kých revolučních gard generál </w:t>
      </w:r>
      <w:proofErr w:type="spellStart"/>
      <w:r w:rsidR="0063211F">
        <w:rPr>
          <w:snapToGrid w:val="0"/>
          <w:szCs w:val="12"/>
        </w:rPr>
        <w:t>Kásim</w:t>
      </w:r>
      <w:proofErr w:type="spellEnd"/>
      <w:r w:rsidRPr="006834C3">
        <w:rPr>
          <w:snapToGrid w:val="0"/>
          <w:szCs w:val="12"/>
        </w:rPr>
        <w:t xml:space="preserve"> </w:t>
      </w:r>
      <w:proofErr w:type="spellStart"/>
      <w:r w:rsidRPr="006834C3">
        <w:rPr>
          <w:snapToGrid w:val="0"/>
          <w:szCs w:val="12"/>
        </w:rPr>
        <w:t>Sulejmání</w:t>
      </w:r>
      <w:proofErr w:type="spellEnd"/>
      <w:r w:rsidRPr="006834C3">
        <w:rPr>
          <w:snapToGrid w:val="0"/>
          <w:szCs w:val="12"/>
        </w:rPr>
        <w:t xml:space="preserve"> a </w:t>
      </w:r>
      <w:r w:rsidR="00D759F6">
        <w:rPr>
          <w:snapToGrid w:val="0"/>
          <w:szCs w:val="12"/>
        </w:rPr>
        <w:t>proíránsky orientovaný náčelník štábu</w:t>
      </w:r>
      <w:r w:rsidRPr="006834C3">
        <w:rPr>
          <w:snapToGrid w:val="0"/>
          <w:szCs w:val="12"/>
        </w:rPr>
        <w:t xml:space="preserve"> iráckých milicí </w:t>
      </w:r>
      <w:r w:rsidR="00704F1E">
        <w:rPr>
          <w:snapToGrid w:val="0"/>
          <w:szCs w:val="12"/>
        </w:rPr>
        <w:t xml:space="preserve">(domobrany) </w:t>
      </w:r>
      <w:r w:rsidRPr="006834C3">
        <w:rPr>
          <w:snapToGrid w:val="0"/>
          <w:szCs w:val="12"/>
        </w:rPr>
        <w:t>A</w:t>
      </w:r>
      <w:r w:rsidR="0063211F">
        <w:rPr>
          <w:snapToGrid w:val="0"/>
          <w:szCs w:val="12"/>
        </w:rPr>
        <w:t xml:space="preserve">bú </w:t>
      </w:r>
      <w:proofErr w:type="spellStart"/>
      <w:r w:rsidRPr="006834C3">
        <w:rPr>
          <w:snapToGrid w:val="0"/>
          <w:szCs w:val="12"/>
        </w:rPr>
        <w:t>Muhandis</w:t>
      </w:r>
      <w:proofErr w:type="spellEnd"/>
      <w:r w:rsidRPr="006834C3">
        <w:rPr>
          <w:snapToGrid w:val="0"/>
          <w:szCs w:val="12"/>
        </w:rPr>
        <w:t xml:space="preserve">. </w:t>
      </w:r>
      <w:r w:rsidR="00D759F6">
        <w:rPr>
          <w:snapToGrid w:val="0"/>
          <w:szCs w:val="12"/>
        </w:rPr>
        <w:t>Část</w:t>
      </w:r>
      <w:r w:rsidR="00D759F6" w:rsidRPr="006834C3">
        <w:rPr>
          <w:snapToGrid w:val="0"/>
          <w:szCs w:val="12"/>
        </w:rPr>
        <w:t xml:space="preserve"> </w:t>
      </w:r>
      <w:r w:rsidRPr="006834C3">
        <w:rPr>
          <w:snapToGrid w:val="0"/>
          <w:szCs w:val="12"/>
        </w:rPr>
        <w:t>poslanc</w:t>
      </w:r>
      <w:r w:rsidR="00D759F6">
        <w:rPr>
          <w:snapToGrid w:val="0"/>
          <w:szCs w:val="12"/>
        </w:rPr>
        <w:t>ů</w:t>
      </w:r>
      <w:r w:rsidRPr="006834C3">
        <w:rPr>
          <w:snapToGrid w:val="0"/>
          <w:szCs w:val="12"/>
        </w:rPr>
        <w:t xml:space="preserve"> </w:t>
      </w:r>
      <w:r w:rsidR="00D759F6">
        <w:rPr>
          <w:snapToGrid w:val="0"/>
          <w:szCs w:val="12"/>
        </w:rPr>
        <w:t xml:space="preserve">parlamentu </w:t>
      </w:r>
      <w:r w:rsidRPr="006834C3">
        <w:rPr>
          <w:snapToGrid w:val="0"/>
          <w:szCs w:val="12"/>
        </w:rPr>
        <w:t>následně vyzval</w:t>
      </w:r>
      <w:r w:rsidR="00D759F6">
        <w:rPr>
          <w:snapToGrid w:val="0"/>
          <w:szCs w:val="12"/>
        </w:rPr>
        <w:t>a</w:t>
      </w:r>
      <w:r w:rsidRPr="006834C3">
        <w:rPr>
          <w:snapToGrid w:val="0"/>
          <w:szCs w:val="12"/>
        </w:rPr>
        <w:t xml:space="preserve"> iráckou přechodnou vládu k vypovězení v</w:t>
      </w:r>
      <w:r w:rsidR="00A953A1">
        <w:rPr>
          <w:snapToGrid w:val="0"/>
          <w:szCs w:val="12"/>
        </w:rPr>
        <w:t>ojáků USA ze země, čímž došlo k </w:t>
      </w:r>
      <w:r w:rsidRPr="006834C3">
        <w:rPr>
          <w:snapToGrid w:val="0"/>
          <w:szCs w:val="12"/>
        </w:rPr>
        <w:t>dočasnému </w:t>
      </w:r>
      <w:r>
        <w:rPr>
          <w:snapToGrid w:val="0"/>
          <w:szCs w:val="12"/>
        </w:rPr>
        <w:t>napětí v americko-iráckých vztazích.</w:t>
      </w:r>
      <w:r w:rsidR="00126676">
        <w:rPr>
          <w:snapToGrid w:val="0"/>
          <w:szCs w:val="12"/>
        </w:rPr>
        <w:t xml:space="preserve"> </w:t>
      </w:r>
      <w:r w:rsidR="00105F2F">
        <w:rPr>
          <w:snapToGrid w:val="0"/>
          <w:szCs w:val="12"/>
        </w:rPr>
        <w:t>Zároveň</w:t>
      </w:r>
      <w:r w:rsidR="00126676">
        <w:rPr>
          <w:snapToGrid w:val="0"/>
          <w:szCs w:val="12"/>
        </w:rPr>
        <w:t xml:space="preserve"> došlo k výraznému zhoršení bezpečnostní situace v</w:t>
      </w:r>
      <w:r w:rsidR="00105F2F">
        <w:rPr>
          <w:snapToGrid w:val="0"/>
          <w:szCs w:val="12"/>
        </w:rPr>
        <w:t> </w:t>
      </w:r>
      <w:r w:rsidR="00126676">
        <w:rPr>
          <w:snapToGrid w:val="0"/>
          <w:szCs w:val="12"/>
        </w:rPr>
        <w:t>zemi</w:t>
      </w:r>
      <w:r w:rsidR="00105F2F">
        <w:rPr>
          <w:snapToGrid w:val="0"/>
          <w:szCs w:val="12"/>
        </w:rPr>
        <w:t>, zejména pro zahraniční vojáky.</w:t>
      </w:r>
      <w:r w:rsidR="00A953A1">
        <w:rPr>
          <w:snapToGrid w:val="0"/>
          <w:szCs w:val="12"/>
        </w:rPr>
        <w:t xml:space="preserve"> </w:t>
      </w:r>
      <w:r w:rsidR="00897A11">
        <w:rPr>
          <w:snapToGrid w:val="0"/>
          <w:szCs w:val="12"/>
        </w:rPr>
        <w:t xml:space="preserve">Reakcí na vzniklou situaci bylo rozhodnutí o </w:t>
      </w:r>
      <w:r w:rsidR="001A1995">
        <w:rPr>
          <w:snapToGrid w:val="0"/>
          <w:szCs w:val="12"/>
        </w:rPr>
        <w:t>dočasném</w:t>
      </w:r>
      <w:r w:rsidR="00897A11">
        <w:rPr>
          <w:snapToGrid w:val="0"/>
          <w:szCs w:val="12"/>
        </w:rPr>
        <w:t xml:space="preserve"> stažení </w:t>
      </w:r>
      <w:r w:rsidR="001A1995">
        <w:rPr>
          <w:snapToGrid w:val="0"/>
          <w:szCs w:val="12"/>
        </w:rPr>
        <w:t xml:space="preserve">neamerických </w:t>
      </w:r>
      <w:r w:rsidR="00897A11">
        <w:rPr>
          <w:snapToGrid w:val="0"/>
          <w:szCs w:val="12"/>
        </w:rPr>
        <w:t xml:space="preserve">příslušníků </w:t>
      </w:r>
      <w:r w:rsidR="0063211F">
        <w:rPr>
          <w:snapToGrid w:val="0"/>
          <w:szCs w:val="12"/>
        </w:rPr>
        <w:t xml:space="preserve">operace </w:t>
      </w:r>
      <w:r w:rsidR="0063211F">
        <w:t xml:space="preserve">Globální koalice v boji proti </w:t>
      </w:r>
      <w:proofErr w:type="spellStart"/>
      <w:r w:rsidR="0063211F">
        <w:t>Da´esh</w:t>
      </w:r>
      <w:proofErr w:type="spellEnd"/>
      <w:r w:rsidR="0063211F">
        <w:rPr>
          <w:snapToGrid w:val="0"/>
          <w:szCs w:val="12"/>
        </w:rPr>
        <w:t xml:space="preserve"> (</w:t>
      </w:r>
      <w:r w:rsidR="00897A11">
        <w:rPr>
          <w:snapToGrid w:val="0"/>
          <w:szCs w:val="12"/>
        </w:rPr>
        <w:t>OIR</w:t>
      </w:r>
      <w:r w:rsidR="0063211F">
        <w:rPr>
          <w:snapToGrid w:val="0"/>
          <w:szCs w:val="12"/>
        </w:rPr>
        <w:t>/</w:t>
      </w:r>
      <w:proofErr w:type="spellStart"/>
      <w:r w:rsidR="00A953A1">
        <w:rPr>
          <w:snapToGrid w:val="0"/>
          <w:szCs w:val="12"/>
        </w:rPr>
        <w:t>Operation</w:t>
      </w:r>
      <w:proofErr w:type="spellEnd"/>
      <w:r w:rsidR="00A953A1">
        <w:rPr>
          <w:snapToGrid w:val="0"/>
          <w:szCs w:val="12"/>
        </w:rPr>
        <w:t xml:space="preserve"> </w:t>
      </w:r>
      <w:proofErr w:type="spellStart"/>
      <w:r w:rsidR="00A953A1">
        <w:rPr>
          <w:snapToGrid w:val="0"/>
          <w:szCs w:val="12"/>
        </w:rPr>
        <w:t>Inherent</w:t>
      </w:r>
      <w:proofErr w:type="spellEnd"/>
      <w:r w:rsidR="00A953A1">
        <w:rPr>
          <w:snapToGrid w:val="0"/>
          <w:szCs w:val="12"/>
        </w:rPr>
        <w:t xml:space="preserve"> </w:t>
      </w:r>
      <w:proofErr w:type="spellStart"/>
      <w:r w:rsidR="00A953A1">
        <w:rPr>
          <w:snapToGrid w:val="0"/>
          <w:szCs w:val="12"/>
        </w:rPr>
        <w:t>Resolve</w:t>
      </w:r>
      <w:proofErr w:type="spellEnd"/>
      <w:r w:rsidR="00A953A1">
        <w:rPr>
          <w:snapToGrid w:val="0"/>
          <w:szCs w:val="12"/>
        </w:rPr>
        <w:t>) a </w:t>
      </w:r>
      <w:r w:rsidR="001A1995">
        <w:rPr>
          <w:snapToGrid w:val="0"/>
          <w:szCs w:val="12"/>
        </w:rPr>
        <w:t xml:space="preserve">prakticky celé </w:t>
      </w:r>
      <w:r w:rsidR="002A5CB7">
        <w:rPr>
          <w:snapToGrid w:val="0"/>
          <w:szCs w:val="12"/>
        </w:rPr>
        <w:t>alianční výcvikové mise (</w:t>
      </w:r>
      <w:r w:rsidR="00897A11">
        <w:rPr>
          <w:snapToGrid w:val="0"/>
          <w:szCs w:val="12"/>
        </w:rPr>
        <w:t>NMI</w:t>
      </w:r>
      <w:r w:rsidR="002A5CB7">
        <w:rPr>
          <w:snapToGrid w:val="0"/>
          <w:szCs w:val="12"/>
        </w:rPr>
        <w:t>/</w:t>
      </w:r>
      <w:r w:rsidR="00897A11">
        <w:rPr>
          <w:snapToGrid w:val="0"/>
          <w:szCs w:val="12"/>
        </w:rPr>
        <w:t xml:space="preserve">NATO </w:t>
      </w:r>
      <w:proofErr w:type="spellStart"/>
      <w:r w:rsidR="00897A11">
        <w:rPr>
          <w:snapToGrid w:val="0"/>
          <w:szCs w:val="12"/>
        </w:rPr>
        <w:t>Mission</w:t>
      </w:r>
      <w:proofErr w:type="spellEnd"/>
      <w:r w:rsidR="00897A11">
        <w:rPr>
          <w:snapToGrid w:val="0"/>
          <w:szCs w:val="12"/>
        </w:rPr>
        <w:t xml:space="preserve"> </w:t>
      </w:r>
      <w:proofErr w:type="spellStart"/>
      <w:r w:rsidR="00897A11">
        <w:rPr>
          <w:snapToGrid w:val="0"/>
          <w:szCs w:val="12"/>
        </w:rPr>
        <w:t>Iraq</w:t>
      </w:r>
      <w:proofErr w:type="spellEnd"/>
      <w:r w:rsidR="00897A11">
        <w:rPr>
          <w:snapToGrid w:val="0"/>
          <w:szCs w:val="12"/>
        </w:rPr>
        <w:t>) mimo území Iráku</w:t>
      </w:r>
      <w:r w:rsidR="00704F1E">
        <w:rPr>
          <w:snapToGrid w:val="0"/>
          <w:szCs w:val="12"/>
        </w:rPr>
        <w:t>.</w:t>
      </w:r>
    </w:p>
    <w:p w:rsidR="006834C3" w:rsidRPr="006834C3" w:rsidRDefault="006834C3" w:rsidP="008865E0">
      <w:pPr>
        <w:spacing w:before="120" w:line="276" w:lineRule="auto"/>
        <w:ind w:firstLine="709"/>
        <w:jc w:val="both"/>
        <w:rPr>
          <w:snapToGrid w:val="0"/>
          <w:szCs w:val="12"/>
        </w:rPr>
      </w:pPr>
      <w:r w:rsidRPr="006834C3">
        <w:rPr>
          <w:snapToGrid w:val="0"/>
          <w:szCs w:val="12"/>
        </w:rPr>
        <w:t xml:space="preserve">Irák byl navíc od konce listopadu 2019 bez </w:t>
      </w:r>
      <w:r w:rsidR="00D759F6">
        <w:rPr>
          <w:snapToGrid w:val="0"/>
          <w:szCs w:val="12"/>
        </w:rPr>
        <w:t>řádné</w:t>
      </w:r>
      <w:r w:rsidR="00D759F6" w:rsidRPr="006834C3">
        <w:rPr>
          <w:snapToGrid w:val="0"/>
          <w:szCs w:val="12"/>
        </w:rPr>
        <w:t xml:space="preserve"> </w:t>
      </w:r>
      <w:r w:rsidRPr="006834C3">
        <w:rPr>
          <w:snapToGrid w:val="0"/>
          <w:szCs w:val="12"/>
        </w:rPr>
        <w:t>vlády. Premiér A</w:t>
      </w:r>
      <w:r w:rsidR="00D759F6">
        <w:rPr>
          <w:snapToGrid w:val="0"/>
          <w:szCs w:val="12"/>
        </w:rPr>
        <w:t>bd</w:t>
      </w:r>
      <w:r w:rsidR="00943765">
        <w:rPr>
          <w:snapToGrid w:val="0"/>
          <w:szCs w:val="12"/>
        </w:rPr>
        <w:t>u</w:t>
      </w:r>
      <w:r w:rsidR="00D759F6">
        <w:rPr>
          <w:snapToGrid w:val="0"/>
          <w:szCs w:val="12"/>
        </w:rPr>
        <w:t>l</w:t>
      </w:r>
      <w:r w:rsidR="00943765">
        <w:rPr>
          <w:snapToGrid w:val="0"/>
          <w:szCs w:val="12"/>
        </w:rPr>
        <w:t xml:space="preserve"> </w:t>
      </w:r>
      <w:proofErr w:type="spellStart"/>
      <w:r w:rsidR="00943765">
        <w:rPr>
          <w:snapToGrid w:val="0"/>
          <w:szCs w:val="12"/>
        </w:rPr>
        <w:t>M</w:t>
      </w:r>
      <w:r w:rsidRPr="006834C3">
        <w:rPr>
          <w:snapToGrid w:val="0"/>
          <w:szCs w:val="12"/>
        </w:rPr>
        <w:t>ahdí</w:t>
      </w:r>
      <w:proofErr w:type="spellEnd"/>
      <w:r w:rsidRPr="006834C3">
        <w:rPr>
          <w:snapToGrid w:val="0"/>
          <w:szCs w:val="12"/>
        </w:rPr>
        <w:t xml:space="preserve"> podal demisi v důsledku měsíce trvajících masových </w:t>
      </w:r>
      <w:r w:rsidR="00704F1E">
        <w:rPr>
          <w:snapToGrid w:val="0"/>
          <w:szCs w:val="12"/>
        </w:rPr>
        <w:t xml:space="preserve">občanských </w:t>
      </w:r>
      <w:r w:rsidRPr="006834C3">
        <w:rPr>
          <w:snapToGrid w:val="0"/>
          <w:szCs w:val="12"/>
        </w:rPr>
        <w:t>protestů</w:t>
      </w:r>
      <w:r w:rsidR="00704F1E">
        <w:rPr>
          <w:snapToGrid w:val="0"/>
          <w:szCs w:val="12"/>
        </w:rPr>
        <w:t>, provázených policejním násilím</w:t>
      </w:r>
      <w:r w:rsidRPr="006834C3">
        <w:rPr>
          <w:snapToGrid w:val="0"/>
          <w:szCs w:val="12"/>
        </w:rPr>
        <w:t xml:space="preserve">. </w:t>
      </w:r>
      <w:r w:rsidR="00704F1E">
        <w:rPr>
          <w:snapToGrid w:val="0"/>
          <w:szCs w:val="12"/>
        </w:rPr>
        <w:t>Teprve v</w:t>
      </w:r>
      <w:r w:rsidRPr="006834C3">
        <w:rPr>
          <w:snapToGrid w:val="0"/>
          <w:szCs w:val="12"/>
        </w:rPr>
        <w:t xml:space="preserve"> květn</w:t>
      </w:r>
      <w:r w:rsidR="00704F1E">
        <w:rPr>
          <w:snapToGrid w:val="0"/>
          <w:szCs w:val="12"/>
        </w:rPr>
        <w:t>u</w:t>
      </w:r>
      <w:r w:rsidR="00126676">
        <w:rPr>
          <w:snapToGrid w:val="0"/>
          <w:szCs w:val="12"/>
        </w:rPr>
        <w:t xml:space="preserve"> 2020</w:t>
      </w:r>
      <w:r w:rsidR="00704F1E">
        <w:rPr>
          <w:snapToGrid w:val="0"/>
          <w:szCs w:val="12"/>
        </w:rPr>
        <w:t xml:space="preserve"> vyslovil</w:t>
      </w:r>
      <w:r w:rsidRPr="006834C3">
        <w:rPr>
          <w:snapToGrid w:val="0"/>
          <w:szCs w:val="12"/>
        </w:rPr>
        <w:t xml:space="preserve"> irácký parlament důvěru nové</w:t>
      </w:r>
      <w:r w:rsidR="00D95ADF">
        <w:rPr>
          <w:snapToGrid w:val="0"/>
          <w:szCs w:val="12"/>
        </w:rPr>
        <w:t xml:space="preserve"> vládě premiéra M</w:t>
      </w:r>
      <w:r w:rsidR="002A5CB7">
        <w:rPr>
          <w:snapToGrid w:val="0"/>
          <w:szCs w:val="12"/>
        </w:rPr>
        <w:t xml:space="preserve">ustafy </w:t>
      </w:r>
      <w:proofErr w:type="spellStart"/>
      <w:r w:rsidR="00D759F6">
        <w:rPr>
          <w:snapToGrid w:val="0"/>
          <w:szCs w:val="12"/>
        </w:rPr>
        <w:t>Kázimího</w:t>
      </w:r>
      <w:proofErr w:type="spellEnd"/>
      <w:r w:rsidR="00704F1E">
        <w:rPr>
          <w:snapToGrid w:val="0"/>
          <w:szCs w:val="12"/>
        </w:rPr>
        <w:t xml:space="preserve"> -</w:t>
      </w:r>
      <w:r w:rsidR="00704F1E" w:rsidRPr="006834C3">
        <w:rPr>
          <w:snapToGrid w:val="0"/>
          <w:szCs w:val="12"/>
        </w:rPr>
        <w:t xml:space="preserve"> </w:t>
      </w:r>
      <w:r w:rsidRPr="006834C3">
        <w:rPr>
          <w:snapToGrid w:val="0"/>
          <w:szCs w:val="12"/>
        </w:rPr>
        <w:t>bývalého ředitele irácké Národní zpravodajské služby</w:t>
      </w:r>
      <w:r w:rsidR="00704F1E">
        <w:rPr>
          <w:snapToGrid w:val="0"/>
          <w:szCs w:val="12"/>
        </w:rPr>
        <w:t xml:space="preserve"> - s mandátem dovést zemi k parlamentním volbám v roce 2021</w:t>
      </w:r>
      <w:r w:rsidRPr="006834C3">
        <w:rPr>
          <w:snapToGrid w:val="0"/>
          <w:szCs w:val="12"/>
        </w:rPr>
        <w:t xml:space="preserve">. Jedním z cílů </w:t>
      </w:r>
      <w:r w:rsidR="000846C2">
        <w:rPr>
          <w:snapToGrid w:val="0"/>
          <w:szCs w:val="12"/>
        </w:rPr>
        <w:t>dočasné</w:t>
      </w:r>
      <w:r w:rsidRPr="006834C3">
        <w:rPr>
          <w:snapToGrid w:val="0"/>
          <w:szCs w:val="12"/>
        </w:rPr>
        <w:t xml:space="preserve"> vl</w:t>
      </w:r>
      <w:r w:rsidR="002A5CB7">
        <w:rPr>
          <w:snapToGrid w:val="0"/>
          <w:szCs w:val="12"/>
        </w:rPr>
        <w:t>ády se stalo vyjednání dohody o </w:t>
      </w:r>
      <w:r w:rsidRPr="006834C3">
        <w:rPr>
          <w:snapToGrid w:val="0"/>
          <w:szCs w:val="12"/>
        </w:rPr>
        <w:t xml:space="preserve">pobytu koaličních vojsk vedených USA v zemi a nastavení vyvážené zahraniční politiky směrem k USA a Íránu. </w:t>
      </w:r>
      <w:r w:rsidR="000730A9">
        <w:rPr>
          <w:snapToGrid w:val="0"/>
          <w:szCs w:val="12"/>
        </w:rPr>
        <w:t>V </w:t>
      </w:r>
      <w:r w:rsidRPr="006834C3">
        <w:rPr>
          <w:snapToGrid w:val="0"/>
          <w:szCs w:val="12"/>
        </w:rPr>
        <w:t xml:space="preserve">červnu 2020 </w:t>
      </w:r>
      <w:r>
        <w:rPr>
          <w:snapToGrid w:val="0"/>
          <w:szCs w:val="12"/>
        </w:rPr>
        <w:t>se uskutečnil</w:t>
      </w:r>
      <w:r w:rsidRPr="006834C3">
        <w:rPr>
          <w:snapToGrid w:val="0"/>
          <w:szCs w:val="12"/>
        </w:rPr>
        <w:t xml:space="preserve"> mezi Irákem a USA strategický dialog, při němž irácká vláda potvrdila zájem na setrvání mezinárodních sil v zemi, USA naopak přislíbily postupné stahování svých jednot</w:t>
      </w:r>
      <w:r w:rsidR="00D95ADF">
        <w:rPr>
          <w:snapToGrid w:val="0"/>
          <w:szCs w:val="12"/>
        </w:rPr>
        <w:t>ek, byť bez konkrétních čísel a </w:t>
      </w:r>
      <w:r w:rsidRPr="006834C3">
        <w:rPr>
          <w:snapToGrid w:val="0"/>
          <w:szCs w:val="12"/>
        </w:rPr>
        <w:t>harmonogramu.</w:t>
      </w:r>
    </w:p>
    <w:p w:rsidR="006834C3" w:rsidRPr="006834C3" w:rsidRDefault="00704F1E" w:rsidP="008F6698">
      <w:pPr>
        <w:spacing w:before="120" w:line="276" w:lineRule="auto"/>
        <w:ind w:firstLine="709"/>
        <w:jc w:val="both"/>
        <w:rPr>
          <w:snapToGrid w:val="0"/>
          <w:szCs w:val="12"/>
        </w:rPr>
      </w:pPr>
      <w:r>
        <w:rPr>
          <w:snapToGrid w:val="0"/>
          <w:szCs w:val="12"/>
        </w:rPr>
        <w:t>N</w:t>
      </w:r>
      <w:r w:rsidR="006834C3" w:rsidRPr="006834C3">
        <w:rPr>
          <w:snapToGrid w:val="0"/>
          <w:szCs w:val="12"/>
        </w:rPr>
        <w:t xml:space="preserve">ovému premiérovi </w:t>
      </w:r>
      <w:r>
        <w:rPr>
          <w:snapToGrid w:val="0"/>
          <w:szCs w:val="12"/>
        </w:rPr>
        <w:t xml:space="preserve">se však přes seriózní úsilí </w:t>
      </w:r>
      <w:r w:rsidR="006834C3" w:rsidRPr="006834C3">
        <w:rPr>
          <w:snapToGrid w:val="0"/>
          <w:szCs w:val="12"/>
        </w:rPr>
        <w:t>ne</w:t>
      </w:r>
      <w:r>
        <w:rPr>
          <w:snapToGrid w:val="0"/>
          <w:szCs w:val="12"/>
        </w:rPr>
        <w:t>po</w:t>
      </w:r>
      <w:r w:rsidR="006834C3" w:rsidRPr="006834C3">
        <w:rPr>
          <w:snapToGrid w:val="0"/>
          <w:szCs w:val="12"/>
        </w:rPr>
        <w:t xml:space="preserve">dařilo </w:t>
      </w:r>
      <w:r>
        <w:rPr>
          <w:snapToGrid w:val="0"/>
          <w:szCs w:val="12"/>
        </w:rPr>
        <w:t xml:space="preserve">prosadit reálnou kontrolu vlády nad proíránskou částí milicí, která nadále </w:t>
      </w:r>
      <w:r w:rsidR="008F6698">
        <w:rPr>
          <w:snapToGrid w:val="0"/>
          <w:szCs w:val="12"/>
        </w:rPr>
        <w:t xml:space="preserve">svévolně </w:t>
      </w:r>
      <w:r>
        <w:rPr>
          <w:snapToGrid w:val="0"/>
          <w:szCs w:val="12"/>
        </w:rPr>
        <w:t xml:space="preserve">vzdorovala </w:t>
      </w:r>
      <w:r w:rsidR="001541EB">
        <w:rPr>
          <w:snapToGrid w:val="0"/>
          <w:szCs w:val="12"/>
        </w:rPr>
        <w:t>americké</w:t>
      </w:r>
      <w:r>
        <w:rPr>
          <w:snapToGrid w:val="0"/>
          <w:szCs w:val="12"/>
        </w:rPr>
        <w:t xml:space="preserve"> vojenské přítomnosti veřejnými prohlášeními i </w:t>
      </w:r>
      <w:r w:rsidR="006834C3" w:rsidRPr="006834C3">
        <w:rPr>
          <w:snapToGrid w:val="0"/>
          <w:szCs w:val="12"/>
        </w:rPr>
        <w:t>raketov</w:t>
      </w:r>
      <w:r>
        <w:rPr>
          <w:snapToGrid w:val="0"/>
          <w:szCs w:val="12"/>
        </w:rPr>
        <w:t>ými</w:t>
      </w:r>
      <w:r w:rsidR="006834C3" w:rsidRPr="006834C3">
        <w:rPr>
          <w:snapToGrid w:val="0"/>
          <w:szCs w:val="12"/>
        </w:rPr>
        <w:t xml:space="preserve"> útoky na </w:t>
      </w:r>
      <w:r w:rsidR="001541EB">
        <w:rPr>
          <w:snapToGrid w:val="0"/>
          <w:szCs w:val="12"/>
        </w:rPr>
        <w:t>mezinárodní vojenské základny a </w:t>
      </w:r>
      <w:r w:rsidR="006834C3" w:rsidRPr="006834C3">
        <w:rPr>
          <w:snapToGrid w:val="0"/>
          <w:szCs w:val="12"/>
        </w:rPr>
        <w:t xml:space="preserve">zahraniční cíle v Bagdádu. USA proto v září 2020 pohrozily evakuací svého zastupitelského úřadu, což vyvolalo obavy, že by v zemi a regionu mohlo dojít k opětovné vojenské eskalaci. Americká administrativa následně v listopadu oznámila, že do poloviny ledna 2021 sníží </w:t>
      </w:r>
      <w:r w:rsidR="00A850C0">
        <w:rPr>
          <w:snapToGrid w:val="0"/>
          <w:szCs w:val="12"/>
        </w:rPr>
        <w:t xml:space="preserve">počet svých vojáků </w:t>
      </w:r>
      <w:r w:rsidR="006834C3" w:rsidRPr="006834C3">
        <w:rPr>
          <w:snapToGrid w:val="0"/>
          <w:szCs w:val="12"/>
        </w:rPr>
        <w:t>v </w:t>
      </w:r>
      <w:r w:rsidR="006834C3">
        <w:rPr>
          <w:snapToGrid w:val="0"/>
          <w:szCs w:val="12"/>
        </w:rPr>
        <w:t>Iráku</w:t>
      </w:r>
      <w:r w:rsidR="006834C3" w:rsidRPr="006834C3">
        <w:rPr>
          <w:snapToGrid w:val="0"/>
          <w:szCs w:val="12"/>
        </w:rPr>
        <w:t xml:space="preserve"> z tehdejších 3</w:t>
      </w:r>
      <w:r w:rsidR="006834C3">
        <w:rPr>
          <w:snapToGrid w:val="0"/>
          <w:szCs w:val="12"/>
        </w:rPr>
        <w:t> </w:t>
      </w:r>
      <w:r w:rsidR="006834C3" w:rsidRPr="006834C3">
        <w:rPr>
          <w:snapToGrid w:val="0"/>
          <w:szCs w:val="12"/>
        </w:rPr>
        <w:t>000 na 2</w:t>
      </w:r>
      <w:r w:rsidR="00A850C0">
        <w:rPr>
          <w:snapToGrid w:val="0"/>
          <w:szCs w:val="12"/>
        </w:rPr>
        <w:t> </w:t>
      </w:r>
      <w:r w:rsidR="006834C3" w:rsidRPr="006834C3">
        <w:rPr>
          <w:snapToGrid w:val="0"/>
          <w:szCs w:val="12"/>
        </w:rPr>
        <w:t>500</w:t>
      </w:r>
      <w:r w:rsidR="00A850C0">
        <w:rPr>
          <w:snapToGrid w:val="0"/>
          <w:szCs w:val="12"/>
        </w:rPr>
        <w:t xml:space="preserve"> osob</w:t>
      </w:r>
      <w:r w:rsidR="006834C3" w:rsidRPr="006834C3">
        <w:rPr>
          <w:snapToGrid w:val="0"/>
          <w:szCs w:val="12"/>
        </w:rPr>
        <w:t>.</w:t>
      </w:r>
    </w:p>
    <w:p w:rsidR="006834C3" w:rsidRPr="006834C3" w:rsidRDefault="002A5CB7" w:rsidP="008865E0">
      <w:pPr>
        <w:spacing w:before="120" w:line="276" w:lineRule="auto"/>
        <w:ind w:firstLine="709"/>
        <w:jc w:val="both"/>
        <w:rPr>
          <w:snapToGrid w:val="0"/>
          <w:szCs w:val="12"/>
        </w:rPr>
      </w:pPr>
      <w:r>
        <w:t>Islámský stát v Iráku a Levantě (</w:t>
      </w:r>
      <w:proofErr w:type="spellStart"/>
      <w:r w:rsidR="00B327E6">
        <w:t>Islamic</w:t>
      </w:r>
      <w:proofErr w:type="spellEnd"/>
      <w:r w:rsidR="00B327E6">
        <w:t xml:space="preserve"> </w:t>
      </w:r>
      <w:proofErr w:type="spellStart"/>
      <w:r w:rsidR="00B327E6">
        <w:t>State</w:t>
      </w:r>
      <w:proofErr w:type="spellEnd"/>
      <w:r w:rsidR="00B327E6">
        <w:t xml:space="preserve"> </w:t>
      </w:r>
      <w:proofErr w:type="spellStart"/>
      <w:r w:rsidR="00B327E6">
        <w:t>of</w:t>
      </w:r>
      <w:proofErr w:type="spellEnd"/>
      <w:r w:rsidR="00B327E6">
        <w:t xml:space="preserve"> </w:t>
      </w:r>
      <w:proofErr w:type="spellStart"/>
      <w:r w:rsidR="00B327E6">
        <w:t>Iraq</w:t>
      </w:r>
      <w:proofErr w:type="spellEnd"/>
      <w:r w:rsidR="00B327E6">
        <w:t xml:space="preserve"> and </w:t>
      </w:r>
      <w:proofErr w:type="spellStart"/>
      <w:r w:rsidR="00B327E6">
        <w:t>the</w:t>
      </w:r>
      <w:proofErr w:type="spellEnd"/>
      <w:r w:rsidR="00B327E6">
        <w:t xml:space="preserve"> Levant/</w:t>
      </w:r>
      <w:r w:rsidR="002656D6">
        <w:t>ISIL/</w:t>
      </w:r>
      <w:proofErr w:type="spellStart"/>
      <w:r w:rsidR="002656D6" w:rsidRPr="00660B1B">
        <w:t>Da´esh</w:t>
      </w:r>
      <w:proofErr w:type="spellEnd"/>
      <w:r>
        <w:t>)</w:t>
      </w:r>
      <w:r w:rsidR="002656D6" w:rsidRPr="00660B1B">
        <w:t xml:space="preserve"> </w:t>
      </w:r>
      <w:r w:rsidR="008F6698">
        <w:t>v průběhu roku 2020 zůstal omezenou vojenskou hrozbou</w:t>
      </w:r>
      <w:r w:rsidR="008865E0">
        <w:t xml:space="preserve"> a udržel si schopnost</w:t>
      </w:r>
      <w:r w:rsidR="008F6698">
        <w:t xml:space="preserve"> provádět </w:t>
      </w:r>
      <w:r w:rsidR="009C5ABD" w:rsidRPr="009C5ABD">
        <w:t>gerilový boj</w:t>
      </w:r>
      <w:r w:rsidR="006834C3" w:rsidRPr="006834C3">
        <w:rPr>
          <w:snapToGrid w:val="0"/>
          <w:szCs w:val="12"/>
        </w:rPr>
        <w:t xml:space="preserve"> ve venkovských i městských oblastech</w:t>
      </w:r>
      <w:r w:rsidR="008F6698">
        <w:rPr>
          <w:snapToGrid w:val="0"/>
          <w:szCs w:val="12"/>
        </w:rPr>
        <w:t xml:space="preserve"> a</w:t>
      </w:r>
      <w:r w:rsidR="006834C3" w:rsidRPr="006834C3">
        <w:rPr>
          <w:snapToGrid w:val="0"/>
          <w:szCs w:val="12"/>
        </w:rPr>
        <w:t xml:space="preserve"> </w:t>
      </w:r>
      <w:r w:rsidR="00331F6B">
        <w:rPr>
          <w:snapToGrid w:val="0"/>
          <w:szCs w:val="12"/>
        </w:rPr>
        <w:t xml:space="preserve">generovat finanční prostředky </w:t>
      </w:r>
      <w:r w:rsidR="008F6698">
        <w:rPr>
          <w:snapToGrid w:val="0"/>
          <w:szCs w:val="12"/>
        </w:rPr>
        <w:t>pro svou</w:t>
      </w:r>
      <w:r w:rsidR="006834C3" w:rsidRPr="006834C3">
        <w:rPr>
          <w:snapToGrid w:val="0"/>
          <w:szCs w:val="12"/>
        </w:rPr>
        <w:t xml:space="preserve"> materiáln</w:t>
      </w:r>
      <w:r w:rsidR="008F6698">
        <w:rPr>
          <w:snapToGrid w:val="0"/>
          <w:szCs w:val="12"/>
        </w:rPr>
        <w:t>í</w:t>
      </w:r>
      <w:r w:rsidR="006834C3" w:rsidRPr="006834C3">
        <w:rPr>
          <w:snapToGrid w:val="0"/>
          <w:szCs w:val="12"/>
        </w:rPr>
        <w:t xml:space="preserve"> soběstačn</w:t>
      </w:r>
      <w:r w:rsidR="008F6698">
        <w:rPr>
          <w:snapToGrid w:val="0"/>
          <w:szCs w:val="12"/>
        </w:rPr>
        <w:t>ost</w:t>
      </w:r>
      <w:r w:rsidR="006834C3" w:rsidRPr="006834C3">
        <w:rPr>
          <w:snapToGrid w:val="0"/>
          <w:szCs w:val="12"/>
        </w:rPr>
        <w:t xml:space="preserve">. </w:t>
      </w:r>
      <w:r w:rsidR="00A850C0">
        <w:rPr>
          <w:snapToGrid w:val="0"/>
          <w:szCs w:val="12"/>
        </w:rPr>
        <w:t>Na konci roku 202</w:t>
      </w:r>
      <w:r w:rsidR="00EE3E31">
        <w:rPr>
          <w:snapToGrid w:val="0"/>
          <w:szCs w:val="12"/>
        </w:rPr>
        <w:t>0</w:t>
      </w:r>
      <w:r w:rsidR="00A850C0">
        <w:rPr>
          <w:snapToGrid w:val="0"/>
          <w:szCs w:val="12"/>
        </w:rPr>
        <w:t xml:space="preserve"> se odhadovalo, že </w:t>
      </w:r>
      <w:proofErr w:type="spellStart"/>
      <w:r w:rsidR="002656D6" w:rsidRPr="00660B1B">
        <w:t>Da´esh</w:t>
      </w:r>
      <w:proofErr w:type="spellEnd"/>
      <w:r w:rsidR="00A850C0" w:rsidRPr="006834C3">
        <w:rPr>
          <w:snapToGrid w:val="0"/>
          <w:szCs w:val="12"/>
        </w:rPr>
        <w:t xml:space="preserve"> </w:t>
      </w:r>
      <w:r w:rsidR="00A850C0">
        <w:rPr>
          <w:snapToGrid w:val="0"/>
          <w:szCs w:val="12"/>
        </w:rPr>
        <w:t>disponuje až 18 000 bojovníky.</w:t>
      </w:r>
    </w:p>
    <w:p w:rsidR="005C032D" w:rsidRPr="00EF4476" w:rsidRDefault="005C032D" w:rsidP="005407A4">
      <w:pPr>
        <w:keepNext/>
        <w:numPr>
          <w:ilvl w:val="1"/>
          <w:numId w:val="3"/>
        </w:numPr>
        <w:spacing w:before="240" w:line="276" w:lineRule="auto"/>
        <w:jc w:val="both"/>
        <w:outlineLvl w:val="0"/>
        <w:rPr>
          <w:b/>
          <w:bCs/>
        </w:rPr>
      </w:pPr>
      <w:r w:rsidRPr="00EF4476">
        <w:rPr>
          <w:b/>
          <w:bCs/>
        </w:rPr>
        <w:t xml:space="preserve">Působení </w:t>
      </w:r>
      <w:r w:rsidR="00EA1F87" w:rsidRPr="00EF4476">
        <w:rPr>
          <w:b/>
          <w:bCs/>
        </w:rPr>
        <w:t>sil a prostředků</w:t>
      </w:r>
      <w:r w:rsidRPr="00EF4476">
        <w:rPr>
          <w:b/>
          <w:bCs/>
        </w:rPr>
        <w:t xml:space="preserve"> rezortu MO v</w:t>
      </w:r>
      <w:r w:rsidR="00F55C02" w:rsidRPr="00EF4476">
        <w:rPr>
          <w:b/>
          <w:bCs/>
        </w:rPr>
        <w:t> operacích</w:t>
      </w:r>
      <w:r w:rsidR="00107617" w:rsidRPr="00EF4476">
        <w:rPr>
          <w:b/>
          <w:bCs/>
        </w:rPr>
        <w:t xml:space="preserve"> INHERENT RESOLVE</w:t>
      </w:r>
      <w:r w:rsidR="00EA1F87" w:rsidRPr="00EF4476">
        <w:rPr>
          <w:b/>
          <w:bCs/>
        </w:rPr>
        <w:t xml:space="preserve"> a </w:t>
      </w:r>
      <w:r w:rsidR="00F55C02" w:rsidRPr="00EF4476">
        <w:rPr>
          <w:b/>
          <w:bCs/>
        </w:rPr>
        <w:t xml:space="preserve">NATO </w:t>
      </w:r>
      <w:r w:rsidR="00125788" w:rsidRPr="00EF4476">
        <w:rPr>
          <w:b/>
          <w:bCs/>
        </w:rPr>
        <w:t xml:space="preserve">MISSION </w:t>
      </w:r>
      <w:r w:rsidR="00F55C02" w:rsidRPr="00EF4476">
        <w:rPr>
          <w:b/>
          <w:bCs/>
        </w:rPr>
        <w:t>I</w:t>
      </w:r>
      <w:r w:rsidR="00125788" w:rsidRPr="00EF4476">
        <w:rPr>
          <w:b/>
          <w:bCs/>
        </w:rPr>
        <w:t>RAQ</w:t>
      </w:r>
    </w:p>
    <w:p w:rsidR="00125788" w:rsidRDefault="005C032D" w:rsidP="00F95A45">
      <w:pPr>
        <w:spacing w:before="120" w:line="276" w:lineRule="auto"/>
        <w:ind w:firstLine="709"/>
        <w:jc w:val="both"/>
        <w:rPr>
          <w:snapToGrid w:val="0"/>
          <w:szCs w:val="12"/>
        </w:rPr>
      </w:pPr>
      <w:r w:rsidRPr="00EF4476">
        <w:rPr>
          <w:snapToGrid w:val="0"/>
          <w:szCs w:val="12"/>
        </w:rPr>
        <w:t xml:space="preserve">ČR pokračovala </w:t>
      </w:r>
      <w:r w:rsidR="008C4E70" w:rsidRPr="00EF4476">
        <w:rPr>
          <w:snapToGrid w:val="0"/>
          <w:szCs w:val="12"/>
        </w:rPr>
        <w:t xml:space="preserve">v roce </w:t>
      </w:r>
      <w:r w:rsidR="000730A9" w:rsidRPr="00EF4476">
        <w:rPr>
          <w:snapToGrid w:val="0"/>
          <w:szCs w:val="12"/>
        </w:rPr>
        <w:t>2020</w:t>
      </w:r>
      <w:r w:rsidR="008C4E70" w:rsidRPr="00EF4476">
        <w:rPr>
          <w:snapToGrid w:val="0"/>
          <w:szCs w:val="12"/>
        </w:rPr>
        <w:t xml:space="preserve"> </w:t>
      </w:r>
      <w:r w:rsidRPr="00EF4476">
        <w:rPr>
          <w:snapToGrid w:val="0"/>
          <w:szCs w:val="12"/>
        </w:rPr>
        <w:t>v</w:t>
      </w:r>
      <w:r w:rsidR="008C4E70" w:rsidRPr="00EF4476">
        <w:rPr>
          <w:snapToGrid w:val="0"/>
          <w:szCs w:val="12"/>
        </w:rPr>
        <w:t xml:space="preserve"> působení </w:t>
      </w:r>
      <w:r w:rsidR="00B908E0" w:rsidRPr="00EF4476">
        <w:rPr>
          <w:snapToGrid w:val="0"/>
          <w:szCs w:val="12"/>
        </w:rPr>
        <w:t xml:space="preserve">na území Iráku, a to </w:t>
      </w:r>
      <w:r w:rsidR="008C4E70" w:rsidRPr="00EF4476">
        <w:rPr>
          <w:snapToGrid w:val="0"/>
          <w:szCs w:val="12"/>
        </w:rPr>
        <w:t>v rámci</w:t>
      </w:r>
      <w:r w:rsidRPr="00EF4476">
        <w:rPr>
          <w:snapToGrid w:val="0"/>
          <w:szCs w:val="12"/>
        </w:rPr>
        <w:t xml:space="preserve"> koaliční operace</w:t>
      </w:r>
      <w:r w:rsidRPr="00831B4A">
        <w:rPr>
          <w:snapToGrid w:val="0"/>
          <w:szCs w:val="12"/>
        </w:rPr>
        <w:t xml:space="preserve"> </w:t>
      </w:r>
      <w:r w:rsidR="002A5CB7">
        <w:rPr>
          <w:snapToGrid w:val="0"/>
          <w:szCs w:val="12"/>
        </w:rPr>
        <w:t>OIR</w:t>
      </w:r>
      <w:r w:rsidRPr="00831B4A">
        <w:rPr>
          <w:snapToGrid w:val="0"/>
          <w:szCs w:val="12"/>
        </w:rPr>
        <w:t xml:space="preserve"> </w:t>
      </w:r>
      <w:r w:rsidR="000730A9">
        <w:rPr>
          <w:snapToGrid w:val="0"/>
          <w:szCs w:val="12"/>
        </w:rPr>
        <w:t xml:space="preserve">a </w:t>
      </w:r>
      <w:r w:rsidR="002A5CB7">
        <w:rPr>
          <w:snapToGrid w:val="0"/>
          <w:szCs w:val="12"/>
        </w:rPr>
        <w:t>alianční</w:t>
      </w:r>
      <w:r w:rsidR="000730A9">
        <w:rPr>
          <w:snapToGrid w:val="0"/>
          <w:szCs w:val="12"/>
        </w:rPr>
        <w:t xml:space="preserve"> NMI</w:t>
      </w:r>
      <w:r>
        <w:rPr>
          <w:snapToGrid w:val="0"/>
          <w:szCs w:val="12"/>
        </w:rPr>
        <w:t>.</w:t>
      </w:r>
      <w:r w:rsidRPr="00831B4A">
        <w:rPr>
          <w:snapToGrid w:val="0"/>
          <w:szCs w:val="12"/>
        </w:rPr>
        <w:t xml:space="preserve"> </w:t>
      </w:r>
      <w:r w:rsidR="00132FF9">
        <w:rPr>
          <w:snapToGrid w:val="0"/>
          <w:szCs w:val="12"/>
        </w:rPr>
        <w:t>M</w:t>
      </w:r>
      <w:r>
        <w:rPr>
          <w:snapToGrid w:val="0"/>
          <w:szCs w:val="12"/>
        </w:rPr>
        <w:t xml:space="preserve">andát umožňoval </w:t>
      </w:r>
      <w:r w:rsidR="000212FB">
        <w:rPr>
          <w:snapToGrid w:val="0"/>
          <w:szCs w:val="12"/>
        </w:rPr>
        <w:t>vyslat</w:t>
      </w:r>
      <w:r w:rsidR="000C2495">
        <w:rPr>
          <w:snapToGrid w:val="0"/>
          <w:szCs w:val="12"/>
        </w:rPr>
        <w:t xml:space="preserve"> </w:t>
      </w:r>
      <w:r w:rsidR="0067797E">
        <w:rPr>
          <w:snapToGrid w:val="0"/>
          <w:szCs w:val="12"/>
        </w:rPr>
        <w:t xml:space="preserve">celkem </w:t>
      </w:r>
      <w:r w:rsidR="00867F2C">
        <w:rPr>
          <w:snapToGrid w:val="0"/>
          <w:szCs w:val="12"/>
        </w:rPr>
        <w:t>do </w:t>
      </w:r>
      <w:r w:rsidR="000212FB">
        <w:rPr>
          <w:snapToGrid w:val="0"/>
          <w:szCs w:val="12"/>
        </w:rPr>
        <w:t>obou operací</w:t>
      </w:r>
      <w:r w:rsidR="00132FF9">
        <w:rPr>
          <w:snapToGrid w:val="0"/>
          <w:szCs w:val="12"/>
        </w:rPr>
        <w:t xml:space="preserve"> </w:t>
      </w:r>
      <w:r w:rsidR="000431B1">
        <w:rPr>
          <w:snapToGrid w:val="0"/>
          <w:szCs w:val="12"/>
        </w:rPr>
        <w:t>do</w:t>
      </w:r>
      <w:r w:rsidR="00132FF9">
        <w:rPr>
          <w:snapToGrid w:val="0"/>
          <w:szCs w:val="12"/>
        </w:rPr>
        <w:t xml:space="preserve"> 110 osob. </w:t>
      </w:r>
    </w:p>
    <w:p w:rsidR="001F733B" w:rsidRDefault="00132FF9" w:rsidP="00F95A45">
      <w:pPr>
        <w:spacing w:before="120" w:line="276" w:lineRule="auto"/>
        <w:ind w:firstLine="709"/>
        <w:jc w:val="both"/>
        <w:rPr>
          <w:snapToGrid w:val="0"/>
          <w:szCs w:val="12"/>
        </w:rPr>
      </w:pPr>
      <w:r w:rsidRPr="00897A11">
        <w:rPr>
          <w:snapToGrid w:val="0"/>
          <w:szCs w:val="12"/>
        </w:rPr>
        <w:t xml:space="preserve">Do </w:t>
      </w:r>
      <w:r w:rsidR="0006327C" w:rsidRPr="00897A11">
        <w:rPr>
          <w:snapToGrid w:val="0"/>
          <w:szCs w:val="12"/>
        </w:rPr>
        <w:t xml:space="preserve">března 2020 </w:t>
      </w:r>
      <w:r w:rsidRPr="00897A11">
        <w:rPr>
          <w:snapToGrid w:val="0"/>
          <w:szCs w:val="12"/>
        </w:rPr>
        <w:t xml:space="preserve">působilo v Iráku reálně </w:t>
      </w:r>
      <w:r w:rsidR="0006327C" w:rsidRPr="00897A11">
        <w:rPr>
          <w:snapToGrid w:val="0"/>
          <w:szCs w:val="12"/>
        </w:rPr>
        <w:t>3</w:t>
      </w:r>
      <w:r w:rsidR="00CD069F" w:rsidRPr="00897A11">
        <w:rPr>
          <w:snapToGrid w:val="0"/>
          <w:szCs w:val="12"/>
        </w:rPr>
        <w:t>3</w:t>
      </w:r>
      <w:r w:rsidRPr="00897A11">
        <w:rPr>
          <w:snapToGrid w:val="0"/>
          <w:szCs w:val="12"/>
        </w:rPr>
        <w:t xml:space="preserve"> </w:t>
      </w:r>
      <w:r w:rsidR="00B908E0" w:rsidRPr="00897A11">
        <w:rPr>
          <w:snapToGrid w:val="0"/>
          <w:szCs w:val="12"/>
        </w:rPr>
        <w:t xml:space="preserve">českých </w:t>
      </w:r>
      <w:r w:rsidRPr="00897A11">
        <w:rPr>
          <w:snapToGrid w:val="0"/>
          <w:szCs w:val="12"/>
        </w:rPr>
        <w:t>vojáků</w:t>
      </w:r>
      <w:r w:rsidR="00CD069F" w:rsidRPr="00897A11">
        <w:rPr>
          <w:snapToGrid w:val="0"/>
          <w:szCs w:val="12"/>
        </w:rPr>
        <w:t xml:space="preserve"> ve </w:t>
      </w:r>
      <w:r w:rsidR="00897A11" w:rsidRPr="00897A11">
        <w:rPr>
          <w:snapToGrid w:val="0"/>
          <w:szCs w:val="12"/>
        </w:rPr>
        <w:t>výcvikových týmech</w:t>
      </w:r>
      <w:r w:rsidR="0006327C" w:rsidRPr="00897A11">
        <w:rPr>
          <w:snapToGrid w:val="0"/>
          <w:szCs w:val="12"/>
        </w:rPr>
        <w:t xml:space="preserve"> chemického vojska a </w:t>
      </w:r>
      <w:r w:rsidR="00E55D59">
        <w:rPr>
          <w:snapToGrid w:val="0"/>
          <w:szCs w:val="12"/>
        </w:rPr>
        <w:t>V</w:t>
      </w:r>
      <w:r w:rsidR="0006327C" w:rsidRPr="00897A11">
        <w:rPr>
          <w:snapToGrid w:val="0"/>
          <w:szCs w:val="12"/>
        </w:rPr>
        <w:t>ojenské policie v rámci OIR. V</w:t>
      </w:r>
      <w:r w:rsidR="00B908E0" w:rsidRPr="00897A11">
        <w:rPr>
          <w:snapToGrid w:val="0"/>
          <w:szCs w:val="12"/>
        </w:rPr>
        <w:t>e </w:t>
      </w:r>
      <w:r w:rsidR="0006327C" w:rsidRPr="00897A11">
        <w:rPr>
          <w:snapToGrid w:val="0"/>
          <w:szCs w:val="12"/>
        </w:rPr>
        <w:t>prospěch NMI působili 4 vojáci</w:t>
      </w:r>
      <w:r w:rsidR="002054FE" w:rsidRPr="00897A11">
        <w:rPr>
          <w:snapToGrid w:val="0"/>
          <w:szCs w:val="12"/>
        </w:rPr>
        <w:t xml:space="preserve">, </w:t>
      </w:r>
      <w:r w:rsidR="002054FE" w:rsidRPr="00897A11">
        <w:rPr>
          <w:snapToGrid w:val="0"/>
          <w:szCs w:val="12"/>
        </w:rPr>
        <w:lastRenderedPageBreak/>
        <w:t>zařazení ve velitelstvích mise</w:t>
      </w:r>
      <w:r w:rsidR="0006327C" w:rsidRPr="00897A11">
        <w:rPr>
          <w:snapToGrid w:val="0"/>
          <w:szCs w:val="12"/>
        </w:rPr>
        <w:t>. Část vojáků poskytovala výc</w:t>
      </w:r>
      <w:r w:rsidR="0044745E">
        <w:rPr>
          <w:snapToGrid w:val="0"/>
          <w:szCs w:val="12"/>
        </w:rPr>
        <w:t>vikovým týmům administrativní a </w:t>
      </w:r>
      <w:r w:rsidR="0006327C" w:rsidRPr="00897A11">
        <w:rPr>
          <w:snapToGrid w:val="0"/>
          <w:szCs w:val="12"/>
        </w:rPr>
        <w:t>logistickou podporu</w:t>
      </w:r>
      <w:r w:rsidR="0006327C">
        <w:rPr>
          <w:snapToGrid w:val="0"/>
          <w:szCs w:val="12"/>
        </w:rPr>
        <w:t>. S ohledem na výrazné zhoršení bezpečnostní situace došlo v</w:t>
      </w:r>
      <w:r w:rsidR="00E55D59">
        <w:rPr>
          <w:snapToGrid w:val="0"/>
          <w:szCs w:val="12"/>
        </w:rPr>
        <w:t> </w:t>
      </w:r>
      <w:r w:rsidR="0006327C">
        <w:rPr>
          <w:snapToGrid w:val="0"/>
          <w:szCs w:val="12"/>
        </w:rPr>
        <w:t>březnu</w:t>
      </w:r>
      <w:r w:rsidR="00E55D59">
        <w:rPr>
          <w:snapToGrid w:val="0"/>
          <w:szCs w:val="12"/>
        </w:rPr>
        <w:t xml:space="preserve"> 2020</w:t>
      </w:r>
      <w:r w:rsidR="0006327C">
        <w:rPr>
          <w:snapToGrid w:val="0"/>
          <w:szCs w:val="12"/>
        </w:rPr>
        <w:t xml:space="preserve"> k dočasnému </w:t>
      </w:r>
      <w:r w:rsidR="002054FE">
        <w:rPr>
          <w:snapToGrid w:val="0"/>
          <w:szCs w:val="12"/>
        </w:rPr>
        <w:t>odsunu</w:t>
      </w:r>
      <w:r w:rsidR="0006327C">
        <w:rPr>
          <w:snapToGrid w:val="0"/>
          <w:szCs w:val="12"/>
        </w:rPr>
        <w:t xml:space="preserve"> </w:t>
      </w:r>
      <w:r w:rsidR="00897A11" w:rsidRPr="00897A11">
        <w:rPr>
          <w:snapToGrid w:val="0"/>
          <w:szCs w:val="12"/>
        </w:rPr>
        <w:t xml:space="preserve">většiny </w:t>
      </w:r>
      <w:r w:rsidR="0006327C" w:rsidRPr="00897A11">
        <w:rPr>
          <w:snapToGrid w:val="0"/>
          <w:szCs w:val="12"/>
        </w:rPr>
        <w:t>spojeneckých</w:t>
      </w:r>
      <w:r w:rsidR="0006327C">
        <w:rPr>
          <w:snapToGrid w:val="0"/>
          <w:szCs w:val="12"/>
        </w:rPr>
        <w:t xml:space="preserve"> </w:t>
      </w:r>
      <w:r w:rsidR="0067797E">
        <w:rPr>
          <w:snapToGrid w:val="0"/>
          <w:szCs w:val="12"/>
        </w:rPr>
        <w:t>sil</w:t>
      </w:r>
      <w:r w:rsidR="0006327C">
        <w:rPr>
          <w:snapToGrid w:val="0"/>
          <w:szCs w:val="12"/>
        </w:rPr>
        <w:t xml:space="preserve"> z Iráku, včetně českého příspěvku. S nástupem pandemie COVID-19 </w:t>
      </w:r>
      <w:r w:rsidR="002A1A02">
        <w:rPr>
          <w:snapToGrid w:val="0"/>
          <w:szCs w:val="12"/>
        </w:rPr>
        <w:t>se nekonal předpokládaný návrat</w:t>
      </w:r>
      <w:r w:rsidR="0006327C">
        <w:rPr>
          <w:snapToGrid w:val="0"/>
          <w:szCs w:val="12"/>
        </w:rPr>
        <w:t xml:space="preserve"> spojenců do Iráku</w:t>
      </w:r>
      <w:r w:rsidR="002A1A02">
        <w:rPr>
          <w:snapToGrid w:val="0"/>
          <w:szCs w:val="12"/>
        </w:rPr>
        <w:t>, ke kterému mělo dojít</w:t>
      </w:r>
      <w:r w:rsidR="0006327C">
        <w:rPr>
          <w:snapToGrid w:val="0"/>
          <w:szCs w:val="12"/>
        </w:rPr>
        <w:t xml:space="preserve"> po </w:t>
      </w:r>
      <w:r w:rsidR="002A1A02">
        <w:rPr>
          <w:snapToGrid w:val="0"/>
          <w:szCs w:val="12"/>
        </w:rPr>
        <w:t>stabilizaci bezpečnostní situace. V</w:t>
      </w:r>
      <w:r w:rsidR="002054FE">
        <w:rPr>
          <w:snapToGrid w:val="0"/>
          <w:szCs w:val="12"/>
        </w:rPr>
        <w:t xml:space="preserve">e skutečnosti </w:t>
      </w:r>
      <w:r w:rsidR="002A1A02">
        <w:rPr>
          <w:snapToGrid w:val="0"/>
          <w:szCs w:val="12"/>
        </w:rPr>
        <w:t>se spojenci začali</w:t>
      </w:r>
      <w:r w:rsidR="00897A11">
        <w:rPr>
          <w:snapToGrid w:val="0"/>
          <w:szCs w:val="12"/>
        </w:rPr>
        <w:t xml:space="preserve"> do OIR i NMI </w:t>
      </w:r>
      <w:r w:rsidR="0067797E">
        <w:rPr>
          <w:snapToGrid w:val="0"/>
          <w:szCs w:val="12"/>
        </w:rPr>
        <w:t>pozvolna</w:t>
      </w:r>
      <w:r w:rsidR="002A1A02">
        <w:rPr>
          <w:snapToGrid w:val="0"/>
          <w:szCs w:val="12"/>
        </w:rPr>
        <w:t xml:space="preserve"> vracet až v</w:t>
      </w:r>
      <w:r w:rsidR="001F733B">
        <w:rPr>
          <w:snapToGrid w:val="0"/>
          <w:szCs w:val="12"/>
        </w:rPr>
        <w:t xml:space="preserve"> září</w:t>
      </w:r>
      <w:r w:rsidR="002054FE">
        <w:rPr>
          <w:snapToGrid w:val="0"/>
          <w:szCs w:val="12"/>
        </w:rPr>
        <w:t xml:space="preserve"> 2020</w:t>
      </w:r>
      <w:r w:rsidR="001F733B">
        <w:rPr>
          <w:snapToGrid w:val="0"/>
          <w:szCs w:val="12"/>
        </w:rPr>
        <w:t>.</w:t>
      </w:r>
    </w:p>
    <w:p w:rsidR="005C032D" w:rsidRDefault="00897A11" w:rsidP="008F6698">
      <w:pPr>
        <w:spacing w:before="120" w:line="276" w:lineRule="auto"/>
        <w:ind w:firstLine="709"/>
        <w:jc w:val="both"/>
        <w:rPr>
          <w:snapToGrid w:val="0"/>
          <w:szCs w:val="12"/>
        </w:rPr>
      </w:pPr>
      <w:r w:rsidRPr="00E56D92">
        <w:rPr>
          <w:snapToGrid w:val="0"/>
          <w:szCs w:val="12"/>
        </w:rPr>
        <w:t xml:space="preserve">Obou misí </w:t>
      </w:r>
      <w:r w:rsidR="001F733B" w:rsidRPr="00E56D92">
        <w:rPr>
          <w:snapToGrid w:val="0"/>
          <w:szCs w:val="12"/>
        </w:rPr>
        <w:t>se dotkl</w:t>
      </w:r>
      <w:r w:rsidR="00E55D59" w:rsidRPr="00E56D92">
        <w:rPr>
          <w:snapToGrid w:val="0"/>
          <w:szCs w:val="12"/>
        </w:rPr>
        <w:t>o</w:t>
      </w:r>
      <w:r w:rsidR="001F733B" w:rsidRPr="00E56D92">
        <w:rPr>
          <w:snapToGrid w:val="0"/>
          <w:szCs w:val="12"/>
        </w:rPr>
        <w:t xml:space="preserve"> </w:t>
      </w:r>
      <w:r w:rsidR="002054FE" w:rsidRPr="00E56D92">
        <w:rPr>
          <w:snapToGrid w:val="0"/>
          <w:szCs w:val="12"/>
        </w:rPr>
        <w:t>jak zhoršení bezpečnostní situace, tak i následná pandemie</w:t>
      </w:r>
      <w:r w:rsidR="002A1A02" w:rsidRPr="00E56D92">
        <w:rPr>
          <w:snapToGrid w:val="0"/>
          <w:szCs w:val="12"/>
        </w:rPr>
        <w:t xml:space="preserve"> </w:t>
      </w:r>
      <w:r w:rsidR="002054FE" w:rsidRPr="00E56D92">
        <w:rPr>
          <w:snapToGrid w:val="0"/>
          <w:szCs w:val="12"/>
        </w:rPr>
        <w:t>COVID-19</w:t>
      </w:r>
      <w:r w:rsidR="00BB64C9" w:rsidRPr="00E56D92">
        <w:rPr>
          <w:snapToGrid w:val="0"/>
          <w:szCs w:val="12"/>
        </w:rPr>
        <w:t xml:space="preserve">, což se promítlo do </w:t>
      </w:r>
      <w:r w:rsidR="001F733B" w:rsidRPr="00E56D92">
        <w:rPr>
          <w:snapToGrid w:val="0"/>
          <w:szCs w:val="12"/>
        </w:rPr>
        <w:t>změn</w:t>
      </w:r>
      <w:r w:rsidR="00BB64C9" w:rsidRPr="00E56D92">
        <w:rPr>
          <w:snapToGrid w:val="0"/>
          <w:szCs w:val="12"/>
        </w:rPr>
        <w:t>y</w:t>
      </w:r>
      <w:r w:rsidR="001F733B" w:rsidRPr="00E56D92">
        <w:rPr>
          <w:snapToGrid w:val="0"/>
          <w:szCs w:val="12"/>
        </w:rPr>
        <w:t xml:space="preserve"> jejich struktur i </w:t>
      </w:r>
      <w:r w:rsidR="0067797E" w:rsidRPr="00E56D92">
        <w:rPr>
          <w:snapToGrid w:val="0"/>
          <w:szCs w:val="12"/>
        </w:rPr>
        <w:t xml:space="preserve">budoucí </w:t>
      </w:r>
      <w:r w:rsidR="001F733B" w:rsidRPr="00E56D92">
        <w:rPr>
          <w:snapToGrid w:val="0"/>
          <w:szCs w:val="12"/>
        </w:rPr>
        <w:t xml:space="preserve">náplně. V OIR </w:t>
      </w:r>
      <w:r w:rsidR="00E20FC2" w:rsidRPr="00E56D92">
        <w:rPr>
          <w:snapToGrid w:val="0"/>
          <w:szCs w:val="12"/>
        </w:rPr>
        <w:t xml:space="preserve">došlo ke snížení </w:t>
      </w:r>
      <w:r w:rsidR="001F733B" w:rsidRPr="00E56D92">
        <w:rPr>
          <w:snapToGrid w:val="0"/>
          <w:szCs w:val="12"/>
        </w:rPr>
        <w:t>počtu amerických vojáků</w:t>
      </w:r>
      <w:r w:rsidR="00D861F3" w:rsidRPr="00E56D92">
        <w:rPr>
          <w:snapToGrid w:val="0"/>
          <w:szCs w:val="12"/>
        </w:rPr>
        <w:t xml:space="preserve"> a bylo rozhodnuto o zúžení</w:t>
      </w:r>
      <w:r w:rsidR="001F733B" w:rsidRPr="00E56D92">
        <w:rPr>
          <w:snapToGrid w:val="0"/>
          <w:szCs w:val="12"/>
        </w:rPr>
        <w:t xml:space="preserve"> budoucí činnost</w:t>
      </w:r>
      <w:r w:rsidR="001C47ED" w:rsidRPr="00E56D92">
        <w:rPr>
          <w:snapToGrid w:val="0"/>
          <w:szCs w:val="12"/>
        </w:rPr>
        <w:t>i</w:t>
      </w:r>
      <w:r w:rsidR="001F733B" w:rsidRPr="00E56D92">
        <w:rPr>
          <w:snapToGrid w:val="0"/>
          <w:szCs w:val="12"/>
        </w:rPr>
        <w:t xml:space="preserve"> na </w:t>
      </w:r>
      <w:r w:rsidR="002054FE" w:rsidRPr="00E56D92">
        <w:rPr>
          <w:snapToGrid w:val="0"/>
          <w:szCs w:val="12"/>
        </w:rPr>
        <w:t>1) </w:t>
      </w:r>
      <w:r w:rsidR="001F733B" w:rsidRPr="00E56D92">
        <w:rPr>
          <w:snapToGrid w:val="0"/>
          <w:szCs w:val="12"/>
        </w:rPr>
        <w:t xml:space="preserve">pokračování v aktivním boji proti </w:t>
      </w:r>
      <w:proofErr w:type="spellStart"/>
      <w:r w:rsidR="002656D6" w:rsidRPr="00E56D92">
        <w:t>Da´esh</w:t>
      </w:r>
      <w:proofErr w:type="spellEnd"/>
      <w:r w:rsidR="00B908E0" w:rsidRPr="00E56D92">
        <w:rPr>
          <w:snapToGrid w:val="0"/>
          <w:szCs w:val="12"/>
        </w:rPr>
        <w:t>, 2</w:t>
      </w:r>
      <w:r w:rsidR="002054FE" w:rsidRPr="00E56D92">
        <w:rPr>
          <w:snapToGrid w:val="0"/>
          <w:szCs w:val="12"/>
        </w:rPr>
        <w:t xml:space="preserve">) rozvoj iráckých </w:t>
      </w:r>
      <w:r w:rsidR="001F733B" w:rsidRPr="00E56D92">
        <w:rPr>
          <w:snapToGrid w:val="0"/>
          <w:szCs w:val="12"/>
        </w:rPr>
        <w:t xml:space="preserve">vzdušných sil </w:t>
      </w:r>
      <w:r w:rsidR="002A1A02" w:rsidRPr="00E56D92">
        <w:rPr>
          <w:snapToGrid w:val="0"/>
          <w:szCs w:val="12"/>
        </w:rPr>
        <w:t>a </w:t>
      </w:r>
      <w:r w:rsidR="002054FE" w:rsidRPr="00E56D92">
        <w:rPr>
          <w:snapToGrid w:val="0"/>
          <w:szCs w:val="12"/>
        </w:rPr>
        <w:t>3)</w:t>
      </w:r>
      <w:r w:rsidR="002054FE">
        <w:rPr>
          <w:snapToGrid w:val="0"/>
          <w:szCs w:val="12"/>
        </w:rPr>
        <w:t> </w:t>
      </w:r>
      <w:r w:rsidR="002A1A02">
        <w:rPr>
          <w:snapToGrid w:val="0"/>
          <w:szCs w:val="12"/>
        </w:rPr>
        <w:t>strategické poradenství</w:t>
      </w:r>
      <w:r w:rsidR="00B908E0">
        <w:rPr>
          <w:snapToGrid w:val="0"/>
          <w:szCs w:val="12"/>
        </w:rPr>
        <w:t xml:space="preserve">. </w:t>
      </w:r>
      <w:r w:rsidR="00663ED8">
        <w:rPr>
          <w:snapToGrid w:val="0"/>
          <w:szCs w:val="12"/>
        </w:rPr>
        <w:t xml:space="preserve">Struktura </w:t>
      </w:r>
      <w:r w:rsidR="00B908E0">
        <w:rPr>
          <w:snapToGrid w:val="0"/>
          <w:szCs w:val="12"/>
        </w:rPr>
        <w:t>NMI se má rozšířit a zaměřit na asistenci a poradenstv</w:t>
      </w:r>
      <w:r w:rsidR="002A1A02">
        <w:rPr>
          <w:snapToGrid w:val="0"/>
          <w:szCs w:val="12"/>
        </w:rPr>
        <w:t>í na strategickém a </w:t>
      </w:r>
      <w:r w:rsidR="00B908E0">
        <w:rPr>
          <w:snapToGrid w:val="0"/>
          <w:szCs w:val="12"/>
        </w:rPr>
        <w:t>operační</w:t>
      </w:r>
      <w:r w:rsidR="001541EB">
        <w:rPr>
          <w:snapToGrid w:val="0"/>
          <w:szCs w:val="12"/>
        </w:rPr>
        <w:t>m stupni</w:t>
      </w:r>
      <w:r w:rsidR="00B908E0">
        <w:rPr>
          <w:snapToGrid w:val="0"/>
          <w:szCs w:val="12"/>
        </w:rPr>
        <w:t xml:space="preserve"> velení. Konkrétní forma této pomoci iráckým bezpečnostním strukturám se v závěru roku 2020 dále upřesňovala. </w:t>
      </w:r>
      <w:r w:rsidR="002A1A02">
        <w:rPr>
          <w:snapToGrid w:val="0"/>
          <w:szCs w:val="12"/>
        </w:rPr>
        <w:t xml:space="preserve">Podstatnou změnou tedy byla skutečnost, že ani jedna mise nebude poskytovat asistenci a poradenství na taktickém stupni, na který byla zaměřena převážná většina aktivit rezortu </w:t>
      </w:r>
      <w:r w:rsidR="00E55D59">
        <w:rPr>
          <w:snapToGrid w:val="0"/>
          <w:szCs w:val="12"/>
        </w:rPr>
        <w:t>MO</w:t>
      </w:r>
      <w:r w:rsidR="002A1A02">
        <w:rPr>
          <w:snapToGrid w:val="0"/>
          <w:szCs w:val="12"/>
        </w:rPr>
        <w:t xml:space="preserve"> ČR.</w:t>
      </w:r>
    </w:p>
    <w:p w:rsidR="00B908E0" w:rsidRDefault="008840ED" w:rsidP="00F95A45">
      <w:pPr>
        <w:spacing w:before="120" w:line="276" w:lineRule="auto"/>
        <w:ind w:firstLine="709"/>
        <w:jc w:val="both"/>
        <w:rPr>
          <w:snapToGrid w:val="0"/>
          <w:szCs w:val="12"/>
        </w:rPr>
      </w:pPr>
      <w:r>
        <w:rPr>
          <w:snapToGrid w:val="0"/>
          <w:szCs w:val="12"/>
        </w:rPr>
        <w:t>Po zlepšení bezpečnostní a epidemické situace a zahájení návratu staženého personálu do obou misí</w:t>
      </w:r>
      <w:r w:rsidR="00B908E0">
        <w:rPr>
          <w:snapToGrid w:val="0"/>
          <w:szCs w:val="12"/>
        </w:rPr>
        <w:t xml:space="preserve"> vyslala </w:t>
      </w:r>
      <w:r>
        <w:rPr>
          <w:snapToGrid w:val="0"/>
          <w:szCs w:val="12"/>
        </w:rPr>
        <w:t xml:space="preserve">ČR </w:t>
      </w:r>
      <w:r w:rsidR="00B908E0">
        <w:rPr>
          <w:snapToGrid w:val="0"/>
          <w:szCs w:val="12"/>
        </w:rPr>
        <w:t xml:space="preserve">počátkem října do velitelské struktury OIR 4 vojáky a </w:t>
      </w:r>
      <w:r w:rsidR="00663ED8">
        <w:rPr>
          <w:snapToGrid w:val="0"/>
          <w:szCs w:val="12"/>
        </w:rPr>
        <w:t>do NMI 2 </w:t>
      </w:r>
      <w:r w:rsidR="00B908E0">
        <w:rPr>
          <w:snapToGrid w:val="0"/>
          <w:szCs w:val="12"/>
        </w:rPr>
        <w:t xml:space="preserve">důstojníky s tím, že bude hledat uplatnění pro další vojáky a menší </w:t>
      </w:r>
      <w:r w:rsidR="002A1A02">
        <w:rPr>
          <w:snapToGrid w:val="0"/>
          <w:szCs w:val="12"/>
        </w:rPr>
        <w:t>jednotky</w:t>
      </w:r>
      <w:r w:rsidR="00B908E0">
        <w:rPr>
          <w:snapToGrid w:val="0"/>
          <w:szCs w:val="12"/>
        </w:rPr>
        <w:t xml:space="preserve"> v</w:t>
      </w:r>
      <w:r w:rsidR="002A1A02">
        <w:rPr>
          <w:snapToGrid w:val="0"/>
          <w:szCs w:val="12"/>
        </w:rPr>
        <w:t xml:space="preserve"> souladu s </w:t>
      </w:r>
      <w:r w:rsidR="00B908E0">
        <w:rPr>
          <w:snapToGrid w:val="0"/>
          <w:szCs w:val="12"/>
        </w:rPr>
        <w:t>požadavky obou misí.</w:t>
      </w:r>
    </w:p>
    <w:p w:rsidR="005C032D" w:rsidRPr="00EF4476" w:rsidRDefault="00741499" w:rsidP="00EB1F0F">
      <w:pPr>
        <w:keepNext/>
        <w:numPr>
          <w:ilvl w:val="0"/>
          <w:numId w:val="2"/>
        </w:numPr>
        <w:spacing w:before="360" w:after="120" w:line="276" w:lineRule="auto"/>
        <w:ind w:left="431" w:hanging="431"/>
        <w:jc w:val="both"/>
        <w:outlineLvl w:val="0"/>
        <w:rPr>
          <w:b/>
          <w:bCs/>
        </w:rPr>
      </w:pPr>
      <w:r w:rsidRPr="00EF4476">
        <w:rPr>
          <w:b/>
          <w:bCs/>
        </w:rPr>
        <w:t xml:space="preserve">Republika </w:t>
      </w:r>
      <w:r w:rsidR="00A11E36" w:rsidRPr="00EF4476">
        <w:rPr>
          <w:b/>
          <w:bCs/>
        </w:rPr>
        <w:t>Mali</w:t>
      </w:r>
    </w:p>
    <w:p w:rsidR="005C032D" w:rsidRPr="00EF4476" w:rsidRDefault="005C032D" w:rsidP="00192DFC">
      <w:pPr>
        <w:keepNext/>
        <w:numPr>
          <w:ilvl w:val="1"/>
          <w:numId w:val="3"/>
        </w:numPr>
        <w:spacing w:before="240" w:line="276" w:lineRule="auto"/>
        <w:jc w:val="both"/>
        <w:outlineLvl w:val="0"/>
        <w:rPr>
          <w:b/>
          <w:bCs/>
        </w:rPr>
      </w:pPr>
      <w:r w:rsidRPr="00EF4476">
        <w:rPr>
          <w:b/>
          <w:bCs/>
        </w:rPr>
        <w:t xml:space="preserve">Politicko-bezpečnostní situace </w:t>
      </w:r>
    </w:p>
    <w:p w:rsidR="009C5ABD" w:rsidRPr="009C5ABD" w:rsidRDefault="009C5ABD" w:rsidP="009C5ABD">
      <w:pPr>
        <w:spacing w:before="120" w:line="276" w:lineRule="auto"/>
        <w:ind w:firstLine="709"/>
        <w:jc w:val="both"/>
        <w:rPr>
          <w:snapToGrid w:val="0"/>
          <w:szCs w:val="12"/>
        </w:rPr>
      </w:pPr>
      <w:r w:rsidRPr="009C5ABD">
        <w:rPr>
          <w:snapToGrid w:val="0"/>
          <w:szCs w:val="12"/>
        </w:rPr>
        <w:t xml:space="preserve">Na základě výsledku Národního inkluzivního dialogu z roku 2019 proběhly v Mali, dlouhodobě sužovaném vnitropolitickou nestabilitou, v březnu a dubnu 2020 parlamentní volby. Jejich výsledkem však byla pouze další destabilizace. Volby byly vnímány jako zmanipulované ve prospěch kandidátů strany prezidenta Ibrahima </w:t>
      </w:r>
      <w:proofErr w:type="spellStart"/>
      <w:r w:rsidRPr="009C5ABD">
        <w:rPr>
          <w:snapToGrid w:val="0"/>
          <w:szCs w:val="12"/>
        </w:rPr>
        <w:t>Boubacara</w:t>
      </w:r>
      <w:proofErr w:type="spellEnd"/>
      <w:r w:rsidRPr="009C5ABD">
        <w:rPr>
          <w:snapToGrid w:val="0"/>
          <w:szCs w:val="12"/>
        </w:rPr>
        <w:t xml:space="preserve"> </w:t>
      </w:r>
      <w:proofErr w:type="spellStart"/>
      <w:r w:rsidRPr="009C5ABD">
        <w:rPr>
          <w:snapToGrid w:val="0"/>
          <w:szCs w:val="12"/>
        </w:rPr>
        <w:t>Keity</w:t>
      </w:r>
      <w:proofErr w:type="spellEnd"/>
      <w:r w:rsidRPr="009C5ABD">
        <w:rPr>
          <w:snapToGrid w:val="0"/>
          <w:szCs w:val="12"/>
        </w:rPr>
        <w:t xml:space="preserve">. </w:t>
      </w:r>
      <w:r w:rsidR="00CA31E7">
        <w:rPr>
          <w:snapToGrid w:val="0"/>
          <w:szCs w:val="12"/>
        </w:rPr>
        <w:t>N</w:t>
      </w:r>
      <w:r w:rsidRPr="009C5ABD">
        <w:rPr>
          <w:snapToGrid w:val="0"/>
          <w:szCs w:val="12"/>
        </w:rPr>
        <w:t>eefektivní státní správa, přetrvávající korupce, pomalá implementace mírového procesu z roku 2015, kauzy ozbrojených a bezpečnostních složek svědčící o své</w:t>
      </w:r>
      <w:r w:rsidR="00170436">
        <w:rPr>
          <w:snapToGrid w:val="0"/>
          <w:szCs w:val="12"/>
        </w:rPr>
        <w:t>volném porušování lidských práv</w:t>
      </w:r>
      <w:r w:rsidRPr="009C5ABD">
        <w:rPr>
          <w:snapToGrid w:val="0"/>
          <w:szCs w:val="12"/>
        </w:rPr>
        <w:t xml:space="preserve"> a nově i restrikce zavedené v souvislosti s pandemií </w:t>
      </w:r>
      <w:r w:rsidR="00170436" w:rsidRPr="009C5ABD">
        <w:rPr>
          <w:snapToGrid w:val="0"/>
          <w:szCs w:val="12"/>
        </w:rPr>
        <w:t>COVID</w:t>
      </w:r>
      <w:r w:rsidR="00161C53">
        <w:rPr>
          <w:snapToGrid w:val="0"/>
          <w:szCs w:val="12"/>
        </w:rPr>
        <w:t>-</w:t>
      </w:r>
      <w:r w:rsidRPr="009C5ABD">
        <w:rPr>
          <w:snapToGrid w:val="0"/>
          <w:szCs w:val="12"/>
        </w:rPr>
        <w:t xml:space="preserve">19 vedly ke kumulaci frustrace obyvatelstva. </w:t>
      </w:r>
    </w:p>
    <w:p w:rsidR="009C5ABD" w:rsidRPr="009C5ABD" w:rsidRDefault="009C5ABD" w:rsidP="009C5ABD">
      <w:pPr>
        <w:spacing w:before="120" w:line="276" w:lineRule="auto"/>
        <w:ind w:firstLine="709"/>
        <w:jc w:val="both"/>
        <w:rPr>
          <w:snapToGrid w:val="0"/>
          <w:szCs w:val="12"/>
        </w:rPr>
      </w:pPr>
      <w:r w:rsidRPr="009C5ABD">
        <w:rPr>
          <w:snapToGrid w:val="0"/>
          <w:szCs w:val="12"/>
        </w:rPr>
        <w:t xml:space="preserve">Od května </w:t>
      </w:r>
      <w:r w:rsidR="00CA31E7">
        <w:rPr>
          <w:snapToGrid w:val="0"/>
          <w:szCs w:val="12"/>
        </w:rPr>
        <w:t>se konaly pravidelné</w:t>
      </w:r>
      <w:r w:rsidRPr="009C5ABD">
        <w:rPr>
          <w:snapToGrid w:val="0"/>
          <w:szCs w:val="12"/>
        </w:rPr>
        <w:t xml:space="preserve"> protivládní demonstrace, do jejichž čela se postavilo </w:t>
      </w:r>
      <w:r w:rsidR="00A62195">
        <w:rPr>
          <w:snapToGrid w:val="0"/>
          <w:szCs w:val="12"/>
        </w:rPr>
        <w:t>Hnutí 5. června – Sdružení vlasteneckých sil (</w:t>
      </w:r>
      <w:r w:rsidRPr="009C5ABD">
        <w:rPr>
          <w:snapToGrid w:val="0"/>
          <w:szCs w:val="12"/>
        </w:rPr>
        <w:t>M5-RFP</w:t>
      </w:r>
      <w:r w:rsidR="00A62195">
        <w:rPr>
          <w:snapToGrid w:val="0"/>
          <w:szCs w:val="12"/>
        </w:rPr>
        <w:t>)</w:t>
      </w:r>
      <w:r w:rsidRPr="009C5ABD">
        <w:rPr>
          <w:snapToGrid w:val="0"/>
          <w:szCs w:val="12"/>
        </w:rPr>
        <w:t xml:space="preserve"> a charismatický duchovní vůdce imám </w:t>
      </w:r>
      <w:proofErr w:type="spellStart"/>
      <w:r w:rsidR="0029430C">
        <w:rPr>
          <w:snapToGrid w:val="0"/>
          <w:szCs w:val="12"/>
        </w:rPr>
        <w:t>Mahmoud</w:t>
      </w:r>
      <w:proofErr w:type="spellEnd"/>
      <w:r w:rsidR="0029430C">
        <w:rPr>
          <w:snapToGrid w:val="0"/>
          <w:szCs w:val="12"/>
        </w:rPr>
        <w:t xml:space="preserve"> </w:t>
      </w:r>
      <w:proofErr w:type="spellStart"/>
      <w:r w:rsidRPr="009C5ABD">
        <w:rPr>
          <w:snapToGrid w:val="0"/>
          <w:szCs w:val="12"/>
        </w:rPr>
        <w:t>Dicko</w:t>
      </w:r>
      <w:proofErr w:type="spellEnd"/>
      <w:r w:rsidRPr="009C5ABD">
        <w:rPr>
          <w:snapToGrid w:val="0"/>
          <w:szCs w:val="12"/>
        </w:rPr>
        <w:t xml:space="preserve">. Demonstrace, které si postupně vyžádaly i oběti na životech, požadovaly především odstoupení </w:t>
      </w:r>
      <w:r w:rsidR="0029430C" w:rsidRPr="009C5ABD">
        <w:rPr>
          <w:snapToGrid w:val="0"/>
          <w:szCs w:val="12"/>
        </w:rPr>
        <w:t>prezidenta</w:t>
      </w:r>
      <w:r w:rsidR="0029430C">
        <w:rPr>
          <w:snapToGrid w:val="0"/>
          <w:szCs w:val="12"/>
        </w:rPr>
        <w:t xml:space="preserve"> Ibrahima </w:t>
      </w:r>
      <w:proofErr w:type="spellStart"/>
      <w:r w:rsidR="0029430C">
        <w:rPr>
          <w:snapToGrid w:val="0"/>
          <w:szCs w:val="12"/>
        </w:rPr>
        <w:t>Boubacara</w:t>
      </w:r>
      <w:proofErr w:type="spellEnd"/>
      <w:r w:rsidR="0029430C">
        <w:rPr>
          <w:snapToGrid w:val="0"/>
          <w:szCs w:val="12"/>
        </w:rPr>
        <w:t xml:space="preserve"> </w:t>
      </w:r>
      <w:proofErr w:type="spellStart"/>
      <w:r w:rsidRPr="009C5ABD">
        <w:rPr>
          <w:snapToGrid w:val="0"/>
          <w:szCs w:val="12"/>
        </w:rPr>
        <w:t>Keity</w:t>
      </w:r>
      <w:proofErr w:type="spellEnd"/>
      <w:r w:rsidRPr="009C5ABD">
        <w:rPr>
          <w:snapToGrid w:val="0"/>
          <w:szCs w:val="12"/>
        </w:rPr>
        <w:t>. Do řešení nastalé vnitropolitické krize se od června</w:t>
      </w:r>
      <w:r w:rsidR="00E55D59">
        <w:rPr>
          <w:snapToGrid w:val="0"/>
          <w:szCs w:val="12"/>
        </w:rPr>
        <w:t xml:space="preserve"> 2020</w:t>
      </w:r>
      <w:r w:rsidRPr="009C5ABD">
        <w:rPr>
          <w:snapToGrid w:val="0"/>
          <w:szCs w:val="12"/>
        </w:rPr>
        <w:t xml:space="preserve"> zapojilo i Hospodářské společenství západoafrických států (ECOWAS</w:t>
      </w:r>
      <w:r w:rsidR="00665678">
        <w:rPr>
          <w:snapToGrid w:val="0"/>
          <w:szCs w:val="12"/>
        </w:rPr>
        <w:t>/</w:t>
      </w:r>
      <w:proofErr w:type="spellStart"/>
      <w:r w:rsidR="00665678">
        <w:rPr>
          <w:snapToGrid w:val="0"/>
          <w:szCs w:val="12"/>
        </w:rPr>
        <w:t>Economic</w:t>
      </w:r>
      <w:proofErr w:type="spellEnd"/>
      <w:r w:rsidR="00665678">
        <w:rPr>
          <w:snapToGrid w:val="0"/>
          <w:szCs w:val="12"/>
        </w:rPr>
        <w:t xml:space="preserve"> </w:t>
      </w:r>
      <w:proofErr w:type="spellStart"/>
      <w:r w:rsidR="00665678">
        <w:rPr>
          <w:snapToGrid w:val="0"/>
          <w:szCs w:val="12"/>
        </w:rPr>
        <w:t>Community</w:t>
      </w:r>
      <w:proofErr w:type="spellEnd"/>
      <w:r w:rsidR="00665678">
        <w:rPr>
          <w:snapToGrid w:val="0"/>
          <w:szCs w:val="12"/>
        </w:rPr>
        <w:t xml:space="preserve"> </w:t>
      </w:r>
      <w:proofErr w:type="spellStart"/>
      <w:r w:rsidR="00665678">
        <w:rPr>
          <w:snapToGrid w:val="0"/>
          <w:szCs w:val="12"/>
        </w:rPr>
        <w:t>of</w:t>
      </w:r>
      <w:proofErr w:type="spellEnd"/>
      <w:r w:rsidR="00665678">
        <w:rPr>
          <w:snapToGrid w:val="0"/>
          <w:szCs w:val="12"/>
        </w:rPr>
        <w:t xml:space="preserve"> </w:t>
      </w:r>
      <w:proofErr w:type="spellStart"/>
      <w:r w:rsidR="00665678">
        <w:rPr>
          <w:snapToGrid w:val="0"/>
          <w:szCs w:val="12"/>
        </w:rPr>
        <w:t>West</w:t>
      </w:r>
      <w:proofErr w:type="spellEnd"/>
      <w:r w:rsidR="00665678">
        <w:rPr>
          <w:snapToGrid w:val="0"/>
          <w:szCs w:val="12"/>
        </w:rPr>
        <w:t xml:space="preserve"> </w:t>
      </w:r>
      <w:proofErr w:type="spellStart"/>
      <w:r w:rsidR="00665678">
        <w:rPr>
          <w:snapToGrid w:val="0"/>
          <w:szCs w:val="12"/>
        </w:rPr>
        <w:t>African</w:t>
      </w:r>
      <w:proofErr w:type="spellEnd"/>
      <w:r w:rsidR="00665678">
        <w:rPr>
          <w:snapToGrid w:val="0"/>
          <w:szCs w:val="12"/>
        </w:rPr>
        <w:t xml:space="preserve"> </w:t>
      </w:r>
      <w:proofErr w:type="spellStart"/>
      <w:r w:rsidR="00665678">
        <w:rPr>
          <w:snapToGrid w:val="0"/>
          <w:szCs w:val="12"/>
        </w:rPr>
        <w:t>States</w:t>
      </w:r>
      <w:proofErr w:type="spellEnd"/>
      <w:r w:rsidRPr="009C5ABD">
        <w:rPr>
          <w:snapToGrid w:val="0"/>
          <w:szCs w:val="12"/>
        </w:rPr>
        <w:t>). Ačkoliv byla v</w:t>
      </w:r>
      <w:r w:rsidR="00E55D59">
        <w:rPr>
          <w:snapToGrid w:val="0"/>
          <w:szCs w:val="12"/>
        </w:rPr>
        <w:t> </w:t>
      </w:r>
      <w:r w:rsidRPr="009C5ABD">
        <w:rPr>
          <w:snapToGrid w:val="0"/>
          <w:szCs w:val="12"/>
        </w:rPr>
        <w:t>červenci</w:t>
      </w:r>
      <w:r w:rsidR="00E55D59">
        <w:rPr>
          <w:snapToGrid w:val="0"/>
          <w:szCs w:val="12"/>
        </w:rPr>
        <w:t xml:space="preserve"> 2020</w:t>
      </w:r>
      <w:r w:rsidRPr="009C5ABD">
        <w:rPr>
          <w:snapToGrid w:val="0"/>
          <w:szCs w:val="12"/>
        </w:rPr>
        <w:t xml:space="preserve"> jmenována nová přechodná vláda a iniciovány byly i změny v justici, protesty neutichly. </w:t>
      </w:r>
    </w:p>
    <w:p w:rsidR="009C5ABD" w:rsidRPr="009C5ABD" w:rsidRDefault="009C5ABD" w:rsidP="009C5ABD">
      <w:pPr>
        <w:spacing w:before="120" w:line="276" w:lineRule="auto"/>
        <w:ind w:firstLine="709"/>
        <w:jc w:val="both"/>
        <w:rPr>
          <w:snapToGrid w:val="0"/>
          <w:szCs w:val="12"/>
        </w:rPr>
      </w:pPr>
      <w:r w:rsidRPr="009C5ABD">
        <w:rPr>
          <w:snapToGrid w:val="0"/>
          <w:szCs w:val="12"/>
        </w:rPr>
        <w:t xml:space="preserve">Dne 18. srpna </w:t>
      </w:r>
      <w:r w:rsidR="0029430C">
        <w:rPr>
          <w:snapToGrid w:val="0"/>
          <w:szCs w:val="12"/>
        </w:rPr>
        <w:t xml:space="preserve">2020 </w:t>
      </w:r>
      <w:r w:rsidRPr="009C5ABD">
        <w:rPr>
          <w:snapToGrid w:val="0"/>
          <w:szCs w:val="12"/>
        </w:rPr>
        <w:t>proběhl v zemi vojenský převrat. Zahájen byl na vojenské základně</w:t>
      </w:r>
      <w:r w:rsidR="00A62195">
        <w:rPr>
          <w:snapToGrid w:val="0"/>
          <w:szCs w:val="12"/>
        </w:rPr>
        <w:t xml:space="preserve"> v Kati (</w:t>
      </w:r>
      <w:r w:rsidRPr="009C5ABD">
        <w:rPr>
          <w:snapToGrid w:val="0"/>
          <w:szCs w:val="12"/>
        </w:rPr>
        <w:t>předměstí Ba</w:t>
      </w:r>
      <w:r w:rsidR="0060317F">
        <w:rPr>
          <w:snapToGrid w:val="0"/>
          <w:szCs w:val="12"/>
        </w:rPr>
        <w:t>mako</w:t>
      </w:r>
      <w:r w:rsidR="00A62195">
        <w:rPr>
          <w:snapToGrid w:val="0"/>
          <w:szCs w:val="12"/>
        </w:rPr>
        <w:t>)</w:t>
      </w:r>
      <w:r w:rsidRPr="009C5ABD">
        <w:rPr>
          <w:snapToGrid w:val="0"/>
          <w:szCs w:val="12"/>
        </w:rPr>
        <w:t xml:space="preserve">. Pučisté zadrželi čelní politiky, včetně prezidenta </w:t>
      </w:r>
      <w:r w:rsidR="00E55D59">
        <w:rPr>
          <w:snapToGrid w:val="0"/>
          <w:szCs w:val="12"/>
        </w:rPr>
        <w:t xml:space="preserve">Ibrahima </w:t>
      </w:r>
      <w:proofErr w:type="spellStart"/>
      <w:r w:rsidR="00E55D59">
        <w:rPr>
          <w:snapToGrid w:val="0"/>
          <w:szCs w:val="12"/>
        </w:rPr>
        <w:t>Boubacara</w:t>
      </w:r>
      <w:proofErr w:type="spellEnd"/>
      <w:r w:rsidR="00E55D59">
        <w:rPr>
          <w:snapToGrid w:val="0"/>
          <w:szCs w:val="12"/>
        </w:rPr>
        <w:t xml:space="preserve"> </w:t>
      </w:r>
      <w:proofErr w:type="spellStart"/>
      <w:r w:rsidRPr="009C5ABD">
        <w:rPr>
          <w:snapToGrid w:val="0"/>
          <w:szCs w:val="12"/>
        </w:rPr>
        <w:t>Keity</w:t>
      </w:r>
      <w:proofErr w:type="spellEnd"/>
      <w:r w:rsidRPr="009C5ABD">
        <w:rPr>
          <w:snapToGrid w:val="0"/>
          <w:szCs w:val="12"/>
        </w:rPr>
        <w:t>, i vysoké představitel</w:t>
      </w:r>
      <w:r w:rsidR="00CA31E7">
        <w:rPr>
          <w:snapToGrid w:val="0"/>
          <w:szCs w:val="12"/>
        </w:rPr>
        <w:t>e</w:t>
      </w:r>
      <w:r w:rsidRPr="009C5ABD">
        <w:rPr>
          <w:snapToGrid w:val="0"/>
          <w:szCs w:val="12"/>
        </w:rPr>
        <w:t xml:space="preserve"> armády. Vůdci převratu následně zformovali Národní výbor pro spásu lidu, </w:t>
      </w:r>
      <w:r w:rsidR="00CA31E7">
        <w:rPr>
          <w:snapToGrid w:val="0"/>
          <w:szCs w:val="12"/>
        </w:rPr>
        <w:t>vedený</w:t>
      </w:r>
      <w:r w:rsidRPr="009C5ABD">
        <w:rPr>
          <w:snapToGrid w:val="0"/>
          <w:szCs w:val="12"/>
        </w:rPr>
        <w:t xml:space="preserve"> plukovník</w:t>
      </w:r>
      <w:r w:rsidR="00CA31E7">
        <w:rPr>
          <w:snapToGrid w:val="0"/>
          <w:szCs w:val="12"/>
        </w:rPr>
        <w:t xml:space="preserve">em </w:t>
      </w:r>
      <w:proofErr w:type="spellStart"/>
      <w:r w:rsidR="00CA31E7">
        <w:rPr>
          <w:snapToGrid w:val="0"/>
          <w:szCs w:val="12"/>
        </w:rPr>
        <w:t>Assimi</w:t>
      </w:r>
      <w:proofErr w:type="spellEnd"/>
      <w:r w:rsidR="00CA31E7">
        <w:rPr>
          <w:snapToGrid w:val="0"/>
          <w:szCs w:val="12"/>
        </w:rPr>
        <w:t xml:space="preserve"> </w:t>
      </w:r>
      <w:proofErr w:type="spellStart"/>
      <w:r w:rsidR="00CA31E7">
        <w:rPr>
          <w:snapToGrid w:val="0"/>
          <w:szCs w:val="12"/>
        </w:rPr>
        <w:t>Goïtou</w:t>
      </w:r>
      <w:proofErr w:type="spellEnd"/>
      <w:r w:rsidRPr="009C5ABD">
        <w:rPr>
          <w:snapToGrid w:val="0"/>
          <w:szCs w:val="12"/>
        </w:rPr>
        <w:t xml:space="preserve">. Po nátlaku mezinárodního společenství v čele s ECOWAS, aby co nejrychleji došlo k obnovení ústavního pořádku a do čela země byli jmenováni civilní představitelé, byl 21. září </w:t>
      </w:r>
      <w:r w:rsidR="0029430C">
        <w:rPr>
          <w:snapToGrid w:val="0"/>
          <w:szCs w:val="12"/>
        </w:rPr>
        <w:t xml:space="preserve">2020 </w:t>
      </w:r>
      <w:r w:rsidR="00CA31E7" w:rsidRPr="009C5ABD">
        <w:rPr>
          <w:snapToGrid w:val="0"/>
          <w:szCs w:val="12"/>
        </w:rPr>
        <w:lastRenderedPageBreak/>
        <w:t>ustanoven</w:t>
      </w:r>
      <w:r w:rsidRPr="009C5ABD">
        <w:rPr>
          <w:snapToGrid w:val="0"/>
          <w:szCs w:val="12"/>
        </w:rPr>
        <w:t xml:space="preserve"> prezident</w:t>
      </w:r>
      <w:r w:rsidR="0070306C">
        <w:rPr>
          <w:snapToGrid w:val="0"/>
          <w:szCs w:val="12"/>
        </w:rPr>
        <w:t>em</w:t>
      </w:r>
      <w:r w:rsidRPr="009C5ABD">
        <w:rPr>
          <w:snapToGrid w:val="0"/>
          <w:szCs w:val="12"/>
        </w:rPr>
        <w:t xml:space="preserve"> pro přechodné období </w:t>
      </w:r>
      <w:r w:rsidR="0070306C">
        <w:rPr>
          <w:snapToGrid w:val="0"/>
          <w:szCs w:val="12"/>
        </w:rPr>
        <w:t>18 </w:t>
      </w:r>
      <w:r w:rsidRPr="009C5ABD">
        <w:rPr>
          <w:snapToGrid w:val="0"/>
          <w:szCs w:val="12"/>
        </w:rPr>
        <w:t>měsíců plukovník ve výs</w:t>
      </w:r>
      <w:r w:rsidR="00CA31E7">
        <w:rPr>
          <w:snapToGrid w:val="0"/>
          <w:szCs w:val="12"/>
        </w:rPr>
        <w:t>l</w:t>
      </w:r>
      <w:r w:rsidR="0070306C">
        <w:rPr>
          <w:snapToGrid w:val="0"/>
          <w:szCs w:val="12"/>
        </w:rPr>
        <w:t xml:space="preserve">užbě </w:t>
      </w:r>
      <w:proofErr w:type="spellStart"/>
      <w:r w:rsidR="0070306C">
        <w:rPr>
          <w:snapToGrid w:val="0"/>
          <w:szCs w:val="12"/>
        </w:rPr>
        <w:t>Bah</w:t>
      </w:r>
      <w:proofErr w:type="spellEnd"/>
      <w:r w:rsidR="0070306C">
        <w:rPr>
          <w:snapToGrid w:val="0"/>
          <w:szCs w:val="12"/>
        </w:rPr>
        <w:t xml:space="preserve"> </w:t>
      </w:r>
      <w:proofErr w:type="spellStart"/>
      <w:r w:rsidR="0070306C">
        <w:rPr>
          <w:snapToGrid w:val="0"/>
          <w:szCs w:val="12"/>
        </w:rPr>
        <w:t>N´Daw</w:t>
      </w:r>
      <w:proofErr w:type="spellEnd"/>
      <w:r w:rsidR="0070306C">
        <w:rPr>
          <w:snapToGrid w:val="0"/>
          <w:szCs w:val="12"/>
        </w:rPr>
        <w:t xml:space="preserve"> a</w:t>
      </w:r>
      <w:r w:rsidR="008F3E50">
        <w:rPr>
          <w:snapToGrid w:val="0"/>
          <w:szCs w:val="12"/>
        </w:rPr>
        <w:t> </w:t>
      </w:r>
      <w:r w:rsidRPr="009C5ABD">
        <w:rPr>
          <w:snapToGrid w:val="0"/>
          <w:szCs w:val="12"/>
        </w:rPr>
        <w:t xml:space="preserve">jeho zástupcem </w:t>
      </w:r>
      <w:proofErr w:type="spellStart"/>
      <w:r w:rsidR="0070306C">
        <w:rPr>
          <w:snapToGrid w:val="0"/>
          <w:szCs w:val="12"/>
        </w:rPr>
        <w:t>Assimi</w:t>
      </w:r>
      <w:proofErr w:type="spellEnd"/>
      <w:r w:rsidRPr="009C5ABD">
        <w:rPr>
          <w:snapToGrid w:val="0"/>
          <w:szCs w:val="12"/>
        </w:rPr>
        <w:t xml:space="preserve"> </w:t>
      </w:r>
      <w:proofErr w:type="spellStart"/>
      <w:r w:rsidRPr="009C5ABD">
        <w:rPr>
          <w:snapToGrid w:val="0"/>
          <w:szCs w:val="12"/>
        </w:rPr>
        <w:t>Goïta</w:t>
      </w:r>
      <w:proofErr w:type="spellEnd"/>
      <w:r w:rsidR="00E72071">
        <w:rPr>
          <w:snapToGrid w:val="0"/>
          <w:szCs w:val="12"/>
        </w:rPr>
        <w:t>, vůdce převratu</w:t>
      </w:r>
      <w:r w:rsidRPr="009C5ABD">
        <w:rPr>
          <w:snapToGrid w:val="0"/>
          <w:szCs w:val="12"/>
        </w:rPr>
        <w:t xml:space="preserve">. O týden později byla zformována přechodná vláda a v prosinci </w:t>
      </w:r>
      <w:r w:rsidR="00E55D59">
        <w:rPr>
          <w:snapToGrid w:val="0"/>
          <w:szCs w:val="12"/>
        </w:rPr>
        <w:t xml:space="preserve">2020 </w:t>
      </w:r>
      <w:r w:rsidRPr="009C5ABD">
        <w:rPr>
          <w:snapToGrid w:val="0"/>
          <w:szCs w:val="12"/>
        </w:rPr>
        <w:t xml:space="preserve">i přechodný parlament. Ačkoliv se vojenská junta postavila konstruktivně k předání moci civilním orgánům, všichni hlavní vůdci vojenského převratu si ponechali </w:t>
      </w:r>
      <w:r w:rsidR="0070306C" w:rsidRPr="009C5ABD">
        <w:rPr>
          <w:snapToGrid w:val="0"/>
          <w:szCs w:val="12"/>
        </w:rPr>
        <w:t xml:space="preserve">stěžejní </w:t>
      </w:r>
      <w:r w:rsidRPr="009C5ABD">
        <w:rPr>
          <w:snapToGrid w:val="0"/>
          <w:szCs w:val="12"/>
        </w:rPr>
        <w:t>politické funkc</w:t>
      </w:r>
      <w:r w:rsidR="0070306C">
        <w:rPr>
          <w:snapToGrid w:val="0"/>
          <w:szCs w:val="12"/>
        </w:rPr>
        <w:t>e v nově jmenovaných orgánech</w:t>
      </w:r>
      <w:r w:rsidR="001C47ED">
        <w:rPr>
          <w:snapToGrid w:val="0"/>
          <w:szCs w:val="12"/>
        </w:rPr>
        <w:t>,</w:t>
      </w:r>
      <w:r w:rsidR="0070306C">
        <w:rPr>
          <w:snapToGrid w:val="0"/>
          <w:szCs w:val="12"/>
        </w:rPr>
        <w:t xml:space="preserve"> a </w:t>
      </w:r>
      <w:r w:rsidRPr="009C5ABD">
        <w:rPr>
          <w:snapToGrid w:val="0"/>
          <w:szCs w:val="12"/>
        </w:rPr>
        <w:t xml:space="preserve">tak i kontrolu nad politickým vývojem v zemi. </w:t>
      </w:r>
    </w:p>
    <w:p w:rsidR="009C5ABD" w:rsidRPr="009C5ABD" w:rsidRDefault="009C5ABD" w:rsidP="009C5ABD">
      <w:pPr>
        <w:spacing w:before="120" w:line="276" w:lineRule="auto"/>
        <w:ind w:firstLine="709"/>
        <w:jc w:val="both"/>
        <w:rPr>
          <w:snapToGrid w:val="0"/>
          <w:szCs w:val="12"/>
        </w:rPr>
      </w:pPr>
      <w:r w:rsidRPr="009C5ABD">
        <w:rPr>
          <w:snapToGrid w:val="0"/>
          <w:szCs w:val="12"/>
        </w:rPr>
        <w:t xml:space="preserve">Prioritami nového vedení země se stalo obnovení a upevnění bezpečnosti v zemi, </w:t>
      </w:r>
      <w:r w:rsidR="00F642E2">
        <w:rPr>
          <w:snapToGrid w:val="0"/>
          <w:szCs w:val="12"/>
        </w:rPr>
        <w:t>obnova</w:t>
      </w:r>
      <w:r w:rsidRPr="009C5ABD">
        <w:rPr>
          <w:snapToGrid w:val="0"/>
          <w:szCs w:val="12"/>
        </w:rPr>
        <w:t xml:space="preserve"> důvěry ve státní instituce, národní usmíření, implementace závěrů Národního inkluzivního dialogu a řádné uspořádání prezidentských a parlamentních voleb. </w:t>
      </w:r>
      <w:r w:rsidR="00EF1649">
        <w:rPr>
          <w:snapToGrid w:val="0"/>
          <w:szCs w:val="12"/>
        </w:rPr>
        <w:t>J</w:t>
      </w:r>
      <w:r w:rsidRPr="009C5ABD">
        <w:rPr>
          <w:snapToGrid w:val="0"/>
          <w:szCs w:val="12"/>
        </w:rPr>
        <w:t>edn</w:t>
      </w:r>
      <w:r w:rsidR="00EF1649">
        <w:rPr>
          <w:snapToGrid w:val="0"/>
          <w:szCs w:val="12"/>
        </w:rPr>
        <w:t>ím</w:t>
      </w:r>
      <w:r w:rsidRPr="009C5ABD">
        <w:rPr>
          <w:snapToGrid w:val="0"/>
          <w:szCs w:val="12"/>
        </w:rPr>
        <w:t xml:space="preserve"> z prvních kroků přechodn</w:t>
      </w:r>
      <w:r w:rsidR="00EF1649">
        <w:rPr>
          <w:snapToGrid w:val="0"/>
          <w:szCs w:val="12"/>
        </w:rPr>
        <w:t>é</w:t>
      </w:r>
      <w:r w:rsidRPr="009C5ABD">
        <w:rPr>
          <w:snapToGrid w:val="0"/>
          <w:szCs w:val="12"/>
        </w:rPr>
        <w:t xml:space="preserve"> vlád</w:t>
      </w:r>
      <w:r w:rsidR="00EF1649">
        <w:rPr>
          <w:snapToGrid w:val="0"/>
          <w:szCs w:val="12"/>
        </w:rPr>
        <w:t>y bylo</w:t>
      </w:r>
      <w:r w:rsidRPr="009C5ABD">
        <w:rPr>
          <w:snapToGrid w:val="0"/>
          <w:szCs w:val="12"/>
        </w:rPr>
        <w:t xml:space="preserve"> </w:t>
      </w:r>
      <w:r w:rsidR="00EF1649">
        <w:rPr>
          <w:snapToGrid w:val="0"/>
          <w:szCs w:val="12"/>
        </w:rPr>
        <w:t>doko</w:t>
      </w:r>
      <w:r w:rsidR="00170436">
        <w:rPr>
          <w:snapToGrid w:val="0"/>
          <w:szCs w:val="12"/>
        </w:rPr>
        <w:t>n</w:t>
      </w:r>
      <w:r w:rsidR="00EF1649">
        <w:rPr>
          <w:snapToGrid w:val="0"/>
          <w:szCs w:val="12"/>
        </w:rPr>
        <w:t>čení</w:t>
      </w:r>
      <w:r w:rsidRPr="009C5ABD">
        <w:rPr>
          <w:snapToGrid w:val="0"/>
          <w:szCs w:val="12"/>
        </w:rPr>
        <w:t xml:space="preserve"> jednání o propuštění několik měsíců zajatého opozičního politika a trojnásobného kandidáta na prezidenta </w:t>
      </w:r>
      <w:proofErr w:type="spellStart"/>
      <w:r w:rsidRPr="009C5ABD">
        <w:rPr>
          <w:snapToGrid w:val="0"/>
          <w:szCs w:val="12"/>
        </w:rPr>
        <w:t>Soumaïlly</w:t>
      </w:r>
      <w:proofErr w:type="spellEnd"/>
      <w:r w:rsidRPr="009C5ABD">
        <w:rPr>
          <w:snapToGrid w:val="0"/>
          <w:szCs w:val="12"/>
        </w:rPr>
        <w:t xml:space="preserve"> </w:t>
      </w:r>
      <w:proofErr w:type="spellStart"/>
      <w:r w:rsidRPr="009C5ABD">
        <w:rPr>
          <w:snapToGrid w:val="0"/>
          <w:szCs w:val="12"/>
        </w:rPr>
        <w:t>Cissého</w:t>
      </w:r>
      <w:proofErr w:type="spellEnd"/>
      <w:r w:rsidRPr="009C5ABD">
        <w:rPr>
          <w:snapToGrid w:val="0"/>
          <w:szCs w:val="12"/>
        </w:rPr>
        <w:t xml:space="preserve"> (a tří Evropanů)</w:t>
      </w:r>
      <w:r w:rsidR="00441084">
        <w:rPr>
          <w:snapToGrid w:val="0"/>
          <w:szCs w:val="12"/>
        </w:rPr>
        <w:t xml:space="preserve"> výměnou za propuštění přes 200 </w:t>
      </w:r>
      <w:r w:rsidRPr="009C5ABD">
        <w:rPr>
          <w:snapToGrid w:val="0"/>
          <w:szCs w:val="12"/>
        </w:rPr>
        <w:t>zadržovaných teroristů</w:t>
      </w:r>
      <w:r w:rsidR="008A79DE">
        <w:rPr>
          <w:snapToGrid w:val="0"/>
          <w:szCs w:val="12"/>
        </w:rPr>
        <w:t>, což bylo zejména ve Francii přijato s velkými rozpaky</w:t>
      </w:r>
      <w:r w:rsidRPr="009C5ABD">
        <w:rPr>
          <w:snapToGrid w:val="0"/>
          <w:szCs w:val="12"/>
        </w:rPr>
        <w:t>.</w:t>
      </w:r>
    </w:p>
    <w:p w:rsidR="009C5ABD" w:rsidRPr="009C5ABD" w:rsidRDefault="009C5ABD" w:rsidP="009C5ABD">
      <w:pPr>
        <w:spacing w:before="120" w:line="276" w:lineRule="auto"/>
        <w:ind w:firstLine="709"/>
        <w:jc w:val="both"/>
        <w:rPr>
          <w:snapToGrid w:val="0"/>
          <w:szCs w:val="12"/>
        </w:rPr>
      </w:pPr>
      <w:r w:rsidRPr="009C5ABD">
        <w:rPr>
          <w:snapToGrid w:val="0"/>
          <w:szCs w:val="12"/>
        </w:rPr>
        <w:t xml:space="preserve">V průběhu roku 2020 pokračovalo v zemi, především v severním a středním Mali, násilí mezi komunitami, umocněné přetrvávajícím vlivem </w:t>
      </w:r>
      <w:proofErr w:type="spellStart"/>
      <w:r w:rsidRPr="009C5ABD">
        <w:rPr>
          <w:snapToGrid w:val="0"/>
          <w:szCs w:val="12"/>
        </w:rPr>
        <w:t>džihádistických</w:t>
      </w:r>
      <w:proofErr w:type="spellEnd"/>
      <w:r w:rsidRPr="009C5ABD">
        <w:rPr>
          <w:snapToGrid w:val="0"/>
          <w:szCs w:val="12"/>
        </w:rPr>
        <w:t xml:space="preserve"> skupin,</w:t>
      </w:r>
      <w:r w:rsidR="00EF1649">
        <w:rPr>
          <w:snapToGrid w:val="0"/>
          <w:szCs w:val="12"/>
        </w:rPr>
        <w:t xml:space="preserve"> a </w:t>
      </w:r>
      <w:r w:rsidRPr="009C5ABD">
        <w:rPr>
          <w:snapToGrid w:val="0"/>
          <w:szCs w:val="12"/>
        </w:rPr>
        <w:t xml:space="preserve">pravidelné útoky ozbrojenců proti civilnímu obyvatelstvu, </w:t>
      </w:r>
      <w:r w:rsidR="00EF1649">
        <w:rPr>
          <w:snapToGrid w:val="0"/>
          <w:szCs w:val="12"/>
        </w:rPr>
        <w:t>malijským bezpečnostním silám i </w:t>
      </w:r>
      <w:r w:rsidRPr="009C5ABD">
        <w:rPr>
          <w:snapToGrid w:val="0"/>
          <w:szCs w:val="12"/>
        </w:rPr>
        <w:t xml:space="preserve">mezinárodním jednotkám. </w:t>
      </w:r>
      <w:r w:rsidR="008A79DE">
        <w:rPr>
          <w:snapToGrid w:val="0"/>
          <w:szCs w:val="12"/>
        </w:rPr>
        <w:t>Stále častěji se také objevovaly</w:t>
      </w:r>
      <w:r w:rsidR="00EF1649">
        <w:rPr>
          <w:snapToGrid w:val="0"/>
          <w:szCs w:val="12"/>
        </w:rPr>
        <w:t xml:space="preserve"> střety mezi dvěma hlavním</w:t>
      </w:r>
      <w:r w:rsidRPr="009C5ABD">
        <w:rPr>
          <w:snapToGrid w:val="0"/>
          <w:szCs w:val="12"/>
        </w:rPr>
        <w:t>i teroristickými skupinami</w:t>
      </w:r>
      <w:r w:rsidR="00056F62">
        <w:rPr>
          <w:snapToGrid w:val="0"/>
          <w:szCs w:val="12"/>
        </w:rPr>
        <w:t xml:space="preserve"> v oblasti </w:t>
      </w:r>
      <w:r w:rsidR="00A62195">
        <w:rPr>
          <w:snapToGrid w:val="0"/>
          <w:szCs w:val="12"/>
        </w:rPr>
        <w:t xml:space="preserve">- </w:t>
      </w:r>
      <w:r w:rsidR="00056F62">
        <w:t>S</w:t>
      </w:r>
      <w:r w:rsidR="00056F62" w:rsidRPr="00DC7950">
        <w:t>kupina pro podporu islámu a muslimů</w:t>
      </w:r>
      <w:r w:rsidRPr="009C5ABD">
        <w:rPr>
          <w:snapToGrid w:val="0"/>
          <w:szCs w:val="12"/>
        </w:rPr>
        <w:t xml:space="preserve"> </w:t>
      </w:r>
      <w:r w:rsidR="00A62195">
        <w:rPr>
          <w:snapToGrid w:val="0"/>
          <w:szCs w:val="12"/>
        </w:rPr>
        <w:t>(JNIM/</w:t>
      </w:r>
      <w:proofErr w:type="spellStart"/>
      <w:r w:rsidR="00A62195">
        <w:rPr>
          <w:snapToGrid w:val="0"/>
          <w:szCs w:val="12"/>
        </w:rPr>
        <w:t>Jama´</w:t>
      </w:r>
      <w:r w:rsidRPr="009C5ABD">
        <w:rPr>
          <w:snapToGrid w:val="0"/>
          <w:szCs w:val="12"/>
        </w:rPr>
        <w:t>a</w:t>
      </w:r>
      <w:r w:rsidR="00A62195">
        <w:rPr>
          <w:snapToGrid w:val="0"/>
          <w:szCs w:val="12"/>
        </w:rPr>
        <w:t>t</w:t>
      </w:r>
      <w:proofErr w:type="spellEnd"/>
      <w:r w:rsidR="00A62195">
        <w:rPr>
          <w:snapToGrid w:val="0"/>
          <w:szCs w:val="12"/>
        </w:rPr>
        <w:t xml:space="preserve"> </w:t>
      </w:r>
      <w:proofErr w:type="spellStart"/>
      <w:r w:rsidR="00A62195">
        <w:rPr>
          <w:snapToGrid w:val="0"/>
          <w:szCs w:val="12"/>
        </w:rPr>
        <w:t>Nasr</w:t>
      </w:r>
      <w:proofErr w:type="spellEnd"/>
      <w:r w:rsidR="00A62195">
        <w:rPr>
          <w:snapToGrid w:val="0"/>
          <w:szCs w:val="12"/>
        </w:rPr>
        <w:t xml:space="preserve"> al-</w:t>
      </w:r>
      <w:proofErr w:type="spellStart"/>
      <w:r w:rsidR="00A62195">
        <w:rPr>
          <w:snapToGrid w:val="0"/>
          <w:szCs w:val="12"/>
        </w:rPr>
        <w:t>Islam</w:t>
      </w:r>
      <w:proofErr w:type="spellEnd"/>
      <w:r w:rsidR="00A62195">
        <w:rPr>
          <w:snapToGrid w:val="0"/>
          <w:szCs w:val="12"/>
        </w:rPr>
        <w:t xml:space="preserve"> </w:t>
      </w:r>
      <w:proofErr w:type="spellStart"/>
      <w:r w:rsidR="00A62195">
        <w:rPr>
          <w:snapToGrid w:val="0"/>
          <w:szCs w:val="12"/>
        </w:rPr>
        <w:t>wal</w:t>
      </w:r>
      <w:proofErr w:type="spellEnd"/>
      <w:r w:rsidR="00A62195">
        <w:rPr>
          <w:snapToGrid w:val="0"/>
          <w:szCs w:val="12"/>
        </w:rPr>
        <w:t xml:space="preserve"> </w:t>
      </w:r>
      <w:proofErr w:type="spellStart"/>
      <w:r w:rsidR="00A62195">
        <w:rPr>
          <w:snapToGrid w:val="0"/>
          <w:szCs w:val="12"/>
        </w:rPr>
        <w:t>Muslimin</w:t>
      </w:r>
      <w:proofErr w:type="spellEnd"/>
      <w:r w:rsidR="00A62195">
        <w:rPr>
          <w:snapToGrid w:val="0"/>
          <w:szCs w:val="12"/>
        </w:rPr>
        <w:t>) a</w:t>
      </w:r>
      <w:r w:rsidRPr="009C5ABD">
        <w:rPr>
          <w:snapToGrid w:val="0"/>
          <w:szCs w:val="12"/>
        </w:rPr>
        <w:t xml:space="preserve"> </w:t>
      </w:r>
      <w:r w:rsidR="00056F62">
        <w:t>Islámský stát v regionu velké Sahary</w:t>
      </w:r>
      <w:r w:rsidR="00A62195">
        <w:t xml:space="preserve"> (ISGS/</w:t>
      </w:r>
      <w:proofErr w:type="spellStart"/>
      <w:r w:rsidR="00E55D59">
        <w:t>The</w:t>
      </w:r>
      <w:proofErr w:type="spellEnd"/>
      <w:r w:rsidR="00E55D59">
        <w:t xml:space="preserve"> </w:t>
      </w:r>
      <w:proofErr w:type="spellStart"/>
      <w:r w:rsidR="00A62195">
        <w:t>Islamic</w:t>
      </w:r>
      <w:proofErr w:type="spellEnd"/>
      <w:r w:rsidR="00A62195">
        <w:t xml:space="preserve"> </w:t>
      </w:r>
      <w:proofErr w:type="spellStart"/>
      <w:r w:rsidR="00A62195">
        <w:t>State</w:t>
      </w:r>
      <w:proofErr w:type="spellEnd"/>
      <w:r w:rsidR="00A62195">
        <w:t xml:space="preserve"> </w:t>
      </w:r>
      <w:r w:rsidR="004639E0">
        <w:t xml:space="preserve">in </w:t>
      </w:r>
      <w:proofErr w:type="spellStart"/>
      <w:r w:rsidR="004639E0">
        <w:t>the</w:t>
      </w:r>
      <w:proofErr w:type="spellEnd"/>
      <w:r w:rsidR="004639E0">
        <w:t xml:space="preserve"> </w:t>
      </w:r>
      <w:proofErr w:type="spellStart"/>
      <w:r w:rsidR="004639E0">
        <w:t>Greater</w:t>
      </w:r>
      <w:proofErr w:type="spellEnd"/>
      <w:r w:rsidR="004639E0">
        <w:t xml:space="preserve"> Sahara</w:t>
      </w:r>
      <w:r w:rsidR="00056F62">
        <w:t>)</w:t>
      </w:r>
      <w:r w:rsidRPr="009C5ABD">
        <w:rPr>
          <w:snapToGrid w:val="0"/>
          <w:szCs w:val="12"/>
        </w:rPr>
        <w:t xml:space="preserve"> o kontrolu nad územím. </w:t>
      </w:r>
      <w:r w:rsidR="00EF1649">
        <w:rPr>
          <w:snapToGrid w:val="0"/>
          <w:szCs w:val="12"/>
        </w:rPr>
        <w:t xml:space="preserve">Několikrát z útoků </w:t>
      </w:r>
      <w:r w:rsidRPr="009C5ABD">
        <w:rPr>
          <w:snapToGrid w:val="0"/>
          <w:szCs w:val="12"/>
        </w:rPr>
        <w:t>proti civilistům byly podezřelé i mali</w:t>
      </w:r>
      <w:r w:rsidR="00EF1649">
        <w:rPr>
          <w:snapToGrid w:val="0"/>
          <w:szCs w:val="12"/>
        </w:rPr>
        <w:t>j</w:t>
      </w:r>
      <w:r w:rsidRPr="009C5ABD">
        <w:rPr>
          <w:snapToGrid w:val="0"/>
          <w:szCs w:val="12"/>
        </w:rPr>
        <w:t xml:space="preserve">ské ozbrojené síly. Porušování lidských práv se tak stalo významným tématem i pro mezinárodní komunitu, která ozbrojené síly Mali </w:t>
      </w:r>
      <w:r w:rsidR="00EF1649">
        <w:rPr>
          <w:snapToGrid w:val="0"/>
          <w:szCs w:val="12"/>
        </w:rPr>
        <w:t>významně</w:t>
      </w:r>
      <w:r w:rsidRPr="009C5ABD">
        <w:rPr>
          <w:snapToGrid w:val="0"/>
          <w:szCs w:val="12"/>
        </w:rPr>
        <w:t xml:space="preserve"> podporuje. V rámci mezinárodního zapojení do boje proti terorismu v zemi byl v červnu </w:t>
      </w:r>
      <w:r w:rsidR="008A79DE">
        <w:rPr>
          <w:snapToGrid w:val="0"/>
          <w:szCs w:val="12"/>
        </w:rPr>
        <w:t>2020</w:t>
      </w:r>
      <w:r w:rsidRPr="009C5ABD">
        <w:rPr>
          <w:snapToGrid w:val="0"/>
          <w:szCs w:val="12"/>
        </w:rPr>
        <w:t xml:space="preserve"> francouzskými vojáky zabit šéf severoafrické větve Al-Káidy, </w:t>
      </w:r>
      <w:proofErr w:type="spellStart"/>
      <w:r w:rsidRPr="009C5ABD">
        <w:rPr>
          <w:snapToGrid w:val="0"/>
          <w:szCs w:val="12"/>
        </w:rPr>
        <w:t>Abdal</w:t>
      </w:r>
      <w:proofErr w:type="spellEnd"/>
      <w:r w:rsidRPr="009C5ABD">
        <w:rPr>
          <w:snapToGrid w:val="0"/>
          <w:szCs w:val="12"/>
        </w:rPr>
        <w:t xml:space="preserve"> </w:t>
      </w:r>
      <w:proofErr w:type="spellStart"/>
      <w:r w:rsidRPr="009C5ABD">
        <w:rPr>
          <w:snapToGrid w:val="0"/>
          <w:szCs w:val="12"/>
        </w:rPr>
        <w:t>Malik</w:t>
      </w:r>
      <w:proofErr w:type="spellEnd"/>
      <w:r w:rsidRPr="009C5ABD">
        <w:rPr>
          <w:snapToGrid w:val="0"/>
          <w:szCs w:val="12"/>
        </w:rPr>
        <w:t xml:space="preserve"> </w:t>
      </w:r>
      <w:proofErr w:type="spellStart"/>
      <w:r w:rsidRPr="009C5ABD">
        <w:rPr>
          <w:snapToGrid w:val="0"/>
          <w:szCs w:val="12"/>
        </w:rPr>
        <w:t>Drúkdal</w:t>
      </w:r>
      <w:proofErr w:type="spellEnd"/>
      <w:r w:rsidRPr="009C5ABD">
        <w:rPr>
          <w:snapToGrid w:val="0"/>
          <w:szCs w:val="12"/>
        </w:rPr>
        <w:t>.</w:t>
      </w:r>
    </w:p>
    <w:p w:rsidR="005C032D" w:rsidRPr="00EF4476" w:rsidRDefault="005C032D" w:rsidP="005407A4">
      <w:pPr>
        <w:keepNext/>
        <w:numPr>
          <w:ilvl w:val="1"/>
          <w:numId w:val="3"/>
        </w:numPr>
        <w:spacing w:before="240" w:line="276" w:lineRule="auto"/>
        <w:jc w:val="both"/>
        <w:outlineLvl w:val="0"/>
        <w:rPr>
          <w:b/>
          <w:bCs/>
        </w:rPr>
      </w:pPr>
      <w:r w:rsidRPr="00EF4476">
        <w:rPr>
          <w:b/>
          <w:bCs/>
        </w:rPr>
        <w:t>Působení sil a prostředků rezortu MO ve výcvikové misi Evropské unie</w:t>
      </w:r>
    </w:p>
    <w:p w:rsidR="005C032D" w:rsidRPr="00635EA0" w:rsidRDefault="00125788" w:rsidP="00F95A45">
      <w:pPr>
        <w:spacing w:before="120" w:line="276" w:lineRule="auto"/>
        <w:ind w:firstLine="709"/>
        <w:jc w:val="both"/>
        <w:rPr>
          <w:snapToGrid w:val="0"/>
          <w:szCs w:val="12"/>
        </w:rPr>
      </w:pPr>
      <w:r>
        <w:rPr>
          <w:snapToGrid w:val="0"/>
          <w:szCs w:val="12"/>
        </w:rPr>
        <w:t>M</w:t>
      </w:r>
      <w:r w:rsidR="00DD74E3">
        <w:rPr>
          <w:snapToGrid w:val="0"/>
          <w:szCs w:val="12"/>
        </w:rPr>
        <w:t xml:space="preserve">andát pro působení sil a prostředků rezortu MO </w:t>
      </w:r>
      <w:r w:rsidR="00BC7ED4">
        <w:rPr>
          <w:snapToGrid w:val="0"/>
          <w:szCs w:val="12"/>
        </w:rPr>
        <w:t xml:space="preserve">ve výcvikové misi Evropské unie v Mali (EUTM M) </w:t>
      </w:r>
      <w:r w:rsidR="00D436A6">
        <w:rPr>
          <w:snapToGrid w:val="0"/>
          <w:szCs w:val="12"/>
        </w:rPr>
        <w:t xml:space="preserve">v roce </w:t>
      </w:r>
      <w:r w:rsidR="00517C23">
        <w:rPr>
          <w:snapToGrid w:val="0"/>
          <w:szCs w:val="12"/>
        </w:rPr>
        <w:t>2020</w:t>
      </w:r>
      <w:r w:rsidR="00D436A6">
        <w:rPr>
          <w:snapToGrid w:val="0"/>
          <w:szCs w:val="12"/>
        </w:rPr>
        <w:t xml:space="preserve"> byl stanoven</w:t>
      </w:r>
      <w:r w:rsidR="00BC7ED4">
        <w:rPr>
          <w:snapToGrid w:val="0"/>
          <w:szCs w:val="12"/>
        </w:rPr>
        <w:t xml:space="preserve"> do 120 osob</w:t>
      </w:r>
      <w:r w:rsidR="00DD74E3">
        <w:rPr>
          <w:snapToGrid w:val="0"/>
          <w:szCs w:val="12"/>
        </w:rPr>
        <w:t>.</w:t>
      </w:r>
      <w:r w:rsidR="005C032D" w:rsidRPr="00635EA0">
        <w:rPr>
          <w:snapToGrid w:val="0"/>
          <w:szCs w:val="12"/>
        </w:rPr>
        <w:t xml:space="preserve"> </w:t>
      </w:r>
    </w:p>
    <w:p w:rsidR="00DD74E3" w:rsidRDefault="000458DF" w:rsidP="00F95A45">
      <w:pPr>
        <w:spacing w:before="120" w:line="276" w:lineRule="auto"/>
        <w:ind w:firstLine="709"/>
        <w:jc w:val="both"/>
      </w:pPr>
      <w:r w:rsidRPr="00CD1893">
        <w:t>Ú</w:t>
      </w:r>
      <w:r w:rsidR="00C40D99">
        <w:t>kolové uskupení</w:t>
      </w:r>
      <w:r w:rsidRPr="00CD1893">
        <w:t xml:space="preserve"> AČR EUTM</w:t>
      </w:r>
      <w:r w:rsidR="00297AB9">
        <w:t> M</w:t>
      </w:r>
      <w:r w:rsidRPr="00CD1893">
        <w:t xml:space="preserve"> </w:t>
      </w:r>
      <w:r>
        <w:t xml:space="preserve">(ÚU) </w:t>
      </w:r>
      <w:r w:rsidR="0067797E">
        <w:t>se skládalo z:</w:t>
      </w:r>
      <w:r w:rsidR="00DD74E3">
        <w:t xml:space="preserve"> národní</w:t>
      </w:r>
      <w:r w:rsidR="0067797E">
        <w:t>ho</w:t>
      </w:r>
      <w:r w:rsidR="00DD74E3">
        <w:t xml:space="preserve"> zastoupení na velitelství </w:t>
      </w:r>
      <w:r w:rsidR="0067797E">
        <w:t>mise a dvou jednotek</w:t>
      </w:r>
      <w:r w:rsidR="00BC7ED4">
        <w:t xml:space="preserve"> ochrany sil</w:t>
      </w:r>
      <w:r w:rsidR="00517C23">
        <w:t>, mobilní</w:t>
      </w:r>
      <w:r w:rsidR="0067797E">
        <w:t>ho</w:t>
      </w:r>
      <w:r w:rsidR="00517C23">
        <w:t xml:space="preserve"> lékařsk</w:t>
      </w:r>
      <w:r w:rsidR="0067797E">
        <w:t>ého</w:t>
      </w:r>
      <w:r w:rsidR="00517C23">
        <w:t xml:space="preserve"> tým</w:t>
      </w:r>
      <w:r w:rsidR="0067797E">
        <w:t>u</w:t>
      </w:r>
      <w:r w:rsidR="00517C23">
        <w:t>,</w:t>
      </w:r>
      <w:r w:rsidR="00BC7ED4">
        <w:t xml:space="preserve"> inst</w:t>
      </w:r>
      <w:r w:rsidR="0067797E">
        <w:t>ruktorů</w:t>
      </w:r>
      <w:r w:rsidR="00860D65">
        <w:t xml:space="preserve"> výcviku</w:t>
      </w:r>
      <w:r w:rsidR="00517C23">
        <w:t xml:space="preserve"> a od </w:t>
      </w:r>
      <w:r w:rsidR="00F94D61">
        <w:t>12.</w:t>
      </w:r>
      <w:r w:rsidR="00517C23">
        <w:t xml:space="preserve"> června 2020 </w:t>
      </w:r>
      <w:r w:rsidR="002452E1">
        <w:t xml:space="preserve">také </w:t>
      </w:r>
      <w:r w:rsidR="0067797E">
        <w:t>jednačtyřicetičlenného</w:t>
      </w:r>
      <w:r w:rsidR="0069183C">
        <w:t xml:space="preserve"> prv</w:t>
      </w:r>
      <w:r w:rsidR="00517C23">
        <w:t>k</w:t>
      </w:r>
      <w:r w:rsidR="0067797E">
        <w:t>u</w:t>
      </w:r>
      <w:r w:rsidR="00517C23">
        <w:t xml:space="preserve"> velení Silám EUT</w:t>
      </w:r>
      <w:r w:rsidR="004639E0">
        <w:t xml:space="preserve">M, v čele s brigádním generálem Františkem </w:t>
      </w:r>
      <w:proofErr w:type="spellStart"/>
      <w:r w:rsidR="004639E0">
        <w:t>Ridzákem</w:t>
      </w:r>
      <w:proofErr w:type="spellEnd"/>
      <w:r w:rsidR="004639E0">
        <w:t>.</w:t>
      </w:r>
    </w:p>
    <w:p w:rsidR="00DD74E3" w:rsidRPr="00D951F1" w:rsidRDefault="00DD74E3" w:rsidP="00F95A45">
      <w:pPr>
        <w:spacing w:before="120" w:line="276" w:lineRule="auto"/>
        <w:ind w:firstLine="709"/>
        <w:jc w:val="both"/>
      </w:pPr>
      <w:r w:rsidRPr="00D951F1">
        <w:t>Je</w:t>
      </w:r>
      <w:r w:rsidR="00297AB9">
        <w:t>dnotka ochrany velitelství EUTM </w:t>
      </w:r>
      <w:r w:rsidRPr="00D951F1">
        <w:t>M v hlavním městě</w:t>
      </w:r>
      <w:r w:rsidR="006613A6" w:rsidRPr="006613A6">
        <w:t xml:space="preserve"> </w:t>
      </w:r>
      <w:r w:rsidR="006613A6" w:rsidRPr="00D951F1">
        <w:t xml:space="preserve">Bamako </w:t>
      </w:r>
      <w:r w:rsidR="00BC7ED4">
        <w:t xml:space="preserve">zabezpečovala </w:t>
      </w:r>
      <w:r w:rsidR="006613A6">
        <w:t xml:space="preserve">ochranu </w:t>
      </w:r>
      <w:r w:rsidR="00BC7ED4">
        <w:t>prostor</w:t>
      </w:r>
      <w:r w:rsidR="00897FF8">
        <w:t>ů</w:t>
      </w:r>
      <w:r w:rsidR="00BC7ED4">
        <w:t xml:space="preserve"> </w:t>
      </w:r>
      <w:r w:rsidR="006613A6">
        <w:t>velitelství</w:t>
      </w:r>
      <w:r w:rsidRPr="00D951F1">
        <w:t xml:space="preserve">, doprovody příslušníků velení a VIP osob. Jednotka </w:t>
      </w:r>
      <w:r w:rsidR="00D951F1" w:rsidRPr="00D951F1">
        <w:t xml:space="preserve">ochrany </w:t>
      </w:r>
      <w:r w:rsidRPr="00D951F1">
        <w:t>v </w:t>
      </w:r>
      <w:proofErr w:type="spellStart"/>
      <w:r w:rsidRPr="00D951F1">
        <w:t>Koulikoro</w:t>
      </w:r>
      <w:proofErr w:type="spellEnd"/>
      <w:r w:rsidRPr="00D951F1">
        <w:t xml:space="preserve"> </w:t>
      </w:r>
      <w:r w:rsidR="00BC7ED4">
        <w:t>poskytovala</w:t>
      </w:r>
      <w:r w:rsidRPr="00D951F1">
        <w:t xml:space="preserve"> ochran</w:t>
      </w:r>
      <w:r w:rsidR="00BC7ED4">
        <w:t>u</w:t>
      </w:r>
      <w:r w:rsidRPr="00D951F1">
        <w:t xml:space="preserve"> </w:t>
      </w:r>
      <w:r w:rsidR="00BC7ED4">
        <w:t xml:space="preserve">příslušníkům </w:t>
      </w:r>
      <w:r w:rsidR="006613A6">
        <w:t>výcvikového střediska</w:t>
      </w:r>
      <w:r w:rsidR="00297AB9">
        <w:t xml:space="preserve"> malijské armády</w:t>
      </w:r>
      <w:r w:rsidR="00BC7ED4">
        <w:t xml:space="preserve"> a zajišťovala doprovody konvojů</w:t>
      </w:r>
      <w:r w:rsidRPr="00D951F1">
        <w:t xml:space="preserve">. </w:t>
      </w:r>
      <w:r w:rsidR="00BC7ED4">
        <w:t xml:space="preserve">Dva instruktoři </w:t>
      </w:r>
      <w:r w:rsidR="00C816F7">
        <w:t>se v rámci</w:t>
      </w:r>
      <w:r w:rsidR="00BC7ED4">
        <w:t xml:space="preserve"> mezinárodního </w:t>
      </w:r>
      <w:r w:rsidR="00C816F7">
        <w:t xml:space="preserve">týmu </w:t>
      </w:r>
      <w:r w:rsidR="00E51C53">
        <w:t>podíleli na</w:t>
      </w:r>
      <w:r w:rsidRPr="00D951F1">
        <w:t xml:space="preserve"> </w:t>
      </w:r>
      <w:r w:rsidR="00897FF8">
        <w:t>výcviku</w:t>
      </w:r>
      <w:r w:rsidRPr="00D951F1">
        <w:t xml:space="preserve"> </w:t>
      </w:r>
      <w:r w:rsidR="00E51C53">
        <w:t>příslušníků malijské armády</w:t>
      </w:r>
      <w:r w:rsidRPr="00D951F1">
        <w:t xml:space="preserve">. </w:t>
      </w:r>
      <w:r w:rsidR="00C928A7">
        <w:t xml:space="preserve">Reálné počty českého vojenského kontingentu se během roku 2020 pohybovaly </w:t>
      </w:r>
      <w:r w:rsidR="00C816F7">
        <w:t xml:space="preserve">v rozmezí 114 – 120 </w:t>
      </w:r>
      <w:r w:rsidR="00C928A7">
        <w:t>osob.</w:t>
      </w:r>
    </w:p>
    <w:p w:rsidR="00517C23" w:rsidRPr="00517C23" w:rsidRDefault="00517C23" w:rsidP="00F94D61">
      <w:pPr>
        <w:spacing w:before="120" w:line="276" w:lineRule="auto"/>
        <w:ind w:firstLine="709"/>
        <w:jc w:val="both"/>
      </w:pPr>
      <w:r w:rsidRPr="00517C23">
        <w:t xml:space="preserve">V době převzetí velení Silám EUTM </w:t>
      </w:r>
      <w:r w:rsidR="00EA20D8">
        <w:t>M</w:t>
      </w:r>
      <w:r w:rsidR="00707EFB">
        <w:t xml:space="preserve"> </w:t>
      </w:r>
      <w:r w:rsidRPr="00517C23">
        <w:t>Českou republikou byla mise ve stavu</w:t>
      </w:r>
      <w:r w:rsidR="00161C53">
        <w:t xml:space="preserve"> hibernace kvůli pandemii COVID-</w:t>
      </w:r>
      <w:r w:rsidRPr="00517C23">
        <w:t>19. Aktivity ve prospěch malijských ozbrojených sil (</w:t>
      </w:r>
      <w:proofErr w:type="spellStart"/>
      <w:r w:rsidRPr="00517C23">
        <w:t>FAMa</w:t>
      </w:r>
      <w:proofErr w:type="spellEnd"/>
      <w:r w:rsidR="00665678">
        <w:t>/</w:t>
      </w:r>
      <w:proofErr w:type="spellStart"/>
      <w:r w:rsidR="00665678">
        <w:t>Forces</w:t>
      </w:r>
      <w:proofErr w:type="spellEnd"/>
      <w:r w:rsidR="00665678">
        <w:t xml:space="preserve"> </w:t>
      </w:r>
      <w:proofErr w:type="spellStart"/>
      <w:r w:rsidR="00665678">
        <w:t>Armees</w:t>
      </w:r>
      <w:proofErr w:type="spellEnd"/>
      <w:r w:rsidR="00665678">
        <w:t xml:space="preserve"> </w:t>
      </w:r>
      <w:proofErr w:type="spellStart"/>
      <w:r w:rsidR="00665678">
        <w:t>Maliennes</w:t>
      </w:r>
      <w:proofErr w:type="spellEnd"/>
      <w:r w:rsidRPr="00517C23">
        <w:t>) byly pozastaveny, počet vojáků EUTM M se zreduk</w:t>
      </w:r>
      <w:r w:rsidR="003D1B0F">
        <w:t>oval přibližně na polovinu (cca </w:t>
      </w:r>
      <w:r w:rsidRPr="00517C23">
        <w:t xml:space="preserve">350 os.) a v prostoru zůstal pouze klíčový personál, zásadní pro vlastní udržitelnost mise. </w:t>
      </w:r>
    </w:p>
    <w:p w:rsidR="00860D65" w:rsidRDefault="00860D65" w:rsidP="00860D65">
      <w:pPr>
        <w:spacing w:before="120" w:line="276" w:lineRule="auto"/>
        <w:ind w:firstLine="709"/>
        <w:jc w:val="both"/>
      </w:pPr>
      <w:r>
        <w:lastRenderedPageBreak/>
        <w:t xml:space="preserve">Z </w:t>
      </w:r>
      <w:r w:rsidR="00656419">
        <w:t>uvedeného</w:t>
      </w:r>
      <w:r>
        <w:t xml:space="preserve"> důvodu bylo primárním úkolem českého velení připravit plány na opětovné obnovení plných kapacit mise při současném plánování </w:t>
      </w:r>
      <w:r w:rsidR="006C4780">
        <w:t>implementace</w:t>
      </w:r>
      <w:r w:rsidR="002452E1">
        <w:t xml:space="preserve"> 5. mandátu mise (v </w:t>
      </w:r>
      <w:r>
        <w:t>platnosti od května 2020). Po dokončení plánovacího procesu a zmírnění šíření onemocnění COVID</w:t>
      </w:r>
      <w:r w:rsidR="00161C53">
        <w:t>-</w:t>
      </w:r>
      <w:r>
        <w:t xml:space="preserve">19 v Mali byla mise připravena k </w:t>
      </w:r>
      <w:r w:rsidR="006C4780">
        <w:t>naplňování</w:t>
      </w:r>
      <w:r>
        <w:t xml:space="preserve"> zpracovaných plánů. </w:t>
      </w:r>
    </w:p>
    <w:p w:rsidR="00860D65" w:rsidRPr="00517C23" w:rsidRDefault="00860D65" w:rsidP="00860D65">
      <w:pPr>
        <w:spacing w:before="120" w:line="276" w:lineRule="auto"/>
        <w:ind w:firstLine="709"/>
        <w:jc w:val="both"/>
      </w:pPr>
      <w:r>
        <w:t xml:space="preserve">V srpnu 2020 došlo </w:t>
      </w:r>
      <w:r w:rsidR="00656419">
        <w:t xml:space="preserve">v Mali k vojenskému </w:t>
      </w:r>
      <w:r>
        <w:t xml:space="preserve">převratu, což zmařilo </w:t>
      </w:r>
      <w:r w:rsidR="006C4780">
        <w:t>původní plány, které byly p</w:t>
      </w:r>
      <w:r>
        <w:t xml:space="preserve">o </w:t>
      </w:r>
      <w:r w:rsidR="00656419">
        <w:t>zklidnění</w:t>
      </w:r>
      <w:r>
        <w:t xml:space="preserve"> </w:t>
      </w:r>
      <w:r w:rsidR="00656419">
        <w:t xml:space="preserve">vnitropolitické </w:t>
      </w:r>
      <w:r>
        <w:t>situace přep</w:t>
      </w:r>
      <w:r w:rsidR="002452E1">
        <w:t>racovány na nové podmínky</w:t>
      </w:r>
      <w:r>
        <w:t xml:space="preserve">. V urychleném režimu </w:t>
      </w:r>
      <w:r w:rsidR="006C4780">
        <w:t>došlo k obnovení dostupných</w:t>
      </w:r>
      <w:r>
        <w:t xml:space="preserve"> poradní</w:t>
      </w:r>
      <w:r w:rsidR="006C4780">
        <w:t>ch a výcvikových kapacit</w:t>
      </w:r>
      <w:r>
        <w:t xml:space="preserve"> mise </w:t>
      </w:r>
      <w:r w:rsidR="006C4780">
        <w:t xml:space="preserve">a </w:t>
      </w:r>
      <w:r w:rsidR="00656419">
        <w:t>zahájení výcvikových</w:t>
      </w:r>
      <w:r>
        <w:t xml:space="preserve"> a vzdělávací</w:t>
      </w:r>
      <w:r w:rsidR="00656419">
        <w:t>ch</w:t>
      </w:r>
      <w:r>
        <w:t xml:space="preserve"> aktivit. Těžištěm výcviku </w:t>
      </w:r>
      <w:r w:rsidR="006C4780">
        <w:t>se staly</w:t>
      </w:r>
      <w:r>
        <w:t xml:space="preserve"> nově zformované mali</w:t>
      </w:r>
      <w:r w:rsidR="002452E1">
        <w:t>j</w:t>
      </w:r>
      <w:r>
        <w:t>ské pěší roty</w:t>
      </w:r>
      <w:r w:rsidR="00656419">
        <w:t xml:space="preserve"> </w:t>
      </w:r>
      <w:r w:rsidR="002452E1">
        <w:t>určené</w:t>
      </w:r>
      <w:r>
        <w:t xml:space="preserve"> k operačnímu nasazení ve střední a severní části Mali. V souladu s 5. mandátem mise zabezpečilo české velení přesun poradních a výcvikových týmů do střední a severní části </w:t>
      </w:r>
      <w:r w:rsidR="002452E1">
        <w:t>země</w:t>
      </w:r>
      <w:r>
        <w:t xml:space="preserve">, konkrétně do </w:t>
      </w:r>
      <w:proofErr w:type="spellStart"/>
      <w:r>
        <w:t>Ménaka</w:t>
      </w:r>
      <w:proofErr w:type="spellEnd"/>
      <w:r>
        <w:t xml:space="preserve">, </w:t>
      </w:r>
      <w:proofErr w:type="spellStart"/>
      <w:r>
        <w:t>Gao</w:t>
      </w:r>
      <w:proofErr w:type="spellEnd"/>
      <w:r>
        <w:t xml:space="preserve">, </w:t>
      </w:r>
      <w:proofErr w:type="spellStart"/>
      <w:r>
        <w:t>Sévaré</w:t>
      </w:r>
      <w:proofErr w:type="spellEnd"/>
      <w:r>
        <w:t xml:space="preserve"> a </w:t>
      </w:r>
      <w:proofErr w:type="spellStart"/>
      <w:r>
        <w:t>Banankoro</w:t>
      </w:r>
      <w:proofErr w:type="spellEnd"/>
      <w:r>
        <w:t xml:space="preserve">. </w:t>
      </w:r>
      <w:r w:rsidR="006C4780">
        <w:t>České velení mise</w:t>
      </w:r>
      <w:r>
        <w:t xml:space="preserve"> zpracov</w:t>
      </w:r>
      <w:r w:rsidR="006C4780">
        <w:t>alo plány k </w:t>
      </w:r>
      <w:r>
        <w:t xml:space="preserve">zabezpečení poradních a výcvikových aktivit ve prospěch </w:t>
      </w:r>
      <w:r w:rsidR="006C4780">
        <w:t>Burkiny Faso a Nigeru</w:t>
      </w:r>
      <w:r w:rsidR="00E5090E">
        <w:t xml:space="preserve"> a </w:t>
      </w:r>
      <w:r>
        <w:t xml:space="preserve">vypracovalo koncept </w:t>
      </w:r>
      <w:r w:rsidR="00E5090E">
        <w:t>„</w:t>
      </w:r>
      <w:proofErr w:type="spellStart"/>
      <w:r>
        <w:t>nasaditelných</w:t>
      </w:r>
      <w:proofErr w:type="spellEnd"/>
      <w:r w:rsidR="00E5090E">
        <w:t>“</w:t>
      </w:r>
      <w:r>
        <w:t xml:space="preserve"> základen pro </w:t>
      </w:r>
      <w:r w:rsidR="00CE0B5A">
        <w:t xml:space="preserve">výcvik vojenských jednotek </w:t>
      </w:r>
      <w:r>
        <w:t xml:space="preserve">ve státech </w:t>
      </w:r>
      <w:r w:rsidR="00CA3439">
        <w:t>G </w:t>
      </w:r>
      <w:r w:rsidR="00CE0B5A">
        <w:t>5 Sahel</w:t>
      </w:r>
      <w:r>
        <w:t xml:space="preserve">. </w:t>
      </w:r>
    </w:p>
    <w:p w:rsidR="00517C23" w:rsidRPr="00517C23" w:rsidRDefault="00517C23" w:rsidP="00F94D61">
      <w:pPr>
        <w:spacing w:before="120" w:line="276" w:lineRule="auto"/>
        <w:ind w:firstLine="709"/>
        <w:jc w:val="both"/>
      </w:pPr>
      <w:r w:rsidRPr="00517C23">
        <w:t xml:space="preserve">Podařilo se navázat úzkou spolupráci s francouzskou operací </w:t>
      </w:r>
      <w:proofErr w:type="spellStart"/>
      <w:r w:rsidR="004639E0">
        <w:t>Barkhane</w:t>
      </w:r>
      <w:proofErr w:type="spellEnd"/>
      <w:r w:rsidRPr="00517C23">
        <w:t xml:space="preserve"> </w:t>
      </w:r>
      <w:r w:rsidR="00E5090E">
        <w:t>zaměřenou na výcvik</w:t>
      </w:r>
      <w:r w:rsidRPr="00517C23">
        <w:t xml:space="preserve"> </w:t>
      </w:r>
      <w:proofErr w:type="spellStart"/>
      <w:r w:rsidRPr="00517C23">
        <w:t>FAMa</w:t>
      </w:r>
      <w:proofErr w:type="spellEnd"/>
      <w:r w:rsidRPr="00517C23">
        <w:t xml:space="preserve">. Všechny vojenské síly v zemi (MINUSMA, </w:t>
      </w:r>
      <w:proofErr w:type="spellStart"/>
      <w:r w:rsidR="004639E0">
        <w:t>Barkhane</w:t>
      </w:r>
      <w:proofErr w:type="spellEnd"/>
      <w:r w:rsidR="00FD01B2">
        <w:t>, malijské OS, G </w:t>
      </w:r>
      <w:r w:rsidRPr="00517C23">
        <w:t xml:space="preserve">5 Joint </w:t>
      </w:r>
      <w:proofErr w:type="spellStart"/>
      <w:r w:rsidRPr="00517C23">
        <w:t>Force</w:t>
      </w:r>
      <w:proofErr w:type="spellEnd"/>
      <w:r w:rsidRPr="00517C23">
        <w:t xml:space="preserve"> a EUTM M) se dohodly na úzké spolupráci při přípravách společných projektů. Poměrně rychle se podařilo připravit výcvik nových jednotek (rot) </w:t>
      </w:r>
      <w:proofErr w:type="spellStart"/>
      <w:r w:rsidRPr="00517C23">
        <w:t>FAMa</w:t>
      </w:r>
      <w:proofErr w:type="spellEnd"/>
      <w:r w:rsidRPr="00517C23">
        <w:t xml:space="preserve">, </w:t>
      </w:r>
      <w:r w:rsidR="00FD01B2">
        <w:t>a to jak</w:t>
      </w:r>
      <w:r w:rsidRPr="00517C23">
        <w:t xml:space="preserve"> ve výcvikovém středisku v </w:t>
      </w:r>
      <w:proofErr w:type="spellStart"/>
      <w:r w:rsidRPr="00517C23">
        <w:t>Koulikoro</w:t>
      </w:r>
      <w:proofErr w:type="spellEnd"/>
      <w:r w:rsidRPr="00517C23">
        <w:t xml:space="preserve">, tak i na jejich mateřských vojenských základnách. </w:t>
      </w:r>
      <w:r w:rsidR="00F94D61">
        <w:t xml:space="preserve">Českému velení </w:t>
      </w:r>
      <w:r w:rsidRPr="00517C23">
        <w:t xml:space="preserve">se podařilo </w:t>
      </w:r>
      <w:r w:rsidR="00A37626">
        <w:t>vytvořit společnou pracovní</w:t>
      </w:r>
      <w:r w:rsidRPr="00517C23">
        <w:t xml:space="preserve"> buňk</w:t>
      </w:r>
      <w:r w:rsidR="00A37626">
        <w:t>u</w:t>
      </w:r>
      <w:r w:rsidRPr="00517C23">
        <w:t xml:space="preserve"> na Generálním štábu </w:t>
      </w:r>
      <w:proofErr w:type="spellStart"/>
      <w:r w:rsidRPr="00517C23">
        <w:t>FAMa</w:t>
      </w:r>
      <w:proofErr w:type="spellEnd"/>
      <w:r w:rsidRPr="00517C23">
        <w:t xml:space="preserve">, což je první přímá integrace evropských poradců do struktury generálního štábu. </w:t>
      </w:r>
    </w:p>
    <w:p w:rsidR="00590A6F" w:rsidRPr="00EC01EC" w:rsidRDefault="00590A6F" w:rsidP="00590A6F">
      <w:pPr>
        <w:spacing w:before="240" w:line="276" w:lineRule="auto"/>
        <w:ind w:firstLine="709"/>
        <w:jc w:val="both"/>
        <w:rPr>
          <w:b/>
        </w:rPr>
      </w:pPr>
      <w:r w:rsidRPr="00EF4476">
        <w:rPr>
          <w:b/>
        </w:rPr>
        <w:t>Projekty rychlého dopadu</w:t>
      </w:r>
      <w:r w:rsidRPr="000846C2">
        <w:rPr>
          <w:b/>
        </w:rPr>
        <w:t xml:space="preserve"> </w:t>
      </w:r>
    </w:p>
    <w:p w:rsidR="00590A6F" w:rsidRPr="00BC56A3" w:rsidRDefault="00590A6F" w:rsidP="00590A6F">
      <w:pPr>
        <w:spacing w:before="120" w:line="276" w:lineRule="auto"/>
        <w:ind w:firstLine="708"/>
        <w:jc w:val="both"/>
        <w:rPr>
          <w:snapToGrid w:val="0"/>
        </w:rPr>
      </w:pPr>
      <w:r>
        <w:rPr>
          <w:snapToGrid w:val="0"/>
        </w:rPr>
        <w:t>Stejně jako v předchozích letech měl rezort MO vládou schválenou možnost poskytnutí finančních prostředků ve výši do 4 mil. Kč na tzv. projekty rychlého dopadu</w:t>
      </w:r>
      <w:r w:rsidRPr="00BC56A3">
        <w:rPr>
          <w:snapToGrid w:val="0"/>
        </w:rPr>
        <w:t xml:space="preserve"> (QIP</w:t>
      </w:r>
      <w:r w:rsidR="004639E0">
        <w:rPr>
          <w:snapToGrid w:val="0"/>
        </w:rPr>
        <w:t>/</w:t>
      </w:r>
      <w:proofErr w:type="spellStart"/>
      <w:r w:rsidR="004639E0">
        <w:rPr>
          <w:snapToGrid w:val="0"/>
        </w:rPr>
        <w:t>Quick</w:t>
      </w:r>
      <w:proofErr w:type="spellEnd"/>
      <w:r w:rsidR="004639E0">
        <w:rPr>
          <w:snapToGrid w:val="0"/>
        </w:rPr>
        <w:t xml:space="preserve"> </w:t>
      </w:r>
      <w:proofErr w:type="spellStart"/>
      <w:r w:rsidR="004639E0">
        <w:rPr>
          <w:snapToGrid w:val="0"/>
        </w:rPr>
        <w:t>Impact</w:t>
      </w:r>
      <w:proofErr w:type="spellEnd"/>
      <w:r w:rsidR="004639E0">
        <w:rPr>
          <w:snapToGrid w:val="0"/>
        </w:rPr>
        <w:t xml:space="preserve"> </w:t>
      </w:r>
      <w:proofErr w:type="spellStart"/>
      <w:r w:rsidR="004639E0">
        <w:rPr>
          <w:snapToGrid w:val="0"/>
        </w:rPr>
        <w:t>Projects</w:t>
      </w:r>
      <w:proofErr w:type="spellEnd"/>
      <w:r w:rsidRPr="00BC56A3">
        <w:rPr>
          <w:snapToGrid w:val="0"/>
        </w:rPr>
        <w:t>)</w:t>
      </w:r>
      <w:r>
        <w:rPr>
          <w:snapToGrid w:val="0"/>
        </w:rPr>
        <w:t>.</w:t>
      </w:r>
      <w:r w:rsidRPr="00BC56A3">
        <w:rPr>
          <w:snapToGrid w:val="0"/>
        </w:rPr>
        <w:t xml:space="preserve"> </w:t>
      </w:r>
      <w:r>
        <w:rPr>
          <w:snapToGrid w:val="0"/>
        </w:rPr>
        <w:t>Projekty rychlého dopadu</w:t>
      </w:r>
      <w:r w:rsidRPr="00BC56A3">
        <w:rPr>
          <w:snapToGrid w:val="0"/>
        </w:rPr>
        <w:t xml:space="preserve"> se vyznačují jak aspektem rekonstrukčním a stabilizačním, t</w:t>
      </w:r>
      <w:r>
        <w:rPr>
          <w:snapToGrid w:val="0"/>
        </w:rPr>
        <w:t>ak podpůrným ve prospěch českých jednotek v misi.</w:t>
      </w:r>
    </w:p>
    <w:p w:rsidR="00590A6F" w:rsidRPr="00BC56A3" w:rsidRDefault="00590A6F" w:rsidP="00590A6F">
      <w:pPr>
        <w:spacing w:before="120" w:line="276" w:lineRule="auto"/>
        <w:ind w:firstLine="708"/>
        <w:jc w:val="both"/>
        <w:rPr>
          <w:snapToGrid w:val="0"/>
        </w:rPr>
      </w:pPr>
      <w:r>
        <w:rPr>
          <w:snapToGrid w:val="0"/>
        </w:rPr>
        <w:t>Na rozdíl od předchozích let, kdy se QIP realizovaly zásadně v misích v</w:t>
      </w:r>
      <w:r w:rsidR="0003025D">
        <w:rPr>
          <w:snapToGrid w:val="0"/>
        </w:rPr>
        <w:t> </w:t>
      </w:r>
      <w:r>
        <w:rPr>
          <w:snapToGrid w:val="0"/>
        </w:rPr>
        <w:t>Afghánistánu</w:t>
      </w:r>
      <w:r w:rsidR="0003025D">
        <w:rPr>
          <w:snapToGrid w:val="0"/>
        </w:rPr>
        <w:t xml:space="preserve"> (</w:t>
      </w:r>
      <w:r w:rsidR="00720679">
        <w:rPr>
          <w:snapToGrid w:val="0"/>
        </w:rPr>
        <w:t>ISAF</w:t>
      </w:r>
      <w:r w:rsidR="0003025D">
        <w:rPr>
          <w:snapToGrid w:val="0"/>
        </w:rPr>
        <w:t xml:space="preserve"> a RSM)</w:t>
      </w:r>
      <w:r>
        <w:rPr>
          <w:snapToGrid w:val="0"/>
        </w:rPr>
        <w:t xml:space="preserve">, v roce 2020 byly využity </w:t>
      </w:r>
      <w:r w:rsidR="00F94D61">
        <w:rPr>
          <w:snapToGrid w:val="0"/>
        </w:rPr>
        <w:t xml:space="preserve">pouze </w:t>
      </w:r>
      <w:r>
        <w:rPr>
          <w:snapToGrid w:val="0"/>
        </w:rPr>
        <w:t>v</w:t>
      </w:r>
      <w:r w:rsidR="0003025D">
        <w:rPr>
          <w:snapToGrid w:val="0"/>
        </w:rPr>
        <w:t> </w:t>
      </w:r>
      <w:r>
        <w:rPr>
          <w:snapToGrid w:val="0"/>
        </w:rPr>
        <w:t>Mali</w:t>
      </w:r>
      <w:r w:rsidR="0003025D">
        <w:rPr>
          <w:snapToGrid w:val="0"/>
        </w:rPr>
        <w:t>. V</w:t>
      </w:r>
      <w:r w:rsidRPr="00BC56A3">
        <w:rPr>
          <w:snapToGrid w:val="0"/>
        </w:rPr>
        <w:t xml:space="preserve"> ostatních operacích s účastí ČR se </w:t>
      </w:r>
      <w:r w:rsidR="0003025D">
        <w:rPr>
          <w:snapToGrid w:val="0"/>
        </w:rPr>
        <w:t>nenašel prostor pro jejich využití</w:t>
      </w:r>
      <w:r w:rsidRPr="00BC56A3">
        <w:rPr>
          <w:snapToGrid w:val="0"/>
        </w:rPr>
        <w:t>.</w:t>
      </w:r>
    </w:p>
    <w:p w:rsidR="00590A6F" w:rsidRPr="00BC56A3" w:rsidRDefault="00590A6F" w:rsidP="00184D11">
      <w:pPr>
        <w:spacing w:before="120" w:line="276" w:lineRule="auto"/>
        <w:ind w:firstLine="709"/>
        <w:jc w:val="both"/>
        <w:rPr>
          <w:snapToGrid w:val="0"/>
        </w:rPr>
      </w:pPr>
      <w:r>
        <w:rPr>
          <w:snapToGrid w:val="0"/>
        </w:rPr>
        <w:t>Implementaci</w:t>
      </w:r>
      <w:r w:rsidRPr="00BC56A3">
        <w:rPr>
          <w:snapToGrid w:val="0"/>
        </w:rPr>
        <w:t xml:space="preserve"> projektů zaměřených na podporu infrastruktury a </w:t>
      </w:r>
      <w:proofErr w:type="spellStart"/>
      <w:r w:rsidR="00F94D61">
        <w:rPr>
          <w:snapToGrid w:val="0"/>
        </w:rPr>
        <w:t>FAMa</w:t>
      </w:r>
      <w:proofErr w:type="spellEnd"/>
      <w:r>
        <w:rPr>
          <w:snapToGrid w:val="0"/>
        </w:rPr>
        <w:t xml:space="preserve"> zajišťovali pracovníci</w:t>
      </w:r>
      <w:r w:rsidRPr="00BC56A3">
        <w:rPr>
          <w:snapToGrid w:val="0"/>
        </w:rPr>
        <w:t xml:space="preserve"> CIMIC </w:t>
      </w:r>
      <w:r w:rsidR="006F5CFD">
        <w:rPr>
          <w:snapToGrid w:val="0"/>
        </w:rPr>
        <w:t>(Civil-</w:t>
      </w:r>
      <w:proofErr w:type="spellStart"/>
      <w:r w:rsidR="006F5CFD">
        <w:rPr>
          <w:snapToGrid w:val="0"/>
        </w:rPr>
        <w:t>military</w:t>
      </w:r>
      <w:proofErr w:type="spellEnd"/>
      <w:r w:rsidR="006F5CFD">
        <w:rPr>
          <w:snapToGrid w:val="0"/>
        </w:rPr>
        <w:t xml:space="preserve"> </w:t>
      </w:r>
      <w:proofErr w:type="spellStart"/>
      <w:r w:rsidR="006F5CFD">
        <w:rPr>
          <w:snapToGrid w:val="0"/>
        </w:rPr>
        <w:t>cooperation</w:t>
      </w:r>
      <w:proofErr w:type="spellEnd"/>
      <w:r w:rsidR="006F5CFD">
        <w:rPr>
          <w:snapToGrid w:val="0"/>
        </w:rPr>
        <w:t xml:space="preserve">) </w:t>
      </w:r>
      <w:r w:rsidR="00F94D61">
        <w:rPr>
          <w:snapToGrid w:val="0"/>
        </w:rPr>
        <w:t xml:space="preserve">ve výcvikovém středisku </w:t>
      </w:r>
      <w:proofErr w:type="spellStart"/>
      <w:r w:rsidR="00F94D61">
        <w:rPr>
          <w:snapToGrid w:val="0"/>
        </w:rPr>
        <w:t>Koulikoro</w:t>
      </w:r>
      <w:proofErr w:type="spellEnd"/>
      <w:r w:rsidR="0003025D">
        <w:rPr>
          <w:snapToGrid w:val="0"/>
        </w:rPr>
        <w:t xml:space="preserve"> a</w:t>
      </w:r>
      <w:r w:rsidR="008F3E50">
        <w:rPr>
          <w:snapToGrid w:val="0"/>
        </w:rPr>
        <w:t> </w:t>
      </w:r>
      <w:r w:rsidR="0060317F">
        <w:rPr>
          <w:snapToGrid w:val="0"/>
        </w:rPr>
        <w:t xml:space="preserve">v posádkách </w:t>
      </w:r>
      <w:proofErr w:type="spellStart"/>
      <w:r w:rsidR="00184D11" w:rsidRPr="00184D11">
        <w:rPr>
          <w:snapToGrid w:val="0"/>
        </w:rPr>
        <w:t>Tanabougou</w:t>
      </w:r>
      <w:proofErr w:type="spellEnd"/>
      <w:r w:rsidR="00184D11">
        <w:rPr>
          <w:snapToGrid w:val="0"/>
        </w:rPr>
        <w:t xml:space="preserve"> </w:t>
      </w:r>
      <w:r w:rsidR="0060317F">
        <w:rPr>
          <w:snapToGrid w:val="0"/>
        </w:rPr>
        <w:t>a</w:t>
      </w:r>
      <w:r w:rsidR="00F94D61">
        <w:rPr>
          <w:snapToGrid w:val="0"/>
        </w:rPr>
        <w:t> </w:t>
      </w:r>
      <w:proofErr w:type="spellStart"/>
      <w:r w:rsidR="00F94D61">
        <w:rPr>
          <w:snapToGrid w:val="0"/>
        </w:rPr>
        <w:t>Sévaré</w:t>
      </w:r>
      <w:proofErr w:type="spellEnd"/>
      <w:r w:rsidRPr="005F49B6">
        <w:rPr>
          <w:snapToGrid w:val="0"/>
        </w:rPr>
        <w:t>.</w:t>
      </w:r>
      <w:r w:rsidRPr="00BC56A3">
        <w:rPr>
          <w:snapToGrid w:val="0"/>
        </w:rPr>
        <w:t xml:space="preserve"> </w:t>
      </w:r>
    </w:p>
    <w:p w:rsidR="00184D11" w:rsidRPr="00184D11" w:rsidRDefault="00590A6F" w:rsidP="00184D11">
      <w:pPr>
        <w:spacing w:before="120" w:line="276" w:lineRule="auto"/>
        <w:ind w:firstLine="708"/>
        <w:jc w:val="both"/>
        <w:rPr>
          <w:snapToGrid w:val="0"/>
        </w:rPr>
      </w:pPr>
      <w:r>
        <w:rPr>
          <w:snapToGrid w:val="0"/>
        </w:rPr>
        <w:t xml:space="preserve">V roce </w:t>
      </w:r>
      <w:r w:rsidR="00F94D61">
        <w:rPr>
          <w:snapToGrid w:val="0"/>
        </w:rPr>
        <w:t>2020</w:t>
      </w:r>
      <w:r>
        <w:rPr>
          <w:snapToGrid w:val="0"/>
        </w:rPr>
        <w:t xml:space="preserve"> bylo</w:t>
      </w:r>
      <w:r w:rsidRPr="00BC56A3">
        <w:rPr>
          <w:snapToGrid w:val="0"/>
        </w:rPr>
        <w:t xml:space="preserve"> realizován</w:t>
      </w:r>
      <w:r>
        <w:rPr>
          <w:snapToGrid w:val="0"/>
        </w:rPr>
        <w:t xml:space="preserve">o </w:t>
      </w:r>
      <w:r w:rsidR="00184D11">
        <w:rPr>
          <w:snapToGrid w:val="0"/>
        </w:rPr>
        <w:t>9</w:t>
      </w:r>
      <w:r w:rsidRPr="00BC56A3">
        <w:rPr>
          <w:snapToGrid w:val="0"/>
        </w:rPr>
        <w:t xml:space="preserve"> projekt</w:t>
      </w:r>
      <w:r>
        <w:rPr>
          <w:snapToGrid w:val="0"/>
        </w:rPr>
        <w:t>ů</w:t>
      </w:r>
      <w:r w:rsidRPr="00BC56A3">
        <w:rPr>
          <w:snapToGrid w:val="0"/>
        </w:rPr>
        <w:t xml:space="preserve"> v celkové výši </w:t>
      </w:r>
      <w:r>
        <w:rPr>
          <w:snapToGrid w:val="0"/>
        </w:rPr>
        <w:t xml:space="preserve">cca </w:t>
      </w:r>
      <w:r w:rsidR="00A953A1">
        <w:rPr>
          <w:snapToGrid w:val="0"/>
        </w:rPr>
        <w:t>1 282</w:t>
      </w:r>
      <w:r>
        <w:rPr>
          <w:snapToGrid w:val="0"/>
        </w:rPr>
        <w:t> 000</w:t>
      </w:r>
      <w:r w:rsidRPr="00BC56A3">
        <w:rPr>
          <w:snapToGrid w:val="0"/>
        </w:rPr>
        <w:t xml:space="preserve"> Kč. Jednalo se </w:t>
      </w:r>
      <w:r w:rsidR="00184D11">
        <w:rPr>
          <w:snapToGrid w:val="0"/>
        </w:rPr>
        <w:t>například o s</w:t>
      </w:r>
      <w:r w:rsidR="00184D11" w:rsidRPr="00184D11">
        <w:rPr>
          <w:snapToGrid w:val="0"/>
        </w:rPr>
        <w:t>tavební úpravy prostoru střelnice a opra</w:t>
      </w:r>
      <w:r w:rsidR="00184D11">
        <w:rPr>
          <w:snapToGrid w:val="0"/>
        </w:rPr>
        <w:t>vu</w:t>
      </w:r>
      <w:r w:rsidR="00184D11" w:rsidRPr="00184D11">
        <w:rPr>
          <w:snapToGrid w:val="0"/>
        </w:rPr>
        <w:t xml:space="preserve"> vodního vrtu v </w:t>
      </w:r>
      <w:proofErr w:type="spellStart"/>
      <w:r w:rsidR="00184D11" w:rsidRPr="00184D11">
        <w:rPr>
          <w:snapToGrid w:val="0"/>
        </w:rPr>
        <w:t>Tanabougou</w:t>
      </w:r>
      <w:proofErr w:type="spellEnd"/>
      <w:r w:rsidR="00184D11" w:rsidRPr="00184D11">
        <w:rPr>
          <w:snapToGrid w:val="0"/>
        </w:rPr>
        <w:t>, stavební úpravy vnitřních prostor</w:t>
      </w:r>
      <w:r w:rsidR="000E1042">
        <w:rPr>
          <w:snapToGrid w:val="0"/>
        </w:rPr>
        <w:t>ů</w:t>
      </w:r>
      <w:r w:rsidR="00184D11" w:rsidRPr="00184D11">
        <w:rPr>
          <w:snapToGrid w:val="0"/>
        </w:rPr>
        <w:t xml:space="preserve"> nemocničního zařízení (Role 1) a nákup nemocničních lůžek </w:t>
      </w:r>
      <w:r w:rsidR="000E1042">
        <w:rPr>
          <w:snapToGrid w:val="0"/>
        </w:rPr>
        <w:t>ve výcvikovém středisku</w:t>
      </w:r>
      <w:r w:rsidR="00184D11" w:rsidRPr="00184D11">
        <w:rPr>
          <w:snapToGrid w:val="0"/>
        </w:rPr>
        <w:t xml:space="preserve"> v </w:t>
      </w:r>
      <w:proofErr w:type="spellStart"/>
      <w:r w:rsidR="00184D11" w:rsidRPr="00184D11">
        <w:rPr>
          <w:snapToGrid w:val="0"/>
        </w:rPr>
        <w:t>Koulikoro</w:t>
      </w:r>
      <w:proofErr w:type="spellEnd"/>
      <w:r w:rsidR="00184D11" w:rsidRPr="00184D11">
        <w:rPr>
          <w:snapToGrid w:val="0"/>
        </w:rPr>
        <w:t xml:space="preserve">, stavební úpravy v mateřské </w:t>
      </w:r>
      <w:r w:rsidR="000E1042">
        <w:rPr>
          <w:snapToGrid w:val="0"/>
        </w:rPr>
        <w:t>školce v </w:t>
      </w:r>
      <w:proofErr w:type="spellStart"/>
      <w:r w:rsidR="000E1042">
        <w:rPr>
          <w:snapToGrid w:val="0"/>
        </w:rPr>
        <w:t>Koulikoro</w:t>
      </w:r>
      <w:proofErr w:type="spellEnd"/>
      <w:r w:rsidR="000E1042">
        <w:rPr>
          <w:snapToGrid w:val="0"/>
        </w:rPr>
        <w:t xml:space="preserve"> a </w:t>
      </w:r>
      <w:r w:rsidR="00184D11" w:rsidRPr="00184D11">
        <w:rPr>
          <w:snapToGrid w:val="0"/>
        </w:rPr>
        <w:t>výstavba překážkové dráhy v</w:t>
      </w:r>
      <w:r w:rsidR="00CA3439">
        <w:rPr>
          <w:snapToGrid w:val="0"/>
        </w:rPr>
        <w:t> </w:t>
      </w:r>
      <w:proofErr w:type="spellStart"/>
      <w:r w:rsidR="00184D11" w:rsidRPr="00184D11">
        <w:rPr>
          <w:snapToGrid w:val="0"/>
        </w:rPr>
        <w:t>Sévaré</w:t>
      </w:r>
      <w:proofErr w:type="spellEnd"/>
      <w:r w:rsidR="00CA3439">
        <w:rPr>
          <w:snapToGrid w:val="0"/>
        </w:rPr>
        <w:t>.</w:t>
      </w:r>
    </w:p>
    <w:p w:rsidR="005C032D" w:rsidRPr="00EF4476" w:rsidRDefault="005C032D" w:rsidP="00192DFC">
      <w:pPr>
        <w:keepNext/>
        <w:numPr>
          <w:ilvl w:val="1"/>
          <w:numId w:val="3"/>
        </w:numPr>
        <w:spacing w:before="240" w:line="276" w:lineRule="auto"/>
        <w:jc w:val="both"/>
        <w:outlineLvl w:val="0"/>
        <w:rPr>
          <w:b/>
          <w:bCs/>
        </w:rPr>
      </w:pPr>
      <w:r w:rsidRPr="00EF4476">
        <w:rPr>
          <w:b/>
          <w:bCs/>
        </w:rPr>
        <w:t>Působení sil a prostředků rezortu MO v misi OSN MINUSMA</w:t>
      </w:r>
    </w:p>
    <w:p w:rsidR="005C032D" w:rsidRPr="00831B4A" w:rsidRDefault="005C032D" w:rsidP="00F95A45">
      <w:pPr>
        <w:spacing w:before="120" w:line="276" w:lineRule="auto"/>
        <w:ind w:firstLine="709"/>
        <w:jc w:val="both"/>
      </w:pPr>
      <w:r w:rsidRPr="00831B4A">
        <w:t xml:space="preserve">Mandát pro působení sil a prostředků </w:t>
      </w:r>
      <w:r w:rsidR="00114290">
        <w:t xml:space="preserve">rezortu </w:t>
      </w:r>
      <w:r w:rsidRPr="00831B4A">
        <w:t xml:space="preserve">MO </w:t>
      </w:r>
      <w:r w:rsidR="00114290">
        <w:t xml:space="preserve">v </w:t>
      </w:r>
      <w:r w:rsidRPr="00831B4A">
        <w:t xml:space="preserve">misi </w:t>
      </w:r>
      <w:r>
        <w:t>OSN MINUSMA</w:t>
      </w:r>
      <w:r w:rsidR="000D4818">
        <w:t xml:space="preserve"> (United </w:t>
      </w:r>
      <w:proofErr w:type="spellStart"/>
      <w:r w:rsidR="000D4818">
        <w:t>Nations</w:t>
      </w:r>
      <w:proofErr w:type="spellEnd"/>
      <w:r w:rsidR="000D4818">
        <w:t xml:space="preserve"> </w:t>
      </w:r>
      <w:proofErr w:type="spellStart"/>
      <w:r w:rsidR="000D4818">
        <w:t>Multidimensional</w:t>
      </w:r>
      <w:proofErr w:type="spellEnd"/>
      <w:r w:rsidR="000D4818">
        <w:t xml:space="preserve"> </w:t>
      </w:r>
      <w:proofErr w:type="spellStart"/>
      <w:r w:rsidR="000D4818">
        <w:t>Integrated</w:t>
      </w:r>
      <w:proofErr w:type="spellEnd"/>
      <w:r w:rsidR="000D4818">
        <w:t xml:space="preserve"> </w:t>
      </w:r>
      <w:proofErr w:type="spellStart"/>
      <w:r w:rsidR="000D4818">
        <w:t>Stabilization</w:t>
      </w:r>
      <w:proofErr w:type="spellEnd"/>
      <w:r w:rsidR="000D4818">
        <w:t xml:space="preserve"> </w:t>
      </w:r>
      <w:proofErr w:type="spellStart"/>
      <w:r w:rsidR="000D4818">
        <w:t>Mission</w:t>
      </w:r>
      <w:proofErr w:type="spellEnd"/>
      <w:r w:rsidR="000D4818">
        <w:t xml:space="preserve"> in Mali)</w:t>
      </w:r>
      <w:r>
        <w:t xml:space="preserve"> </w:t>
      </w:r>
      <w:r w:rsidR="00D436A6">
        <w:t xml:space="preserve">v roce </w:t>
      </w:r>
      <w:r w:rsidR="00184D11">
        <w:t>2020</w:t>
      </w:r>
      <w:r w:rsidR="00D436A6">
        <w:t xml:space="preserve"> </w:t>
      </w:r>
      <w:r w:rsidRPr="00831B4A">
        <w:t xml:space="preserve">byl stanoven do </w:t>
      </w:r>
      <w:r w:rsidR="00E51C53">
        <w:t>30</w:t>
      </w:r>
      <w:r w:rsidRPr="00831B4A">
        <w:t xml:space="preserve"> osob</w:t>
      </w:r>
      <w:r w:rsidR="00F6384A">
        <w:t>.</w:t>
      </w:r>
      <w:r>
        <w:t xml:space="preserve"> </w:t>
      </w:r>
    </w:p>
    <w:p w:rsidR="008B0AA0" w:rsidRDefault="00B0587C" w:rsidP="00D07E6A">
      <w:pPr>
        <w:spacing w:before="120" w:line="276" w:lineRule="auto"/>
        <w:ind w:firstLine="709"/>
        <w:jc w:val="both"/>
      </w:pPr>
      <w:r>
        <w:lastRenderedPageBreak/>
        <w:t xml:space="preserve">Po </w:t>
      </w:r>
      <w:r w:rsidR="0060317F">
        <w:t>celý rok</w:t>
      </w:r>
      <w:r>
        <w:t xml:space="preserve"> působili 3 vojáci na velitelstvích mise</w:t>
      </w:r>
      <w:r w:rsidR="00D07E6A" w:rsidRPr="00D07E6A">
        <w:t xml:space="preserve"> </w:t>
      </w:r>
      <w:r w:rsidR="00D07E6A">
        <w:t xml:space="preserve">a plnili úkoly v rámci plánovacích procesů a administrativní </w:t>
      </w:r>
      <w:r w:rsidR="00A13597">
        <w:t xml:space="preserve">podpory </w:t>
      </w:r>
      <w:r w:rsidR="00D07E6A">
        <w:t>na velitelstvích MINUSMA v</w:t>
      </w:r>
      <w:r w:rsidR="003F306F">
        <w:t xml:space="preserve">e městech </w:t>
      </w:r>
      <w:r w:rsidR="00D07E6A">
        <w:t xml:space="preserve">Bamako a </w:t>
      </w:r>
      <w:proofErr w:type="spellStart"/>
      <w:r w:rsidR="00D07E6A">
        <w:t>Gao</w:t>
      </w:r>
      <w:proofErr w:type="spellEnd"/>
      <w:r w:rsidR="00D07E6A">
        <w:t>.</w:t>
      </w:r>
      <w:r>
        <w:t xml:space="preserve"> </w:t>
      </w:r>
      <w:r w:rsidR="0060317F">
        <w:t xml:space="preserve">V říjnu </w:t>
      </w:r>
      <w:r w:rsidR="005A70FE">
        <w:t xml:space="preserve">2020 </w:t>
      </w:r>
      <w:r w:rsidR="0060317F">
        <w:t xml:space="preserve">se podařilo získat další pozici </w:t>
      </w:r>
      <w:r w:rsidR="00A75F1F">
        <w:t>ve velitelské struktuře</w:t>
      </w:r>
      <w:r w:rsidR="0060317F">
        <w:t xml:space="preserve"> mise</w:t>
      </w:r>
      <w:r w:rsidR="00B15C1D">
        <w:t xml:space="preserve"> a do konce roku tak působili v MINUSMA 4 čeští vojáci.</w:t>
      </w:r>
    </w:p>
    <w:p w:rsidR="00E8259E" w:rsidRDefault="00FC2AB3" w:rsidP="00E8259E">
      <w:pPr>
        <w:keepNext/>
        <w:numPr>
          <w:ilvl w:val="1"/>
          <w:numId w:val="3"/>
        </w:numPr>
        <w:spacing w:before="240" w:line="276" w:lineRule="auto"/>
        <w:jc w:val="both"/>
        <w:outlineLvl w:val="0"/>
        <w:rPr>
          <w:b/>
          <w:bCs/>
        </w:rPr>
      </w:pPr>
      <w:r>
        <w:rPr>
          <w:b/>
          <w:bCs/>
        </w:rPr>
        <w:t>Působení</w:t>
      </w:r>
      <w:r w:rsidR="00E8259E" w:rsidRPr="00E8259E">
        <w:rPr>
          <w:b/>
          <w:bCs/>
        </w:rPr>
        <w:t xml:space="preserve"> sil a prostředků rezortu MO v rámci boje proti terorismu v Mali, Nigeru a Čadu</w:t>
      </w:r>
    </w:p>
    <w:p w:rsidR="00E8259E" w:rsidRDefault="00E8259E" w:rsidP="00E8259E">
      <w:pPr>
        <w:spacing w:before="120" w:line="276" w:lineRule="auto"/>
        <w:ind w:firstLine="709"/>
        <w:jc w:val="both"/>
      </w:pPr>
      <w:r w:rsidRPr="00E8259E">
        <w:t xml:space="preserve">V roce 2020 rozhodla vláda </w:t>
      </w:r>
      <w:r>
        <w:t xml:space="preserve">a </w:t>
      </w:r>
      <w:r w:rsidRPr="00E8259E">
        <w:t>Parlament ČR</w:t>
      </w:r>
      <w:r>
        <w:t xml:space="preserve"> svými usneseními (</w:t>
      </w:r>
      <w:r w:rsidR="006B558C">
        <w:t>vláda</w:t>
      </w:r>
      <w:r>
        <w:t xml:space="preserve"> </w:t>
      </w:r>
      <w:r w:rsidR="009F6985">
        <w:t>ze dne 27. ledna 2020 č. 73, Poslaneck</w:t>
      </w:r>
      <w:r w:rsidR="006B558C">
        <w:t>á sněmovna</w:t>
      </w:r>
      <w:r w:rsidR="009F6985">
        <w:t xml:space="preserve"> ze dne 27. října 2020 č. 1319 a Senát ze dne 12. srpna 2020 č. 483) o působení sil a prostředků rezortu MO v rámci boje p</w:t>
      </w:r>
      <w:r w:rsidR="00707EFB">
        <w:t>roti terorismu v Mali, Nigeru a </w:t>
      </w:r>
      <w:r w:rsidR="009F6985">
        <w:t xml:space="preserve">Čadu. Síly a prostředky jsou </w:t>
      </w:r>
      <w:r w:rsidR="00576384">
        <w:t>začleněny do</w:t>
      </w:r>
      <w:r w:rsidR="009F6985">
        <w:t xml:space="preserve"> Úkolového uskupení </w:t>
      </w:r>
      <w:proofErr w:type="spellStart"/>
      <w:r w:rsidR="004639E0">
        <w:t>Takuba</w:t>
      </w:r>
      <w:proofErr w:type="spellEnd"/>
      <w:r w:rsidR="009F6985">
        <w:t xml:space="preserve"> (TFT)</w:t>
      </w:r>
      <w:r w:rsidR="003631EB">
        <w:t xml:space="preserve"> speciálních sil vybraných evropských zemí</w:t>
      </w:r>
      <w:r w:rsidR="009F6985">
        <w:t xml:space="preserve">, jako součásti francouzské protiteroristické operace </w:t>
      </w:r>
      <w:proofErr w:type="spellStart"/>
      <w:r w:rsidR="004639E0">
        <w:t>Barkhane</w:t>
      </w:r>
      <w:proofErr w:type="spellEnd"/>
      <w:r w:rsidR="009F6985">
        <w:t>. TFT dosáhlo počátečních operačních schopností v </w:t>
      </w:r>
      <w:r w:rsidR="00FC2AB3">
        <w:t>červenci</w:t>
      </w:r>
      <w:r w:rsidR="009F6985">
        <w:t xml:space="preserve"> 2020</w:t>
      </w:r>
      <w:r w:rsidR="003631EB">
        <w:t xml:space="preserve">, přičemž již </w:t>
      </w:r>
      <w:r w:rsidR="00A86517">
        <w:t xml:space="preserve">dříve </w:t>
      </w:r>
      <w:r w:rsidR="003631EB">
        <w:t xml:space="preserve">rozmístěná francouzsko-estonská jednotka se podílela na </w:t>
      </w:r>
      <w:r w:rsidR="00576384">
        <w:t>několika</w:t>
      </w:r>
      <w:r w:rsidR="003631EB">
        <w:t xml:space="preserve"> operacích. Samotné TFT pokračovalo do konce roku </w:t>
      </w:r>
      <w:r w:rsidR="00A86517">
        <w:t xml:space="preserve">2020 </w:t>
      </w:r>
      <w:r w:rsidR="003631EB">
        <w:t xml:space="preserve">v </w:t>
      </w:r>
      <w:r w:rsidR="009F6985">
        <w:t xml:space="preserve">budování </w:t>
      </w:r>
      <w:r w:rsidR="003631EB">
        <w:t xml:space="preserve">své </w:t>
      </w:r>
      <w:r w:rsidR="009F6985">
        <w:t>struktury</w:t>
      </w:r>
      <w:r w:rsidR="00A86517">
        <w:t xml:space="preserve">, </w:t>
      </w:r>
      <w:r w:rsidR="003631EB">
        <w:t>připravovalo podmínky pro zasazení vojenských</w:t>
      </w:r>
      <w:r w:rsidR="00C05472">
        <w:t xml:space="preserve"> jednotek přispívajících zemí</w:t>
      </w:r>
      <w:r w:rsidR="00A86517">
        <w:t xml:space="preserve"> s cílem dosáhnout plných operačních schopností na jaře 2021.</w:t>
      </w:r>
      <w:r w:rsidR="009F6985">
        <w:t xml:space="preserve"> </w:t>
      </w:r>
    </w:p>
    <w:p w:rsidR="009F6985" w:rsidRPr="00E8259E" w:rsidRDefault="00531C47" w:rsidP="00E8259E">
      <w:pPr>
        <w:spacing w:before="120" w:line="276" w:lineRule="auto"/>
        <w:ind w:firstLine="709"/>
        <w:jc w:val="both"/>
      </w:pPr>
      <w:r>
        <w:t>Pro</w:t>
      </w:r>
      <w:r w:rsidR="009F6985">
        <w:t xml:space="preserve"> zajištění právní ochrany českých voják</w:t>
      </w:r>
      <w:r w:rsidR="00C05472">
        <w:t>ů bylo nutno</w:t>
      </w:r>
      <w:r w:rsidR="009F6985">
        <w:t xml:space="preserve"> sjednat </w:t>
      </w:r>
      <w:r w:rsidR="003631EB">
        <w:t>„</w:t>
      </w:r>
      <w:r w:rsidR="009F6985">
        <w:t xml:space="preserve">Dodatkové protokoly </w:t>
      </w:r>
      <w:r w:rsidR="00576384">
        <w:t xml:space="preserve">upravující status </w:t>
      </w:r>
      <w:r w:rsidR="009F6985">
        <w:t xml:space="preserve">jiných než francouzských jednotek </w:t>
      </w:r>
      <w:r w:rsidR="00576384">
        <w:t xml:space="preserve">sil </w:t>
      </w:r>
      <w:proofErr w:type="spellStart"/>
      <w:r w:rsidR="004639E0">
        <w:t>Takuba</w:t>
      </w:r>
      <w:proofErr w:type="spellEnd"/>
      <w:r w:rsidR="003631EB">
        <w:t>“</w:t>
      </w:r>
      <w:r w:rsidR="009F6985">
        <w:t xml:space="preserve"> </w:t>
      </w:r>
      <w:r w:rsidR="003631EB">
        <w:t xml:space="preserve">(SOFA) </w:t>
      </w:r>
      <w:r w:rsidR="009F6985">
        <w:t xml:space="preserve">s Mali </w:t>
      </w:r>
      <w:r w:rsidR="003631EB">
        <w:t xml:space="preserve">a Nigerem, </w:t>
      </w:r>
      <w:r w:rsidR="00D522AB">
        <w:t>a </w:t>
      </w:r>
      <w:r w:rsidR="00C05472">
        <w:t xml:space="preserve">to za </w:t>
      </w:r>
      <w:r>
        <w:t>výrazného přispění</w:t>
      </w:r>
      <w:r w:rsidR="00C05472">
        <w:t xml:space="preserve"> Francie. </w:t>
      </w:r>
      <w:r>
        <w:t xml:space="preserve">Časově náročný schvalovací proces nebyl ukončen do konce roku 2020, a proto v hodnoceném období </w:t>
      </w:r>
      <w:r w:rsidR="00A86517">
        <w:t>česká jednotka</w:t>
      </w:r>
      <w:r>
        <w:t xml:space="preserve"> operační úkol </w:t>
      </w:r>
      <w:r w:rsidR="00A86517">
        <w:t>neplnila</w:t>
      </w:r>
      <w:r w:rsidR="00E53DB4">
        <w:t xml:space="preserve"> (pokračovala však příprava na vyslání jednotky)</w:t>
      </w:r>
      <w:r>
        <w:t xml:space="preserve">. </w:t>
      </w:r>
    </w:p>
    <w:p w:rsidR="005C032D" w:rsidRPr="0078367C" w:rsidRDefault="005C032D" w:rsidP="00EB1F0F">
      <w:pPr>
        <w:keepNext/>
        <w:numPr>
          <w:ilvl w:val="0"/>
          <w:numId w:val="2"/>
        </w:numPr>
        <w:spacing w:before="360" w:after="120" w:line="276" w:lineRule="auto"/>
        <w:ind w:left="431" w:hanging="431"/>
        <w:jc w:val="both"/>
        <w:outlineLvl w:val="0"/>
        <w:rPr>
          <w:b/>
          <w:bCs/>
        </w:rPr>
      </w:pPr>
      <w:r w:rsidRPr="0078367C">
        <w:rPr>
          <w:b/>
          <w:bCs/>
        </w:rPr>
        <w:t>Sinajský poloostrov</w:t>
      </w:r>
    </w:p>
    <w:p w:rsidR="005C032D" w:rsidRPr="00EF4476" w:rsidRDefault="005C032D" w:rsidP="00192DFC">
      <w:pPr>
        <w:keepNext/>
        <w:numPr>
          <w:ilvl w:val="1"/>
          <w:numId w:val="3"/>
        </w:numPr>
        <w:spacing w:before="240" w:line="276" w:lineRule="auto"/>
        <w:jc w:val="both"/>
        <w:outlineLvl w:val="0"/>
        <w:rPr>
          <w:b/>
          <w:bCs/>
        </w:rPr>
      </w:pPr>
      <w:r w:rsidRPr="00EF4476">
        <w:rPr>
          <w:b/>
          <w:bCs/>
        </w:rPr>
        <w:t>Politicko-bezpečnostní situace</w:t>
      </w:r>
    </w:p>
    <w:p w:rsidR="00066037" w:rsidRPr="00066037" w:rsidRDefault="00066037" w:rsidP="00066037">
      <w:pPr>
        <w:spacing w:before="120" w:line="276" w:lineRule="auto"/>
        <w:ind w:firstLine="709"/>
        <w:jc w:val="both"/>
      </w:pPr>
      <w:r>
        <w:t xml:space="preserve">Bezpečnostní situace na </w:t>
      </w:r>
      <w:r w:rsidRPr="00EB2108">
        <w:t>Sinajsk</w:t>
      </w:r>
      <w:r>
        <w:t xml:space="preserve">ém poloostrově </w:t>
      </w:r>
      <w:r w:rsidRPr="00066037">
        <w:t>je dlouhodobě napjatá. Na Sinaji působí množství militantních skupin</w:t>
      </w:r>
      <w:r>
        <w:t>, které e</w:t>
      </w:r>
      <w:r w:rsidRPr="00066037">
        <w:t xml:space="preserve">gyptská armáda není schopna zcela eliminovat. Nejhorší bezpečnostní situace panuje na severu poloostrova. Islamistická organizace </w:t>
      </w:r>
      <w:proofErr w:type="spellStart"/>
      <w:r w:rsidRPr="00066037">
        <w:t>Wilájat</w:t>
      </w:r>
      <w:proofErr w:type="spellEnd"/>
      <w:r w:rsidRPr="00066037">
        <w:t xml:space="preserve"> </w:t>
      </w:r>
      <w:proofErr w:type="spellStart"/>
      <w:r w:rsidRPr="00066037">
        <w:t>Síná</w:t>
      </w:r>
      <w:proofErr w:type="spellEnd"/>
      <w:r w:rsidRPr="00066037">
        <w:t xml:space="preserve">´, </w:t>
      </w:r>
      <w:r w:rsidR="00331F6B">
        <w:t>hlásící se</w:t>
      </w:r>
      <w:r w:rsidRPr="00066037">
        <w:t xml:space="preserve"> k </w:t>
      </w:r>
      <w:proofErr w:type="spellStart"/>
      <w:r w:rsidR="002656D6" w:rsidRPr="00660B1B">
        <w:t>Da´esh</w:t>
      </w:r>
      <w:proofErr w:type="spellEnd"/>
      <w:r w:rsidRPr="00066037">
        <w:t xml:space="preserve">, pravidelně útočí </w:t>
      </w:r>
      <w:r w:rsidR="00331F6B">
        <w:t>hlavně</w:t>
      </w:r>
      <w:r w:rsidRPr="00066037">
        <w:t xml:space="preserve"> pro</w:t>
      </w:r>
      <w:r w:rsidR="00331F6B">
        <w:t>ti egyptským ozbrojeným silám a civilním osobám spolupracujícím s</w:t>
      </w:r>
      <w:r w:rsidR="00E07019">
        <w:t> </w:t>
      </w:r>
      <w:r w:rsidR="00331F6B">
        <w:t>vládou</w:t>
      </w:r>
      <w:r w:rsidR="00E07019">
        <w:t xml:space="preserve"> a</w:t>
      </w:r>
      <w:r w:rsidRPr="00066037">
        <w:t xml:space="preserve"> nově </w:t>
      </w:r>
      <w:r w:rsidR="00331F6B">
        <w:t>i</w:t>
      </w:r>
      <w:r w:rsidRPr="00066037">
        <w:t xml:space="preserve"> na průmyslovou infrastrukturu.</w:t>
      </w:r>
    </w:p>
    <w:p w:rsidR="00E07019" w:rsidRDefault="00066037" w:rsidP="00066037">
      <w:pPr>
        <w:spacing w:before="120" w:line="276" w:lineRule="auto"/>
        <w:ind w:firstLine="709"/>
        <w:jc w:val="both"/>
      </w:pPr>
      <w:r>
        <w:t xml:space="preserve">Naopak bezpečnostní situace v </w:t>
      </w:r>
      <w:r w:rsidR="004639E0">
        <w:t xml:space="preserve">Egyptě se v </w:t>
      </w:r>
      <w:r>
        <w:t xml:space="preserve">roce 2020 </w:t>
      </w:r>
      <w:r w:rsidR="004639E0">
        <w:t xml:space="preserve">zejména v </w:t>
      </w:r>
      <w:r w:rsidR="007D16CC">
        <w:t xml:space="preserve">důsledku represivních opatření </w:t>
      </w:r>
      <w:r>
        <w:t xml:space="preserve">citelně zlepšila. Odpůrci režimu </w:t>
      </w:r>
      <w:r w:rsidR="008F06F7">
        <w:t xml:space="preserve">napříč společností </w:t>
      </w:r>
      <w:r>
        <w:t xml:space="preserve">byli aktivně pronásledováni, </w:t>
      </w:r>
      <w:r w:rsidR="007D16CC">
        <w:t>v</w:t>
      </w:r>
      <w:r>
        <w:t xml:space="preserve"> srpnu </w:t>
      </w:r>
      <w:r w:rsidR="008F06F7">
        <w:t xml:space="preserve">byl </w:t>
      </w:r>
      <w:r w:rsidR="00856370">
        <w:t>zadrže</w:t>
      </w:r>
      <w:r w:rsidR="008F06F7">
        <w:t>n</w:t>
      </w:r>
      <w:r>
        <w:t xml:space="preserve"> </w:t>
      </w:r>
      <w:r w:rsidR="008F06F7">
        <w:t xml:space="preserve">také </w:t>
      </w:r>
      <w:r>
        <w:t xml:space="preserve">vůdce Muslimského bratrstva, který se skrýval od </w:t>
      </w:r>
      <w:r w:rsidR="00856370">
        <w:t xml:space="preserve">roku 2013 a v nepřítomnosti </w:t>
      </w:r>
      <w:r>
        <w:t>byl odsouzen k trestu smrti</w:t>
      </w:r>
      <w:r w:rsidR="00856370" w:rsidRPr="00856370">
        <w:t xml:space="preserve"> </w:t>
      </w:r>
      <w:r w:rsidR="00856370">
        <w:t>za terorismus</w:t>
      </w:r>
      <w:r>
        <w:t xml:space="preserve">. </w:t>
      </w:r>
    </w:p>
    <w:p w:rsidR="00066037" w:rsidRDefault="00066037" w:rsidP="00066037">
      <w:pPr>
        <w:spacing w:before="120" w:line="276" w:lineRule="auto"/>
        <w:ind w:firstLine="709"/>
        <w:jc w:val="both"/>
      </w:pPr>
      <w:r>
        <w:t xml:space="preserve">Politická opozice v zemi prakticky </w:t>
      </w:r>
      <w:r w:rsidR="008D7878">
        <w:t>neexistuje</w:t>
      </w:r>
      <w:r>
        <w:t>, parlamentní volby na podzim 2020 tak byly jen formální záležitostí s minimálním zájmem občanů. Výjimkou byla série menších sociálně motivovaný</w:t>
      </w:r>
      <w:r w:rsidR="008D7878">
        <w:t xml:space="preserve">ch </w:t>
      </w:r>
      <w:r w:rsidR="00856370">
        <w:t>protivládních</w:t>
      </w:r>
      <w:r w:rsidR="008D7878">
        <w:t xml:space="preserve"> demonstrací v </w:t>
      </w:r>
      <w:r>
        <w:t xml:space="preserve">září 2020. Pandemii </w:t>
      </w:r>
      <w:r w:rsidR="00CA3439">
        <w:t>COVID</w:t>
      </w:r>
      <w:r w:rsidR="00161C53">
        <w:t>-</w:t>
      </w:r>
      <w:r>
        <w:t>19 pak egyptský režim využil k dalšímu posílení</w:t>
      </w:r>
      <w:r w:rsidR="008D7878">
        <w:t xml:space="preserve"> restriktivních </w:t>
      </w:r>
      <w:r>
        <w:t>opatření a cenzury médií.</w:t>
      </w:r>
      <w:r w:rsidRPr="00F940C2">
        <w:t xml:space="preserve"> </w:t>
      </w:r>
      <w:r>
        <w:t xml:space="preserve">Stabilitu </w:t>
      </w:r>
      <w:r w:rsidR="00856370">
        <w:t xml:space="preserve">režimu </w:t>
      </w:r>
      <w:r>
        <w:t xml:space="preserve">podporuje i stále platný výjimečný stav. Díky finanční podpoře ze zahraničí se navíc daří udržovat i </w:t>
      </w:r>
      <w:r w:rsidR="00856370">
        <w:t>relativně dobrou ekonomickou situaci v zemi</w:t>
      </w:r>
      <w:r>
        <w:t xml:space="preserve">. </w:t>
      </w:r>
    </w:p>
    <w:p w:rsidR="00066037" w:rsidRDefault="00066037" w:rsidP="00066037">
      <w:pPr>
        <w:spacing w:before="120" w:line="276" w:lineRule="auto"/>
        <w:ind w:firstLine="709"/>
        <w:jc w:val="both"/>
      </w:pPr>
      <w:r>
        <w:t xml:space="preserve">Obavy z přelévání terorismu do Egypta a nárůstu politického islámu v regionu motivovaly zahraničněpolitické aktivity Egypta, kdy se země v roce 2020 angažovala v konfliktu v Libyi či v energetické politice ve východním Středomoří – v obou případech na </w:t>
      </w:r>
      <w:r>
        <w:lastRenderedPageBreak/>
        <w:t>úkor zájmů Turecka. Naopak spojence</w:t>
      </w:r>
      <w:r w:rsidR="00C25150">
        <w:t>m</w:t>
      </w:r>
      <w:r>
        <w:t xml:space="preserve"> </w:t>
      </w:r>
      <w:r w:rsidR="00C25150">
        <w:t xml:space="preserve">Egypta v boji </w:t>
      </w:r>
      <w:r w:rsidR="00707EFB">
        <w:t>proti terorismu na Sinaji i </w:t>
      </w:r>
      <w:r w:rsidR="00C25150">
        <w:t xml:space="preserve">v zahraničněpolitickém soupeření s </w:t>
      </w:r>
      <w:r>
        <w:t>Tureck</w:t>
      </w:r>
      <w:r w:rsidR="00C25150">
        <w:t>em</w:t>
      </w:r>
      <w:r w:rsidR="00856370">
        <w:t xml:space="preserve"> </w:t>
      </w:r>
      <w:r w:rsidR="00C25150">
        <w:t>je</w:t>
      </w:r>
      <w:r w:rsidR="00856370">
        <w:t xml:space="preserve"> </w:t>
      </w:r>
      <w:r>
        <w:t>Izrael</w:t>
      </w:r>
      <w:r w:rsidR="00C25150">
        <w:t>, se kterým Káhiru pojí</w:t>
      </w:r>
      <w:r w:rsidR="00856370">
        <w:t xml:space="preserve"> kvalitní </w:t>
      </w:r>
      <w:r w:rsidR="00C25150">
        <w:t xml:space="preserve">bezpečnostní </w:t>
      </w:r>
      <w:r w:rsidR="00856370">
        <w:t>spolupráce</w:t>
      </w:r>
      <w:r>
        <w:t xml:space="preserve">. </w:t>
      </w:r>
      <w:r w:rsidR="007D16CC">
        <w:t xml:space="preserve">I z tohoto důvodu </w:t>
      </w:r>
      <w:r>
        <w:t>Egypt podpořil navázání diplomatických styků Izraele s</w:t>
      </w:r>
      <w:r w:rsidR="007D16CC">
        <w:t xml:space="preserve"> některými dalšími </w:t>
      </w:r>
      <w:r>
        <w:t>arabskými zeměmi.</w:t>
      </w:r>
    </w:p>
    <w:p w:rsidR="005C032D" w:rsidRPr="00EF4476" w:rsidRDefault="005C032D" w:rsidP="00192DFC">
      <w:pPr>
        <w:keepNext/>
        <w:numPr>
          <w:ilvl w:val="1"/>
          <w:numId w:val="3"/>
        </w:numPr>
        <w:spacing w:before="240" w:line="276" w:lineRule="auto"/>
        <w:jc w:val="both"/>
        <w:outlineLvl w:val="0"/>
        <w:rPr>
          <w:b/>
          <w:bCs/>
        </w:rPr>
      </w:pPr>
      <w:r w:rsidRPr="00EF4476">
        <w:rPr>
          <w:b/>
          <w:bCs/>
        </w:rPr>
        <w:t xml:space="preserve">Působení </w:t>
      </w:r>
      <w:r w:rsidR="00EA1F87" w:rsidRPr="00EF4476">
        <w:rPr>
          <w:b/>
          <w:bCs/>
        </w:rPr>
        <w:t>sil a prostředků</w:t>
      </w:r>
      <w:r w:rsidRPr="00EF4476">
        <w:rPr>
          <w:b/>
          <w:bCs/>
        </w:rPr>
        <w:t xml:space="preserve"> rezortu MO v misi MFO </w:t>
      </w:r>
    </w:p>
    <w:p w:rsidR="00297AB9" w:rsidRDefault="00297AB9" w:rsidP="00F95A45">
      <w:pPr>
        <w:spacing w:before="120" w:line="276" w:lineRule="auto"/>
        <w:ind w:firstLine="709"/>
        <w:jc w:val="both"/>
      </w:pPr>
      <w:r w:rsidRPr="000B6960">
        <w:t>Mandát pro působení sil a prostředků</w:t>
      </w:r>
      <w:r w:rsidR="007171CD">
        <w:t xml:space="preserve"> rezortu</w:t>
      </w:r>
      <w:r w:rsidRPr="000B6960">
        <w:t xml:space="preserve"> MO v </w:t>
      </w:r>
      <w:r>
        <w:t xml:space="preserve">misi </w:t>
      </w:r>
      <w:r w:rsidR="008B2CBC">
        <w:t>MFO (</w:t>
      </w:r>
      <w:proofErr w:type="spellStart"/>
      <w:r w:rsidR="003E5ECD">
        <w:rPr>
          <w:color w:val="000000"/>
        </w:rPr>
        <w:t>Multinational</w:t>
      </w:r>
      <w:proofErr w:type="spellEnd"/>
      <w:r w:rsidR="003E5ECD">
        <w:rPr>
          <w:color w:val="000000"/>
        </w:rPr>
        <w:t xml:space="preserve"> </w:t>
      </w:r>
      <w:proofErr w:type="spellStart"/>
      <w:r w:rsidR="003E5ECD">
        <w:rPr>
          <w:color w:val="000000"/>
        </w:rPr>
        <w:t>Force</w:t>
      </w:r>
      <w:proofErr w:type="spellEnd"/>
      <w:r w:rsidR="003E5ECD">
        <w:rPr>
          <w:color w:val="000000"/>
        </w:rPr>
        <w:t xml:space="preserve"> and </w:t>
      </w:r>
      <w:proofErr w:type="spellStart"/>
      <w:r>
        <w:rPr>
          <w:color w:val="000000"/>
        </w:rPr>
        <w:t>Observers</w:t>
      </w:r>
      <w:proofErr w:type="spellEnd"/>
      <w:r>
        <w:rPr>
          <w:color w:val="000000"/>
        </w:rPr>
        <w:t>)</w:t>
      </w:r>
      <w:r w:rsidRPr="000B6960">
        <w:t xml:space="preserve"> </w:t>
      </w:r>
      <w:r w:rsidR="00114290">
        <w:t xml:space="preserve">v roce </w:t>
      </w:r>
      <w:r w:rsidR="00A75F1F">
        <w:t>2020</w:t>
      </w:r>
      <w:r w:rsidRPr="000B6960">
        <w:t xml:space="preserve"> byl stanoven do </w:t>
      </w:r>
      <w:r>
        <w:t>25</w:t>
      </w:r>
      <w:r w:rsidRPr="000B6960">
        <w:t xml:space="preserve"> osob.</w:t>
      </w:r>
    </w:p>
    <w:p w:rsidR="005C032D" w:rsidRPr="00C037BD" w:rsidRDefault="005C032D" w:rsidP="00F95A45">
      <w:pPr>
        <w:spacing w:before="120" w:line="276" w:lineRule="auto"/>
        <w:ind w:firstLine="709"/>
        <w:jc w:val="both"/>
      </w:pPr>
      <w:r w:rsidRPr="00C037BD">
        <w:t>Ú</w:t>
      </w:r>
      <w:r w:rsidR="00297AB9">
        <w:t>kolové uskupení</w:t>
      </w:r>
      <w:r w:rsidRPr="00C037BD">
        <w:t xml:space="preserve"> AČR MFO Sinaj tvořili</w:t>
      </w:r>
      <w:r w:rsidR="0057446F">
        <w:t xml:space="preserve"> tři důstojníci plnící úkoly na </w:t>
      </w:r>
      <w:r w:rsidRPr="00C037BD">
        <w:t>velitelství sil MFO</w:t>
      </w:r>
      <w:r>
        <w:t xml:space="preserve"> </w:t>
      </w:r>
      <w:r w:rsidRPr="00C037BD">
        <w:t xml:space="preserve">a letecká jednotka (LJ) v počtu 15 osob s letounem </w:t>
      </w:r>
      <w:r w:rsidR="00114290" w:rsidRPr="00C037BD">
        <w:t xml:space="preserve">CASA </w:t>
      </w:r>
      <w:r w:rsidRPr="00C037BD">
        <w:t>C-295</w:t>
      </w:r>
      <w:r w:rsidR="005011E7">
        <w:t>M</w:t>
      </w:r>
      <w:r w:rsidRPr="00C037BD">
        <w:t xml:space="preserve">. </w:t>
      </w:r>
      <w:r>
        <w:t xml:space="preserve">Letoun </w:t>
      </w:r>
      <w:r w:rsidR="00297AB9">
        <w:t>operoval</w:t>
      </w:r>
      <w:r w:rsidR="00867F2C">
        <w:t xml:space="preserve"> ze </w:t>
      </w:r>
      <w:r>
        <w:t>základny</w:t>
      </w:r>
      <w:r w:rsidRPr="00C037BD">
        <w:t xml:space="preserve"> </w:t>
      </w:r>
      <w:r>
        <w:t xml:space="preserve">v jižní části Sinajského poloostrova, </w:t>
      </w:r>
      <w:r w:rsidRPr="00C037BD">
        <w:t xml:space="preserve">poblíž </w:t>
      </w:r>
      <w:proofErr w:type="spellStart"/>
      <w:r>
        <w:t>Sharm</w:t>
      </w:r>
      <w:proofErr w:type="spellEnd"/>
      <w:r>
        <w:t xml:space="preserve"> El</w:t>
      </w:r>
      <w:r w:rsidRPr="00C037BD">
        <w:t xml:space="preserve"> </w:t>
      </w:r>
      <w:proofErr w:type="spellStart"/>
      <w:r>
        <w:t>Sheikh</w:t>
      </w:r>
      <w:proofErr w:type="spellEnd"/>
      <w:r w:rsidRPr="00C037BD">
        <w:t>.</w:t>
      </w:r>
    </w:p>
    <w:p w:rsidR="005C032D" w:rsidRPr="00C037BD" w:rsidRDefault="005011E7" w:rsidP="00F95A45">
      <w:pPr>
        <w:spacing w:before="120" w:line="276" w:lineRule="auto"/>
        <w:ind w:firstLine="709"/>
        <w:jc w:val="both"/>
      </w:pPr>
      <w:r w:rsidRPr="00C037BD">
        <w:t xml:space="preserve">LJ </w:t>
      </w:r>
      <w:r w:rsidR="005C032D" w:rsidRPr="00C037BD">
        <w:t>zabezpečovala přepravu osob a materiálu mez</w:t>
      </w:r>
      <w:r w:rsidR="003E5ECD">
        <w:t>i základnami MFO, Káhirou a Tel </w:t>
      </w:r>
      <w:r w:rsidR="005C032D" w:rsidRPr="00C037BD">
        <w:t xml:space="preserve">Avivem, přepravu vládních </w:t>
      </w:r>
      <w:r>
        <w:t>činitelů</w:t>
      </w:r>
      <w:r w:rsidR="005C032D" w:rsidRPr="00C037BD">
        <w:t xml:space="preserve"> a styčných osob stran mírové smlouvy, částečně se</w:t>
      </w:r>
      <w:r w:rsidR="00867F2C">
        <w:t> </w:t>
      </w:r>
      <w:r w:rsidR="005C032D" w:rsidRPr="00C037BD">
        <w:t xml:space="preserve">podílela na </w:t>
      </w:r>
      <w:r w:rsidR="00EA1F87">
        <w:t>pátracích</w:t>
      </w:r>
      <w:r w:rsidR="00114290">
        <w:t xml:space="preserve"> a záchranných operacích, letecké přepravě</w:t>
      </w:r>
      <w:r w:rsidR="005C032D" w:rsidRPr="00C037BD">
        <w:t xml:space="preserve"> </w:t>
      </w:r>
      <w:r w:rsidR="00114290">
        <w:t>nemocných a raněných (MEDEVAC),</w:t>
      </w:r>
      <w:r w:rsidR="005C032D" w:rsidRPr="00C037BD">
        <w:t xml:space="preserve"> verifikačních a pozorovacích letech. </w:t>
      </w:r>
    </w:p>
    <w:p w:rsidR="00EB7957" w:rsidRPr="00EB7957" w:rsidRDefault="00EB7957" w:rsidP="00F95A45">
      <w:pPr>
        <w:spacing w:before="120" w:line="276" w:lineRule="auto"/>
        <w:ind w:firstLine="709"/>
        <w:jc w:val="both"/>
      </w:pPr>
      <w:r w:rsidRPr="007846C1">
        <w:t xml:space="preserve">LJ </w:t>
      </w:r>
      <w:r w:rsidR="00114290" w:rsidRPr="007846C1">
        <w:t>uskutečnila</w:t>
      </w:r>
      <w:r w:rsidR="00103099" w:rsidRPr="007846C1">
        <w:t xml:space="preserve"> v roce </w:t>
      </w:r>
      <w:r w:rsidR="007846C1" w:rsidRPr="007846C1">
        <w:t>2020</w:t>
      </w:r>
      <w:r w:rsidR="00103099" w:rsidRPr="007846C1">
        <w:t xml:space="preserve"> celkem </w:t>
      </w:r>
      <w:r w:rsidR="007846C1" w:rsidRPr="007846C1">
        <w:t>299</w:t>
      </w:r>
      <w:r w:rsidRPr="007846C1">
        <w:t xml:space="preserve"> letů s náletem </w:t>
      </w:r>
      <w:r w:rsidR="007846C1" w:rsidRPr="007846C1">
        <w:t>424</w:t>
      </w:r>
      <w:r w:rsidRPr="007846C1">
        <w:t xml:space="preserve"> letových hodin. </w:t>
      </w:r>
      <w:r w:rsidR="00FA266E" w:rsidRPr="007846C1">
        <w:t>O</w:t>
      </w:r>
      <w:r w:rsidRPr="007846C1">
        <w:t xml:space="preserve">bjem přeprav činil </w:t>
      </w:r>
      <w:r w:rsidR="007846C1" w:rsidRPr="007846C1">
        <w:t>3 400</w:t>
      </w:r>
      <w:r w:rsidRPr="007846C1">
        <w:t xml:space="preserve"> </w:t>
      </w:r>
      <w:r w:rsidR="00FA266E" w:rsidRPr="007846C1">
        <w:t xml:space="preserve">osob a </w:t>
      </w:r>
      <w:r w:rsidR="007846C1" w:rsidRPr="007846C1">
        <w:t>95</w:t>
      </w:r>
      <w:r w:rsidRPr="007846C1">
        <w:t xml:space="preserve"> tun materiálu.</w:t>
      </w:r>
      <w:r w:rsidRPr="00EB7957">
        <w:t xml:space="preserve"> </w:t>
      </w:r>
    </w:p>
    <w:p w:rsidR="00EB7957" w:rsidRPr="00EB7957" w:rsidRDefault="00070374" w:rsidP="00F95A45">
      <w:pPr>
        <w:spacing w:before="120" w:line="276" w:lineRule="auto"/>
        <w:ind w:firstLine="709"/>
        <w:jc w:val="both"/>
      </w:pPr>
      <w:r w:rsidRPr="007A4739">
        <w:rPr>
          <w:snapToGrid w:val="0"/>
        </w:rPr>
        <w:t>Na základě „Dohody mezi ČR a MFO o podmínkách účasti ČR v zahraniční operaci MFO“ organizace proplácí pravidelně ČR využívání letounu a služeb osádek. Za rok 2020 tato částka činila přibližně 32,7 mil. Kč, což bylo cca 149 % vynaložených peněžních prostředků v uvedeném roce.</w:t>
      </w:r>
      <w:r w:rsidRPr="007A4739">
        <w:rPr>
          <w:rStyle w:val="Znakapoznpodarou"/>
        </w:rPr>
        <w:footnoteReference w:id="2"/>
      </w:r>
      <w:r w:rsidR="004155C7" w:rsidRPr="00D861F3">
        <w:rPr>
          <w:snapToGrid w:val="0"/>
          <w:vertAlign w:val="superscript"/>
        </w:rPr>
        <w:t>)</w:t>
      </w:r>
    </w:p>
    <w:p w:rsidR="005C032D" w:rsidRPr="0078367C" w:rsidRDefault="005C032D" w:rsidP="00EB1F0F">
      <w:pPr>
        <w:keepNext/>
        <w:numPr>
          <w:ilvl w:val="0"/>
          <w:numId w:val="2"/>
        </w:numPr>
        <w:spacing w:before="360" w:after="120" w:line="276" w:lineRule="auto"/>
        <w:ind w:left="431" w:hanging="431"/>
        <w:jc w:val="both"/>
        <w:outlineLvl w:val="0"/>
        <w:rPr>
          <w:b/>
          <w:bCs/>
        </w:rPr>
      </w:pPr>
      <w:r w:rsidRPr="0078367C">
        <w:rPr>
          <w:b/>
          <w:bCs/>
        </w:rPr>
        <w:t>Golanské výšiny</w:t>
      </w:r>
    </w:p>
    <w:p w:rsidR="005C032D" w:rsidRPr="00EF4476" w:rsidRDefault="005C032D" w:rsidP="005407A4">
      <w:pPr>
        <w:keepNext/>
        <w:numPr>
          <w:ilvl w:val="1"/>
          <w:numId w:val="3"/>
        </w:numPr>
        <w:spacing w:before="240" w:line="276" w:lineRule="auto"/>
        <w:jc w:val="both"/>
        <w:outlineLvl w:val="0"/>
        <w:rPr>
          <w:b/>
          <w:bCs/>
        </w:rPr>
      </w:pPr>
      <w:r w:rsidRPr="00EF4476">
        <w:rPr>
          <w:b/>
          <w:bCs/>
        </w:rPr>
        <w:t>Politicko-bezpečnostní situace</w:t>
      </w:r>
    </w:p>
    <w:p w:rsidR="008530E4" w:rsidRDefault="008530E4" w:rsidP="008530E4">
      <w:pPr>
        <w:spacing w:before="120" w:line="276" w:lineRule="auto"/>
        <w:ind w:firstLine="709"/>
        <w:jc w:val="both"/>
      </w:pPr>
      <w:r w:rsidRPr="008530E4">
        <w:t xml:space="preserve">O kontrolu nad územím Golanských výšin ze strategických důvodů dlouhodobě soupeřily Izrael a Sýrie. Po několika vojenských konfliktech </w:t>
      </w:r>
      <w:r w:rsidR="007D16CC" w:rsidRPr="008530E4">
        <w:t xml:space="preserve">Izrael </w:t>
      </w:r>
      <w:r w:rsidRPr="008530E4">
        <w:t xml:space="preserve">v roce 1973 souhlasil s opuštěním části dobytého území, které se z rozhodnutí OSN stalo demilitarizovanou zónou, kde na dodržování příměří mezi oběma státy dohlíží </w:t>
      </w:r>
      <w:r w:rsidR="008B2CBC">
        <w:t xml:space="preserve">mise </w:t>
      </w:r>
      <w:r w:rsidRPr="008530E4">
        <w:t xml:space="preserve">UNDOF (United </w:t>
      </w:r>
      <w:proofErr w:type="spellStart"/>
      <w:r w:rsidRPr="008530E4">
        <w:t>Nations</w:t>
      </w:r>
      <w:proofErr w:type="spellEnd"/>
      <w:r w:rsidR="008B2CBC">
        <w:t xml:space="preserve"> </w:t>
      </w:r>
      <w:proofErr w:type="spellStart"/>
      <w:r w:rsidR="008B2CBC">
        <w:t>Disengagement</w:t>
      </w:r>
      <w:proofErr w:type="spellEnd"/>
      <w:r w:rsidR="008B2CBC">
        <w:t xml:space="preserve"> </w:t>
      </w:r>
      <w:proofErr w:type="spellStart"/>
      <w:r w:rsidR="008B2CBC">
        <w:t>Observer</w:t>
      </w:r>
      <w:proofErr w:type="spellEnd"/>
      <w:r w:rsidR="008B2CBC">
        <w:t xml:space="preserve"> </w:t>
      </w:r>
      <w:proofErr w:type="spellStart"/>
      <w:r w:rsidR="008B2CBC">
        <w:t>Force</w:t>
      </w:r>
      <w:proofErr w:type="spellEnd"/>
      <w:r w:rsidR="008B2CBC">
        <w:t>).</w:t>
      </w:r>
    </w:p>
    <w:p w:rsidR="008530E4" w:rsidRDefault="008530E4" w:rsidP="008530E4">
      <w:pPr>
        <w:spacing w:before="120" w:line="276" w:lineRule="auto"/>
        <w:ind w:firstLine="709"/>
        <w:jc w:val="both"/>
      </w:pPr>
      <w:r w:rsidRPr="008530E4">
        <w:t>V souvislosti s občanskou válkou v Sýrii a působením řady externích aktérů se bezpečnostní situace v oblasti Golanských výšin</w:t>
      </w:r>
      <w:r w:rsidR="007D16CC" w:rsidRPr="007D16CC">
        <w:t xml:space="preserve"> </w:t>
      </w:r>
      <w:r w:rsidR="007D16CC" w:rsidRPr="008530E4">
        <w:t>zhoršila</w:t>
      </w:r>
      <w:r w:rsidRPr="008530E4">
        <w:t xml:space="preserve">. </w:t>
      </w:r>
      <w:r w:rsidR="000E1042" w:rsidRPr="008530E4">
        <w:t xml:space="preserve">UNDOF </w:t>
      </w:r>
      <w:r w:rsidR="000E1042">
        <w:t>o</w:t>
      </w:r>
      <w:r w:rsidRPr="008530E4">
        <w:t xml:space="preserve">d </w:t>
      </w:r>
      <w:r>
        <w:t>roku</w:t>
      </w:r>
      <w:r w:rsidRPr="008530E4">
        <w:t xml:space="preserve"> 2014 </w:t>
      </w:r>
      <w:r w:rsidR="000E1042" w:rsidRPr="008530E4">
        <w:t xml:space="preserve">nepůsobil </w:t>
      </w:r>
      <w:r w:rsidRPr="008530E4">
        <w:t>několik let na syrské straně demili</w:t>
      </w:r>
      <w:r w:rsidR="00833CD5">
        <w:t>tarizované zóny (zóna separace)</w:t>
      </w:r>
      <w:r w:rsidRPr="008530E4">
        <w:t xml:space="preserve"> a i v současnosti existují oblasti, kde mise nemůže kompletně naplňovat svůj mandát. Ačkoli obě strany konfliktu misi jako takovou vítají a </w:t>
      </w:r>
      <w:r>
        <w:t xml:space="preserve">má rovněž </w:t>
      </w:r>
      <w:r w:rsidRPr="008530E4">
        <w:t xml:space="preserve">podporu USA a Ruska, největším problémem pro realizaci mandátu je působení nestátních aktérů v oblasti. </w:t>
      </w:r>
    </w:p>
    <w:p w:rsidR="008530E4" w:rsidRPr="008530E4" w:rsidRDefault="008530E4" w:rsidP="008530E4">
      <w:pPr>
        <w:spacing w:before="120" w:line="276" w:lineRule="auto"/>
        <w:ind w:firstLine="709"/>
        <w:jc w:val="both"/>
      </w:pPr>
      <w:r w:rsidRPr="008530E4">
        <w:t>Izrael velmi citlivě vnímá zejména působení šíitských libanonských a íránských skupin na jihu Sýrie v blízkosti Golanských výšin. Na hrozby reaguje letecký</w:t>
      </w:r>
      <w:r>
        <w:t>mi</w:t>
      </w:r>
      <w:r w:rsidRPr="008530E4">
        <w:t xml:space="preserve"> ú</w:t>
      </w:r>
      <w:r>
        <w:t>dery</w:t>
      </w:r>
      <w:r w:rsidRPr="008530E4">
        <w:t xml:space="preserve"> proti dotčeným skupinám na jihu a ve středu Sýrie. I když byla situace v roce 2020 na Golanských výšinách stabilizovaná, docházelo k porušování dohody o odpoutání napříč zónou separace. </w:t>
      </w:r>
    </w:p>
    <w:p w:rsidR="005C032D" w:rsidRPr="00EF4476" w:rsidRDefault="005C032D" w:rsidP="00192DFC">
      <w:pPr>
        <w:keepNext/>
        <w:numPr>
          <w:ilvl w:val="1"/>
          <w:numId w:val="3"/>
        </w:numPr>
        <w:spacing w:before="240" w:line="276" w:lineRule="auto"/>
        <w:jc w:val="both"/>
        <w:outlineLvl w:val="0"/>
        <w:rPr>
          <w:b/>
          <w:bCs/>
        </w:rPr>
      </w:pPr>
      <w:r w:rsidRPr="00EF4476">
        <w:rPr>
          <w:b/>
          <w:bCs/>
        </w:rPr>
        <w:lastRenderedPageBreak/>
        <w:t>Působení příslušníků rezortu MO v misi OSN UNDOF</w:t>
      </w:r>
    </w:p>
    <w:p w:rsidR="005C032D" w:rsidRPr="000D0CF7" w:rsidRDefault="005C032D" w:rsidP="00F95A45">
      <w:pPr>
        <w:spacing w:before="120" w:line="276" w:lineRule="auto"/>
        <w:ind w:firstLine="709"/>
        <w:jc w:val="both"/>
      </w:pPr>
      <w:r w:rsidRPr="000D0CF7">
        <w:t xml:space="preserve">Mandát pro působení sil a prostředků </w:t>
      </w:r>
      <w:r w:rsidR="00114290">
        <w:t xml:space="preserve">rezortu </w:t>
      </w:r>
      <w:r w:rsidRPr="000D0CF7">
        <w:t xml:space="preserve">MO </w:t>
      </w:r>
      <w:r w:rsidR="00114290">
        <w:t>v misi UNDOF</w:t>
      </w:r>
      <w:r w:rsidRPr="000D0CF7">
        <w:t xml:space="preserve"> </w:t>
      </w:r>
      <w:r w:rsidR="00D436A6">
        <w:t xml:space="preserve">v roce </w:t>
      </w:r>
      <w:r w:rsidR="00A75F1F">
        <w:t>2020</w:t>
      </w:r>
      <w:r w:rsidR="00D436A6">
        <w:t xml:space="preserve"> </w:t>
      </w:r>
      <w:r w:rsidR="00297AB9">
        <w:t xml:space="preserve">byl </w:t>
      </w:r>
      <w:r w:rsidRPr="000D0CF7">
        <w:t xml:space="preserve">stanoven do </w:t>
      </w:r>
      <w:r w:rsidR="002447E5">
        <w:t>10</w:t>
      </w:r>
      <w:r w:rsidRPr="000D0CF7">
        <w:t xml:space="preserve"> osob.</w:t>
      </w:r>
      <w:r>
        <w:t xml:space="preserve"> </w:t>
      </w:r>
    </w:p>
    <w:p w:rsidR="005C032D" w:rsidRPr="00C037BD" w:rsidRDefault="0074553B" w:rsidP="00F95A45">
      <w:pPr>
        <w:spacing w:before="120" w:line="276" w:lineRule="auto"/>
        <w:ind w:firstLine="709"/>
        <w:jc w:val="both"/>
      </w:pPr>
      <w:r>
        <w:t>V rámci mise</w:t>
      </w:r>
      <w:r w:rsidR="005C032D" w:rsidRPr="00C037BD">
        <w:t xml:space="preserve"> UNDOF na Golanských výšinách ČR </w:t>
      </w:r>
      <w:r>
        <w:t xml:space="preserve">pokračovala vysíláním čtyř důstojníků do velitelství mise. </w:t>
      </w:r>
      <w:r w:rsidR="00880F5B" w:rsidRPr="00880F5B">
        <w:t>Do října 2020 působili t</w:t>
      </w:r>
      <w:r w:rsidR="002447E5" w:rsidRPr="00880F5B">
        <w:t>ři vojáci</w:t>
      </w:r>
      <w:r w:rsidR="005C032D" w:rsidRPr="00880F5B">
        <w:t xml:space="preserve"> </w:t>
      </w:r>
      <w:r w:rsidR="002447E5" w:rsidRPr="00880F5B">
        <w:t>na základně</w:t>
      </w:r>
      <w:r w:rsidR="005C032D" w:rsidRPr="00880F5B">
        <w:t xml:space="preserve"> </w:t>
      </w:r>
      <w:proofErr w:type="spellStart"/>
      <w:r w:rsidR="00935F36" w:rsidRPr="00880F5B">
        <w:t>Faouar</w:t>
      </w:r>
      <w:proofErr w:type="spellEnd"/>
      <w:r w:rsidR="005C032D" w:rsidRPr="00880F5B">
        <w:t xml:space="preserve"> (Sýrie) a</w:t>
      </w:r>
      <w:r w:rsidR="00495AE2">
        <w:t> </w:t>
      </w:r>
      <w:r w:rsidR="00867F2C" w:rsidRPr="00880F5B">
        <w:t>jeden na </w:t>
      </w:r>
      <w:r w:rsidR="002447E5" w:rsidRPr="00880F5B">
        <w:t xml:space="preserve">základně </w:t>
      </w:r>
      <w:proofErr w:type="spellStart"/>
      <w:r w:rsidR="005C032D" w:rsidRPr="00880F5B">
        <w:t>Z</w:t>
      </w:r>
      <w:r w:rsidR="00935F36" w:rsidRPr="00880F5B">
        <w:t>iouani</w:t>
      </w:r>
      <w:proofErr w:type="spellEnd"/>
      <w:r w:rsidR="005C032D" w:rsidRPr="00880F5B">
        <w:t xml:space="preserve"> (</w:t>
      </w:r>
      <w:r w:rsidR="008C2C52" w:rsidRPr="00880F5B">
        <w:t xml:space="preserve">na </w:t>
      </w:r>
      <w:r w:rsidR="005C032D" w:rsidRPr="00880F5B">
        <w:t>Izrael</w:t>
      </w:r>
      <w:r w:rsidR="008C2C52" w:rsidRPr="00880F5B">
        <w:t>em okupované</w:t>
      </w:r>
      <w:r w:rsidR="002447E5" w:rsidRPr="00880F5B">
        <w:t xml:space="preserve"> část</w:t>
      </w:r>
      <w:r w:rsidR="008C2C52" w:rsidRPr="00880F5B">
        <w:t>i</w:t>
      </w:r>
      <w:r w:rsidR="002447E5" w:rsidRPr="00880F5B">
        <w:t xml:space="preserve"> Golanských výšin</w:t>
      </w:r>
      <w:r w:rsidR="005C032D" w:rsidRPr="00880F5B">
        <w:t>)</w:t>
      </w:r>
      <w:r w:rsidR="00880F5B" w:rsidRPr="00880F5B">
        <w:t>,</w:t>
      </w:r>
      <w:r w:rsidR="00880F5B">
        <w:t xml:space="preserve"> po zrušení pozice na základně </w:t>
      </w:r>
      <w:proofErr w:type="spellStart"/>
      <w:r w:rsidR="00880F5B">
        <w:t>Ziouani</w:t>
      </w:r>
      <w:proofErr w:type="spellEnd"/>
      <w:r w:rsidR="00880F5B">
        <w:t xml:space="preserve"> a získání nové </w:t>
      </w:r>
      <w:r w:rsidR="00F87897">
        <w:t>na základně</w:t>
      </w:r>
      <w:r w:rsidR="00D861F3">
        <w:t xml:space="preserve"> </w:t>
      </w:r>
      <w:proofErr w:type="spellStart"/>
      <w:r w:rsidR="00D861F3">
        <w:t>Faouar</w:t>
      </w:r>
      <w:proofErr w:type="spellEnd"/>
      <w:r w:rsidR="00D861F3">
        <w:t xml:space="preserve"> </w:t>
      </w:r>
      <w:r w:rsidR="00880F5B">
        <w:t>působili do konce roku všichni na syrské straně.</w:t>
      </w:r>
    </w:p>
    <w:p w:rsidR="005C032D" w:rsidRPr="00741499" w:rsidRDefault="005C032D" w:rsidP="000D23F4">
      <w:pPr>
        <w:keepNext/>
        <w:numPr>
          <w:ilvl w:val="0"/>
          <w:numId w:val="2"/>
        </w:numPr>
        <w:spacing w:before="240" w:after="120" w:line="276" w:lineRule="auto"/>
        <w:ind w:left="431" w:hanging="431"/>
        <w:jc w:val="both"/>
        <w:outlineLvl w:val="0"/>
        <w:rPr>
          <w:b/>
          <w:bCs/>
        </w:rPr>
      </w:pPr>
      <w:r w:rsidRPr="00741499">
        <w:rPr>
          <w:b/>
          <w:bCs/>
        </w:rPr>
        <w:t>Bosna a Hercegovina</w:t>
      </w:r>
    </w:p>
    <w:p w:rsidR="005C032D" w:rsidRPr="00EF4476" w:rsidRDefault="005C032D" w:rsidP="00192DFC">
      <w:pPr>
        <w:keepNext/>
        <w:numPr>
          <w:ilvl w:val="1"/>
          <w:numId w:val="3"/>
        </w:numPr>
        <w:spacing w:before="240" w:line="276" w:lineRule="auto"/>
        <w:jc w:val="both"/>
        <w:outlineLvl w:val="0"/>
        <w:rPr>
          <w:b/>
          <w:bCs/>
        </w:rPr>
      </w:pPr>
      <w:r w:rsidRPr="00EF4476">
        <w:rPr>
          <w:b/>
          <w:bCs/>
        </w:rPr>
        <w:t>Politicko-bezpečnostní situace</w:t>
      </w:r>
    </w:p>
    <w:p w:rsidR="007706AF" w:rsidRDefault="007706AF" w:rsidP="007706AF">
      <w:pPr>
        <w:spacing w:before="120" w:line="276" w:lineRule="auto"/>
        <w:ind w:firstLine="709"/>
        <w:jc w:val="both"/>
      </w:pPr>
      <w:r>
        <w:t>Politická scéna v Bosně a Hercegovině (</w:t>
      </w:r>
      <w:proofErr w:type="spellStart"/>
      <w:r>
        <w:t>BaH</w:t>
      </w:r>
      <w:proofErr w:type="spellEnd"/>
      <w:r>
        <w:t xml:space="preserve">) čelí dlouhodobému problému rozdělení země podle národnostního klíče. </w:t>
      </w:r>
      <w:r w:rsidRPr="00892A60">
        <w:t>K pozitivnímu vývoji nepřispívá ani velmi komplikovaný politický a správní systém.</w:t>
      </w:r>
      <w:r w:rsidRPr="007706AF">
        <w:t xml:space="preserve"> </w:t>
      </w:r>
      <w:r>
        <w:t xml:space="preserve">Zástupci jednotlivých etnických skupin mají k </w:t>
      </w:r>
      <w:proofErr w:type="spellStart"/>
      <w:r>
        <w:t>BaH</w:t>
      </w:r>
      <w:proofErr w:type="spellEnd"/>
      <w:r>
        <w:t xml:space="preserve"> jako státu velmi diferencovaný přístup. Bosňáci v zásadě podporují jednotu státu se silnou rolí centrální vlády, zatímco bosenští Chorvaté a bosenští Srbové požadují větší míru autonomie. Separatistické tendence vykazuje Republika srbská (RS) v </w:t>
      </w:r>
      <w:proofErr w:type="spellStart"/>
      <w:r>
        <w:t>BaH</w:t>
      </w:r>
      <w:proofErr w:type="spellEnd"/>
      <w:r>
        <w:t xml:space="preserve">, jejíž představitelé dlouhodobě deklarují snahu o možné, avšak nerealistické odtržení od </w:t>
      </w:r>
      <w:proofErr w:type="spellStart"/>
      <w:r>
        <w:t>BaH</w:t>
      </w:r>
      <w:proofErr w:type="spellEnd"/>
      <w:r>
        <w:t xml:space="preserve">. </w:t>
      </w:r>
    </w:p>
    <w:p w:rsidR="007706AF" w:rsidRDefault="007706AF" w:rsidP="007706AF">
      <w:pPr>
        <w:spacing w:before="120" w:line="276" w:lineRule="auto"/>
        <w:ind w:firstLine="709"/>
        <w:jc w:val="both"/>
      </w:pPr>
      <w:r>
        <w:t xml:space="preserve">Základním formálním principem zahraniční a bezpečnostní politiky </w:t>
      </w:r>
      <w:proofErr w:type="spellStart"/>
      <w:r>
        <w:t>BaH</w:t>
      </w:r>
      <w:proofErr w:type="spellEnd"/>
      <w:r>
        <w:t xml:space="preserve"> je zapojení do evropského a euro-atlantického integračního procesu. </w:t>
      </w:r>
      <w:r w:rsidRPr="00CB46D9">
        <w:t>Nedostatek politického konsenzu negativně ovlivňuje i směřování země v oblasti obrany i rozvoj společné armády.</w:t>
      </w:r>
      <w:r>
        <w:t xml:space="preserve"> </w:t>
      </w:r>
      <w:r w:rsidRPr="001A3484">
        <w:t xml:space="preserve">Ačkoli země formálně směřuje dlouhodobě ke členství v NATO, zejména Republika srbská odmítá naplňovat proces přidružení země k Alianci. Již od roku 2010 odmítá převést vlastnictví vojenských nemovitostí na stát, v reakci na ruskou iniciativu vyhlásila v roce 2017 vojenskou neutralitu a od prosince 2018 brání v předložení Ročního národního plánu Alianci. Blokuje tedy formální zahájení plánu přidružení </w:t>
      </w:r>
      <w:proofErr w:type="spellStart"/>
      <w:r w:rsidRPr="001A3484">
        <w:t>BaH</w:t>
      </w:r>
      <w:proofErr w:type="spellEnd"/>
      <w:r w:rsidRPr="001A3484">
        <w:t xml:space="preserve"> do NATO.</w:t>
      </w:r>
      <w:r>
        <w:t xml:space="preserve"> </w:t>
      </w:r>
    </w:p>
    <w:p w:rsidR="007706AF" w:rsidRDefault="007706AF" w:rsidP="007706AF">
      <w:pPr>
        <w:spacing w:before="120" w:line="276" w:lineRule="auto"/>
        <w:ind w:firstLine="709"/>
        <w:jc w:val="both"/>
      </w:pPr>
      <w:proofErr w:type="spellStart"/>
      <w:r>
        <w:t>BaH</w:t>
      </w:r>
      <w:proofErr w:type="spellEnd"/>
      <w:r>
        <w:t xml:space="preserve"> podala v únoru 2016 žádost o členství v EU. Podle Stanoviska Evropské komise z května 2019 však </w:t>
      </w:r>
      <w:proofErr w:type="spellStart"/>
      <w:r>
        <w:t>BaH</w:t>
      </w:r>
      <w:proofErr w:type="spellEnd"/>
      <w:r>
        <w:t xml:space="preserve"> prozatím nesplňuje kritéria, aby se mohla zahájit přístupová jednání. </w:t>
      </w:r>
      <w:proofErr w:type="spellStart"/>
      <w:r>
        <w:t>BaH</w:t>
      </w:r>
      <w:proofErr w:type="spellEnd"/>
      <w:r>
        <w:t xml:space="preserve"> nedostatečně plní kritéria týkající se institucionální stability, která zaručuje demokracii, právní stát, lidská práva a respektování a ochranu menšin. </w:t>
      </w:r>
      <w:proofErr w:type="spellStart"/>
      <w:r>
        <w:t>BaH</w:t>
      </w:r>
      <w:proofErr w:type="spellEnd"/>
      <w:r>
        <w:t xml:space="preserve"> bude muset také zlepšit volební systém a fungování soudnictví a provést reformy v řadě dalších oblastí.</w:t>
      </w:r>
    </w:p>
    <w:p w:rsidR="007706AF" w:rsidRDefault="007706AF" w:rsidP="007706AF">
      <w:pPr>
        <w:spacing w:before="120" w:line="276" w:lineRule="auto"/>
        <w:ind w:firstLine="709"/>
        <w:jc w:val="both"/>
      </w:pPr>
      <w:r>
        <w:t xml:space="preserve">V roce 2020 si </w:t>
      </w:r>
      <w:proofErr w:type="spellStart"/>
      <w:r>
        <w:t>BaH</w:t>
      </w:r>
      <w:proofErr w:type="spellEnd"/>
      <w:r>
        <w:t xml:space="preserve"> připomínala 25 let od Daytonsk</w:t>
      </w:r>
      <w:r w:rsidR="00BE20D8">
        <w:t>é smlouvy a 25 let od masakru v </w:t>
      </w:r>
      <w:proofErr w:type="spellStart"/>
      <w:r>
        <w:t>Srebrenici</w:t>
      </w:r>
      <w:proofErr w:type="spellEnd"/>
      <w:r>
        <w:t>. Taktéž se v zemi konaly komunální volby, které znovu ukázaly nedostatky ve volebním systému – zejména v legislativě, v organizaci voleb a v dohledu nad dodržováním práva. To vytváří značný prostor pro neregulérnosti před, během i po průběhu voleb. Nemusí být zpochybněny celé volby, ale mohou být ovlivněny výsledky tam, kde jsou těsné rozdíly. Dalším problémem jsou převážně nacionalisticky zaměřené politické strany ve vedení země, které štěpí společnost, ale přispívají i k mediální polarizaci, která odráží politické a etnické rozdíly v zemi. Velmi negativním dopadem je pokles důvěr</w:t>
      </w:r>
      <w:r w:rsidR="00BE20D8">
        <w:t>y občanů ve volby jako takové a </w:t>
      </w:r>
      <w:r>
        <w:t>útoky na důvěryhodnost Ústřední volební komise i její neochota ke konstruktivní komunikaci s veřejností. Volby se poprvé po 12 letech konaly t</w:t>
      </w:r>
      <w:r w:rsidR="008949FE">
        <w:t>aké v Mostaru.</w:t>
      </w:r>
    </w:p>
    <w:p w:rsidR="007706AF" w:rsidRDefault="007706AF" w:rsidP="007706AF">
      <w:pPr>
        <w:spacing w:before="120" w:line="276" w:lineRule="auto"/>
        <w:ind w:firstLine="709"/>
        <w:jc w:val="both"/>
      </w:pPr>
      <w:r>
        <w:lastRenderedPageBreak/>
        <w:t xml:space="preserve">Bezpečnostní situace v zemi je celkově stabilní, s výjimkou občasných incidentů. Projevy násilí se nejčastěji týkají chuligánství a vyřizování účtů mezi skupinami organizovaného zločinu. </w:t>
      </w:r>
    </w:p>
    <w:p w:rsidR="005C032D" w:rsidRPr="00EF4476" w:rsidRDefault="005C032D" w:rsidP="00192DFC">
      <w:pPr>
        <w:keepNext/>
        <w:numPr>
          <w:ilvl w:val="1"/>
          <w:numId w:val="3"/>
        </w:numPr>
        <w:spacing w:before="240" w:line="276" w:lineRule="auto"/>
        <w:jc w:val="both"/>
        <w:outlineLvl w:val="0"/>
        <w:rPr>
          <w:b/>
          <w:bCs/>
        </w:rPr>
      </w:pPr>
      <w:r w:rsidRPr="00EF4476">
        <w:rPr>
          <w:b/>
          <w:bCs/>
        </w:rPr>
        <w:t xml:space="preserve">Působení příslušníků rezortu MO v operaci EU </w:t>
      </w:r>
      <w:proofErr w:type="spellStart"/>
      <w:r w:rsidR="008B2CBC">
        <w:rPr>
          <w:b/>
          <w:bCs/>
        </w:rPr>
        <w:t>Althea</w:t>
      </w:r>
      <w:proofErr w:type="spellEnd"/>
    </w:p>
    <w:p w:rsidR="005C032D" w:rsidRPr="000D0CF7" w:rsidRDefault="005C032D" w:rsidP="00F95A45">
      <w:pPr>
        <w:spacing w:before="120" w:line="276" w:lineRule="auto"/>
        <w:ind w:firstLine="709"/>
        <w:jc w:val="both"/>
      </w:pPr>
      <w:r w:rsidRPr="000D0CF7">
        <w:t xml:space="preserve">Mandát pro působení sil a prostředků </w:t>
      </w:r>
      <w:r w:rsidR="0048374A">
        <w:t xml:space="preserve">rezortu </w:t>
      </w:r>
      <w:r w:rsidRPr="000D0CF7">
        <w:t xml:space="preserve">MO v operaci EU </w:t>
      </w:r>
      <w:proofErr w:type="spellStart"/>
      <w:r w:rsidR="008B2CBC">
        <w:t>Althea</w:t>
      </w:r>
      <w:proofErr w:type="spellEnd"/>
      <w:r w:rsidRPr="000D0CF7">
        <w:t xml:space="preserve"> </w:t>
      </w:r>
      <w:r w:rsidR="0048374A">
        <w:t>v roce</w:t>
      </w:r>
      <w:r w:rsidRPr="000D0CF7">
        <w:t xml:space="preserve"> </w:t>
      </w:r>
      <w:r w:rsidR="00A36F87">
        <w:t>2020</w:t>
      </w:r>
      <w:r w:rsidRPr="000D0CF7">
        <w:t xml:space="preserve"> </w:t>
      </w:r>
      <w:r w:rsidR="0048374A" w:rsidRPr="000D0CF7">
        <w:t xml:space="preserve">byl </w:t>
      </w:r>
      <w:r w:rsidRPr="000D0CF7">
        <w:t>stanoven do 2 osob.</w:t>
      </w:r>
    </w:p>
    <w:p w:rsidR="005C032D" w:rsidRPr="000D0CF7" w:rsidRDefault="0048374A" w:rsidP="00F95A45">
      <w:pPr>
        <w:spacing w:before="120" w:line="276" w:lineRule="auto"/>
        <w:ind w:firstLine="709"/>
        <w:jc w:val="both"/>
      </w:pPr>
      <w:r>
        <w:t>Oba p</w:t>
      </w:r>
      <w:r w:rsidR="005C032D" w:rsidRPr="000D0CF7">
        <w:t>řísl</w:t>
      </w:r>
      <w:r w:rsidR="0061080D">
        <w:t>ušníci</w:t>
      </w:r>
      <w:r w:rsidR="00297AB9">
        <w:t xml:space="preserve"> rezortu MO</w:t>
      </w:r>
      <w:r w:rsidR="0061080D">
        <w:t xml:space="preserve"> působili </w:t>
      </w:r>
      <w:r w:rsidR="005C032D" w:rsidRPr="000D0CF7">
        <w:t xml:space="preserve">na velitelství operace </w:t>
      </w:r>
      <w:r w:rsidR="005C032D">
        <w:t xml:space="preserve">na základně </w:t>
      </w:r>
      <w:proofErr w:type="spellStart"/>
      <w:r w:rsidR="005C032D">
        <w:t>Butmir</w:t>
      </w:r>
      <w:proofErr w:type="spellEnd"/>
      <w:r w:rsidR="005C032D">
        <w:t xml:space="preserve"> v </w:t>
      </w:r>
      <w:r w:rsidR="005C032D" w:rsidRPr="000D0CF7">
        <w:t xml:space="preserve">Sarajevu. </w:t>
      </w:r>
      <w:r w:rsidR="00A36F87">
        <w:t>Jeden</w:t>
      </w:r>
      <w:r w:rsidR="00297AB9">
        <w:t xml:space="preserve"> se </w:t>
      </w:r>
      <w:r w:rsidR="00A36F87">
        <w:t xml:space="preserve">podílel na </w:t>
      </w:r>
      <w:r w:rsidR="00F662EA">
        <w:t>monitorovací činnosti</w:t>
      </w:r>
      <w:r w:rsidR="005C032D" w:rsidRPr="000D0CF7">
        <w:t xml:space="preserve"> a poradenství </w:t>
      </w:r>
      <w:r w:rsidR="00297AB9">
        <w:t>zaměřen</w:t>
      </w:r>
      <w:r w:rsidR="00152885">
        <w:t>é</w:t>
      </w:r>
      <w:r w:rsidR="00297AB9">
        <w:t xml:space="preserve"> na</w:t>
      </w:r>
      <w:r w:rsidR="005C032D" w:rsidRPr="000D0CF7">
        <w:t xml:space="preserve"> rozvoj schopností Ozbrojených sil Bosny a Hercegovi</w:t>
      </w:r>
      <w:r>
        <w:t>ny v oblasti skladování zbraní a m</w:t>
      </w:r>
      <w:r w:rsidR="005C032D" w:rsidRPr="000D0CF7">
        <w:t>unice</w:t>
      </w:r>
      <w:r w:rsidR="00A36F87">
        <w:t>, druhý důstojník pracoval v systému ochrany sil a na Společném operačním centru operace.</w:t>
      </w:r>
    </w:p>
    <w:p w:rsidR="00694C2D" w:rsidRPr="0078367C" w:rsidRDefault="00694C2D" w:rsidP="000D23F4">
      <w:pPr>
        <w:keepNext/>
        <w:numPr>
          <w:ilvl w:val="0"/>
          <w:numId w:val="2"/>
        </w:numPr>
        <w:spacing w:before="360" w:after="120" w:line="276" w:lineRule="auto"/>
        <w:ind w:left="431" w:hanging="431"/>
        <w:jc w:val="both"/>
        <w:outlineLvl w:val="0"/>
        <w:rPr>
          <w:b/>
          <w:bCs/>
        </w:rPr>
      </w:pPr>
      <w:r w:rsidRPr="0078367C">
        <w:rPr>
          <w:b/>
          <w:bCs/>
        </w:rPr>
        <w:t>Kosovo</w:t>
      </w:r>
    </w:p>
    <w:p w:rsidR="00694C2D" w:rsidRPr="00EF4476" w:rsidRDefault="009641B9" w:rsidP="00192DFC">
      <w:pPr>
        <w:keepNext/>
        <w:numPr>
          <w:ilvl w:val="1"/>
          <w:numId w:val="3"/>
        </w:numPr>
        <w:spacing w:before="240" w:line="276" w:lineRule="auto"/>
        <w:jc w:val="both"/>
        <w:outlineLvl w:val="0"/>
        <w:rPr>
          <w:b/>
          <w:bCs/>
        </w:rPr>
      </w:pPr>
      <w:r w:rsidRPr="00EF4476">
        <w:rPr>
          <w:b/>
          <w:bCs/>
        </w:rPr>
        <w:t>Politicko-</w:t>
      </w:r>
      <w:r w:rsidR="00694C2D" w:rsidRPr="00EF4476">
        <w:rPr>
          <w:b/>
          <w:bCs/>
        </w:rPr>
        <w:t>bezpečnostní situace</w:t>
      </w:r>
    </w:p>
    <w:p w:rsidR="007706AF" w:rsidRDefault="007706AF" w:rsidP="007706AF">
      <w:pPr>
        <w:spacing w:before="120" w:line="276" w:lineRule="auto"/>
        <w:ind w:firstLine="709"/>
        <w:jc w:val="both"/>
      </w:pPr>
      <w:r>
        <w:t>Kosovská politická scéna je charakterizována dlouhodobou nestabilitou a napětím mezi politickou reprezentací většinových etnických Albánců a srbskou menšinou. Bezpečnostní situace je stabilní, ale s řadou přetrvávajícíc</w:t>
      </w:r>
      <w:r w:rsidR="00BE20D8">
        <w:t>h rizik. V tomto ohledu patří k </w:t>
      </w:r>
      <w:r>
        <w:t>nejcitlivějším oblast severu Kosova, a to nejen kvůli mezietnickým vztahům, ale i díky rozsáhlému organizovanému zločinu. Případné náhlé zh</w:t>
      </w:r>
      <w:r w:rsidR="003D1B0F">
        <w:t>oršení vztahů mezi Bělehradem a </w:t>
      </w:r>
      <w:proofErr w:type="spellStart"/>
      <w:r>
        <w:t>Prištinou</w:t>
      </w:r>
      <w:proofErr w:type="spellEnd"/>
      <w:r>
        <w:t xml:space="preserve"> by mohlo zvýšit i bezpečnostní rizika. </w:t>
      </w:r>
    </w:p>
    <w:p w:rsidR="007706AF" w:rsidRDefault="007706AF" w:rsidP="007706AF">
      <w:pPr>
        <w:spacing w:before="120" w:line="276" w:lineRule="auto"/>
        <w:ind w:firstLine="709"/>
        <w:jc w:val="both"/>
      </w:pPr>
      <w:r>
        <w:t>Členství v EU a v NATO považuje Kosovo za svůj strategický cíl, který se těší vysoké podpoře veřejnosti. Jednou z klíčových podmínek na cestě ke vstupu Kosova do EU je pokračování dialogu s Bělehradem, který by měl vyvrcholit uzavřením komplexní a právně závazné</w:t>
      </w:r>
      <w:r w:rsidR="00BE20D8">
        <w:t xml:space="preserve"> smlouvy o normalizaci vztahů. </w:t>
      </w:r>
      <w:r w:rsidR="008A2CCA">
        <w:t>Pokrok v</w:t>
      </w:r>
      <w:r>
        <w:t xml:space="preserve"> dialogu však od roku 2018 stagnuje kvůli neochotě představitelů Kosova i Srbska přistoupit na kompromisy, ale také z důvodu politické nestability v Kosovu.</w:t>
      </w:r>
    </w:p>
    <w:p w:rsidR="007706AF" w:rsidRDefault="007706AF" w:rsidP="007706AF">
      <w:pPr>
        <w:spacing w:before="120" w:line="276" w:lineRule="auto"/>
        <w:ind w:firstLine="709"/>
        <w:jc w:val="both"/>
      </w:pPr>
      <w:r>
        <w:t>Politické prostředí v roce 2020 neuklidnil ani vznik nové vlády na základě výsledků předčasných parlamentních voleb z října 2019. V únoru sestavená vláda se po měsíci rozpadla a mandát další vlády byl rozhodnutím Ústavního soudu posouzen jako nezákonný, což si vyžádalo organizaci dalších předčasných voleb. V listopadu 20</w:t>
      </w:r>
      <w:r w:rsidR="003D1B0F">
        <w:t>20 navíc odstoupil kosovský prez</w:t>
      </w:r>
      <w:r>
        <w:t xml:space="preserve">ident </w:t>
      </w:r>
      <w:proofErr w:type="spellStart"/>
      <w:r>
        <w:t>Hashim</w:t>
      </w:r>
      <w:proofErr w:type="spellEnd"/>
      <w:r>
        <w:t xml:space="preserve"> </w:t>
      </w:r>
      <w:proofErr w:type="spellStart"/>
      <w:r>
        <w:t>Thaci</w:t>
      </w:r>
      <w:proofErr w:type="spellEnd"/>
      <w:r>
        <w:t xml:space="preserve"> kvůli obvinění z válečných zloč</w:t>
      </w:r>
      <w:r w:rsidR="00BE20D8">
        <w:t>inů a zločinů proti lidskosti u </w:t>
      </w:r>
      <w:r>
        <w:t xml:space="preserve">tribunálu v Haagu. </w:t>
      </w:r>
      <w:proofErr w:type="spellStart"/>
      <w:r>
        <w:t>Hashim</w:t>
      </w:r>
      <w:proofErr w:type="spellEnd"/>
      <w:r>
        <w:t xml:space="preserve"> </w:t>
      </w:r>
      <w:proofErr w:type="spellStart"/>
      <w:r>
        <w:t>Thaci</w:t>
      </w:r>
      <w:proofErr w:type="spellEnd"/>
      <w:r>
        <w:t xml:space="preserve"> patřil k velitelům Kosovské osvobozenecké armády (UCK), vinu odmítá, ale pokud ho soud shledá vinným, hrozí mu až doživotní vězení. </w:t>
      </w:r>
    </w:p>
    <w:p w:rsidR="00694C2D" w:rsidRPr="00EF4476" w:rsidRDefault="00694C2D" w:rsidP="00192DFC">
      <w:pPr>
        <w:keepNext/>
        <w:numPr>
          <w:ilvl w:val="1"/>
          <w:numId w:val="3"/>
        </w:numPr>
        <w:spacing w:before="240" w:line="276" w:lineRule="auto"/>
        <w:jc w:val="both"/>
        <w:outlineLvl w:val="0"/>
        <w:rPr>
          <w:b/>
          <w:bCs/>
        </w:rPr>
      </w:pPr>
      <w:r w:rsidRPr="00EF4476">
        <w:rPr>
          <w:b/>
          <w:bCs/>
        </w:rPr>
        <w:t>Působení sil a prostředků rezortu MO v</w:t>
      </w:r>
      <w:r w:rsidR="00107617" w:rsidRPr="00EF4476">
        <w:rPr>
          <w:b/>
          <w:bCs/>
        </w:rPr>
        <w:t xml:space="preserve"> operaci </w:t>
      </w:r>
      <w:r w:rsidR="008B2CBC">
        <w:rPr>
          <w:b/>
          <w:bCs/>
        </w:rPr>
        <w:t>Joint</w:t>
      </w:r>
      <w:r w:rsidR="00107617" w:rsidRPr="00EF4476">
        <w:rPr>
          <w:b/>
          <w:bCs/>
        </w:rPr>
        <w:t xml:space="preserve"> </w:t>
      </w:r>
      <w:proofErr w:type="spellStart"/>
      <w:r w:rsidR="00107617" w:rsidRPr="00EF4476">
        <w:rPr>
          <w:b/>
          <w:bCs/>
        </w:rPr>
        <w:t>E</w:t>
      </w:r>
      <w:r w:rsidR="008B2CBC">
        <w:rPr>
          <w:b/>
          <w:bCs/>
        </w:rPr>
        <w:t>nterprise</w:t>
      </w:r>
      <w:proofErr w:type="spellEnd"/>
      <w:r w:rsidR="005332CD" w:rsidRPr="00EF4476">
        <w:rPr>
          <w:b/>
          <w:bCs/>
        </w:rPr>
        <w:t xml:space="preserve"> </w:t>
      </w:r>
    </w:p>
    <w:p w:rsidR="0048374A" w:rsidRDefault="00AB51E2" w:rsidP="00F95A45">
      <w:pPr>
        <w:spacing w:before="120" w:line="276" w:lineRule="auto"/>
        <w:ind w:firstLine="709"/>
        <w:jc w:val="both"/>
        <w:rPr>
          <w:lang w:eastAsia="x-none"/>
        </w:rPr>
      </w:pPr>
      <w:r w:rsidRPr="000D0CF7">
        <w:rPr>
          <w:lang w:val="x-none" w:eastAsia="x-none"/>
        </w:rPr>
        <w:t xml:space="preserve">Mandát pro působení sil a prostředků </w:t>
      </w:r>
      <w:r w:rsidR="00D436A6">
        <w:rPr>
          <w:lang w:eastAsia="x-none"/>
        </w:rPr>
        <w:t xml:space="preserve">rezortu </w:t>
      </w:r>
      <w:r w:rsidRPr="000D0CF7">
        <w:rPr>
          <w:lang w:val="x-none" w:eastAsia="x-none"/>
        </w:rPr>
        <w:t>MO v operaci</w:t>
      </w:r>
      <w:r w:rsidR="00FD225B">
        <w:rPr>
          <w:lang w:eastAsia="x-none"/>
        </w:rPr>
        <w:t xml:space="preserve"> Joint </w:t>
      </w:r>
      <w:proofErr w:type="spellStart"/>
      <w:r w:rsidR="00FD225B">
        <w:rPr>
          <w:lang w:eastAsia="x-none"/>
        </w:rPr>
        <w:t>Enterprise</w:t>
      </w:r>
      <w:proofErr w:type="spellEnd"/>
      <w:r w:rsidRPr="000D0CF7">
        <w:rPr>
          <w:lang w:val="x-none" w:eastAsia="x-none"/>
        </w:rPr>
        <w:t xml:space="preserve"> </w:t>
      </w:r>
      <w:r w:rsidR="00D436A6">
        <w:rPr>
          <w:lang w:eastAsia="x-none"/>
        </w:rPr>
        <w:t xml:space="preserve">v roce </w:t>
      </w:r>
      <w:r w:rsidR="00401FD3">
        <w:rPr>
          <w:lang w:eastAsia="x-none"/>
        </w:rPr>
        <w:t>2020</w:t>
      </w:r>
      <w:r w:rsidRPr="000D0CF7">
        <w:rPr>
          <w:lang w:val="x-none" w:eastAsia="x-none"/>
        </w:rPr>
        <w:t xml:space="preserve"> byl stanoven do </w:t>
      </w:r>
      <w:r w:rsidRPr="000D0CF7">
        <w:rPr>
          <w:lang w:eastAsia="x-none"/>
        </w:rPr>
        <w:t>10</w:t>
      </w:r>
      <w:r w:rsidRPr="000D0CF7">
        <w:rPr>
          <w:lang w:val="x-none" w:eastAsia="x-none"/>
        </w:rPr>
        <w:t xml:space="preserve"> osob.</w:t>
      </w:r>
      <w:r w:rsidRPr="000D0CF7">
        <w:rPr>
          <w:lang w:eastAsia="x-none"/>
        </w:rPr>
        <w:t xml:space="preserve"> </w:t>
      </w:r>
    </w:p>
    <w:p w:rsidR="00AB51E2" w:rsidRPr="00401FD3" w:rsidRDefault="0048374A" w:rsidP="00F95A45">
      <w:pPr>
        <w:spacing w:before="120" w:line="276" w:lineRule="auto"/>
        <w:ind w:firstLine="709"/>
        <w:jc w:val="both"/>
        <w:rPr>
          <w:lang w:eastAsia="x-none"/>
        </w:rPr>
      </w:pPr>
      <w:r>
        <w:rPr>
          <w:lang w:eastAsia="x-none"/>
        </w:rPr>
        <w:t>V</w:t>
      </w:r>
      <w:r w:rsidR="00AB51E2" w:rsidRPr="000D0CF7">
        <w:rPr>
          <w:lang w:eastAsia="x-none"/>
        </w:rPr>
        <w:t xml:space="preserve"> operaci </w:t>
      </w:r>
      <w:r>
        <w:rPr>
          <w:lang w:eastAsia="x-none"/>
        </w:rPr>
        <w:t xml:space="preserve">reálně </w:t>
      </w:r>
      <w:r w:rsidR="00AB51E2" w:rsidRPr="000D0CF7">
        <w:rPr>
          <w:lang w:eastAsia="x-none"/>
        </w:rPr>
        <w:t xml:space="preserve">působilo </w:t>
      </w:r>
      <w:r w:rsidR="00401FD3">
        <w:rPr>
          <w:lang w:eastAsia="x-none"/>
        </w:rPr>
        <w:t xml:space="preserve">zprvu </w:t>
      </w:r>
      <w:r w:rsidR="00AB51E2" w:rsidRPr="000D0CF7">
        <w:rPr>
          <w:lang w:eastAsia="x-none"/>
        </w:rPr>
        <w:t xml:space="preserve">9 </w:t>
      </w:r>
      <w:r w:rsidR="00401FD3">
        <w:rPr>
          <w:lang w:eastAsia="x-none"/>
        </w:rPr>
        <w:t xml:space="preserve">a ve 2. polovině 2020 5 českých vojáků </w:t>
      </w:r>
      <w:r w:rsidR="0061080D">
        <w:rPr>
          <w:lang w:eastAsia="x-none"/>
        </w:rPr>
        <w:t xml:space="preserve">na základně KFOR (Kosovo </w:t>
      </w:r>
      <w:proofErr w:type="spellStart"/>
      <w:r w:rsidR="0061080D">
        <w:rPr>
          <w:lang w:eastAsia="x-none"/>
        </w:rPr>
        <w:t>Force</w:t>
      </w:r>
      <w:proofErr w:type="spellEnd"/>
      <w:r w:rsidR="0061080D">
        <w:rPr>
          <w:lang w:eastAsia="x-none"/>
        </w:rPr>
        <w:t>) v</w:t>
      </w:r>
      <w:r w:rsidR="00D436A6">
        <w:rPr>
          <w:lang w:eastAsia="x-none"/>
        </w:rPr>
        <w:t> </w:t>
      </w:r>
      <w:proofErr w:type="spellStart"/>
      <w:r w:rsidR="0061080D">
        <w:rPr>
          <w:lang w:eastAsia="x-none"/>
        </w:rPr>
        <w:t>Prištině</w:t>
      </w:r>
      <w:proofErr w:type="spellEnd"/>
      <w:r w:rsidR="00D436A6">
        <w:rPr>
          <w:lang w:eastAsia="x-none"/>
        </w:rPr>
        <w:t>,</w:t>
      </w:r>
      <w:r>
        <w:rPr>
          <w:lang w:eastAsia="x-none"/>
        </w:rPr>
        <w:t xml:space="preserve"> kde </w:t>
      </w:r>
      <w:r w:rsidR="00AB51E2" w:rsidRPr="000D0CF7">
        <w:rPr>
          <w:lang w:val="x-none" w:eastAsia="x-none"/>
        </w:rPr>
        <w:t>plnil</w:t>
      </w:r>
      <w:r w:rsidR="001F59A1">
        <w:rPr>
          <w:lang w:eastAsia="x-none"/>
        </w:rPr>
        <w:t>i</w:t>
      </w:r>
      <w:r w:rsidR="00AB51E2" w:rsidRPr="000D0CF7">
        <w:rPr>
          <w:lang w:val="x-none" w:eastAsia="x-none"/>
        </w:rPr>
        <w:t xml:space="preserve"> úkoly </w:t>
      </w:r>
      <w:r w:rsidR="001F59A1">
        <w:rPr>
          <w:lang w:eastAsia="x-none"/>
        </w:rPr>
        <w:t>plynoucí</w:t>
      </w:r>
      <w:r w:rsidR="00AB51E2" w:rsidRPr="000D0CF7">
        <w:rPr>
          <w:lang w:val="x-none" w:eastAsia="x-none"/>
        </w:rPr>
        <w:t xml:space="preserve"> z jejich zařazení </w:t>
      </w:r>
      <w:r>
        <w:rPr>
          <w:lang w:eastAsia="x-none"/>
        </w:rPr>
        <w:t>ve velitelské struktuře</w:t>
      </w:r>
      <w:r w:rsidR="00AB51E2" w:rsidRPr="000D0CF7">
        <w:rPr>
          <w:lang w:val="x-none" w:eastAsia="x-none"/>
        </w:rPr>
        <w:t xml:space="preserve"> KFOR. </w:t>
      </w:r>
      <w:r w:rsidR="00401FD3">
        <w:rPr>
          <w:lang w:eastAsia="x-none"/>
        </w:rPr>
        <w:t>Ke snížení počtu našich vojáků došlo v souvislosti se strukturálními změnami na velitelství, díky nimž některé funkce zanikly nebo byly sloučeny s jinými.</w:t>
      </w:r>
    </w:p>
    <w:p w:rsidR="005C032D" w:rsidRPr="0078367C" w:rsidRDefault="00F8706D" w:rsidP="000D23F4">
      <w:pPr>
        <w:keepNext/>
        <w:numPr>
          <w:ilvl w:val="0"/>
          <w:numId w:val="2"/>
        </w:numPr>
        <w:spacing w:before="360" w:after="120" w:line="276" w:lineRule="auto"/>
        <w:ind w:left="431" w:hanging="431"/>
        <w:jc w:val="both"/>
        <w:outlineLvl w:val="0"/>
        <w:rPr>
          <w:b/>
          <w:bCs/>
        </w:rPr>
      </w:pPr>
      <w:r w:rsidRPr="0078367C">
        <w:rPr>
          <w:b/>
          <w:bCs/>
        </w:rPr>
        <w:lastRenderedPageBreak/>
        <w:t>Litv</w:t>
      </w:r>
      <w:r w:rsidR="002A69AB" w:rsidRPr="0078367C">
        <w:rPr>
          <w:b/>
          <w:bCs/>
        </w:rPr>
        <w:t>a,</w:t>
      </w:r>
      <w:r w:rsidR="00D7367B" w:rsidRPr="0078367C">
        <w:rPr>
          <w:b/>
          <w:bCs/>
        </w:rPr>
        <w:t xml:space="preserve"> </w:t>
      </w:r>
      <w:r w:rsidR="005C032D" w:rsidRPr="0078367C">
        <w:rPr>
          <w:b/>
          <w:bCs/>
        </w:rPr>
        <w:t>Lotyšsk</w:t>
      </w:r>
      <w:r w:rsidR="002A69AB" w:rsidRPr="0078367C">
        <w:rPr>
          <w:b/>
          <w:bCs/>
        </w:rPr>
        <w:t>o a Estonsko</w:t>
      </w:r>
    </w:p>
    <w:p w:rsidR="005C032D" w:rsidRPr="00EF4476" w:rsidRDefault="005C032D" w:rsidP="00192DFC">
      <w:pPr>
        <w:keepNext/>
        <w:numPr>
          <w:ilvl w:val="1"/>
          <w:numId w:val="3"/>
        </w:numPr>
        <w:spacing w:before="240" w:line="276" w:lineRule="auto"/>
        <w:jc w:val="both"/>
        <w:outlineLvl w:val="0"/>
        <w:rPr>
          <w:b/>
          <w:bCs/>
        </w:rPr>
      </w:pPr>
      <w:r w:rsidRPr="00EF4476">
        <w:rPr>
          <w:b/>
          <w:bCs/>
        </w:rPr>
        <w:t>Politicko-bezpečnostní situace</w:t>
      </w:r>
    </w:p>
    <w:p w:rsidR="00350B77" w:rsidRDefault="00350B77" w:rsidP="00350B77">
      <w:pPr>
        <w:pStyle w:val="normln-operace"/>
        <w:spacing w:before="120" w:after="0" w:line="276" w:lineRule="auto"/>
      </w:pPr>
      <w:r>
        <w:t xml:space="preserve">Bezpečnostní situace v jejich bezprostředním okolí se odrážela jak na zahraničně-politických a bezpečnostních prioritách </w:t>
      </w:r>
      <w:r w:rsidRPr="00350B77">
        <w:t>Litvy, Lotyšska a Estonska</w:t>
      </w:r>
      <w:r>
        <w:t>,</w:t>
      </w:r>
      <w:r w:rsidRPr="00350B77">
        <w:t xml:space="preserve"> </w:t>
      </w:r>
      <w:r>
        <w:t>tak i na podobě obranných politik těchto zemí. Členství v mezinárodních organizacích se stalo primárním nástrojem posilování jejich vlastní nezávislosti, bezp</w:t>
      </w:r>
      <w:r w:rsidR="00495AE2">
        <w:t>ečnosti, udržitelného rozvoje a </w:t>
      </w:r>
      <w:r>
        <w:t xml:space="preserve">prosazování zahraničně-politických zájmů. Alianční přítomnost v podobě posílené předsunuté přítomnosti považovaly </w:t>
      </w:r>
      <w:r w:rsidR="00650AB3">
        <w:t xml:space="preserve">všechny tři pobaltské státy </w:t>
      </w:r>
      <w:r>
        <w:t xml:space="preserve">za jasný signál a potvrzení spojeneckých závazků. </w:t>
      </w:r>
      <w:bookmarkStart w:id="0" w:name="_Toc431813553"/>
      <w:bookmarkEnd w:id="0"/>
    </w:p>
    <w:p w:rsidR="00350B77" w:rsidRDefault="00350B77" w:rsidP="00350B77">
      <w:pPr>
        <w:pStyle w:val="normln-operace"/>
        <w:spacing w:before="120" w:after="0" w:line="276" w:lineRule="auto"/>
      </w:pPr>
      <w:r w:rsidRPr="00350B77">
        <w:t>V roce 2020</w:t>
      </w:r>
      <w:r>
        <w:t xml:space="preserve"> byly základem obranné politiky </w:t>
      </w:r>
      <w:r w:rsidRPr="00350B77">
        <w:t>Litvy, Lotyšska a</w:t>
      </w:r>
      <w:r>
        <w:t xml:space="preserve"> </w:t>
      </w:r>
      <w:r w:rsidRPr="00350B77">
        <w:t xml:space="preserve">Estonska </w:t>
      </w:r>
      <w:r w:rsidR="00401FD3">
        <w:t>členství v </w:t>
      </w:r>
      <w:r>
        <w:t xml:space="preserve">NATO a regionální spolupráce s baltskými a skandinávskými zeměmi. Obranná politika </w:t>
      </w:r>
      <w:r w:rsidRPr="00350B77">
        <w:t xml:space="preserve">Litvy, Lotyšska a Estonska </w:t>
      </w:r>
      <w:r>
        <w:t xml:space="preserve">odrážela postupně se měnící bezpečnostně-politické prostředí, jeho aktuální trendy a snahu </w:t>
      </w:r>
      <w:r w:rsidRPr="00350B77">
        <w:t xml:space="preserve">Litvy, Lotyšska a Estonska </w:t>
      </w:r>
      <w:r>
        <w:t xml:space="preserve">působit jako věrohodný a spolehlivý regionální faktor kombinující nástroje konsolidace a odstrašení, navzdory dopadům </w:t>
      </w:r>
      <w:r w:rsidR="006F7D8D">
        <w:t xml:space="preserve">pandemie </w:t>
      </w:r>
      <w:r>
        <w:t>COVID</w:t>
      </w:r>
      <w:r w:rsidR="00161C53">
        <w:t>-</w:t>
      </w:r>
      <w:r>
        <w:t xml:space="preserve">19. Přítomnost jednotek Aliance na svém území označovaly </w:t>
      </w:r>
      <w:r w:rsidR="00495AE2">
        <w:t>Litva, Lotyšsko a </w:t>
      </w:r>
      <w:r w:rsidRPr="00350B77">
        <w:t xml:space="preserve">Estonsko </w:t>
      </w:r>
      <w:r>
        <w:t>za jasný signál solidarity a za výraz své důležitosti v alianční obranné architektuře. Na tom se ČR podílela zapojením svého kontingentu do aliančního prvku posílené předsunuté přítomnosti (EFP</w:t>
      </w:r>
      <w:r w:rsidR="00FD225B">
        <w:t>/</w:t>
      </w:r>
      <w:proofErr w:type="spellStart"/>
      <w:r w:rsidR="00FD225B">
        <w:t>Enhanced</w:t>
      </w:r>
      <w:proofErr w:type="spellEnd"/>
      <w:r w:rsidR="00FD225B">
        <w:t xml:space="preserve"> Forward Presence</w:t>
      </w:r>
      <w:r>
        <w:t>) v Litvě a Lotyšsku po celý rok 2020</w:t>
      </w:r>
      <w:r w:rsidR="00BD2B83">
        <w:t>.</w:t>
      </w:r>
    </w:p>
    <w:p w:rsidR="005C032D" w:rsidRPr="00EF4476" w:rsidRDefault="005C032D" w:rsidP="00192DFC">
      <w:pPr>
        <w:keepNext/>
        <w:numPr>
          <w:ilvl w:val="1"/>
          <w:numId w:val="3"/>
        </w:numPr>
        <w:spacing w:before="240" w:line="276" w:lineRule="auto"/>
        <w:jc w:val="both"/>
        <w:outlineLvl w:val="0"/>
        <w:rPr>
          <w:b/>
          <w:bCs/>
        </w:rPr>
      </w:pPr>
      <w:r w:rsidRPr="00EF4476">
        <w:rPr>
          <w:b/>
          <w:bCs/>
        </w:rPr>
        <w:t>Působení sil a prostředků rezortu MO v </w:t>
      </w:r>
      <w:r w:rsidR="008501CA" w:rsidRPr="00EF4476">
        <w:rPr>
          <w:b/>
          <w:bCs/>
        </w:rPr>
        <w:t>E</w:t>
      </w:r>
      <w:r w:rsidR="00D7367B" w:rsidRPr="00EF4476">
        <w:rPr>
          <w:b/>
          <w:bCs/>
        </w:rPr>
        <w:t>FP</w:t>
      </w:r>
    </w:p>
    <w:p w:rsidR="00D74CD4" w:rsidRDefault="005063B3" w:rsidP="00DE134A">
      <w:pPr>
        <w:spacing w:before="120" w:line="276" w:lineRule="auto"/>
        <w:ind w:firstLine="709"/>
        <w:jc w:val="both"/>
        <w:rPr>
          <w:snapToGrid w:val="0"/>
          <w:color w:val="000000"/>
          <w:szCs w:val="20"/>
        </w:rPr>
      </w:pPr>
      <w:r>
        <w:rPr>
          <w:snapToGrid w:val="0"/>
          <w:color w:val="000000"/>
          <w:szCs w:val="20"/>
        </w:rPr>
        <w:t>Platný m</w:t>
      </w:r>
      <w:r w:rsidR="005A01A9" w:rsidRPr="005A01A9">
        <w:rPr>
          <w:snapToGrid w:val="0"/>
          <w:color w:val="000000"/>
          <w:szCs w:val="20"/>
        </w:rPr>
        <w:t xml:space="preserve">andát umožňoval </w:t>
      </w:r>
      <w:r w:rsidR="005A01A9">
        <w:rPr>
          <w:snapToGrid w:val="0"/>
          <w:color w:val="000000"/>
          <w:szCs w:val="20"/>
        </w:rPr>
        <w:t>působení sil a p</w:t>
      </w:r>
      <w:r>
        <w:rPr>
          <w:snapToGrid w:val="0"/>
          <w:color w:val="000000"/>
          <w:szCs w:val="20"/>
        </w:rPr>
        <w:t xml:space="preserve">rostředků rezortu MO v rámci </w:t>
      </w:r>
      <w:r w:rsidR="008501CA">
        <w:rPr>
          <w:snapToGrid w:val="0"/>
          <w:color w:val="000000"/>
          <w:szCs w:val="20"/>
        </w:rPr>
        <w:t>E</w:t>
      </w:r>
      <w:r w:rsidR="005A01A9">
        <w:rPr>
          <w:snapToGrid w:val="0"/>
          <w:color w:val="000000"/>
          <w:szCs w:val="20"/>
        </w:rPr>
        <w:t>FP na území Polska, Estonska, Litvy a Lotyšska</w:t>
      </w:r>
      <w:r w:rsidR="00737E75">
        <w:rPr>
          <w:snapToGrid w:val="0"/>
          <w:color w:val="000000"/>
          <w:szCs w:val="20"/>
        </w:rPr>
        <w:t xml:space="preserve"> </w:t>
      </w:r>
      <w:r w:rsidR="00D436A6">
        <w:rPr>
          <w:snapToGrid w:val="0"/>
          <w:color w:val="000000"/>
          <w:szCs w:val="20"/>
        </w:rPr>
        <w:t xml:space="preserve">v roce </w:t>
      </w:r>
      <w:r w:rsidR="00401FD3">
        <w:rPr>
          <w:snapToGrid w:val="0"/>
          <w:color w:val="000000"/>
          <w:szCs w:val="20"/>
        </w:rPr>
        <w:t>2020</w:t>
      </w:r>
      <w:r w:rsidR="00D436A6">
        <w:rPr>
          <w:snapToGrid w:val="0"/>
          <w:color w:val="000000"/>
          <w:szCs w:val="20"/>
        </w:rPr>
        <w:t xml:space="preserve"> </w:t>
      </w:r>
      <w:r w:rsidR="00737E75">
        <w:rPr>
          <w:snapToGrid w:val="0"/>
          <w:color w:val="000000"/>
          <w:szCs w:val="20"/>
        </w:rPr>
        <w:t xml:space="preserve">v počtu </w:t>
      </w:r>
      <w:r w:rsidR="00DA4EB2">
        <w:rPr>
          <w:snapToGrid w:val="0"/>
          <w:color w:val="000000"/>
          <w:szCs w:val="20"/>
        </w:rPr>
        <w:t>do 290 osob</w:t>
      </w:r>
      <w:r w:rsidR="005A01A9">
        <w:rPr>
          <w:snapToGrid w:val="0"/>
          <w:color w:val="000000"/>
          <w:szCs w:val="20"/>
        </w:rPr>
        <w:t xml:space="preserve">. V </w:t>
      </w:r>
      <w:r w:rsidR="00737E75">
        <w:rPr>
          <w:snapToGrid w:val="0"/>
          <w:color w:val="000000"/>
          <w:szCs w:val="20"/>
        </w:rPr>
        <w:t>hodnoceném</w:t>
      </w:r>
      <w:r w:rsidR="005A01A9">
        <w:rPr>
          <w:snapToGrid w:val="0"/>
          <w:color w:val="000000"/>
          <w:szCs w:val="20"/>
        </w:rPr>
        <w:t xml:space="preserve"> období </w:t>
      </w:r>
      <w:r w:rsidR="0061080D">
        <w:rPr>
          <w:snapToGrid w:val="0"/>
          <w:color w:val="000000"/>
          <w:szCs w:val="20"/>
        </w:rPr>
        <w:t>pokračovaly</w:t>
      </w:r>
      <w:r w:rsidR="005A01A9">
        <w:rPr>
          <w:snapToGrid w:val="0"/>
          <w:color w:val="000000"/>
          <w:szCs w:val="20"/>
        </w:rPr>
        <w:t xml:space="preserve"> jednotky </w:t>
      </w:r>
      <w:r w:rsidR="001669F0">
        <w:rPr>
          <w:snapToGrid w:val="0"/>
          <w:color w:val="000000"/>
          <w:szCs w:val="20"/>
        </w:rPr>
        <w:t xml:space="preserve">AČR </w:t>
      </w:r>
      <w:r w:rsidR="0061080D">
        <w:rPr>
          <w:snapToGrid w:val="0"/>
          <w:color w:val="000000"/>
          <w:szCs w:val="20"/>
        </w:rPr>
        <w:t xml:space="preserve">v plnění úkolů v </w:t>
      </w:r>
      <w:r w:rsidR="001669F0">
        <w:rPr>
          <w:snapToGrid w:val="0"/>
          <w:color w:val="000000"/>
          <w:szCs w:val="20"/>
        </w:rPr>
        <w:t>sestavě</w:t>
      </w:r>
      <w:r w:rsidR="005A01A9">
        <w:rPr>
          <w:snapToGrid w:val="0"/>
          <w:color w:val="000000"/>
          <w:szCs w:val="20"/>
        </w:rPr>
        <w:t xml:space="preserve"> dvou bojových uskupení</w:t>
      </w:r>
      <w:r w:rsidR="00D74CD4">
        <w:rPr>
          <w:snapToGrid w:val="0"/>
          <w:color w:val="000000"/>
          <w:szCs w:val="20"/>
        </w:rPr>
        <w:t xml:space="preserve"> (</w:t>
      </w:r>
      <w:r w:rsidR="00FD225B">
        <w:rPr>
          <w:snapToGrid w:val="0"/>
          <w:color w:val="000000"/>
          <w:szCs w:val="20"/>
        </w:rPr>
        <w:t>BG/</w:t>
      </w:r>
      <w:proofErr w:type="spellStart"/>
      <w:r w:rsidR="00FD225B">
        <w:rPr>
          <w:snapToGrid w:val="0"/>
          <w:color w:val="000000"/>
          <w:szCs w:val="20"/>
        </w:rPr>
        <w:t>Battle</w:t>
      </w:r>
      <w:proofErr w:type="spellEnd"/>
      <w:r w:rsidR="00FD225B">
        <w:rPr>
          <w:snapToGrid w:val="0"/>
          <w:color w:val="000000"/>
          <w:szCs w:val="20"/>
        </w:rPr>
        <w:t xml:space="preserve"> Group</w:t>
      </w:r>
      <w:r w:rsidR="00D74CD4">
        <w:rPr>
          <w:snapToGrid w:val="0"/>
          <w:color w:val="000000"/>
          <w:szCs w:val="20"/>
        </w:rPr>
        <w:t>)</w:t>
      </w:r>
      <w:r w:rsidR="005A01A9">
        <w:rPr>
          <w:snapToGrid w:val="0"/>
          <w:color w:val="000000"/>
          <w:szCs w:val="20"/>
        </w:rPr>
        <w:t xml:space="preserve">, a to </w:t>
      </w:r>
      <w:r w:rsidR="00737E75">
        <w:rPr>
          <w:snapToGrid w:val="0"/>
          <w:color w:val="000000"/>
          <w:szCs w:val="20"/>
        </w:rPr>
        <w:t>v</w:t>
      </w:r>
      <w:r w:rsidR="005A01A9">
        <w:rPr>
          <w:snapToGrid w:val="0"/>
          <w:color w:val="000000"/>
          <w:szCs w:val="20"/>
        </w:rPr>
        <w:t xml:space="preserve"> </w:t>
      </w:r>
      <w:r w:rsidR="00737E75">
        <w:rPr>
          <w:snapToGrid w:val="0"/>
          <w:color w:val="000000"/>
          <w:szCs w:val="20"/>
        </w:rPr>
        <w:t>BG vedeném</w:t>
      </w:r>
      <w:r w:rsidR="00D74CD4">
        <w:rPr>
          <w:snapToGrid w:val="0"/>
          <w:color w:val="000000"/>
          <w:szCs w:val="20"/>
        </w:rPr>
        <w:t xml:space="preserve"> Německem</w:t>
      </w:r>
      <w:r w:rsidR="005A01A9">
        <w:rPr>
          <w:snapToGrid w:val="0"/>
          <w:color w:val="000000"/>
          <w:szCs w:val="20"/>
        </w:rPr>
        <w:t xml:space="preserve"> na území Litvy a </w:t>
      </w:r>
      <w:r w:rsidR="00737E75">
        <w:rPr>
          <w:snapToGrid w:val="0"/>
          <w:color w:val="000000"/>
          <w:szCs w:val="20"/>
        </w:rPr>
        <w:t>v</w:t>
      </w:r>
      <w:r w:rsidR="00D74CD4">
        <w:rPr>
          <w:snapToGrid w:val="0"/>
          <w:color w:val="000000"/>
          <w:szCs w:val="20"/>
        </w:rPr>
        <w:t xml:space="preserve"> BG </w:t>
      </w:r>
      <w:r w:rsidR="00737E75">
        <w:rPr>
          <w:snapToGrid w:val="0"/>
          <w:color w:val="000000"/>
          <w:szCs w:val="20"/>
        </w:rPr>
        <w:t>pod velením Kanady</w:t>
      </w:r>
      <w:r w:rsidR="005A01A9">
        <w:rPr>
          <w:snapToGrid w:val="0"/>
          <w:color w:val="000000"/>
          <w:szCs w:val="20"/>
        </w:rPr>
        <w:t xml:space="preserve"> </w:t>
      </w:r>
      <w:r w:rsidR="0061080D">
        <w:rPr>
          <w:snapToGrid w:val="0"/>
          <w:color w:val="000000"/>
          <w:szCs w:val="20"/>
        </w:rPr>
        <w:t>v </w:t>
      </w:r>
      <w:r w:rsidR="00D74CD4">
        <w:rPr>
          <w:snapToGrid w:val="0"/>
          <w:color w:val="000000"/>
          <w:szCs w:val="20"/>
        </w:rPr>
        <w:t>Lotyšsku</w:t>
      </w:r>
      <w:r w:rsidR="005A01A9">
        <w:rPr>
          <w:snapToGrid w:val="0"/>
          <w:color w:val="000000"/>
          <w:szCs w:val="20"/>
        </w:rPr>
        <w:t xml:space="preserve">. </w:t>
      </w:r>
    </w:p>
    <w:p w:rsidR="00483727" w:rsidRPr="00EE038E" w:rsidRDefault="00550952" w:rsidP="00192DFC">
      <w:pPr>
        <w:spacing w:before="120" w:after="120" w:line="288" w:lineRule="auto"/>
        <w:jc w:val="both"/>
        <w:rPr>
          <w:b/>
          <w:snapToGrid w:val="0"/>
          <w:color w:val="000000"/>
          <w:szCs w:val="20"/>
        </w:rPr>
      </w:pPr>
      <w:r w:rsidRPr="00EE038E">
        <w:rPr>
          <w:b/>
          <w:snapToGrid w:val="0"/>
          <w:color w:val="000000"/>
          <w:szCs w:val="20"/>
        </w:rPr>
        <w:t>Litva</w:t>
      </w:r>
    </w:p>
    <w:p w:rsidR="0061080D" w:rsidRDefault="00401FD3" w:rsidP="00DE134A">
      <w:pPr>
        <w:spacing w:before="120" w:line="276" w:lineRule="auto"/>
        <w:ind w:firstLine="709"/>
        <w:jc w:val="both"/>
        <w:rPr>
          <w:snapToGrid w:val="0"/>
          <w:color w:val="000000"/>
          <w:szCs w:val="20"/>
        </w:rPr>
      </w:pPr>
      <w:r>
        <w:rPr>
          <w:snapToGrid w:val="0"/>
          <w:color w:val="000000"/>
          <w:szCs w:val="20"/>
        </w:rPr>
        <w:t xml:space="preserve">Na území Litvy pokračoval </w:t>
      </w:r>
      <w:r w:rsidR="00935C10">
        <w:rPr>
          <w:snapToGrid w:val="0"/>
          <w:color w:val="000000"/>
          <w:szCs w:val="20"/>
        </w:rPr>
        <w:t xml:space="preserve">(od poloviny 2019) </w:t>
      </w:r>
      <w:r w:rsidR="00ED484C">
        <w:rPr>
          <w:snapToGrid w:val="0"/>
          <w:color w:val="000000"/>
          <w:szCs w:val="20"/>
        </w:rPr>
        <w:t>v plnění úkolů</w:t>
      </w:r>
      <w:r>
        <w:rPr>
          <w:snapToGrid w:val="0"/>
          <w:color w:val="000000"/>
          <w:szCs w:val="20"/>
        </w:rPr>
        <w:t xml:space="preserve"> prvek elektronického boje v počtu 34 osob. Jednotka byla dislokována na </w:t>
      </w:r>
      <w:r w:rsidR="009B7D6D">
        <w:rPr>
          <w:snapToGrid w:val="0"/>
          <w:color w:val="000000"/>
          <w:szCs w:val="20"/>
        </w:rPr>
        <w:t xml:space="preserve">litevské vojenské základně </w:t>
      </w:r>
      <w:r w:rsidR="0093106D">
        <w:rPr>
          <w:snapToGrid w:val="0"/>
          <w:color w:val="000000"/>
          <w:szCs w:val="20"/>
        </w:rPr>
        <w:t xml:space="preserve">v </w:t>
      </w:r>
      <w:proofErr w:type="spellStart"/>
      <w:r w:rsidR="009B7D6D">
        <w:rPr>
          <w:snapToGrid w:val="0"/>
          <w:color w:val="000000"/>
          <w:szCs w:val="20"/>
        </w:rPr>
        <w:t>Rukla</w:t>
      </w:r>
      <w:proofErr w:type="spellEnd"/>
      <w:r w:rsidR="009B7D6D">
        <w:rPr>
          <w:snapToGrid w:val="0"/>
          <w:color w:val="000000"/>
          <w:szCs w:val="20"/>
        </w:rPr>
        <w:t>.</w:t>
      </w:r>
    </w:p>
    <w:p w:rsidR="00FB4774" w:rsidRPr="00A03C86" w:rsidRDefault="009B7D6D" w:rsidP="00A03C86">
      <w:pPr>
        <w:spacing w:before="120" w:line="276" w:lineRule="auto"/>
        <w:ind w:firstLine="709"/>
        <w:jc w:val="both"/>
        <w:rPr>
          <w:snapToGrid w:val="0"/>
          <w:color w:val="000000"/>
          <w:szCs w:val="20"/>
        </w:rPr>
      </w:pPr>
      <w:r>
        <w:rPr>
          <w:snapToGrid w:val="0"/>
          <w:color w:val="000000"/>
          <w:szCs w:val="20"/>
        </w:rPr>
        <w:t xml:space="preserve">Vedle běžného výcviku </w:t>
      </w:r>
      <w:r w:rsidR="00737E75">
        <w:rPr>
          <w:snapToGrid w:val="0"/>
          <w:color w:val="000000"/>
          <w:szCs w:val="20"/>
        </w:rPr>
        <w:t>organizovaného</w:t>
      </w:r>
      <w:r>
        <w:rPr>
          <w:snapToGrid w:val="0"/>
          <w:color w:val="000000"/>
          <w:szCs w:val="20"/>
        </w:rPr>
        <w:t xml:space="preserve"> v součinnosti s</w:t>
      </w:r>
      <w:r w:rsidR="00ED484C">
        <w:rPr>
          <w:snapToGrid w:val="0"/>
          <w:color w:val="000000"/>
          <w:szCs w:val="20"/>
        </w:rPr>
        <w:t> dalšími součástmi</w:t>
      </w:r>
      <w:r>
        <w:rPr>
          <w:snapToGrid w:val="0"/>
          <w:color w:val="000000"/>
          <w:szCs w:val="20"/>
        </w:rPr>
        <w:t xml:space="preserve"> </w:t>
      </w:r>
      <w:r w:rsidR="005C5F1C">
        <w:rPr>
          <w:snapToGrid w:val="0"/>
          <w:color w:val="000000"/>
          <w:szCs w:val="20"/>
        </w:rPr>
        <w:t>BG</w:t>
      </w:r>
      <w:r>
        <w:rPr>
          <w:snapToGrid w:val="0"/>
          <w:color w:val="000000"/>
          <w:szCs w:val="20"/>
        </w:rPr>
        <w:t xml:space="preserve"> </w:t>
      </w:r>
      <w:r w:rsidR="00A03C86">
        <w:rPr>
          <w:snapToGrid w:val="0"/>
          <w:color w:val="000000"/>
          <w:szCs w:val="20"/>
        </w:rPr>
        <w:t>se jednotka</w:t>
      </w:r>
      <w:r>
        <w:rPr>
          <w:snapToGrid w:val="0"/>
          <w:color w:val="000000"/>
          <w:szCs w:val="20"/>
        </w:rPr>
        <w:t xml:space="preserve"> </w:t>
      </w:r>
      <w:r w:rsidR="00A03C86">
        <w:rPr>
          <w:snapToGrid w:val="0"/>
          <w:color w:val="000000"/>
          <w:szCs w:val="20"/>
        </w:rPr>
        <w:t>zapojila</w:t>
      </w:r>
      <w:r w:rsidR="00737E75">
        <w:rPr>
          <w:snapToGrid w:val="0"/>
          <w:color w:val="000000"/>
          <w:szCs w:val="20"/>
        </w:rPr>
        <w:t xml:space="preserve"> do </w:t>
      </w:r>
      <w:r w:rsidR="00A03C86">
        <w:rPr>
          <w:snapToGrid w:val="0"/>
          <w:color w:val="000000"/>
          <w:szCs w:val="20"/>
        </w:rPr>
        <w:t>několika</w:t>
      </w:r>
      <w:r w:rsidR="00737E75">
        <w:rPr>
          <w:snapToGrid w:val="0"/>
          <w:color w:val="000000"/>
          <w:szCs w:val="20"/>
        </w:rPr>
        <w:t xml:space="preserve"> </w:t>
      </w:r>
      <w:r w:rsidR="003B2AB8">
        <w:rPr>
          <w:snapToGrid w:val="0"/>
          <w:color w:val="000000"/>
          <w:szCs w:val="20"/>
        </w:rPr>
        <w:t>mezinárodních</w:t>
      </w:r>
      <w:r w:rsidR="00737E75">
        <w:rPr>
          <w:snapToGrid w:val="0"/>
          <w:color w:val="000000"/>
          <w:szCs w:val="20"/>
        </w:rPr>
        <w:t xml:space="preserve"> cvičení.</w:t>
      </w:r>
      <w:r>
        <w:rPr>
          <w:snapToGrid w:val="0"/>
          <w:color w:val="000000"/>
          <w:szCs w:val="20"/>
        </w:rPr>
        <w:t xml:space="preserve"> </w:t>
      </w:r>
      <w:r w:rsidR="00737E75">
        <w:rPr>
          <w:snapToGrid w:val="0"/>
          <w:color w:val="000000"/>
          <w:szCs w:val="20"/>
        </w:rPr>
        <w:t xml:space="preserve">K nejvýznamnějším patřila </w:t>
      </w:r>
      <w:r>
        <w:rPr>
          <w:snapToGrid w:val="0"/>
          <w:color w:val="000000"/>
          <w:szCs w:val="20"/>
        </w:rPr>
        <w:t xml:space="preserve">certifikační cvičení NATO </w:t>
      </w:r>
      <w:r w:rsidR="00A03C86">
        <w:rPr>
          <w:snapToGrid w:val="0"/>
          <w:color w:val="000000"/>
          <w:szCs w:val="20"/>
        </w:rPr>
        <w:t xml:space="preserve">řady </w:t>
      </w:r>
      <w:r w:rsidRPr="00A03C86">
        <w:rPr>
          <w:snapToGrid w:val="0"/>
          <w:color w:val="000000"/>
          <w:szCs w:val="20"/>
        </w:rPr>
        <w:t>Iron Wolf.</w:t>
      </w:r>
      <w:r w:rsidR="00A03C86" w:rsidRPr="00A03C86">
        <w:rPr>
          <w:snapToGrid w:val="0"/>
          <w:color w:val="000000"/>
          <w:szCs w:val="20"/>
        </w:rPr>
        <w:t xml:space="preserve"> </w:t>
      </w:r>
      <w:r w:rsidR="00935C10">
        <w:rPr>
          <w:snapToGrid w:val="0"/>
          <w:color w:val="000000"/>
          <w:szCs w:val="20"/>
        </w:rPr>
        <w:t>Dále se p</w:t>
      </w:r>
      <w:r w:rsidR="00A03C86" w:rsidRPr="00A03C86">
        <w:rPr>
          <w:snapToGrid w:val="0"/>
          <w:color w:val="000000"/>
          <w:szCs w:val="20"/>
        </w:rPr>
        <w:t xml:space="preserve">odílela na přípravě příslušníků vlastního bojového uskupení a litevských </w:t>
      </w:r>
      <w:r w:rsidR="00FD225B">
        <w:rPr>
          <w:snapToGrid w:val="0"/>
          <w:color w:val="000000"/>
          <w:szCs w:val="20"/>
        </w:rPr>
        <w:t>ozbrojených sil</w:t>
      </w:r>
      <w:r w:rsidR="00A03C86" w:rsidRPr="00A03C86">
        <w:rPr>
          <w:snapToGrid w:val="0"/>
          <w:color w:val="000000"/>
          <w:szCs w:val="20"/>
        </w:rPr>
        <w:t xml:space="preserve"> v oblasti elektronického boje. Jednotka </w:t>
      </w:r>
      <w:r w:rsidR="00935C10">
        <w:rPr>
          <w:snapToGrid w:val="0"/>
          <w:color w:val="000000"/>
          <w:szCs w:val="20"/>
        </w:rPr>
        <w:t>připravila podmínky pro</w:t>
      </w:r>
      <w:r w:rsidR="00A03C86" w:rsidRPr="00A03C86">
        <w:rPr>
          <w:snapToGrid w:val="0"/>
          <w:color w:val="000000"/>
          <w:szCs w:val="20"/>
        </w:rPr>
        <w:t xml:space="preserve"> dlouhodobou spolupráci s jednotkami </w:t>
      </w:r>
      <w:r w:rsidR="00935C10">
        <w:rPr>
          <w:snapToGrid w:val="0"/>
          <w:color w:val="000000"/>
          <w:szCs w:val="20"/>
        </w:rPr>
        <w:t xml:space="preserve">elektronického </w:t>
      </w:r>
      <w:r w:rsidR="00FD225B">
        <w:rPr>
          <w:snapToGrid w:val="0"/>
          <w:color w:val="000000"/>
          <w:szCs w:val="20"/>
        </w:rPr>
        <w:t>boje nizozemských a </w:t>
      </w:r>
      <w:r w:rsidR="00A03C86" w:rsidRPr="00A03C86">
        <w:rPr>
          <w:snapToGrid w:val="0"/>
          <w:color w:val="000000"/>
          <w:szCs w:val="20"/>
        </w:rPr>
        <w:t xml:space="preserve">britských ozbrojených sil a </w:t>
      </w:r>
      <w:r w:rsidR="00935C10">
        <w:rPr>
          <w:snapToGrid w:val="0"/>
          <w:color w:val="000000"/>
          <w:szCs w:val="20"/>
        </w:rPr>
        <w:t>také</w:t>
      </w:r>
      <w:r w:rsidR="00A03C86" w:rsidRPr="00A03C86">
        <w:rPr>
          <w:snapToGrid w:val="0"/>
          <w:color w:val="000000"/>
          <w:szCs w:val="20"/>
        </w:rPr>
        <w:t xml:space="preserve"> působila ve prospěch </w:t>
      </w:r>
      <w:r w:rsidR="00935C10">
        <w:rPr>
          <w:snapToGrid w:val="0"/>
          <w:color w:val="000000"/>
          <w:szCs w:val="20"/>
        </w:rPr>
        <w:t xml:space="preserve">výcviku </w:t>
      </w:r>
      <w:r w:rsidR="00A03C86" w:rsidRPr="00A03C86">
        <w:rPr>
          <w:snapToGrid w:val="0"/>
          <w:color w:val="000000"/>
          <w:szCs w:val="20"/>
        </w:rPr>
        <w:t>lite</w:t>
      </w:r>
      <w:r w:rsidR="00FD225B">
        <w:rPr>
          <w:snapToGrid w:val="0"/>
          <w:color w:val="000000"/>
          <w:szCs w:val="20"/>
        </w:rPr>
        <w:t>vského letectva a </w:t>
      </w:r>
      <w:r w:rsidR="00ED484C">
        <w:rPr>
          <w:snapToGrid w:val="0"/>
          <w:color w:val="000000"/>
          <w:szCs w:val="20"/>
        </w:rPr>
        <w:t>námořnictva a </w:t>
      </w:r>
      <w:r w:rsidR="00A03C86" w:rsidRPr="00A03C86">
        <w:rPr>
          <w:snapToGrid w:val="0"/>
          <w:color w:val="000000"/>
          <w:szCs w:val="20"/>
        </w:rPr>
        <w:t>estonského letectva.</w:t>
      </w:r>
    </w:p>
    <w:p w:rsidR="00483727" w:rsidRDefault="00483727" w:rsidP="00192DFC">
      <w:pPr>
        <w:spacing w:before="120" w:after="120" w:line="288" w:lineRule="auto"/>
        <w:jc w:val="both"/>
        <w:rPr>
          <w:b/>
          <w:snapToGrid w:val="0"/>
          <w:szCs w:val="12"/>
        </w:rPr>
      </w:pPr>
      <w:r>
        <w:rPr>
          <w:b/>
          <w:snapToGrid w:val="0"/>
          <w:szCs w:val="12"/>
        </w:rPr>
        <w:t>Lotyšsko</w:t>
      </w:r>
    </w:p>
    <w:p w:rsidR="00483727" w:rsidRDefault="005C5F1C" w:rsidP="00DE134A">
      <w:pPr>
        <w:spacing w:before="120" w:line="276" w:lineRule="auto"/>
        <w:ind w:firstLine="709"/>
        <w:jc w:val="both"/>
        <w:rPr>
          <w:snapToGrid w:val="0"/>
          <w:szCs w:val="12"/>
        </w:rPr>
      </w:pPr>
      <w:r>
        <w:rPr>
          <w:snapToGrid w:val="0"/>
          <w:szCs w:val="12"/>
        </w:rPr>
        <w:t>Úkolové uskupení E</w:t>
      </w:r>
      <w:r w:rsidR="00A50658">
        <w:rPr>
          <w:snapToGrid w:val="0"/>
          <w:szCs w:val="12"/>
        </w:rPr>
        <w:t>FP</w:t>
      </w:r>
      <w:r w:rsidR="00306C35">
        <w:rPr>
          <w:snapToGrid w:val="0"/>
          <w:szCs w:val="12"/>
        </w:rPr>
        <w:t xml:space="preserve"> </w:t>
      </w:r>
      <w:r w:rsidR="00A50658">
        <w:rPr>
          <w:snapToGrid w:val="0"/>
          <w:szCs w:val="12"/>
        </w:rPr>
        <w:t xml:space="preserve">na území Lotyšska </w:t>
      </w:r>
      <w:r w:rsidR="00306C35">
        <w:rPr>
          <w:snapToGrid w:val="0"/>
          <w:szCs w:val="12"/>
        </w:rPr>
        <w:t>v síle m</w:t>
      </w:r>
      <w:r w:rsidR="00435AC5">
        <w:rPr>
          <w:snapToGrid w:val="0"/>
          <w:szCs w:val="12"/>
        </w:rPr>
        <w:t>inometn</w:t>
      </w:r>
      <w:r w:rsidR="00306C35">
        <w:rPr>
          <w:snapToGrid w:val="0"/>
          <w:szCs w:val="12"/>
        </w:rPr>
        <w:t>é</w:t>
      </w:r>
      <w:r w:rsidR="00435AC5">
        <w:rPr>
          <w:snapToGrid w:val="0"/>
          <w:szCs w:val="12"/>
        </w:rPr>
        <w:t xml:space="preserve"> čet</w:t>
      </w:r>
      <w:r w:rsidR="00306C35">
        <w:rPr>
          <w:snapToGrid w:val="0"/>
          <w:szCs w:val="12"/>
        </w:rPr>
        <w:t>y</w:t>
      </w:r>
      <w:r w:rsidR="00435AC5">
        <w:rPr>
          <w:snapToGrid w:val="0"/>
          <w:szCs w:val="12"/>
        </w:rPr>
        <w:t xml:space="preserve"> </w:t>
      </w:r>
      <w:r w:rsidR="009B7D6D">
        <w:rPr>
          <w:snapToGrid w:val="0"/>
          <w:szCs w:val="12"/>
        </w:rPr>
        <w:t>kontinuálně plnilo úkoly zahájené v polovině roku 2018</w:t>
      </w:r>
      <w:r w:rsidR="00435AC5">
        <w:rPr>
          <w:snapToGrid w:val="0"/>
          <w:szCs w:val="12"/>
        </w:rPr>
        <w:t xml:space="preserve">. </w:t>
      </w:r>
      <w:r w:rsidR="00737E75">
        <w:rPr>
          <w:snapToGrid w:val="0"/>
          <w:szCs w:val="12"/>
        </w:rPr>
        <w:t>Jednotka čítala</w:t>
      </w:r>
      <w:r w:rsidR="00435AC5">
        <w:rPr>
          <w:snapToGrid w:val="0"/>
          <w:szCs w:val="12"/>
        </w:rPr>
        <w:t xml:space="preserve"> 55 osob a hlavní výzbroj tvořily minomety ráže </w:t>
      </w:r>
      <w:r w:rsidR="00483727">
        <w:rPr>
          <w:snapToGrid w:val="0"/>
          <w:szCs w:val="12"/>
        </w:rPr>
        <w:t>120</w:t>
      </w:r>
      <w:r w:rsidR="00435AC5">
        <w:rPr>
          <w:snapToGrid w:val="0"/>
          <w:szCs w:val="12"/>
        </w:rPr>
        <w:t xml:space="preserve"> </w:t>
      </w:r>
      <w:r w:rsidR="00483727">
        <w:rPr>
          <w:snapToGrid w:val="0"/>
          <w:szCs w:val="12"/>
        </w:rPr>
        <w:t>mm.</w:t>
      </w:r>
      <w:r w:rsidR="00435AC5">
        <w:rPr>
          <w:snapToGrid w:val="0"/>
          <w:szCs w:val="12"/>
        </w:rPr>
        <w:t xml:space="preserve"> </w:t>
      </w:r>
      <w:r w:rsidR="00737E75">
        <w:rPr>
          <w:snapToGrid w:val="0"/>
          <w:szCs w:val="12"/>
        </w:rPr>
        <w:t>Minometná četa</w:t>
      </w:r>
      <w:r w:rsidR="00550952">
        <w:rPr>
          <w:snapToGrid w:val="0"/>
          <w:szCs w:val="12"/>
        </w:rPr>
        <w:t xml:space="preserve"> </w:t>
      </w:r>
      <w:r w:rsidR="00A67DB6">
        <w:rPr>
          <w:snapToGrid w:val="0"/>
          <w:szCs w:val="12"/>
        </w:rPr>
        <w:t xml:space="preserve">byla dislokovaná na lotyšské vojenské základně </w:t>
      </w:r>
      <w:r w:rsidR="00496760">
        <w:rPr>
          <w:snapToGrid w:val="0"/>
          <w:szCs w:val="12"/>
        </w:rPr>
        <w:t>v </w:t>
      </w:r>
      <w:proofErr w:type="spellStart"/>
      <w:r w:rsidR="00A67DB6">
        <w:rPr>
          <w:snapToGrid w:val="0"/>
          <w:szCs w:val="12"/>
        </w:rPr>
        <w:t>Ada</w:t>
      </w:r>
      <w:r w:rsidR="00824AE2">
        <w:rPr>
          <w:snapToGrid w:val="0"/>
          <w:szCs w:val="12"/>
        </w:rPr>
        <w:t>ž</w:t>
      </w:r>
      <w:r w:rsidR="00A67DB6">
        <w:rPr>
          <w:snapToGrid w:val="0"/>
          <w:szCs w:val="12"/>
        </w:rPr>
        <w:t>i</w:t>
      </w:r>
      <w:proofErr w:type="spellEnd"/>
      <w:r w:rsidR="00A67DB6">
        <w:rPr>
          <w:snapToGrid w:val="0"/>
          <w:szCs w:val="12"/>
        </w:rPr>
        <w:t>.</w:t>
      </w:r>
    </w:p>
    <w:p w:rsidR="009B7D6D" w:rsidRDefault="005C5F1C" w:rsidP="00DE134A">
      <w:pPr>
        <w:spacing w:before="120" w:line="276" w:lineRule="auto"/>
        <w:ind w:firstLine="709"/>
        <w:jc w:val="both"/>
        <w:rPr>
          <w:snapToGrid w:val="0"/>
          <w:szCs w:val="12"/>
        </w:rPr>
      </w:pPr>
      <w:r>
        <w:rPr>
          <w:snapToGrid w:val="0"/>
          <w:szCs w:val="12"/>
        </w:rPr>
        <w:t>Podobně jako česká jednotka</w:t>
      </w:r>
      <w:r w:rsidR="009B7D6D">
        <w:rPr>
          <w:snapToGrid w:val="0"/>
          <w:szCs w:val="12"/>
        </w:rPr>
        <w:t xml:space="preserve"> v Litvě i minometná četa se během nasazení v Lotyšsku účastnila </w:t>
      </w:r>
      <w:r w:rsidR="00935C10">
        <w:rPr>
          <w:rFonts w:eastAsia="Calibri"/>
        </w:rPr>
        <w:t>certifikačního</w:t>
      </w:r>
      <w:r>
        <w:rPr>
          <w:rFonts w:eastAsia="Calibri"/>
        </w:rPr>
        <w:t xml:space="preserve"> cvičení NATO s označením </w:t>
      </w:r>
      <w:proofErr w:type="spellStart"/>
      <w:r w:rsidR="00935C10">
        <w:rPr>
          <w:rFonts w:eastAsia="Calibri"/>
        </w:rPr>
        <w:t>Crystal</w:t>
      </w:r>
      <w:proofErr w:type="spellEnd"/>
      <w:r w:rsidR="00935C10">
        <w:rPr>
          <w:rFonts w:eastAsia="Calibri"/>
        </w:rPr>
        <w:t xml:space="preserve"> </w:t>
      </w:r>
      <w:proofErr w:type="spellStart"/>
      <w:r w:rsidR="00935C10" w:rsidRPr="00935C10">
        <w:rPr>
          <w:rFonts w:eastAsia="Calibri"/>
        </w:rPr>
        <w:t>A</w:t>
      </w:r>
      <w:r w:rsidR="007E5139">
        <w:rPr>
          <w:rFonts w:eastAsia="Calibri"/>
        </w:rPr>
        <w:t>rrow</w:t>
      </w:r>
      <w:proofErr w:type="spellEnd"/>
      <w:r w:rsidR="007E5139">
        <w:rPr>
          <w:rFonts w:eastAsia="Calibri"/>
        </w:rPr>
        <w:t xml:space="preserve">, </w:t>
      </w:r>
      <w:r w:rsidR="00935C10">
        <w:rPr>
          <w:rFonts w:eastAsia="Calibri"/>
        </w:rPr>
        <w:t xml:space="preserve">absolvovala řadu menších </w:t>
      </w:r>
      <w:r w:rsidR="00935C10">
        <w:rPr>
          <w:rFonts w:eastAsia="Calibri"/>
        </w:rPr>
        <w:lastRenderedPageBreak/>
        <w:t xml:space="preserve">cvičení v rámci </w:t>
      </w:r>
      <w:r>
        <w:rPr>
          <w:rFonts w:eastAsia="Calibri"/>
        </w:rPr>
        <w:t xml:space="preserve">vlastního </w:t>
      </w:r>
      <w:r w:rsidR="007E5139">
        <w:rPr>
          <w:rFonts w:eastAsia="Calibri"/>
        </w:rPr>
        <w:t>BG</w:t>
      </w:r>
      <w:r>
        <w:rPr>
          <w:rFonts w:eastAsia="Calibri"/>
        </w:rPr>
        <w:t xml:space="preserve"> a </w:t>
      </w:r>
      <w:r w:rsidR="007E5139">
        <w:rPr>
          <w:rFonts w:eastAsia="Calibri"/>
        </w:rPr>
        <w:t>během</w:t>
      </w:r>
      <w:r w:rsidR="00935C10">
        <w:rPr>
          <w:rFonts w:eastAsia="Calibri"/>
        </w:rPr>
        <w:t xml:space="preserve"> součinnostních výcvikových aktivit s lotyšskými ozbrojenými silami. </w:t>
      </w:r>
    </w:p>
    <w:p w:rsidR="00662988" w:rsidRPr="00BE477A" w:rsidRDefault="003B2AB8" w:rsidP="00BE477A">
      <w:pPr>
        <w:spacing w:before="120" w:line="276" w:lineRule="auto"/>
        <w:ind w:firstLine="709"/>
        <w:jc w:val="both"/>
        <w:rPr>
          <w:snapToGrid w:val="0"/>
          <w:szCs w:val="12"/>
        </w:rPr>
      </w:pPr>
      <w:r w:rsidRPr="00BE477A">
        <w:rPr>
          <w:snapToGrid w:val="0"/>
          <w:szCs w:val="12"/>
        </w:rPr>
        <w:t xml:space="preserve">Vedle prioritního úkolu, kterým je </w:t>
      </w:r>
      <w:r w:rsidR="0063583B" w:rsidRPr="00BE477A">
        <w:rPr>
          <w:snapToGrid w:val="0"/>
          <w:szCs w:val="12"/>
        </w:rPr>
        <w:t>posílení bezpečnosti spojenců na východním křídle Aliance</w:t>
      </w:r>
      <w:r w:rsidRPr="00BE477A">
        <w:rPr>
          <w:snapToGrid w:val="0"/>
          <w:szCs w:val="12"/>
        </w:rPr>
        <w:t>,</w:t>
      </w:r>
      <w:r w:rsidR="009B7D6D" w:rsidRPr="00BE477A">
        <w:rPr>
          <w:snapToGrid w:val="0"/>
          <w:szCs w:val="12"/>
        </w:rPr>
        <w:t xml:space="preserve"> </w:t>
      </w:r>
      <w:r w:rsidR="005F05B8" w:rsidRPr="00BE477A">
        <w:rPr>
          <w:snapToGrid w:val="0"/>
          <w:szCs w:val="12"/>
        </w:rPr>
        <w:t xml:space="preserve">bylo </w:t>
      </w:r>
      <w:r w:rsidR="0063583B" w:rsidRPr="00BE477A">
        <w:rPr>
          <w:snapToGrid w:val="0"/>
          <w:szCs w:val="12"/>
        </w:rPr>
        <w:t xml:space="preserve">uvedené nasazení pro všechny </w:t>
      </w:r>
      <w:r w:rsidR="009B7D6D" w:rsidRPr="00BE477A">
        <w:rPr>
          <w:snapToGrid w:val="0"/>
          <w:szCs w:val="12"/>
        </w:rPr>
        <w:t>české</w:t>
      </w:r>
      <w:r w:rsidR="0063583B" w:rsidRPr="00BE477A">
        <w:rPr>
          <w:snapToGrid w:val="0"/>
          <w:szCs w:val="12"/>
        </w:rPr>
        <w:t xml:space="preserve"> vojáky významné i </w:t>
      </w:r>
      <w:r w:rsidR="005F05B8" w:rsidRPr="00BE477A">
        <w:rPr>
          <w:snapToGrid w:val="0"/>
          <w:szCs w:val="12"/>
        </w:rPr>
        <w:t xml:space="preserve">díky </w:t>
      </w:r>
      <w:r w:rsidR="003B749D" w:rsidRPr="00BE477A">
        <w:rPr>
          <w:snapToGrid w:val="0"/>
          <w:szCs w:val="12"/>
        </w:rPr>
        <w:t>intenzi</w:t>
      </w:r>
      <w:r w:rsidR="009B7D6D" w:rsidRPr="00BE477A">
        <w:rPr>
          <w:snapToGrid w:val="0"/>
          <w:szCs w:val="12"/>
        </w:rPr>
        <w:t>vní</w:t>
      </w:r>
      <w:r w:rsidR="0063583B" w:rsidRPr="00BE477A">
        <w:rPr>
          <w:snapToGrid w:val="0"/>
          <w:szCs w:val="12"/>
        </w:rPr>
        <w:t xml:space="preserve"> </w:t>
      </w:r>
      <w:r w:rsidR="009B7D6D" w:rsidRPr="00BE477A">
        <w:rPr>
          <w:snapToGrid w:val="0"/>
          <w:szCs w:val="12"/>
        </w:rPr>
        <w:t>přípravě na </w:t>
      </w:r>
      <w:r w:rsidR="0063583B" w:rsidRPr="00BE477A">
        <w:rPr>
          <w:snapToGrid w:val="0"/>
          <w:szCs w:val="12"/>
        </w:rPr>
        <w:t xml:space="preserve">vedení boje v rámci konfliktu vysoké intenzity. </w:t>
      </w:r>
      <w:r w:rsidR="009B09B8" w:rsidRPr="00BE477A">
        <w:rPr>
          <w:snapToGrid w:val="0"/>
          <w:szCs w:val="12"/>
        </w:rPr>
        <w:t xml:space="preserve">Dlouhodobé působení v mezinárodním prostředí přispělo mj. ke zvýšení odborné i jazykové úrovně </w:t>
      </w:r>
      <w:r w:rsidR="00DB5FD1" w:rsidRPr="00BE477A">
        <w:rPr>
          <w:snapToGrid w:val="0"/>
          <w:szCs w:val="12"/>
        </w:rPr>
        <w:t>velitelů i</w:t>
      </w:r>
      <w:r w:rsidRPr="00BE477A">
        <w:rPr>
          <w:snapToGrid w:val="0"/>
          <w:szCs w:val="12"/>
        </w:rPr>
        <w:t> </w:t>
      </w:r>
      <w:r w:rsidR="009B09B8" w:rsidRPr="00BE477A">
        <w:rPr>
          <w:snapToGrid w:val="0"/>
          <w:szCs w:val="12"/>
        </w:rPr>
        <w:t>vojáků.</w:t>
      </w:r>
    </w:p>
    <w:p w:rsidR="005C032D" w:rsidRPr="0078367C" w:rsidRDefault="005C032D" w:rsidP="000D23F4">
      <w:pPr>
        <w:keepNext/>
        <w:numPr>
          <w:ilvl w:val="0"/>
          <w:numId w:val="2"/>
        </w:numPr>
        <w:spacing w:before="360" w:after="120" w:line="276" w:lineRule="auto"/>
        <w:ind w:left="431" w:hanging="431"/>
        <w:jc w:val="both"/>
        <w:outlineLvl w:val="0"/>
        <w:rPr>
          <w:b/>
          <w:bCs/>
        </w:rPr>
      </w:pPr>
      <w:r w:rsidRPr="0078367C">
        <w:rPr>
          <w:b/>
          <w:bCs/>
        </w:rPr>
        <w:t>Středomoří</w:t>
      </w:r>
      <w:r w:rsidR="00AF1E3D" w:rsidRPr="0078367C">
        <w:rPr>
          <w:b/>
          <w:bCs/>
        </w:rPr>
        <w:t xml:space="preserve"> </w:t>
      </w:r>
    </w:p>
    <w:p w:rsidR="005C032D" w:rsidRPr="004F6ACC" w:rsidRDefault="005C032D" w:rsidP="00192DFC">
      <w:pPr>
        <w:keepNext/>
        <w:numPr>
          <w:ilvl w:val="1"/>
          <w:numId w:val="3"/>
        </w:numPr>
        <w:spacing w:before="240" w:line="276" w:lineRule="auto"/>
        <w:jc w:val="both"/>
        <w:outlineLvl w:val="0"/>
        <w:rPr>
          <w:b/>
          <w:bCs/>
        </w:rPr>
      </w:pPr>
      <w:r w:rsidRPr="004F6ACC">
        <w:rPr>
          <w:b/>
          <w:bCs/>
        </w:rPr>
        <w:t>Politicko-bezpečnostní situa</w:t>
      </w:r>
      <w:r w:rsidR="000E099C" w:rsidRPr="004F6ACC">
        <w:rPr>
          <w:b/>
          <w:bCs/>
        </w:rPr>
        <w:t>ce</w:t>
      </w:r>
    </w:p>
    <w:p w:rsidR="00884E1B" w:rsidRPr="00884E1B" w:rsidRDefault="00884E1B" w:rsidP="00884E1B">
      <w:pPr>
        <w:spacing w:before="120" w:line="276" w:lineRule="auto"/>
        <w:ind w:firstLine="709"/>
        <w:jc w:val="both"/>
        <w:rPr>
          <w:snapToGrid w:val="0"/>
          <w:szCs w:val="12"/>
        </w:rPr>
      </w:pPr>
      <w:r w:rsidRPr="00884E1B">
        <w:rPr>
          <w:snapToGrid w:val="0"/>
          <w:szCs w:val="12"/>
        </w:rPr>
        <w:t>Vývoj politické a bezpečnostní situace ve Středomoří byl zásadně ovlivněn politicko-vojenskými aktivitami Turecka</w:t>
      </w:r>
      <w:r w:rsidR="00800523">
        <w:rPr>
          <w:snapToGrid w:val="0"/>
          <w:szCs w:val="12"/>
        </w:rPr>
        <w:t>, které</w:t>
      </w:r>
      <w:r w:rsidRPr="00884E1B">
        <w:rPr>
          <w:snapToGrid w:val="0"/>
          <w:szCs w:val="12"/>
        </w:rPr>
        <w:t xml:space="preserve"> mj. zásadně zvrátil</w:t>
      </w:r>
      <w:r w:rsidR="00800523">
        <w:rPr>
          <w:snapToGrid w:val="0"/>
          <w:szCs w:val="12"/>
        </w:rPr>
        <w:t>y</w:t>
      </w:r>
      <w:r w:rsidRPr="00884E1B">
        <w:rPr>
          <w:snapToGrid w:val="0"/>
          <w:szCs w:val="12"/>
        </w:rPr>
        <w:t xml:space="preserve"> </w:t>
      </w:r>
      <w:r w:rsidR="00800523">
        <w:rPr>
          <w:snapToGrid w:val="0"/>
          <w:szCs w:val="12"/>
        </w:rPr>
        <w:t>vojenskou situaci</w:t>
      </w:r>
      <w:r w:rsidRPr="00884E1B">
        <w:rPr>
          <w:snapToGrid w:val="0"/>
          <w:szCs w:val="12"/>
        </w:rPr>
        <w:t xml:space="preserve"> Libyi. Dalším </w:t>
      </w:r>
      <w:r w:rsidR="00AF02E8">
        <w:rPr>
          <w:snapToGrid w:val="0"/>
          <w:szCs w:val="12"/>
        </w:rPr>
        <w:t>politicky citlivou událostí</w:t>
      </w:r>
      <w:r w:rsidRPr="00884E1B">
        <w:rPr>
          <w:snapToGrid w:val="0"/>
          <w:szCs w:val="12"/>
        </w:rPr>
        <w:t xml:space="preserve"> ve Středomoří </w:t>
      </w:r>
      <w:r w:rsidR="00AF02E8">
        <w:rPr>
          <w:snapToGrid w:val="0"/>
          <w:szCs w:val="12"/>
        </w:rPr>
        <w:t xml:space="preserve">byla </w:t>
      </w:r>
      <w:r w:rsidR="008F06F7">
        <w:rPr>
          <w:snapToGrid w:val="0"/>
          <w:szCs w:val="12"/>
        </w:rPr>
        <w:t xml:space="preserve">Tureckem avizovaná </w:t>
      </w:r>
      <w:r w:rsidR="00AF02E8">
        <w:rPr>
          <w:snapToGrid w:val="0"/>
          <w:szCs w:val="12"/>
        </w:rPr>
        <w:t xml:space="preserve">kontroverzní těžba/průzkum </w:t>
      </w:r>
      <w:r w:rsidRPr="00884E1B">
        <w:rPr>
          <w:snapToGrid w:val="0"/>
          <w:szCs w:val="12"/>
        </w:rPr>
        <w:t>nerostných surovin ve sporných vodách Středozemního moře, kter</w:t>
      </w:r>
      <w:r w:rsidR="00AF02E8">
        <w:rPr>
          <w:snapToGrid w:val="0"/>
          <w:szCs w:val="12"/>
        </w:rPr>
        <w:t>á</w:t>
      </w:r>
      <w:r w:rsidRPr="00884E1B">
        <w:rPr>
          <w:snapToGrid w:val="0"/>
          <w:szCs w:val="12"/>
        </w:rPr>
        <w:t xml:space="preserve"> vyústil</w:t>
      </w:r>
      <w:r w:rsidR="008F06F7">
        <w:rPr>
          <w:snapToGrid w:val="0"/>
          <w:szCs w:val="12"/>
        </w:rPr>
        <w:t>a</w:t>
      </w:r>
      <w:r w:rsidRPr="00884E1B">
        <w:rPr>
          <w:snapToGrid w:val="0"/>
          <w:szCs w:val="12"/>
        </w:rPr>
        <w:t xml:space="preserve"> </w:t>
      </w:r>
      <w:r w:rsidR="00AF02E8">
        <w:rPr>
          <w:snapToGrid w:val="0"/>
          <w:szCs w:val="12"/>
        </w:rPr>
        <w:t>ve</w:t>
      </w:r>
      <w:r w:rsidRPr="00884E1B">
        <w:rPr>
          <w:snapToGrid w:val="0"/>
          <w:szCs w:val="12"/>
        </w:rPr>
        <w:t xml:space="preserve"> zhoršení vztahů s Řeckem.</w:t>
      </w:r>
    </w:p>
    <w:p w:rsidR="00884E1B" w:rsidRPr="00884E1B" w:rsidRDefault="00884E1B" w:rsidP="00884E1B">
      <w:pPr>
        <w:spacing w:before="120" w:line="276" w:lineRule="auto"/>
        <w:ind w:firstLine="709"/>
        <w:jc w:val="both"/>
        <w:rPr>
          <w:snapToGrid w:val="0"/>
          <w:szCs w:val="12"/>
        </w:rPr>
      </w:pPr>
      <w:r w:rsidRPr="00884E1B">
        <w:rPr>
          <w:snapToGrid w:val="0"/>
          <w:szCs w:val="12"/>
        </w:rPr>
        <w:t xml:space="preserve">Turecký parlament schválil 2. března 2020 oficiální intervenci v Libyi. </w:t>
      </w:r>
      <w:r w:rsidR="00D472B5">
        <w:rPr>
          <w:snapToGrid w:val="0"/>
          <w:szCs w:val="12"/>
        </w:rPr>
        <w:t xml:space="preserve">V listopadu 2019 </w:t>
      </w:r>
      <w:r w:rsidR="007D16CC" w:rsidRPr="00884E1B">
        <w:rPr>
          <w:snapToGrid w:val="0"/>
          <w:szCs w:val="12"/>
        </w:rPr>
        <w:t>uzavřel</w:t>
      </w:r>
      <w:r w:rsidR="007D16CC">
        <w:rPr>
          <w:snapToGrid w:val="0"/>
          <w:szCs w:val="12"/>
        </w:rPr>
        <w:t>y</w:t>
      </w:r>
      <w:r w:rsidR="007D16CC" w:rsidRPr="00884E1B">
        <w:rPr>
          <w:snapToGrid w:val="0"/>
          <w:szCs w:val="12"/>
        </w:rPr>
        <w:t xml:space="preserve"> </w:t>
      </w:r>
      <w:r w:rsidRPr="00884E1B">
        <w:rPr>
          <w:snapToGrid w:val="0"/>
          <w:szCs w:val="12"/>
        </w:rPr>
        <w:t>Ankara a mezinárodně uznávaná libyjská vláda dohodu o partnerství, kter</w:t>
      </w:r>
      <w:r w:rsidR="00D472B5">
        <w:rPr>
          <w:snapToGrid w:val="0"/>
          <w:szCs w:val="12"/>
        </w:rPr>
        <w:t>á</w:t>
      </w:r>
      <w:r w:rsidRPr="00884E1B">
        <w:rPr>
          <w:snapToGrid w:val="0"/>
          <w:szCs w:val="12"/>
        </w:rPr>
        <w:t xml:space="preserve"> </w:t>
      </w:r>
      <w:r w:rsidR="00271D61">
        <w:rPr>
          <w:snapToGrid w:val="0"/>
          <w:szCs w:val="12"/>
        </w:rPr>
        <w:t xml:space="preserve">mj. </w:t>
      </w:r>
      <w:r w:rsidR="00D472B5">
        <w:rPr>
          <w:snapToGrid w:val="0"/>
          <w:szCs w:val="12"/>
        </w:rPr>
        <w:t xml:space="preserve">delimitovala společnou hranici </w:t>
      </w:r>
      <w:r w:rsidRPr="00884E1B">
        <w:rPr>
          <w:snapToGrid w:val="0"/>
          <w:szCs w:val="12"/>
        </w:rPr>
        <w:t>výlučn</w:t>
      </w:r>
      <w:r w:rsidR="00D472B5">
        <w:rPr>
          <w:snapToGrid w:val="0"/>
          <w:szCs w:val="12"/>
        </w:rPr>
        <w:t>é</w:t>
      </w:r>
      <w:r w:rsidRPr="00884E1B">
        <w:rPr>
          <w:snapToGrid w:val="0"/>
          <w:szCs w:val="12"/>
        </w:rPr>
        <w:t xml:space="preserve"> ekonomick</w:t>
      </w:r>
      <w:r w:rsidR="00D472B5">
        <w:rPr>
          <w:snapToGrid w:val="0"/>
          <w:szCs w:val="12"/>
        </w:rPr>
        <w:t>é</w:t>
      </w:r>
      <w:r w:rsidRPr="00884E1B">
        <w:rPr>
          <w:snapToGrid w:val="0"/>
          <w:szCs w:val="12"/>
        </w:rPr>
        <w:t xml:space="preserve"> zón</w:t>
      </w:r>
      <w:r w:rsidR="00D472B5">
        <w:rPr>
          <w:snapToGrid w:val="0"/>
          <w:szCs w:val="12"/>
        </w:rPr>
        <w:t xml:space="preserve">y a je v konfliktu se </w:t>
      </w:r>
      <w:r w:rsidR="00707EFB">
        <w:rPr>
          <w:snapToGrid w:val="0"/>
          <w:szCs w:val="12"/>
        </w:rPr>
        <w:t>zájmy Řecka a </w:t>
      </w:r>
      <w:r w:rsidRPr="00884E1B">
        <w:rPr>
          <w:snapToGrid w:val="0"/>
          <w:szCs w:val="12"/>
        </w:rPr>
        <w:t xml:space="preserve">Kypru. Na oplátku se Turecko prostřednictvím bezpečnostního memoranda zavázalo bránit mezinárodně uznávanou libyjskou vládu v Tripolisu a zahájilo operaci, jejímž primárním cílem bylo </w:t>
      </w:r>
      <w:r w:rsidR="007D16CC">
        <w:rPr>
          <w:snapToGrid w:val="0"/>
          <w:szCs w:val="12"/>
        </w:rPr>
        <w:t xml:space="preserve">odrazit ofenzívu jednotek Chalífy </w:t>
      </w:r>
      <w:proofErr w:type="spellStart"/>
      <w:r w:rsidRPr="00884E1B">
        <w:rPr>
          <w:snapToGrid w:val="0"/>
          <w:szCs w:val="12"/>
        </w:rPr>
        <w:t>Haftara</w:t>
      </w:r>
      <w:proofErr w:type="spellEnd"/>
      <w:r w:rsidRPr="00884E1B">
        <w:rPr>
          <w:snapToGrid w:val="0"/>
          <w:szCs w:val="12"/>
        </w:rPr>
        <w:t xml:space="preserve"> na hlavní město. Koncem jara 2020 vláda v Tripolisu za turecké podpory vč. zbraní a žoldnéřů hlavní síly </w:t>
      </w:r>
      <w:r w:rsidR="007D16CC">
        <w:rPr>
          <w:snapToGrid w:val="0"/>
          <w:szCs w:val="12"/>
        </w:rPr>
        <w:t>Chalífy</w:t>
      </w:r>
      <w:r w:rsidR="007D16CC" w:rsidRPr="00884E1B">
        <w:rPr>
          <w:snapToGrid w:val="0"/>
          <w:szCs w:val="12"/>
        </w:rPr>
        <w:t xml:space="preserve"> </w:t>
      </w:r>
      <w:proofErr w:type="spellStart"/>
      <w:r w:rsidRPr="00884E1B">
        <w:rPr>
          <w:snapToGrid w:val="0"/>
          <w:szCs w:val="12"/>
        </w:rPr>
        <w:t>Haftara</w:t>
      </w:r>
      <w:proofErr w:type="spellEnd"/>
      <w:r w:rsidRPr="00884E1B">
        <w:rPr>
          <w:snapToGrid w:val="0"/>
          <w:szCs w:val="12"/>
        </w:rPr>
        <w:t xml:space="preserve"> ze severozápadní Libye</w:t>
      </w:r>
      <w:r w:rsidR="007D16CC" w:rsidRPr="007D16CC">
        <w:rPr>
          <w:snapToGrid w:val="0"/>
          <w:szCs w:val="12"/>
        </w:rPr>
        <w:t xml:space="preserve"> </w:t>
      </w:r>
      <w:r w:rsidR="007D16CC" w:rsidRPr="00884E1B">
        <w:rPr>
          <w:snapToGrid w:val="0"/>
          <w:szCs w:val="12"/>
        </w:rPr>
        <w:t>vytlačila</w:t>
      </w:r>
      <w:r w:rsidRPr="00884E1B">
        <w:rPr>
          <w:snapToGrid w:val="0"/>
          <w:szCs w:val="12"/>
        </w:rPr>
        <w:t xml:space="preserve">. </w:t>
      </w:r>
      <w:proofErr w:type="spellStart"/>
      <w:r w:rsidRPr="00884E1B">
        <w:rPr>
          <w:snapToGrid w:val="0"/>
          <w:szCs w:val="12"/>
        </w:rPr>
        <w:t>Haftar</w:t>
      </w:r>
      <w:proofErr w:type="spellEnd"/>
      <w:r w:rsidRPr="00884E1B">
        <w:rPr>
          <w:snapToGrid w:val="0"/>
          <w:szCs w:val="12"/>
        </w:rPr>
        <w:t xml:space="preserve"> je podporován </w:t>
      </w:r>
      <w:r w:rsidR="00CF0310">
        <w:rPr>
          <w:snapToGrid w:val="0"/>
          <w:szCs w:val="12"/>
        </w:rPr>
        <w:t xml:space="preserve">mj. </w:t>
      </w:r>
      <w:r w:rsidRPr="00884E1B">
        <w:rPr>
          <w:snapToGrid w:val="0"/>
          <w:szCs w:val="12"/>
        </w:rPr>
        <w:t xml:space="preserve">Ruskem, v konfliktu </w:t>
      </w:r>
      <w:r w:rsidR="00CF0310">
        <w:rPr>
          <w:snapToGrid w:val="0"/>
          <w:szCs w:val="12"/>
        </w:rPr>
        <w:t xml:space="preserve">prokazatelně </w:t>
      </w:r>
      <w:r w:rsidRPr="00884E1B">
        <w:rPr>
          <w:snapToGrid w:val="0"/>
          <w:szCs w:val="12"/>
        </w:rPr>
        <w:t>působí i žoldnéři ze známé Wagnerovy skupiny. Dne 23. října 2020 bylo podepsáno příměří mezi oběma stranami a</w:t>
      </w:r>
      <w:r w:rsidR="00441084">
        <w:rPr>
          <w:snapToGrid w:val="0"/>
          <w:szCs w:val="12"/>
        </w:rPr>
        <w:t> </w:t>
      </w:r>
      <w:r w:rsidRPr="00884E1B">
        <w:rPr>
          <w:snapToGrid w:val="0"/>
          <w:szCs w:val="12"/>
        </w:rPr>
        <w:t>22.</w:t>
      </w:r>
      <w:r w:rsidR="00441084">
        <w:rPr>
          <w:snapToGrid w:val="0"/>
          <w:szCs w:val="12"/>
        </w:rPr>
        <w:t> </w:t>
      </w:r>
      <w:r w:rsidRPr="00884E1B">
        <w:rPr>
          <w:snapToGrid w:val="0"/>
          <w:szCs w:val="12"/>
        </w:rPr>
        <w:t xml:space="preserve">prosince 2020 turecký parlament schválil rezoluci o prodloužení své vojenské </w:t>
      </w:r>
      <w:r w:rsidR="00441084">
        <w:rPr>
          <w:snapToGrid w:val="0"/>
          <w:szCs w:val="12"/>
        </w:rPr>
        <w:t>mise v </w:t>
      </w:r>
      <w:r w:rsidRPr="00884E1B">
        <w:rPr>
          <w:snapToGrid w:val="0"/>
          <w:szCs w:val="12"/>
        </w:rPr>
        <w:t>Libyi o 18 měsíců.</w:t>
      </w:r>
    </w:p>
    <w:p w:rsidR="00884E1B" w:rsidRPr="00884E1B" w:rsidRDefault="00884E1B" w:rsidP="00884E1B">
      <w:pPr>
        <w:spacing w:before="120" w:line="276" w:lineRule="auto"/>
        <w:ind w:firstLine="709"/>
        <w:jc w:val="both"/>
        <w:rPr>
          <w:snapToGrid w:val="0"/>
          <w:szCs w:val="12"/>
        </w:rPr>
      </w:pPr>
      <w:r w:rsidRPr="00884E1B">
        <w:rPr>
          <w:snapToGrid w:val="0"/>
          <w:szCs w:val="12"/>
        </w:rPr>
        <w:t>Ve Středomoří je od 1. dubna 2020 akt</w:t>
      </w:r>
      <w:r w:rsidR="00AF02E8">
        <w:rPr>
          <w:snapToGrid w:val="0"/>
          <w:szCs w:val="12"/>
        </w:rPr>
        <w:t xml:space="preserve">ivní </w:t>
      </w:r>
      <w:r w:rsidR="00E336BD">
        <w:rPr>
          <w:snapToGrid w:val="0"/>
          <w:szCs w:val="12"/>
        </w:rPr>
        <w:t xml:space="preserve">námořní </w:t>
      </w:r>
      <w:r w:rsidR="00AF02E8">
        <w:rPr>
          <w:snapToGrid w:val="0"/>
          <w:szCs w:val="12"/>
        </w:rPr>
        <w:t xml:space="preserve">operace </w:t>
      </w:r>
      <w:r w:rsidR="00E336BD">
        <w:rPr>
          <w:snapToGrid w:val="0"/>
          <w:szCs w:val="12"/>
        </w:rPr>
        <w:t>Evropské unie (</w:t>
      </w:r>
      <w:r w:rsidR="00AF02E8">
        <w:rPr>
          <w:snapToGrid w:val="0"/>
          <w:szCs w:val="12"/>
        </w:rPr>
        <w:t xml:space="preserve">EUNAVFOR MED </w:t>
      </w:r>
      <w:proofErr w:type="spellStart"/>
      <w:r w:rsidR="00E336BD">
        <w:rPr>
          <w:snapToGrid w:val="0"/>
          <w:szCs w:val="12"/>
        </w:rPr>
        <w:t>Irini</w:t>
      </w:r>
      <w:proofErr w:type="spellEnd"/>
      <w:r w:rsidR="009177D9">
        <w:rPr>
          <w:snapToGrid w:val="0"/>
          <w:szCs w:val="12"/>
        </w:rPr>
        <w:t>/</w:t>
      </w:r>
      <w:proofErr w:type="spellStart"/>
      <w:r w:rsidR="009177D9">
        <w:rPr>
          <w:snapToGrid w:val="0"/>
          <w:szCs w:val="12"/>
        </w:rPr>
        <w:t>European</w:t>
      </w:r>
      <w:proofErr w:type="spellEnd"/>
      <w:r w:rsidR="009177D9">
        <w:rPr>
          <w:snapToGrid w:val="0"/>
          <w:szCs w:val="12"/>
        </w:rPr>
        <w:t xml:space="preserve"> Union Naval </w:t>
      </w:r>
      <w:proofErr w:type="spellStart"/>
      <w:r w:rsidR="009177D9">
        <w:rPr>
          <w:snapToGrid w:val="0"/>
          <w:szCs w:val="12"/>
        </w:rPr>
        <w:t>Force</w:t>
      </w:r>
      <w:proofErr w:type="spellEnd"/>
      <w:r w:rsidR="009177D9">
        <w:rPr>
          <w:snapToGrid w:val="0"/>
          <w:szCs w:val="12"/>
        </w:rPr>
        <w:t xml:space="preserve"> </w:t>
      </w:r>
      <w:proofErr w:type="spellStart"/>
      <w:r w:rsidR="009177D9">
        <w:rPr>
          <w:snapToGrid w:val="0"/>
          <w:szCs w:val="12"/>
        </w:rPr>
        <w:t>Mediterranean</w:t>
      </w:r>
      <w:proofErr w:type="spellEnd"/>
      <w:r w:rsidR="00E336BD">
        <w:rPr>
          <w:snapToGrid w:val="0"/>
          <w:szCs w:val="12"/>
        </w:rPr>
        <w:t>)</w:t>
      </w:r>
      <w:r w:rsidRPr="00884E1B">
        <w:rPr>
          <w:snapToGrid w:val="0"/>
          <w:szCs w:val="12"/>
        </w:rPr>
        <w:t xml:space="preserve">, která nahradila operaci </w:t>
      </w:r>
      <w:r w:rsidR="00E336BD">
        <w:rPr>
          <w:snapToGrid w:val="0"/>
          <w:szCs w:val="12"/>
        </w:rPr>
        <w:t xml:space="preserve">EUNAVFOR MED </w:t>
      </w:r>
      <w:r w:rsidRPr="00884E1B">
        <w:rPr>
          <w:snapToGrid w:val="0"/>
          <w:szCs w:val="12"/>
        </w:rPr>
        <w:t>S</w:t>
      </w:r>
      <w:r w:rsidR="00E336BD">
        <w:rPr>
          <w:snapToGrid w:val="0"/>
          <w:szCs w:val="12"/>
        </w:rPr>
        <w:t>ophia</w:t>
      </w:r>
      <w:r w:rsidRPr="00884E1B">
        <w:rPr>
          <w:snapToGrid w:val="0"/>
          <w:szCs w:val="12"/>
        </w:rPr>
        <w:t xml:space="preserve">. </w:t>
      </w:r>
      <w:proofErr w:type="spellStart"/>
      <w:r w:rsidRPr="00884E1B">
        <w:rPr>
          <w:snapToGrid w:val="0"/>
          <w:szCs w:val="12"/>
        </w:rPr>
        <w:t>I</w:t>
      </w:r>
      <w:r w:rsidR="00E336BD">
        <w:rPr>
          <w:snapToGrid w:val="0"/>
          <w:szCs w:val="12"/>
        </w:rPr>
        <w:t>rini</w:t>
      </w:r>
      <w:proofErr w:type="spellEnd"/>
      <w:r w:rsidRPr="00884E1B">
        <w:rPr>
          <w:snapToGrid w:val="0"/>
          <w:szCs w:val="12"/>
        </w:rPr>
        <w:t xml:space="preserve"> má za úkol dohlížet na </w:t>
      </w:r>
      <w:r w:rsidR="00CF0310">
        <w:rPr>
          <w:snapToGrid w:val="0"/>
          <w:szCs w:val="12"/>
        </w:rPr>
        <w:t xml:space="preserve">dodržování </w:t>
      </w:r>
      <w:r w:rsidRPr="00884E1B">
        <w:rPr>
          <w:snapToGrid w:val="0"/>
          <w:szCs w:val="12"/>
        </w:rPr>
        <w:t>zbrojní</w:t>
      </w:r>
      <w:r w:rsidR="00CF0310">
        <w:rPr>
          <w:snapToGrid w:val="0"/>
          <w:szCs w:val="12"/>
        </w:rPr>
        <w:t>ho</w:t>
      </w:r>
      <w:r w:rsidRPr="00884E1B">
        <w:rPr>
          <w:snapToGrid w:val="0"/>
          <w:szCs w:val="12"/>
        </w:rPr>
        <w:t xml:space="preserve"> embarg</w:t>
      </w:r>
      <w:r w:rsidR="00CF0310">
        <w:rPr>
          <w:snapToGrid w:val="0"/>
          <w:szCs w:val="12"/>
        </w:rPr>
        <w:t>a</w:t>
      </w:r>
      <w:r w:rsidRPr="00884E1B">
        <w:rPr>
          <w:snapToGrid w:val="0"/>
          <w:szCs w:val="12"/>
        </w:rPr>
        <w:t xml:space="preserve"> OSN </w:t>
      </w:r>
      <w:r w:rsidR="00CF0310">
        <w:rPr>
          <w:snapToGrid w:val="0"/>
          <w:szCs w:val="12"/>
        </w:rPr>
        <w:t xml:space="preserve">uvaleného </w:t>
      </w:r>
      <w:r w:rsidRPr="00884E1B">
        <w:rPr>
          <w:snapToGrid w:val="0"/>
          <w:szCs w:val="12"/>
        </w:rPr>
        <w:t>na Libyi pomocí vzdušných</w:t>
      </w:r>
      <w:r w:rsidR="00CF0310">
        <w:rPr>
          <w:snapToGrid w:val="0"/>
          <w:szCs w:val="12"/>
        </w:rPr>
        <w:t>,</w:t>
      </w:r>
      <w:r w:rsidRPr="00884E1B">
        <w:rPr>
          <w:snapToGrid w:val="0"/>
          <w:szCs w:val="12"/>
        </w:rPr>
        <w:t xml:space="preserve"> satelitních a námořních prostředků. Mise je pověřena ins</w:t>
      </w:r>
      <w:r w:rsidR="003076AB">
        <w:rPr>
          <w:snapToGrid w:val="0"/>
          <w:szCs w:val="12"/>
        </w:rPr>
        <w:t>pekcí plavidel na volném moři u </w:t>
      </w:r>
      <w:r w:rsidRPr="00884E1B">
        <w:rPr>
          <w:snapToGrid w:val="0"/>
          <w:szCs w:val="12"/>
        </w:rPr>
        <w:t xml:space="preserve">pobřeží Libye, u nichž existuje podezření, že přepravují zbraně nebo související materiál do Libye. Turecko opakovaně odmítá inspekci svých lodí, protože </w:t>
      </w:r>
      <w:r w:rsidR="00AF02E8">
        <w:rPr>
          <w:snapToGrid w:val="0"/>
          <w:szCs w:val="12"/>
        </w:rPr>
        <w:t>tyto dodávky</w:t>
      </w:r>
      <w:r w:rsidRPr="00884E1B">
        <w:rPr>
          <w:snapToGrid w:val="0"/>
          <w:szCs w:val="12"/>
        </w:rPr>
        <w:t xml:space="preserve"> považuje za legitimní a legální. </w:t>
      </w:r>
    </w:p>
    <w:p w:rsidR="005C032D" w:rsidRPr="004F6ACC" w:rsidRDefault="005C032D" w:rsidP="00C932A0">
      <w:pPr>
        <w:keepNext/>
        <w:numPr>
          <w:ilvl w:val="1"/>
          <w:numId w:val="3"/>
        </w:numPr>
        <w:spacing w:before="240" w:line="276" w:lineRule="auto"/>
        <w:jc w:val="both"/>
        <w:outlineLvl w:val="0"/>
        <w:rPr>
          <w:b/>
          <w:bCs/>
        </w:rPr>
      </w:pPr>
      <w:r w:rsidRPr="004F6ACC">
        <w:rPr>
          <w:b/>
          <w:bCs/>
        </w:rPr>
        <w:t xml:space="preserve">Působení </w:t>
      </w:r>
      <w:r w:rsidR="00255FD8" w:rsidRPr="004F6ACC">
        <w:rPr>
          <w:b/>
          <w:bCs/>
        </w:rPr>
        <w:t>sil a prostředků</w:t>
      </w:r>
      <w:r w:rsidRPr="004F6ACC">
        <w:rPr>
          <w:b/>
          <w:bCs/>
        </w:rPr>
        <w:t xml:space="preserve"> rezortu MO v</w:t>
      </w:r>
      <w:r w:rsidR="00DA4EB2" w:rsidRPr="004F6ACC">
        <w:rPr>
          <w:b/>
          <w:bCs/>
        </w:rPr>
        <w:t xml:space="preserve"> operaci EUNAVFOR MED </w:t>
      </w:r>
      <w:r w:rsidR="00E336BD">
        <w:rPr>
          <w:b/>
          <w:bCs/>
        </w:rPr>
        <w:t>Sophia</w:t>
      </w:r>
      <w:r w:rsidR="0057436E" w:rsidRPr="004F6ACC">
        <w:rPr>
          <w:b/>
          <w:bCs/>
        </w:rPr>
        <w:t xml:space="preserve"> a EUNAVFOR MED </w:t>
      </w:r>
      <w:proofErr w:type="spellStart"/>
      <w:r w:rsidR="00E336BD">
        <w:rPr>
          <w:b/>
          <w:bCs/>
        </w:rPr>
        <w:t>Irini</w:t>
      </w:r>
      <w:proofErr w:type="spellEnd"/>
    </w:p>
    <w:p w:rsidR="005C032D" w:rsidRPr="000D0CF7" w:rsidRDefault="005C032D" w:rsidP="00DE134A">
      <w:pPr>
        <w:spacing w:before="120" w:line="276" w:lineRule="auto"/>
        <w:ind w:firstLine="709"/>
        <w:jc w:val="both"/>
        <w:rPr>
          <w:snapToGrid w:val="0"/>
          <w:szCs w:val="12"/>
        </w:rPr>
      </w:pPr>
      <w:r w:rsidRPr="000D0CF7">
        <w:rPr>
          <w:snapToGrid w:val="0"/>
          <w:szCs w:val="12"/>
        </w:rPr>
        <w:t xml:space="preserve">Mandát pro působení sil a prostředků </w:t>
      </w:r>
      <w:r w:rsidR="002D4A8B">
        <w:rPr>
          <w:snapToGrid w:val="0"/>
          <w:szCs w:val="12"/>
        </w:rPr>
        <w:t xml:space="preserve">rezortu </w:t>
      </w:r>
      <w:r w:rsidRPr="000D0CF7">
        <w:rPr>
          <w:snapToGrid w:val="0"/>
          <w:szCs w:val="12"/>
        </w:rPr>
        <w:t xml:space="preserve">MO </w:t>
      </w:r>
      <w:r w:rsidR="002D4A8B">
        <w:rPr>
          <w:snapToGrid w:val="0"/>
          <w:szCs w:val="12"/>
        </w:rPr>
        <w:t xml:space="preserve">v </w:t>
      </w:r>
      <w:r w:rsidR="000431B1">
        <w:rPr>
          <w:snapToGrid w:val="0"/>
          <w:szCs w:val="12"/>
        </w:rPr>
        <w:t>operaci EU</w:t>
      </w:r>
      <w:r w:rsidR="002D4A8B" w:rsidRPr="000D0CF7">
        <w:rPr>
          <w:snapToGrid w:val="0"/>
          <w:szCs w:val="12"/>
        </w:rPr>
        <w:t xml:space="preserve">NAVFOR MED </w:t>
      </w:r>
      <w:r w:rsidR="00E336BD">
        <w:rPr>
          <w:snapToGrid w:val="0"/>
          <w:szCs w:val="12"/>
        </w:rPr>
        <w:t>Sophia</w:t>
      </w:r>
      <w:r w:rsidR="002D4A8B" w:rsidRPr="000D0CF7">
        <w:rPr>
          <w:snapToGrid w:val="0"/>
          <w:szCs w:val="12"/>
        </w:rPr>
        <w:t xml:space="preserve"> </w:t>
      </w:r>
      <w:r w:rsidR="002D4A8B">
        <w:rPr>
          <w:snapToGrid w:val="0"/>
          <w:szCs w:val="12"/>
        </w:rPr>
        <w:t>v roce</w:t>
      </w:r>
      <w:r w:rsidRPr="000D0CF7">
        <w:rPr>
          <w:snapToGrid w:val="0"/>
          <w:szCs w:val="12"/>
        </w:rPr>
        <w:t xml:space="preserve"> </w:t>
      </w:r>
      <w:r w:rsidR="0057436E">
        <w:rPr>
          <w:snapToGrid w:val="0"/>
          <w:szCs w:val="12"/>
        </w:rPr>
        <w:t>2020</w:t>
      </w:r>
      <w:r w:rsidRPr="000D0CF7">
        <w:rPr>
          <w:snapToGrid w:val="0"/>
          <w:szCs w:val="12"/>
        </w:rPr>
        <w:t xml:space="preserve"> byl stanoven do 5 osob</w:t>
      </w:r>
      <w:r w:rsidR="00510F90">
        <w:rPr>
          <w:snapToGrid w:val="0"/>
          <w:szCs w:val="12"/>
        </w:rPr>
        <w:t>.</w:t>
      </w:r>
    </w:p>
    <w:p w:rsidR="0057436E" w:rsidRDefault="0057436E" w:rsidP="0057436E">
      <w:pPr>
        <w:pStyle w:val="normln-operace"/>
        <w:spacing w:before="120" w:after="0" w:line="276" w:lineRule="auto"/>
      </w:pPr>
      <w:r w:rsidRPr="0037671C">
        <w:t xml:space="preserve">V únoru a březnu 2020 se v EU diskutovala budoucnost operace </w:t>
      </w:r>
      <w:r w:rsidR="00E336BD">
        <w:t>Sophia</w:t>
      </w:r>
      <w:r w:rsidRPr="0037671C">
        <w:t xml:space="preserve">, která od dubna 2019 působila bez lodí a jejíž mandát končil </w:t>
      </w:r>
      <w:r>
        <w:t xml:space="preserve">dnem </w:t>
      </w:r>
      <w:r w:rsidRPr="0037671C">
        <w:t xml:space="preserve">31. </w:t>
      </w:r>
      <w:r>
        <w:t>března</w:t>
      </w:r>
      <w:r w:rsidRPr="0037671C">
        <w:t xml:space="preserve"> 2020. Na Radě pro zahraniční věci se dne 17. </w:t>
      </w:r>
      <w:r>
        <w:t>února</w:t>
      </w:r>
      <w:r w:rsidRPr="0037671C">
        <w:t xml:space="preserve"> 2020 ministři zahraničních věcí EU shodli na ukončení operace </w:t>
      </w:r>
      <w:r w:rsidR="00E336BD">
        <w:t>Sophia</w:t>
      </w:r>
      <w:r w:rsidRPr="0037671C">
        <w:t xml:space="preserve"> a schválili politickou dohodu nastiňující rámcové parametry nové vojenské </w:t>
      </w:r>
      <w:r w:rsidRPr="0037671C">
        <w:lastRenderedPageBreak/>
        <w:t xml:space="preserve">operace EUNAVFOR MED </w:t>
      </w:r>
      <w:proofErr w:type="spellStart"/>
      <w:r w:rsidR="00E336BD">
        <w:t>Irini</w:t>
      </w:r>
      <w:proofErr w:type="spellEnd"/>
      <w:r w:rsidRPr="0037671C">
        <w:t xml:space="preserve"> zaměřené zejména na kontrolu zbrojního embarga OSN na Libyi.</w:t>
      </w:r>
      <w:r w:rsidRPr="0018526D">
        <w:t xml:space="preserve"> </w:t>
      </w:r>
    </w:p>
    <w:p w:rsidR="0057436E" w:rsidRDefault="0057436E" w:rsidP="0057436E">
      <w:pPr>
        <w:pStyle w:val="normln-operace"/>
        <w:spacing w:before="120" w:after="0" w:line="276" w:lineRule="auto"/>
      </w:pPr>
      <w:r>
        <w:t xml:space="preserve">Vedle hlavního úkolu, </w:t>
      </w:r>
      <w:r w:rsidR="0033230E">
        <w:t>a to</w:t>
      </w:r>
      <w:r w:rsidR="00CF0310">
        <w:t xml:space="preserve"> </w:t>
      </w:r>
      <w:r>
        <w:t>kontroly dodržování zbrojního embarga, plní nová operace tři dodatkové úkoly: 1) monitoring pašování ropy, 2) výcvik libyjského námořnictva a pobřežní stráže a 3) poskytování příspěvku k narušování operačního modelu pašeráků migrantů, především monitorováním situace vzdušnými prostředky.</w:t>
      </w:r>
    </w:p>
    <w:p w:rsidR="0057436E" w:rsidRPr="0037671C" w:rsidRDefault="0057436E" w:rsidP="0057436E">
      <w:pPr>
        <w:pStyle w:val="normln-operace"/>
        <w:spacing w:before="120" w:after="0" w:line="276" w:lineRule="auto"/>
      </w:pPr>
      <w:r w:rsidRPr="0037671C">
        <w:t xml:space="preserve">Rozhodnutím Rady EU pak </w:t>
      </w:r>
      <w:r w:rsidR="00300118" w:rsidRPr="0037671C">
        <w:t xml:space="preserve">byla </w:t>
      </w:r>
      <w:r w:rsidRPr="0037671C">
        <w:t>dnem 31. března 2020 ukončena o</w:t>
      </w:r>
      <w:r>
        <w:t xml:space="preserve">perace </w:t>
      </w:r>
      <w:r w:rsidR="00E336BD">
        <w:t>Sophia</w:t>
      </w:r>
      <w:r>
        <w:t xml:space="preserve"> a </w:t>
      </w:r>
      <w:r w:rsidRPr="0037671C">
        <w:t xml:space="preserve">dnem 1. dubna 2020 byla zahájená nová operace </w:t>
      </w:r>
      <w:proofErr w:type="spellStart"/>
      <w:r w:rsidR="00E336BD">
        <w:t>Irini</w:t>
      </w:r>
      <w:proofErr w:type="spellEnd"/>
      <w:r w:rsidRPr="0037671C">
        <w:t>.</w:t>
      </w:r>
    </w:p>
    <w:p w:rsidR="001669F0" w:rsidRPr="000D4818" w:rsidRDefault="0057436E" w:rsidP="00E80B32">
      <w:pPr>
        <w:spacing w:before="120" w:line="276" w:lineRule="auto"/>
        <w:ind w:firstLine="709"/>
        <w:jc w:val="both"/>
        <w:rPr>
          <w:szCs w:val="12"/>
        </w:rPr>
      </w:pPr>
      <w:r w:rsidRPr="000D4818">
        <w:t>Co se týče českých vojáků, jejich pozice</w:t>
      </w:r>
      <w:r w:rsidR="00300118" w:rsidRPr="000D4818">
        <w:t xml:space="preserve"> v operaci </w:t>
      </w:r>
      <w:r w:rsidR="00E336BD" w:rsidRPr="000D4818">
        <w:t>Sophia</w:t>
      </w:r>
      <w:r w:rsidRPr="000D4818">
        <w:t xml:space="preserve">, včetně pracovních prostorů zůstaly zachovány i v rámci operace </w:t>
      </w:r>
      <w:proofErr w:type="spellStart"/>
      <w:r w:rsidR="00E336BD" w:rsidRPr="000D4818">
        <w:t>Irini</w:t>
      </w:r>
      <w:proofErr w:type="spellEnd"/>
      <w:r w:rsidR="00E80B32" w:rsidRPr="000D4818">
        <w:t xml:space="preserve">. </w:t>
      </w:r>
      <w:r w:rsidR="00190AFD" w:rsidRPr="000D4818">
        <w:t>Pět vojáků</w:t>
      </w:r>
      <w:r w:rsidR="005C032D" w:rsidRPr="000D4818">
        <w:rPr>
          <w:szCs w:val="12"/>
        </w:rPr>
        <w:t xml:space="preserve"> </w:t>
      </w:r>
      <w:r w:rsidR="00E80B32" w:rsidRPr="000D4818">
        <w:rPr>
          <w:szCs w:val="12"/>
        </w:rPr>
        <w:t>plnil</w:t>
      </w:r>
      <w:r w:rsidR="00190AFD" w:rsidRPr="000D4818">
        <w:rPr>
          <w:szCs w:val="12"/>
        </w:rPr>
        <w:t>o</w:t>
      </w:r>
      <w:r w:rsidR="00E80B32" w:rsidRPr="000D4818">
        <w:rPr>
          <w:szCs w:val="12"/>
        </w:rPr>
        <w:t xml:space="preserve"> </w:t>
      </w:r>
      <w:r w:rsidR="005C032D" w:rsidRPr="000D4818">
        <w:rPr>
          <w:szCs w:val="12"/>
        </w:rPr>
        <w:t>úkoly vyplývající z funkčního zařazení na Operačním velit</w:t>
      </w:r>
      <w:r w:rsidR="00E80B32" w:rsidRPr="000D4818">
        <w:rPr>
          <w:szCs w:val="12"/>
        </w:rPr>
        <w:t>elství (OHQ) v</w:t>
      </w:r>
      <w:r w:rsidR="00880F5B" w:rsidRPr="000D4818">
        <w:rPr>
          <w:szCs w:val="12"/>
        </w:rPr>
        <w:t> </w:t>
      </w:r>
      <w:r w:rsidR="00E80B32" w:rsidRPr="000D4818">
        <w:rPr>
          <w:szCs w:val="12"/>
        </w:rPr>
        <w:t>Římě</w:t>
      </w:r>
      <w:r w:rsidR="00880F5B" w:rsidRPr="000D4818">
        <w:rPr>
          <w:szCs w:val="12"/>
        </w:rPr>
        <w:t>.</w:t>
      </w:r>
    </w:p>
    <w:p w:rsidR="00880F5B" w:rsidRPr="00E80B32" w:rsidRDefault="00863EF5" w:rsidP="00E80B32">
      <w:pPr>
        <w:spacing w:before="120" w:line="276" w:lineRule="auto"/>
        <w:ind w:firstLine="709"/>
        <w:jc w:val="both"/>
      </w:pPr>
      <w:r w:rsidRPr="000D4818">
        <w:rPr>
          <w:szCs w:val="12"/>
        </w:rPr>
        <w:t>Vyslání do</w:t>
      </w:r>
      <w:r w:rsidR="00880F5B" w:rsidRPr="000D4818">
        <w:rPr>
          <w:szCs w:val="12"/>
        </w:rPr>
        <w:t> nové operac</w:t>
      </w:r>
      <w:r w:rsidRPr="000D4818">
        <w:rPr>
          <w:szCs w:val="12"/>
        </w:rPr>
        <w:t>e</w:t>
      </w:r>
      <w:r w:rsidR="00880F5B" w:rsidRPr="000D4818">
        <w:rPr>
          <w:szCs w:val="12"/>
        </w:rPr>
        <w:t xml:space="preserve"> EUNAVFOR MED </w:t>
      </w:r>
      <w:proofErr w:type="spellStart"/>
      <w:r w:rsidR="000D4818">
        <w:rPr>
          <w:szCs w:val="12"/>
        </w:rPr>
        <w:t>Irini</w:t>
      </w:r>
      <w:proofErr w:type="spellEnd"/>
      <w:r w:rsidR="00880F5B" w:rsidRPr="000D4818">
        <w:rPr>
          <w:szCs w:val="12"/>
        </w:rPr>
        <w:t>, která</w:t>
      </w:r>
      <w:r w:rsidR="00880F5B">
        <w:rPr>
          <w:szCs w:val="12"/>
        </w:rPr>
        <w:t xml:space="preserve"> nebyla </w:t>
      </w:r>
      <w:r w:rsidR="00300118">
        <w:rPr>
          <w:szCs w:val="12"/>
        </w:rPr>
        <w:t xml:space="preserve">jmenovitě </w:t>
      </w:r>
      <w:r w:rsidR="00880F5B">
        <w:rPr>
          <w:szCs w:val="12"/>
        </w:rPr>
        <w:t xml:space="preserve">součástí </w:t>
      </w:r>
      <w:r>
        <w:rPr>
          <w:szCs w:val="12"/>
        </w:rPr>
        <w:t>„</w:t>
      </w:r>
      <w:r w:rsidR="00880F5B">
        <w:rPr>
          <w:szCs w:val="12"/>
        </w:rPr>
        <w:t xml:space="preserve">mandátu pro působení sil a prostředků rezortu Ministerstva obrany v zahraničních operacích v letech 2018 </w:t>
      </w:r>
      <w:r>
        <w:rPr>
          <w:szCs w:val="12"/>
        </w:rPr>
        <w:t>–</w:t>
      </w:r>
      <w:r w:rsidR="00880F5B">
        <w:rPr>
          <w:szCs w:val="12"/>
        </w:rPr>
        <w:t xml:space="preserve"> 2020</w:t>
      </w:r>
      <w:r>
        <w:rPr>
          <w:szCs w:val="12"/>
        </w:rPr>
        <w:t>“, bylo</w:t>
      </w:r>
      <w:r w:rsidR="00880F5B">
        <w:rPr>
          <w:szCs w:val="12"/>
        </w:rPr>
        <w:t xml:space="preserve"> </w:t>
      </w:r>
      <w:r>
        <w:rPr>
          <w:szCs w:val="12"/>
        </w:rPr>
        <w:t xml:space="preserve">realizováno v souladu s body I. 2. usnesení Poslanecké sněmovny Parlamentu ČR ze dne 1. června 2018 č. 260 a Senátu Parlamentu ČR ze dne </w:t>
      </w:r>
      <w:r w:rsidR="005C37A3">
        <w:rPr>
          <w:szCs w:val="12"/>
        </w:rPr>
        <w:t>17. května 2018 č. 429 - viz bod K této zprávy.</w:t>
      </w:r>
    </w:p>
    <w:p w:rsidR="00694C2D" w:rsidRPr="0049325A" w:rsidRDefault="000D4818" w:rsidP="000D23F4">
      <w:pPr>
        <w:keepNext/>
        <w:numPr>
          <w:ilvl w:val="0"/>
          <w:numId w:val="2"/>
        </w:numPr>
        <w:spacing w:before="360" w:after="120" w:line="276" w:lineRule="auto"/>
        <w:ind w:left="431" w:hanging="431"/>
        <w:jc w:val="both"/>
        <w:outlineLvl w:val="0"/>
        <w:rPr>
          <w:b/>
          <w:bCs/>
        </w:rPr>
      </w:pPr>
      <w:r>
        <w:rPr>
          <w:b/>
          <w:bCs/>
        </w:rPr>
        <w:t>Somálsko</w:t>
      </w:r>
      <w:r w:rsidR="002D4A8B" w:rsidRPr="0049325A">
        <w:rPr>
          <w:b/>
          <w:bCs/>
        </w:rPr>
        <w:t xml:space="preserve"> / o</w:t>
      </w:r>
      <w:r w:rsidR="00E073F3" w:rsidRPr="0049325A">
        <w:rPr>
          <w:b/>
          <w:bCs/>
        </w:rPr>
        <w:t>blast Afrického rohu</w:t>
      </w:r>
    </w:p>
    <w:p w:rsidR="00694C2D" w:rsidRPr="004F6ACC" w:rsidRDefault="00694C2D" w:rsidP="00C932A0">
      <w:pPr>
        <w:keepNext/>
        <w:numPr>
          <w:ilvl w:val="1"/>
          <w:numId w:val="3"/>
        </w:numPr>
        <w:spacing w:before="240" w:line="276" w:lineRule="auto"/>
        <w:jc w:val="both"/>
        <w:outlineLvl w:val="0"/>
        <w:rPr>
          <w:b/>
          <w:bCs/>
        </w:rPr>
      </w:pPr>
      <w:r w:rsidRPr="004F6ACC">
        <w:rPr>
          <w:b/>
          <w:bCs/>
        </w:rPr>
        <w:t>Politicko-bezpečnostní situace</w:t>
      </w:r>
    </w:p>
    <w:p w:rsidR="00C71C03" w:rsidRPr="00C71C03" w:rsidRDefault="00C71C03" w:rsidP="00C71C03">
      <w:pPr>
        <w:spacing w:before="120" w:line="276" w:lineRule="auto"/>
        <w:ind w:firstLine="709"/>
        <w:jc w:val="both"/>
        <w:rPr>
          <w:snapToGrid w:val="0"/>
          <w:szCs w:val="12"/>
        </w:rPr>
      </w:pPr>
      <w:r w:rsidRPr="00C71C03">
        <w:rPr>
          <w:snapToGrid w:val="0"/>
          <w:szCs w:val="12"/>
        </w:rPr>
        <w:t xml:space="preserve">Bezpečnostní situace v regionu pokračovala v trendu z minulých let. Největší bezpečnostní hrozbou v regionu </w:t>
      </w:r>
      <w:r w:rsidR="005C37A3">
        <w:rPr>
          <w:snapToGrid w:val="0"/>
          <w:szCs w:val="12"/>
        </w:rPr>
        <w:t>zůstávala</w:t>
      </w:r>
      <w:r w:rsidRPr="00C71C03">
        <w:rPr>
          <w:snapToGrid w:val="0"/>
          <w:szCs w:val="12"/>
        </w:rPr>
        <w:t xml:space="preserve"> teroristická organizace</w:t>
      </w:r>
      <w:r w:rsidR="00743F58">
        <w:rPr>
          <w:snapToGrid w:val="0"/>
          <w:szCs w:val="12"/>
        </w:rPr>
        <w:t xml:space="preserve"> Al-</w:t>
      </w:r>
      <w:proofErr w:type="spellStart"/>
      <w:r w:rsidR="00743F58">
        <w:rPr>
          <w:snapToGrid w:val="0"/>
          <w:szCs w:val="12"/>
        </w:rPr>
        <w:t>Šabáb</w:t>
      </w:r>
      <w:proofErr w:type="spellEnd"/>
      <w:r w:rsidR="00743F58">
        <w:rPr>
          <w:snapToGrid w:val="0"/>
          <w:szCs w:val="12"/>
        </w:rPr>
        <w:t xml:space="preserve"> působící v Somálsku, ve kterém </w:t>
      </w:r>
      <w:r w:rsidR="00885EA4">
        <w:rPr>
          <w:snapToGrid w:val="0"/>
          <w:szCs w:val="12"/>
        </w:rPr>
        <w:t xml:space="preserve">vedla </w:t>
      </w:r>
      <w:r w:rsidRPr="00C71C03">
        <w:rPr>
          <w:snapToGrid w:val="0"/>
          <w:szCs w:val="12"/>
        </w:rPr>
        <w:t>komplexní útoky na civilní i voj</w:t>
      </w:r>
      <w:r w:rsidR="00885EA4">
        <w:rPr>
          <w:snapToGrid w:val="0"/>
          <w:szCs w:val="12"/>
        </w:rPr>
        <w:t>enské, vládní i mezinárodní cíle</w:t>
      </w:r>
      <w:r w:rsidRPr="00C71C03">
        <w:rPr>
          <w:snapToGrid w:val="0"/>
          <w:szCs w:val="12"/>
        </w:rPr>
        <w:t xml:space="preserve">. Místní ozbrojené složky nadále </w:t>
      </w:r>
      <w:r w:rsidR="00885EA4">
        <w:rPr>
          <w:snapToGrid w:val="0"/>
          <w:szCs w:val="12"/>
        </w:rPr>
        <w:t>nebyly</w:t>
      </w:r>
      <w:r w:rsidRPr="00C71C03">
        <w:rPr>
          <w:snapToGrid w:val="0"/>
          <w:szCs w:val="12"/>
        </w:rPr>
        <w:t xml:space="preserve"> schopny </w:t>
      </w:r>
      <w:r w:rsidR="00885EA4">
        <w:rPr>
          <w:snapToGrid w:val="0"/>
          <w:szCs w:val="12"/>
        </w:rPr>
        <w:t>samostatně</w:t>
      </w:r>
      <w:r w:rsidRPr="00C71C03">
        <w:rPr>
          <w:snapToGrid w:val="0"/>
          <w:szCs w:val="12"/>
        </w:rPr>
        <w:t xml:space="preserve"> čelit hrozbě ze strany </w:t>
      </w:r>
      <w:r>
        <w:rPr>
          <w:snapToGrid w:val="0"/>
          <w:szCs w:val="12"/>
        </w:rPr>
        <w:t>této teroristické organizace</w:t>
      </w:r>
      <w:r w:rsidRPr="00C71C03">
        <w:rPr>
          <w:snapToGrid w:val="0"/>
          <w:szCs w:val="12"/>
        </w:rPr>
        <w:t xml:space="preserve">. Významnou </w:t>
      </w:r>
      <w:r>
        <w:rPr>
          <w:snapToGrid w:val="0"/>
          <w:szCs w:val="12"/>
        </w:rPr>
        <w:t>roli</w:t>
      </w:r>
      <w:r w:rsidRPr="00C71C03">
        <w:rPr>
          <w:snapToGrid w:val="0"/>
          <w:szCs w:val="12"/>
        </w:rPr>
        <w:t xml:space="preserve"> v budování obranných i civilních kapacit tak </w:t>
      </w:r>
      <w:r>
        <w:rPr>
          <w:snapToGrid w:val="0"/>
          <w:szCs w:val="12"/>
        </w:rPr>
        <w:t>sehrává</w:t>
      </w:r>
      <w:r w:rsidRPr="00C71C03">
        <w:rPr>
          <w:snapToGrid w:val="0"/>
          <w:szCs w:val="12"/>
        </w:rPr>
        <w:t xml:space="preserve"> mise Africké unie AMISOM </w:t>
      </w:r>
      <w:r w:rsidR="000D4818">
        <w:rPr>
          <w:snapToGrid w:val="0"/>
          <w:szCs w:val="12"/>
        </w:rPr>
        <w:t>(</w:t>
      </w:r>
      <w:proofErr w:type="spellStart"/>
      <w:r w:rsidR="000D4818">
        <w:rPr>
          <w:snapToGrid w:val="0"/>
          <w:szCs w:val="12"/>
        </w:rPr>
        <w:t>African</w:t>
      </w:r>
      <w:proofErr w:type="spellEnd"/>
      <w:r w:rsidR="000D4818">
        <w:rPr>
          <w:snapToGrid w:val="0"/>
          <w:szCs w:val="12"/>
        </w:rPr>
        <w:t xml:space="preserve"> Union </w:t>
      </w:r>
      <w:proofErr w:type="spellStart"/>
      <w:r w:rsidR="000D4818">
        <w:rPr>
          <w:snapToGrid w:val="0"/>
          <w:szCs w:val="12"/>
        </w:rPr>
        <w:t>Mission</w:t>
      </w:r>
      <w:proofErr w:type="spellEnd"/>
      <w:r w:rsidR="000D4818">
        <w:rPr>
          <w:snapToGrid w:val="0"/>
          <w:szCs w:val="12"/>
        </w:rPr>
        <w:t xml:space="preserve"> in </w:t>
      </w:r>
      <w:proofErr w:type="spellStart"/>
      <w:r w:rsidR="000D4818">
        <w:rPr>
          <w:snapToGrid w:val="0"/>
          <w:szCs w:val="12"/>
        </w:rPr>
        <w:t>Somalia</w:t>
      </w:r>
      <w:proofErr w:type="spellEnd"/>
      <w:r w:rsidR="000D4818">
        <w:rPr>
          <w:snapToGrid w:val="0"/>
          <w:szCs w:val="12"/>
        </w:rPr>
        <w:t xml:space="preserve">) </w:t>
      </w:r>
      <w:r w:rsidRPr="00C71C03">
        <w:rPr>
          <w:snapToGrid w:val="0"/>
          <w:szCs w:val="12"/>
        </w:rPr>
        <w:t xml:space="preserve">či </w:t>
      </w:r>
      <w:r w:rsidRPr="00885EA4">
        <w:rPr>
          <w:snapToGrid w:val="0"/>
          <w:szCs w:val="12"/>
        </w:rPr>
        <w:t xml:space="preserve">mise </w:t>
      </w:r>
      <w:r w:rsidR="00885EA4" w:rsidRPr="00885EA4">
        <w:rPr>
          <w:snapToGrid w:val="0"/>
          <w:szCs w:val="12"/>
        </w:rPr>
        <w:t>Evropské unie</w:t>
      </w:r>
      <w:r w:rsidRPr="00885EA4">
        <w:rPr>
          <w:snapToGrid w:val="0"/>
          <w:szCs w:val="12"/>
        </w:rPr>
        <w:t xml:space="preserve"> (</w:t>
      </w:r>
      <w:r w:rsidR="000D62DD" w:rsidRPr="00885EA4">
        <w:rPr>
          <w:snapToGrid w:val="0"/>
          <w:szCs w:val="12"/>
        </w:rPr>
        <w:t xml:space="preserve">EUTM </w:t>
      </w:r>
      <w:proofErr w:type="spellStart"/>
      <w:r w:rsidR="000D62DD" w:rsidRPr="00885EA4">
        <w:rPr>
          <w:snapToGrid w:val="0"/>
          <w:szCs w:val="12"/>
        </w:rPr>
        <w:t>Somalia</w:t>
      </w:r>
      <w:proofErr w:type="spellEnd"/>
      <w:r w:rsidR="00885EA4" w:rsidRPr="00885EA4">
        <w:rPr>
          <w:snapToGrid w:val="0"/>
          <w:szCs w:val="12"/>
        </w:rPr>
        <w:t>,</w:t>
      </w:r>
      <w:r w:rsidR="008429FA" w:rsidRPr="00885EA4">
        <w:rPr>
          <w:snapToGrid w:val="0"/>
          <w:szCs w:val="12"/>
        </w:rPr>
        <w:t xml:space="preserve"> EUCAP</w:t>
      </w:r>
      <w:r w:rsidR="00A206CD">
        <w:rPr>
          <w:snapToGrid w:val="0"/>
          <w:szCs w:val="12"/>
        </w:rPr>
        <w:t>/</w:t>
      </w:r>
      <w:proofErr w:type="spellStart"/>
      <w:r w:rsidR="00A206CD">
        <w:rPr>
          <w:snapToGrid w:val="0"/>
          <w:szCs w:val="12"/>
        </w:rPr>
        <w:t>European</w:t>
      </w:r>
      <w:proofErr w:type="spellEnd"/>
      <w:r w:rsidR="00A206CD">
        <w:rPr>
          <w:snapToGrid w:val="0"/>
          <w:szCs w:val="12"/>
        </w:rPr>
        <w:t xml:space="preserve"> Union </w:t>
      </w:r>
      <w:proofErr w:type="spellStart"/>
      <w:r w:rsidR="00A206CD">
        <w:rPr>
          <w:snapToGrid w:val="0"/>
          <w:szCs w:val="12"/>
        </w:rPr>
        <w:t>Capacity</w:t>
      </w:r>
      <w:proofErr w:type="spellEnd"/>
      <w:r w:rsidR="00A206CD">
        <w:rPr>
          <w:snapToGrid w:val="0"/>
          <w:szCs w:val="12"/>
        </w:rPr>
        <w:t xml:space="preserve"> </w:t>
      </w:r>
      <w:proofErr w:type="spellStart"/>
      <w:r w:rsidR="00A206CD">
        <w:rPr>
          <w:snapToGrid w:val="0"/>
          <w:szCs w:val="12"/>
        </w:rPr>
        <w:t>Building</w:t>
      </w:r>
      <w:proofErr w:type="spellEnd"/>
      <w:r w:rsidR="00A206CD">
        <w:rPr>
          <w:snapToGrid w:val="0"/>
          <w:szCs w:val="12"/>
        </w:rPr>
        <w:t xml:space="preserve"> </w:t>
      </w:r>
      <w:proofErr w:type="spellStart"/>
      <w:r w:rsidR="00A206CD">
        <w:rPr>
          <w:snapToGrid w:val="0"/>
          <w:szCs w:val="12"/>
        </w:rPr>
        <w:t>Mission</w:t>
      </w:r>
      <w:proofErr w:type="spellEnd"/>
      <w:r w:rsidR="00A206CD">
        <w:rPr>
          <w:snapToGrid w:val="0"/>
          <w:szCs w:val="12"/>
        </w:rPr>
        <w:t xml:space="preserve"> in</w:t>
      </w:r>
      <w:r w:rsidR="008429FA" w:rsidRPr="00885EA4">
        <w:rPr>
          <w:snapToGrid w:val="0"/>
          <w:szCs w:val="12"/>
        </w:rPr>
        <w:t xml:space="preserve"> </w:t>
      </w:r>
      <w:proofErr w:type="spellStart"/>
      <w:r w:rsidR="008429FA" w:rsidRPr="00885EA4">
        <w:rPr>
          <w:snapToGrid w:val="0"/>
          <w:szCs w:val="12"/>
        </w:rPr>
        <w:t>Somalia</w:t>
      </w:r>
      <w:proofErr w:type="spellEnd"/>
      <w:r w:rsidR="00AE17FC">
        <w:rPr>
          <w:snapToGrid w:val="0"/>
          <w:szCs w:val="12"/>
        </w:rPr>
        <w:t xml:space="preserve"> a </w:t>
      </w:r>
      <w:r w:rsidR="00885EA4" w:rsidRPr="00885EA4">
        <w:rPr>
          <w:snapToGrid w:val="0"/>
          <w:szCs w:val="12"/>
        </w:rPr>
        <w:t>EUNAVFOR ATALANTA</w:t>
      </w:r>
      <w:r w:rsidR="008429FA" w:rsidRPr="00885EA4">
        <w:rPr>
          <w:snapToGrid w:val="0"/>
          <w:szCs w:val="12"/>
        </w:rPr>
        <w:t>).</w:t>
      </w:r>
      <w:r w:rsidRPr="00C71C03">
        <w:rPr>
          <w:snapToGrid w:val="0"/>
          <w:szCs w:val="12"/>
        </w:rPr>
        <w:t xml:space="preserve"> USA v prosinci oznámil</w:t>
      </w:r>
      <w:r w:rsidR="00AE17FC">
        <w:rPr>
          <w:snapToGrid w:val="0"/>
          <w:szCs w:val="12"/>
        </w:rPr>
        <w:t>y významnou redukci svých sil v </w:t>
      </w:r>
      <w:r w:rsidR="00885EA4">
        <w:rPr>
          <w:snapToGrid w:val="0"/>
          <w:szCs w:val="12"/>
        </w:rPr>
        <w:t>zemi</w:t>
      </w:r>
      <w:r w:rsidRPr="00C71C03">
        <w:rPr>
          <w:snapToGrid w:val="0"/>
          <w:szCs w:val="12"/>
        </w:rPr>
        <w:t xml:space="preserve">, kde </w:t>
      </w:r>
      <w:r w:rsidR="00885EA4">
        <w:rPr>
          <w:snapToGrid w:val="0"/>
          <w:szCs w:val="12"/>
        </w:rPr>
        <w:t>do té doby</w:t>
      </w:r>
      <w:r w:rsidRPr="00C71C03">
        <w:rPr>
          <w:snapToGrid w:val="0"/>
          <w:szCs w:val="12"/>
        </w:rPr>
        <w:t xml:space="preserve"> působilo asi 700 vojáků v boji proti Al-</w:t>
      </w:r>
      <w:proofErr w:type="spellStart"/>
      <w:r w:rsidRPr="00C71C03">
        <w:rPr>
          <w:snapToGrid w:val="0"/>
          <w:szCs w:val="12"/>
        </w:rPr>
        <w:t>Šabáb</w:t>
      </w:r>
      <w:proofErr w:type="spellEnd"/>
      <w:r w:rsidRPr="00C71C03">
        <w:rPr>
          <w:snapToGrid w:val="0"/>
          <w:szCs w:val="12"/>
        </w:rPr>
        <w:t xml:space="preserve">. V politické oblasti bylo v Somálsku prostřednictvím celonárodního dialogu dosaženo dohody ohledně plánu na uspořádání parlamentních a prezidentských voleb v zemi. </w:t>
      </w:r>
      <w:r>
        <w:rPr>
          <w:snapToGrid w:val="0"/>
          <w:szCs w:val="12"/>
        </w:rPr>
        <w:t xml:space="preserve">V Somálsku se </w:t>
      </w:r>
      <w:r w:rsidR="00885EA4">
        <w:rPr>
          <w:snapToGrid w:val="0"/>
          <w:szCs w:val="12"/>
        </w:rPr>
        <w:t xml:space="preserve">volby </w:t>
      </w:r>
      <w:r>
        <w:rPr>
          <w:snapToGrid w:val="0"/>
          <w:szCs w:val="12"/>
        </w:rPr>
        <w:t>n</w:t>
      </w:r>
      <w:r w:rsidRPr="00C71C03">
        <w:rPr>
          <w:snapToGrid w:val="0"/>
          <w:szCs w:val="12"/>
        </w:rPr>
        <w:t xml:space="preserve">aposledy </w:t>
      </w:r>
      <w:r>
        <w:rPr>
          <w:snapToGrid w:val="0"/>
          <w:szCs w:val="12"/>
        </w:rPr>
        <w:t>konaly</w:t>
      </w:r>
      <w:r w:rsidRPr="00C71C03">
        <w:rPr>
          <w:snapToGrid w:val="0"/>
          <w:szCs w:val="12"/>
        </w:rPr>
        <w:t xml:space="preserve"> v roce 1969, proto je dohoda vnímaná jako významný úspěch.</w:t>
      </w:r>
    </w:p>
    <w:p w:rsidR="00694C2D" w:rsidRPr="004F6ACC" w:rsidRDefault="00694C2D" w:rsidP="00192DFC">
      <w:pPr>
        <w:keepNext/>
        <w:numPr>
          <w:ilvl w:val="1"/>
          <w:numId w:val="3"/>
        </w:numPr>
        <w:spacing w:before="240" w:line="276" w:lineRule="auto"/>
        <w:jc w:val="both"/>
        <w:outlineLvl w:val="0"/>
        <w:rPr>
          <w:b/>
          <w:bCs/>
        </w:rPr>
      </w:pPr>
      <w:r w:rsidRPr="004F6ACC">
        <w:rPr>
          <w:b/>
          <w:bCs/>
        </w:rPr>
        <w:t>Působení p</w:t>
      </w:r>
      <w:r w:rsidR="003D0F9F" w:rsidRPr="004F6ACC">
        <w:rPr>
          <w:b/>
          <w:bCs/>
        </w:rPr>
        <w:t xml:space="preserve">říslušníků rezortu MO </w:t>
      </w:r>
      <w:r w:rsidR="00E01904" w:rsidRPr="004F6ACC">
        <w:rPr>
          <w:b/>
          <w:bCs/>
        </w:rPr>
        <w:t xml:space="preserve">v operaci </w:t>
      </w:r>
      <w:r w:rsidR="003D0F9F" w:rsidRPr="004F6ACC">
        <w:rPr>
          <w:b/>
          <w:bCs/>
        </w:rPr>
        <w:t>EU</w:t>
      </w:r>
      <w:r w:rsidRPr="004F6ACC">
        <w:rPr>
          <w:b/>
          <w:bCs/>
        </w:rPr>
        <w:t xml:space="preserve">NAVFOR </w:t>
      </w:r>
      <w:proofErr w:type="spellStart"/>
      <w:r w:rsidR="000D4818">
        <w:rPr>
          <w:b/>
          <w:bCs/>
        </w:rPr>
        <w:t>Atalanta</w:t>
      </w:r>
      <w:proofErr w:type="spellEnd"/>
    </w:p>
    <w:p w:rsidR="000431B1" w:rsidRPr="004F6ACC" w:rsidRDefault="00A26F59" w:rsidP="00DE134A">
      <w:pPr>
        <w:spacing w:before="120" w:line="276" w:lineRule="auto"/>
        <w:ind w:firstLine="709"/>
        <w:jc w:val="both"/>
        <w:rPr>
          <w:snapToGrid w:val="0"/>
          <w:szCs w:val="12"/>
        </w:rPr>
      </w:pPr>
      <w:r w:rsidRPr="004F6ACC">
        <w:rPr>
          <w:snapToGrid w:val="0"/>
          <w:szCs w:val="12"/>
        </w:rPr>
        <w:t xml:space="preserve">Mandát pro působení sil a prostředků </w:t>
      </w:r>
      <w:r w:rsidR="000431B1" w:rsidRPr="004F6ACC">
        <w:rPr>
          <w:snapToGrid w:val="0"/>
          <w:szCs w:val="12"/>
        </w:rPr>
        <w:t xml:space="preserve">rezortu </w:t>
      </w:r>
      <w:r w:rsidRPr="004F6ACC">
        <w:rPr>
          <w:snapToGrid w:val="0"/>
          <w:szCs w:val="12"/>
        </w:rPr>
        <w:t xml:space="preserve">MO </w:t>
      </w:r>
      <w:r w:rsidR="000431B1" w:rsidRPr="004F6ACC">
        <w:rPr>
          <w:snapToGrid w:val="0"/>
          <w:szCs w:val="12"/>
        </w:rPr>
        <w:t>v</w:t>
      </w:r>
      <w:r w:rsidR="000D4818">
        <w:rPr>
          <w:snapToGrid w:val="0"/>
          <w:szCs w:val="12"/>
        </w:rPr>
        <w:t> námořní operaci EU (</w:t>
      </w:r>
      <w:r w:rsidR="000431B1" w:rsidRPr="004F6ACC">
        <w:rPr>
          <w:snapToGrid w:val="0"/>
          <w:szCs w:val="12"/>
        </w:rPr>
        <w:t xml:space="preserve">EUNAVFOR </w:t>
      </w:r>
      <w:proofErr w:type="spellStart"/>
      <w:r w:rsidR="000431B1" w:rsidRPr="004F6ACC">
        <w:rPr>
          <w:snapToGrid w:val="0"/>
          <w:szCs w:val="12"/>
        </w:rPr>
        <w:t>A</w:t>
      </w:r>
      <w:r w:rsidR="000D4818">
        <w:rPr>
          <w:snapToGrid w:val="0"/>
          <w:szCs w:val="12"/>
        </w:rPr>
        <w:t>talanta</w:t>
      </w:r>
      <w:proofErr w:type="spellEnd"/>
      <w:r w:rsidR="000D4818">
        <w:rPr>
          <w:snapToGrid w:val="0"/>
          <w:szCs w:val="12"/>
        </w:rPr>
        <w:t>)</w:t>
      </w:r>
      <w:r w:rsidR="000431B1" w:rsidRPr="004F6ACC">
        <w:rPr>
          <w:snapToGrid w:val="0"/>
          <w:szCs w:val="12"/>
        </w:rPr>
        <w:t xml:space="preserve"> v roce</w:t>
      </w:r>
      <w:r w:rsidRPr="004F6ACC">
        <w:rPr>
          <w:snapToGrid w:val="0"/>
          <w:szCs w:val="12"/>
        </w:rPr>
        <w:t xml:space="preserve"> </w:t>
      </w:r>
      <w:r w:rsidR="00300118" w:rsidRPr="004F6ACC">
        <w:rPr>
          <w:snapToGrid w:val="0"/>
          <w:szCs w:val="12"/>
        </w:rPr>
        <w:t>2020</w:t>
      </w:r>
      <w:r w:rsidRPr="004F6ACC">
        <w:rPr>
          <w:snapToGrid w:val="0"/>
          <w:szCs w:val="12"/>
        </w:rPr>
        <w:t xml:space="preserve"> byl </w:t>
      </w:r>
      <w:r w:rsidR="006E03E7" w:rsidRPr="004F6ACC">
        <w:rPr>
          <w:snapToGrid w:val="0"/>
          <w:szCs w:val="12"/>
        </w:rPr>
        <w:t xml:space="preserve">stanoven </w:t>
      </w:r>
      <w:r w:rsidRPr="004F6ACC">
        <w:rPr>
          <w:snapToGrid w:val="0"/>
          <w:szCs w:val="12"/>
        </w:rPr>
        <w:t>do 3 osob.</w:t>
      </w:r>
    </w:p>
    <w:p w:rsidR="00C4696E" w:rsidRPr="004F6ACC" w:rsidRDefault="002539B8" w:rsidP="00DE134A">
      <w:pPr>
        <w:spacing w:before="120" w:line="276" w:lineRule="auto"/>
        <w:ind w:firstLine="709"/>
        <w:jc w:val="both"/>
        <w:rPr>
          <w:snapToGrid w:val="0"/>
          <w:szCs w:val="12"/>
        </w:rPr>
      </w:pPr>
      <w:r w:rsidRPr="004F6ACC">
        <w:rPr>
          <w:snapToGrid w:val="0"/>
          <w:szCs w:val="12"/>
        </w:rPr>
        <w:t>Tři p</w:t>
      </w:r>
      <w:r w:rsidR="00A26F59" w:rsidRPr="004F6ACC">
        <w:rPr>
          <w:snapToGrid w:val="0"/>
          <w:szCs w:val="12"/>
        </w:rPr>
        <w:t xml:space="preserve">říslušníci rezortu MO </w:t>
      </w:r>
      <w:r w:rsidR="000431B1" w:rsidRPr="004F6ACC">
        <w:rPr>
          <w:snapToGrid w:val="0"/>
          <w:szCs w:val="12"/>
        </w:rPr>
        <w:t xml:space="preserve">působili na </w:t>
      </w:r>
      <w:r w:rsidR="00A26F59" w:rsidRPr="004F6ACC">
        <w:rPr>
          <w:snapToGrid w:val="0"/>
          <w:szCs w:val="12"/>
        </w:rPr>
        <w:t>Operač</w:t>
      </w:r>
      <w:r w:rsidRPr="004F6ACC">
        <w:rPr>
          <w:snapToGrid w:val="0"/>
          <w:szCs w:val="12"/>
        </w:rPr>
        <w:t xml:space="preserve">ním velitelství na španělské vojenské základně Rota. Dnem 31. července 2020 byla ukončena 11letá česká přítomnost v této operaci. Z politického hlediska operace již nic nepřinášela, navíc </w:t>
      </w:r>
      <w:r w:rsidR="00300118" w:rsidRPr="004F6ACC">
        <w:rPr>
          <w:snapToGrid w:val="0"/>
          <w:szCs w:val="12"/>
        </w:rPr>
        <w:t>ČR působí</w:t>
      </w:r>
      <w:r w:rsidRPr="004F6ACC">
        <w:rPr>
          <w:snapToGrid w:val="0"/>
          <w:szCs w:val="12"/>
        </w:rPr>
        <w:t xml:space="preserve"> v dalších třech operacích </w:t>
      </w:r>
      <w:r w:rsidR="005C37A3" w:rsidRPr="004F6ACC">
        <w:rPr>
          <w:snapToGrid w:val="0"/>
          <w:szCs w:val="12"/>
        </w:rPr>
        <w:t xml:space="preserve">Evropské unie </w:t>
      </w:r>
      <w:r w:rsidRPr="004F6ACC">
        <w:rPr>
          <w:snapToGrid w:val="0"/>
          <w:szCs w:val="12"/>
        </w:rPr>
        <w:t>(</w:t>
      </w:r>
      <w:proofErr w:type="spellStart"/>
      <w:r w:rsidR="000D4818">
        <w:rPr>
          <w:snapToGrid w:val="0"/>
          <w:szCs w:val="12"/>
        </w:rPr>
        <w:t>Irini</w:t>
      </w:r>
      <w:proofErr w:type="spellEnd"/>
      <w:r w:rsidRPr="004F6ACC">
        <w:rPr>
          <w:snapToGrid w:val="0"/>
          <w:szCs w:val="12"/>
        </w:rPr>
        <w:t xml:space="preserve">, </w:t>
      </w:r>
      <w:proofErr w:type="spellStart"/>
      <w:r w:rsidR="000D4818">
        <w:rPr>
          <w:snapToGrid w:val="0"/>
          <w:szCs w:val="12"/>
        </w:rPr>
        <w:t>Althea</w:t>
      </w:r>
      <w:proofErr w:type="spellEnd"/>
      <w:r w:rsidRPr="004F6ACC">
        <w:rPr>
          <w:snapToGrid w:val="0"/>
          <w:szCs w:val="12"/>
        </w:rPr>
        <w:t xml:space="preserve"> a především EUTM Mali).</w:t>
      </w:r>
    </w:p>
    <w:p w:rsidR="005C032D" w:rsidRPr="004F6ACC" w:rsidRDefault="005C032D" w:rsidP="000D23F4">
      <w:pPr>
        <w:keepNext/>
        <w:numPr>
          <w:ilvl w:val="0"/>
          <w:numId w:val="2"/>
        </w:numPr>
        <w:spacing w:before="360" w:after="120" w:line="276" w:lineRule="auto"/>
        <w:ind w:left="431" w:hanging="431"/>
        <w:jc w:val="both"/>
        <w:outlineLvl w:val="0"/>
        <w:rPr>
          <w:b/>
          <w:bCs/>
        </w:rPr>
      </w:pPr>
      <w:r w:rsidRPr="004F6ACC">
        <w:rPr>
          <w:b/>
          <w:bCs/>
        </w:rPr>
        <w:lastRenderedPageBreak/>
        <w:t xml:space="preserve">Působení v zahraničních operacích v rámci velitelských struktur NATO, EU a OSN </w:t>
      </w:r>
    </w:p>
    <w:p w:rsidR="00DA4EB2" w:rsidRPr="004F6ACC" w:rsidRDefault="005410B3" w:rsidP="00DE134A">
      <w:pPr>
        <w:spacing w:before="120" w:line="276" w:lineRule="auto"/>
        <w:ind w:firstLine="709"/>
        <w:jc w:val="both"/>
      </w:pPr>
      <w:r w:rsidRPr="004F6ACC">
        <w:t xml:space="preserve">Mandát pro působení sil a prostředků </w:t>
      </w:r>
      <w:r w:rsidR="0093106D" w:rsidRPr="004F6ACC">
        <w:t xml:space="preserve">rezortu </w:t>
      </w:r>
      <w:r w:rsidRPr="004F6ACC">
        <w:t xml:space="preserve">MO v zahraničních operacích vysílaných z velitelských struktur NATO, EU a OSN v roce </w:t>
      </w:r>
      <w:r w:rsidR="005C5629" w:rsidRPr="004F6ACC">
        <w:t>2020</w:t>
      </w:r>
      <w:r w:rsidRPr="004F6ACC">
        <w:t xml:space="preserve"> byl stanoven do </w:t>
      </w:r>
      <w:r w:rsidR="00304FB5" w:rsidRPr="004F6ACC">
        <w:t>2</w:t>
      </w:r>
      <w:r w:rsidRPr="004F6ACC">
        <w:t>5 osob. V rámci této kat</w:t>
      </w:r>
      <w:r w:rsidR="00304FB5" w:rsidRPr="004F6ACC">
        <w:t xml:space="preserve">egorie </w:t>
      </w:r>
      <w:r w:rsidR="005C5629" w:rsidRPr="004F6ACC">
        <w:t>byla vysílána od 1. dubna do 31. prosince 2020 skupina</w:t>
      </w:r>
      <w:r w:rsidR="00885EA4" w:rsidRPr="004F6ACC">
        <w:t xml:space="preserve"> 5 důstojníků do EUNAVFOR MED </w:t>
      </w:r>
      <w:proofErr w:type="spellStart"/>
      <w:r w:rsidR="000D4818">
        <w:t>Irini</w:t>
      </w:r>
      <w:proofErr w:type="spellEnd"/>
      <w:r w:rsidR="005C5629" w:rsidRPr="004F6ACC">
        <w:t>, která nahradila ukončenou misi EU</w:t>
      </w:r>
      <w:r w:rsidR="00885EA4" w:rsidRPr="004F6ACC">
        <w:t>NAVFOR MED</w:t>
      </w:r>
      <w:r w:rsidR="005C5629" w:rsidRPr="004F6ACC">
        <w:t xml:space="preserve"> </w:t>
      </w:r>
      <w:r w:rsidR="000D4818">
        <w:t>Sophia</w:t>
      </w:r>
      <w:r w:rsidR="003076AB">
        <w:t>. Úkoly i </w:t>
      </w:r>
      <w:r w:rsidR="005C5629" w:rsidRPr="004F6ACC">
        <w:t>místo p</w:t>
      </w:r>
      <w:r w:rsidR="005C37A3" w:rsidRPr="004F6ACC">
        <w:t>lnění zůstalo stejné</w:t>
      </w:r>
      <w:r w:rsidR="005C5629" w:rsidRPr="004F6ACC">
        <w:t xml:space="preserve">, tj. Řím, Itálie. </w:t>
      </w:r>
    </w:p>
    <w:p w:rsidR="001F0EF4" w:rsidRPr="004F6ACC" w:rsidRDefault="001F0EF4" w:rsidP="0057446F">
      <w:pPr>
        <w:keepNext/>
        <w:numPr>
          <w:ilvl w:val="0"/>
          <w:numId w:val="2"/>
        </w:numPr>
        <w:spacing w:before="360" w:after="120" w:line="276" w:lineRule="auto"/>
        <w:ind w:left="431" w:hanging="431"/>
        <w:jc w:val="both"/>
        <w:outlineLvl w:val="0"/>
        <w:rPr>
          <w:b/>
          <w:bCs/>
        </w:rPr>
      </w:pPr>
      <w:r w:rsidRPr="004F6ACC">
        <w:rPr>
          <w:b/>
          <w:bCs/>
        </w:rPr>
        <w:t xml:space="preserve">Působení </w:t>
      </w:r>
      <w:proofErr w:type="spellStart"/>
      <w:r w:rsidRPr="004F6ACC">
        <w:rPr>
          <w:b/>
          <w:bCs/>
        </w:rPr>
        <w:t>nasaditelného</w:t>
      </w:r>
      <w:proofErr w:type="spellEnd"/>
      <w:r w:rsidRPr="004F6ACC">
        <w:rPr>
          <w:b/>
          <w:bCs/>
        </w:rPr>
        <w:t xml:space="preserve"> spojovacího modulu</w:t>
      </w:r>
    </w:p>
    <w:p w:rsidR="005C37A3" w:rsidRPr="004F6ACC" w:rsidRDefault="00153321" w:rsidP="005C37A3">
      <w:pPr>
        <w:spacing w:before="120" w:line="276" w:lineRule="auto"/>
        <w:ind w:firstLine="709"/>
        <w:jc w:val="both"/>
        <w:rPr>
          <w:rFonts w:eastAsia="Calibri"/>
        </w:rPr>
      </w:pPr>
      <w:r>
        <w:rPr>
          <w:rFonts w:eastAsia="Calibri"/>
        </w:rPr>
        <w:t xml:space="preserve">Mandát pro působení sil a prostředků rezortu MO v zahraničních operacích v rámci </w:t>
      </w:r>
      <w:proofErr w:type="spellStart"/>
      <w:r>
        <w:rPr>
          <w:rFonts w:eastAsia="Calibri"/>
        </w:rPr>
        <w:t>nasaditelného</w:t>
      </w:r>
      <w:proofErr w:type="spellEnd"/>
      <w:r>
        <w:rPr>
          <w:rFonts w:eastAsia="Calibri"/>
        </w:rPr>
        <w:t xml:space="preserve"> spojovacího modulu</w:t>
      </w:r>
      <w:r w:rsidR="00DB3C76">
        <w:rPr>
          <w:rFonts w:eastAsia="Calibri"/>
        </w:rPr>
        <w:t xml:space="preserve"> </w:t>
      </w:r>
      <w:r w:rsidR="003E3113" w:rsidRPr="004F6ACC">
        <w:rPr>
          <w:rFonts w:eastAsia="Calibri"/>
        </w:rPr>
        <w:t>(DCM</w:t>
      </w:r>
      <w:r w:rsidR="003E3113">
        <w:rPr>
          <w:rFonts w:eastAsia="Calibri"/>
        </w:rPr>
        <w:t>/</w:t>
      </w:r>
      <w:proofErr w:type="spellStart"/>
      <w:r w:rsidR="003E3113" w:rsidRPr="004F6ACC">
        <w:rPr>
          <w:rFonts w:eastAsia="Calibri"/>
        </w:rPr>
        <w:t>Deployable</w:t>
      </w:r>
      <w:proofErr w:type="spellEnd"/>
      <w:r w:rsidR="003E3113" w:rsidRPr="004F6ACC">
        <w:rPr>
          <w:rFonts w:eastAsia="Calibri"/>
        </w:rPr>
        <w:t xml:space="preserve"> </w:t>
      </w:r>
      <w:proofErr w:type="spellStart"/>
      <w:r w:rsidR="003E3113" w:rsidRPr="004F6ACC">
        <w:rPr>
          <w:rFonts w:eastAsia="Calibri"/>
        </w:rPr>
        <w:t>Communication</w:t>
      </w:r>
      <w:proofErr w:type="spellEnd"/>
      <w:r w:rsidR="003E3113" w:rsidRPr="004F6ACC">
        <w:rPr>
          <w:rFonts w:eastAsia="Calibri"/>
        </w:rPr>
        <w:t xml:space="preserve"> Module)</w:t>
      </w:r>
      <w:r w:rsidR="003E3113">
        <w:rPr>
          <w:rFonts w:eastAsia="Calibri"/>
        </w:rPr>
        <w:t xml:space="preserve"> </w:t>
      </w:r>
      <w:r w:rsidR="00DB3C76">
        <w:rPr>
          <w:rFonts w:eastAsia="Calibri"/>
        </w:rPr>
        <w:t>v operacích NATO mimo území České republiky</w:t>
      </w:r>
      <w:r>
        <w:rPr>
          <w:rFonts w:eastAsia="Calibri"/>
        </w:rPr>
        <w:t xml:space="preserve"> činil 56 osob na dobu nejvýše šesti měsíců ročně v termínu od 1. ledna 2019 do 31. prosince 2020. </w:t>
      </w:r>
      <w:r w:rsidR="005C37A3" w:rsidRPr="004F6ACC">
        <w:rPr>
          <w:rFonts w:eastAsia="Calibri"/>
        </w:rPr>
        <w:t xml:space="preserve">V hodnoceném období byla aktivována skupina 9 příslušníků </w:t>
      </w:r>
      <w:r w:rsidR="003E3113">
        <w:rPr>
          <w:rFonts w:eastAsia="Calibri"/>
        </w:rPr>
        <w:t>DCM</w:t>
      </w:r>
      <w:r w:rsidR="005C37A3" w:rsidRPr="004F6ACC">
        <w:rPr>
          <w:rFonts w:eastAsia="Calibri"/>
        </w:rPr>
        <w:t xml:space="preserve">, která působila v rámci </w:t>
      </w:r>
      <w:r w:rsidR="001D2239">
        <w:rPr>
          <w:rFonts w:eastAsia="Calibri"/>
        </w:rPr>
        <w:t xml:space="preserve">operace „NATO Support to </w:t>
      </w:r>
      <w:proofErr w:type="spellStart"/>
      <w:r w:rsidR="001D2239">
        <w:rPr>
          <w:rFonts w:eastAsia="Calibri"/>
        </w:rPr>
        <w:t>Turkey</w:t>
      </w:r>
      <w:proofErr w:type="spellEnd"/>
      <w:r w:rsidR="001D2239">
        <w:rPr>
          <w:rFonts w:eastAsia="Calibri"/>
        </w:rPr>
        <w:t xml:space="preserve">“ </w:t>
      </w:r>
      <w:r w:rsidR="005C37A3" w:rsidRPr="004F6ACC">
        <w:rPr>
          <w:rFonts w:eastAsia="Calibri"/>
        </w:rPr>
        <w:t xml:space="preserve">na území Turecka od července 2020 </w:t>
      </w:r>
      <w:r w:rsidR="003E3113">
        <w:rPr>
          <w:rFonts w:eastAsia="Calibri"/>
        </w:rPr>
        <w:t>po</w:t>
      </w:r>
      <w:r w:rsidR="005C37A3" w:rsidRPr="004F6ACC">
        <w:rPr>
          <w:rFonts w:eastAsia="Calibri"/>
        </w:rPr>
        <w:t xml:space="preserve"> dobu 6 měsíců.</w:t>
      </w:r>
    </w:p>
    <w:p w:rsidR="00DC181E" w:rsidRPr="004F6ACC" w:rsidRDefault="0093106D" w:rsidP="00DE134A">
      <w:pPr>
        <w:spacing w:before="120" w:line="276" w:lineRule="auto"/>
        <w:ind w:firstLine="709"/>
        <w:jc w:val="both"/>
      </w:pPr>
      <w:r w:rsidRPr="004F6ACC">
        <w:rPr>
          <w:rFonts w:eastAsia="Calibri"/>
        </w:rPr>
        <w:t xml:space="preserve">Skupina se podílela </w:t>
      </w:r>
      <w:r w:rsidR="00304FB5" w:rsidRPr="004F6ACC">
        <w:rPr>
          <w:rFonts w:eastAsia="Calibri"/>
        </w:rPr>
        <w:t>na</w:t>
      </w:r>
      <w:r w:rsidRPr="004F6ACC">
        <w:rPr>
          <w:rFonts w:eastAsia="Calibri"/>
        </w:rPr>
        <w:t xml:space="preserve"> </w:t>
      </w:r>
      <w:r w:rsidR="00304FB5" w:rsidRPr="004F6ACC">
        <w:rPr>
          <w:rFonts w:eastAsia="Calibri"/>
        </w:rPr>
        <w:t>zajištění podpory alianční</w:t>
      </w:r>
      <w:r w:rsidRPr="004F6ACC">
        <w:rPr>
          <w:rFonts w:eastAsia="Calibri"/>
        </w:rPr>
        <w:t>ho spojovacího systému velení a </w:t>
      </w:r>
      <w:r w:rsidR="005C37A3" w:rsidRPr="004F6ACC">
        <w:rPr>
          <w:rFonts w:eastAsia="Calibri"/>
        </w:rPr>
        <w:t>řízení.</w:t>
      </w:r>
    </w:p>
    <w:p w:rsidR="001F0EF4" w:rsidRPr="004F6ACC" w:rsidRDefault="001F0EF4" w:rsidP="0057446F">
      <w:pPr>
        <w:keepNext/>
        <w:numPr>
          <w:ilvl w:val="0"/>
          <w:numId w:val="2"/>
        </w:numPr>
        <w:spacing w:before="360" w:after="120" w:line="276" w:lineRule="auto"/>
        <w:ind w:left="431" w:hanging="431"/>
        <w:jc w:val="both"/>
        <w:outlineLvl w:val="0"/>
        <w:rPr>
          <w:b/>
          <w:bCs/>
        </w:rPr>
      </w:pPr>
      <w:r w:rsidRPr="004F6ACC">
        <w:rPr>
          <w:b/>
          <w:bCs/>
        </w:rPr>
        <w:t xml:space="preserve">Vyčlenění sil a prostředků </w:t>
      </w:r>
      <w:r w:rsidR="00176FAB" w:rsidRPr="004F6ACC">
        <w:rPr>
          <w:b/>
          <w:bCs/>
        </w:rPr>
        <w:t xml:space="preserve">rezortu MO </w:t>
      </w:r>
      <w:r w:rsidRPr="004F6ACC">
        <w:rPr>
          <w:b/>
          <w:bCs/>
        </w:rPr>
        <w:t xml:space="preserve">do sil rychlé reakce NATO </w:t>
      </w:r>
    </w:p>
    <w:p w:rsidR="00792198" w:rsidRPr="00792198" w:rsidRDefault="00792198" w:rsidP="00DE134A">
      <w:pPr>
        <w:spacing w:before="120" w:line="276" w:lineRule="auto"/>
        <w:ind w:firstLine="709"/>
        <w:jc w:val="both"/>
      </w:pPr>
      <w:r w:rsidRPr="004F6ACC">
        <w:t>Pro případné nasazení do operací Sil rychlé r</w:t>
      </w:r>
      <w:r w:rsidR="00884FF3" w:rsidRPr="004F6ACC">
        <w:t>eakce NATO (</w:t>
      </w:r>
      <w:r w:rsidR="000D4818">
        <w:t>NRF/</w:t>
      </w:r>
      <w:r w:rsidR="00884FF3" w:rsidRPr="004F6ACC">
        <w:t xml:space="preserve">NATO Response </w:t>
      </w:r>
      <w:proofErr w:type="spellStart"/>
      <w:r w:rsidR="00884FF3" w:rsidRPr="004F6ACC">
        <w:t>Force</w:t>
      </w:r>
      <w:proofErr w:type="spellEnd"/>
      <w:r w:rsidRPr="004F6ACC">
        <w:t xml:space="preserve">) bylo v roce </w:t>
      </w:r>
      <w:r w:rsidR="00EC1A67" w:rsidRPr="004F6ACC">
        <w:t>2020</w:t>
      </w:r>
      <w:r w:rsidRPr="004F6ACC">
        <w:t xml:space="preserve"> vyčleněno </w:t>
      </w:r>
      <w:r w:rsidR="00874989" w:rsidRPr="004F6ACC">
        <w:t>1 </w:t>
      </w:r>
      <w:r w:rsidR="00D51FEF" w:rsidRPr="004F6ACC">
        <w:t>195</w:t>
      </w:r>
      <w:r w:rsidRPr="004F6ACC">
        <w:t xml:space="preserve"> osob</w:t>
      </w:r>
      <w:r w:rsidR="00064116">
        <w:t xml:space="preserve"> (</w:t>
      </w:r>
      <w:r w:rsidR="00E47B88">
        <w:t>maximální počet činil</w:t>
      </w:r>
      <w:r w:rsidR="00064116">
        <w:t xml:space="preserve"> 1 200 osob)</w:t>
      </w:r>
      <w:r w:rsidRPr="004F6ACC">
        <w:t>. Jednalo se o jednotku pro</w:t>
      </w:r>
      <w:r w:rsidR="004C09C6" w:rsidRPr="004F6ACC">
        <w:t xml:space="preserve">tivzdušné obrany </w:t>
      </w:r>
      <w:r w:rsidR="00F9005D" w:rsidRPr="004F6ACC">
        <w:t>zařazenou do bojového uskupení vedeného Německem</w:t>
      </w:r>
      <w:r w:rsidR="00384CBD" w:rsidRPr="004F6ACC">
        <w:t xml:space="preserve"> a</w:t>
      </w:r>
      <w:r w:rsidR="008F3E50">
        <w:t> </w:t>
      </w:r>
      <w:r w:rsidR="00384CBD" w:rsidRPr="004F6ACC">
        <w:t xml:space="preserve">mechanizovaný prapor </w:t>
      </w:r>
      <w:r w:rsidR="00286664" w:rsidRPr="004F6ACC">
        <w:t xml:space="preserve">a četu vojenské policie </w:t>
      </w:r>
      <w:r w:rsidR="00384CBD" w:rsidRPr="004F6ACC">
        <w:t>v rámci polského uskupení.</w:t>
      </w:r>
      <w:r w:rsidRPr="004F6ACC">
        <w:t xml:space="preserve"> K nasazení </w:t>
      </w:r>
      <w:r w:rsidR="000E6E57" w:rsidRPr="004F6ACC">
        <w:t>sil a</w:t>
      </w:r>
      <w:r w:rsidR="008F3E50">
        <w:t> </w:t>
      </w:r>
      <w:r w:rsidR="000E6E57" w:rsidRPr="004F6ACC">
        <w:t>prostředků</w:t>
      </w:r>
      <w:r w:rsidRPr="004F6ACC">
        <w:t xml:space="preserve"> rezortu MO vyčleněných do NRF v roce </w:t>
      </w:r>
      <w:r w:rsidR="00EC1A67" w:rsidRPr="004F6ACC">
        <w:t>2020</w:t>
      </w:r>
      <w:r w:rsidRPr="004F6ACC">
        <w:t xml:space="preserve"> nedošlo.</w:t>
      </w:r>
    </w:p>
    <w:p w:rsidR="00694C2D" w:rsidRPr="004F6ACC" w:rsidRDefault="001F0EF4" w:rsidP="0057446F">
      <w:pPr>
        <w:keepNext/>
        <w:numPr>
          <w:ilvl w:val="0"/>
          <w:numId w:val="2"/>
        </w:numPr>
        <w:spacing w:before="360" w:after="120" w:line="276" w:lineRule="auto"/>
        <w:ind w:left="431" w:hanging="431"/>
        <w:jc w:val="both"/>
        <w:outlineLvl w:val="0"/>
        <w:rPr>
          <w:b/>
          <w:bCs/>
        </w:rPr>
      </w:pPr>
      <w:r w:rsidRPr="004F6ACC">
        <w:rPr>
          <w:b/>
          <w:bCs/>
        </w:rPr>
        <w:t xml:space="preserve">Vyčlenění sil a prostředků </w:t>
      </w:r>
      <w:r w:rsidR="00176FAB" w:rsidRPr="004F6ACC">
        <w:rPr>
          <w:b/>
          <w:bCs/>
        </w:rPr>
        <w:t xml:space="preserve">rezortu MO </w:t>
      </w:r>
      <w:r w:rsidRPr="004F6ACC">
        <w:rPr>
          <w:b/>
          <w:bCs/>
        </w:rPr>
        <w:t xml:space="preserve">do </w:t>
      </w:r>
      <w:r w:rsidR="005B3E7E" w:rsidRPr="004F6ACC">
        <w:rPr>
          <w:b/>
          <w:bCs/>
        </w:rPr>
        <w:t>Bojového uskupení Evropské unie</w:t>
      </w:r>
    </w:p>
    <w:p w:rsidR="00792198" w:rsidRPr="004F6ACC" w:rsidRDefault="00384CBD" w:rsidP="00DE134A">
      <w:pPr>
        <w:spacing w:before="120" w:line="276" w:lineRule="auto"/>
        <w:ind w:firstLine="709"/>
        <w:jc w:val="both"/>
      </w:pPr>
      <w:r w:rsidRPr="004F6ACC">
        <w:t xml:space="preserve">Ve druhém pololetí roku </w:t>
      </w:r>
      <w:r w:rsidR="005C5629" w:rsidRPr="004F6ACC">
        <w:t>2020</w:t>
      </w:r>
      <w:r w:rsidRPr="004F6ACC">
        <w:t xml:space="preserve"> bylo vyčleněno pro </w:t>
      </w:r>
      <w:r w:rsidR="000D4818">
        <w:t>B</w:t>
      </w:r>
      <w:r w:rsidRPr="004F6ACC">
        <w:t xml:space="preserve">ojové uskupení </w:t>
      </w:r>
      <w:r w:rsidR="000D4818">
        <w:t>Evropské unie (</w:t>
      </w:r>
      <w:r w:rsidRPr="004F6ACC">
        <w:rPr>
          <w:rFonts w:eastAsia="Calibri"/>
          <w:bCs/>
        </w:rPr>
        <w:t>EUBG</w:t>
      </w:r>
      <w:r w:rsidR="000D4818">
        <w:rPr>
          <w:rFonts w:eastAsia="Calibri"/>
          <w:bCs/>
        </w:rPr>
        <w:t>/</w:t>
      </w:r>
      <w:proofErr w:type="spellStart"/>
      <w:r w:rsidR="000D4818">
        <w:rPr>
          <w:rFonts w:eastAsia="Calibri"/>
          <w:bCs/>
        </w:rPr>
        <w:t>European</w:t>
      </w:r>
      <w:proofErr w:type="spellEnd"/>
      <w:r w:rsidR="000D4818">
        <w:rPr>
          <w:rFonts w:eastAsia="Calibri"/>
          <w:bCs/>
        </w:rPr>
        <w:t xml:space="preserve"> Union </w:t>
      </w:r>
      <w:proofErr w:type="spellStart"/>
      <w:r w:rsidR="000D4818">
        <w:rPr>
          <w:rFonts w:eastAsia="Calibri"/>
          <w:bCs/>
        </w:rPr>
        <w:t>Battle</w:t>
      </w:r>
      <w:proofErr w:type="spellEnd"/>
      <w:r w:rsidR="000D4818">
        <w:rPr>
          <w:rFonts w:eastAsia="Calibri"/>
          <w:bCs/>
        </w:rPr>
        <w:t xml:space="preserve"> Group)</w:t>
      </w:r>
      <w:r w:rsidRPr="004F6ACC">
        <w:t xml:space="preserve"> </w:t>
      </w:r>
      <w:r w:rsidR="005C5629" w:rsidRPr="004F6ACC">
        <w:t xml:space="preserve">vedené Německem </w:t>
      </w:r>
      <w:r w:rsidR="00D51FEF" w:rsidRPr="004F6ACC">
        <w:t>242</w:t>
      </w:r>
      <w:r w:rsidRPr="004F6ACC">
        <w:t xml:space="preserve"> osob</w:t>
      </w:r>
      <w:r w:rsidR="00064116">
        <w:t xml:space="preserve"> (</w:t>
      </w:r>
      <w:r w:rsidR="00E47B88">
        <w:t>maximální počet</w:t>
      </w:r>
      <w:r w:rsidR="00064116">
        <w:t xml:space="preserve"> na období červenec až prosinec 2020 činil 300 osob)</w:t>
      </w:r>
      <w:r w:rsidR="008546BD">
        <w:rPr>
          <w:rFonts w:eastAsia="Calibri"/>
          <w:bCs/>
        </w:rPr>
        <w:t>. K nasazení sil a </w:t>
      </w:r>
      <w:r w:rsidRPr="004F6ACC">
        <w:rPr>
          <w:rFonts w:eastAsia="Calibri"/>
          <w:bCs/>
        </w:rPr>
        <w:t xml:space="preserve">prostředků rezortu MO v rámci EUBG v roce </w:t>
      </w:r>
      <w:r w:rsidR="005C5629" w:rsidRPr="004F6ACC">
        <w:rPr>
          <w:rFonts w:eastAsia="Calibri"/>
          <w:bCs/>
        </w:rPr>
        <w:t>2020</w:t>
      </w:r>
      <w:r w:rsidRPr="004F6ACC">
        <w:rPr>
          <w:rFonts w:eastAsia="Calibri"/>
          <w:bCs/>
        </w:rPr>
        <w:t xml:space="preserve"> nedošlo.</w:t>
      </w:r>
      <w:r w:rsidR="00BA0D79" w:rsidRPr="004F6ACC">
        <w:rPr>
          <w:rFonts w:eastAsia="Calibri"/>
          <w:bCs/>
        </w:rPr>
        <w:t xml:space="preserve"> </w:t>
      </w:r>
    </w:p>
    <w:p w:rsidR="00694C2D" w:rsidRPr="004F6ACC" w:rsidRDefault="00694C2D" w:rsidP="000D23F4">
      <w:pPr>
        <w:keepNext/>
        <w:numPr>
          <w:ilvl w:val="0"/>
          <w:numId w:val="2"/>
        </w:numPr>
        <w:spacing w:before="360" w:after="120" w:line="276" w:lineRule="auto"/>
        <w:ind w:left="431" w:hanging="431"/>
        <w:jc w:val="both"/>
        <w:outlineLvl w:val="0"/>
        <w:rPr>
          <w:b/>
          <w:bCs/>
        </w:rPr>
      </w:pPr>
      <w:r w:rsidRPr="004F6ACC">
        <w:rPr>
          <w:b/>
          <w:bCs/>
        </w:rPr>
        <w:t>Působení vojenských pozorovatelů AČR</w:t>
      </w:r>
    </w:p>
    <w:p w:rsidR="00694C2D" w:rsidRDefault="00694C2D" w:rsidP="00DE134A">
      <w:pPr>
        <w:spacing w:before="120" w:line="276" w:lineRule="auto"/>
        <w:ind w:firstLine="709"/>
        <w:jc w:val="both"/>
      </w:pPr>
      <w:r w:rsidRPr="00694C2D">
        <w:t xml:space="preserve">Vojenští pozorovatelé AČR působili v roce </w:t>
      </w:r>
      <w:r w:rsidR="00EC1A67">
        <w:t>2020</w:t>
      </w:r>
      <w:r w:rsidRPr="00694C2D">
        <w:t xml:space="preserve"> v počtu </w:t>
      </w:r>
      <w:r w:rsidR="00EB3FDD" w:rsidRPr="00EC1A67">
        <w:t>9</w:t>
      </w:r>
      <w:r w:rsidRPr="00EC1A67">
        <w:t xml:space="preserve"> osob</w:t>
      </w:r>
      <w:r w:rsidRPr="00694C2D">
        <w:t xml:space="preserve"> v mírových misích OSN</w:t>
      </w:r>
      <w:r w:rsidR="00FD562C">
        <w:t xml:space="preserve"> uvedených v</w:t>
      </w:r>
      <w:r w:rsidR="00046916">
        <w:t> </w:t>
      </w:r>
      <w:r w:rsidR="00FD562C">
        <w:t>tabulce</w:t>
      </w:r>
      <w:r w:rsidR="00046916">
        <w:t>. Na podzim 2020 byl</w:t>
      </w:r>
      <w:r w:rsidR="00EC1A67">
        <w:t>y</w:t>
      </w:r>
      <w:r w:rsidR="00046916">
        <w:t xml:space="preserve"> </w:t>
      </w:r>
      <w:r w:rsidR="00EC1A67">
        <w:t xml:space="preserve">ze strany OSN </w:t>
      </w:r>
      <w:r w:rsidR="00046916">
        <w:t xml:space="preserve">zrušeny pozice vojenských pozorovatelů v rámci mise MINUSMA. </w:t>
      </w:r>
    </w:p>
    <w:p w:rsidR="00441084" w:rsidRDefault="00441084" w:rsidP="00DE134A">
      <w:pPr>
        <w:spacing w:before="120" w:line="276" w:lineRule="auto"/>
        <w:ind w:firstLine="709"/>
        <w:jc w:val="both"/>
      </w:pPr>
    </w:p>
    <w:tbl>
      <w:tblPr>
        <w:tblW w:w="8789" w:type="dxa"/>
        <w:jc w:val="center"/>
        <w:tblCellMar>
          <w:left w:w="70" w:type="dxa"/>
          <w:right w:w="70" w:type="dxa"/>
        </w:tblCellMar>
        <w:tblLook w:val="04A0" w:firstRow="1" w:lastRow="0" w:firstColumn="1" w:lastColumn="0" w:noHBand="0" w:noVBand="1"/>
      </w:tblPr>
      <w:tblGrid>
        <w:gridCol w:w="1900"/>
        <w:gridCol w:w="1920"/>
        <w:gridCol w:w="3280"/>
        <w:gridCol w:w="1689"/>
      </w:tblGrid>
      <w:tr w:rsidR="00694C2D" w:rsidRPr="00694C2D" w:rsidTr="008D1D4A">
        <w:trPr>
          <w:trHeight w:val="330"/>
          <w:jc w:val="center"/>
        </w:trPr>
        <w:tc>
          <w:tcPr>
            <w:tcW w:w="1900" w:type="dxa"/>
            <w:tcBorders>
              <w:top w:val="single" w:sz="8" w:space="0" w:color="auto"/>
              <w:left w:val="single" w:sz="8" w:space="0" w:color="auto"/>
              <w:bottom w:val="single" w:sz="8" w:space="0" w:color="auto"/>
              <w:right w:val="single" w:sz="4" w:space="0" w:color="auto"/>
            </w:tcBorders>
            <w:shd w:val="clear" w:color="000000" w:fill="66CCFF"/>
            <w:noWrap/>
            <w:vAlign w:val="bottom"/>
          </w:tcPr>
          <w:p w:rsidR="00694C2D" w:rsidRPr="00694C2D" w:rsidRDefault="00694C2D" w:rsidP="00694C2D">
            <w:pPr>
              <w:rPr>
                <w:b/>
                <w:bCs/>
                <w:color w:val="000000"/>
              </w:rPr>
            </w:pPr>
            <w:r w:rsidRPr="00694C2D">
              <w:rPr>
                <w:b/>
                <w:bCs/>
                <w:color w:val="000000"/>
              </w:rPr>
              <w:t>Organizace</w:t>
            </w:r>
          </w:p>
        </w:tc>
        <w:tc>
          <w:tcPr>
            <w:tcW w:w="1920" w:type="dxa"/>
            <w:tcBorders>
              <w:top w:val="single" w:sz="8" w:space="0" w:color="auto"/>
              <w:left w:val="nil"/>
              <w:bottom w:val="single" w:sz="8" w:space="0" w:color="auto"/>
              <w:right w:val="single" w:sz="4" w:space="0" w:color="auto"/>
            </w:tcBorders>
            <w:shd w:val="clear" w:color="000000" w:fill="66CCFF"/>
            <w:noWrap/>
            <w:vAlign w:val="bottom"/>
          </w:tcPr>
          <w:p w:rsidR="00694C2D" w:rsidRPr="00694C2D" w:rsidRDefault="00694C2D" w:rsidP="00694C2D">
            <w:pPr>
              <w:rPr>
                <w:b/>
                <w:bCs/>
                <w:color w:val="000000"/>
              </w:rPr>
            </w:pPr>
            <w:r w:rsidRPr="00694C2D">
              <w:rPr>
                <w:b/>
                <w:bCs/>
                <w:color w:val="000000"/>
              </w:rPr>
              <w:t>Název mise</w:t>
            </w:r>
          </w:p>
        </w:tc>
        <w:tc>
          <w:tcPr>
            <w:tcW w:w="3280" w:type="dxa"/>
            <w:tcBorders>
              <w:top w:val="single" w:sz="8" w:space="0" w:color="auto"/>
              <w:left w:val="nil"/>
              <w:bottom w:val="single" w:sz="8" w:space="0" w:color="auto"/>
              <w:right w:val="single" w:sz="4" w:space="0" w:color="auto"/>
            </w:tcBorders>
            <w:shd w:val="clear" w:color="000000" w:fill="66CCFF"/>
            <w:noWrap/>
            <w:vAlign w:val="bottom"/>
          </w:tcPr>
          <w:p w:rsidR="00694C2D" w:rsidRPr="00694C2D" w:rsidRDefault="00694C2D" w:rsidP="00694C2D">
            <w:pPr>
              <w:rPr>
                <w:b/>
                <w:bCs/>
                <w:color w:val="000000"/>
              </w:rPr>
            </w:pPr>
            <w:r w:rsidRPr="00694C2D">
              <w:rPr>
                <w:b/>
                <w:bCs/>
                <w:color w:val="000000"/>
              </w:rPr>
              <w:t>Země působení</w:t>
            </w:r>
          </w:p>
        </w:tc>
        <w:tc>
          <w:tcPr>
            <w:tcW w:w="1689" w:type="dxa"/>
            <w:tcBorders>
              <w:top w:val="single" w:sz="8" w:space="0" w:color="auto"/>
              <w:left w:val="nil"/>
              <w:bottom w:val="single" w:sz="8" w:space="0" w:color="auto"/>
              <w:right w:val="single" w:sz="8" w:space="0" w:color="auto"/>
            </w:tcBorders>
            <w:shd w:val="clear" w:color="000000" w:fill="66CCFF"/>
            <w:noWrap/>
            <w:vAlign w:val="bottom"/>
          </w:tcPr>
          <w:p w:rsidR="00694C2D" w:rsidRPr="00694C2D" w:rsidRDefault="00694C2D" w:rsidP="00694C2D">
            <w:pPr>
              <w:rPr>
                <w:b/>
                <w:bCs/>
                <w:color w:val="000000"/>
              </w:rPr>
            </w:pPr>
            <w:r w:rsidRPr="00694C2D">
              <w:rPr>
                <w:b/>
                <w:bCs/>
                <w:color w:val="000000"/>
              </w:rPr>
              <w:t>Počet osob</w:t>
            </w:r>
          </w:p>
        </w:tc>
      </w:tr>
      <w:tr w:rsidR="00694C2D" w:rsidRPr="00694C2D" w:rsidTr="008D1D4A">
        <w:trPr>
          <w:trHeight w:val="315"/>
          <w:jc w:val="center"/>
        </w:trPr>
        <w:tc>
          <w:tcPr>
            <w:tcW w:w="1900" w:type="dxa"/>
            <w:vMerge w:val="restart"/>
            <w:tcBorders>
              <w:top w:val="nil"/>
              <w:left w:val="single" w:sz="8" w:space="0" w:color="auto"/>
              <w:bottom w:val="single" w:sz="8" w:space="0" w:color="000000"/>
              <w:right w:val="nil"/>
            </w:tcBorders>
            <w:shd w:val="clear" w:color="auto" w:fill="auto"/>
            <w:noWrap/>
            <w:vAlign w:val="center"/>
          </w:tcPr>
          <w:p w:rsidR="00694C2D" w:rsidRPr="00694C2D" w:rsidRDefault="00694C2D" w:rsidP="00694C2D">
            <w:pPr>
              <w:jc w:val="center"/>
              <w:rPr>
                <w:color w:val="000000"/>
              </w:rPr>
            </w:pPr>
            <w:r w:rsidRPr="00694C2D">
              <w:rPr>
                <w:color w:val="000000"/>
              </w:rPr>
              <w:t>OSN</w:t>
            </w:r>
          </w:p>
        </w:tc>
        <w:tc>
          <w:tcPr>
            <w:tcW w:w="1920" w:type="dxa"/>
            <w:tcBorders>
              <w:top w:val="nil"/>
              <w:left w:val="single" w:sz="4" w:space="0" w:color="auto"/>
              <w:bottom w:val="single" w:sz="4" w:space="0" w:color="auto"/>
              <w:right w:val="single" w:sz="4" w:space="0" w:color="auto"/>
            </w:tcBorders>
            <w:shd w:val="clear" w:color="auto" w:fill="auto"/>
            <w:noWrap/>
            <w:vAlign w:val="bottom"/>
          </w:tcPr>
          <w:p w:rsidR="00694C2D" w:rsidRPr="00694C2D" w:rsidRDefault="00694C2D" w:rsidP="00694C2D">
            <w:pPr>
              <w:rPr>
                <w:color w:val="000000"/>
              </w:rPr>
            </w:pPr>
            <w:r w:rsidRPr="00694C2D">
              <w:rPr>
                <w:color w:val="000000"/>
              </w:rPr>
              <w:t>MINUSCA</w:t>
            </w:r>
          </w:p>
        </w:tc>
        <w:tc>
          <w:tcPr>
            <w:tcW w:w="3280" w:type="dxa"/>
            <w:tcBorders>
              <w:top w:val="nil"/>
              <w:left w:val="nil"/>
              <w:bottom w:val="single" w:sz="4" w:space="0" w:color="auto"/>
              <w:right w:val="single" w:sz="4" w:space="0" w:color="auto"/>
            </w:tcBorders>
            <w:shd w:val="clear" w:color="auto" w:fill="auto"/>
            <w:noWrap/>
            <w:vAlign w:val="bottom"/>
          </w:tcPr>
          <w:p w:rsidR="00694C2D" w:rsidRPr="00694C2D" w:rsidRDefault="00694C2D" w:rsidP="00694C2D">
            <w:pPr>
              <w:rPr>
                <w:color w:val="000000"/>
              </w:rPr>
            </w:pPr>
            <w:r w:rsidRPr="00694C2D">
              <w:rPr>
                <w:color w:val="000000"/>
              </w:rPr>
              <w:t>Středoafrická republika</w:t>
            </w:r>
          </w:p>
        </w:tc>
        <w:tc>
          <w:tcPr>
            <w:tcW w:w="1689" w:type="dxa"/>
            <w:tcBorders>
              <w:top w:val="nil"/>
              <w:left w:val="nil"/>
              <w:bottom w:val="single" w:sz="4" w:space="0" w:color="auto"/>
              <w:right w:val="single" w:sz="8" w:space="0" w:color="auto"/>
            </w:tcBorders>
            <w:shd w:val="clear" w:color="auto" w:fill="auto"/>
            <w:noWrap/>
            <w:vAlign w:val="bottom"/>
          </w:tcPr>
          <w:p w:rsidR="00694C2D" w:rsidRPr="00694C2D" w:rsidRDefault="00694C2D" w:rsidP="00694C2D">
            <w:pPr>
              <w:jc w:val="center"/>
              <w:rPr>
                <w:color w:val="000000"/>
              </w:rPr>
            </w:pPr>
            <w:r w:rsidRPr="00694C2D">
              <w:rPr>
                <w:color w:val="000000"/>
              </w:rPr>
              <w:t>3</w:t>
            </w:r>
          </w:p>
        </w:tc>
      </w:tr>
      <w:tr w:rsidR="00694C2D" w:rsidRPr="00694C2D" w:rsidTr="008D1D4A">
        <w:trPr>
          <w:trHeight w:val="315"/>
          <w:jc w:val="center"/>
        </w:trPr>
        <w:tc>
          <w:tcPr>
            <w:tcW w:w="1900" w:type="dxa"/>
            <w:vMerge/>
            <w:tcBorders>
              <w:top w:val="nil"/>
              <w:left w:val="single" w:sz="8" w:space="0" w:color="auto"/>
              <w:bottom w:val="single" w:sz="8" w:space="0" w:color="000000"/>
              <w:right w:val="nil"/>
            </w:tcBorders>
            <w:vAlign w:val="center"/>
          </w:tcPr>
          <w:p w:rsidR="00694C2D" w:rsidRPr="00694C2D" w:rsidRDefault="00694C2D" w:rsidP="00694C2D">
            <w:pPr>
              <w:rPr>
                <w:color w:val="000000"/>
              </w:rPr>
            </w:pPr>
          </w:p>
        </w:tc>
        <w:tc>
          <w:tcPr>
            <w:tcW w:w="1920" w:type="dxa"/>
            <w:tcBorders>
              <w:top w:val="nil"/>
              <w:left w:val="single" w:sz="4" w:space="0" w:color="auto"/>
              <w:bottom w:val="single" w:sz="4" w:space="0" w:color="auto"/>
              <w:right w:val="single" w:sz="4" w:space="0" w:color="auto"/>
            </w:tcBorders>
            <w:shd w:val="clear" w:color="auto" w:fill="auto"/>
            <w:noWrap/>
            <w:vAlign w:val="bottom"/>
          </w:tcPr>
          <w:p w:rsidR="00694C2D" w:rsidRPr="00694C2D" w:rsidRDefault="00694C2D" w:rsidP="00694C2D">
            <w:pPr>
              <w:rPr>
                <w:color w:val="000000"/>
              </w:rPr>
            </w:pPr>
            <w:r w:rsidRPr="00694C2D">
              <w:rPr>
                <w:color w:val="000000"/>
              </w:rPr>
              <w:t>MONUSCO</w:t>
            </w:r>
          </w:p>
        </w:tc>
        <w:tc>
          <w:tcPr>
            <w:tcW w:w="3280" w:type="dxa"/>
            <w:tcBorders>
              <w:top w:val="nil"/>
              <w:left w:val="nil"/>
              <w:bottom w:val="single" w:sz="4" w:space="0" w:color="auto"/>
              <w:right w:val="single" w:sz="4" w:space="0" w:color="auto"/>
            </w:tcBorders>
            <w:shd w:val="clear" w:color="auto" w:fill="auto"/>
            <w:noWrap/>
            <w:vAlign w:val="bottom"/>
          </w:tcPr>
          <w:p w:rsidR="00694C2D" w:rsidRPr="00694C2D" w:rsidRDefault="00694C2D" w:rsidP="00694C2D">
            <w:pPr>
              <w:rPr>
                <w:color w:val="000000"/>
              </w:rPr>
            </w:pPr>
            <w:r w:rsidRPr="00694C2D">
              <w:rPr>
                <w:color w:val="000000"/>
              </w:rPr>
              <w:t>Demokratická republika Kongo</w:t>
            </w:r>
          </w:p>
        </w:tc>
        <w:tc>
          <w:tcPr>
            <w:tcW w:w="1689" w:type="dxa"/>
            <w:tcBorders>
              <w:top w:val="nil"/>
              <w:left w:val="nil"/>
              <w:bottom w:val="single" w:sz="4" w:space="0" w:color="auto"/>
              <w:right w:val="single" w:sz="8" w:space="0" w:color="auto"/>
            </w:tcBorders>
            <w:shd w:val="clear" w:color="auto" w:fill="auto"/>
            <w:noWrap/>
            <w:vAlign w:val="bottom"/>
          </w:tcPr>
          <w:p w:rsidR="00694C2D" w:rsidRPr="00421F55" w:rsidRDefault="00421F55" w:rsidP="00694C2D">
            <w:pPr>
              <w:jc w:val="center"/>
              <w:rPr>
                <w:color w:val="FF0000"/>
              </w:rPr>
            </w:pPr>
            <w:r w:rsidRPr="00D51D2E">
              <w:rPr>
                <w:color w:val="000000"/>
              </w:rPr>
              <w:t>2</w:t>
            </w:r>
          </w:p>
        </w:tc>
      </w:tr>
      <w:tr w:rsidR="00694C2D" w:rsidRPr="00694C2D" w:rsidTr="008D1D4A">
        <w:trPr>
          <w:trHeight w:val="315"/>
          <w:jc w:val="center"/>
        </w:trPr>
        <w:tc>
          <w:tcPr>
            <w:tcW w:w="1900" w:type="dxa"/>
            <w:vMerge/>
            <w:tcBorders>
              <w:top w:val="nil"/>
              <w:left w:val="single" w:sz="8" w:space="0" w:color="auto"/>
              <w:bottom w:val="single" w:sz="8" w:space="0" w:color="000000"/>
              <w:right w:val="nil"/>
            </w:tcBorders>
            <w:vAlign w:val="center"/>
          </w:tcPr>
          <w:p w:rsidR="00694C2D" w:rsidRPr="00694C2D" w:rsidRDefault="00694C2D" w:rsidP="00694C2D">
            <w:pPr>
              <w:rPr>
                <w:color w:val="000000"/>
              </w:rPr>
            </w:pPr>
          </w:p>
        </w:tc>
        <w:tc>
          <w:tcPr>
            <w:tcW w:w="1920" w:type="dxa"/>
            <w:tcBorders>
              <w:top w:val="nil"/>
              <w:left w:val="single" w:sz="4" w:space="0" w:color="auto"/>
              <w:bottom w:val="single" w:sz="4" w:space="0" w:color="auto"/>
              <w:right w:val="single" w:sz="4" w:space="0" w:color="auto"/>
            </w:tcBorders>
            <w:shd w:val="clear" w:color="auto" w:fill="auto"/>
            <w:noWrap/>
            <w:vAlign w:val="bottom"/>
          </w:tcPr>
          <w:p w:rsidR="00694C2D" w:rsidRPr="00694C2D" w:rsidRDefault="00694C2D" w:rsidP="00694C2D">
            <w:pPr>
              <w:rPr>
                <w:color w:val="000000"/>
              </w:rPr>
            </w:pPr>
            <w:r w:rsidRPr="00694C2D">
              <w:rPr>
                <w:color w:val="000000"/>
              </w:rPr>
              <w:t>UNMIK</w:t>
            </w:r>
          </w:p>
        </w:tc>
        <w:tc>
          <w:tcPr>
            <w:tcW w:w="3280" w:type="dxa"/>
            <w:tcBorders>
              <w:top w:val="nil"/>
              <w:left w:val="nil"/>
              <w:bottom w:val="single" w:sz="4" w:space="0" w:color="auto"/>
              <w:right w:val="single" w:sz="4" w:space="0" w:color="auto"/>
            </w:tcBorders>
            <w:shd w:val="clear" w:color="auto" w:fill="auto"/>
            <w:noWrap/>
            <w:vAlign w:val="bottom"/>
          </w:tcPr>
          <w:p w:rsidR="00694C2D" w:rsidRPr="00694C2D" w:rsidRDefault="00694C2D" w:rsidP="00694C2D">
            <w:pPr>
              <w:rPr>
                <w:color w:val="000000"/>
              </w:rPr>
            </w:pPr>
            <w:r w:rsidRPr="00694C2D">
              <w:rPr>
                <w:color w:val="000000"/>
              </w:rPr>
              <w:t>Kosovo</w:t>
            </w:r>
          </w:p>
        </w:tc>
        <w:tc>
          <w:tcPr>
            <w:tcW w:w="1689" w:type="dxa"/>
            <w:tcBorders>
              <w:top w:val="nil"/>
              <w:left w:val="nil"/>
              <w:bottom w:val="single" w:sz="4" w:space="0" w:color="auto"/>
              <w:right w:val="single" w:sz="8" w:space="0" w:color="auto"/>
            </w:tcBorders>
            <w:shd w:val="clear" w:color="auto" w:fill="auto"/>
            <w:noWrap/>
            <w:vAlign w:val="bottom"/>
          </w:tcPr>
          <w:p w:rsidR="00694C2D" w:rsidRPr="00694C2D" w:rsidRDefault="00694C2D" w:rsidP="00694C2D">
            <w:pPr>
              <w:jc w:val="center"/>
              <w:rPr>
                <w:color w:val="000000"/>
              </w:rPr>
            </w:pPr>
            <w:r w:rsidRPr="00694C2D">
              <w:rPr>
                <w:color w:val="000000"/>
              </w:rPr>
              <w:t>2</w:t>
            </w:r>
          </w:p>
        </w:tc>
      </w:tr>
      <w:tr w:rsidR="00694C2D" w:rsidRPr="00694C2D" w:rsidTr="008D1D4A">
        <w:trPr>
          <w:trHeight w:val="330"/>
          <w:jc w:val="center"/>
        </w:trPr>
        <w:tc>
          <w:tcPr>
            <w:tcW w:w="1900" w:type="dxa"/>
            <w:vMerge/>
            <w:tcBorders>
              <w:top w:val="nil"/>
              <w:left w:val="single" w:sz="8" w:space="0" w:color="auto"/>
              <w:bottom w:val="single" w:sz="8" w:space="0" w:color="000000"/>
              <w:right w:val="nil"/>
            </w:tcBorders>
            <w:vAlign w:val="center"/>
          </w:tcPr>
          <w:p w:rsidR="00694C2D" w:rsidRPr="00694C2D" w:rsidRDefault="00694C2D" w:rsidP="00694C2D">
            <w:pPr>
              <w:rPr>
                <w:color w:val="000000"/>
              </w:rPr>
            </w:pPr>
          </w:p>
        </w:tc>
        <w:tc>
          <w:tcPr>
            <w:tcW w:w="1920" w:type="dxa"/>
            <w:tcBorders>
              <w:top w:val="nil"/>
              <w:left w:val="single" w:sz="4" w:space="0" w:color="auto"/>
              <w:bottom w:val="single" w:sz="8" w:space="0" w:color="auto"/>
              <w:right w:val="single" w:sz="4" w:space="0" w:color="auto"/>
            </w:tcBorders>
            <w:shd w:val="clear" w:color="auto" w:fill="auto"/>
            <w:noWrap/>
            <w:vAlign w:val="bottom"/>
          </w:tcPr>
          <w:p w:rsidR="00694C2D" w:rsidRPr="00694C2D" w:rsidRDefault="00C006F9" w:rsidP="00694C2D">
            <w:pPr>
              <w:rPr>
                <w:color w:val="000000"/>
              </w:rPr>
            </w:pPr>
            <w:r>
              <w:rPr>
                <w:color w:val="000000"/>
              </w:rPr>
              <w:t>MINUSMA</w:t>
            </w:r>
          </w:p>
        </w:tc>
        <w:tc>
          <w:tcPr>
            <w:tcW w:w="3280" w:type="dxa"/>
            <w:tcBorders>
              <w:top w:val="nil"/>
              <w:left w:val="nil"/>
              <w:bottom w:val="single" w:sz="8" w:space="0" w:color="auto"/>
              <w:right w:val="single" w:sz="4" w:space="0" w:color="auto"/>
            </w:tcBorders>
            <w:shd w:val="clear" w:color="auto" w:fill="auto"/>
            <w:noWrap/>
            <w:vAlign w:val="bottom"/>
          </w:tcPr>
          <w:p w:rsidR="00694C2D" w:rsidRPr="00694C2D" w:rsidRDefault="00C006F9" w:rsidP="00694C2D">
            <w:pPr>
              <w:rPr>
                <w:color w:val="000000"/>
              </w:rPr>
            </w:pPr>
            <w:r>
              <w:rPr>
                <w:color w:val="000000"/>
              </w:rPr>
              <w:t>Mali</w:t>
            </w:r>
          </w:p>
        </w:tc>
        <w:tc>
          <w:tcPr>
            <w:tcW w:w="1689" w:type="dxa"/>
            <w:tcBorders>
              <w:top w:val="nil"/>
              <w:left w:val="nil"/>
              <w:bottom w:val="single" w:sz="8" w:space="0" w:color="auto"/>
              <w:right w:val="single" w:sz="8" w:space="0" w:color="auto"/>
            </w:tcBorders>
            <w:shd w:val="clear" w:color="auto" w:fill="auto"/>
            <w:noWrap/>
            <w:vAlign w:val="bottom"/>
          </w:tcPr>
          <w:p w:rsidR="00694C2D" w:rsidRPr="00D51D2E" w:rsidRDefault="00421F55" w:rsidP="00694C2D">
            <w:pPr>
              <w:jc w:val="center"/>
              <w:rPr>
                <w:color w:val="000000"/>
              </w:rPr>
            </w:pPr>
            <w:r w:rsidRPr="00D51D2E">
              <w:rPr>
                <w:color w:val="000000"/>
              </w:rPr>
              <w:t>2</w:t>
            </w:r>
          </w:p>
        </w:tc>
      </w:tr>
    </w:tbl>
    <w:p w:rsidR="00694C2D" w:rsidRPr="004F6ACC" w:rsidRDefault="00694C2D" w:rsidP="000D23F4">
      <w:pPr>
        <w:keepNext/>
        <w:numPr>
          <w:ilvl w:val="0"/>
          <w:numId w:val="2"/>
        </w:numPr>
        <w:spacing w:before="360" w:after="120" w:line="276" w:lineRule="auto"/>
        <w:ind w:left="431" w:hanging="431"/>
        <w:jc w:val="both"/>
        <w:outlineLvl w:val="0"/>
        <w:rPr>
          <w:b/>
          <w:bCs/>
        </w:rPr>
      </w:pPr>
      <w:r w:rsidRPr="004F6ACC">
        <w:rPr>
          <w:b/>
          <w:bCs/>
        </w:rPr>
        <w:lastRenderedPageBreak/>
        <w:t>Zranění a ztráty na životech</w:t>
      </w:r>
    </w:p>
    <w:p w:rsidR="00046916" w:rsidRDefault="00694C2D" w:rsidP="00046916">
      <w:pPr>
        <w:spacing w:before="120" w:line="276" w:lineRule="auto"/>
        <w:ind w:firstLine="709"/>
        <w:jc w:val="both"/>
      </w:pPr>
      <w:r w:rsidRPr="00694C2D">
        <w:t xml:space="preserve">V průběhu roku </w:t>
      </w:r>
      <w:r w:rsidR="00046916">
        <w:t>2020</w:t>
      </w:r>
      <w:r w:rsidRPr="00694C2D">
        <w:t xml:space="preserve"> </w:t>
      </w:r>
      <w:r w:rsidR="00046916">
        <w:t>došlo</w:t>
      </w:r>
      <w:r w:rsidRPr="00694C2D">
        <w:t xml:space="preserve"> během působení sil a prostředků rezortu MO v zahraničních operacích k</w:t>
      </w:r>
      <w:r w:rsidR="00384CBD">
        <w:t xml:space="preserve"> úmrtí </w:t>
      </w:r>
      <w:r w:rsidR="00046916">
        <w:t xml:space="preserve">1 příslušnice AČR v misi </w:t>
      </w:r>
      <w:r w:rsidR="00EC1A67">
        <w:t>MFO</w:t>
      </w:r>
      <w:r w:rsidR="00323AEB">
        <w:t xml:space="preserve"> na Sinajském poloostrově, a </w:t>
      </w:r>
      <w:r w:rsidR="00046916">
        <w:t>to n</w:t>
      </w:r>
      <w:r w:rsidR="005F3A94">
        <w:t>ásledkem havárie vrtulníku USA.</w:t>
      </w:r>
    </w:p>
    <w:p w:rsidR="00694C2D" w:rsidRPr="0049325A" w:rsidRDefault="00694C2D" w:rsidP="00046916">
      <w:pPr>
        <w:keepNext/>
        <w:numPr>
          <w:ilvl w:val="0"/>
          <w:numId w:val="2"/>
        </w:numPr>
        <w:spacing w:before="360" w:after="120" w:line="276" w:lineRule="auto"/>
        <w:ind w:left="431" w:hanging="431"/>
        <w:jc w:val="both"/>
        <w:outlineLvl w:val="0"/>
        <w:rPr>
          <w:b/>
          <w:bCs/>
        </w:rPr>
      </w:pPr>
      <w:r w:rsidRPr="0049325A">
        <w:rPr>
          <w:b/>
          <w:bCs/>
        </w:rPr>
        <w:t xml:space="preserve">Čerpání peněžních prostředků v zahraničních operacích </w:t>
      </w:r>
      <w:r w:rsidR="00545F91">
        <w:rPr>
          <w:b/>
          <w:bCs/>
        </w:rPr>
        <w:t xml:space="preserve">v roce </w:t>
      </w:r>
      <w:r w:rsidR="000136B9">
        <w:rPr>
          <w:b/>
          <w:bCs/>
        </w:rPr>
        <w:t>2020</w:t>
      </w:r>
    </w:p>
    <w:p w:rsidR="00D51D2E" w:rsidRPr="005410B3" w:rsidRDefault="00D51D2E" w:rsidP="00DE134A">
      <w:pPr>
        <w:spacing w:before="120" w:line="276" w:lineRule="auto"/>
        <w:ind w:firstLine="709"/>
        <w:jc w:val="both"/>
      </w:pPr>
      <w:r w:rsidRPr="005410B3">
        <w:t xml:space="preserve">Vyhodnocení čerpání peněžních prostředků vychází z upraveného rozpočtu kapitoly MO, který odráží skutečný stav čerpání peněžních prostředků k 31. prosinci </w:t>
      </w:r>
      <w:r w:rsidR="00286664">
        <w:t>2020</w:t>
      </w:r>
      <w:r w:rsidRPr="005410B3">
        <w:t xml:space="preserve">. V roce </w:t>
      </w:r>
      <w:r w:rsidR="00286664">
        <w:t>2020</w:t>
      </w:r>
      <w:r w:rsidRPr="005410B3">
        <w:t xml:space="preserve"> bylo v rámci nasazení sil a prostředků rezortu MO v zahraničních operacích vyčerpáno celkem </w:t>
      </w:r>
      <w:r w:rsidR="00B211FB">
        <w:rPr>
          <w:b/>
          <w:bCs/>
          <w:color w:val="000000"/>
        </w:rPr>
        <w:t xml:space="preserve">971 </w:t>
      </w:r>
      <w:r w:rsidR="00B211FB" w:rsidRPr="00B211FB">
        <w:rPr>
          <w:b/>
          <w:bCs/>
          <w:color w:val="000000"/>
        </w:rPr>
        <w:t>739</w:t>
      </w:r>
      <w:r w:rsidR="009A7196" w:rsidRPr="00B211FB">
        <w:rPr>
          <w:b/>
          <w:bCs/>
          <w:color w:val="000000"/>
        </w:rPr>
        <w:t> </w:t>
      </w:r>
      <w:r w:rsidR="00584E2B" w:rsidRPr="00B211FB">
        <w:rPr>
          <w:b/>
        </w:rPr>
        <w:t>tis.</w:t>
      </w:r>
      <w:r w:rsidR="00176FAB" w:rsidRPr="00B211FB">
        <w:rPr>
          <w:b/>
        </w:rPr>
        <w:t> </w:t>
      </w:r>
      <w:r w:rsidRPr="00B211FB">
        <w:rPr>
          <w:b/>
        </w:rPr>
        <w:t>Kč</w:t>
      </w:r>
      <w:r w:rsidRPr="00323AEB">
        <w:t>,</w:t>
      </w:r>
      <w:r w:rsidRPr="005410B3">
        <w:t xml:space="preserve"> a to včetně výdajů spojených s přípravou osob, techniky a materiálu. Financování působení sil a prostředků rezortu MO v zahraničních operacích v hodnoceném období bylo zabezpečeno z rozpočtové kapitoly MO a </w:t>
      </w:r>
      <w:r w:rsidRPr="00E1311B">
        <w:t xml:space="preserve">tvořilo </w:t>
      </w:r>
      <w:r w:rsidR="00462450" w:rsidRPr="00462450">
        <w:rPr>
          <w:b/>
        </w:rPr>
        <w:t>1,3</w:t>
      </w:r>
      <w:r w:rsidR="007C46F1" w:rsidRPr="00462450">
        <w:rPr>
          <w:b/>
        </w:rPr>
        <w:t> </w:t>
      </w:r>
      <w:r w:rsidRPr="00462450">
        <w:rPr>
          <w:b/>
        </w:rPr>
        <w:t>%</w:t>
      </w:r>
      <w:r w:rsidRPr="005410B3">
        <w:t xml:space="preserve"> celkových výdajů státního rozpočtu kapitoly MO.</w:t>
      </w:r>
    </w:p>
    <w:p w:rsidR="0044745E" w:rsidRPr="005410B3" w:rsidRDefault="00402E2F" w:rsidP="0044745E">
      <w:pPr>
        <w:spacing w:before="120" w:line="276" w:lineRule="auto"/>
        <w:ind w:firstLine="709"/>
        <w:jc w:val="both"/>
        <w:rPr>
          <w:snapToGrid w:val="0"/>
          <w:szCs w:val="12"/>
        </w:rPr>
      </w:pPr>
      <w:r w:rsidRPr="00731DAC">
        <w:rPr>
          <w:snapToGrid w:val="0"/>
        </w:rPr>
        <w:t>Na základě „Dohody mezi ČR a MFO o podmínkách účasti ČR v zahraniční operaci MFO“ organizace proplácí pravidelně ČR využívání letounu a služeb osádek. Za rok 2020 tato částka činila přibližně 32,7 mil. Kč, což bylo cca 149 % vynaložených peněžních prostředků v uvedeném roce. Tyto prostředky jsou využívány v souvislosti s opravami, náklady na provoz letounu, činností osádek a neplánovanými výdaji</w:t>
      </w:r>
      <w:r w:rsidRPr="0044745E">
        <w:rPr>
          <w:snapToGrid w:val="0"/>
        </w:rPr>
        <w:t>.</w:t>
      </w:r>
      <w:r w:rsidR="0044745E" w:rsidRPr="0044745E">
        <w:rPr>
          <w:snapToGrid w:val="0"/>
        </w:rPr>
        <w:t xml:space="preserve"> Kompenzace za rok 2020 je v porovnání s výdaji rezortu MO vyšší. Rozdíl byl způsoben díky zaběhlému mechanismu refundací, kdy MFO uhradilo náklady na plánované opravy a servis letounu, ale ty budou realizované a uhrazené českou stranou až v roce 2021.</w:t>
      </w:r>
      <w:r w:rsidR="0044745E">
        <w:rPr>
          <w:snapToGrid w:val="0"/>
        </w:rPr>
        <w:t xml:space="preserve"> </w:t>
      </w:r>
    </w:p>
    <w:p w:rsidR="00402E2F" w:rsidRDefault="00402E2F" w:rsidP="00402E2F">
      <w:pPr>
        <w:spacing w:before="120" w:line="276" w:lineRule="auto"/>
        <w:ind w:firstLine="709"/>
        <w:jc w:val="both"/>
        <w:rPr>
          <w:snapToGrid w:val="0"/>
        </w:rPr>
      </w:pPr>
    </w:p>
    <w:p w:rsidR="00BE477A" w:rsidRDefault="00D51D2E" w:rsidP="00DE134A">
      <w:pPr>
        <w:spacing w:before="120" w:line="276" w:lineRule="auto"/>
        <w:ind w:firstLine="709"/>
        <w:jc w:val="both"/>
        <w:rPr>
          <w:snapToGrid w:val="0"/>
        </w:rPr>
      </w:pPr>
      <w:r w:rsidRPr="005410B3">
        <w:rPr>
          <w:snapToGrid w:val="0"/>
        </w:rPr>
        <w:t xml:space="preserve">Vyhodnocení výdajů rezortu MO v jednotlivých operacích </w:t>
      </w:r>
      <w:r w:rsidRPr="00462450">
        <w:rPr>
          <w:snapToGrid w:val="0"/>
        </w:rPr>
        <w:t xml:space="preserve">za období od 1. ledna do 31. prosince </w:t>
      </w:r>
      <w:r w:rsidR="00B211FB" w:rsidRPr="00462450">
        <w:rPr>
          <w:snapToGrid w:val="0"/>
        </w:rPr>
        <w:t>2020</w:t>
      </w:r>
      <w:r w:rsidRPr="00462450">
        <w:rPr>
          <w:snapToGrid w:val="0"/>
        </w:rPr>
        <w:t xml:space="preserve"> je uvedeno v tabulce (v tis. Kč).</w:t>
      </w:r>
    </w:p>
    <w:p w:rsidR="00FD562C" w:rsidRPr="00226F0F" w:rsidRDefault="00BE477A" w:rsidP="00824C51">
      <w:pPr>
        <w:spacing w:before="120" w:line="276" w:lineRule="auto"/>
        <w:ind w:firstLine="709"/>
        <w:jc w:val="both"/>
        <w:rPr>
          <w:b/>
          <w:color w:val="FF0000"/>
          <w:sz w:val="16"/>
          <w:szCs w:val="16"/>
        </w:rPr>
      </w:pPr>
      <w:r>
        <w:rPr>
          <w:snapToGrid w:val="0"/>
        </w:rPr>
        <w:br w:type="page"/>
      </w:r>
    </w:p>
    <w:tbl>
      <w:tblPr>
        <w:tblW w:w="8520" w:type="dxa"/>
        <w:tblInd w:w="55" w:type="dxa"/>
        <w:tblCellMar>
          <w:left w:w="70" w:type="dxa"/>
          <w:right w:w="70" w:type="dxa"/>
        </w:tblCellMar>
        <w:tblLook w:val="04A0" w:firstRow="1" w:lastRow="0" w:firstColumn="1" w:lastColumn="0" w:noHBand="0" w:noVBand="1"/>
      </w:tblPr>
      <w:tblGrid>
        <w:gridCol w:w="4268"/>
        <w:gridCol w:w="2693"/>
        <w:gridCol w:w="1559"/>
      </w:tblGrid>
      <w:tr w:rsidR="00731DAC" w:rsidRPr="00694C2D" w:rsidTr="00731DAC">
        <w:trPr>
          <w:trHeight w:val="330"/>
          <w:tblHeader/>
        </w:trPr>
        <w:tc>
          <w:tcPr>
            <w:tcW w:w="4268" w:type="dxa"/>
            <w:tcBorders>
              <w:top w:val="single" w:sz="8" w:space="0" w:color="auto"/>
              <w:left w:val="single" w:sz="8" w:space="0" w:color="auto"/>
              <w:bottom w:val="single" w:sz="8" w:space="0" w:color="auto"/>
              <w:right w:val="single" w:sz="4" w:space="0" w:color="auto"/>
            </w:tcBorders>
            <w:shd w:val="clear" w:color="000000" w:fill="92D050"/>
            <w:noWrap/>
            <w:vAlign w:val="center"/>
          </w:tcPr>
          <w:p w:rsidR="00731DAC" w:rsidRPr="00DA4EB2" w:rsidRDefault="00731DAC" w:rsidP="00694C2D">
            <w:pPr>
              <w:rPr>
                <w:b/>
                <w:bCs/>
                <w:color w:val="000000"/>
              </w:rPr>
            </w:pPr>
            <w:r w:rsidRPr="00694C2D">
              <w:lastRenderedPageBreak/>
              <w:br w:type="page"/>
            </w:r>
            <w:r w:rsidRPr="00DA4EB2">
              <w:rPr>
                <w:b/>
                <w:bCs/>
                <w:color w:val="000000"/>
              </w:rPr>
              <w:t>Název operace</w:t>
            </w:r>
          </w:p>
        </w:tc>
        <w:tc>
          <w:tcPr>
            <w:tcW w:w="2693" w:type="dxa"/>
            <w:tcBorders>
              <w:top w:val="single" w:sz="8" w:space="0" w:color="auto"/>
              <w:left w:val="nil"/>
              <w:bottom w:val="single" w:sz="8" w:space="0" w:color="auto"/>
              <w:right w:val="single" w:sz="4" w:space="0" w:color="auto"/>
            </w:tcBorders>
            <w:shd w:val="clear" w:color="000000" w:fill="92D050"/>
            <w:noWrap/>
            <w:vAlign w:val="center"/>
          </w:tcPr>
          <w:p w:rsidR="00731DAC" w:rsidRPr="00DA4EB2" w:rsidRDefault="00731DAC" w:rsidP="00694C2D">
            <w:pPr>
              <w:rPr>
                <w:b/>
                <w:bCs/>
                <w:color w:val="000000"/>
              </w:rPr>
            </w:pPr>
            <w:r w:rsidRPr="00DA4EB2">
              <w:rPr>
                <w:b/>
                <w:bCs/>
                <w:color w:val="000000"/>
              </w:rPr>
              <w:t>Země působení</w:t>
            </w:r>
          </w:p>
        </w:tc>
        <w:tc>
          <w:tcPr>
            <w:tcW w:w="1559" w:type="dxa"/>
            <w:tcBorders>
              <w:top w:val="single" w:sz="8" w:space="0" w:color="auto"/>
              <w:left w:val="nil"/>
              <w:bottom w:val="single" w:sz="8" w:space="0" w:color="auto"/>
              <w:right w:val="single" w:sz="8" w:space="0" w:color="auto"/>
            </w:tcBorders>
            <w:shd w:val="clear" w:color="000000" w:fill="92D050"/>
            <w:noWrap/>
            <w:vAlign w:val="center"/>
          </w:tcPr>
          <w:p w:rsidR="00731DAC" w:rsidRDefault="00731DAC" w:rsidP="00694C2D">
            <w:pPr>
              <w:rPr>
                <w:b/>
                <w:bCs/>
                <w:color w:val="000000"/>
              </w:rPr>
            </w:pPr>
            <w:r w:rsidRPr="00DA4EB2">
              <w:rPr>
                <w:b/>
                <w:bCs/>
                <w:color w:val="000000"/>
              </w:rPr>
              <w:t>Čerpání</w:t>
            </w:r>
          </w:p>
          <w:p w:rsidR="00731DAC" w:rsidRPr="00694C2D" w:rsidRDefault="00731DAC" w:rsidP="00694C2D">
            <w:pPr>
              <w:rPr>
                <w:b/>
                <w:bCs/>
                <w:color w:val="000000"/>
              </w:rPr>
            </w:pPr>
            <w:r>
              <w:rPr>
                <w:b/>
                <w:bCs/>
                <w:color w:val="000000"/>
              </w:rPr>
              <w:t>(v tis. Kč)</w:t>
            </w:r>
          </w:p>
        </w:tc>
      </w:tr>
      <w:tr w:rsidR="00731DAC" w:rsidRPr="00D85732" w:rsidTr="00731DAC">
        <w:trPr>
          <w:trHeight w:val="315"/>
        </w:trPr>
        <w:tc>
          <w:tcPr>
            <w:tcW w:w="4268" w:type="dxa"/>
            <w:tcBorders>
              <w:top w:val="nil"/>
              <w:left w:val="single" w:sz="8" w:space="0" w:color="auto"/>
              <w:bottom w:val="single" w:sz="4" w:space="0" w:color="auto"/>
              <w:right w:val="single" w:sz="4" w:space="0" w:color="auto"/>
            </w:tcBorders>
            <w:shd w:val="clear" w:color="auto" w:fill="auto"/>
            <w:noWrap/>
            <w:vAlign w:val="bottom"/>
          </w:tcPr>
          <w:p w:rsidR="00731DAC" w:rsidRPr="00D85732" w:rsidRDefault="003E5557" w:rsidP="003E5557">
            <w:pPr>
              <w:spacing w:line="276" w:lineRule="auto"/>
              <w:rPr>
                <w:color w:val="000000"/>
              </w:rPr>
            </w:pPr>
            <w:proofErr w:type="spellStart"/>
            <w:r>
              <w:rPr>
                <w:color w:val="000000"/>
              </w:rPr>
              <w:t>Resolute</w:t>
            </w:r>
            <w:proofErr w:type="spellEnd"/>
            <w:r>
              <w:rPr>
                <w:color w:val="000000"/>
              </w:rPr>
              <w:t xml:space="preserve"> </w:t>
            </w:r>
            <w:r w:rsidR="00731DAC" w:rsidRPr="00D85732">
              <w:rPr>
                <w:color w:val="000000"/>
              </w:rPr>
              <w:t>S</w:t>
            </w:r>
            <w:r>
              <w:rPr>
                <w:color w:val="000000"/>
              </w:rPr>
              <w:t>upport</w:t>
            </w:r>
          </w:p>
        </w:tc>
        <w:tc>
          <w:tcPr>
            <w:tcW w:w="2693" w:type="dxa"/>
            <w:tcBorders>
              <w:top w:val="nil"/>
              <w:left w:val="nil"/>
              <w:bottom w:val="single" w:sz="4" w:space="0" w:color="auto"/>
              <w:right w:val="single" w:sz="4" w:space="0" w:color="auto"/>
            </w:tcBorders>
            <w:shd w:val="clear" w:color="auto" w:fill="auto"/>
            <w:noWrap/>
            <w:vAlign w:val="bottom"/>
          </w:tcPr>
          <w:p w:rsidR="00731DAC" w:rsidRPr="00D85732" w:rsidRDefault="00731DAC" w:rsidP="00BA0D79">
            <w:pPr>
              <w:spacing w:line="276" w:lineRule="auto"/>
              <w:rPr>
                <w:color w:val="000000"/>
              </w:rPr>
            </w:pPr>
            <w:r w:rsidRPr="00D85732">
              <w:rPr>
                <w:color w:val="000000"/>
              </w:rPr>
              <w:t>Afghánistán</w:t>
            </w:r>
          </w:p>
        </w:tc>
        <w:tc>
          <w:tcPr>
            <w:tcW w:w="1559" w:type="dxa"/>
            <w:tcBorders>
              <w:top w:val="nil"/>
              <w:left w:val="nil"/>
              <w:bottom w:val="single" w:sz="4" w:space="0" w:color="auto"/>
              <w:right w:val="single" w:sz="8" w:space="0" w:color="auto"/>
            </w:tcBorders>
            <w:shd w:val="clear" w:color="auto" w:fill="auto"/>
            <w:noWrap/>
            <w:vAlign w:val="center"/>
          </w:tcPr>
          <w:p w:rsidR="00731DAC" w:rsidRPr="00D85732" w:rsidRDefault="00731DAC" w:rsidP="00E61FE1">
            <w:pPr>
              <w:spacing w:line="276" w:lineRule="auto"/>
              <w:jc w:val="right"/>
            </w:pPr>
            <w:r w:rsidRPr="00D85732">
              <w:t>525 </w:t>
            </w:r>
            <w:r w:rsidR="00E61FE1">
              <w:t>805</w:t>
            </w:r>
          </w:p>
        </w:tc>
      </w:tr>
      <w:tr w:rsidR="00731DAC" w:rsidRPr="00D85732" w:rsidTr="00731DAC">
        <w:trPr>
          <w:trHeight w:val="315"/>
        </w:trPr>
        <w:tc>
          <w:tcPr>
            <w:tcW w:w="4268" w:type="dxa"/>
            <w:tcBorders>
              <w:top w:val="nil"/>
              <w:left w:val="single" w:sz="8" w:space="0" w:color="auto"/>
              <w:bottom w:val="single" w:sz="4" w:space="0" w:color="auto"/>
              <w:right w:val="single" w:sz="4" w:space="0" w:color="auto"/>
            </w:tcBorders>
            <w:shd w:val="clear" w:color="auto" w:fill="auto"/>
            <w:noWrap/>
            <w:vAlign w:val="bottom"/>
          </w:tcPr>
          <w:p w:rsidR="00731DAC" w:rsidRPr="00D85732" w:rsidRDefault="00731DAC" w:rsidP="00BA0D79">
            <w:pPr>
              <w:spacing w:line="276" w:lineRule="auto"/>
              <w:rPr>
                <w:color w:val="000000"/>
              </w:rPr>
            </w:pPr>
            <w:r w:rsidRPr="00D85732">
              <w:rPr>
                <w:color w:val="000000"/>
              </w:rPr>
              <w:t>Ochrana ZÚ Kábul</w:t>
            </w:r>
          </w:p>
        </w:tc>
        <w:tc>
          <w:tcPr>
            <w:tcW w:w="2693" w:type="dxa"/>
            <w:tcBorders>
              <w:top w:val="nil"/>
              <w:left w:val="nil"/>
              <w:bottom w:val="single" w:sz="4" w:space="0" w:color="auto"/>
              <w:right w:val="single" w:sz="4" w:space="0" w:color="auto"/>
            </w:tcBorders>
            <w:shd w:val="clear" w:color="auto" w:fill="auto"/>
            <w:noWrap/>
            <w:vAlign w:val="bottom"/>
          </w:tcPr>
          <w:p w:rsidR="00731DAC" w:rsidRPr="00D85732" w:rsidRDefault="00731DAC" w:rsidP="00BA0D79">
            <w:pPr>
              <w:spacing w:line="276" w:lineRule="auto"/>
              <w:rPr>
                <w:color w:val="000000"/>
              </w:rPr>
            </w:pPr>
            <w:r w:rsidRPr="00D85732">
              <w:rPr>
                <w:color w:val="000000"/>
              </w:rPr>
              <w:t>Afghánistán</w:t>
            </w:r>
          </w:p>
        </w:tc>
        <w:tc>
          <w:tcPr>
            <w:tcW w:w="1559" w:type="dxa"/>
            <w:tcBorders>
              <w:top w:val="nil"/>
              <w:left w:val="nil"/>
              <w:bottom w:val="single" w:sz="4" w:space="0" w:color="auto"/>
              <w:right w:val="single" w:sz="8" w:space="0" w:color="auto"/>
            </w:tcBorders>
            <w:shd w:val="clear" w:color="auto" w:fill="auto"/>
            <w:noWrap/>
          </w:tcPr>
          <w:p w:rsidR="00731DAC" w:rsidRPr="00D85732" w:rsidRDefault="00731DAC" w:rsidP="00E61FE1">
            <w:pPr>
              <w:spacing w:line="276" w:lineRule="auto"/>
              <w:jc w:val="right"/>
              <w:rPr>
                <w:color w:val="000000"/>
              </w:rPr>
            </w:pPr>
            <w:r w:rsidRPr="00D85732">
              <w:t>33 </w:t>
            </w:r>
            <w:r w:rsidR="00E61FE1" w:rsidRPr="00D85732">
              <w:t>6</w:t>
            </w:r>
            <w:r w:rsidR="00E61FE1">
              <w:t>28</w:t>
            </w:r>
          </w:p>
        </w:tc>
      </w:tr>
      <w:tr w:rsidR="00731DAC" w:rsidRPr="00D85732" w:rsidTr="00731DAC">
        <w:trPr>
          <w:trHeight w:val="635"/>
        </w:trPr>
        <w:tc>
          <w:tcPr>
            <w:tcW w:w="4268" w:type="dxa"/>
            <w:tcBorders>
              <w:top w:val="nil"/>
              <w:left w:val="single" w:sz="8" w:space="0" w:color="auto"/>
              <w:bottom w:val="single" w:sz="4" w:space="0" w:color="auto"/>
              <w:right w:val="single" w:sz="4" w:space="0" w:color="auto"/>
            </w:tcBorders>
            <w:shd w:val="clear" w:color="auto" w:fill="auto"/>
            <w:noWrap/>
            <w:vAlign w:val="center"/>
          </w:tcPr>
          <w:p w:rsidR="00731DAC" w:rsidRPr="00D85732" w:rsidRDefault="003E5557" w:rsidP="003E5557">
            <w:pPr>
              <w:spacing w:line="276" w:lineRule="auto"/>
              <w:rPr>
                <w:color w:val="000000"/>
              </w:rPr>
            </w:pPr>
            <w:proofErr w:type="spellStart"/>
            <w:r>
              <w:rPr>
                <w:color w:val="000000"/>
              </w:rPr>
              <w:t>Inherent</w:t>
            </w:r>
            <w:proofErr w:type="spellEnd"/>
            <w:r w:rsidR="00731DAC" w:rsidRPr="00D85732">
              <w:rPr>
                <w:color w:val="000000"/>
              </w:rPr>
              <w:t xml:space="preserve"> </w:t>
            </w:r>
            <w:proofErr w:type="spellStart"/>
            <w:r w:rsidR="00731DAC" w:rsidRPr="00D85732">
              <w:rPr>
                <w:color w:val="000000"/>
              </w:rPr>
              <w:t>R</w:t>
            </w:r>
            <w:r>
              <w:rPr>
                <w:color w:val="000000"/>
              </w:rPr>
              <w:t>esolve</w:t>
            </w:r>
            <w:proofErr w:type="spellEnd"/>
            <w:r w:rsidR="00731DAC" w:rsidRPr="00D85732">
              <w:rPr>
                <w:color w:val="000000"/>
              </w:rPr>
              <w:t xml:space="preserve">/NMI </w:t>
            </w:r>
          </w:p>
        </w:tc>
        <w:tc>
          <w:tcPr>
            <w:tcW w:w="2693" w:type="dxa"/>
            <w:tcBorders>
              <w:top w:val="nil"/>
              <w:left w:val="nil"/>
              <w:bottom w:val="single" w:sz="4" w:space="0" w:color="auto"/>
              <w:right w:val="single" w:sz="4" w:space="0" w:color="auto"/>
            </w:tcBorders>
            <w:shd w:val="clear" w:color="auto" w:fill="auto"/>
            <w:vAlign w:val="center"/>
          </w:tcPr>
          <w:p w:rsidR="00731DAC" w:rsidRPr="00D85732" w:rsidRDefault="00731DAC" w:rsidP="00BA0D79">
            <w:pPr>
              <w:spacing w:line="276" w:lineRule="auto"/>
              <w:rPr>
                <w:color w:val="000000"/>
              </w:rPr>
            </w:pPr>
            <w:r w:rsidRPr="00D85732">
              <w:rPr>
                <w:color w:val="000000"/>
              </w:rPr>
              <w:t>Irák</w:t>
            </w:r>
          </w:p>
        </w:tc>
        <w:tc>
          <w:tcPr>
            <w:tcW w:w="1559" w:type="dxa"/>
            <w:tcBorders>
              <w:top w:val="nil"/>
              <w:left w:val="nil"/>
              <w:bottom w:val="single" w:sz="4" w:space="0" w:color="auto"/>
              <w:right w:val="single" w:sz="8" w:space="0" w:color="auto"/>
            </w:tcBorders>
            <w:shd w:val="clear" w:color="auto" w:fill="auto"/>
            <w:noWrap/>
            <w:vAlign w:val="center"/>
          </w:tcPr>
          <w:p w:rsidR="00731DAC" w:rsidRPr="00D85732" w:rsidRDefault="00731DAC" w:rsidP="00BA0D79">
            <w:pPr>
              <w:spacing w:line="276" w:lineRule="auto"/>
              <w:jc w:val="right"/>
              <w:rPr>
                <w:color w:val="000000"/>
              </w:rPr>
            </w:pPr>
            <w:r w:rsidRPr="00D85732">
              <w:t>45 686</w:t>
            </w:r>
          </w:p>
        </w:tc>
      </w:tr>
      <w:tr w:rsidR="00731DAC" w:rsidRPr="00D85732" w:rsidTr="00731DAC">
        <w:trPr>
          <w:trHeight w:val="315"/>
        </w:trPr>
        <w:tc>
          <w:tcPr>
            <w:tcW w:w="4268" w:type="dxa"/>
            <w:tcBorders>
              <w:top w:val="nil"/>
              <w:left w:val="single" w:sz="8" w:space="0" w:color="auto"/>
              <w:bottom w:val="single" w:sz="4" w:space="0" w:color="auto"/>
              <w:right w:val="single" w:sz="4" w:space="0" w:color="auto"/>
            </w:tcBorders>
            <w:shd w:val="clear" w:color="auto" w:fill="auto"/>
            <w:noWrap/>
            <w:vAlign w:val="bottom"/>
          </w:tcPr>
          <w:p w:rsidR="00731DAC" w:rsidRPr="00D85732" w:rsidRDefault="00731DAC" w:rsidP="00026501">
            <w:pPr>
              <w:spacing w:line="276" w:lineRule="auto"/>
              <w:rPr>
                <w:color w:val="000000"/>
              </w:rPr>
            </w:pPr>
            <w:r w:rsidRPr="00D85732">
              <w:rPr>
                <w:color w:val="000000"/>
              </w:rPr>
              <w:t>EUTM M/MINUSMA</w:t>
            </w:r>
          </w:p>
        </w:tc>
        <w:tc>
          <w:tcPr>
            <w:tcW w:w="2693" w:type="dxa"/>
            <w:tcBorders>
              <w:top w:val="nil"/>
              <w:left w:val="nil"/>
              <w:bottom w:val="single" w:sz="4" w:space="0" w:color="auto"/>
              <w:right w:val="single" w:sz="4" w:space="0" w:color="auto"/>
            </w:tcBorders>
            <w:shd w:val="clear" w:color="auto" w:fill="auto"/>
            <w:noWrap/>
            <w:vAlign w:val="bottom"/>
          </w:tcPr>
          <w:p w:rsidR="00731DAC" w:rsidRPr="00D85732" w:rsidRDefault="00731DAC" w:rsidP="00026501">
            <w:pPr>
              <w:spacing w:line="276" w:lineRule="auto"/>
              <w:rPr>
                <w:color w:val="000000"/>
              </w:rPr>
            </w:pPr>
            <w:r w:rsidRPr="00D85732">
              <w:rPr>
                <w:color w:val="000000"/>
              </w:rPr>
              <w:t>Mali</w:t>
            </w:r>
          </w:p>
        </w:tc>
        <w:tc>
          <w:tcPr>
            <w:tcW w:w="1559" w:type="dxa"/>
            <w:tcBorders>
              <w:top w:val="nil"/>
              <w:left w:val="nil"/>
              <w:bottom w:val="single" w:sz="4" w:space="0" w:color="auto"/>
              <w:right w:val="single" w:sz="8" w:space="0" w:color="auto"/>
            </w:tcBorders>
            <w:shd w:val="clear" w:color="auto" w:fill="auto"/>
            <w:noWrap/>
            <w:vAlign w:val="center"/>
          </w:tcPr>
          <w:p w:rsidR="00731DAC" w:rsidRPr="00D85732" w:rsidRDefault="00731DAC" w:rsidP="00026501">
            <w:pPr>
              <w:spacing w:line="276" w:lineRule="auto"/>
              <w:jc w:val="right"/>
            </w:pPr>
            <w:r w:rsidRPr="00D85732">
              <w:t>239 766</w:t>
            </w:r>
          </w:p>
        </w:tc>
      </w:tr>
      <w:tr w:rsidR="00731DAC" w:rsidRPr="00D85732" w:rsidTr="00731DAC">
        <w:trPr>
          <w:trHeight w:val="315"/>
        </w:trPr>
        <w:tc>
          <w:tcPr>
            <w:tcW w:w="4268" w:type="dxa"/>
            <w:tcBorders>
              <w:top w:val="nil"/>
              <w:left w:val="single" w:sz="8" w:space="0" w:color="auto"/>
              <w:bottom w:val="single" w:sz="4" w:space="0" w:color="auto"/>
              <w:right w:val="single" w:sz="4" w:space="0" w:color="auto"/>
            </w:tcBorders>
            <w:shd w:val="clear" w:color="auto" w:fill="auto"/>
            <w:noWrap/>
            <w:vAlign w:val="bottom"/>
          </w:tcPr>
          <w:p w:rsidR="00731DAC" w:rsidRPr="00D85732" w:rsidRDefault="00731DAC" w:rsidP="00026501">
            <w:pPr>
              <w:spacing w:line="276" w:lineRule="auto"/>
              <w:rPr>
                <w:color w:val="000000"/>
              </w:rPr>
            </w:pPr>
            <w:r w:rsidRPr="00D85732">
              <w:rPr>
                <w:color w:val="000000"/>
              </w:rPr>
              <w:t xml:space="preserve">MFO </w:t>
            </w:r>
          </w:p>
        </w:tc>
        <w:tc>
          <w:tcPr>
            <w:tcW w:w="2693" w:type="dxa"/>
            <w:tcBorders>
              <w:top w:val="nil"/>
              <w:left w:val="nil"/>
              <w:bottom w:val="single" w:sz="4" w:space="0" w:color="auto"/>
              <w:right w:val="single" w:sz="4" w:space="0" w:color="auto"/>
            </w:tcBorders>
            <w:shd w:val="clear" w:color="auto" w:fill="auto"/>
            <w:noWrap/>
            <w:vAlign w:val="bottom"/>
          </w:tcPr>
          <w:p w:rsidR="00731DAC" w:rsidRPr="00D85732" w:rsidRDefault="003E5557" w:rsidP="00026501">
            <w:pPr>
              <w:spacing w:line="276" w:lineRule="auto"/>
              <w:rPr>
                <w:color w:val="000000"/>
              </w:rPr>
            </w:pPr>
            <w:r>
              <w:rPr>
                <w:color w:val="000000"/>
              </w:rPr>
              <w:t>Egypt</w:t>
            </w:r>
          </w:p>
        </w:tc>
        <w:tc>
          <w:tcPr>
            <w:tcW w:w="1559" w:type="dxa"/>
            <w:tcBorders>
              <w:top w:val="nil"/>
              <w:left w:val="nil"/>
              <w:bottom w:val="single" w:sz="4" w:space="0" w:color="auto"/>
              <w:right w:val="single" w:sz="8" w:space="0" w:color="auto"/>
            </w:tcBorders>
            <w:shd w:val="clear" w:color="auto" w:fill="auto"/>
            <w:noWrap/>
          </w:tcPr>
          <w:p w:rsidR="00731DAC" w:rsidRPr="00D85732" w:rsidRDefault="00731DAC" w:rsidP="00026501">
            <w:pPr>
              <w:spacing w:line="276" w:lineRule="auto"/>
              <w:jc w:val="right"/>
              <w:rPr>
                <w:color w:val="000000"/>
              </w:rPr>
            </w:pPr>
            <w:r w:rsidRPr="00D85732">
              <w:t>21 879</w:t>
            </w:r>
          </w:p>
        </w:tc>
      </w:tr>
      <w:tr w:rsidR="00731DAC" w:rsidRPr="00D85732" w:rsidTr="00731DAC">
        <w:trPr>
          <w:trHeight w:val="315"/>
        </w:trPr>
        <w:tc>
          <w:tcPr>
            <w:tcW w:w="4268" w:type="dxa"/>
            <w:tcBorders>
              <w:top w:val="nil"/>
              <w:left w:val="single" w:sz="8" w:space="0" w:color="auto"/>
              <w:bottom w:val="single" w:sz="4" w:space="0" w:color="auto"/>
              <w:right w:val="single" w:sz="4" w:space="0" w:color="auto"/>
            </w:tcBorders>
            <w:shd w:val="clear" w:color="auto" w:fill="auto"/>
            <w:noWrap/>
            <w:vAlign w:val="center"/>
          </w:tcPr>
          <w:p w:rsidR="00731DAC" w:rsidRPr="00D85732" w:rsidRDefault="00731DAC" w:rsidP="00026501">
            <w:pPr>
              <w:spacing w:line="276" w:lineRule="auto"/>
              <w:rPr>
                <w:color w:val="000000"/>
              </w:rPr>
            </w:pPr>
            <w:r w:rsidRPr="00D85732">
              <w:rPr>
                <w:color w:val="000000"/>
              </w:rPr>
              <w:t>UNDOF</w:t>
            </w:r>
          </w:p>
        </w:tc>
        <w:tc>
          <w:tcPr>
            <w:tcW w:w="2693" w:type="dxa"/>
            <w:tcBorders>
              <w:top w:val="nil"/>
              <w:left w:val="nil"/>
              <w:bottom w:val="single" w:sz="4" w:space="0" w:color="auto"/>
              <w:right w:val="single" w:sz="4" w:space="0" w:color="auto"/>
            </w:tcBorders>
            <w:shd w:val="clear" w:color="auto" w:fill="auto"/>
            <w:noWrap/>
            <w:vAlign w:val="center"/>
          </w:tcPr>
          <w:p w:rsidR="00731DAC" w:rsidRPr="00D85732" w:rsidRDefault="003E5557" w:rsidP="00026501">
            <w:pPr>
              <w:spacing w:line="276" w:lineRule="auto"/>
              <w:rPr>
                <w:color w:val="000000"/>
              </w:rPr>
            </w:pPr>
            <w:r>
              <w:rPr>
                <w:color w:val="000000"/>
              </w:rPr>
              <w:t>Izrael/Sýrie</w:t>
            </w:r>
          </w:p>
        </w:tc>
        <w:tc>
          <w:tcPr>
            <w:tcW w:w="1559" w:type="dxa"/>
            <w:tcBorders>
              <w:top w:val="nil"/>
              <w:left w:val="nil"/>
              <w:bottom w:val="single" w:sz="4" w:space="0" w:color="auto"/>
              <w:right w:val="single" w:sz="8" w:space="0" w:color="auto"/>
            </w:tcBorders>
            <w:shd w:val="clear" w:color="auto" w:fill="auto"/>
            <w:noWrap/>
          </w:tcPr>
          <w:p w:rsidR="00731DAC" w:rsidRPr="00D85732" w:rsidRDefault="00731DAC" w:rsidP="00026501">
            <w:pPr>
              <w:spacing w:line="276" w:lineRule="auto"/>
              <w:jc w:val="right"/>
              <w:rPr>
                <w:color w:val="000000"/>
              </w:rPr>
            </w:pPr>
            <w:r w:rsidRPr="00D85732">
              <w:t>2 908</w:t>
            </w:r>
          </w:p>
        </w:tc>
      </w:tr>
      <w:tr w:rsidR="00731DAC" w:rsidRPr="00D85732" w:rsidTr="00731DAC">
        <w:trPr>
          <w:trHeight w:val="309"/>
        </w:trPr>
        <w:tc>
          <w:tcPr>
            <w:tcW w:w="4268" w:type="dxa"/>
            <w:tcBorders>
              <w:top w:val="nil"/>
              <w:left w:val="single" w:sz="8" w:space="0" w:color="auto"/>
              <w:bottom w:val="single" w:sz="4" w:space="0" w:color="auto"/>
              <w:right w:val="single" w:sz="4" w:space="0" w:color="auto"/>
            </w:tcBorders>
            <w:shd w:val="clear" w:color="auto" w:fill="auto"/>
            <w:noWrap/>
            <w:vAlign w:val="bottom"/>
          </w:tcPr>
          <w:p w:rsidR="00731DAC" w:rsidRPr="00D85732" w:rsidRDefault="00731DAC" w:rsidP="003E5557">
            <w:pPr>
              <w:spacing w:line="276" w:lineRule="auto"/>
              <w:rPr>
                <w:color w:val="000000"/>
              </w:rPr>
            </w:pPr>
            <w:r w:rsidRPr="00D85732">
              <w:rPr>
                <w:color w:val="000000"/>
              </w:rPr>
              <w:t xml:space="preserve">EUFOR </w:t>
            </w:r>
            <w:proofErr w:type="spellStart"/>
            <w:r w:rsidR="003E5557">
              <w:rPr>
                <w:color w:val="000000"/>
              </w:rPr>
              <w:t>Althea</w:t>
            </w:r>
            <w:proofErr w:type="spellEnd"/>
          </w:p>
        </w:tc>
        <w:tc>
          <w:tcPr>
            <w:tcW w:w="2693" w:type="dxa"/>
            <w:tcBorders>
              <w:top w:val="nil"/>
              <w:left w:val="nil"/>
              <w:bottom w:val="single" w:sz="4" w:space="0" w:color="auto"/>
              <w:right w:val="single" w:sz="4" w:space="0" w:color="auto"/>
            </w:tcBorders>
            <w:shd w:val="clear" w:color="auto" w:fill="auto"/>
            <w:vAlign w:val="bottom"/>
          </w:tcPr>
          <w:p w:rsidR="00731DAC" w:rsidRPr="00D85732" w:rsidRDefault="00731DAC" w:rsidP="00026501">
            <w:pPr>
              <w:spacing w:line="276" w:lineRule="auto"/>
              <w:rPr>
                <w:color w:val="000000"/>
              </w:rPr>
            </w:pPr>
            <w:r w:rsidRPr="00D85732">
              <w:rPr>
                <w:color w:val="000000"/>
              </w:rPr>
              <w:t>Bosna a Hercegovina</w:t>
            </w:r>
          </w:p>
        </w:tc>
        <w:tc>
          <w:tcPr>
            <w:tcW w:w="1559" w:type="dxa"/>
            <w:tcBorders>
              <w:top w:val="nil"/>
              <w:left w:val="nil"/>
              <w:bottom w:val="single" w:sz="4" w:space="0" w:color="auto"/>
              <w:right w:val="single" w:sz="8" w:space="0" w:color="auto"/>
            </w:tcBorders>
            <w:shd w:val="clear" w:color="auto" w:fill="auto"/>
            <w:noWrap/>
          </w:tcPr>
          <w:p w:rsidR="00731DAC" w:rsidRPr="00D85732" w:rsidRDefault="00731DAC" w:rsidP="00026501">
            <w:pPr>
              <w:spacing w:line="276" w:lineRule="auto"/>
              <w:jc w:val="right"/>
              <w:rPr>
                <w:color w:val="000000"/>
              </w:rPr>
            </w:pPr>
            <w:r w:rsidRPr="00D85732">
              <w:t>1 993</w:t>
            </w:r>
          </w:p>
        </w:tc>
      </w:tr>
      <w:tr w:rsidR="00731DAC" w:rsidRPr="00D85732" w:rsidTr="00731DAC">
        <w:trPr>
          <w:trHeight w:val="315"/>
        </w:trPr>
        <w:tc>
          <w:tcPr>
            <w:tcW w:w="4268" w:type="dxa"/>
            <w:tcBorders>
              <w:top w:val="nil"/>
              <w:left w:val="single" w:sz="8" w:space="0" w:color="auto"/>
              <w:bottom w:val="single" w:sz="4" w:space="0" w:color="auto"/>
              <w:right w:val="single" w:sz="4" w:space="0" w:color="auto"/>
            </w:tcBorders>
            <w:shd w:val="clear" w:color="auto" w:fill="auto"/>
            <w:noWrap/>
            <w:vAlign w:val="bottom"/>
          </w:tcPr>
          <w:p w:rsidR="00731DAC" w:rsidRPr="00D85732" w:rsidRDefault="003E5557" w:rsidP="003E5557">
            <w:pPr>
              <w:spacing w:line="276" w:lineRule="auto"/>
              <w:rPr>
                <w:color w:val="000000"/>
              </w:rPr>
            </w:pPr>
            <w:r>
              <w:rPr>
                <w:color w:val="000000"/>
              </w:rPr>
              <w:t>Joint</w:t>
            </w:r>
            <w:r w:rsidR="00731DAC" w:rsidRPr="00D85732">
              <w:rPr>
                <w:color w:val="000000"/>
              </w:rPr>
              <w:t xml:space="preserve"> </w:t>
            </w:r>
            <w:proofErr w:type="spellStart"/>
            <w:r w:rsidR="00731DAC" w:rsidRPr="00D85732">
              <w:rPr>
                <w:color w:val="000000"/>
              </w:rPr>
              <w:t>E</w:t>
            </w:r>
            <w:r>
              <w:rPr>
                <w:color w:val="000000"/>
              </w:rPr>
              <w:t>nterprise</w:t>
            </w:r>
            <w:proofErr w:type="spellEnd"/>
          </w:p>
        </w:tc>
        <w:tc>
          <w:tcPr>
            <w:tcW w:w="2693" w:type="dxa"/>
            <w:tcBorders>
              <w:top w:val="nil"/>
              <w:left w:val="nil"/>
              <w:bottom w:val="single" w:sz="4" w:space="0" w:color="auto"/>
              <w:right w:val="single" w:sz="4" w:space="0" w:color="auto"/>
            </w:tcBorders>
            <w:shd w:val="clear" w:color="auto" w:fill="auto"/>
            <w:noWrap/>
            <w:vAlign w:val="bottom"/>
          </w:tcPr>
          <w:p w:rsidR="00731DAC" w:rsidRPr="00D85732" w:rsidRDefault="00731DAC" w:rsidP="00026501">
            <w:pPr>
              <w:spacing w:line="276" w:lineRule="auto"/>
              <w:rPr>
                <w:color w:val="000000"/>
              </w:rPr>
            </w:pPr>
            <w:r w:rsidRPr="00D85732">
              <w:rPr>
                <w:color w:val="000000"/>
              </w:rPr>
              <w:t>Kosovo</w:t>
            </w:r>
          </w:p>
        </w:tc>
        <w:tc>
          <w:tcPr>
            <w:tcW w:w="1559" w:type="dxa"/>
            <w:tcBorders>
              <w:top w:val="nil"/>
              <w:left w:val="nil"/>
              <w:bottom w:val="single" w:sz="4" w:space="0" w:color="auto"/>
              <w:right w:val="single" w:sz="8" w:space="0" w:color="auto"/>
            </w:tcBorders>
            <w:shd w:val="clear" w:color="auto" w:fill="auto"/>
            <w:noWrap/>
          </w:tcPr>
          <w:p w:rsidR="00731DAC" w:rsidRPr="00D85732" w:rsidRDefault="00731DAC" w:rsidP="00026501">
            <w:pPr>
              <w:spacing w:line="276" w:lineRule="auto"/>
              <w:jc w:val="right"/>
              <w:rPr>
                <w:color w:val="000000"/>
              </w:rPr>
            </w:pPr>
            <w:r w:rsidRPr="00D85732">
              <w:t>4 758</w:t>
            </w:r>
          </w:p>
        </w:tc>
      </w:tr>
      <w:tr w:rsidR="00731DAC" w:rsidRPr="00D85732" w:rsidTr="00731DAC">
        <w:trPr>
          <w:trHeight w:val="309"/>
        </w:trPr>
        <w:tc>
          <w:tcPr>
            <w:tcW w:w="4268" w:type="dxa"/>
            <w:tcBorders>
              <w:top w:val="nil"/>
              <w:left w:val="single" w:sz="8" w:space="0" w:color="auto"/>
              <w:bottom w:val="single" w:sz="4" w:space="0" w:color="auto"/>
              <w:right w:val="single" w:sz="4" w:space="0" w:color="auto"/>
            </w:tcBorders>
            <w:shd w:val="clear" w:color="auto" w:fill="auto"/>
            <w:noWrap/>
            <w:vAlign w:val="bottom"/>
          </w:tcPr>
          <w:p w:rsidR="00731DAC" w:rsidRPr="00D85732" w:rsidRDefault="00745C37" w:rsidP="00026501">
            <w:pPr>
              <w:spacing w:line="276" w:lineRule="auto"/>
              <w:rPr>
                <w:color w:val="000000"/>
              </w:rPr>
            </w:pPr>
            <w:r>
              <w:rPr>
                <w:color w:val="000000"/>
              </w:rPr>
              <w:t>Posílená předsunutá přítomnost</w:t>
            </w:r>
          </w:p>
        </w:tc>
        <w:tc>
          <w:tcPr>
            <w:tcW w:w="2693" w:type="dxa"/>
            <w:tcBorders>
              <w:top w:val="nil"/>
              <w:left w:val="nil"/>
              <w:bottom w:val="single" w:sz="4" w:space="0" w:color="auto"/>
              <w:right w:val="single" w:sz="4" w:space="0" w:color="auto"/>
            </w:tcBorders>
            <w:shd w:val="clear" w:color="auto" w:fill="auto"/>
            <w:vAlign w:val="center"/>
          </w:tcPr>
          <w:p w:rsidR="00731DAC" w:rsidRPr="00D85732" w:rsidRDefault="00731DAC" w:rsidP="00026501">
            <w:pPr>
              <w:spacing w:line="276" w:lineRule="auto"/>
              <w:rPr>
                <w:color w:val="000000"/>
              </w:rPr>
            </w:pPr>
            <w:r w:rsidRPr="00D85732">
              <w:rPr>
                <w:color w:val="000000"/>
              </w:rPr>
              <w:t>Litva, Lotyšsko</w:t>
            </w:r>
          </w:p>
        </w:tc>
        <w:tc>
          <w:tcPr>
            <w:tcW w:w="1559" w:type="dxa"/>
            <w:tcBorders>
              <w:top w:val="nil"/>
              <w:left w:val="nil"/>
              <w:bottom w:val="single" w:sz="4" w:space="0" w:color="auto"/>
              <w:right w:val="single" w:sz="8" w:space="0" w:color="auto"/>
            </w:tcBorders>
            <w:shd w:val="clear" w:color="auto" w:fill="auto"/>
            <w:noWrap/>
            <w:vAlign w:val="center"/>
          </w:tcPr>
          <w:p w:rsidR="00731DAC" w:rsidRPr="00D85732" w:rsidRDefault="00731DAC" w:rsidP="00026501">
            <w:pPr>
              <w:spacing w:line="276" w:lineRule="auto"/>
              <w:jc w:val="right"/>
              <w:rPr>
                <w:color w:val="000000"/>
              </w:rPr>
            </w:pPr>
            <w:r w:rsidRPr="00D85732">
              <w:t>63 415</w:t>
            </w:r>
          </w:p>
        </w:tc>
      </w:tr>
      <w:tr w:rsidR="00731DAC" w:rsidRPr="00D85732" w:rsidTr="00731DAC">
        <w:trPr>
          <w:trHeight w:val="269"/>
        </w:trPr>
        <w:tc>
          <w:tcPr>
            <w:tcW w:w="4268" w:type="dxa"/>
            <w:tcBorders>
              <w:top w:val="nil"/>
              <w:left w:val="single" w:sz="8" w:space="0" w:color="auto"/>
              <w:bottom w:val="single" w:sz="4" w:space="0" w:color="auto"/>
              <w:right w:val="single" w:sz="4" w:space="0" w:color="auto"/>
            </w:tcBorders>
            <w:shd w:val="clear" w:color="auto" w:fill="auto"/>
            <w:noWrap/>
            <w:vAlign w:val="center"/>
          </w:tcPr>
          <w:p w:rsidR="00731DAC" w:rsidRPr="00D85732" w:rsidRDefault="00731DAC" w:rsidP="003E5557">
            <w:pPr>
              <w:spacing w:line="276" w:lineRule="auto"/>
              <w:rPr>
                <w:color w:val="000000"/>
              </w:rPr>
            </w:pPr>
            <w:r w:rsidRPr="00D85732">
              <w:rPr>
                <w:color w:val="000000"/>
              </w:rPr>
              <w:t xml:space="preserve">EUNAVFOR MED </w:t>
            </w:r>
            <w:r w:rsidR="003E5557">
              <w:rPr>
                <w:color w:val="000000"/>
              </w:rPr>
              <w:t>Sophia</w:t>
            </w:r>
            <w:r w:rsidRPr="00D85732">
              <w:rPr>
                <w:color w:val="000000"/>
              </w:rPr>
              <w:t>/</w:t>
            </w:r>
            <w:proofErr w:type="spellStart"/>
            <w:r w:rsidRPr="00D85732">
              <w:rPr>
                <w:color w:val="000000"/>
              </w:rPr>
              <w:t>I</w:t>
            </w:r>
            <w:r w:rsidR="003E5557">
              <w:rPr>
                <w:color w:val="000000"/>
              </w:rPr>
              <w:t>rini</w:t>
            </w:r>
            <w:proofErr w:type="spellEnd"/>
          </w:p>
        </w:tc>
        <w:tc>
          <w:tcPr>
            <w:tcW w:w="2693" w:type="dxa"/>
            <w:tcBorders>
              <w:top w:val="nil"/>
              <w:left w:val="nil"/>
              <w:bottom w:val="single" w:sz="4" w:space="0" w:color="auto"/>
              <w:right w:val="single" w:sz="4" w:space="0" w:color="auto"/>
            </w:tcBorders>
            <w:shd w:val="clear" w:color="auto" w:fill="auto"/>
            <w:vAlign w:val="center"/>
          </w:tcPr>
          <w:p w:rsidR="00731DAC" w:rsidRPr="00D85732" w:rsidRDefault="00731DAC" w:rsidP="006C2C0D">
            <w:pPr>
              <w:spacing w:line="276" w:lineRule="auto"/>
              <w:rPr>
                <w:color w:val="000000"/>
              </w:rPr>
            </w:pPr>
            <w:r w:rsidRPr="00D85732">
              <w:rPr>
                <w:color w:val="000000"/>
              </w:rPr>
              <w:t>Itálie</w:t>
            </w:r>
          </w:p>
        </w:tc>
        <w:tc>
          <w:tcPr>
            <w:tcW w:w="1559" w:type="dxa"/>
            <w:tcBorders>
              <w:top w:val="nil"/>
              <w:left w:val="nil"/>
              <w:bottom w:val="single" w:sz="4" w:space="0" w:color="auto"/>
              <w:right w:val="single" w:sz="8" w:space="0" w:color="auto"/>
            </w:tcBorders>
            <w:shd w:val="clear" w:color="auto" w:fill="auto"/>
            <w:noWrap/>
            <w:vAlign w:val="center"/>
          </w:tcPr>
          <w:p w:rsidR="00731DAC" w:rsidRPr="00D85732" w:rsidRDefault="00731DAC" w:rsidP="006C2C0D">
            <w:pPr>
              <w:spacing w:line="276" w:lineRule="auto"/>
              <w:jc w:val="right"/>
              <w:rPr>
                <w:color w:val="000000"/>
              </w:rPr>
            </w:pPr>
            <w:r w:rsidRPr="00D85732">
              <w:rPr>
                <w:color w:val="000000"/>
              </w:rPr>
              <w:t>8 243</w:t>
            </w:r>
          </w:p>
        </w:tc>
      </w:tr>
      <w:tr w:rsidR="00731DAC" w:rsidRPr="00D85732" w:rsidTr="00731DAC">
        <w:trPr>
          <w:trHeight w:val="630"/>
        </w:trPr>
        <w:tc>
          <w:tcPr>
            <w:tcW w:w="4268" w:type="dxa"/>
            <w:tcBorders>
              <w:top w:val="nil"/>
              <w:left w:val="single" w:sz="8" w:space="0" w:color="auto"/>
              <w:bottom w:val="single" w:sz="4" w:space="0" w:color="auto"/>
              <w:right w:val="single" w:sz="4" w:space="0" w:color="auto"/>
            </w:tcBorders>
            <w:shd w:val="clear" w:color="auto" w:fill="auto"/>
            <w:vAlign w:val="bottom"/>
          </w:tcPr>
          <w:p w:rsidR="00731DAC" w:rsidRPr="00D85732" w:rsidRDefault="00731DAC" w:rsidP="003E5557">
            <w:pPr>
              <w:spacing w:line="276" w:lineRule="auto"/>
              <w:rPr>
                <w:color w:val="000000"/>
              </w:rPr>
            </w:pPr>
            <w:r w:rsidRPr="00D85732">
              <w:rPr>
                <w:color w:val="000000"/>
              </w:rPr>
              <w:t xml:space="preserve">EUNAVFOR </w:t>
            </w:r>
            <w:proofErr w:type="spellStart"/>
            <w:r w:rsidR="003E5557">
              <w:rPr>
                <w:color w:val="000000"/>
              </w:rPr>
              <w:t>Atalanta</w:t>
            </w:r>
            <w:proofErr w:type="spellEnd"/>
          </w:p>
        </w:tc>
        <w:tc>
          <w:tcPr>
            <w:tcW w:w="2693" w:type="dxa"/>
            <w:tcBorders>
              <w:top w:val="nil"/>
              <w:left w:val="nil"/>
              <w:bottom w:val="single" w:sz="4" w:space="0" w:color="auto"/>
              <w:right w:val="single" w:sz="4" w:space="0" w:color="auto"/>
            </w:tcBorders>
            <w:shd w:val="clear" w:color="auto" w:fill="auto"/>
            <w:noWrap/>
            <w:vAlign w:val="center"/>
          </w:tcPr>
          <w:p w:rsidR="00731DAC" w:rsidRPr="00D85732" w:rsidRDefault="00731DAC" w:rsidP="006C2C0D">
            <w:pPr>
              <w:spacing w:line="276" w:lineRule="auto"/>
              <w:jc w:val="both"/>
              <w:rPr>
                <w:color w:val="000000"/>
              </w:rPr>
            </w:pPr>
            <w:r w:rsidRPr="00D85732">
              <w:rPr>
                <w:color w:val="000000"/>
              </w:rPr>
              <w:t>Španělsko</w:t>
            </w:r>
          </w:p>
        </w:tc>
        <w:tc>
          <w:tcPr>
            <w:tcW w:w="1559" w:type="dxa"/>
            <w:tcBorders>
              <w:top w:val="nil"/>
              <w:left w:val="nil"/>
              <w:bottom w:val="single" w:sz="4" w:space="0" w:color="auto"/>
              <w:right w:val="single" w:sz="8" w:space="0" w:color="auto"/>
            </w:tcBorders>
            <w:shd w:val="clear" w:color="auto" w:fill="auto"/>
            <w:noWrap/>
            <w:vAlign w:val="center"/>
          </w:tcPr>
          <w:p w:rsidR="00731DAC" w:rsidRPr="00D85732" w:rsidRDefault="00731DAC" w:rsidP="006C2C0D">
            <w:pPr>
              <w:spacing w:line="276" w:lineRule="auto"/>
              <w:jc w:val="right"/>
              <w:rPr>
                <w:color w:val="000000"/>
              </w:rPr>
            </w:pPr>
            <w:r w:rsidRPr="00D85732">
              <w:t>2 620</w:t>
            </w:r>
          </w:p>
        </w:tc>
      </w:tr>
      <w:tr w:rsidR="00731DAC" w:rsidRPr="00D85732" w:rsidTr="00731DAC">
        <w:trPr>
          <w:trHeight w:val="630"/>
        </w:trPr>
        <w:tc>
          <w:tcPr>
            <w:tcW w:w="4268" w:type="dxa"/>
            <w:tcBorders>
              <w:top w:val="nil"/>
              <w:left w:val="single" w:sz="8" w:space="0" w:color="auto"/>
              <w:bottom w:val="single" w:sz="4" w:space="0" w:color="auto"/>
              <w:right w:val="single" w:sz="4" w:space="0" w:color="auto"/>
            </w:tcBorders>
            <w:shd w:val="clear" w:color="auto" w:fill="auto"/>
            <w:vAlign w:val="center"/>
          </w:tcPr>
          <w:p w:rsidR="00731DAC" w:rsidRPr="00D85732" w:rsidRDefault="00725F98" w:rsidP="003E5557">
            <w:pPr>
              <w:spacing w:line="276" w:lineRule="auto"/>
              <w:rPr>
                <w:color w:val="000000"/>
              </w:rPr>
            </w:pPr>
            <w:r>
              <w:rPr>
                <w:color w:val="000000"/>
              </w:rPr>
              <w:t xml:space="preserve">NATO </w:t>
            </w:r>
            <w:r w:rsidR="003E5557">
              <w:rPr>
                <w:color w:val="000000"/>
              </w:rPr>
              <w:t>Support</w:t>
            </w:r>
            <w:r>
              <w:rPr>
                <w:color w:val="000000"/>
              </w:rPr>
              <w:t xml:space="preserve"> </w:t>
            </w:r>
            <w:r w:rsidR="003E5557">
              <w:rPr>
                <w:color w:val="000000"/>
              </w:rPr>
              <w:t xml:space="preserve">to </w:t>
            </w:r>
            <w:proofErr w:type="spellStart"/>
            <w:r w:rsidR="003E5557">
              <w:rPr>
                <w:color w:val="000000"/>
              </w:rPr>
              <w:t>Turkey</w:t>
            </w:r>
            <w:proofErr w:type="spellEnd"/>
            <w:r>
              <w:rPr>
                <w:color w:val="000000"/>
              </w:rPr>
              <w:t xml:space="preserve"> </w:t>
            </w:r>
            <w:r w:rsidR="00731DAC" w:rsidRPr="00D85732">
              <w:rPr>
                <w:color w:val="000000"/>
              </w:rPr>
              <w:t>- DCM</w:t>
            </w:r>
          </w:p>
        </w:tc>
        <w:tc>
          <w:tcPr>
            <w:tcW w:w="2693" w:type="dxa"/>
            <w:tcBorders>
              <w:top w:val="nil"/>
              <w:left w:val="nil"/>
              <w:bottom w:val="single" w:sz="4" w:space="0" w:color="auto"/>
              <w:right w:val="single" w:sz="4" w:space="0" w:color="auto"/>
            </w:tcBorders>
            <w:shd w:val="clear" w:color="auto" w:fill="auto"/>
            <w:noWrap/>
            <w:vAlign w:val="center"/>
          </w:tcPr>
          <w:p w:rsidR="00731DAC" w:rsidRPr="00D85732" w:rsidRDefault="00731DAC" w:rsidP="006C2C0D">
            <w:pPr>
              <w:spacing w:line="276" w:lineRule="auto"/>
              <w:jc w:val="both"/>
              <w:rPr>
                <w:color w:val="000000"/>
              </w:rPr>
            </w:pPr>
            <w:r w:rsidRPr="00D85732">
              <w:rPr>
                <w:color w:val="000000"/>
              </w:rPr>
              <w:t>Turecko</w:t>
            </w:r>
          </w:p>
        </w:tc>
        <w:tc>
          <w:tcPr>
            <w:tcW w:w="1559" w:type="dxa"/>
            <w:tcBorders>
              <w:top w:val="nil"/>
              <w:left w:val="nil"/>
              <w:bottom w:val="single" w:sz="4" w:space="0" w:color="auto"/>
              <w:right w:val="single" w:sz="8" w:space="0" w:color="auto"/>
            </w:tcBorders>
            <w:shd w:val="clear" w:color="auto" w:fill="auto"/>
            <w:noWrap/>
            <w:vAlign w:val="center"/>
          </w:tcPr>
          <w:p w:rsidR="00731DAC" w:rsidRPr="00D85732" w:rsidRDefault="00731DAC" w:rsidP="006C2C0D">
            <w:pPr>
              <w:spacing w:line="276" w:lineRule="auto"/>
              <w:jc w:val="right"/>
            </w:pPr>
            <w:r w:rsidRPr="00D85732">
              <w:t>4 710</w:t>
            </w:r>
          </w:p>
        </w:tc>
      </w:tr>
      <w:tr w:rsidR="00731DAC" w:rsidRPr="00D85732" w:rsidTr="00731DAC">
        <w:trPr>
          <w:trHeight w:val="901"/>
        </w:trPr>
        <w:tc>
          <w:tcPr>
            <w:tcW w:w="4268" w:type="dxa"/>
            <w:tcBorders>
              <w:top w:val="nil"/>
              <w:left w:val="single" w:sz="8" w:space="0" w:color="auto"/>
              <w:bottom w:val="single" w:sz="4" w:space="0" w:color="auto"/>
              <w:right w:val="single" w:sz="4" w:space="0" w:color="auto"/>
            </w:tcBorders>
            <w:shd w:val="clear" w:color="auto" w:fill="auto"/>
            <w:vAlign w:val="center"/>
          </w:tcPr>
          <w:p w:rsidR="00731DAC" w:rsidRPr="00D85732" w:rsidRDefault="00731DAC" w:rsidP="006C2C0D">
            <w:pPr>
              <w:spacing w:line="276" w:lineRule="auto"/>
              <w:rPr>
                <w:color w:val="000000"/>
              </w:rPr>
            </w:pPr>
            <w:r w:rsidRPr="00D85732">
              <w:rPr>
                <w:color w:val="000000"/>
              </w:rPr>
              <w:t>Pozorovatelské mise OSN (MINUSMA, MONUSCO, UNMIK, MINUSCA)</w:t>
            </w:r>
          </w:p>
        </w:tc>
        <w:tc>
          <w:tcPr>
            <w:tcW w:w="2693" w:type="dxa"/>
            <w:tcBorders>
              <w:top w:val="nil"/>
              <w:left w:val="nil"/>
              <w:bottom w:val="single" w:sz="4" w:space="0" w:color="auto"/>
              <w:right w:val="single" w:sz="4" w:space="0" w:color="auto"/>
            </w:tcBorders>
            <w:shd w:val="clear" w:color="auto" w:fill="auto"/>
            <w:vAlign w:val="bottom"/>
          </w:tcPr>
          <w:p w:rsidR="00731DAC" w:rsidRPr="00D85732" w:rsidRDefault="00731DAC" w:rsidP="006C2C0D">
            <w:pPr>
              <w:spacing w:line="276" w:lineRule="auto"/>
              <w:rPr>
                <w:color w:val="000000"/>
              </w:rPr>
            </w:pPr>
            <w:r w:rsidRPr="00D85732">
              <w:rPr>
                <w:color w:val="000000"/>
              </w:rPr>
              <w:t>Mali, DR Kongo, Kosovo a Středoafrická republika</w:t>
            </w:r>
          </w:p>
        </w:tc>
        <w:tc>
          <w:tcPr>
            <w:tcW w:w="1559" w:type="dxa"/>
            <w:tcBorders>
              <w:top w:val="nil"/>
              <w:left w:val="nil"/>
              <w:bottom w:val="single" w:sz="4" w:space="0" w:color="auto"/>
              <w:right w:val="single" w:sz="8" w:space="0" w:color="auto"/>
            </w:tcBorders>
            <w:shd w:val="clear" w:color="auto" w:fill="auto"/>
            <w:noWrap/>
            <w:vAlign w:val="center"/>
          </w:tcPr>
          <w:p w:rsidR="00731DAC" w:rsidRPr="00D85732" w:rsidRDefault="00731DAC" w:rsidP="006C2C0D">
            <w:pPr>
              <w:spacing w:line="276" w:lineRule="auto"/>
              <w:jc w:val="right"/>
              <w:rPr>
                <w:color w:val="000000"/>
              </w:rPr>
            </w:pPr>
            <w:r w:rsidRPr="00D85732">
              <w:t>11 663</w:t>
            </w:r>
          </w:p>
        </w:tc>
      </w:tr>
      <w:tr w:rsidR="00731DAC" w:rsidRPr="00D85732" w:rsidTr="00731DAC">
        <w:trPr>
          <w:trHeight w:val="765"/>
        </w:trPr>
        <w:tc>
          <w:tcPr>
            <w:tcW w:w="4268" w:type="dxa"/>
            <w:tcBorders>
              <w:top w:val="nil"/>
              <w:left w:val="single" w:sz="8" w:space="0" w:color="auto"/>
              <w:bottom w:val="nil"/>
              <w:right w:val="single" w:sz="4" w:space="0" w:color="auto"/>
            </w:tcBorders>
            <w:shd w:val="clear" w:color="auto" w:fill="auto"/>
            <w:vAlign w:val="center"/>
          </w:tcPr>
          <w:p w:rsidR="00731DAC" w:rsidRPr="00D85732" w:rsidRDefault="00731DAC" w:rsidP="006C2C0D">
            <w:pPr>
              <w:spacing w:line="276" w:lineRule="auto"/>
              <w:rPr>
                <w:color w:val="000000"/>
              </w:rPr>
            </w:pPr>
            <w:r w:rsidRPr="00D85732">
              <w:rPr>
                <w:color w:val="000000"/>
              </w:rPr>
              <w:t xml:space="preserve">Příprava sil a prostředků pro nasazení v zahraničí </w:t>
            </w:r>
          </w:p>
        </w:tc>
        <w:tc>
          <w:tcPr>
            <w:tcW w:w="2693" w:type="dxa"/>
            <w:tcBorders>
              <w:top w:val="nil"/>
              <w:left w:val="nil"/>
              <w:bottom w:val="nil"/>
              <w:right w:val="single" w:sz="4" w:space="0" w:color="auto"/>
            </w:tcBorders>
            <w:shd w:val="clear" w:color="auto" w:fill="auto"/>
            <w:noWrap/>
            <w:vAlign w:val="center"/>
          </w:tcPr>
          <w:p w:rsidR="00731DAC" w:rsidRPr="00D85732" w:rsidRDefault="00731DAC" w:rsidP="006C2C0D">
            <w:pPr>
              <w:spacing w:line="276" w:lineRule="auto"/>
              <w:rPr>
                <w:color w:val="000000"/>
              </w:rPr>
            </w:pPr>
            <w:r w:rsidRPr="00D85732">
              <w:rPr>
                <w:color w:val="000000"/>
              </w:rPr>
              <w:t>Na území ČR</w:t>
            </w:r>
            <w:r w:rsidRPr="00D85732">
              <w:rPr>
                <w:color w:val="000000"/>
                <w:vertAlign w:val="superscript"/>
              </w:rPr>
              <w:footnoteReference w:id="3"/>
            </w:r>
            <w:r w:rsidR="006F5CFD" w:rsidRPr="00F87897">
              <w:rPr>
                <w:color w:val="000000"/>
                <w:vertAlign w:val="superscript"/>
              </w:rPr>
              <w:t>)</w:t>
            </w:r>
          </w:p>
        </w:tc>
        <w:tc>
          <w:tcPr>
            <w:tcW w:w="1559" w:type="dxa"/>
            <w:tcBorders>
              <w:top w:val="nil"/>
              <w:left w:val="nil"/>
              <w:bottom w:val="nil"/>
              <w:right w:val="single" w:sz="8" w:space="0" w:color="auto"/>
            </w:tcBorders>
            <w:shd w:val="clear" w:color="auto" w:fill="auto"/>
            <w:noWrap/>
            <w:vAlign w:val="center"/>
          </w:tcPr>
          <w:p w:rsidR="00731DAC" w:rsidRPr="00D85732" w:rsidRDefault="00731DAC" w:rsidP="006C2C0D">
            <w:pPr>
              <w:spacing w:line="276" w:lineRule="auto"/>
              <w:jc w:val="right"/>
              <w:rPr>
                <w:color w:val="000000"/>
              </w:rPr>
            </w:pPr>
            <w:r w:rsidRPr="00D85732">
              <w:rPr>
                <w:color w:val="000000"/>
              </w:rPr>
              <w:t>4 665</w:t>
            </w:r>
          </w:p>
        </w:tc>
      </w:tr>
      <w:tr w:rsidR="00731DAC" w:rsidRPr="00D85732" w:rsidTr="00731DAC">
        <w:trPr>
          <w:trHeight w:val="555"/>
        </w:trPr>
        <w:tc>
          <w:tcPr>
            <w:tcW w:w="6961" w:type="dxa"/>
            <w:gridSpan w:val="2"/>
            <w:tcBorders>
              <w:top w:val="single" w:sz="8" w:space="0" w:color="auto"/>
              <w:left w:val="single" w:sz="8" w:space="0" w:color="auto"/>
              <w:bottom w:val="single" w:sz="8" w:space="0" w:color="auto"/>
              <w:right w:val="single" w:sz="4" w:space="0" w:color="000000"/>
            </w:tcBorders>
            <w:shd w:val="clear" w:color="auto" w:fill="auto"/>
            <w:noWrap/>
            <w:vAlign w:val="center"/>
          </w:tcPr>
          <w:p w:rsidR="00731DAC" w:rsidRPr="00D85732" w:rsidRDefault="00731DAC" w:rsidP="006C2C0D">
            <w:pPr>
              <w:spacing w:line="276" w:lineRule="auto"/>
              <w:rPr>
                <w:b/>
                <w:bCs/>
                <w:color w:val="000000"/>
              </w:rPr>
            </w:pPr>
            <w:r w:rsidRPr="00D85732">
              <w:rPr>
                <w:b/>
                <w:bCs/>
                <w:color w:val="000000"/>
              </w:rPr>
              <w:t>CELKEM</w:t>
            </w:r>
          </w:p>
        </w:tc>
        <w:tc>
          <w:tcPr>
            <w:tcW w:w="1559" w:type="dxa"/>
            <w:tcBorders>
              <w:top w:val="single" w:sz="8" w:space="0" w:color="auto"/>
              <w:left w:val="nil"/>
              <w:bottom w:val="single" w:sz="8" w:space="0" w:color="auto"/>
              <w:right w:val="single" w:sz="8" w:space="0" w:color="auto"/>
            </w:tcBorders>
            <w:shd w:val="clear" w:color="auto" w:fill="auto"/>
            <w:noWrap/>
            <w:vAlign w:val="center"/>
          </w:tcPr>
          <w:p w:rsidR="00731DAC" w:rsidRPr="00D85732" w:rsidRDefault="00731DAC" w:rsidP="006C2C0D">
            <w:pPr>
              <w:spacing w:line="276" w:lineRule="auto"/>
              <w:jc w:val="right"/>
              <w:rPr>
                <w:b/>
                <w:bCs/>
                <w:color w:val="000000"/>
              </w:rPr>
            </w:pPr>
            <w:r w:rsidRPr="00D85732">
              <w:rPr>
                <w:b/>
                <w:bCs/>
                <w:color w:val="000000"/>
              </w:rPr>
              <w:t>971 739</w:t>
            </w:r>
          </w:p>
        </w:tc>
      </w:tr>
      <w:tr w:rsidR="00731DAC" w:rsidRPr="00D85732" w:rsidTr="00731DAC">
        <w:trPr>
          <w:trHeight w:val="465"/>
        </w:trPr>
        <w:tc>
          <w:tcPr>
            <w:tcW w:w="6961" w:type="dxa"/>
            <w:gridSpan w:val="2"/>
            <w:tcBorders>
              <w:top w:val="single" w:sz="8" w:space="0" w:color="auto"/>
              <w:left w:val="single" w:sz="8" w:space="0" w:color="auto"/>
              <w:bottom w:val="single" w:sz="8" w:space="0" w:color="auto"/>
              <w:right w:val="single" w:sz="4" w:space="0" w:color="000000"/>
            </w:tcBorders>
            <w:shd w:val="clear" w:color="auto" w:fill="auto"/>
            <w:noWrap/>
            <w:vAlign w:val="center"/>
          </w:tcPr>
          <w:p w:rsidR="00731DAC" w:rsidRPr="00D85732" w:rsidRDefault="00731DAC" w:rsidP="006C2C0D">
            <w:pPr>
              <w:spacing w:line="276" w:lineRule="auto"/>
              <w:rPr>
                <w:bCs/>
                <w:color w:val="000000"/>
              </w:rPr>
            </w:pPr>
            <w:r w:rsidRPr="00D85732">
              <w:rPr>
                <w:bCs/>
                <w:color w:val="000000"/>
              </w:rPr>
              <w:t>Projekty rychlého dopadu (QIP)</w:t>
            </w:r>
          </w:p>
        </w:tc>
        <w:tc>
          <w:tcPr>
            <w:tcW w:w="1559" w:type="dxa"/>
            <w:tcBorders>
              <w:top w:val="single" w:sz="8" w:space="0" w:color="auto"/>
              <w:left w:val="nil"/>
              <w:bottom w:val="single" w:sz="8" w:space="0" w:color="auto"/>
              <w:right w:val="single" w:sz="8" w:space="0" w:color="auto"/>
            </w:tcBorders>
            <w:shd w:val="clear" w:color="auto" w:fill="auto"/>
            <w:noWrap/>
          </w:tcPr>
          <w:p w:rsidR="00731DAC" w:rsidRPr="00D85732" w:rsidRDefault="00731DAC" w:rsidP="00E61FE1">
            <w:pPr>
              <w:spacing w:line="276" w:lineRule="auto"/>
              <w:jc w:val="right"/>
              <w:rPr>
                <w:bCs/>
                <w:color w:val="000000"/>
              </w:rPr>
            </w:pPr>
            <w:r w:rsidRPr="00D85732">
              <w:rPr>
                <w:snapToGrid w:val="0"/>
              </w:rPr>
              <w:t xml:space="preserve">1 </w:t>
            </w:r>
            <w:r w:rsidR="00E61FE1" w:rsidRPr="00D85732">
              <w:rPr>
                <w:snapToGrid w:val="0"/>
              </w:rPr>
              <w:t>28</w:t>
            </w:r>
            <w:r w:rsidR="00E61FE1">
              <w:rPr>
                <w:snapToGrid w:val="0"/>
              </w:rPr>
              <w:t>2</w:t>
            </w:r>
            <w:r w:rsidR="00E61FE1" w:rsidRPr="00D85732">
              <w:rPr>
                <w:snapToGrid w:val="0"/>
              </w:rPr>
              <w:t> </w:t>
            </w:r>
          </w:p>
        </w:tc>
      </w:tr>
    </w:tbl>
    <w:p w:rsidR="00694C2D" w:rsidRDefault="00694C2D" w:rsidP="000D23F4">
      <w:pPr>
        <w:spacing w:before="360" w:after="120" w:line="276" w:lineRule="auto"/>
        <w:jc w:val="both"/>
        <w:rPr>
          <w:b/>
        </w:rPr>
      </w:pPr>
      <w:r w:rsidRPr="00D85732">
        <w:rPr>
          <w:b/>
        </w:rPr>
        <w:t>Závěr</w:t>
      </w:r>
      <w:r w:rsidR="00226F0F">
        <w:rPr>
          <w:b/>
        </w:rPr>
        <w:t xml:space="preserve"> </w:t>
      </w:r>
    </w:p>
    <w:p w:rsidR="006240C3" w:rsidRDefault="006240C3" w:rsidP="00DE134A">
      <w:pPr>
        <w:spacing w:before="120" w:line="276" w:lineRule="auto"/>
        <w:ind w:firstLine="709"/>
        <w:jc w:val="both"/>
      </w:pPr>
      <w:r w:rsidRPr="00694C2D">
        <w:t xml:space="preserve">Působení sil a prostředků rezortu MO v zahraničních operacích </w:t>
      </w:r>
      <w:r>
        <w:t xml:space="preserve">vychází z Bezpečnostní strategie a politicko-bezpečnostních zájmů ČR a je </w:t>
      </w:r>
      <w:r w:rsidRPr="00694C2D">
        <w:t>praktickým naplňováním závazků vyplývajících z členství ČR v mezinárodních organizacích a zároveň příspěvkem k zajištění mezinárodní bezpe</w:t>
      </w:r>
      <w:r w:rsidR="00752B39">
        <w:t>čnosti.</w:t>
      </w:r>
    </w:p>
    <w:p w:rsidR="00EC1A67" w:rsidRDefault="00EC1A67" w:rsidP="00DE134A">
      <w:pPr>
        <w:spacing w:before="120" w:line="276" w:lineRule="auto"/>
        <w:ind w:firstLine="709"/>
        <w:jc w:val="both"/>
      </w:pPr>
      <w:r w:rsidRPr="00A94CEE">
        <w:t xml:space="preserve">V průběhu roku </w:t>
      </w:r>
      <w:r w:rsidR="00A94CEE" w:rsidRPr="00A94CEE">
        <w:t xml:space="preserve">2020 </w:t>
      </w:r>
      <w:r w:rsidRPr="00A94CEE">
        <w:t>došlo k výraznému snížení naší voje</w:t>
      </w:r>
      <w:r w:rsidR="00A94CEE" w:rsidRPr="00A94CEE">
        <w:t>nské přítomnosti v Afghánistánu. V Mali ČR úspěšně velela</w:t>
      </w:r>
      <w:r w:rsidRPr="00A94CEE">
        <w:t xml:space="preserve"> </w:t>
      </w:r>
      <w:r w:rsidR="00A94CEE" w:rsidRPr="00A94CEE">
        <w:t>půl roku</w:t>
      </w:r>
      <w:r w:rsidRPr="00A94CEE">
        <w:t xml:space="preserve"> </w:t>
      </w:r>
      <w:r w:rsidRPr="00F87897">
        <w:t>Silám EUTM v Mali</w:t>
      </w:r>
      <w:r w:rsidRPr="00A94CEE">
        <w:t>.</w:t>
      </w:r>
    </w:p>
    <w:p w:rsidR="00357310" w:rsidRDefault="007171CD" w:rsidP="00DE134A">
      <w:pPr>
        <w:spacing w:before="120" w:line="276" w:lineRule="auto"/>
        <w:ind w:firstLine="709"/>
        <w:jc w:val="both"/>
        <w:rPr>
          <w:snapToGrid w:val="0"/>
          <w:szCs w:val="20"/>
        </w:rPr>
      </w:pPr>
      <w:r>
        <w:rPr>
          <w:snapToGrid w:val="0"/>
          <w:szCs w:val="20"/>
        </w:rPr>
        <w:t>Působení</w:t>
      </w:r>
      <w:r w:rsidR="006240C3" w:rsidRPr="00694C2D">
        <w:rPr>
          <w:snapToGrid w:val="0"/>
          <w:szCs w:val="20"/>
        </w:rPr>
        <w:t xml:space="preserve"> sil a prostředků rezortu MO v zahraničních operacích v hodnoceném období bylo v plném rozsahu hrazeno ze schváleného rozpočtu kapitoly MO bez dodatečných požadavků na jeho navyšování.</w:t>
      </w:r>
      <w:r w:rsidR="006240C3">
        <w:rPr>
          <w:snapToGrid w:val="0"/>
          <w:szCs w:val="20"/>
        </w:rPr>
        <w:t xml:space="preserve"> </w:t>
      </w:r>
    </w:p>
    <w:p w:rsidR="00694C2D" w:rsidRPr="00694C2D" w:rsidRDefault="00697927" w:rsidP="009E6301">
      <w:pPr>
        <w:spacing w:after="120" w:line="288" w:lineRule="auto"/>
        <w:jc w:val="right"/>
        <w:rPr>
          <w:b/>
          <w:snapToGrid w:val="0"/>
          <w:szCs w:val="20"/>
        </w:rPr>
      </w:pPr>
      <w:r>
        <w:rPr>
          <w:b/>
        </w:rPr>
        <w:br w:type="page"/>
      </w:r>
      <w:r w:rsidR="00694C2D" w:rsidRPr="00694C2D">
        <w:rPr>
          <w:b/>
          <w:snapToGrid w:val="0"/>
          <w:szCs w:val="20"/>
        </w:rPr>
        <w:lastRenderedPageBreak/>
        <w:t>Příloha</w:t>
      </w:r>
      <w:r w:rsidR="006E7355">
        <w:rPr>
          <w:b/>
          <w:snapToGrid w:val="0"/>
          <w:szCs w:val="20"/>
        </w:rPr>
        <w:t xml:space="preserve"> k předkládací zprávě</w:t>
      </w:r>
    </w:p>
    <w:p w:rsidR="00694C2D" w:rsidRPr="00694C2D" w:rsidRDefault="00694C2D" w:rsidP="00694C2D">
      <w:pPr>
        <w:spacing w:after="120" w:line="288" w:lineRule="auto"/>
        <w:ind w:firstLine="709"/>
        <w:jc w:val="right"/>
        <w:rPr>
          <w:b/>
          <w:snapToGrid w:val="0"/>
          <w:szCs w:val="20"/>
        </w:rPr>
      </w:pPr>
    </w:p>
    <w:p w:rsidR="009D38DB" w:rsidRPr="00226F0F" w:rsidRDefault="009D38DB" w:rsidP="000D23F4">
      <w:pPr>
        <w:spacing w:before="360" w:after="120" w:line="276" w:lineRule="auto"/>
        <w:jc w:val="center"/>
        <w:rPr>
          <w:b/>
          <w:snapToGrid w:val="0"/>
          <w:color w:val="FF0000"/>
          <w:szCs w:val="20"/>
        </w:rPr>
      </w:pPr>
      <w:r w:rsidRPr="001423D4">
        <w:rPr>
          <w:b/>
          <w:snapToGrid w:val="0"/>
          <w:szCs w:val="20"/>
        </w:rPr>
        <w:t>Informace o stavu zapojení České r</w:t>
      </w:r>
      <w:r w:rsidR="006240C3" w:rsidRPr="001423D4">
        <w:rPr>
          <w:b/>
          <w:snapToGrid w:val="0"/>
          <w:szCs w:val="20"/>
        </w:rPr>
        <w:t xml:space="preserve">epubliky do misí OSN v roce </w:t>
      </w:r>
      <w:r w:rsidR="008E4CA2">
        <w:rPr>
          <w:b/>
          <w:snapToGrid w:val="0"/>
          <w:szCs w:val="20"/>
        </w:rPr>
        <w:t>2020</w:t>
      </w:r>
      <w:r w:rsidRPr="001423D4">
        <w:rPr>
          <w:b/>
          <w:snapToGrid w:val="0"/>
          <w:szCs w:val="20"/>
        </w:rPr>
        <w:t xml:space="preserve"> a o příležitostech a možnostech pro působení České republiky v těchto misích</w:t>
      </w:r>
      <w:r w:rsidR="00226F0F">
        <w:rPr>
          <w:b/>
          <w:snapToGrid w:val="0"/>
          <w:szCs w:val="20"/>
        </w:rPr>
        <w:t xml:space="preserve"> </w:t>
      </w:r>
    </w:p>
    <w:p w:rsidR="00697927" w:rsidRDefault="00697927" w:rsidP="000D23F4">
      <w:pPr>
        <w:spacing w:before="240" w:line="276" w:lineRule="auto"/>
        <w:jc w:val="both"/>
        <w:rPr>
          <w:b/>
          <w:snapToGrid w:val="0"/>
          <w:szCs w:val="20"/>
        </w:rPr>
      </w:pPr>
      <w:r w:rsidRPr="0049325A">
        <w:rPr>
          <w:b/>
          <w:snapToGrid w:val="0"/>
          <w:szCs w:val="20"/>
        </w:rPr>
        <w:t>Úvod</w:t>
      </w:r>
    </w:p>
    <w:p w:rsidR="00697927" w:rsidRDefault="00697927" w:rsidP="00DE134A">
      <w:pPr>
        <w:spacing w:before="120" w:line="276" w:lineRule="auto"/>
        <w:ind w:firstLine="709"/>
        <w:jc w:val="both"/>
        <w:rPr>
          <w:snapToGrid w:val="0"/>
          <w:szCs w:val="20"/>
        </w:rPr>
      </w:pPr>
      <w:r>
        <w:rPr>
          <w:snapToGrid w:val="0"/>
          <w:szCs w:val="20"/>
        </w:rPr>
        <w:t>Mate</w:t>
      </w:r>
      <w:r w:rsidR="003E5557">
        <w:rPr>
          <w:snapToGrid w:val="0"/>
          <w:szCs w:val="20"/>
        </w:rPr>
        <w:t xml:space="preserve">riál je zpracován jako příloha </w:t>
      </w:r>
      <w:r>
        <w:rPr>
          <w:snapToGrid w:val="0"/>
          <w:szCs w:val="20"/>
        </w:rPr>
        <w:t xml:space="preserve">Informace o nasazení sil a prostředků rezortu Ministerstva obrany v zahraničních operacích v roce </w:t>
      </w:r>
      <w:r w:rsidR="008E4CA2">
        <w:rPr>
          <w:snapToGrid w:val="0"/>
          <w:szCs w:val="20"/>
        </w:rPr>
        <w:t>2020</w:t>
      </w:r>
      <w:r>
        <w:rPr>
          <w:snapToGrid w:val="0"/>
          <w:szCs w:val="20"/>
        </w:rPr>
        <w:t>, a to na základě usnesení Bezpečnostní rady státu ze dne 9. června 2015 č. 30 k Působení České republiky v mírových misích či zvláštních politických misích OSN.</w:t>
      </w:r>
    </w:p>
    <w:p w:rsidR="00697927" w:rsidRDefault="00697927" w:rsidP="005407A4">
      <w:pPr>
        <w:spacing w:before="240" w:line="276" w:lineRule="auto"/>
        <w:jc w:val="both"/>
        <w:rPr>
          <w:b/>
          <w:snapToGrid w:val="0"/>
          <w:szCs w:val="20"/>
        </w:rPr>
      </w:pPr>
      <w:r w:rsidRPr="0049325A">
        <w:rPr>
          <w:b/>
          <w:snapToGrid w:val="0"/>
          <w:szCs w:val="20"/>
        </w:rPr>
        <w:t xml:space="preserve">Zapojení ČR do misí OSN v roce </w:t>
      </w:r>
      <w:r w:rsidR="008E4CA2">
        <w:rPr>
          <w:b/>
          <w:snapToGrid w:val="0"/>
          <w:szCs w:val="20"/>
        </w:rPr>
        <w:t>2020</w:t>
      </w:r>
      <w:r w:rsidR="0097516B" w:rsidRPr="00F126B9">
        <w:rPr>
          <w:rStyle w:val="Znakapoznpodarou"/>
          <w:snapToGrid w:val="0"/>
          <w:szCs w:val="20"/>
        </w:rPr>
        <w:footnoteReference w:id="4"/>
      </w:r>
      <w:r w:rsidR="00D23C64" w:rsidRPr="00F87897">
        <w:rPr>
          <w:snapToGrid w:val="0"/>
          <w:szCs w:val="20"/>
          <w:vertAlign w:val="superscript"/>
        </w:rPr>
        <w:t>)</w:t>
      </w:r>
    </w:p>
    <w:p w:rsidR="00697927" w:rsidRDefault="008E4CA2" w:rsidP="00DE134A">
      <w:pPr>
        <w:spacing w:before="120" w:line="276" w:lineRule="auto"/>
        <w:ind w:firstLine="709"/>
        <w:jc w:val="both"/>
        <w:rPr>
          <w:snapToGrid w:val="0"/>
          <w:szCs w:val="20"/>
        </w:rPr>
      </w:pPr>
      <w:r>
        <w:rPr>
          <w:snapToGrid w:val="0"/>
          <w:szCs w:val="20"/>
        </w:rPr>
        <w:t>Podobně jako v předchozích letech, ani v roce 2020 se nepodařilo vyslat do některé z misí OSN alespoň malou</w:t>
      </w:r>
      <w:r w:rsidR="0068620D">
        <w:rPr>
          <w:snapToGrid w:val="0"/>
          <w:szCs w:val="20"/>
        </w:rPr>
        <w:t>, organickou</w:t>
      </w:r>
      <w:r>
        <w:rPr>
          <w:snapToGrid w:val="0"/>
          <w:szCs w:val="20"/>
        </w:rPr>
        <w:t xml:space="preserve"> jednotku, která </w:t>
      </w:r>
      <w:r w:rsidR="0068620D">
        <w:rPr>
          <w:snapToGrid w:val="0"/>
          <w:szCs w:val="20"/>
        </w:rPr>
        <w:t>by působila</w:t>
      </w:r>
      <w:r>
        <w:rPr>
          <w:snapToGrid w:val="0"/>
          <w:szCs w:val="20"/>
        </w:rPr>
        <w:t xml:space="preserve"> v sestavě některé ze silných evropských zemí</w:t>
      </w:r>
      <w:r w:rsidR="006C50EF">
        <w:rPr>
          <w:snapToGrid w:val="0"/>
          <w:szCs w:val="20"/>
        </w:rPr>
        <w:t>. Tím se</w:t>
      </w:r>
      <w:r>
        <w:rPr>
          <w:snapToGrid w:val="0"/>
          <w:szCs w:val="20"/>
        </w:rPr>
        <w:t xml:space="preserve"> </w:t>
      </w:r>
      <w:r w:rsidR="006C50EF">
        <w:rPr>
          <w:snapToGrid w:val="0"/>
          <w:szCs w:val="20"/>
        </w:rPr>
        <w:t>náš příspěvek</w:t>
      </w:r>
      <w:r>
        <w:rPr>
          <w:snapToGrid w:val="0"/>
          <w:szCs w:val="20"/>
        </w:rPr>
        <w:t xml:space="preserve"> </w:t>
      </w:r>
      <w:r w:rsidR="006C50EF">
        <w:rPr>
          <w:snapToGrid w:val="0"/>
          <w:szCs w:val="20"/>
        </w:rPr>
        <w:t>omezil</w:t>
      </w:r>
      <w:r>
        <w:rPr>
          <w:snapToGrid w:val="0"/>
          <w:szCs w:val="20"/>
        </w:rPr>
        <w:t xml:space="preserve"> pouze na jednotlivce zařazované na pozice ve velitelských strukturách misí OSN, konkrétně MI</w:t>
      </w:r>
      <w:r w:rsidR="006C50EF">
        <w:rPr>
          <w:snapToGrid w:val="0"/>
          <w:szCs w:val="20"/>
        </w:rPr>
        <w:t>NUSMA a UNDOF</w:t>
      </w:r>
      <w:r>
        <w:rPr>
          <w:snapToGrid w:val="0"/>
          <w:szCs w:val="20"/>
        </w:rPr>
        <w:t>. Vyjednávání nebyla úspěšná</w:t>
      </w:r>
      <w:r w:rsidR="006C50EF">
        <w:rPr>
          <w:snapToGrid w:val="0"/>
          <w:szCs w:val="20"/>
        </w:rPr>
        <w:t>, navíc byla celá situace v misích OSN negativně</w:t>
      </w:r>
      <w:r>
        <w:rPr>
          <w:snapToGrid w:val="0"/>
          <w:szCs w:val="20"/>
        </w:rPr>
        <w:t xml:space="preserve"> </w:t>
      </w:r>
      <w:r w:rsidR="006C50EF">
        <w:rPr>
          <w:snapToGrid w:val="0"/>
          <w:szCs w:val="20"/>
        </w:rPr>
        <w:t>ovlivněna důsledky pandemie COVID-19.</w:t>
      </w:r>
      <w:r>
        <w:rPr>
          <w:snapToGrid w:val="0"/>
          <w:szCs w:val="20"/>
        </w:rPr>
        <w:t xml:space="preserve"> </w:t>
      </w:r>
    </w:p>
    <w:p w:rsidR="00BB3F54" w:rsidRDefault="00BB3F54" w:rsidP="00DE134A">
      <w:pPr>
        <w:spacing w:before="120" w:line="276" w:lineRule="auto"/>
        <w:ind w:firstLine="709"/>
        <w:jc w:val="both"/>
        <w:rPr>
          <w:snapToGrid w:val="0"/>
          <w:szCs w:val="20"/>
        </w:rPr>
      </w:pPr>
      <w:r>
        <w:rPr>
          <w:snapToGrid w:val="0"/>
          <w:szCs w:val="20"/>
        </w:rPr>
        <w:t>V misi MINUSMA v</w:t>
      </w:r>
      <w:r w:rsidR="003060A0">
        <w:rPr>
          <w:snapToGrid w:val="0"/>
          <w:szCs w:val="20"/>
        </w:rPr>
        <w:t> </w:t>
      </w:r>
      <w:r>
        <w:rPr>
          <w:snapToGrid w:val="0"/>
          <w:szCs w:val="20"/>
        </w:rPr>
        <w:t>Mali</w:t>
      </w:r>
      <w:r w:rsidR="003060A0">
        <w:rPr>
          <w:snapToGrid w:val="0"/>
          <w:szCs w:val="20"/>
        </w:rPr>
        <w:t xml:space="preserve"> máme</w:t>
      </w:r>
      <w:r>
        <w:rPr>
          <w:snapToGrid w:val="0"/>
          <w:szCs w:val="20"/>
        </w:rPr>
        <w:t xml:space="preserve"> </w:t>
      </w:r>
      <w:r w:rsidR="0068620D">
        <w:rPr>
          <w:snapToGrid w:val="0"/>
          <w:szCs w:val="20"/>
        </w:rPr>
        <w:t>4 důstojníky</w:t>
      </w:r>
      <w:r w:rsidR="006C50EF">
        <w:rPr>
          <w:snapToGrid w:val="0"/>
          <w:szCs w:val="20"/>
        </w:rPr>
        <w:t xml:space="preserve"> na velitelství </w:t>
      </w:r>
      <w:r w:rsidR="00B06616">
        <w:rPr>
          <w:snapToGrid w:val="0"/>
          <w:szCs w:val="20"/>
        </w:rPr>
        <w:t xml:space="preserve">mise v Bamako. </w:t>
      </w:r>
    </w:p>
    <w:p w:rsidR="00697927" w:rsidRDefault="00BB3F54" w:rsidP="00DE134A">
      <w:pPr>
        <w:spacing w:before="120" w:line="276" w:lineRule="auto"/>
        <w:ind w:firstLine="709"/>
        <w:jc w:val="both"/>
        <w:rPr>
          <w:snapToGrid w:val="0"/>
          <w:szCs w:val="20"/>
        </w:rPr>
      </w:pPr>
      <w:r>
        <w:rPr>
          <w:snapToGrid w:val="0"/>
          <w:szCs w:val="20"/>
        </w:rPr>
        <w:t xml:space="preserve">Druhou misí OSN, </w:t>
      </w:r>
      <w:r w:rsidR="00010EA7">
        <w:rPr>
          <w:snapToGrid w:val="0"/>
          <w:szCs w:val="20"/>
        </w:rPr>
        <w:t>do které</w:t>
      </w:r>
      <w:r>
        <w:rPr>
          <w:snapToGrid w:val="0"/>
          <w:szCs w:val="20"/>
        </w:rPr>
        <w:t xml:space="preserve"> rezort </w:t>
      </w:r>
      <w:r w:rsidR="007171CD">
        <w:rPr>
          <w:snapToGrid w:val="0"/>
          <w:szCs w:val="20"/>
        </w:rPr>
        <w:t>MO</w:t>
      </w:r>
      <w:r>
        <w:rPr>
          <w:snapToGrid w:val="0"/>
          <w:szCs w:val="20"/>
        </w:rPr>
        <w:t xml:space="preserve"> </w:t>
      </w:r>
      <w:r w:rsidR="00010EA7">
        <w:rPr>
          <w:snapToGrid w:val="0"/>
          <w:szCs w:val="20"/>
        </w:rPr>
        <w:t>přispívá</w:t>
      </w:r>
      <w:r w:rsidR="0049325A">
        <w:rPr>
          <w:snapToGrid w:val="0"/>
          <w:szCs w:val="20"/>
        </w:rPr>
        <w:t xml:space="preserve"> již několik let</w:t>
      </w:r>
      <w:r w:rsidR="008C1310">
        <w:rPr>
          <w:snapToGrid w:val="0"/>
          <w:szCs w:val="20"/>
        </w:rPr>
        <w:t>,</w:t>
      </w:r>
      <w:r>
        <w:rPr>
          <w:snapToGrid w:val="0"/>
          <w:szCs w:val="20"/>
        </w:rPr>
        <w:t xml:space="preserve"> je </w:t>
      </w:r>
      <w:r w:rsidR="00697927">
        <w:rPr>
          <w:snapToGrid w:val="0"/>
          <w:szCs w:val="20"/>
        </w:rPr>
        <w:t>mis</w:t>
      </w:r>
      <w:r>
        <w:rPr>
          <w:snapToGrid w:val="0"/>
          <w:szCs w:val="20"/>
        </w:rPr>
        <w:t>e</w:t>
      </w:r>
      <w:r w:rsidR="00697927">
        <w:rPr>
          <w:snapToGrid w:val="0"/>
          <w:szCs w:val="20"/>
        </w:rPr>
        <w:t xml:space="preserve"> UNDOF na Golanských výšinách</w:t>
      </w:r>
      <w:r>
        <w:rPr>
          <w:snapToGrid w:val="0"/>
          <w:szCs w:val="20"/>
        </w:rPr>
        <w:t xml:space="preserve">. </w:t>
      </w:r>
      <w:r w:rsidR="008C1310">
        <w:rPr>
          <w:snapToGrid w:val="0"/>
          <w:szCs w:val="20"/>
        </w:rPr>
        <w:t xml:space="preserve">V činnosti pokračovala </w:t>
      </w:r>
      <w:r w:rsidR="00697927">
        <w:rPr>
          <w:snapToGrid w:val="0"/>
          <w:szCs w:val="20"/>
        </w:rPr>
        <w:t>skupin</w:t>
      </w:r>
      <w:r w:rsidR="008C1310">
        <w:rPr>
          <w:snapToGrid w:val="0"/>
          <w:szCs w:val="20"/>
        </w:rPr>
        <w:t>a</w:t>
      </w:r>
      <w:r w:rsidR="00697927">
        <w:rPr>
          <w:snapToGrid w:val="0"/>
          <w:szCs w:val="20"/>
        </w:rPr>
        <w:t xml:space="preserve"> důstojníků, a to na </w:t>
      </w:r>
      <w:r>
        <w:rPr>
          <w:snapToGrid w:val="0"/>
          <w:szCs w:val="20"/>
        </w:rPr>
        <w:t xml:space="preserve">pozicích analytika, plánovače, </w:t>
      </w:r>
      <w:r w:rsidR="00697927">
        <w:rPr>
          <w:snapToGrid w:val="0"/>
          <w:szCs w:val="20"/>
        </w:rPr>
        <w:t>specialist</w:t>
      </w:r>
      <w:r w:rsidR="009D50B2">
        <w:rPr>
          <w:snapToGrid w:val="0"/>
          <w:szCs w:val="20"/>
        </w:rPr>
        <w:t>y</w:t>
      </w:r>
      <w:r w:rsidR="00697927">
        <w:rPr>
          <w:snapToGrid w:val="0"/>
          <w:szCs w:val="20"/>
        </w:rPr>
        <w:t xml:space="preserve"> informačních technologií</w:t>
      </w:r>
      <w:r>
        <w:rPr>
          <w:snapToGrid w:val="0"/>
          <w:szCs w:val="20"/>
        </w:rPr>
        <w:t xml:space="preserve"> a štábního důstojníka</w:t>
      </w:r>
      <w:r w:rsidR="00697927">
        <w:rPr>
          <w:snapToGrid w:val="0"/>
          <w:szCs w:val="20"/>
        </w:rPr>
        <w:t xml:space="preserve">. </w:t>
      </w:r>
      <w:r w:rsidR="007E1B3B">
        <w:rPr>
          <w:snapToGrid w:val="0"/>
          <w:szCs w:val="20"/>
        </w:rPr>
        <w:t xml:space="preserve">Vzhledem </w:t>
      </w:r>
      <w:r w:rsidR="00010EA7">
        <w:rPr>
          <w:snapToGrid w:val="0"/>
          <w:szCs w:val="20"/>
        </w:rPr>
        <w:t>k povaze mise a </w:t>
      </w:r>
      <w:r w:rsidR="007E1B3B">
        <w:rPr>
          <w:snapToGrid w:val="0"/>
          <w:szCs w:val="20"/>
        </w:rPr>
        <w:t>dosavadním zkušenostem z působení v ní považujeme současné zapojení ČR v </w:t>
      </w:r>
      <w:r w:rsidR="00B22C3B">
        <w:rPr>
          <w:snapToGrid w:val="0"/>
          <w:szCs w:val="20"/>
        </w:rPr>
        <w:t>UNDOF</w:t>
      </w:r>
      <w:r w:rsidR="007E1B3B">
        <w:rPr>
          <w:snapToGrid w:val="0"/>
          <w:szCs w:val="20"/>
        </w:rPr>
        <w:t xml:space="preserve"> za dostatečné.</w:t>
      </w:r>
    </w:p>
    <w:p w:rsidR="00697927" w:rsidRDefault="00F747DE" w:rsidP="00DE134A">
      <w:pPr>
        <w:spacing w:before="120" w:line="276" w:lineRule="auto"/>
        <w:ind w:firstLine="709"/>
        <w:jc w:val="both"/>
        <w:rPr>
          <w:snapToGrid w:val="0"/>
          <w:szCs w:val="20"/>
        </w:rPr>
      </w:pPr>
      <w:r>
        <w:rPr>
          <w:snapToGrid w:val="0"/>
          <w:szCs w:val="20"/>
        </w:rPr>
        <w:t>Rezort MO</w:t>
      </w:r>
      <w:r w:rsidR="00697927">
        <w:rPr>
          <w:snapToGrid w:val="0"/>
          <w:szCs w:val="20"/>
        </w:rPr>
        <w:t xml:space="preserve"> dlouhodobě přispívá k činnosti OSN rovněž vysíláním vojenských pozorovatelů. </w:t>
      </w:r>
      <w:r w:rsidR="007C306E">
        <w:rPr>
          <w:snapToGrid w:val="0"/>
          <w:szCs w:val="20"/>
        </w:rPr>
        <w:t>Do podzimu</w:t>
      </w:r>
      <w:r w:rsidR="00697927">
        <w:rPr>
          <w:snapToGrid w:val="0"/>
          <w:szCs w:val="20"/>
        </w:rPr>
        <w:t xml:space="preserve"> </w:t>
      </w:r>
      <w:r w:rsidR="007C306E">
        <w:rPr>
          <w:snapToGrid w:val="0"/>
          <w:szCs w:val="20"/>
        </w:rPr>
        <w:t>2020</w:t>
      </w:r>
      <w:r w:rsidR="007E1B3B">
        <w:rPr>
          <w:snapToGrid w:val="0"/>
          <w:szCs w:val="20"/>
        </w:rPr>
        <w:t xml:space="preserve"> působili</w:t>
      </w:r>
      <w:r w:rsidR="00B22C3B">
        <w:rPr>
          <w:snapToGrid w:val="0"/>
          <w:szCs w:val="20"/>
        </w:rPr>
        <w:t xml:space="preserve"> </w:t>
      </w:r>
      <w:r w:rsidR="007E1B3B">
        <w:rPr>
          <w:snapToGrid w:val="0"/>
          <w:szCs w:val="20"/>
        </w:rPr>
        <w:t>2 pozorovatelé</w:t>
      </w:r>
      <w:r w:rsidR="00697927">
        <w:rPr>
          <w:snapToGrid w:val="0"/>
          <w:szCs w:val="20"/>
        </w:rPr>
        <w:t xml:space="preserve"> </w:t>
      </w:r>
      <w:r w:rsidR="007E1B3B">
        <w:rPr>
          <w:snapToGrid w:val="0"/>
          <w:szCs w:val="20"/>
        </w:rPr>
        <w:t>v misi</w:t>
      </w:r>
      <w:r w:rsidR="00697927">
        <w:rPr>
          <w:snapToGrid w:val="0"/>
          <w:szCs w:val="20"/>
        </w:rPr>
        <w:t xml:space="preserve"> MINUSMA v</w:t>
      </w:r>
      <w:r w:rsidR="00B22C3B">
        <w:rPr>
          <w:snapToGrid w:val="0"/>
          <w:szCs w:val="20"/>
        </w:rPr>
        <w:t> </w:t>
      </w:r>
      <w:r w:rsidR="00697927">
        <w:rPr>
          <w:snapToGrid w:val="0"/>
          <w:szCs w:val="20"/>
        </w:rPr>
        <w:t>Mali</w:t>
      </w:r>
      <w:r w:rsidR="00B22C3B">
        <w:rPr>
          <w:snapToGrid w:val="0"/>
          <w:szCs w:val="20"/>
        </w:rPr>
        <w:t>,</w:t>
      </w:r>
      <w:r w:rsidR="00697927">
        <w:rPr>
          <w:snapToGrid w:val="0"/>
          <w:szCs w:val="20"/>
        </w:rPr>
        <w:t xml:space="preserve"> </w:t>
      </w:r>
      <w:r w:rsidR="007C306E">
        <w:rPr>
          <w:snapToGrid w:val="0"/>
          <w:szCs w:val="20"/>
        </w:rPr>
        <w:t xml:space="preserve">dále pak v průběhu celého roku </w:t>
      </w:r>
      <w:r w:rsidR="00B22C3B">
        <w:rPr>
          <w:snapToGrid w:val="0"/>
          <w:szCs w:val="20"/>
        </w:rPr>
        <w:t>3</w:t>
      </w:r>
      <w:r w:rsidR="00697927">
        <w:rPr>
          <w:snapToGrid w:val="0"/>
          <w:szCs w:val="20"/>
        </w:rPr>
        <w:t xml:space="preserve"> pozorovatel</w:t>
      </w:r>
      <w:r w:rsidR="00B22C3B">
        <w:rPr>
          <w:snapToGrid w:val="0"/>
          <w:szCs w:val="20"/>
        </w:rPr>
        <w:t>é v</w:t>
      </w:r>
      <w:r w:rsidR="00697927">
        <w:rPr>
          <w:snapToGrid w:val="0"/>
          <w:szCs w:val="20"/>
        </w:rPr>
        <w:t xml:space="preserve"> mis</w:t>
      </w:r>
      <w:r w:rsidR="00B22C3B">
        <w:rPr>
          <w:snapToGrid w:val="0"/>
          <w:szCs w:val="20"/>
        </w:rPr>
        <w:t>i</w:t>
      </w:r>
      <w:r w:rsidR="00010EA7">
        <w:rPr>
          <w:snapToGrid w:val="0"/>
          <w:szCs w:val="20"/>
        </w:rPr>
        <w:t xml:space="preserve"> MINUSCA </w:t>
      </w:r>
      <w:r w:rsidR="003E5557">
        <w:rPr>
          <w:snapToGrid w:val="0"/>
          <w:szCs w:val="20"/>
        </w:rPr>
        <w:t xml:space="preserve">(United </w:t>
      </w:r>
      <w:proofErr w:type="spellStart"/>
      <w:r w:rsidR="003E5557">
        <w:rPr>
          <w:snapToGrid w:val="0"/>
          <w:szCs w:val="20"/>
        </w:rPr>
        <w:t>Nations</w:t>
      </w:r>
      <w:proofErr w:type="spellEnd"/>
      <w:r w:rsidR="003E5557">
        <w:rPr>
          <w:snapToGrid w:val="0"/>
          <w:szCs w:val="20"/>
        </w:rPr>
        <w:t xml:space="preserve"> </w:t>
      </w:r>
      <w:proofErr w:type="spellStart"/>
      <w:r w:rsidR="003E5557">
        <w:rPr>
          <w:snapToGrid w:val="0"/>
          <w:szCs w:val="20"/>
        </w:rPr>
        <w:t>Multidimensional</w:t>
      </w:r>
      <w:proofErr w:type="spellEnd"/>
      <w:r w:rsidR="003E5557">
        <w:rPr>
          <w:snapToGrid w:val="0"/>
          <w:szCs w:val="20"/>
        </w:rPr>
        <w:t xml:space="preserve"> </w:t>
      </w:r>
      <w:proofErr w:type="spellStart"/>
      <w:r w:rsidR="003E5557">
        <w:rPr>
          <w:snapToGrid w:val="0"/>
          <w:szCs w:val="20"/>
        </w:rPr>
        <w:t>Integrated</w:t>
      </w:r>
      <w:proofErr w:type="spellEnd"/>
      <w:r w:rsidR="003E5557">
        <w:rPr>
          <w:snapToGrid w:val="0"/>
          <w:szCs w:val="20"/>
        </w:rPr>
        <w:t xml:space="preserve"> </w:t>
      </w:r>
      <w:proofErr w:type="spellStart"/>
      <w:r w:rsidR="003E5557">
        <w:rPr>
          <w:snapToGrid w:val="0"/>
          <w:szCs w:val="20"/>
        </w:rPr>
        <w:t>Stabilization</w:t>
      </w:r>
      <w:proofErr w:type="spellEnd"/>
      <w:r w:rsidR="003E5557">
        <w:rPr>
          <w:snapToGrid w:val="0"/>
          <w:szCs w:val="20"/>
        </w:rPr>
        <w:t xml:space="preserve"> </w:t>
      </w:r>
      <w:proofErr w:type="spellStart"/>
      <w:r w:rsidR="003E5557">
        <w:rPr>
          <w:snapToGrid w:val="0"/>
          <w:szCs w:val="20"/>
        </w:rPr>
        <w:t>Mission</w:t>
      </w:r>
      <w:proofErr w:type="spellEnd"/>
      <w:r w:rsidR="00745C37">
        <w:rPr>
          <w:snapToGrid w:val="0"/>
          <w:szCs w:val="20"/>
        </w:rPr>
        <w:t xml:space="preserve"> in </w:t>
      </w:r>
      <w:proofErr w:type="spellStart"/>
      <w:r w:rsidR="00745C37">
        <w:rPr>
          <w:snapToGrid w:val="0"/>
          <w:szCs w:val="20"/>
        </w:rPr>
        <w:t>the</w:t>
      </w:r>
      <w:proofErr w:type="spellEnd"/>
      <w:r w:rsidR="00745C37">
        <w:rPr>
          <w:snapToGrid w:val="0"/>
          <w:szCs w:val="20"/>
        </w:rPr>
        <w:t xml:space="preserve"> </w:t>
      </w:r>
      <w:proofErr w:type="spellStart"/>
      <w:r w:rsidR="00745C37">
        <w:rPr>
          <w:snapToGrid w:val="0"/>
          <w:szCs w:val="20"/>
        </w:rPr>
        <w:t>Central</w:t>
      </w:r>
      <w:proofErr w:type="spellEnd"/>
      <w:r w:rsidR="00745C37">
        <w:rPr>
          <w:snapToGrid w:val="0"/>
          <w:szCs w:val="20"/>
        </w:rPr>
        <w:t xml:space="preserve"> </w:t>
      </w:r>
      <w:proofErr w:type="spellStart"/>
      <w:r w:rsidR="00745C37">
        <w:rPr>
          <w:snapToGrid w:val="0"/>
          <w:szCs w:val="20"/>
        </w:rPr>
        <w:t>African</w:t>
      </w:r>
      <w:proofErr w:type="spellEnd"/>
      <w:r w:rsidR="00745C37">
        <w:rPr>
          <w:snapToGrid w:val="0"/>
          <w:szCs w:val="20"/>
        </w:rPr>
        <w:t xml:space="preserve"> Republic</w:t>
      </w:r>
      <w:r w:rsidR="003E5557">
        <w:rPr>
          <w:snapToGrid w:val="0"/>
          <w:szCs w:val="20"/>
        </w:rPr>
        <w:t>)</w:t>
      </w:r>
      <w:r w:rsidR="00745C37">
        <w:rPr>
          <w:snapToGrid w:val="0"/>
          <w:szCs w:val="20"/>
        </w:rPr>
        <w:t xml:space="preserve"> </w:t>
      </w:r>
      <w:r w:rsidR="00010EA7">
        <w:rPr>
          <w:snapToGrid w:val="0"/>
          <w:szCs w:val="20"/>
        </w:rPr>
        <w:t xml:space="preserve">ve </w:t>
      </w:r>
      <w:r w:rsidR="00697927">
        <w:rPr>
          <w:snapToGrid w:val="0"/>
          <w:szCs w:val="20"/>
        </w:rPr>
        <w:t xml:space="preserve">Středoafrické republice, </w:t>
      </w:r>
      <w:r w:rsidR="0068620D">
        <w:rPr>
          <w:snapToGrid w:val="0"/>
          <w:szCs w:val="20"/>
        </w:rPr>
        <w:t>2 </w:t>
      </w:r>
      <w:r w:rsidR="00B22C3B">
        <w:rPr>
          <w:snapToGrid w:val="0"/>
          <w:szCs w:val="20"/>
        </w:rPr>
        <w:t>pozorovatelé</w:t>
      </w:r>
      <w:r w:rsidR="00697927">
        <w:rPr>
          <w:snapToGrid w:val="0"/>
          <w:szCs w:val="20"/>
        </w:rPr>
        <w:t xml:space="preserve"> </w:t>
      </w:r>
      <w:r w:rsidR="00B22C3B">
        <w:rPr>
          <w:snapToGrid w:val="0"/>
          <w:szCs w:val="20"/>
        </w:rPr>
        <w:t>v</w:t>
      </w:r>
      <w:r w:rsidR="00697927">
        <w:rPr>
          <w:snapToGrid w:val="0"/>
          <w:szCs w:val="20"/>
        </w:rPr>
        <w:t xml:space="preserve"> mis</w:t>
      </w:r>
      <w:r w:rsidR="00B22C3B">
        <w:rPr>
          <w:snapToGrid w:val="0"/>
          <w:szCs w:val="20"/>
        </w:rPr>
        <w:t>i</w:t>
      </w:r>
      <w:r w:rsidR="00010EA7">
        <w:rPr>
          <w:snapToGrid w:val="0"/>
          <w:szCs w:val="20"/>
        </w:rPr>
        <w:t xml:space="preserve"> MONUSCO </w:t>
      </w:r>
      <w:r w:rsidR="003E5557">
        <w:rPr>
          <w:snapToGrid w:val="0"/>
          <w:szCs w:val="20"/>
        </w:rPr>
        <w:t xml:space="preserve">(United </w:t>
      </w:r>
      <w:proofErr w:type="spellStart"/>
      <w:r w:rsidR="003E5557">
        <w:rPr>
          <w:snapToGrid w:val="0"/>
          <w:szCs w:val="20"/>
        </w:rPr>
        <w:t>Nations</w:t>
      </w:r>
      <w:proofErr w:type="spellEnd"/>
      <w:r w:rsidR="003E5557">
        <w:rPr>
          <w:snapToGrid w:val="0"/>
          <w:szCs w:val="20"/>
        </w:rPr>
        <w:t xml:space="preserve"> </w:t>
      </w:r>
      <w:proofErr w:type="spellStart"/>
      <w:r w:rsidR="003E5557">
        <w:rPr>
          <w:snapToGrid w:val="0"/>
          <w:szCs w:val="20"/>
        </w:rPr>
        <w:t>Organization</w:t>
      </w:r>
      <w:proofErr w:type="spellEnd"/>
      <w:r w:rsidR="003E5557">
        <w:rPr>
          <w:snapToGrid w:val="0"/>
          <w:szCs w:val="20"/>
        </w:rPr>
        <w:t xml:space="preserve"> </w:t>
      </w:r>
      <w:proofErr w:type="spellStart"/>
      <w:r w:rsidR="003E5557">
        <w:rPr>
          <w:snapToGrid w:val="0"/>
          <w:szCs w:val="20"/>
        </w:rPr>
        <w:t>Stabilization</w:t>
      </w:r>
      <w:proofErr w:type="spellEnd"/>
      <w:r w:rsidR="003E5557">
        <w:rPr>
          <w:snapToGrid w:val="0"/>
          <w:szCs w:val="20"/>
        </w:rPr>
        <w:t xml:space="preserve"> </w:t>
      </w:r>
      <w:proofErr w:type="spellStart"/>
      <w:r w:rsidR="003E5557">
        <w:rPr>
          <w:snapToGrid w:val="0"/>
          <w:szCs w:val="20"/>
        </w:rPr>
        <w:t>Mission</w:t>
      </w:r>
      <w:proofErr w:type="spellEnd"/>
      <w:r w:rsidR="003E5557">
        <w:rPr>
          <w:snapToGrid w:val="0"/>
          <w:szCs w:val="20"/>
        </w:rPr>
        <w:t xml:space="preserve"> in </w:t>
      </w:r>
      <w:proofErr w:type="spellStart"/>
      <w:r w:rsidR="003E5557">
        <w:rPr>
          <w:snapToGrid w:val="0"/>
          <w:szCs w:val="20"/>
        </w:rPr>
        <w:t>the</w:t>
      </w:r>
      <w:proofErr w:type="spellEnd"/>
      <w:r w:rsidR="003E5557">
        <w:rPr>
          <w:snapToGrid w:val="0"/>
          <w:szCs w:val="20"/>
        </w:rPr>
        <w:t xml:space="preserve"> </w:t>
      </w:r>
      <w:proofErr w:type="spellStart"/>
      <w:r w:rsidR="003E5557">
        <w:rPr>
          <w:snapToGrid w:val="0"/>
          <w:szCs w:val="20"/>
        </w:rPr>
        <w:t>Democratic</w:t>
      </w:r>
      <w:proofErr w:type="spellEnd"/>
      <w:r w:rsidR="003E5557">
        <w:rPr>
          <w:snapToGrid w:val="0"/>
          <w:szCs w:val="20"/>
        </w:rPr>
        <w:t xml:space="preserve"> Republic </w:t>
      </w:r>
      <w:proofErr w:type="spellStart"/>
      <w:r w:rsidR="003E5557">
        <w:rPr>
          <w:snapToGrid w:val="0"/>
          <w:szCs w:val="20"/>
        </w:rPr>
        <w:t>of</w:t>
      </w:r>
      <w:proofErr w:type="spellEnd"/>
      <w:r w:rsidR="003E5557">
        <w:rPr>
          <w:snapToGrid w:val="0"/>
          <w:szCs w:val="20"/>
        </w:rPr>
        <w:t xml:space="preserve"> </w:t>
      </w:r>
      <w:proofErr w:type="spellStart"/>
      <w:r w:rsidR="003E5557">
        <w:rPr>
          <w:snapToGrid w:val="0"/>
          <w:szCs w:val="20"/>
        </w:rPr>
        <w:t>the</w:t>
      </w:r>
      <w:proofErr w:type="spellEnd"/>
      <w:r w:rsidR="003E5557">
        <w:rPr>
          <w:snapToGrid w:val="0"/>
          <w:szCs w:val="20"/>
        </w:rPr>
        <w:t xml:space="preserve"> </w:t>
      </w:r>
      <w:proofErr w:type="spellStart"/>
      <w:r w:rsidR="003E5557">
        <w:rPr>
          <w:snapToGrid w:val="0"/>
          <w:szCs w:val="20"/>
        </w:rPr>
        <w:t>Congo</w:t>
      </w:r>
      <w:proofErr w:type="spellEnd"/>
      <w:r w:rsidR="003E5557">
        <w:rPr>
          <w:snapToGrid w:val="0"/>
          <w:szCs w:val="20"/>
        </w:rPr>
        <w:t xml:space="preserve">) </w:t>
      </w:r>
      <w:r w:rsidR="00010EA7">
        <w:rPr>
          <w:snapToGrid w:val="0"/>
          <w:szCs w:val="20"/>
        </w:rPr>
        <w:t>v </w:t>
      </w:r>
      <w:r w:rsidR="00697927">
        <w:rPr>
          <w:snapToGrid w:val="0"/>
          <w:szCs w:val="20"/>
        </w:rPr>
        <w:t xml:space="preserve">Demokratické republice Kongo a </w:t>
      </w:r>
      <w:r w:rsidR="00B22C3B">
        <w:rPr>
          <w:snapToGrid w:val="0"/>
          <w:szCs w:val="20"/>
        </w:rPr>
        <w:t>2</w:t>
      </w:r>
      <w:r w:rsidR="00697927">
        <w:rPr>
          <w:snapToGrid w:val="0"/>
          <w:szCs w:val="20"/>
        </w:rPr>
        <w:t xml:space="preserve"> pozorovate</w:t>
      </w:r>
      <w:r w:rsidR="00B22C3B">
        <w:rPr>
          <w:snapToGrid w:val="0"/>
          <w:szCs w:val="20"/>
        </w:rPr>
        <w:t>lé</w:t>
      </w:r>
      <w:r w:rsidR="00697927">
        <w:rPr>
          <w:snapToGrid w:val="0"/>
          <w:szCs w:val="20"/>
        </w:rPr>
        <w:t xml:space="preserve"> </w:t>
      </w:r>
      <w:r w:rsidR="00B22C3B">
        <w:rPr>
          <w:snapToGrid w:val="0"/>
          <w:szCs w:val="20"/>
        </w:rPr>
        <w:t>v</w:t>
      </w:r>
      <w:r w:rsidR="00697927">
        <w:rPr>
          <w:snapToGrid w:val="0"/>
          <w:szCs w:val="20"/>
        </w:rPr>
        <w:t xml:space="preserve"> mis</w:t>
      </w:r>
      <w:r w:rsidR="00B22C3B">
        <w:rPr>
          <w:snapToGrid w:val="0"/>
          <w:szCs w:val="20"/>
        </w:rPr>
        <w:t>i</w:t>
      </w:r>
      <w:r w:rsidR="00697927">
        <w:rPr>
          <w:snapToGrid w:val="0"/>
          <w:szCs w:val="20"/>
        </w:rPr>
        <w:t xml:space="preserve"> UNMIK </w:t>
      </w:r>
      <w:r w:rsidR="003E5557">
        <w:rPr>
          <w:snapToGrid w:val="0"/>
          <w:szCs w:val="20"/>
        </w:rPr>
        <w:t xml:space="preserve">(United </w:t>
      </w:r>
      <w:proofErr w:type="spellStart"/>
      <w:r w:rsidR="003E5557">
        <w:rPr>
          <w:snapToGrid w:val="0"/>
          <w:szCs w:val="20"/>
        </w:rPr>
        <w:t>Nations</w:t>
      </w:r>
      <w:proofErr w:type="spellEnd"/>
      <w:r w:rsidR="003E5557">
        <w:rPr>
          <w:snapToGrid w:val="0"/>
          <w:szCs w:val="20"/>
        </w:rPr>
        <w:t xml:space="preserve"> Interim </w:t>
      </w:r>
      <w:proofErr w:type="spellStart"/>
      <w:r w:rsidR="003E5557">
        <w:rPr>
          <w:snapToGrid w:val="0"/>
          <w:szCs w:val="20"/>
        </w:rPr>
        <w:t>Administration</w:t>
      </w:r>
      <w:proofErr w:type="spellEnd"/>
      <w:r w:rsidR="003E5557">
        <w:rPr>
          <w:snapToGrid w:val="0"/>
          <w:szCs w:val="20"/>
        </w:rPr>
        <w:t xml:space="preserve"> </w:t>
      </w:r>
      <w:proofErr w:type="spellStart"/>
      <w:r w:rsidR="003E5557">
        <w:rPr>
          <w:snapToGrid w:val="0"/>
          <w:szCs w:val="20"/>
        </w:rPr>
        <w:t>Mission</w:t>
      </w:r>
      <w:proofErr w:type="spellEnd"/>
      <w:r w:rsidR="003E5557">
        <w:rPr>
          <w:snapToGrid w:val="0"/>
          <w:szCs w:val="20"/>
        </w:rPr>
        <w:t xml:space="preserve"> in Kosovo) </w:t>
      </w:r>
      <w:r w:rsidR="00697927">
        <w:rPr>
          <w:snapToGrid w:val="0"/>
          <w:szCs w:val="20"/>
        </w:rPr>
        <w:t xml:space="preserve">v Kosovu. </w:t>
      </w:r>
      <w:r w:rsidR="003060A0">
        <w:rPr>
          <w:snapToGrid w:val="0"/>
          <w:szCs w:val="20"/>
        </w:rPr>
        <w:t>Na podzim 2020 zrušilo OSN, z důvodů vyhrocené bezpečnostní situace v Mali, všechny pozice vojenských pozorovatelů. ČR tak přišla o místa dvou pozorovatelů, které do MINUSMA vysílala od poloviny roku 2018.</w:t>
      </w:r>
    </w:p>
    <w:p w:rsidR="00981895" w:rsidRDefault="00981895" w:rsidP="00981895">
      <w:pPr>
        <w:spacing w:before="120" w:line="276" w:lineRule="auto"/>
        <w:ind w:firstLine="709"/>
        <w:jc w:val="both"/>
        <w:rPr>
          <w:snapToGrid w:val="0"/>
          <w:szCs w:val="20"/>
        </w:rPr>
      </w:pPr>
      <w:r w:rsidRPr="00981895">
        <w:rPr>
          <w:snapToGrid w:val="0"/>
          <w:szCs w:val="20"/>
        </w:rPr>
        <w:t xml:space="preserve">V roce 2020 se podařilo po několika letech prosadit do nevojenské účasti v misích OSN </w:t>
      </w:r>
      <w:r>
        <w:rPr>
          <w:snapToGrid w:val="0"/>
          <w:szCs w:val="20"/>
        </w:rPr>
        <w:t>příslušníka Policie</w:t>
      </w:r>
      <w:r w:rsidRPr="00981895">
        <w:rPr>
          <w:snapToGrid w:val="0"/>
          <w:szCs w:val="20"/>
        </w:rPr>
        <w:t xml:space="preserve"> ČR, </w:t>
      </w:r>
      <w:r>
        <w:rPr>
          <w:snapToGrid w:val="0"/>
          <w:szCs w:val="20"/>
        </w:rPr>
        <w:t>konkrétně</w:t>
      </w:r>
      <w:r w:rsidRPr="00981895">
        <w:rPr>
          <w:snapToGrid w:val="0"/>
          <w:szCs w:val="20"/>
        </w:rPr>
        <w:t xml:space="preserve"> do mise UNMIK </w:t>
      </w:r>
      <w:r w:rsidR="003E5557">
        <w:rPr>
          <w:snapToGrid w:val="0"/>
          <w:szCs w:val="20"/>
        </w:rPr>
        <w:t xml:space="preserve"> </w:t>
      </w:r>
      <w:r w:rsidRPr="00981895">
        <w:rPr>
          <w:snapToGrid w:val="0"/>
          <w:szCs w:val="20"/>
        </w:rPr>
        <w:t xml:space="preserve">v Kosovu. </w:t>
      </w:r>
    </w:p>
    <w:p w:rsidR="003E5557" w:rsidRDefault="003E5557" w:rsidP="00981895">
      <w:pPr>
        <w:spacing w:before="120" w:line="276" w:lineRule="auto"/>
        <w:ind w:firstLine="709"/>
        <w:jc w:val="both"/>
        <w:rPr>
          <w:snapToGrid w:val="0"/>
          <w:szCs w:val="20"/>
        </w:rPr>
      </w:pPr>
    </w:p>
    <w:p w:rsidR="003E5557" w:rsidRPr="00981895" w:rsidRDefault="003E5557" w:rsidP="00981895">
      <w:pPr>
        <w:spacing w:before="120" w:line="276" w:lineRule="auto"/>
        <w:ind w:firstLine="709"/>
        <w:jc w:val="both"/>
        <w:rPr>
          <w:snapToGrid w:val="0"/>
          <w:szCs w:val="20"/>
        </w:rPr>
      </w:pPr>
    </w:p>
    <w:p w:rsidR="00697927" w:rsidRDefault="00697927" w:rsidP="005407A4">
      <w:pPr>
        <w:spacing w:before="240" w:line="276" w:lineRule="auto"/>
        <w:jc w:val="both"/>
        <w:rPr>
          <w:b/>
          <w:snapToGrid w:val="0"/>
          <w:szCs w:val="20"/>
        </w:rPr>
      </w:pPr>
      <w:r w:rsidRPr="00F747DE">
        <w:rPr>
          <w:b/>
          <w:snapToGrid w:val="0"/>
          <w:szCs w:val="20"/>
        </w:rPr>
        <w:lastRenderedPageBreak/>
        <w:t>Příležitosti a možnosti pro působení České republiky v misích OSN</w:t>
      </w:r>
    </w:p>
    <w:p w:rsidR="00697927" w:rsidRDefault="007C306E" w:rsidP="00DE134A">
      <w:pPr>
        <w:spacing w:before="120" w:line="276" w:lineRule="auto"/>
        <w:ind w:firstLine="709"/>
        <w:jc w:val="both"/>
        <w:rPr>
          <w:snapToGrid w:val="0"/>
          <w:szCs w:val="20"/>
        </w:rPr>
      </w:pPr>
      <w:r>
        <w:rPr>
          <w:snapToGrid w:val="0"/>
          <w:szCs w:val="20"/>
        </w:rPr>
        <w:t>Ve sledovaném období</w:t>
      </w:r>
      <w:r w:rsidR="00841D74">
        <w:rPr>
          <w:snapToGrid w:val="0"/>
          <w:szCs w:val="20"/>
        </w:rPr>
        <w:t xml:space="preserve"> obdržel</w:t>
      </w:r>
      <w:r w:rsidR="00697927">
        <w:rPr>
          <w:snapToGrid w:val="0"/>
          <w:szCs w:val="20"/>
        </w:rPr>
        <w:t xml:space="preserve"> rezort MO ze strany OSN </w:t>
      </w:r>
      <w:r w:rsidR="00841D74">
        <w:rPr>
          <w:snapToGrid w:val="0"/>
          <w:szCs w:val="20"/>
        </w:rPr>
        <w:t xml:space="preserve">několik nabídek </w:t>
      </w:r>
      <w:r>
        <w:rPr>
          <w:snapToGrid w:val="0"/>
          <w:szCs w:val="20"/>
        </w:rPr>
        <w:t xml:space="preserve">pro obsazení důstojnických funkcí v </w:t>
      </w:r>
      <w:r w:rsidR="00841D74">
        <w:rPr>
          <w:snapToGrid w:val="0"/>
          <w:szCs w:val="20"/>
        </w:rPr>
        <w:t>misích OSN</w:t>
      </w:r>
      <w:r>
        <w:rPr>
          <w:snapToGrid w:val="0"/>
          <w:szCs w:val="20"/>
        </w:rPr>
        <w:t>, včetně mise MINUSMA</w:t>
      </w:r>
      <w:r w:rsidR="00697927">
        <w:rPr>
          <w:snapToGrid w:val="0"/>
          <w:szCs w:val="20"/>
        </w:rPr>
        <w:t xml:space="preserve">. </w:t>
      </w:r>
      <w:r>
        <w:rPr>
          <w:snapToGrid w:val="0"/>
          <w:szCs w:val="20"/>
        </w:rPr>
        <w:t xml:space="preserve">Vzhledem k nedostatku vhodných kandidátů však nebylo možno </w:t>
      </w:r>
      <w:r w:rsidR="005F56BA">
        <w:rPr>
          <w:snapToGrid w:val="0"/>
          <w:szCs w:val="20"/>
        </w:rPr>
        <w:t xml:space="preserve">nabídkám vyhovět. </w:t>
      </w:r>
    </w:p>
    <w:p w:rsidR="005F56BA" w:rsidRDefault="003060A0" w:rsidP="00DE134A">
      <w:pPr>
        <w:spacing w:before="120" w:line="276" w:lineRule="auto"/>
        <w:ind w:firstLine="709"/>
        <w:jc w:val="both"/>
        <w:rPr>
          <w:snapToGrid w:val="0"/>
          <w:szCs w:val="20"/>
        </w:rPr>
      </w:pPr>
      <w:r>
        <w:rPr>
          <w:snapToGrid w:val="0"/>
          <w:szCs w:val="20"/>
        </w:rPr>
        <w:t>Nicméně</w:t>
      </w:r>
      <w:r w:rsidR="005F56BA">
        <w:rPr>
          <w:snapToGrid w:val="0"/>
          <w:szCs w:val="20"/>
        </w:rPr>
        <w:t xml:space="preserve"> </w:t>
      </w:r>
      <w:r w:rsidR="00981895">
        <w:rPr>
          <w:snapToGrid w:val="0"/>
          <w:szCs w:val="20"/>
        </w:rPr>
        <w:t xml:space="preserve">v červnu nominovala ČR 2 příslušníky </w:t>
      </w:r>
      <w:r w:rsidR="001C47ED">
        <w:rPr>
          <w:snapToGrid w:val="0"/>
          <w:szCs w:val="20"/>
        </w:rPr>
        <w:t>V</w:t>
      </w:r>
      <w:r w:rsidR="00981895">
        <w:rPr>
          <w:snapToGrid w:val="0"/>
          <w:szCs w:val="20"/>
        </w:rPr>
        <w:t xml:space="preserve">ojenské policie a důstojnici </w:t>
      </w:r>
      <w:r w:rsidR="001C47ED">
        <w:rPr>
          <w:snapToGrid w:val="0"/>
          <w:szCs w:val="20"/>
        </w:rPr>
        <w:t>V</w:t>
      </w:r>
      <w:r w:rsidR="00981895">
        <w:rPr>
          <w:snapToGrid w:val="0"/>
          <w:szCs w:val="20"/>
        </w:rPr>
        <w:t>ězeňské služby do výběrových řízení na pozice v sekretariátu OSN a ve Stálé policejní schopnosti v Brindisi (italské přístavní město se stálým distribučním místem p</w:t>
      </w:r>
      <w:r w:rsidR="0068620D">
        <w:rPr>
          <w:snapToGrid w:val="0"/>
          <w:szCs w:val="20"/>
        </w:rPr>
        <w:t>omoci OSN). Výběrové řízení nebylo</w:t>
      </w:r>
      <w:r w:rsidR="00981895">
        <w:rPr>
          <w:snapToGrid w:val="0"/>
          <w:szCs w:val="20"/>
        </w:rPr>
        <w:t xml:space="preserve"> do konce roku 2020 ukončeno.</w:t>
      </w:r>
    </w:p>
    <w:p w:rsidR="003274DB" w:rsidRDefault="003274DB" w:rsidP="00DE134A">
      <w:pPr>
        <w:spacing w:before="120" w:line="276" w:lineRule="auto"/>
        <w:ind w:firstLine="709"/>
        <w:jc w:val="both"/>
        <w:rPr>
          <w:snapToGrid w:val="0"/>
          <w:szCs w:val="20"/>
        </w:rPr>
      </w:pPr>
      <w:r>
        <w:rPr>
          <w:snapToGrid w:val="0"/>
          <w:szCs w:val="20"/>
        </w:rPr>
        <w:t xml:space="preserve">Jedna </w:t>
      </w:r>
      <w:r w:rsidR="00970F63">
        <w:rPr>
          <w:snapToGrid w:val="0"/>
          <w:szCs w:val="20"/>
        </w:rPr>
        <w:t>příslušnice</w:t>
      </w:r>
      <w:r>
        <w:rPr>
          <w:snapToGrid w:val="0"/>
          <w:szCs w:val="20"/>
        </w:rPr>
        <w:t xml:space="preserve"> AČR absolvovala na přelomu listopadu a prosince </w:t>
      </w:r>
      <w:r w:rsidR="00970F63">
        <w:rPr>
          <w:snapToGrid w:val="0"/>
          <w:szCs w:val="20"/>
        </w:rPr>
        <w:t xml:space="preserve">2020 </w:t>
      </w:r>
      <w:r>
        <w:rPr>
          <w:snapToGrid w:val="0"/>
          <w:szCs w:val="20"/>
        </w:rPr>
        <w:t xml:space="preserve">mezinárodní </w:t>
      </w:r>
      <w:r w:rsidR="00970F63">
        <w:rPr>
          <w:snapToGrid w:val="0"/>
          <w:szCs w:val="20"/>
        </w:rPr>
        <w:t>kurz OSN pro ženy – vojenské důstojnice.</w:t>
      </w:r>
    </w:p>
    <w:p w:rsidR="00981895" w:rsidRPr="00981895" w:rsidRDefault="00981895" w:rsidP="00981895">
      <w:pPr>
        <w:spacing w:before="120" w:line="276" w:lineRule="auto"/>
        <w:ind w:firstLine="709"/>
        <w:jc w:val="both"/>
        <w:rPr>
          <w:snapToGrid w:val="0"/>
          <w:szCs w:val="20"/>
        </w:rPr>
      </w:pPr>
      <w:r w:rsidRPr="00981895">
        <w:rPr>
          <w:snapToGrid w:val="0"/>
          <w:szCs w:val="20"/>
        </w:rPr>
        <w:t>Policie ČR již v roce 2017 projevila ambici obsadit v misích OSN minimálně 3 pozice, které budou směřovat v rámci zahraničněpolitické prior</w:t>
      </w:r>
      <w:r w:rsidR="00441084">
        <w:rPr>
          <w:snapToGrid w:val="0"/>
          <w:szCs w:val="20"/>
        </w:rPr>
        <w:t>ity zejména do oblasti Afriky a </w:t>
      </w:r>
      <w:r w:rsidRPr="00981895">
        <w:rPr>
          <w:snapToGrid w:val="0"/>
          <w:szCs w:val="20"/>
        </w:rPr>
        <w:t xml:space="preserve">Blízkého východu. Svoji ambici </w:t>
      </w:r>
      <w:r w:rsidR="003060A0">
        <w:rPr>
          <w:snapToGrid w:val="0"/>
          <w:szCs w:val="20"/>
        </w:rPr>
        <w:t>začlenila</w:t>
      </w:r>
      <w:r w:rsidRPr="00981895">
        <w:rPr>
          <w:snapToGrid w:val="0"/>
          <w:szCs w:val="20"/>
        </w:rPr>
        <w:t xml:space="preserve"> do strategie čerpání finančních prostředků z VPS (Všeobecná pokladní správa). </w:t>
      </w:r>
    </w:p>
    <w:p w:rsidR="00981895" w:rsidRPr="00981895" w:rsidRDefault="00981895" w:rsidP="00981895">
      <w:pPr>
        <w:spacing w:before="120" w:line="276" w:lineRule="auto"/>
        <w:ind w:firstLine="709"/>
        <w:jc w:val="both"/>
        <w:rPr>
          <w:snapToGrid w:val="0"/>
          <w:szCs w:val="20"/>
        </w:rPr>
      </w:pPr>
      <w:r w:rsidRPr="00981895">
        <w:rPr>
          <w:snapToGrid w:val="0"/>
          <w:szCs w:val="20"/>
        </w:rPr>
        <w:t>Limitujícím faktorem širší spoluúčasti na misích OSN je rozsá</w:t>
      </w:r>
      <w:r w:rsidR="0068620D">
        <w:rPr>
          <w:snapToGrid w:val="0"/>
          <w:szCs w:val="20"/>
        </w:rPr>
        <w:t>hlé zapojení sil a </w:t>
      </w:r>
      <w:r w:rsidRPr="00981895">
        <w:rPr>
          <w:snapToGrid w:val="0"/>
          <w:szCs w:val="20"/>
        </w:rPr>
        <w:t xml:space="preserve">prostředků Policie ČR v rámci migrační krize na Balkáně. Přesto je ČR nadále schopna nabídnout přibližně do desítky příslušníků Policie ČR, kteří již prošli adekvátním výcvikem, mají zkušenost ze zahraničních misí a jsou připraveni ke službě v zahraničí. Půjde především o experty z oblasti vyšetřování trestné činnosti, </w:t>
      </w:r>
      <w:r w:rsidR="000F6A57">
        <w:rPr>
          <w:snapToGrid w:val="0"/>
          <w:szCs w:val="20"/>
        </w:rPr>
        <w:t>instruktory služební přípravy a výcviku a </w:t>
      </w:r>
      <w:r w:rsidRPr="00981895">
        <w:rPr>
          <w:snapToGrid w:val="0"/>
          <w:szCs w:val="20"/>
        </w:rPr>
        <w:t>pořádkové policie, a to v </w:t>
      </w:r>
      <w:r w:rsidR="000F6A57">
        <w:rPr>
          <w:snapToGrid w:val="0"/>
          <w:szCs w:val="20"/>
        </w:rPr>
        <w:t>řádu</w:t>
      </w:r>
      <w:r w:rsidRPr="00981895">
        <w:rPr>
          <w:snapToGrid w:val="0"/>
          <w:szCs w:val="20"/>
        </w:rPr>
        <w:t xml:space="preserve"> jednotlivců vyslaných v reakci na aktuální potřebu do konkrétní mise OSN.</w:t>
      </w:r>
    </w:p>
    <w:p w:rsidR="003274DB" w:rsidRPr="00981895" w:rsidRDefault="003274DB" w:rsidP="003274DB">
      <w:pPr>
        <w:spacing w:before="120" w:line="276" w:lineRule="auto"/>
        <w:ind w:firstLine="709"/>
        <w:jc w:val="both"/>
        <w:rPr>
          <w:snapToGrid w:val="0"/>
          <w:szCs w:val="20"/>
        </w:rPr>
      </w:pPr>
      <w:r w:rsidRPr="00981895">
        <w:rPr>
          <w:snapToGrid w:val="0"/>
          <w:szCs w:val="20"/>
        </w:rPr>
        <w:t>Dále jsou dva policisté</w:t>
      </w:r>
      <w:r w:rsidRPr="003274DB">
        <w:rPr>
          <w:snapToGrid w:val="0"/>
          <w:szCs w:val="20"/>
        </w:rPr>
        <w:t xml:space="preserve"> </w:t>
      </w:r>
      <w:r w:rsidR="000F6A57">
        <w:rPr>
          <w:snapToGrid w:val="0"/>
          <w:szCs w:val="20"/>
        </w:rPr>
        <w:t>zařazeni do</w:t>
      </w:r>
      <w:r w:rsidRPr="00981895">
        <w:rPr>
          <w:snapToGrid w:val="0"/>
          <w:szCs w:val="20"/>
        </w:rPr>
        <w:t xml:space="preserve"> </w:t>
      </w:r>
      <w:r w:rsidR="000F6A57">
        <w:rPr>
          <w:snapToGrid w:val="0"/>
          <w:szCs w:val="20"/>
        </w:rPr>
        <w:t>výběrového</w:t>
      </w:r>
      <w:r w:rsidRPr="00981895">
        <w:rPr>
          <w:snapToGrid w:val="0"/>
          <w:szCs w:val="20"/>
        </w:rPr>
        <w:t xml:space="preserve"> řízení do mise UNITAMS </w:t>
      </w:r>
      <w:r w:rsidR="00135A50">
        <w:rPr>
          <w:snapToGrid w:val="0"/>
          <w:szCs w:val="20"/>
        </w:rPr>
        <w:t xml:space="preserve">(United </w:t>
      </w:r>
      <w:proofErr w:type="spellStart"/>
      <w:r w:rsidR="00135A50">
        <w:rPr>
          <w:snapToGrid w:val="0"/>
          <w:szCs w:val="20"/>
        </w:rPr>
        <w:t>Nations</w:t>
      </w:r>
      <w:proofErr w:type="spellEnd"/>
      <w:r w:rsidR="00135A50">
        <w:rPr>
          <w:snapToGrid w:val="0"/>
          <w:szCs w:val="20"/>
        </w:rPr>
        <w:t xml:space="preserve"> </w:t>
      </w:r>
      <w:proofErr w:type="spellStart"/>
      <w:r w:rsidR="00135A50">
        <w:rPr>
          <w:snapToGrid w:val="0"/>
          <w:szCs w:val="20"/>
        </w:rPr>
        <w:t>Integrated</w:t>
      </w:r>
      <w:proofErr w:type="spellEnd"/>
      <w:r w:rsidR="00135A50">
        <w:rPr>
          <w:snapToGrid w:val="0"/>
          <w:szCs w:val="20"/>
        </w:rPr>
        <w:t xml:space="preserve"> </w:t>
      </w:r>
      <w:proofErr w:type="spellStart"/>
      <w:r w:rsidR="00135A50">
        <w:rPr>
          <w:snapToGrid w:val="0"/>
          <w:szCs w:val="20"/>
        </w:rPr>
        <w:t>Transition</w:t>
      </w:r>
      <w:proofErr w:type="spellEnd"/>
      <w:r w:rsidR="00135A50">
        <w:rPr>
          <w:snapToGrid w:val="0"/>
          <w:szCs w:val="20"/>
        </w:rPr>
        <w:t xml:space="preserve"> </w:t>
      </w:r>
      <w:proofErr w:type="spellStart"/>
      <w:r w:rsidR="00135A50">
        <w:rPr>
          <w:snapToGrid w:val="0"/>
          <w:szCs w:val="20"/>
        </w:rPr>
        <w:t>Assistance</w:t>
      </w:r>
      <w:proofErr w:type="spellEnd"/>
      <w:r w:rsidR="00135A50">
        <w:rPr>
          <w:snapToGrid w:val="0"/>
          <w:szCs w:val="20"/>
        </w:rPr>
        <w:t xml:space="preserve"> </w:t>
      </w:r>
      <w:proofErr w:type="spellStart"/>
      <w:r w:rsidR="00135A50">
        <w:rPr>
          <w:snapToGrid w:val="0"/>
          <w:szCs w:val="20"/>
        </w:rPr>
        <w:t>Mission</w:t>
      </w:r>
      <w:proofErr w:type="spellEnd"/>
      <w:r w:rsidR="00135A50">
        <w:rPr>
          <w:snapToGrid w:val="0"/>
          <w:szCs w:val="20"/>
        </w:rPr>
        <w:t xml:space="preserve"> in </w:t>
      </w:r>
      <w:proofErr w:type="spellStart"/>
      <w:r w:rsidR="00135A50">
        <w:rPr>
          <w:snapToGrid w:val="0"/>
          <w:szCs w:val="20"/>
        </w:rPr>
        <w:t>Sudan</w:t>
      </w:r>
      <w:proofErr w:type="spellEnd"/>
      <w:r w:rsidR="00135A50">
        <w:rPr>
          <w:snapToGrid w:val="0"/>
          <w:szCs w:val="20"/>
        </w:rPr>
        <w:t xml:space="preserve">) </w:t>
      </w:r>
      <w:r w:rsidRPr="00981895">
        <w:rPr>
          <w:snapToGrid w:val="0"/>
          <w:szCs w:val="20"/>
        </w:rPr>
        <w:t>v</w:t>
      </w:r>
      <w:r>
        <w:rPr>
          <w:snapToGrid w:val="0"/>
          <w:szCs w:val="20"/>
        </w:rPr>
        <w:t> </w:t>
      </w:r>
      <w:r w:rsidRPr="00981895">
        <w:rPr>
          <w:snapToGrid w:val="0"/>
          <w:szCs w:val="20"/>
        </w:rPr>
        <w:t>Súdánu</w:t>
      </w:r>
      <w:r>
        <w:rPr>
          <w:snapToGrid w:val="0"/>
          <w:szCs w:val="20"/>
        </w:rPr>
        <w:t>.</w:t>
      </w:r>
      <w:r w:rsidRPr="00981895">
        <w:rPr>
          <w:snapToGrid w:val="0"/>
          <w:szCs w:val="20"/>
        </w:rPr>
        <w:t xml:space="preserve"> </w:t>
      </w:r>
      <w:r>
        <w:rPr>
          <w:snapToGrid w:val="0"/>
          <w:szCs w:val="20"/>
        </w:rPr>
        <w:t>V</w:t>
      </w:r>
      <w:r w:rsidRPr="00981895">
        <w:rPr>
          <w:snapToGrid w:val="0"/>
          <w:szCs w:val="20"/>
        </w:rPr>
        <w:t xml:space="preserve">ýsledek </w:t>
      </w:r>
      <w:r>
        <w:rPr>
          <w:snapToGrid w:val="0"/>
          <w:szCs w:val="20"/>
        </w:rPr>
        <w:t>řízení nebyl do konce roku 2020 znám.</w:t>
      </w:r>
    </w:p>
    <w:p w:rsidR="00B22C3B" w:rsidRDefault="00B22C3B" w:rsidP="000D23F4">
      <w:pPr>
        <w:spacing w:before="240" w:line="276" w:lineRule="auto"/>
        <w:jc w:val="both"/>
        <w:rPr>
          <w:b/>
          <w:snapToGrid w:val="0"/>
          <w:szCs w:val="20"/>
        </w:rPr>
      </w:pPr>
      <w:r w:rsidRPr="007023BB">
        <w:rPr>
          <w:b/>
          <w:snapToGrid w:val="0"/>
          <w:szCs w:val="20"/>
        </w:rPr>
        <w:t>Hodnocení přípravy na působení v misích OSN</w:t>
      </w:r>
    </w:p>
    <w:p w:rsidR="00430728" w:rsidRPr="000F6A57" w:rsidRDefault="00430728" w:rsidP="00DE134A">
      <w:pPr>
        <w:spacing w:before="120" w:line="276" w:lineRule="auto"/>
        <w:ind w:firstLine="709"/>
        <w:jc w:val="both"/>
        <w:rPr>
          <w:snapToGrid w:val="0"/>
          <w:szCs w:val="20"/>
        </w:rPr>
      </w:pPr>
      <w:r w:rsidRPr="000F6A57">
        <w:rPr>
          <w:snapToGrid w:val="0"/>
          <w:szCs w:val="20"/>
        </w:rPr>
        <w:t xml:space="preserve">Schopnosti AČR pro působení v misích OSN se budují postupně v </w:t>
      </w:r>
      <w:r w:rsidR="00441084">
        <w:rPr>
          <w:snapToGrid w:val="0"/>
          <w:szCs w:val="20"/>
        </w:rPr>
        <w:t>souladu s </w:t>
      </w:r>
      <w:r w:rsidRPr="000F6A57">
        <w:rPr>
          <w:snapToGrid w:val="0"/>
          <w:szCs w:val="20"/>
        </w:rPr>
        <w:t>Obrannou strategií ČR. Je zachováván princip jed</w:t>
      </w:r>
      <w:r w:rsidR="00441084">
        <w:rPr>
          <w:snapToGrid w:val="0"/>
          <w:szCs w:val="20"/>
        </w:rPr>
        <w:t>noho souboru sil (schopností) a </w:t>
      </w:r>
      <w:r w:rsidRPr="000F6A57">
        <w:rPr>
          <w:snapToGrid w:val="0"/>
          <w:szCs w:val="20"/>
        </w:rPr>
        <w:t xml:space="preserve">modularity, tj. schopnost plnit úkoly v souladu </w:t>
      </w:r>
      <w:r w:rsidR="00441084">
        <w:rPr>
          <w:snapToGrid w:val="0"/>
          <w:szCs w:val="20"/>
        </w:rPr>
        <w:t>se závazky v NATO, EU i OSN a s </w:t>
      </w:r>
      <w:r w:rsidRPr="000F6A57">
        <w:rPr>
          <w:snapToGrid w:val="0"/>
          <w:szCs w:val="20"/>
        </w:rPr>
        <w:t xml:space="preserve">požadavky na obranu země. </w:t>
      </w:r>
    </w:p>
    <w:p w:rsidR="00430728" w:rsidRPr="00430728" w:rsidRDefault="00430728" w:rsidP="00DE134A">
      <w:pPr>
        <w:spacing w:before="120" w:line="276" w:lineRule="auto"/>
        <w:ind w:firstLine="709"/>
        <w:jc w:val="both"/>
        <w:rPr>
          <w:snapToGrid w:val="0"/>
          <w:szCs w:val="20"/>
        </w:rPr>
      </w:pPr>
      <w:r w:rsidRPr="000F6A57">
        <w:rPr>
          <w:snapToGrid w:val="0"/>
          <w:szCs w:val="20"/>
        </w:rPr>
        <w:t xml:space="preserve">V principu jsou tak všechny </w:t>
      </w:r>
      <w:proofErr w:type="spellStart"/>
      <w:r w:rsidRPr="000F6A57">
        <w:rPr>
          <w:snapToGrid w:val="0"/>
          <w:szCs w:val="20"/>
        </w:rPr>
        <w:t>nasaditelné</w:t>
      </w:r>
      <w:proofErr w:type="spellEnd"/>
      <w:r w:rsidRPr="000F6A57">
        <w:rPr>
          <w:snapToGrid w:val="0"/>
          <w:szCs w:val="20"/>
        </w:rPr>
        <w:t xml:space="preserve"> jednotky použitelné do misí OSN. V současné době plánování vojenských schopností AČR pro OSN, s </w:t>
      </w:r>
      <w:r w:rsidR="00441084">
        <w:rPr>
          <w:snapToGrid w:val="0"/>
          <w:szCs w:val="20"/>
        </w:rPr>
        <w:t>ohledem na stávající kapacity a </w:t>
      </w:r>
      <w:r w:rsidRPr="000F6A57">
        <w:rPr>
          <w:snapToGrid w:val="0"/>
          <w:szCs w:val="20"/>
        </w:rPr>
        <w:t>možnosti AČR, probíhá ad hoc podle potřeby, v s</w:t>
      </w:r>
      <w:r w:rsidR="00441084">
        <w:rPr>
          <w:snapToGrid w:val="0"/>
          <w:szCs w:val="20"/>
        </w:rPr>
        <w:t>ouladu s vydanou rezolucí OSN a </w:t>
      </w:r>
      <w:r w:rsidRPr="000F6A57">
        <w:rPr>
          <w:snapToGrid w:val="0"/>
          <w:szCs w:val="20"/>
        </w:rPr>
        <w:t>identifikovanými možnostmi pro zapojení ze strany vojenského poradce ČR při OSN v</w:t>
      </w:r>
      <w:r w:rsidR="000F6A57" w:rsidRPr="000F6A57">
        <w:rPr>
          <w:snapToGrid w:val="0"/>
          <w:szCs w:val="20"/>
        </w:rPr>
        <w:t> </w:t>
      </w:r>
      <w:r w:rsidRPr="000F6A57">
        <w:rPr>
          <w:snapToGrid w:val="0"/>
          <w:szCs w:val="20"/>
        </w:rPr>
        <w:t>N</w:t>
      </w:r>
      <w:r w:rsidR="000F6A57" w:rsidRPr="000F6A57">
        <w:rPr>
          <w:snapToGrid w:val="0"/>
          <w:szCs w:val="20"/>
        </w:rPr>
        <w:t xml:space="preserve">ew </w:t>
      </w:r>
      <w:r w:rsidRPr="000F6A57">
        <w:rPr>
          <w:snapToGrid w:val="0"/>
          <w:szCs w:val="20"/>
        </w:rPr>
        <w:t>Y</w:t>
      </w:r>
      <w:r w:rsidR="000F6A57" w:rsidRPr="000F6A57">
        <w:rPr>
          <w:snapToGrid w:val="0"/>
          <w:szCs w:val="20"/>
        </w:rPr>
        <w:t>orku</w:t>
      </w:r>
      <w:r w:rsidRPr="000F6A57">
        <w:rPr>
          <w:snapToGrid w:val="0"/>
          <w:szCs w:val="20"/>
        </w:rPr>
        <w:t>. Záměrem je zapojení do misí a regionů, ve kterých již působíme tak, aby nedocházelo k tříštění úsilí. Speciální příprava by byla zahájena až podle konkrétní nabídky. Příprava vojenských schopností pro mise OSN probíhá s omezením. Plánovaná příprava úkolového uskupe</w:t>
      </w:r>
      <w:r w:rsidR="00135A50">
        <w:rPr>
          <w:snapToGrid w:val="0"/>
          <w:szCs w:val="20"/>
        </w:rPr>
        <w:t>ní na úrovni čety v období 2020 - </w:t>
      </w:r>
      <w:r w:rsidRPr="000F6A57">
        <w:rPr>
          <w:snapToGrid w:val="0"/>
          <w:szCs w:val="20"/>
        </w:rPr>
        <w:t>2023 doposud neprobíhá. Vzhledem k dosavadní přípravě osob a techniky na působení v misích OSN se v roce 2021 nepředpokládá nasazení organické vojenské jednotky s bojovou technikou, ale maximálně jednotlivců.</w:t>
      </w:r>
      <w:r w:rsidRPr="00430728">
        <w:rPr>
          <w:snapToGrid w:val="0"/>
          <w:szCs w:val="20"/>
        </w:rPr>
        <w:t xml:space="preserve"> </w:t>
      </w:r>
    </w:p>
    <w:p w:rsidR="003274DB" w:rsidRDefault="003274DB" w:rsidP="003274DB">
      <w:pPr>
        <w:spacing w:before="120" w:line="276" w:lineRule="auto"/>
        <w:ind w:firstLine="709"/>
        <w:jc w:val="both"/>
      </w:pPr>
      <w:r w:rsidRPr="002700AD">
        <w:lastRenderedPageBreak/>
        <w:t>V souladu s politickým zadáním posílit pozici Č</w:t>
      </w:r>
      <w:r w:rsidR="0032371E">
        <w:t>R</w:t>
      </w:r>
      <w:r w:rsidRPr="002700AD">
        <w:t xml:space="preserve"> v OSN a odpovídající strategií MO z roku 2017</w:t>
      </w:r>
      <w:r w:rsidRPr="003274DB">
        <w:rPr>
          <w:vertAlign w:val="superscript"/>
        </w:rPr>
        <w:footnoteReference w:id="5"/>
      </w:r>
      <w:r w:rsidR="00D23C64" w:rsidRPr="00F87897">
        <w:rPr>
          <w:vertAlign w:val="superscript"/>
        </w:rPr>
        <w:t>)</w:t>
      </w:r>
      <w:r w:rsidRPr="002700AD">
        <w:t xml:space="preserve"> </w:t>
      </w:r>
      <w:r>
        <w:t xml:space="preserve">pokračovalo v roce 2020 působení Vojenského poradce AČR Stálé mise ČR při OSN. I přes výzvy spojené s nástupem pandemie COVID-19 toto působení významným způsobem posílilo povědomí o aktuálním zájmu ČR se zapojit to mírových misí a zvýšilo angažovanost ČR při řešení jejich vojenských aspektů: V únoru 2020 vojenský poradce spolu s delegací důstojníků AČR pomohl prosadit posílení zdravotnického zabezpečení mírových misí v rámci </w:t>
      </w:r>
      <w:r w:rsidRPr="00EF4476">
        <w:t>pracovní skupiny</w:t>
      </w:r>
      <w:r>
        <w:t xml:space="preserve">, která určuje podmínky pro nasazení jednotek do mírových misí a proplácení jejich zapojení. V březnu 2020 se zúčastnil jednání Speciálního výboru pro mírové operace (C34) a od června je vojenský poradce aktivním členem výboru Komunity </w:t>
      </w:r>
      <w:r w:rsidRPr="00D522AB">
        <w:t>vojenských a policejních poradců (MPAC</w:t>
      </w:r>
      <w:r w:rsidR="00135A50" w:rsidRPr="00D522AB">
        <w:t>/</w:t>
      </w:r>
      <w:proofErr w:type="spellStart"/>
      <w:r w:rsidR="00135A50" w:rsidRPr="00D522AB">
        <w:t>Military</w:t>
      </w:r>
      <w:proofErr w:type="spellEnd"/>
      <w:r w:rsidR="00135A50" w:rsidRPr="00D522AB">
        <w:t xml:space="preserve"> and Police </w:t>
      </w:r>
      <w:proofErr w:type="spellStart"/>
      <w:r w:rsidR="00135A50" w:rsidRPr="00D522AB">
        <w:t>Advisers</w:t>
      </w:r>
      <w:proofErr w:type="spellEnd"/>
      <w:r w:rsidR="00135A50" w:rsidRPr="00D522AB">
        <w:t xml:space="preserve"> </w:t>
      </w:r>
      <w:proofErr w:type="spellStart"/>
      <w:r w:rsidR="00135A50" w:rsidRPr="00D522AB">
        <w:t>Community</w:t>
      </w:r>
      <w:proofErr w:type="spellEnd"/>
      <w:r w:rsidR="00135A50" w:rsidRPr="00D522AB">
        <w:t>)</w:t>
      </w:r>
      <w:r w:rsidRPr="00D522AB">
        <w:t xml:space="preserve"> v New</w:t>
      </w:r>
      <w:r>
        <w:t xml:space="preserve"> Yorku.</w:t>
      </w:r>
    </w:p>
    <w:p w:rsidR="003274DB" w:rsidRDefault="003274DB" w:rsidP="003274DB">
      <w:pPr>
        <w:spacing w:before="120" w:line="276" w:lineRule="auto"/>
        <w:ind w:firstLine="709"/>
        <w:jc w:val="both"/>
      </w:pPr>
      <w:r>
        <w:t>Působení vojenského poradce přispívá k informovanosti rezortu MO o dění v mírových misích OSN a jejich potřebách. Formálně je navázána přímá spolupráce vojenského poradce s</w:t>
      </w:r>
      <w:r w:rsidR="00845D2C">
        <w:t xml:space="preserve">e </w:t>
      </w:r>
      <w:r>
        <w:t>S</w:t>
      </w:r>
      <w:r w:rsidR="00845D2C">
        <w:t xml:space="preserve">ekcí plánování </w:t>
      </w:r>
      <w:r w:rsidR="008B117D">
        <w:t>schopností</w:t>
      </w:r>
      <w:r w:rsidR="00845D2C">
        <w:t xml:space="preserve"> </w:t>
      </w:r>
      <w:r>
        <w:t>MO a jsou tak vyt</w:t>
      </w:r>
      <w:r w:rsidR="00441084">
        <w:t>vořeny podmínky pro deklaraci a </w:t>
      </w:r>
      <w:r>
        <w:t>zahájení přípravy sil a prostředků k zapojení do mírových misí OSN, jakmile budou odpovídající schopnosti v rámci AČR pro tento účel identifikovány.</w:t>
      </w:r>
    </w:p>
    <w:p w:rsidR="00697927" w:rsidRPr="00F8706D" w:rsidRDefault="00697927" w:rsidP="000D23F4">
      <w:pPr>
        <w:spacing w:before="240" w:line="276" w:lineRule="auto"/>
        <w:jc w:val="both"/>
        <w:rPr>
          <w:b/>
          <w:snapToGrid w:val="0"/>
          <w:szCs w:val="20"/>
        </w:rPr>
      </w:pPr>
      <w:r w:rsidRPr="004564DC">
        <w:rPr>
          <w:b/>
          <w:snapToGrid w:val="0"/>
          <w:szCs w:val="20"/>
        </w:rPr>
        <w:t>Aktuální nabídky příspěvků ČR do misí OSN</w:t>
      </w:r>
    </w:p>
    <w:p w:rsidR="00845D2C" w:rsidRDefault="00697927" w:rsidP="00DE134A">
      <w:pPr>
        <w:spacing w:before="120" w:line="276" w:lineRule="auto"/>
        <w:ind w:firstLine="709"/>
        <w:jc w:val="both"/>
        <w:rPr>
          <w:snapToGrid w:val="0"/>
          <w:szCs w:val="20"/>
        </w:rPr>
      </w:pPr>
      <w:r>
        <w:rPr>
          <w:snapToGrid w:val="0"/>
          <w:szCs w:val="20"/>
        </w:rPr>
        <w:t xml:space="preserve">Rezort MO ČR </w:t>
      </w:r>
      <w:r w:rsidR="000F6A57">
        <w:rPr>
          <w:snapToGrid w:val="0"/>
          <w:szCs w:val="20"/>
        </w:rPr>
        <w:t xml:space="preserve">hledá </w:t>
      </w:r>
      <w:r>
        <w:rPr>
          <w:snapToGrid w:val="0"/>
          <w:szCs w:val="20"/>
        </w:rPr>
        <w:t>dlouhodobě možnosti zapojení do misí OSN vojenskou jednotkou, přičemž vždy zohledňuje</w:t>
      </w:r>
      <w:r w:rsidR="00215A56">
        <w:rPr>
          <w:snapToGrid w:val="0"/>
          <w:szCs w:val="20"/>
        </w:rPr>
        <w:t xml:space="preserve"> své kapacity a aktuální nabídky</w:t>
      </w:r>
      <w:r>
        <w:rPr>
          <w:snapToGrid w:val="0"/>
          <w:szCs w:val="20"/>
        </w:rPr>
        <w:t xml:space="preserve"> OSN. Cílem je zapojení do misí a regionů, </w:t>
      </w:r>
      <w:r w:rsidR="00B20A61">
        <w:rPr>
          <w:snapToGrid w:val="0"/>
          <w:szCs w:val="20"/>
        </w:rPr>
        <w:t>ve kterých</w:t>
      </w:r>
      <w:r>
        <w:rPr>
          <w:snapToGrid w:val="0"/>
          <w:szCs w:val="20"/>
        </w:rPr>
        <w:t xml:space="preserve"> již působí</w:t>
      </w:r>
      <w:r w:rsidR="00B20A61">
        <w:rPr>
          <w:snapToGrid w:val="0"/>
          <w:szCs w:val="20"/>
        </w:rPr>
        <w:t>me</w:t>
      </w:r>
      <w:r w:rsidR="00845D2C">
        <w:rPr>
          <w:snapToGrid w:val="0"/>
          <w:szCs w:val="20"/>
        </w:rPr>
        <w:t>, a to především v Mali, ve kterém se významně angažujeme především v rámci výcvikové mise Evropské unie</w:t>
      </w:r>
      <w:r w:rsidR="00B20A61">
        <w:rPr>
          <w:snapToGrid w:val="0"/>
          <w:szCs w:val="20"/>
        </w:rPr>
        <w:t>.</w:t>
      </w:r>
      <w:r w:rsidR="00845D2C">
        <w:rPr>
          <w:snapToGrid w:val="0"/>
          <w:szCs w:val="20"/>
        </w:rPr>
        <w:t xml:space="preserve"> </w:t>
      </w:r>
    </w:p>
    <w:p w:rsidR="00926CFB" w:rsidRDefault="00845D2C" w:rsidP="00DE134A">
      <w:pPr>
        <w:spacing w:before="120" w:line="276" w:lineRule="auto"/>
        <w:ind w:firstLine="709"/>
        <w:jc w:val="both"/>
        <w:rPr>
          <w:snapToGrid w:val="0"/>
          <w:szCs w:val="20"/>
        </w:rPr>
      </w:pPr>
      <w:r>
        <w:rPr>
          <w:snapToGrid w:val="0"/>
          <w:szCs w:val="20"/>
        </w:rPr>
        <w:t>I přes problémy, které znemožňují výraznější zap</w:t>
      </w:r>
      <w:r w:rsidR="00441084">
        <w:rPr>
          <w:snapToGrid w:val="0"/>
          <w:szCs w:val="20"/>
        </w:rPr>
        <w:t>ojení do mise MINUSMA, budeme o </w:t>
      </w:r>
      <w:r>
        <w:rPr>
          <w:snapToGrid w:val="0"/>
          <w:szCs w:val="20"/>
        </w:rPr>
        <w:t>účast v této misi nadále usilovat především ve spolupráci se silnými evropskými zeměmi.</w:t>
      </w:r>
      <w:r w:rsidR="00926CFB">
        <w:rPr>
          <w:snapToGrid w:val="0"/>
          <w:szCs w:val="20"/>
        </w:rPr>
        <w:t xml:space="preserve"> </w:t>
      </w:r>
      <w:r>
        <w:rPr>
          <w:snapToGrid w:val="0"/>
          <w:szCs w:val="20"/>
        </w:rPr>
        <w:t xml:space="preserve">Mali, včetně dalších států Sahelu, řadíme k prioritám současného a budoucího vojenského působení v rámci zahraničních operací a misí. </w:t>
      </w:r>
      <w:r w:rsidR="00926CFB">
        <w:rPr>
          <w:snapToGrid w:val="0"/>
          <w:szCs w:val="20"/>
        </w:rPr>
        <w:t xml:space="preserve">Tímto se však </w:t>
      </w:r>
      <w:r w:rsidR="0060587D">
        <w:rPr>
          <w:snapToGrid w:val="0"/>
          <w:szCs w:val="20"/>
        </w:rPr>
        <w:t>nevzdáváme</w:t>
      </w:r>
      <w:r w:rsidR="00926CFB">
        <w:rPr>
          <w:snapToGrid w:val="0"/>
          <w:szCs w:val="20"/>
        </w:rPr>
        <w:t xml:space="preserve"> možnost</w:t>
      </w:r>
      <w:r w:rsidR="0060587D">
        <w:rPr>
          <w:snapToGrid w:val="0"/>
          <w:szCs w:val="20"/>
        </w:rPr>
        <w:t>i</w:t>
      </w:r>
      <w:r w:rsidR="00926CFB">
        <w:rPr>
          <w:snapToGrid w:val="0"/>
          <w:szCs w:val="20"/>
        </w:rPr>
        <w:t xml:space="preserve"> </w:t>
      </w:r>
      <w:r w:rsidR="0060587D">
        <w:rPr>
          <w:snapToGrid w:val="0"/>
          <w:szCs w:val="20"/>
        </w:rPr>
        <w:t>vyslat</w:t>
      </w:r>
      <w:r w:rsidR="00926CFB">
        <w:rPr>
          <w:snapToGrid w:val="0"/>
          <w:szCs w:val="20"/>
        </w:rPr>
        <w:t xml:space="preserve"> naše vojáky i do jiných misí OSN, ideálně opět v součinnosti s</w:t>
      </w:r>
      <w:r w:rsidR="0060587D">
        <w:rPr>
          <w:snapToGrid w:val="0"/>
          <w:szCs w:val="20"/>
        </w:rPr>
        <w:t> evropskými partnery</w:t>
      </w:r>
      <w:r w:rsidR="00926CFB">
        <w:rPr>
          <w:snapToGrid w:val="0"/>
          <w:szCs w:val="20"/>
        </w:rPr>
        <w:t>. Vždy ale bude záležet na politické vůli, dostupnosti konkrétních schopností a podmínkách případného společného působení.</w:t>
      </w:r>
    </w:p>
    <w:p w:rsidR="00697927" w:rsidRDefault="00926CFB" w:rsidP="00DE134A">
      <w:pPr>
        <w:spacing w:before="120" w:line="276" w:lineRule="auto"/>
        <w:ind w:firstLine="709"/>
        <w:jc w:val="both"/>
        <w:rPr>
          <w:snapToGrid w:val="0"/>
          <w:szCs w:val="20"/>
        </w:rPr>
      </w:pPr>
      <w:r>
        <w:rPr>
          <w:snapToGrid w:val="0"/>
          <w:szCs w:val="20"/>
        </w:rPr>
        <w:t>Rezort MO</w:t>
      </w:r>
      <w:r w:rsidR="0060587D">
        <w:rPr>
          <w:snapToGrid w:val="0"/>
          <w:szCs w:val="20"/>
        </w:rPr>
        <w:t xml:space="preserve"> bude </w:t>
      </w:r>
      <w:r>
        <w:rPr>
          <w:snapToGrid w:val="0"/>
          <w:szCs w:val="20"/>
        </w:rPr>
        <w:t>dále usilovat o</w:t>
      </w:r>
      <w:r w:rsidR="00CF410D">
        <w:rPr>
          <w:snapToGrid w:val="0"/>
          <w:szCs w:val="20"/>
        </w:rPr>
        <w:t xml:space="preserve"> pozic</w:t>
      </w:r>
      <w:r>
        <w:rPr>
          <w:snapToGrid w:val="0"/>
          <w:szCs w:val="20"/>
        </w:rPr>
        <w:t>e</w:t>
      </w:r>
      <w:r w:rsidR="00CF410D">
        <w:rPr>
          <w:snapToGrid w:val="0"/>
          <w:szCs w:val="20"/>
        </w:rPr>
        <w:t xml:space="preserve"> </w:t>
      </w:r>
      <w:r w:rsidR="0060587D">
        <w:rPr>
          <w:snapToGrid w:val="0"/>
          <w:szCs w:val="20"/>
        </w:rPr>
        <w:t xml:space="preserve">jednotlivců </w:t>
      </w:r>
      <w:r w:rsidR="00CF410D">
        <w:rPr>
          <w:snapToGrid w:val="0"/>
          <w:szCs w:val="20"/>
        </w:rPr>
        <w:t xml:space="preserve">ve velitelských strukturách misí OSN s důrazem na misi MINUSMA v Mali a </w:t>
      </w:r>
      <w:r w:rsidR="00697927">
        <w:rPr>
          <w:snapToGrid w:val="0"/>
          <w:szCs w:val="20"/>
        </w:rPr>
        <w:t>aktivně přistupovat k</w:t>
      </w:r>
      <w:r w:rsidR="00CF410D">
        <w:rPr>
          <w:snapToGrid w:val="0"/>
          <w:szCs w:val="20"/>
        </w:rPr>
        <w:t> výběrovým řízením</w:t>
      </w:r>
      <w:r w:rsidR="00697927">
        <w:rPr>
          <w:snapToGrid w:val="0"/>
          <w:szCs w:val="20"/>
        </w:rPr>
        <w:t xml:space="preserve"> na doplňování vojenských expertů do ústředí OSN. </w:t>
      </w:r>
    </w:p>
    <w:p w:rsidR="00697927" w:rsidRDefault="00926CFB" w:rsidP="00DE134A">
      <w:pPr>
        <w:spacing w:before="120" w:line="276" w:lineRule="auto"/>
        <w:ind w:firstLine="709"/>
        <w:jc w:val="both"/>
        <w:rPr>
          <w:snapToGrid w:val="0"/>
          <w:color w:val="000000"/>
          <w:szCs w:val="20"/>
        </w:rPr>
      </w:pPr>
      <w:r>
        <w:rPr>
          <w:snapToGrid w:val="0"/>
          <w:color w:val="000000"/>
          <w:szCs w:val="20"/>
        </w:rPr>
        <w:t xml:space="preserve">Ve vztahu k vojenským pozorovatelům OSN se náš dosavadní přístup taktéž nemění. Snahou je navyšování jejich počtů s vyšším zastoupením žen, důslednější vyjednávání </w:t>
      </w:r>
      <w:r w:rsidR="005B5A9D">
        <w:rPr>
          <w:snapToGrid w:val="0"/>
          <w:color w:val="000000"/>
          <w:szCs w:val="20"/>
        </w:rPr>
        <w:t xml:space="preserve">s OSN </w:t>
      </w:r>
      <w:r w:rsidR="007023BB">
        <w:rPr>
          <w:snapToGrid w:val="0"/>
          <w:color w:val="000000"/>
          <w:szCs w:val="20"/>
        </w:rPr>
        <w:t>o </w:t>
      </w:r>
      <w:r w:rsidR="005B5A9D">
        <w:rPr>
          <w:snapToGrid w:val="0"/>
          <w:color w:val="000000"/>
          <w:szCs w:val="20"/>
        </w:rPr>
        <w:t xml:space="preserve">odpovídajících pozicích, </w:t>
      </w:r>
      <w:r w:rsidR="000D103B">
        <w:rPr>
          <w:snapToGrid w:val="0"/>
          <w:color w:val="000000"/>
          <w:szCs w:val="20"/>
        </w:rPr>
        <w:t>vyšší motivace</w:t>
      </w:r>
      <w:r w:rsidR="005B5A9D">
        <w:rPr>
          <w:snapToGrid w:val="0"/>
          <w:color w:val="000000"/>
          <w:szCs w:val="20"/>
        </w:rPr>
        <w:t xml:space="preserve"> žen </w:t>
      </w:r>
      <w:r w:rsidR="000D103B">
        <w:rPr>
          <w:snapToGrid w:val="0"/>
          <w:color w:val="000000"/>
          <w:szCs w:val="20"/>
        </w:rPr>
        <w:t>stát se vojenskými pozorovateli</w:t>
      </w:r>
      <w:r w:rsidR="0060587D">
        <w:rPr>
          <w:snapToGrid w:val="0"/>
          <w:color w:val="000000"/>
          <w:szCs w:val="20"/>
        </w:rPr>
        <w:t xml:space="preserve"> OSN a </w:t>
      </w:r>
      <w:r w:rsidR="000D103B">
        <w:rPr>
          <w:snapToGrid w:val="0"/>
          <w:color w:val="000000"/>
          <w:szCs w:val="20"/>
        </w:rPr>
        <w:t>zkvalitňování</w:t>
      </w:r>
      <w:r w:rsidR="005B5A9D">
        <w:rPr>
          <w:snapToGrid w:val="0"/>
          <w:color w:val="000000"/>
          <w:szCs w:val="20"/>
        </w:rPr>
        <w:t xml:space="preserve"> </w:t>
      </w:r>
      <w:r w:rsidR="007023BB">
        <w:rPr>
          <w:snapToGrid w:val="0"/>
          <w:color w:val="000000"/>
          <w:szCs w:val="20"/>
        </w:rPr>
        <w:t>odborné</w:t>
      </w:r>
      <w:r w:rsidR="005B5A9D">
        <w:rPr>
          <w:snapToGrid w:val="0"/>
          <w:color w:val="000000"/>
          <w:szCs w:val="20"/>
        </w:rPr>
        <w:t xml:space="preserve"> přípravy</w:t>
      </w:r>
      <w:r w:rsidR="007257BF">
        <w:rPr>
          <w:snapToGrid w:val="0"/>
          <w:color w:val="000000"/>
          <w:szCs w:val="20"/>
        </w:rPr>
        <w:t xml:space="preserve"> vojenských pozorovatelů</w:t>
      </w:r>
      <w:r w:rsidR="00697927" w:rsidRPr="005B5A9D">
        <w:rPr>
          <w:snapToGrid w:val="0"/>
          <w:color w:val="000000"/>
          <w:szCs w:val="20"/>
        </w:rPr>
        <w:t xml:space="preserve">. </w:t>
      </w:r>
    </w:p>
    <w:p w:rsidR="00697927" w:rsidRPr="00545F91" w:rsidRDefault="00697927" w:rsidP="000D23F4">
      <w:pPr>
        <w:spacing w:before="240" w:line="276" w:lineRule="auto"/>
        <w:jc w:val="both"/>
        <w:rPr>
          <w:b/>
          <w:snapToGrid w:val="0"/>
          <w:szCs w:val="20"/>
        </w:rPr>
      </w:pPr>
      <w:r w:rsidRPr="004564DC">
        <w:rPr>
          <w:b/>
          <w:snapToGrid w:val="0"/>
          <w:szCs w:val="20"/>
        </w:rPr>
        <w:t>Závěr</w:t>
      </w:r>
    </w:p>
    <w:p w:rsidR="003C46CF" w:rsidRDefault="00697927" w:rsidP="00DE134A">
      <w:pPr>
        <w:spacing w:before="120" w:line="276" w:lineRule="auto"/>
        <w:ind w:firstLine="709"/>
        <w:jc w:val="both"/>
        <w:rPr>
          <w:snapToGrid w:val="0"/>
          <w:color w:val="000000"/>
          <w:szCs w:val="20"/>
        </w:rPr>
      </w:pPr>
      <w:r w:rsidRPr="00697927">
        <w:rPr>
          <w:snapToGrid w:val="0"/>
          <w:color w:val="000000"/>
          <w:szCs w:val="20"/>
        </w:rPr>
        <w:t xml:space="preserve">V roce </w:t>
      </w:r>
      <w:r w:rsidR="007257BF">
        <w:rPr>
          <w:snapToGrid w:val="0"/>
          <w:color w:val="000000"/>
          <w:szCs w:val="20"/>
        </w:rPr>
        <w:t>2020</w:t>
      </w:r>
      <w:r w:rsidR="005B5A9D">
        <w:rPr>
          <w:snapToGrid w:val="0"/>
          <w:color w:val="000000"/>
          <w:szCs w:val="20"/>
        </w:rPr>
        <w:t xml:space="preserve"> pokračovali vybraní příslušníci rezortu MO v účasti na vzdělávacích</w:t>
      </w:r>
      <w:r w:rsidRPr="00697927">
        <w:rPr>
          <w:snapToGrid w:val="0"/>
          <w:color w:val="000000"/>
          <w:szCs w:val="20"/>
        </w:rPr>
        <w:t xml:space="preserve"> </w:t>
      </w:r>
      <w:r w:rsidR="005B5A9D">
        <w:rPr>
          <w:snapToGrid w:val="0"/>
          <w:color w:val="000000"/>
          <w:szCs w:val="20"/>
        </w:rPr>
        <w:t xml:space="preserve">aktivitách OSN. Podařilo se udržet </w:t>
      </w:r>
      <w:r w:rsidR="003C46CF">
        <w:rPr>
          <w:snapToGrid w:val="0"/>
          <w:color w:val="000000"/>
          <w:szCs w:val="20"/>
        </w:rPr>
        <w:t>současné pozice</w:t>
      </w:r>
      <w:r w:rsidR="00EF16A5">
        <w:rPr>
          <w:snapToGrid w:val="0"/>
          <w:color w:val="000000"/>
          <w:szCs w:val="20"/>
        </w:rPr>
        <w:t xml:space="preserve"> v misích OSN</w:t>
      </w:r>
      <w:r w:rsidR="007257BF">
        <w:rPr>
          <w:snapToGrid w:val="0"/>
          <w:color w:val="000000"/>
          <w:szCs w:val="20"/>
        </w:rPr>
        <w:t xml:space="preserve"> s výjimkou vojenských pozorovatelů v misi MINUSMA.</w:t>
      </w:r>
      <w:r w:rsidR="00EF16A5">
        <w:rPr>
          <w:snapToGrid w:val="0"/>
          <w:color w:val="000000"/>
          <w:szCs w:val="20"/>
        </w:rPr>
        <w:t xml:space="preserve"> </w:t>
      </w:r>
    </w:p>
    <w:p w:rsidR="00D45532" w:rsidRDefault="007257BF" w:rsidP="00DE134A">
      <w:pPr>
        <w:spacing w:before="120" w:line="276" w:lineRule="auto"/>
        <w:ind w:firstLine="709"/>
        <w:jc w:val="both"/>
        <w:rPr>
          <w:snapToGrid w:val="0"/>
          <w:color w:val="000000"/>
          <w:szCs w:val="20"/>
        </w:rPr>
      </w:pPr>
      <w:r>
        <w:rPr>
          <w:snapToGrid w:val="0"/>
          <w:color w:val="000000"/>
          <w:szCs w:val="20"/>
        </w:rPr>
        <w:lastRenderedPageBreak/>
        <w:t>Podobně jako v roce předchozím, r</w:t>
      </w:r>
      <w:r w:rsidR="00697927" w:rsidRPr="00697927">
        <w:rPr>
          <w:snapToGrid w:val="0"/>
          <w:color w:val="000000"/>
          <w:szCs w:val="20"/>
        </w:rPr>
        <w:t xml:space="preserve">ezort MO se </w:t>
      </w:r>
      <w:r>
        <w:rPr>
          <w:snapToGrid w:val="0"/>
          <w:color w:val="000000"/>
          <w:szCs w:val="20"/>
        </w:rPr>
        <w:t>potýkal i v roce 2020 s kapacitními omezeními. Ta neumožňují</w:t>
      </w:r>
      <w:r w:rsidR="00697927" w:rsidRPr="00697927">
        <w:rPr>
          <w:snapToGrid w:val="0"/>
          <w:color w:val="000000"/>
          <w:szCs w:val="20"/>
        </w:rPr>
        <w:t xml:space="preserve"> </w:t>
      </w:r>
      <w:r>
        <w:rPr>
          <w:snapToGrid w:val="0"/>
          <w:color w:val="000000"/>
          <w:szCs w:val="20"/>
        </w:rPr>
        <w:t>flexibilně</w:t>
      </w:r>
      <w:r w:rsidR="00697927" w:rsidRPr="00697927">
        <w:rPr>
          <w:snapToGrid w:val="0"/>
          <w:color w:val="000000"/>
          <w:szCs w:val="20"/>
        </w:rPr>
        <w:t xml:space="preserve"> reagovat na ad hoc nabídky ze strany OSN </w:t>
      </w:r>
      <w:r w:rsidR="003C46CF">
        <w:rPr>
          <w:snapToGrid w:val="0"/>
          <w:color w:val="000000"/>
          <w:szCs w:val="20"/>
        </w:rPr>
        <w:t xml:space="preserve">nebo na nabídky partnerských zemí zapojit se </w:t>
      </w:r>
      <w:r w:rsidR="00697927" w:rsidRPr="00697927">
        <w:rPr>
          <w:snapToGrid w:val="0"/>
          <w:color w:val="000000"/>
          <w:szCs w:val="20"/>
        </w:rPr>
        <w:t>vojenskou jednotkou</w:t>
      </w:r>
      <w:r w:rsidR="003C46CF">
        <w:rPr>
          <w:snapToGrid w:val="0"/>
          <w:color w:val="000000"/>
          <w:szCs w:val="20"/>
        </w:rPr>
        <w:t>, jako součásti jejich vojenských kontingentů</w:t>
      </w:r>
      <w:r w:rsidR="00697927" w:rsidRPr="00697927">
        <w:rPr>
          <w:snapToGrid w:val="0"/>
          <w:color w:val="000000"/>
          <w:szCs w:val="20"/>
        </w:rPr>
        <w:t xml:space="preserve"> do misí OSN. </w:t>
      </w:r>
      <w:r w:rsidR="00EF16A5">
        <w:rPr>
          <w:snapToGrid w:val="0"/>
          <w:color w:val="000000"/>
          <w:szCs w:val="20"/>
        </w:rPr>
        <w:t>Do doby</w:t>
      </w:r>
      <w:r w:rsidR="0032371E">
        <w:rPr>
          <w:snapToGrid w:val="0"/>
          <w:color w:val="000000"/>
          <w:szCs w:val="20"/>
        </w:rPr>
        <w:t>,</w:t>
      </w:r>
      <w:r w:rsidR="007023BB">
        <w:rPr>
          <w:snapToGrid w:val="0"/>
          <w:color w:val="000000"/>
          <w:szCs w:val="20"/>
        </w:rPr>
        <w:t xml:space="preserve"> než bude</w:t>
      </w:r>
      <w:r w:rsidR="00EF16A5">
        <w:rPr>
          <w:snapToGrid w:val="0"/>
          <w:color w:val="000000"/>
          <w:szCs w:val="20"/>
        </w:rPr>
        <w:t xml:space="preserve"> rezort MO </w:t>
      </w:r>
      <w:r w:rsidR="00441084">
        <w:rPr>
          <w:snapToGrid w:val="0"/>
          <w:color w:val="000000"/>
          <w:szCs w:val="20"/>
        </w:rPr>
        <w:t>schopen nabídnout připravenou a </w:t>
      </w:r>
      <w:r w:rsidR="00EF16A5">
        <w:rPr>
          <w:snapToGrid w:val="0"/>
          <w:color w:val="000000"/>
          <w:szCs w:val="20"/>
        </w:rPr>
        <w:t xml:space="preserve">materiálně vybavenou organickou </w:t>
      </w:r>
      <w:r w:rsidR="00F456B8">
        <w:rPr>
          <w:snapToGrid w:val="0"/>
          <w:color w:val="000000"/>
          <w:szCs w:val="20"/>
        </w:rPr>
        <w:t xml:space="preserve">vojenskou </w:t>
      </w:r>
      <w:r w:rsidR="00EF16A5">
        <w:rPr>
          <w:snapToGrid w:val="0"/>
          <w:color w:val="000000"/>
          <w:szCs w:val="20"/>
        </w:rPr>
        <w:t xml:space="preserve">jednotku </w:t>
      </w:r>
      <w:r w:rsidR="007023BB">
        <w:rPr>
          <w:snapToGrid w:val="0"/>
          <w:color w:val="000000"/>
          <w:szCs w:val="20"/>
        </w:rPr>
        <w:t xml:space="preserve">podle standardů OSN </w:t>
      </w:r>
      <w:r w:rsidR="00F456B8">
        <w:rPr>
          <w:snapToGrid w:val="0"/>
          <w:color w:val="000000"/>
          <w:szCs w:val="20"/>
        </w:rPr>
        <w:t xml:space="preserve">a </w:t>
      </w:r>
      <w:r w:rsidR="00EF16A5">
        <w:rPr>
          <w:snapToGrid w:val="0"/>
          <w:color w:val="000000"/>
          <w:szCs w:val="20"/>
        </w:rPr>
        <w:t xml:space="preserve">s možností </w:t>
      </w:r>
      <w:r w:rsidR="007023BB">
        <w:rPr>
          <w:snapToGrid w:val="0"/>
          <w:color w:val="000000"/>
          <w:szCs w:val="20"/>
        </w:rPr>
        <w:t xml:space="preserve">jejího </w:t>
      </w:r>
      <w:r w:rsidR="00EF16A5">
        <w:rPr>
          <w:snapToGrid w:val="0"/>
          <w:color w:val="000000"/>
          <w:szCs w:val="20"/>
        </w:rPr>
        <w:t xml:space="preserve">dlouhodobějšího udržení </w:t>
      </w:r>
      <w:r w:rsidR="007023BB">
        <w:rPr>
          <w:snapToGrid w:val="0"/>
          <w:color w:val="000000"/>
          <w:szCs w:val="20"/>
        </w:rPr>
        <w:t xml:space="preserve">v misi, bude hledat </w:t>
      </w:r>
      <w:r w:rsidR="00F456B8">
        <w:rPr>
          <w:snapToGrid w:val="0"/>
          <w:color w:val="000000"/>
          <w:szCs w:val="20"/>
        </w:rPr>
        <w:t>příležitosti</w:t>
      </w:r>
      <w:r w:rsidR="007023BB">
        <w:rPr>
          <w:snapToGrid w:val="0"/>
          <w:color w:val="000000"/>
          <w:szCs w:val="20"/>
        </w:rPr>
        <w:t xml:space="preserve"> k uplatnění malých odborných týmů s omezenou dobou působení v sestavách vojenských kontingentů </w:t>
      </w:r>
      <w:r w:rsidR="00F456B8">
        <w:rPr>
          <w:snapToGrid w:val="0"/>
          <w:color w:val="000000"/>
          <w:szCs w:val="20"/>
        </w:rPr>
        <w:t>partnerských</w:t>
      </w:r>
      <w:r w:rsidR="007023BB">
        <w:rPr>
          <w:snapToGrid w:val="0"/>
          <w:color w:val="000000"/>
          <w:szCs w:val="20"/>
        </w:rPr>
        <w:t xml:space="preserve"> evropských zemí.</w:t>
      </w:r>
    </w:p>
    <w:p w:rsidR="0069622D" w:rsidRDefault="0069622D" w:rsidP="0069622D">
      <w:pPr>
        <w:spacing w:after="120" w:line="288" w:lineRule="auto"/>
        <w:ind w:firstLine="708"/>
        <w:jc w:val="both"/>
        <w:rPr>
          <w:snapToGrid w:val="0"/>
          <w:szCs w:val="20"/>
        </w:rPr>
      </w:pPr>
    </w:p>
    <w:p w:rsidR="0069622D" w:rsidRPr="00432E5B" w:rsidRDefault="0069622D" w:rsidP="0069622D">
      <w:pPr>
        <w:spacing w:after="120" w:line="288" w:lineRule="auto"/>
        <w:ind w:firstLine="708"/>
        <w:jc w:val="both"/>
        <w:rPr>
          <w:snapToGrid w:val="0"/>
          <w:szCs w:val="20"/>
        </w:rPr>
      </w:pPr>
      <w:r w:rsidRPr="00432E5B">
        <w:rPr>
          <w:snapToGrid w:val="0"/>
          <w:szCs w:val="20"/>
        </w:rPr>
        <w:t>Vláda vzala Informaci o nasazení sil a prostředků rezortu Ministerstva obrany v zahraničních operacích v  roce 20</w:t>
      </w:r>
      <w:r>
        <w:rPr>
          <w:snapToGrid w:val="0"/>
          <w:szCs w:val="20"/>
        </w:rPr>
        <w:t>20</w:t>
      </w:r>
      <w:r w:rsidRPr="00432E5B">
        <w:rPr>
          <w:snapToGrid w:val="0"/>
          <w:szCs w:val="20"/>
        </w:rPr>
        <w:t xml:space="preserve"> na vědomí </w:t>
      </w:r>
      <w:r>
        <w:rPr>
          <w:snapToGrid w:val="0"/>
          <w:szCs w:val="20"/>
        </w:rPr>
        <w:t xml:space="preserve">svým usnesením ze dne </w:t>
      </w:r>
      <w:r w:rsidR="002C5D27">
        <w:rPr>
          <w:snapToGrid w:val="0"/>
          <w:szCs w:val="20"/>
        </w:rPr>
        <w:t xml:space="preserve">24. května 2021 </w:t>
      </w:r>
      <w:r w:rsidRPr="00432E5B">
        <w:rPr>
          <w:snapToGrid w:val="0"/>
          <w:szCs w:val="20"/>
        </w:rPr>
        <w:t>č. </w:t>
      </w:r>
      <w:r w:rsidR="002C5D27">
        <w:rPr>
          <w:snapToGrid w:val="0"/>
          <w:szCs w:val="20"/>
        </w:rPr>
        <w:t>478</w:t>
      </w:r>
      <w:r w:rsidRPr="00432E5B">
        <w:rPr>
          <w:snapToGrid w:val="0"/>
          <w:szCs w:val="20"/>
        </w:rPr>
        <w:t xml:space="preserve">. </w:t>
      </w:r>
    </w:p>
    <w:p w:rsidR="0069622D" w:rsidRDefault="0069622D" w:rsidP="0069622D">
      <w:pPr>
        <w:spacing w:after="120" w:line="288" w:lineRule="auto"/>
        <w:jc w:val="center"/>
        <w:rPr>
          <w:snapToGrid w:val="0"/>
          <w:szCs w:val="20"/>
        </w:rPr>
      </w:pPr>
    </w:p>
    <w:p w:rsidR="00A810CA" w:rsidRDefault="00A810CA" w:rsidP="0069622D">
      <w:pPr>
        <w:spacing w:after="120" w:line="288" w:lineRule="auto"/>
        <w:jc w:val="center"/>
        <w:rPr>
          <w:snapToGrid w:val="0"/>
          <w:szCs w:val="20"/>
        </w:rPr>
      </w:pPr>
    </w:p>
    <w:p w:rsidR="0069622D" w:rsidRPr="00432E5B" w:rsidRDefault="0069622D" w:rsidP="00C625A3">
      <w:pPr>
        <w:spacing w:after="360" w:line="288" w:lineRule="auto"/>
        <w:jc w:val="center"/>
        <w:rPr>
          <w:snapToGrid w:val="0"/>
          <w:szCs w:val="20"/>
        </w:rPr>
      </w:pPr>
      <w:r w:rsidRPr="00432E5B">
        <w:rPr>
          <w:snapToGrid w:val="0"/>
          <w:szCs w:val="20"/>
        </w:rPr>
        <w:t xml:space="preserve">V Praze dne </w:t>
      </w:r>
      <w:r w:rsidR="00C625A3">
        <w:rPr>
          <w:snapToGrid w:val="0"/>
          <w:szCs w:val="20"/>
        </w:rPr>
        <w:t>24</w:t>
      </w:r>
      <w:r w:rsidR="00A810CA">
        <w:rPr>
          <w:snapToGrid w:val="0"/>
          <w:szCs w:val="20"/>
        </w:rPr>
        <w:t xml:space="preserve">. května </w:t>
      </w:r>
      <w:r w:rsidRPr="00432E5B">
        <w:rPr>
          <w:snapToGrid w:val="0"/>
          <w:szCs w:val="20"/>
        </w:rPr>
        <w:t>20</w:t>
      </w:r>
      <w:r>
        <w:rPr>
          <w:snapToGrid w:val="0"/>
          <w:szCs w:val="20"/>
        </w:rPr>
        <w:t>21</w:t>
      </w:r>
    </w:p>
    <w:p w:rsidR="0069622D" w:rsidRDefault="0069622D" w:rsidP="00A810CA">
      <w:pPr>
        <w:spacing w:before="120" w:line="276" w:lineRule="auto"/>
        <w:jc w:val="center"/>
        <w:rPr>
          <w:snapToGrid w:val="0"/>
          <w:szCs w:val="20"/>
        </w:rPr>
      </w:pPr>
      <w:r w:rsidRPr="00432E5B">
        <w:rPr>
          <w:snapToGrid w:val="0"/>
          <w:szCs w:val="20"/>
        </w:rPr>
        <w:t>Předseda vlády</w:t>
      </w:r>
      <w:r w:rsidR="00C625A3">
        <w:rPr>
          <w:snapToGrid w:val="0"/>
          <w:szCs w:val="20"/>
        </w:rPr>
        <w:t>:</w:t>
      </w:r>
    </w:p>
    <w:p w:rsidR="008D07CF" w:rsidRPr="009D38DB" w:rsidRDefault="008D07CF" w:rsidP="00A810CA">
      <w:pPr>
        <w:spacing w:before="120" w:line="276" w:lineRule="auto"/>
        <w:jc w:val="center"/>
        <w:rPr>
          <w:snapToGrid w:val="0"/>
          <w:color w:val="000000"/>
          <w:szCs w:val="20"/>
        </w:rPr>
      </w:pPr>
      <w:r>
        <w:rPr>
          <w:snapToGrid w:val="0"/>
          <w:szCs w:val="20"/>
        </w:rPr>
        <w:t xml:space="preserve">Ing. Andrej </w:t>
      </w:r>
      <w:proofErr w:type="spellStart"/>
      <w:r>
        <w:rPr>
          <w:snapToGrid w:val="0"/>
          <w:szCs w:val="20"/>
        </w:rPr>
        <w:t>Babiš</w:t>
      </w:r>
      <w:proofErr w:type="spellEnd"/>
      <w:r>
        <w:rPr>
          <w:snapToGrid w:val="0"/>
          <w:szCs w:val="20"/>
        </w:rPr>
        <w:t xml:space="preserve"> v.</w:t>
      </w:r>
      <w:bookmarkStart w:id="1" w:name="_GoBack"/>
      <w:bookmarkEnd w:id="1"/>
      <w:r>
        <w:rPr>
          <w:snapToGrid w:val="0"/>
          <w:szCs w:val="20"/>
        </w:rPr>
        <w:t> r.</w:t>
      </w:r>
    </w:p>
    <w:p w:rsidR="0069622D" w:rsidRPr="009D38DB" w:rsidRDefault="0069622D" w:rsidP="00DE134A">
      <w:pPr>
        <w:spacing w:before="120" w:line="276" w:lineRule="auto"/>
        <w:ind w:firstLine="709"/>
        <w:jc w:val="both"/>
        <w:rPr>
          <w:snapToGrid w:val="0"/>
          <w:color w:val="000000"/>
          <w:szCs w:val="20"/>
        </w:rPr>
      </w:pPr>
    </w:p>
    <w:sectPr w:rsidR="0069622D" w:rsidRPr="009D38DB" w:rsidSect="004153CA">
      <w:footerReference w:type="even" r:id="rId8"/>
      <w:footerReference w:type="default" r:id="rId9"/>
      <w:footerReference w:type="first" r:id="rId10"/>
      <w:pgSz w:w="11906" w:h="16838"/>
      <w:pgMar w:top="1258" w:right="1418" w:bottom="899" w:left="1418" w:header="709" w:footer="69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762" w:rsidRDefault="00511762">
      <w:r>
        <w:separator/>
      </w:r>
    </w:p>
  </w:endnote>
  <w:endnote w:type="continuationSeparator" w:id="0">
    <w:p w:rsidR="00511762" w:rsidRDefault="00511762">
      <w:r>
        <w:continuationSeparator/>
      </w:r>
    </w:p>
  </w:endnote>
  <w:endnote w:type="continuationNotice" w:id="1">
    <w:p w:rsidR="00511762" w:rsidRDefault="005117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F92" w:rsidRDefault="00094F9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rsidR="00094F92" w:rsidRDefault="00094F92">
    <w:pPr>
      <w:pStyle w:val="Zpat"/>
    </w:pPr>
  </w:p>
  <w:p w:rsidR="00094F92" w:rsidRDefault="00094F9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F92" w:rsidRDefault="00094F92" w:rsidP="004C411B">
    <w:pPr>
      <w:pStyle w:val="Zpat"/>
      <w:framePr w:wrap="around" w:vAnchor="text" w:hAnchor="margin" w:xAlign="center" w:y="1"/>
      <w:jc w:val="center"/>
    </w:pPr>
    <w:r>
      <w:fldChar w:fldCharType="begin"/>
    </w:r>
    <w:r>
      <w:instrText>PAGE   \* MERGEFORMAT</w:instrText>
    </w:r>
    <w:r>
      <w:fldChar w:fldCharType="separate"/>
    </w:r>
    <w:r w:rsidR="008D07CF">
      <w:rPr>
        <w:noProof/>
      </w:rPr>
      <w:t>20</w:t>
    </w:r>
    <w:r>
      <w:fldChar w:fldCharType="end"/>
    </w:r>
    <w:r>
      <w:t xml:space="preserve"> </w:t>
    </w:r>
  </w:p>
  <w:p w:rsidR="00094F92" w:rsidRDefault="00094F9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F92" w:rsidRDefault="00094F92">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762" w:rsidRDefault="00511762">
      <w:r>
        <w:separator/>
      </w:r>
    </w:p>
  </w:footnote>
  <w:footnote w:type="continuationSeparator" w:id="0">
    <w:p w:rsidR="00511762" w:rsidRDefault="00511762">
      <w:r>
        <w:continuationSeparator/>
      </w:r>
    </w:p>
  </w:footnote>
  <w:footnote w:type="continuationNotice" w:id="1">
    <w:p w:rsidR="00511762" w:rsidRDefault="00511762"/>
  </w:footnote>
  <w:footnote w:id="2">
    <w:p w:rsidR="00070374" w:rsidRDefault="00070374" w:rsidP="00070374">
      <w:pPr>
        <w:pStyle w:val="Textpoznpodarou"/>
      </w:pPr>
      <w:r>
        <w:rPr>
          <w:rStyle w:val="Znakapoznpodarou"/>
        </w:rPr>
        <w:footnoteRef/>
      </w:r>
      <w:r w:rsidR="004155C7" w:rsidRPr="00D861F3">
        <w:rPr>
          <w:vertAlign w:val="superscript"/>
        </w:rPr>
        <w:t>)</w:t>
      </w:r>
      <w:r>
        <w:t xml:space="preserve"> Bližší informace k finančním nákladům jsou uvedeny v bodu Q.</w:t>
      </w:r>
    </w:p>
  </w:footnote>
  <w:footnote w:id="3">
    <w:p w:rsidR="00731DAC" w:rsidRPr="008E4CA2" w:rsidRDefault="00731DAC" w:rsidP="00982290">
      <w:pPr>
        <w:pStyle w:val="Zkladntext"/>
        <w:tabs>
          <w:tab w:val="left" w:pos="1617"/>
        </w:tabs>
        <w:spacing w:line="288" w:lineRule="auto"/>
        <w:rPr>
          <w:sz w:val="18"/>
          <w:szCs w:val="18"/>
          <w:lang w:val="cs-CZ"/>
        </w:rPr>
      </w:pPr>
      <w:r>
        <w:rPr>
          <w:rStyle w:val="Znakapoznpodarou"/>
        </w:rPr>
        <w:footnoteRef/>
      </w:r>
      <w:r w:rsidR="004155C7" w:rsidRPr="00F87897">
        <w:rPr>
          <w:vertAlign w:val="superscript"/>
          <w:lang w:val="cs-CZ"/>
        </w:rPr>
        <w:t>)</w:t>
      </w:r>
      <w:r>
        <w:t xml:space="preserve"> </w:t>
      </w:r>
      <w:r>
        <w:rPr>
          <w:sz w:val="20"/>
        </w:rPr>
        <w:t>Jednalo</w:t>
      </w:r>
      <w:r w:rsidRPr="009E6301">
        <w:rPr>
          <w:sz w:val="20"/>
        </w:rPr>
        <w:t xml:space="preserve"> se o výdaje v rámci výstavby</w:t>
      </w:r>
      <w:r w:rsidR="00E61FE1">
        <w:rPr>
          <w:sz w:val="20"/>
          <w:lang w:val="cs-CZ"/>
        </w:rPr>
        <w:t xml:space="preserve"> a</w:t>
      </w:r>
      <w:r w:rsidRPr="009E6301">
        <w:rPr>
          <w:sz w:val="20"/>
        </w:rPr>
        <w:t xml:space="preserve"> výcviku jednotek a </w:t>
      </w:r>
      <w:r>
        <w:rPr>
          <w:sz w:val="20"/>
          <w:lang w:val="cs-CZ"/>
        </w:rPr>
        <w:t xml:space="preserve">jednotlivců, </w:t>
      </w:r>
      <w:r w:rsidRPr="009E6301">
        <w:rPr>
          <w:sz w:val="20"/>
        </w:rPr>
        <w:t xml:space="preserve">národních aktivací pro působení v zahraničních operacích, včetně sil a prostředků vyčleněných do pohotovostních </w:t>
      </w:r>
      <w:r>
        <w:rPr>
          <w:sz w:val="20"/>
        </w:rPr>
        <w:t>systémů NATO a EU</w:t>
      </w:r>
      <w:r>
        <w:rPr>
          <w:sz w:val="20"/>
          <w:lang w:val="cs-CZ"/>
        </w:rPr>
        <w:t>.</w:t>
      </w:r>
    </w:p>
    <w:p w:rsidR="00731DAC" w:rsidRDefault="00731DAC" w:rsidP="00982290">
      <w:pPr>
        <w:pStyle w:val="Textpoznpodarou"/>
      </w:pPr>
    </w:p>
  </w:footnote>
  <w:footnote w:id="4">
    <w:p w:rsidR="00094F92" w:rsidRDefault="00094F92" w:rsidP="0097516B">
      <w:pPr>
        <w:spacing w:after="120" w:line="288" w:lineRule="auto"/>
        <w:jc w:val="both"/>
        <w:rPr>
          <w:i/>
          <w:snapToGrid w:val="0"/>
          <w:sz w:val="18"/>
          <w:szCs w:val="18"/>
        </w:rPr>
      </w:pPr>
      <w:r>
        <w:rPr>
          <w:rStyle w:val="Znakapoznpodarou"/>
          <w:sz w:val="18"/>
          <w:szCs w:val="18"/>
        </w:rPr>
        <w:footnoteRef/>
      </w:r>
      <w:r w:rsidR="00D23C64" w:rsidRPr="00F87897">
        <w:rPr>
          <w:sz w:val="18"/>
          <w:szCs w:val="18"/>
          <w:vertAlign w:val="superscript"/>
        </w:rPr>
        <w:t>)</w:t>
      </w:r>
      <w:r>
        <w:rPr>
          <w:sz w:val="18"/>
          <w:szCs w:val="18"/>
        </w:rPr>
        <w:t xml:space="preserve"> </w:t>
      </w:r>
      <w:r w:rsidRPr="00F126B9">
        <w:rPr>
          <w:snapToGrid w:val="0"/>
          <w:sz w:val="18"/>
          <w:szCs w:val="18"/>
        </w:rPr>
        <w:t>Ucelené informace k misím MINUSMA a UNDOF jsou uvedeny v bodech C a E předkládaného materiálu.</w:t>
      </w:r>
    </w:p>
    <w:p w:rsidR="00094F92" w:rsidRDefault="00094F92">
      <w:pPr>
        <w:pStyle w:val="Textpoznpodarou"/>
      </w:pPr>
    </w:p>
  </w:footnote>
  <w:footnote w:id="5">
    <w:p w:rsidR="00094F92" w:rsidRPr="003274DB" w:rsidRDefault="00094F92" w:rsidP="003274DB">
      <w:pPr>
        <w:pStyle w:val="Textpoznpodarou"/>
      </w:pPr>
      <w:r w:rsidRPr="003274DB">
        <w:rPr>
          <w:rStyle w:val="Znakapoznpodarou"/>
        </w:rPr>
        <w:footnoteRef/>
      </w:r>
      <w:r w:rsidR="00D23C64" w:rsidRPr="00F87897">
        <w:rPr>
          <w:vertAlign w:val="superscript"/>
        </w:rPr>
        <w:t>)</w:t>
      </w:r>
      <w:r w:rsidRPr="003274DB">
        <w:t xml:space="preserve"> Rozpracována v Systémovém rámci pro zapojování sil a prostředků rezortu MO do misí OSN (čj. MO 162991/2017-3691, 15. září 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44C4F"/>
    <w:multiLevelType w:val="hybridMultilevel"/>
    <w:tmpl w:val="74D2103A"/>
    <w:lvl w:ilvl="0" w:tplc="072217AE">
      <w:start w:val="1"/>
      <w:numFmt w:val="bullet"/>
      <w:lvlText w:val="•"/>
      <w:lvlJc w:val="left"/>
      <w:pPr>
        <w:tabs>
          <w:tab w:val="num" w:pos="720"/>
        </w:tabs>
        <w:ind w:left="720" w:hanging="360"/>
      </w:pPr>
      <w:rPr>
        <w:rFonts w:ascii="Arial" w:hAnsi="Arial" w:cs="Times New Roman" w:hint="default"/>
      </w:rPr>
    </w:lvl>
    <w:lvl w:ilvl="1" w:tplc="CCA8D78C">
      <w:start w:val="1"/>
      <w:numFmt w:val="bullet"/>
      <w:lvlText w:val="•"/>
      <w:lvlJc w:val="left"/>
      <w:pPr>
        <w:tabs>
          <w:tab w:val="num" w:pos="1440"/>
        </w:tabs>
        <w:ind w:left="1440" w:hanging="360"/>
      </w:pPr>
      <w:rPr>
        <w:rFonts w:ascii="Arial" w:hAnsi="Arial" w:cs="Times New Roman" w:hint="default"/>
      </w:rPr>
    </w:lvl>
    <w:lvl w:ilvl="2" w:tplc="A8B6DF4E">
      <w:start w:val="1"/>
      <w:numFmt w:val="bullet"/>
      <w:lvlText w:val="•"/>
      <w:lvlJc w:val="left"/>
      <w:pPr>
        <w:tabs>
          <w:tab w:val="num" w:pos="2160"/>
        </w:tabs>
        <w:ind w:left="2160" w:hanging="360"/>
      </w:pPr>
      <w:rPr>
        <w:rFonts w:ascii="Arial" w:hAnsi="Arial" w:cs="Times New Roman" w:hint="default"/>
      </w:rPr>
    </w:lvl>
    <w:lvl w:ilvl="3" w:tplc="30327BD8">
      <w:start w:val="1"/>
      <w:numFmt w:val="bullet"/>
      <w:lvlText w:val="•"/>
      <w:lvlJc w:val="left"/>
      <w:pPr>
        <w:tabs>
          <w:tab w:val="num" w:pos="2880"/>
        </w:tabs>
        <w:ind w:left="2880" w:hanging="360"/>
      </w:pPr>
      <w:rPr>
        <w:rFonts w:ascii="Arial" w:hAnsi="Arial" w:cs="Times New Roman" w:hint="default"/>
      </w:rPr>
    </w:lvl>
    <w:lvl w:ilvl="4" w:tplc="B1209ABC">
      <w:start w:val="1"/>
      <w:numFmt w:val="bullet"/>
      <w:lvlText w:val="•"/>
      <w:lvlJc w:val="left"/>
      <w:pPr>
        <w:tabs>
          <w:tab w:val="num" w:pos="3600"/>
        </w:tabs>
        <w:ind w:left="3600" w:hanging="360"/>
      </w:pPr>
      <w:rPr>
        <w:rFonts w:ascii="Arial" w:hAnsi="Arial" w:cs="Times New Roman" w:hint="default"/>
      </w:rPr>
    </w:lvl>
    <w:lvl w:ilvl="5" w:tplc="AC48E9C2">
      <w:start w:val="1"/>
      <w:numFmt w:val="bullet"/>
      <w:lvlText w:val="•"/>
      <w:lvlJc w:val="left"/>
      <w:pPr>
        <w:tabs>
          <w:tab w:val="num" w:pos="4320"/>
        </w:tabs>
        <w:ind w:left="4320" w:hanging="360"/>
      </w:pPr>
      <w:rPr>
        <w:rFonts w:ascii="Arial" w:hAnsi="Arial" w:cs="Times New Roman" w:hint="default"/>
      </w:rPr>
    </w:lvl>
    <w:lvl w:ilvl="6" w:tplc="3E606B4C">
      <w:start w:val="1"/>
      <w:numFmt w:val="bullet"/>
      <w:lvlText w:val="•"/>
      <w:lvlJc w:val="left"/>
      <w:pPr>
        <w:tabs>
          <w:tab w:val="num" w:pos="5040"/>
        </w:tabs>
        <w:ind w:left="5040" w:hanging="360"/>
      </w:pPr>
      <w:rPr>
        <w:rFonts w:ascii="Arial" w:hAnsi="Arial" w:cs="Times New Roman" w:hint="default"/>
      </w:rPr>
    </w:lvl>
    <w:lvl w:ilvl="7" w:tplc="C786E986">
      <w:start w:val="1"/>
      <w:numFmt w:val="bullet"/>
      <w:lvlText w:val="•"/>
      <w:lvlJc w:val="left"/>
      <w:pPr>
        <w:tabs>
          <w:tab w:val="num" w:pos="5760"/>
        </w:tabs>
        <w:ind w:left="5760" w:hanging="360"/>
      </w:pPr>
      <w:rPr>
        <w:rFonts w:ascii="Arial" w:hAnsi="Arial" w:cs="Times New Roman" w:hint="default"/>
      </w:rPr>
    </w:lvl>
    <w:lvl w:ilvl="8" w:tplc="3D823420">
      <w:start w:val="1"/>
      <w:numFmt w:val="bullet"/>
      <w:lvlText w:val="•"/>
      <w:lvlJc w:val="left"/>
      <w:pPr>
        <w:tabs>
          <w:tab w:val="num" w:pos="6480"/>
        </w:tabs>
        <w:ind w:left="6480" w:hanging="360"/>
      </w:pPr>
      <w:rPr>
        <w:rFonts w:ascii="Arial" w:hAnsi="Arial" w:cs="Times New Roman" w:hint="default"/>
      </w:rPr>
    </w:lvl>
  </w:abstractNum>
  <w:abstractNum w:abstractNumId="1" w15:restartNumberingAfterBreak="0">
    <w:nsid w:val="096C30E4"/>
    <w:multiLevelType w:val="multilevel"/>
    <w:tmpl w:val="B2CCE75A"/>
    <w:lvl w:ilvl="0">
      <w:start w:val="1"/>
      <w:numFmt w:val="upperLetter"/>
      <w:lvlText w:val="%1."/>
      <w:lvlJc w:val="left"/>
      <w:pPr>
        <w:tabs>
          <w:tab w:val="num" w:pos="432"/>
        </w:tabs>
        <w:ind w:left="432" w:hanging="432"/>
      </w:pPr>
      <w:rPr>
        <w:rFonts w:hint="default"/>
      </w:rPr>
    </w:lvl>
    <w:lvl w:ilvl="1">
      <w:start w:val="1"/>
      <w:numFmt w:val="decimal"/>
      <w:lvlText w:val="%2."/>
      <w:lvlJc w:val="left"/>
      <w:pPr>
        <w:tabs>
          <w:tab w:val="num" w:pos="757"/>
        </w:tabs>
        <w:ind w:left="737" w:hanging="340"/>
      </w:pPr>
      <w:rPr>
        <w:rFonts w:hint="default"/>
      </w:rPr>
    </w:lvl>
    <w:lvl w:ilvl="2">
      <w:start w:val="1"/>
      <w:numFmt w:val="ordinal"/>
      <w:lvlText w:val="%3"/>
      <w:lvlJc w:val="left"/>
      <w:pPr>
        <w:tabs>
          <w:tab w:val="num" w:pos="1514"/>
        </w:tabs>
        <w:ind w:left="1134" w:hanging="34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9DD12BE"/>
    <w:multiLevelType w:val="hybridMultilevel"/>
    <w:tmpl w:val="6DD4C5A6"/>
    <w:lvl w:ilvl="0" w:tplc="04050015">
      <w:start w:val="1"/>
      <w:numFmt w:val="upp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A2B345E"/>
    <w:multiLevelType w:val="hybridMultilevel"/>
    <w:tmpl w:val="2670E7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B171F9"/>
    <w:multiLevelType w:val="multilevel"/>
    <w:tmpl w:val="A7E0CC4C"/>
    <w:lvl w:ilvl="0">
      <w:start w:val="1"/>
      <w:numFmt w:val="decimal"/>
      <w:lvlText w:val="%1."/>
      <w:lvlJc w:val="left"/>
      <w:pPr>
        <w:ind w:left="792" w:hanging="360"/>
      </w:pPr>
      <w:rPr>
        <w:rFonts w:hint="default"/>
      </w:rPr>
    </w:lvl>
    <w:lvl w:ilvl="1">
      <w:start w:val="1"/>
      <w:numFmt w:val="decimal"/>
      <w:lvlText w:val="2.%2."/>
      <w:lvlJc w:val="left"/>
      <w:pPr>
        <w:ind w:left="1224" w:hanging="432"/>
      </w:pPr>
      <w:rPr>
        <w:rFonts w:hint="default"/>
      </w:rPr>
    </w:lvl>
    <w:lvl w:ilvl="2">
      <w:start w:val="1"/>
      <w:numFmt w:val="decimal"/>
      <w:lvlText w:val="%1.%2.%3."/>
      <w:lvlJc w:val="left"/>
      <w:pPr>
        <w:ind w:left="1656" w:hanging="504"/>
      </w:pPr>
      <w:rPr>
        <w:rFonts w:hint="default"/>
      </w:rPr>
    </w:lvl>
    <w:lvl w:ilvl="3">
      <w:start w:val="1"/>
      <w:numFmt w:val="decimal"/>
      <w:lvlText w:val="%1.%2.%3.%4."/>
      <w:lvlJc w:val="left"/>
      <w:pPr>
        <w:ind w:left="2160" w:hanging="648"/>
      </w:pPr>
      <w:rPr>
        <w:rFonts w:hint="default"/>
      </w:rPr>
    </w:lvl>
    <w:lvl w:ilvl="4">
      <w:start w:val="1"/>
      <w:numFmt w:val="decimal"/>
      <w:lvlText w:val="%1.%2.%3.%4.%5."/>
      <w:lvlJc w:val="left"/>
      <w:pPr>
        <w:ind w:left="2664" w:hanging="792"/>
      </w:pPr>
      <w:rPr>
        <w:rFonts w:hint="default"/>
      </w:rPr>
    </w:lvl>
    <w:lvl w:ilvl="5">
      <w:start w:val="1"/>
      <w:numFmt w:val="decimal"/>
      <w:lvlText w:val="%1.%2.%3.%4.%5.%6."/>
      <w:lvlJc w:val="left"/>
      <w:pPr>
        <w:ind w:left="3168" w:hanging="936"/>
      </w:pPr>
      <w:rPr>
        <w:rFonts w:hint="default"/>
      </w:rPr>
    </w:lvl>
    <w:lvl w:ilvl="6">
      <w:start w:val="1"/>
      <w:numFmt w:val="decimal"/>
      <w:lvlText w:val="%1.%2.%3.%4.%5.%6.%7."/>
      <w:lvlJc w:val="left"/>
      <w:pPr>
        <w:ind w:left="3672" w:hanging="1080"/>
      </w:pPr>
      <w:rPr>
        <w:rFonts w:hint="default"/>
      </w:rPr>
    </w:lvl>
    <w:lvl w:ilvl="7">
      <w:start w:val="1"/>
      <w:numFmt w:val="decimal"/>
      <w:lvlText w:val="%1.%2.%3.%4.%5.%6.%7.%8."/>
      <w:lvlJc w:val="left"/>
      <w:pPr>
        <w:ind w:left="4176" w:hanging="1224"/>
      </w:pPr>
      <w:rPr>
        <w:rFonts w:hint="default"/>
      </w:rPr>
    </w:lvl>
    <w:lvl w:ilvl="8">
      <w:start w:val="1"/>
      <w:numFmt w:val="decimal"/>
      <w:lvlText w:val="%1.%2.%3.%4.%5.%6.%7.%8.%9."/>
      <w:lvlJc w:val="left"/>
      <w:pPr>
        <w:ind w:left="4752" w:hanging="1440"/>
      </w:pPr>
      <w:rPr>
        <w:rFonts w:hint="default"/>
      </w:rPr>
    </w:lvl>
  </w:abstractNum>
  <w:abstractNum w:abstractNumId="5" w15:restartNumberingAfterBreak="0">
    <w:nsid w:val="2F173189"/>
    <w:multiLevelType w:val="multilevel"/>
    <w:tmpl w:val="001CACC6"/>
    <w:lvl w:ilvl="0">
      <w:start w:val="1"/>
      <w:numFmt w:val="upperLetter"/>
      <w:lvlText w:val="%1."/>
      <w:lvlJc w:val="left"/>
      <w:pPr>
        <w:tabs>
          <w:tab w:val="num" w:pos="432"/>
        </w:tabs>
        <w:ind w:left="432" w:hanging="432"/>
      </w:pPr>
      <w:rPr>
        <w:rFonts w:hint="default"/>
      </w:rPr>
    </w:lvl>
    <w:lvl w:ilvl="1">
      <w:start w:val="1"/>
      <w:numFmt w:val="decimal"/>
      <w:lvlText w:val="%2."/>
      <w:lvlJc w:val="left"/>
      <w:pPr>
        <w:tabs>
          <w:tab w:val="num" w:pos="757"/>
        </w:tabs>
        <w:ind w:left="737" w:hanging="340"/>
      </w:pPr>
      <w:rPr>
        <w:rFonts w:hint="default"/>
      </w:rPr>
    </w:lvl>
    <w:lvl w:ilvl="2">
      <w:start w:val="1"/>
      <w:numFmt w:val="ordinal"/>
      <w:lvlText w:val="%3"/>
      <w:lvlJc w:val="left"/>
      <w:pPr>
        <w:tabs>
          <w:tab w:val="num" w:pos="1514"/>
        </w:tabs>
        <w:ind w:left="1134" w:hanging="34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38957B83"/>
    <w:multiLevelType w:val="multilevel"/>
    <w:tmpl w:val="4E06AE4C"/>
    <w:lvl w:ilvl="0">
      <w:start w:val="1"/>
      <w:numFmt w:val="upperLetter"/>
      <w:lvlText w:val="%1."/>
      <w:lvlJc w:val="left"/>
      <w:pPr>
        <w:tabs>
          <w:tab w:val="num" w:pos="432"/>
        </w:tabs>
        <w:ind w:left="432" w:hanging="432"/>
      </w:pPr>
      <w:rPr>
        <w:rFonts w:hint="default"/>
      </w:rPr>
    </w:lvl>
    <w:lvl w:ilvl="1">
      <w:start w:val="1"/>
      <w:numFmt w:val="decimal"/>
      <w:lvlText w:val="%2."/>
      <w:lvlJc w:val="left"/>
      <w:pPr>
        <w:tabs>
          <w:tab w:val="num" w:pos="757"/>
        </w:tabs>
        <w:ind w:left="737" w:hanging="340"/>
      </w:pPr>
      <w:rPr>
        <w:rFonts w:hint="default"/>
      </w:rPr>
    </w:lvl>
    <w:lvl w:ilvl="2">
      <w:start w:val="1"/>
      <w:numFmt w:val="ordinal"/>
      <w:lvlText w:val="%3"/>
      <w:lvlJc w:val="left"/>
      <w:pPr>
        <w:tabs>
          <w:tab w:val="num" w:pos="1514"/>
        </w:tabs>
        <w:ind w:left="1134" w:hanging="34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3D2F70A6"/>
    <w:multiLevelType w:val="hybridMultilevel"/>
    <w:tmpl w:val="C4022C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1116853"/>
    <w:multiLevelType w:val="hybridMultilevel"/>
    <w:tmpl w:val="1D26B57A"/>
    <w:lvl w:ilvl="0" w:tplc="BF56E006">
      <w:start w:val="1"/>
      <w:numFmt w:val="bullet"/>
      <w:lvlText w:val=""/>
      <w:lvlJc w:val="left"/>
      <w:pPr>
        <w:tabs>
          <w:tab w:val="num" w:pos="720"/>
        </w:tabs>
        <w:ind w:left="720" w:hanging="360"/>
      </w:pPr>
      <w:rPr>
        <w:rFonts w:ascii="Wingdings" w:hAnsi="Wingdings" w:hint="default"/>
      </w:rPr>
    </w:lvl>
    <w:lvl w:ilvl="1" w:tplc="E79CFC72" w:tentative="1">
      <w:start w:val="1"/>
      <w:numFmt w:val="bullet"/>
      <w:lvlText w:val=""/>
      <w:lvlJc w:val="left"/>
      <w:pPr>
        <w:tabs>
          <w:tab w:val="num" w:pos="1440"/>
        </w:tabs>
        <w:ind w:left="1440" w:hanging="360"/>
      </w:pPr>
      <w:rPr>
        <w:rFonts w:ascii="Wingdings" w:hAnsi="Wingdings" w:hint="default"/>
      </w:rPr>
    </w:lvl>
    <w:lvl w:ilvl="2" w:tplc="548C12B6" w:tentative="1">
      <w:start w:val="1"/>
      <w:numFmt w:val="bullet"/>
      <w:lvlText w:val=""/>
      <w:lvlJc w:val="left"/>
      <w:pPr>
        <w:tabs>
          <w:tab w:val="num" w:pos="2160"/>
        </w:tabs>
        <w:ind w:left="2160" w:hanging="360"/>
      </w:pPr>
      <w:rPr>
        <w:rFonts w:ascii="Wingdings" w:hAnsi="Wingdings" w:hint="default"/>
      </w:rPr>
    </w:lvl>
    <w:lvl w:ilvl="3" w:tplc="13A86644" w:tentative="1">
      <w:start w:val="1"/>
      <w:numFmt w:val="bullet"/>
      <w:lvlText w:val=""/>
      <w:lvlJc w:val="left"/>
      <w:pPr>
        <w:tabs>
          <w:tab w:val="num" w:pos="2880"/>
        </w:tabs>
        <w:ind w:left="2880" w:hanging="360"/>
      </w:pPr>
      <w:rPr>
        <w:rFonts w:ascii="Wingdings" w:hAnsi="Wingdings" w:hint="default"/>
      </w:rPr>
    </w:lvl>
    <w:lvl w:ilvl="4" w:tplc="B94E8F7C" w:tentative="1">
      <w:start w:val="1"/>
      <w:numFmt w:val="bullet"/>
      <w:lvlText w:val=""/>
      <w:lvlJc w:val="left"/>
      <w:pPr>
        <w:tabs>
          <w:tab w:val="num" w:pos="3600"/>
        </w:tabs>
        <w:ind w:left="3600" w:hanging="360"/>
      </w:pPr>
      <w:rPr>
        <w:rFonts w:ascii="Wingdings" w:hAnsi="Wingdings" w:hint="default"/>
      </w:rPr>
    </w:lvl>
    <w:lvl w:ilvl="5" w:tplc="FF60BF3C" w:tentative="1">
      <w:start w:val="1"/>
      <w:numFmt w:val="bullet"/>
      <w:lvlText w:val=""/>
      <w:lvlJc w:val="left"/>
      <w:pPr>
        <w:tabs>
          <w:tab w:val="num" w:pos="4320"/>
        </w:tabs>
        <w:ind w:left="4320" w:hanging="360"/>
      </w:pPr>
      <w:rPr>
        <w:rFonts w:ascii="Wingdings" w:hAnsi="Wingdings" w:hint="default"/>
      </w:rPr>
    </w:lvl>
    <w:lvl w:ilvl="6" w:tplc="06265BF6" w:tentative="1">
      <w:start w:val="1"/>
      <w:numFmt w:val="bullet"/>
      <w:lvlText w:val=""/>
      <w:lvlJc w:val="left"/>
      <w:pPr>
        <w:tabs>
          <w:tab w:val="num" w:pos="5040"/>
        </w:tabs>
        <w:ind w:left="5040" w:hanging="360"/>
      </w:pPr>
      <w:rPr>
        <w:rFonts w:ascii="Wingdings" w:hAnsi="Wingdings" w:hint="default"/>
      </w:rPr>
    </w:lvl>
    <w:lvl w:ilvl="7" w:tplc="518A987E" w:tentative="1">
      <w:start w:val="1"/>
      <w:numFmt w:val="bullet"/>
      <w:lvlText w:val=""/>
      <w:lvlJc w:val="left"/>
      <w:pPr>
        <w:tabs>
          <w:tab w:val="num" w:pos="5760"/>
        </w:tabs>
        <w:ind w:left="5760" w:hanging="360"/>
      </w:pPr>
      <w:rPr>
        <w:rFonts w:ascii="Wingdings" w:hAnsi="Wingdings" w:hint="default"/>
      </w:rPr>
    </w:lvl>
    <w:lvl w:ilvl="8" w:tplc="C14037C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5AE64DD"/>
    <w:multiLevelType w:val="multilevel"/>
    <w:tmpl w:val="2654B0CC"/>
    <w:lvl w:ilvl="0">
      <w:start w:val="1"/>
      <w:numFmt w:val="upperLetter"/>
      <w:lvlText w:val="%1."/>
      <w:lvlJc w:val="left"/>
      <w:pPr>
        <w:tabs>
          <w:tab w:val="num" w:pos="432"/>
        </w:tabs>
        <w:ind w:left="432" w:hanging="432"/>
      </w:pPr>
      <w:rPr>
        <w:rFonts w:hint="default"/>
      </w:rPr>
    </w:lvl>
    <w:lvl w:ilvl="1">
      <w:start w:val="1"/>
      <w:numFmt w:val="ordinal"/>
      <w:pStyle w:val="Nadpis3-operace"/>
      <w:lvlText w:val="%2"/>
      <w:lvlJc w:val="left"/>
      <w:pPr>
        <w:tabs>
          <w:tab w:val="num" w:pos="757"/>
        </w:tabs>
        <w:ind w:left="737" w:hanging="340"/>
      </w:pPr>
      <w:rPr>
        <w:rFonts w:hint="default"/>
      </w:rPr>
    </w:lvl>
    <w:lvl w:ilvl="2">
      <w:start w:val="1"/>
      <w:numFmt w:val="ordinal"/>
      <w:lvlText w:val="%3"/>
      <w:lvlJc w:val="left"/>
      <w:pPr>
        <w:tabs>
          <w:tab w:val="num" w:pos="1514"/>
        </w:tabs>
        <w:ind w:left="1134" w:hanging="34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4A475478"/>
    <w:multiLevelType w:val="multilevel"/>
    <w:tmpl w:val="832E1F32"/>
    <w:lvl w:ilvl="0">
      <w:start w:val="1"/>
      <w:numFmt w:val="upperLetter"/>
      <w:lvlText w:val="%1."/>
      <w:lvlJc w:val="left"/>
      <w:pPr>
        <w:tabs>
          <w:tab w:val="num" w:pos="432"/>
        </w:tabs>
        <w:ind w:left="432" w:hanging="432"/>
      </w:pPr>
      <w:rPr>
        <w:rFonts w:hint="default"/>
      </w:rPr>
    </w:lvl>
    <w:lvl w:ilvl="1">
      <w:start w:val="1"/>
      <w:numFmt w:val="decimal"/>
      <w:lvlText w:val="%2."/>
      <w:lvlJc w:val="left"/>
      <w:pPr>
        <w:tabs>
          <w:tab w:val="num" w:pos="757"/>
        </w:tabs>
        <w:ind w:left="737" w:hanging="340"/>
      </w:pPr>
      <w:rPr>
        <w:rFonts w:hint="default"/>
      </w:rPr>
    </w:lvl>
    <w:lvl w:ilvl="2">
      <w:start w:val="1"/>
      <w:numFmt w:val="ordinal"/>
      <w:lvlText w:val="%3"/>
      <w:lvlJc w:val="left"/>
      <w:pPr>
        <w:tabs>
          <w:tab w:val="num" w:pos="1514"/>
        </w:tabs>
        <w:ind w:left="1134" w:hanging="34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4F46695B"/>
    <w:multiLevelType w:val="hybridMultilevel"/>
    <w:tmpl w:val="50FA0FB6"/>
    <w:lvl w:ilvl="0" w:tplc="39D614C6">
      <w:start w:val="1"/>
      <w:numFmt w:val="bullet"/>
      <w:lvlText w:val="•"/>
      <w:lvlJc w:val="left"/>
      <w:pPr>
        <w:tabs>
          <w:tab w:val="num" w:pos="720"/>
        </w:tabs>
        <w:ind w:left="720" w:hanging="360"/>
      </w:pPr>
      <w:rPr>
        <w:rFonts w:ascii="Arial" w:hAnsi="Arial" w:cs="Times New Roman" w:hint="default"/>
      </w:rPr>
    </w:lvl>
    <w:lvl w:ilvl="1" w:tplc="49F47852">
      <w:start w:val="63"/>
      <w:numFmt w:val="bullet"/>
      <w:lvlText w:val="•"/>
      <w:lvlJc w:val="left"/>
      <w:pPr>
        <w:tabs>
          <w:tab w:val="num" w:pos="1440"/>
        </w:tabs>
        <w:ind w:left="1440" w:hanging="360"/>
      </w:pPr>
      <w:rPr>
        <w:rFonts w:ascii="Arial" w:hAnsi="Arial" w:cs="Times New Roman" w:hint="default"/>
      </w:rPr>
    </w:lvl>
    <w:lvl w:ilvl="2" w:tplc="4694E798">
      <w:start w:val="1"/>
      <w:numFmt w:val="bullet"/>
      <w:lvlText w:val="•"/>
      <w:lvlJc w:val="left"/>
      <w:pPr>
        <w:tabs>
          <w:tab w:val="num" w:pos="2160"/>
        </w:tabs>
        <w:ind w:left="2160" w:hanging="360"/>
      </w:pPr>
      <w:rPr>
        <w:rFonts w:ascii="Arial" w:hAnsi="Arial" w:cs="Times New Roman" w:hint="default"/>
      </w:rPr>
    </w:lvl>
    <w:lvl w:ilvl="3" w:tplc="57A26D8C">
      <w:start w:val="1"/>
      <w:numFmt w:val="bullet"/>
      <w:lvlText w:val="•"/>
      <w:lvlJc w:val="left"/>
      <w:pPr>
        <w:tabs>
          <w:tab w:val="num" w:pos="2880"/>
        </w:tabs>
        <w:ind w:left="2880" w:hanging="360"/>
      </w:pPr>
      <w:rPr>
        <w:rFonts w:ascii="Arial" w:hAnsi="Arial" w:cs="Times New Roman" w:hint="default"/>
      </w:rPr>
    </w:lvl>
    <w:lvl w:ilvl="4" w:tplc="3012AA0A">
      <w:start w:val="1"/>
      <w:numFmt w:val="bullet"/>
      <w:lvlText w:val="•"/>
      <w:lvlJc w:val="left"/>
      <w:pPr>
        <w:tabs>
          <w:tab w:val="num" w:pos="3600"/>
        </w:tabs>
        <w:ind w:left="3600" w:hanging="360"/>
      </w:pPr>
      <w:rPr>
        <w:rFonts w:ascii="Arial" w:hAnsi="Arial" w:cs="Times New Roman" w:hint="default"/>
      </w:rPr>
    </w:lvl>
    <w:lvl w:ilvl="5" w:tplc="E2F8F182">
      <w:start w:val="1"/>
      <w:numFmt w:val="bullet"/>
      <w:lvlText w:val="•"/>
      <w:lvlJc w:val="left"/>
      <w:pPr>
        <w:tabs>
          <w:tab w:val="num" w:pos="4320"/>
        </w:tabs>
        <w:ind w:left="4320" w:hanging="360"/>
      </w:pPr>
      <w:rPr>
        <w:rFonts w:ascii="Arial" w:hAnsi="Arial" w:cs="Times New Roman" w:hint="default"/>
      </w:rPr>
    </w:lvl>
    <w:lvl w:ilvl="6" w:tplc="8E467C7C">
      <w:start w:val="1"/>
      <w:numFmt w:val="bullet"/>
      <w:lvlText w:val="•"/>
      <w:lvlJc w:val="left"/>
      <w:pPr>
        <w:tabs>
          <w:tab w:val="num" w:pos="5040"/>
        </w:tabs>
        <w:ind w:left="5040" w:hanging="360"/>
      </w:pPr>
      <w:rPr>
        <w:rFonts w:ascii="Arial" w:hAnsi="Arial" w:cs="Times New Roman" w:hint="default"/>
      </w:rPr>
    </w:lvl>
    <w:lvl w:ilvl="7" w:tplc="2C0E98C6">
      <w:start w:val="1"/>
      <w:numFmt w:val="bullet"/>
      <w:lvlText w:val="•"/>
      <w:lvlJc w:val="left"/>
      <w:pPr>
        <w:tabs>
          <w:tab w:val="num" w:pos="5760"/>
        </w:tabs>
        <w:ind w:left="5760" w:hanging="360"/>
      </w:pPr>
      <w:rPr>
        <w:rFonts w:ascii="Arial" w:hAnsi="Arial" w:cs="Times New Roman" w:hint="default"/>
      </w:rPr>
    </w:lvl>
    <w:lvl w:ilvl="8" w:tplc="4A02988A">
      <w:start w:val="1"/>
      <w:numFmt w:val="bullet"/>
      <w:lvlText w:val="•"/>
      <w:lvlJc w:val="left"/>
      <w:pPr>
        <w:tabs>
          <w:tab w:val="num" w:pos="6480"/>
        </w:tabs>
        <w:ind w:left="6480" w:hanging="360"/>
      </w:pPr>
      <w:rPr>
        <w:rFonts w:ascii="Arial" w:hAnsi="Arial" w:cs="Times New Roman" w:hint="default"/>
      </w:rPr>
    </w:lvl>
  </w:abstractNum>
  <w:abstractNum w:abstractNumId="12" w15:restartNumberingAfterBreak="0">
    <w:nsid w:val="509D6E6A"/>
    <w:multiLevelType w:val="multilevel"/>
    <w:tmpl w:val="2EC0CD10"/>
    <w:lvl w:ilvl="0">
      <w:start w:val="1"/>
      <w:numFmt w:val="upperLetter"/>
      <w:lvlText w:val="%1."/>
      <w:lvlJc w:val="left"/>
      <w:pPr>
        <w:tabs>
          <w:tab w:val="num" w:pos="432"/>
        </w:tabs>
        <w:ind w:left="432" w:hanging="432"/>
      </w:pPr>
      <w:rPr>
        <w:rFonts w:hint="default"/>
      </w:rPr>
    </w:lvl>
    <w:lvl w:ilvl="1">
      <w:start w:val="1"/>
      <w:numFmt w:val="decimal"/>
      <w:lvlText w:val="%2."/>
      <w:lvlJc w:val="left"/>
      <w:pPr>
        <w:tabs>
          <w:tab w:val="num" w:pos="757"/>
        </w:tabs>
        <w:ind w:left="737" w:hanging="340"/>
      </w:pPr>
      <w:rPr>
        <w:rFonts w:hint="default"/>
      </w:rPr>
    </w:lvl>
    <w:lvl w:ilvl="2">
      <w:start w:val="1"/>
      <w:numFmt w:val="ordinal"/>
      <w:lvlText w:val="%3"/>
      <w:lvlJc w:val="left"/>
      <w:pPr>
        <w:tabs>
          <w:tab w:val="num" w:pos="1514"/>
        </w:tabs>
        <w:ind w:left="1134" w:hanging="34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6796303A"/>
    <w:multiLevelType w:val="hybridMultilevel"/>
    <w:tmpl w:val="91668454"/>
    <w:lvl w:ilvl="0" w:tplc="10E6B52C">
      <w:start w:val="1"/>
      <w:numFmt w:val="bullet"/>
      <w:pStyle w:val="Seznam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93A16E7"/>
    <w:multiLevelType w:val="multilevel"/>
    <w:tmpl w:val="A280B008"/>
    <w:lvl w:ilvl="0">
      <w:start w:val="1"/>
      <w:numFmt w:val="upperLetter"/>
      <w:lvlText w:val="%1."/>
      <w:lvlJc w:val="left"/>
      <w:pPr>
        <w:tabs>
          <w:tab w:val="num" w:pos="432"/>
        </w:tabs>
        <w:ind w:left="432" w:hanging="432"/>
      </w:pPr>
      <w:rPr>
        <w:rFonts w:hint="default"/>
      </w:rPr>
    </w:lvl>
    <w:lvl w:ilvl="1">
      <w:start w:val="1"/>
      <w:numFmt w:val="decimal"/>
      <w:lvlText w:val="%2."/>
      <w:lvlJc w:val="left"/>
      <w:pPr>
        <w:tabs>
          <w:tab w:val="num" w:pos="757"/>
        </w:tabs>
        <w:ind w:left="737" w:hanging="340"/>
      </w:pPr>
      <w:rPr>
        <w:rFonts w:hint="default"/>
      </w:rPr>
    </w:lvl>
    <w:lvl w:ilvl="2">
      <w:start w:val="1"/>
      <w:numFmt w:val="ordinal"/>
      <w:lvlText w:val="%3"/>
      <w:lvlJc w:val="left"/>
      <w:pPr>
        <w:tabs>
          <w:tab w:val="num" w:pos="1514"/>
        </w:tabs>
        <w:ind w:left="1134" w:hanging="34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79BF7193"/>
    <w:multiLevelType w:val="multilevel"/>
    <w:tmpl w:val="DFE4E156"/>
    <w:lvl w:ilvl="0">
      <w:start w:val="1"/>
      <w:numFmt w:val="upperLetter"/>
      <w:lvlText w:val="%1."/>
      <w:lvlJc w:val="left"/>
      <w:pPr>
        <w:tabs>
          <w:tab w:val="num" w:pos="432"/>
        </w:tabs>
        <w:ind w:left="432" w:hanging="432"/>
      </w:pPr>
      <w:rPr>
        <w:rFonts w:hint="default"/>
      </w:rPr>
    </w:lvl>
    <w:lvl w:ilvl="1">
      <w:start w:val="1"/>
      <w:numFmt w:val="decimal"/>
      <w:lvlText w:val="%2."/>
      <w:lvlJc w:val="left"/>
      <w:pPr>
        <w:tabs>
          <w:tab w:val="num" w:pos="757"/>
        </w:tabs>
        <w:ind w:left="737" w:hanging="340"/>
      </w:pPr>
      <w:rPr>
        <w:rFonts w:hint="default"/>
      </w:rPr>
    </w:lvl>
    <w:lvl w:ilvl="2">
      <w:start w:val="1"/>
      <w:numFmt w:val="ordinal"/>
      <w:lvlText w:val="%3"/>
      <w:lvlJc w:val="left"/>
      <w:pPr>
        <w:tabs>
          <w:tab w:val="num" w:pos="1514"/>
        </w:tabs>
        <w:ind w:left="1134" w:hanging="34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9"/>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6"/>
  </w:num>
  <w:num w:numId="6">
    <w:abstractNumId w:val="14"/>
  </w:num>
  <w:num w:numId="7">
    <w:abstractNumId w:val="1"/>
  </w:num>
  <w:num w:numId="8">
    <w:abstractNumId w:val="5"/>
  </w:num>
  <w:num w:numId="9">
    <w:abstractNumId w:val="12"/>
  </w:num>
  <w:num w:numId="10">
    <w:abstractNumId w:val="15"/>
  </w:num>
  <w:num w:numId="11">
    <w:abstractNumId w:val="4"/>
  </w:num>
  <w:num w:numId="12">
    <w:abstractNumId w:val="0"/>
  </w:num>
  <w:num w:numId="13">
    <w:abstractNumId w:val="11"/>
  </w:num>
  <w:num w:numId="14">
    <w:abstractNumId w:val="3"/>
  </w:num>
  <w:num w:numId="15">
    <w:abstractNumId w:val="2"/>
  </w:num>
  <w:num w:numId="16">
    <w:abstractNumId w:val="7"/>
  </w:num>
  <w:num w:numId="17">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359"/>
    <w:rsid w:val="00000553"/>
    <w:rsid w:val="00000AA4"/>
    <w:rsid w:val="000013F9"/>
    <w:rsid w:val="00001426"/>
    <w:rsid w:val="00002E1E"/>
    <w:rsid w:val="0000557E"/>
    <w:rsid w:val="0000742C"/>
    <w:rsid w:val="000075FF"/>
    <w:rsid w:val="000101C2"/>
    <w:rsid w:val="000103B4"/>
    <w:rsid w:val="000105F8"/>
    <w:rsid w:val="00010A6D"/>
    <w:rsid w:val="00010EA7"/>
    <w:rsid w:val="000113B9"/>
    <w:rsid w:val="00011BCB"/>
    <w:rsid w:val="00011C09"/>
    <w:rsid w:val="0001230D"/>
    <w:rsid w:val="000128B4"/>
    <w:rsid w:val="000136B9"/>
    <w:rsid w:val="000140DD"/>
    <w:rsid w:val="00014492"/>
    <w:rsid w:val="0001537A"/>
    <w:rsid w:val="000159D7"/>
    <w:rsid w:val="00015C76"/>
    <w:rsid w:val="00016614"/>
    <w:rsid w:val="0001688F"/>
    <w:rsid w:val="000178FC"/>
    <w:rsid w:val="00017D88"/>
    <w:rsid w:val="000204DE"/>
    <w:rsid w:val="00021105"/>
    <w:rsid w:val="000212FB"/>
    <w:rsid w:val="00021792"/>
    <w:rsid w:val="000217BD"/>
    <w:rsid w:val="00022631"/>
    <w:rsid w:val="00023535"/>
    <w:rsid w:val="00023E29"/>
    <w:rsid w:val="000259BA"/>
    <w:rsid w:val="0002602D"/>
    <w:rsid w:val="00026501"/>
    <w:rsid w:val="0003025D"/>
    <w:rsid w:val="000308F5"/>
    <w:rsid w:val="000315AF"/>
    <w:rsid w:val="00033197"/>
    <w:rsid w:val="000346E0"/>
    <w:rsid w:val="0003474A"/>
    <w:rsid w:val="000348E0"/>
    <w:rsid w:val="00034EE5"/>
    <w:rsid w:val="0003643C"/>
    <w:rsid w:val="00036A29"/>
    <w:rsid w:val="00037F7B"/>
    <w:rsid w:val="00040064"/>
    <w:rsid w:val="00040869"/>
    <w:rsid w:val="00040BB7"/>
    <w:rsid w:val="000417F3"/>
    <w:rsid w:val="000418ED"/>
    <w:rsid w:val="00041E65"/>
    <w:rsid w:val="00041F51"/>
    <w:rsid w:val="00042C7E"/>
    <w:rsid w:val="00042FBD"/>
    <w:rsid w:val="000431B1"/>
    <w:rsid w:val="000456AE"/>
    <w:rsid w:val="000458DF"/>
    <w:rsid w:val="00046916"/>
    <w:rsid w:val="00047935"/>
    <w:rsid w:val="00050CCF"/>
    <w:rsid w:val="00051629"/>
    <w:rsid w:val="000525DA"/>
    <w:rsid w:val="0005265A"/>
    <w:rsid w:val="00052B5B"/>
    <w:rsid w:val="00053588"/>
    <w:rsid w:val="00054571"/>
    <w:rsid w:val="00054A07"/>
    <w:rsid w:val="00054F2E"/>
    <w:rsid w:val="000553BC"/>
    <w:rsid w:val="000559C8"/>
    <w:rsid w:val="000561CC"/>
    <w:rsid w:val="00056A8D"/>
    <w:rsid w:val="00056D38"/>
    <w:rsid w:val="00056F62"/>
    <w:rsid w:val="000571A8"/>
    <w:rsid w:val="00057BEE"/>
    <w:rsid w:val="00057FE1"/>
    <w:rsid w:val="000603F2"/>
    <w:rsid w:val="00060E6E"/>
    <w:rsid w:val="0006167E"/>
    <w:rsid w:val="00062257"/>
    <w:rsid w:val="0006327C"/>
    <w:rsid w:val="000639D8"/>
    <w:rsid w:val="00063D23"/>
    <w:rsid w:val="00063FBF"/>
    <w:rsid w:val="00064116"/>
    <w:rsid w:val="00064259"/>
    <w:rsid w:val="000646E2"/>
    <w:rsid w:val="00064BC8"/>
    <w:rsid w:val="00065376"/>
    <w:rsid w:val="00065603"/>
    <w:rsid w:val="0006584B"/>
    <w:rsid w:val="00065990"/>
    <w:rsid w:val="00065E82"/>
    <w:rsid w:val="00066037"/>
    <w:rsid w:val="00066B65"/>
    <w:rsid w:val="00067C1B"/>
    <w:rsid w:val="0007008A"/>
    <w:rsid w:val="00070374"/>
    <w:rsid w:val="000706E0"/>
    <w:rsid w:val="00072251"/>
    <w:rsid w:val="000730A9"/>
    <w:rsid w:val="000747ED"/>
    <w:rsid w:val="00077FD3"/>
    <w:rsid w:val="00080714"/>
    <w:rsid w:val="00081701"/>
    <w:rsid w:val="00081F34"/>
    <w:rsid w:val="00082ACA"/>
    <w:rsid w:val="00082B33"/>
    <w:rsid w:val="00083D80"/>
    <w:rsid w:val="00084278"/>
    <w:rsid w:val="0008429F"/>
    <w:rsid w:val="000846C2"/>
    <w:rsid w:val="00085681"/>
    <w:rsid w:val="00085F7E"/>
    <w:rsid w:val="000864C4"/>
    <w:rsid w:val="00086616"/>
    <w:rsid w:val="000874B1"/>
    <w:rsid w:val="00087978"/>
    <w:rsid w:val="00087DBA"/>
    <w:rsid w:val="00091423"/>
    <w:rsid w:val="0009216E"/>
    <w:rsid w:val="000937E7"/>
    <w:rsid w:val="00093A57"/>
    <w:rsid w:val="000944F6"/>
    <w:rsid w:val="00094C9B"/>
    <w:rsid w:val="00094EB0"/>
    <w:rsid w:val="00094F5D"/>
    <w:rsid w:val="00094F92"/>
    <w:rsid w:val="000952A9"/>
    <w:rsid w:val="00095410"/>
    <w:rsid w:val="000966B5"/>
    <w:rsid w:val="0009693D"/>
    <w:rsid w:val="00097D8F"/>
    <w:rsid w:val="00097E04"/>
    <w:rsid w:val="000A138A"/>
    <w:rsid w:val="000A1554"/>
    <w:rsid w:val="000A24BB"/>
    <w:rsid w:val="000A278B"/>
    <w:rsid w:val="000A298E"/>
    <w:rsid w:val="000A2FA5"/>
    <w:rsid w:val="000A38DE"/>
    <w:rsid w:val="000A4043"/>
    <w:rsid w:val="000A42C0"/>
    <w:rsid w:val="000A5147"/>
    <w:rsid w:val="000A58AF"/>
    <w:rsid w:val="000A62C1"/>
    <w:rsid w:val="000B00E3"/>
    <w:rsid w:val="000B053C"/>
    <w:rsid w:val="000B0770"/>
    <w:rsid w:val="000B07DB"/>
    <w:rsid w:val="000B0AC6"/>
    <w:rsid w:val="000B0C4A"/>
    <w:rsid w:val="000B1B5E"/>
    <w:rsid w:val="000B2056"/>
    <w:rsid w:val="000B208D"/>
    <w:rsid w:val="000B261A"/>
    <w:rsid w:val="000B2BE5"/>
    <w:rsid w:val="000B31CA"/>
    <w:rsid w:val="000B3651"/>
    <w:rsid w:val="000B3796"/>
    <w:rsid w:val="000B3BBE"/>
    <w:rsid w:val="000B4A5C"/>
    <w:rsid w:val="000B4BB9"/>
    <w:rsid w:val="000B570A"/>
    <w:rsid w:val="000B645E"/>
    <w:rsid w:val="000B6960"/>
    <w:rsid w:val="000B7022"/>
    <w:rsid w:val="000B75BF"/>
    <w:rsid w:val="000B7FC3"/>
    <w:rsid w:val="000C008C"/>
    <w:rsid w:val="000C011C"/>
    <w:rsid w:val="000C0347"/>
    <w:rsid w:val="000C0459"/>
    <w:rsid w:val="000C1255"/>
    <w:rsid w:val="000C20F3"/>
    <w:rsid w:val="000C2495"/>
    <w:rsid w:val="000C2D3B"/>
    <w:rsid w:val="000C3B02"/>
    <w:rsid w:val="000C3E01"/>
    <w:rsid w:val="000C3F9D"/>
    <w:rsid w:val="000C4214"/>
    <w:rsid w:val="000C4B91"/>
    <w:rsid w:val="000C4E57"/>
    <w:rsid w:val="000C5AD8"/>
    <w:rsid w:val="000C5C98"/>
    <w:rsid w:val="000D05F2"/>
    <w:rsid w:val="000D071D"/>
    <w:rsid w:val="000D0CF7"/>
    <w:rsid w:val="000D0F95"/>
    <w:rsid w:val="000D103B"/>
    <w:rsid w:val="000D11AD"/>
    <w:rsid w:val="000D1C03"/>
    <w:rsid w:val="000D1D9B"/>
    <w:rsid w:val="000D2372"/>
    <w:rsid w:val="000D23F4"/>
    <w:rsid w:val="000D3A4D"/>
    <w:rsid w:val="000D3C97"/>
    <w:rsid w:val="000D4123"/>
    <w:rsid w:val="000D462C"/>
    <w:rsid w:val="000D480A"/>
    <w:rsid w:val="000D4818"/>
    <w:rsid w:val="000D4915"/>
    <w:rsid w:val="000D4BF1"/>
    <w:rsid w:val="000D4D96"/>
    <w:rsid w:val="000D57AC"/>
    <w:rsid w:val="000D5CD6"/>
    <w:rsid w:val="000D62DD"/>
    <w:rsid w:val="000D67DE"/>
    <w:rsid w:val="000D6904"/>
    <w:rsid w:val="000D6A6F"/>
    <w:rsid w:val="000D7430"/>
    <w:rsid w:val="000E0124"/>
    <w:rsid w:val="000E01B9"/>
    <w:rsid w:val="000E099C"/>
    <w:rsid w:val="000E0A57"/>
    <w:rsid w:val="000E0D12"/>
    <w:rsid w:val="000E0E8C"/>
    <w:rsid w:val="000E1042"/>
    <w:rsid w:val="000E1533"/>
    <w:rsid w:val="000E1701"/>
    <w:rsid w:val="000E204A"/>
    <w:rsid w:val="000E2B2A"/>
    <w:rsid w:val="000E2F00"/>
    <w:rsid w:val="000E310E"/>
    <w:rsid w:val="000E316C"/>
    <w:rsid w:val="000E31F0"/>
    <w:rsid w:val="000E332F"/>
    <w:rsid w:val="000E3752"/>
    <w:rsid w:val="000E3E11"/>
    <w:rsid w:val="000E3FE2"/>
    <w:rsid w:val="000E4164"/>
    <w:rsid w:val="000E527D"/>
    <w:rsid w:val="000E554F"/>
    <w:rsid w:val="000E561F"/>
    <w:rsid w:val="000E5900"/>
    <w:rsid w:val="000E6E57"/>
    <w:rsid w:val="000F0336"/>
    <w:rsid w:val="000F0DF1"/>
    <w:rsid w:val="000F1081"/>
    <w:rsid w:val="000F2947"/>
    <w:rsid w:val="000F2EE3"/>
    <w:rsid w:val="000F32D1"/>
    <w:rsid w:val="000F3378"/>
    <w:rsid w:val="000F3FE5"/>
    <w:rsid w:val="000F43E8"/>
    <w:rsid w:val="000F4800"/>
    <w:rsid w:val="000F4A8C"/>
    <w:rsid w:val="000F4C82"/>
    <w:rsid w:val="000F50AE"/>
    <w:rsid w:val="000F568B"/>
    <w:rsid w:val="000F5B24"/>
    <w:rsid w:val="000F5DF0"/>
    <w:rsid w:val="000F6A57"/>
    <w:rsid w:val="000F72AC"/>
    <w:rsid w:val="000F7F29"/>
    <w:rsid w:val="00100822"/>
    <w:rsid w:val="00101B08"/>
    <w:rsid w:val="00102AEB"/>
    <w:rsid w:val="00103099"/>
    <w:rsid w:val="001047AA"/>
    <w:rsid w:val="001047E8"/>
    <w:rsid w:val="0010490A"/>
    <w:rsid w:val="00104A6A"/>
    <w:rsid w:val="00105F2F"/>
    <w:rsid w:val="00106AEA"/>
    <w:rsid w:val="0010707D"/>
    <w:rsid w:val="00107549"/>
    <w:rsid w:val="00107617"/>
    <w:rsid w:val="00107EA0"/>
    <w:rsid w:val="001101ED"/>
    <w:rsid w:val="00110589"/>
    <w:rsid w:val="00111F1F"/>
    <w:rsid w:val="001132D0"/>
    <w:rsid w:val="00113301"/>
    <w:rsid w:val="001134F1"/>
    <w:rsid w:val="001138D6"/>
    <w:rsid w:val="00114290"/>
    <w:rsid w:val="0011550C"/>
    <w:rsid w:val="00115624"/>
    <w:rsid w:val="00115A47"/>
    <w:rsid w:val="0011607C"/>
    <w:rsid w:val="00116A2E"/>
    <w:rsid w:val="00117D92"/>
    <w:rsid w:val="00120FA9"/>
    <w:rsid w:val="0012152D"/>
    <w:rsid w:val="001227C7"/>
    <w:rsid w:val="00122F3E"/>
    <w:rsid w:val="0012340D"/>
    <w:rsid w:val="00123844"/>
    <w:rsid w:val="00124867"/>
    <w:rsid w:val="00124C9C"/>
    <w:rsid w:val="00125788"/>
    <w:rsid w:val="00126610"/>
    <w:rsid w:val="00126676"/>
    <w:rsid w:val="001269CA"/>
    <w:rsid w:val="00127287"/>
    <w:rsid w:val="00127294"/>
    <w:rsid w:val="00127E4D"/>
    <w:rsid w:val="00130211"/>
    <w:rsid w:val="001308C5"/>
    <w:rsid w:val="00130908"/>
    <w:rsid w:val="001328F9"/>
    <w:rsid w:val="00132FF9"/>
    <w:rsid w:val="001339AD"/>
    <w:rsid w:val="0013412C"/>
    <w:rsid w:val="00135A50"/>
    <w:rsid w:val="00135D92"/>
    <w:rsid w:val="00136E6A"/>
    <w:rsid w:val="001370FA"/>
    <w:rsid w:val="001379FF"/>
    <w:rsid w:val="0014010D"/>
    <w:rsid w:val="00140A98"/>
    <w:rsid w:val="00140D05"/>
    <w:rsid w:val="00140EF8"/>
    <w:rsid w:val="00141C93"/>
    <w:rsid w:val="001423D4"/>
    <w:rsid w:val="001425C8"/>
    <w:rsid w:val="00142B0B"/>
    <w:rsid w:val="00143A93"/>
    <w:rsid w:val="0014440D"/>
    <w:rsid w:val="00144782"/>
    <w:rsid w:val="00144D8B"/>
    <w:rsid w:val="00145BD7"/>
    <w:rsid w:val="00145E98"/>
    <w:rsid w:val="0014704B"/>
    <w:rsid w:val="00147407"/>
    <w:rsid w:val="0014774F"/>
    <w:rsid w:val="001479C5"/>
    <w:rsid w:val="00147F04"/>
    <w:rsid w:val="00150514"/>
    <w:rsid w:val="00150658"/>
    <w:rsid w:val="001509D7"/>
    <w:rsid w:val="0015195C"/>
    <w:rsid w:val="00152885"/>
    <w:rsid w:val="001528F8"/>
    <w:rsid w:val="00153321"/>
    <w:rsid w:val="001533B6"/>
    <w:rsid w:val="001534B0"/>
    <w:rsid w:val="001541EB"/>
    <w:rsid w:val="00155493"/>
    <w:rsid w:val="001562AF"/>
    <w:rsid w:val="00156A6B"/>
    <w:rsid w:val="00156E39"/>
    <w:rsid w:val="00160330"/>
    <w:rsid w:val="00160CEC"/>
    <w:rsid w:val="001611EC"/>
    <w:rsid w:val="00161C53"/>
    <w:rsid w:val="00161E99"/>
    <w:rsid w:val="00161F06"/>
    <w:rsid w:val="00162560"/>
    <w:rsid w:val="00162860"/>
    <w:rsid w:val="0016337C"/>
    <w:rsid w:val="001636C8"/>
    <w:rsid w:val="00163871"/>
    <w:rsid w:val="00163A8B"/>
    <w:rsid w:val="00163A93"/>
    <w:rsid w:val="00164A2E"/>
    <w:rsid w:val="00164DBA"/>
    <w:rsid w:val="00165093"/>
    <w:rsid w:val="001650A7"/>
    <w:rsid w:val="00166973"/>
    <w:rsid w:val="001669F0"/>
    <w:rsid w:val="00166DC5"/>
    <w:rsid w:val="00170436"/>
    <w:rsid w:val="0017189D"/>
    <w:rsid w:val="00172679"/>
    <w:rsid w:val="00172922"/>
    <w:rsid w:val="00172934"/>
    <w:rsid w:val="00175359"/>
    <w:rsid w:val="00175548"/>
    <w:rsid w:val="0017569A"/>
    <w:rsid w:val="00175CBF"/>
    <w:rsid w:val="00176406"/>
    <w:rsid w:val="00176521"/>
    <w:rsid w:val="00176CCD"/>
    <w:rsid w:val="00176FAB"/>
    <w:rsid w:val="00177187"/>
    <w:rsid w:val="00177587"/>
    <w:rsid w:val="00177B0D"/>
    <w:rsid w:val="00181714"/>
    <w:rsid w:val="00181D38"/>
    <w:rsid w:val="00182285"/>
    <w:rsid w:val="001827D6"/>
    <w:rsid w:val="00183CF4"/>
    <w:rsid w:val="00184188"/>
    <w:rsid w:val="00184D11"/>
    <w:rsid w:val="00185E64"/>
    <w:rsid w:val="00185EF1"/>
    <w:rsid w:val="001864B5"/>
    <w:rsid w:val="00186EF1"/>
    <w:rsid w:val="0018741B"/>
    <w:rsid w:val="00187BD9"/>
    <w:rsid w:val="00190AFD"/>
    <w:rsid w:val="00190C19"/>
    <w:rsid w:val="00190F45"/>
    <w:rsid w:val="00191B43"/>
    <w:rsid w:val="001920BB"/>
    <w:rsid w:val="00192DFC"/>
    <w:rsid w:val="00193391"/>
    <w:rsid w:val="0019382D"/>
    <w:rsid w:val="00193DD7"/>
    <w:rsid w:val="00193E89"/>
    <w:rsid w:val="00194310"/>
    <w:rsid w:val="00194C36"/>
    <w:rsid w:val="00195302"/>
    <w:rsid w:val="001957C8"/>
    <w:rsid w:val="001960F7"/>
    <w:rsid w:val="00196102"/>
    <w:rsid w:val="00196756"/>
    <w:rsid w:val="00196B2A"/>
    <w:rsid w:val="001975C8"/>
    <w:rsid w:val="001978C0"/>
    <w:rsid w:val="00197A23"/>
    <w:rsid w:val="00197B74"/>
    <w:rsid w:val="001A1097"/>
    <w:rsid w:val="001A151B"/>
    <w:rsid w:val="001A1995"/>
    <w:rsid w:val="001A1CEF"/>
    <w:rsid w:val="001A1D99"/>
    <w:rsid w:val="001A1E4C"/>
    <w:rsid w:val="001A1E8B"/>
    <w:rsid w:val="001A21FD"/>
    <w:rsid w:val="001A227D"/>
    <w:rsid w:val="001A2B48"/>
    <w:rsid w:val="001A2D7B"/>
    <w:rsid w:val="001A2F23"/>
    <w:rsid w:val="001A308C"/>
    <w:rsid w:val="001A3184"/>
    <w:rsid w:val="001A34E1"/>
    <w:rsid w:val="001A3D20"/>
    <w:rsid w:val="001A4732"/>
    <w:rsid w:val="001A4D5D"/>
    <w:rsid w:val="001A5364"/>
    <w:rsid w:val="001A56B5"/>
    <w:rsid w:val="001A728E"/>
    <w:rsid w:val="001A78C3"/>
    <w:rsid w:val="001A7F07"/>
    <w:rsid w:val="001B0189"/>
    <w:rsid w:val="001B157D"/>
    <w:rsid w:val="001B16C0"/>
    <w:rsid w:val="001B2366"/>
    <w:rsid w:val="001B3607"/>
    <w:rsid w:val="001B44E1"/>
    <w:rsid w:val="001B4BC6"/>
    <w:rsid w:val="001B535A"/>
    <w:rsid w:val="001B55AE"/>
    <w:rsid w:val="001B6049"/>
    <w:rsid w:val="001B6548"/>
    <w:rsid w:val="001B6B3F"/>
    <w:rsid w:val="001B7DEA"/>
    <w:rsid w:val="001C0401"/>
    <w:rsid w:val="001C05E6"/>
    <w:rsid w:val="001C0863"/>
    <w:rsid w:val="001C0897"/>
    <w:rsid w:val="001C1691"/>
    <w:rsid w:val="001C1CEA"/>
    <w:rsid w:val="001C21D0"/>
    <w:rsid w:val="001C3166"/>
    <w:rsid w:val="001C3792"/>
    <w:rsid w:val="001C3CF1"/>
    <w:rsid w:val="001C3D75"/>
    <w:rsid w:val="001C410E"/>
    <w:rsid w:val="001C47ED"/>
    <w:rsid w:val="001C5507"/>
    <w:rsid w:val="001C550D"/>
    <w:rsid w:val="001C55AE"/>
    <w:rsid w:val="001C5A9F"/>
    <w:rsid w:val="001C7237"/>
    <w:rsid w:val="001C7840"/>
    <w:rsid w:val="001D0F39"/>
    <w:rsid w:val="001D1F6F"/>
    <w:rsid w:val="001D2239"/>
    <w:rsid w:val="001D33E0"/>
    <w:rsid w:val="001D3CD4"/>
    <w:rsid w:val="001D4128"/>
    <w:rsid w:val="001D4AC4"/>
    <w:rsid w:val="001D4FA3"/>
    <w:rsid w:val="001D5267"/>
    <w:rsid w:val="001D5513"/>
    <w:rsid w:val="001D68AB"/>
    <w:rsid w:val="001D6961"/>
    <w:rsid w:val="001D71E5"/>
    <w:rsid w:val="001E006F"/>
    <w:rsid w:val="001E0293"/>
    <w:rsid w:val="001E03AD"/>
    <w:rsid w:val="001E299A"/>
    <w:rsid w:val="001E3D7C"/>
    <w:rsid w:val="001E441E"/>
    <w:rsid w:val="001E4895"/>
    <w:rsid w:val="001E515B"/>
    <w:rsid w:val="001E5E12"/>
    <w:rsid w:val="001E6604"/>
    <w:rsid w:val="001E7338"/>
    <w:rsid w:val="001E7A9C"/>
    <w:rsid w:val="001F0E2C"/>
    <w:rsid w:val="001F0EF4"/>
    <w:rsid w:val="001F22A2"/>
    <w:rsid w:val="001F2D7E"/>
    <w:rsid w:val="001F382C"/>
    <w:rsid w:val="001F3A09"/>
    <w:rsid w:val="001F3CD6"/>
    <w:rsid w:val="001F4363"/>
    <w:rsid w:val="001F505D"/>
    <w:rsid w:val="001F5572"/>
    <w:rsid w:val="001F59A1"/>
    <w:rsid w:val="001F6BE3"/>
    <w:rsid w:val="001F733B"/>
    <w:rsid w:val="001F7C0D"/>
    <w:rsid w:val="002001DD"/>
    <w:rsid w:val="0020230B"/>
    <w:rsid w:val="00202ED5"/>
    <w:rsid w:val="00203A1A"/>
    <w:rsid w:val="00203FBF"/>
    <w:rsid w:val="00204077"/>
    <w:rsid w:val="002054FE"/>
    <w:rsid w:val="002059FA"/>
    <w:rsid w:val="00206662"/>
    <w:rsid w:val="00206DD7"/>
    <w:rsid w:val="0020709B"/>
    <w:rsid w:val="00207E80"/>
    <w:rsid w:val="002109C7"/>
    <w:rsid w:val="00210C39"/>
    <w:rsid w:val="00210F9E"/>
    <w:rsid w:val="00211009"/>
    <w:rsid w:val="00211693"/>
    <w:rsid w:val="00212AFA"/>
    <w:rsid w:val="00213262"/>
    <w:rsid w:val="0021363A"/>
    <w:rsid w:val="002142CF"/>
    <w:rsid w:val="00214BC5"/>
    <w:rsid w:val="00214EEB"/>
    <w:rsid w:val="002150F7"/>
    <w:rsid w:val="002155DC"/>
    <w:rsid w:val="00215A56"/>
    <w:rsid w:val="00215A83"/>
    <w:rsid w:val="002160A9"/>
    <w:rsid w:val="00216F6E"/>
    <w:rsid w:val="00217CEA"/>
    <w:rsid w:val="00220B66"/>
    <w:rsid w:val="00220F3D"/>
    <w:rsid w:val="00221034"/>
    <w:rsid w:val="0022214F"/>
    <w:rsid w:val="002249BB"/>
    <w:rsid w:val="002251F2"/>
    <w:rsid w:val="002254D3"/>
    <w:rsid w:val="00225B52"/>
    <w:rsid w:val="00226001"/>
    <w:rsid w:val="00226163"/>
    <w:rsid w:val="00226730"/>
    <w:rsid w:val="00226DDC"/>
    <w:rsid w:val="00226F0F"/>
    <w:rsid w:val="00226F73"/>
    <w:rsid w:val="002278D4"/>
    <w:rsid w:val="00227CF3"/>
    <w:rsid w:val="00230C06"/>
    <w:rsid w:val="00230CAA"/>
    <w:rsid w:val="00230F74"/>
    <w:rsid w:val="00231899"/>
    <w:rsid w:val="00231D53"/>
    <w:rsid w:val="00231E93"/>
    <w:rsid w:val="00232D4A"/>
    <w:rsid w:val="00233072"/>
    <w:rsid w:val="00234246"/>
    <w:rsid w:val="00234955"/>
    <w:rsid w:val="00235817"/>
    <w:rsid w:val="00235A26"/>
    <w:rsid w:val="00235A5F"/>
    <w:rsid w:val="00236C69"/>
    <w:rsid w:val="00236E6A"/>
    <w:rsid w:val="00236F0F"/>
    <w:rsid w:val="00236FC9"/>
    <w:rsid w:val="00237627"/>
    <w:rsid w:val="00237BAF"/>
    <w:rsid w:val="0024053E"/>
    <w:rsid w:val="0024062E"/>
    <w:rsid w:val="00240CA5"/>
    <w:rsid w:val="00240D3B"/>
    <w:rsid w:val="00241563"/>
    <w:rsid w:val="0024199C"/>
    <w:rsid w:val="00241FEB"/>
    <w:rsid w:val="00242361"/>
    <w:rsid w:val="00243E5D"/>
    <w:rsid w:val="0024451D"/>
    <w:rsid w:val="002447E5"/>
    <w:rsid w:val="00244DA1"/>
    <w:rsid w:val="002452CB"/>
    <w:rsid w:val="002452E1"/>
    <w:rsid w:val="00245421"/>
    <w:rsid w:val="00245782"/>
    <w:rsid w:val="00245B05"/>
    <w:rsid w:val="00245BAD"/>
    <w:rsid w:val="00246155"/>
    <w:rsid w:val="002479F5"/>
    <w:rsid w:val="00247A68"/>
    <w:rsid w:val="00247B81"/>
    <w:rsid w:val="0025073E"/>
    <w:rsid w:val="00250CA3"/>
    <w:rsid w:val="002516BA"/>
    <w:rsid w:val="00251777"/>
    <w:rsid w:val="00251B9F"/>
    <w:rsid w:val="0025308A"/>
    <w:rsid w:val="00253505"/>
    <w:rsid w:val="002535C6"/>
    <w:rsid w:val="00253901"/>
    <w:rsid w:val="002539B8"/>
    <w:rsid w:val="00253D35"/>
    <w:rsid w:val="00253E43"/>
    <w:rsid w:val="00254E40"/>
    <w:rsid w:val="00254F86"/>
    <w:rsid w:val="00255DFF"/>
    <w:rsid w:val="00255FD8"/>
    <w:rsid w:val="00256508"/>
    <w:rsid w:val="0025670E"/>
    <w:rsid w:val="00256C86"/>
    <w:rsid w:val="002578C2"/>
    <w:rsid w:val="002579C9"/>
    <w:rsid w:val="00260432"/>
    <w:rsid w:val="0026103F"/>
    <w:rsid w:val="002610A0"/>
    <w:rsid w:val="002616EB"/>
    <w:rsid w:val="00262335"/>
    <w:rsid w:val="002654E1"/>
    <w:rsid w:val="002655F8"/>
    <w:rsid w:val="002656AF"/>
    <w:rsid w:val="002656D6"/>
    <w:rsid w:val="00266058"/>
    <w:rsid w:val="0026688F"/>
    <w:rsid w:val="00266B50"/>
    <w:rsid w:val="00267313"/>
    <w:rsid w:val="0026761D"/>
    <w:rsid w:val="002676F5"/>
    <w:rsid w:val="0026781E"/>
    <w:rsid w:val="002678A1"/>
    <w:rsid w:val="00270B19"/>
    <w:rsid w:val="00271659"/>
    <w:rsid w:val="00271D61"/>
    <w:rsid w:val="00272473"/>
    <w:rsid w:val="00273671"/>
    <w:rsid w:val="002746D6"/>
    <w:rsid w:val="00274ED2"/>
    <w:rsid w:val="00275F64"/>
    <w:rsid w:val="0027684C"/>
    <w:rsid w:val="0028043D"/>
    <w:rsid w:val="002805A7"/>
    <w:rsid w:val="00280D20"/>
    <w:rsid w:val="00280DF5"/>
    <w:rsid w:val="00281E65"/>
    <w:rsid w:val="002820D8"/>
    <w:rsid w:val="00282266"/>
    <w:rsid w:val="00282E24"/>
    <w:rsid w:val="00282E27"/>
    <w:rsid w:val="00283029"/>
    <w:rsid w:val="002843D3"/>
    <w:rsid w:val="002851D2"/>
    <w:rsid w:val="002859F5"/>
    <w:rsid w:val="00286664"/>
    <w:rsid w:val="00286D75"/>
    <w:rsid w:val="00286FE8"/>
    <w:rsid w:val="002873CE"/>
    <w:rsid w:val="00287E21"/>
    <w:rsid w:val="002905CB"/>
    <w:rsid w:val="00290E94"/>
    <w:rsid w:val="00291236"/>
    <w:rsid w:val="0029198F"/>
    <w:rsid w:val="0029239E"/>
    <w:rsid w:val="00293962"/>
    <w:rsid w:val="0029430C"/>
    <w:rsid w:val="00294E96"/>
    <w:rsid w:val="00295B37"/>
    <w:rsid w:val="00295EAB"/>
    <w:rsid w:val="00297039"/>
    <w:rsid w:val="00297AB9"/>
    <w:rsid w:val="00297D98"/>
    <w:rsid w:val="002A1920"/>
    <w:rsid w:val="002A1A02"/>
    <w:rsid w:val="002A2F10"/>
    <w:rsid w:val="002A39A9"/>
    <w:rsid w:val="002A43DB"/>
    <w:rsid w:val="002A44BE"/>
    <w:rsid w:val="002A587A"/>
    <w:rsid w:val="002A58F4"/>
    <w:rsid w:val="002A5CB7"/>
    <w:rsid w:val="002A6172"/>
    <w:rsid w:val="002A6232"/>
    <w:rsid w:val="002A62DB"/>
    <w:rsid w:val="002A69AB"/>
    <w:rsid w:val="002A6E41"/>
    <w:rsid w:val="002A764F"/>
    <w:rsid w:val="002A79FD"/>
    <w:rsid w:val="002B271A"/>
    <w:rsid w:val="002B2C40"/>
    <w:rsid w:val="002B2E0B"/>
    <w:rsid w:val="002B3307"/>
    <w:rsid w:val="002B386A"/>
    <w:rsid w:val="002B3EE9"/>
    <w:rsid w:val="002B47A2"/>
    <w:rsid w:val="002B505C"/>
    <w:rsid w:val="002B5DCA"/>
    <w:rsid w:val="002B61AB"/>
    <w:rsid w:val="002C0AD1"/>
    <w:rsid w:val="002C1A2F"/>
    <w:rsid w:val="002C26C6"/>
    <w:rsid w:val="002C284D"/>
    <w:rsid w:val="002C28E8"/>
    <w:rsid w:val="002C2C45"/>
    <w:rsid w:val="002C37D4"/>
    <w:rsid w:val="002C38FA"/>
    <w:rsid w:val="002C3F95"/>
    <w:rsid w:val="002C45F0"/>
    <w:rsid w:val="002C4650"/>
    <w:rsid w:val="002C502F"/>
    <w:rsid w:val="002C5454"/>
    <w:rsid w:val="002C5D27"/>
    <w:rsid w:val="002D0552"/>
    <w:rsid w:val="002D07F5"/>
    <w:rsid w:val="002D0A57"/>
    <w:rsid w:val="002D0B75"/>
    <w:rsid w:val="002D0FD8"/>
    <w:rsid w:val="002D1619"/>
    <w:rsid w:val="002D2737"/>
    <w:rsid w:val="002D29C1"/>
    <w:rsid w:val="002D3C5C"/>
    <w:rsid w:val="002D3D1E"/>
    <w:rsid w:val="002D3FC9"/>
    <w:rsid w:val="002D46D0"/>
    <w:rsid w:val="002D4A8B"/>
    <w:rsid w:val="002D4C0A"/>
    <w:rsid w:val="002D4DC0"/>
    <w:rsid w:val="002D5325"/>
    <w:rsid w:val="002D58FD"/>
    <w:rsid w:val="002D59E8"/>
    <w:rsid w:val="002D62A6"/>
    <w:rsid w:val="002D7584"/>
    <w:rsid w:val="002D75E9"/>
    <w:rsid w:val="002D7600"/>
    <w:rsid w:val="002D7FFD"/>
    <w:rsid w:val="002E0182"/>
    <w:rsid w:val="002E0392"/>
    <w:rsid w:val="002E18AB"/>
    <w:rsid w:val="002E1D22"/>
    <w:rsid w:val="002E2007"/>
    <w:rsid w:val="002E30D7"/>
    <w:rsid w:val="002E3173"/>
    <w:rsid w:val="002E34BB"/>
    <w:rsid w:val="002E36F5"/>
    <w:rsid w:val="002E3C99"/>
    <w:rsid w:val="002E47DC"/>
    <w:rsid w:val="002E4FAB"/>
    <w:rsid w:val="002E5DF7"/>
    <w:rsid w:val="002E61D1"/>
    <w:rsid w:val="002E6FF7"/>
    <w:rsid w:val="002E7203"/>
    <w:rsid w:val="002E7D11"/>
    <w:rsid w:val="002F0870"/>
    <w:rsid w:val="002F0D9F"/>
    <w:rsid w:val="002F0DC6"/>
    <w:rsid w:val="002F24CE"/>
    <w:rsid w:val="002F2890"/>
    <w:rsid w:val="002F3817"/>
    <w:rsid w:val="002F3918"/>
    <w:rsid w:val="002F4EEC"/>
    <w:rsid w:val="00300118"/>
    <w:rsid w:val="0030120A"/>
    <w:rsid w:val="0030140B"/>
    <w:rsid w:val="003014B8"/>
    <w:rsid w:val="00301A75"/>
    <w:rsid w:val="0030239C"/>
    <w:rsid w:val="003024F0"/>
    <w:rsid w:val="003035BA"/>
    <w:rsid w:val="0030373B"/>
    <w:rsid w:val="00304FB5"/>
    <w:rsid w:val="00305407"/>
    <w:rsid w:val="00305BB6"/>
    <w:rsid w:val="003060A0"/>
    <w:rsid w:val="00306502"/>
    <w:rsid w:val="00306C35"/>
    <w:rsid w:val="003076AB"/>
    <w:rsid w:val="00310046"/>
    <w:rsid w:val="003104BD"/>
    <w:rsid w:val="00311183"/>
    <w:rsid w:val="00311324"/>
    <w:rsid w:val="00312AB0"/>
    <w:rsid w:val="0031500E"/>
    <w:rsid w:val="00316128"/>
    <w:rsid w:val="00316206"/>
    <w:rsid w:val="00316325"/>
    <w:rsid w:val="00316A6F"/>
    <w:rsid w:val="00316DE7"/>
    <w:rsid w:val="0031719A"/>
    <w:rsid w:val="00317450"/>
    <w:rsid w:val="0031745E"/>
    <w:rsid w:val="00320009"/>
    <w:rsid w:val="00320968"/>
    <w:rsid w:val="00320BA4"/>
    <w:rsid w:val="00320D14"/>
    <w:rsid w:val="00321A5A"/>
    <w:rsid w:val="00321CD5"/>
    <w:rsid w:val="00322094"/>
    <w:rsid w:val="0032371E"/>
    <w:rsid w:val="00323874"/>
    <w:rsid w:val="00323890"/>
    <w:rsid w:val="0032390B"/>
    <w:rsid w:val="00323AEB"/>
    <w:rsid w:val="00324716"/>
    <w:rsid w:val="0032511C"/>
    <w:rsid w:val="00325B1F"/>
    <w:rsid w:val="00325DAE"/>
    <w:rsid w:val="00326570"/>
    <w:rsid w:val="003267E2"/>
    <w:rsid w:val="003274DB"/>
    <w:rsid w:val="00327B99"/>
    <w:rsid w:val="00330807"/>
    <w:rsid w:val="00331768"/>
    <w:rsid w:val="00331926"/>
    <w:rsid w:val="00331F6B"/>
    <w:rsid w:val="003322DB"/>
    <w:rsid w:val="0033230E"/>
    <w:rsid w:val="00332B39"/>
    <w:rsid w:val="003339C9"/>
    <w:rsid w:val="00333AB5"/>
    <w:rsid w:val="00335672"/>
    <w:rsid w:val="00336342"/>
    <w:rsid w:val="00336442"/>
    <w:rsid w:val="003365B2"/>
    <w:rsid w:val="00337C23"/>
    <w:rsid w:val="00340435"/>
    <w:rsid w:val="003409AC"/>
    <w:rsid w:val="003410A9"/>
    <w:rsid w:val="003414EA"/>
    <w:rsid w:val="003419FD"/>
    <w:rsid w:val="00342AEE"/>
    <w:rsid w:val="00343873"/>
    <w:rsid w:val="00343BE5"/>
    <w:rsid w:val="00343BEB"/>
    <w:rsid w:val="00343FCA"/>
    <w:rsid w:val="0034677C"/>
    <w:rsid w:val="0034687B"/>
    <w:rsid w:val="00346F5D"/>
    <w:rsid w:val="0035061B"/>
    <w:rsid w:val="00350895"/>
    <w:rsid w:val="00350B77"/>
    <w:rsid w:val="0035105A"/>
    <w:rsid w:val="003524E6"/>
    <w:rsid w:val="00352731"/>
    <w:rsid w:val="003531F3"/>
    <w:rsid w:val="0035368A"/>
    <w:rsid w:val="00354318"/>
    <w:rsid w:val="003545F0"/>
    <w:rsid w:val="003545FC"/>
    <w:rsid w:val="00354D11"/>
    <w:rsid w:val="00357025"/>
    <w:rsid w:val="00357310"/>
    <w:rsid w:val="00360217"/>
    <w:rsid w:val="0036037C"/>
    <w:rsid w:val="0036093B"/>
    <w:rsid w:val="00360F25"/>
    <w:rsid w:val="003613B8"/>
    <w:rsid w:val="00361AB4"/>
    <w:rsid w:val="00362227"/>
    <w:rsid w:val="003631EB"/>
    <w:rsid w:val="0036421D"/>
    <w:rsid w:val="00365872"/>
    <w:rsid w:val="00366274"/>
    <w:rsid w:val="003664E8"/>
    <w:rsid w:val="0036716A"/>
    <w:rsid w:val="00367298"/>
    <w:rsid w:val="00367525"/>
    <w:rsid w:val="003676A9"/>
    <w:rsid w:val="003676CF"/>
    <w:rsid w:val="003678A7"/>
    <w:rsid w:val="003705F6"/>
    <w:rsid w:val="00371332"/>
    <w:rsid w:val="00371F77"/>
    <w:rsid w:val="003721F9"/>
    <w:rsid w:val="003725CD"/>
    <w:rsid w:val="003727C6"/>
    <w:rsid w:val="00372C99"/>
    <w:rsid w:val="00373947"/>
    <w:rsid w:val="00374249"/>
    <w:rsid w:val="00375B86"/>
    <w:rsid w:val="00376271"/>
    <w:rsid w:val="003765FE"/>
    <w:rsid w:val="00376C16"/>
    <w:rsid w:val="003772B7"/>
    <w:rsid w:val="003776EA"/>
    <w:rsid w:val="00377F90"/>
    <w:rsid w:val="003828D3"/>
    <w:rsid w:val="0038317D"/>
    <w:rsid w:val="003831F0"/>
    <w:rsid w:val="00383307"/>
    <w:rsid w:val="00383FC9"/>
    <w:rsid w:val="00384CBD"/>
    <w:rsid w:val="00384CF5"/>
    <w:rsid w:val="00385633"/>
    <w:rsid w:val="00385FEE"/>
    <w:rsid w:val="00386776"/>
    <w:rsid w:val="00387A75"/>
    <w:rsid w:val="00387AD6"/>
    <w:rsid w:val="0039024F"/>
    <w:rsid w:val="00390A63"/>
    <w:rsid w:val="00390AFB"/>
    <w:rsid w:val="00390C0B"/>
    <w:rsid w:val="00391648"/>
    <w:rsid w:val="0039180C"/>
    <w:rsid w:val="00391955"/>
    <w:rsid w:val="00391C02"/>
    <w:rsid w:val="00391EB5"/>
    <w:rsid w:val="0039573E"/>
    <w:rsid w:val="00396565"/>
    <w:rsid w:val="00396710"/>
    <w:rsid w:val="00396946"/>
    <w:rsid w:val="003A0E1F"/>
    <w:rsid w:val="003A0FB0"/>
    <w:rsid w:val="003A1DA7"/>
    <w:rsid w:val="003A1E02"/>
    <w:rsid w:val="003A2D87"/>
    <w:rsid w:val="003A309A"/>
    <w:rsid w:val="003A3C66"/>
    <w:rsid w:val="003A4118"/>
    <w:rsid w:val="003A510C"/>
    <w:rsid w:val="003A570F"/>
    <w:rsid w:val="003A5C82"/>
    <w:rsid w:val="003A611F"/>
    <w:rsid w:val="003A66ED"/>
    <w:rsid w:val="003A7973"/>
    <w:rsid w:val="003B1D4F"/>
    <w:rsid w:val="003B2AB8"/>
    <w:rsid w:val="003B2DFE"/>
    <w:rsid w:val="003B2F86"/>
    <w:rsid w:val="003B5423"/>
    <w:rsid w:val="003B5E0C"/>
    <w:rsid w:val="003B6377"/>
    <w:rsid w:val="003B72B4"/>
    <w:rsid w:val="003B749D"/>
    <w:rsid w:val="003B7AB4"/>
    <w:rsid w:val="003C15B4"/>
    <w:rsid w:val="003C1660"/>
    <w:rsid w:val="003C1B49"/>
    <w:rsid w:val="003C279C"/>
    <w:rsid w:val="003C30C8"/>
    <w:rsid w:val="003C371F"/>
    <w:rsid w:val="003C459E"/>
    <w:rsid w:val="003C46CF"/>
    <w:rsid w:val="003C49A3"/>
    <w:rsid w:val="003C4AFB"/>
    <w:rsid w:val="003C526A"/>
    <w:rsid w:val="003C582E"/>
    <w:rsid w:val="003C5C53"/>
    <w:rsid w:val="003C650D"/>
    <w:rsid w:val="003C69E7"/>
    <w:rsid w:val="003C7BCF"/>
    <w:rsid w:val="003D00C3"/>
    <w:rsid w:val="003D0F9F"/>
    <w:rsid w:val="003D120B"/>
    <w:rsid w:val="003D1A37"/>
    <w:rsid w:val="003D1B0F"/>
    <w:rsid w:val="003D1CD4"/>
    <w:rsid w:val="003D24C9"/>
    <w:rsid w:val="003D26AD"/>
    <w:rsid w:val="003D34EC"/>
    <w:rsid w:val="003D396B"/>
    <w:rsid w:val="003D3AE5"/>
    <w:rsid w:val="003D3E6F"/>
    <w:rsid w:val="003D4411"/>
    <w:rsid w:val="003D4760"/>
    <w:rsid w:val="003D568E"/>
    <w:rsid w:val="003D6806"/>
    <w:rsid w:val="003D6CF3"/>
    <w:rsid w:val="003D729F"/>
    <w:rsid w:val="003E00F0"/>
    <w:rsid w:val="003E10E8"/>
    <w:rsid w:val="003E1862"/>
    <w:rsid w:val="003E18D1"/>
    <w:rsid w:val="003E1AD0"/>
    <w:rsid w:val="003E1F06"/>
    <w:rsid w:val="003E3049"/>
    <w:rsid w:val="003E3113"/>
    <w:rsid w:val="003E38B8"/>
    <w:rsid w:val="003E38BA"/>
    <w:rsid w:val="003E4918"/>
    <w:rsid w:val="003E5557"/>
    <w:rsid w:val="003E5A7E"/>
    <w:rsid w:val="003E5ECD"/>
    <w:rsid w:val="003E6403"/>
    <w:rsid w:val="003E6822"/>
    <w:rsid w:val="003E6986"/>
    <w:rsid w:val="003E701F"/>
    <w:rsid w:val="003F1A89"/>
    <w:rsid w:val="003F22A7"/>
    <w:rsid w:val="003F2EA2"/>
    <w:rsid w:val="003F306F"/>
    <w:rsid w:val="003F4BA3"/>
    <w:rsid w:val="003F56DB"/>
    <w:rsid w:val="003F63C9"/>
    <w:rsid w:val="003F728D"/>
    <w:rsid w:val="003F7313"/>
    <w:rsid w:val="0040020E"/>
    <w:rsid w:val="00400231"/>
    <w:rsid w:val="0040054C"/>
    <w:rsid w:val="00400E01"/>
    <w:rsid w:val="00401760"/>
    <w:rsid w:val="00401B98"/>
    <w:rsid w:val="00401F9F"/>
    <w:rsid w:val="00401FD3"/>
    <w:rsid w:val="00402E2F"/>
    <w:rsid w:val="004031E3"/>
    <w:rsid w:val="00403F40"/>
    <w:rsid w:val="00404049"/>
    <w:rsid w:val="00404771"/>
    <w:rsid w:val="00404A39"/>
    <w:rsid w:val="00404DC1"/>
    <w:rsid w:val="0040515F"/>
    <w:rsid w:val="00405E31"/>
    <w:rsid w:val="004062BC"/>
    <w:rsid w:val="00406F85"/>
    <w:rsid w:val="004071F0"/>
    <w:rsid w:val="00407721"/>
    <w:rsid w:val="00410812"/>
    <w:rsid w:val="004118BE"/>
    <w:rsid w:val="00411C0C"/>
    <w:rsid w:val="00411C5F"/>
    <w:rsid w:val="00412A85"/>
    <w:rsid w:val="00412AC2"/>
    <w:rsid w:val="00413803"/>
    <w:rsid w:val="004139B7"/>
    <w:rsid w:val="00413CCF"/>
    <w:rsid w:val="00413CFE"/>
    <w:rsid w:val="004146A3"/>
    <w:rsid w:val="004146C5"/>
    <w:rsid w:val="00414C5B"/>
    <w:rsid w:val="00414F0B"/>
    <w:rsid w:val="004153CA"/>
    <w:rsid w:val="004155C7"/>
    <w:rsid w:val="004163C5"/>
    <w:rsid w:val="00416E21"/>
    <w:rsid w:val="00417C16"/>
    <w:rsid w:val="00417CEC"/>
    <w:rsid w:val="004201AB"/>
    <w:rsid w:val="004212A8"/>
    <w:rsid w:val="004215AF"/>
    <w:rsid w:val="00421BB7"/>
    <w:rsid w:val="00421F55"/>
    <w:rsid w:val="0042205B"/>
    <w:rsid w:val="00424799"/>
    <w:rsid w:val="00425DEA"/>
    <w:rsid w:val="00425EAB"/>
    <w:rsid w:val="00426A1D"/>
    <w:rsid w:val="00426A44"/>
    <w:rsid w:val="00426A76"/>
    <w:rsid w:val="00426B82"/>
    <w:rsid w:val="00427A23"/>
    <w:rsid w:val="00430728"/>
    <w:rsid w:val="00430772"/>
    <w:rsid w:val="00430965"/>
    <w:rsid w:val="00431B9D"/>
    <w:rsid w:val="00432B25"/>
    <w:rsid w:val="00433225"/>
    <w:rsid w:val="004336F8"/>
    <w:rsid w:val="00433B61"/>
    <w:rsid w:val="004343CC"/>
    <w:rsid w:val="0043488E"/>
    <w:rsid w:val="0043511A"/>
    <w:rsid w:val="00435525"/>
    <w:rsid w:val="00435957"/>
    <w:rsid w:val="00435AC5"/>
    <w:rsid w:val="0043626E"/>
    <w:rsid w:val="004364A8"/>
    <w:rsid w:val="004364ED"/>
    <w:rsid w:val="00441084"/>
    <w:rsid w:val="00441703"/>
    <w:rsid w:val="004426F1"/>
    <w:rsid w:val="00444486"/>
    <w:rsid w:val="00444BE7"/>
    <w:rsid w:val="00445C80"/>
    <w:rsid w:val="004467A8"/>
    <w:rsid w:val="0044745E"/>
    <w:rsid w:val="00450153"/>
    <w:rsid w:val="00450267"/>
    <w:rsid w:val="004504F2"/>
    <w:rsid w:val="00450D94"/>
    <w:rsid w:val="00450F21"/>
    <w:rsid w:val="00450FBB"/>
    <w:rsid w:val="00451B7A"/>
    <w:rsid w:val="00451C29"/>
    <w:rsid w:val="00451DD1"/>
    <w:rsid w:val="00451DE3"/>
    <w:rsid w:val="00451F36"/>
    <w:rsid w:val="00452238"/>
    <w:rsid w:val="00452B17"/>
    <w:rsid w:val="00452DDB"/>
    <w:rsid w:val="00453318"/>
    <w:rsid w:val="00454C63"/>
    <w:rsid w:val="004551C5"/>
    <w:rsid w:val="0045597D"/>
    <w:rsid w:val="00455C28"/>
    <w:rsid w:val="004564DC"/>
    <w:rsid w:val="004569F8"/>
    <w:rsid w:val="004574EE"/>
    <w:rsid w:val="00457ABA"/>
    <w:rsid w:val="00457B3D"/>
    <w:rsid w:val="00457D3D"/>
    <w:rsid w:val="00457E6C"/>
    <w:rsid w:val="0046167D"/>
    <w:rsid w:val="004618EF"/>
    <w:rsid w:val="00462450"/>
    <w:rsid w:val="0046294B"/>
    <w:rsid w:val="004630B3"/>
    <w:rsid w:val="004639E0"/>
    <w:rsid w:val="00463E72"/>
    <w:rsid w:val="004643CB"/>
    <w:rsid w:val="00464476"/>
    <w:rsid w:val="004647E5"/>
    <w:rsid w:val="0046487E"/>
    <w:rsid w:val="00464926"/>
    <w:rsid w:val="0046587A"/>
    <w:rsid w:val="00465AE7"/>
    <w:rsid w:val="00465DAC"/>
    <w:rsid w:val="004664F4"/>
    <w:rsid w:val="00467058"/>
    <w:rsid w:val="00467FCF"/>
    <w:rsid w:val="00470AED"/>
    <w:rsid w:val="0047488D"/>
    <w:rsid w:val="00475312"/>
    <w:rsid w:val="00476030"/>
    <w:rsid w:val="0047687A"/>
    <w:rsid w:val="00476E24"/>
    <w:rsid w:val="00477D3E"/>
    <w:rsid w:val="004800B8"/>
    <w:rsid w:val="00480F9E"/>
    <w:rsid w:val="004815DD"/>
    <w:rsid w:val="004818D0"/>
    <w:rsid w:val="00483727"/>
    <w:rsid w:val="0048374A"/>
    <w:rsid w:val="00483848"/>
    <w:rsid w:val="00483C04"/>
    <w:rsid w:val="00484E48"/>
    <w:rsid w:val="00485794"/>
    <w:rsid w:val="00485983"/>
    <w:rsid w:val="0048619E"/>
    <w:rsid w:val="00490282"/>
    <w:rsid w:val="0049093C"/>
    <w:rsid w:val="00491694"/>
    <w:rsid w:val="0049325A"/>
    <w:rsid w:val="00493E71"/>
    <w:rsid w:val="004946A4"/>
    <w:rsid w:val="0049493A"/>
    <w:rsid w:val="00494D78"/>
    <w:rsid w:val="00494EC7"/>
    <w:rsid w:val="00495331"/>
    <w:rsid w:val="00495AE2"/>
    <w:rsid w:val="00495D67"/>
    <w:rsid w:val="00496760"/>
    <w:rsid w:val="004970AE"/>
    <w:rsid w:val="00497CE9"/>
    <w:rsid w:val="004A0118"/>
    <w:rsid w:val="004A01B2"/>
    <w:rsid w:val="004A1074"/>
    <w:rsid w:val="004A1886"/>
    <w:rsid w:val="004A1905"/>
    <w:rsid w:val="004A2059"/>
    <w:rsid w:val="004A2182"/>
    <w:rsid w:val="004A2846"/>
    <w:rsid w:val="004A3AFA"/>
    <w:rsid w:val="004A40F2"/>
    <w:rsid w:val="004A4DDE"/>
    <w:rsid w:val="004A532F"/>
    <w:rsid w:val="004A5CFB"/>
    <w:rsid w:val="004A6BAF"/>
    <w:rsid w:val="004A72FA"/>
    <w:rsid w:val="004B1057"/>
    <w:rsid w:val="004B1713"/>
    <w:rsid w:val="004B193F"/>
    <w:rsid w:val="004B1E9C"/>
    <w:rsid w:val="004B2875"/>
    <w:rsid w:val="004B2C20"/>
    <w:rsid w:val="004B2D0D"/>
    <w:rsid w:val="004B367D"/>
    <w:rsid w:val="004B37EE"/>
    <w:rsid w:val="004B3A4B"/>
    <w:rsid w:val="004B3A52"/>
    <w:rsid w:val="004B3DAD"/>
    <w:rsid w:val="004B638C"/>
    <w:rsid w:val="004B64D9"/>
    <w:rsid w:val="004B6F9C"/>
    <w:rsid w:val="004B7698"/>
    <w:rsid w:val="004C09C6"/>
    <w:rsid w:val="004C1FBA"/>
    <w:rsid w:val="004C2B34"/>
    <w:rsid w:val="004C3D11"/>
    <w:rsid w:val="004C408F"/>
    <w:rsid w:val="004C411B"/>
    <w:rsid w:val="004C4136"/>
    <w:rsid w:val="004C4219"/>
    <w:rsid w:val="004C49EF"/>
    <w:rsid w:val="004C6D1D"/>
    <w:rsid w:val="004D018C"/>
    <w:rsid w:val="004D16FA"/>
    <w:rsid w:val="004D1748"/>
    <w:rsid w:val="004D32CF"/>
    <w:rsid w:val="004D34E4"/>
    <w:rsid w:val="004D353D"/>
    <w:rsid w:val="004D38B7"/>
    <w:rsid w:val="004D38DB"/>
    <w:rsid w:val="004D4292"/>
    <w:rsid w:val="004D4308"/>
    <w:rsid w:val="004D4DA0"/>
    <w:rsid w:val="004D5EB7"/>
    <w:rsid w:val="004D7393"/>
    <w:rsid w:val="004E024C"/>
    <w:rsid w:val="004E02AF"/>
    <w:rsid w:val="004E05FE"/>
    <w:rsid w:val="004E15E2"/>
    <w:rsid w:val="004E168C"/>
    <w:rsid w:val="004E17A0"/>
    <w:rsid w:val="004E2139"/>
    <w:rsid w:val="004E44E2"/>
    <w:rsid w:val="004E45D3"/>
    <w:rsid w:val="004E4B7A"/>
    <w:rsid w:val="004E4D2E"/>
    <w:rsid w:val="004E5823"/>
    <w:rsid w:val="004E593D"/>
    <w:rsid w:val="004E5A78"/>
    <w:rsid w:val="004E5F3D"/>
    <w:rsid w:val="004E7E78"/>
    <w:rsid w:val="004E7E84"/>
    <w:rsid w:val="004F034D"/>
    <w:rsid w:val="004F0E0D"/>
    <w:rsid w:val="004F19B5"/>
    <w:rsid w:val="004F29A8"/>
    <w:rsid w:val="004F2CA1"/>
    <w:rsid w:val="004F33AE"/>
    <w:rsid w:val="004F3CAE"/>
    <w:rsid w:val="004F4065"/>
    <w:rsid w:val="004F44B0"/>
    <w:rsid w:val="004F5399"/>
    <w:rsid w:val="004F5E47"/>
    <w:rsid w:val="004F6147"/>
    <w:rsid w:val="004F6ACC"/>
    <w:rsid w:val="004F6D3A"/>
    <w:rsid w:val="004F6F6F"/>
    <w:rsid w:val="004F70B5"/>
    <w:rsid w:val="00500F53"/>
    <w:rsid w:val="00501026"/>
    <w:rsid w:val="005011E7"/>
    <w:rsid w:val="00501587"/>
    <w:rsid w:val="00501B35"/>
    <w:rsid w:val="00501FAE"/>
    <w:rsid w:val="005029E8"/>
    <w:rsid w:val="005045FD"/>
    <w:rsid w:val="00504B6A"/>
    <w:rsid w:val="00504E04"/>
    <w:rsid w:val="00505306"/>
    <w:rsid w:val="0050566C"/>
    <w:rsid w:val="00505799"/>
    <w:rsid w:val="00505D96"/>
    <w:rsid w:val="0050615E"/>
    <w:rsid w:val="005063B3"/>
    <w:rsid w:val="00510F90"/>
    <w:rsid w:val="00511353"/>
    <w:rsid w:val="00511762"/>
    <w:rsid w:val="00512D9E"/>
    <w:rsid w:val="00513E8E"/>
    <w:rsid w:val="00516B5A"/>
    <w:rsid w:val="00516C0C"/>
    <w:rsid w:val="00516EB6"/>
    <w:rsid w:val="00516ECB"/>
    <w:rsid w:val="00517015"/>
    <w:rsid w:val="00517C23"/>
    <w:rsid w:val="005207BF"/>
    <w:rsid w:val="005211C6"/>
    <w:rsid w:val="0052168B"/>
    <w:rsid w:val="005218A8"/>
    <w:rsid w:val="00521E10"/>
    <w:rsid w:val="00522033"/>
    <w:rsid w:val="00523BDB"/>
    <w:rsid w:val="00523F89"/>
    <w:rsid w:val="0052444C"/>
    <w:rsid w:val="00525BC3"/>
    <w:rsid w:val="00525C72"/>
    <w:rsid w:val="00526457"/>
    <w:rsid w:val="00526781"/>
    <w:rsid w:val="00526C01"/>
    <w:rsid w:val="005277CC"/>
    <w:rsid w:val="00530803"/>
    <w:rsid w:val="00530B7C"/>
    <w:rsid w:val="00530C63"/>
    <w:rsid w:val="005312C5"/>
    <w:rsid w:val="00531C47"/>
    <w:rsid w:val="005325BC"/>
    <w:rsid w:val="00532F28"/>
    <w:rsid w:val="005332CD"/>
    <w:rsid w:val="005333B1"/>
    <w:rsid w:val="0053340E"/>
    <w:rsid w:val="005335ED"/>
    <w:rsid w:val="005339AC"/>
    <w:rsid w:val="00533CE6"/>
    <w:rsid w:val="005342C6"/>
    <w:rsid w:val="00534FB0"/>
    <w:rsid w:val="00535249"/>
    <w:rsid w:val="005357EF"/>
    <w:rsid w:val="005367F6"/>
    <w:rsid w:val="005368CB"/>
    <w:rsid w:val="005373F4"/>
    <w:rsid w:val="005375EB"/>
    <w:rsid w:val="00540228"/>
    <w:rsid w:val="00540331"/>
    <w:rsid w:val="005407A4"/>
    <w:rsid w:val="00540936"/>
    <w:rsid w:val="005410B3"/>
    <w:rsid w:val="00542947"/>
    <w:rsid w:val="00543144"/>
    <w:rsid w:val="00543185"/>
    <w:rsid w:val="0054390E"/>
    <w:rsid w:val="00544888"/>
    <w:rsid w:val="00544C2A"/>
    <w:rsid w:val="005452F8"/>
    <w:rsid w:val="00545413"/>
    <w:rsid w:val="0054543D"/>
    <w:rsid w:val="0054552F"/>
    <w:rsid w:val="00545616"/>
    <w:rsid w:val="00545F60"/>
    <w:rsid w:val="00545F91"/>
    <w:rsid w:val="00547A8A"/>
    <w:rsid w:val="00547FF4"/>
    <w:rsid w:val="00550952"/>
    <w:rsid w:val="00550A6B"/>
    <w:rsid w:val="005512EF"/>
    <w:rsid w:val="005518D1"/>
    <w:rsid w:val="00551B4B"/>
    <w:rsid w:val="005527DC"/>
    <w:rsid w:val="00552BB1"/>
    <w:rsid w:val="005539F1"/>
    <w:rsid w:val="00553A44"/>
    <w:rsid w:val="00553D63"/>
    <w:rsid w:val="00554614"/>
    <w:rsid w:val="00555AE0"/>
    <w:rsid w:val="00555BC5"/>
    <w:rsid w:val="005561C0"/>
    <w:rsid w:val="005569F9"/>
    <w:rsid w:val="00557307"/>
    <w:rsid w:val="00557F1C"/>
    <w:rsid w:val="00560E60"/>
    <w:rsid w:val="00561E10"/>
    <w:rsid w:val="00563371"/>
    <w:rsid w:val="00563482"/>
    <w:rsid w:val="0056392D"/>
    <w:rsid w:val="00564015"/>
    <w:rsid w:val="00564A94"/>
    <w:rsid w:val="00564C8D"/>
    <w:rsid w:val="00565209"/>
    <w:rsid w:val="0056567D"/>
    <w:rsid w:val="005658BE"/>
    <w:rsid w:val="00565FBB"/>
    <w:rsid w:val="0056727D"/>
    <w:rsid w:val="005677AE"/>
    <w:rsid w:val="00567EA7"/>
    <w:rsid w:val="005705DF"/>
    <w:rsid w:val="0057092B"/>
    <w:rsid w:val="005717F8"/>
    <w:rsid w:val="00571969"/>
    <w:rsid w:val="005719AB"/>
    <w:rsid w:val="0057309F"/>
    <w:rsid w:val="0057373A"/>
    <w:rsid w:val="0057436E"/>
    <w:rsid w:val="0057446F"/>
    <w:rsid w:val="00574936"/>
    <w:rsid w:val="005756EC"/>
    <w:rsid w:val="00575A74"/>
    <w:rsid w:val="00576044"/>
    <w:rsid w:val="005762C7"/>
    <w:rsid w:val="00576384"/>
    <w:rsid w:val="00580DDE"/>
    <w:rsid w:val="00581A82"/>
    <w:rsid w:val="00581E1D"/>
    <w:rsid w:val="00582253"/>
    <w:rsid w:val="00582348"/>
    <w:rsid w:val="005827A3"/>
    <w:rsid w:val="00582F03"/>
    <w:rsid w:val="005837A0"/>
    <w:rsid w:val="00583E00"/>
    <w:rsid w:val="00584162"/>
    <w:rsid w:val="005844B8"/>
    <w:rsid w:val="0058455A"/>
    <w:rsid w:val="005848C7"/>
    <w:rsid w:val="00584BD7"/>
    <w:rsid w:val="00584C0F"/>
    <w:rsid w:val="00584E2B"/>
    <w:rsid w:val="005854A1"/>
    <w:rsid w:val="00586CDF"/>
    <w:rsid w:val="005908AE"/>
    <w:rsid w:val="00590A6F"/>
    <w:rsid w:val="0059212E"/>
    <w:rsid w:val="005923D4"/>
    <w:rsid w:val="00593A40"/>
    <w:rsid w:val="00593AB8"/>
    <w:rsid w:val="00593D76"/>
    <w:rsid w:val="00594BDE"/>
    <w:rsid w:val="0059526B"/>
    <w:rsid w:val="00595A25"/>
    <w:rsid w:val="00596413"/>
    <w:rsid w:val="00596697"/>
    <w:rsid w:val="00596CF1"/>
    <w:rsid w:val="00596DD8"/>
    <w:rsid w:val="00597080"/>
    <w:rsid w:val="00597CE6"/>
    <w:rsid w:val="005A01A9"/>
    <w:rsid w:val="005A06E3"/>
    <w:rsid w:val="005A171A"/>
    <w:rsid w:val="005A1DC4"/>
    <w:rsid w:val="005A1EB9"/>
    <w:rsid w:val="005A1FEB"/>
    <w:rsid w:val="005A219E"/>
    <w:rsid w:val="005A36D8"/>
    <w:rsid w:val="005A5151"/>
    <w:rsid w:val="005A5563"/>
    <w:rsid w:val="005A6F7A"/>
    <w:rsid w:val="005A7081"/>
    <w:rsid w:val="005A70FE"/>
    <w:rsid w:val="005B004D"/>
    <w:rsid w:val="005B0150"/>
    <w:rsid w:val="005B1DB3"/>
    <w:rsid w:val="005B2BB3"/>
    <w:rsid w:val="005B3E7E"/>
    <w:rsid w:val="005B5330"/>
    <w:rsid w:val="005B5A9D"/>
    <w:rsid w:val="005C032D"/>
    <w:rsid w:val="005C0C33"/>
    <w:rsid w:val="005C0D78"/>
    <w:rsid w:val="005C1ECD"/>
    <w:rsid w:val="005C29FA"/>
    <w:rsid w:val="005C34DB"/>
    <w:rsid w:val="005C37A3"/>
    <w:rsid w:val="005C3BE5"/>
    <w:rsid w:val="005C42E6"/>
    <w:rsid w:val="005C44BA"/>
    <w:rsid w:val="005C4EEF"/>
    <w:rsid w:val="005C4FEB"/>
    <w:rsid w:val="005C5604"/>
    <w:rsid w:val="005C5629"/>
    <w:rsid w:val="005C57A9"/>
    <w:rsid w:val="005C5D7E"/>
    <w:rsid w:val="005C5F1C"/>
    <w:rsid w:val="005C674F"/>
    <w:rsid w:val="005C6C6D"/>
    <w:rsid w:val="005D0D27"/>
    <w:rsid w:val="005D1308"/>
    <w:rsid w:val="005D1F23"/>
    <w:rsid w:val="005D1FA3"/>
    <w:rsid w:val="005D1FF4"/>
    <w:rsid w:val="005D3118"/>
    <w:rsid w:val="005D3F5E"/>
    <w:rsid w:val="005D4FC7"/>
    <w:rsid w:val="005D5138"/>
    <w:rsid w:val="005D57A1"/>
    <w:rsid w:val="005D592F"/>
    <w:rsid w:val="005D5B34"/>
    <w:rsid w:val="005D5E0F"/>
    <w:rsid w:val="005D5FB8"/>
    <w:rsid w:val="005D68D7"/>
    <w:rsid w:val="005E008F"/>
    <w:rsid w:val="005E020B"/>
    <w:rsid w:val="005E0256"/>
    <w:rsid w:val="005E0A5F"/>
    <w:rsid w:val="005E0AE7"/>
    <w:rsid w:val="005E1736"/>
    <w:rsid w:val="005E247D"/>
    <w:rsid w:val="005E2490"/>
    <w:rsid w:val="005E4C73"/>
    <w:rsid w:val="005E5057"/>
    <w:rsid w:val="005E51DB"/>
    <w:rsid w:val="005E5884"/>
    <w:rsid w:val="005E5D92"/>
    <w:rsid w:val="005E7244"/>
    <w:rsid w:val="005E7CE0"/>
    <w:rsid w:val="005F05B8"/>
    <w:rsid w:val="005F0E56"/>
    <w:rsid w:val="005F0F49"/>
    <w:rsid w:val="005F107A"/>
    <w:rsid w:val="005F1265"/>
    <w:rsid w:val="005F126C"/>
    <w:rsid w:val="005F1847"/>
    <w:rsid w:val="005F2913"/>
    <w:rsid w:val="005F33FB"/>
    <w:rsid w:val="005F3A94"/>
    <w:rsid w:val="005F3B15"/>
    <w:rsid w:val="005F49A7"/>
    <w:rsid w:val="005F49B6"/>
    <w:rsid w:val="005F56BA"/>
    <w:rsid w:val="005F6868"/>
    <w:rsid w:val="005F6A29"/>
    <w:rsid w:val="005F6D55"/>
    <w:rsid w:val="006014CD"/>
    <w:rsid w:val="00601528"/>
    <w:rsid w:val="0060250E"/>
    <w:rsid w:val="00602F9A"/>
    <w:rsid w:val="0060313C"/>
    <w:rsid w:val="0060317F"/>
    <w:rsid w:val="00603791"/>
    <w:rsid w:val="00603D65"/>
    <w:rsid w:val="0060587D"/>
    <w:rsid w:val="00605FE6"/>
    <w:rsid w:val="00607838"/>
    <w:rsid w:val="00607ED0"/>
    <w:rsid w:val="006106FB"/>
    <w:rsid w:val="0061080D"/>
    <w:rsid w:val="00611B99"/>
    <w:rsid w:val="00611DCF"/>
    <w:rsid w:val="006121B9"/>
    <w:rsid w:val="0061284B"/>
    <w:rsid w:val="00613B34"/>
    <w:rsid w:val="00614765"/>
    <w:rsid w:val="00614802"/>
    <w:rsid w:val="00614B59"/>
    <w:rsid w:val="00614D8A"/>
    <w:rsid w:val="006155D8"/>
    <w:rsid w:val="00616B6F"/>
    <w:rsid w:val="00617638"/>
    <w:rsid w:val="006177C0"/>
    <w:rsid w:val="006206D6"/>
    <w:rsid w:val="0062137D"/>
    <w:rsid w:val="00621679"/>
    <w:rsid w:val="00621FC1"/>
    <w:rsid w:val="006221D8"/>
    <w:rsid w:val="006234BA"/>
    <w:rsid w:val="006234D2"/>
    <w:rsid w:val="006236A1"/>
    <w:rsid w:val="006238DF"/>
    <w:rsid w:val="00623DCA"/>
    <w:rsid w:val="00623FAA"/>
    <w:rsid w:val="006240C3"/>
    <w:rsid w:val="006246C9"/>
    <w:rsid w:val="00625C4E"/>
    <w:rsid w:val="00626C0F"/>
    <w:rsid w:val="00626EFA"/>
    <w:rsid w:val="00627366"/>
    <w:rsid w:val="006275B7"/>
    <w:rsid w:val="00627B12"/>
    <w:rsid w:val="0063013C"/>
    <w:rsid w:val="00630372"/>
    <w:rsid w:val="00630577"/>
    <w:rsid w:val="0063059C"/>
    <w:rsid w:val="00631111"/>
    <w:rsid w:val="00631497"/>
    <w:rsid w:val="006319CC"/>
    <w:rsid w:val="0063208B"/>
    <w:rsid w:val="0063211F"/>
    <w:rsid w:val="006323D3"/>
    <w:rsid w:val="00633816"/>
    <w:rsid w:val="00633A0F"/>
    <w:rsid w:val="006344C3"/>
    <w:rsid w:val="00634953"/>
    <w:rsid w:val="006356E2"/>
    <w:rsid w:val="0063574C"/>
    <w:rsid w:val="0063583B"/>
    <w:rsid w:val="00635EA0"/>
    <w:rsid w:val="00637BDE"/>
    <w:rsid w:val="00641D40"/>
    <w:rsid w:val="00641D82"/>
    <w:rsid w:val="00642030"/>
    <w:rsid w:val="00643989"/>
    <w:rsid w:val="00643AE9"/>
    <w:rsid w:val="006449A8"/>
    <w:rsid w:val="00644A1C"/>
    <w:rsid w:val="00644DBE"/>
    <w:rsid w:val="00644FD0"/>
    <w:rsid w:val="006460C0"/>
    <w:rsid w:val="00647174"/>
    <w:rsid w:val="0065028A"/>
    <w:rsid w:val="00650AB3"/>
    <w:rsid w:val="00652295"/>
    <w:rsid w:val="00653731"/>
    <w:rsid w:val="0065471E"/>
    <w:rsid w:val="006547BC"/>
    <w:rsid w:val="0065483E"/>
    <w:rsid w:val="006554A5"/>
    <w:rsid w:val="00655894"/>
    <w:rsid w:val="00656419"/>
    <w:rsid w:val="006569A5"/>
    <w:rsid w:val="00656E08"/>
    <w:rsid w:val="00657BC6"/>
    <w:rsid w:val="00657D07"/>
    <w:rsid w:val="00660B19"/>
    <w:rsid w:val="00660D00"/>
    <w:rsid w:val="006613A6"/>
    <w:rsid w:val="00661D46"/>
    <w:rsid w:val="00661F58"/>
    <w:rsid w:val="00662024"/>
    <w:rsid w:val="00662458"/>
    <w:rsid w:val="006625DE"/>
    <w:rsid w:val="00662988"/>
    <w:rsid w:val="00663ED8"/>
    <w:rsid w:val="006647A1"/>
    <w:rsid w:val="00665678"/>
    <w:rsid w:val="00666175"/>
    <w:rsid w:val="00666B6E"/>
    <w:rsid w:val="00667081"/>
    <w:rsid w:val="0066794A"/>
    <w:rsid w:val="0067005D"/>
    <w:rsid w:val="006700CB"/>
    <w:rsid w:val="0067017D"/>
    <w:rsid w:val="00671349"/>
    <w:rsid w:val="006734C6"/>
    <w:rsid w:val="0067376A"/>
    <w:rsid w:val="00673BED"/>
    <w:rsid w:val="00675004"/>
    <w:rsid w:val="00676B24"/>
    <w:rsid w:val="006773F2"/>
    <w:rsid w:val="00677524"/>
    <w:rsid w:val="0067797E"/>
    <w:rsid w:val="00681DEA"/>
    <w:rsid w:val="00682AFE"/>
    <w:rsid w:val="006834C3"/>
    <w:rsid w:val="00683878"/>
    <w:rsid w:val="00683BDC"/>
    <w:rsid w:val="00683E5B"/>
    <w:rsid w:val="00683EE2"/>
    <w:rsid w:val="00684E63"/>
    <w:rsid w:val="00685238"/>
    <w:rsid w:val="006853C7"/>
    <w:rsid w:val="0068620D"/>
    <w:rsid w:val="00687260"/>
    <w:rsid w:val="00687BF0"/>
    <w:rsid w:val="0069183C"/>
    <w:rsid w:val="006929D7"/>
    <w:rsid w:val="00692E48"/>
    <w:rsid w:val="006935A4"/>
    <w:rsid w:val="00693702"/>
    <w:rsid w:val="00693A64"/>
    <w:rsid w:val="00693CF4"/>
    <w:rsid w:val="00694C2D"/>
    <w:rsid w:val="006950D3"/>
    <w:rsid w:val="00695C3A"/>
    <w:rsid w:val="0069622D"/>
    <w:rsid w:val="00696DCE"/>
    <w:rsid w:val="00697670"/>
    <w:rsid w:val="00697854"/>
    <w:rsid w:val="00697927"/>
    <w:rsid w:val="006A02D9"/>
    <w:rsid w:val="006A08EA"/>
    <w:rsid w:val="006A3470"/>
    <w:rsid w:val="006A377A"/>
    <w:rsid w:val="006A54E7"/>
    <w:rsid w:val="006A573D"/>
    <w:rsid w:val="006A5E08"/>
    <w:rsid w:val="006A644D"/>
    <w:rsid w:val="006A7018"/>
    <w:rsid w:val="006A74B3"/>
    <w:rsid w:val="006B0084"/>
    <w:rsid w:val="006B0484"/>
    <w:rsid w:val="006B04BA"/>
    <w:rsid w:val="006B064F"/>
    <w:rsid w:val="006B06E3"/>
    <w:rsid w:val="006B0995"/>
    <w:rsid w:val="006B0E9C"/>
    <w:rsid w:val="006B1295"/>
    <w:rsid w:val="006B2117"/>
    <w:rsid w:val="006B355B"/>
    <w:rsid w:val="006B3620"/>
    <w:rsid w:val="006B3905"/>
    <w:rsid w:val="006B4B1E"/>
    <w:rsid w:val="006B4B3D"/>
    <w:rsid w:val="006B4D84"/>
    <w:rsid w:val="006B4D8B"/>
    <w:rsid w:val="006B558C"/>
    <w:rsid w:val="006B5A6A"/>
    <w:rsid w:val="006B6385"/>
    <w:rsid w:val="006B65A2"/>
    <w:rsid w:val="006B70A7"/>
    <w:rsid w:val="006B7CCA"/>
    <w:rsid w:val="006C0743"/>
    <w:rsid w:val="006C17A1"/>
    <w:rsid w:val="006C1B4E"/>
    <w:rsid w:val="006C2163"/>
    <w:rsid w:val="006C2645"/>
    <w:rsid w:val="006C2778"/>
    <w:rsid w:val="006C2C0D"/>
    <w:rsid w:val="006C377F"/>
    <w:rsid w:val="006C4780"/>
    <w:rsid w:val="006C4E3C"/>
    <w:rsid w:val="006C50EF"/>
    <w:rsid w:val="006C53B0"/>
    <w:rsid w:val="006C565F"/>
    <w:rsid w:val="006C5672"/>
    <w:rsid w:val="006C586E"/>
    <w:rsid w:val="006C61C6"/>
    <w:rsid w:val="006C63E2"/>
    <w:rsid w:val="006C6B12"/>
    <w:rsid w:val="006C798A"/>
    <w:rsid w:val="006C7CA5"/>
    <w:rsid w:val="006C7D60"/>
    <w:rsid w:val="006D2803"/>
    <w:rsid w:val="006D4632"/>
    <w:rsid w:val="006D4936"/>
    <w:rsid w:val="006D4B11"/>
    <w:rsid w:val="006D4F63"/>
    <w:rsid w:val="006D5737"/>
    <w:rsid w:val="006D599B"/>
    <w:rsid w:val="006D5E43"/>
    <w:rsid w:val="006D6372"/>
    <w:rsid w:val="006D6739"/>
    <w:rsid w:val="006E03E7"/>
    <w:rsid w:val="006E1FEF"/>
    <w:rsid w:val="006E2952"/>
    <w:rsid w:val="006E2F8E"/>
    <w:rsid w:val="006E6508"/>
    <w:rsid w:val="006E7355"/>
    <w:rsid w:val="006E7EA5"/>
    <w:rsid w:val="006F16D3"/>
    <w:rsid w:val="006F1E01"/>
    <w:rsid w:val="006F29B4"/>
    <w:rsid w:val="006F2CB9"/>
    <w:rsid w:val="006F2D72"/>
    <w:rsid w:val="006F331F"/>
    <w:rsid w:val="006F3448"/>
    <w:rsid w:val="006F3787"/>
    <w:rsid w:val="006F5656"/>
    <w:rsid w:val="006F5CFD"/>
    <w:rsid w:val="006F6363"/>
    <w:rsid w:val="006F6804"/>
    <w:rsid w:val="006F7D8D"/>
    <w:rsid w:val="00700A5D"/>
    <w:rsid w:val="007013E3"/>
    <w:rsid w:val="00701C15"/>
    <w:rsid w:val="00701C87"/>
    <w:rsid w:val="0070232E"/>
    <w:rsid w:val="007023BB"/>
    <w:rsid w:val="00702767"/>
    <w:rsid w:val="00702AB5"/>
    <w:rsid w:val="0070306C"/>
    <w:rsid w:val="00703317"/>
    <w:rsid w:val="00703327"/>
    <w:rsid w:val="00703886"/>
    <w:rsid w:val="007038D6"/>
    <w:rsid w:val="00703C83"/>
    <w:rsid w:val="00703FAD"/>
    <w:rsid w:val="00704F1E"/>
    <w:rsid w:val="007053D0"/>
    <w:rsid w:val="00705678"/>
    <w:rsid w:val="00705DA9"/>
    <w:rsid w:val="00706904"/>
    <w:rsid w:val="00706C97"/>
    <w:rsid w:val="00707EFB"/>
    <w:rsid w:val="007102D8"/>
    <w:rsid w:val="0071061C"/>
    <w:rsid w:val="00710849"/>
    <w:rsid w:val="007110AB"/>
    <w:rsid w:val="00711160"/>
    <w:rsid w:val="00711963"/>
    <w:rsid w:val="00711E89"/>
    <w:rsid w:val="00711F8B"/>
    <w:rsid w:val="00712153"/>
    <w:rsid w:val="0071309D"/>
    <w:rsid w:val="007145CE"/>
    <w:rsid w:val="007149FF"/>
    <w:rsid w:val="00714BD7"/>
    <w:rsid w:val="00716CE6"/>
    <w:rsid w:val="007171CD"/>
    <w:rsid w:val="007177AF"/>
    <w:rsid w:val="00717E0F"/>
    <w:rsid w:val="00720679"/>
    <w:rsid w:val="007224C2"/>
    <w:rsid w:val="0072296E"/>
    <w:rsid w:val="00724290"/>
    <w:rsid w:val="007257BF"/>
    <w:rsid w:val="00725F98"/>
    <w:rsid w:val="00727149"/>
    <w:rsid w:val="007271D2"/>
    <w:rsid w:val="007275B0"/>
    <w:rsid w:val="00727810"/>
    <w:rsid w:val="00727D68"/>
    <w:rsid w:val="007300BC"/>
    <w:rsid w:val="0073016F"/>
    <w:rsid w:val="007301EA"/>
    <w:rsid w:val="007308E5"/>
    <w:rsid w:val="0073158E"/>
    <w:rsid w:val="00731DAC"/>
    <w:rsid w:val="00732B45"/>
    <w:rsid w:val="007335C9"/>
    <w:rsid w:val="00733ED3"/>
    <w:rsid w:val="007341C6"/>
    <w:rsid w:val="00734F16"/>
    <w:rsid w:val="00734F76"/>
    <w:rsid w:val="007354D3"/>
    <w:rsid w:val="00736CAF"/>
    <w:rsid w:val="007376A4"/>
    <w:rsid w:val="00737B84"/>
    <w:rsid w:val="00737B90"/>
    <w:rsid w:val="00737E75"/>
    <w:rsid w:val="00741499"/>
    <w:rsid w:val="00741600"/>
    <w:rsid w:val="007424FF"/>
    <w:rsid w:val="007425F3"/>
    <w:rsid w:val="0074277B"/>
    <w:rsid w:val="007427E7"/>
    <w:rsid w:val="00742A03"/>
    <w:rsid w:val="00742AC1"/>
    <w:rsid w:val="007432DC"/>
    <w:rsid w:val="00743490"/>
    <w:rsid w:val="00743F58"/>
    <w:rsid w:val="0074553B"/>
    <w:rsid w:val="0074594B"/>
    <w:rsid w:val="00745C37"/>
    <w:rsid w:val="00746142"/>
    <w:rsid w:val="00746330"/>
    <w:rsid w:val="007466FD"/>
    <w:rsid w:val="00746912"/>
    <w:rsid w:val="00746FD1"/>
    <w:rsid w:val="007502E8"/>
    <w:rsid w:val="007505C0"/>
    <w:rsid w:val="0075086B"/>
    <w:rsid w:val="007517BF"/>
    <w:rsid w:val="00752389"/>
    <w:rsid w:val="007523E3"/>
    <w:rsid w:val="00752955"/>
    <w:rsid w:val="00752B39"/>
    <w:rsid w:val="00752C4A"/>
    <w:rsid w:val="007536D8"/>
    <w:rsid w:val="00753C83"/>
    <w:rsid w:val="00754881"/>
    <w:rsid w:val="00754910"/>
    <w:rsid w:val="00754FE3"/>
    <w:rsid w:val="00755247"/>
    <w:rsid w:val="0075548F"/>
    <w:rsid w:val="007557C6"/>
    <w:rsid w:val="0075664D"/>
    <w:rsid w:val="007576A1"/>
    <w:rsid w:val="00757EC6"/>
    <w:rsid w:val="0076106C"/>
    <w:rsid w:val="00761EB4"/>
    <w:rsid w:val="00761F05"/>
    <w:rsid w:val="007639D1"/>
    <w:rsid w:val="007642A0"/>
    <w:rsid w:val="00764B7B"/>
    <w:rsid w:val="007660E8"/>
    <w:rsid w:val="0076630A"/>
    <w:rsid w:val="007667A2"/>
    <w:rsid w:val="0076696F"/>
    <w:rsid w:val="00766B4B"/>
    <w:rsid w:val="00766C8D"/>
    <w:rsid w:val="0076750C"/>
    <w:rsid w:val="007676BD"/>
    <w:rsid w:val="00767D64"/>
    <w:rsid w:val="007702DD"/>
    <w:rsid w:val="007706AF"/>
    <w:rsid w:val="007722BD"/>
    <w:rsid w:val="00772569"/>
    <w:rsid w:val="00772652"/>
    <w:rsid w:val="00774EB4"/>
    <w:rsid w:val="00775191"/>
    <w:rsid w:val="00775837"/>
    <w:rsid w:val="00775948"/>
    <w:rsid w:val="00775C4E"/>
    <w:rsid w:val="00775EEB"/>
    <w:rsid w:val="007761ED"/>
    <w:rsid w:val="007769E8"/>
    <w:rsid w:val="007807ED"/>
    <w:rsid w:val="00780CD7"/>
    <w:rsid w:val="0078134E"/>
    <w:rsid w:val="007818E3"/>
    <w:rsid w:val="00781D06"/>
    <w:rsid w:val="00781DD3"/>
    <w:rsid w:val="00782459"/>
    <w:rsid w:val="00782901"/>
    <w:rsid w:val="00782C5B"/>
    <w:rsid w:val="00782EB2"/>
    <w:rsid w:val="00783302"/>
    <w:rsid w:val="0078367C"/>
    <w:rsid w:val="007846C1"/>
    <w:rsid w:val="007848AE"/>
    <w:rsid w:val="007854C9"/>
    <w:rsid w:val="00785855"/>
    <w:rsid w:val="00785E35"/>
    <w:rsid w:val="00787546"/>
    <w:rsid w:val="007878ED"/>
    <w:rsid w:val="007910CC"/>
    <w:rsid w:val="0079145F"/>
    <w:rsid w:val="00791CEE"/>
    <w:rsid w:val="00792198"/>
    <w:rsid w:val="00792352"/>
    <w:rsid w:val="0079294A"/>
    <w:rsid w:val="00793FD0"/>
    <w:rsid w:val="0079464F"/>
    <w:rsid w:val="007948B6"/>
    <w:rsid w:val="00794E3B"/>
    <w:rsid w:val="007968AA"/>
    <w:rsid w:val="007969D2"/>
    <w:rsid w:val="00797CDD"/>
    <w:rsid w:val="007A02B5"/>
    <w:rsid w:val="007A0636"/>
    <w:rsid w:val="007A0ED3"/>
    <w:rsid w:val="007A1AFA"/>
    <w:rsid w:val="007A1C9F"/>
    <w:rsid w:val="007A2924"/>
    <w:rsid w:val="007A3A8D"/>
    <w:rsid w:val="007A3FAE"/>
    <w:rsid w:val="007A4739"/>
    <w:rsid w:val="007A4B1F"/>
    <w:rsid w:val="007A4BC2"/>
    <w:rsid w:val="007A5481"/>
    <w:rsid w:val="007A5D9C"/>
    <w:rsid w:val="007A60CB"/>
    <w:rsid w:val="007A706D"/>
    <w:rsid w:val="007A7509"/>
    <w:rsid w:val="007A7AE1"/>
    <w:rsid w:val="007A7B37"/>
    <w:rsid w:val="007B02F5"/>
    <w:rsid w:val="007B0B24"/>
    <w:rsid w:val="007B10A7"/>
    <w:rsid w:val="007B16A7"/>
    <w:rsid w:val="007B172C"/>
    <w:rsid w:val="007B27B4"/>
    <w:rsid w:val="007B44B5"/>
    <w:rsid w:val="007B49A7"/>
    <w:rsid w:val="007B524B"/>
    <w:rsid w:val="007B58E3"/>
    <w:rsid w:val="007B6791"/>
    <w:rsid w:val="007B6A69"/>
    <w:rsid w:val="007B7237"/>
    <w:rsid w:val="007C0D5F"/>
    <w:rsid w:val="007C1B00"/>
    <w:rsid w:val="007C20D4"/>
    <w:rsid w:val="007C2B40"/>
    <w:rsid w:val="007C2E66"/>
    <w:rsid w:val="007C306E"/>
    <w:rsid w:val="007C3698"/>
    <w:rsid w:val="007C3E80"/>
    <w:rsid w:val="007C46F1"/>
    <w:rsid w:val="007C606C"/>
    <w:rsid w:val="007C6936"/>
    <w:rsid w:val="007C6D17"/>
    <w:rsid w:val="007C6E44"/>
    <w:rsid w:val="007C7D7D"/>
    <w:rsid w:val="007D16CC"/>
    <w:rsid w:val="007D18F7"/>
    <w:rsid w:val="007D204D"/>
    <w:rsid w:val="007D2C48"/>
    <w:rsid w:val="007D2C80"/>
    <w:rsid w:val="007D2C81"/>
    <w:rsid w:val="007D39E3"/>
    <w:rsid w:val="007D548B"/>
    <w:rsid w:val="007D5E51"/>
    <w:rsid w:val="007D6A54"/>
    <w:rsid w:val="007D6EA7"/>
    <w:rsid w:val="007D7258"/>
    <w:rsid w:val="007D7353"/>
    <w:rsid w:val="007E0570"/>
    <w:rsid w:val="007E1B3B"/>
    <w:rsid w:val="007E1EA9"/>
    <w:rsid w:val="007E1F65"/>
    <w:rsid w:val="007E216F"/>
    <w:rsid w:val="007E3659"/>
    <w:rsid w:val="007E3FB5"/>
    <w:rsid w:val="007E5139"/>
    <w:rsid w:val="007E5833"/>
    <w:rsid w:val="007E58D0"/>
    <w:rsid w:val="007E5B29"/>
    <w:rsid w:val="007E6E5F"/>
    <w:rsid w:val="007E79EB"/>
    <w:rsid w:val="007E7A8A"/>
    <w:rsid w:val="007F0025"/>
    <w:rsid w:val="007F039C"/>
    <w:rsid w:val="007F1ED8"/>
    <w:rsid w:val="007F2059"/>
    <w:rsid w:val="007F25E1"/>
    <w:rsid w:val="007F2CAA"/>
    <w:rsid w:val="007F369E"/>
    <w:rsid w:val="007F373C"/>
    <w:rsid w:val="007F4EE0"/>
    <w:rsid w:val="007F5201"/>
    <w:rsid w:val="007F5353"/>
    <w:rsid w:val="007F58FD"/>
    <w:rsid w:val="007F5DF0"/>
    <w:rsid w:val="007F7F82"/>
    <w:rsid w:val="00800523"/>
    <w:rsid w:val="00802775"/>
    <w:rsid w:val="00802D68"/>
    <w:rsid w:val="00803D09"/>
    <w:rsid w:val="008046CE"/>
    <w:rsid w:val="00804D62"/>
    <w:rsid w:val="00804EA8"/>
    <w:rsid w:val="0080545B"/>
    <w:rsid w:val="008054FF"/>
    <w:rsid w:val="008066EA"/>
    <w:rsid w:val="00807290"/>
    <w:rsid w:val="00810281"/>
    <w:rsid w:val="00810324"/>
    <w:rsid w:val="0081043C"/>
    <w:rsid w:val="008104A8"/>
    <w:rsid w:val="008119F7"/>
    <w:rsid w:val="0081255F"/>
    <w:rsid w:val="008125F5"/>
    <w:rsid w:val="008128A3"/>
    <w:rsid w:val="00812E97"/>
    <w:rsid w:val="008132A1"/>
    <w:rsid w:val="008133FD"/>
    <w:rsid w:val="00813704"/>
    <w:rsid w:val="00813C86"/>
    <w:rsid w:val="00814D2B"/>
    <w:rsid w:val="00814E10"/>
    <w:rsid w:val="00814F75"/>
    <w:rsid w:val="00815997"/>
    <w:rsid w:val="00815D06"/>
    <w:rsid w:val="00816131"/>
    <w:rsid w:val="00816AC7"/>
    <w:rsid w:val="00816DC8"/>
    <w:rsid w:val="008176D1"/>
    <w:rsid w:val="00817BFA"/>
    <w:rsid w:val="00820C85"/>
    <w:rsid w:val="0082148F"/>
    <w:rsid w:val="00821EB8"/>
    <w:rsid w:val="00822C35"/>
    <w:rsid w:val="0082378B"/>
    <w:rsid w:val="00823E86"/>
    <w:rsid w:val="008246F2"/>
    <w:rsid w:val="008247A3"/>
    <w:rsid w:val="008249F1"/>
    <w:rsid w:val="00824A11"/>
    <w:rsid w:val="00824A63"/>
    <w:rsid w:val="00824A7D"/>
    <w:rsid w:val="00824AE2"/>
    <w:rsid w:val="00824C51"/>
    <w:rsid w:val="008250F2"/>
    <w:rsid w:val="0082524B"/>
    <w:rsid w:val="0082724F"/>
    <w:rsid w:val="008272FE"/>
    <w:rsid w:val="008276BD"/>
    <w:rsid w:val="00830825"/>
    <w:rsid w:val="00832458"/>
    <w:rsid w:val="00832D07"/>
    <w:rsid w:val="00832EE0"/>
    <w:rsid w:val="00832FA4"/>
    <w:rsid w:val="008334C5"/>
    <w:rsid w:val="00833CD5"/>
    <w:rsid w:val="00836006"/>
    <w:rsid w:val="00841386"/>
    <w:rsid w:val="00841CCA"/>
    <w:rsid w:val="00841D74"/>
    <w:rsid w:val="00841DEA"/>
    <w:rsid w:val="008429FA"/>
    <w:rsid w:val="008430CF"/>
    <w:rsid w:val="00843AC8"/>
    <w:rsid w:val="00843D12"/>
    <w:rsid w:val="0084473E"/>
    <w:rsid w:val="008456C1"/>
    <w:rsid w:val="00845964"/>
    <w:rsid w:val="00845D2C"/>
    <w:rsid w:val="00846570"/>
    <w:rsid w:val="0084679C"/>
    <w:rsid w:val="008469A4"/>
    <w:rsid w:val="00847B84"/>
    <w:rsid w:val="008501CA"/>
    <w:rsid w:val="00850B32"/>
    <w:rsid w:val="00850BB1"/>
    <w:rsid w:val="00850D22"/>
    <w:rsid w:val="0085272E"/>
    <w:rsid w:val="008530E4"/>
    <w:rsid w:val="008533C7"/>
    <w:rsid w:val="00853739"/>
    <w:rsid w:val="008546BD"/>
    <w:rsid w:val="00854D72"/>
    <w:rsid w:val="00854DB7"/>
    <w:rsid w:val="00856013"/>
    <w:rsid w:val="0085616A"/>
    <w:rsid w:val="00856317"/>
    <w:rsid w:val="00856370"/>
    <w:rsid w:val="00856AA3"/>
    <w:rsid w:val="008577D3"/>
    <w:rsid w:val="008578C3"/>
    <w:rsid w:val="00857DB2"/>
    <w:rsid w:val="0086065F"/>
    <w:rsid w:val="00860D65"/>
    <w:rsid w:val="00860E65"/>
    <w:rsid w:val="00862E86"/>
    <w:rsid w:val="008634C0"/>
    <w:rsid w:val="0086397B"/>
    <w:rsid w:val="00863EBD"/>
    <w:rsid w:val="00863EF5"/>
    <w:rsid w:val="00864596"/>
    <w:rsid w:val="00864E6D"/>
    <w:rsid w:val="00865BE2"/>
    <w:rsid w:val="00865F7F"/>
    <w:rsid w:val="008663C3"/>
    <w:rsid w:val="00866CF8"/>
    <w:rsid w:val="0086712E"/>
    <w:rsid w:val="008672C4"/>
    <w:rsid w:val="00867F2C"/>
    <w:rsid w:val="0087030F"/>
    <w:rsid w:val="008707E0"/>
    <w:rsid w:val="0087243A"/>
    <w:rsid w:val="008738C7"/>
    <w:rsid w:val="0087414B"/>
    <w:rsid w:val="00874989"/>
    <w:rsid w:val="00874E24"/>
    <w:rsid w:val="00875C66"/>
    <w:rsid w:val="008763DD"/>
    <w:rsid w:val="00877A75"/>
    <w:rsid w:val="00880E11"/>
    <w:rsid w:val="00880F5B"/>
    <w:rsid w:val="0088151D"/>
    <w:rsid w:val="00881A94"/>
    <w:rsid w:val="008826D8"/>
    <w:rsid w:val="00882C66"/>
    <w:rsid w:val="008840ED"/>
    <w:rsid w:val="00884ACA"/>
    <w:rsid w:val="00884E1B"/>
    <w:rsid w:val="00884FF3"/>
    <w:rsid w:val="0088505E"/>
    <w:rsid w:val="008851D7"/>
    <w:rsid w:val="008851E8"/>
    <w:rsid w:val="00885A4B"/>
    <w:rsid w:val="00885EA4"/>
    <w:rsid w:val="008865E0"/>
    <w:rsid w:val="008878E3"/>
    <w:rsid w:val="00887CAF"/>
    <w:rsid w:val="00890155"/>
    <w:rsid w:val="00891454"/>
    <w:rsid w:val="008919E4"/>
    <w:rsid w:val="008922C3"/>
    <w:rsid w:val="0089284F"/>
    <w:rsid w:val="00892B9B"/>
    <w:rsid w:val="00894808"/>
    <w:rsid w:val="008949FE"/>
    <w:rsid w:val="0089530A"/>
    <w:rsid w:val="00895B8C"/>
    <w:rsid w:val="00896330"/>
    <w:rsid w:val="0089686D"/>
    <w:rsid w:val="00897737"/>
    <w:rsid w:val="00897A11"/>
    <w:rsid w:val="00897D43"/>
    <w:rsid w:val="00897FF8"/>
    <w:rsid w:val="008A216E"/>
    <w:rsid w:val="008A2CCA"/>
    <w:rsid w:val="008A2E5B"/>
    <w:rsid w:val="008A462B"/>
    <w:rsid w:val="008A4BD3"/>
    <w:rsid w:val="008A4D8A"/>
    <w:rsid w:val="008A4E85"/>
    <w:rsid w:val="008A5721"/>
    <w:rsid w:val="008A5801"/>
    <w:rsid w:val="008A5CC9"/>
    <w:rsid w:val="008A68E9"/>
    <w:rsid w:val="008A79DE"/>
    <w:rsid w:val="008A7D1A"/>
    <w:rsid w:val="008B0AA0"/>
    <w:rsid w:val="008B0E1C"/>
    <w:rsid w:val="008B117D"/>
    <w:rsid w:val="008B13A6"/>
    <w:rsid w:val="008B2189"/>
    <w:rsid w:val="008B2693"/>
    <w:rsid w:val="008B2695"/>
    <w:rsid w:val="008B2CBC"/>
    <w:rsid w:val="008B330F"/>
    <w:rsid w:val="008B34B7"/>
    <w:rsid w:val="008B4D3E"/>
    <w:rsid w:val="008B5A35"/>
    <w:rsid w:val="008B6A9A"/>
    <w:rsid w:val="008B6B97"/>
    <w:rsid w:val="008B6CC0"/>
    <w:rsid w:val="008B7A41"/>
    <w:rsid w:val="008B7B39"/>
    <w:rsid w:val="008B7CDC"/>
    <w:rsid w:val="008C0239"/>
    <w:rsid w:val="008C10DA"/>
    <w:rsid w:val="008C1310"/>
    <w:rsid w:val="008C2695"/>
    <w:rsid w:val="008C2751"/>
    <w:rsid w:val="008C2959"/>
    <w:rsid w:val="008C2C52"/>
    <w:rsid w:val="008C3942"/>
    <w:rsid w:val="008C4127"/>
    <w:rsid w:val="008C48DF"/>
    <w:rsid w:val="008C4E09"/>
    <w:rsid w:val="008C4E70"/>
    <w:rsid w:val="008C543C"/>
    <w:rsid w:val="008C5565"/>
    <w:rsid w:val="008C66E4"/>
    <w:rsid w:val="008C71FF"/>
    <w:rsid w:val="008C7E11"/>
    <w:rsid w:val="008D07CF"/>
    <w:rsid w:val="008D0BFE"/>
    <w:rsid w:val="008D1760"/>
    <w:rsid w:val="008D1D4A"/>
    <w:rsid w:val="008D235A"/>
    <w:rsid w:val="008D264F"/>
    <w:rsid w:val="008D2E01"/>
    <w:rsid w:val="008D3412"/>
    <w:rsid w:val="008D36BF"/>
    <w:rsid w:val="008D443E"/>
    <w:rsid w:val="008D4510"/>
    <w:rsid w:val="008D5781"/>
    <w:rsid w:val="008D597D"/>
    <w:rsid w:val="008D5B11"/>
    <w:rsid w:val="008D5F2E"/>
    <w:rsid w:val="008D61E3"/>
    <w:rsid w:val="008D683D"/>
    <w:rsid w:val="008D7878"/>
    <w:rsid w:val="008E016B"/>
    <w:rsid w:val="008E0533"/>
    <w:rsid w:val="008E07FA"/>
    <w:rsid w:val="008E135D"/>
    <w:rsid w:val="008E1562"/>
    <w:rsid w:val="008E1920"/>
    <w:rsid w:val="008E206F"/>
    <w:rsid w:val="008E2D60"/>
    <w:rsid w:val="008E3423"/>
    <w:rsid w:val="008E3B64"/>
    <w:rsid w:val="008E4CA2"/>
    <w:rsid w:val="008E4E73"/>
    <w:rsid w:val="008E573A"/>
    <w:rsid w:val="008E5FB2"/>
    <w:rsid w:val="008E65A3"/>
    <w:rsid w:val="008E6986"/>
    <w:rsid w:val="008E7197"/>
    <w:rsid w:val="008E7803"/>
    <w:rsid w:val="008F02AD"/>
    <w:rsid w:val="008F04D3"/>
    <w:rsid w:val="008F06F7"/>
    <w:rsid w:val="008F0BB6"/>
    <w:rsid w:val="008F1A43"/>
    <w:rsid w:val="008F1D12"/>
    <w:rsid w:val="008F1E36"/>
    <w:rsid w:val="008F210D"/>
    <w:rsid w:val="008F385F"/>
    <w:rsid w:val="008F3E50"/>
    <w:rsid w:val="008F3E51"/>
    <w:rsid w:val="008F6698"/>
    <w:rsid w:val="008F6876"/>
    <w:rsid w:val="008F6A4C"/>
    <w:rsid w:val="008F6A50"/>
    <w:rsid w:val="008F7E5F"/>
    <w:rsid w:val="00902F6D"/>
    <w:rsid w:val="00903923"/>
    <w:rsid w:val="0090434B"/>
    <w:rsid w:val="00904A0C"/>
    <w:rsid w:val="00904C70"/>
    <w:rsid w:val="00904D28"/>
    <w:rsid w:val="00906E1C"/>
    <w:rsid w:val="009073C5"/>
    <w:rsid w:val="00910798"/>
    <w:rsid w:val="009119FB"/>
    <w:rsid w:val="0091303B"/>
    <w:rsid w:val="00913218"/>
    <w:rsid w:val="00913246"/>
    <w:rsid w:val="00913F19"/>
    <w:rsid w:val="00913F62"/>
    <w:rsid w:val="00914A35"/>
    <w:rsid w:val="009150EE"/>
    <w:rsid w:val="00915989"/>
    <w:rsid w:val="00915B35"/>
    <w:rsid w:val="00915EDF"/>
    <w:rsid w:val="009175EF"/>
    <w:rsid w:val="009177D9"/>
    <w:rsid w:val="00917BC9"/>
    <w:rsid w:val="00917E72"/>
    <w:rsid w:val="00917FC6"/>
    <w:rsid w:val="00920A83"/>
    <w:rsid w:val="00920B71"/>
    <w:rsid w:val="009212C8"/>
    <w:rsid w:val="00921E79"/>
    <w:rsid w:val="00922B6B"/>
    <w:rsid w:val="00922BF0"/>
    <w:rsid w:val="009245D5"/>
    <w:rsid w:val="00925283"/>
    <w:rsid w:val="009255E1"/>
    <w:rsid w:val="009259AB"/>
    <w:rsid w:val="009260AB"/>
    <w:rsid w:val="00926CFB"/>
    <w:rsid w:val="00927252"/>
    <w:rsid w:val="0092774A"/>
    <w:rsid w:val="00930A54"/>
    <w:rsid w:val="0093106D"/>
    <w:rsid w:val="00931865"/>
    <w:rsid w:val="00931A91"/>
    <w:rsid w:val="00931E81"/>
    <w:rsid w:val="00932A85"/>
    <w:rsid w:val="009333C5"/>
    <w:rsid w:val="009334EB"/>
    <w:rsid w:val="009344A4"/>
    <w:rsid w:val="00935973"/>
    <w:rsid w:val="00935BDC"/>
    <w:rsid w:val="00935C10"/>
    <w:rsid w:val="00935F36"/>
    <w:rsid w:val="00936BA6"/>
    <w:rsid w:val="009370CE"/>
    <w:rsid w:val="00937124"/>
    <w:rsid w:val="00937E10"/>
    <w:rsid w:val="009405B3"/>
    <w:rsid w:val="0094172E"/>
    <w:rsid w:val="00943765"/>
    <w:rsid w:val="00944483"/>
    <w:rsid w:val="00945118"/>
    <w:rsid w:val="009457A7"/>
    <w:rsid w:val="00945F27"/>
    <w:rsid w:val="009460E0"/>
    <w:rsid w:val="00946378"/>
    <w:rsid w:val="00946542"/>
    <w:rsid w:val="00947532"/>
    <w:rsid w:val="00947E30"/>
    <w:rsid w:val="00950198"/>
    <w:rsid w:val="0095057C"/>
    <w:rsid w:val="0095099D"/>
    <w:rsid w:val="009515F3"/>
    <w:rsid w:val="00951ACC"/>
    <w:rsid w:val="00952CB6"/>
    <w:rsid w:val="00954086"/>
    <w:rsid w:val="009540D2"/>
    <w:rsid w:val="00954A3C"/>
    <w:rsid w:val="00954CE2"/>
    <w:rsid w:val="00955169"/>
    <w:rsid w:val="00955530"/>
    <w:rsid w:val="00956006"/>
    <w:rsid w:val="00956847"/>
    <w:rsid w:val="0095697A"/>
    <w:rsid w:val="009569CC"/>
    <w:rsid w:val="00956E22"/>
    <w:rsid w:val="00957667"/>
    <w:rsid w:val="00957ADE"/>
    <w:rsid w:val="00957C11"/>
    <w:rsid w:val="00960358"/>
    <w:rsid w:val="00960664"/>
    <w:rsid w:val="009618BE"/>
    <w:rsid w:val="00962194"/>
    <w:rsid w:val="0096247A"/>
    <w:rsid w:val="00963319"/>
    <w:rsid w:val="009641B9"/>
    <w:rsid w:val="00964DC4"/>
    <w:rsid w:val="00965C24"/>
    <w:rsid w:val="00965C76"/>
    <w:rsid w:val="00965FEF"/>
    <w:rsid w:val="009663CD"/>
    <w:rsid w:val="0096643C"/>
    <w:rsid w:val="00966656"/>
    <w:rsid w:val="009666FE"/>
    <w:rsid w:val="00966C1A"/>
    <w:rsid w:val="00967565"/>
    <w:rsid w:val="00967C56"/>
    <w:rsid w:val="009702BC"/>
    <w:rsid w:val="00970F63"/>
    <w:rsid w:val="0097126F"/>
    <w:rsid w:val="0097152D"/>
    <w:rsid w:val="0097181D"/>
    <w:rsid w:val="00971A81"/>
    <w:rsid w:val="0097210C"/>
    <w:rsid w:val="00972F1D"/>
    <w:rsid w:val="00972FD7"/>
    <w:rsid w:val="00974762"/>
    <w:rsid w:val="0097491A"/>
    <w:rsid w:val="0097516B"/>
    <w:rsid w:val="00975C4C"/>
    <w:rsid w:val="00975C79"/>
    <w:rsid w:val="00976020"/>
    <w:rsid w:val="00976C5A"/>
    <w:rsid w:val="009771AC"/>
    <w:rsid w:val="00977628"/>
    <w:rsid w:val="009810D7"/>
    <w:rsid w:val="00981725"/>
    <w:rsid w:val="00981895"/>
    <w:rsid w:val="009819BE"/>
    <w:rsid w:val="00981A35"/>
    <w:rsid w:val="00982242"/>
    <w:rsid w:val="00982290"/>
    <w:rsid w:val="00982A0C"/>
    <w:rsid w:val="0098332B"/>
    <w:rsid w:val="00983CD4"/>
    <w:rsid w:val="00985419"/>
    <w:rsid w:val="00985947"/>
    <w:rsid w:val="00985B3D"/>
    <w:rsid w:val="0098684E"/>
    <w:rsid w:val="00987062"/>
    <w:rsid w:val="00987969"/>
    <w:rsid w:val="00990446"/>
    <w:rsid w:val="00990C68"/>
    <w:rsid w:val="009915FB"/>
    <w:rsid w:val="00993326"/>
    <w:rsid w:val="00994154"/>
    <w:rsid w:val="0099420C"/>
    <w:rsid w:val="009945E6"/>
    <w:rsid w:val="00994666"/>
    <w:rsid w:val="009948FF"/>
    <w:rsid w:val="009954FE"/>
    <w:rsid w:val="00995A40"/>
    <w:rsid w:val="0099632D"/>
    <w:rsid w:val="0099688C"/>
    <w:rsid w:val="0099704A"/>
    <w:rsid w:val="009A0158"/>
    <w:rsid w:val="009A02C9"/>
    <w:rsid w:val="009A0479"/>
    <w:rsid w:val="009A0857"/>
    <w:rsid w:val="009A0ABF"/>
    <w:rsid w:val="009A14E3"/>
    <w:rsid w:val="009A3258"/>
    <w:rsid w:val="009A33CC"/>
    <w:rsid w:val="009A4AFA"/>
    <w:rsid w:val="009A5A3F"/>
    <w:rsid w:val="009A5A56"/>
    <w:rsid w:val="009A5BA9"/>
    <w:rsid w:val="009A5D22"/>
    <w:rsid w:val="009A6531"/>
    <w:rsid w:val="009A7196"/>
    <w:rsid w:val="009A7A0D"/>
    <w:rsid w:val="009A7ECB"/>
    <w:rsid w:val="009A7FF3"/>
    <w:rsid w:val="009B0555"/>
    <w:rsid w:val="009B09B8"/>
    <w:rsid w:val="009B0FE9"/>
    <w:rsid w:val="009B126A"/>
    <w:rsid w:val="009B1424"/>
    <w:rsid w:val="009B162D"/>
    <w:rsid w:val="009B1777"/>
    <w:rsid w:val="009B276E"/>
    <w:rsid w:val="009B27BE"/>
    <w:rsid w:val="009B28AF"/>
    <w:rsid w:val="009B292E"/>
    <w:rsid w:val="009B41A9"/>
    <w:rsid w:val="009B4544"/>
    <w:rsid w:val="009B487A"/>
    <w:rsid w:val="009B4C31"/>
    <w:rsid w:val="009B5699"/>
    <w:rsid w:val="009B6A2C"/>
    <w:rsid w:val="009B6AB7"/>
    <w:rsid w:val="009B7D6D"/>
    <w:rsid w:val="009C05F6"/>
    <w:rsid w:val="009C089C"/>
    <w:rsid w:val="009C24D9"/>
    <w:rsid w:val="009C280D"/>
    <w:rsid w:val="009C5576"/>
    <w:rsid w:val="009C5ABD"/>
    <w:rsid w:val="009C63B3"/>
    <w:rsid w:val="009C6A38"/>
    <w:rsid w:val="009C6E37"/>
    <w:rsid w:val="009C73C9"/>
    <w:rsid w:val="009C751B"/>
    <w:rsid w:val="009D0740"/>
    <w:rsid w:val="009D173B"/>
    <w:rsid w:val="009D21B1"/>
    <w:rsid w:val="009D2BFC"/>
    <w:rsid w:val="009D2CFE"/>
    <w:rsid w:val="009D3157"/>
    <w:rsid w:val="009D38DB"/>
    <w:rsid w:val="009D3A05"/>
    <w:rsid w:val="009D3ED3"/>
    <w:rsid w:val="009D47A4"/>
    <w:rsid w:val="009D4BA9"/>
    <w:rsid w:val="009D4C85"/>
    <w:rsid w:val="009D50B2"/>
    <w:rsid w:val="009D5D6C"/>
    <w:rsid w:val="009D68F4"/>
    <w:rsid w:val="009D6DF7"/>
    <w:rsid w:val="009D7C60"/>
    <w:rsid w:val="009D7F36"/>
    <w:rsid w:val="009E129A"/>
    <w:rsid w:val="009E1576"/>
    <w:rsid w:val="009E1E16"/>
    <w:rsid w:val="009E387E"/>
    <w:rsid w:val="009E424B"/>
    <w:rsid w:val="009E43A8"/>
    <w:rsid w:val="009E45CB"/>
    <w:rsid w:val="009E6301"/>
    <w:rsid w:val="009E644B"/>
    <w:rsid w:val="009E6EEC"/>
    <w:rsid w:val="009E7567"/>
    <w:rsid w:val="009E766B"/>
    <w:rsid w:val="009F08FD"/>
    <w:rsid w:val="009F0B6B"/>
    <w:rsid w:val="009F0F25"/>
    <w:rsid w:val="009F12C6"/>
    <w:rsid w:val="009F19BD"/>
    <w:rsid w:val="009F30C8"/>
    <w:rsid w:val="009F38D4"/>
    <w:rsid w:val="009F3C2C"/>
    <w:rsid w:val="009F4178"/>
    <w:rsid w:val="009F4286"/>
    <w:rsid w:val="009F45F3"/>
    <w:rsid w:val="009F5F20"/>
    <w:rsid w:val="009F6531"/>
    <w:rsid w:val="009F6985"/>
    <w:rsid w:val="009F6B38"/>
    <w:rsid w:val="009F6F7E"/>
    <w:rsid w:val="009F7A3B"/>
    <w:rsid w:val="009F7FBA"/>
    <w:rsid w:val="00A00153"/>
    <w:rsid w:val="00A00224"/>
    <w:rsid w:val="00A00357"/>
    <w:rsid w:val="00A00743"/>
    <w:rsid w:val="00A00D69"/>
    <w:rsid w:val="00A00FAF"/>
    <w:rsid w:val="00A010FA"/>
    <w:rsid w:val="00A017E9"/>
    <w:rsid w:val="00A019B4"/>
    <w:rsid w:val="00A02675"/>
    <w:rsid w:val="00A03C86"/>
    <w:rsid w:val="00A04BB4"/>
    <w:rsid w:val="00A0671A"/>
    <w:rsid w:val="00A06C74"/>
    <w:rsid w:val="00A076BF"/>
    <w:rsid w:val="00A111EB"/>
    <w:rsid w:val="00A1178D"/>
    <w:rsid w:val="00A11A8E"/>
    <w:rsid w:val="00A11E36"/>
    <w:rsid w:val="00A125A1"/>
    <w:rsid w:val="00A13597"/>
    <w:rsid w:val="00A1389B"/>
    <w:rsid w:val="00A157E3"/>
    <w:rsid w:val="00A16764"/>
    <w:rsid w:val="00A16788"/>
    <w:rsid w:val="00A167EB"/>
    <w:rsid w:val="00A16D93"/>
    <w:rsid w:val="00A206CD"/>
    <w:rsid w:val="00A20878"/>
    <w:rsid w:val="00A217B0"/>
    <w:rsid w:val="00A21DC4"/>
    <w:rsid w:val="00A22269"/>
    <w:rsid w:val="00A234F8"/>
    <w:rsid w:val="00A25FF8"/>
    <w:rsid w:val="00A269B4"/>
    <w:rsid w:val="00A269C4"/>
    <w:rsid w:val="00A26F59"/>
    <w:rsid w:val="00A304F4"/>
    <w:rsid w:val="00A31648"/>
    <w:rsid w:val="00A31E0F"/>
    <w:rsid w:val="00A320FF"/>
    <w:rsid w:val="00A325C2"/>
    <w:rsid w:val="00A326D9"/>
    <w:rsid w:val="00A33C45"/>
    <w:rsid w:val="00A3491B"/>
    <w:rsid w:val="00A35513"/>
    <w:rsid w:val="00A36F87"/>
    <w:rsid w:val="00A37626"/>
    <w:rsid w:val="00A402C5"/>
    <w:rsid w:val="00A40D92"/>
    <w:rsid w:val="00A41489"/>
    <w:rsid w:val="00A419F9"/>
    <w:rsid w:val="00A41E4F"/>
    <w:rsid w:val="00A42645"/>
    <w:rsid w:val="00A427A1"/>
    <w:rsid w:val="00A428C8"/>
    <w:rsid w:val="00A42E4B"/>
    <w:rsid w:val="00A43416"/>
    <w:rsid w:val="00A4398A"/>
    <w:rsid w:val="00A44711"/>
    <w:rsid w:val="00A44A63"/>
    <w:rsid w:val="00A44F45"/>
    <w:rsid w:val="00A459C7"/>
    <w:rsid w:val="00A45A07"/>
    <w:rsid w:val="00A45FAF"/>
    <w:rsid w:val="00A47C46"/>
    <w:rsid w:val="00A50658"/>
    <w:rsid w:val="00A5128E"/>
    <w:rsid w:val="00A51466"/>
    <w:rsid w:val="00A535A9"/>
    <w:rsid w:val="00A53FD7"/>
    <w:rsid w:val="00A54B92"/>
    <w:rsid w:val="00A555A8"/>
    <w:rsid w:val="00A5581C"/>
    <w:rsid w:val="00A56C2A"/>
    <w:rsid w:val="00A57617"/>
    <w:rsid w:val="00A578FE"/>
    <w:rsid w:val="00A57A53"/>
    <w:rsid w:val="00A604E3"/>
    <w:rsid w:val="00A611C2"/>
    <w:rsid w:val="00A61527"/>
    <w:rsid w:val="00A62195"/>
    <w:rsid w:val="00A62289"/>
    <w:rsid w:val="00A63D88"/>
    <w:rsid w:val="00A641F7"/>
    <w:rsid w:val="00A6439A"/>
    <w:rsid w:val="00A65CDF"/>
    <w:rsid w:val="00A65ED7"/>
    <w:rsid w:val="00A660AE"/>
    <w:rsid w:val="00A66584"/>
    <w:rsid w:val="00A67DB6"/>
    <w:rsid w:val="00A71279"/>
    <w:rsid w:val="00A7202B"/>
    <w:rsid w:val="00A72392"/>
    <w:rsid w:val="00A724CD"/>
    <w:rsid w:val="00A75880"/>
    <w:rsid w:val="00A75DE3"/>
    <w:rsid w:val="00A75F1F"/>
    <w:rsid w:val="00A7626C"/>
    <w:rsid w:val="00A7634E"/>
    <w:rsid w:val="00A766C9"/>
    <w:rsid w:val="00A76A7A"/>
    <w:rsid w:val="00A76F80"/>
    <w:rsid w:val="00A80183"/>
    <w:rsid w:val="00A8071D"/>
    <w:rsid w:val="00A807B0"/>
    <w:rsid w:val="00A80C6E"/>
    <w:rsid w:val="00A80E0D"/>
    <w:rsid w:val="00A81027"/>
    <w:rsid w:val="00A810CA"/>
    <w:rsid w:val="00A825B0"/>
    <w:rsid w:val="00A830C6"/>
    <w:rsid w:val="00A834D8"/>
    <w:rsid w:val="00A84C26"/>
    <w:rsid w:val="00A84C5B"/>
    <w:rsid w:val="00A84E8A"/>
    <w:rsid w:val="00A850C0"/>
    <w:rsid w:val="00A859E0"/>
    <w:rsid w:val="00A861B3"/>
    <w:rsid w:val="00A86517"/>
    <w:rsid w:val="00A868B7"/>
    <w:rsid w:val="00A86B79"/>
    <w:rsid w:val="00A87931"/>
    <w:rsid w:val="00A87995"/>
    <w:rsid w:val="00A913A2"/>
    <w:rsid w:val="00A91D35"/>
    <w:rsid w:val="00A92645"/>
    <w:rsid w:val="00A94436"/>
    <w:rsid w:val="00A94CEE"/>
    <w:rsid w:val="00A95349"/>
    <w:rsid w:val="00A953A1"/>
    <w:rsid w:val="00A957C0"/>
    <w:rsid w:val="00A95FD9"/>
    <w:rsid w:val="00A96380"/>
    <w:rsid w:val="00A9691C"/>
    <w:rsid w:val="00A96BE2"/>
    <w:rsid w:val="00A97861"/>
    <w:rsid w:val="00A97EFE"/>
    <w:rsid w:val="00A97FA0"/>
    <w:rsid w:val="00AA0051"/>
    <w:rsid w:val="00AA0241"/>
    <w:rsid w:val="00AA0854"/>
    <w:rsid w:val="00AA11F9"/>
    <w:rsid w:val="00AA134F"/>
    <w:rsid w:val="00AA228A"/>
    <w:rsid w:val="00AA22C3"/>
    <w:rsid w:val="00AA2488"/>
    <w:rsid w:val="00AA339B"/>
    <w:rsid w:val="00AA401E"/>
    <w:rsid w:val="00AA4971"/>
    <w:rsid w:val="00AA56B5"/>
    <w:rsid w:val="00AA6997"/>
    <w:rsid w:val="00AA7885"/>
    <w:rsid w:val="00AB0E0F"/>
    <w:rsid w:val="00AB0F12"/>
    <w:rsid w:val="00AB2021"/>
    <w:rsid w:val="00AB2613"/>
    <w:rsid w:val="00AB2DAA"/>
    <w:rsid w:val="00AB3194"/>
    <w:rsid w:val="00AB35CF"/>
    <w:rsid w:val="00AB4C5F"/>
    <w:rsid w:val="00AB4CAE"/>
    <w:rsid w:val="00AB51E2"/>
    <w:rsid w:val="00AB546C"/>
    <w:rsid w:val="00AB5878"/>
    <w:rsid w:val="00AB5973"/>
    <w:rsid w:val="00AB5D25"/>
    <w:rsid w:val="00AB6782"/>
    <w:rsid w:val="00AB6B4E"/>
    <w:rsid w:val="00AC2DEE"/>
    <w:rsid w:val="00AC2EFE"/>
    <w:rsid w:val="00AC3307"/>
    <w:rsid w:val="00AC36D2"/>
    <w:rsid w:val="00AC3C9F"/>
    <w:rsid w:val="00AC46EC"/>
    <w:rsid w:val="00AC514B"/>
    <w:rsid w:val="00AC5D45"/>
    <w:rsid w:val="00AC74F2"/>
    <w:rsid w:val="00AC75DB"/>
    <w:rsid w:val="00AC7D54"/>
    <w:rsid w:val="00AD035A"/>
    <w:rsid w:val="00AD0DD4"/>
    <w:rsid w:val="00AD10AA"/>
    <w:rsid w:val="00AD15BA"/>
    <w:rsid w:val="00AD23E9"/>
    <w:rsid w:val="00AD2775"/>
    <w:rsid w:val="00AD31EE"/>
    <w:rsid w:val="00AD3A55"/>
    <w:rsid w:val="00AD4498"/>
    <w:rsid w:val="00AD5216"/>
    <w:rsid w:val="00AD6EDB"/>
    <w:rsid w:val="00AD6F59"/>
    <w:rsid w:val="00AD6F8C"/>
    <w:rsid w:val="00AD7DCB"/>
    <w:rsid w:val="00AE0677"/>
    <w:rsid w:val="00AE0C10"/>
    <w:rsid w:val="00AE0C7C"/>
    <w:rsid w:val="00AE17FC"/>
    <w:rsid w:val="00AE19D2"/>
    <w:rsid w:val="00AE1AC4"/>
    <w:rsid w:val="00AE3C42"/>
    <w:rsid w:val="00AE45EC"/>
    <w:rsid w:val="00AE611C"/>
    <w:rsid w:val="00AE6A56"/>
    <w:rsid w:val="00AF02E8"/>
    <w:rsid w:val="00AF02EB"/>
    <w:rsid w:val="00AF17D0"/>
    <w:rsid w:val="00AF1861"/>
    <w:rsid w:val="00AF1E3D"/>
    <w:rsid w:val="00AF2281"/>
    <w:rsid w:val="00AF28AC"/>
    <w:rsid w:val="00AF3D7E"/>
    <w:rsid w:val="00AF3DE5"/>
    <w:rsid w:val="00AF413B"/>
    <w:rsid w:val="00AF449D"/>
    <w:rsid w:val="00AF45FA"/>
    <w:rsid w:val="00AF5470"/>
    <w:rsid w:val="00AF56D6"/>
    <w:rsid w:val="00AF59F5"/>
    <w:rsid w:val="00AF5B7A"/>
    <w:rsid w:val="00AF5C83"/>
    <w:rsid w:val="00AF6347"/>
    <w:rsid w:val="00AF65F6"/>
    <w:rsid w:val="00AF72EF"/>
    <w:rsid w:val="00B00166"/>
    <w:rsid w:val="00B00719"/>
    <w:rsid w:val="00B00958"/>
    <w:rsid w:val="00B00CC1"/>
    <w:rsid w:val="00B01521"/>
    <w:rsid w:val="00B01860"/>
    <w:rsid w:val="00B0261D"/>
    <w:rsid w:val="00B02664"/>
    <w:rsid w:val="00B03400"/>
    <w:rsid w:val="00B05875"/>
    <w:rsid w:val="00B0587C"/>
    <w:rsid w:val="00B06616"/>
    <w:rsid w:val="00B06768"/>
    <w:rsid w:val="00B10478"/>
    <w:rsid w:val="00B115EB"/>
    <w:rsid w:val="00B12C6E"/>
    <w:rsid w:val="00B1334D"/>
    <w:rsid w:val="00B14BDB"/>
    <w:rsid w:val="00B15066"/>
    <w:rsid w:val="00B15818"/>
    <w:rsid w:val="00B15C1D"/>
    <w:rsid w:val="00B16217"/>
    <w:rsid w:val="00B1692E"/>
    <w:rsid w:val="00B16A80"/>
    <w:rsid w:val="00B17069"/>
    <w:rsid w:val="00B1708C"/>
    <w:rsid w:val="00B17216"/>
    <w:rsid w:val="00B17A95"/>
    <w:rsid w:val="00B20A61"/>
    <w:rsid w:val="00B211FB"/>
    <w:rsid w:val="00B217DF"/>
    <w:rsid w:val="00B225CA"/>
    <w:rsid w:val="00B2272F"/>
    <w:rsid w:val="00B22C3B"/>
    <w:rsid w:val="00B23B27"/>
    <w:rsid w:val="00B246CA"/>
    <w:rsid w:val="00B255AC"/>
    <w:rsid w:val="00B256FB"/>
    <w:rsid w:val="00B25AFC"/>
    <w:rsid w:val="00B26B13"/>
    <w:rsid w:val="00B27000"/>
    <w:rsid w:val="00B27D3A"/>
    <w:rsid w:val="00B27F3B"/>
    <w:rsid w:val="00B30D58"/>
    <w:rsid w:val="00B31CD6"/>
    <w:rsid w:val="00B31FC9"/>
    <w:rsid w:val="00B32602"/>
    <w:rsid w:val="00B327E6"/>
    <w:rsid w:val="00B329D6"/>
    <w:rsid w:val="00B32F30"/>
    <w:rsid w:val="00B341C1"/>
    <w:rsid w:val="00B341D9"/>
    <w:rsid w:val="00B3428D"/>
    <w:rsid w:val="00B3446F"/>
    <w:rsid w:val="00B34F55"/>
    <w:rsid w:val="00B35E2B"/>
    <w:rsid w:val="00B376B4"/>
    <w:rsid w:val="00B378C3"/>
    <w:rsid w:val="00B4012B"/>
    <w:rsid w:val="00B406FB"/>
    <w:rsid w:val="00B42425"/>
    <w:rsid w:val="00B42F2A"/>
    <w:rsid w:val="00B42FC7"/>
    <w:rsid w:val="00B431B8"/>
    <w:rsid w:val="00B439A0"/>
    <w:rsid w:val="00B43B5B"/>
    <w:rsid w:val="00B44B42"/>
    <w:rsid w:val="00B44EA1"/>
    <w:rsid w:val="00B46656"/>
    <w:rsid w:val="00B46F0C"/>
    <w:rsid w:val="00B470C6"/>
    <w:rsid w:val="00B50057"/>
    <w:rsid w:val="00B53435"/>
    <w:rsid w:val="00B53A35"/>
    <w:rsid w:val="00B53CCC"/>
    <w:rsid w:val="00B5423F"/>
    <w:rsid w:val="00B54252"/>
    <w:rsid w:val="00B55FDB"/>
    <w:rsid w:val="00B5617C"/>
    <w:rsid w:val="00B567A6"/>
    <w:rsid w:val="00B56FF7"/>
    <w:rsid w:val="00B57EE9"/>
    <w:rsid w:val="00B60054"/>
    <w:rsid w:val="00B60EA4"/>
    <w:rsid w:val="00B6146D"/>
    <w:rsid w:val="00B61F29"/>
    <w:rsid w:val="00B63CE9"/>
    <w:rsid w:val="00B648F7"/>
    <w:rsid w:val="00B64B8A"/>
    <w:rsid w:val="00B64BB6"/>
    <w:rsid w:val="00B65D27"/>
    <w:rsid w:val="00B6615C"/>
    <w:rsid w:val="00B67142"/>
    <w:rsid w:val="00B6790C"/>
    <w:rsid w:val="00B70208"/>
    <w:rsid w:val="00B70E84"/>
    <w:rsid w:val="00B7193A"/>
    <w:rsid w:val="00B7227E"/>
    <w:rsid w:val="00B72C22"/>
    <w:rsid w:val="00B73AD1"/>
    <w:rsid w:val="00B76287"/>
    <w:rsid w:val="00B7795C"/>
    <w:rsid w:val="00B800CA"/>
    <w:rsid w:val="00B80282"/>
    <w:rsid w:val="00B80A31"/>
    <w:rsid w:val="00B820F2"/>
    <w:rsid w:val="00B821E2"/>
    <w:rsid w:val="00B82910"/>
    <w:rsid w:val="00B8367B"/>
    <w:rsid w:val="00B845D5"/>
    <w:rsid w:val="00B84B51"/>
    <w:rsid w:val="00B8684B"/>
    <w:rsid w:val="00B86DB0"/>
    <w:rsid w:val="00B8703C"/>
    <w:rsid w:val="00B908E0"/>
    <w:rsid w:val="00B90A06"/>
    <w:rsid w:val="00B90D62"/>
    <w:rsid w:val="00B918AE"/>
    <w:rsid w:val="00B921FD"/>
    <w:rsid w:val="00B929DA"/>
    <w:rsid w:val="00B92ABB"/>
    <w:rsid w:val="00B92C50"/>
    <w:rsid w:val="00B92D2C"/>
    <w:rsid w:val="00B930D1"/>
    <w:rsid w:val="00B95909"/>
    <w:rsid w:val="00B95C32"/>
    <w:rsid w:val="00B960E5"/>
    <w:rsid w:val="00B9754A"/>
    <w:rsid w:val="00BA0AED"/>
    <w:rsid w:val="00BA0D79"/>
    <w:rsid w:val="00BA1116"/>
    <w:rsid w:val="00BA114F"/>
    <w:rsid w:val="00BA1242"/>
    <w:rsid w:val="00BA143D"/>
    <w:rsid w:val="00BA1AFD"/>
    <w:rsid w:val="00BA2B47"/>
    <w:rsid w:val="00BA2D92"/>
    <w:rsid w:val="00BA2E7D"/>
    <w:rsid w:val="00BA3332"/>
    <w:rsid w:val="00BA347C"/>
    <w:rsid w:val="00BA4F5D"/>
    <w:rsid w:val="00BA50FF"/>
    <w:rsid w:val="00BA694F"/>
    <w:rsid w:val="00BA69D8"/>
    <w:rsid w:val="00BA6BE6"/>
    <w:rsid w:val="00BB00B7"/>
    <w:rsid w:val="00BB0236"/>
    <w:rsid w:val="00BB0654"/>
    <w:rsid w:val="00BB0E8B"/>
    <w:rsid w:val="00BB17EF"/>
    <w:rsid w:val="00BB250C"/>
    <w:rsid w:val="00BB3C31"/>
    <w:rsid w:val="00BB3F54"/>
    <w:rsid w:val="00BB4094"/>
    <w:rsid w:val="00BB44BD"/>
    <w:rsid w:val="00BB4A15"/>
    <w:rsid w:val="00BB5956"/>
    <w:rsid w:val="00BB64C9"/>
    <w:rsid w:val="00BB68BE"/>
    <w:rsid w:val="00BB723A"/>
    <w:rsid w:val="00BB771E"/>
    <w:rsid w:val="00BB78C5"/>
    <w:rsid w:val="00BB7AEA"/>
    <w:rsid w:val="00BC30A1"/>
    <w:rsid w:val="00BC3F27"/>
    <w:rsid w:val="00BC4EA3"/>
    <w:rsid w:val="00BC50F7"/>
    <w:rsid w:val="00BC5368"/>
    <w:rsid w:val="00BC56A3"/>
    <w:rsid w:val="00BC5A79"/>
    <w:rsid w:val="00BC67CE"/>
    <w:rsid w:val="00BC755D"/>
    <w:rsid w:val="00BC7ED4"/>
    <w:rsid w:val="00BD194A"/>
    <w:rsid w:val="00BD2B83"/>
    <w:rsid w:val="00BD2D68"/>
    <w:rsid w:val="00BD48B0"/>
    <w:rsid w:val="00BD4C76"/>
    <w:rsid w:val="00BD4E3D"/>
    <w:rsid w:val="00BD51E4"/>
    <w:rsid w:val="00BD56F5"/>
    <w:rsid w:val="00BD5A74"/>
    <w:rsid w:val="00BD5DCA"/>
    <w:rsid w:val="00BD5FFB"/>
    <w:rsid w:val="00BD61DD"/>
    <w:rsid w:val="00BD63E3"/>
    <w:rsid w:val="00BD6D88"/>
    <w:rsid w:val="00BD761D"/>
    <w:rsid w:val="00BD777E"/>
    <w:rsid w:val="00BD7813"/>
    <w:rsid w:val="00BE0650"/>
    <w:rsid w:val="00BE20D8"/>
    <w:rsid w:val="00BE333F"/>
    <w:rsid w:val="00BE4271"/>
    <w:rsid w:val="00BE4635"/>
    <w:rsid w:val="00BE477A"/>
    <w:rsid w:val="00BE4F30"/>
    <w:rsid w:val="00BE5EFB"/>
    <w:rsid w:val="00BE6D92"/>
    <w:rsid w:val="00BE7C01"/>
    <w:rsid w:val="00BE7ED8"/>
    <w:rsid w:val="00BF09C4"/>
    <w:rsid w:val="00BF0E46"/>
    <w:rsid w:val="00BF1183"/>
    <w:rsid w:val="00BF1212"/>
    <w:rsid w:val="00BF211D"/>
    <w:rsid w:val="00BF24B4"/>
    <w:rsid w:val="00BF27A5"/>
    <w:rsid w:val="00BF3458"/>
    <w:rsid w:val="00BF3A97"/>
    <w:rsid w:val="00BF3C87"/>
    <w:rsid w:val="00BF40BC"/>
    <w:rsid w:val="00BF451E"/>
    <w:rsid w:val="00BF46DC"/>
    <w:rsid w:val="00BF4F2B"/>
    <w:rsid w:val="00BF61F8"/>
    <w:rsid w:val="00BF7349"/>
    <w:rsid w:val="00C006F9"/>
    <w:rsid w:val="00C019D5"/>
    <w:rsid w:val="00C025F8"/>
    <w:rsid w:val="00C037BD"/>
    <w:rsid w:val="00C04119"/>
    <w:rsid w:val="00C04A19"/>
    <w:rsid w:val="00C04A28"/>
    <w:rsid w:val="00C04D21"/>
    <w:rsid w:val="00C05472"/>
    <w:rsid w:val="00C057B5"/>
    <w:rsid w:val="00C06E41"/>
    <w:rsid w:val="00C06EAD"/>
    <w:rsid w:val="00C10D3E"/>
    <w:rsid w:val="00C113C6"/>
    <w:rsid w:val="00C13FCD"/>
    <w:rsid w:val="00C14007"/>
    <w:rsid w:val="00C1479D"/>
    <w:rsid w:val="00C1593E"/>
    <w:rsid w:val="00C15A3B"/>
    <w:rsid w:val="00C15E37"/>
    <w:rsid w:val="00C169F1"/>
    <w:rsid w:val="00C16D9E"/>
    <w:rsid w:val="00C202AE"/>
    <w:rsid w:val="00C209EF"/>
    <w:rsid w:val="00C21504"/>
    <w:rsid w:val="00C21A40"/>
    <w:rsid w:val="00C22BF4"/>
    <w:rsid w:val="00C22DCC"/>
    <w:rsid w:val="00C22F97"/>
    <w:rsid w:val="00C240E5"/>
    <w:rsid w:val="00C24C8D"/>
    <w:rsid w:val="00C24E23"/>
    <w:rsid w:val="00C25150"/>
    <w:rsid w:val="00C2562D"/>
    <w:rsid w:val="00C27232"/>
    <w:rsid w:val="00C30482"/>
    <w:rsid w:val="00C30A8F"/>
    <w:rsid w:val="00C32DD4"/>
    <w:rsid w:val="00C33A65"/>
    <w:rsid w:val="00C34333"/>
    <w:rsid w:val="00C34658"/>
    <w:rsid w:val="00C34CE5"/>
    <w:rsid w:val="00C35488"/>
    <w:rsid w:val="00C3575A"/>
    <w:rsid w:val="00C37B25"/>
    <w:rsid w:val="00C37C89"/>
    <w:rsid w:val="00C40D99"/>
    <w:rsid w:val="00C4167C"/>
    <w:rsid w:val="00C41E70"/>
    <w:rsid w:val="00C42029"/>
    <w:rsid w:val="00C42224"/>
    <w:rsid w:val="00C42652"/>
    <w:rsid w:val="00C42B2E"/>
    <w:rsid w:val="00C43131"/>
    <w:rsid w:val="00C43C36"/>
    <w:rsid w:val="00C44711"/>
    <w:rsid w:val="00C463F3"/>
    <w:rsid w:val="00C4694F"/>
    <w:rsid w:val="00C4696E"/>
    <w:rsid w:val="00C470B0"/>
    <w:rsid w:val="00C47413"/>
    <w:rsid w:val="00C4766D"/>
    <w:rsid w:val="00C47DDB"/>
    <w:rsid w:val="00C50009"/>
    <w:rsid w:val="00C50461"/>
    <w:rsid w:val="00C51041"/>
    <w:rsid w:val="00C516F7"/>
    <w:rsid w:val="00C51A92"/>
    <w:rsid w:val="00C52E15"/>
    <w:rsid w:val="00C53365"/>
    <w:rsid w:val="00C53B64"/>
    <w:rsid w:val="00C53D31"/>
    <w:rsid w:val="00C54494"/>
    <w:rsid w:val="00C54A82"/>
    <w:rsid w:val="00C54C6D"/>
    <w:rsid w:val="00C54D7B"/>
    <w:rsid w:val="00C54DC4"/>
    <w:rsid w:val="00C553FA"/>
    <w:rsid w:val="00C55A2C"/>
    <w:rsid w:val="00C55B6B"/>
    <w:rsid w:val="00C56160"/>
    <w:rsid w:val="00C562C9"/>
    <w:rsid w:val="00C56DE4"/>
    <w:rsid w:val="00C577C8"/>
    <w:rsid w:val="00C61BD8"/>
    <w:rsid w:val="00C625A3"/>
    <w:rsid w:val="00C62BCA"/>
    <w:rsid w:val="00C62CC4"/>
    <w:rsid w:val="00C63BCE"/>
    <w:rsid w:val="00C65333"/>
    <w:rsid w:val="00C65F76"/>
    <w:rsid w:val="00C676C7"/>
    <w:rsid w:val="00C67906"/>
    <w:rsid w:val="00C67A73"/>
    <w:rsid w:val="00C70780"/>
    <w:rsid w:val="00C70BCB"/>
    <w:rsid w:val="00C71101"/>
    <w:rsid w:val="00C71C03"/>
    <w:rsid w:val="00C7209D"/>
    <w:rsid w:val="00C728A7"/>
    <w:rsid w:val="00C73049"/>
    <w:rsid w:val="00C73E2D"/>
    <w:rsid w:val="00C74AF8"/>
    <w:rsid w:val="00C75FAF"/>
    <w:rsid w:val="00C762A7"/>
    <w:rsid w:val="00C77745"/>
    <w:rsid w:val="00C7798A"/>
    <w:rsid w:val="00C800D9"/>
    <w:rsid w:val="00C80177"/>
    <w:rsid w:val="00C803DA"/>
    <w:rsid w:val="00C80EF5"/>
    <w:rsid w:val="00C80FBA"/>
    <w:rsid w:val="00C816F7"/>
    <w:rsid w:val="00C81D12"/>
    <w:rsid w:val="00C825DD"/>
    <w:rsid w:val="00C8300D"/>
    <w:rsid w:val="00C839FE"/>
    <w:rsid w:val="00C83EF7"/>
    <w:rsid w:val="00C840AE"/>
    <w:rsid w:val="00C8494F"/>
    <w:rsid w:val="00C850C6"/>
    <w:rsid w:val="00C858E0"/>
    <w:rsid w:val="00C86EB8"/>
    <w:rsid w:val="00C8783E"/>
    <w:rsid w:val="00C904AA"/>
    <w:rsid w:val="00C90B76"/>
    <w:rsid w:val="00C912AE"/>
    <w:rsid w:val="00C92522"/>
    <w:rsid w:val="00C926F8"/>
    <w:rsid w:val="00C928A7"/>
    <w:rsid w:val="00C92CE2"/>
    <w:rsid w:val="00C932A0"/>
    <w:rsid w:val="00C9391D"/>
    <w:rsid w:val="00C93E89"/>
    <w:rsid w:val="00C9496A"/>
    <w:rsid w:val="00C95178"/>
    <w:rsid w:val="00C96189"/>
    <w:rsid w:val="00C9660A"/>
    <w:rsid w:val="00C979D3"/>
    <w:rsid w:val="00C97AD1"/>
    <w:rsid w:val="00CA0095"/>
    <w:rsid w:val="00CA0226"/>
    <w:rsid w:val="00CA1664"/>
    <w:rsid w:val="00CA2919"/>
    <w:rsid w:val="00CA31E7"/>
    <w:rsid w:val="00CA3439"/>
    <w:rsid w:val="00CA34B1"/>
    <w:rsid w:val="00CA357F"/>
    <w:rsid w:val="00CA3D80"/>
    <w:rsid w:val="00CA3E9F"/>
    <w:rsid w:val="00CA47A2"/>
    <w:rsid w:val="00CA51E7"/>
    <w:rsid w:val="00CA5D7D"/>
    <w:rsid w:val="00CA725E"/>
    <w:rsid w:val="00CB04DE"/>
    <w:rsid w:val="00CB1D41"/>
    <w:rsid w:val="00CB2B02"/>
    <w:rsid w:val="00CB436D"/>
    <w:rsid w:val="00CB498E"/>
    <w:rsid w:val="00CB4D8E"/>
    <w:rsid w:val="00CB607D"/>
    <w:rsid w:val="00CC0307"/>
    <w:rsid w:val="00CC0A5A"/>
    <w:rsid w:val="00CC0B48"/>
    <w:rsid w:val="00CC1D55"/>
    <w:rsid w:val="00CC2EAD"/>
    <w:rsid w:val="00CC31A1"/>
    <w:rsid w:val="00CC3873"/>
    <w:rsid w:val="00CC42A7"/>
    <w:rsid w:val="00CC47B8"/>
    <w:rsid w:val="00CC5140"/>
    <w:rsid w:val="00CC56A0"/>
    <w:rsid w:val="00CC577B"/>
    <w:rsid w:val="00CC59BC"/>
    <w:rsid w:val="00CC5A50"/>
    <w:rsid w:val="00CC6DA7"/>
    <w:rsid w:val="00CC6EED"/>
    <w:rsid w:val="00CC7ECE"/>
    <w:rsid w:val="00CD0517"/>
    <w:rsid w:val="00CD069F"/>
    <w:rsid w:val="00CD07CC"/>
    <w:rsid w:val="00CD1893"/>
    <w:rsid w:val="00CD25A6"/>
    <w:rsid w:val="00CD26E3"/>
    <w:rsid w:val="00CD3F7A"/>
    <w:rsid w:val="00CD474F"/>
    <w:rsid w:val="00CD4DED"/>
    <w:rsid w:val="00CD5726"/>
    <w:rsid w:val="00CD65EA"/>
    <w:rsid w:val="00CD65FD"/>
    <w:rsid w:val="00CD7384"/>
    <w:rsid w:val="00CE0B5A"/>
    <w:rsid w:val="00CE0F8C"/>
    <w:rsid w:val="00CE1428"/>
    <w:rsid w:val="00CE1C8E"/>
    <w:rsid w:val="00CE215C"/>
    <w:rsid w:val="00CE2619"/>
    <w:rsid w:val="00CE2B17"/>
    <w:rsid w:val="00CE32AA"/>
    <w:rsid w:val="00CE32F8"/>
    <w:rsid w:val="00CE3A10"/>
    <w:rsid w:val="00CE426F"/>
    <w:rsid w:val="00CE4D72"/>
    <w:rsid w:val="00CE4E2E"/>
    <w:rsid w:val="00CE598A"/>
    <w:rsid w:val="00CE6627"/>
    <w:rsid w:val="00CE681D"/>
    <w:rsid w:val="00CE6EF7"/>
    <w:rsid w:val="00CE7217"/>
    <w:rsid w:val="00CF0310"/>
    <w:rsid w:val="00CF0D6C"/>
    <w:rsid w:val="00CF0DE9"/>
    <w:rsid w:val="00CF0E8D"/>
    <w:rsid w:val="00CF16C0"/>
    <w:rsid w:val="00CF1BEF"/>
    <w:rsid w:val="00CF410D"/>
    <w:rsid w:val="00CF4B24"/>
    <w:rsid w:val="00CF55CF"/>
    <w:rsid w:val="00CF5707"/>
    <w:rsid w:val="00CF5B75"/>
    <w:rsid w:val="00CF5F85"/>
    <w:rsid w:val="00CF665A"/>
    <w:rsid w:val="00CF6F7F"/>
    <w:rsid w:val="00CF778E"/>
    <w:rsid w:val="00D03396"/>
    <w:rsid w:val="00D03B2D"/>
    <w:rsid w:val="00D04404"/>
    <w:rsid w:val="00D049C0"/>
    <w:rsid w:val="00D051D5"/>
    <w:rsid w:val="00D05464"/>
    <w:rsid w:val="00D055CE"/>
    <w:rsid w:val="00D05687"/>
    <w:rsid w:val="00D05B5E"/>
    <w:rsid w:val="00D05E01"/>
    <w:rsid w:val="00D0628F"/>
    <w:rsid w:val="00D06B4E"/>
    <w:rsid w:val="00D070A1"/>
    <w:rsid w:val="00D07E6A"/>
    <w:rsid w:val="00D104C2"/>
    <w:rsid w:val="00D106ED"/>
    <w:rsid w:val="00D10CE2"/>
    <w:rsid w:val="00D10D8A"/>
    <w:rsid w:val="00D10E51"/>
    <w:rsid w:val="00D115AC"/>
    <w:rsid w:val="00D1175A"/>
    <w:rsid w:val="00D11B0B"/>
    <w:rsid w:val="00D11D14"/>
    <w:rsid w:val="00D12F7C"/>
    <w:rsid w:val="00D13125"/>
    <w:rsid w:val="00D14208"/>
    <w:rsid w:val="00D14380"/>
    <w:rsid w:val="00D15A35"/>
    <w:rsid w:val="00D15AAB"/>
    <w:rsid w:val="00D16329"/>
    <w:rsid w:val="00D16BB6"/>
    <w:rsid w:val="00D16C8B"/>
    <w:rsid w:val="00D16FBF"/>
    <w:rsid w:val="00D1747B"/>
    <w:rsid w:val="00D17AAD"/>
    <w:rsid w:val="00D21163"/>
    <w:rsid w:val="00D2143E"/>
    <w:rsid w:val="00D21501"/>
    <w:rsid w:val="00D217FC"/>
    <w:rsid w:val="00D219F3"/>
    <w:rsid w:val="00D221A6"/>
    <w:rsid w:val="00D23202"/>
    <w:rsid w:val="00D23448"/>
    <w:rsid w:val="00D23563"/>
    <w:rsid w:val="00D23798"/>
    <w:rsid w:val="00D23C64"/>
    <w:rsid w:val="00D23E29"/>
    <w:rsid w:val="00D24EA9"/>
    <w:rsid w:val="00D2546C"/>
    <w:rsid w:val="00D257AC"/>
    <w:rsid w:val="00D25C18"/>
    <w:rsid w:val="00D25C81"/>
    <w:rsid w:val="00D2668D"/>
    <w:rsid w:val="00D27B03"/>
    <w:rsid w:val="00D3025A"/>
    <w:rsid w:val="00D322B4"/>
    <w:rsid w:val="00D32E84"/>
    <w:rsid w:val="00D32FF0"/>
    <w:rsid w:val="00D33094"/>
    <w:rsid w:val="00D33233"/>
    <w:rsid w:val="00D33A03"/>
    <w:rsid w:val="00D35175"/>
    <w:rsid w:val="00D353F3"/>
    <w:rsid w:val="00D3598B"/>
    <w:rsid w:val="00D35FC3"/>
    <w:rsid w:val="00D360DE"/>
    <w:rsid w:val="00D36513"/>
    <w:rsid w:val="00D365BA"/>
    <w:rsid w:val="00D3762D"/>
    <w:rsid w:val="00D404F6"/>
    <w:rsid w:val="00D40825"/>
    <w:rsid w:val="00D40D99"/>
    <w:rsid w:val="00D41231"/>
    <w:rsid w:val="00D41665"/>
    <w:rsid w:val="00D419A4"/>
    <w:rsid w:val="00D419EF"/>
    <w:rsid w:val="00D419FE"/>
    <w:rsid w:val="00D41AE1"/>
    <w:rsid w:val="00D423D7"/>
    <w:rsid w:val="00D42401"/>
    <w:rsid w:val="00D426A0"/>
    <w:rsid w:val="00D42E95"/>
    <w:rsid w:val="00D436A6"/>
    <w:rsid w:val="00D44346"/>
    <w:rsid w:val="00D44F7A"/>
    <w:rsid w:val="00D45532"/>
    <w:rsid w:val="00D458E6"/>
    <w:rsid w:val="00D45A40"/>
    <w:rsid w:val="00D461C9"/>
    <w:rsid w:val="00D472B5"/>
    <w:rsid w:val="00D47BA7"/>
    <w:rsid w:val="00D507E6"/>
    <w:rsid w:val="00D50DE9"/>
    <w:rsid w:val="00D51429"/>
    <w:rsid w:val="00D51D2E"/>
    <w:rsid w:val="00D51FEF"/>
    <w:rsid w:val="00D522AB"/>
    <w:rsid w:val="00D5267B"/>
    <w:rsid w:val="00D535E6"/>
    <w:rsid w:val="00D5372F"/>
    <w:rsid w:val="00D54801"/>
    <w:rsid w:val="00D55B95"/>
    <w:rsid w:val="00D55C87"/>
    <w:rsid w:val="00D565AC"/>
    <w:rsid w:val="00D573DF"/>
    <w:rsid w:val="00D57A96"/>
    <w:rsid w:val="00D611C9"/>
    <w:rsid w:val="00D64BA7"/>
    <w:rsid w:val="00D65509"/>
    <w:rsid w:val="00D66885"/>
    <w:rsid w:val="00D67FEA"/>
    <w:rsid w:val="00D7006D"/>
    <w:rsid w:val="00D71AA7"/>
    <w:rsid w:val="00D71F16"/>
    <w:rsid w:val="00D722A5"/>
    <w:rsid w:val="00D72B70"/>
    <w:rsid w:val="00D72D16"/>
    <w:rsid w:val="00D72E08"/>
    <w:rsid w:val="00D7320E"/>
    <w:rsid w:val="00D732E7"/>
    <w:rsid w:val="00D7354A"/>
    <w:rsid w:val="00D7367B"/>
    <w:rsid w:val="00D73E48"/>
    <w:rsid w:val="00D73FEB"/>
    <w:rsid w:val="00D74543"/>
    <w:rsid w:val="00D74CD4"/>
    <w:rsid w:val="00D753FB"/>
    <w:rsid w:val="00D7564D"/>
    <w:rsid w:val="00D759F6"/>
    <w:rsid w:val="00D75CC9"/>
    <w:rsid w:val="00D76489"/>
    <w:rsid w:val="00D767A1"/>
    <w:rsid w:val="00D76C68"/>
    <w:rsid w:val="00D77938"/>
    <w:rsid w:val="00D77F0B"/>
    <w:rsid w:val="00D8121B"/>
    <w:rsid w:val="00D82E85"/>
    <w:rsid w:val="00D832FD"/>
    <w:rsid w:val="00D85732"/>
    <w:rsid w:val="00D85C4E"/>
    <w:rsid w:val="00D861F3"/>
    <w:rsid w:val="00D8656B"/>
    <w:rsid w:val="00D8665C"/>
    <w:rsid w:val="00D866DB"/>
    <w:rsid w:val="00D86DB9"/>
    <w:rsid w:val="00D8720F"/>
    <w:rsid w:val="00D872B8"/>
    <w:rsid w:val="00D8744A"/>
    <w:rsid w:val="00D906BC"/>
    <w:rsid w:val="00D90B45"/>
    <w:rsid w:val="00D914AE"/>
    <w:rsid w:val="00D91A86"/>
    <w:rsid w:val="00D91B15"/>
    <w:rsid w:val="00D92BEB"/>
    <w:rsid w:val="00D92C45"/>
    <w:rsid w:val="00D9300F"/>
    <w:rsid w:val="00D934BF"/>
    <w:rsid w:val="00D937CD"/>
    <w:rsid w:val="00D951F1"/>
    <w:rsid w:val="00D95495"/>
    <w:rsid w:val="00D95AA5"/>
    <w:rsid w:val="00D95ADF"/>
    <w:rsid w:val="00D96716"/>
    <w:rsid w:val="00D971DF"/>
    <w:rsid w:val="00D97B31"/>
    <w:rsid w:val="00DA0358"/>
    <w:rsid w:val="00DA07A4"/>
    <w:rsid w:val="00DA0CD4"/>
    <w:rsid w:val="00DA10B7"/>
    <w:rsid w:val="00DA125E"/>
    <w:rsid w:val="00DA1AB4"/>
    <w:rsid w:val="00DA1ACB"/>
    <w:rsid w:val="00DA367D"/>
    <w:rsid w:val="00DA3C76"/>
    <w:rsid w:val="00DA3D06"/>
    <w:rsid w:val="00DA3E6A"/>
    <w:rsid w:val="00DA41E7"/>
    <w:rsid w:val="00DA470E"/>
    <w:rsid w:val="00DA4916"/>
    <w:rsid w:val="00DA4EB2"/>
    <w:rsid w:val="00DA50C0"/>
    <w:rsid w:val="00DA547C"/>
    <w:rsid w:val="00DA58FB"/>
    <w:rsid w:val="00DA685D"/>
    <w:rsid w:val="00DA782A"/>
    <w:rsid w:val="00DA7B1B"/>
    <w:rsid w:val="00DA7C11"/>
    <w:rsid w:val="00DB0094"/>
    <w:rsid w:val="00DB1CE1"/>
    <w:rsid w:val="00DB1FD2"/>
    <w:rsid w:val="00DB2973"/>
    <w:rsid w:val="00DB2B9B"/>
    <w:rsid w:val="00DB3C76"/>
    <w:rsid w:val="00DB4354"/>
    <w:rsid w:val="00DB469C"/>
    <w:rsid w:val="00DB5AA5"/>
    <w:rsid w:val="00DB5B22"/>
    <w:rsid w:val="00DB5FD1"/>
    <w:rsid w:val="00DB6491"/>
    <w:rsid w:val="00DB6A13"/>
    <w:rsid w:val="00DB6FEF"/>
    <w:rsid w:val="00DB701E"/>
    <w:rsid w:val="00DB78E1"/>
    <w:rsid w:val="00DC0C22"/>
    <w:rsid w:val="00DC0D77"/>
    <w:rsid w:val="00DC0D7F"/>
    <w:rsid w:val="00DC0F53"/>
    <w:rsid w:val="00DC1225"/>
    <w:rsid w:val="00DC181E"/>
    <w:rsid w:val="00DC295F"/>
    <w:rsid w:val="00DC358B"/>
    <w:rsid w:val="00DC3FDF"/>
    <w:rsid w:val="00DC48DD"/>
    <w:rsid w:val="00DC5D1A"/>
    <w:rsid w:val="00DC5D43"/>
    <w:rsid w:val="00DC5EDE"/>
    <w:rsid w:val="00DC6187"/>
    <w:rsid w:val="00DC7A43"/>
    <w:rsid w:val="00DD1043"/>
    <w:rsid w:val="00DD1228"/>
    <w:rsid w:val="00DD1B37"/>
    <w:rsid w:val="00DD1C19"/>
    <w:rsid w:val="00DD2D5F"/>
    <w:rsid w:val="00DD2E16"/>
    <w:rsid w:val="00DD3B1A"/>
    <w:rsid w:val="00DD3DAE"/>
    <w:rsid w:val="00DD4B17"/>
    <w:rsid w:val="00DD51AB"/>
    <w:rsid w:val="00DD5C3A"/>
    <w:rsid w:val="00DD60F0"/>
    <w:rsid w:val="00DD6473"/>
    <w:rsid w:val="00DD672C"/>
    <w:rsid w:val="00DD6ACD"/>
    <w:rsid w:val="00DD6D8F"/>
    <w:rsid w:val="00DD74E3"/>
    <w:rsid w:val="00DE017C"/>
    <w:rsid w:val="00DE0A1B"/>
    <w:rsid w:val="00DE0C11"/>
    <w:rsid w:val="00DE0DBD"/>
    <w:rsid w:val="00DE134A"/>
    <w:rsid w:val="00DE1D50"/>
    <w:rsid w:val="00DE29B0"/>
    <w:rsid w:val="00DE2F79"/>
    <w:rsid w:val="00DE339E"/>
    <w:rsid w:val="00DE46AD"/>
    <w:rsid w:val="00DE47CA"/>
    <w:rsid w:val="00DE50F1"/>
    <w:rsid w:val="00DE5F21"/>
    <w:rsid w:val="00DE65D7"/>
    <w:rsid w:val="00DE6A2A"/>
    <w:rsid w:val="00DE7282"/>
    <w:rsid w:val="00DE76F2"/>
    <w:rsid w:val="00DF0827"/>
    <w:rsid w:val="00DF0B8A"/>
    <w:rsid w:val="00DF0F3B"/>
    <w:rsid w:val="00DF1EC6"/>
    <w:rsid w:val="00DF2B69"/>
    <w:rsid w:val="00DF2C08"/>
    <w:rsid w:val="00DF2FE9"/>
    <w:rsid w:val="00DF371A"/>
    <w:rsid w:val="00DF606C"/>
    <w:rsid w:val="00DF6654"/>
    <w:rsid w:val="00DF6B2A"/>
    <w:rsid w:val="00DF6FF3"/>
    <w:rsid w:val="00DF73F9"/>
    <w:rsid w:val="00E00354"/>
    <w:rsid w:val="00E0035F"/>
    <w:rsid w:val="00E00745"/>
    <w:rsid w:val="00E0175F"/>
    <w:rsid w:val="00E01904"/>
    <w:rsid w:val="00E0201A"/>
    <w:rsid w:val="00E03B5B"/>
    <w:rsid w:val="00E03DBF"/>
    <w:rsid w:val="00E05CE9"/>
    <w:rsid w:val="00E063B3"/>
    <w:rsid w:val="00E0653E"/>
    <w:rsid w:val="00E07019"/>
    <w:rsid w:val="00E073F3"/>
    <w:rsid w:val="00E07F03"/>
    <w:rsid w:val="00E07F24"/>
    <w:rsid w:val="00E10B57"/>
    <w:rsid w:val="00E1123F"/>
    <w:rsid w:val="00E12081"/>
    <w:rsid w:val="00E127C2"/>
    <w:rsid w:val="00E12974"/>
    <w:rsid w:val="00E1311B"/>
    <w:rsid w:val="00E133E8"/>
    <w:rsid w:val="00E13A32"/>
    <w:rsid w:val="00E13DE2"/>
    <w:rsid w:val="00E14242"/>
    <w:rsid w:val="00E1491B"/>
    <w:rsid w:val="00E14ED6"/>
    <w:rsid w:val="00E1574A"/>
    <w:rsid w:val="00E161D1"/>
    <w:rsid w:val="00E161FE"/>
    <w:rsid w:val="00E16D63"/>
    <w:rsid w:val="00E17A68"/>
    <w:rsid w:val="00E17F1F"/>
    <w:rsid w:val="00E2005C"/>
    <w:rsid w:val="00E20609"/>
    <w:rsid w:val="00E20A93"/>
    <w:rsid w:val="00E20B95"/>
    <w:rsid w:val="00E20FC2"/>
    <w:rsid w:val="00E20FFA"/>
    <w:rsid w:val="00E214A6"/>
    <w:rsid w:val="00E2182C"/>
    <w:rsid w:val="00E21EBE"/>
    <w:rsid w:val="00E22001"/>
    <w:rsid w:val="00E22CD3"/>
    <w:rsid w:val="00E22FA0"/>
    <w:rsid w:val="00E233D6"/>
    <w:rsid w:val="00E2357F"/>
    <w:rsid w:val="00E2396C"/>
    <w:rsid w:val="00E2427C"/>
    <w:rsid w:val="00E248BE"/>
    <w:rsid w:val="00E260D1"/>
    <w:rsid w:val="00E26837"/>
    <w:rsid w:val="00E27173"/>
    <w:rsid w:val="00E27395"/>
    <w:rsid w:val="00E27735"/>
    <w:rsid w:val="00E27C0D"/>
    <w:rsid w:val="00E30187"/>
    <w:rsid w:val="00E30CD8"/>
    <w:rsid w:val="00E30CFB"/>
    <w:rsid w:val="00E311F5"/>
    <w:rsid w:val="00E336BD"/>
    <w:rsid w:val="00E33A43"/>
    <w:rsid w:val="00E35380"/>
    <w:rsid w:val="00E3545C"/>
    <w:rsid w:val="00E35B9A"/>
    <w:rsid w:val="00E3659A"/>
    <w:rsid w:val="00E36F91"/>
    <w:rsid w:val="00E37300"/>
    <w:rsid w:val="00E374ED"/>
    <w:rsid w:val="00E3793F"/>
    <w:rsid w:val="00E404A5"/>
    <w:rsid w:val="00E4097C"/>
    <w:rsid w:val="00E412FE"/>
    <w:rsid w:val="00E4155C"/>
    <w:rsid w:val="00E41655"/>
    <w:rsid w:val="00E41EB0"/>
    <w:rsid w:val="00E432D7"/>
    <w:rsid w:val="00E43EA3"/>
    <w:rsid w:val="00E45929"/>
    <w:rsid w:val="00E46088"/>
    <w:rsid w:val="00E47B88"/>
    <w:rsid w:val="00E47C21"/>
    <w:rsid w:val="00E5090E"/>
    <w:rsid w:val="00E510E9"/>
    <w:rsid w:val="00E516BE"/>
    <w:rsid w:val="00E51745"/>
    <w:rsid w:val="00E51C2A"/>
    <w:rsid w:val="00E51C53"/>
    <w:rsid w:val="00E52894"/>
    <w:rsid w:val="00E52B91"/>
    <w:rsid w:val="00E5304D"/>
    <w:rsid w:val="00E53910"/>
    <w:rsid w:val="00E53939"/>
    <w:rsid w:val="00E53C59"/>
    <w:rsid w:val="00E53DB4"/>
    <w:rsid w:val="00E55D59"/>
    <w:rsid w:val="00E56110"/>
    <w:rsid w:val="00E563CD"/>
    <w:rsid w:val="00E56424"/>
    <w:rsid w:val="00E5645D"/>
    <w:rsid w:val="00E56796"/>
    <w:rsid w:val="00E567F7"/>
    <w:rsid w:val="00E56D92"/>
    <w:rsid w:val="00E5738D"/>
    <w:rsid w:val="00E57C6F"/>
    <w:rsid w:val="00E600EE"/>
    <w:rsid w:val="00E60AF1"/>
    <w:rsid w:val="00E617B8"/>
    <w:rsid w:val="00E6191C"/>
    <w:rsid w:val="00E61FE1"/>
    <w:rsid w:val="00E63427"/>
    <w:rsid w:val="00E63B25"/>
    <w:rsid w:val="00E64FAC"/>
    <w:rsid w:val="00E660AF"/>
    <w:rsid w:val="00E6617C"/>
    <w:rsid w:val="00E6648A"/>
    <w:rsid w:val="00E6677D"/>
    <w:rsid w:val="00E6742C"/>
    <w:rsid w:val="00E6780F"/>
    <w:rsid w:val="00E67C05"/>
    <w:rsid w:val="00E67D0E"/>
    <w:rsid w:val="00E7135C"/>
    <w:rsid w:val="00E72071"/>
    <w:rsid w:val="00E720A5"/>
    <w:rsid w:val="00E7490A"/>
    <w:rsid w:val="00E75032"/>
    <w:rsid w:val="00E75201"/>
    <w:rsid w:val="00E752CF"/>
    <w:rsid w:val="00E75B53"/>
    <w:rsid w:val="00E77FD3"/>
    <w:rsid w:val="00E80B32"/>
    <w:rsid w:val="00E81398"/>
    <w:rsid w:val="00E82480"/>
    <w:rsid w:val="00E8259E"/>
    <w:rsid w:val="00E83178"/>
    <w:rsid w:val="00E84751"/>
    <w:rsid w:val="00E84F43"/>
    <w:rsid w:val="00E84FF5"/>
    <w:rsid w:val="00E858B0"/>
    <w:rsid w:val="00E85F5A"/>
    <w:rsid w:val="00E8791D"/>
    <w:rsid w:val="00E87D51"/>
    <w:rsid w:val="00E911E0"/>
    <w:rsid w:val="00E915D0"/>
    <w:rsid w:val="00E94D39"/>
    <w:rsid w:val="00E95A69"/>
    <w:rsid w:val="00E95DB7"/>
    <w:rsid w:val="00E97ACD"/>
    <w:rsid w:val="00E97C80"/>
    <w:rsid w:val="00EA05DA"/>
    <w:rsid w:val="00EA0D30"/>
    <w:rsid w:val="00EA0DAE"/>
    <w:rsid w:val="00EA114A"/>
    <w:rsid w:val="00EA1324"/>
    <w:rsid w:val="00EA15A4"/>
    <w:rsid w:val="00EA1F73"/>
    <w:rsid w:val="00EA1F87"/>
    <w:rsid w:val="00EA20D8"/>
    <w:rsid w:val="00EA222A"/>
    <w:rsid w:val="00EA233B"/>
    <w:rsid w:val="00EA2A93"/>
    <w:rsid w:val="00EA2CA1"/>
    <w:rsid w:val="00EA35B5"/>
    <w:rsid w:val="00EA36A8"/>
    <w:rsid w:val="00EA375A"/>
    <w:rsid w:val="00EA3A2E"/>
    <w:rsid w:val="00EA3BEB"/>
    <w:rsid w:val="00EA5347"/>
    <w:rsid w:val="00EA548C"/>
    <w:rsid w:val="00EA5E98"/>
    <w:rsid w:val="00EA729E"/>
    <w:rsid w:val="00EA7D73"/>
    <w:rsid w:val="00EA7F2E"/>
    <w:rsid w:val="00EB062E"/>
    <w:rsid w:val="00EB18C9"/>
    <w:rsid w:val="00EB19F2"/>
    <w:rsid w:val="00EB1A86"/>
    <w:rsid w:val="00EB1ADE"/>
    <w:rsid w:val="00EB1AF7"/>
    <w:rsid w:val="00EB1F0F"/>
    <w:rsid w:val="00EB2715"/>
    <w:rsid w:val="00EB3692"/>
    <w:rsid w:val="00EB3F7E"/>
    <w:rsid w:val="00EB3FDD"/>
    <w:rsid w:val="00EB4301"/>
    <w:rsid w:val="00EB4375"/>
    <w:rsid w:val="00EB4F66"/>
    <w:rsid w:val="00EB56F6"/>
    <w:rsid w:val="00EB5BE8"/>
    <w:rsid w:val="00EB5C8B"/>
    <w:rsid w:val="00EB5F3E"/>
    <w:rsid w:val="00EB5FCE"/>
    <w:rsid w:val="00EB6486"/>
    <w:rsid w:val="00EB6FFC"/>
    <w:rsid w:val="00EB745C"/>
    <w:rsid w:val="00EB7820"/>
    <w:rsid w:val="00EB7957"/>
    <w:rsid w:val="00EB7B93"/>
    <w:rsid w:val="00EC01EC"/>
    <w:rsid w:val="00EC09DB"/>
    <w:rsid w:val="00EC0F82"/>
    <w:rsid w:val="00EC1568"/>
    <w:rsid w:val="00EC1871"/>
    <w:rsid w:val="00EC1A67"/>
    <w:rsid w:val="00EC39A6"/>
    <w:rsid w:val="00EC3A73"/>
    <w:rsid w:val="00EC3DF0"/>
    <w:rsid w:val="00EC482B"/>
    <w:rsid w:val="00EC4C4E"/>
    <w:rsid w:val="00ED1CD5"/>
    <w:rsid w:val="00ED1E5F"/>
    <w:rsid w:val="00ED21EC"/>
    <w:rsid w:val="00ED3116"/>
    <w:rsid w:val="00ED3339"/>
    <w:rsid w:val="00ED3F73"/>
    <w:rsid w:val="00ED3FDE"/>
    <w:rsid w:val="00ED484C"/>
    <w:rsid w:val="00ED4BFF"/>
    <w:rsid w:val="00ED5FCF"/>
    <w:rsid w:val="00ED66E7"/>
    <w:rsid w:val="00EE038E"/>
    <w:rsid w:val="00EE0DCA"/>
    <w:rsid w:val="00EE11D1"/>
    <w:rsid w:val="00EE1C65"/>
    <w:rsid w:val="00EE1E42"/>
    <w:rsid w:val="00EE2FA2"/>
    <w:rsid w:val="00EE348F"/>
    <w:rsid w:val="00EE37AA"/>
    <w:rsid w:val="00EE3A9F"/>
    <w:rsid w:val="00EE3E31"/>
    <w:rsid w:val="00EE3F1B"/>
    <w:rsid w:val="00EE45AB"/>
    <w:rsid w:val="00EE47A0"/>
    <w:rsid w:val="00EE4A3B"/>
    <w:rsid w:val="00EE4C91"/>
    <w:rsid w:val="00EE5BE2"/>
    <w:rsid w:val="00EE6340"/>
    <w:rsid w:val="00EE67F1"/>
    <w:rsid w:val="00EE6E7C"/>
    <w:rsid w:val="00EE7CB1"/>
    <w:rsid w:val="00EF026D"/>
    <w:rsid w:val="00EF0431"/>
    <w:rsid w:val="00EF109B"/>
    <w:rsid w:val="00EF1649"/>
    <w:rsid w:val="00EF16A5"/>
    <w:rsid w:val="00EF1924"/>
    <w:rsid w:val="00EF3363"/>
    <w:rsid w:val="00EF4476"/>
    <w:rsid w:val="00EF52F9"/>
    <w:rsid w:val="00EF63DD"/>
    <w:rsid w:val="00EF71D3"/>
    <w:rsid w:val="00F002A8"/>
    <w:rsid w:val="00F00765"/>
    <w:rsid w:val="00F00AEC"/>
    <w:rsid w:val="00F00BDB"/>
    <w:rsid w:val="00F02790"/>
    <w:rsid w:val="00F0373F"/>
    <w:rsid w:val="00F03CD3"/>
    <w:rsid w:val="00F03E19"/>
    <w:rsid w:val="00F046D9"/>
    <w:rsid w:val="00F05684"/>
    <w:rsid w:val="00F063ED"/>
    <w:rsid w:val="00F06897"/>
    <w:rsid w:val="00F06B41"/>
    <w:rsid w:val="00F06C32"/>
    <w:rsid w:val="00F06CC0"/>
    <w:rsid w:val="00F100E3"/>
    <w:rsid w:val="00F10BC5"/>
    <w:rsid w:val="00F1142B"/>
    <w:rsid w:val="00F11743"/>
    <w:rsid w:val="00F126B9"/>
    <w:rsid w:val="00F132F1"/>
    <w:rsid w:val="00F1387E"/>
    <w:rsid w:val="00F14270"/>
    <w:rsid w:val="00F14F9D"/>
    <w:rsid w:val="00F15566"/>
    <w:rsid w:val="00F164D6"/>
    <w:rsid w:val="00F16BA9"/>
    <w:rsid w:val="00F1761B"/>
    <w:rsid w:val="00F1778E"/>
    <w:rsid w:val="00F202E3"/>
    <w:rsid w:val="00F213B4"/>
    <w:rsid w:val="00F218CD"/>
    <w:rsid w:val="00F21B6D"/>
    <w:rsid w:val="00F21DBD"/>
    <w:rsid w:val="00F23520"/>
    <w:rsid w:val="00F23D69"/>
    <w:rsid w:val="00F24B52"/>
    <w:rsid w:val="00F24CFD"/>
    <w:rsid w:val="00F25866"/>
    <w:rsid w:val="00F265D7"/>
    <w:rsid w:val="00F26C28"/>
    <w:rsid w:val="00F27A97"/>
    <w:rsid w:val="00F27AA7"/>
    <w:rsid w:val="00F30F06"/>
    <w:rsid w:val="00F31287"/>
    <w:rsid w:val="00F31415"/>
    <w:rsid w:val="00F31632"/>
    <w:rsid w:val="00F318F7"/>
    <w:rsid w:val="00F32A65"/>
    <w:rsid w:val="00F331C4"/>
    <w:rsid w:val="00F33983"/>
    <w:rsid w:val="00F350CE"/>
    <w:rsid w:val="00F357CE"/>
    <w:rsid w:val="00F35C66"/>
    <w:rsid w:val="00F3610A"/>
    <w:rsid w:val="00F3732B"/>
    <w:rsid w:val="00F402B3"/>
    <w:rsid w:val="00F44B77"/>
    <w:rsid w:val="00F45281"/>
    <w:rsid w:val="00F456B8"/>
    <w:rsid w:val="00F4633B"/>
    <w:rsid w:val="00F46D2F"/>
    <w:rsid w:val="00F502BA"/>
    <w:rsid w:val="00F51527"/>
    <w:rsid w:val="00F517A0"/>
    <w:rsid w:val="00F51EA0"/>
    <w:rsid w:val="00F52728"/>
    <w:rsid w:val="00F52955"/>
    <w:rsid w:val="00F5308D"/>
    <w:rsid w:val="00F53625"/>
    <w:rsid w:val="00F53802"/>
    <w:rsid w:val="00F53A00"/>
    <w:rsid w:val="00F540D9"/>
    <w:rsid w:val="00F54AB8"/>
    <w:rsid w:val="00F54B5B"/>
    <w:rsid w:val="00F54DF4"/>
    <w:rsid w:val="00F552FD"/>
    <w:rsid w:val="00F553E5"/>
    <w:rsid w:val="00F55C02"/>
    <w:rsid w:val="00F55E7B"/>
    <w:rsid w:val="00F56991"/>
    <w:rsid w:val="00F57735"/>
    <w:rsid w:val="00F604E6"/>
    <w:rsid w:val="00F616B1"/>
    <w:rsid w:val="00F61AB5"/>
    <w:rsid w:val="00F61CF9"/>
    <w:rsid w:val="00F61D17"/>
    <w:rsid w:val="00F62313"/>
    <w:rsid w:val="00F623AE"/>
    <w:rsid w:val="00F624BD"/>
    <w:rsid w:val="00F63021"/>
    <w:rsid w:val="00F63727"/>
    <w:rsid w:val="00F6384A"/>
    <w:rsid w:val="00F639B5"/>
    <w:rsid w:val="00F639F8"/>
    <w:rsid w:val="00F642E2"/>
    <w:rsid w:val="00F662EA"/>
    <w:rsid w:val="00F66CBF"/>
    <w:rsid w:val="00F66D82"/>
    <w:rsid w:val="00F6729B"/>
    <w:rsid w:val="00F67AB3"/>
    <w:rsid w:val="00F70177"/>
    <w:rsid w:val="00F701B1"/>
    <w:rsid w:val="00F70304"/>
    <w:rsid w:val="00F70A09"/>
    <w:rsid w:val="00F70E05"/>
    <w:rsid w:val="00F718DC"/>
    <w:rsid w:val="00F729B2"/>
    <w:rsid w:val="00F73DCA"/>
    <w:rsid w:val="00F747DE"/>
    <w:rsid w:val="00F7517B"/>
    <w:rsid w:val="00F75CCC"/>
    <w:rsid w:val="00F75D22"/>
    <w:rsid w:val="00F75E71"/>
    <w:rsid w:val="00F75FFA"/>
    <w:rsid w:val="00F77631"/>
    <w:rsid w:val="00F77917"/>
    <w:rsid w:val="00F80480"/>
    <w:rsid w:val="00F809E9"/>
    <w:rsid w:val="00F80EDF"/>
    <w:rsid w:val="00F81E26"/>
    <w:rsid w:val="00F822D1"/>
    <w:rsid w:val="00F823E8"/>
    <w:rsid w:val="00F82402"/>
    <w:rsid w:val="00F83058"/>
    <w:rsid w:val="00F8354D"/>
    <w:rsid w:val="00F838D8"/>
    <w:rsid w:val="00F83D96"/>
    <w:rsid w:val="00F84AA7"/>
    <w:rsid w:val="00F85D14"/>
    <w:rsid w:val="00F86B4A"/>
    <w:rsid w:val="00F8706D"/>
    <w:rsid w:val="00F87897"/>
    <w:rsid w:val="00F878E9"/>
    <w:rsid w:val="00F87D82"/>
    <w:rsid w:val="00F9005D"/>
    <w:rsid w:val="00F9040C"/>
    <w:rsid w:val="00F90A5A"/>
    <w:rsid w:val="00F91165"/>
    <w:rsid w:val="00F92983"/>
    <w:rsid w:val="00F92AAD"/>
    <w:rsid w:val="00F92CC7"/>
    <w:rsid w:val="00F94D61"/>
    <w:rsid w:val="00F95A45"/>
    <w:rsid w:val="00F95C6F"/>
    <w:rsid w:val="00F96242"/>
    <w:rsid w:val="00F96694"/>
    <w:rsid w:val="00F96B83"/>
    <w:rsid w:val="00F96F20"/>
    <w:rsid w:val="00FA0700"/>
    <w:rsid w:val="00FA0F45"/>
    <w:rsid w:val="00FA1704"/>
    <w:rsid w:val="00FA266E"/>
    <w:rsid w:val="00FA2EE9"/>
    <w:rsid w:val="00FA3B28"/>
    <w:rsid w:val="00FA4782"/>
    <w:rsid w:val="00FA5618"/>
    <w:rsid w:val="00FA629F"/>
    <w:rsid w:val="00FA6402"/>
    <w:rsid w:val="00FA6FE5"/>
    <w:rsid w:val="00FB17E2"/>
    <w:rsid w:val="00FB1C51"/>
    <w:rsid w:val="00FB1D1D"/>
    <w:rsid w:val="00FB4774"/>
    <w:rsid w:val="00FB55CC"/>
    <w:rsid w:val="00FB6CDC"/>
    <w:rsid w:val="00FB6FF2"/>
    <w:rsid w:val="00FB7073"/>
    <w:rsid w:val="00FC00F2"/>
    <w:rsid w:val="00FC030F"/>
    <w:rsid w:val="00FC0397"/>
    <w:rsid w:val="00FC0727"/>
    <w:rsid w:val="00FC178D"/>
    <w:rsid w:val="00FC1FE0"/>
    <w:rsid w:val="00FC2AB3"/>
    <w:rsid w:val="00FC339E"/>
    <w:rsid w:val="00FC65C4"/>
    <w:rsid w:val="00FC65ED"/>
    <w:rsid w:val="00FC6DD3"/>
    <w:rsid w:val="00FC6E88"/>
    <w:rsid w:val="00FC714E"/>
    <w:rsid w:val="00FD01B2"/>
    <w:rsid w:val="00FD05F7"/>
    <w:rsid w:val="00FD0DBF"/>
    <w:rsid w:val="00FD207B"/>
    <w:rsid w:val="00FD225B"/>
    <w:rsid w:val="00FD30AD"/>
    <w:rsid w:val="00FD3756"/>
    <w:rsid w:val="00FD5138"/>
    <w:rsid w:val="00FD52C3"/>
    <w:rsid w:val="00FD5411"/>
    <w:rsid w:val="00FD562C"/>
    <w:rsid w:val="00FD56DF"/>
    <w:rsid w:val="00FD59F0"/>
    <w:rsid w:val="00FD5B65"/>
    <w:rsid w:val="00FD61B3"/>
    <w:rsid w:val="00FD6D2D"/>
    <w:rsid w:val="00FD756F"/>
    <w:rsid w:val="00FE1854"/>
    <w:rsid w:val="00FE2C7F"/>
    <w:rsid w:val="00FE399D"/>
    <w:rsid w:val="00FE45BA"/>
    <w:rsid w:val="00FE539F"/>
    <w:rsid w:val="00FE5467"/>
    <w:rsid w:val="00FE59C3"/>
    <w:rsid w:val="00FE5BFE"/>
    <w:rsid w:val="00FE5DF5"/>
    <w:rsid w:val="00FE6114"/>
    <w:rsid w:val="00FE6236"/>
    <w:rsid w:val="00FE6AD3"/>
    <w:rsid w:val="00FE791D"/>
    <w:rsid w:val="00FE7E36"/>
    <w:rsid w:val="00FF0447"/>
    <w:rsid w:val="00FF0FFE"/>
    <w:rsid w:val="00FF160A"/>
    <w:rsid w:val="00FF185B"/>
    <w:rsid w:val="00FF2063"/>
    <w:rsid w:val="00FF250F"/>
    <w:rsid w:val="00FF3C8C"/>
    <w:rsid w:val="00FF52FC"/>
    <w:rsid w:val="00FF5309"/>
    <w:rsid w:val="00FF5ED8"/>
    <w:rsid w:val="00FF64B1"/>
    <w:rsid w:val="00FF6F55"/>
    <w:rsid w:val="00FF771F"/>
    <w:rsid w:val="00FF7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770B260F-FF15-40B1-B41A-839C47977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u w:val="single"/>
    </w:rPr>
  </w:style>
  <w:style w:type="paragraph" w:styleId="Nadpis2">
    <w:name w:val="heading 2"/>
    <w:basedOn w:val="Normln"/>
    <w:next w:val="Normln"/>
    <w:qFormat/>
    <w:pPr>
      <w:keepNext/>
      <w:tabs>
        <w:tab w:val="left" w:pos="426"/>
        <w:tab w:val="left" w:pos="720"/>
      </w:tabs>
      <w:spacing w:before="240"/>
      <w:ind w:left="425" w:hanging="425"/>
      <w:jc w:val="both"/>
      <w:outlineLvl w:val="1"/>
    </w:pPr>
    <w:rPr>
      <w:b/>
      <w:snapToGrid w:val="0"/>
      <w:sz w:val="28"/>
      <w:szCs w:val="20"/>
    </w:rPr>
  </w:style>
  <w:style w:type="paragraph" w:styleId="Nadpis3">
    <w:name w:val="heading 3"/>
    <w:basedOn w:val="Normln"/>
    <w:next w:val="Normln"/>
    <w:qFormat/>
    <w:pPr>
      <w:keepNext/>
      <w:spacing w:line="312" w:lineRule="auto"/>
      <w:jc w:val="both"/>
      <w:outlineLvl w:val="2"/>
    </w:pPr>
    <w:rPr>
      <w:b/>
      <w:snapToGrid w:val="0"/>
      <w:szCs w:val="20"/>
    </w:rPr>
  </w:style>
  <w:style w:type="paragraph" w:styleId="Nadpis4">
    <w:name w:val="heading 4"/>
    <w:aliases w:val="střed 12b."/>
    <w:basedOn w:val="Normln"/>
    <w:next w:val="Normln"/>
    <w:qFormat/>
    <w:pPr>
      <w:keepNext/>
      <w:spacing w:line="360" w:lineRule="auto"/>
      <w:jc w:val="both"/>
      <w:outlineLvl w:val="3"/>
    </w:pPr>
    <w:rPr>
      <w:snapToGrid w:val="0"/>
      <w:szCs w:val="20"/>
    </w:rPr>
  </w:style>
  <w:style w:type="paragraph" w:styleId="Nadpis8">
    <w:name w:val="heading 8"/>
    <w:basedOn w:val="Normln"/>
    <w:next w:val="Normln"/>
    <w:qFormat/>
    <w:pPr>
      <w:keepNext/>
      <w:spacing w:before="120"/>
      <w:jc w:val="both"/>
      <w:outlineLvl w:val="7"/>
    </w:pPr>
    <w:rPr>
      <w:b/>
      <w:snapToGrid w:val="0"/>
      <w:sz w:val="28"/>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sodrkami">
    <w:name w:val="List Bullet"/>
    <w:basedOn w:val="Normln"/>
    <w:autoRedefine/>
    <w:pPr>
      <w:numPr>
        <w:numId w:val="1"/>
      </w:numPr>
      <w:spacing w:after="60"/>
    </w:pPr>
  </w:style>
  <w:style w:type="paragraph" w:customStyle="1" w:styleId="BodyText21">
    <w:name w:val="Body Text 21"/>
    <w:basedOn w:val="Normln"/>
    <w:pPr>
      <w:widowControl w:val="0"/>
      <w:spacing w:line="360" w:lineRule="auto"/>
      <w:jc w:val="both"/>
    </w:pPr>
    <w:rPr>
      <w:snapToGrid w:val="0"/>
      <w:szCs w:val="20"/>
    </w:rPr>
  </w:style>
  <w:style w:type="paragraph" w:styleId="Zkladntext">
    <w:name w:val="Body Text"/>
    <w:aliases w:val="b,?????1,Текст1,Body Text Char,Body Text Char2 Char,Body Text Char1 Char Char,Body ...,Corps de texte INTSUM,Číslovaný seznam (i),Základní text Char1 Char Char Char,Základní text Char1 Char Char C,Základní text Char1 Char Char Char Char,bt"/>
    <w:basedOn w:val="Normln"/>
    <w:link w:val="ZkladntextChar"/>
    <w:pPr>
      <w:jc w:val="both"/>
    </w:pPr>
    <w:rPr>
      <w:snapToGrid w:val="0"/>
      <w:szCs w:val="20"/>
      <w:lang w:val="x-none" w:eastAsia="x-none"/>
    </w:rPr>
  </w:style>
  <w:style w:type="paragraph" w:styleId="Zkladntextodsazen">
    <w:name w:val="Body Text Indent"/>
    <w:aliases w:val="Základní text odsazený Char1,Základní text odsazený Char Char,Základní text odsazený Char1 Char Char,Základní text odsazený Char Char Char Char, Char Char Char Char Char, Char Char1 Char Char, Char Char Char, Char Char1"/>
    <w:basedOn w:val="Normln"/>
    <w:link w:val="ZkladntextodsazenChar"/>
    <w:pPr>
      <w:spacing w:line="360" w:lineRule="atLeast"/>
      <w:ind w:firstLine="709"/>
      <w:jc w:val="both"/>
    </w:pPr>
    <w:rPr>
      <w:snapToGrid w:val="0"/>
      <w:szCs w:val="20"/>
      <w:lang w:val="x-none" w:eastAsia="x-none"/>
    </w:rPr>
  </w:style>
  <w:style w:type="character" w:styleId="slostrnky">
    <w:name w:val="page number"/>
    <w:basedOn w:val="Standardnpsmoodstavce"/>
  </w:style>
  <w:style w:type="character" w:styleId="Znakapoznpodarou">
    <w:name w:val="footnote reference"/>
    <w:uiPriority w:val="99"/>
    <w:semiHidden/>
    <w:rPr>
      <w:vertAlign w:val="superscript"/>
    </w:rPr>
  </w:style>
  <w:style w:type="character" w:styleId="Odkaznavysvtlivky">
    <w:name w:val="endnote reference"/>
    <w:semiHidden/>
    <w:rPr>
      <w:vertAlign w:val="superscript"/>
    </w:rPr>
  </w:style>
  <w:style w:type="paragraph" w:styleId="Zhlav">
    <w:name w:val="header"/>
    <w:aliases w:val="Header Char,Header Char2 Char,Header Char1 Char Char,Header Char Char Char Char,Header Char Char1 Char,Header Char1,Header Char Char"/>
    <w:basedOn w:val="Normln"/>
    <w:link w:val="ZhlavChar"/>
    <w:pPr>
      <w:tabs>
        <w:tab w:val="center" w:pos="4536"/>
        <w:tab w:val="right" w:pos="9072"/>
      </w:tabs>
    </w:pPr>
    <w:rPr>
      <w:snapToGrid w:val="0"/>
      <w:sz w:val="20"/>
      <w:szCs w:val="20"/>
      <w:lang w:val="x-none" w:eastAsia="x-none"/>
    </w:rPr>
  </w:style>
  <w:style w:type="paragraph" w:styleId="Zkladntextodsazen2">
    <w:name w:val="Body Text Indent 2"/>
    <w:basedOn w:val="Normln"/>
    <w:link w:val="Zkladntextodsazen2Char"/>
    <w:pPr>
      <w:spacing w:line="312" w:lineRule="auto"/>
      <w:ind w:firstLine="720"/>
      <w:jc w:val="both"/>
    </w:pPr>
    <w:rPr>
      <w:lang w:val="x-none" w:eastAsia="x-none"/>
    </w:rPr>
  </w:style>
  <w:style w:type="paragraph" w:styleId="Zkladntextodsazen3">
    <w:name w:val="Body Text Indent 3"/>
    <w:basedOn w:val="Normln"/>
    <w:pPr>
      <w:spacing w:line="360" w:lineRule="auto"/>
      <w:ind w:firstLine="708"/>
      <w:jc w:val="both"/>
    </w:pPr>
    <w:rPr>
      <w:snapToGrid w:val="0"/>
      <w:szCs w:val="20"/>
    </w:rPr>
  </w:style>
  <w:style w:type="paragraph" w:styleId="Textpoznpodarou">
    <w:name w:val="footnote text"/>
    <w:aliases w:val="ft,Char,Text pozn. pod čarou1,Char Char Char1"/>
    <w:basedOn w:val="Normln"/>
    <w:link w:val="TextpoznpodarouChar"/>
    <w:uiPriority w:val="99"/>
    <w:pPr>
      <w:jc w:val="both"/>
    </w:pPr>
    <w:rPr>
      <w:sz w:val="20"/>
      <w:szCs w:val="20"/>
    </w:rPr>
  </w:style>
  <w:style w:type="paragraph" w:styleId="Zpat">
    <w:name w:val="footer"/>
    <w:basedOn w:val="Normln"/>
    <w:link w:val="ZpatChar"/>
    <w:uiPriority w:val="99"/>
    <w:pPr>
      <w:tabs>
        <w:tab w:val="center" w:pos="4536"/>
        <w:tab w:val="right" w:pos="9072"/>
      </w:tabs>
    </w:pPr>
    <w:rPr>
      <w:lang w:val="x-none" w:eastAsia="x-none"/>
    </w:rPr>
  </w:style>
  <w:style w:type="paragraph" w:styleId="Textvysvtlivek">
    <w:name w:val="endnote text"/>
    <w:basedOn w:val="Normln"/>
    <w:semiHidden/>
    <w:rPr>
      <w:sz w:val="20"/>
      <w:szCs w:val="20"/>
    </w:rPr>
  </w:style>
  <w:style w:type="paragraph" w:customStyle="1" w:styleId="Odstavec">
    <w:name w:val="Odstavec"/>
    <w:basedOn w:val="Normln"/>
    <w:pPr>
      <w:ind w:firstLine="709"/>
    </w:pPr>
    <w:rPr>
      <w:bCs/>
    </w:rPr>
  </w:style>
  <w:style w:type="paragraph" w:customStyle="1" w:styleId="ProDomo">
    <w:name w:val="ProDomo"/>
    <w:basedOn w:val="Normln"/>
    <w:next w:val="Normln"/>
    <w:pPr>
      <w:spacing w:before="100" w:beforeAutospacing="1" w:after="100" w:afterAutospacing="1"/>
      <w:jc w:val="both"/>
    </w:pPr>
    <w:rPr>
      <w:i/>
    </w:rPr>
  </w:style>
  <w:style w:type="paragraph" w:customStyle="1" w:styleId="OdstavecGAERC">
    <w:name w:val="Odstavec GAERC"/>
    <w:basedOn w:val="Normln"/>
    <w:pPr>
      <w:spacing w:before="80" w:after="160"/>
      <w:ind w:left="284"/>
    </w:pPr>
    <w:rPr>
      <w:bCs/>
    </w:rPr>
  </w:style>
  <w:style w:type="paragraph" w:styleId="Nzev">
    <w:name w:val="Title"/>
    <w:basedOn w:val="Normln"/>
    <w:qFormat/>
    <w:pPr>
      <w:jc w:val="center"/>
    </w:pPr>
    <w:rPr>
      <w:b/>
      <w:bCs/>
    </w:rPr>
  </w:style>
  <w:style w:type="paragraph" w:styleId="FormtovanvHTML">
    <w:name w:val="HTML Preformatted"/>
    <w:basedOn w:val="Norml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hint="eastAsia"/>
      <w:color w:val="000000"/>
      <w:sz w:val="20"/>
      <w:szCs w:val="20"/>
    </w:rPr>
  </w:style>
  <w:style w:type="paragraph" w:styleId="Zkladntext2">
    <w:name w:val="Body Text 2"/>
    <w:basedOn w:val="Normln"/>
    <w:pPr>
      <w:tabs>
        <w:tab w:val="left" w:pos="0"/>
      </w:tabs>
      <w:spacing w:after="120" w:line="312" w:lineRule="auto"/>
      <w:jc w:val="both"/>
    </w:pPr>
    <w:rPr>
      <w:color w:val="000000"/>
    </w:rPr>
  </w:style>
  <w:style w:type="paragraph" w:styleId="Podtitul">
    <w:name w:val="Subtitle"/>
    <w:basedOn w:val="Normln"/>
    <w:qFormat/>
    <w:pPr>
      <w:jc w:val="both"/>
    </w:pPr>
    <w:rPr>
      <w:b/>
      <w:bCs/>
    </w:rPr>
  </w:style>
  <w:style w:type="paragraph" w:customStyle="1" w:styleId="Zaznam">
    <w:name w:val="Zaznam"/>
    <w:basedOn w:val="Normln"/>
    <w:pPr>
      <w:spacing w:before="20" w:after="40"/>
      <w:jc w:val="both"/>
    </w:pPr>
    <w:rPr>
      <w:szCs w:val="20"/>
    </w:rPr>
  </w:style>
  <w:style w:type="paragraph" w:styleId="Titulek">
    <w:name w:val="caption"/>
    <w:basedOn w:val="Normln"/>
    <w:next w:val="Normln"/>
    <w:qFormat/>
    <w:rsid w:val="00D92C45"/>
    <w:rPr>
      <w:b/>
      <w:bCs/>
      <w:sz w:val="20"/>
      <w:szCs w:val="20"/>
    </w:rPr>
  </w:style>
  <w:style w:type="paragraph" w:styleId="Textbubliny">
    <w:name w:val="Balloon Text"/>
    <w:basedOn w:val="Normln"/>
    <w:semiHidden/>
    <w:rsid w:val="00D360DE"/>
    <w:rPr>
      <w:rFonts w:ascii="Tahoma" w:hAnsi="Tahoma" w:cs="Tahoma"/>
      <w:sz w:val="16"/>
      <w:szCs w:val="16"/>
    </w:rPr>
  </w:style>
  <w:style w:type="paragraph" w:customStyle="1" w:styleId="Odstavec1">
    <w:name w:val="Odstavec1"/>
    <w:basedOn w:val="Zkladntext"/>
    <w:next w:val="Normln"/>
    <w:rsid w:val="00581A82"/>
    <w:pPr>
      <w:spacing w:before="60" w:after="80" w:line="360" w:lineRule="auto"/>
    </w:pPr>
    <w:rPr>
      <w:snapToGrid/>
      <w:szCs w:val="24"/>
    </w:rPr>
  </w:style>
  <w:style w:type="paragraph" w:customStyle="1" w:styleId="Adresa">
    <w:name w:val="Adresa"/>
    <w:basedOn w:val="Normln"/>
    <w:rsid w:val="00581A82"/>
    <w:pPr>
      <w:jc w:val="both"/>
    </w:pPr>
    <w:rPr>
      <w:szCs w:val="20"/>
    </w:rPr>
  </w:style>
  <w:style w:type="character" w:customStyle="1" w:styleId="normln-operaceChar">
    <w:name w:val="normální-operace Char"/>
    <w:link w:val="normln-operace"/>
    <w:rsid w:val="006344C3"/>
    <w:rPr>
      <w:sz w:val="24"/>
      <w:szCs w:val="24"/>
      <w:lang w:val="cs-CZ" w:eastAsia="cs-CZ" w:bidi="ar-SA"/>
    </w:rPr>
  </w:style>
  <w:style w:type="paragraph" w:customStyle="1" w:styleId="Nadpis1-operace">
    <w:name w:val="Nadpis1-operace"/>
    <w:basedOn w:val="Normln"/>
    <w:rsid w:val="004E15E2"/>
    <w:pPr>
      <w:spacing w:before="360" w:after="120"/>
    </w:pPr>
    <w:rPr>
      <w:b/>
    </w:rPr>
  </w:style>
  <w:style w:type="paragraph" w:customStyle="1" w:styleId="normln-operace">
    <w:name w:val="normální-operace"/>
    <w:basedOn w:val="Normln"/>
    <w:link w:val="normln-operaceChar"/>
    <w:rsid w:val="00C81D12"/>
    <w:pPr>
      <w:spacing w:after="120" w:line="360" w:lineRule="auto"/>
      <w:ind w:firstLine="709"/>
      <w:jc w:val="both"/>
    </w:pPr>
  </w:style>
  <w:style w:type="paragraph" w:customStyle="1" w:styleId="nadpis2-operace">
    <w:name w:val="nadpis2-operace"/>
    <w:basedOn w:val="Nadpis1"/>
    <w:rsid w:val="007639D1"/>
    <w:pPr>
      <w:spacing w:before="360" w:after="120"/>
      <w:jc w:val="both"/>
    </w:pPr>
    <w:rPr>
      <w:b/>
      <w:bCs/>
      <w:u w:val="none"/>
    </w:rPr>
  </w:style>
  <w:style w:type="paragraph" w:customStyle="1" w:styleId="Nadpis3-operace">
    <w:name w:val="Nadpis3-operace"/>
    <w:basedOn w:val="nadpis2-operace"/>
    <w:next w:val="normln-operace"/>
    <w:rsid w:val="007639D1"/>
    <w:pPr>
      <w:numPr>
        <w:ilvl w:val="1"/>
        <w:numId w:val="2"/>
      </w:numPr>
    </w:pPr>
  </w:style>
  <w:style w:type="character" w:customStyle="1" w:styleId="kresovag">
    <w:name w:val="kresovag"/>
    <w:semiHidden/>
    <w:rsid w:val="001534B0"/>
    <w:rPr>
      <w:rFonts w:ascii="Arial" w:hAnsi="Arial" w:cs="Arial"/>
      <w:color w:val="auto"/>
      <w:sz w:val="20"/>
      <w:szCs w:val="20"/>
    </w:rPr>
  </w:style>
  <w:style w:type="paragraph" w:styleId="Rozloendokumentu">
    <w:name w:val="Document Map"/>
    <w:basedOn w:val="Normln"/>
    <w:semiHidden/>
    <w:rsid w:val="00DA07A4"/>
    <w:pPr>
      <w:shd w:val="clear" w:color="auto" w:fill="000080"/>
    </w:pPr>
    <w:rPr>
      <w:rFonts w:ascii="Tahoma" w:hAnsi="Tahoma" w:cs="Tahoma"/>
      <w:sz w:val="20"/>
      <w:szCs w:val="20"/>
    </w:rPr>
  </w:style>
  <w:style w:type="paragraph" w:customStyle="1" w:styleId="normln-operace0">
    <w:name w:val="normln-operace"/>
    <w:basedOn w:val="Normln"/>
    <w:rsid w:val="00430772"/>
    <w:pPr>
      <w:spacing w:after="120" w:line="360" w:lineRule="auto"/>
      <w:ind w:firstLine="709"/>
      <w:jc w:val="both"/>
    </w:pPr>
  </w:style>
  <w:style w:type="paragraph" w:customStyle="1" w:styleId="Essay">
    <w:name w:val="Essay"/>
    <w:basedOn w:val="Normln"/>
    <w:rsid w:val="00430772"/>
    <w:pPr>
      <w:spacing w:before="120" w:after="120"/>
      <w:jc w:val="both"/>
    </w:pPr>
  </w:style>
  <w:style w:type="paragraph" w:customStyle="1" w:styleId="muj">
    <w:name w:val="muj"/>
    <w:basedOn w:val="Normln"/>
    <w:rsid w:val="00737B84"/>
    <w:pPr>
      <w:ind w:firstLine="709"/>
      <w:jc w:val="both"/>
    </w:pPr>
    <w:rPr>
      <w:szCs w:val="20"/>
    </w:rPr>
  </w:style>
  <w:style w:type="character" w:styleId="Odkaznakoment">
    <w:name w:val="annotation reference"/>
    <w:semiHidden/>
    <w:rsid w:val="009F12C6"/>
    <w:rPr>
      <w:sz w:val="16"/>
      <w:szCs w:val="16"/>
    </w:rPr>
  </w:style>
  <w:style w:type="paragraph" w:styleId="Textkomente">
    <w:name w:val="annotation text"/>
    <w:basedOn w:val="Normln"/>
    <w:semiHidden/>
    <w:rsid w:val="009F12C6"/>
    <w:rPr>
      <w:sz w:val="20"/>
      <w:szCs w:val="20"/>
    </w:rPr>
  </w:style>
  <w:style w:type="paragraph" w:styleId="Pedmtkomente">
    <w:name w:val="annotation subject"/>
    <w:basedOn w:val="Textkomente"/>
    <w:next w:val="Textkomente"/>
    <w:semiHidden/>
    <w:rsid w:val="009F12C6"/>
    <w:rPr>
      <w:b/>
      <w:bCs/>
    </w:rPr>
  </w:style>
  <w:style w:type="paragraph" w:customStyle="1" w:styleId="Stylodstavecpodklady">
    <w:name w:val="Styl odstavec podklady"/>
    <w:basedOn w:val="Normln"/>
    <w:rsid w:val="00D05B5E"/>
    <w:pPr>
      <w:spacing w:after="120" w:line="276" w:lineRule="auto"/>
      <w:ind w:firstLine="708"/>
      <w:jc w:val="both"/>
    </w:pPr>
  </w:style>
  <w:style w:type="character" w:customStyle="1" w:styleId="Nadpis2Char">
    <w:name w:val="Nadpis 2 Char"/>
    <w:semiHidden/>
    <w:rsid w:val="0073158E"/>
    <w:rPr>
      <w:rFonts w:ascii="Cambria" w:eastAsia="Times New Roman" w:hAnsi="Cambria" w:cs="Times New Roman"/>
      <w:b/>
      <w:bCs/>
      <w:i/>
      <w:iCs/>
      <w:sz w:val="28"/>
      <w:szCs w:val="28"/>
    </w:rPr>
  </w:style>
  <w:style w:type="paragraph" w:customStyle="1" w:styleId="Normln1">
    <w:name w:val="Normální1"/>
    <w:basedOn w:val="Normln"/>
    <w:next w:val="Normln"/>
    <w:rsid w:val="006356E2"/>
    <w:pPr>
      <w:jc w:val="both"/>
    </w:pPr>
    <w:rPr>
      <w:szCs w:val="20"/>
    </w:rPr>
  </w:style>
  <w:style w:type="character" w:customStyle="1" w:styleId="TextpoznpodarouChar">
    <w:name w:val="Text pozn. pod čarou Char"/>
    <w:aliases w:val="ft Char,Char Char,Text pozn. pod čarou1 Char,Char Char Char1 Char"/>
    <w:link w:val="Textpoznpodarou"/>
    <w:uiPriority w:val="99"/>
    <w:locked/>
    <w:rsid w:val="00186EF1"/>
    <w:rPr>
      <w:lang w:val="cs-CZ" w:eastAsia="cs-CZ" w:bidi="ar-SA"/>
    </w:rPr>
  </w:style>
  <w:style w:type="paragraph" w:styleId="Normlnweb">
    <w:name w:val="Normal (Web)"/>
    <w:basedOn w:val="Normln"/>
    <w:uiPriority w:val="99"/>
    <w:rsid w:val="00CB607D"/>
    <w:pPr>
      <w:spacing w:before="100" w:beforeAutospacing="1" w:after="100" w:afterAutospacing="1"/>
    </w:pPr>
  </w:style>
  <w:style w:type="paragraph" w:customStyle="1" w:styleId="msolistparagraph0">
    <w:name w:val="msolistparagraph"/>
    <w:basedOn w:val="Normln"/>
    <w:rsid w:val="00CA3D80"/>
    <w:pPr>
      <w:ind w:left="720"/>
    </w:pPr>
  </w:style>
  <w:style w:type="character" w:customStyle="1" w:styleId="ZkladntextChar">
    <w:name w:val="Základní text Char"/>
    <w:aliases w:val="b Char,?????1 Char,Текст1 Char,Body Text Char Char,Body Text Char2 Char Char,Body Text Char1 Char Char Char,Body ... Char,Corps de texte INTSUM Char,Číslovaný seznam (i) Char,Základní text Char1 Char Char Char Char1,bt Char"/>
    <w:link w:val="Zkladntext"/>
    <w:rsid w:val="00EC1871"/>
    <w:rPr>
      <w:snapToGrid w:val="0"/>
      <w:sz w:val="24"/>
    </w:rPr>
  </w:style>
  <w:style w:type="character" w:customStyle="1" w:styleId="ZkladntextodsazenChar">
    <w:name w:val="Základní text odsazený Char"/>
    <w:aliases w:val="Základní text odsazený Char1 Char,Základní text odsazený Char Char Char,Základní text odsazený Char1 Char Char Char,Základní text odsazený Char Char Char Char Char, Char Char Char Char Char Char, Char Char1 Char Char Char"/>
    <w:link w:val="Zkladntextodsazen"/>
    <w:rsid w:val="00EA1324"/>
    <w:rPr>
      <w:snapToGrid w:val="0"/>
      <w:sz w:val="24"/>
    </w:rPr>
  </w:style>
  <w:style w:type="character" w:customStyle="1" w:styleId="Zkladntextodsazen2Char">
    <w:name w:val="Základní text odsazený 2 Char"/>
    <w:link w:val="Zkladntextodsazen2"/>
    <w:rsid w:val="00D92BEB"/>
    <w:rPr>
      <w:sz w:val="24"/>
      <w:szCs w:val="24"/>
    </w:rPr>
  </w:style>
  <w:style w:type="character" w:customStyle="1" w:styleId="ZhlavChar">
    <w:name w:val="Záhlaví Char"/>
    <w:aliases w:val="Header Char Char1,Header Char2 Char Char,Header Char1 Char Char Char,Header Char Char Char Char Char,Header Char Char1 Char Char,Header Char1 Char,Header Char Char Char"/>
    <w:link w:val="Zhlav"/>
    <w:rsid w:val="00D92BEB"/>
    <w:rPr>
      <w:snapToGrid w:val="0"/>
    </w:rPr>
  </w:style>
  <w:style w:type="paragraph" w:customStyle="1" w:styleId="j">
    <w:name w:val="Čj.:"/>
    <w:basedOn w:val="Normln"/>
    <w:rsid w:val="008C543C"/>
    <w:pPr>
      <w:tabs>
        <w:tab w:val="left" w:pos="7371"/>
        <w:tab w:val="left" w:pos="8789"/>
      </w:tabs>
      <w:jc w:val="both"/>
    </w:pPr>
    <w:rPr>
      <w:szCs w:val="20"/>
    </w:rPr>
  </w:style>
  <w:style w:type="character" w:customStyle="1" w:styleId="ZpatChar">
    <w:name w:val="Zápatí Char"/>
    <w:link w:val="Zpat"/>
    <w:uiPriority w:val="99"/>
    <w:rsid w:val="004C411B"/>
    <w:rPr>
      <w:sz w:val="24"/>
      <w:szCs w:val="24"/>
    </w:rPr>
  </w:style>
  <w:style w:type="paragraph" w:customStyle="1" w:styleId="Default">
    <w:name w:val="Default"/>
    <w:rsid w:val="000874B1"/>
    <w:pPr>
      <w:autoSpaceDE w:val="0"/>
      <w:autoSpaceDN w:val="0"/>
      <w:adjustRightInd w:val="0"/>
    </w:pPr>
    <w:rPr>
      <w:rFonts w:ascii="Arial" w:eastAsia="Calibri" w:hAnsi="Arial" w:cs="Arial"/>
      <w:color w:val="000000"/>
      <w:sz w:val="24"/>
      <w:szCs w:val="24"/>
      <w:lang w:eastAsia="en-US"/>
    </w:rPr>
  </w:style>
  <w:style w:type="paragraph" w:styleId="Odstavecseseznamem">
    <w:name w:val="List Paragraph"/>
    <w:aliases w:val="Fiche List Paragraph,Dot pt,List Paragraph Char Char Char,Indicator Text,Numbered Para 1,List Paragraph à moi,Odsek zoznamu4,LISTA,Listaszerű bekezdés2,Listaszerű bekezdés3,Listaszerű bekezdés1,3,F5 List Paragraph,List Paragraph1,EC"/>
    <w:basedOn w:val="Normln"/>
    <w:link w:val="OdstavecseseznamemChar"/>
    <w:uiPriority w:val="34"/>
    <w:qFormat/>
    <w:rsid w:val="002452CB"/>
    <w:pPr>
      <w:ind w:left="708"/>
    </w:pPr>
    <w:rPr>
      <w:lang w:val="x-none" w:eastAsia="x-none"/>
    </w:rPr>
  </w:style>
  <w:style w:type="character" w:customStyle="1" w:styleId="OdstavecseseznamemChar">
    <w:name w:val="Odstavec se seznamem Char"/>
    <w:aliases w:val="Fiche List Paragraph Char,Dot pt Char,List Paragraph Char Char Char Char,Indicator Text Char,Numbered Para 1 Char,List Paragraph à moi Char,Odsek zoznamu4 Char,LISTA Char,Listaszerű bekezdés2 Char,Listaszerű bekezdés3 Char"/>
    <w:link w:val="Odstavecseseznamem"/>
    <w:uiPriority w:val="34"/>
    <w:qFormat/>
    <w:locked/>
    <w:rsid w:val="002452CB"/>
    <w:rPr>
      <w:sz w:val="24"/>
      <w:szCs w:val="24"/>
    </w:rPr>
  </w:style>
  <w:style w:type="paragraph" w:customStyle="1" w:styleId="Nazen1">
    <w:name w:val="Nažízení1"/>
    <w:basedOn w:val="Nadpis1"/>
    <w:rsid w:val="001227C7"/>
    <w:pPr>
      <w:suppressAutoHyphens/>
      <w:spacing w:before="120" w:after="120"/>
      <w:jc w:val="center"/>
    </w:pPr>
    <w:rPr>
      <w:rFonts w:cs="Arial"/>
      <w:b/>
      <w:bCs/>
      <w:kern w:val="32"/>
      <w:szCs w:val="32"/>
      <w:u w:val="none"/>
      <w:lang w:eastAsia="ar-SA"/>
    </w:rPr>
  </w:style>
  <w:style w:type="paragraph" w:styleId="Revize">
    <w:name w:val="Revision"/>
    <w:hidden/>
    <w:uiPriority w:val="99"/>
    <w:semiHidden/>
    <w:rsid w:val="004153CA"/>
    <w:rPr>
      <w:sz w:val="24"/>
      <w:szCs w:val="24"/>
    </w:rPr>
  </w:style>
  <w:style w:type="paragraph" w:customStyle="1" w:styleId="Textvtabulce">
    <w:name w:val="Text v tabulce"/>
    <w:basedOn w:val="Normln"/>
    <w:next w:val="Normln"/>
    <w:link w:val="TextvtabulceChar"/>
    <w:autoRedefine/>
    <w:qFormat/>
    <w:rsid w:val="00BA0D79"/>
    <w:pPr>
      <w:contextualSpacing/>
    </w:pPr>
  </w:style>
  <w:style w:type="character" w:customStyle="1" w:styleId="TextvtabulceChar">
    <w:name w:val="Text v tabulce Char"/>
    <w:link w:val="Textvtabulce"/>
    <w:rsid w:val="00BA0D7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78730">
      <w:bodyDiv w:val="1"/>
      <w:marLeft w:val="0"/>
      <w:marRight w:val="0"/>
      <w:marTop w:val="0"/>
      <w:marBottom w:val="0"/>
      <w:divBdr>
        <w:top w:val="none" w:sz="0" w:space="0" w:color="auto"/>
        <w:left w:val="none" w:sz="0" w:space="0" w:color="auto"/>
        <w:bottom w:val="none" w:sz="0" w:space="0" w:color="auto"/>
        <w:right w:val="none" w:sz="0" w:space="0" w:color="auto"/>
      </w:divBdr>
    </w:div>
    <w:div w:id="74866365">
      <w:bodyDiv w:val="1"/>
      <w:marLeft w:val="0"/>
      <w:marRight w:val="0"/>
      <w:marTop w:val="0"/>
      <w:marBottom w:val="0"/>
      <w:divBdr>
        <w:top w:val="none" w:sz="0" w:space="0" w:color="auto"/>
        <w:left w:val="none" w:sz="0" w:space="0" w:color="auto"/>
        <w:bottom w:val="none" w:sz="0" w:space="0" w:color="auto"/>
        <w:right w:val="none" w:sz="0" w:space="0" w:color="auto"/>
      </w:divBdr>
    </w:div>
    <w:div w:id="122191616">
      <w:bodyDiv w:val="1"/>
      <w:marLeft w:val="0"/>
      <w:marRight w:val="0"/>
      <w:marTop w:val="0"/>
      <w:marBottom w:val="0"/>
      <w:divBdr>
        <w:top w:val="none" w:sz="0" w:space="0" w:color="auto"/>
        <w:left w:val="none" w:sz="0" w:space="0" w:color="auto"/>
        <w:bottom w:val="none" w:sz="0" w:space="0" w:color="auto"/>
        <w:right w:val="none" w:sz="0" w:space="0" w:color="auto"/>
      </w:divBdr>
    </w:div>
    <w:div w:id="173501547">
      <w:bodyDiv w:val="1"/>
      <w:marLeft w:val="0"/>
      <w:marRight w:val="0"/>
      <w:marTop w:val="0"/>
      <w:marBottom w:val="0"/>
      <w:divBdr>
        <w:top w:val="none" w:sz="0" w:space="0" w:color="auto"/>
        <w:left w:val="none" w:sz="0" w:space="0" w:color="auto"/>
        <w:bottom w:val="none" w:sz="0" w:space="0" w:color="auto"/>
        <w:right w:val="none" w:sz="0" w:space="0" w:color="auto"/>
      </w:divBdr>
    </w:div>
    <w:div w:id="205609861">
      <w:bodyDiv w:val="1"/>
      <w:marLeft w:val="0"/>
      <w:marRight w:val="0"/>
      <w:marTop w:val="0"/>
      <w:marBottom w:val="0"/>
      <w:divBdr>
        <w:top w:val="none" w:sz="0" w:space="0" w:color="auto"/>
        <w:left w:val="none" w:sz="0" w:space="0" w:color="auto"/>
        <w:bottom w:val="none" w:sz="0" w:space="0" w:color="auto"/>
        <w:right w:val="none" w:sz="0" w:space="0" w:color="auto"/>
      </w:divBdr>
      <w:divsChild>
        <w:div w:id="218787057">
          <w:marLeft w:val="360"/>
          <w:marRight w:val="0"/>
          <w:marTop w:val="200"/>
          <w:marBottom w:val="0"/>
          <w:divBdr>
            <w:top w:val="none" w:sz="0" w:space="0" w:color="auto"/>
            <w:left w:val="none" w:sz="0" w:space="0" w:color="auto"/>
            <w:bottom w:val="none" w:sz="0" w:space="0" w:color="auto"/>
            <w:right w:val="none" w:sz="0" w:space="0" w:color="auto"/>
          </w:divBdr>
        </w:div>
        <w:div w:id="2061518352">
          <w:marLeft w:val="360"/>
          <w:marRight w:val="0"/>
          <w:marTop w:val="200"/>
          <w:marBottom w:val="0"/>
          <w:divBdr>
            <w:top w:val="none" w:sz="0" w:space="0" w:color="auto"/>
            <w:left w:val="none" w:sz="0" w:space="0" w:color="auto"/>
            <w:bottom w:val="none" w:sz="0" w:space="0" w:color="auto"/>
            <w:right w:val="none" w:sz="0" w:space="0" w:color="auto"/>
          </w:divBdr>
        </w:div>
      </w:divsChild>
    </w:div>
    <w:div w:id="219749946">
      <w:bodyDiv w:val="1"/>
      <w:marLeft w:val="0"/>
      <w:marRight w:val="0"/>
      <w:marTop w:val="0"/>
      <w:marBottom w:val="0"/>
      <w:divBdr>
        <w:top w:val="none" w:sz="0" w:space="0" w:color="auto"/>
        <w:left w:val="none" w:sz="0" w:space="0" w:color="auto"/>
        <w:bottom w:val="none" w:sz="0" w:space="0" w:color="auto"/>
        <w:right w:val="none" w:sz="0" w:space="0" w:color="auto"/>
      </w:divBdr>
    </w:div>
    <w:div w:id="229118325">
      <w:bodyDiv w:val="1"/>
      <w:marLeft w:val="0"/>
      <w:marRight w:val="0"/>
      <w:marTop w:val="0"/>
      <w:marBottom w:val="0"/>
      <w:divBdr>
        <w:top w:val="none" w:sz="0" w:space="0" w:color="auto"/>
        <w:left w:val="none" w:sz="0" w:space="0" w:color="auto"/>
        <w:bottom w:val="none" w:sz="0" w:space="0" w:color="auto"/>
        <w:right w:val="none" w:sz="0" w:space="0" w:color="auto"/>
      </w:divBdr>
    </w:div>
    <w:div w:id="304480368">
      <w:bodyDiv w:val="1"/>
      <w:marLeft w:val="0"/>
      <w:marRight w:val="0"/>
      <w:marTop w:val="0"/>
      <w:marBottom w:val="0"/>
      <w:divBdr>
        <w:top w:val="none" w:sz="0" w:space="0" w:color="auto"/>
        <w:left w:val="none" w:sz="0" w:space="0" w:color="auto"/>
        <w:bottom w:val="none" w:sz="0" w:space="0" w:color="auto"/>
        <w:right w:val="none" w:sz="0" w:space="0" w:color="auto"/>
      </w:divBdr>
    </w:div>
    <w:div w:id="367681266">
      <w:bodyDiv w:val="1"/>
      <w:marLeft w:val="0"/>
      <w:marRight w:val="0"/>
      <w:marTop w:val="0"/>
      <w:marBottom w:val="0"/>
      <w:divBdr>
        <w:top w:val="none" w:sz="0" w:space="0" w:color="auto"/>
        <w:left w:val="none" w:sz="0" w:space="0" w:color="auto"/>
        <w:bottom w:val="none" w:sz="0" w:space="0" w:color="auto"/>
        <w:right w:val="none" w:sz="0" w:space="0" w:color="auto"/>
      </w:divBdr>
    </w:div>
    <w:div w:id="378095980">
      <w:bodyDiv w:val="1"/>
      <w:marLeft w:val="0"/>
      <w:marRight w:val="0"/>
      <w:marTop w:val="0"/>
      <w:marBottom w:val="0"/>
      <w:divBdr>
        <w:top w:val="none" w:sz="0" w:space="0" w:color="auto"/>
        <w:left w:val="none" w:sz="0" w:space="0" w:color="auto"/>
        <w:bottom w:val="none" w:sz="0" w:space="0" w:color="auto"/>
        <w:right w:val="none" w:sz="0" w:space="0" w:color="auto"/>
      </w:divBdr>
    </w:div>
    <w:div w:id="406265893">
      <w:bodyDiv w:val="1"/>
      <w:marLeft w:val="0"/>
      <w:marRight w:val="0"/>
      <w:marTop w:val="0"/>
      <w:marBottom w:val="0"/>
      <w:divBdr>
        <w:top w:val="none" w:sz="0" w:space="0" w:color="auto"/>
        <w:left w:val="none" w:sz="0" w:space="0" w:color="auto"/>
        <w:bottom w:val="none" w:sz="0" w:space="0" w:color="auto"/>
        <w:right w:val="none" w:sz="0" w:space="0" w:color="auto"/>
      </w:divBdr>
    </w:div>
    <w:div w:id="474837812">
      <w:bodyDiv w:val="1"/>
      <w:marLeft w:val="0"/>
      <w:marRight w:val="0"/>
      <w:marTop w:val="0"/>
      <w:marBottom w:val="0"/>
      <w:divBdr>
        <w:top w:val="none" w:sz="0" w:space="0" w:color="auto"/>
        <w:left w:val="none" w:sz="0" w:space="0" w:color="auto"/>
        <w:bottom w:val="none" w:sz="0" w:space="0" w:color="auto"/>
        <w:right w:val="none" w:sz="0" w:space="0" w:color="auto"/>
      </w:divBdr>
    </w:div>
    <w:div w:id="476072314">
      <w:bodyDiv w:val="1"/>
      <w:marLeft w:val="0"/>
      <w:marRight w:val="0"/>
      <w:marTop w:val="0"/>
      <w:marBottom w:val="0"/>
      <w:divBdr>
        <w:top w:val="none" w:sz="0" w:space="0" w:color="auto"/>
        <w:left w:val="none" w:sz="0" w:space="0" w:color="auto"/>
        <w:bottom w:val="none" w:sz="0" w:space="0" w:color="auto"/>
        <w:right w:val="none" w:sz="0" w:space="0" w:color="auto"/>
      </w:divBdr>
    </w:div>
    <w:div w:id="514999400">
      <w:bodyDiv w:val="1"/>
      <w:marLeft w:val="0"/>
      <w:marRight w:val="0"/>
      <w:marTop w:val="0"/>
      <w:marBottom w:val="0"/>
      <w:divBdr>
        <w:top w:val="none" w:sz="0" w:space="0" w:color="auto"/>
        <w:left w:val="none" w:sz="0" w:space="0" w:color="auto"/>
        <w:bottom w:val="none" w:sz="0" w:space="0" w:color="auto"/>
        <w:right w:val="none" w:sz="0" w:space="0" w:color="auto"/>
      </w:divBdr>
    </w:div>
    <w:div w:id="536502722">
      <w:bodyDiv w:val="1"/>
      <w:marLeft w:val="0"/>
      <w:marRight w:val="0"/>
      <w:marTop w:val="0"/>
      <w:marBottom w:val="0"/>
      <w:divBdr>
        <w:top w:val="none" w:sz="0" w:space="0" w:color="auto"/>
        <w:left w:val="none" w:sz="0" w:space="0" w:color="auto"/>
        <w:bottom w:val="none" w:sz="0" w:space="0" w:color="auto"/>
        <w:right w:val="none" w:sz="0" w:space="0" w:color="auto"/>
      </w:divBdr>
    </w:div>
    <w:div w:id="599483097">
      <w:bodyDiv w:val="1"/>
      <w:marLeft w:val="0"/>
      <w:marRight w:val="0"/>
      <w:marTop w:val="0"/>
      <w:marBottom w:val="0"/>
      <w:divBdr>
        <w:top w:val="none" w:sz="0" w:space="0" w:color="auto"/>
        <w:left w:val="none" w:sz="0" w:space="0" w:color="auto"/>
        <w:bottom w:val="none" w:sz="0" w:space="0" w:color="auto"/>
        <w:right w:val="none" w:sz="0" w:space="0" w:color="auto"/>
      </w:divBdr>
    </w:div>
    <w:div w:id="664091365">
      <w:bodyDiv w:val="1"/>
      <w:marLeft w:val="0"/>
      <w:marRight w:val="0"/>
      <w:marTop w:val="0"/>
      <w:marBottom w:val="0"/>
      <w:divBdr>
        <w:top w:val="none" w:sz="0" w:space="0" w:color="auto"/>
        <w:left w:val="none" w:sz="0" w:space="0" w:color="auto"/>
        <w:bottom w:val="none" w:sz="0" w:space="0" w:color="auto"/>
        <w:right w:val="none" w:sz="0" w:space="0" w:color="auto"/>
      </w:divBdr>
    </w:div>
    <w:div w:id="694308593">
      <w:bodyDiv w:val="1"/>
      <w:marLeft w:val="0"/>
      <w:marRight w:val="0"/>
      <w:marTop w:val="0"/>
      <w:marBottom w:val="0"/>
      <w:divBdr>
        <w:top w:val="none" w:sz="0" w:space="0" w:color="auto"/>
        <w:left w:val="none" w:sz="0" w:space="0" w:color="auto"/>
        <w:bottom w:val="none" w:sz="0" w:space="0" w:color="auto"/>
        <w:right w:val="none" w:sz="0" w:space="0" w:color="auto"/>
      </w:divBdr>
    </w:div>
    <w:div w:id="703020748">
      <w:bodyDiv w:val="1"/>
      <w:marLeft w:val="0"/>
      <w:marRight w:val="0"/>
      <w:marTop w:val="0"/>
      <w:marBottom w:val="0"/>
      <w:divBdr>
        <w:top w:val="none" w:sz="0" w:space="0" w:color="auto"/>
        <w:left w:val="none" w:sz="0" w:space="0" w:color="auto"/>
        <w:bottom w:val="none" w:sz="0" w:space="0" w:color="auto"/>
        <w:right w:val="none" w:sz="0" w:space="0" w:color="auto"/>
      </w:divBdr>
    </w:div>
    <w:div w:id="746075822">
      <w:bodyDiv w:val="1"/>
      <w:marLeft w:val="0"/>
      <w:marRight w:val="0"/>
      <w:marTop w:val="0"/>
      <w:marBottom w:val="0"/>
      <w:divBdr>
        <w:top w:val="none" w:sz="0" w:space="0" w:color="auto"/>
        <w:left w:val="none" w:sz="0" w:space="0" w:color="auto"/>
        <w:bottom w:val="none" w:sz="0" w:space="0" w:color="auto"/>
        <w:right w:val="none" w:sz="0" w:space="0" w:color="auto"/>
      </w:divBdr>
    </w:div>
    <w:div w:id="798763225">
      <w:bodyDiv w:val="1"/>
      <w:marLeft w:val="0"/>
      <w:marRight w:val="0"/>
      <w:marTop w:val="0"/>
      <w:marBottom w:val="0"/>
      <w:divBdr>
        <w:top w:val="none" w:sz="0" w:space="0" w:color="auto"/>
        <w:left w:val="none" w:sz="0" w:space="0" w:color="auto"/>
        <w:bottom w:val="none" w:sz="0" w:space="0" w:color="auto"/>
        <w:right w:val="none" w:sz="0" w:space="0" w:color="auto"/>
      </w:divBdr>
    </w:div>
    <w:div w:id="962804948">
      <w:bodyDiv w:val="1"/>
      <w:marLeft w:val="0"/>
      <w:marRight w:val="0"/>
      <w:marTop w:val="0"/>
      <w:marBottom w:val="0"/>
      <w:divBdr>
        <w:top w:val="none" w:sz="0" w:space="0" w:color="auto"/>
        <w:left w:val="none" w:sz="0" w:space="0" w:color="auto"/>
        <w:bottom w:val="none" w:sz="0" w:space="0" w:color="auto"/>
        <w:right w:val="none" w:sz="0" w:space="0" w:color="auto"/>
      </w:divBdr>
    </w:div>
    <w:div w:id="970289906">
      <w:bodyDiv w:val="1"/>
      <w:marLeft w:val="0"/>
      <w:marRight w:val="0"/>
      <w:marTop w:val="0"/>
      <w:marBottom w:val="0"/>
      <w:divBdr>
        <w:top w:val="none" w:sz="0" w:space="0" w:color="auto"/>
        <w:left w:val="none" w:sz="0" w:space="0" w:color="auto"/>
        <w:bottom w:val="none" w:sz="0" w:space="0" w:color="auto"/>
        <w:right w:val="none" w:sz="0" w:space="0" w:color="auto"/>
      </w:divBdr>
    </w:div>
    <w:div w:id="1044479799">
      <w:bodyDiv w:val="1"/>
      <w:marLeft w:val="0"/>
      <w:marRight w:val="0"/>
      <w:marTop w:val="0"/>
      <w:marBottom w:val="0"/>
      <w:divBdr>
        <w:top w:val="none" w:sz="0" w:space="0" w:color="auto"/>
        <w:left w:val="none" w:sz="0" w:space="0" w:color="auto"/>
        <w:bottom w:val="none" w:sz="0" w:space="0" w:color="auto"/>
        <w:right w:val="none" w:sz="0" w:space="0" w:color="auto"/>
      </w:divBdr>
    </w:div>
    <w:div w:id="1070810756">
      <w:bodyDiv w:val="1"/>
      <w:marLeft w:val="0"/>
      <w:marRight w:val="0"/>
      <w:marTop w:val="0"/>
      <w:marBottom w:val="0"/>
      <w:divBdr>
        <w:top w:val="none" w:sz="0" w:space="0" w:color="auto"/>
        <w:left w:val="none" w:sz="0" w:space="0" w:color="auto"/>
        <w:bottom w:val="none" w:sz="0" w:space="0" w:color="auto"/>
        <w:right w:val="none" w:sz="0" w:space="0" w:color="auto"/>
      </w:divBdr>
    </w:div>
    <w:div w:id="1079133157">
      <w:bodyDiv w:val="1"/>
      <w:marLeft w:val="0"/>
      <w:marRight w:val="0"/>
      <w:marTop w:val="0"/>
      <w:marBottom w:val="0"/>
      <w:divBdr>
        <w:top w:val="none" w:sz="0" w:space="0" w:color="auto"/>
        <w:left w:val="none" w:sz="0" w:space="0" w:color="auto"/>
        <w:bottom w:val="none" w:sz="0" w:space="0" w:color="auto"/>
        <w:right w:val="none" w:sz="0" w:space="0" w:color="auto"/>
      </w:divBdr>
    </w:div>
    <w:div w:id="1112823183">
      <w:bodyDiv w:val="1"/>
      <w:marLeft w:val="0"/>
      <w:marRight w:val="0"/>
      <w:marTop w:val="0"/>
      <w:marBottom w:val="0"/>
      <w:divBdr>
        <w:top w:val="none" w:sz="0" w:space="0" w:color="auto"/>
        <w:left w:val="none" w:sz="0" w:space="0" w:color="auto"/>
        <w:bottom w:val="none" w:sz="0" w:space="0" w:color="auto"/>
        <w:right w:val="none" w:sz="0" w:space="0" w:color="auto"/>
      </w:divBdr>
    </w:div>
    <w:div w:id="1145929652">
      <w:bodyDiv w:val="1"/>
      <w:marLeft w:val="0"/>
      <w:marRight w:val="0"/>
      <w:marTop w:val="0"/>
      <w:marBottom w:val="0"/>
      <w:divBdr>
        <w:top w:val="none" w:sz="0" w:space="0" w:color="auto"/>
        <w:left w:val="none" w:sz="0" w:space="0" w:color="auto"/>
        <w:bottom w:val="none" w:sz="0" w:space="0" w:color="auto"/>
        <w:right w:val="none" w:sz="0" w:space="0" w:color="auto"/>
      </w:divBdr>
    </w:div>
    <w:div w:id="1160539870">
      <w:bodyDiv w:val="1"/>
      <w:marLeft w:val="0"/>
      <w:marRight w:val="0"/>
      <w:marTop w:val="0"/>
      <w:marBottom w:val="0"/>
      <w:divBdr>
        <w:top w:val="none" w:sz="0" w:space="0" w:color="auto"/>
        <w:left w:val="none" w:sz="0" w:space="0" w:color="auto"/>
        <w:bottom w:val="none" w:sz="0" w:space="0" w:color="auto"/>
        <w:right w:val="none" w:sz="0" w:space="0" w:color="auto"/>
      </w:divBdr>
    </w:div>
    <w:div w:id="1193226533">
      <w:bodyDiv w:val="1"/>
      <w:marLeft w:val="0"/>
      <w:marRight w:val="0"/>
      <w:marTop w:val="0"/>
      <w:marBottom w:val="0"/>
      <w:divBdr>
        <w:top w:val="none" w:sz="0" w:space="0" w:color="auto"/>
        <w:left w:val="none" w:sz="0" w:space="0" w:color="auto"/>
        <w:bottom w:val="none" w:sz="0" w:space="0" w:color="auto"/>
        <w:right w:val="none" w:sz="0" w:space="0" w:color="auto"/>
      </w:divBdr>
    </w:div>
    <w:div w:id="1198666348">
      <w:bodyDiv w:val="1"/>
      <w:marLeft w:val="0"/>
      <w:marRight w:val="0"/>
      <w:marTop w:val="0"/>
      <w:marBottom w:val="0"/>
      <w:divBdr>
        <w:top w:val="none" w:sz="0" w:space="0" w:color="auto"/>
        <w:left w:val="none" w:sz="0" w:space="0" w:color="auto"/>
        <w:bottom w:val="none" w:sz="0" w:space="0" w:color="auto"/>
        <w:right w:val="none" w:sz="0" w:space="0" w:color="auto"/>
      </w:divBdr>
    </w:div>
    <w:div w:id="1223565567">
      <w:bodyDiv w:val="1"/>
      <w:marLeft w:val="0"/>
      <w:marRight w:val="0"/>
      <w:marTop w:val="0"/>
      <w:marBottom w:val="0"/>
      <w:divBdr>
        <w:top w:val="none" w:sz="0" w:space="0" w:color="auto"/>
        <w:left w:val="none" w:sz="0" w:space="0" w:color="auto"/>
        <w:bottom w:val="none" w:sz="0" w:space="0" w:color="auto"/>
        <w:right w:val="none" w:sz="0" w:space="0" w:color="auto"/>
      </w:divBdr>
    </w:div>
    <w:div w:id="1225606374">
      <w:bodyDiv w:val="1"/>
      <w:marLeft w:val="0"/>
      <w:marRight w:val="0"/>
      <w:marTop w:val="0"/>
      <w:marBottom w:val="0"/>
      <w:divBdr>
        <w:top w:val="none" w:sz="0" w:space="0" w:color="auto"/>
        <w:left w:val="none" w:sz="0" w:space="0" w:color="auto"/>
        <w:bottom w:val="none" w:sz="0" w:space="0" w:color="auto"/>
        <w:right w:val="none" w:sz="0" w:space="0" w:color="auto"/>
      </w:divBdr>
    </w:div>
    <w:div w:id="1251811266">
      <w:bodyDiv w:val="1"/>
      <w:marLeft w:val="0"/>
      <w:marRight w:val="0"/>
      <w:marTop w:val="0"/>
      <w:marBottom w:val="0"/>
      <w:divBdr>
        <w:top w:val="none" w:sz="0" w:space="0" w:color="auto"/>
        <w:left w:val="none" w:sz="0" w:space="0" w:color="auto"/>
        <w:bottom w:val="none" w:sz="0" w:space="0" w:color="auto"/>
        <w:right w:val="none" w:sz="0" w:space="0" w:color="auto"/>
      </w:divBdr>
    </w:div>
    <w:div w:id="1266575908">
      <w:bodyDiv w:val="1"/>
      <w:marLeft w:val="0"/>
      <w:marRight w:val="0"/>
      <w:marTop w:val="0"/>
      <w:marBottom w:val="0"/>
      <w:divBdr>
        <w:top w:val="none" w:sz="0" w:space="0" w:color="auto"/>
        <w:left w:val="none" w:sz="0" w:space="0" w:color="auto"/>
        <w:bottom w:val="none" w:sz="0" w:space="0" w:color="auto"/>
        <w:right w:val="none" w:sz="0" w:space="0" w:color="auto"/>
      </w:divBdr>
    </w:div>
    <w:div w:id="1276326337">
      <w:bodyDiv w:val="1"/>
      <w:marLeft w:val="0"/>
      <w:marRight w:val="0"/>
      <w:marTop w:val="0"/>
      <w:marBottom w:val="0"/>
      <w:divBdr>
        <w:top w:val="none" w:sz="0" w:space="0" w:color="auto"/>
        <w:left w:val="none" w:sz="0" w:space="0" w:color="auto"/>
        <w:bottom w:val="none" w:sz="0" w:space="0" w:color="auto"/>
        <w:right w:val="none" w:sz="0" w:space="0" w:color="auto"/>
      </w:divBdr>
    </w:div>
    <w:div w:id="1290362596">
      <w:bodyDiv w:val="1"/>
      <w:marLeft w:val="0"/>
      <w:marRight w:val="0"/>
      <w:marTop w:val="0"/>
      <w:marBottom w:val="0"/>
      <w:divBdr>
        <w:top w:val="none" w:sz="0" w:space="0" w:color="auto"/>
        <w:left w:val="none" w:sz="0" w:space="0" w:color="auto"/>
        <w:bottom w:val="none" w:sz="0" w:space="0" w:color="auto"/>
        <w:right w:val="none" w:sz="0" w:space="0" w:color="auto"/>
      </w:divBdr>
    </w:div>
    <w:div w:id="1321419232">
      <w:bodyDiv w:val="1"/>
      <w:marLeft w:val="0"/>
      <w:marRight w:val="0"/>
      <w:marTop w:val="0"/>
      <w:marBottom w:val="0"/>
      <w:divBdr>
        <w:top w:val="none" w:sz="0" w:space="0" w:color="auto"/>
        <w:left w:val="none" w:sz="0" w:space="0" w:color="auto"/>
        <w:bottom w:val="none" w:sz="0" w:space="0" w:color="auto"/>
        <w:right w:val="none" w:sz="0" w:space="0" w:color="auto"/>
      </w:divBdr>
    </w:div>
    <w:div w:id="1337809653">
      <w:bodyDiv w:val="1"/>
      <w:marLeft w:val="0"/>
      <w:marRight w:val="0"/>
      <w:marTop w:val="0"/>
      <w:marBottom w:val="0"/>
      <w:divBdr>
        <w:top w:val="none" w:sz="0" w:space="0" w:color="auto"/>
        <w:left w:val="none" w:sz="0" w:space="0" w:color="auto"/>
        <w:bottom w:val="none" w:sz="0" w:space="0" w:color="auto"/>
        <w:right w:val="none" w:sz="0" w:space="0" w:color="auto"/>
      </w:divBdr>
    </w:div>
    <w:div w:id="1349216104">
      <w:bodyDiv w:val="1"/>
      <w:marLeft w:val="0"/>
      <w:marRight w:val="0"/>
      <w:marTop w:val="0"/>
      <w:marBottom w:val="0"/>
      <w:divBdr>
        <w:top w:val="none" w:sz="0" w:space="0" w:color="auto"/>
        <w:left w:val="none" w:sz="0" w:space="0" w:color="auto"/>
        <w:bottom w:val="none" w:sz="0" w:space="0" w:color="auto"/>
        <w:right w:val="none" w:sz="0" w:space="0" w:color="auto"/>
      </w:divBdr>
    </w:div>
    <w:div w:id="1359893506">
      <w:bodyDiv w:val="1"/>
      <w:marLeft w:val="0"/>
      <w:marRight w:val="0"/>
      <w:marTop w:val="0"/>
      <w:marBottom w:val="0"/>
      <w:divBdr>
        <w:top w:val="none" w:sz="0" w:space="0" w:color="auto"/>
        <w:left w:val="none" w:sz="0" w:space="0" w:color="auto"/>
        <w:bottom w:val="none" w:sz="0" w:space="0" w:color="auto"/>
        <w:right w:val="none" w:sz="0" w:space="0" w:color="auto"/>
      </w:divBdr>
    </w:div>
    <w:div w:id="1381319740">
      <w:bodyDiv w:val="1"/>
      <w:marLeft w:val="0"/>
      <w:marRight w:val="0"/>
      <w:marTop w:val="0"/>
      <w:marBottom w:val="0"/>
      <w:divBdr>
        <w:top w:val="none" w:sz="0" w:space="0" w:color="auto"/>
        <w:left w:val="none" w:sz="0" w:space="0" w:color="auto"/>
        <w:bottom w:val="none" w:sz="0" w:space="0" w:color="auto"/>
        <w:right w:val="none" w:sz="0" w:space="0" w:color="auto"/>
      </w:divBdr>
    </w:div>
    <w:div w:id="1424914976">
      <w:bodyDiv w:val="1"/>
      <w:marLeft w:val="0"/>
      <w:marRight w:val="0"/>
      <w:marTop w:val="0"/>
      <w:marBottom w:val="0"/>
      <w:divBdr>
        <w:top w:val="none" w:sz="0" w:space="0" w:color="auto"/>
        <w:left w:val="none" w:sz="0" w:space="0" w:color="auto"/>
        <w:bottom w:val="none" w:sz="0" w:space="0" w:color="auto"/>
        <w:right w:val="none" w:sz="0" w:space="0" w:color="auto"/>
      </w:divBdr>
    </w:div>
    <w:div w:id="1435714335">
      <w:bodyDiv w:val="1"/>
      <w:marLeft w:val="0"/>
      <w:marRight w:val="0"/>
      <w:marTop w:val="0"/>
      <w:marBottom w:val="0"/>
      <w:divBdr>
        <w:top w:val="none" w:sz="0" w:space="0" w:color="auto"/>
        <w:left w:val="none" w:sz="0" w:space="0" w:color="auto"/>
        <w:bottom w:val="none" w:sz="0" w:space="0" w:color="auto"/>
        <w:right w:val="none" w:sz="0" w:space="0" w:color="auto"/>
      </w:divBdr>
    </w:div>
    <w:div w:id="1542982374">
      <w:bodyDiv w:val="1"/>
      <w:marLeft w:val="0"/>
      <w:marRight w:val="0"/>
      <w:marTop w:val="0"/>
      <w:marBottom w:val="0"/>
      <w:divBdr>
        <w:top w:val="none" w:sz="0" w:space="0" w:color="auto"/>
        <w:left w:val="none" w:sz="0" w:space="0" w:color="auto"/>
        <w:bottom w:val="none" w:sz="0" w:space="0" w:color="auto"/>
        <w:right w:val="none" w:sz="0" w:space="0" w:color="auto"/>
      </w:divBdr>
    </w:div>
    <w:div w:id="1605114436">
      <w:bodyDiv w:val="1"/>
      <w:marLeft w:val="0"/>
      <w:marRight w:val="0"/>
      <w:marTop w:val="0"/>
      <w:marBottom w:val="0"/>
      <w:divBdr>
        <w:top w:val="none" w:sz="0" w:space="0" w:color="auto"/>
        <w:left w:val="none" w:sz="0" w:space="0" w:color="auto"/>
        <w:bottom w:val="none" w:sz="0" w:space="0" w:color="auto"/>
        <w:right w:val="none" w:sz="0" w:space="0" w:color="auto"/>
      </w:divBdr>
    </w:div>
    <w:div w:id="1659773759">
      <w:bodyDiv w:val="1"/>
      <w:marLeft w:val="0"/>
      <w:marRight w:val="0"/>
      <w:marTop w:val="0"/>
      <w:marBottom w:val="0"/>
      <w:divBdr>
        <w:top w:val="none" w:sz="0" w:space="0" w:color="auto"/>
        <w:left w:val="none" w:sz="0" w:space="0" w:color="auto"/>
        <w:bottom w:val="none" w:sz="0" w:space="0" w:color="auto"/>
        <w:right w:val="none" w:sz="0" w:space="0" w:color="auto"/>
      </w:divBdr>
    </w:div>
    <w:div w:id="1754470388">
      <w:bodyDiv w:val="1"/>
      <w:marLeft w:val="0"/>
      <w:marRight w:val="0"/>
      <w:marTop w:val="0"/>
      <w:marBottom w:val="0"/>
      <w:divBdr>
        <w:top w:val="none" w:sz="0" w:space="0" w:color="auto"/>
        <w:left w:val="none" w:sz="0" w:space="0" w:color="auto"/>
        <w:bottom w:val="none" w:sz="0" w:space="0" w:color="auto"/>
        <w:right w:val="none" w:sz="0" w:space="0" w:color="auto"/>
      </w:divBdr>
    </w:div>
    <w:div w:id="1796675061">
      <w:bodyDiv w:val="1"/>
      <w:marLeft w:val="0"/>
      <w:marRight w:val="0"/>
      <w:marTop w:val="0"/>
      <w:marBottom w:val="0"/>
      <w:divBdr>
        <w:top w:val="none" w:sz="0" w:space="0" w:color="auto"/>
        <w:left w:val="none" w:sz="0" w:space="0" w:color="auto"/>
        <w:bottom w:val="none" w:sz="0" w:space="0" w:color="auto"/>
        <w:right w:val="none" w:sz="0" w:space="0" w:color="auto"/>
      </w:divBdr>
    </w:div>
    <w:div w:id="1886521134">
      <w:bodyDiv w:val="1"/>
      <w:marLeft w:val="0"/>
      <w:marRight w:val="0"/>
      <w:marTop w:val="0"/>
      <w:marBottom w:val="0"/>
      <w:divBdr>
        <w:top w:val="none" w:sz="0" w:space="0" w:color="auto"/>
        <w:left w:val="none" w:sz="0" w:space="0" w:color="auto"/>
        <w:bottom w:val="none" w:sz="0" w:space="0" w:color="auto"/>
        <w:right w:val="none" w:sz="0" w:space="0" w:color="auto"/>
      </w:divBdr>
    </w:div>
    <w:div w:id="1907841241">
      <w:bodyDiv w:val="1"/>
      <w:marLeft w:val="0"/>
      <w:marRight w:val="0"/>
      <w:marTop w:val="0"/>
      <w:marBottom w:val="0"/>
      <w:divBdr>
        <w:top w:val="none" w:sz="0" w:space="0" w:color="auto"/>
        <w:left w:val="none" w:sz="0" w:space="0" w:color="auto"/>
        <w:bottom w:val="none" w:sz="0" w:space="0" w:color="auto"/>
        <w:right w:val="none" w:sz="0" w:space="0" w:color="auto"/>
      </w:divBdr>
    </w:div>
    <w:div w:id="2032607751">
      <w:bodyDiv w:val="1"/>
      <w:marLeft w:val="0"/>
      <w:marRight w:val="0"/>
      <w:marTop w:val="0"/>
      <w:marBottom w:val="0"/>
      <w:divBdr>
        <w:top w:val="none" w:sz="0" w:space="0" w:color="auto"/>
        <w:left w:val="none" w:sz="0" w:space="0" w:color="auto"/>
        <w:bottom w:val="none" w:sz="0" w:space="0" w:color="auto"/>
        <w:right w:val="none" w:sz="0" w:space="0" w:color="auto"/>
      </w:divBdr>
    </w:div>
    <w:div w:id="205639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B81D3-0414-472B-B1A7-E84EA32C9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8453</Words>
  <Characters>49879</Characters>
  <Application>Microsoft Office Word</Application>
  <DocSecurity>0</DocSecurity>
  <Lines>415</Lines>
  <Paragraphs>116</Paragraphs>
  <ScaleCrop>false</ScaleCrop>
  <HeadingPairs>
    <vt:vector size="2" baseType="variant">
      <vt:variant>
        <vt:lpstr>Název</vt:lpstr>
      </vt:variant>
      <vt:variant>
        <vt:i4>1</vt:i4>
      </vt:variant>
    </vt:vector>
  </HeadingPairs>
  <TitlesOfParts>
    <vt:vector size="1" baseType="lpstr">
      <vt:lpstr>III- operace 2009</vt:lpstr>
    </vt:vector>
  </TitlesOfParts>
  <Company>OOP SOPS MO</Company>
  <LinksUpToDate>false</LinksUpToDate>
  <CharactersWithSpaces>58216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III- operace 2009</dc:title>
  <dc:creator>Andrea PAPOUŠKOVÁ, tel. 200 637</dc:creator>
  <cp:lastModifiedBy>Dušová Miroslava - MO 8694 - ŠIS AČR</cp:lastModifiedBy>
  <cp:revision>7</cp:revision>
  <cp:lastPrinted>2021-04-28T06:58:00Z</cp:lastPrinted>
  <dcterms:created xsi:type="dcterms:W3CDTF">2021-04-28T14:03:00Z</dcterms:created>
  <dcterms:modified xsi:type="dcterms:W3CDTF">2021-05-28T11:42:00Z</dcterms:modified>
</cp:coreProperties>
</file>