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AD6982" w:rsidP="00A23686">
      <w:pPr>
        <w:pStyle w:val="PS-hlavika2"/>
      </w:pPr>
      <w:r>
        <w:t>2021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203812" w:rsidP="00A23686">
      <w:pPr>
        <w:pStyle w:val="PS-hlavika3"/>
      </w:pPr>
      <w:r>
        <w:t>387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AD6982" w:rsidP="00A23686">
      <w:pPr>
        <w:pStyle w:val="PS-hlavika1"/>
      </w:pPr>
      <w:r>
        <w:t>z 88</w:t>
      </w:r>
      <w:r w:rsidR="00A23686">
        <w:t>. schůze</w:t>
      </w:r>
    </w:p>
    <w:p w:rsidR="00A23686" w:rsidRDefault="00A23686" w:rsidP="00DE62E0">
      <w:pPr>
        <w:pStyle w:val="PS-hlavika1"/>
      </w:pPr>
      <w:r>
        <w:t xml:space="preserve">ze dne </w:t>
      </w:r>
      <w:r w:rsidR="00AD6982">
        <w:t>13</w:t>
      </w:r>
      <w:r>
        <w:t xml:space="preserve">. </w:t>
      </w:r>
      <w:r w:rsidR="00AD6982">
        <w:t>května 2021</w:t>
      </w:r>
    </w:p>
    <w:p w:rsidR="00A23686" w:rsidRDefault="00A23686" w:rsidP="00A23686">
      <w:pPr>
        <w:pStyle w:val="Bezmezer"/>
      </w:pPr>
    </w:p>
    <w:p w:rsidR="00A23686" w:rsidRPr="00C541C0" w:rsidRDefault="00A23686" w:rsidP="00AD6982">
      <w:pPr>
        <w:pStyle w:val="Odstavecseseznamem"/>
        <w:autoSpaceDE w:val="0"/>
        <w:autoSpaceDN w:val="0"/>
        <w:adjustRightInd w:val="0"/>
        <w:ind w:left="0"/>
        <w:jc w:val="center"/>
        <w:rPr>
          <w:rFonts w:eastAsia="Calibri"/>
          <w:b/>
          <w:bCs/>
          <w:szCs w:val="28"/>
          <w:lang w:eastAsia="en-US"/>
        </w:rPr>
      </w:pPr>
      <w:r w:rsidRPr="00C541C0">
        <w:rPr>
          <w:b/>
        </w:rPr>
        <w:t>k v</w:t>
      </w:r>
      <w:r w:rsidRPr="00C541C0">
        <w:rPr>
          <w:rFonts w:eastAsia="Calibri"/>
          <w:b/>
          <w:bCs/>
          <w:szCs w:val="28"/>
          <w:lang w:eastAsia="en-US"/>
        </w:rPr>
        <w:t>ládnímu návrhu zá</w:t>
      </w:r>
      <w:r w:rsidR="00203812">
        <w:rPr>
          <w:rFonts w:eastAsia="Calibri"/>
          <w:b/>
          <w:bCs/>
          <w:szCs w:val="28"/>
          <w:lang w:eastAsia="en-US"/>
        </w:rPr>
        <w:t>kona, kterým se mění zákon č. 167/1998</w:t>
      </w:r>
      <w:r w:rsidRPr="00C541C0">
        <w:rPr>
          <w:rFonts w:eastAsia="Calibri"/>
          <w:b/>
          <w:bCs/>
          <w:szCs w:val="28"/>
          <w:lang w:eastAsia="en-US"/>
        </w:rPr>
        <w:t xml:space="preserve"> Sb., o </w:t>
      </w:r>
      <w:r w:rsidR="00203812">
        <w:rPr>
          <w:rFonts w:eastAsia="Calibri"/>
          <w:b/>
          <w:bCs/>
          <w:szCs w:val="28"/>
          <w:lang w:eastAsia="en-US"/>
        </w:rPr>
        <w:t>návykových látkách a o změně některých dalších</w:t>
      </w:r>
      <w:r w:rsidRPr="00C541C0">
        <w:rPr>
          <w:rFonts w:eastAsia="Calibri"/>
          <w:b/>
          <w:bCs/>
          <w:szCs w:val="28"/>
          <w:lang w:eastAsia="en-US"/>
        </w:rPr>
        <w:t xml:space="preserve"> zákonů, ve znění pozd</w:t>
      </w:r>
      <w:r w:rsidR="00AD6982">
        <w:rPr>
          <w:rFonts w:eastAsia="Calibri"/>
          <w:b/>
          <w:bCs/>
          <w:szCs w:val="28"/>
          <w:lang w:eastAsia="en-US"/>
        </w:rPr>
        <w:t>ějších předpisů</w:t>
      </w:r>
      <w:r w:rsidR="00203812">
        <w:rPr>
          <w:rFonts w:eastAsia="Calibri"/>
          <w:b/>
          <w:bCs/>
          <w:szCs w:val="28"/>
          <w:lang w:eastAsia="en-US"/>
        </w:rPr>
        <w:t>, zákon č. 378/2007 Sb., o léčivech a o změnách některých souvisejících zákonů (zákon o léčivech), ve znění pozdějších předpisů, a zákon č. 634/2004 Sb., o správních poplatcích, ve znění pozdějších předpisů</w:t>
      </w:r>
      <w:r w:rsidR="00AD6982">
        <w:rPr>
          <w:rFonts w:eastAsia="Calibri"/>
          <w:b/>
          <w:bCs/>
          <w:szCs w:val="28"/>
          <w:lang w:eastAsia="en-US"/>
        </w:rPr>
        <w:t xml:space="preserve"> (sněmovní tisk </w:t>
      </w:r>
      <w:r w:rsidR="00203812">
        <w:rPr>
          <w:rFonts w:eastAsia="Calibri"/>
          <w:b/>
          <w:bCs/>
          <w:szCs w:val="28"/>
          <w:lang w:eastAsia="en-US"/>
        </w:rPr>
        <w:t>864</w:t>
      </w:r>
      <w:r w:rsidRPr="00C541C0">
        <w:rPr>
          <w:rFonts w:eastAsia="Calibri"/>
          <w:b/>
          <w:bCs/>
          <w:szCs w:val="28"/>
          <w:lang w:eastAsia="en-US"/>
        </w:rPr>
        <w:t>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AD6982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A23686" w:rsidRDefault="00A23686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DD7AB8">
        <w:rPr>
          <w:rFonts w:ascii="Times New Roman" w:hAnsi="Times New Roman"/>
          <w:sz w:val="24"/>
          <w:szCs w:val="24"/>
        </w:rPr>
        <w:t>Výbor pro zdravotnictví</w:t>
      </w:r>
      <w:r w:rsidR="00C541C0">
        <w:rPr>
          <w:rFonts w:ascii="Times New Roman" w:hAnsi="Times New Roman"/>
          <w:sz w:val="24"/>
          <w:szCs w:val="24"/>
        </w:rPr>
        <w:t xml:space="preserve"> Poslanecké sněmovny Parlamentu ČR jako garanční výbor po projednání návrhu zákona ve druhém čtení</w:t>
      </w:r>
    </w:p>
    <w:p w:rsidR="00AD6982" w:rsidRDefault="00AD6982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A23686" w:rsidRPr="00203812" w:rsidRDefault="00A23686" w:rsidP="00203812">
      <w:pPr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uto"/>
        <w:ind w:left="1004"/>
        <w:contextualSpacing/>
        <w:jc w:val="both"/>
        <w:rPr>
          <w:rFonts w:ascii="Times New Roman" w:hAnsi="Times New Roman"/>
          <w:sz w:val="24"/>
          <w:szCs w:val="24"/>
          <w:lang w:eastAsia="zh-CN" w:bidi="hi-IN"/>
        </w:rPr>
      </w:pPr>
      <w:r w:rsidRPr="00203812">
        <w:rPr>
          <w:rFonts w:ascii="Times New Roman" w:hAnsi="Times New Roman"/>
          <w:b/>
          <w:sz w:val="24"/>
          <w:szCs w:val="24"/>
        </w:rPr>
        <w:t>d o p o r u č u j e</w:t>
      </w:r>
      <w:r w:rsidRPr="00203812">
        <w:rPr>
          <w:rFonts w:ascii="Times New Roman" w:hAnsi="Times New Roman"/>
          <w:sz w:val="24"/>
          <w:szCs w:val="24"/>
        </w:rPr>
        <w:t> </w:t>
      </w:r>
      <w:r w:rsidRPr="00203812">
        <w:rPr>
          <w:rFonts w:ascii="Times New Roman" w:hAnsi="Times New Roman"/>
          <w:sz w:val="24"/>
          <w:szCs w:val="24"/>
        </w:rPr>
        <w:t>Po</w:t>
      </w:r>
      <w:r w:rsidR="00C541C0" w:rsidRPr="00203812">
        <w:rPr>
          <w:rFonts w:ascii="Times New Roman" w:hAnsi="Times New Roman"/>
          <w:sz w:val="24"/>
          <w:szCs w:val="24"/>
        </w:rPr>
        <w:t xml:space="preserve">slanecké sněmovně Parlamentu ČR hlasovat ve třetím čtení o pozměňovacích návrzích podaných k </w:t>
      </w:r>
      <w:r w:rsidR="00203812" w:rsidRPr="00203812">
        <w:rPr>
          <w:rFonts w:ascii="Times New Roman" w:hAnsi="Times New Roman"/>
          <w:sz w:val="24"/>
          <w:szCs w:val="24"/>
        </w:rPr>
        <w:t>v</w:t>
      </w:r>
      <w:r w:rsidR="00203812" w:rsidRPr="00203812">
        <w:rPr>
          <w:rFonts w:ascii="Times New Roman" w:hAnsi="Times New Roman"/>
          <w:bCs/>
          <w:sz w:val="24"/>
          <w:szCs w:val="24"/>
        </w:rPr>
        <w:t xml:space="preserve">ládnímu návrhu zákona, kterým se mění zákon č. 167/1998 Sb., o návykových látkách a o změně některých dalších zákonů, ve znění pozdějších předpisů, zákon č. 378/2007 Sb., o léčivech a o změnách některých souvisejících zákonů (zákon o léčivech), ve znění pozdějších předpisů, a zákon č. 634/2004 Sb., o správních poplatcích, ve znění pozdějších předpisů (sněmovní tisk 864) </w:t>
      </w:r>
      <w:r w:rsidR="00C541C0" w:rsidRPr="00203812">
        <w:rPr>
          <w:rFonts w:ascii="Times New Roman" w:hAnsi="Times New Roman"/>
          <w:bCs/>
          <w:sz w:val="24"/>
          <w:szCs w:val="24"/>
        </w:rPr>
        <w:t>v následujícím pořadí:</w:t>
      </w:r>
    </w:p>
    <w:p w:rsidR="00124859" w:rsidRPr="00124859" w:rsidRDefault="00124859" w:rsidP="00124859">
      <w:pPr>
        <w:autoSpaceDE w:val="0"/>
        <w:autoSpaceDN w:val="0"/>
        <w:adjustRightInd w:val="0"/>
        <w:spacing w:after="100" w:afterAutospacing="1" w:line="240" w:lineRule="auto"/>
        <w:ind w:left="1004"/>
        <w:contextualSpacing/>
        <w:rPr>
          <w:rFonts w:ascii="Times New Roman" w:hAnsi="Times New Roman"/>
          <w:i/>
          <w:sz w:val="24"/>
          <w:szCs w:val="24"/>
          <w:lang w:eastAsia="zh-CN" w:bidi="hi-IN"/>
        </w:rPr>
      </w:pPr>
      <w:r w:rsidRPr="00124859">
        <w:rPr>
          <w:rFonts w:ascii="Times New Roman" w:hAnsi="Times New Roman"/>
          <w:b/>
          <w:i/>
          <w:sz w:val="24"/>
          <w:szCs w:val="24"/>
        </w:rPr>
        <w:t>Návrh na zamítnutí zákona nebyl podán.</w:t>
      </w:r>
    </w:p>
    <w:p w:rsidR="004A22B1" w:rsidRPr="002D3A32" w:rsidRDefault="00124859" w:rsidP="002D3A32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Návrhy legislativně technických úprav podle § 95 odst. 2 JŘ přednesené ve třetím čtení (budou-li v rozpravě ve třetím čtení předneseny).</w:t>
      </w:r>
    </w:p>
    <w:p w:rsidR="004A22B1" w:rsidRPr="004A22B1" w:rsidRDefault="004A22B1" w:rsidP="004A22B1">
      <w:pPr>
        <w:pStyle w:val="Odstavecseseznamem"/>
        <w:numPr>
          <w:ilvl w:val="0"/>
          <w:numId w:val="8"/>
        </w:numPr>
        <w:jc w:val="both"/>
        <w:rPr>
          <w:szCs w:val="24"/>
        </w:rPr>
      </w:pPr>
      <w:r w:rsidRPr="004A22B1">
        <w:rPr>
          <w:b/>
          <w:szCs w:val="24"/>
        </w:rPr>
        <w:t>A (A.1 až A.27)</w:t>
      </w:r>
      <w:r w:rsidRPr="004A22B1">
        <w:rPr>
          <w:szCs w:val="24"/>
        </w:rPr>
        <w:t xml:space="preserve"> jako celek</w:t>
      </w:r>
    </w:p>
    <w:p w:rsidR="004A22B1" w:rsidRPr="00492F63" w:rsidRDefault="004A22B1" w:rsidP="00492F63">
      <w:pPr>
        <w:pStyle w:val="Odstavecseseznamem"/>
        <w:ind w:left="1364"/>
        <w:jc w:val="both"/>
        <w:rPr>
          <w:b/>
          <w:szCs w:val="24"/>
        </w:rPr>
      </w:pPr>
      <w:r w:rsidRPr="004A22B1">
        <w:rPr>
          <w:szCs w:val="24"/>
        </w:rPr>
        <w:tab/>
        <w:t>-</w:t>
      </w:r>
      <w:r w:rsidRPr="004A22B1">
        <w:rPr>
          <w:szCs w:val="24"/>
        </w:rPr>
        <w:tab/>
        <w:t xml:space="preserve">bude-li přijato </w:t>
      </w:r>
      <w:r w:rsidRPr="004A22B1">
        <w:rPr>
          <w:b/>
          <w:szCs w:val="24"/>
        </w:rPr>
        <w:t>A</w:t>
      </w:r>
      <w:r w:rsidRPr="004A22B1">
        <w:rPr>
          <w:szCs w:val="24"/>
        </w:rPr>
        <w:t xml:space="preserve">, jsou nehlasovatelné </w:t>
      </w:r>
      <w:r w:rsidRPr="004A22B1">
        <w:rPr>
          <w:b/>
          <w:szCs w:val="24"/>
        </w:rPr>
        <w:t>B.3, D.2, F.2, F.9 a F.10</w:t>
      </w:r>
    </w:p>
    <w:p w:rsidR="004A22B1" w:rsidRPr="004A22B1" w:rsidRDefault="004A22B1" w:rsidP="004A22B1">
      <w:pPr>
        <w:pStyle w:val="Odstavecseseznamem"/>
        <w:numPr>
          <w:ilvl w:val="0"/>
          <w:numId w:val="8"/>
        </w:numPr>
        <w:jc w:val="both"/>
        <w:rPr>
          <w:szCs w:val="24"/>
        </w:rPr>
      </w:pPr>
      <w:r w:rsidRPr="004A22B1">
        <w:rPr>
          <w:b/>
          <w:szCs w:val="24"/>
        </w:rPr>
        <w:t xml:space="preserve">F.9 </w:t>
      </w:r>
      <w:r w:rsidRPr="004A22B1">
        <w:rPr>
          <w:b/>
          <w:i/>
          <w:szCs w:val="24"/>
        </w:rPr>
        <w:t>(při nepřijetí A)</w:t>
      </w:r>
    </w:p>
    <w:p w:rsidR="004A22B1" w:rsidRPr="00492F63" w:rsidRDefault="004A22B1" w:rsidP="00492F63">
      <w:pPr>
        <w:pStyle w:val="Odstavecseseznamem"/>
        <w:ind w:left="1364"/>
        <w:jc w:val="both"/>
        <w:rPr>
          <w:b/>
          <w:szCs w:val="24"/>
        </w:rPr>
      </w:pPr>
      <w:r w:rsidRPr="004A22B1">
        <w:rPr>
          <w:szCs w:val="24"/>
        </w:rPr>
        <w:t>-</w:t>
      </w:r>
      <w:r w:rsidRPr="004A22B1">
        <w:rPr>
          <w:szCs w:val="24"/>
        </w:rPr>
        <w:tab/>
        <w:t xml:space="preserve">bude-li přijato </w:t>
      </w:r>
      <w:r w:rsidRPr="004A22B1">
        <w:rPr>
          <w:b/>
          <w:szCs w:val="24"/>
        </w:rPr>
        <w:t>F.9</w:t>
      </w:r>
      <w:r w:rsidRPr="004A22B1">
        <w:rPr>
          <w:szCs w:val="24"/>
        </w:rPr>
        <w:t xml:space="preserve">, jsou nehlasovatelné </w:t>
      </w:r>
      <w:r w:rsidRPr="004A22B1">
        <w:rPr>
          <w:b/>
          <w:szCs w:val="24"/>
        </w:rPr>
        <w:t>B.3, B.22 a F.10</w:t>
      </w:r>
    </w:p>
    <w:p w:rsidR="004A22B1" w:rsidRPr="004A22B1" w:rsidRDefault="004A22B1" w:rsidP="004A22B1">
      <w:pPr>
        <w:pStyle w:val="Odstavecseseznamem"/>
        <w:numPr>
          <w:ilvl w:val="0"/>
          <w:numId w:val="8"/>
        </w:numPr>
        <w:jc w:val="both"/>
        <w:rPr>
          <w:szCs w:val="24"/>
        </w:rPr>
      </w:pPr>
      <w:r w:rsidRPr="004A22B1">
        <w:rPr>
          <w:b/>
          <w:szCs w:val="24"/>
        </w:rPr>
        <w:t xml:space="preserve">F.10 </w:t>
      </w:r>
      <w:r w:rsidRPr="004A22B1">
        <w:rPr>
          <w:b/>
          <w:i/>
          <w:szCs w:val="24"/>
        </w:rPr>
        <w:t>(při nepřijetí A nebo F.9)</w:t>
      </w:r>
    </w:p>
    <w:p w:rsidR="004A22B1" w:rsidRPr="00492F63" w:rsidRDefault="004A22B1" w:rsidP="00492F63">
      <w:pPr>
        <w:pStyle w:val="Odstavecseseznamem"/>
        <w:ind w:left="1364"/>
        <w:jc w:val="both"/>
        <w:rPr>
          <w:b/>
          <w:szCs w:val="24"/>
        </w:rPr>
      </w:pPr>
      <w:r w:rsidRPr="004A22B1">
        <w:rPr>
          <w:szCs w:val="24"/>
        </w:rPr>
        <w:tab/>
        <w:t>-</w:t>
      </w:r>
      <w:r w:rsidRPr="004A22B1">
        <w:rPr>
          <w:szCs w:val="24"/>
        </w:rPr>
        <w:tab/>
        <w:t xml:space="preserve">bude-li přijato </w:t>
      </w:r>
      <w:r w:rsidRPr="004A22B1">
        <w:rPr>
          <w:b/>
          <w:szCs w:val="24"/>
        </w:rPr>
        <w:t>F.10</w:t>
      </w:r>
      <w:r w:rsidR="00F57B3B">
        <w:rPr>
          <w:szCs w:val="24"/>
        </w:rPr>
        <w:t>,</w:t>
      </w:r>
      <w:r w:rsidRPr="004A22B1">
        <w:rPr>
          <w:szCs w:val="24"/>
        </w:rPr>
        <w:t xml:space="preserve"> jsou nehlasovatelné </w:t>
      </w:r>
      <w:r w:rsidR="00F57B3B">
        <w:rPr>
          <w:b/>
          <w:szCs w:val="24"/>
        </w:rPr>
        <w:t xml:space="preserve">B.3 a </w:t>
      </w:r>
      <w:r w:rsidRPr="004A22B1">
        <w:rPr>
          <w:b/>
          <w:szCs w:val="24"/>
        </w:rPr>
        <w:t>B.22</w:t>
      </w:r>
    </w:p>
    <w:p w:rsidR="00492F63" w:rsidRPr="00492F63" w:rsidRDefault="004A22B1" w:rsidP="00492F63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 w:rsidRPr="000A2D2A">
        <w:rPr>
          <w:b/>
          <w:szCs w:val="24"/>
        </w:rPr>
        <w:t xml:space="preserve">B.3 </w:t>
      </w:r>
      <w:r w:rsidRPr="000A2D2A">
        <w:rPr>
          <w:b/>
          <w:i/>
          <w:szCs w:val="24"/>
        </w:rPr>
        <w:t xml:space="preserve">(při nepřijetí A, F.9 </w:t>
      </w:r>
      <w:r>
        <w:rPr>
          <w:b/>
          <w:i/>
          <w:szCs w:val="24"/>
        </w:rPr>
        <w:t>nebo</w:t>
      </w:r>
      <w:r w:rsidRPr="000A2D2A">
        <w:rPr>
          <w:b/>
          <w:i/>
          <w:szCs w:val="24"/>
        </w:rPr>
        <w:t xml:space="preserve"> F.10)</w:t>
      </w:r>
    </w:p>
    <w:p w:rsidR="00492F63" w:rsidRPr="00492F63" w:rsidRDefault="004A22B1" w:rsidP="00492F63">
      <w:pPr>
        <w:pStyle w:val="Odstavecseseznamem"/>
        <w:numPr>
          <w:ilvl w:val="0"/>
          <w:numId w:val="8"/>
        </w:numPr>
        <w:jc w:val="both"/>
        <w:rPr>
          <w:szCs w:val="24"/>
        </w:rPr>
      </w:pPr>
      <w:r w:rsidRPr="004A22B1">
        <w:rPr>
          <w:b/>
          <w:szCs w:val="24"/>
        </w:rPr>
        <w:t xml:space="preserve">B.22 </w:t>
      </w:r>
      <w:r w:rsidRPr="004A22B1">
        <w:rPr>
          <w:b/>
          <w:i/>
          <w:szCs w:val="24"/>
        </w:rPr>
        <w:t>(při nepřijetí F.9 nebo F.10)</w:t>
      </w:r>
    </w:p>
    <w:p w:rsidR="0000242E" w:rsidRDefault="004A22B1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 w:rsidRPr="000A2D2A">
        <w:rPr>
          <w:b/>
          <w:szCs w:val="24"/>
        </w:rPr>
        <w:t xml:space="preserve">D.2 </w:t>
      </w:r>
      <w:r w:rsidRPr="000A2D2A">
        <w:rPr>
          <w:b/>
          <w:i/>
          <w:szCs w:val="24"/>
        </w:rPr>
        <w:t>(při nepřijetí A)</w:t>
      </w:r>
    </w:p>
    <w:p w:rsidR="00492F63" w:rsidRPr="00492F63" w:rsidRDefault="004A22B1" w:rsidP="00492F63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 w:rsidRPr="000A2D2A">
        <w:rPr>
          <w:b/>
          <w:szCs w:val="24"/>
        </w:rPr>
        <w:t>F.2</w:t>
      </w:r>
      <w:r w:rsidRPr="000A2D2A">
        <w:rPr>
          <w:szCs w:val="24"/>
        </w:rPr>
        <w:t xml:space="preserve"> </w:t>
      </w:r>
      <w:r w:rsidRPr="000A2D2A">
        <w:rPr>
          <w:b/>
          <w:i/>
          <w:szCs w:val="24"/>
        </w:rPr>
        <w:t>(při nepřijetí A)</w:t>
      </w:r>
    </w:p>
    <w:p w:rsidR="00492F63" w:rsidRPr="00492F63" w:rsidRDefault="004A22B1" w:rsidP="00492F63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 w:rsidRPr="000A2D2A">
        <w:rPr>
          <w:b/>
          <w:szCs w:val="24"/>
        </w:rPr>
        <w:t>B.1 a B.2</w:t>
      </w:r>
      <w:r w:rsidRPr="000A2D2A">
        <w:rPr>
          <w:szCs w:val="24"/>
        </w:rPr>
        <w:t xml:space="preserve"> společně</w:t>
      </w:r>
      <w:r>
        <w:rPr>
          <w:szCs w:val="24"/>
        </w:rPr>
        <w:t xml:space="preserve"> </w:t>
      </w:r>
    </w:p>
    <w:p w:rsidR="004A22B1" w:rsidRPr="00492F63" w:rsidRDefault="004A22B1" w:rsidP="00492F63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 w:rsidRPr="000A2D2A">
        <w:rPr>
          <w:b/>
          <w:szCs w:val="24"/>
        </w:rPr>
        <w:t>B.4</w:t>
      </w:r>
      <w:r>
        <w:rPr>
          <w:b/>
          <w:szCs w:val="24"/>
        </w:rPr>
        <w:t>, B.5, B.7 až</w:t>
      </w:r>
      <w:r w:rsidRPr="000A2D2A">
        <w:rPr>
          <w:szCs w:val="24"/>
        </w:rPr>
        <w:t xml:space="preserve"> </w:t>
      </w:r>
      <w:r w:rsidRPr="000A2D2A">
        <w:rPr>
          <w:b/>
          <w:szCs w:val="24"/>
        </w:rPr>
        <w:t>B.21</w:t>
      </w:r>
      <w:r w:rsidRPr="000A2D2A">
        <w:rPr>
          <w:szCs w:val="24"/>
        </w:rPr>
        <w:t xml:space="preserve"> jako celek</w:t>
      </w:r>
      <w:r>
        <w:rPr>
          <w:szCs w:val="24"/>
        </w:rPr>
        <w:t xml:space="preserve"> </w:t>
      </w:r>
    </w:p>
    <w:p w:rsidR="004A22B1" w:rsidRPr="004A22B1" w:rsidRDefault="004A22B1" w:rsidP="004A22B1">
      <w:pPr>
        <w:pStyle w:val="Odstavecseseznamem"/>
        <w:numPr>
          <w:ilvl w:val="0"/>
          <w:numId w:val="8"/>
        </w:numPr>
        <w:jc w:val="both"/>
        <w:rPr>
          <w:szCs w:val="24"/>
        </w:rPr>
      </w:pPr>
      <w:r w:rsidRPr="004A22B1">
        <w:rPr>
          <w:b/>
          <w:szCs w:val="24"/>
        </w:rPr>
        <w:t>B.6 a B.23</w:t>
      </w:r>
      <w:r w:rsidRPr="004A22B1">
        <w:rPr>
          <w:szCs w:val="24"/>
        </w:rPr>
        <w:t xml:space="preserve"> společně</w:t>
      </w:r>
    </w:p>
    <w:p w:rsidR="004A22B1" w:rsidRDefault="004A22B1" w:rsidP="00492F63">
      <w:pPr>
        <w:pStyle w:val="Odstavecseseznamem"/>
        <w:ind w:left="1364"/>
        <w:jc w:val="both"/>
        <w:rPr>
          <w:i/>
          <w:szCs w:val="24"/>
        </w:rPr>
      </w:pPr>
      <w:r w:rsidRPr="004A22B1">
        <w:rPr>
          <w:szCs w:val="24"/>
        </w:rPr>
        <w:t>-</w:t>
      </w:r>
      <w:r w:rsidRPr="004A22B1">
        <w:rPr>
          <w:szCs w:val="24"/>
        </w:rPr>
        <w:tab/>
        <w:t xml:space="preserve">nehlasovatelné </w:t>
      </w:r>
      <w:r w:rsidRPr="004A22B1">
        <w:rPr>
          <w:b/>
          <w:szCs w:val="24"/>
        </w:rPr>
        <w:t xml:space="preserve">D.1 a D.3 </w:t>
      </w:r>
      <w:r w:rsidRPr="004A22B1">
        <w:rPr>
          <w:i/>
          <w:szCs w:val="24"/>
        </w:rPr>
        <w:t>(totožné s B.6 a B.23)</w:t>
      </w:r>
    </w:p>
    <w:p w:rsidR="002D3A32" w:rsidRPr="00492F63" w:rsidRDefault="002D3A32" w:rsidP="00492F63">
      <w:pPr>
        <w:pStyle w:val="Odstavecseseznamem"/>
        <w:ind w:left="1364"/>
        <w:jc w:val="both"/>
        <w:rPr>
          <w:i/>
          <w:szCs w:val="24"/>
        </w:rPr>
      </w:pPr>
    </w:p>
    <w:p w:rsidR="004A22B1" w:rsidRPr="004A22B1" w:rsidRDefault="00B03A9F" w:rsidP="004A22B1">
      <w:pPr>
        <w:pStyle w:val="Odstavecseseznamem"/>
        <w:numPr>
          <w:ilvl w:val="0"/>
          <w:numId w:val="8"/>
        </w:numPr>
        <w:jc w:val="both"/>
        <w:rPr>
          <w:szCs w:val="24"/>
        </w:rPr>
      </w:pPr>
      <w:r>
        <w:rPr>
          <w:b/>
          <w:szCs w:val="24"/>
        </w:rPr>
        <w:lastRenderedPageBreak/>
        <w:t>C.3</w:t>
      </w:r>
    </w:p>
    <w:p w:rsidR="004A22B1" w:rsidRPr="00492F63" w:rsidRDefault="004A22B1" w:rsidP="00492F63">
      <w:pPr>
        <w:pStyle w:val="Odstavecseseznamem"/>
        <w:ind w:left="1364"/>
        <w:jc w:val="both"/>
        <w:rPr>
          <w:b/>
          <w:szCs w:val="24"/>
        </w:rPr>
      </w:pPr>
      <w:r w:rsidRPr="004A22B1">
        <w:rPr>
          <w:szCs w:val="24"/>
        </w:rPr>
        <w:t>-</w:t>
      </w:r>
      <w:r w:rsidRPr="004A22B1">
        <w:rPr>
          <w:szCs w:val="24"/>
        </w:rPr>
        <w:tab/>
        <w:t xml:space="preserve">bude-li přijat </w:t>
      </w:r>
      <w:r w:rsidRPr="004A22B1">
        <w:rPr>
          <w:b/>
          <w:szCs w:val="24"/>
        </w:rPr>
        <w:t>C.3</w:t>
      </w:r>
      <w:r w:rsidRPr="004A22B1">
        <w:rPr>
          <w:szCs w:val="24"/>
        </w:rPr>
        <w:t xml:space="preserve"> jsou nehlasovatelné </w:t>
      </w:r>
      <w:r w:rsidRPr="004A22B1">
        <w:rPr>
          <w:b/>
          <w:szCs w:val="24"/>
        </w:rPr>
        <w:t>B.24 a D.4</w:t>
      </w:r>
    </w:p>
    <w:p w:rsidR="00492F63" w:rsidRPr="00492F63" w:rsidRDefault="00F57B3B" w:rsidP="00492F63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b/>
          <w:szCs w:val="24"/>
        </w:rPr>
        <w:t>C.1</w:t>
      </w:r>
    </w:p>
    <w:p w:rsidR="004A22B1" w:rsidRPr="004A22B1" w:rsidRDefault="00F57B3B" w:rsidP="004A22B1">
      <w:pPr>
        <w:pStyle w:val="Odstavecseseznamem"/>
        <w:numPr>
          <w:ilvl w:val="0"/>
          <w:numId w:val="8"/>
        </w:numPr>
        <w:jc w:val="both"/>
        <w:rPr>
          <w:szCs w:val="24"/>
        </w:rPr>
      </w:pPr>
      <w:r>
        <w:rPr>
          <w:b/>
          <w:szCs w:val="24"/>
        </w:rPr>
        <w:t>C.2</w:t>
      </w:r>
    </w:p>
    <w:p w:rsidR="004A22B1" w:rsidRPr="00492F63" w:rsidRDefault="004A22B1" w:rsidP="00492F63">
      <w:pPr>
        <w:pStyle w:val="Odstavecseseznamem"/>
        <w:ind w:left="1364"/>
        <w:jc w:val="both"/>
        <w:rPr>
          <w:b/>
          <w:szCs w:val="24"/>
        </w:rPr>
      </w:pPr>
      <w:r w:rsidRPr="004A22B1">
        <w:rPr>
          <w:szCs w:val="24"/>
        </w:rPr>
        <w:t>-</w:t>
      </w:r>
      <w:r w:rsidRPr="004A22B1">
        <w:rPr>
          <w:szCs w:val="24"/>
        </w:rPr>
        <w:tab/>
        <w:t xml:space="preserve">bude-li přijat </w:t>
      </w:r>
      <w:r w:rsidRPr="004A22B1">
        <w:rPr>
          <w:b/>
          <w:szCs w:val="24"/>
        </w:rPr>
        <w:t>C.2</w:t>
      </w:r>
      <w:r w:rsidRPr="004A22B1">
        <w:rPr>
          <w:szCs w:val="24"/>
        </w:rPr>
        <w:t xml:space="preserve">, jsou nehlasovatelné </w:t>
      </w:r>
      <w:r w:rsidRPr="004A22B1">
        <w:rPr>
          <w:b/>
          <w:szCs w:val="24"/>
        </w:rPr>
        <w:t>B.24 a D.4</w:t>
      </w:r>
    </w:p>
    <w:p w:rsidR="004A22B1" w:rsidRPr="004A22B1" w:rsidRDefault="004A22B1" w:rsidP="004A22B1">
      <w:pPr>
        <w:pStyle w:val="Odstavecseseznamem"/>
        <w:numPr>
          <w:ilvl w:val="0"/>
          <w:numId w:val="8"/>
        </w:numPr>
        <w:jc w:val="both"/>
        <w:rPr>
          <w:b/>
          <w:szCs w:val="24"/>
        </w:rPr>
      </w:pPr>
      <w:r w:rsidRPr="004A22B1">
        <w:rPr>
          <w:b/>
          <w:szCs w:val="24"/>
        </w:rPr>
        <w:t xml:space="preserve">B.24 </w:t>
      </w:r>
      <w:r w:rsidRPr="004A22B1">
        <w:rPr>
          <w:b/>
          <w:i/>
          <w:szCs w:val="24"/>
        </w:rPr>
        <w:t>(při nepřijetí C.3 a C.2)</w:t>
      </w:r>
    </w:p>
    <w:p w:rsidR="004A22B1" w:rsidRPr="004A22B1" w:rsidRDefault="004A22B1" w:rsidP="004A22B1">
      <w:pPr>
        <w:ind w:left="1004" w:firstLine="360"/>
        <w:jc w:val="both"/>
        <w:rPr>
          <w:szCs w:val="24"/>
        </w:rPr>
      </w:pPr>
      <w:r w:rsidRPr="004A22B1">
        <w:rPr>
          <w:szCs w:val="24"/>
        </w:rPr>
        <w:t>-</w:t>
      </w:r>
      <w:r w:rsidRPr="004A22B1">
        <w:rPr>
          <w:szCs w:val="24"/>
        </w:rPr>
        <w:tab/>
      </w:r>
      <w:r w:rsidRPr="004A22B1">
        <w:rPr>
          <w:rFonts w:ascii="Times New Roman" w:hAnsi="Times New Roman"/>
          <w:sz w:val="24"/>
          <w:szCs w:val="24"/>
        </w:rPr>
        <w:t xml:space="preserve">nehlasovatelné </w:t>
      </w:r>
      <w:r w:rsidRPr="004A22B1">
        <w:rPr>
          <w:rFonts w:ascii="Times New Roman" w:hAnsi="Times New Roman"/>
          <w:b/>
          <w:sz w:val="24"/>
          <w:szCs w:val="24"/>
        </w:rPr>
        <w:t>D.4 (</w:t>
      </w:r>
      <w:r w:rsidRPr="004A22B1">
        <w:rPr>
          <w:rFonts w:ascii="Times New Roman" w:hAnsi="Times New Roman"/>
          <w:sz w:val="24"/>
          <w:szCs w:val="24"/>
        </w:rPr>
        <w:t>totožné s B.24)</w:t>
      </w:r>
    </w:p>
    <w:p w:rsidR="00492F63" w:rsidRPr="00492F63" w:rsidRDefault="00F57B3B" w:rsidP="00492F63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b/>
          <w:szCs w:val="24"/>
        </w:rPr>
        <w:t>C.4</w:t>
      </w:r>
    </w:p>
    <w:p w:rsidR="00492F63" w:rsidRPr="00492F63" w:rsidRDefault="004A22B1" w:rsidP="00492F63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 w:rsidRPr="000A2D2A">
        <w:rPr>
          <w:b/>
          <w:szCs w:val="24"/>
        </w:rPr>
        <w:t>D.5</w:t>
      </w:r>
    </w:p>
    <w:p w:rsidR="004A22B1" w:rsidRPr="004A22B1" w:rsidRDefault="004A22B1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 w:rsidRPr="000A2D2A">
        <w:rPr>
          <w:b/>
          <w:szCs w:val="24"/>
        </w:rPr>
        <w:t>E</w:t>
      </w:r>
    </w:p>
    <w:p w:rsidR="004A22B1" w:rsidRPr="004A22B1" w:rsidRDefault="004A22B1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 w:rsidRPr="000A2D2A">
        <w:rPr>
          <w:b/>
          <w:szCs w:val="24"/>
        </w:rPr>
        <w:t>F.1</w:t>
      </w:r>
    </w:p>
    <w:p w:rsidR="004A22B1" w:rsidRPr="004A22B1" w:rsidRDefault="004A22B1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 w:rsidRPr="000A2D2A">
        <w:rPr>
          <w:b/>
          <w:szCs w:val="24"/>
        </w:rPr>
        <w:t>F.3</w:t>
      </w:r>
    </w:p>
    <w:p w:rsidR="004A22B1" w:rsidRPr="004A22B1" w:rsidRDefault="004A22B1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 w:rsidRPr="000A2D2A">
        <w:rPr>
          <w:b/>
          <w:szCs w:val="24"/>
        </w:rPr>
        <w:t>F.4</w:t>
      </w:r>
    </w:p>
    <w:p w:rsidR="004A22B1" w:rsidRPr="004A22B1" w:rsidRDefault="004A22B1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 w:rsidRPr="000A2D2A">
        <w:rPr>
          <w:b/>
          <w:szCs w:val="24"/>
        </w:rPr>
        <w:t>F.5</w:t>
      </w:r>
    </w:p>
    <w:p w:rsidR="004A22B1" w:rsidRPr="004A22B1" w:rsidRDefault="004A22B1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 w:rsidRPr="000A2D2A">
        <w:rPr>
          <w:b/>
          <w:szCs w:val="24"/>
        </w:rPr>
        <w:t>F.6</w:t>
      </w:r>
    </w:p>
    <w:p w:rsidR="004A22B1" w:rsidRPr="004A22B1" w:rsidRDefault="004A22B1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 w:rsidRPr="000A2D2A">
        <w:rPr>
          <w:b/>
          <w:szCs w:val="24"/>
        </w:rPr>
        <w:t>F.7</w:t>
      </w:r>
    </w:p>
    <w:p w:rsidR="004A22B1" w:rsidRDefault="004A22B1" w:rsidP="0000242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 w:rsidRPr="000A2D2A">
        <w:rPr>
          <w:b/>
          <w:szCs w:val="24"/>
        </w:rPr>
        <w:t>F.8</w:t>
      </w:r>
    </w:p>
    <w:p w:rsidR="00AD6982" w:rsidRDefault="0000242E" w:rsidP="00DE62E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Hlasov</w:t>
      </w:r>
      <w:r w:rsidR="00E25A6C">
        <w:rPr>
          <w:szCs w:val="24"/>
        </w:rPr>
        <w:t>at</w:t>
      </w:r>
      <w:r>
        <w:rPr>
          <w:szCs w:val="24"/>
        </w:rPr>
        <w:t xml:space="preserve"> o návrhu zákona jako celku </w:t>
      </w:r>
    </w:p>
    <w:p w:rsidR="004A22B1" w:rsidRPr="00DE62E0" w:rsidRDefault="004A22B1" w:rsidP="004A22B1">
      <w:pPr>
        <w:pStyle w:val="Odstavecseseznamem"/>
        <w:autoSpaceDE w:val="0"/>
        <w:autoSpaceDN w:val="0"/>
        <w:adjustRightInd w:val="0"/>
        <w:spacing w:after="100" w:afterAutospacing="1"/>
        <w:ind w:left="1364"/>
        <w:rPr>
          <w:szCs w:val="24"/>
        </w:rPr>
      </w:pPr>
    </w:p>
    <w:p w:rsidR="00C541C0" w:rsidRDefault="004A22B1" w:rsidP="00A2368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4A22B1">
        <w:rPr>
          <w:rFonts w:ascii="Times New Roman" w:hAnsi="Times New Roman"/>
          <w:b/>
          <w:sz w:val="24"/>
          <w:szCs w:val="24"/>
        </w:rPr>
        <w:t>z </w:t>
      </w:r>
      <w:r w:rsidR="00C541C0" w:rsidRPr="004A22B1">
        <w:rPr>
          <w:rFonts w:ascii="Times New Roman" w:hAnsi="Times New Roman"/>
          <w:b/>
          <w:sz w:val="24"/>
          <w:szCs w:val="24"/>
        </w:rPr>
        <w:t>a</w:t>
      </w:r>
      <w:r w:rsidRPr="004A22B1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4A22B1">
        <w:rPr>
          <w:rFonts w:ascii="Times New Roman" w:hAnsi="Times New Roman"/>
          <w:b/>
          <w:sz w:val="24"/>
          <w:szCs w:val="24"/>
        </w:rPr>
        <w:t>u</w:t>
      </w:r>
      <w:r w:rsidRPr="004A22B1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4A22B1">
        <w:rPr>
          <w:rFonts w:ascii="Times New Roman" w:hAnsi="Times New Roman"/>
          <w:b/>
          <w:sz w:val="24"/>
          <w:szCs w:val="24"/>
        </w:rPr>
        <w:t>j</w:t>
      </w:r>
      <w:r w:rsidRPr="004A22B1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4A22B1">
        <w:rPr>
          <w:rFonts w:ascii="Times New Roman" w:hAnsi="Times New Roman"/>
          <w:b/>
          <w:sz w:val="24"/>
          <w:szCs w:val="24"/>
        </w:rPr>
        <w:t>í</w:t>
      </w:r>
      <w:r w:rsidRPr="004A22B1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4A22B1">
        <w:rPr>
          <w:rFonts w:ascii="Times New Roman" w:hAnsi="Times New Roman"/>
          <w:b/>
          <w:sz w:val="24"/>
          <w:szCs w:val="24"/>
        </w:rPr>
        <w:t>m</w:t>
      </w:r>
      <w:r w:rsidRPr="004A22B1">
        <w:rPr>
          <w:rFonts w:ascii="Times New Roman" w:hAnsi="Times New Roman"/>
          <w:b/>
          <w:sz w:val="24"/>
          <w:szCs w:val="24"/>
        </w:rPr>
        <w:t xml:space="preserve"> á</w:t>
      </w:r>
      <w:r>
        <w:rPr>
          <w:rFonts w:ascii="Times New Roman" w:hAnsi="Times New Roman"/>
          <w:sz w:val="24"/>
          <w:szCs w:val="24"/>
        </w:rPr>
        <w:t> </w:t>
      </w:r>
      <w:r w:rsidR="00C541C0">
        <w:rPr>
          <w:rFonts w:ascii="Times New Roman" w:hAnsi="Times New Roman"/>
          <w:sz w:val="24"/>
          <w:szCs w:val="24"/>
        </w:rPr>
        <w:t>následující stanoviska k jednotlivým pozměňovacím návrhům:</w:t>
      </w:r>
    </w:p>
    <w:p w:rsidR="007452DD" w:rsidRDefault="007452DD" w:rsidP="007452DD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C541C0" w:rsidRDefault="0000242E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A</w:t>
      </w:r>
      <w:r w:rsidR="00047F80">
        <w:rPr>
          <w:szCs w:val="24"/>
        </w:rPr>
        <w:t xml:space="preserve"> (A.1 až A.27)</w:t>
      </w:r>
      <w:r w:rsidR="00047F80">
        <w:rPr>
          <w:szCs w:val="24"/>
        </w:rPr>
        <w:tab/>
      </w:r>
      <w:r w:rsidR="00047F80">
        <w:rPr>
          <w:szCs w:val="24"/>
        </w:rPr>
        <w:tab/>
      </w:r>
      <w:r w:rsidR="00047F80">
        <w:rPr>
          <w:szCs w:val="24"/>
        </w:rPr>
        <w:tab/>
      </w:r>
      <w:r w:rsidR="00B8548A">
        <w:rPr>
          <w:szCs w:val="24"/>
        </w:rPr>
        <w:t>DOPORUČUJÍCÍ</w:t>
      </w:r>
    </w:p>
    <w:p w:rsidR="00E25A6C" w:rsidRDefault="00047F80" w:rsidP="00A805B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F.9</w:t>
      </w:r>
      <w:r w:rsidR="000315A9">
        <w:rPr>
          <w:szCs w:val="24"/>
        </w:rPr>
        <w:tab/>
      </w:r>
      <w:r w:rsidR="00E25A6C" w:rsidRPr="00E25A6C">
        <w:rPr>
          <w:szCs w:val="24"/>
        </w:rPr>
        <w:tab/>
      </w:r>
      <w:r w:rsidR="00E25A6C" w:rsidRPr="00E25A6C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NEDOPORUČUJÍCÍ</w:t>
      </w:r>
    </w:p>
    <w:p w:rsidR="0000242E" w:rsidRDefault="00047F80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F.10</w:t>
      </w:r>
      <w:r w:rsidR="00E25A6C">
        <w:rPr>
          <w:szCs w:val="24"/>
        </w:rPr>
        <w:tab/>
      </w:r>
      <w:r w:rsidR="00B8548A">
        <w:rPr>
          <w:szCs w:val="24"/>
        </w:rPr>
        <w:tab/>
      </w:r>
      <w:r w:rsidR="00B8548A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NEDOPORUČUJÍCÍ</w:t>
      </w:r>
    </w:p>
    <w:p w:rsidR="00E25A6C" w:rsidRDefault="0000242E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Návrh </w:t>
      </w:r>
      <w:r w:rsidR="00047F80">
        <w:rPr>
          <w:szCs w:val="24"/>
        </w:rPr>
        <w:t>B.3</w:t>
      </w:r>
      <w:r w:rsidR="00B8548A">
        <w:rPr>
          <w:szCs w:val="24"/>
        </w:rPr>
        <w:tab/>
      </w:r>
      <w:r w:rsidR="00B8548A">
        <w:rPr>
          <w:szCs w:val="24"/>
        </w:rPr>
        <w:tab/>
      </w:r>
      <w:r w:rsidR="00047F80">
        <w:rPr>
          <w:szCs w:val="24"/>
        </w:rPr>
        <w:tab/>
      </w:r>
      <w:r w:rsidR="00047F80">
        <w:rPr>
          <w:szCs w:val="24"/>
        </w:rPr>
        <w:tab/>
      </w:r>
      <w:r w:rsidR="00047F80">
        <w:rPr>
          <w:szCs w:val="24"/>
        </w:rPr>
        <w:tab/>
        <w:t>DOPORUČUJÍCÍ</w:t>
      </w:r>
    </w:p>
    <w:p w:rsidR="0000242E" w:rsidRDefault="0000242E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Návrh </w:t>
      </w:r>
      <w:r w:rsidR="00047F80">
        <w:rPr>
          <w:szCs w:val="24"/>
        </w:rPr>
        <w:t>B.22</w:t>
      </w:r>
      <w:r w:rsidR="00B8548A">
        <w:rPr>
          <w:szCs w:val="24"/>
        </w:rPr>
        <w:tab/>
      </w:r>
      <w:r w:rsidR="00B8548A">
        <w:rPr>
          <w:szCs w:val="24"/>
        </w:rPr>
        <w:tab/>
      </w:r>
      <w:r w:rsidR="00047F80">
        <w:rPr>
          <w:szCs w:val="24"/>
        </w:rPr>
        <w:tab/>
      </w:r>
      <w:r w:rsidR="00047F80">
        <w:rPr>
          <w:szCs w:val="24"/>
        </w:rPr>
        <w:tab/>
      </w:r>
      <w:r w:rsidR="00047F80">
        <w:rPr>
          <w:szCs w:val="24"/>
        </w:rPr>
        <w:tab/>
      </w:r>
      <w:r w:rsidR="00945B7A">
        <w:rPr>
          <w:szCs w:val="24"/>
        </w:rPr>
        <w:t>BEZ STANOVISKA</w:t>
      </w:r>
    </w:p>
    <w:p w:rsidR="0000242E" w:rsidRDefault="00047F80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D.2</w:t>
      </w:r>
      <w:r w:rsidR="00B8548A">
        <w:rPr>
          <w:szCs w:val="24"/>
        </w:rPr>
        <w:tab/>
      </w:r>
      <w:r w:rsidR="00B8548A">
        <w:rPr>
          <w:szCs w:val="24"/>
        </w:rPr>
        <w:tab/>
      </w:r>
      <w:r w:rsidR="00B8548A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DOPORUČUJÍCÍ</w:t>
      </w:r>
    </w:p>
    <w:p w:rsidR="0000242E" w:rsidRDefault="0000242E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</w:t>
      </w:r>
      <w:r w:rsidR="00047F80">
        <w:rPr>
          <w:szCs w:val="24"/>
        </w:rPr>
        <w:t xml:space="preserve"> F.2</w:t>
      </w:r>
      <w:r w:rsidR="00B8548A">
        <w:rPr>
          <w:szCs w:val="24"/>
        </w:rPr>
        <w:tab/>
      </w:r>
      <w:r w:rsidR="00B8548A">
        <w:rPr>
          <w:szCs w:val="24"/>
        </w:rPr>
        <w:tab/>
      </w:r>
      <w:r w:rsidR="00047F80">
        <w:rPr>
          <w:szCs w:val="24"/>
        </w:rPr>
        <w:tab/>
      </w:r>
      <w:r w:rsidR="00047F80">
        <w:rPr>
          <w:szCs w:val="24"/>
        </w:rPr>
        <w:tab/>
      </w:r>
      <w:r w:rsidR="00047F80">
        <w:rPr>
          <w:szCs w:val="24"/>
        </w:rPr>
        <w:tab/>
        <w:t>DOPORUČUJÍCÍ</w:t>
      </w:r>
    </w:p>
    <w:p w:rsidR="0000242E" w:rsidRDefault="00047F80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B.1 a B.2</w:t>
      </w:r>
      <w:r w:rsidR="00B8548A">
        <w:rPr>
          <w:szCs w:val="24"/>
        </w:rPr>
        <w:tab/>
      </w:r>
      <w:r w:rsidR="00B8548A">
        <w:rPr>
          <w:szCs w:val="24"/>
        </w:rPr>
        <w:tab/>
      </w:r>
      <w:r w:rsidR="00B8548A">
        <w:rPr>
          <w:szCs w:val="24"/>
        </w:rPr>
        <w:tab/>
      </w:r>
      <w:r>
        <w:rPr>
          <w:szCs w:val="24"/>
        </w:rPr>
        <w:tab/>
        <w:t>DOPORUČUJÍCÍ</w:t>
      </w:r>
    </w:p>
    <w:p w:rsidR="0000242E" w:rsidRDefault="00047F80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B.4, B.5, B.7 až B.21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DOPORUČUJÍCÍ</w:t>
      </w:r>
    </w:p>
    <w:p w:rsidR="0000242E" w:rsidRDefault="00047F80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B.6 a B.23 (D.1 a D.3 totožné)</w:t>
      </w:r>
      <w:r>
        <w:rPr>
          <w:szCs w:val="24"/>
        </w:rPr>
        <w:tab/>
        <w:t>DOPORUČUJÍCÍ</w:t>
      </w:r>
    </w:p>
    <w:p w:rsidR="0000242E" w:rsidRDefault="00047F80" w:rsidP="000024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C.3</w:t>
      </w:r>
      <w:r w:rsidR="00B8548A">
        <w:rPr>
          <w:szCs w:val="24"/>
        </w:rPr>
        <w:tab/>
      </w:r>
      <w:r w:rsidR="00B8548A">
        <w:rPr>
          <w:szCs w:val="24"/>
        </w:rPr>
        <w:tab/>
      </w:r>
      <w:r w:rsidR="00B8548A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NEDOPORUČUJÍCÍ</w:t>
      </w:r>
    </w:p>
    <w:p w:rsidR="00A2597B" w:rsidRDefault="00047F80" w:rsidP="00A2597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C.1</w:t>
      </w:r>
      <w:r w:rsidR="00A2597B">
        <w:rPr>
          <w:szCs w:val="24"/>
        </w:rPr>
        <w:tab/>
      </w:r>
      <w:r w:rsidR="00A2597B" w:rsidRPr="00E25A6C">
        <w:rPr>
          <w:szCs w:val="24"/>
        </w:rPr>
        <w:tab/>
      </w:r>
      <w:r w:rsidR="00A2597B" w:rsidRPr="00E25A6C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DOPORUČUJÍCÍ</w:t>
      </w:r>
    </w:p>
    <w:p w:rsidR="00A2597B" w:rsidRDefault="00A2597B" w:rsidP="00A2597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C</w:t>
      </w:r>
      <w:r w:rsidR="00047F80">
        <w:rPr>
          <w:szCs w:val="24"/>
        </w:rPr>
        <w:t>.2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047F80">
        <w:rPr>
          <w:szCs w:val="24"/>
        </w:rPr>
        <w:tab/>
      </w:r>
      <w:r w:rsidR="00047F80">
        <w:rPr>
          <w:szCs w:val="24"/>
        </w:rPr>
        <w:tab/>
        <w:t>DOPORUČUJÍCÍ</w:t>
      </w:r>
    </w:p>
    <w:p w:rsidR="00A2597B" w:rsidRDefault="00047F80" w:rsidP="00A2597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B.24 (D.4 totožné)</w:t>
      </w:r>
      <w:r w:rsidR="00A2597B">
        <w:rPr>
          <w:szCs w:val="24"/>
        </w:rPr>
        <w:tab/>
      </w:r>
      <w:r w:rsidR="00A2597B">
        <w:rPr>
          <w:szCs w:val="24"/>
        </w:rPr>
        <w:tab/>
      </w:r>
      <w:r w:rsidR="007452DD">
        <w:rPr>
          <w:szCs w:val="24"/>
        </w:rPr>
        <w:tab/>
        <w:t>DOPORUČUJÍCÍ</w:t>
      </w:r>
    </w:p>
    <w:p w:rsidR="00A2597B" w:rsidRDefault="00A2597B" w:rsidP="00A2597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Návrh </w:t>
      </w:r>
      <w:r w:rsidR="00047F80">
        <w:rPr>
          <w:szCs w:val="24"/>
        </w:rPr>
        <w:t>C.4</w:t>
      </w:r>
      <w:r>
        <w:rPr>
          <w:szCs w:val="24"/>
        </w:rPr>
        <w:tab/>
      </w:r>
      <w:r>
        <w:rPr>
          <w:szCs w:val="24"/>
        </w:rPr>
        <w:tab/>
      </w:r>
      <w:r w:rsidR="00047F80">
        <w:rPr>
          <w:szCs w:val="24"/>
        </w:rPr>
        <w:tab/>
      </w:r>
      <w:r w:rsidR="00047F80">
        <w:rPr>
          <w:szCs w:val="24"/>
        </w:rPr>
        <w:tab/>
      </w:r>
      <w:r w:rsidR="00047F80">
        <w:rPr>
          <w:szCs w:val="24"/>
        </w:rPr>
        <w:tab/>
        <w:t>DOPORUČUJÍCÍ</w:t>
      </w:r>
    </w:p>
    <w:p w:rsidR="00A2597B" w:rsidRDefault="00047F80" w:rsidP="00A2597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D.5</w:t>
      </w:r>
      <w:r w:rsidR="00A2597B">
        <w:rPr>
          <w:szCs w:val="24"/>
        </w:rPr>
        <w:tab/>
      </w:r>
      <w:r w:rsidR="00A2597B">
        <w:rPr>
          <w:szCs w:val="24"/>
        </w:rPr>
        <w:tab/>
      </w:r>
      <w:r w:rsidR="00A2597B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DOPORUČUJÍCÍ</w:t>
      </w:r>
    </w:p>
    <w:p w:rsidR="00A2597B" w:rsidRDefault="00047F80" w:rsidP="00A2597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E</w:t>
      </w:r>
      <w:r w:rsidR="00A2597B">
        <w:rPr>
          <w:szCs w:val="24"/>
        </w:rPr>
        <w:tab/>
      </w:r>
      <w:r w:rsidR="00A2597B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DOPORUČUJÍCÍ</w:t>
      </w:r>
    </w:p>
    <w:p w:rsidR="00A2597B" w:rsidRDefault="00047F80" w:rsidP="00A2597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F.1</w:t>
      </w:r>
      <w:r w:rsidR="00A2597B">
        <w:rPr>
          <w:szCs w:val="24"/>
        </w:rPr>
        <w:tab/>
      </w:r>
      <w:r w:rsidR="00A2597B">
        <w:rPr>
          <w:szCs w:val="24"/>
        </w:rPr>
        <w:tab/>
      </w:r>
      <w:r w:rsidR="00A2597B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DOPORUČUJÍCÍ</w:t>
      </w:r>
    </w:p>
    <w:p w:rsidR="00A2597B" w:rsidRDefault="00047F80" w:rsidP="00A2597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F.3</w:t>
      </w:r>
      <w:r w:rsidR="00A2597B">
        <w:rPr>
          <w:szCs w:val="24"/>
        </w:rPr>
        <w:tab/>
      </w:r>
      <w:r w:rsidR="00A2597B">
        <w:rPr>
          <w:szCs w:val="24"/>
        </w:rPr>
        <w:tab/>
      </w:r>
      <w:r w:rsidR="00A2597B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NEDOPORUČUJÍCÍ</w:t>
      </w:r>
    </w:p>
    <w:p w:rsidR="00A2597B" w:rsidRDefault="00047F80" w:rsidP="00A2597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F.4</w:t>
      </w:r>
      <w:r w:rsidR="00A2597B">
        <w:rPr>
          <w:szCs w:val="24"/>
        </w:rPr>
        <w:tab/>
      </w:r>
      <w:r w:rsidR="00A2597B">
        <w:rPr>
          <w:szCs w:val="24"/>
        </w:rPr>
        <w:tab/>
      </w:r>
      <w:r w:rsidR="00A2597B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NEDOPORUČUJÍCÍ</w:t>
      </w:r>
    </w:p>
    <w:p w:rsidR="00A2597B" w:rsidRDefault="00047F80" w:rsidP="00A2597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F.5</w:t>
      </w:r>
      <w:r w:rsidR="00A2597B">
        <w:rPr>
          <w:szCs w:val="24"/>
        </w:rPr>
        <w:tab/>
      </w:r>
      <w:r w:rsidR="00A2597B">
        <w:rPr>
          <w:szCs w:val="24"/>
        </w:rPr>
        <w:tab/>
      </w:r>
      <w:r w:rsidR="00A2597B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NEDOPORUČUJÍCÍ</w:t>
      </w:r>
    </w:p>
    <w:p w:rsidR="00A2597B" w:rsidRDefault="00047F80" w:rsidP="00A2597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F.6</w:t>
      </w:r>
      <w:r w:rsidR="00A2597B">
        <w:rPr>
          <w:szCs w:val="24"/>
        </w:rPr>
        <w:tab/>
      </w:r>
      <w:r w:rsidR="00A2597B">
        <w:rPr>
          <w:szCs w:val="24"/>
        </w:rPr>
        <w:tab/>
      </w:r>
      <w:r w:rsidR="00A2597B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NEDOPORUČUJÍCÍ</w:t>
      </w:r>
    </w:p>
    <w:p w:rsidR="00A2597B" w:rsidRDefault="00047F80" w:rsidP="00A2597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F.7</w:t>
      </w:r>
      <w:r w:rsidR="00A2597B">
        <w:rPr>
          <w:szCs w:val="24"/>
        </w:rPr>
        <w:tab/>
      </w:r>
      <w:r w:rsidR="00A2597B">
        <w:rPr>
          <w:szCs w:val="24"/>
        </w:rPr>
        <w:tab/>
      </w:r>
      <w:r w:rsidR="00A2597B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NEDOPORUČUJÍCÍ</w:t>
      </w:r>
    </w:p>
    <w:p w:rsidR="00A2597B" w:rsidRDefault="00047F80" w:rsidP="00A2597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F.8</w:t>
      </w:r>
      <w:r w:rsidR="00A2597B">
        <w:rPr>
          <w:szCs w:val="24"/>
        </w:rPr>
        <w:tab/>
      </w:r>
      <w:r w:rsidR="00A2597B">
        <w:rPr>
          <w:szCs w:val="24"/>
        </w:rPr>
        <w:tab/>
      </w:r>
      <w:r w:rsidR="00A2597B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NEDOPORUČUJÍCÍ</w:t>
      </w:r>
    </w:p>
    <w:p w:rsidR="00C541C0" w:rsidRPr="00CA5C89" w:rsidRDefault="00C541C0" w:rsidP="00CA5C89">
      <w:pPr>
        <w:autoSpaceDE w:val="0"/>
        <w:autoSpaceDN w:val="0"/>
        <w:adjustRightInd w:val="0"/>
        <w:rPr>
          <w:szCs w:val="24"/>
        </w:rPr>
      </w:pPr>
    </w:p>
    <w:p w:rsidR="00C541C0" w:rsidRPr="00C541C0" w:rsidRDefault="00C541C0" w:rsidP="00C541C0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A23686" w:rsidRDefault="00A23686" w:rsidP="00AD6982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b/>
          <w:spacing w:val="60"/>
          <w:sz w:val="24"/>
          <w:szCs w:val="24"/>
        </w:rPr>
        <w:lastRenderedPageBreak/>
        <w:t>zmocňuj</w:t>
      </w:r>
      <w:r>
        <w:rPr>
          <w:rFonts w:ascii="Times New Roman" w:hAnsi="Times New Roman"/>
          <w:b/>
          <w:spacing w:val="60"/>
          <w:sz w:val="24"/>
          <w:szCs w:val="24"/>
        </w:rPr>
        <w:t>e</w:t>
      </w:r>
      <w:r>
        <w:rPr>
          <w:rFonts w:ascii="Times New Roman" w:hAnsi="Times New Roman"/>
          <w:b/>
          <w:spacing w:val="60"/>
          <w:sz w:val="24"/>
          <w:szCs w:val="24"/>
        </w:rPr>
        <w:t> </w:t>
      </w:r>
      <w:r w:rsidR="00203812">
        <w:rPr>
          <w:rFonts w:ascii="Times New Roman" w:hAnsi="Times New Roman"/>
          <w:sz w:val="24"/>
          <w:szCs w:val="24"/>
        </w:rPr>
        <w:t>zpravodaje výboru poslance</w:t>
      </w:r>
      <w:r w:rsidRPr="00666838">
        <w:rPr>
          <w:rFonts w:ascii="Times New Roman" w:hAnsi="Times New Roman"/>
          <w:sz w:val="24"/>
          <w:szCs w:val="24"/>
        </w:rPr>
        <w:t xml:space="preserve"> </w:t>
      </w:r>
      <w:r w:rsidR="00AD6982">
        <w:rPr>
          <w:rFonts w:ascii="Times New Roman" w:hAnsi="Times New Roman"/>
          <w:sz w:val="24"/>
          <w:szCs w:val="24"/>
        </w:rPr>
        <w:t xml:space="preserve">prof. </w:t>
      </w:r>
      <w:r w:rsidRPr="00666838">
        <w:rPr>
          <w:rFonts w:ascii="Times New Roman" w:hAnsi="Times New Roman"/>
          <w:sz w:val="24"/>
          <w:szCs w:val="24"/>
        </w:rPr>
        <w:t xml:space="preserve">MUDr. </w:t>
      </w:r>
      <w:r w:rsidR="00203812">
        <w:rPr>
          <w:rFonts w:ascii="Times New Roman" w:hAnsi="Times New Roman"/>
          <w:sz w:val="24"/>
          <w:szCs w:val="24"/>
        </w:rPr>
        <w:t>Rostislava Vyzulu, CSc.</w:t>
      </w:r>
      <w:r w:rsidRPr="00666838">
        <w:rPr>
          <w:rFonts w:ascii="Times New Roman" w:hAnsi="Times New Roman"/>
          <w:sz w:val="24"/>
          <w:szCs w:val="24"/>
        </w:rPr>
        <w:t>, aby ve spolupráci s navrhovatelem a legislativním odborem Kanceláře Poslanecké sněmovny P</w:t>
      </w:r>
      <w:r w:rsidR="00C541C0">
        <w:rPr>
          <w:rFonts w:ascii="Times New Roman" w:hAnsi="Times New Roman"/>
          <w:sz w:val="24"/>
          <w:szCs w:val="24"/>
        </w:rPr>
        <w:t xml:space="preserve">arlamentu </w:t>
      </w:r>
      <w:r w:rsidR="00203812">
        <w:rPr>
          <w:rFonts w:ascii="Times New Roman" w:hAnsi="Times New Roman"/>
          <w:sz w:val="24"/>
          <w:szCs w:val="24"/>
        </w:rPr>
        <w:t>ČR popřípadě navrhl</w:t>
      </w:r>
      <w:r w:rsidR="00AD6982">
        <w:rPr>
          <w:rFonts w:ascii="Times New Roman" w:hAnsi="Times New Roman"/>
          <w:sz w:val="24"/>
          <w:szCs w:val="24"/>
        </w:rPr>
        <w:t xml:space="preserve"> </w:t>
      </w:r>
      <w:r w:rsidRPr="00666838">
        <w:rPr>
          <w:rFonts w:ascii="Times New Roman" w:hAnsi="Times New Roman"/>
          <w:sz w:val="24"/>
          <w:szCs w:val="24"/>
        </w:rPr>
        <w:t xml:space="preserve">i další nezbytné úpravy podle § 95 odst. 2 zákona o jednacím řádu Poslanecké sněmovny; </w:t>
      </w:r>
    </w:p>
    <w:p w:rsidR="00C541C0" w:rsidRDefault="00C541C0" w:rsidP="00C541C0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594F4B" w:rsidRDefault="00594F4B" w:rsidP="00C541C0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C541C0" w:rsidRDefault="00C541C0" w:rsidP="00AD6982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541C0">
        <w:rPr>
          <w:rFonts w:ascii="Times New Roman" w:hAnsi="Times New Roman"/>
          <w:b/>
        </w:rPr>
        <w:t>p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o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v</w:t>
      </w:r>
      <w:r>
        <w:rPr>
          <w:rFonts w:ascii="Times New Roman" w:hAnsi="Times New Roman"/>
          <w:b/>
        </w:rPr>
        <w:t> </w:t>
      </w:r>
      <w:r w:rsidRPr="00C541C0">
        <w:rPr>
          <w:rFonts w:ascii="Times New Roman" w:hAnsi="Times New Roman"/>
          <w:b/>
        </w:rPr>
        <w:t>ě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ř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u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j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e</w:t>
      </w:r>
      <w:r w:rsidR="000538F0">
        <w:rPr>
          <w:rFonts w:ascii="Times New Roman" w:hAnsi="Times New Roman"/>
          <w:b/>
        </w:rPr>
        <w:t> </w:t>
      </w:r>
      <w:r w:rsidR="00203812">
        <w:rPr>
          <w:rFonts w:ascii="Times New Roman" w:hAnsi="Times New Roman"/>
          <w:sz w:val="24"/>
          <w:szCs w:val="24"/>
        </w:rPr>
        <w:t>zpravodaje výboru poslance</w:t>
      </w:r>
      <w:r>
        <w:rPr>
          <w:rFonts w:ascii="Times New Roman" w:hAnsi="Times New Roman"/>
          <w:sz w:val="24"/>
          <w:szCs w:val="24"/>
        </w:rPr>
        <w:t xml:space="preserve"> </w:t>
      </w:r>
      <w:r w:rsidR="00AD6982">
        <w:rPr>
          <w:rFonts w:ascii="Times New Roman" w:hAnsi="Times New Roman"/>
          <w:sz w:val="24"/>
          <w:szCs w:val="24"/>
        </w:rPr>
        <w:t xml:space="preserve">prof. </w:t>
      </w:r>
      <w:r>
        <w:rPr>
          <w:rFonts w:ascii="Times New Roman" w:hAnsi="Times New Roman"/>
          <w:sz w:val="24"/>
          <w:szCs w:val="24"/>
        </w:rPr>
        <w:t xml:space="preserve">MUDr. </w:t>
      </w:r>
      <w:r w:rsidR="00203812">
        <w:rPr>
          <w:rFonts w:ascii="Times New Roman" w:hAnsi="Times New Roman"/>
          <w:sz w:val="24"/>
          <w:szCs w:val="24"/>
        </w:rPr>
        <w:t>Rostislava Vyzulu</w:t>
      </w:r>
      <w:r w:rsidR="00AD6982">
        <w:rPr>
          <w:rFonts w:ascii="Times New Roman" w:hAnsi="Times New Roman"/>
          <w:sz w:val="24"/>
          <w:szCs w:val="24"/>
        </w:rPr>
        <w:t>, CSc.</w:t>
      </w:r>
      <w:r>
        <w:rPr>
          <w:rFonts w:ascii="Times New Roman" w:hAnsi="Times New Roman"/>
          <w:sz w:val="24"/>
          <w:szCs w:val="24"/>
        </w:rPr>
        <w:t>, aby na schůzi Poslanecké sněmovny Parlamentu ČR ve třet</w:t>
      </w:r>
      <w:r w:rsidR="00203812">
        <w:rPr>
          <w:rFonts w:ascii="Times New Roman" w:hAnsi="Times New Roman"/>
          <w:sz w:val="24"/>
          <w:szCs w:val="24"/>
        </w:rPr>
        <w:t>ím čtení návrhu zákona přednášel</w:t>
      </w:r>
      <w:r>
        <w:rPr>
          <w:rFonts w:ascii="Times New Roman" w:hAnsi="Times New Roman"/>
          <w:sz w:val="24"/>
          <w:szCs w:val="24"/>
        </w:rPr>
        <w:t xml:space="preserve"> stanoviska výboru;</w:t>
      </w:r>
    </w:p>
    <w:p w:rsidR="00C541C0" w:rsidRDefault="00C541C0" w:rsidP="00C541C0">
      <w:pPr>
        <w:pStyle w:val="Odstavecseseznamem"/>
        <w:rPr>
          <w:szCs w:val="24"/>
        </w:rPr>
      </w:pPr>
    </w:p>
    <w:p w:rsidR="00C541C0" w:rsidRPr="00666838" w:rsidRDefault="00C541C0" w:rsidP="00AD6982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541C0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 </w:t>
      </w:r>
      <w:r w:rsidRPr="00C541C0">
        <w:rPr>
          <w:rFonts w:ascii="Times New Roman" w:hAnsi="Times New Roman"/>
          <w:b/>
          <w:sz w:val="24"/>
          <w:szCs w:val="24"/>
        </w:rPr>
        <w:t>ě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ř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u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j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e</w:t>
      </w:r>
      <w:r w:rsidR="000538F0">
        <w:rPr>
          <w:rFonts w:ascii="Times New Roman" w:hAnsi="Times New Roman"/>
          <w:b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předsedkyni výboru prof. MUDr. Věru Adámkovou, CSc., aby předložila toto usnesení předsedovi Poslanecké sněmovny Parlamentu ČR</w:t>
      </w:r>
      <w:r w:rsidR="00D10EF6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A23686" w:rsidRPr="00666838" w:rsidRDefault="00A23686" w:rsidP="00A23686">
      <w:pPr>
        <w:spacing w:after="100" w:afterAutospacing="1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AD6982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r w:rsidR="007452DD">
        <w:rPr>
          <w:rFonts w:ascii="Times New Roman" w:hAnsi="Times New Roman"/>
          <w:b w:val="0"/>
          <w:sz w:val="24"/>
          <w:szCs w:val="24"/>
        </w:rPr>
        <w:t xml:space="preserve"> Petr Pávek</w:t>
      </w:r>
      <w:r w:rsidR="009168B2">
        <w:rPr>
          <w:rFonts w:ascii="Times New Roman" w:hAnsi="Times New Roman"/>
          <w:b w:val="0"/>
          <w:sz w:val="24"/>
          <w:szCs w:val="24"/>
        </w:rPr>
        <w:t xml:space="preserve">, v. r.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 w:rsidR="007452DD">
        <w:rPr>
          <w:rFonts w:ascii="Times New Roman" w:hAnsi="Times New Roman"/>
          <w:b w:val="0"/>
          <w:sz w:val="24"/>
          <w:szCs w:val="24"/>
        </w:rPr>
        <w:tab/>
      </w:r>
      <w:r w:rsidR="007452DD">
        <w:rPr>
          <w:rFonts w:ascii="Times New Roman" w:hAnsi="Times New Roman"/>
          <w:b w:val="0"/>
          <w:sz w:val="24"/>
          <w:szCs w:val="24"/>
        </w:rPr>
        <w:tab/>
      </w:r>
      <w:r w:rsidR="007452DD">
        <w:rPr>
          <w:rFonts w:ascii="Times New Roman" w:hAnsi="Times New Roman"/>
          <w:b w:val="0"/>
          <w:sz w:val="24"/>
          <w:szCs w:val="24"/>
        </w:rPr>
        <w:tab/>
        <w:t xml:space="preserve">  </w:t>
      </w:r>
      <w:r w:rsidR="00A23686">
        <w:rPr>
          <w:rFonts w:ascii="Times New Roman" w:hAnsi="Times New Roman"/>
          <w:b w:val="0"/>
          <w:sz w:val="24"/>
          <w:szCs w:val="24"/>
        </w:rPr>
        <w:t>Věra Adámková</w:t>
      </w:r>
      <w:r w:rsidR="009168B2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A2368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Default="00A23686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182740">
        <w:rPr>
          <w:rFonts w:ascii="Times New Roman" w:hAnsi="Times New Roman"/>
          <w:b w:val="0"/>
          <w:sz w:val="24"/>
          <w:szCs w:val="24"/>
        </w:rPr>
        <w:t xml:space="preserve">   </w:t>
      </w:r>
      <w:r w:rsidR="00AD6982">
        <w:rPr>
          <w:rFonts w:ascii="Times New Roman" w:hAnsi="Times New Roman"/>
          <w:b w:val="0"/>
          <w:sz w:val="24"/>
          <w:szCs w:val="24"/>
        </w:rPr>
        <w:t>o</w:t>
      </w:r>
      <w:r>
        <w:rPr>
          <w:rFonts w:ascii="Times New Roman" w:hAnsi="Times New Roman"/>
          <w:b w:val="0"/>
          <w:sz w:val="24"/>
          <w:szCs w:val="24"/>
        </w:rPr>
        <w:t xml:space="preserve">věřovatel výboru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předsedkyně výboru</w:t>
      </w:r>
    </w:p>
    <w:p w:rsidR="00A23686" w:rsidRPr="00666838" w:rsidRDefault="00A23686" w:rsidP="00A23686">
      <w:pPr>
        <w:rPr>
          <w:rFonts w:ascii="Times New Roman" w:hAnsi="Times New Roman"/>
          <w:sz w:val="24"/>
        </w:rPr>
      </w:pPr>
    </w:p>
    <w:p w:rsidR="00A23686" w:rsidRPr="00666838" w:rsidRDefault="00A2368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  <w:t xml:space="preserve">              </w:t>
      </w:r>
      <w:r w:rsidR="00203812">
        <w:rPr>
          <w:rFonts w:ascii="Times New Roman" w:hAnsi="Times New Roman"/>
          <w:b w:val="0"/>
          <w:sz w:val="24"/>
        </w:rPr>
        <w:t xml:space="preserve">                               </w:t>
      </w:r>
      <w:r w:rsidR="009168B2">
        <w:rPr>
          <w:rFonts w:ascii="Times New Roman" w:hAnsi="Times New Roman"/>
          <w:b w:val="0"/>
          <w:sz w:val="24"/>
        </w:rPr>
        <w:t xml:space="preserve"> </w:t>
      </w:r>
      <w:r w:rsidR="007452DD">
        <w:rPr>
          <w:rFonts w:ascii="Times New Roman" w:hAnsi="Times New Roman"/>
          <w:b w:val="0"/>
          <w:sz w:val="24"/>
        </w:rPr>
        <w:t xml:space="preserve"> </w:t>
      </w:r>
      <w:r w:rsidR="00203812">
        <w:rPr>
          <w:rFonts w:ascii="Times New Roman" w:hAnsi="Times New Roman"/>
          <w:b w:val="0"/>
          <w:sz w:val="24"/>
        </w:rPr>
        <w:t>Rostislav Vyzula</w:t>
      </w:r>
      <w:r w:rsidR="009168B2">
        <w:rPr>
          <w:rFonts w:ascii="Times New Roman" w:hAnsi="Times New Roman"/>
          <w:b w:val="0"/>
          <w:sz w:val="24"/>
        </w:rPr>
        <w:t xml:space="preserve">, v. r. </w:t>
      </w:r>
      <w:r w:rsidRPr="00666838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Pr="00A23686" w:rsidRDefault="00A23686" w:rsidP="00CA5C89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431CA1">
        <w:rPr>
          <w:rFonts w:ascii="Times New Roman" w:hAnsi="Times New Roman"/>
          <w:sz w:val="24"/>
          <w:szCs w:val="24"/>
        </w:rPr>
        <w:t xml:space="preserve">  </w:t>
      </w:r>
      <w:r w:rsidR="009168B2">
        <w:rPr>
          <w:rFonts w:ascii="Times New Roman" w:hAnsi="Times New Roman"/>
          <w:sz w:val="24"/>
          <w:szCs w:val="24"/>
        </w:rPr>
        <w:t xml:space="preserve"> </w:t>
      </w:r>
      <w:r w:rsidRPr="00666838">
        <w:rPr>
          <w:rFonts w:ascii="Times New Roman" w:hAnsi="Times New Roman"/>
          <w:sz w:val="24"/>
          <w:szCs w:val="24"/>
        </w:rPr>
        <w:t>zpravodaj výboru</w:t>
      </w:r>
      <w:r>
        <w:rPr>
          <w:rFonts w:ascii="Times New Roman" w:hAnsi="Times New Roman"/>
          <w:sz w:val="24"/>
        </w:rPr>
        <w:tab/>
      </w:r>
    </w:p>
    <w:sectPr w:rsidR="00A23686" w:rsidRPr="00A23686" w:rsidSect="00A236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0EF6">
          <w:rPr>
            <w:noProof/>
          </w:rPr>
          <w:t>3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5972"/>
    <w:multiLevelType w:val="hybridMultilevel"/>
    <w:tmpl w:val="17707D00"/>
    <w:lvl w:ilvl="0" w:tplc="F2622A1C">
      <w:start w:val="1"/>
      <w:numFmt w:val="decimal"/>
      <w:lvlText w:val="%1)"/>
      <w:lvlJc w:val="left"/>
      <w:pPr>
        <w:ind w:left="136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E26C34"/>
    <w:multiLevelType w:val="hybridMultilevel"/>
    <w:tmpl w:val="04DCB34A"/>
    <w:lvl w:ilvl="0" w:tplc="A58A14CC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315A9"/>
    <w:rsid w:val="00047F80"/>
    <w:rsid w:val="000538F0"/>
    <w:rsid w:val="00124859"/>
    <w:rsid w:val="0018027E"/>
    <w:rsid w:val="00182740"/>
    <w:rsid w:val="00203812"/>
    <w:rsid w:val="00243C45"/>
    <w:rsid w:val="00255ED2"/>
    <w:rsid w:val="002D3A32"/>
    <w:rsid w:val="00431CA1"/>
    <w:rsid w:val="00476093"/>
    <w:rsid w:val="00492F63"/>
    <w:rsid w:val="004A22B1"/>
    <w:rsid w:val="00514A84"/>
    <w:rsid w:val="00556689"/>
    <w:rsid w:val="00594F4B"/>
    <w:rsid w:val="006F32B6"/>
    <w:rsid w:val="007452DD"/>
    <w:rsid w:val="009168B2"/>
    <w:rsid w:val="009267F2"/>
    <w:rsid w:val="00945B7A"/>
    <w:rsid w:val="009D3CE9"/>
    <w:rsid w:val="00A23686"/>
    <w:rsid w:val="00A2597B"/>
    <w:rsid w:val="00AD6982"/>
    <w:rsid w:val="00B03A9F"/>
    <w:rsid w:val="00B8548A"/>
    <w:rsid w:val="00C541C0"/>
    <w:rsid w:val="00CA5C89"/>
    <w:rsid w:val="00D10EF6"/>
    <w:rsid w:val="00DE62E0"/>
    <w:rsid w:val="00E25A6C"/>
    <w:rsid w:val="00EB053C"/>
    <w:rsid w:val="00EC3885"/>
    <w:rsid w:val="00EF48A7"/>
    <w:rsid w:val="00F5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044A3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67100-F5AE-47F4-A319-29666620D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561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KohoutovaR</cp:lastModifiedBy>
  <cp:revision>50</cp:revision>
  <cp:lastPrinted>2021-05-18T09:22:00Z</cp:lastPrinted>
  <dcterms:created xsi:type="dcterms:W3CDTF">2018-09-20T06:57:00Z</dcterms:created>
  <dcterms:modified xsi:type="dcterms:W3CDTF">2021-05-18T13:52:00Z</dcterms:modified>
</cp:coreProperties>
</file>