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6DCA7" w14:textId="77777777" w:rsidR="00903958" w:rsidRPr="00FD6BE1" w:rsidRDefault="00903958" w:rsidP="00777646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1E8BB13C" w14:textId="77777777" w:rsidR="00777646" w:rsidRPr="00FD6BE1" w:rsidRDefault="00777646" w:rsidP="00777646">
      <w:pPr>
        <w:jc w:val="right"/>
        <w:rPr>
          <w:rFonts w:ascii="Arial" w:hAnsi="Arial" w:cs="Arial"/>
          <w:b/>
          <w:sz w:val="22"/>
          <w:szCs w:val="22"/>
        </w:rPr>
      </w:pPr>
    </w:p>
    <w:p w14:paraId="701B17F8" w14:textId="77777777" w:rsidR="00B50D72" w:rsidRPr="00FD6BE1" w:rsidRDefault="00B50D72" w:rsidP="001B7F95">
      <w:pPr>
        <w:pStyle w:val="Zkladntext"/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FD6BE1">
        <w:rPr>
          <w:rFonts w:ascii="Arial" w:hAnsi="Arial" w:cs="Arial"/>
          <w:sz w:val="22"/>
          <w:szCs w:val="22"/>
        </w:rPr>
        <w:t>Zpráva o plnění programů prevence před povodněmi k</w:t>
      </w:r>
      <w:r w:rsidR="00521629" w:rsidRPr="00FD6BE1">
        <w:rPr>
          <w:rFonts w:ascii="Arial" w:hAnsi="Arial" w:cs="Arial"/>
          <w:sz w:val="22"/>
          <w:szCs w:val="22"/>
        </w:rPr>
        <w:t xml:space="preserve">e dni </w:t>
      </w:r>
      <w:r w:rsidRPr="00FD6BE1">
        <w:rPr>
          <w:rFonts w:ascii="Arial" w:hAnsi="Arial" w:cs="Arial"/>
          <w:sz w:val="22"/>
          <w:szCs w:val="22"/>
        </w:rPr>
        <w:t>31.</w:t>
      </w:r>
      <w:r w:rsidR="00A51759" w:rsidRPr="00FD6BE1">
        <w:rPr>
          <w:rFonts w:ascii="Arial" w:hAnsi="Arial" w:cs="Arial"/>
          <w:sz w:val="22"/>
          <w:szCs w:val="22"/>
        </w:rPr>
        <w:t xml:space="preserve"> </w:t>
      </w:r>
      <w:r w:rsidR="00E34E2A" w:rsidRPr="00FD6BE1">
        <w:rPr>
          <w:rFonts w:ascii="Arial" w:hAnsi="Arial" w:cs="Arial"/>
          <w:sz w:val="22"/>
          <w:szCs w:val="22"/>
        </w:rPr>
        <w:t>prosince</w:t>
      </w:r>
      <w:r w:rsidR="00A51759" w:rsidRPr="00FD6BE1">
        <w:rPr>
          <w:rFonts w:ascii="Arial" w:hAnsi="Arial" w:cs="Arial"/>
          <w:sz w:val="22"/>
          <w:szCs w:val="22"/>
        </w:rPr>
        <w:t xml:space="preserve"> </w:t>
      </w:r>
      <w:r w:rsidR="00A0110C" w:rsidRPr="00FD6BE1">
        <w:rPr>
          <w:rFonts w:ascii="Arial" w:hAnsi="Arial" w:cs="Arial"/>
          <w:sz w:val="22"/>
          <w:szCs w:val="22"/>
        </w:rPr>
        <w:t>20</w:t>
      </w:r>
      <w:r w:rsidR="005731A7">
        <w:rPr>
          <w:rFonts w:ascii="Arial" w:hAnsi="Arial" w:cs="Arial"/>
          <w:sz w:val="22"/>
          <w:szCs w:val="22"/>
        </w:rPr>
        <w:t>20</w:t>
      </w:r>
    </w:p>
    <w:p w14:paraId="5A7388BE" w14:textId="77777777" w:rsidR="00B50D72" w:rsidRPr="00FD6BE1" w:rsidRDefault="00B44AA7" w:rsidP="001B7F95">
      <w:pPr>
        <w:tabs>
          <w:tab w:val="left" w:pos="900"/>
        </w:tabs>
        <w:spacing w:before="360" w:after="36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FD6BE1">
        <w:rPr>
          <w:rFonts w:ascii="Arial" w:hAnsi="Arial" w:cs="Arial"/>
          <w:b/>
          <w:sz w:val="22"/>
          <w:szCs w:val="22"/>
        </w:rPr>
        <w:t xml:space="preserve">A. </w:t>
      </w:r>
      <w:r w:rsidR="00064EC3" w:rsidRPr="00FD6BE1">
        <w:rPr>
          <w:rFonts w:ascii="Arial" w:hAnsi="Arial" w:cs="Arial"/>
          <w:b/>
          <w:sz w:val="22"/>
          <w:szCs w:val="22"/>
        </w:rPr>
        <w:tab/>
      </w:r>
      <w:r w:rsidR="00B50D72" w:rsidRPr="00FD6BE1">
        <w:rPr>
          <w:rFonts w:ascii="Arial" w:hAnsi="Arial" w:cs="Arial"/>
          <w:b/>
          <w:sz w:val="22"/>
          <w:szCs w:val="22"/>
        </w:rPr>
        <w:t>Úvod</w:t>
      </w:r>
    </w:p>
    <w:p w14:paraId="1D51C069" w14:textId="2A1E1F03" w:rsidR="00963D13" w:rsidRDefault="00B50D72" w:rsidP="002C33F6">
      <w:pPr>
        <w:jc w:val="both"/>
        <w:rPr>
          <w:rFonts w:ascii="Arial" w:hAnsi="Arial" w:cs="Arial"/>
          <w:sz w:val="22"/>
          <w:szCs w:val="22"/>
        </w:rPr>
      </w:pPr>
      <w:r w:rsidRPr="00FD6BE1">
        <w:rPr>
          <w:rFonts w:ascii="Arial" w:hAnsi="Arial" w:cs="Arial"/>
          <w:sz w:val="22"/>
          <w:szCs w:val="22"/>
        </w:rPr>
        <w:t>„Strategie ochrany před povodněmi pro území České republiky“</w:t>
      </w:r>
      <w:r w:rsidR="00963D13">
        <w:rPr>
          <w:rFonts w:ascii="Arial" w:hAnsi="Arial" w:cs="Arial"/>
          <w:sz w:val="22"/>
          <w:szCs w:val="22"/>
        </w:rPr>
        <w:t xml:space="preserve"> </w:t>
      </w:r>
      <w:r w:rsidR="00963D13" w:rsidRPr="00FD6BE1">
        <w:rPr>
          <w:rFonts w:ascii="Arial" w:hAnsi="Arial" w:cs="Arial"/>
          <w:sz w:val="22"/>
          <w:szCs w:val="22"/>
        </w:rPr>
        <w:t>byla schválena</w:t>
      </w:r>
      <w:r w:rsidR="00963D13">
        <w:rPr>
          <w:rFonts w:ascii="Arial" w:hAnsi="Arial" w:cs="Arial"/>
          <w:sz w:val="22"/>
          <w:szCs w:val="22"/>
        </w:rPr>
        <w:t xml:space="preserve"> u</w:t>
      </w:r>
      <w:r w:rsidR="00963D13" w:rsidRPr="00FD6BE1">
        <w:rPr>
          <w:rFonts w:ascii="Arial" w:hAnsi="Arial" w:cs="Arial"/>
          <w:sz w:val="22"/>
          <w:szCs w:val="22"/>
        </w:rPr>
        <w:t>snesením vlády č. 382 ze dne 19. dubna 2000</w:t>
      </w:r>
      <w:r w:rsidR="00963D13">
        <w:rPr>
          <w:rFonts w:ascii="Arial" w:hAnsi="Arial" w:cs="Arial"/>
          <w:sz w:val="22"/>
          <w:szCs w:val="22"/>
        </w:rPr>
        <w:t xml:space="preserve">. Jedná se o dokument, </w:t>
      </w:r>
      <w:r w:rsidRPr="00FD6BE1">
        <w:rPr>
          <w:rFonts w:ascii="Arial" w:hAnsi="Arial" w:cs="Arial"/>
          <w:sz w:val="22"/>
          <w:szCs w:val="22"/>
        </w:rPr>
        <w:t>kter</w:t>
      </w:r>
      <w:r w:rsidR="00963D13">
        <w:rPr>
          <w:rFonts w:ascii="Arial" w:hAnsi="Arial" w:cs="Arial"/>
          <w:sz w:val="22"/>
          <w:szCs w:val="22"/>
        </w:rPr>
        <w:t>ý</w:t>
      </w:r>
      <w:r w:rsidRPr="00FD6BE1">
        <w:rPr>
          <w:rFonts w:ascii="Arial" w:hAnsi="Arial" w:cs="Arial"/>
          <w:sz w:val="22"/>
          <w:szCs w:val="22"/>
        </w:rPr>
        <w:t xml:space="preserve"> vymez</w:t>
      </w:r>
      <w:r w:rsidR="00963D13">
        <w:rPr>
          <w:rFonts w:ascii="Arial" w:hAnsi="Arial" w:cs="Arial"/>
          <w:sz w:val="22"/>
          <w:szCs w:val="22"/>
        </w:rPr>
        <w:t>uje</w:t>
      </w:r>
      <w:r w:rsidRPr="00FD6BE1">
        <w:rPr>
          <w:rFonts w:ascii="Arial" w:hAnsi="Arial" w:cs="Arial"/>
          <w:sz w:val="22"/>
          <w:szCs w:val="22"/>
        </w:rPr>
        <w:t xml:space="preserve"> obecné zásady ochrany před povodněmi pro území našeho státu. </w:t>
      </w:r>
      <w:r w:rsidR="008066B4">
        <w:rPr>
          <w:rFonts w:ascii="Arial" w:hAnsi="Arial" w:cs="Arial"/>
          <w:sz w:val="22"/>
          <w:szCs w:val="22"/>
        </w:rPr>
        <w:t>V rámci této strategie byly vymezeny hlavní oblasti – předpovědní a hlásná služba, o</w:t>
      </w:r>
      <w:r w:rsidR="008066B4" w:rsidRPr="008066B4">
        <w:rPr>
          <w:rFonts w:ascii="Arial" w:hAnsi="Arial" w:cs="Arial"/>
          <w:sz w:val="22"/>
          <w:szCs w:val="22"/>
        </w:rPr>
        <w:t>vlivňování průběhu a rozsahu povodní</w:t>
      </w:r>
      <w:r w:rsidR="008066B4">
        <w:rPr>
          <w:rFonts w:ascii="Arial" w:hAnsi="Arial" w:cs="Arial"/>
          <w:sz w:val="22"/>
          <w:szCs w:val="22"/>
        </w:rPr>
        <w:t xml:space="preserve"> (opatření v krajině, technická opatření), o</w:t>
      </w:r>
      <w:r w:rsidR="008066B4" w:rsidRPr="008066B4">
        <w:rPr>
          <w:rFonts w:ascii="Arial" w:hAnsi="Arial" w:cs="Arial"/>
          <w:sz w:val="22"/>
          <w:szCs w:val="22"/>
        </w:rPr>
        <w:t>mezení ohrožení obyvatel a potenciálních škod</w:t>
      </w:r>
      <w:r w:rsidR="008066B4">
        <w:rPr>
          <w:rFonts w:ascii="Arial" w:hAnsi="Arial" w:cs="Arial"/>
          <w:sz w:val="22"/>
          <w:szCs w:val="22"/>
        </w:rPr>
        <w:t xml:space="preserve"> (stanovení záplavových území, regulace využívání záplavových území) a ochrana majetku.</w:t>
      </w:r>
      <w:r w:rsidR="00807D94">
        <w:rPr>
          <w:rFonts w:ascii="Arial" w:hAnsi="Arial" w:cs="Arial"/>
          <w:sz w:val="22"/>
          <w:szCs w:val="22"/>
        </w:rPr>
        <w:t xml:space="preserve"> </w:t>
      </w:r>
      <w:r w:rsidRPr="00FD6BE1">
        <w:rPr>
          <w:rFonts w:ascii="Arial" w:hAnsi="Arial" w:cs="Arial"/>
          <w:sz w:val="22"/>
          <w:szCs w:val="22"/>
        </w:rPr>
        <w:t xml:space="preserve">Plnění strategie je zajišťováno </w:t>
      </w:r>
      <w:r w:rsidR="008066B4">
        <w:rPr>
          <w:rFonts w:ascii="Arial" w:hAnsi="Arial" w:cs="Arial"/>
          <w:sz w:val="22"/>
          <w:szCs w:val="22"/>
        </w:rPr>
        <w:t>mimo jiné</w:t>
      </w:r>
      <w:r w:rsidR="008066B4" w:rsidRPr="00FD6BE1">
        <w:rPr>
          <w:rFonts w:ascii="Arial" w:hAnsi="Arial" w:cs="Arial"/>
          <w:sz w:val="22"/>
          <w:szCs w:val="22"/>
        </w:rPr>
        <w:t xml:space="preserve"> </w:t>
      </w:r>
      <w:r w:rsidR="008066B4">
        <w:rPr>
          <w:rFonts w:ascii="Arial" w:hAnsi="Arial" w:cs="Arial"/>
          <w:sz w:val="22"/>
          <w:szCs w:val="22"/>
        </w:rPr>
        <w:t xml:space="preserve">i </w:t>
      </w:r>
      <w:r w:rsidRPr="00FD6BE1">
        <w:rPr>
          <w:rFonts w:ascii="Arial" w:hAnsi="Arial" w:cs="Arial"/>
          <w:sz w:val="22"/>
          <w:szCs w:val="22"/>
        </w:rPr>
        <w:t>realizací souboru programů prevence před povodněmi v rámci programového financování. Základní soubor těchto programů v gesci jednotlivých resortů byl formulován v materiálu „Záměry tvorby programů prevence před povodněmi“, který vláda vzala na vědomí svým usnesením č.</w:t>
      </w:r>
      <w:r w:rsidR="00BD44F2" w:rsidRPr="00FD6BE1">
        <w:rPr>
          <w:rFonts w:ascii="Arial" w:hAnsi="Arial" w:cs="Arial"/>
          <w:sz w:val="22"/>
          <w:szCs w:val="22"/>
        </w:rPr>
        <w:t> </w:t>
      </w:r>
      <w:r w:rsidRPr="00FD6BE1">
        <w:rPr>
          <w:rFonts w:ascii="Arial" w:hAnsi="Arial" w:cs="Arial"/>
          <w:sz w:val="22"/>
          <w:szCs w:val="22"/>
        </w:rPr>
        <w:t xml:space="preserve">897 ze dne </w:t>
      </w:r>
      <w:smartTag w:uri="urn:schemas-microsoft-com:office:smarttags" w:element="date">
        <w:smartTagPr>
          <w:attr w:name="Year" w:val="2000"/>
          <w:attr w:name="Day" w:val="13"/>
          <w:attr w:name="Month" w:val="9"/>
          <w:attr w:name="ls" w:val="trans"/>
        </w:smartTagPr>
        <w:r w:rsidRPr="00FD6BE1">
          <w:rPr>
            <w:rFonts w:ascii="Arial" w:hAnsi="Arial" w:cs="Arial"/>
            <w:sz w:val="22"/>
            <w:szCs w:val="22"/>
          </w:rPr>
          <w:t>13. září 2000</w:t>
        </w:r>
      </w:smartTag>
      <w:r w:rsidRPr="00FD6BE1">
        <w:rPr>
          <w:rFonts w:ascii="Arial" w:hAnsi="Arial" w:cs="Arial"/>
          <w:sz w:val="22"/>
          <w:szCs w:val="22"/>
        </w:rPr>
        <w:t xml:space="preserve">. </w:t>
      </w:r>
      <w:r w:rsidR="00807D94">
        <w:rPr>
          <w:rFonts w:ascii="Arial" w:hAnsi="Arial" w:cs="Arial"/>
          <w:sz w:val="22"/>
          <w:szCs w:val="22"/>
        </w:rPr>
        <w:t xml:space="preserve">Přehledem o realizaci a plnění programů prevence před povodněmi se zabývá tato zpráva, která se předkládá každé tři roky vládě a Poslanecké sněmovně PČR. </w:t>
      </w:r>
    </w:p>
    <w:p w14:paraId="644F3863" w14:textId="77777777" w:rsidR="002C33F6" w:rsidRDefault="002C33F6" w:rsidP="002C33F6">
      <w:pPr>
        <w:jc w:val="both"/>
        <w:rPr>
          <w:rFonts w:ascii="Arial" w:hAnsi="Arial" w:cs="Arial"/>
          <w:sz w:val="22"/>
          <w:szCs w:val="22"/>
        </w:rPr>
      </w:pPr>
    </w:p>
    <w:p w14:paraId="4E33094D" w14:textId="77777777" w:rsidR="00B50D72" w:rsidRDefault="00B50D72" w:rsidP="002C33F6">
      <w:pPr>
        <w:jc w:val="both"/>
        <w:rPr>
          <w:rFonts w:ascii="Arial" w:hAnsi="Arial" w:cs="Arial"/>
          <w:sz w:val="22"/>
          <w:szCs w:val="22"/>
        </w:rPr>
      </w:pPr>
      <w:r w:rsidRPr="00FD6BE1">
        <w:rPr>
          <w:rFonts w:ascii="Arial" w:hAnsi="Arial" w:cs="Arial"/>
          <w:sz w:val="22"/>
          <w:szCs w:val="22"/>
        </w:rPr>
        <w:t>Věcná náplň a struktura jednotlivých programů prevence před povodněmi je v současné době svěřena do působnosti Ministerstva zemědělství</w:t>
      </w:r>
      <w:r w:rsidR="00FD4068">
        <w:rPr>
          <w:rFonts w:ascii="Arial" w:hAnsi="Arial" w:cs="Arial"/>
          <w:sz w:val="22"/>
          <w:szCs w:val="22"/>
        </w:rPr>
        <w:t xml:space="preserve"> </w:t>
      </w:r>
      <w:r w:rsidR="00811E3D">
        <w:rPr>
          <w:rFonts w:ascii="Arial" w:hAnsi="Arial" w:cs="Arial"/>
          <w:sz w:val="22"/>
          <w:szCs w:val="22"/>
        </w:rPr>
        <w:t xml:space="preserve">(dále jen </w:t>
      </w:r>
      <w:r w:rsidR="00963D13">
        <w:rPr>
          <w:rFonts w:ascii="Arial" w:hAnsi="Arial" w:cs="Arial"/>
          <w:sz w:val="22"/>
          <w:szCs w:val="22"/>
        </w:rPr>
        <w:t>„</w:t>
      </w:r>
      <w:proofErr w:type="spellStart"/>
      <w:r w:rsidR="00811E3D">
        <w:rPr>
          <w:rFonts w:ascii="Arial" w:hAnsi="Arial" w:cs="Arial"/>
          <w:sz w:val="22"/>
          <w:szCs w:val="22"/>
        </w:rPr>
        <w:t>MZe</w:t>
      </w:r>
      <w:proofErr w:type="spellEnd"/>
      <w:r w:rsidR="00963D13">
        <w:rPr>
          <w:rFonts w:ascii="Arial" w:hAnsi="Arial" w:cs="Arial"/>
          <w:sz w:val="22"/>
          <w:szCs w:val="22"/>
        </w:rPr>
        <w:t>“</w:t>
      </w:r>
      <w:r w:rsidR="00811E3D">
        <w:rPr>
          <w:rFonts w:ascii="Arial" w:hAnsi="Arial" w:cs="Arial"/>
          <w:sz w:val="22"/>
          <w:szCs w:val="22"/>
        </w:rPr>
        <w:t xml:space="preserve">) </w:t>
      </w:r>
      <w:r w:rsidR="00FD4068">
        <w:rPr>
          <w:rFonts w:ascii="Arial" w:hAnsi="Arial" w:cs="Arial"/>
          <w:sz w:val="22"/>
          <w:szCs w:val="22"/>
        </w:rPr>
        <w:t>a</w:t>
      </w:r>
      <w:r w:rsidR="00963D13">
        <w:rPr>
          <w:rFonts w:ascii="Arial" w:hAnsi="Arial" w:cs="Arial"/>
          <w:sz w:val="22"/>
          <w:szCs w:val="22"/>
        </w:rPr>
        <w:t> </w:t>
      </w:r>
      <w:r w:rsidRPr="00FD6BE1">
        <w:rPr>
          <w:rFonts w:ascii="Arial" w:hAnsi="Arial" w:cs="Arial"/>
          <w:sz w:val="22"/>
          <w:szCs w:val="22"/>
        </w:rPr>
        <w:t>Ministerstva životního prostředí</w:t>
      </w:r>
      <w:r w:rsidR="00811E3D">
        <w:rPr>
          <w:rFonts w:ascii="Arial" w:hAnsi="Arial" w:cs="Arial"/>
          <w:sz w:val="22"/>
          <w:szCs w:val="22"/>
        </w:rPr>
        <w:t xml:space="preserve"> (dále jen </w:t>
      </w:r>
      <w:r w:rsidR="00963D13">
        <w:rPr>
          <w:rFonts w:ascii="Arial" w:hAnsi="Arial" w:cs="Arial"/>
          <w:sz w:val="22"/>
          <w:szCs w:val="22"/>
        </w:rPr>
        <w:t>„</w:t>
      </w:r>
      <w:r w:rsidR="00811E3D">
        <w:rPr>
          <w:rFonts w:ascii="Arial" w:hAnsi="Arial" w:cs="Arial"/>
          <w:sz w:val="22"/>
          <w:szCs w:val="22"/>
        </w:rPr>
        <w:t>MŽP</w:t>
      </w:r>
      <w:r w:rsidR="00963D13">
        <w:rPr>
          <w:rFonts w:ascii="Arial" w:hAnsi="Arial" w:cs="Arial"/>
          <w:sz w:val="22"/>
          <w:szCs w:val="22"/>
        </w:rPr>
        <w:t>“</w:t>
      </w:r>
      <w:r w:rsidR="00811E3D">
        <w:rPr>
          <w:rFonts w:ascii="Arial" w:hAnsi="Arial" w:cs="Arial"/>
          <w:sz w:val="22"/>
          <w:szCs w:val="22"/>
        </w:rPr>
        <w:t>)</w:t>
      </w:r>
      <w:r w:rsidRPr="00FD6BE1">
        <w:rPr>
          <w:rFonts w:ascii="Arial" w:hAnsi="Arial" w:cs="Arial"/>
          <w:sz w:val="22"/>
          <w:szCs w:val="22"/>
        </w:rPr>
        <w:t>.</w:t>
      </w:r>
    </w:p>
    <w:p w14:paraId="16F8B8ED" w14:textId="77777777" w:rsidR="002C33F6" w:rsidRPr="00B0242D" w:rsidRDefault="002C33F6" w:rsidP="002C33F6">
      <w:pPr>
        <w:jc w:val="both"/>
        <w:rPr>
          <w:rFonts w:ascii="Arial" w:hAnsi="Arial" w:cs="Arial"/>
          <w:sz w:val="22"/>
          <w:szCs w:val="22"/>
        </w:rPr>
      </w:pPr>
    </w:p>
    <w:p w14:paraId="5EDB096D" w14:textId="77777777" w:rsidR="00B50D72" w:rsidRDefault="006F2AE6" w:rsidP="002C33F6">
      <w:pPr>
        <w:pStyle w:val="Zkladntextodsazen2"/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FD6BE1">
        <w:rPr>
          <w:rFonts w:ascii="Arial" w:hAnsi="Arial" w:cs="Arial"/>
          <w:sz w:val="22"/>
          <w:szCs w:val="22"/>
        </w:rPr>
        <w:t xml:space="preserve">Nyní </w:t>
      </w:r>
      <w:r w:rsidR="00B50D72" w:rsidRPr="00FD6BE1">
        <w:rPr>
          <w:rFonts w:ascii="Arial" w:hAnsi="Arial" w:cs="Arial"/>
          <w:sz w:val="22"/>
          <w:szCs w:val="22"/>
        </w:rPr>
        <w:t xml:space="preserve">je předkládána v pořadí již </w:t>
      </w:r>
      <w:r w:rsidR="005731A7">
        <w:rPr>
          <w:rFonts w:ascii="Arial" w:hAnsi="Arial" w:cs="Arial"/>
          <w:sz w:val="22"/>
          <w:szCs w:val="22"/>
          <w:lang w:val="cs-CZ"/>
        </w:rPr>
        <w:t>sedmá</w:t>
      </w:r>
      <w:r w:rsidR="005731A7" w:rsidRPr="00FD6BE1">
        <w:rPr>
          <w:rFonts w:ascii="Arial" w:hAnsi="Arial" w:cs="Arial"/>
          <w:sz w:val="22"/>
          <w:szCs w:val="22"/>
        </w:rPr>
        <w:t xml:space="preserve"> </w:t>
      </w:r>
      <w:r w:rsidR="00B50D72" w:rsidRPr="00FD6BE1">
        <w:rPr>
          <w:rFonts w:ascii="Arial" w:hAnsi="Arial" w:cs="Arial"/>
          <w:sz w:val="22"/>
          <w:szCs w:val="22"/>
        </w:rPr>
        <w:t xml:space="preserve">hodnotící </w:t>
      </w:r>
      <w:r w:rsidR="00146DC7">
        <w:rPr>
          <w:rFonts w:ascii="Arial" w:hAnsi="Arial" w:cs="Arial"/>
          <w:sz w:val="22"/>
          <w:szCs w:val="22"/>
          <w:lang w:val="cs-CZ"/>
        </w:rPr>
        <w:t>z</w:t>
      </w:r>
      <w:r w:rsidR="00B50D72" w:rsidRPr="00FD6BE1">
        <w:rPr>
          <w:rFonts w:ascii="Arial" w:hAnsi="Arial" w:cs="Arial"/>
          <w:sz w:val="22"/>
          <w:szCs w:val="22"/>
        </w:rPr>
        <w:t xml:space="preserve">práva o plnění programů prevence před povodněmi. </w:t>
      </w:r>
      <w:r w:rsidR="00A0110C" w:rsidRPr="00FD6BE1">
        <w:rPr>
          <w:rFonts w:ascii="Arial" w:hAnsi="Arial" w:cs="Arial"/>
          <w:sz w:val="22"/>
          <w:szCs w:val="22"/>
        </w:rPr>
        <w:t xml:space="preserve">Předchozí </w:t>
      </w:r>
      <w:r w:rsidR="00B50D72" w:rsidRPr="00FD6BE1">
        <w:rPr>
          <w:rFonts w:ascii="Arial" w:hAnsi="Arial" w:cs="Arial"/>
          <w:sz w:val="22"/>
          <w:szCs w:val="22"/>
        </w:rPr>
        <w:t>zprávy byly vládou vzaty na vědomí usnesením</w:t>
      </w:r>
      <w:r w:rsidR="00963D13">
        <w:rPr>
          <w:rFonts w:ascii="Arial" w:hAnsi="Arial" w:cs="Arial"/>
          <w:sz w:val="22"/>
          <w:szCs w:val="22"/>
          <w:lang w:val="cs-CZ"/>
        </w:rPr>
        <w:t>i</w:t>
      </w:r>
      <w:r w:rsidR="00B50D72" w:rsidRPr="00FD6BE1">
        <w:rPr>
          <w:rFonts w:ascii="Arial" w:hAnsi="Arial" w:cs="Arial"/>
          <w:sz w:val="22"/>
          <w:szCs w:val="22"/>
        </w:rPr>
        <w:t xml:space="preserve"> vlády č.</w:t>
      </w:r>
      <w:r w:rsidR="006A2121" w:rsidRPr="00FD6BE1">
        <w:rPr>
          <w:rFonts w:ascii="Arial" w:hAnsi="Arial" w:cs="Arial"/>
          <w:sz w:val="22"/>
          <w:szCs w:val="22"/>
        </w:rPr>
        <w:t> </w:t>
      </w:r>
      <w:r w:rsidR="00B50D72" w:rsidRPr="00FD6BE1">
        <w:rPr>
          <w:rFonts w:ascii="Arial" w:hAnsi="Arial" w:cs="Arial"/>
          <w:sz w:val="22"/>
          <w:szCs w:val="22"/>
        </w:rPr>
        <w:t>335 ze dne 7</w:t>
      </w:r>
      <w:r w:rsidR="00963D13" w:rsidRPr="00FD6BE1">
        <w:rPr>
          <w:rFonts w:ascii="Arial" w:hAnsi="Arial" w:cs="Arial"/>
          <w:sz w:val="22"/>
          <w:szCs w:val="22"/>
        </w:rPr>
        <w:t>.</w:t>
      </w:r>
      <w:r w:rsidR="00963D13">
        <w:rPr>
          <w:rFonts w:ascii="Arial" w:hAnsi="Arial" w:cs="Arial"/>
          <w:sz w:val="22"/>
          <w:szCs w:val="22"/>
          <w:lang w:val="cs-CZ"/>
        </w:rPr>
        <w:t> </w:t>
      </w:r>
      <w:r w:rsidR="00B50D72" w:rsidRPr="00FD6BE1">
        <w:rPr>
          <w:rFonts w:ascii="Arial" w:hAnsi="Arial" w:cs="Arial"/>
          <w:sz w:val="22"/>
          <w:szCs w:val="22"/>
        </w:rPr>
        <w:t>dubna 2003, č. 383 ze dne 12. dubna 2006</w:t>
      </w:r>
      <w:r w:rsidR="00067413" w:rsidRPr="00FD6BE1">
        <w:rPr>
          <w:rFonts w:ascii="Arial" w:hAnsi="Arial" w:cs="Arial"/>
          <w:sz w:val="22"/>
          <w:szCs w:val="22"/>
        </w:rPr>
        <w:t>, č. 452 ze dne 20</w:t>
      </w:r>
      <w:r w:rsidR="005A698E" w:rsidRPr="00FD6BE1">
        <w:rPr>
          <w:rFonts w:ascii="Arial" w:hAnsi="Arial" w:cs="Arial"/>
          <w:sz w:val="22"/>
          <w:szCs w:val="22"/>
        </w:rPr>
        <w:t>.</w:t>
      </w:r>
      <w:r w:rsidR="00067413" w:rsidRPr="00FD6BE1">
        <w:rPr>
          <w:rFonts w:ascii="Arial" w:hAnsi="Arial" w:cs="Arial"/>
          <w:sz w:val="22"/>
          <w:szCs w:val="22"/>
        </w:rPr>
        <w:t xml:space="preserve"> dubna 2009</w:t>
      </w:r>
      <w:r w:rsidR="005D58D1">
        <w:rPr>
          <w:rFonts w:ascii="Arial" w:hAnsi="Arial" w:cs="Arial"/>
          <w:sz w:val="22"/>
          <w:szCs w:val="22"/>
          <w:lang w:val="cs-CZ"/>
        </w:rPr>
        <w:t>,</w:t>
      </w:r>
      <w:r w:rsidR="00A0110C" w:rsidRPr="00FD6BE1">
        <w:rPr>
          <w:rFonts w:ascii="Arial" w:hAnsi="Arial" w:cs="Arial"/>
          <w:sz w:val="22"/>
          <w:szCs w:val="22"/>
        </w:rPr>
        <w:t xml:space="preserve"> č. 233 ze dne 4. dubna 2012</w:t>
      </w:r>
      <w:r w:rsidR="005731A7">
        <w:rPr>
          <w:rFonts w:ascii="Arial" w:hAnsi="Arial" w:cs="Arial"/>
          <w:sz w:val="22"/>
          <w:szCs w:val="22"/>
          <w:lang w:val="cs-CZ"/>
        </w:rPr>
        <w:t>,</w:t>
      </w:r>
      <w:r w:rsidR="005D58D1">
        <w:rPr>
          <w:rFonts w:ascii="Arial" w:hAnsi="Arial" w:cs="Arial"/>
          <w:sz w:val="22"/>
          <w:szCs w:val="22"/>
          <w:lang w:val="cs-CZ"/>
        </w:rPr>
        <w:t xml:space="preserve"> č</w:t>
      </w:r>
      <w:r w:rsidR="00FD4068">
        <w:rPr>
          <w:rFonts w:ascii="Arial" w:hAnsi="Arial" w:cs="Arial"/>
          <w:sz w:val="22"/>
          <w:szCs w:val="22"/>
          <w:lang w:val="cs-CZ"/>
        </w:rPr>
        <w:t>. </w:t>
      </w:r>
      <w:r w:rsidR="00453B53">
        <w:rPr>
          <w:rFonts w:ascii="Arial" w:hAnsi="Arial" w:cs="Arial"/>
          <w:sz w:val="22"/>
          <w:szCs w:val="22"/>
          <w:lang w:val="cs-CZ"/>
        </w:rPr>
        <w:t>267 ze dne 15. dubna 2015</w:t>
      </w:r>
      <w:r w:rsidR="005731A7">
        <w:rPr>
          <w:rFonts w:ascii="Arial" w:hAnsi="Arial" w:cs="Arial"/>
          <w:sz w:val="22"/>
          <w:szCs w:val="22"/>
          <w:lang w:val="cs-CZ"/>
        </w:rPr>
        <w:t xml:space="preserve"> a č. 266 ze dne 23. </w:t>
      </w:r>
      <w:r w:rsidR="00012FC8">
        <w:rPr>
          <w:rFonts w:ascii="Arial" w:hAnsi="Arial" w:cs="Arial"/>
          <w:sz w:val="22"/>
          <w:szCs w:val="22"/>
          <w:lang w:val="cs-CZ"/>
        </w:rPr>
        <w:t>d</w:t>
      </w:r>
      <w:r w:rsidR="005731A7">
        <w:rPr>
          <w:rFonts w:ascii="Arial" w:hAnsi="Arial" w:cs="Arial"/>
          <w:sz w:val="22"/>
          <w:szCs w:val="22"/>
          <w:lang w:val="cs-CZ"/>
        </w:rPr>
        <w:t>ubna 2018</w:t>
      </w:r>
      <w:r w:rsidR="00067413" w:rsidRPr="00FD6BE1">
        <w:rPr>
          <w:rFonts w:ascii="Arial" w:hAnsi="Arial" w:cs="Arial"/>
          <w:sz w:val="22"/>
          <w:szCs w:val="22"/>
        </w:rPr>
        <w:t>.</w:t>
      </w:r>
      <w:r w:rsidR="00B50D72" w:rsidRPr="00FD6BE1">
        <w:rPr>
          <w:rFonts w:ascii="Arial" w:hAnsi="Arial" w:cs="Arial"/>
          <w:sz w:val="22"/>
          <w:szCs w:val="22"/>
        </w:rPr>
        <w:t xml:space="preserve"> </w:t>
      </w:r>
    </w:p>
    <w:p w14:paraId="140596AF" w14:textId="77777777" w:rsidR="002C33F6" w:rsidRPr="00FD6BE1" w:rsidRDefault="002C33F6" w:rsidP="002C33F6">
      <w:pPr>
        <w:pStyle w:val="Zkladntextodsazen2"/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35726342" w14:textId="77777777" w:rsidR="00B50D72" w:rsidRDefault="00B50D72" w:rsidP="002C33F6">
      <w:pPr>
        <w:pStyle w:val="Zkladntextodsazen2"/>
        <w:spacing w:after="0" w:line="240" w:lineRule="auto"/>
        <w:ind w:left="0"/>
        <w:jc w:val="both"/>
        <w:rPr>
          <w:rFonts w:ascii="Arial" w:hAnsi="Arial" w:cs="Arial"/>
          <w:sz w:val="22"/>
          <w:szCs w:val="22"/>
          <w:lang w:val="cs-CZ"/>
        </w:rPr>
      </w:pPr>
      <w:r w:rsidRPr="00FD6BE1">
        <w:rPr>
          <w:rFonts w:ascii="Arial" w:hAnsi="Arial" w:cs="Arial"/>
          <w:sz w:val="22"/>
          <w:szCs w:val="22"/>
        </w:rPr>
        <w:t xml:space="preserve">Předkládaná zpráva přináší informace o realizaci programů prevence před povodněmi v době od </w:t>
      </w:r>
      <w:r w:rsidR="00A0110C" w:rsidRPr="00FD6BE1">
        <w:rPr>
          <w:rFonts w:ascii="Arial" w:hAnsi="Arial" w:cs="Arial"/>
          <w:sz w:val="22"/>
          <w:szCs w:val="22"/>
        </w:rPr>
        <w:t>1. 1. 20</w:t>
      </w:r>
      <w:r w:rsidR="005731A7">
        <w:rPr>
          <w:rFonts w:ascii="Arial" w:hAnsi="Arial" w:cs="Arial"/>
          <w:sz w:val="22"/>
          <w:szCs w:val="22"/>
          <w:lang w:val="cs-CZ"/>
        </w:rPr>
        <w:t>18</w:t>
      </w:r>
      <w:r w:rsidR="00A0110C" w:rsidRPr="00FD6BE1">
        <w:rPr>
          <w:rFonts w:ascii="Arial" w:hAnsi="Arial" w:cs="Arial"/>
          <w:sz w:val="22"/>
          <w:szCs w:val="22"/>
        </w:rPr>
        <w:t xml:space="preserve"> do 31. 12. 20</w:t>
      </w:r>
      <w:r w:rsidR="005731A7">
        <w:rPr>
          <w:rFonts w:ascii="Arial" w:hAnsi="Arial" w:cs="Arial"/>
          <w:sz w:val="22"/>
          <w:szCs w:val="22"/>
          <w:lang w:val="cs-CZ"/>
        </w:rPr>
        <w:t>20</w:t>
      </w:r>
      <w:r w:rsidR="00A0110C" w:rsidRPr="00FD6BE1">
        <w:rPr>
          <w:rFonts w:ascii="Arial" w:hAnsi="Arial" w:cs="Arial"/>
          <w:sz w:val="22"/>
          <w:szCs w:val="22"/>
        </w:rPr>
        <w:t>.</w:t>
      </w:r>
      <w:r w:rsidR="00FD4068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0056B0D9" w14:textId="77777777" w:rsidR="002C33F6" w:rsidRPr="00026011" w:rsidRDefault="002C33F6" w:rsidP="002C33F6">
      <w:pPr>
        <w:pStyle w:val="Zkladntextodsazen2"/>
        <w:spacing w:after="0" w:line="240" w:lineRule="auto"/>
        <w:ind w:left="0"/>
        <w:jc w:val="both"/>
        <w:rPr>
          <w:rFonts w:ascii="Arial" w:hAnsi="Arial" w:cs="Arial"/>
          <w:sz w:val="22"/>
          <w:szCs w:val="22"/>
          <w:highlight w:val="yellow"/>
          <w:lang w:val="cs-CZ"/>
        </w:rPr>
      </w:pPr>
    </w:p>
    <w:p w14:paraId="18CB2E74" w14:textId="08DF5586" w:rsidR="00EA6F98" w:rsidRPr="00AB3682" w:rsidRDefault="00B50D72" w:rsidP="002C33F6">
      <w:pPr>
        <w:jc w:val="both"/>
        <w:rPr>
          <w:rFonts w:ascii="Arial" w:hAnsi="Arial"/>
          <w:sz w:val="22"/>
        </w:rPr>
      </w:pPr>
      <w:r w:rsidRPr="00AB3682">
        <w:rPr>
          <w:rFonts w:ascii="Arial" w:hAnsi="Arial"/>
          <w:sz w:val="22"/>
        </w:rPr>
        <w:t xml:space="preserve">Zpráva uvádí požadované cíle jednotlivých programů a podprogramů a podává detailní informaci o jejich věcném a finančním plnění ke konci roku </w:t>
      </w:r>
      <w:r w:rsidR="00D35CB0" w:rsidRPr="00AB3682">
        <w:rPr>
          <w:rFonts w:ascii="Arial" w:hAnsi="Arial"/>
          <w:sz w:val="22"/>
        </w:rPr>
        <w:t>20</w:t>
      </w:r>
      <w:r w:rsidR="000342D2" w:rsidRPr="00AB3682">
        <w:rPr>
          <w:rFonts w:ascii="Arial" w:hAnsi="Arial"/>
          <w:sz w:val="22"/>
        </w:rPr>
        <w:t>20</w:t>
      </w:r>
      <w:r w:rsidR="00D35CB0" w:rsidRPr="00AB3682">
        <w:rPr>
          <w:rFonts w:ascii="Arial" w:hAnsi="Arial"/>
          <w:sz w:val="22"/>
        </w:rPr>
        <w:t xml:space="preserve"> </w:t>
      </w:r>
      <w:r w:rsidRPr="00AB3682">
        <w:rPr>
          <w:rFonts w:ascii="Arial" w:hAnsi="Arial"/>
          <w:sz w:val="22"/>
        </w:rPr>
        <w:t>v členění podle jednotlivých resortů.</w:t>
      </w:r>
      <w:r w:rsidR="00EA6F98" w:rsidRPr="00AB3682">
        <w:rPr>
          <w:rFonts w:ascii="Arial" w:hAnsi="Arial"/>
          <w:sz w:val="22"/>
        </w:rPr>
        <w:t xml:space="preserve"> </w:t>
      </w:r>
      <w:r w:rsidR="00963D13">
        <w:rPr>
          <w:rFonts w:ascii="Arial" w:hAnsi="Arial"/>
          <w:sz w:val="22"/>
        </w:rPr>
        <w:t>Je zpracovaná podle j</w:t>
      </w:r>
      <w:r w:rsidR="00963D13" w:rsidRPr="00963D13">
        <w:rPr>
          <w:rFonts w:ascii="Arial" w:hAnsi="Arial"/>
          <w:sz w:val="22"/>
        </w:rPr>
        <w:t>ednotné osnovy schválené usnesením vlády č. 267</w:t>
      </w:r>
      <w:r w:rsidR="00963D13">
        <w:rPr>
          <w:rFonts w:ascii="Arial" w:hAnsi="Arial"/>
          <w:sz w:val="22"/>
        </w:rPr>
        <w:t>/</w:t>
      </w:r>
      <w:r w:rsidR="00963D13" w:rsidRPr="00963D13">
        <w:rPr>
          <w:rFonts w:ascii="Arial" w:hAnsi="Arial"/>
          <w:sz w:val="22"/>
        </w:rPr>
        <w:t>2015, bodu III/2a).</w:t>
      </w:r>
    </w:p>
    <w:p w14:paraId="3A987F4E" w14:textId="0B0F70AB" w:rsidR="00B50D72" w:rsidRPr="00FD6BE1" w:rsidRDefault="00B50D72" w:rsidP="00714B49">
      <w:pPr>
        <w:keepNext/>
        <w:tabs>
          <w:tab w:val="left" w:pos="480"/>
        </w:tabs>
        <w:spacing w:before="240" w:after="2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AB3682">
        <w:rPr>
          <w:rFonts w:ascii="Arial" w:hAnsi="Arial"/>
          <w:b/>
          <w:i/>
          <w:sz w:val="22"/>
        </w:rPr>
        <w:t xml:space="preserve">Přehled programů </w:t>
      </w:r>
      <w:r w:rsidR="00B40500" w:rsidRPr="00AB3682">
        <w:rPr>
          <w:rFonts w:ascii="Arial" w:hAnsi="Arial"/>
          <w:b/>
          <w:i/>
          <w:sz w:val="22"/>
        </w:rPr>
        <w:t xml:space="preserve">prevence </w:t>
      </w:r>
      <w:r w:rsidRPr="00AB3682">
        <w:rPr>
          <w:rFonts w:ascii="Arial" w:hAnsi="Arial"/>
          <w:b/>
          <w:i/>
          <w:sz w:val="22"/>
        </w:rPr>
        <w:t>před povodněmi dle jednotlivých resortů</w:t>
      </w:r>
    </w:p>
    <w:tbl>
      <w:tblPr>
        <w:tblW w:w="91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0"/>
        <w:gridCol w:w="1502"/>
      </w:tblGrid>
      <w:tr w:rsidR="00AB3682" w:rsidRPr="00994987" w14:paraId="1C7865D3" w14:textId="77777777" w:rsidTr="003378D2">
        <w:trPr>
          <w:trHeight w:val="340"/>
          <w:jc w:val="center"/>
        </w:trPr>
        <w:tc>
          <w:tcPr>
            <w:tcW w:w="7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07589CFF" w14:textId="77777777" w:rsidR="00F57E24" w:rsidRPr="00FD4068" w:rsidRDefault="00F57E24" w:rsidP="00906C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4068">
              <w:rPr>
                <w:rFonts w:ascii="Arial" w:hAnsi="Arial" w:cs="Arial"/>
                <w:b/>
                <w:sz w:val="22"/>
                <w:szCs w:val="22"/>
              </w:rPr>
              <w:t>Název programu</w:t>
            </w: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6D8B84F4" w14:textId="77777777" w:rsidR="00F57E24" w:rsidRPr="00EA724C" w:rsidRDefault="00F57E24" w:rsidP="001866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A724C">
              <w:rPr>
                <w:rFonts w:ascii="Arial" w:hAnsi="Arial" w:cs="Arial"/>
                <w:b/>
                <w:sz w:val="22"/>
                <w:szCs w:val="22"/>
              </w:rPr>
              <w:t>Gestor</w:t>
            </w:r>
          </w:p>
        </w:tc>
      </w:tr>
      <w:tr w:rsidR="003378D2" w:rsidRPr="00994987" w14:paraId="1CCCFC69" w14:textId="77777777" w:rsidTr="003378D2">
        <w:trPr>
          <w:trHeight w:val="340"/>
          <w:jc w:val="center"/>
        </w:trPr>
        <w:tc>
          <w:tcPr>
            <w:tcW w:w="76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BFE5B5F" w14:textId="7A6E6025" w:rsidR="003378D2" w:rsidRPr="003378D2" w:rsidRDefault="003378D2" w:rsidP="008D593B">
            <w:pPr>
              <w:pStyle w:val="Arielodstavec12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Národní programy Ministerstva zemědělství</w:t>
            </w:r>
          </w:p>
        </w:tc>
        <w:tc>
          <w:tcPr>
            <w:tcW w:w="150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80401FD" w14:textId="77777777" w:rsidR="003378D2" w:rsidRDefault="003378D2" w:rsidP="001866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7E69" w:rsidRPr="00994987" w14:paraId="433549C4" w14:textId="77777777" w:rsidTr="003378D2">
        <w:trPr>
          <w:trHeight w:val="340"/>
          <w:jc w:val="center"/>
        </w:trPr>
        <w:tc>
          <w:tcPr>
            <w:tcW w:w="7640" w:type="dxa"/>
            <w:tcBorders>
              <w:top w:val="single" w:sz="4" w:space="0" w:color="auto"/>
            </w:tcBorders>
            <w:vAlign w:val="center"/>
          </w:tcPr>
          <w:p w14:paraId="51E719C1" w14:textId="77777777" w:rsidR="00F57E24" w:rsidRPr="00FD4068" w:rsidRDefault="00F57E24" w:rsidP="008D593B">
            <w:pPr>
              <w:pStyle w:val="Arielodstavec12"/>
              <w:jc w:val="left"/>
              <w:rPr>
                <w:rFonts w:cs="Arial"/>
                <w:sz w:val="22"/>
                <w:szCs w:val="22"/>
              </w:rPr>
            </w:pPr>
            <w:r w:rsidRPr="00FD4068">
              <w:rPr>
                <w:rFonts w:cs="Arial"/>
                <w:sz w:val="22"/>
                <w:szCs w:val="22"/>
              </w:rPr>
              <w:t xml:space="preserve">129 260 </w:t>
            </w:r>
            <w:r w:rsidR="00C42B80">
              <w:rPr>
                <w:rFonts w:cs="Arial"/>
                <w:sz w:val="22"/>
                <w:szCs w:val="22"/>
              </w:rPr>
              <w:t>„</w:t>
            </w:r>
            <w:r w:rsidRPr="00FD4068">
              <w:rPr>
                <w:rFonts w:cs="Arial"/>
                <w:sz w:val="22"/>
                <w:szCs w:val="22"/>
              </w:rPr>
              <w:t>Podpora prevence před povodněmi III</w:t>
            </w:r>
            <w:r w:rsidR="00C42B80">
              <w:rPr>
                <w:rFonts w:cs="Arial"/>
                <w:sz w:val="22"/>
                <w:szCs w:val="22"/>
              </w:rPr>
              <w:t>“</w:t>
            </w:r>
          </w:p>
        </w:tc>
        <w:tc>
          <w:tcPr>
            <w:tcW w:w="1502" w:type="dxa"/>
            <w:tcBorders>
              <w:top w:val="single" w:sz="4" w:space="0" w:color="auto"/>
            </w:tcBorders>
            <w:vAlign w:val="center"/>
          </w:tcPr>
          <w:p w14:paraId="29D3F39B" w14:textId="77777777" w:rsidR="00F57E24" w:rsidRPr="00EA724C" w:rsidRDefault="009D0C89" w:rsidP="001866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MZe</w:t>
            </w:r>
            <w:proofErr w:type="spellEnd"/>
          </w:p>
        </w:tc>
      </w:tr>
      <w:tr w:rsidR="00DA7E69" w:rsidRPr="00994987" w14:paraId="40970460" w14:textId="77777777" w:rsidTr="0018660A">
        <w:trPr>
          <w:trHeight w:val="340"/>
          <w:jc w:val="center"/>
        </w:trPr>
        <w:tc>
          <w:tcPr>
            <w:tcW w:w="7640" w:type="dxa"/>
            <w:vAlign w:val="center"/>
          </w:tcPr>
          <w:p w14:paraId="6E5BB07A" w14:textId="77777777" w:rsidR="009D0C89" w:rsidRPr="00FD4068" w:rsidRDefault="009D0C89" w:rsidP="009D0C89">
            <w:pPr>
              <w:pStyle w:val="Arielodstavec12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129 360 </w:t>
            </w:r>
            <w:r w:rsidR="00C42B80">
              <w:rPr>
                <w:rFonts w:cs="Arial"/>
                <w:sz w:val="22"/>
                <w:szCs w:val="22"/>
              </w:rPr>
              <w:t>„</w:t>
            </w:r>
            <w:r>
              <w:rPr>
                <w:rFonts w:cs="Arial"/>
                <w:sz w:val="22"/>
                <w:szCs w:val="22"/>
              </w:rPr>
              <w:t>Podpora prevence před povodněmi IV</w:t>
            </w:r>
            <w:r w:rsidR="00C42B80">
              <w:rPr>
                <w:rFonts w:cs="Arial"/>
                <w:sz w:val="22"/>
                <w:szCs w:val="22"/>
              </w:rPr>
              <w:t>“</w:t>
            </w:r>
          </w:p>
        </w:tc>
        <w:tc>
          <w:tcPr>
            <w:tcW w:w="1502" w:type="dxa"/>
            <w:vAlign w:val="center"/>
          </w:tcPr>
          <w:p w14:paraId="4E8E3513" w14:textId="77777777" w:rsidR="009D0C89" w:rsidRPr="00AB3682" w:rsidRDefault="009D0C89" w:rsidP="0018660A">
            <w:pPr>
              <w:jc w:val="center"/>
            </w:pPr>
            <w:proofErr w:type="spellStart"/>
            <w:r w:rsidRPr="00484E9B">
              <w:rPr>
                <w:rFonts w:ascii="Arial" w:hAnsi="Arial" w:cs="Arial"/>
                <w:sz w:val="22"/>
                <w:szCs w:val="22"/>
              </w:rPr>
              <w:t>MZe</w:t>
            </w:r>
            <w:proofErr w:type="spellEnd"/>
          </w:p>
        </w:tc>
      </w:tr>
      <w:tr w:rsidR="00DA7E69" w:rsidRPr="00EA724C" w14:paraId="3153FB67" w14:textId="77777777" w:rsidTr="0018660A">
        <w:trPr>
          <w:trHeight w:val="340"/>
          <w:jc w:val="center"/>
        </w:trPr>
        <w:tc>
          <w:tcPr>
            <w:tcW w:w="7640" w:type="dxa"/>
            <w:tcBorders>
              <w:bottom w:val="single" w:sz="12" w:space="0" w:color="auto"/>
            </w:tcBorders>
            <w:vAlign w:val="center"/>
          </w:tcPr>
          <w:p w14:paraId="7C8FB4FB" w14:textId="77777777" w:rsidR="009D0C89" w:rsidRPr="005C1F04" w:rsidRDefault="009D0C89" w:rsidP="009D0C89">
            <w:pPr>
              <w:pStyle w:val="Arielodstavec12"/>
              <w:jc w:val="left"/>
              <w:rPr>
                <w:rFonts w:cs="Arial"/>
                <w:sz w:val="22"/>
                <w:szCs w:val="22"/>
                <w:highlight w:val="yellow"/>
              </w:rPr>
            </w:pPr>
            <w:r w:rsidRPr="005C1F04">
              <w:rPr>
                <w:rFonts w:cs="Arial"/>
                <w:sz w:val="22"/>
                <w:szCs w:val="22"/>
              </w:rPr>
              <w:t xml:space="preserve">129 280 </w:t>
            </w:r>
            <w:r w:rsidR="00C42B80">
              <w:rPr>
                <w:rFonts w:cs="Arial"/>
                <w:sz w:val="22"/>
                <w:szCs w:val="22"/>
              </w:rPr>
              <w:t>„</w:t>
            </w:r>
            <w:r w:rsidRPr="005C1F04">
              <w:rPr>
                <w:rFonts w:cs="Arial"/>
                <w:sz w:val="22"/>
                <w:szCs w:val="22"/>
              </w:rPr>
              <w:t>Podpora retence vody v krajině – rybníky a vodní nádrže</w:t>
            </w:r>
            <w:r w:rsidR="00C42B80">
              <w:rPr>
                <w:rFonts w:cs="Arial"/>
                <w:sz w:val="22"/>
                <w:szCs w:val="22"/>
              </w:rPr>
              <w:t>“</w:t>
            </w:r>
          </w:p>
        </w:tc>
        <w:tc>
          <w:tcPr>
            <w:tcW w:w="1502" w:type="dxa"/>
            <w:tcBorders>
              <w:bottom w:val="single" w:sz="12" w:space="0" w:color="auto"/>
            </w:tcBorders>
            <w:vAlign w:val="center"/>
          </w:tcPr>
          <w:p w14:paraId="301F06C8" w14:textId="77777777" w:rsidR="009D0C89" w:rsidRPr="00AB3682" w:rsidRDefault="009D0C89" w:rsidP="0018660A">
            <w:pPr>
              <w:jc w:val="center"/>
            </w:pPr>
            <w:proofErr w:type="spellStart"/>
            <w:r w:rsidRPr="00484E9B">
              <w:rPr>
                <w:rFonts w:ascii="Arial" w:hAnsi="Arial" w:cs="Arial"/>
                <w:sz w:val="22"/>
                <w:szCs w:val="22"/>
              </w:rPr>
              <w:t>MZe</w:t>
            </w:r>
            <w:proofErr w:type="spellEnd"/>
          </w:p>
        </w:tc>
      </w:tr>
      <w:tr w:rsidR="00DA7E69" w:rsidRPr="00EA724C" w14:paraId="699C285D" w14:textId="77777777" w:rsidTr="0018660A">
        <w:trPr>
          <w:trHeight w:val="340"/>
          <w:jc w:val="center"/>
        </w:trPr>
        <w:tc>
          <w:tcPr>
            <w:tcW w:w="76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DE06299" w14:textId="4FF1E2C5" w:rsidR="00345E6E" w:rsidRPr="00AB3682" w:rsidRDefault="00345E6E" w:rsidP="005C1F04">
            <w:pPr>
              <w:pStyle w:val="Arielodstavec12"/>
              <w:jc w:val="left"/>
              <w:rPr>
                <w:b/>
                <w:sz w:val="22"/>
              </w:rPr>
            </w:pPr>
            <w:r w:rsidRPr="00AB3682">
              <w:rPr>
                <w:b/>
                <w:sz w:val="22"/>
              </w:rPr>
              <w:t xml:space="preserve">Operační program Životní prostředí </w:t>
            </w:r>
          </w:p>
        </w:tc>
        <w:tc>
          <w:tcPr>
            <w:tcW w:w="150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4339307" w14:textId="7DF5310A" w:rsidR="00345E6E" w:rsidRPr="00B61357" w:rsidRDefault="00345E6E" w:rsidP="001866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7E69" w:rsidRPr="00EA724C" w14:paraId="05328A5A" w14:textId="77777777" w:rsidTr="0018660A">
        <w:trPr>
          <w:trHeight w:val="340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57A2A" w14:textId="77777777" w:rsidR="009D0C89" w:rsidRPr="00EB4EEF" w:rsidRDefault="009D0C89" w:rsidP="009D0C89">
            <w:pPr>
              <w:pStyle w:val="Arielodstavec12"/>
              <w:jc w:val="left"/>
              <w:rPr>
                <w:rFonts w:cs="Arial"/>
                <w:sz w:val="22"/>
                <w:szCs w:val="22"/>
                <w:highlight w:val="yellow"/>
              </w:rPr>
            </w:pPr>
            <w:r>
              <w:rPr>
                <w:rFonts w:cs="Arial"/>
                <w:sz w:val="22"/>
                <w:szCs w:val="22"/>
              </w:rPr>
              <w:t xml:space="preserve">115 310 </w:t>
            </w:r>
            <w:r w:rsidR="00C42B80">
              <w:rPr>
                <w:rFonts w:cs="Arial"/>
                <w:sz w:val="22"/>
                <w:szCs w:val="22"/>
              </w:rPr>
              <w:t>„</w:t>
            </w:r>
            <w:r w:rsidRPr="0069196D">
              <w:rPr>
                <w:rFonts w:cs="Arial"/>
                <w:sz w:val="22"/>
                <w:szCs w:val="22"/>
              </w:rPr>
              <w:t>Operační program Životní prostředí 2014</w:t>
            </w:r>
            <w:r w:rsidRPr="005C1F04">
              <w:rPr>
                <w:rFonts w:cs="Arial"/>
                <w:sz w:val="22"/>
                <w:szCs w:val="22"/>
              </w:rPr>
              <w:t>–</w:t>
            </w:r>
            <w:r w:rsidRPr="0069196D">
              <w:rPr>
                <w:rFonts w:cs="Arial"/>
                <w:sz w:val="22"/>
                <w:szCs w:val="22"/>
              </w:rPr>
              <w:t>2020</w:t>
            </w:r>
            <w:r w:rsidR="00C42B80">
              <w:rPr>
                <w:rFonts w:cs="Arial"/>
                <w:sz w:val="22"/>
                <w:szCs w:val="22"/>
              </w:rPr>
              <w:t>“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C52D6" w14:textId="77777777" w:rsidR="009D0C89" w:rsidRPr="00AB3682" w:rsidRDefault="009D0C89" w:rsidP="0018660A">
            <w:pPr>
              <w:jc w:val="center"/>
            </w:pPr>
            <w:r w:rsidRPr="008F7595">
              <w:rPr>
                <w:rFonts w:ascii="Arial" w:hAnsi="Arial" w:cs="Arial"/>
                <w:sz w:val="22"/>
                <w:szCs w:val="22"/>
              </w:rPr>
              <w:t>MŽP</w:t>
            </w:r>
          </w:p>
        </w:tc>
      </w:tr>
      <w:tr w:rsidR="009D0C89" w:rsidRPr="00EA724C" w14:paraId="468E78B2" w14:textId="77777777" w:rsidTr="0018660A">
        <w:trPr>
          <w:trHeight w:val="340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2516B" w14:textId="77777777" w:rsidR="009D0C89" w:rsidRPr="00AB3682" w:rsidRDefault="009D0C89" w:rsidP="009D0C89">
            <w:pPr>
              <w:pStyle w:val="Arielodstavec12"/>
              <w:jc w:val="left"/>
              <w:rPr>
                <w:b/>
                <w:sz w:val="22"/>
              </w:rPr>
            </w:pPr>
            <w:r w:rsidRPr="009D0C89">
              <w:rPr>
                <w:rFonts w:cs="Arial"/>
                <w:b/>
                <w:sz w:val="22"/>
                <w:szCs w:val="22"/>
              </w:rPr>
              <w:t>Národní programy Ministerstva životního prostředí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A8073" w14:textId="0D88DBAF" w:rsidR="009D0C89" w:rsidRPr="00AB3682" w:rsidRDefault="009D0C89" w:rsidP="0018660A">
            <w:pPr>
              <w:jc w:val="center"/>
            </w:pPr>
          </w:p>
        </w:tc>
      </w:tr>
      <w:tr w:rsidR="009D0C89" w:rsidRPr="00EA724C" w14:paraId="5C02A96B" w14:textId="77777777" w:rsidTr="0018660A">
        <w:trPr>
          <w:trHeight w:val="340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911FD" w14:textId="3D8499AF" w:rsidR="009D0C89" w:rsidRPr="0069196D" w:rsidRDefault="009D0C89" w:rsidP="00DC28B6">
            <w:pPr>
              <w:pStyle w:val="Arielodstavec12"/>
              <w:jc w:val="left"/>
              <w:rPr>
                <w:rFonts w:cs="Arial"/>
                <w:sz w:val="22"/>
                <w:szCs w:val="22"/>
              </w:rPr>
            </w:pPr>
            <w:r w:rsidRPr="0069196D">
              <w:rPr>
                <w:rFonts w:cs="Arial"/>
                <w:sz w:val="22"/>
                <w:szCs w:val="22"/>
              </w:rPr>
              <w:t xml:space="preserve">115 160 </w:t>
            </w:r>
            <w:r w:rsidR="00C42B80">
              <w:rPr>
                <w:rFonts w:cs="Arial"/>
                <w:sz w:val="22"/>
                <w:szCs w:val="22"/>
              </w:rPr>
              <w:t>„</w:t>
            </w:r>
            <w:r w:rsidRPr="0069196D">
              <w:rPr>
                <w:rFonts w:cs="Arial"/>
                <w:sz w:val="22"/>
                <w:szCs w:val="22"/>
              </w:rPr>
              <w:t>Program Podpora obnovy přirozených funkcí krajiny</w:t>
            </w:r>
            <w:r w:rsidR="00C42B80">
              <w:rPr>
                <w:rFonts w:cs="Arial"/>
                <w:sz w:val="22"/>
                <w:szCs w:val="22"/>
              </w:rPr>
              <w:t>“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40221" w14:textId="77777777" w:rsidR="009D0C89" w:rsidRPr="00AB3682" w:rsidRDefault="009D0C89" w:rsidP="0018660A">
            <w:pPr>
              <w:jc w:val="center"/>
            </w:pPr>
            <w:r w:rsidRPr="008F7595">
              <w:rPr>
                <w:rFonts w:ascii="Arial" w:hAnsi="Arial" w:cs="Arial"/>
                <w:sz w:val="22"/>
                <w:szCs w:val="22"/>
              </w:rPr>
              <w:t>MŽP</w:t>
            </w:r>
          </w:p>
        </w:tc>
      </w:tr>
      <w:tr w:rsidR="00DC28B6" w:rsidRPr="00EA724C" w14:paraId="43097EA3" w14:textId="77777777" w:rsidTr="0018660A">
        <w:trPr>
          <w:trHeight w:val="340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B3F77" w14:textId="6098787A" w:rsidR="00DC28B6" w:rsidRPr="0069196D" w:rsidRDefault="00DC28B6" w:rsidP="00DC28B6">
            <w:pPr>
              <w:pStyle w:val="Arielodstavec12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115 170 „</w:t>
            </w:r>
            <w:r w:rsidRPr="0069196D">
              <w:rPr>
                <w:rFonts w:cs="Arial"/>
                <w:sz w:val="22"/>
                <w:szCs w:val="22"/>
              </w:rPr>
              <w:t>Program Podpora obnovy přirozených funkcí krajiny</w:t>
            </w:r>
            <w:r w:rsidR="00593920">
              <w:rPr>
                <w:rFonts w:cs="Arial"/>
                <w:sz w:val="22"/>
                <w:szCs w:val="22"/>
              </w:rPr>
              <w:t>“</w:t>
            </w:r>
            <w:r w:rsidR="00623E07">
              <w:rPr>
                <w:rFonts w:cs="Arial"/>
                <w:sz w:val="22"/>
                <w:szCs w:val="22"/>
              </w:rPr>
              <w:t xml:space="preserve"> od roku 2019        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E888D" w14:textId="10AD71CA" w:rsidR="00DC28B6" w:rsidRPr="008F7595" w:rsidRDefault="00DC28B6" w:rsidP="00DC28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MŽP</w:t>
            </w:r>
          </w:p>
        </w:tc>
      </w:tr>
      <w:tr w:rsidR="00DC28B6" w:rsidRPr="00EA724C" w14:paraId="1C72B2AF" w14:textId="77777777" w:rsidTr="0018660A">
        <w:trPr>
          <w:trHeight w:val="340"/>
          <w:jc w:val="center"/>
        </w:trPr>
        <w:tc>
          <w:tcPr>
            <w:tcW w:w="76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013AA18" w14:textId="30A43B5D" w:rsidR="00DC28B6" w:rsidRPr="0069196D" w:rsidRDefault="00DC28B6" w:rsidP="004E75B6">
            <w:pPr>
              <w:pStyle w:val="Arielodstavec12"/>
              <w:ind w:left="903" w:hanging="903"/>
              <w:jc w:val="left"/>
              <w:rPr>
                <w:rFonts w:cs="Arial"/>
                <w:sz w:val="22"/>
                <w:szCs w:val="22"/>
              </w:rPr>
            </w:pPr>
            <w:r w:rsidRPr="00DC28B6">
              <w:rPr>
                <w:rFonts w:cs="Arial"/>
                <w:sz w:val="22"/>
                <w:szCs w:val="22"/>
              </w:rPr>
              <w:t>1</w:t>
            </w:r>
            <w:r w:rsidR="004E75B6">
              <w:rPr>
                <w:rFonts w:cs="Arial"/>
                <w:sz w:val="22"/>
                <w:szCs w:val="22"/>
              </w:rPr>
              <w:t>1</w:t>
            </w:r>
            <w:r w:rsidRPr="00DC28B6">
              <w:rPr>
                <w:rFonts w:cs="Arial"/>
                <w:sz w:val="22"/>
                <w:szCs w:val="22"/>
              </w:rPr>
              <w:t>5 030 „ Rozvoj a obnova materiálně technické základny systému řízení Ministerstva životního prostředí“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D713E60" w14:textId="6FB70930" w:rsidR="00DC28B6" w:rsidRPr="008F7595" w:rsidRDefault="00DC28B6" w:rsidP="00DC28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MŽP</w:t>
            </w:r>
          </w:p>
        </w:tc>
      </w:tr>
    </w:tbl>
    <w:p w14:paraId="19C9D933" w14:textId="77777777" w:rsidR="004F5FB4" w:rsidRPr="00AB3682" w:rsidRDefault="004F5FB4" w:rsidP="00AB3682">
      <w:pPr>
        <w:rPr>
          <w:vanish/>
        </w:rPr>
      </w:pPr>
    </w:p>
    <w:p w14:paraId="22D80989" w14:textId="77777777" w:rsidR="00B50D72" w:rsidRPr="00FD6BE1" w:rsidRDefault="00B44AA7" w:rsidP="001B7F95">
      <w:pPr>
        <w:tabs>
          <w:tab w:val="left" w:pos="567"/>
          <w:tab w:val="left" w:pos="900"/>
        </w:tabs>
        <w:spacing w:before="360" w:after="360"/>
        <w:jc w:val="both"/>
        <w:rPr>
          <w:rFonts w:ascii="Arial" w:hAnsi="Arial" w:cs="Arial"/>
          <w:b/>
          <w:sz w:val="22"/>
          <w:szCs w:val="22"/>
        </w:rPr>
      </w:pPr>
      <w:r w:rsidRPr="00FD6BE1">
        <w:rPr>
          <w:rFonts w:ascii="Arial" w:hAnsi="Arial" w:cs="Arial"/>
          <w:b/>
          <w:sz w:val="22"/>
          <w:szCs w:val="22"/>
        </w:rPr>
        <w:t xml:space="preserve">B. </w:t>
      </w:r>
      <w:r w:rsidR="00064EC3" w:rsidRPr="00FD6BE1">
        <w:rPr>
          <w:rFonts w:ascii="Arial" w:hAnsi="Arial" w:cs="Arial"/>
          <w:b/>
          <w:sz w:val="22"/>
          <w:szCs w:val="22"/>
        </w:rPr>
        <w:tab/>
      </w:r>
      <w:r w:rsidR="00B50D72" w:rsidRPr="00FD6BE1">
        <w:rPr>
          <w:rFonts w:ascii="Arial" w:hAnsi="Arial" w:cs="Arial"/>
          <w:b/>
          <w:sz w:val="22"/>
          <w:szCs w:val="22"/>
        </w:rPr>
        <w:t>Realizace programů prevence před povodněmi</w:t>
      </w:r>
    </w:p>
    <w:p w14:paraId="54F29D51" w14:textId="77777777" w:rsidR="003D1B97" w:rsidRPr="00FD6BE1" w:rsidRDefault="00B44AA7" w:rsidP="001B7F95">
      <w:pPr>
        <w:keepNext/>
        <w:tabs>
          <w:tab w:val="left" w:pos="567"/>
        </w:tabs>
        <w:spacing w:before="360" w:after="360"/>
        <w:rPr>
          <w:rFonts w:ascii="Arial" w:hAnsi="Arial" w:cs="Arial"/>
          <w:b/>
          <w:sz w:val="22"/>
          <w:szCs w:val="22"/>
        </w:rPr>
      </w:pPr>
      <w:r w:rsidRPr="00FD6BE1">
        <w:rPr>
          <w:rFonts w:ascii="Arial" w:hAnsi="Arial" w:cs="Arial"/>
          <w:b/>
          <w:sz w:val="22"/>
          <w:szCs w:val="22"/>
        </w:rPr>
        <w:t>B.</w:t>
      </w:r>
      <w:r w:rsidR="003D1B97" w:rsidRPr="00FD6BE1">
        <w:rPr>
          <w:rFonts w:ascii="Arial" w:hAnsi="Arial" w:cs="Arial"/>
          <w:b/>
          <w:sz w:val="22"/>
          <w:szCs w:val="22"/>
        </w:rPr>
        <w:t xml:space="preserve">1 </w:t>
      </w:r>
      <w:r w:rsidR="00064EC3" w:rsidRPr="00FD6BE1">
        <w:rPr>
          <w:rFonts w:ascii="Arial" w:hAnsi="Arial" w:cs="Arial"/>
          <w:b/>
          <w:sz w:val="22"/>
          <w:szCs w:val="22"/>
        </w:rPr>
        <w:tab/>
      </w:r>
      <w:r w:rsidR="003D1B97" w:rsidRPr="00FD6BE1">
        <w:rPr>
          <w:rFonts w:ascii="Arial" w:hAnsi="Arial" w:cs="Arial"/>
          <w:b/>
          <w:sz w:val="22"/>
          <w:szCs w:val="22"/>
        </w:rPr>
        <w:t>Ministerstvo zemědělství</w:t>
      </w:r>
    </w:p>
    <w:p w14:paraId="7A8A1060" w14:textId="77777777" w:rsidR="003562FC" w:rsidRPr="00FD6BE1" w:rsidRDefault="003562FC" w:rsidP="00D33240">
      <w:pPr>
        <w:keepNext/>
        <w:tabs>
          <w:tab w:val="left" w:pos="480"/>
        </w:tabs>
        <w:spacing w:before="24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FD6BE1">
        <w:rPr>
          <w:rFonts w:ascii="Arial" w:hAnsi="Arial" w:cs="Arial"/>
          <w:b/>
          <w:i/>
          <w:iCs/>
          <w:sz w:val="22"/>
          <w:szCs w:val="22"/>
        </w:rPr>
        <w:t xml:space="preserve">Struktura programů </w:t>
      </w:r>
      <w:r w:rsidR="006E4514" w:rsidRPr="00FD6BE1">
        <w:rPr>
          <w:rFonts w:ascii="Arial" w:hAnsi="Arial" w:cs="Arial"/>
          <w:b/>
          <w:i/>
          <w:iCs/>
          <w:sz w:val="22"/>
          <w:szCs w:val="22"/>
        </w:rPr>
        <w:t>prevence před povodněmi</w:t>
      </w:r>
    </w:p>
    <w:tbl>
      <w:tblPr>
        <w:tblpPr w:leftFromText="141" w:rightFromText="141" w:vertAnchor="text" w:horzAnchor="margin" w:tblpX="70" w:tblpY="81"/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57E24" w:rsidRPr="00FD6BE1" w14:paraId="1AB18395" w14:textId="77777777" w:rsidTr="002C33F6">
        <w:trPr>
          <w:trHeight w:val="340"/>
        </w:trPr>
        <w:tc>
          <w:tcPr>
            <w:tcW w:w="9142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14:paraId="1DA33EEB" w14:textId="77777777" w:rsidR="00F57E24" w:rsidRPr="00FD6BE1" w:rsidRDefault="00F57E24" w:rsidP="00DD01CB">
            <w:pPr>
              <w:keepNext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6BE1">
              <w:rPr>
                <w:rFonts w:ascii="Arial" w:hAnsi="Arial" w:cs="Arial"/>
                <w:b/>
                <w:bCs/>
                <w:sz w:val="22"/>
                <w:szCs w:val="22"/>
              </w:rPr>
              <w:t>Název programu/podprogramu</w:t>
            </w:r>
          </w:p>
        </w:tc>
      </w:tr>
      <w:tr w:rsidR="003378D2" w:rsidRPr="00FD6BE1" w14:paraId="204C2275" w14:textId="77777777" w:rsidTr="002C33F6">
        <w:trPr>
          <w:trHeight w:val="340"/>
        </w:trPr>
        <w:tc>
          <w:tcPr>
            <w:tcW w:w="9142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51F432C2" w14:textId="68AECCBB" w:rsidR="003378D2" w:rsidRPr="00FD6BE1" w:rsidRDefault="003378D2" w:rsidP="00DD01C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Národní programy Ministerstva zemědělství</w:t>
            </w:r>
          </w:p>
        </w:tc>
      </w:tr>
      <w:tr w:rsidR="00F57E24" w:rsidRPr="00FD6BE1" w14:paraId="6B20C4EB" w14:textId="77777777" w:rsidTr="002C33F6">
        <w:trPr>
          <w:trHeight w:val="340"/>
        </w:trPr>
        <w:tc>
          <w:tcPr>
            <w:tcW w:w="9142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2711A62D" w14:textId="77777777" w:rsidR="00F57E24" w:rsidRPr="00FD6BE1" w:rsidRDefault="00F57E24" w:rsidP="00DD01C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6BE1">
              <w:rPr>
                <w:rFonts w:ascii="Arial" w:hAnsi="Arial" w:cs="Arial"/>
                <w:b/>
                <w:sz w:val="22"/>
                <w:szCs w:val="22"/>
              </w:rPr>
              <w:t xml:space="preserve">129 260 </w:t>
            </w:r>
            <w:r w:rsidR="0018660A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Pr="00FD6BE1">
              <w:rPr>
                <w:rFonts w:ascii="Arial" w:hAnsi="Arial" w:cs="Arial"/>
                <w:b/>
                <w:sz w:val="22"/>
                <w:szCs w:val="22"/>
              </w:rPr>
              <w:t>Podpora prevence před povodněmi III</w:t>
            </w:r>
            <w:r w:rsidR="0018660A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F57E24" w:rsidRPr="00FD6BE1" w14:paraId="284B1142" w14:textId="77777777" w:rsidTr="002C33F6">
        <w:trPr>
          <w:trHeight w:val="340"/>
        </w:trPr>
        <w:tc>
          <w:tcPr>
            <w:tcW w:w="9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F4A87" w14:textId="77777777" w:rsidR="00F57E24" w:rsidRPr="00FD6BE1" w:rsidRDefault="00F57E24" w:rsidP="00DD01C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FD6BE1">
              <w:rPr>
                <w:rFonts w:ascii="Arial" w:hAnsi="Arial" w:cs="Arial"/>
                <w:sz w:val="22"/>
                <w:szCs w:val="22"/>
              </w:rPr>
              <w:t xml:space="preserve">129 262 </w:t>
            </w:r>
            <w:r w:rsidR="0018660A">
              <w:rPr>
                <w:rFonts w:ascii="Arial" w:hAnsi="Arial" w:cs="Arial"/>
                <w:sz w:val="22"/>
                <w:szCs w:val="22"/>
              </w:rPr>
              <w:t>„</w:t>
            </w:r>
            <w:r w:rsidRPr="00FD6BE1">
              <w:rPr>
                <w:rFonts w:ascii="Arial" w:hAnsi="Arial" w:cs="Arial"/>
                <w:sz w:val="22"/>
                <w:szCs w:val="22"/>
              </w:rPr>
              <w:t xml:space="preserve">Podpora </w:t>
            </w:r>
            <w:r w:rsidR="000342D2">
              <w:rPr>
                <w:rFonts w:ascii="Arial" w:hAnsi="Arial" w:cs="Arial"/>
                <w:sz w:val="22"/>
                <w:szCs w:val="22"/>
              </w:rPr>
              <w:t>projektové dokumentace pro územní řízení</w:t>
            </w:r>
            <w:r w:rsidR="0018660A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F57E24" w:rsidRPr="00FD6BE1" w14:paraId="0E64D7D6" w14:textId="77777777" w:rsidTr="002C33F6">
        <w:trPr>
          <w:trHeight w:val="340"/>
        </w:trPr>
        <w:tc>
          <w:tcPr>
            <w:tcW w:w="9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1E040" w14:textId="77777777" w:rsidR="00F57E24" w:rsidRPr="00FD6BE1" w:rsidRDefault="00F57E24" w:rsidP="00DD01C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FD6BE1">
              <w:rPr>
                <w:rFonts w:ascii="Arial" w:hAnsi="Arial" w:cs="Arial"/>
                <w:sz w:val="22"/>
                <w:szCs w:val="22"/>
              </w:rPr>
              <w:t xml:space="preserve">129 263 </w:t>
            </w:r>
            <w:r w:rsidR="0018660A">
              <w:rPr>
                <w:rFonts w:ascii="Arial" w:hAnsi="Arial" w:cs="Arial"/>
                <w:sz w:val="22"/>
                <w:szCs w:val="22"/>
              </w:rPr>
              <w:t>„</w:t>
            </w:r>
            <w:r w:rsidRPr="00FD6BE1">
              <w:rPr>
                <w:rFonts w:ascii="Arial" w:hAnsi="Arial" w:cs="Arial"/>
                <w:sz w:val="22"/>
                <w:szCs w:val="22"/>
              </w:rPr>
              <w:t xml:space="preserve">Podpora </w:t>
            </w:r>
            <w:r w:rsidR="000342D2">
              <w:rPr>
                <w:rFonts w:ascii="Arial" w:hAnsi="Arial" w:cs="Arial"/>
                <w:sz w:val="22"/>
                <w:szCs w:val="22"/>
              </w:rPr>
              <w:t>projektové dokumentace pro stavební řízení</w:t>
            </w:r>
            <w:r w:rsidR="0018660A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F57E24" w:rsidRPr="00FD6BE1" w14:paraId="4944ED18" w14:textId="77777777" w:rsidTr="002C33F6">
        <w:trPr>
          <w:trHeight w:val="340"/>
        </w:trPr>
        <w:tc>
          <w:tcPr>
            <w:tcW w:w="9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8E563" w14:textId="77777777" w:rsidR="00F57E24" w:rsidRPr="00FD6BE1" w:rsidRDefault="00F57E24" w:rsidP="00DD01C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FD6BE1">
              <w:rPr>
                <w:rFonts w:ascii="Arial" w:hAnsi="Arial" w:cs="Arial"/>
                <w:sz w:val="22"/>
                <w:szCs w:val="22"/>
              </w:rPr>
              <w:t xml:space="preserve">129 264 </w:t>
            </w:r>
            <w:r w:rsidR="002C33F6">
              <w:rPr>
                <w:rFonts w:ascii="Arial" w:hAnsi="Arial" w:cs="Arial"/>
                <w:sz w:val="22"/>
                <w:szCs w:val="22"/>
              </w:rPr>
              <w:t>„</w:t>
            </w:r>
            <w:r w:rsidRPr="00FD6BE1">
              <w:rPr>
                <w:rFonts w:ascii="Arial" w:hAnsi="Arial" w:cs="Arial"/>
                <w:iCs/>
                <w:sz w:val="22"/>
                <w:szCs w:val="22"/>
              </w:rPr>
              <w:t xml:space="preserve">Podpora </w:t>
            </w:r>
            <w:r w:rsidR="000342D2">
              <w:rPr>
                <w:rFonts w:ascii="Arial" w:hAnsi="Arial" w:cs="Arial"/>
                <w:iCs/>
                <w:sz w:val="22"/>
                <w:szCs w:val="22"/>
              </w:rPr>
              <w:t>protipovodňových opatření s</w:t>
            </w:r>
            <w:r w:rsidR="002C33F6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0342D2">
              <w:rPr>
                <w:rFonts w:ascii="Arial" w:hAnsi="Arial" w:cs="Arial"/>
                <w:iCs/>
                <w:sz w:val="22"/>
                <w:szCs w:val="22"/>
              </w:rPr>
              <w:t>retencí</w:t>
            </w:r>
            <w:r w:rsidR="002C33F6">
              <w:rPr>
                <w:rFonts w:ascii="Arial" w:hAnsi="Arial" w:cs="Arial"/>
                <w:iCs/>
                <w:sz w:val="22"/>
                <w:szCs w:val="22"/>
              </w:rPr>
              <w:t>“</w:t>
            </w:r>
          </w:p>
        </w:tc>
      </w:tr>
      <w:tr w:rsidR="00F57E24" w:rsidRPr="00FD6BE1" w14:paraId="1BAEFAB0" w14:textId="77777777" w:rsidTr="002C33F6">
        <w:trPr>
          <w:trHeight w:val="340"/>
        </w:trPr>
        <w:tc>
          <w:tcPr>
            <w:tcW w:w="914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4487B4C" w14:textId="77777777" w:rsidR="00F57E24" w:rsidRPr="00FD6BE1" w:rsidRDefault="00F57E24" w:rsidP="00DD01C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FD6BE1">
              <w:rPr>
                <w:rFonts w:ascii="Arial" w:hAnsi="Arial" w:cs="Arial"/>
                <w:sz w:val="22"/>
                <w:szCs w:val="22"/>
              </w:rPr>
              <w:t xml:space="preserve">129 265 </w:t>
            </w:r>
            <w:r w:rsidR="002C33F6">
              <w:rPr>
                <w:rFonts w:ascii="Arial" w:hAnsi="Arial" w:cs="Arial"/>
                <w:sz w:val="22"/>
                <w:szCs w:val="22"/>
              </w:rPr>
              <w:t>„</w:t>
            </w:r>
            <w:r w:rsidRPr="00FD6BE1">
              <w:rPr>
                <w:rFonts w:ascii="Arial" w:hAnsi="Arial" w:cs="Arial"/>
                <w:iCs/>
                <w:sz w:val="22"/>
                <w:szCs w:val="22"/>
              </w:rPr>
              <w:t xml:space="preserve">Podpora </w:t>
            </w:r>
            <w:r w:rsidR="000342D2">
              <w:rPr>
                <w:rFonts w:ascii="Arial" w:hAnsi="Arial" w:cs="Arial"/>
                <w:iCs/>
                <w:sz w:val="22"/>
                <w:szCs w:val="22"/>
              </w:rPr>
              <w:t>protipovodňových opatření podél vodních toků</w:t>
            </w:r>
            <w:r w:rsidR="002C33F6">
              <w:rPr>
                <w:rFonts w:ascii="Arial" w:hAnsi="Arial" w:cs="Arial"/>
                <w:iCs/>
                <w:sz w:val="22"/>
                <w:szCs w:val="22"/>
              </w:rPr>
              <w:t>“</w:t>
            </w:r>
          </w:p>
        </w:tc>
      </w:tr>
      <w:tr w:rsidR="000342D2" w:rsidRPr="00FD6BE1" w14:paraId="37CF9144" w14:textId="77777777" w:rsidTr="002C33F6">
        <w:trPr>
          <w:trHeight w:val="340"/>
        </w:trPr>
        <w:tc>
          <w:tcPr>
            <w:tcW w:w="9142" w:type="dxa"/>
            <w:tcBorders>
              <w:top w:val="single" w:sz="12" w:space="0" w:color="auto"/>
            </w:tcBorders>
            <w:shd w:val="clear" w:color="auto" w:fill="BFBFBF"/>
            <w:vAlign w:val="center"/>
          </w:tcPr>
          <w:p w14:paraId="22D3F0F4" w14:textId="77777777" w:rsidR="000342D2" w:rsidRPr="00FD6BE1" w:rsidRDefault="000342D2" w:rsidP="000342D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6BE1">
              <w:rPr>
                <w:rFonts w:ascii="Arial" w:hAnsi="Arial" w:cs="Arial"/>
                <w:b/>
                <w:sz w:val="22"/>
                <w:szCs w:val="22"/>
              </w:rPr>
              <w:t>129 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FD6BE1">
              <w:rPr>
                <w:rFonts w:ascii="Arial" w:hAnsi="Arial" w:cs="Arial"/>
                <w:b/>
                <w:sz w:val="22"/>
                <w:szCs w:val="22"/>
              </w:rPr>
              <w:t xml:space="preserve">60 </w:t>
            </w:r>
            <w:r w:rsidR="002C33F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Pr="00FD6BE1">
              <w:rPr>
                <w:rFonts w:ascii="Arial" w:hAnsi="Arial" w:cs="Arial"/>
                <w:b/>
                <w:sz w:val="22"/>
                <w:szCs w:val="22"/>
              </w:rPr>
              <w:t>Podpora prevence před povodněmi I</w:t>
            </w:r>
            <w:r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2C33F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0342D2" w:rsidRPr="00FD6BE1" w14:paraId="19D1C5E6" w14:textId="77777777" w:rsidTr="002C33F6">
        <w:trPr>
          <w:trHeight w:val="340"/>
        </w:trPr>
        <w:tc>
          <w:tcPr>
            <w:tcW w:w="9142" w:type="dxa"/>
            <w:shd w:val="clear" w:color="auto" w:fill="FFFFFF"/>
            <w:vAlign w:val="center"/>
          </w:tcPr>
          <w:p w14:paraId="3104A244" w14:textId="77777777" w:rsidR="000342D2" w:rsidRPr="00FD6BE1" w:rsidRDefault="000342D2" w:rsidP="000342D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83A4A">
              <w:rPr>
                <w:rFonts w:ascii="Arial" w:hAnsi="Arial" w:cs="Arial"/>
                <w:sz w:val="22"/>
                <w:szCs w:val="22"/>
              </w:rPr>
              <w:t>129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83A4A">
              <w:rPr>
                <w:rFonts w:ascii="Arial" w:hAnsi="Arial" w:cs="Arial"/>
                <w:sz w:val="22"/>
                <w:szCs w:val="22"/>
              </w:rPr>
              <w:t>363</w:t>
            </w:r>
            <w:r w:rsidR="009D0C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33F6">
              <w:rPr>
                <w:rFonts w:ascii="Arial" w:hAnsi="Arial" w:cs="Arial"/>
                <w:sz w:val="22"/>
                <w:szCs w:val="22"/>
              </w:rPr>
              <w:t>„</w:t>
            </w:r>
            <w:r w:rsidR="009D0C89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odpora projektových dokumentací</w:t>
            </w:r>
            <w:r w:rsidR="002C33F6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0342D2" w:rsidRPr="00FD6BE1" w14:paraId="1D916FBB" w14:textId="77777777" w:rsidTr="002C33F6">
        <w:trPr>
          <w:trHeight w:val="340"/>
        </w:trPr>
        <w:tc>
          <w:tcPr>
            <w:tcW w:w="9142" w:type="dxa"/>
            <w:shd w:val="clear" w:color="auto" w:fill="FFFFFF"/>
            <w:vAlign w:val="center"/>
          </w:tcPr>
          <w:p w14:paraId="1FA1CF11" w14:textId="77777777" w:rsidR="000342D2" w:rsidRPr="00FD6BE1" w:rsidRDefault="000342D2" w:rsidP="000342D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6BE1">
              <w:rPr>
                <w:rFonts w:ascii="Arial" w:hAnsi="Arial" w:cs="Arial"/>
                <w:sz w:val="22"/>
                <w:szCs w:val="22"/>
              </w:rPr>
              <w:t>129 </w:t>
            </w:r>
            <w:r>
              <w:rPr>
                <w:rFonts w:ascii="Arial" w:hAnsi="Arial" w:cs="Arial"/>
                <w:sz w:val="22"/>
                <w:szCs w:val="22"/>
              </w:rPr>
              <w:t>364</w:t>
            </w:r>
            <w:r w:rsidRPr="00FD6B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33F6">
              <w:rPr>
                <w:rFonts w:ascii="Arial" w:hAnsi="Arial" w:cs="Arial"/>
                <w:sz w:val="22"/>
                <w:szCs w:val="22"/>
              </w:rPr>
              <w:t>„</w:t>
            </w:r>
            <w:r w:rsidRPr="00FD6BE1">
              <w:rPr>
                <w:rFonts w:ascii="Arial" w:hAnsi="Arial" w:cs="Arial"/>
                <w:sz w:val="22"/>
                <w:szCs w:val="22"/>
              </w:rPr>
              <w:t>Podpora protipovodňových opatření s</w:t>
            </w:r>
            <w:r w:rsidR="002C33F6">
              <w:rPr>
                <w:rFonts w:ascii="Arial" w:hAnsi="Arial" w:cs="Arial"/>
                <w:sz w:val="22"/>
                <w:szCs w:val="22"/>
              </w:rPr>
              <w:t> </w:t>
            </w:r>
            <w:r w:rsidRPr="00FD6BE1">
              <w:rPr>
                <w:rFonts w:ascii="Arial" w:hAnsi="Arial" w:cs="Arial"/>
                <w:sz w:val="22"/>
                <w:szCs w:val="22"/>
              </w:rPr>
              <w:t>retencí</w:t>
            </w:r>
            <w:r w:rsidR="002C33F6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0342D2" w:rsidRPr="00FD6BE1" w14:paraId="6F8BBB42" w14:textId="77777777" w:rsidTr="002C33F6">
        <w:trPr>
          <w:trHeight w:val="340"/>
        </w:trPr>
        <w:tc>
          <w:tcPr>
            <w:tcW w:w="9142" w:type="dxa"/>
            <w:shd w:val="clear" w:color="auto" w:fill="FFFFFF"/>
            <w:vAlign w:val="center"/>
          </w:tcPr>
          <w:p w14:paraId="6F782762" w14:textId="77777777" w:rsidR="000342D2" w:rsidRPr="00FD6BE1" w:rsidRDefault="000342D2" w:rsidP="000342D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6BE1">
              <w:rPr>
                <w:rFonts w:ascii="Arial" w:hAnsi="Arial" w:cs="Arial"/>
                <w:sz w:val="22"/>
                <w:szCs w:val="22"/>
              </w:rPr>
              <w:t>129 </w:t>
            </w:r>
            <w:r>
              <w:rPr>
                <w:rFonts w:ascii="Arial" w:hAnsi="Arial" w:cs="Arial"/>
                <w:sz w:val="22"/>
                <w:szCs w:val="22"/>
              </w:rPr>
              <w:t>365</w:t>
            </w:r>
            <w:r w:rsidRPr="00FD6B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33F6">
              <w:rPr>
                <w:rFonts w:ascii="Arial" w:hAnsi="Arial" w:cs="Arial"/>
                <w:sz w:val="22"/>
                <w:szCs w:val="22"/>
              </w:rPr>
              <w:t>„</w:t>
            </w:r>
            <w:r w:rsidRPr="00FD6BE1">
              <w:rPr>
                <w:rFonts w:ascii="Arial" w:hAnsi="Arial" w:cs="Arial"/>
                <w:sz w:val="22"/>
                <w:szCs w:val="22"/>
              </w:rPr>
              <w:t>Podpora protipovodňových opatření podél vodních toků</w:t>
            </w:r>
            <w:r w:rsidR="002C33F6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0342D2" w:rsidRPr="00FD6BE1" w14:paraId="17190A77" w14:textId="77777777" w:rsidTr="002C33F6">
        <w:trPr>
          <w:trHeight w:val="340"/>
        </w:trPr>
        <w:tc>
          <w:tcPr>
            <w:tcW w:w="914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E9BB91A" w14:textId="77777777" w:rsidR="000342D2" w:rsidRPr="00FD6BE1" w:rsidRDefault="000342D2" w:rsidP="003378D2">
            <w:pPr>
              <w:ind w:left="903" w:hanging="90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6BE1">
              <w:rPr>
                <w:rFonts w:ascii="Arial" w:hAnsi="Arial" w:cs="Arial"/>
                <w:sz w:val="22"/>
                <w:szCs w:val="22"/>
              </w:rPr>
              <w:t>129 </w:t>
            </w:r>
            <w:r>
              <w:rPr>
                <w:rFonts w:ascii="Arial" w:hAnsi="Arial" w:cs="Arial"/>
                <w:sz w:val="22"/>
                <w:szCs w:val="22"/>
              </w:rPr>
              <w:t>366</w:t>
            </w:r>
            <w:r w:rsidRPr="00FD6B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33F6">
              <w:rPr>
                <w:rFonts w:ascii="Arial" w:hAnsi="Arial" w:cs="Arial"/>
                <w:sz w:val="22"/>
                <w:szCs w:val="22"/>
              </w:rPr>
              <w:t>„</w:t>
            </w:r>
            <w:r w:rsidRPr="00FD6BE1">
              <w:rPr>
                <w:rFonts w:ascii="Arial" w:hAnsi="Arial" w:cs="Arial"/>
                <w:sz w:val="22"/>
                <w:szCs w:val="22"/>
              </w:rPr>
              <w:t xml:space="preserve">Podpora </w:t>
            </w:r>
            <w:r>
              <w:rPr>
                <w:rFonts w:ascii="Arial" w:hAnsi="Arial" w:cs="Arial"/>
                <w:sz w:val="22"/>
                <w:szCs w:val="22"/>
              </w:rPr>
              <w:t xml:space="preserve">přípravy a realizace vyvolaných investic a staveb souvisejících s výstavbou vodního díla Nové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Heřminovy</w:t>
            </w:r>
            <w:proofErr w:type="spellEnd"/>
            <w:r w:rsidR="002C33F6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0342D2" w:rsidRPr="00FD6BE1" w14:paraId="15A7AED4" w14:textId="77777777" w:rsidTr="002C33F6">
        <w:trPr>
          <w:trHeight w:val="340"/>
        </w:trPr>
        <w:tc>
          <w:tcPr>
            <w:tcW w:w="9142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6B33FE9" w14:textId="77777777" w:rsidR="000342D2" w:rsidRPr="005C1F04" w:rsidRDefault="000342D2" w:rsidP="000342D2">
            <w:pPr>
              <w:rPr>
                <w:rFonts w:ascii="Arial" w:hAnsi="Arial" w:cs="Arial"/>
                <w:sz w:val="22"/>
                <w:szCs w:val="22"/>
              </w:rPr>
            </w:pPr>
            <w:r w:rsidRPr="00BE40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129 280 </w:t>
            </w:r>
            <w:r w:rsidR="002C33F6"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r w:rsidRPr="00BE406B">
              <w:rPr>
                <w:rFonts w:ascii="Arial" w:hAnsi="Arial" w:cs="Arial"/>
                <w:b/>
                <w:bCs/>
                <w:sz w:val="22"/>
                <w:szCs w:val="22"/>
              </w:rPr>
              <w:t>Podpora retence vody v krajině – rybníky a vodní nádrže</w:t>
            </w:r>
            <w:r w:rsidR="002C33F6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</w:tc>
      </w:tr>
      <w:tr w:rsidR="000342D2" w:rsidRPr="00FD6BE1" w14:paraId="35962285" w14:textId="77777777" w:rsidTr="002C33F6">
        <w:trPr>
          <w:trHeight w:val="340"/>
        </w:trPr>
        <w:tc>
          <w:tcPr>
            <w:tcW w:w="9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AC50B" w14:textId="77777777" w:rsidR="000342D2" w:rsidRPr="005C1F04" w:rsidRDefault="000342D2" w:rsidP="000342D2">
            <w:pPr>
              <w:rPr>
                <w:rFonts w:ascii="Arial" w:hAnsi="Arial" w:cs="Arial"/>
                <w:sz w:val="22"/>
                <w:szCs w:val="22"/>
              </w:rPr>
            </w:pPr>
            <w:r w:rsidRPr="00BE406B">
              <w:rPr>
                <w:rFonts w:ascii="Arial" w:hAnsi="Arial" w:cs="Arial"/>
                <w:sz w:val="22"/>
                <w:szCs w:val="22"/>
              </w:rPr>
              <w:t xml:space="preserve">129 282 </w:t>
            </w:r>
            <w:r w:rsidR="002C33F6">
              <w:rPr>
                <w:rFonts w:ascii="Arial" w:hAnsi="Arial" w:cs="Arial"/>
                <w:sz w:val="22"/>
                <w:szCs w:val="22"/>
              </w:rPr>
              <w:t>„</w:t>
            </w:r>
            <w:r w:rsidRPr="00BE406B">
              <w:rPr>
                <w:rFonts w:ascii="Arial" w:hAnsi="Arial" w:cs="Arial"/>
                <w:sz w:val="22"/>
                <w:szCs w:val="22"/>
              </w:rPr>
              <w:t>Podpora výstavby, obnovy, rekonstrukce a odbahnění rybníků a vodních nádrží</w:t>
            </w:r>
            <w:r w:rsidR="002C33F6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0342D2" w:rsidRPr="00FD6BE1" w14:paraId="19A96119" w14:textId="77777777" w:rsidTr="002C33F6">
        <w:trPr>
          <w:trHeight w:val="326"/>
        </w:trPr>
        <w:tc>
          <w:tcPr>
            <w:tcW w:w="9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714E4" w14:textId="77777777" w:rsidR="000342D2" w:rsidRPr="00BE406B" w:rsidRDefault="000342D2" w:rsidP="000342D2">
            <w:pPr>
              <w:rPr>
                <w:rFonts w:ascii="Arial" w:hAnsi="Arial" w:cs="Arial"/>
                <w:sz w:val="22"/>
                <w:szCs w:val="22"/>
              </w:rPr>
            </w:pPr>
            <w:r w:rsidRPr="00BE406B">
              <w:rPr>
                <w:rFonts w:ascii="Arial" w:hAnsi="Arial" w:cs="Arial"/>
                <w:sz w:val="22"/>
                <w:szCs w:val="22"/>
              </w:rPr>
              <w:t xml:space="preserve">129 283 </w:t>
            </w:r>
            <w:r w:rsidR="002C33F6">
              <w:rPr>
                <w:rFonts w:ascii="Arial" w:hAnsi="Arial" w:cs="Arial"/>
                <w:sz w:val="22"/>
                <w:szCs w:val="22"/>
              </w:rPr>
              <w:t>„</w:t>
            </w:r>
            <w:r w:rsidRPr="00BE406B">
              <w:rPr>
                <w:rFonts w:ascii="Arial" w:hAnsi="Arial" w:cs="Arial"/>
                <w:sz w:val="22"/>
                <w:szCs w:val="22"/>
              </w:rPr>
              <w:t>Odstranění</w:t>
            </w:r>
            <w:r w:rsidRPr="00BE406B">
              <w:rPr>
                <w:rFonts w:ascii="Arial" w:hAnsi="Arial" w:cs="Arial"/>
                <w:sz w:val="22"/>
              </w:rPr>
              <w:t xml:space="preserve"> havarijních situací na rybnících a vodních </w:t>
            </w:r>
            <w:r w:rsidRPr="00BE406B">
              <w:rPr>
                <w:rFonts w:ascii="Arial" w:hAnsi="Arial" w:cs="Arial"/>
                <w:sz w:val="22"/>
                <w:szCs w:val="22"/>
              </w:rPr>
              <w:t>nádržích</w:t>
            </w:r>
            <w:r w:rsidR="002C33F6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0342D2" w:rsidRPr="00FD6BE1" w14:paraId="72A4B27D" w14:textId="77777777" w:rsidTr="002C33F6">
        <w:trPr>
          <w:trHeight w:val="280"/>
        </w:trPr>
        <w:tc>
          <w:tcPr>
            <w:tcW w:w="914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1FEAFA3" w14:textId="77777777" w:rsidR="000342D2" w:rsidRPr="00BE406B" w:rsidRDefault="000342D2" w:rsidP="000342D2">
            <w:pPr>
              <w:rPr>
                <w:rFonts w:ascii="Arial" w:hAnsi="Arial" w:cs="Arial"/>
                <w:sz w:val="22"/>
                <w:szCs w:val="22"/>
              </w:rPr>
            </w:pPr>
            <w:r w:rsidRPr="00BE406B">
              <w:rPr>
                <w:rFonts w:ascii="Arial" w:hAnsi="Arial" w:cs="Arial"/>
                <w:sz w:val="22"/>
                <w:szCs w:val="22"/>
              </w:rPr>
              <w:t xml:space="preserve">129 284 </w:t>
            </w:r>
            <w:r w:rsidR="002C33F6">
              <w:rPr>
                <w:rFonts w:ascii="Arial" w:hAnsi="Arial" w:cs="Arial"/>
                <w:sz w:val="22"/>
                <w:szCs w:val="22"/>
              </w:rPr>
              <w:t>„</w:t>
            </w:r>
            <w:r w:rsidRPr="00BE406B">
              <w:rPr>
                <w:rFonts w:ascii="Arial" w:hAnsi="Arial" w:cs="Arial"/>
                <w:sz w:val="22"/>
                <w:szCs w:val="22"/>
              </w:rPr>
              <w:t>Odstranění povodňových škod na rybnících a vodních nádržích</w:t>
            </w:r>
            <w:r w:rsidR="002C33F6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</w:tbl>
    <w:p w14:paraId="3360610B" w14:textId="77777777" w:rsidR="002C33F6" w:rsidRDefault="002C33F6" w:rsidP="002C33F6">
      <w:pPr>
        <w:jc w:val="both"/>
        <w:rPr>
          <w:rFonts w:ascii="Arial" w:hAnsi="Arial" w:cs="Arial"/>
          <w:sz w:val="22"/>
          <w:szCs w:val="22"/>
        </w:rPr>
      </w:pPr>
    </w:p>
    <w:p w14:paraId="1377B1C0" w14:textId="77777777" w:rsidR="00DD2A04" w:rsidRPr="007178FE" w:rsidRDefault="00DD2A04" w:rsidP="002C33F6">
      <w:pPr>
        <w:jc w:val="both"/>
        <w:rPr>
          <w:rFonts w:ascii="Arial" w:hAnsi="Arial" w:cs="Arial"/>
          <w:sz w:val="22"/>
          <w:szCs w:val="22"/>
        </w:rPr>
      </w:pPr>
      <w:r w:rsidRPr="007178FE">
        <w:rPr>
          <w:rFonts w:ascii="Arial" w:hAnsi="Arial" w:cs="Arial"/>
          <w:sz w:val="22"/>
          <w:szCs w:val="22"/>
        </w:rPr>
        <w:t xml:space="preserve">Problematika slučitelnosti se společným trhem se </w:t>
      </w:r>
      <w:r>
        <w:rPr>
          <w:rFonts w:ascii="Arial" w:hAnsi="Arial" w:cs="Arial"/>
          <w:sz w:val="22"/>
          <w:szCs w:val="22"/>
        </w:rPr>
        <w:t>aktuálně týká</w:t>
      </w:r>
      <w:r w:rsidRPr="007178FE">
        <w:rPr>
          <w:rFonts w:ascii="Arial" w:hAnsi="Arial" w:cs="Arial"/>
          <w:sz w:val="22"/>
          <w:szCs w:val="22"/>
        </w:rPr>
        <w:t xml:space="preserve"> programu 129</w:t>
      </w:r>
      <w:r>
        <w:rPr>
          <w:rFonts w:ascii="Arial" w:hAnsi="Arial" w:cs="Arial"/>
          <w:sz w:val="22"/>
          <w:szCs w:val="22"/>
        </w:rPr>
        <w:t> </w:t>
      </w:r>
      <w:r w:rsidRPr="007178FE">
        <w:rPr>
          <w:rFonts w:ascii="Arial" w:hAnsi="Arial" w:cs="Arial"/>
          <w:sz w:val="22"/>
          <w:szCs w:val="22"/>
        </w:rPr>
        <w:t xml:space="preserve">280. </w:t>
      </w:r>
      <w:r>
        <w:rPr>
          <w:rFonts w:ascii="Arial" w:hAnsi="Arial" w:cs="Arial"/>
          <w:sz w:val="22"/>
          <w:szCs w:val="22"/>
        </w:rPr>
        <w:t>„</w:t>
      </w:r>
      <w:r w:rsidRPr="007178FE">
        <w:rPr>
          <w:rFonts w:ascii="Arial" w:hAnsi="Arial" w:cs="Arial"/>
          <w:sz w:val="22"/>
          <w:szCs w:val="22"/>
        </w:rPr>
        <w:t xml:space="preserve">Státní podpora SA.43448 (2015/N) </w:t>
      </w:r>
      <w:r>
        <w:rPr>
          <w:rFonts w:ascii="Arial" w:hAnsi="Arial" w:cs="Arial"/>
          <w:sz w:val="22"/>
          <w:szCs w:val="22"/>
        </w:rPr>
        <w:t>–</w:t>
      </w:r>
      <w:r w:rsidRPr="007178FE">
        <w:rPr>
          <w:rFonts w:ascii="Arial" w:hAnsi="Arial" w:cs="Arial"/>
          <w:sz w:val="22"/>
          <w:szCs w:val="22"/>
        </w:rPr>
        <w:t xml:space="preserve"> Česká republika </w:t>
      </w:r>
      <w:r>
        <w:rPr>
          <w:rFonts w:ascii="Arial" w:hAnsi="Arial" w:cs="Arial"/>
          <w:sz w:val="22"/>
          <w:szCs w:val="22"/>
        </w:rPr>
        <w:t>–</w:t>
      </w:r>
      <w:r w:rsidRPr="007178FE">
        <w:rPr>
          <w:rFonts w:ascii="Arial" w:hAnsi="Arial" w:cs="Arial"/>
          <w:sz w:val="22"/>
          <w:szCs w:val="22"/>
        </w:rPr>
        <w:t xml:space="preserve"> Podpora výstavby, obnovy, rekonstrukce a</w:t>
      </w:r>
      <w:r>
        <w:rPr>
          <w:rFonts w:ascii="Arial" w:hAnsi="Arial" w:cs="Arial"/>
          <w:sz w:val="22"/>
          <w:szCs w:val="22"/>
        </w:rPr>
        <w:t> </w:t>
      </w:r>
      <w:r w:rsidRPr="007178FE">
        <w:rPr>
          <w:rFonts w:ascii="Arial" w:hAnsi="Arial" w:cs="Arial"/>
          <w:sz w:val="22"/>
          <w:szCs w:val="22"/>
        </w:rPr>
        <w:t>odbahnění rybníků a vodních nádrží</w:t>
      </w:r>
      <w:r>
        <w:rPr>
          <w:rFonts w:ascii="Arial" w:hAnsi="Arial" w:cs="Arial"/>
          <w:sz w:val="22"/>
          <w:szCs w:val="22"/>
        </w:rPr>
        <w:t>“</w:t>
      </w:r>
      <w:r w:rsidRPr="007178FE">
        <w:rPr>
          <w:rFonts w:ascii="Arial" w:hAnsi="Arial" w:cs="Arial"/>
          <w:sz w:val="22"/>
          <w:szCs w:val="22"/>
        </w:rPr>
        <w:t xml:space="preserve"> je považována za slučitelnou se společným trhem podle čl. 107 odst. 3 písm. c) Smlouvy o fungování Evropské unie ze dne 11. 5. 2016 pod č.</w:t>
      </w:r>
      <w:r>
        <w:rPr>
          <w:rFonts w:ascii="Arial" w:hAnsi="Arial" w:cs="Arial"/>
          <w:sz w:val="22"/>
          <w:szCs w:val="22"/>
        </w:rPr>
        <w:t> </w:t>
      </w:r>
      <w:r w:rsidRPr="007178FE">
        <w:rPr>
          <w:rFonts w:ascii="Arial" w:hAnsi="Arial" w:cs="Arial"/>
          <w:sz w:val="22"/>
          <w:szCs w:val="22"/>
        </w:rPr>
        <w:t xml:space="preserve">j. C(2016) 2698 </w:t>
      </w:r>
      <w:proofErr w:type="spellStart"/>
      <w:r w:rsidRPr="007178FE">
        <w:rPr>
          <w:rFonts w:ascii="Arial" w:hAnsi="Arial" w:cs="Arial"/>
          <w:sz w:val="22"/>
          <w:szCs w:val="22"/>
        </w:rPr>
        <w:t>final</w:t>
      </w:r>
      <w:proofErr w:type="spellEnd"/>
      <w:r w:rsidRPr="007178F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„</w:t>
      </w:r>
      <w:r w:rsidRPr="007178FE">
        <w:rPr>
          <w:rFonts w:ascii="Arial" w:hAnsi="Arial" w:cs="Arial"/>
          <w:sz w:val="22"/>
          <w:szCs w:val="22"/>
        </w:rPr>
        <w:t xml:space="preserve">Státní podpora SA.43449 (2015/N) </w:t>
      </w:r>
      <w:r>
        <w:rPr>
          <w:rFonts w:ascii="Arial" w:hAnsi="Arial" w:cs="Arial"/>
          <w:sz w:val="22"/>
          <w:szCs w:val="22"/>
        </w:rPr>
        <w:t>–</w:t>
      </w:r>
      <w:r w:rsidRPr="007178FE">
        <w:rPr>
          <w:rFonts w:ascii="Arial" w:hAnsi="Arial" w:cs="Arial"/>
          <w:sz w:val="22"/>
          <w:szCs w:val="22"/>
        </w:rPr>
        <w:t xml:space="preserve"> Česká republika </w:t>
      </w:r>
      <w:r>
        <w:rPr>
          <w:rFonts w:ascii="Arial" w:hAnsi="Arial" w:cs="Arial"/>
          <w:sz w:val="22"/>
          <w:szCs w:val="22"/>
        </w:rPr>
        <w:t>–</w:t>
      </w:r>
      <w:r w:rsidRPr="007178FE">
        <w:rPr>
          <w:rFonts w:ascii="Arial" w:hAnsi="Arial" w:cs="Arial"/>
          <w:sz w:val="22"/>
          <w:szCs w:val="22"/>
        </w:rPr>
        <w:t xml:space="preserve"> Odstranění havarijních situací na rybnících a vodních nádržích</w:t>
      </w:r>
      <w:r>
        <w:rPr>
          <w:rFonts w:ascii="Arial" w:hAnsi="Arial" w:cs="Arial"/>
          <w:sz w:val="22"/>
          <w:szCs w:val="22"/>
        </w:rPr>
        <w:t>“</w:t>
      </w:r>
      <w:r w:rsidRPr="007178FE">
        <w:rPr>
          <w:rFonts w:ascii="Arial" w:hAnsi="Arial" w:cs="Arial"/>
          <w:sz w:val="22"/>
          <w:szCs w:val="22"/>
        </w:rPr>
        <w:t xml:space="preserve"> je považována za slučitelnou se společným trhem podle čl. 107 odst. 3 písm. c) Smlouvy o fungování Evropské unie ze dne 11. 5. 2016 pod č. j. C(2016) 2692 </w:t>
      </w:r>
      <w:proofErr w:type="spellStart"/>
      <w:r w:rsidRPr="007178FE">
        <w:rPr>
          <w:rFonts w:ascii="Arial" w:hAnsi="Arial" w:cs="Arial"/>
          <w:sz w:val="22"/>
          <w:szCs w:val="22"/>
        </w:rPr>
        <w:t>final</w:t>
      </w:r>
      <w:proofErr w:type="spellEnd"/>
      <w:r w:rsidRPr="007178F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„</w:t>
      </w:r>
      <w:r w:rsidRPr="007178FE">
        <w:rPr>
          <w:rFonts w:ascii="Arial" w:hAnsi="Arial" w:cs="Arial"/>
          <w:sz w:val="22"/>
          <w:szCs w:val="22"/>
        </w:rPr>
        <w:t xml:space="preserve">Státní podpora SA.43450 (2015/N) </w:t>
      </w:r>
      <w:r>
        <w:rPr>
          <w:rFonts w:ascii="Arial" w:hAnsi="Arial" w:cs="Arial"/>
          <w:sz w:val="22"/>
          <w:szCs w:val="22"/>
        </w:rPr>
        <w:t>–</w:t>
      </w:r>
      <w:r w:rsidRPr="007178FE">
        <w:rPr>
          <w:rFonts w:ascii="Arial" w:hAnsi="Arial" w:cs="Arial"/>
          <w:sz w:val="22"/>
          <w:szCs w:val="22"/>
        </w:rPr>
        <w:t xml:space="preserve"> Česká republika </w:t>
      </w:r>
      <w:r>
        <w:rPr>
          <w:rFonts w:ascii="Arial" w:hAnsi="Arial" w:cs="Arial"/>
          <w:sz w:val="22"/>
          <w:szCs w:val="22"/>
        </w:rPr>
        <w:t>–</w:t>
      </w:r>
      <w:r w:rsidRPr="007178FE">
        <w:rPr>
          <w:rFonts w:ascii="Arial" w:hAnsi="Arial" w:cs="Arial"/>
          <w:sz w:val="22"/>
          <w:szCs w:val="22"/>
        </w:rPr>
        <w:t xml:space="preserve"> Odstranění povodňových škod na rybnících a vodních nádržích</w:t>
      </w:r>
      <w:r>
        <w:rPr>
          <w:rFonts w:ascii="Arial" w:hAnsi="Arial" w:cs="Arial"/>
          <w:sz w:val="22"/>
          <w:szCs w:val="22"/>
        </w:rPr>
        <w:t>“</w:t>
      </w:r>
      <w:r w:rsidRPr="007178FE">
        <w:rPr>
          <w:rFonts w:ascii="Arial" w:hAnsi="Arial" w:cs="Arial"/>
          <w:sz w:val="22"/>
          <w:szCs w:val="22"/>
        </w:rPr>
        <w:t xml:space="preserve"> je považována za slučitelnou se společným trhem podle čl. 107 odst. 3 písm. c) Smlouvy o</w:t>
      </w:r>
      <w:r>
        <w:rPr>
          <w:rFonts w:ascii="Arial" w:hAnsi="Arial" w:cs="Arial"/>
          <w:sz w:val="22"/>
          <w:szCs w:val="22"/>
        </w:rPr>
        <w:t> </w:t>
      </w:r>
      <w:r w:rsidRPr="007178FE">
        <w:rPr>
          <w:rFonts w:ascii="Arial" w:hAnsi="Arial" w:cs="Arial"/>
          <w:sz w:val="22"/>
          <w:szCs w:val="22"/>
        </w:rPr>
        <w:t xml:space="preserve">fungování Evropské unie ze dne 11. 5. 2016 pod č. j. C(2016) 2696 </w:t>
      </w:r>
      <w:proofErr w:type="spellStart"/>
      <w:r w:rsidRPr="007178FE">
        <w:rPr>
          <w:rFonts w:ascii="Arial" w:hAnsi="Arial" w:cs="Arial"/>
          <w:sz w:val="22"/>
          <w:szCs w:val="22"/>
        </w:rPr>
        <w:t>final</w:t>
      </w:r>
      <w:proofErr w:type="spellEnd"/>
      <w:r w:rsidRPr="007178FE">
        <w:rPr>
          <w:rFonts w:ascii="Arial" w:hAnsi="Arial" w:cs="Arial"/>
          <w:sz w:val="22"/>
          <w:szCs w:val="22"/>
        </w:rPr>
        <w:t>.</w:t>
      </w:r>
    </w:p>
    <w:p w14:paraId="71EAC28D" w14:textId="77777777" w:rsidR="008F1D22" w:rsidRPr="00FD6BE1" w:rsidRDefault="00C24FBB" w:rsidP="0069196D">
      <w:pPr>
        <w:spacing w:before="240" w:after="20"/>
        <w:jc w:val="both"/>
        <w:rPr>
          <w:rFonts w:ascii="Arial" w:hAnsi="Arial" w:cs="Arial"/>
          <w:b/>
          <w:sz w:val="22"/>
          <w:szCs w:val="22"/>
        </w:rPr>
      </w:pPr>
      <w:r w:rsidRPr="00FD6BE1">
        <w:rPr>
          <w:rFonts w:ascii="Arial" w:hAnsi="Arial" w:cs="Arial"/>
          <w:b/>
          <w:sz w:val="22"/>
          <w:szCs w:val="22"/>
        </w:rPr>
        <w:t>B.</w:t>
      </w:r>
      <w:r w:rsidR="008F1D22" w:rsidRPr="00FD6BE1">
        <w:rPr>
          <w:rFonts w:ascii="Arial" w:hAnsi="Arial" w:cs="Arial"/>
          <w:b/>
          <w:sz w:val="22"/>
          <w:szCs w:val="22"/>
        </w:rPr>
        <w:t>1.</w:t>
      </w:r>
      <w:r w:rsidR="00343F56">
        <w:rPr>
          <w:rFonts w:ascii="Arial" w:hAnsi="Arial" w:cs="Arial"/>
          <w:b/>
          <w:sz w:val="22"/>
          <w:szCs w:val="22"/>
        </w:rPr>
        <w:t>1</w:t>
      </w:r>
      <w:r w:rsidR="008F1D22" w:rsidRPr="00FD6BE1">
        <w:rPr>
          <w:rFonts w:ascii="Arial" w:hAnsi="Arial" w:cs="Arial"/>
          <w:b/>
          <w:sz w:val="22"/>
          <w:szCs w:val="22"/>
        </w:rPr>
        <w:t xml:space="preserve"> Program 129 260 </w:t>
      </w:r>
      <w:r w:rsidR="00E515E2">
        <w:rPr>
          <w:rFonts w:ascii="Arial" w:hAnsi="Arial" w:cs="Arial"/>
          <w:b/>
          <w:sz w:val="22"/>
          <w:szCs w:val="22"/>
        </w:rPr>
        <w:t>„</w:t>
      </w:r>
      <w:r w:rsidR="008F1D22" w:rsidRPr="00FD6BE1">
        <w:rPr>
          <w:rFonts w:ascii="Arial" w:hAnsi="Arial" w:cs="Arial"/>
          <w:b/>
          <w:sz w:val="22"/>
          <w:szCs w:val="22"/>
        </w:rPr>
        <w:t>Podpora prevence před povodněmi III</w:t>
      </w:r>
      <w:r w:rsidR="00E515E2">
        <w:rPr>
          <w:rFonts w:ascii="Arial" w:hAnsi="Arial" w:cs="Arial"/>
          <w:b/>
          <w:sz w:val="22"/>
          <w:szCs w:val="22"/>
        </w:rPr>
        <w:t>“</w:t>
      </w:r>
      <w:r w:rsidR="008F1D22" w:rsidRPr="00FD6BE1">
        <w:rPr>
          <w:rFonts w:ascii="Arial" w:hAnsi="Arial" w:cs="Arial"/>
          <w:b/>
          <w:sz w:val="22"/>
          <w:szCs w:val="22"/>
        </w:rPr>
        <w:t xml:space="preserve"> </w:t>
      </w:r>
      <w:r w:rsidR="005E5E03" w:rsidRPr="00FD6BE1">
        <w:rPr>
          <w:rFonts w:ascii="Arial" w:hAnsi="Arial" w:cs="Arial"/>
          <w:b/>
          <w:sz w:val="22"/>
          <w:szCs w:val="22"/>
        </w:rPr>
        <w:t>(2014–20</w:t>
      </w:r>
      <w:r w:rsidR="00343F56">
        <w:rPr>
          <w:rFonts w:ascii="Arial" w:hAnsi="Arial" w:cs="Arial"/>
          <w:b/>
          <w:sz w:val="22"/>
          <w:szCs w:val="22"/>
        </w:rPr>
        <w:t>22</w:t>
      </w:r>
      <w:r w:rsidR="005E5E03" w:rsidRPr="00FD6BE1">
        <w:rPr>
          <w:rFonts w:ascii="Arial" w:hAnsi="Arial" w:cs="Arial"/>
          <w:b/>
          <w:sz w:val="22"/>
          <w:szCs w:val="22"/>
        </w:rPr>
        <w:t>)</w:t>
      </w:r>
    </w:p>
    <w:p w14:paraId="56369714" w14:textId="77777777" w:rsidR="002C33F6" w:rsidRDefault="002C33F6" w:rsidP="002C33F6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74EBDD9" w14:textId="2F075CB1" w:rsidR="006A15E6" w:rsidRDefault="000635C6" w:rsidP="002C33F6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D6BE1">
        <w:rPr>
          <w:rFonts w:ascii="Arial" w:hAnsi="Arial" w:cs="Arial"/>
          <w:sz w:val="22"/>
          <w:szCs w:val="22"/>
        </w:rPr>
        <w:t xml:space="preserve">Program navazuje na úspěšnou I. etapu (2002–2007) a II. etapu (2007–2014) </w:t>
      </w:r>
      <w:r w:rsidR="00E515E2" w:rsidRPr="00FD6BE1">
        <w:rPr>
          <w:rFonts w:ascii="Arial" w:hAnsi="Arial" w:cs="Arial"/>
          <w:sz w:val="22"/>
          <w:szCs w:val="22"/>
        </w:rPr>
        <w:t xml:space="preserve">programu prevence před povodněmi </w:t>
      </w:r>
      <w:r w:rsidRPr="00FD6BE1">
        <w:rPr>
          <w:rFonts w:ascii="Arial" w:hAnsi="Arial" w:cs="Arial"/>
          <w:sz w:val="22"/>
          <w:szCs w:val="22"/>
        </w:rPr>
        <w:t>a zároveň vznikl v souvislosti s implementací směrnice 2007/60/ES o</w:t>
      </w:r>
      <w:r w:rsidR="0093094A" w:rsidRPr="00FD6BE1">
        <w:rPr>
          <w:rFonts w:ascii="Arial" w:hAnsi="Arial" w:cs="Arial"/>
          <w:sz w:val="22"/>
          <w:szCs w:val="22"/>
        </w:rPr>
        <w:t> </w:t>
      </w:r>
      <w:r w:rsidRPr="00FD6BE1">
        <w:rPr>
          <w:rFonts w:ascii="Arial" w:hAnsi="Arial" w:cs="Arial"/>
          <w:sz w:val="22"/>
          <w:szCs w:val="22"/>
        </w:rPr>
        <w:t xml:space="preserve">vyhodnocování a zvládání povodňových rizik. </w:t>
      </w:r>
      <w:r w:rsidR="00714B49" w:rsidRPr="00FD6BE1">
        <w:rPr>
          <w:rFonts w:ascii="Arial" w:hAnsi="Arial" w:cs="Arial"/>
          <w:sz w:val="22"/>
          <w:szCs w:val="22"/>
        </w:rPr>
        <w:t xml:space="preserve">Dokumentace </w:t>
      </w:r>
      <w:r w:rsidR="006A15E6">
        <w:rPr>
          <w:rFonts w:ascii="Arial" w:hAnsi="Arial" w:cs="Arial"/>
          <w:sz w:val="22"/>
          <w:szCs w:val="22"/>
        </w:rPr>
        <w:t>P</w:t>
      </w:r>
      <w:r w:rsidR="006A15E6" w:rsidRPr="00FD6BE1">
        <w:rPr>
          <w:rFonts w:ascii="Arial" w:hAnsi="Arial" w:cs="Arial"/>
          <w:sz w:val="22"/>
          <w:szCs w:val="22"/>
        </w:rPr>
        <w:t xml:space="preserve">rogramu </w:t>
      </w:r>
      <w:r w:rsidR="00714B49" w:rsidRPr="00FD6BE1">
        <w:rPr>
          <w:rFonts w:ascii="Arial" w:hAnsi="Arial" w:cs="Arial"/>
          <w:sz w:val="22"/>
          <w:szCs w:val="22"/>
        </w:rPr>
        <w:t>byla schválena Ministerstvem financí pod č.</w:t>
      </w:r>
      <w:r w:rsidR="00A239D9" w:rsidRPr="00FD6BE1">
        <w:rPr>
          <w:rFonts w:ascii="Arial" w:hAnsi="Arial" w:cs="Arial"/>
          <w:sz w:val="22"/>
          <w:szCs w:val="22"/>
        </w:rPr>
        <w:t xml:space="preserve"> </w:t>
      </w:r>
      <w:r w:rsidR="00714B49" w:rsidRPr="00FD6BE1">
        <w:rPr>
          <w:rFonts w:ascii="Arial" w:hAnsi="Arial" w:cs="Arial"/>
          <w:sz w:val="22"/>
          <w:szCs w:val="22"/>
        </w:rPr>
        <w:t>j. MF-40702/2014/1904 dne 9.</w:t>
      </w:r>
      <w:r w:rsidR="00E435E5" w:rsidRPr="00FD6BE1">
        <w:rPr>
          <w:rFonts w:ascii="Arial" w:hAnsi="Arial" w:cs="Arial"/>
          <w:sz w:val="22"/>
          <w:szCs w:val="22"/>
        </w:rPr>
        <w:t> </w:t>
      </w:r>
      <w:r w:rsidR="00714B49" w:rsidRPr="00FD6BE1">
        <w:rPr>
          <w:rFonts w:ascii="Arial" w:hAnsi="Arial" w:cs="Arial"/>
          <w:sz w:val="22"/>
          <w:szCs w:val="22"/>
        </w:rPr>
        <w:t>5.</w:t>
      </w:r>
      <w:r w:rsidR="00E435E5" w:rsidRPr="00FD6BE1">
        <w:rPr>
          <w:rFonts w:ascii="Arial" w:hAnsi="Arial" w:cs="Arial"/>
          <w:sz w:val="22"/>
          <w:szCs w:val="22"/>
        </w:rPr>
        <w:t> </w:t>
      </w:r>
      <w:r w:rsidR="00714B49" w:rsidRPr="00FD6BE1">
        <w:rPr>
          <w:rFonts w:ascii="Arial" w:hAnsi="Arial" w:cs="Arial"/>
          <w:sz w:val="22"/>
          <w:szCs w:val="22"/>
        </w:rPr>
        <w:t>2014, resp. její 1</w:t>
      </w:r>
      <w:r w:rsidR="006254C3" w:rsidRPr="00FD6BE1">
        <w:rPr>
          <w:rFonts w:ascii="Arial" w:hAnsi="Arial" w:cs="Arial"/>
          <w:sz w:val="22"/>
          <w:szCs w:val="22"/>
        </w:rPr>
        <w:t>.</w:t>
      </w:r>
      <w:r w:rsidR="006254C3">
        <w:rPr>
          <w:rFonts w:ascii="Arial" w:hAnsi="Arial" w:cs="Arial"/>
          <w:sz w:val="22"/>
          <w:szCs w:val="22"/>
        </w:rPr>
        <w:t> </w:t>
      </w:r>
      <w:r w:rsidR="00714B49" w:rsidRPr="00FD6BE1">
        <w:rPr>
          <w:rFonts w:ascii="Arial" w:hAnsi="Arial" w:cs="Arial"/>
          <w:sz w:val="22"/>
          <w:szCs w:val="22"/>
        </w:rPr>
        <w:t xml:space="preserve">změna </w:t>
      </w:r>
      <w:r w:rsidR="002C33F6">
        <w:rPr>
          <w:rFonts w:ascii="Arial" w:hAnsi="Arial" w:cs="Arial"/>
          <w:sz w:val="22"/>
          <w:szCs w:val="22"/>
        </w:rPr>
        <w:t xml:space="preserve">pod </w:t>
      </w:r>
      <w:r w:rsidR="00714B49" w:rsidRPr="00FD6BE1">
        <w:rPr>
          <w:rFonts w:ascii="Arial" w:hAnsi="Arial" w:cs="Arial"/>
          <w:sz w:val="22"/>
          <w:szCs w:val="22"/>
        </w:rPr>
        <w:t>č.</w:t>
      </w:r>
      <w:r w:rsidR="00E435E5" w:rsidRPr="00FD6BE1">
        <w:rPr>
          <w:rFonts w:ascii="Arial" w:hAnsi="Arial" w:cs="Arial"/>
          <w:sz w:val="22"/>
          <w:szCs w:val="22"/>
        </w:rPr>
        <w:t> </w:t>
      </w:r>
      <w:r w:rsidR="00714B49" w:rsidRPr="00FD6BE1">
        <w:rPr>
          <w:rFonts w:ascii="Arial" w:hAnsi="Arial" w:cs="Arial"/>
          <w:sz w:val="22"/>
          <w:szCs w:val="22"/>
        </w:rPr>
        <w:t>j. MF-56616/2014/1904 ze dne 14.</w:t>
      </w:r>
      <w:r w:rsidR="00E435E5" w:rsidRPr="00FD6BE1">
        <w:rPr>
          <w:rFonts w:ascii="Arial" w:hAnsi="Arial" w:cs="Arial"/>
          <w:sz w:val="22"/>
          <w:szCs w:val="22"/>
        </w:rPr>
        <w:t> </w:t>
      </w:r>
      <w:r w:rsidR="00714B49" w:rsidRPr="00FD6BE1">
        <w:rPr>
          <w:rFonts w:ascii="Arial" w:hAnsi="Arial" w:cs="Arial"/>
          <w:sz w:val="22"/>
          <w:szCs w:val="22"/>
        </w:rPr>
        <w:t>8.</w:t>
      </w:r>
      <w:r w:rsidR="00E435E5" w:rsidRPr="00FD6BE1">
        <w:rPr>
          <w:rFonts w:ascii="Arial" w:hAnsi="Arial" w:cs="Arial"/>
          <w:sz w:val="22"/>
          <w:szCs w:val="22"/>
        </w:rPr>
        <w:t> </w:t>
      </w:r>
      <w:r w:rsidR="00714B49" w:rsidRPr="00FD6BE1">
        <w:rPr>
          <w:rFonts w:ascii="Arial" w:hAnsi="Arial" w:cs="Arial"/>
          <w:sz w:val="22"/>
          <w:szCs w:val="22"/>
        </w:rPr>
        <w:t>2014</w:t>
      </w:r>
      <w:r w:rsidR="006254C3">
        <w:rPr>
          <w:rFonts w:ascii="Arial" w:hAnsi="Arial" w:cs="Arial"/>
          <w:sz w:val="22"/>
          <w:szCs w:val="22"/>
        </w:rPr>
        <w:t xml:space="preserve"> </w:t>
      </w:r>
      <w:r w:rsidR="006254C3" w:rsidRPr="006254C3">
        <w:rPr>
          <w:rFonts w:ascii="Arial" w:hAnsi="Arial" w:cs="Arial"/>
          <w:sz w:val="22"/>
          <w:szCs w:val="22"/>
        </w:rPr>
        <w:t>2014</w:t>
      </w:r>
      <w:r w:rsidR="00012FC8">
        <w:rPr>
          <w:rFonts w:ascii="Arial" w:hAnsi="Arial" w:cs="Arial"/>
          <w:sz w:val="22"/>
          <w:szCs w:val="22"/>
        </w:rPr>
        <w:t>,</w:t>
      </w:r>
      <w:r w:rsidR="006254C3" w:rsidRPr="006254C3">
        <w:rPr>
          <w:rFonts w:ascii="Arial" w:hAnsi="Arial" w:cs="Arial"/>
          <w:sz w:val="22"/>
          <w:szCs w:val="22"/>
        </w:rPr>
        <w:t xml:space="preserve"> 2. změna </w:t>
      </w:r>
      <w:r w:rsidR="002C33F6">
        <w:rPr>
          <w:rFonts w:ascii="Arial" w:hAnsi="Arial" w:cs="Arial"/>
          <w:sz w:val="22"/>
          <w:szCs w:val="22"/>
        </w:rPr>
        <w:t xml:space="preserve">pod </w:t>
      </w:r>
      <w:r w:rsidR="006254C3" w:rsidRPr="006254C3">
        <w:rPr>
          <w:rFonts w:ascii="Arial" w:hAnsi="Arial" w:cs="Arial"/>
          <w:sz w:val="22"/>
          <w:szCs w:val="22"/>
        </w:rPr>
        <w:t>č.</w:t>
      </w:r>
      <w:r w:rsidR="00D66E41">
        <w:rPr>
          <w:rFonts w:ascii="Arial" w:hAnsi="Arial" w:cs="Arial"/>
          <w:sz w:val="22"/>
          <w:szCs w:val="22"/>
        </w:rPr>
        <w:t> </w:t>
      </w:r>
      <w:r w:rsidR="006254C3" w:rsidRPr="006254C3">
        <w:rPr>
          <w:rFonts w:ascii="Arial" w:hAnsi="Arial" w:cs="Arial"/>
          <w:sz w:val="22"/>
          <w:szCs w:val="22"/>
        </w:rPr>
        <w:t>j. MF-22669</w:t>
      </w:r>
      <w:r w:rsidR="006254C3">
        <w:rPr>
          <w:rFonts w:ascii="Arial" w:hAnsi="Arial" w:cs="Arial"/>
          <w:sz w:val="22"/>
          <w:szCs w:val="22"/>
        </w:rPr>
        <w:t>/2016/1904-2 ze dne 22.</w:t>
      </w:r>
      <w:r w:rsidR="006A15E6">
        <w:rPr>
          <w:rFonts w:ascii="Arial" w:hAnsi="Arial" w:cs="Arial"/>
          <w:sz w:val="22"/>
          <w:szCs w:val="22"/>
        </w:rPr>
        <w:t> </w:t>
      </w:r>
      <w:r w:rsidR="006254C3">
        <w:rPr>
          <w:rFonts w:ascii="Arial" w:hAnsi="Arial" w:cs="Arial"/>
          <w:sz w:val="22"/>
          <w:szCs w:val="22"/>
        </w:rPr>
        <w:t>6.</w:t>
      </w:r>
      <w:r w:rsidR="006A15E6">
        <w:rPr>
          <w:rFonts w:ascii="Arial" w:hAnsi="Arial" w:cs="Arial"/>
          <w:sz w:val="22"/>
          <w:szCs w:val="22"/>
        </w:rPr>
        <w:t> </w:t>
      </w:r>
      <w:r w:rsidR="006254C3">
        <w:rPr>
          <w:rFonts w:ascii="Arial" w:hAnsi="Arial" w:cs="Arial"/>
          <w:sz w:val="22"/>
          <w:szCs w:val="22"/>
        </w:rPr>
        <w:t>2016</w:t>
      </w:r>
      <w:r w:rsidR="00343F56">
        <w:rPr>
          <w:rFonts w:ascii="Arial" w:hAnsi="Arial" w:cs="Arial"/>
          <w:sz w:val="22"/>
          <w:szCs w:val="22"/>
        </w:rPr>
        <w:t xml:space="preserve">, 3. změna </w:t>
      </w:r>
      <w:r w:rsidR="002C33F6">
        <w:rPr>
          <w:rFonts w:ascii="Arial" w:hAnsi="Arial" w:cs="Arial"/>
          <w:sz w:val="22"/>
          <w:szCs w:val="22"/>
        </w:rPr>
        <w:t xml:space="preserve">pod </w:t>
      </w:r>
      <w:r w:rsidR="00343F56">
        <w:rPr>
          <w:rFonts w:ascii="Arial" w:hAnsi="Arial" w:cs="Arial"/>
          <w:sz w:val="22"/>
          <w:szCs w:val="22"/>
        </w:rPr>
        <w:t>č. j. MF</w:t>
      </w:r>
      <w:r w:rsidR="002F375C">
        <w:rPr>
          <w:rFonts w:ascii="Arial" w:hAnsi="Arial" w:cs="Arial"/>
          <w:sz w:val="22"/>
          <w:szCs w:val="22"/>
        </w:rPr>
        <w:t>-</w:t>
      </w:r>
      <w:r w:rsidR="00D959A3">
        <w:rPr>
          <w:rFonts w:ascii="Arial" w:hAnsi="Arial" w:cs="Arial"/>
          <w:sz w:val="22"/>
          <w:szCs w:val="22"/>
          <w:lang w:val="en-US"/>
        </w:rPr>
        <w:t xml:space="preserve"> </w:t>
      </w:r>
      <w:r w:rsidR="00343F56">
        <w:rPr>
          <w:rFonts w:ascii="Arial" w:hAnsi="Arial" w:cs="Arial"/>
          <w:sz w:val="22"/>
          <w:szCs w:val="22"/>
        </w:rPr>
        <w:t xml:space="preserve">6604/2018/1904-2 ze dne 8. 3. 2018 a 4. změna </w:t>
      </w:r>
      <w:r w:rsidR="002C33F6">
        <w:rPr>
          <w:rFonts w:ascii="Arial" w:hAnsi="Arial" w:cs="Arial"/>
          <w:sz w:val="22"/>
          <w:szCs w:val="22"/>
        </w:rPr>
        <w:t xml:space="preserve">pod </w:t>
      </w:r>
      <w:r w:rsidR="00343F56">
        <w:rPr>
          <w:rFonts w:ascii="Arial" w:hAnsi="Arial" w:cs="Arial"/>
          <w:sz w:val="22"/>
          <w:szCs w:val="22"/>
        </w:rPr>
        <w:t>č. j. MF-22529/2019-1904-</w:t>
      </w:r>
      <w:r w:rsidR="00E20B95">
        <w:rPr>
          <w:rFonts w:ascii="Arial" w:hAnsi="Arial" w:cs="Arial"/>
          <w:sz w:val="22"/>
          <w:szCs w:val="22"/>
        </w:rPr>
        <w:t>2</w:t>
      </w:r>
      <w:r w:rsidR="00343F56">
        <w:rPr>
          <w:rFonts w:ascii="Arial" w:hAnsi="Arial" w:cs="Arial"/>
          <w:sz w:val="22"/>
          <w:szCs w:val="22"/>
        </w:rPr>
        <w:t xml:space="preserve"> ze dne 23. 9. 2019.</w:t>
      </w:r>
      <w:r w:rsidR="00714B49" w:rsidRPr="00FD6BE1">
        <w:rPr>
          <w:rFonts w:ascii="Arial" w:hAnsi="Arial" w:cs="Arial"/>
          <w:sz w:val="22"/>
          <w:szCs w:val="22"/>
        </w:rPr>
        <w:t xml:space="preserve"> </w:t>
      </w:r>
    </w:p>
    <w:p w14:paraId="72D5F0AA" w14:textId="77777777" w:rsidR="002C33F6" w:rsidRDefault="002C33F6" w:rsidP="002C33F6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47EAADD" w14:textId="1A2527B5" w:rsidR="000635C6" w:rsidRDefault="000635C6" w:rsidP="002C33F6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D6BE1">
        <w:rPr>
          <w:rFonts w:ascii="Arial" w:hAnsi="Arial" w:cs="Arial"/>
          <w:sz w:val="22"/>
          <w:szCs w:val="22"/>
        </w:rPr>
        <w:t xml:space="preserve">Opatření tohoto dotačního titulu </w:t>
      </w:r>
      <w:r w:rsidR="006254C3">
        <w:rPr>
          <w:rFonts w:ascii="Arial" w:hAnsi="Arial" w:cs="Arial"/>
          <w:sz w:val="22"/>
          <w:szCs w:val="22"/>
        </w:rPr>
        <w:t>jsou</w:t>
      </w:r>
      <w:r w:rsidR="006254C3" w:rsidRPr="00FD6BE1">
        <w:rPr>
          <w:rFonts w:ascii="Arial" w:hAnsi="Arial" w:cs="Arial"/>
          <w:sz w:val="22"/>
          <w:szCs w:val="22"/>
        </w:rPr>
        <w:t xml:space="preserve"> </w:t>
      </w:r>
      <w:r w:rsidRPr="00FD6BE1">
        <w:rPr>
          <w:rFonts w:ascii="Arial" w:hAnsi="Arial" w:cs="Arial"/>
          <w:sz w:val="22"/>
          <w:szCs w:val="22"/>
        </w:rPr>
        <w:t xml:space="preserve">zaměřena především na zvýšení retence, tedy opatření k řízeným rozlivům povodní, poldry a vodní nádrže s retenčními prostory. </w:t>
      </w:r>
      <w:r w:rsidR="006254C3">
        <w:rPr>
          <w:rFonts w:ascii="Arial" w:hAnsi="Arial" w:cs="Arial"/>
          <w:sz w:val="22"/>
          <w:szCs w:val="22"/>
        </w:rPr>
        <w:t>P</w:t>
      </w:r>
      <w:r w:rsidRPr="00FD6BE1">
        <w:rPr>
          <w:rFonts w:ascii="Arial" w:hAnsi="Arial" w:cs="Arial"/>
          <w:sz w:val="22"/>
          <w:szCs w:val="22"/>
        </w:rPr>
        <w:t xml:space="preserve">odporována </w:t>
      </w:r>
      <w:r w:rsidR="006254C3">
        <w:rPr>
          <w:rFonts w:ascii="Arial" w:hAnsi="Arial" w:cs="Arial"/>
          <w:sz w:val="22"/>
          <w:szCs w:val="22"/>
        </w:rPr>
        <w:t xml:space="preserve">jsou zejména </w:t>
      </w:r>
      <w:r w:rsidRPr="00FD6BE1">
        <w:rPr>
          <w:rFonts w:ascii="Arial" w:hAnsi="Arial" w:cs="Arial"/>
          <w:sz w:val="22"/>
          <w:szCs w:val="22"/>
        </w:rPr>
        <w:t xml:space="preserve">chybějící opatření v oblastech s potenciálně významným povodňovým rizikem </w:t>
      </w:r>
      <w:r w:rsidRPr="00FD6BE1">
        <w:rPr>
          <w:rFonts w:ascii="Arial" w:hAnsi="Arial" w:cs="Arial"/>
          <w:sz w:val="22"/>
          <w:szCs w:val="22"/>
        </w:rPr>
        <w:lastRenderedPageBreak/>
        <w:t>vymezených podle tzv. povodňové směrnice 2007/60/ES. Program je schválen na období 2014–20</w:t>
      </w:r>
      <w:r w:rsidR="009D2E17">
        <w:rPr>
          <w:rFonts w:ascii="Arial" w:hAnsi="Arial" w:cs="Arial"/>
          <w:sz w:val="22"/>
          <w:szCs w:val="22"/>
        </w:rPr>
        <w:t>2</w:t>
      </w:r>
      <w:r w:rsidR="000B27E2">
        <w:rPr>
          <w:rFonts w:ascii="Arial" w:hAnsi="Arial" w:cs="Arial"/>
          <w:sz w:val="22"/>
          <w:szCs w:val="22"/>
        </w:rPr>
        <w:t>2</w:t>
      </w:r>
      <w:r w:rsidRPr="00FD6BE1">
        <w:rPr>
          <w:rFonts w:ascii="Arial" w:hAnsi="Arial" w:cs="Arial"/>
          <w:sz w:val="22"/>
          <w:szCs w:val="22"/>
        </w:rPr>
        <w:t xml:space="preserve">, jeho administrace se řídí podle Pravidel České republiky – Ministerstva zemědělství </w:t>
      </w:r>
      <w:r w:rsidR="006254C3">
        <w:rPr>
          <w:rFonts w:ascii="Arial" w:hAnsi="Arial" w:cs="Arial"/>
          <w:sz w:val="22"/>
          <w:szCs w:val="22"/>
        </w:rPr>
        <w:t xml:space="preserve">č. j. </w:t>
      </w:r>
      <w:r w:rsidR="006254C3" w:rsidRPr="006254C3">
        <w:rPr>
          <w:rFonts w:ascii="Arial" w:hAnsi="Arial" w:cs="Arial"/>
          <w:sz w:val="22"/>
          <w:szCs w:val="22"/>
        </w:rPr>
        <w:t xml:space="preserve">62570/2015-MZE-15122 </w:t>
      </w:r>
      <w:r w:rsidRPr="00FD6BE1">
        <w:rPr>
          <w:rFonts w:ascii="Arial" w:hAnsi="Arial" w:cs="Arial"/>
          <w:sz w:val="22"/>
          <w:szCs w:val="22"/>
        </w:rPr>
        <w:t xml:space="preserve">pro poskytování </w:t>
      </w:r>
      <w:r w:rsidR="006254C3" w:rsidRPr="006254C3">
        <w:rPr>
          <w:rFonts w:ascii="Arial" w:hAnsi="Arial" w:cs="Arial"/>
          <w:sz w:val="22"/>
          <w:szCs w:val="22"/>
        </w:rPr>
        <w:t xml:space="preserve">dotací z programu 129 260 </w:t>
      </w:r>
      <w:r w:rsidR="00F978CD">
        <w:rPr>
          <w:rFonts w:ascii="Arial" w:hAnsi="Arial" w:cs="Arial"/>
          <w:sz w:val="22"/>
          <w:szCs w:val="22"/>
        </w:rPr>
        <w:t>„</w:t>
      </w:r>
      <w:r w:rsidR="006254C3" w:rsidRPr="006254C3">
        <w:rPr>
          <w:rFonts w:ascii="Arial" w:hAnsi="Arial" w:cs="Arial"/>
          <w:sz w:val="22"/>
          <w:szCs w:val="22"/>
        </w:rPr>
        <w:t>Podpora prevence před povo</w:t>
      </w:r>
      <w:r w:rsidR="006254C3">
        <w:rPr>
          <w:rFonts w:ascii="Arial" w:hAnsi="Arial" w:cs="Arial"/>
          <w:sz w:val="22"/>
          <w:szCs w:val="22"/>
        </w:rPr>
        <w:t>dněmi III</w:t>
      </w:r>
      <w:r w:rsidR="00F978CD">
        <w:rPr>
          <w:rFonts w:ascii="Arial" w:hAnsi="Arial" w:cs="Arial"/>
          <w:sz w:val="22"/>
          <w:szCs w:val="22"/>
        </w:rPr>
        <w:t>“</w:t>
      </w:r>
      <w:r w:rsidRPr="00FD6BE1">
        <w:rPr>
          <w:rFonts w:ascii="Arial" w:hAnsi="Arial" w:cs="Arial"/>
          <w:sz w:val="22"/>
          <w:szCs w:val="22"/>
        </w:rPr>
        <w:t>.</w:t>
      </w:r>
      <w:r w:rsidR="009D2E17">
        <w:rPr>
          <w:rFonts w:ascii="Arial" w:hAnsi="Arial" w:cs="Arial"/>
          <w:sz w:val="22"/>
          <w:szCs w:val="22"/>
        </w:rPr>
        <w:t xml:space="preserve"> Příjem nových žádostí byl ukončen k 30. 11. 2019.</w:t>
      </w:r>
    </w:p>
    <w:p w14:paraId="5A6D9290" w14:textId="77777777" w:rsidR="002C33F6" w:rsidRPr="00FD6BE1" w:rsidRDefault="002C33F6" w:rsidP="002C33F6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89C7395" w14:textId="77777777" w:rsidR="000635C6" w:rsidRPr="00FD6BE1" w:rsidRDefault="000635C6" w:rsidP="002C33F6">
      <w:pPr>
        <w:pStyle w:val="perex"/>
        <w:spacing w:before="0" w:beforeAutospacing="0" w:after="0" w:afterAutospacing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FD6BE1">
        <w:rPr>
          <w:rStyle w:val="Siln"/>
          <w:rFonts w:ascii="Arial" w:hAnsi="Arial" w:cs="Arial"/>
          <w:b w:val="0"/>
          <w:sz w:val="22"/>
          <w:szCs w:val="22"/>
        </w:rPr>
        <w:t>Dotační program je rozčleněn na čtyři podprogramy</w:t>
      </w:r>
      <w:r w:rsidR="006A15E6">
        <w:rPr>
          <w:rStyle w:val="Siln"/>
          <w:rFonts w:ascii="Arial" w:hAnsi="Arial" w:cs="Arial"/>
          <w:b w:val="0"/>
          <w:sz w:val="22"/>
          <w:szCs w:val="22"/>
        </w:rPr>
        <w:t>: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 xml:space="preserve"> 129 262 </w:t>
      </w:r>
      <w:r w:rsidR="00F978CD">
        <w:rPr>
          <w:rStyle w:val="Siln"/>
          <w:rFonts w:ascii="Arial" w:hAnsi="Arial" w:cs="Arial"/>
          <w:b w:val="0"/>
          <w:sz w:val="22"/>
          <w:szCs w:val="22"/>
        </w:rPr>
        <w:t>„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Podpora projektové dokumentace pro územní řízení</w:t>
      </w:r>
      <w:r w:rsidR="009C6446">
        <w:rPr>
          <w:rStyle w:val="Siln"/>
          <w:rFonts w:ascii="Arial" w:hAnsi="Arial" w:cs="Arial"/>
          <w:b w:val="0"/>
          <w:sz w:val="22"/>
          <w:szCs w:val="22"/>
        </w:rPr>
        <w:t>“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 xml:space="preserve">, 129 263 </w:t>
      </w:r>
      <w:r w:rsidR="00F978CD">
        <w:rPr>
          <w:rStyle w:val="Siln"/>
          <w:rFonts w:ascii="Arial" w:hAnsi="Arial" w:cs="Arial"/>
          <w:b w:val="0"/>
          <w:sz w:val="22"/>
          <w:szCs w:val="22"/>
        </w:rPr>
        <w:t>„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Podpora projektové dokumentace pro stavební řízení</w:t>
      </w:r>
      <w:r w:rsidR="00F978CD">
        <w:rPr>
          <w:rStyle w:val="Siln"/>
          <w:rFonts w:ascii="Arial" w:hAnsi="Arial" w:cs="Arial"/>
          <w:b w:val="0"/>
          <w:sz w:val="22"/>
          <w:szCs w:val="22"/>
        </w:rPr>
        <w:t>“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 xml:space="preserve">, 129 264 </w:t>
      </w:r>
      <w:r w:rsidR="00F978CD">
        <w:rPr>
          <w:rStyle w:val="Siln"/>
          <w:rFonts w:ascii="Arial" w:hAnsi="Arial" w:cs="Arial"/>
          <w:b w:val="0"/>
          <w:sz w:val="22"/>
          <w:szCs w:val="22"/>
        </w:rPr>
        <w:t>„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Podpora protipovodňových opatření s</w:t>
      </w:r>
      <w:r w:rsidR="00F978CD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retencí</w:t>
      </w:r>
      <w:r w:rsidR="00F978CD">
        <w:rPr>
          <w:rStyle w:val="Siln"/>
          <w:rFonts w:ascii="Arial" w:hAnsi="Arial" w:cs="Arial"/>
          <w:b w:val="0"/>
          <w:sz w:val="22"/>
          <w:szCs w:val="22"/>
        </w:rPr>
        <w:t>“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 xml:space="preserve"> a 129 265</w:t>
      </w:r>
      <w:r w:rsidR="00046AD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978CD">
        <w:rPr>
          <w:rStyle w:val="Siln"/>
          <w:rFonts w:ascii="Arial" w:hAnsi="Arial" w:cs="Arial"/>
          <w:b w:val="0"/>
          <w:sz w:val="22"/>
          <w:szCs w:val="22"/>
        </w:rPr>
        <w:t>„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Podpora protipovodňových opatření podél vodních toků</w:t>
      </w:r>
      <w:r w:rsidR="00F978CD">
        <w:rPr>
          <w:rStyle w:val="Siln"/>
          <w:rFonts w:ascii="Arial" w:hAnsi="Arial" w:cs="Arial"/>
          <w:b w:val="0"/>
          <w:sz w:val="22"/>
          <w:szCs w:val="22"/>
        </w:rPr>
        <w:t>“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 xml:space="preserve">. </w:t>
      </w:r>
    </w:p>
    <w:p w14:paraId="650AE9BA" w14:textId="77777777" w:rsidR="00F978CD" w:rsidRDefault="00F978CD" w:rsidP="00F978CD">
      <w:pPr>
        <w:keepNext/>
        <w:tabs>
          <w:tab w:val="left" w:pos="480"/>
        </w:tabs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6EB57329" w14:textId="5F2FCE1A" w:rsidR="000254E8" w:rsidRPr="00FD6BE1" w:rsidRDefault="000254E8" w:rsidP="00F978CD">
      <w:pPr>
        <w:keepNext/>
        <w:tabs>
          <w:tab w:val="left" w:pos="480"/>
        </w:tabs>
        <w:contextualSpacing/>
        <w:jc w:val="both"/>
        <w:rPr>
          <w:rFonts w:ascii="Arial" w:hAnsi="Arial" w:cs="Arial"/>
          <w:b/>
          <w:sz w:val="22"/>
          <w:szCs w:val="22"/>
        </w:rPr>
      </w:pPr>
      <w:r w:rsidRPr="00FD6BE1">
        <w:rPr>
          <w:rFonts w:ascii="Arial" w:hAnsi="Arial" w:cs="Arial"/>
          <w:b/>
          <w:i/>
          <w:iCs/>
          <w:sz w:val="22"/>
          <w:szCs w:val="22"/>
        </w:rPr>
        <w:t>Dotační prostředky na program 129</w:t>
      </w:r>
      <w:r w:rsidR="0099699E">
        <w:rPr>
          <w:rFonts w:ascii="Arial" w:hAnsi="Arial" w:cs="Arial"/>
          <w:b/>
          <w:i/>
          <w:iCs/>
          <w:sz w:val="22"/>
          <w:szCs w:val="22"/>
        </w:rPr>
        <w:t> </w:t>
      </w:r>
      <w:r w:rsidRPr="00FD6BE1">
        <w:rPr>
          <w:rFonts w:ascii="Arial" w:hAnsi="Arial" w:cs="Arial"/>
          <w:b/>
          <w:i/>
          <w:iCs/>
          <w:sz w:val="22"/>
          <w:szCs w:val="22"/>
        </w:rPr>
        <w:t>260</w:t>
      </w:r>
      <w:r w:rsidR="0099699E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99699E" w:rsidRPr="0099699E">
        <w:rPr>
          <w:rFonts w:ascii="Arial" w:hAnsi="Arial" w:cs="Arial"/>
          <w:b/>
          <w:i/>
          <w:iCs/>
          <w:sz w:val="22"/>
          <w:szCs w:val="22"/>
        </w:rPr>
        <w:t>dle schválené doku</w:t>
      </w:r>
      <w:r w:rsidR="0099699E">
        <w:rPr>
          <w:rFonts w:ascii="Arial" w:hAnsi="Arial" w:cs="Arial"/>
          <w:b/>
          <w:i/>
          <w:iCs/>
          <w:sz w:val="22"/>
          <w:szCs w:val="22"/>
        </w:rPr>
        <w:t>mentace z května 2014</w:t>
      </w:r>
      <w:r w:rsidRPr="00FD6BE1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CE44EC">
        <w:rPr>
          <w:rFonts w:ascii="Arial" w:hAnsi="Arial" w:cs="Arial"/>
          <w:b/>
          <w:i/>
          <w:iCs/>
          <w:sz w:val="22"/>
          <w:szCs w:val="22"/>
        </w:rPr>
        <w:t>(mld</w:t>
      </w:r>
      <w:r w:rsidR="00E46460">
        <w:rPr>
          <w:rFonts w:ascii="Arial" w:hAnsi="Arial" w:cs="Arial"/>
          <w:b/>
          <w:i/>
          <w:iCs/>
          <w:sz w:val="22"/>
          <w:szCs w:val="22"/>
        </w:rPr>
        <w:t>. </w:t>
      </w:r>
      <w:r w:rsidR="00CE44EC">
        <w:rPr>
          <w:rFonts w:ascii="Arial" w:hAnsi="Arial" w:cs="Arial"/>
          <w:b/>
          <w:i/>
          <w:iCs/>
          <w:sz w:val="22"/>
          <w:szCs w:val="22"/>
        </w:rPr>
        <w:t>Kč)</w:t>
      </w: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103"/>
      </w:tblGrid>
      <w:tr w:rsidR="00AB3682" w:rsidRPr="00FD6BE1" w14:paraId="7F9AC3AF" w14:textId="77777777" w:rsidTr="009C6446">
        <w:trPr>
          <w:trHeight w:val="340"/>
        </w:trPr>
        <w:tc>
          <w:tcPr>
            <w:tcW w:w="3969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0FEFFE" w14:textId="77777777" w:rsidR="000254E8" w:rsidRPr="00FD6BE1" w:rsidRDefault="000254E8" w:rsidP="00F978CD">
            <w:pPr>
              <w:tabs>
                <w:tab w:val="left" w:pos="480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6BE1">
              <w:rPr>
                <w:rFonts w:ascii="Arial" w:hAnsi="Arial" w:cs="Arial"/>
                <w:b/>
                <w:sz w:val="22"/>
                <w:szCs w:val="22"/>
              </w:rPr>
              <w:t>Zdroj</w:t>
            </w:r>
          </w:p>
        </w:tc>
        <w:tc>
          <w:tcPr>
            <w:tcW w:w="5103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76C61A" w14:textId="0C209C46" w:rsidR="000254E8" w:rsidRPr="00FD6BE1" w:rsidRDefault="000254E8" w:rsidP="00F978CD">
            <w:pPr>
              <w:tabs>
                <w:tab w:val="left" w:pos="480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6BE1">
              <w:rPr>
                <w:rFonts w:ascii="Arial" w:hAnsi="Arial" w:cs="Arial"/>
                <w:b/>
                <w:sz w:val="22"/>
                <w:szCs w:val="22"/>
              </w:rPr>
              <w:t>Státní rozpočet</w:t>
            </w:r>
            <w:r w:rsidR="0099699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AB3682" w:rsidRPr="00FD6BE1" w14:paraId="21700662" w14:textId="77777777" w:rsidTr="009C6446">
        <w:trPr>
          <w:trHeight w:val="340"/>
        </w:trPr>
        <w:tc>
          <w:tcPr>
            <w:tcW w:w="3969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5214AC" w14:textId="22FB03BF" w:rsidR="000254E8" w:rsidRPr="00FD6BE1" w:rsidRDefault="000254E8" w:rsidP="00CE44EC">
            <w:pPr>
              <w:tabs>
                <w:tab w:val="left" w:pos="480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6BE1">
              <w:rPr>
                <w:rFonts w:ascii="Arial" w:hAnsi="Arial" w:cs="Arial"/>
                <w:b/>
                <w:sz w:val="22"/>
                <w:szCs w:val="22"/>
              </w:rPr>
              <w:t xml:space="preserve">Částka </w:t>
            </w:r>
          </w:p>
        </w:tc>
        <w:tc>
          <w:tcPr>
            <w:tcW w:w="51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EFED51" w14:textId="6D16BEC8" w:rsidR="000254E8" w:rsidRPr="00FD6BE1" w:rsidRDefault="000254E8" w:rsidP="00F978CD">
            <w:pPr>
              <w:tabs>
                <w:tab w:val="left" w:pos="480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BE1">
              <w:rPr>
                <w:rFonts w:ascii="Arial" w:hAnsi="Arial" w:cs="Arial"/>
                <w:sz w:val="22"/>
                <w:szCs w:val="22"/>
              </w:rPr>
              <w:t>4,65</w:t>
            </w:r>
            <w:r w:rsidR="003378D2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61B19BCA" w14:textId="77777777" w:rsidR="00F978CD" w:rsidRDefault="00F978CD" w:rsidP="00F978CD">
      <w:pPr>
        <w:pStyle w:val="perex"/>
        <w:spacing w:before="0" w:beforeAutospacing="0" w:after="0" w:afterAutospacing="0"/>
        <w:contextualSpacing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5B28B71" w14:textId="5452B79C" w:rsidR="000635C6" w:rsidRPr="00FD6BE1" w:rsidRDefault="000635C6" w:rsidP="00F978CD">
      <w:pPr>
        <w:pStyle w:val="perex"/>
        <w:spacing w:before="0" w:beforeAutospacing="0" w:after="0" w:afterAutospacing="0"/>
        <w:contextualSpacing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FD6BE1">
        <w:rPr>
          <w:rStyle w:val="Siln"/>
          <w:rFonts w:ascii="Arial" w:hAnsi="Arial" w:cs="Arial"/>
          <w:b w:val="0"/>
          <w:sz w:val="22"/>
          <w:szCs w:val="22"/>
        </w:rPr>
        <w:t>Finanční rámec schváleného programu předpoklád</w:t>
      </w:r>
      <w:r w:rsidR="009D2E17">
        <w:rPr>
          <w:rStyle w:val="Siln"/>
          <w:rFonts w:ascii="Arial" w:hAnsi="Arial" w:cs="Arial"/>
          <w:b w:val="0"/>
          <w:sz w:val="22"/>
          <w:szCs w:val="22"/>
        </w:rPr>
        <w:t>al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 xml:space="preserve"> celkové </w:t>
      </w:r>
      <w:r w:rsidR="000B09F3">
        <w:rPr>
          <w:rStyle w:val="Siln"/>
          <w:rFonts w:ascii="Arial" w:hAnsi="Arial" w:cs="Arial"/>
          <w:b w:val="0"/>
          <w:sz w:val="22"/>
          <w:szCs w:val="22"/>
        </w:rPr>
        <w:t>výdaje</w:t>
      </w:r>
      <w:r w:rsidR="000B09F3" w:rsidRPr="00FD6BE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ve výši 5,204</w:t>
      </w:r>
      <w:r w:rsidR="000254E8" w:rsidRPr="00FD6BE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mld</w:t>
      </w:r>
      <w:r w:rsidR="00D72232" w:rsidRPr="00FD6BE1">
        <w:rPr>
          <w:rStyle w:val="Siln"/>
          <w:rFonts w:ascii="Arial" w:hAnsi="Arial" w:cs="Arial"/>
          <w:b w:val="0"/>
          <w:sz w:val="22"/>
          <w:szCs w:val="22"/>
        </w:rPr>
        <w:t>. 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0254E8" w:rsidRPr="00FD6BE1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 xml:space="preserve"> z toho výdaje státního rozpočtu </w:t>
      </w:r>
      <w:r w:rsidR="009D2E17">
        <w:rPr>
          <w:rStyle w:val="Siln"/>
          <w:rFonts w:ascii="Arial" w:hAnsi="Arial" w:cs="Arial"/>
          <w:b w:val="0"/>
          <w:sz w:val="22"/>
          <w:szCs w:val="22"/>
        </w:rPr>
        <w:t>byly</w:t>
      </w:r>
      <w:r w:rsidR="000254E8" w:rsidRPr="00FD6BE1">
        <w:rPr>
          <w:rStyle w:val="Siln"/>
          <w:rFonts w:ascii="Arial" w:hAnsi="Arial" w:cs="Arial"/>
          <w:b w:val="0"/>
          <w:sz w:val="22"/>
          <w:szCs w:val="22"/>
        </w:rPr>
        <w:t xml:space="preserve"> plánov</w:t>
      </w:r>
      <w:r w:rsidR="001024E2">
        <w:rPr>
          <w:rStyle w:val="Siln"/>
          <w:rFonts w:ascii="Arial" w:hAnsi="Arial" w:cs="Arial"/>
          <w:b w:val="0"/>
          <w:sz w:val="22"/>
          <w:szCs w:val="22"/>
        </w:rPr>
        <w:t>ány</w:t>
      </w:r>
      <w:r w:rsidR="000254E8" w:rsidRPr="00FD6BE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ve výši 4,65 mld. Kč.</w:t>
      </w:r>
      <w:r w:rsidR="00286824" w:rsidRPr="00FD6BE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D9C5FF1" w14:textId="77777777" w:rsidR="00F978CD" w:rsidRDefault="00F978CD" w:rsidP="00F978CD">
      <w:pPr>
        <w:keepNext/>
        <w:tabs>
          <w:tab w:val="left" w:pos="480"/>
        </w:tabs>
        <w:contextualSpacing/>
        <w:jc w:val="both"/>
        <w:rPr>
          <w:rFonts w:ascii="Arial" w:eastAsia="Calibri" w:hAnsi="Arial"/>
          <w:b/>
          <w:i/>
          <w:iCs/>
          <w:sz w:val="22"/>
          <w:szCs w:val="22"/>
          <w:lang w:eastAsia="en-US"/>
        </w:rPr>
      </w:pPr>
    </w:p>
    <w:p w14:paraId="53197DFC" w14:textId="1CB472A1" w:rsidR="00046AD6" w:rsidRDefault="00046AD6" w:rsidP="00F978CD">
      <w:pPr>
        <w:keepNext/>
        <w:tabs>
          <w:tab w:val="left" w:pos="480"/>
        </w:tabs>
        <w:contextualSpacing/>
        <w:jc w:val="both"/>
        <w:rPr>
          <w:rFonts w:ascii="Arial" w:eastAsia="Calibri" w:hAnsi="Arial"/>
          <w:b/>
          <w:i/>
          <w:iCs/>
          <w:sz w:val="22"/>
          <w:szCs w:val="22"/>
          <w:lang w:eastAsia="en-US"/>
        </w:rPr>
      </w:pPr>
      <w:r w:rsidRPr="00273FDF"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Dotační prostředky na program 129 260 dle </w:t>
      </w:r>
      <w:r>
        <w:rPr>
          <w:rFonts w:ascii="Arial" w:eastAsia="Calibri" w:hAnsi="Arial"/>
          <w:b/>
          <w:i/>
          <w:iCs/>
          <w:sz w:val="22"/>
          <w:szCs w:val="22"/>
          <w:lang w:eastAsia="en-US"/>
        </w:rPr>
        <w:t>1. změny dokumentace ze srpna</w:t>
      </w:r>
      <w:r w:rsidRPr="00273FDF"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 201</w:t>
      </w:r>
      <w:r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4 </w:t>
      </w:r>
      <w:r w:rsidR="00C24CC2" w:rsidRPr="00273FDF">
        <w:rPr>
          <w:rFonts w:ascii="Arial" w:eastAsia="Calibri" w:hAnsi="Arial"/>
          <w:b/>
          <w:sz w:val="22"/>
          <w:szCs w:val="22"/>
          <w:lang w:eastAsia="en-US"/>
        </w:rPr>
        <w:t>(mld</w:t>
      </w:r>
      <w:r w:rsidR="00CE44EC" w:rsidRPr="00273FDF">
        <w:rPr>
          <w:rFonts w:ascii="Arial" w:eastAsia="Calibri" w:hAnsi="Arial"/>
          <w:b/>
          <w:sz w:val="22"/>
          <w:szCs w:val="22"/>
          <w:lang w:eastAsia="en-US"/>
        </w:rPr>
        <w:t>.</w:t>
      </w:r>
      <w:r w:rsidR="00CE44EC">
        <w:rPr>
          <w:rFonts w:ascii="Arial" w:eastAsia="Calibri" w:hAnsi="Arial"/>
          <w:b/>
          <w:sz w:val="22"/>
          <w:szCs w:val="22"/>
          <w:lang w:eastAsia="en-US"/>
        </w:rPr>
        <w:t> </w:t>
      </w:r>
      <w:r w:rsidR="00C24CC2" w:rsidRPr="00273FDF">
        <w:rPr>
          <w:rFonts w:ascii="Arial" w:eastAsia="Calibri" w:hAnsi="Arial"/>
          <w:b/>
          <w:sz w:val="22"/>
          <w:szCs w:val="22"/>
          <w:lang w:eastAsia="en-US"/>
        </w:rPr>
        <w:t>Kč)</w:t>
      </w: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694"/>
        <w:gridCol w:w="4110"/>
      </w:tblGrid>
      <w:tr w:rsidR="00046AD6" w:rsidRPr="00273FDF" w14:paraId="5507D80D" w14:textId="77777777" w:rsidTr="009C6446">
        <w:trPr>
          <w:trHeight w:val="340"/>
        </w:trPr>
        <w:tc>
          <w:tcPr>
            <w:tcW w:w="2268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0319CC" w14:textId="77777777" w:rsidR="00046AD6" w:rsidRPr="00273FDF" w:rsidRDefault="00046AD6" w:rsidP="00F978CD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273FDF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Zdroj</w:t>
            </w:r>
          </w:p>
        </w:tc>
        <w:tc>
          <w:tcPr>
            <w:tcW w:w="2694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015424" w14:textId="188AEE5E" w:rsidR="00046AD6" w:rsidRPr="00273FDF" w:rsidRDefault="00046AD6" w:rsidP="00B8716F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273FDF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Státní rozpočet</w:t>
            </w:r>
          </w:p>
        </w:tc>
        <w:tc>
          <w:tcPr>
            <w:tcW w:w="4110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05C94A" w14:textId="6CD90A71" w:rsidR="00046AD6" w:rsidRPr="00273FDF" w:rsidRDefault="00C44C4D" w:rsidP="00F978CD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OSFA</w:t>
            </w:r>
          </w:p>
        </w:tc>
      </w:tr>
      <w:tr w:rsidR="00046AD6" w:rsidRPr="00273FDF" w14:paraId="6A84339C" w14:textId="77777777" w:rsidTr="009C6446">
        <w:trPr>
          <w:trHeight w:val="340"/>
        </w:trPr>
        <w:tc>
          <w:tcPr>
            <w:tcW w:w="2268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F83F18" w14:textId="12CB70D5" w:rsidR="00046AD6" w:rsidRPr="00273FDF" w:rsidRDefault="00046AD6" w:rsidP="00C24CC2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273FDF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 xml:space="preserve">Částka </w:t>
            </w:r>
          </w:p>
        </w:tc>
        <w:tc>
          <w:tcPr>
            <w:tcW w:w="26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99436D" w14:textId="77777777" w:rsidR="00046AD6" w:rsidRPr="00273FDF" w:rsidRDefault="00046AD6" w:rsidP="00F978CD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sz w:val="22"/>
                <w:szCs w:val="22"/>
                <w:lang w:eastAsia="en-US"/>
              </w:rPr>
              <w:t>3,970</w:t>
            </w:r>
          </w:p>
        </w:tc>
        <w:tc>
          <w:tcPr>
            <w:tcW w:w="411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BC7FEB" w14:textId="77777777" w:rsidR="00046AD6" w:rsidRPr="00273FDF" w:rsidRDefault="00046AD6" w:rsidP="00F978CD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273FDF">
              <w:rPr>
                <w:rFonts w:ascii="Arial" w:eastAsia="Calibri" w:hAnsi="Arial"/>
                <w:sz w:val="22"/>
                <w:szCs w:val="22"/>
                <w:lang w:eastAsia="en-US"/>
              </w:rPr>
              <w:t>0,</w:t>
            </w:r>
            <w:r>
              <w:rPr>
                <w:rFonts w:ascii="Arial" w:eastAsia="Calibri" w:hAnsi="Arial"/>
                <w:sz w:val="22"/>
                <w:szCs w:val="22"/>
                <w:lang w:eastAsia="en-US"/>
              </w:rPr>
              <w:t>680</w:t>
            </w:r>
          </w:p>
        </w:tc>
      </w:tr>
    </w:tbl>
    <w:p w14:paraId="6CBCCE52" w14:textId="77777777" w:rsidR="00F978CD" w:rsidRDefault="00F978CD" w:rsidP="00F978CD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22441A26" w14:textId="37AD7180" w:rsidR="00046AD6" w:rsidRDefault="00046AD6" w:rsidP="00F978CD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207C77">
        <w:rPr>
          <w:rFonts w:ascii="Arial" w:hAnsi="Arial" w:cs="Arial"/>
          <w:sz w:val="22"/>
          <w:szCs w:val="22"/>
        </w:rPr>
        <w:t>První změna dokumentace Programu schválená Ministerstvem financí pod č. j. MF-56616/2014/1904 dne 14. 8. 201</w:t>
      </w:r>
      <w:r w:rsidR="0099699E">
        <w:rPr>
          <w:rFonts w:ascii="Arial" w:hAnsi="Arial" w:cs="Arial"/>
          <w:sz w:val="22"/>
          <w:szCs w:val="22"/>
        </w:rPr>
        <w:t>4</w:t>
      </w:r>
      <w:r w:rsidRPr="00207C77">
        <w:rPr>
          <w:rFonts w:ascii="Arial" w:hAnsi="Arial" w:cs="Arial"/>
          <w:sz w:val="22"/>
          <w:szCs w:val="22"/>
        </w:rPr>
        <w:t xml:space="preserve"> spočívala především v upřesnění struktury poskytovaných finančních prostředků a zapojení 680 mil. Kč z kapitoly OSFA v rámci Programu. O tuto částku byly zároveň </w:t>
      </w:r>
      <w:r>
        <w:rPr>
          <w:rFonts w:ascii="Arial" w:hAnsi="Arial" w:cs="Arial"/>
          <w:sz w:val="22"/>
          <w:szCs w:val="22"/>
        </w:rPr>
        <w:t>s</w:t>
      </w:r>
      <w:r w:rsidRPr="00207C77">
        <w:rPr>
          <w:rFonts w:ascii="Arial" w:hAnsi="Arial" w:cs="Arial"/>
          <w:sz w:val="22"/>
          <w:szCs w:val="22"/>
        </w:rPr>
        <w:t>níženy plánované prostředky státního rozpočtu. Celkový objem plánovaných finančních prostředků se nezměnil.</w:t>
      </w:r>
    </w:p>
    <w:p w14:paraId="29ABEF1C" w14:textId="77777777" w:rsidR="00F978CD" w:rsidRPr="00207C77" w:rsidRDefault="00F978CD" w:rsidP="00F978CD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4400CDB4" w14:textId="519E5BB6" w:rsidR="00046AD6" w:rsidRDefault="00046AD6" w:rsidP="00F978CD">
      <w:pPr>
        <w:keepNext/>
        <w:tabs>
          <w:tab w:val="left" w:pos="480"/>
        </w:tabs>
        <w:contextualSpacing/>
        <w:jc w:val="both"/>
        <w:rPr>
          <w:rFonts w:ascii="Arial" w:eastAsia="Calibri" w:hAnsi="Arial"/>
          <w:b/>
          <w:i/>
          <w:iCs/>
          <w:sz w:val="22"/>
          <w:szCs w:val="22"/>
          <w:lang w:eastAsia="en-US"/>
        </w:rPr>
      </w:pPr>
      <w:r w:rsidRPr="00273FDF">
        <w:rPr>
          <w:rFonts w:ascii="Arial" w:eastAsia="Calibri" w:hAnsi="Arial"/>
          <w:b/>
          <w:i/>
          <w:iCs/>
          <w:sz w:val="22"/>
          <w:szCs w:val="22"/>
          <w:lang w:eastAsia="en-US"/>
        </w:rPr>
        <w:t>Dotační prostředky na program 129 260 dle 2. změny dokumentace z června 2016</w:t>
      </w:r>
      <w:r w:rsidR="00C24CC2"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 </w:t>
      </w:r>
      <w:r w:rsidR="00C24CC2" w:rsidRPr="00273FDF">
        <w:rPr>
          <w:rFonts w:ascii="Arial" w:eastAsia="Calibri" w:hAnsi="Arial"/>
          <w:b/>
          <w:sz w:val="22"/>
          <w:szCs w:val="22"/>
          <w:lang w:eastAsia="en-US"/>
        </w:rPr>
        <w:t>(mld</w:t>
      </w:r>
      <w:r w:rsidR="00CE44EC" w:rsidRPr="00273FDF">
        <w:rPr>
          <w:rFonts w:ascii="Arial" w:eastAsia="Calibri" w:hAnsi="Arial"/>
          <w:b/>
          <w:sz w:val="22"/>
          <w:szCs w:val="22"/>
          <w:lang w:eastAsia="en-US"/>
        </w:rPr>
        <w:t>.</w:t>
      </w:r>
      <w:r w:rsidR="00CE44EC">
        <w:rPr>
          <w:rFonts w:ascii="Arial" w:eastAsia="Calibri" w:hAnsi="Arial"/>
          <w:b/>
          <w:sz w:val="22"/>
          <w:szCs w:val="22"/>
          <w:lang w:eastAsia="en-US"/>
        </w:rPr>
        <w:t> </w:t>
      </w:r>
      <w:r w:rsidR="00C24CC2" w:rsidRPr="00273FDF">
        <w:rPr>
          <w:rFonts w:ascii="Arial" w:eastAsia="Calibri" w:hAnsi="Arial"/>
          <w:b/>
          <w:sz w:val="22"/>
          <w:szCs w:val="22"/>
          <w:lang w:eastAsia="en-US"/>
        </w:rPr>
        <w:t>Kč)</w:t>
      </w: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835"/>
        <w:gridCol w:w="3969"/>
      </w:tblGrid>
      <w:tr w:rsidR="00046AD6" w:rsidRPr="00273FDF" w14:paraId="2D87FEA7" w14:textId="77777777" w:rsidTr="009C6446">
        <w:trPr>
          <w:trHeight w:val="340"/>
        </w:trPr>
        <w:tc>
          <w:tcPr>
            <w:tcW w:w="2268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E045A2" w14:textId="77777777" w:rsidR="00046AD6" w:rsidRPr="00273FDF" w:rsidRDefault="00046AD6" w:rsidP="00F978CD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273FDF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Zdroj</w:t>
            </w:r>
          </w:p>
        </w:tc>
        <w:tc>
          <w:tcPr>
            <w:tcW w:w="2835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DC507C" w14:textId="04388863" w:rsidR="00046AD6" w:rsidRPr="00273FDF" w:rsidRDefault="00046AD6" w:rsidP="00F978CD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273FDF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Státní rozpočet</w:t>
            </w:r>
          </w:p>
        </w:tc>
        <w:tc>
          <w:tcPr>
            <w:tcW w:w="3969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088FF8" w14:textId="6B1DF8CF" w:rsidR="00046AD6" w:rsidRPr="00273FDF" w:rsidRDefault="00C44C4D" w:rsidP="00F978CD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OSFA</w:t>
            </w:r>
          </w:p>
        </w:tc>
      </w:tr>
      <w:tr w:rsidR="00046AD6" w:rsidRPr="00273FDF" w14:paraId="68C5B7D3" w14:textId="77777777" w:rsidTr="009C6446">
        <w:trPr>
          <w:trHeight w:val="340"/>
        </w:trPr>
        <w:tc>
          <w:tcPr>
            <w:tcW w:w="2268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41132D" w14:textId="21B468EF" w:rsidR="00046AD6" w:rsidRPr="00273FDF" w:rsidRDefault="00046AD6" w:rsidP="00F978CD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273FDF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 xml:space="preserve">Částka </w:t>
            </w:r>
          </w:p>
        </w:tc>
        <w:tc>
          <w:tcPr>
            <w:tcW w:w="283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897C44" w14:textId="77777777" w:rsidR="00046AD6" w:rsidRPr="00273FDF" w:rsidRDefault="00046AD6" w:rsidP="00F978CD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273FDF">
              <w:rPr>
                <w:rFonts w:ascii="Arial" w:eastAsia="Calibri" w:hAnsi="Arial"/>
                <w:sz w:val="22"/>
                <w:szCs w:val="22"/>
                <w:lang w:eastAsia="en-US"/>
              </w:rPr>
              <w:t>4,159</w:t>
            </w:r>
          </w:p>
        </w:tc>
        <w:tc>
          <w:tcPr>
            <w:tcW w:w="39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710B28" w14:textId="77777777" w:rsidR="00046AD6" w:rsidRPr="00273FDF" w:rsidRDefault="00046AD6" w:rsidP="00F978CD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273FDF">
              <w:rPr>
                <w:rFonts w:ascii="Arial" w:eastAsia="Calibri" w:hAnsi="Arial"/>
                <w:sz w:val="22"/>
                <w:szCs w:val="22"/>
                <w:lang w:eastAsia="en-US"/>
              </w:rPr>
              <w:t>0,</w:t>
            </w:r>
            <w:r>
              <w:rPr>
                <w:rFonts w:ascii="Arial" w:eastAsia="Calibri" w:hAnsi="Arial"/>
                <w:sz w:val="22"/>
                <w:szCs w:val="22"/>
                <w:lang w:eastAsia="en-US"/>
              </w:rPr>
              <w:t>491</w:t>
            </w:r>
          </w:p>
        </w:tc>
      </w:tr>
    </w:tbl>
    <w:p w14:paraId="0429FFA3" w14:textId="77777777" w:rsidR="00F978CD" w:rsidRDefault="00F978CD" w:rsidP="00F978CD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5A40B0F5" w14:textId="1DBF5F7A" w:rsidR="009D2E17" w:rsidRDefault="00046AD6" w:rsidP="00F978CD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207C77">
        <w:rPr>
          <w:rFonts w:ascii="Arial" w:hAnsi="Arial" w:cs="Arial"/>
          <w:sz w:val="22"/>
          <w:szCs w:val="22"/>
        </w:rPr>
        <w:t xml:space="preserve">Druhá změna dokumentace Programu schválená Ministerstvem financí pod č. j. </w:t>
      </w:r>
      <w:r w:rsidR="00DA7E69">
        <w:rPr>
          <w:rFonts w:ascii="Arial" w:hAnsi="Arial" w:cs="Arial"/>
          <w:sz w:val="22"/>
          <w:szCs w:val="22"/>
        </w:rPr>
        <w:br/>
      </w:r>
      <w:r w:rsidRPr="00207C77">
        <w:rPr>
          <w:rFonts w:ascii="Arial" w:hAnsi="Arial" w:cs="Arial"/>
          <w:sz w:val="22"/>
          <w:szCs w:val="22"/>
        </w:rPr>
        <w:t xml:space="preserve">MF-22669/2016/1904-2 dne 22. 6. 2016 reagovala na potřebu zajištění přípravných projektových prací pro nové retenční nádrže plánované v rámci opatření proti suchu </w:t>
      </w:r>
      <w:r w:rsidR="00F978CD" w:rsidRPr="00207C77">
        <w:rPr>
          <w:rFonts w:ascii="Arial" w:hAnsi="Arial" w:cs="Arial"/>
          <w:sz w:val="22"/>
          <w:szCs w:val="22"/>
        </w:rPr>
        <w:t>a</w:t>
      </w:r>
      <w:r w:rsidR="00F978CD">
        <w:rPr>
          <w:rFonts w:ascii="Arial" w:hAnsi="Arial" w:cs="Arial"/>
          <w:sz w:val="22"/>
          <w:szCs w:val="22"/>
        </w:rPr>
        <w:t> </w:t>
      </w:r>
      <w:r w:rsidRPr="00207C77">
        <w:rPr>
          <w:rFonts w:ascii="Arial" w:hAnsi="Arial" w:cs="Arial"/>
          <w:sz w:val="22"/>
          <w:szCs w:val="22"/>
        </w:rPr>
        <w:t xml:space="preserve">navýšení finančních prostředků na „projektové“ programy. Celkový objem finančních prostředků Programu se nezměnil, neboť finanční posílení „projektových“ podprogramů </w:t>
      </w:r>
      <w:r w:rsidR="00F978C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 162 mil. Kč </w:t>
      </w:r>
      <w:r w:rsidRPr="00207C77">
        <w:rPr>
          <w:rFonts w:ascii="Arial" w:hAnsi="Arial" w:cs="Arial"/>
          <w:sz w:val="22"/>
          <w:szCs w:val="22"/>
        </w:rPr>
        <w:t>proběhlo díky snížení plánovaného objemu finančních potřeb u podprogramu 129 265.</w:t>
      </w:r>
      <w:r>
        <w:rPr>
          <w:rFonts w:ascii="Arial" w:hAnsi="Arial" w:cs="Arial"/>
          <w:sz w:val="22"/>
          <w:szCs w:val="22"/>
        </w:rPr>
        <w:t xml:space="preserve"> </w:t>
      </w:r>
      <w:r w:rsidR="00C44C4D">
        <w:rPr>
          <w:rFonts w:ascii="Arial" w:hAnsi="Arial" w:cs="Arial"/>
          <w:sz w:val="22"/>
          <w:szCs w:val="22"/>
        </w:rPr>
        <w:t>Možnost financování</w:t>
      </w:r>
      <w:r w:rsidR="00C44C4D" w:rsidRPr="00207C7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„projektových“ podprogramů byla s</w:t>
      </w:r>
      <w:r w:rsidRPr="00207C77">
        <w:rPr>
          <w:rFonts w:ascii="Arial" w:hAnsi="Arial" w:cs="Arial"/>
          <w:sz w:val="22"/>
          <w:szCs w:val="22"/>
        </w:rPr>
        <w:t xml:space="preserve">oučasně </w:t>
      </w:r>
      <w:r>
        <w:rPr>
          <w:rFonts w:ascii="Arial" w:hAnsi="Arial" w:cs="Arial"/>
          <w:sz w:val="22"/>
          <w:szCs w:val="22"/>
        </w:rPr>
        <w:t> </w:t>
      </w:r>
      <w:r w:rsidRPr="00207C77">
        <w:rPr>
          <w:rFonts w:ascii="Arial" w:hAnsi="Arial" w:cs="Arial"/>
          <w:sz w:val="22"/>
          <w:szCs w:val="22"/>
        </w:rPr>
        <w:t>prodloužen</w:t>
      </w:r>
      <w:r>
        <w:rPr>
          <w:rFonts w:ascii="Arial" w:hAnsi="Arial" w:cs="Arial"/>
          <w:sz w:val="22"/>
          <w:szCs w:val="22"/>
        </w:rPr>
        <w:t xml:space="preserve">a </w:t>
      </w:r>
      <w:r w:rsidRPr="00207C77">
        <w:rPr>
          <w:rFonts w:ascii="Arial" w:hAnsi="Arial" w:cs="Arial"/>
          <w:sz w:val="22"/>
          <w:szCs w:val="22"/>
        </w:rPr>
        <w:t>do konce roku 2019.</w:t>
      </w:r>
      <w:r>
        <w:rPr>
          <w:rFonts w:ascii="Arial" w:hAnsi="Arial" w:cs="Arial"/>
          <w:sz w:val="22"/>
          <w:szCs w:val="22"/>
        </w:rPr>
        <w:t xml:space="preserve"> Zároveň došlo ke snížení objemu plánovaných finančních prostředků z kapitoly OSFA.</w:t>
      </w:r>
    </w:p>
    <w:p w14:paraId="7ED18F4D" w14:textId="77777777" w:rsidR="00F978CD" w:rsidRDefault="00F978CD" w:rsidP="00F978CD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4873772E" w14:textId="302F61E2" w:rsidR="0010449B" w:rsidRDefault="0010449B" w:rsidP="0010449B">
      <w:pPr>
        <w:jc w:val="both"/>
        <w:rPr>
          <w:rFonts w:ascii="Arial" w:hAnsi="Arial" w:cs="Arial"/>
          <w:sz w:val="22"/>
          <w:szCs w:val="22"/>
        </w:rPr>
      </w:pPr>
      <w:r w:rsidRPr="0010449B">
        <w:rPr>
          <w:rFonts w:ascii="Arial" w:hAnsi="Arial" w:cs="Arial"/>
          <w:sz w:val="22"/>
          <w:szCs w:val="22"/>
        </w:rPr>
        <w:t>Ministerstvo financí dopisem ze dne 8. 11. 2017 č. j. MF-29448/2017/1904-2 odsouhlasilo prodloužení trvání programu do 31. 12. 2022 a to z důvodu realizace časově náročné stavební části akce 129D26</w:t>
      </w:r>
      <w:r w:rsidR="0099699E">
        <w:rPr>
          <w:rFonts w:ascii="Arial" w:hAnsi="Arial" w:cs="Arial"/>
          <w:sz w:val="22"/>
          <w:szCs w:val="22"/>
        </w:rPr>
        <w:t>5</w:t>
      </w:r>
      <w:r w:rsidRPr="0010449B">
        <w:rPr>
          <w:rFonts w:ascii="Arial" w:hAnsi="Arial" w:cs="Arial"/>
          <w:sz w:val="22"/>
          <w:szCs w:val="22"/>
        </w:rPr>
        <w:t xml:space="preserve">009024 „Morava, Olomouc – zvýšení kapacity koryta II. etapa B“. Tato změna byla s dalšími aktualizacemi zapracována do 3. změny dokumentace programu, která byla dne 8. 3. 2018 </w:t>
      </w:r>
      <w:r w:rsidR="0099699E">
        <w:rPr>
          <w:rFonts w:ascii="Arial" w:hAnsi="Arial" w:cs="Arial"/>
          <w:sz w:val="22"/>
          <w:szCs w:val="22"/>
        </w:rPr>
        <w:t xml:space="preserve">pod č. j. MF-6604/2018/1904-2 </w:t>
      </w:r>
      <w:r w:rsidRPr="0010449B">
        <w:rPr>
          <w:rFonts w:ascii="Arial" w:hAnsi="Arial" w:cs="Arial"/>
          <w:sz w:val="22"/>
          <w:szCs w:val="22"/>
        </w:rPr>
        <w:t xml:space="preserve">schválena Ministerstvem financí. </w:t>
      </w:r>
    </w:p>
    <w:p w14:paraId="70571C58" w14:textId="77777777" w:rsidR="00A85B77" w:rsidRDefault="00A85B77" w:rsidP="003378D2">
      <w:pPr>
        <w:keepNext/>
        <w:tabs>
          <w:tab w:val="left" w:pos="480"/>
        </w:tabs>
        <w:contextualSpacing/>
        <w:jc w:val="both"/>
        <w:rPr>
          <w:rFonts w:ascii="Arial" w:eastAsia="Calibri" w:hAnsi="Arial"/>
          <w:b/>
          <w:i/>
          <w:iCs/>
          <w:sz w:val="22"/>
          <w:szCs w:val="22"/>
          <w:lang w:eastAsia="en-US"/>
        </w:rPr>
      </w:pPr>
    </w:p>
    <w:p w14:paraId="7CB38C7A" w14:textId="77777777" w:rsidR="00A85B77" w:rsidRDefault="00A85B77">
      <w:pPr>
        <w:rPr>
          <w:rFonts w:ascii="Arial" w:eastAsia="Calibri" w:hAnsi="Arial"/>
          <w:b/>
          <w:i/>
          <w:iCs/>
          <w:sz w:val="22"/>
          <w:szCs w:val="22"/>
          <w:lang w:eastAsia="en-US"/>
        </w:rPr>
      </w:pPr>
      <w:r>
        <w:rPr>
          <w:rFonts w:ascii="Arial" w:eastAsia="Calibri" w:hAnsi="Arial"/>
          <w:b/>
          <w:i/>
          <w:iCs/>
          <w:sz w:val="22"/>
          <w:szCs w:val="22"/>
          <w:lang w:eastAsia="en-US"/>
        </w:rPr>
        <w:br w:type="page"/>
      </w:r>
    </w:p>
    <w:p w14:paraId="15CBC272" w14:textId="23EE0145" w:rsidR="003378D2" w:rsidRDefault="003378D2" w:rsidP="003378D2">
      <w:pPr>
        <w:keepNext/>
        <w:tabs>
          <w:tab w:val="left" w:pos="480"/>
        </w:tabs>
        <w:contextualSpacing/>
        <w:jc w:val="both"/>
        <w:rPr>
          <w:rFonts w:ascii="Arial" w:eastAsia="Calibri" w:hAnsi="Arial"/>
          <w:b/>
          <w:i/>
          <w:iCs/>
          <w:sz w:val="22"/>
          <w:szCs w:val="22"/>
          <w:lang w:eastAsia="en-US"/>
        </w:rPr>
      </w:pPr>
      <w:r w:rsidRPr="00273FDF">
        <w:rPr>
          <w:rFonts w:ascii="Arial" w:eastAsia="Calibri" w:hAnsi="Arial"/>
          <w:b/>
          <w:i/>
          <w:iCs/>
          <w:sz w:val="22"/>
          <w:szCs w:val="22"/>
          <w:lang w:eastAsia="en-US"/>
        </w:rPr>
        <w:lastRenderedPageBreak/>
        <w:t xml:space="preserve">Dotační prostředky na program 129 260 </w:t>
      </w:r>
      <w:r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– předpoklad </w:t>
      </w:r>
      <w:r w:rsidRPr="00273FDF"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dle </w:t>
      </w:r>
      <w:r>
        <w:rPr>
          <w:rFonts w:ascii="Arial" w:eastAsia="Calibri" w:hAnsi="Arial"/>
          <w:b/>
          <w:i/>
          <w:iCs/>
          <w:sz w:val="22"/>
          <w:szCs w:val="22"/>
          <w:lang w:eastAsia="en-US"/>
        </w:rPr>
        <w:t>4</w:t>
      </w:r>
      <w:r w:rsidRPr="00273FDF">
        <w:rPr>
          <w:rFonts w:ascii="Arial" w:eastAsia="Calibri" w:hAnsi="Arial"/>
          <w:b/>
          <w:i/>
          <w:iCs/>
          <w:sz w:val="22"/>
          <w:szCs w:val="22"/>
          <w:lang w:eastAsia="en-US"/>
        </w:rPr>
        <w:t>. změny dokumentace z</w:t>
      </w:r>
      <w:r>
        <w:rPr>
          <w:rFonts w:ascii="Arial" w:eastAsia="Calibri" w:hAnsi="Arial"/>
          <w:b/>
          <w:i/>
          <w:iCs/>
          <w:sz w:val="22"/>
          <w:szCs w:val="22"/>
          <w:lang w:eastAsia="en-US"/>
        </w:rPr>
        <w:t>e září</w:t>
      </w:r>
      <w:r w:rsidRPr="00273FDF"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 201</w:t>
      </w:r>
      <w:r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9 </w:t>
      </w:r>
      <w:r w:rsidRPr="00273FDF">
        <w:rPr>
          <w:rFonts w:ascii="Arial" w:eastAsia="Calibri" w:hAnsi="Arial"/>
          <w:b/>
          <w:sz w:val="22"/>
          <w:szCs w:val="22"/>
          <w:lang w:eastAsia="en-US"/>
        </w:rPr>
        <w:t>(mld.</w:t>
      </w:r>
      <w:r>
        <w:rPr>
          <w:rFonts w:ascii="Arial" w:eastAsia="Calibri" w:hAnsi="Arial"/>
          <w:b/>
          <w:sz w:val="22"/>
          <w:szCs w:val="22"/>
          <w:lang w:eastAsia="en-US"/>
        </w:rPr>
        <w:t> </w:t>
      </w:r>
      <w:r w:rsidRPr="00273FDF">
        <w:rPr>
          <w:rFonts w:ascii="Arial" w:eastAsia="Calibri" w:hAnsi="Arial"/>
          <w:b/>
          <w:sz w:val="22"/>
          <w:szCs w:val="22"/>
          <w:lang w:eastAsia="en-US"/>
        </w:rPr>
        <w:t>Kč)</w:t>
      </w: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835"/>
        <w:gridCol w:w="3969"/>
      </w:tblGrid>
      <w:tr w:rsidR="003378D2" w:rsidRPr="00273FDF" w14:paraId="6AD09100" w14:textId="77777777" w:rsidTr="003378D2">
        <w:trPr>
          <w:trHeight w:val="340"/>
        </w:trPr>
        <w:tc>
          <w:tcPr>
            <w:tcW w:w="2268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EF5732" w14:textId="77777777" w:rsidR="003378D2" w:rsidRPr="00273FDF" w:rsidRDefault="003378D2" w:rsidP="003378D2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273FDF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Zdroj</w:t>
            </w:r>
          </w:p>
        </w:tc>
        <w:tc>
          <w:tcPr>
            <w:tcW w:w="2835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F0F374" w14:textId="71F5D75C" w:rsidR="003378D2" w:rsidRPr="00273FDF" w:rsidRDefault="003378D2" w:rsidP="0099699E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273FDF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Státní rozpočet</w:t>
            </w:r>
          </w:p>
        </w:tc>
        <w:tc>
          <w:tcPr>
            <w:tcW w:w="3969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B87E43" w14:textId="6F43BC8F" w:rsidR="003378D2" w:rsidRPr="00273FDF" w:rsidRDefault="00C44C4D" w:rsidP="00C44C4D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OSFA</w:t>
            </w:r>
          </w:p>
        </w:tc>
      </w:tr>
      <w:tr w:rsidR="003378D2" w:rsidRPr="00273FDF" w14:paraId="1F59E80E" w14:textId="77777777" w:rsidTr="003378D2">
        <w:trPr>
          <w:trHeight w:val="340"/>
        </w:trPr>
        <w:tc>
          <w:tcPr>
            <w:tcW w:w="2268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57A3D6" w14:textId="77777777" w:rsidR="003378D2" w:rsidRPr="00273FDF" w:rsidRDefault="003378D2" w:rsidP="003378D2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273FDF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 xml:space="preserve">Částka </w:t>
            </w:r>
          </w:p>
        </w:tc>
        <w:tc>
          <w:tcPr>
            <w:tcW w:w="283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3525E0" w14:textId="521E7CA7" w:rsidR="003378D2" w:rsidRPr="00273FDF" w:rsidRDefault="003378D2" w:rsidP="00A85B77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sz w:val="22"/>
                <w:szCs w:val="22"/>
                <w:lang w:eastAsia="en-US"/>
              </w:rPr>
              <w:t>2,</w:t>
            </w:r>
            <w:r w:rsidR="00A85B77">
              <w:rPr>
                <w:rFonts w:ascii="Arial" w:eastAsia="Calibri" w:hAnsi="Arial"/>
                <w:sz w:val="22"/>
                <w:szCs w:val="22"/>
                <w:lang w:eastAsia="en-US"/>
              </w:rPr>
              <w:t>454</w:t>
            </w:r>
          </w:p>
        </w:tc>
        <w:tc>
          <w:tcPr>
            <w:tcW w:w="39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FAFA1D" w14:textId="5DBAB0CB" w:rsidR="003378D2" w:rsidRPr="00273FDF" w:rsidRDefault="003378D2" w:rsidP="003378D2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sz w:val="22"/>
                <w:szCs w:val="22"/>
                <w:lang w:eastAsia="en-US"/>
              </w:rPr>
              <w:t>0,320</w:t>
            </w:r>
          </w:p>
        </w:tc>
      </w:tr>
    </w:tbl>
    <w:p w14:paraId="5813BA00" w14:textId="77777777" w:rsidR="003378D2" w:rsidRDefault="003378D2" w:rsidP="00AF2931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4B80D6D3" w14:textId="081CE898" w:rsidR="00010605" w:rsidRDefault="009D2E17" w:rsidP="00AF2931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Poslední, 4. změna dokumentace, schválená dopisem Ministerstva financí ze dne </w:t>
      </w:r>
      <w:r w:rsidR="00DA7E6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23. 9. 2019 č. j. MF-22529/2019/1904-4, reflektuje potřebu prodloužení realizace podprogramů 129 263 a 129 264 v návaznosti na prodloužení termínu ukončení realizace </w:t>
      </w:r>
      <w:r w:rsidR="00F978CD">
        <w:rPr>
          <w:rFonts w:ascii="Arial" w:hAnsi="Arial" w:cs="Arial"/>
          <w:sz w:val="22"/>
          <w:szCs w:val="22"/>
        </w:rPr>
        <w:t xml:space="preserve">jedné </w:t>
      </w:r>
      <w:r>
        <w:rPr>
          <w:rFonts w:ascii="Arial" w:hAnsi="Arial" w:cs="Arial"/>
          <w:sz w:val="22"/>
          <w:szCs w:val="22"/>
        </w:rPr>
        <w:t xml:space="preserve">akce projektové dokumentace významného protipovodňového opatření a </w:t>
      </w:r>
      <w:r w:rsidR="00F978CD">
        <w:rPr>
          <w:rFonts w:ascii="Arial" w:hAnsi="Arial" w:cs="Arial"/>
          <w:sz w:val="22"/>
          <w:szCs w:val="22"/>
        </w:rPr>
        <w:t xml:space="preserve">dvou </w:t>
      </w:r>
      <w:r>
        <w:rPr>
          <w:rFonts w:ascii="Arial" w:hAnsi="Arial" w:cs="Arial"/>
          <w:sz w:val="22"/>
          <w:szCs w:val="22"/>
        </w:rPr>
        <w:t>stavebních akcí. Z objektivních příčin, které nebyl</w:t>
      </w:r>
      <w:r w:rsidR="00DA7E69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způsobeny příjemci dotace, nebylo možné tyto akce ukončit v původně stanoveném termínu ukončení programu. Prodloužení se u těchto </w:t>
      </w:r>
      <w:r w:rsidR="00F978CD">
        <w:rPr>
          <w:rFonts w:ascii="Arial" w:hAnsi="Arial" w:cs="Arial"/>
          <w:sz w:val="22"/>
          <w:szCs w:val="22"/>
        </w:rPr>
        <w:t xml:space="preserve">tří </w:t>
      </w:r>
      <w:r>
        <w:rPr>
          <w:rFonts w:ascii="Arial" w:hAnsi="Arial" w:cs="Arial"/>
          <w:sz w:val="22"/>
          <w:szCs w:val="22"/>
        </w:rPr>
        <w:t>akcí nevztahovalo na možnost financování z prostředků státního rozpočtu.</w:t>
      </w:r>
    </w:p>
    <w:p w14:paraId="28BE2F26" w14:textId="77777777" w:rsidR="00010605" w:rsidRDefault="00010605" w:rsidP="00AF2931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1BD7B1CD" w14:textId="552F734F" w:rsidR="003378D2" w:rsidRDefault="003378D2" w:rsidP="003378D2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Podle 4. změny dokumentace je předpokládaná výše dotace ze státního rozpočtu 2,</w:t>
      </w:r>
      <w:r w:rsidR="0099699E">
        <w:rPr>
          <w:rFonts w:ascii="Arial" w:hAnsi="Arial" w:cs="Arial"/>
          <w:sz w:val="22"/>
          <w:szCs w:val="22"/>
        </w:rPr>
        <w:t>77 </w:t>
      </w:r>
      <w:r>
        <w:rPr>
          <w:rFonts w:ascii="Arial" w:hAnsi="Arial" w:cs="Arial"/>
          <w:sz w:val="22"/>
          <w:szCs w:val="22"/>
        </w:rPr>
        <w:t>mld</w:t>
      </w:r>
      <w:r w:rsidR="0099699E">
        <w:rPr>
          <w:rFonts w:ascii="Arial" w:hAnsi="Arial" w:cs="Arial"/>
          <w:sz w:val="22"/>
          <w:szCs w:val="22"/>
        </w:rPr>
        <w:t>. </w:t>
      </w:r>
      <w:r>
        <w:rPr>
          <w:rFonts w:ascii="Arial" w:hAnsi="Arial" w:cs="Arial"/>
          <w:sz w:val="22"/>
          <w:szCs w:val="22"/>
        </w:rPr>
        <w:t>Kč</w:t>
      </w:r>
      <w:r w:rsidR="00A85B77">
        <w:rPr>
          <w:rFonts w:ascii="Arial" w:hAnsi="Arial" w:cs="Arial"/>
          <w:sz w:val="22"/>
          <w:szCs w:val="22"/>
        </w:rPr>
        <w:t>, z toho</w:t>
      </w:r>
      <w:r>
        <w:rPr>
          <w:rFonts w:ascii="Arial" w:hAnsi="Arial" w:cs="Arial"/>
          <w:sz w:val="22"/>
          <w:szCs w:val="22"/>
        </w:rPr>
        <w:t xml:space="preserve"> 0,32 mld. Kč činí prostředky OSFA.</w:t>
      </w:r>
    </w:p>
    <w:p w14:paraId="21C1668A" w14:textId="77777777" w:rsidR="003378D2" w:rsidRDefault="003378D2" w:rsidP="003378D2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23239E1F" w14:textId="77777777" w:rsidR="00046AD6" w:rsidRPr="00D33240" w:rsidRDefault="00046AD6" w:rsidP="00AF2931">
      <w:pPr>
        <w:tabs>
          <w:tab w:val="left" w:pos="0"/>
        </w:tabs>
        <w:contextualSpacing/>
        <w:jc w:val="both"/>
        <w:rPr>
          <w:rFonts w:ascii="Arial" w:eastAsia="Calibri" w:hAnsi="Arial"/>
          <w:b/>
          <w:i/>
          <w:sz w:val="22"/>
        </w:rPr>
      </w:pPr>
      <w:r w:rsidRPr="00D33240">
        <w:rPr>
          <w:rFonts w:ascii="Arial" w:eastAsia="Calibri" w:hAnsi="Arial"/>
          <w:b/>
          <w:i/>
          <w:sz w:val="22"/>
        </w:rPr>
        <w:t xml:space="preserve">Program 129 260 – přehled skutečného čerpání v letech </w:t>
      </w:r>
      <w:r w:rsidR="00F978CD">
        <w:rPr>
          <w:rFonts w:ascii="Arial" w:eastAsia="Calibri" w:hAnsi="Arial"/>
          <w:b/>
          <w:i/>
          <w:sz w:val="22"/>
        </w:rPr>
        <w:t>201</w:t>
      </w:r>
      <w:r w:rsidR="002E7F71">
        <w:rPr>
          <w:rFonts w:ascii="Arial" w:eastAsia="Calibri" w:hAnsi="Arial"/>
          <w:b/>
          <w:i/>
          <w:sz w:val="22"/>
        </w:rPr>
        <w:t>4</w:t>
      </w:r>
      <w:r w:rsidRPr="00D33240">
        <w:rPr>
          <w:rFonts w:ascii="Arial" w:eastAsia="Calibri" w:hAnsi="Arial"/>
          <w:b/>
          <w:i/>
          <w:sz w:val="22"/>
        </w:rPr>
        <w:t>–20</w:t>
      </w:r>
      <w:r w:rsidR="00A64D14">
        <w:rPr>
          <w:rFonts w:ascii="Arial" w:eastAsia="Calibri" w:hAnsi="Arial"/>
          <w:b/>
          <w:i/>
          <w:sz w:val="22"/>
        </w:rPr>
        <w:t>20</w:t>
      </w:r>
      <w:r w:rsidRPr="00D33240">
        <w:rPr>
          <w:rFonts w:ascii="Arial" w:eastAsia="Calibri" w:hAnsi="Arial"/>
          <w:b/>
          <w:i/>
          <w:sz w:val="22"/>
        </w:rPr>
        <w:t xml:space="preserve"> a předpoklad čerpání v letech </w:t>
      </w:r>
      <w:r w:rsidR="003F4287">
        <w:rPr>
          <w:rFonts w:ascii="Arial" w:eastAsia="Calibri" w:hAnsi="Arial"/>
          <w:b/>
          <w:i/>
          <w:sz w:val="22"/>
        </w:rPr>
        <w:t>2021–2022</w:t>
      </w:r>
      <w:r w:rsidRPr="00D33240">
        <w:rPr>
          <w:rFonts w:ascii="Arial" w:eastAsia="Calibri" w:hAnsi="Arial"/>
          <w:b/>
          <w:i/>
          <w:sz w:val="22"/>
        </w:rPr>
        <w:t xml:space="preserve"> (v mil. Kč)</w:t>
      </w: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1"/>
        <w:gridCol w:w="1285"/>
        <w:gridCol w:w="1285"/>
        <w:gridCol w:w="1285"/>
        <w:gridCol w:w="1285"/>
        <w:gridCol w:w="1285"/>
        <w:gridCol w:w="1286"/>
      </w:tblGrid>
      <w:tr w:rsidR="002E7F71" w:rsidRPr="00F978CD" w14:paraId="0D1F799D" w14:textId="77777777" w:rsidTr="005A4C4B">
        <w:trPr>
          <w:trHeight w:val="340"/>
        </w:trPr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875D285" w14:textId="77777777" w:rsidR="002E7F71" w:rsidRPr="00F978CD" w:rsidRDefault="002E7F71" w:rsidP="00F978CD">
            <w:pPr>
              <w:keepNext/>
              <w:widowControl w:val="0"/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Zdroj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B1A0831" w14:textId="77777777" w:rsidR="002E7F71" w:rsidRPr="00F978CD" w:rsidRDefault="002E7F71" w:rsidP="005A4C4B">
            <w:pPr>
              <w:keepNext/>
              <w:widowControl w:val="0"/>
              <w:contextualSpacing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2014</w:t>
            </w:r>
            <w:r w:rsidRPr="00D33240">
              <w:rPr>
                <w:rFonts w:ascii="Arial" w:eastAsia="Calibri" w:hAnsi="Arial"/>
                <w:b/>
                <w:i/>
                <w:sz w:val="22"/>
              </w:rPr>
              <w:t>–</w:t>
            </w:r>
            <w:r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0B90B67" w14:textId="77777777" w:rsidR="002E7F71" w:rsidRPr="00F978CD" w:rsidRDefault="002E7F71" w:rsidP="005A4C4B">
            <w:pPr>
              <w:keepNext/>
              <w:widowControl w:val="0"/>
              <w:contextualSpacing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5F752D3" w14:textId="77777777" w:rsidR="002E7F71" w:rsidRPr="00F978CD" w:rsidRDefault="002E7F71" w:rsidP="005A4C4B">
            <w:pPr>
              <w:keepNext/>
              <w:widowControl w:val="0"/>
              <w:contextualSpacing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C312B6A" w14:textId="77777777" w:rsidR="002E7F71" w:rsidRPr="00F978CD" w:rsidRDefault="002E7F71" w:rsidP="005A4C4B">
            <w:pPr>
              <w:keepNext/>
              <w:widowControl w:val="0"/>
              <w:contextualSpacing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55B5548" w14:textId="77777777" w:rsidR="002E7F71" w:rsidRPr="00F978CD" w:rsidRDefault="002E7F71" w:rsidP="005A4C4B">
            <w:pPr>
              <w:keepNext/>
              <w:widowControl w:val="0"/>
              <w:contextualSpacing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2021</w:t>
            </w:r>
            <w:r w:rsidRPr="00F978CD">
              <w:rPr>
                <w:rFonts w:ascii="Arial" w:eastAsia="Calibri" w:hAnsi="Arial"/>
                <w:b/>
                <w:i/>
                <w:iCs/>
                <w:sz w:val="22"/>
                <w:szCs w:val="22"/>
                <w:lang w:eastAsia="en-US"/>
              </w:rPr>
              <w:t>–</w:t>
            </w:r>
            <w:r w:rsidRPr="00F978CD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BE3617A" w14:textId="77777777" w:rsidR="002E7F71" w:rsidRPr="00F978CD" w:rsidRDefault="002E7F71" w:rsidP="005A4C4B">
            <w:pPr>
              <w:keepNext/>
              <w:widowControl w:val="0"/>
              <w:contextualSpacing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Celkem</w:t>
            </w:r>
            <w:r w:rsidR="009C6446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 xml:space="preserve"> za program</w:t>
            </w:r>
          </w:p>
        </w:tc>
      </w:tr>
      <w:tr w:rsidR="002E7F71" w:rsidRPr="00F978CD" w14:paraId="100F10C5" w14:textId="77777777" w:rsidTr="005A4C4B">
        <w:trPr>
          <w:trHeight w:val="340"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92BEB" w14:textId="77777777" w:rsidR="002E7F71" w:rsidRPr="00F978CD" w:rsidRDefault="002E7F71" w:rsidP="002E7F71">
            <w:pPr>
              <w:keepNext/>
              <w:widowControl w:val="0"/>
              <w:contextualSpacing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Státní rozpočet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68C79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Cs/>
                <w:position w:val="-6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Cs/>
                <w:position w:val="-6"/>
                <w:sz w:val="22"/>
                <w:szCs w:val="22"/>
                <w:lang w:eastAsia="en-US"/>
              </w:rPr>
              <w:t>881,6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7B6FB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position w:val="-6"/>
                <w:sz w:val="22"/>
                <w:szCs w:val="22"/>
                <w:lang w:eastAsia="en-US"/>
              </w:rPr>
              <w:t>818,0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3776C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401,3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96BEF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Cs/>
                <w:position w:val="-6"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152,3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1EA563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195,2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BBA0A7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 xml:space="preserve"> 2 448,4</w:t>
            </w:r>
          </w:p>
        </w:tc>
      </w:tr>
      <w:tr w:rsidR="002E7F71" w:rsidRPr="00F978CD" w14:paraId="41DE500D" w14:textId="77777777" w:rsidTr="005A4C4B">
        <w:trPr>
          <w:trHeight w:val="340"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310D6" w14:textId="77777777" w:rsidR="002E7F71" w:rsidRPr="00F978CD" w:rsidRDefault="002E7F71" w:rsidP="002E7F71">
            <w:pPr>
              <w:keepNext/>
              <w:widowControl w:val="0"/>
              <w:contextualSpacing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OSFA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9AF37" w14:textId="77777777" w:rsidR="002E7F71" w:rsidRPr="00F978CD" w:rsidRDefault="002E7F71" w:rsidP="00437328">
            <w:pPr>
              <w:keepNext/>
              <w:widowControl w:val="0"/>
              <w:tabs>
                <w:tab w:val="decimal" w:pos="-6875"/>
              </w:tabs>
              <w:ind w:right="103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320,6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3CA24" w14:textId="77777777" w:rsidR="002E7F71" w:rsidRPr="00F978CD" w:rsidRDefault="002E7F71" w:rsidP="00437328">
            <w:pPr>
              <w:keepNext/>
              <w:widowControl w:val="0"/>
              <w:tabs>
                <w:tab w:val="decimal" w:pos="-6875"/>
              </w:tabs>
              <w:ind w:right="103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E95E7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99C0D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Cs/>
                <w:position w:val="-6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Cs/>
                <w:position w:val="-6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49676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9CEA88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 xml:space="preserve">    320,6</w:t>
            </w:r>
          </w:p>
        </w:tc>
      </w:tr>
      <w:tr w:rsidR="002E7F71" w:rsidRPr="00F978CD" w14:paraId="43981A39" w14:textId="77777777" w:rsidTr="005A4C4B">
        <w:trPr>
          <w:trHeight w:val="340"/>
        </w:trPr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8B1EB40" w14:textId="77777777" w:rsidR="002E7F71" w:rsidRPr="00F978CD" w:rsidRDefault="002E7F71" w:rsidP="002E7F71">
            <w:pPr>
              <w:keepNext/>
              <w:widowControl w:val="0"/>
              <w:contextualSpacing/>
              <w:jc w:val="both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Celkem dotace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C9AB8A3" w14:textId="77777777" w:rsidR="002E7F71" w:rsidRPr="00F978CD" w:rsidRDefault="002E7F71" w:rsidP="00437328">
            <w:pPr>
              <w:keepNext/>
              <w:widowControl w:val="0"/>
              <w:tabs>
                <w:tab w:val="decimal" w:pos="-6308"/>
              </w:tabs>
              <w:ind w:right="103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1 202,2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6AA1C82" w14:textId="77777777" w:rsidR="002E7F71" w:rsidRPr="00F978CD" w:rsidRDefault="002E7F71" w:rsidP="00437328">
            <w:pPr>
              <w:keepNext/>
              <w:widowControl w:val="0"/>
              <w:tabs>
                <w:tab w:val="decimal" w:pos="-6308"/>
              </w:tabs>
              <w:ind w:right="103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818,0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7147229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401,3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66C3496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/>
                <w:bCs/>
                <w:position w:val="-6"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152,3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02A1FFA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195,2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B19B096" w14:textId="7FF0AA21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2</w:t>
            </w:r>
            <w:r w:rsidR="004B7CAD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 </w:t>
            </w:r>
            <w:r w:rsidRPr="00F978CD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769</w:t>
            </w:r>
            <w:r w:rsidR="004B7CAD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,0</w:t>
            </w:r>
          </w:p>
        </w:tc>
      </w:tr>
      <w:tr w:rsidR="002E7F71" w:rsidRPr="00F978CD" w14:paraId="7B11FB80" w14:textId="77777777" w:rsidTr="005A4C4B">
        <w:trPr>
          <w:trHeight w:val="340"/>
        </w:trPr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D32CB3B" w14:textId="77777777" w:rsidR="002E7F71" w:rsidRPr="00F978CD" w:rsidRDefault="002E7F71" w:rsidP="002E7F71">
            <w:pPr>
              <w:keepNext/>
              <w:widowControl w:val="0"/>
              <w:contextualSpacing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Vlastní zdroje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AB7E0F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252,2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0FE74F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220,5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3297DB8" w14:textId="77777777" w:rsidR="002E7F71" w:rsidRPr="00F978CD" w:rsidRDefault="002E7F71" w:rsidP="00437328">
            <w:pPr>
              <w:keepNext/>
              <w:widowControl w:val="0"/>
              <w:tabs>
                <w:tab w:val="decimal" w:pos="-5883"/>
              </w:tabs>
              <w:ind w:right="103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229,4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9C8C246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Cs/>
                <w:position w:val="-6"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85,8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D1EDBF" w14:textId="77777777" w:rsidR="002E7F71" w:rsidRPr="00F978CD" w:rsidRDefault="002E7F71" w:rsidP="00437328">
            <w:pPr>
              <w:keepNext/>
              <w:widowControl w:val="0"/>
              <w:tabs>
                <w:tab w:val="decimal" w:pos="-14889"/>
              </w:tabs>
              <w:ind w:right="103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56,6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9A6498" w14:textId="77777777" w:rsidR="002E7F71" w:rsidRPr="00F978CD" w:rsidRDefault="002E7F71" w:rsidP="00437328">
            <w:pPr>
              <w:keepNext/>
              <w:widowControl w:val="0"/>
              <w:tabs>
                <w:tab w:val="decimal" w:pos="-14889"/>
              </w:tabs>
              <w:ind w:right="103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844,5</w:t>
            </w:r>
          </w:p>
        </w:tc>
      </w:tr>
      <w:tr w:rsidR="002E7F71" w:rsidRPr="00F978CD" w14:paraId="75ED0060" w14:textId="77777777" w:rsidTr="005A4C4B">
        <w:trPr>
          <w:trHeight w:val="340"/>
        </w:trPr>
        <w:tc>
          <w:tcPr>
            <w:tcW w:w="136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BEA46FF" w14:textId="77777777" w:rsidR="002E7F71" w:rsidRPr="00F978CD" w:rsidRDefault="002E7F71" w:rsidP="002E7F71">
            <w:pPr>
              <w:keepNext/>
              <w:widowControl w:val="0"/>
              <w:contextualSpacing/>
              <w:jc w:val="both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Celkem</w:t>
            </w:r>
          </w:p>
        </w:tc>
        <w:tc>
          <w:tcPr>
            <w:tcW w:w="128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5B29B3F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1 454,4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FFAAE69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1</w:t>
            </w:r>
            <w:r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F978CD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038,5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F01A28D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630,7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CC5BBBD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238,1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8C00432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251,8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296DD765" w14:textId="77777777" w:rsidR="002E7F71" w:rsidRPr="00F978CD" w:rsidRDefault="002E7F71" w:rsidP="00437328">
            <w:pPr>
              <w:keepNext/>
              <w:widowControl w:val="0"/>
              <w:ind w:right="103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F978CD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3 613,5</w:t>
            </w:r>
          </w:p>
        </w:tc>
      </w:tr>
    </w:tbl>
    <w:p w14:paraId="2034560B" w14:textId="77777777" w:rsidR="00F978CD" w:rsidRDefault="00046AD6" w:rsidP="00F978CD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2D59E85" w14:textId="77777777" w:rsidR="00046AD6" w:rsidRDefault="00046AD6" w:rsidP="00F978CD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207C77">
        <w:rPr>
          <w:rFonts w:ascii="Arial" w:hAnsi="Arial" w:cs="Arial"/>
          <w:sz w:val="22"/>
          <w:szCs w:val="22"/>
        </w:rPr>
        <w:t>Čerpání finančních prostředků v prvních letech trvání programu bylo relativně nízké</w:t>
      </w:r>
      <w:r>
        <w:rPr>
          <w:rFonts w:ascii="Arial" w:hAnsi="Arial" w:cs="Arial"/>
          <w:sz w:val="22"/>
          <w:szCs w:val="22"/>
        </w:rPr>
        <w:t>, a to zejména z důvodu financování</w:t>
      </w:r>
      <w:r w:rsidRPr="00207C77">
        <w:rPr>
          <w:rFonts w:ascii="Arial" w:hAnsi="Arial" w:cs="Arial"/>
          <w:sz w:val="22"/>
          <w:szCs w:val="22"/>
        </w:rPr>
        <w:t xml:space="preserve"> především projektov</w:t>
      </w:r>
      <w:r>
        <w:rPr>
          <w:rFonts w:ascii="Arial" w:hAnsi="Arial" w:cs="Arial"/>
          <w:sz w:val="22"/>
          <w:szCs w:val="22"/>
        </w:rPr>
        <w:t>ých</w:t>
      </w:r>
      <w:r w:rsidRPr="00207C77">
        <w:rPr>
          <w:rFonts w:ascii="Arial" w:hAnsi="Arial" w:cs="Arial"/>
          <w:sz w:val="22"/>
          <w:szCs w:val="22"/>
        </w:rPr>
        <w:t xml:space="preserve"> pr</w:t>
      </w:r>
      <w:r>
        <w:rPr>
          <w:rFonts w:ascii="Arial" w:hAnsi="Arial" w:cs="Arial"/>
          <w:sz w:val="22"/>
          <w:szCs w:val="22"/>
        </w:rPr>
        <w:t>a</w:t>
      </w:r>
      <w:r w:rsidRPr="00207C77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í</w:t>
      </w:r>
      <w:r w:rsidRPr="00207C77">
        <w:rPr>
          <w:rFonts w:ascii="Arial" w:hAnsi="Arial" w:cs="Arial"/>
          <w:sz w:val="22"/>
          <w:szCs w:val="22"/>
        </w:rPr>
        <w:t xml:space="preserve"> (dokumentace pro územní </w:t>
      </w:r>
      <w:r w:rsidR="002E7F71" w:rsidRPr="00207C77">
        <w:rPr>
          <w:rFonts w:ascii="Arial" w:hAnsi="Arial" w:cs="Arial"/>
          <w:sz w:val="22"/>
          <w:szCs w:val="22"/>
        </w:rPr>
        <w:t>a</w:t>
      </w:r>
      <w:r w:rsidR="002E7F71">
        <w:rPr>
          <w:rFonts w:ascii="Arial" w:hAnsi="Arial" w:cs="Arial"/>
          <w:sz w:val="22"/>
          <w:szCs w:val="22"/>
        </w:rPr>
        <w:t> </w:t>
      </w:r>
      <w:r w:rsidRPr="00207C77">
        <w:rPr>
          <w:rFonts w:ascii="Arial" w:hAnsi="Arial" w:cs="Arial"/>
          <w:sz w:val="22"/>
          <w:szCs w:val="22"/>
        </w:rPr>
        <w:t>stavební řízení)</w:t>
      </w:r>
      <w:r>
        <w:rPr>
          <w:rFonts w:ascii="Arial" w:hAnsi="Arial" w:cs="Arial"/>
          <w:sz w:val="22"/>
          <w:szCs w:val="22"/>
        </w:rPr>
        <w:t xml:space="preserve"> pro následnou realizaci stavebních akcí.</w:t>
      </w:r>
      <w:r w:rsidRPr="00207C77">
        <w:rPr>
          <w:rFonts w:ascii="Arial" w:hAnsi="Arial" w:cs="Arial"/>
          <w:sz w:val="22"/>
          <w:szCs w:val="22"/>
        </w:rPr>
        <w:t xml:space="preserve"> Zároveň</w:t>
      </w:r>
      <w:r>
        <w:rPr>
          <w:rFonts w:ascii="Arial" w:hAnsi="Arial" w:cs="Arial"/>
          <w:sz w:val="22"/>
          <w:szCs w:val="22"/>
        </w:rPr>
        <w:t xml:space="preserve"> samotná </w:t>
      </w:r>
      <w:r w:rsidRPr="00207C77">
        <w:rPr>
          <w:rFonts w:ascii="Arial" w:hAnsi="Arial" w:cs="Arial"/>
          <w:sz w:val="22"/>
          <w:szCs w:val="22"/>
        </w:rPr>
        <w:t>zadávací řízení na dodavatele staveb</w:t>
      </w:r>
      <w:r>
        <w:rPr>
          <w:rFonts w:ascii="Arial" w:hAnsi="Arial" w:cs="Arial"/>
          <w:sz w:val="22"/>
          <w:szCs w:val="22"/>
        </w:rPr>
        <w:t xml:space="preserve"> </w:t>
      </w:r>
      <w:r w:rsidRPr="00D0153F">
        <w:rPr>
          <w:rFonts w:ascii="Arial" w:hAnsi="Arial" w:cs="Arial"/>
          <w:sz w:val="22"/>
          <w:szCs w:val="22"/>
        </w:rPr>
        <w:t>musela být</w:t>
      </w:r>
      <w:r w:rsidRPr="00F77038">
        <w:rPr>
          <w:rFonts w:ascii="Arial" w:hAnsi="Arial" w:cs="Arial"/>
          <w:sz w:val="22"/>
          <w:szCs w:val="22"/>
        </w:rPr>
        <w:t xml:space="preserve"> </w:t>
      </w:r>
      <w:r w:rsidRPr="00207C77">
        <w:rPr>
          <w:rFonts w:ascii="Arial" w:hAnsi="Arial" w:cs="Arial"/>
          <w:sz w:val="22"/>
          <w:szCs w:val="22"/>
        </w:rPr>
        <w:t>v některých případech zrušena a opakována. K nárůstu čerpání finančních prostředků proto došlo</w:t>
      </w:r>
      <w:r>
        <w:rPr>
          <w:rFonts w:ascii="Arial" w:hAnsi="Arial" w:cs="Arial"/>
          <w:sz w:val="22"/>
          <w:szCs w:val="22"/>
        </w:rPr>
        <w:t xml:space="preserve"> až </w:t>
      </w:r>
      <w:r w:rsidR="002E7F71">
        <w:rPr>
          <w:rFonts w:ascii="Arial" w:hAnsi="Arial" w:cs="Arial"/>
          <w:sz w:val="22"/>
          <w:szCs w:val="22"/>
        </w:rPr>
        <w:t xml:space="preserve">se </w:t>
      </w:r>
      <w:r w:rsidRPr="00207C77">
        <w:rPr>
          <w:rFonts w:ascii="Arial" w:hAnsi="Arial" w:cs="Arial"/>
          <w:sz w:val="22"/>
          <w:szCs w:val="22"/>
        </w:rPr>
        <w:t>zahájení</w:t>
      </w:r>
      <w:r>
        <w:rPr>
          <w:rFonts w:ascii="Arial" w:hAnsi="Arial" w:cs="Arial"/>
          <w:sz w:val="22"/>
          <w:szCs w:val="22"/>
        </w:rPr>
        <w:t>m</w:t>
      </w:r>
      <w:r w:rsidRPr="00207C77">
        <w:rPr>
          <w:rFonts w:ascii="Arial" w:hAnsi="Arial" w:cs="Arial"/>
          <w:sz w:val="22"/>
          <w:szCs w:val="22"/>
        </w:rPr>
        <w:t xml:space="preserve"> stavebních prací</w:t>
      </w:r>
      <w:r w:rsidR="002E7F71">
        <w:rPr>
          <w:rFonts w:ascii="Arial" w:hAnsi="Arial" w:cs="Arial"/>
          <w:sz w:val="22"/>
          <w:szCs w:val="22"/>
        </w:rPr>
        <w:t>, zejména od roku 2016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DFA9864" w14:textId="77777777" w:rsidR="004B7CAD" w:rsidRPr="00207C77" w:rsidRDefault="004B7CAD" w:rsidP="00F978CD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2E7EB19A" w14:textId="77777777" w:rsidR="00046AD6" w:rsidRDefault="00046AD6" w:rsidP="00F978CD">
      <w:pPr>
        <w:contextualSpacing/>
        <w:jc w:val="both"/>
        <w:rPr>
          <w:rFonts w:ascii="Arial" w:eastAsia="Calibri" w:hAnsi="Arial"/>
          <w:b/>
          <w:bCs/>
          <w:sz w:val="17"/>
          <w:szCs w:val="17"/>
          <w:lang w:eastAsia="en-US"/>
        </w:rPr>
      </w:pPr>
      <w:r w:rsidRPr="00997A6E"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Program 129 260 – přehled skutečného čerpání </w:t>
      </w:r>
      <w:r w:rsidR="00273E33"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ze státního rozpočtu </w:t>
      </w:r>
      <w:r w:rsidRPr="00997A6E">
        <w:rPr>
          <w:rFonts w:ascii="Arial" w:eastAsia="Calibri" w:hAnsi="Arial"/>
          <w:b/>
          <w:i/>
          <w:iCs/>
          <w:sz w:val="22"/>
          <w:szCs w:val="22"/>
          <w:lang w:eastAsia="en-US"/>
        </w:rPr>
        <w:t>v letech 201</w:t>
      </w:r>
      <w:r w:rsidR="003F4287">
        <w:rPr>
          <w:rFonts w:ascii="Arial" w:eastAsia="Calibri" w:hAnsi="Arial"/>
          <w:b/>
          <w:i/>
          <w:iCs/>
          <w:sz w:val="22"/>
          <w:szCs w:val="22"/>
          <w:lang w:eastAsia="en-US"/>
        </w:rPr>
        <w:t>8</w:t>
      </w:r>
      <w:r w:rsidRPr="00997A6E">
        <w:rPr>
          <w:rFonts w:ascii="Arial" w:eastAsia="Calibri" w:hAnsi="Arial"/>
          <w:b/>
          <w:i/>
          <w:iCs/>
          <w:sz w:val="22"/>
          <w:szCs w:val="22"/>
          <w:lang w:eastAsia="en-US"/>
        </w:rPr>
        <w:t>–20</w:t>
      </w:r>
      <w:r w:rsidR="001648B1">
        <w:rPr>
          <w:rFonts w:ascii="Arial" w:eastAsia="Calibri" w:hAnsi="Arial"/>
          <w:b/>
          <w:i/>
          <w:iCs/>
          <w:sz w:val="22"/>
          <w:szCs w:val="22"/>
          <w:lang w:eastAsia="en-US"/>
        </w:rPr>
        <w:t>20</w:t>
      </w:r>
      <w:r w:rsidRPr="00997A6E"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 dle jednotlivých investorů (v mil. Kč)</w:t>
      </w:r>
      <w:r w:rsidRPr="00997A6E">
        <w:rPr>
          <w:rFonts w:ascii="Arial" w:eastAsia="Calibri" w:hAnsi="Arial"/>
          <w:b/>
          <w:bCs/>
          <w:sz w:val="17"/>
          <w:szCs w:val="17"/>
          <w:lang w:eastAsia="en-US"/>
        </w:rPr>
        <w:t xml:space="preserve"> </w:t>
      </w:r>
    </w:p>
    <w:tbl>
      <w:tblPr>
        <w:tblW w:w="756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807"/>
        <w:gridCol w:w="1807"/>
        <w:gridCol w:w="1808"/>
      </w:tblGrid>
      <w:tr w:rsidR="002E7F71" w:rsidRPr="00C42B80" w14:paraId="7C75702D" w14:textId="77777777" w:rsidTr="002E7F71">
        <w:trPr>
          <w:trHeight w:val="340"/>
        </w:trPr>
        <w:tc>
          <w:tcPr>
            <w:tcW w:w="2142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702C06" w14:textId="77777777" w:rsidR="002E7F71" w:rsidRPr="00C42B80" w:rsidRDefault="002E7F71" w:rsidP="00C42B80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Investor</w:t>
            </w:r>
          </w:p>
        </w:tc>
        <w:tc>
          <w:tcPr>
            <w:tcW w:w="180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355BC2B" w14:textId="77777777" w:rsidR="002E7F71" w:rsidRPr="00C42B80" w:rsidRDefault="002E7F71" w:rsidP="005A4C4B">
            <w:pPr>
              <w:keepNext/>
              <w:widowControl w:val="0"/>
              <w:ind w:right="259"/>
              <w:contextualSpacing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180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B209D3A" w14:textId="77777777" w:rsidR="002E7F71" w:rsidRPr="00C42B80" w:rsidRDefault="002E7F71" w:rsidP="005A4C4B">
            <w:pPr>
              <w:keepNext/>
              <w:widowControl w:val="0"/>
              <w:ind w:right="259"/>
              <w:contextualSpacing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18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D3CB194" w14:textId="77777777" w:rsidR="002E7F71" w:rsidRPr="00C42B80" w:rsidRDefault="002E7F71" w:rsidP="005A4C4B">
            <w:pPr>
              <w:keepNext/>
              <w:widowControl w:val="0"/>
              <w:ind w:right="259"/>
              <w:contextualSpacing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2020</w:t>
            </w:r>
          </w:p>
        </w:tc>
      </w:tr>
      <w:tr w:rsidR="002E7F71" w:rsidRPr="00C42B80" w14:paraId="360FEA7A" w14:textId="77777777" w:rsidTr="002E7F71">
        <w:trPr>
          <w:trHeight w:val="340"/>
        </w:trPr>
        <w:tc>
          <w:tcPr>
            <w:tcW w:w="2142" w:type="dxa"/>
            <w:tcBorders>
              <w:top w:val="nil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5D6064" w14:textId="77777777" w:rsidR="002E7F71" w:rsidRPr="00C42B80" w:rsidRDefault="002E7F71" w:rsidP="00C42B80">
            <w:pPr>
              <w:tabs>
                <w:tab w:val="left" w:pos="480"/>
              </w:tabs>
              <w:contextualSpacing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 xml:space="preserve">Povodí Labe, </w:t>
            </w:r>
            <w:proofErr w:type="spellStart"/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s.p</w:t>
            </w:r>
            <w:proofErr w:type="spellEnd"/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0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47A17C" w14:textId="77777777" w:rsidR="002E7F71" w:rsidRPr="00C42B80" w:rsidRDefault="002E7F71" w:rsidP="00C42B80">
            <w:pPr>
              <w:ind w:right="284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120,734</w:t>
            </w:r>
          </w:p>
        </w:tc>
        <w:tc>
          <w:tcPr>
            <w:tcW w:w="180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0B04FD" w14:textId="77777777" w:rsidR="002E7F71" w:rsidRPr="00C42B80" w:rsidRDefault="002E7F71" w:rsidP="00C42B80">
            <w:pPr>
              <w:ind w:right="248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118,107</w:t>
            </w:r>
          </w:p>
        </w:tc>
        <w:tc>
          <w:tcPr>
            <w:tcW w:w="1808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CB29D0" w14:textId="77777777" w:rsidR="002E7F71" w:rsidRPr="00C42B80" w:rsidRDefault="002E7F71" w:rsidP="00C42B80">
            <w:pPr>
              <w:ind w:right="355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2E7F71" w:rsidRPr="00C42B80" w14:paraId="5BA3DD44" w14:textId="77777777" w:rsidTr="002E7F71">
        <w:trPr>
          <w:trHeight w:val="340"/>
        </w:trPr>
        <w:tc>
          <w:tcPr>
            <w:tcW w:w="2142" w:type="dxa"/>
            <w:tcBorders>
              <w:top w:val="nil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A322F7" w14:textId="77777777" w:rsidR="002E7F71" w:rsidRPr="00C42B80" w:rsidRDefault="002E7F71" w:rsidP="00C42B80">
            <w:pPr>
              <w:tabs>
                <w:tab w:val="left" w:pos="480"/>
              </w:tabs>
              <w:contextualSpacing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 xml:space="preserve">Povodí Vltavy, </w:t>
            </w:r>
            <w:proofErr w:type="spellStart"/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s.p</w:t>
            </w:r>
            <w:proofErr w:type="spellEnd"/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0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810CA2" w14:textId="77777777" w:rsidR="002E7F71" w:rsidRPr="00C42B80" w:rsidRDefault="002E7F71" w:rsidP="00C42B80">
            <w:pPr>
              <w:ind w:right="284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76,803</w:t>
            </w:r>
          </w:p>
        </w:tc>
        <w:tc>
          <w:tcPr>
            <w:tcW w:w="180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CE97D0" w14:textId="77777777" w:rsidR="002E7F71" w:rsidRPr="00C42B80" w:rsidRDefault="002E7F71" w:rsidP="00C42B80">
            <w:pPr>
              <w:ind w:right="248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A2F528" w14:textId="77777777" w:rsidR="002E7F71" w:rsidRPr="00C42B80" w:rsidRDefault="002E7F71" w:rsidP="00C42B80">
            <w:pPr>
              <w:ind w:right="355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2E7F71" w:rsidRPr="00C42B80" w14:paraId="1A058D2B" w14:textId="77777777" w:rsidTr="002E7F71">
        <w:trPr>
          <w:trHeight w:val="340"/>
        </w:trPr>
        <w:tc>
          <w:tcPr>
            <w:tcW w:w="2142" w:type="dxa"/>
            <w:tcBorders>
              <w:top w:val="nil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6C5C76" w14:textId="77777777" w:rsidR="002E7F71" w:rsidRPr="00C42B80" w:rsidRDefault="002E7F71" w:rsidP="00C42B80">
            <w:pPr>
              <w:tabs>
                <w:tab w:val="left" w:pos="480"/>
              </w:tabs>
              <w:contextualSpacing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 xml:space="preserve">Povodí Ohře, </w:t>
            </w:r>
            <w:proofErr w:type="spellStart"/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s.p</w:t>
            </w:r>
            <w:proofErr w:type="spellEnd"/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0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23DDC8" w14:textId="77777777" w:rsidR="002E7F71" w:rsidRPr="00C42B80" w:rsidRDefault="002E7F71" w:rsidP="00C42B80">
            <w:pPr>
              <w:ind w:right="284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36,550</w:t>
            </w:r>
          </w:p>
        </w:tc>
        <w:tc>
          <w:tcPr>
            <w:tcW w:w="180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FFFCFF" w14:textId="77777777" w:rsidR="002E7F71" w:rsidRPr="00C42B80" w:rsidRDefault="002E7F71" w:rsidP="00C42B80">
            <w:pPr>
              <w:ind w:right="248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16,336</w:t>
            </w:r>
          </w:p>
        </w:tc>
        <w:tc>
          <w:tcPr>
            <w:tcW w:w="1808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99BD71" w14:textId="77777777" w:rsidR="002E7F71" w:rsidRPr="00C42B80" w:rsidRDefault="002E7F71" w:rsidP="00C42B80">
            <w:pPr>
              <w:ind w:right="355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2E7F71" w:rsidRPr="00C42B80" w14:paraId="3909E566" w14:textId="77777777" w:rsidTr="002E7F71">
        <w:trPr>
          <w:trHeight w:val="340"/>
        </w:trPr>
        <w:tc>
          <w:tcPr>
            <w:tcW w:w="2142" w:type="dxa"/>
            <w:tcBorders>
              <w:top w:val="nil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055A80" w14:textId="77777777" w:rsidR="002E7F71" w:rsidRPr="00C42B80" w:rsidRDefault="002E7F71" w:rsidP="00C42B80">
            <w:pPr>
              <w:tabs>
                <w:tab w:val="left" w:pos="480"/>
              </w:tabs>
              <w:contextualSpacing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 xml:space="preserve">Povodí Odry, </w:t>
            </w:r>
            <w:proofErr w:type="spellStart"/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s.p</w:t>
            </w:r>
            <w:proofErr w:type="spellEnd"/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0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6DBCF7" w14:textId="77777777" w:rsidR="002E7F71" w:rsidRPr="00C42B80" w:rsidRDefault="002E7F71" w:rsidP="00C42B80">
            <w:pPr>
              <w:ind w:right="284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224,912</w:t>
            </w:r>
          </w:p>
        </w:tc>
        <w:tc>
          <w:tcPr>
            <w:tcW w:w="180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F708C0" w14:textId="77777777" w:rsidR="002E7F71" w:rsidRPr="00C42B80" w:rsidRDefault="002E7F71" w:rsidP="00C42B80">
            <w:pPr>
              <w:ind w:right="248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22,526</w:t>
            </w:r>
          </w:p>
        </w:tc>
        <w:tc>
          <w:tcPr>
            <w:tcW w:w="1808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17905D" w14:textId="77777777" w:rsidR="002E7F71" w:rsidRPr="00C42B80" w:rsidRDefault="002E7F71" w:rsidP="00C42B80">
            <w:pPr>
              <w:ind w:right="355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2E7F71" w:rsidRPr="00C42B80" w14:paraId="02DB047F" w14:textId="77777777" w:rsidTr="002E7F71">
        <w:trPr>
          <w:trHeight w:val="340"/>
        </w:trPr>
        <w:tc>
          <w:tcPr>
            <w:tcW w:w="2142" w:type="dxa"/>
            <w:tcBorders>
              <w:top w:val="nil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B25AF0" w14:textId="77777777" w:rsidR="002E7F71" w:rsidRPr="00C42B80" w:rsidRDefault="002E7F71" w:rsidP="00C42B80">
            <w:pPr>
              <w:tabs>
                <w:tab w:val="left" w:pos="480"/>
              </w:tabs>
              <w:contextualSpacing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 xml:space="preserve">Povodí Moravy, </w:t>
            </w:r>
            <w:proofErr w:type="spellStart"/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s.p</w:t>
            </w:r>
            <w:proofErr w:type="spellEnd"/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0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577DB6" w14:textId="77777777" w:rsidR="002E7F71" w:rsidRPr="00C42B80" w:rsidRDefault="002E7F71" w:rsidP="00C42B80">
            <w:pPr>
              <w:ind w:right="284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340,695</w:t>
            </w:r>
          </w:p>
        </w:tc>
        <w:tc>
          <w:tcPr>
            <w:tcW w:w="180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7E5E65" w14:textId="77777777" w:rsidR="002E7F71" w:rsidRPr="00C42B80" w:rsidRDefault="002E7F71" w:rsidP="00C42B80">
            <w:pPr>
              <w:ind w:right="248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229,776</w:t>
            </w:r>
          </w:p>
        </w:tc>
        <w:tc>
          <w:tcPr>
            <w:tcW w:w="1808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F83A22" w14:textId="77777777" w:rsidR="002E7F71" w:rsidRPr="00C42B80" w:rsidRDefault="002E7F71" w:rsidP="00C42B80">
            <w:pPr>
              <w:ind w:right="355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152,305</w:t>
            </w:r>
          </w:p>
        </w:tc>
      </w:tr>
      <w:tr w:rsidR="002E7F71" w:rsidRPr="00C42B80" w14:paraId="038ADA6E" w14:textId="77777777" w:rsidTr="002E7F71">
        <w:trPr>
          <w:trHeight w:val="340"/>
        </w:trPr>
        <w:tc>
          <w:tcPr>
            <w:tcW w:w="2142" w:type="dxa"/>
            <w:tcBorders>
              <w:top w:val="nil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481CF5" w14:textId="77777777" w:rsidR="002E7F71" w:rsidRPr="00C42B80" w:rsidRDefault="002E7F71" w:rsidP="00C42B80">
            <w:pPr>
              <w:tabs>
                <w:tab w:val="left" w:pos="480"/>
              </w:tabs>
              <w:contextualSpacing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 xml:space="preserve">Lesy ČR, </w:t>
            </w:r>
            <w:proofErr w:type="spellStart"/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s.p</w:t>
            </w:r>
            <w:proofErr w:type="spellEnd"/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0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8BABEA" w14:textId="77777777" w:rsidR="002E7F71" w:rsidRPr="00C42B80" w:rsidRDefault="002E7F71" w:rsidP="00C42B80">
            <w:pPr>
              <w:ind w:right="284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14,684</w:t>
            </w:r>
          </w:p>
        </w:tc>
        <w:tc>
          <w:tcPr>
            <w:tcW w:w="180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4EF05F" w14:textId="77777777" w:rsidR="002E7F71" w:rsidRPr="00C42B80" w:rsidRDefault="002E7F71" w:rsidP="00C42B80">
            <w:pPr>
              <w:ind w:right="248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14,511</w:t>
            </w:r>
          </w:p>
        </w:tc>
        <w:tc>
          <w:tcPr>
            <w:tcW w:w="1808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8684779" w14:textId="77777777" w:rsidR="002E7F71" w:rsidRPr="00C42B80" w:rsidRDefault="002E7F71" w:rsidP="00C42B80">
            <w:pPr>
              <w:ind w:right="355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2E7F71" w:rsidRPr="00C42B80" w14:paraId="13DC1591" w14:textId="77777777" w:rsidTr="002E7F71">
        <w:trPr>
          <w:trHeight w:val="340"/>
        </w:trPr>
        <w:tc>
          <w:tcPr>
            <w:tcW w:w="214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EA6FE7" w14:textId="77777777" w:rsidR="002E7F71" w:rsidRPr="00C42B80" w:rsidRDefault="002E7F71" w:rsidP="00C42B80">
            <w:pPr>
              <w:contextualSpacing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Obce</w:t>
            </w:r>
          </w:p>
        </w:tc>
        <w:tc>
          <w:tcPr>
            <w:tcW w:w="180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D39E66" w14:textId="77777777" w:rsidR="002E7F71" w:rsidRPr="00C42B80" w:rsidRDefault="002E7F71" w:rsidP="00C42B80">
            <w:pPr>
              <w:ind w:right="284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3,599</w:t>
            </w:r>
          </w:p>
        </w:tc>
        <w:tc>
          <w:tcPr>
            <w:tcW w:w="180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7092B7" w14:textId="77777777" w:rsidR="002E7F71" w:rsidRPr="00C42B80" w:rsidRDefault="002E7F71" w:rsidP="00C42B80">
            <w:pPr>
              <w:ind w:right="248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B92564" w14:textId="77777777" w:rsidR="002E7F71" w:rsidRPr="00C42B80" w:rsidRDefault="002E7F71" w:rsidP="00C42B80">
            <w:pPr>
              <w:ind w:right="355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2E7F71" w:rsidRPr="00C42B80" w14:paraId="676769EE" w14:textId="77777777" w:rsidTr="002E7F71">
        <w:trPr>
          <w:trHeight w:val="340"/>
        </w:trPr>
        <w:tc>
          <w:tcPr>
            <w:tcW w:w="2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7D3423E8" w14:textId="77777777" w:rsidR="002E7F71" w:rsidRPr="00C42B80" w:rsidRDefault="002E7F71" w:rsidP="00C42B80">
            <w:pPr>
              <w:contextualSpacing/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  <w:t>Celkem</w:t>
            </w:r>
          </w:p>
        </w:tc>
        <w:tc>
          <w:tcPr>
            <w:tcW w:w="180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54527005" w14:textId="77777777" w:rsidR="002E7F71" w:rsidRPr="00C42B80" w:rsidRDefault="002E7F71" w:rsidP="00C42B80">
            <w:pPr>
              <w:ind w:right="284"/>
              <w:contextualSpacing/>
              <w:jc w:val="right"/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  <w:t>817,977</w:t>
            </w:r>
          </w:p>
        </w:tc>
        <w:tc>
          <w:tcPr>
            <w:tcW w:w="180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79A049A7" w14:textId="77777777" w:rsidR="002E7F71" w:rsidRPr="00C42B80" w:rsidRDefault="002E7F71" w:rsidP="00C42B80">
            <w:pPr>
              <w:ind w:right="248"/>
              <w:contextualSpacing/>
              <w:jc w:val="right"/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  <w:t>401,256</w:t>
            </w:r>
          </w:p>
        </w:tc>
        <w:tc>
          <w:tcPr>
            <w:tcW w:w="18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153683B5" w14:textId="1768DEE6" w:rsidR="002E7F71" w:rsidRPr="00C42B80" w:rsidRDefault="002E7F71" w:rsidP="003D50A0">
            <w:pPr>
              <w:ind w:right="355"/>
              <w:contextualSpacing/>
              <w:jc w:val="right"/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42B80"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  <w:t>152,30</w:t>
            </w:r>
            <w:r w:rsidR="003D50A0"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</w:tbl>
    <w:p w14:paraId="0557ABA0" w14:textId="77777777" w:rsidR="00C42B80" w:rsidRDefault="00C42B80" w:rsidP="00D30610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0F5FDCA4" w14:textId="7AB89158" w:rsidR="00046AD6" w:rsidRPr="00207C77" w:rsidRDefault="00046AD6" w:rsidP="00C42B80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207C77">
        <w:rPr>
          <w:rFonts w:ascii="Arial" w:hAnsi="Arial" w:cs="Arial"/>
          <w:sz w:val="22"/>
          <w:szCs w:val="22"/>
        </w:rPr>
        <w:lastRenderedPageBreak/>
        <w:t>Ke konci roku 20</w:t>
      </w:r>
      <w:r w:rsidR="001648B1">
        <w:rPr>
          <w:rFonts w:ascii="Arial" w:hAnsi="Arial" w:cs="Arial"/>
          <w:sz w:val="22"/>
          <w:szCs w:val="22"/>
        </w:rPr>
        <w:t>20</w:t>
      </w:r>
      <w:r w:rsidRPr="00207C77">
        <w:rPr>
          <w:rFonts w:ascii="Arial" w:hAnsi="Arial" w:cs="Arial"/>
          <w:sz w:val="22"/>
          <w:szCs w:val="22"/>
        </w:rPr>
        <w:t xml:space="preserve"> bylo </w:t>
      </w:r>
      <w:r w:rsidR="002E7F71">
        <w:rPr>
          <w:rFonts w:ascii="Arial" w:hAnsi="Arial" w:cs="Arial"/>
          <w:sz w:val="22"/>
          <w:szCs w:val="22"/>
        </w:rPr>
        <w:t xml:space="preserve">v rámci programu </w:t>
      </w:r>
      <w:r w:rsidRPr="00207C77">
        <w:rPr>
          <w:rFonts w:ascii="Arial" w:hAnsi="Arial" w:cs="Arial"/>
          <w:sz w:val="22"/>
          <w:szCs w:val="22"/>
        </w:rPr>
        <w:t xml:space="preserve">stavebně dokončeno </w:t>
      </w:r>
      <w:r w:rsidR="001648B1">
        <w:rPr>
          <w:rFonts w:ascii="Arial" w:hAnsi="Arial" w:cs="Arial"/>
          <w:sz w:val="22"/>
          <w:szCs w:val="22"/>
        </w:rPr>
        <w:t>79</w:t>
      </w:r>
      <w:r w:rsidRPr="00207C77">
        <w:rPr>
          <w:rFonts w:ascii="Arial" w:hAnsi="Arial" w:cs="Arial"/>
          <w:sz w:val="22"/>
          <w:szCs w:val="22"/>
        </w:rPr>
        <w:t xml:space="preserve"> akcí s celkovou poskytnutou dotací ve výši více jak </w:t>
      </w:r>
      <w:r w:rsidR="001648B1">
        <w:rPr>
          <w:rFonts w:ascii="Arial" w:hAnsi="Arial" w:cs="Arial"/>
          <w:sz w:val="22"/>
          <w:szCs w:val="22"/>
        </w:rPr>
        <w:t>2</w:t>
      </w:r>
      <w:r w:rsidR="00437328">
        <w:rPr>
          <w:rFonts w:ascii="Arial" w:hAnsi="Arial" w:cs="Arial"/>
          <w:sz w:val="22"/>
          <w:szCs w:val="22"/>
        </w:rPr>
        <w:t>,</w:t>
      </w:r>
      <w:r w:rsidR="00760763">
        <w:rPr>
          <w:rFonts w:ascii="Arial" w:hAnsi="Arial" w:cs="Arial"/>
          <w:sz w:val="22"/>
          <w:szCs w:val="22"/>
        </w:rPr>
        <w:t>141</w:t>
      </w:r>
      <w:r w:rsidRPr="00207C77">
        <w:rPr>
          <w:rFonts w:ascii="Arial" w:hAnsi="Arial" w:cs="Arial"/>
          <w:sz w:val="22"/>
          <w:szCs w:val="22"/>
        </w:rPr>
        <w:t xml:space="preserve"> ml</w:t>
      </w:r>
      <w:r w:rsidR="00437328">
        <w:rPr>
          <w:rFonts w:ascii="Arial" w:hAnsi="Arial" w:cs="Arial"/>
          <w:sz w:val="22"/>
          <w:szCs w:val="22"/>
        </w:rPr>
        <w:t>d</w:t>
      </w:r>
      <w:r w:rsidRPr="00207C77">
        <w:rPr>
          <w:rFonts w:ascii="Arial" w:hAnsi="Arial" w:cs="Arial"/>
          <w:sz w:val="22"/>
          <w:szCs w:val="22"/>
        </w:rPr>
        <w:t>. Kč.</w:t>
      </w:r>
    </w:p>
    <w:p w14:paraId="2EFA7C9C" w14:textId="77777777" w:rsidR="004D2161" w:rsidRDefault="004D2161" w:rsidP="00D30610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179D9614" w14:textId="548C8C98" w:rsidR="00046AD6" w:rsidRPr="00207C77" w:rsidRDefault="00046AD6" w:rsidP="00D30610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207C77">
        <w:rPr>
          <w:rFonts w:ascii="Arial" w:hAnsi="Arial" w:cs="Arial"/>
          <w:b/>
          <w:i/>
          <w:iCs/>
          <w:sz w:val="22"/>
          <w:szCs w:val="22"/>
        </w:rPr>
        <w:t xml:space="preserve">Program 129 260 – předpoklad parametrů u stavebně zahájených akcí v letech </w:t>
      </w:r>
      <w:r w:rsidR="002C676C">
        <w:rPr>
          <w:rFonts w:ascii="Arial" w:hAnsi="Arial" w:cs="Arial"/>
          <w:b/>
          <w:i/>
          <w:iCs/>
          <w:sz w:val="22"/>
          <w:szCs w:val="22"/>
        </w:rPr>
        <w:br/>
      </w:r>
      <w:r w:rsidRPr="00207C77">
        <w:rPr>
          <w:rFonts w:ascii="Arial" w:hAnsi="Arial" w:cs="Arial"/>
          <w:b/>
          <w:i/>
          <w:iCs/>
          <w:sz w:val="22"/>
          <w:szCs w:val="22"/>
        </w:rPr>
        <w:t>2015–20</w:t>
      </w:r>
      <w:r w:rsidR="001648B1">
        <w:rPr>
          <w:rFonts w:ascii="Arial" w:hAnsi="Arial" w:cs="Arial"/>
          <w:b/>
          <w:i/>
          <w:iCs/>
          <w:sz w:val="22"/>
          <w:szCs w:val="22"/>
        </w:rPr>
        <w:t>20</w:t>
      </w:r>
      <w:r w:rsidRPr="00207C77">
        <w:rPr>
          <w:rFonts w:ascii="Arial" w:hAnsi="Arial" w:cs="Arial"/>
          <w:b/>
          <w:i/>
          <w:iCs/>
          <w:sz w:val="22"/>
          <w:szCs w:val="22"/>
        </w:rPr>
        <w:t xml:space="preserve"> po jejich dokončení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8"/>
        <w:gridCol w:w="1417"/>
        <w:gridCol w:w="2535"/>
      </w:tblGrid>
      <w:tr w:rsidR="00046AD6" w:rsidRPr="00207C77" w14:paraId="6CF73127" w14:textId="77777777" w:rsidTr="00C42B80">
        <w:trPr>
          <w:trHeight w:val="340"/>
        </w:trPr>
        <w:tc>
          <w:tcPr>
            <w:tcW w:w="28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13933757" w14:textId="77777777" w:rsidR="00046AD6" w:rsidRPr="00207C77" w:rsidRDefault="00046AD6" w:rsidP="00C42B80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07C7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Název parametru</w:t>
            </w:r>
          </w:p>
        </w:tc>
        <w:tc>
          <w:tcPr>
            <w:tcW w:w="784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11BEAF51" w14:textId="77777777" w:rsidR="00046AD6" w:rsidRPr="00207C77" w:rsidRDefault="00046AD6" w:rsidP="00C42B80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07C7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Jednotka</w:t>
            </w:r>
          </w:p>
        </w:tc>
        <w:tc>
          <w:tcPr>
            <w:tcW w:w="140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B587E6E" w14:textId="77777777" w:rsidR="00046AD6" w:rsidRPr="00207C77" w:rsidRDefault="00046AD6" w:rsidP="00C42B80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07C7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Hodnota dosaženého parametru</w:t>
            </w:r>
          </w:p>
        </w:tc>
      </w:tr>
      <w:tr w:rsidR="001648B1" w:rsidRPr="00207C77" w14:paraId="69B7AA1D" w14:textId="77777777" w:rsidTr="00C42B80">
        <w:trPr>
          <w:trHeight w:val="340"/>
        </w:trPr>
        <w:tc>
          <w:tcPr>
            <w:tcW w:w="2814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59449" w14:textId="77777777" w:rsidR="001648B1" w:rsidRPr="00207C77" w:rsidRDefault="001648B1" w:rsidP="00C42B8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7C77">
              <w:rPr>
                <w:rFonts w:ascii="Arial" w:hAnsi="Arial" w:cs="Arial"/>
                <w:color w:val="000000"/>
                <w:sz w:val="22"/>
                <w:szCs w:val="22"/>
              </w:rPr>
              <w:t>Projektová dokumentace pro územní řízení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69CBE" w14:textId="77777777" w:rsidR="001648B1" w:rsidRPr="00207C77" w:rsidRDefault="001648B1" w:rsidP="00C42B8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7C77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0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A81844" w14:textId="77777777" w:rsidR="001648B1" w:rsidRPr="00207C77" w:rsidRDefault="001648B1" w:rsidP="005A4C4B">
            <w:pPr>
              <w:ind w:right="196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7C7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1648B1" w:rsidRPr="00987B59" w14:paraId="0CADCD0A" w14:textId="77777777" w:rsidTr="00C42B80">
        <w:trPr>
          <w:trHeight w:val="340"/>
        </w:trPr>
        <w:tc>
          <w:tcPr>
            <w:tcW w:w="2814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60A54" w14:textId="77777777" w:rsidR="001648B1" w:rsidRPr="00987B59" w:rsidRDefault="001648B1" w:rsidP="00C42B8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Projektová dokumentace pro stavební řízení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712A7" w14:textId="77777777" w:rsidR="001648B1" w:rsidRPr="00987B59" w:rsidRDefault="001648B1" w:rsidP="00C42B8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0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237E37" w14:textId="77777777" w:rsidR="001648B1" w:rsidRPr="00207C77" w:rsidRDefault="001648B1" w:rsidP="005A4C4B">
            <w:pPr>
              <w:ind w:right="196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</w:tr>
      <w:tr w:rsidR="001648B1" w:rsidRPr="00987B59" w14:paraId="7509897D" w14:textId="77777777" w:rsidTr="00C42B80">
        <w:trPr>
          <w:trHeight w:val="340"/>
        </w:trPr>
        <w:tc>
          <w:tcPr>
            <w:tcW w:w="2814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9FAFEF" w14:textId="77777777" w:rsidR="001648B1" w:rsidRPr="00987B59" w:rsidRDefault="001648B1" w:rsidP="00C42B8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Projektová dokumentace pro provedení stavby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D1940" w14:textId="77777777" w:rsidR="001648B1" w:rsidRPr="00987B59" w:rsidRDefault="001648B1" w:rsidP="00C42B8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0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2E7349" w14:textId="77777777" w:rsidR="001648B1" w:rsidRPr="00207C77" w:rsidRDefault="001648B1" w:rsidP="005A4C4B">
            <w:pPr>
              <w:ind w:right="196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</w:tr>
      <w:tr w:rsidR="001648B1" w:rsidRPr="00987B59" w14:paraId="366E12F4" w14:textId="77777777" w:rsidTr="00C42B80">
        <w:trPr>
          <w:trHeight w:val="340"/>
        </w:trPr>
        <w:tc>
          <w:tcPr>
            <w:tcW w:w="2814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C75AD" w14:textId="77777777" w:rsidR="001648B1" w:rsidRPr="00987B59" w:rsidRDefault="001648B1" w:rsidP="00C42B8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Retenční objem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B2BAA" w14:textId="77777777" w:rsidR="001648B1" w:rsidRPr="00987B59" w:rsidRDefault="001648B1" w:rsidP="00C42B8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mil. m</w:t>
            </w:r>
            <w:r w:rsidRPr="00987B59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0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76ECFA" w14:textId="77777777" w:rsidR="001648B1" w:rsidRPr="00207C77" w:rsidRDefault="001648B1" w:rsidP="005A4C4B">
            <w:pPr>
              <w:ind w:right="196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7C77">
              <w:rPr>
                <w:rFonts w:ascii="Arial" w:hAnsi="Arial" w:cs="Arial"/>
                <w:color w:val="000000"/>
                <w:sz w:val="22"/>
                <w:szCs w:val="22"/>
              </w:rPr>
              <w:t>26,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302</w:t>
            </w:r>
          </w:p>
        </w:tc>
      </w:tr>
      <w:tr w:rsidR="001648B1" w:rsidRPr="00987B59" w14:paraId="45AB4EAB" w14:textId="77777777" w:rsidTr="00C42B80">
        <w:trPr>
          <w:trHeight w:val="340"/>
        </w:trPr>
        <w:tc>
          <w:tcPr>
            <w:tcW w:w="2814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9F634" w14:textId="77777777" w:rsidR="001648B1" w:rsidRPr="00987B59" w:rsidRDefault="001648B1" w:rsidP="00C42B8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Délka hráze / ochranné hráze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70162" w14:textId="77777777" w:rsidR="001648B1" w:rsidRPr="00987B59" w:rsidRDefault="001648B1" w:rsidP="00C42B8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40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8CD3EF" w14:textId="77777777" w:rsidR="001648B1" w:rsidRPr="00207C77" w:rsidRDefault="001648B1" w:rsidP="005A4C4B">
            <w:pPr>
              <w:ind w:right="196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7C77">
              <w:rPr>
                <w:rFonts w:ascii="Arial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  <w:r w:rsidRPr="00207C77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</w:tr>
      <w:tr w:rsidR="001648B1" w:rsidRPr="00987B59" w14:paraId="602BB9BA" w14:textId="77777777" w:rsidTr="00C42B80">
        <w:trPr>
          <w:trHeight w:val="340"/>
        </w:trPr>
        <w:tc>
          <w:tcPr>
            <w:tcW w:w="2814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5BD9A" w14:textId="77777777" w:rsidR="001648B1" w:rsidRPr="00987B59" w:rsidRDefault="001648B1" w:rsidP="00C42B8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Délka rekonstruovaného úseku hráze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7A1BA" w14:textId="77777777" w:rsidR="001648B1" w:rsidRPr="00987B59" w:rsidRDefault="001648B1" w:rsidP="00C42B8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40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841BCF" w14:textId="77777777" w:rsidR="001648B1" w:rsidRPr="00207C77" w:rsidRDefault="001648B1" w:rsidP="005A4C4B">
            <w:pPr>
              <w:ind w:right="196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7C77">
              <w:rPr>
                <w:rFonts w:ascii="Arial" w:hAnsi="Arial" w:cs="Arial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554</w:t>
            </w:r>
          </w:p>
        </w:tc>
      </w:tr>
      <w:tr w:rsidR="001648B1" w:rsidRPr="00987B59" w14:paraId="7746A86C" w14:textId="77777777" w:rsidTr="00C42B80">
        <w:trPr>
          <w:trHeight w:val="340"/>
        </w:trPr>
        <w:tc>
          <w:tcPr>
            <w:tcW w:w="2814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0F322" w14:textId="77777777" w:rsidR="001648B1" w:rsidRPr="00987B59" w:rsidRDefault="001648B1" w:rsidP="00C42B8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Délka úpravy / stabilizace toku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C1BAB" w14:textId="77777777" w:rsidR="001648B1" w:rsidRPr="00987B59" w:rsidRDefault="001648B1" w:rsidP="00C42B8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40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BE516D" w14:textId="77777777" w:rsidR="001648B1" w:rsidRPr="00987B59" w:rsidRDefault="001648B1" w:rsidP="005A4C4B">
            <w:pPr>
              <w:ind w:right="196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 xml:space="preserve">20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712</w:t>
            </w:r>
          </w:p>
        </w:tc>
      </w:tr>
      <w:tr w:rsidR="001648B1" w:rsidRPr="00987B59" w14:paraId="310164E7" w14:textId="77777777" w:rsidTr="00C42B80">
        <w:trPr>
          <w:trHeight w:val="340"/>
        </w:trPr>
        <w:tc>
          <w:tcPr>
            <w:tcW w:w="2814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B831AA" w14:textId="77777777" w:rsidR="001648B1" w:rsidRPr="00987B59" w:rsidRDefault="001648B1" w:rsidP="00C42B8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Délka ochranné hráze / zdi</w:t>
            </w:r>
          </w:p>
        </w:tc>
        <w:tc>
          <w:tcPr>
            <w:tcW w:w="7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63F77" w14:textId="77777777" w:rsidR="001648B1" w:rsidRPr="00987B59" w:rsidRDefault="001648B1" w:rsidP="00C42B8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402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CDAA0D" w14:textId="77777777" w:rsidR="001648B1" w:rsidRPr="00987B59" w:rsidRDefault="001648B1" w:rsidP="005A4C4B">
            <w:pPr>
              <w:ind w:right="196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17 059</w:t>
            </w:r>
          </w:p>
        </w:tc>
      </w:tr>
      <w:tr w:rsidR="001648B1" w:rsidRPr="00987B59" w14:paraId="77A1E118" w14:textId="77777777" w:rsidTr="00C42B80">
        <w:trPr>
          <w:trHeight w:val="340"/>
        </w:trPr>
        <w:tc>
          <w:tcPr>
            <w:tcW w:w="2814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8C3E4" w14:textId="77777777" w:rsidR="001648B1" w:rsidRPr="00987B59" w:rsidRDefault="001648B1" w:rsidP="00C42B8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Délka rekonstruovaného úseku hráze</w:t>
            </w:r>
          </w:p>
        </w:tc>
        <w:tc>
          <w:tcPr>
            <w:tcW w:w="784" w:type="pct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FD0BB" w14:textId="77777777" w:rsidR="001648B1" w:rsidRPr="00987B59" w:rsidRDefault="001648B1" w:rsidP="00C42B8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402" w:type="pct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8753AD" w14:textId="77777777" w:rsidR="001648B1" w:rsidRPr="00987B59" w:rsidRDefault="001648B1" w:rsidP="005A4C4B">
            <w:pPr>
              <w:ind w:right="196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11 188</w:t>
            </w:r>
          </w:p>
        </w:tc>
      </w:tr>
    </w:tbl>
    <w:p w14:paraId="18456057" w14:textId="77777777" w:rsidR="00C42B80" w:rsidRDefault="00C42B80" w:rsidP="00C42B80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388D9E95" w14:textId="77777777" w:rsidR="00046AD6" w:rsidRPr="00207C77" w:rsidRDefault="00046AD6" w:rsidP="00C42B80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07C77">
        <w:rPr>
          <w:rFonts w:ascii="Arial" w:hAnsi="Arial" w:cs="Arial"/>
          <w:b/>
          <w:sz w:val="22"/>
          <w:szCs w:val="22"/>
        </w:rPr>
        <w:t xml:space="preserve">Příklady významných investičních akcí </w:t>
      </w:r>
      <w:r w:rsidR="001648B1">
        <w:rPr>
          <w:rFonts w:ascii="Arial" w:hAnsi="Arial" w:cs="Arial"/>
          <w:b/>
          <w:sz w:val="22"/>
          <w:szCs w:val="22"/>
        </w:rPr>
        <w:t>dokončených</w:t>
      </w:r>
      <w:r w:rsidR="006D0FBC" w:rsidRPr="00207C77">
        <w:rPr>
          <w:rFonts w:ascii="Arial" w:hAnsi="Arial" w:cs="Arial"/>
          <w:b/>
          <w:sz w:val="22"/>
          <w:szCs w:val="22"/>
        </w:rPr>
        <w:t xml:space="preserve"> </w:t>
      </w:r>
      <w:r w:rsidRPr="00207C77">
        <w:rPr>
          <w:rFonts w:ascii="Arial" w:hAnsi="Arial" w:cs="Arial"/>
          <w:b/>
          <w:sz w:val="22"/>
          <w:szCs w:val="22"/>
        </w:rPr>
        <w:t>v letech 201</w:t>
      </w:r>
      <w:r w:rsidR="001648B1">
        <w:rPr>
          <w:rFonts w:ascii="Arial" w:hAnsi="Arial" w:cs="Arial"/>
          <w:b/>
          <w:sz w:val="22"/>
          <w:szCs w:val="22"/>
        </w:rPr>
        <w:t>8</w:t>
      </w:r>
      <w:r w:rsidRPr="00207C77">
        <w:rPr>
          <w:rFonts w:ascii="Arial" w:hAnsi="Arial" w:cs="Arial"/>
          <w:b/>
          <w:sz w:val="22"/>
          <w:szCs w:val="22"/>
        </w:rPr>
        <w:t>–</w:t>
      </w:r>
      <w:r w:rsidRPr="00207C77">
        <w:rPr>
          <w:rFonts w:ascii="Arial" w:hAnsi="Arial" w:cs="Arial"/>
          <w:b/>
          <w:bCs/>
          <w:sz w:val="22"/>
          <w:szCs w:val="22"/>
        </w:rPr>
        <w:t>20</w:t>
      </w:r>
      <w:r w:rsidR="001648B1">
        <w:rPr>
          <w:rFonts w:ascii="Arial" w:hAnsi="Arial" w:cs="Arial"/>
          <w:b/>
          <w:bCs/>
          <w:sz w:val="22"/>
          <w:szCs w:val="22"/>
        </w:rPr>
        <w:t>20</w:t>
      </w:r>
    </w:p>
    <w:p w14:paraId="2C097DB7" w14:textId="77777777" w:rsidR="00C42B80" w:rsidRDefault="00C42B80" w:rsidP="00F978CD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328A92E" w14:textId="77777777" w:rsidR="00633261" w:rsidRDefault="00AA7CE6" w:rsidP="00F978CD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="00633261">
        <w:rPr>
          <w:rFonts w:ascii="Arial" w:hAnsi="Arial" w:cs="Arial"/>
          <w:b/>
          <w:sz w:val="22"/>
          <w:szCs w:val="22"/>
        </w:rPr>
        <w:t xml:space="preserve">Vodní dílo Boskovice – rekonstrukce, zvýšení bezpečnosti VD za povodní“ </w:t>
      </w:r>
      <w:r w:rsidR="00633261">
        <w:rPr>
          <w:rFonts w:ascii="Arial" w:hAnsi="Arial" w:cs="Arial"/>
          <w:sz w:val="22"/>
          <w:szCs w:val="22"/>
        </w:rPr>
        <w:t xml:space="preserve">s celkovými náklady 105,394 mil. Kč. Základem technického řešení je </w:t>
      </w:r>
      <w:r w:rsidR="00633261" w:rsidRPr="007F31DE">
        <w:rPr>
          <w:rFonts w:ascii="Arial" w:hAnsi="Arial" w:cs="Arial"/>
          <w:sz w:val="22"/>
          <w:szCs w:val="22"/>
        </w:rPr>
        <w:t xml:space="preserve">zejména navýšení těsnicího jádra současně s úpravou koruny hráze a vybudováním nového bezpečnostního přelivu s větší délkou přelivné hrany. Bezpečné převedení velkých vod zároveň zlepšuje rekonstrukce skluzu od bezpečnostního přelivu. </w:t>
      </w:r>
      <w:r w:rsidR="00633261">
        <w:rPr>
          <w:rFonts w:ascii="Arial" w:hAnsi="Arial" w:cs="Arial"/>
          <w:sz w:val="22"/>
          <w:szCs w:val="22"/>
        </w:rPr>
        <w:t>S</w:t>
      </w:r>
      <w:r w:rsidR="00633261" w:rsidRPr="007F31DE">
        <w:rPr>
          <w:rFonts w:ascii="Arial" w:hAnsi="Arial" w:cs="Arial"/>
          <w:sz w:val="22"/>
          <w:szCs w:val="22"/>
        </w:rPr>
        <w:t>tavbou byl zvýšen retenční objem nádrže VD Boskovice a</w:t>
      </w:r>
      <w:r w:rsidR="00C42B80">
        <w:rPr>
          <w:rFonts w:ascii="Arial" w:hAnsi="Arial" w:cs="Arial"/>
          <w:sz w:val="22"/>
          <w:szCs w:val="22"/>
        </w:rPr>
        <w:t> </w:t>
      </w:r>
      <w:r w:rsidR="00633261" w:rsidRPr="007F31DE">
        <w:rPr>
          <w:rFonts w:ascii="Arial" w:hAnsi="Arial" w:cs="Arial"/>
          <w:sz w:val="22"/>
          <w:szCs w:val="22"/>
        </w:rPr>
        <w:t>zvýšena bezpečnost VD za povodní pro převedení kontrolní povodně Q</w:t>
      </w:r>
      <w:r w:rsidR="00633261" w:rsidRPr="007F31DE">
        <w:rPr>
          <w:rFonts w:ascii="Arial" w:hAnsi="Arial" w:cs="Arial"/>
          <w:sz w:val="22"/>
          <w:szCs w:val="22"/>
          <w:vertAlign w:val="subscript"/>
        </w:rPr>
        <w:t>10</w:t>
      </w:r>
      <w:r w:rsidR="00633261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633261" w:rsidRPr="007F31DE">
        <w:rPr>
          <w:rFonts w:ascii="Arial" w:hAnsi="Arial" w:cs="Arial"/>
          <w:sz w:val="22"/>
          <w:szCs w:val="22"/>
          <w:vertAlign w:val="subscript"/>
        </w:rPr>
        <w:t>000</w:t>
      </w:r>
      <w:r w:rsidR="00633261" w:rsidRPr="007F31DE">
        <w:rPr>
          <w:rFonts w:ascii="Arial" w:hAnsi="Arial" w:cs="Arial"/>
          <w:sz w:val="22"/>
          <w:szCs w:val="22"/>
        </w:rPr>
        <w:t>.</w:t>
      </w:r>
    </w:p>
    <w:p w14:paraId="49EEF911" w14:textId="77777777" w:rsidR="00C42B80" w:rsidRPr="00026011" w:rsidRDefault="00C42B80" w:rsidP="00F978CD">
      <w:pPr>
        <w:autoSpaceDE w:val="0"/>
        <w:autoSpaceDN w:val="0"/>
        <w:adjustRightInd w:val="0"/>
        <w:contextualSpacing/>
        <w:jc w:val="both"/>
        <w:rPr>
          <w:rFonts w:ascii="TimesNewRomanPSMT" w:hAnsi="TimesNewRomanPSMT" w:cs="TimesNewRomanPSMT"/>
        </w:rPr>
      </w:pPr>
    </w:p>
    <w:p w14:paraId="6FD5D339" w14:textId="77777777" w:rsidR="00046AD6" w:rsidRDefault="00046AD6" w:rsidP="00F978CD">
      <w:pPr>
        <w:contextualSpacing/>
        <w:jc w:val="both"/>
        <w:rPr>
          <w:rFonts w:ascii="Arial" w:hAnsi="Arial" w:cs="Arial"/>
          <w:sz w:val="22"/>
          <w:szCs w:val="22"/>
        </w:rPr>
      </w:pPr>
      <w:r w:rsidRPr="0069196D">
        <w:rPr>
          <w:rFonts w:ascii="Arial" w:hAnsi="Arial" w:cs="Arial"/>
          <w:b/>
          <w:sz w:val="22"/>
          <w:szCs w:val="22"/>
        </w:rPr>
        <w:t xml:space="preserve">„VD Klabava </w:t>
      </w:r>
      <w:r w:rsidR="00DD01CB">
        <w:rPr>
          <w:rFonts w:ascii="Arial" w:hAnsi="Arial" w:cs="Arial"/>
          <w:b/>
          <w:sz w:val="22"/>
          <w:szCs w:val="22"/>
        </w:rPr>
        <w:t>–</w:t>
      </w:r>
      <w:r w:rsidRPr="0069196D">
        <w:rPr>
          <w:rFonts w:ascii="Arial" w:hAnsi="Arial" w:cs="Arial"/>
          <w:b/>
          <w:sz w:val="22"/>
          <w:szCs w:val="22"/>
        </w:rPr>
        <w:t xml:space="preserve"> zvýšení retence a zabezpečení VD před účinky velkých vod“ </w:t>
      </w:r>
      <w:r w:rsidRPr="00046AD6">
        <w:rPr>
          <w:rFonts w:ascii="Arial" w:hAnsi="Arial" w:cs="Arial"/>
          <w:bCs/>
          <w:sz w:val="22"/>
          <w:szCs w:val="22"/>
        </w:rPr>
        <w:t>s</w:t>
      </w:r>
      <w:r w:rsidRPr="0069196D">
        <w:rPr>
          <w:rFonts w:ascii="Arial" w:hAnsi="Arial" w:cs="Arial"/>
          <w:bCs/>
          <w:sz w:val="22"/>
          <w:szCs w:val="22"/>
        </w:rPr>
        <w:t> </w:t>
      </w:r>
      <w:r w:rsidRPr="00046AD6">
        <w:rPr>
          <w:rFonts w:ascii="Arial" w:hAnsi="Arial" w:cs="Arial"/>
          <w:sz w:val="22"/>
          <w:szCs w:val="22"/>
        </w:rPr>
        <w:t xml:space="preserve">celkovými náklady </w:t>
      </w:r>
      <w:r w:rsidR="00633261">
        <w:rPr>
          <w:rFonts w:ascii="Arial" w:hAnsi="Arial" w:cs="Arial"/>
          <w:sz w:val="22"/>
          <w:szCs w:val="22"/>
        </w:rPr>
        <w:t>117,385</w:t>
      </w:r>
      <w:r w:rsidR="006D2969">
        <w:rPr>
          <w:rFonts w:ascii="Arial" w:hAnsi="Arial" w:cs="Arial"/>
          <w:sz w:val="22"/>
          <w:szCs w:val="22"/>
        </w:rPr>
        <w:t xml:space="preserve"> </w:t>
      </w:r>
      <w:r w:rsidRPr="00046AD6">
        <w:rPr>
          <w:rFonts w:ascii="Arial" w:hAnsi="Arial" w:cs="Arial"/>
          <w:sz w:val="22"/>
          <w:szCs w:val="22"/>
        </w:rPr>
        <w:t>mil. Kč.</w:t>
      </w:r>
      <w:r w:rsidR="00154969">
        <w:rPr>
          <w:rFonts w:ascii="Arial" w:hAnsi="Arial" w:cs="Arial"/>
          <w:sz w:val="22"/>
          <w:szCs w:val="22"/>
        </w:rPr>
        <w:t xml:space="preserve"> </w:t>
      </w:r>
      <w:r w:rsidR="00633261">
        <w:rPr>
          <w:rFonts w:ascii="Arial" w:hAnsi="Arial" w:cs="Arial"/>
          <w:sz w:val="22"/>
          <w:szCs w:val="22"/>
        </w:rPr>
        <w:t>Cílem akce je zvýšení retenční schopnosti vodního díla a zajištění bezpečnosti vodního díla za povodní částečnou rekonstrukcí objektu hráze se zaměřením na bezpečnostní přeliv a související části hráze (rozšíření skluzu) včetně koruny hráze (úprava vlnolamu). Tím dojde ke snížení nebezpečí potenciální poruchy díla s následnou zvláštní povodní, která by měla pro údolí Klabavy a navazující tok Berounky devastující dopad.</w:t>
      </w:r>
      <w:r w:rsidRPr="00207C77">
        <w:rPr>
          <w:rFonts w:ascii="Arial" w:hAnsi="Arial" w:cs="Arial"/>
          <w:sz w:val="22"/>
          <w:szCs w:val="22"/>
        </w:rPr>
        <w:t xml:space="preserve"> </w:t>
      </w:r>
    </w:p>
    <w:p w14:paraId="79151E93" w14:textId="77777777" w:rsidR="00C42B80" w:rsidRPr="00207C77" w:rsidRDefault="00C42B80" w:rsidP="00F978CD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3A42EAC2" w14:textId="7F717E7B" w:rsidR="00633261" w:rsidRDefault="00633261" w:rsidP="00F978CD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„Vodní dílo</w:t>
      </w:r>
      <w:r w:rsidRPr="00D63A95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Nechranice</w:t>
      </w:r>
      <w:r w:rsidRPr="00D63A95"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>rekonstrukce krajních polí bezpečnostního přelivu</w:t>
      </w:r>
      <w:r w:rsidRPr="00D63A95">
        <w:rPr>
          <w:rFonts w:ascii="Arial" w:hAnsi="Arial" w:cs="Arial"/>
          <w:b/>
          <w:bCs/>
          <w:sz w:val="22"/>
          <w:szCs w:val="22"/>
        </w:rPr>
        <w:t>“</w:t>
      </w:r>
      <w:r w:rsidRPr="00D63A95">
        <w:rPr>
          <w:rFonts w:ascii="Arial" w:hAnsi="Arial" w:cs="Arial"/>
          <w:sz w:val="22"/>
          <w:szCs w:val="22"/>
        </w:rPr>
        <w:t xml:space="preserve"> s celkovými náklady </w:t>
      </w:r>
      <w:r>
        <w:rPr>
          <w:rFonts w:ascii="Arial" w:hAnsi="Arial" w:cs="Arial"/>
          <w:sz w:val="22"/>
          <w:szCs w:val="22"/>
        </w:rPr>
        <w:t>97,177</w:t>
      </w:r>
      <w:r w:rsidRPr="00D63A95">
        <w:rPr>
          <w:rFonts w:ascii="Arial" w:hAnsi="Arial" w:cs="Arial"/>
          <w:sz w:val="22"/>
          <w:szCs w:val="22"/>
        </w:rPr>
        <w:t xml:space="preserve"> mil. Kč. Cílem akce je </w:t>
      </w:r>
      <w:r>
        <w:rPr>
          <w:rFonts w:ascii="Arial" w:hAnsi="Arial" w:cs="Arial"/>
          <w:sz w:val="22"/>
          <w:szCs w:val="22"/>
        </w:rPr>
        <w:t>rekonstrukce krajních polí bezpečnostního přelivu, která byla hrazena hydrostatickými segmentovými uzávěry. Proto byly instalovány provozně výhodnější uzávěry. Tím dojde jednak k navýšení objemu ovladatelného retenčního prostoru min. o 10</w:t>
      </w:r>
      <w:r w:rsidR="00AA7C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% a rovněž k odstranění provozních omezení uzávěru v podobě maximální přípustné přepadové výšky a jeho vyhrazování bude možné realizovat postupně vzhledem k hydrologické situaci, čímž se oproti minulosti předejde mimořádné manipulaci a vzniku zvláštní povodně. Dojde ke snížení povodňového ohrožení v záplavovém území dolní Ohře.</w:t>
      </w:r>
    </w:p>
    <w:p w14:paraId="3434E9F9" w14:textId="77777777" w:rsidR="00C42B80" w:rsidRDefault="00C42B80" w:rsidP="00F978CD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6D00B299" w14:textId="77777777" w:rsidR="00633261" w:rsidRDefault="00AA7CE6" w:rsidP="00F978CD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633261">
        <w:rPr>
          <w:rFonts w:ascii="Arial" w:hAnsi="Arial" w:cs="Arial"/>
          <w:b/>
          <w:bCs/>
          <w:sz w:val="22"/>
          <w:szCs w:val="22"/>
        </w:rPr>
        <w:t>Suchá nádrž Choltický</w:t>
      </w:r>
      <w:r w:rsidR="00633261" w:rsidRPr="00D63A95">
        <w:rPr>
          <w:rFonts w:ascii="Arial" w:hAnsi="Arial" w:cs="Arial"/>
          <w:b/>
          <w:bCs/>
          <w:sz w:val="22"/>
          <w:szCs w:val="22"/>
        </w:rPr>
        <w:t>“</w:t>
      </w:r>
      <w:r w:rsidR="00633261" w:rsidRPr="00D63A95">
        <w:rPr>
          <w:rFonts w:ascii="Arial" w:hAnsi="Arial" w:cs="Arial"/>
          <w:sz w:val="22"/>
          <w:szCs w:val="22"/>
        </w:rPr>
        <w:t xml:space="preserve"> s celkovými náklady </w:t>
      </w:r>
      <w:r w:rsidR="00633261">
        <w:rPr>
          <w:rFonts w:ascii="Arial" w:hAnsi="Arial" w:cs="Arial"/>
          <w:sz w:val="22"/>
          <w:szCs w:val="22"/>
        </w:rPr>
        <w:t>40,909</w:t>
      </w:r>
      <w:r w:rsidR="00633261" w:rsidRPr="00D63A95">
        <w:rPr>
          <w:rFonts w:ascii="Arial" w:hAnsi="Arial" w:cs="Arial"/>
          <w:sz w:val="22"/>
          <w:szCs w:val="22"/>
        </w:rPr>
        <w:t xml:space="preserve"> mil. Kč. </w:t>
      </w:r>
      <w:r w:rsidR="00633261">
        <w:rPr>
          <w:rFonts w:ascii="Arial" w:hAnsi="Arial" w:cs="Arial"/>
          <w:sz w:val="22"/>
          <w:szCs w:val="22"/>
        </w:rPr>
        <w:t>Cílem akce je výstavba suché nádrže na Choltickém potoce sloužící k ochraně městyse Litultovice. Hráz vodního díla je sypaná homogenní 6,7 m vysoká. Je vybavena zpevněnou korunou a nouzovým přelivem. Součástí je i sdružený objekt spodní výpusti a bezpečnostního přelivu, navržený na převedení kulminačního průtoku Q</w:t>
      </w:r>
      <w:r w:rsidR="00633261" w:rsidRPr="007F31DE">
        <w:rPr>
          <w:rFonts w:ascii="Arial" w:hAnsi="Arial" w:cs="Arial"/>
          <w:sz w:val="22"/>
          <w:szCs w:val="22"/>
          <w:vertAlign w:val="subscript"/>
        </w:rPr>
        <w:t>100</w:t>
      </w:r>
      <w:r w:rsidR="00633261">
        <w:rPr>
          <w:rFonts w:ascii="Arial" w:hAnsi="Arial" w:cs="Arial"/>
          <w:sz w:val="22"/>
          <w:szCs w:val="22"/>
        </w:rPr>
        <w:t>. Celkový prostor nádrže činí 96 150 m</w:t>
      </w:r>
      <w:r w:rsidR="00633261" w:rsidRPr="007F31DE">
        <w:rPr>
          <w:rFonts w:ascii="Arial" w:hAnsi="Arial" w:cs="Arial"/>
          <w:sz w:val="22"/>
          <w:szCs w:val="22"/>
          <w:vertAlign w:val="superscript"/>
        </w:rPr>
        <w:t>3</w:t>
      </w:r>
      <w:r w:rsidR="00633261">
        <w:rPr>
          <w:rFonts w:ascii="Arial" w:hAnsi="Arial" w:cs="Arial"/>
          <w:sz w:val="22"/>
          <w:szCs w:val="22"/>
        </w:rPr>
        <w:t xml:space="preserve">. Součástí akce jsou </w:t>
      </w:r>
      <w:r w:rsidR="00C42B80">
        <w:rPr>
          <w:rFonts w:ascii="Arial" w:hAnsi="Arial" w:cs="Arial"/>
          <w:sz w:val="22"/>
          <w:szCs w:val="22"/>
        </w:rPr>
        <w:t>i </w:t>
      </w:r>
      <w:r w:rsidR="00633261">
        <w:rPr>
          <w:rFonts w:ascii="Arial" w:hAnsi="Arial" w:cs="Arial"/>
          <w:sz w:val="22"/>
          <w:szCs w:val="22"/>
        </w:rPr>
        <w:t xml:space="preserve">revitalizační úpravy prostoru nádrže, které spočívají v meandrujícím korytě, 5 tůních </w:t>
      </w:r>
      <w:r w:rsidR="00C42B80">
        <w:rPr>
          <w:rFonts w:ascii="Arial" w:hAnsi="Arial" w:cs="Arial"/>
          <w:sz w:val="22"/>
          <w:szCs w:val="22"/>
        </w:rPr>
        <w:t>a </w:t>
      </w:r>
      <w:r w:rsidR="00633261">
        <w:rPr>
          <w:rFonts w:ascii="Arial" w:hAnsi="Arial" w:cs="Arial"/>
          <w:sz w:val="22"/>
          <w:szCs w:val="22"/>
        </w:rPr>
        <w:t>výsadbě dřevin.</w:t>
      </w:r>
    </w:p>
    <w:p w14:paraId="4ED079D0" w14:textId="77777777" w:rsidR="00C42B80" w:rsidRDefault="00C42B80" w:rsidP="00F978CD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2EDDFF7F" w14:textId="77777777" w:rsidR="00633261" w:rsidRDefault="00AA7CE6" w:rsidP="00F978CD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„</w:t>
      </w:r>
      <w:r w:rsidR="00633261">
        <w:rPr>
          <w:rFonts w:ascii="Arial" w:hAnsi="Arial" w:cs="Arial"/>
          <w:b/>
          <w:bCs/>
          <w:sz w:val="22"/>
          <w:szCs w:val="22"/>
        </w:rPr>
        <w:t>Divoká Orlice, Žamberk, protipovodňová ochrana</w:t>
      </w:r>
      <w:r w:rsidR="00633261" w:rsidRPr="00D63A95">
        <w:rPr>
          <w:rFonts w:ascii="Arial" w:hAnsi="Arial" w:cs="Arial"/>
          <w:b/>
          <w:bCs/>
          <w:sz w:val="22"/>
          <w:szCs w:val="22"/>
        </w:rPr>
        <w:t>“</w:t>
      </w:r>
      <w:r w:rsidR="00633261" w:rsidRPr="00D63A95">
        <w:rPr>
          <w:rFonts w:ascii="Arial" w:hAnsi="Arial" w:cs="Arial"/>
          <w:sz w:val="22"/>
          <w:szCs w:val="22"/>
        </w:rPr>
        <w:t xml:space="preserve"> s celkovými náklady </w:t>
      </w:r>
      <w:r w:rsidR="00633261" w:rsidRPr="00025705">
        <w:rPr>
          <w:rFonts w:ascii="Arial" w:hAnsi="Arial" w:cs="Arial"/>
          <w:sz w:val="22"/>
          <w:szCs w:val="22"/>
        </w:rPr>
        <w:t>1</w:t>
      </w:r>
      <w:r w:rsidR="00633261" w:rsidRPr="007F31DE">
        <w:rPr>
          <w:rFonts w:ascii="Arial" w:hAnsi="Arial" w:cs="Arial"/>
          <w:sz w:val="22"/>
          <w:szCs w:val="22"/>
        </w:rPr>
        <w:t>3</w:t>
      </w:r>
      <w:r w:rsidR="00633261" w:rsidRPr="00025705">
        <w:rPr>
          <w:rFonts w:ascii="Arial" w:hAnsi="Arial" w:cs="Arial"/>
          <w:sz w:val="22"/>
          <w:szCs w:val="22"/>
        </w:rPr>
        <w:t>2,</w:t>
      </w:r>
      <w:r w:rsidR="00633261" w:rsidRPr="007F31DE">
        <w:rPr>
          <w:rFonts w:ascii="Arial" w:hAnsi="Arial" w:cs="Arial"/>
          <w:sz w:val="22"/>
          <w:szCs w:val="22"/>
        </w:rPr>
        <w:t>754</w:t>
      </w:r>
      <w:r w:rsidR="00633261" w:rsidRPr="00D63A95">
        <w:rPr>
          <w:rFonts w:ascii="Arial" w:hAnsi="Arial" w:cs="Arial"/>
          <w:sz w:val="22"/>
          <w:szCs w:val="22"/>
        </w:rPr>
        <w:t xml:space="preserve"> mil. Kč. </w:t>
      </w:r>
      <w:r w:rsidR="00633261">
        <w:rPr>
          <w:rFonts w:ascii="Arial" w:hAnsi="Arial" w:cs="Arial"/>
          <w:sz w:val="22"/>
          <w:szCs w:val="22"/>
        </w:rPr>
        <w:t xml:space="preserve">Cílem akce je zvýšení ochrany </w:t>
      </w:r>
      <w:proofErr w:type="spellStart"/>
      <w:r w:rsidR="00633261">
        <w:rPr>
          <w:rFonts w:ascii="Arial" w:hAnsi="Arial" w:cs="Arial"/>
          <w:sz w:val="22"/>
          <w:szCs w:val="22"/>
        </w:rPr>
        <w:t>intravilánu</w:t>
      </w:r>
      <w:proofErr w:type="spellEnd"/>
      <w:r w:rsidR="00633261">
        <w:rPr>
          <w:rFonts w:ascii="Arial" w:hAnsi="Arial" w:cs="Arial"/>
          <w:sz w:val="22"/>
          <w:szCs w:val="22"/>
        </w:rPr>
        <w:t xml:space="preserve"> města Žamberk a to z nevyhovující úrovně Q</w:t>
      </w:r>
      <w:r w:rsidR="00633261" w:rsidRPr="007F31DE">
        <w:rPr>
          <w:rFonts w:ascii="Arial" w:hAnsi="Arial" w:cs="Arial"/>
          <w:sz w:val="22"/>
          <w:szCs w:val="22"/>
          <w:vertAlign w:val="subscript"/>
        </w:rPr>
        <w:t>2-5</w:t>
      </w:r>
      <w:r w:rsidR="00633261">
        <w:rPr>
          <w:rFonts w:ascii="Arial" w:hAnsi="Arial" w:cs="Arial"/>
          <w:sz w:val="22"/>
          <w:szCs w:val="22"/>
        </w:rPr>
        <w:t xml:space="preserve"> na úroveň Q</w:t>
      </w:r>
      <w:r w:rsidR="00633261" w:rsidRPr="007F31DE">
        <w:rPr>
          <w:rFonts w:ascii="Arial" w:hAnsi="Arial" w:cs="Arial"/>
          <w:sz w:val="22"/>
          <w:szCs w:val="22"/>
          <w:vertAlign w:val="subscript"/>
        </w:rPr>
        <w:t>20-100</w:t>
      </w:r>
      <w:r w:rsidR="00633261">
        <w:rPr>
          <w:rFonts w:ascii="Arial" w:hAnsi="Arial" w:cs="Arial"/>
          <w:sz w:val="22"/>
          <w:szCs w:val="22"/>
        </w:rPr>
        <w:t>.</w:t>
      </w:r>
      <w:r w:rsidR="00633261" w:rsidRPr="00D63A95">
        <w:rPr>
          <w:rFonts w:ascii="Arial" w:hAnsi="Arial" w:cs="Arial"/>
          <w:sz w:val="22"/>
          <w:szCs w:val="22"/>
        </w:rPr>
        <w:t xml:space="preserve">Technické řešení spočívá </w:t>
      </w:r>
      <w:r w:rsidR="00633261">
        <w:rPr>
          <w:rFonts w:ascii="Arial" w:hAnsi="Arial" w:cs="Arial"/>
          <w:sz w:val="22"/>
          <w:szCs w:val="22"/>
        </w:rPr>
        <w:t xml:space="preserve">v nahrazení nábřežních zdí novými, včetně zajištění odvodu </w:t>
      </w:r>
      <w:proofErr w:type="spellStart"/>
      <w:r w:rsidR="00633261">
        <w:rPr>
          <w:rFonts w:ascii="Arial" w:hAnsi="Arial" w:cs="Arial"/>
          <w:sz w:val="22"/>
          <w:szCs w:val="22"/>
        </w:rPr>
        <w:t>záhrázových</w:t>
      </w:r>
      <w:proofErr w:type="spellEnd"/>
      <w:r w:rsidR="00633261">
        <w:rPr>
          <w:rFonts w:ascii="Arial" w:hAnsi="Arial" w:cs="Arial"/>
          <w:sz w:val="22"/>
          <w:szCs w:val="22"/>
        </w:rPr>
        <w:t xml:space="preserve"> vod a prostupy sítí. Řešení nových nábřežních zdí rovněž muselo splňovat podmínky památkové ochrany.</w:t>
      </w:r>
    </w:p>
    <w:p w14:paraId="159F8A4C" w14:textId="77777777" w:rsidR="00C95248" w:rsidRDefault="00C24FBB" w:rsidP="002F71B0">
      <w:pPr>
        <w:tabs>
          <w:tab w:val="left" w:pos="567"/>
        </w:tabs>
        <w:spacing w:before="240" w:after="24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FD6BE1">
        <w:rPr>
          <w:rFonts w:ascii="Arial" w:hAnsi="Arial" w:cs="Arial"/>
          <w:b/>
          <w:sz w:val="22"/>
          <w:szCs w:val="22"/>
        </w:rPr>
        <w:t>B</w:t>
      </w:r>
      <w:r w:rsidRPr="00110CF7">
        <w:rPr>
          <w:rFonts w:ascii="Arial" w:hAnsi="Arial"/>
          <w:b/>
          <w:sz w:val="22"/>
        </w:rPr>
        <w:t>.</w:t>
      </w:r>
      <w:r w:rsidR="003465E9" w:rsidRPr="00110CF7">
        <w:rPr>
          <w:rFonts w:ascii="Arial" w:hAnsi="Arial"/>
          <w:b/>
          <w:sz w:val="22"/>
        </w:rPr>
        <w:t>1.</w:t>
      </w:r>
      <w:r w:rsidR="00C95248" w:rsidRPr="00110CF7">
        <w:rPr>
          <w:rFonts w:ascii="Arial" w:hAnsi="Arial"/>
          <w:b/>
          <w:sz w:val="22"/>
        </w:rPr>
        <w:t>2</w:t>
      </w:r>
      <w:r w:rsidR="008F1D22" w:rsidRPr="00FD6BE1">
        <w:rPr>
          <w:rFonts w:ascii="Arial" w:hAnsi="Arial" w:cs="Arial"/>
          <w:b/>
          <w:sz w:val="22"/>
          <w:szCs w:val="22"/>
        </w:rPr>
        <w:t xml:space="preserve"> </w:t>
      </w:r>
      <w:r w:rsidR="003562FC" w:rsidRPr="00FD6BE1">
        <w:rPr>
          <w:rFonts w:ascii="Arial" w:hAnsi="Arial" w:cs="Arial"/>
          <w:b/>
          <w:sz w:val="22"/>
          <w:szCs w:val="22"/>
        </w:rPr>
        <w:t xml:space="preserve">Program 129 </w:t>
      </w:r>
      <w:r w:rsidR="00C95248">
        <w:rPr>
          <w:rFonts w:ascii="Arial" w:hAnsi="Arial" w:cs="Arial"/>
          <w:b/>
          <w:sz w:val="22"/>
          <w:szCs w:val="22"/>
        </w:rPr>
        <w:t xml:space="preserve">360 </w:t>
      </w:r>
      <w:r w:rsidR="00C42B80">
        <w:rPr>
          <w:rFonts w:ascii="Arial" w:hAnsi="Arial" w:cs="Arial"/>
          <w:b/>
          <w:sz w:val="22"/>
          <w:szCs w:val="22"/>
        </w:rPr>
        <w:t>„</w:t>
      </w:r>
      <w:r w:rsidR="00C95248">
        <w:rPr>
          <w:rFonts w:ascii="Arial" w:hAnsi="Arial" w:cs="Arial"/>
          <w:b/>
          <w:sz w:val="22"/>
          <w:szCs w:val="22"/>
        </w:rPr>
        <w:t>Podpora prevence před povodněmi IV</w:t>
      </w:r>
      <w:r w:rsidR="00C42B80">
        <w:rPr>
          <w:rFonts w:ascii="Arial" w:hAnsi="Arial" w:cs="Arial"/>
          <w:b/>
          <w:sz w:val="22"/>
          <w:szCs w:val="22"/>
        </w:rPr>
        <w:t>“</w:t>
      </w:r>
      <w:r w:rsidR="00C95248">
        <w:rPr>
          <w:rFonts w:ascii="Arial" w:hAnsi="Arial" w:cs="Arial"/>
          <w:b/>
          <w:sz w:val="22"/>
          <w:szCs w:val="22"/>
        </w:rPr>
        <w:t xml:space="preserve"> (2018–2024)</w:t>
      </w:r>
    </w:p>
    <w:p w14:paraId="24895350" w14:textId="77777777" w:rsidR="00C95248" w:rsidRDefault="00C95248" w:rsidP="00D30610">
      <w:pPr>
        <w:pStyle w:val="Normln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  <w:r w:rsidRPr="00FD6BE1">
        <w:rPr>
          <w:rFonts w:ascii="Arial" w:hAnsi="Arial" w:cs="Arial"/>
          <w:sz w:val="22"/>
          <w:szCs w:val="22"/>
        </w:rPr>
        <w:t>Program navazuje</w:t>
      </w:r>
      <w:r>
        <w:rPr>
          <w:rFonts w:ascii="Arial" w:hAnsi="Arial" w:cs="Arial"/>
          <w:sz w:val="22"/>
          <w:szCs w:val="22"/>
        </w:rPr>
        <w:t xml:space="preserve"> na předchozí úspěšné etapy programu </w:t>
      </w:r>
      <w:r w:rsidR="00D30610">
        <w:rPr>
          <w:rFonts w:ascii="Arial" w:hAnsi="Arial" w:cs="Arial"/>
          <w:sz w:val="22"/>
          <w:szCs w:val="22"/>
        </w:rPr>
        <w:t>p</w:t>
      </w:r>
      <w:r w:rsidR="00D30610" w:rsidRPr="00FD6BE1">
        <w:rPr>
          <w:rFonts w:ascii="Arial" w:hAnsi="Arial" w:cs="Arial"/>
          <w:sz w:val="22"/>
          <w:szCs w:val="22"/>
        </w:rPr>
        <w:t xml:space="preserve">revence </w:t>
      </w:r>
      <w:r w:rsidRPr="00FD6BE1">
        <w:rPr>
          <w:rFonts w:ascii="Arial" w:hAnsi="Arial" w:cs="Arial"/>
          <w:sz w:val="22"/>
          <w:szCs w:val="22"/>
        </w:rPr>
        <w:t>před povodněmi</w:t>
      </w:r>
      <w:r>
        <w:rPr>
          <w:rFonts w:ascii="Arial" w:hAnsi="Arial" w:cs="Arial"/>
          <w:sz w:val="22"/>
          <w:szCs w:val="22"/>
        </w:rPr>
        <w:t xml:space="preserve"> (I.–II.), které proběhly v letech </w:t>
      </w:r>
      <w:r w:rsidRPr="00FD6BE1">
        <w:rPr>
          <w:rFonts w:ascii="Arial" w:hAnsi="Arial" w:cs="Arial"/>
          <w:sz w:val="22"/>
          <w:szCs w:val="22"/>
        </w:rPr>
        <w:t>2002–20</w:t>
      </w:r>
      <w:r>
        <w:rPr>
          <w:rFonts w:ascii="Arial" w:hAnsi="Arial" w:cs="Arial"/>
          <w:sz w:val="22"/>
          <w:szCs w:val="22"/>
        </w:rPr>
        <w:t>14, resp. probíhající III. etapu plánovanou do roku 2022.</w:t>
      </w:r>
      <w:r w:rsidRPr="00FD6BE1">
        <w:rPr>
          <w:rFonts w:ascii="Arial" w:hAnsi="Arial" w:cs="Arial"/>
          <w:sz w:val="22"/>
          <w:szCs w:val="22"/>
        </w:rPr>
        <w:t xml:space="preserve"> Dokumentace </w:t>
      </w:r>
      <w:r w:rsidR="00D30610">
        <w:rPr>
          <w:rFonts w:ascii="Arial" w:hAnsi="Arial" w:cs="Arial"/>
          <w:sz w:val="22"/>
          <w:szCs w:val="22"/>
        </w:rPr>
        <w:t>P</w:t>
      </w:r>
      <w:r w:rsidRPr="00FD6BE1">
        <w:rPr>
          <w:rFonts w:ascii="Arial" w:hAnsi="Arial" w:cs="Arial"/>
          <w:sz w:val="22"/>
          <w:szCs w:val="22"/>
        </w:rPr>
        <w:t>rogramu byla schválena Ministerstvem financí pod č. j. MF-</w:t>
      </w:r>
      <w:r>
        <w:rPr>
          <w:rFonts w:ascii="Arial" w:hAnsi="Arial" w:cs="Arial"/>
          <w:sz w:val="22"/>
          <w:szCs w:val="22"/>
        </w:rPr>
        <w:t>19638</w:t>
      </w:r>
      <w:r w:rsidRPr="00FD6BE1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8</w:t>
      </w:r>
      <w:r w:rsidRPr="00FD6BE1">
        <w:rPr>
          <w:rFonts w:ascii="Arial" w:hAnsi="Arial" w:cs="Arial"/>
          <w:sz w:val="22"/>
          <w:szCs w:val="22"/>
        </w:rPr>
        <w:t>/1904</w:t>
      </w:r>
      <w:r>
        <w:rPr>
          <w:rFonts w:ascii="Arial" w:hAnsi="Arial" w:cs="Arial"/>
          <w:sz w:val="22"/>
          <w:szCs w:val="22"/>
        </w:rPr>
        <w:t>-3</w:t>
      </w:r>
      <w:r w:rsidRPr="00FD6BE1"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</w:rPr>
        <w:t>16</w:t>
      </w:r>
      <w:r w:rsidRPr="00FD6BE1">
        <w:rPr>
          <w:rFonts w:ascii="Arial" w:hAnsi="Arial" w:cs="Arial"/>
          <w:sz w:val="22"/>
          <w:szCs w:val="22"/>
        </w:rPr>
        <w:t>. </w:t>
      </w:r>
      <w:r>
        <w:rPr>
          <w:rFonts w:ascii="Arial" w:hAnsi="Arial" w:cs="Arial"/>
          <w:sz w:val="22"/>
          <w:szCs w:val="22"/>
        </w:rPr>
        <w:t>8</w:t>
      </w:r>
      <w:r w:rsidRPr="00FD6BE1">
        <w:rPr>
          <w:rFonts w:ascii="Arial" w:hAnsi="Arial" w:cs="Arial"/>
          <w:sz w:val="22"/>
          <w:szCs w:val="22"/>
        </w:rPr>
        <w:t>. 201</w:t>
      </w:r>
      <w:r>
        <w:rPr>
          <w:rFonts w:ascii="Arial" w:hAnsi="Arial" w:cs="Arial"/>
          <w:sz w:val="22"/>
          <w:szCs w:val="22"/>
        </w:rPr>
        <w:t>8</w:t>
      </w:r>
      <w:r w:rsidRPr="00FD6BE1">
        <w:rPr>
          <w:rFonts w:ascii="Arial" w:hAnsi="Arial" w:cs="Arial"/>
          <w:sz w:val="22"/>
          <w:szCs w:val="22"/>
        </w:rPr>
        <w:t>, její 1.</w:t>
      </w:r>
      <w:r>
        <w:rPr>
          <w:rFonts w:ascii="Arial" w:hAnsi="Arial" w:cs="Arial"/>
          <w:sz w:val="22"/>
          <w:szCs w:val="22"/>
        </w:rPr>
        <w:t> </w:t>
      </w:r>
      <w:r w:rsidRPr="00FD6BE1">
        <w:rPr>
          <w:rFonts w:ascii="Arial" w:hAnsi="Arial" w:cs="Arial"/>
          <w:sz w:val="22"/>
          <w:szCs w:val="22"/>
        </w:rPr>
        <w:t xml:space="preserve">změna </w:t>
      </w:r>
      <w:r w:rsidR="003710CA">
        <w:rPr>
          <w:rFonts w:ascii="Arial" w:hAnsi="Arial" w:cs="Arial"/>
          <w:sz w:val="22"/>
          <w:szCs w:val="22"/>
        </w:rPr>
        <w:t xml:space="preserve">pod </w:t>
      </w:r>
      <w:r w:rsidRPr="00FD6BE1">
        <w:rPr>
          <w:rFonts w:ascii="Arial" w:hAnsi="Arial" w:cs="Arial"/>
          <w:sz w:val="22"/>
          <w:szCs w:val="22"/>
        </w:rPr>
        <w:t>č. j. MF-</w:t>
      </w:r>
      <w:r>
        <w:rPr>
          <w:rFonts w:ascii="Arial" w:hAnsi="Arial" w:cs="Arial"/>
          <w:sz w:val="22"/>
          <w:szCs w:val="22"/>
        </w:rPr>
        <w:t>27753</w:t>
      </w:r>
      <w:r w:rsidRPr="00FD6BE1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8</w:t>
      </w:r>
      <w:r w:rsidRPr="00FD6BE1">
        <w:rPr>
          <w:rFonts w:ascii="Arial" w:hAnsi="Arial" w:cs="Arial"/>
          <w:sz w:val="22"/>
          <w:szCs w:val="22"/>
        </w:rPr>
        <w:t>/1904</w:t>
      </w:r>
      <w:r>
        <w:rPr>
          <w:rFonts w:ascii="Arial" w:hAnsi="Arial" w:cs="Arial"/>
          <w:sz w:val="22"/>
          <w:szCs w:val="22"/>
        </w:rPr>
        <w:t>-2</w:t>
      </w:r>
      <w:r w:rsidRPr="00FD6BE1">
        <w:rPr>
          <w:rFonts w:ascii="Arial" w:hAnsi="Arial" w:cs="Arial"/>
          <w:sz w:val="22"/>
          <w:szCs w:val="22"/>
        </w:rPr>
        <w:t xml:space="preserve"> ze dne 1</w:t>
      </w:r>
      <w:r>
        <w:rPr>
          <w:rFonts w:ascii="Arial" w:hAnsi="Arial" w:cs="Arial"/>
          <w:sz w:val="22"/>
          <w:szCs w:val="22"/>
        </w:rPr>
        <w:t>6</w:t>
      </w:r>
      <w:r w:rsidRPr="00FD6BE1">
        <w:rPr>
          <w:rFonts w:ascii="Arial" w:hAnsi="Arial" w:cs="Arial"/>
          <w:sz w:val="22"/>
          <w:szCs w:val="22"/>
        </w:rPr>
        <w:t>. </w:t>
      </w:r>
      <w:r>
        <w:rPr>
          <w:rFonts w:ascii="Arial" w:hAnsi="Arial" w:cs="Arial"/>
          <w:sz w:val="22"/>
          <w:szCs w:val="22"/>
        </w:rPr>
        <w:t>11</w:t>
      </w:r>
      <w:r w:rsidRPr="00FD6BE1">
        <w:rPr>
          <w:rFonts w:ascii="Arial" w:hAnsi="Arial" w:cs="Arial"/>
          <w:sz w:val="22"/>
          <w:szCs w:val="22"/>
        </w:rPr>
        <w:t>. 201</w:t>
      </w:r>
      <w:r>
        <w:rPr>
          <w:rFonts w:ascii="Arial" w:hAnsi="Arial" w:cs="Arial"/>
          <w:sz w:val="22"/>
          <w:szCs w:val="22"/>
        </w:rPr>
        <w:t xml:space="preserve">8 </w:t>
      </w:r>
      <w:r w:rsidR="00D30610">
        <w:rPr>
          <w:rFonts w:ascii="Arial" w:hAnsi="Arial" w:cs="Arial"/>
          <w:sz w:val="22"/>
          <w:szCs w:val="22"/>
        </w:rPr>
        <w:t>a </w:t>
      </w:r>
      <w:r w:rsidRPr="006254C3">
        <w:rPr>
          <w:rFonts w:ascii="Arial" w:hAnsi="Arial" w:cs="Arial"/>
          <w:sz w:val="22"/>
          <w:szCs w:val="22"/>
        </w:rPr>
        <w:t>2</w:t>
      </w:r>
      <w:r w:rsidR="00D30610" w:rsidRPr="006254C3">
        <w:rPr>
          <w:rFonts w:ascii="Arial" w:hAnsi="Arial" w:cs="Arial"/>
          <w:sz w:val="22"/>
          <w:szCs w:val="22"/>
        </w:rPr>
        <w:t>.</w:t>
      </w:r>
      <w:r w:rsidR="00D30610">
        <w:rPr>
          <w:rFonts w:ascii="Arial" w:hAnsi="Arial" w:cs="Arial"/>
          <w:sz w:val="22"/>
          <w:szCs w:val="22"/>
        </w:rPr>
        <w:t> </w:t>
      </w:r>
      <w:r w:rsidRPr="006254C3">
        <w:rPr>
          <w:rFonts w:ascii="Arial" w:hAnsi="Arial" w:cs="Arial"/>
          <w:sz w:val="22"/>
          <w:szCs w:val="22"/>
        </w:rPr>
        <w:t xml:space="preserve">změna </w:t>
      </w:r>
      <w:r w:rsidR="003710CA">
        <w:rPr>
          <w:rFonts w:ascii="Arial" w:hAnsi="Arial" w:cs="Arial"/>
          <w:sz w:val="22"/>
          <w:szCs w:val="22"/>
        </w:rPr>
        <w:t xml:space="preserve">pod </w:t>
      </w:r>
      <w:r w:rsidRPr="006254C3">
        <w:rPr>
          <w:rFonts w:ascii="Arial" w:hAnsi="Arial" w:cs="Arial"/>
          <w:sz w:val="22"/>
          <w:szCs w:val="22"/>
        </w:rPr>
        <w:t>č.</w:t>
      </w:r>
      <w:r>
        <w:rPr>
          <w:rFonts w:ascii="Arial" w:hAnsi="Arial" w:cs="Arial"/>
          <w:sz w:val="22"/>
          <w:szCs w:val="22"/>
        </w:rPr>
        <w:t> </w:t>
      </w:r>
      <w:r w:rsidRPr="006254C3">
        <w:rPr>
          <w:rFonts w:ascii="Arial" w:hAnsi="Arial" w:cs="Arial"/>
          <w:sz w:val="22"/>
          <w:szCs w:val="22"/>
        </w:rPr>
        <w:t>j. MF-</w:t>
      </w:r>
      <w:r>
        <w:rPr>
          <w:rFonts w:ascii="Arial" w:hAnsi="Arial" w:cs="Arial"/>
          <w:sz w:val="22"/>
          <w:szCs w:val="22"/>
        </w:rPr>
        <w:t xml:space="preserve">26466/2019/1904-2 ze dne 15. 10. 2019. </w:t>
      </w:r>
    </w:p>
    <w:p w14:paraId="434DE566" w14:textId="77777777" w:rsidR="00D30610" w:rsidRDefault="00D30610" w:rsidP="00D30610">
      <w:pPr>
        <w:pStyle w:val="Normln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</w:p>
    <w:p w14:paraId="1E6662E2" w14:textId="77777777" w:rsidR="00C95248" w:rsidRPr="00FD6BE1" w:rsidRDefault="00C95248" w:rsidP="00D30610">
      <w:pPr>
        <w:pStyle w:val="Normln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  <w:r w:rsidRPr="00FD6BE1">
        <w:rPr>
          <w:rFonts w:ascii="Arial" w:hAnsi="Arial" w:cs="Arial"/>
          <w:sz w:val="22"/>
          <w:szCs w:val="22"/>
        </w:rPr>
        <w:t xml:space="preserve">Opatření tohoto dotačního titulu </w:t>
      </w:r>
      <w:r>
        <w:rPr>
          <w:rFonts w:ascii="Arial" w:hAnsi="Arial" w:cs="Arial"/>
          <w:sz w:val="22"/>
          <w:szCs w:val="22"/>
        </w:rPr>
        <w:t>jsou</w:t>
      </w:r>
      <w:r w:rsidRPr="00FD6BE1">
        <w:rPr>
          <w:rFonts w:ascii="Arial" w:hAnsi="Arial" w:cs="Arial"/>
          <w:sz w:val="22"/>
          <w:szCs w:val="22"/>
        </w:rPr>
        <w:t xml:space="preserve"> zaměřena především na zvýšení retence, tedy opatření k řízeným rozlivům povodní, poldry a vodní nádrže s retenčními prostory. </w:t>
      </w:r>
      <w:r>
        <w:rPr>
          <w:rFonts w:ascii="Arial" w:hAnsi="Arial" w:cs="Arial"/>
          <w:sz w:val="22"/>
          <w:szCs w:val="22"/>
        </w:rPr>
        <w:t>P</w:t>
      </w:r>
      <w:r w:rsidRPr="00FD6BE1">
        <w:rPr>
          <w:rFonts w:ascii="Arial" w:hAnsi="Arial" w:cs="Arial"/>
          <w:sz w:val="22"/>
          <w:szCs w:val="22"/>
        </w:rPr>
        <w:t xml:space="preserve">odporována </w:t>
      </w:r>
      <w:r>
        <w:rPr>
          <w:rFonts w:ascii="Arial" w:hAnsi="Arial" w:cs="Arial"/>
          <w:sz w:val="22"/>
          <w:szCs w:val="22"/>
        </w:rPr>
        <w:t xml:space="preserve">jsou zejména </w:t>
      </w:r>
      <w:r w:rsidRPr="00FD6BE1">
        <w:rPr>
          <w:rFonts w:ascii="Arial" w:hAnsi="Arial" w:cs="Arial"/>
          <w:sz w:val="22"/>
          <w:szCs w:val="22"/>
        </w:rPr>
        <w:t>chybějící opatření v oblastech s potenciálně významným povodňovým rizikem vymezených podle tzv. povodňové směrnice 2007/60/ES. Pr</w:t>
      </w:r>
      <w:r>
        <w:rPr>
          <w:rFonts w:ascii="Arial" w:hAnsi="Arial" w:cs="Arial"/>
          <w:sz w:val="22"/>
          <w:szCs w:val="22"/>
        </w:rPr>
        <w:t>ogram je schválen na období 2018</w:t>
      </w:r>
      <w:r w:rsidRPr="00FD6BE1">
        <w:rPr>
          <w:rFonts w:ascii="Arial" w:hAnsi="Arial" w:cs="Arial"/>
          <w:sz w:val="22"/>
          <w:szCs w:val="22"/>
        </w:rPr>
        <w:t>–20</w:t>
      </w:r>
      <w:r>
        <w:rPr>
          <w:rFonts w:ascii="Arial" w:hAnsi="Arial" w:cs="Arial"/>
          <w:sz w:val="22"/>
          <w:szCs w:val="22"/>
        </w:rPr>
        <w:t>24</w:t>
      </w:r>
      <w:r w:rsidRPr="00FD6BE1">
        <w:rPr>
          <w:rFonts w:ascii="Arial" w:hAnsi="Arial" w:cs="Arial"/>
          <w:sz w:val="22"/>
          <w:szCs w:val="22"/>
        </w:rPr>
        <w:t xml:space="preserve">, jeho administrace se řídí podle Pravidel České republiky – Ministerstva zemědělství </w:t>
      </w:r>
      <w:r>
        <w:rPr>
          <w:rFonts w:ascii="Arial" w:hAnsi="Arial" w:cs="Arial"/>
          <w:sz w:val="22"/>
          <w:szCs w:val="22"/>
        </w:rPr>
        <w:t>č. j. 41198</w:t>
      </w:r>
      <w:r w:rsidRPr="006254C3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9</w:t>
      </w:r>
      <w:r w:rsidRPr="006254C3">
        <w:rPr>
          <w:rFonts w:ascii="Arial" w:hAnsi="Arial" w:cs="Arial"/>
          <w:sz w:val="22"/>
          <w:szCs w:val="22"/>
        </w:rPr>
        <w:t xml:space="preserve">-MZE-15122 </w:t>
      </w:r>
      <w:r w:rsidRPr="00FD6BE1">
        <w:rPr>
          <w:rFonts w:ascii="Arial" w:hAnsi="Arial" w:cs="Arial"/>
          <w:sz w:val="22"/>
          <w:szCs w:val="22"/>
        </w:rPr>
        <w:t xml:space="preserve">pro poskytování </w:t>
      </w:r>
      <w:r w:rsidRPr="006254C3">
        <w:rPr>
          <w:rFonts w:ascii="Arial" w:hAnsi="Arial" w:cs="Arial"/>
          <w:sz w:val="22"/>
          <w:szCs w:val="22"/>
        </w:rPr>
        <w:t xml:space="preserve">dotací z programu 129 </w:t>
      </w:r>
      <w:r>
        <w:rPr>
          <w:rFonts w:ascii="Arial" w:hAnsi="Arial" w:cs="Arial"/>
          <w:sz w:val="22"/>
          <w:szCs w:val="22"/>
        </w:rPr>
        <w:t>3</w:t>
      </w:r>
      <w:r w:rsidRPr="006254C3">
        <w:rPr>
          <w:rFonts w:ascii="Arial" w:hAnsi="Arial" w:cs="Arial"/>
          <w:sz w:val="22"/>
          <w:szCs w:val="22"/>
        </w:rPr>
        <w:t>60 Podpora prevence před povo</w:t>
      </w:r>
      <w:r>
        <w:rPr>
          <w:rFonts w:ascii="Arial" w:hAnsi="Arial" w:cs="Arial"/>
          <w:sz w:val="22"/>
          <w:szCs w:val="22"/>
        </w:rPr>
        <w:t>dněmi IV.</w:t>
      </w:r>
    </w:p>
    <w:p w14:paraId="58EC2FFF" w14:textId="77777777" w:rsidR="00D30610" w:rsidRDefault="00D30610" w:rsidP="00D30610">
      <w:pPr>
        <w:pStyle w:val="perex"/>
        <w:spacing w:before="0" w:beforeAutospacing="0" w:after="0" w:afterAutospacing="0"/>
        <w:contextualSpacing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FA36CE" w14:textId="77777777" w:rsidR="00C95248" w:rsidRPr="00FD6BE1" w:rsidRDefault="00C95248" w:rsidP="00D30610">
      <w:pPr>
        <w:pStyle w:val="perex"/>
        <w:spacing w:before="0" w:beforeAutospacing="0" w:after="0" w:afterAutospacing="0"/>
        <w:contextualSpacing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FD6BE1">
        <w:rPr>
          <w:rStyle w:val="Siln"/>
          <w:rFonts w:ascii="Arial" w:hAnsi="Arial" w:cs="Arial"/>
          <w:b w:val="0"/>
          <w:sz w:val="22"/>
          <w:szCs w:val="22"/>
        </w:rPr>
        <w:t>Dotační program je rozčleněn na čtyři podprogramy</w:t>
      </w:r>
      <w:r>
        <w:rPr>
          <w:rStyle w:val="Siln"/>
          <w:rFonts w:ascii="Arial" w:hAnsi="Arial" w:cs="Arial"/>
          <w:b w:val="0"/>
          <w:sz w:val="22"/>
          <w:szCs w:val="22"/>
        </w:rPr>
        <w:t>: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 xml:space="preserve"> 129 </w:t>
      </w:r>
      <w:r>
        <w:rPr>
          <w:rStyle w:val="Siln"/>
          <w:rFonts w:ascii="Arial" w:hAnsi="Arial" w:cs="Arial"/>
          <w:b w:val="0"/>
          <w:sz w:val="22"/>
          <w:szCs w:val="22"/>
        </w:rPr>
        <w:t>3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6</w:t>
      </w:r>
      <w:r>
        <w:rPr>
          <w:rStyle w:val="Siln"/>
          <w:rFonts w:ascii="Arial" w:hAnsi="Arial" w:cs="Arial"/>
          <w:b w:val="0"/>
          <w:sz w:val="22"/>
          <w:szCs w:val="22"/>
        </w:rPr>
        <w:t>3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30610">
        <w:rPr>
          <w:rStyle w:val="Siln"/>
          <w:rFonts w:ascii="Arial" w:hAnsi="Arial" w:cs="Arial"/>
          <w:b w:val="0"/>
          <w:sz w:val="22"/>
          <w:szCs w:val="22"/>
        </w:rPr>
        <w:t>„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Podpora projektov</w:t>
      </w:r>
      <w:r>
        <w:rPr>
          <w:rStyle w:val="Siln"/>
          <w:rFonts w:ascii="Arial" w:hAnsi="Arial" w:cs="Arial"/>
          <w:b w:val="0"/>
          <w:sz w:val="22"/>
          <w:szCs w:val="22"/>
        </w:rPr>
        <w:t>ých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 xml:space="preserve"> dokumentac</w:t>
      </w:r>
      <w:r>
        <w:rPr>
          <w:rStyle w:val="Siln"/>
          <w:rFonts w:ascii="Arial" w:hAnsi="Arial" w:cs="Arial"/>
          <w:b w:val="0"/>
          <w:sz w:val="22"/>
          <w:szCs w:val="22"/>
        </w:rPr>
        <w:t>í</w:t>
      </w:r>
      <w:r w:rsidR="00D30610">
        <w:rPr>
          <w:rStyle w:val="Siln"/>
          <w:rFonts w:ascii="Arial" w:hAnsi="Arial" w:cs="Arial"/>
          <w:b w:val="0"/>
          <w:sz w:val="22"/>
          <w:szCs w:val="22"/>
        </w:rPr>
        <w:t>“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 xml:space="preserve">, 129 </w:t>
      </w:r>
      <w:r>
        <w:rPr>
          <w:rStyle w:val="Siln"/>
          <w:rFonts w:ascii="Arial" w:hAnsi="Arial" w:cs="Arial"/>
          <w:b w:val="0"/>
          <w:sz w:val="22"/>
          <w:szCs w:val="22"/>
        </w:rPr>
        <w:t>3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 xml:space="preserve">64 </w:t>
      </w:r>
      <w:r w:rsidR="00D30610">
        <w:rPr>
          <w:rStyle w:val="Siln"/>
          <w:rFonts w:ascii="Arial" w:hAnsi="Arial" w:cs="Arial"/>
          <w:b w:val="0"/>
          <w:sz w:val="22"/>
          <w:szCs w:val="22"/>
        </w:rPr>
        <w:t>„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Podpora protipovodňových opatření s</w:t>
      </w:r>
      <w:r w:rsidR="00D30610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retencí</w:t>
      </w:r>
      <w:r w:rsidR="00D30610">
        <w:rPr>
          <w:rStyle w:val="Siln"/>
          <w:rFonts w:ascii="Arial" w:hAnsi="Arial" w:cs="Arial"/>
          <w:b w:val="0"/>
          <w:sz w:val="22"/>
          <w:szCs w:val="22"/>
        </w:rPr>
        <w:t>“</w:t>
      </w:r>
      <w:r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 xml:space="preserve">129 </w:t>
      </w:r>
      <w:r>
        <w:rPr>
          <w:rStyle w:val="Siln"/>
          <w:rFonts w:ascii="Arial" w:hAnsi="Arial" w:cs="Arial"/>
          <w:b w:val="0"/>
          <w:sz w:val="22"/>
          <w:szCs w:val="22"/>
        </w:rPr>
        <w:t>3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65</w:t>
      </w:r>
      <w:r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30610">
        <w:rPr>
          <w:rStyle w:val="Siln"/>
          <w:rFonts w:ascii="Arial" w:hAnsi="Arial" w:cs="Arial"/>
          <w:b w:val="0"/>
          <w:sz w:val="22"/>
          <w:szCs w:val="22"/>
        </w:rPr>
        <w:t>„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Podpora protipovodňový</w:t>
      </w:r>
      <w:r>
        <w:rPr>
          <w:rStyle w:val="Siln"/>
          <w:rFonts w:ascii="Arial" w:hAnsi="Arial" w:cs="Arial"/>
          <w:b w:val="0"/>
          <w:sz w:val="22"/>
          <w:szCs w:val="22"/>
        </w:rPr>
        <w:t>ch opatření podél vodních toků</w:t>
      </w:r>
      <w:r w:rsidR="00D30610">
        <w:rPr>
          <w:rStyle w:val="Siln"/>
          <w:rFonts w:ascii="Arial" w:hAnsi="Arial" w:cs="Arial"/>
          <w:b w:val="0"/>
          <w:sz w:val="22"/>
          <w:szCs w:val="22"/>
        </w:rPr>
        <w:t>“</w:t>
      </w:r>
      <w:r>
        <w:rPr>
          <w:rStyle w:val="Siln"/>
          <w:rFonts w:ascii="Arial" w:hAnsi="Arial" w:cs="Arial"/>
          <w:b w:val="0"/>
          <w:sz w:val="22"/>
          <w:szCs w:val="22"/>
        </w:rPr>
        <w:t xml:space="preserve"> a 129 366 </w:t>
      </w:r>
      <w:r w:rsidR="00D30610">
        <w:rPr>
          <w:rStyle w:val="Siln"/>
          <w:rFonts w:ascii="Arial" w:hAnsi="Arial" w:cs="Arial"/>
          <w:b w:val="0"/>
          <w:sz w:val="22"/>
          <w:szCs w:val="22"/>
        </w:rPr>
        <w:t>„</w:t>
      </w:r>
      <w:r w:rsidRPr="00FD6BE1">
        <w:rPr>
          <w:rFonts w:ascii="Arial" w:hAnsi="Arial" w:cs="Arial"/>
          <w:sz w:val="22"/>
          <w:szCs w:val="22"/>
        </w:rPr>
        <w:t xml:space="preserve">Podpora </w:t>
      </w:r>
      <w:r>
        <w:rPr>
          <w:rFonts w:ascii="Arial" w:hAnsi="Arial" w:cs="Arial"/>
          <w:sz w:val="22"/>
          <w:szCs w:val="22"/>
        </w:rPr>
        <w:t xml:space="preserve">přípravy a realizace vyvolaných investic a staveb souvisejících s výstavbou vodního díla Nové </w:t>
      </w:r>
      <w:proofErr w:type="spellStart"/>
      <w:r>
        <w:rPr>
          <w:rFonts w:ascii="Arial" w:hAnsi="Arial" w:cs="Arial"/>
          <w:sz w:val="22"/>
          <w:szCs w:val="22"/>
        </w:rPr>
        <w:t>Heřminovy</w:t>
      </w:r>
      <w:proofErr w:type="spellEnd"/>
      <w:r w:rsidR="00D30610">
        <w:rPr>
          <w:rFonts w:ascii="Arial" w:hAnsi="Arial" w:cs="Arial"/>
          <w:sz w:val="22"/>
          <w:szCs w:val="22"/>
        </w:rPr>
        <w:t>“.</w:t>
      </w:r>
    </w:p>
    <w:p w14:paraId="55156FA0" w14:textId="77777777" w:rsidR="00D30610" w:rsidRDefault="00D30610" w:rsidP="00D30610">
      <w:pPr>
        <w:keepNext/>
        <w:tabs>
          <w:tab w:val="left" w:pos="480"/>
        </w:tabs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32683175" w14:textId="42D67231" w:rsidR="00C95248" w:rsidRPr="00FD6BE1" w:rsidRDefault="00C95248" w:rsidP="00D30610">
      <w:pPr>
        <w:keepNext/>
        <w:tabs>
          <w:tab w:val="left" w:pos="480"/>
        </w:tabs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 xml:space="preserve">Program 129 360 – dotační prostředky </w:t>
      </w:r>
      <w:r w:rsidR="0099699E">
        <w:rPr>
          <w:rFonts w:ascii="Arial" w:hAnsi="Arial" w:cs="Arial"/>
          <w:b/>
          <w:i/>
          <w:iCs/>
          <w:sz w:val="22"/>
          <w:szCs w:val="22"/>
        </w:rPr>
        <w:t xml:space="preserve">dle schválené dokumentace ze srpna 2018 </w:t>
      </w:r>
      <w:r>
        <w:rPr>
          <w:rFonts w:ascii="Arial" w:hAnsi="Arial" w:cs="Arial"/>
          <w:b/>
          <w:i/>
          <w:iCs/>
          <w:sz w:val="22"/>
          <w:szCs w:val="22"/>
        </w:rPr>
        <w:t>(mld</w:t>
      </w:r>
      <w:r w:rsidR="0099699E">
        <w:rPr>
          <w:rFonts w:ascii="Arial" w:hAnsi="Arial" w:cs="Arial"/>
          <w:b/>
          <w:i/>
          <w:iCs/>
          <w:sz w:val="22"/>
          <w:szCs w:val="22"/>
        </w:rPr>
        <w:t>. </w:t>
      </w:r>
      <w:r>
        <w:rPr>
          <w:rFonts w:ascii="Arial" w:hAnsi="Arial" w:cs="Arial"/>
          <w:b/>
          <w:i/>
          <w:iCs/>
          <w:sz w:val="22"/>
          <w:szCs w:val="22"/>
        </w:rPr>
        <w:t>Kč)</w:t>
      </w:r>
      <w:r w:rsidRPr="00FD6BE1">
        <w:rPr>
          <w:rFonts w:ascii="Arial" w:hAnsi="Arial" w:cs="Arial"/>
          <w:b/>
          <w:i/>
          <w:iCs/>
          <w:sz w:val="22"/>
          <w:szCs w:val="22"/>
        </w:rPr>
        <w:t xml:space="preserve"> </w:t>
      </w: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103"/>
      </w:tblGrid>
      <w:tr w:rsidR="00C95248" w:rsidRPr="00FD6BE1" w14:paraId="2FF7D2D0" w14:textId="77777777" w:rsidTr="009B1D6C">
        <w:trPr>
          <w:trHeight w:val="340"/>
        </w:trPr>
        <w:tc>
          <w:tcPr>
            <w:tcW w:w="3969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3E114C" w14:textId="77777777" w:rsidR="00C95248" w:rsidRPr="00FD6BE1" w:rsidRDefault="00C95248" w:rsidP="00D30610">
            <w:pPr>
              <w:tabs>
                <w:tab w:val="left" w:pos="480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6BE1">
              <w:rPr>
                <w:rFonts w:ascii="Arial" w:hAnsi="Arial" w:cs="Arial"/>
                <w:b/>
                <w:sz w:val="22"/>
                <w:szCs w:val="22"/>
              </w:rPr>
              <w:t>Zdroj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2A6881" w14:textId="3345D837" w:rsidR="00C95248" w:rsidRPr="00FD6BE1" w:rsidRDefault="00C95248" w:rsidP="00D30610">
            <w:pPr>
              <w:tabs>
                <w:tab w:val="left" w:pos="480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6BE1">
              <w:rPr>
                <w:rFonts w:ascii="Arial" w:hAnsi="Arial" w:cs="Arial"/>
                <w:b/>
                <w:sz w:val="22"/>
                <w:szCs w:val="22"/>
              </w:rPr>
              <w:t>Státní rozpočet</w:t>
            </w:r>
            <w:r w:rsidR="0099699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C95248" w:rsidRPr="00FD6BE1" w14:paraId="1CC6144A" w14:textId="77777777" w:rsidTr="009B1D6C">
        <w:trPr>
          <w:trHeight w:val="340"/>
        </w:trPr>
        <w:tc>
          <w:tcPr>
            <w:tcW w:w="3969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5F4703" w14:textId="77777777" w:rsidR="00C95248" w:rsidRPr="00FD6BE1" w:rsidRDefault="00C95248" w:rsidP="00D30610">
            <w:pPr>
              <w:tabs>
                <w:tab w:val="left" w:pos="480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Částka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341994" w14:textId="77777777" w:rsidR="00C95248" w:rsidRPr="00FD6BE1" w:rsidRDefault="00C95248" w:rsidP="00D30610">
            <w:pPr>
              <w:tabs>
                <w:tab w:val="left" w:pos="480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BE1">
              <w:rPr>
                <w:rFonts w:ascii="Arial" w:hAnsi="Arial" w:cs="Arial"/>
                <w:sz w:val="22"/>
                <w:szCs w:val="22"/>
              </w:rPr>
              <w:t>4,</w:t>
            </w:r>
            <w:r>
              <w:rPr>
                <w:rFonts w:ascii="Arial" w:hAnsi="Arial" w:cs="Arial"/>
                <w:sz w:val="22"/>
                <w:szCs w:val="22"/>
              </w:rPr>
              <w:t>567</w:t>
            </w:r>
          </w:p>
        </w:tc>
      </w:tr>
    </w:tbl>
    <w:p w14:paraId="76052655" w14:textId="77777777" w:rsidR="00D30610" w:rsidRDefault="00D30610" w:rsidP="00D30610">
      <w:pPr>
        <w:tabs>
          <w:tab w:val="left" w:pos="0"/>
        </w:tabs>
        <w:contextualSpacing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E9C87B6" w14:textId="045ACCF8" w:rsidR="00C95248" w:rsidRDefault="00C95248" w:rsidP="00D30610">
      <w:pPr>
        <w:tabs>
          <w:tab w:val="left" w:pos="0"/>
        </w:tabs>
        <w:contextualSpacing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FD6BE1">
        <w:rPr>
          <w:rStyle w:val="Siln"/>
          <w:rFonts w:ascii="Arial" w:hAnsi="Arial" w:cs="Arial"/>
          <w:b w:val="0"/>
          <w:sz w:val="22"/>
          <w:szCs w:val="22"/>
        </w:rPr>
        <w:t>Finanční rámec schváleného programu předpoklád</w:t>
      </w:r>
      <w:r>
        <w:rPr>
          <w:rStyle w:val="Siln"/>
          <w:rFonts w:ascii="Arial" w:hAnsi="Arial" w:cs="Arial"/>
          <w:b w:val="0"/>
          <w:sz w:val="22"/>
          <w:szCs w:val="22"/>
        </w:rPr>
        <w:t>al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 xml:space="preserve"> celkové </w:t>
      </w:r>
      <w:r w:rsidR="000B09F3">
        <w:rPr>
          <w:rStyle w:val="Siln"/>
          <w:rFonts w:ascii="Arial" w:hAnsi="Arial" w:cs="Arial"/>
          <w:b w:val="0"/>
          <w:sz w:val="22"/>
          <w:szCs w:val="22"/>
        </w:rPr>
        <w:t>výdaje</w:t>
      </w:r>
      <w:r w:rsidR="000B09F3" w:rsidRPr="00FD6BE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 xml:space="preserve">ve výši </w:t>
      </w:r>
      <w:r w:rsidRPr="006D6D84">
        <w:rPr>
          <w:rStyle w:val="Siln"/>
          <w:rFonts w:ascii="Arial" w:hAnsi="Arial" w:cs="Arial"/>
          <w:b w:val="0"/>
          <w:sz w:val="22"/>
          <w:szCs w:val="22"/>
        </w:rPr>
        <w:t>5,435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 mld. Kč, z toho výdaje státního rozpočtu ve výši 4,</w:t>
      </w:r>
      <w:r>
        <w:rPr>
          <w:rStyle w:val="Siln"/>
          <w:rFonts w:ascii="Arial" w:hAnsi="Arial" w:cs="Arial"/>
          <w:b w:val="0"/>
          <w:sz w:val="22"/>
          <w:szCs w:val="22"/>
        </w:rPr>
        <w:t xml:space="preserve">567 </w:t>
      </w:r>
      <w:r w:rsidRPr="00FD6BE1">
        <w:rPr>
          <w:rStyle w:val="Siln"/>
          <w:rFonts w:ascii="Arial" w:hAnsi="Arial" w:cs="Arial"/>
          <w:b w:val="0"/>
          <w:sz w:val="22"/>
          <w:szCs w:val="22"/>
        </w:rPr>
        <w:t>mld. Kč.</w:t>
      </w:r>
    </w:p>
    <w:p w14:paraId="160F1C46" w14:textId="77777777" w:rsidR="00D30610" w:rsidRDefault="00D30610" w:rsidP="00D30610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5CBC6406" w14:textId="77777777" w:rsidR="00C95248" w:rsidRPr="00207C77" w:rsidRDefault="00C95248" w:rsidP="00D30610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207C77">
        <w:rPr>
          <w:rFonts w:ascii="Arial" w:hAnsi="Arial" w:cs="Arial"/>
          <w:sz w:val="22"/>
          <w:szCs w:val="22"/>
        </w:rPr>
        <w:t>První změna dokumentace Programu schválená Ministerstvem financí pod č. j. MF-</w:t>
      </w:r>
      <w:r>
        <w:rPr>
          <w:rFonts w:ascii="Arial" w:hAnsi="Arial" w:cs="Arial"/>
          <w:sz w:val="22"/>
          <w:szCs w:val="22"/>
        </w:rPr>
        <w:t>27753</w:t>
      </w:r>
      <w:r w:rsidRPr="00207C77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8</w:t>
      </w:r>
      <w:r w:rsidRPr="00207C77">
        <w:rPr>
          <w:rFonts w:ascii="Arial" w:hAnsi="Arial" w:cs="Arial"/>
          <w:sz w:val="22"/>
          <w:szCs w:val="22"/>
        </w:rPr>
        <w:t>/1904</w:t>
      </w:r>
      <w:r>
        <w:rPr>
          <w:rFonts w:ascii="Arial" w:hAnsi="Arial" w:cs="Arial"/>
          <w:sz w:val="22"/>
          <w:szCs w:val="22"/>
        </w:rPr>
        <w:t>-2 dne 16</w:t>
      </w:r>
      <w:r w:rsidRPr="00207C7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207C77"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8</w:t>
      </w:r>
      <w:r w:rsidRPr="00207C77">
        <w:rPr>
          <w:rFonts w:ascii="Arial" w:hAnsi="Arial" w:cs="Arial"/>
          <w:sz w:val="22"/>
          <w:szCs w:val="22"/>
        </w:rPr>
        <w:t xml:space="preserve"> spočívala </w:t>
      </w:r>
      <w:r>
        <w:rPr>
          <w:rFonts w:ascii="Arial" w:hAnsi="Arial" w:cs="Arial"/>
          <w:sz w:val="22"/>
          <w:szCs w:val="22"/>
        </w:rPr>
        <w:t>v úpravě předmětu podpory programu. Důvodem byly pokračující přípravy a realizace dílčích opatření ke snížení povodňových rizik v povodí horního toku řeky Opavy s využitím přírodě blízkých opatření v podprogramech 129 364 a 129 365 (jednalo se o nezbytné demoliční práce).</w:t>
      </w:r>
    </w:p>
    <w:p w14:paraId="425615AB" w14:textId="77777777" w:rsidR="00D30610" w:rsidRDefault="00D30610" w:rsidP="00D30610">
      <w:pPr>
        <w:keepNext/>
        <w:tabs>
          <w:tab w:val="left" w:pos="480"/>
        </w:tabs>
        <w:contextualSpacing/>
        <w:jc w:val="both"/>
        <w:rPr>
          <w:rFonts w:ascii="Arial" w:eastAsia="Calibri" w:hAnsi="Arial"/>
          <w:b/>
          <w:i/>
          <w:iCs/>
          <w:sz w:val="22"/>
          <w:szCs w:val="22"/>
          <w:lang w:eastAsia="en-US"/>
        </w:rPr>
      </w:pPr>
    </w:p>
    <w:p w14:paraId="7B8A12A4" w14:textId="6D901AD3" w:rsidR="00C95248" w:rsidRDefault="00C95248" w:rsidP="00D30610">
      <w:pPr>
        <w:keepNext/>
        <w:tabs>
          <w:tab w:val="left" w:pos="480"/>
        </w:tabs>
        <w:contextualSpacing/>
        <w:jc w:val="both"/>
        <w:rPr>
          <w:rFonts w:ascii="Arial" w:eastAsia="Calibri" w:hAnsi="Arial"/>
          <w:b/>
          <w:i/>
          <w:iCs/>
          <w:sz w:val="22"/>
          <w:szCs w:val="22"/>
          <w:lang w:eastAsia="en-US"/>
        </w:rPr>
      </w:pPr>
      <w:r>
        <w:rPr>
          <w:rFonts w:ascii="Arial" w:eastAsia="Calibri" w:hAnsi="Arial"/>
          <w:b/>
          <w:i/>
          <w:iCs/>
          <w:sz w:val="22"/>
          <w:szCs w:val="22"/>
          <w:lang w:eastAsia="en-US"/>
        </w:rPr>
        <w:t>P</w:t>
      </w:r>
      <w:r w:rsidRPr="00273FDF">
        <w:rPr>
          <w:rFonts w:ascii="Arial" w:eastAsia="Calibri" w:hAnsi="Arial"/>
          <w:b/>
          <w:i/>
          <w:iCs/>
          <w:sz w:val="22"/>
          <w:szCs w:val="22"/>
          <w:lang w:eastAsia="en-US"/>
        </w:rPr>
        <w:t>rogram 129</w:t>
      </w:r>
      <w:r>
        <w:rPr>
          <w:rFonts w:ascii="Arial" w:eastAsia="Calibri" w:hAnsi="Arial"/>
          <w:b/>
          <w:i/>
          <w:iCs/>
          <w:sz w:val="22"/>
          <w:szCs w:val="22"/>
          <w:lang w:eastAsia="en-US"/>
        </w:rPr>
        <w:t> 3</w:t>
      </w:r>
      <w:r w:rsidRPr="00273FDF">
        <w:rPr>
          <w:rFonts w:ascii="Arial" w:eastAsia="Calibri" w:hAnsi="Arial"/>
          <w:b/>
          <w:i/>
          <w:iCs/>
          <w:sz w:val="22"/>
          <w:szCs w:val="22"/>
          <w:lang w:eastAsia="en-US"/>
        </w:rPr>
        <w:t>60</w:t>
      </w:r>
      <w:r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 – dotační prostředky </w:t>
      </w:r>
      <w:r w:rsidRPr="00273FDF"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dle </w:t>
      </w:r>
      <w:r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2. změny dokumentace </w:t>
      </w:r>
      <w:r w:rsidR="0099699E"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z října 2019 </w:t>
      </w:r>
      <w:r>
        <w:rPr>
          <w:rFonts w:ascii="Arial" w:eastAsia="Calibri" w:hAnsi="Arial"/>
          <w:b/>
          <w:i/>
          <w:iCs/>
          <w:sz w:val="22"/>
          <w:szCs w:val="22"/>
          <w:lang w:eastAsia="en-US"/>
        </w:rPr>
        <w:t>(mld. Kč)</w:t>
      </w:r>
    </w:p>
    <w:tbl>
      <w:tblPr>
        <w:tblW w:w="9072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694"/>
        <w:gridCol w:w="4110"/>
      </w:tblGrid>
      <w:tr w:rsidR="00C95248" w:rsidRPr="00273FDF" w14:paraId="05393357" w14:textId="77777777" w:rsidTr="009B1D6C">
        <w:trPr>
          <w:trHeight w:val="340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FA0F64" w14:textId="77777777" w:rsidR="00C95248" w:rsidRPr="00273FDF" w:rsidRDefault="00C95248" w:rsidP="00D30610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273FDF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Zdroj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2D6C3B" w14:textId="37902C00" w:rsidR="00C95248" w:rsidRPr="00273FDF" w:rsidRDefault="00C95248" w:rsidP="00D30610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273FDF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Státní rozpočet</w:t>
            </w:r>
          </w:p>
        </w:tc>
        <w:tc>
          <w:tcPr>
            <w:tcW w:w="411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9E0BD7" w14:textId="77777777" w:rsidR="00C95248" w:rsidRPr="00273FDF" w:rsidRDefault="00C95248" w:rsidP="00D30610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OSFA</w:t>
            </w:r>
          </w:p>
        </w:tc>
      </w:tr>
      <w:tr w:rsidR="00C95248" w:rsidRPr="00273FDF" w14:paraId="09FD08CA" w14:textId="77777777" w:rsidTr="009B1D6C">
        <w:trPr>
          <w:trHeight w:val="340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734A5F" w14:textId="77777777" w:rsidR="00C95248" w:rsidRPr="00273FDF" w:rsidRDefault="00C95248" w:rsidP="00D30610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Částka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F92070" w14:textId="77777777" w:rsidR="00C95248" w:rsidRPr="00273FDF" w:rsidRDefault="00C95248" w:rsidP="00D30610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sz w:val="22"/>
                <w:szCs w:val="22"/>
                <w:lang w:eastAsia="en-US"/>
              </w:rPr>
              <w:t>4,567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5E4155" w14:textId="77777777" w:rsidR="00C95248" w:rsidRPr="00273FDF" w:rsidRDefault="00C95248" w:rsidP="00D30610">
            <w:pPr>
              <w:tabs>
                <w:tab w:val="left" w:pos="480"/>
              </w:tabs>
              <w:contextualSpacing/>
              <w:jc w:val="center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273FDF">
              <w:rPr>
                <w:rFonts w:ascii="Arial" w:eastAsia="Calibri" w:hAnsi="Arial"/>
                <w:sz w:val="22"/>
                <w:szCs w:val="22"/>
                <w:lang w:eastAsia="en-US"/>
              </w:rPr>
              <w:t>0,</w:t>
            </w:r>
            <w:r>
              <w:rPr>
                <w:rFonts w:ascii="Arial" w:eastAsia="Calibri" w:hAnsi="Arial"/>
                <w:sz w:val="22"/>
                <w:szCs w:val="22"/>
                <w:lang w:eastAsia="en-US"/>
              </w:rPr>
              <w:t>305</w:t>
            </w:r>
          </w:p>
        </w:tc>
      </w:tr>
    </w:tbl>
    <w:p w14:paraId="4B46D59E" w14:textId="77777777" w:rsidR="00D30610" w:rsidRDefault="00D30610" w:rsidP="00D30610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777DFCFD" w14:textId="77777777" w:rsidR="00C95248" w:rsidRDefault="00C95248" w:rsidP="00D30610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207C77">
        <w:rPr>
          <w:rFonts w:ascii="Arial" w:hAnsi="Arial" w:cs="Arial"/>
          <w:sz w:val="22"/>
          <w:szCs w:val="22"/>
        </w:rPr>
        <w:t>Druhá změna dokumentace Programu schválená Ministerstvem financí pod č. j. MF-</w:t>
      </w:r>
      <w:r>
        <w:rPr>
          <w:rFonts w:ascii="Arial" w:hAnsi="Arial" w:cs="Arial"/>
          <w:sz w:val="22"/>
          <w:szCs w:val="22"/>
        </w:rPr>
        <w:t>26466</w:t>
      </w:r>
      <w:r w:rsidRPr="00207C77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9/1904-2 dne 15</w:t>
      </w:r>
      <w:r w:rsidRPr="00207C7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10. 2019</w:t>
      </w:r>
      <w:r w:rsidRPr="00207C77">
        <w:rPr>
          <w:rFonts w:ascii="Arial" w:hAnsi="Arial" w:cs="Arial"/>
          <w:sz w:val="22"/>
          <w:szCs w:val="22"/>
        </w:rPr>
        <w:t xml:space="preserve"> reagovala na </w:t>
      </w:r>
      <w:r>
        <w:rPr>
          <w:rFonts w:ascii="Arial" w:hAnsi="Arial" w:cs="Arial"/>
          <w:sz w:val="22"/>
          <w:szCs w:val="22"/>
        </w:rPr>
        <w:t xml:space="preserve">usnesení vlády České republiky ze dne </w:t>
      </w:r>
      <w:r w:rsidR="002C676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3. 6. 2019 č. 386 ke Zprávě o stavu přípravy a realizace opatření ke snížení povodňových rizik v povodí horního toku řeky Opavy, včetně návrhu na zabezpečení finančních prostředků na přípravu a realizaci vyvolaných investic a staveb záměrem „Opatření na horní Opavě“ (OHO), kterým bylo schváleno financování příprav a realizace vybraných vyvolaných investic a staveb ve výši 305 mil. Kč v rámci programu. Pro tento účel byl vytvořen nový podprogram 129 366. </w:t>
      </w:r>
    </w:p>
    <w:p w14:paraId="375F7A02" w14:textId="77777777" w:rsidR="00D30610" w:rsidRDefault="00D30610" w:rsidP="00D30610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64D8818E" w14:textId="7ED977D9" w:rsidR="008D7206" w:rsidRDefault="00C95248" w:rsidP="00D30610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Současně s ohledem na narůstající </w:t>
      </w:r>
      <w:r w:rsidRPr="00207C77">
        <w:rPr>
          <w:rFonts w:ascii="Arial" w:hAnsi="Arial" w:cs="Arial"/>
          <w:sz w:val="22"/>
          <w:szCs w:val="22"/>
        </w:rPr>
        <w:t xml:space="preserve">potřebu </w:t>
      </w:r>
      <w:r>
        <w:rPr>
          <w:rFonts w:ascii="Arial" w:hAnsi="Arial" w:cs="Arial"/>
          <w:sz w:val="22"/>
          <w:szCs w:val="22"/>
        </w:rPr>
        <w:t xml:space="preserve">analýz a podkladů pro rozhodování při přípravě realizace vodních děl byl rozšířen předmět </w:t>
      </w:r>
      <w:r w:rsidR="003378D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odpory podprogramu 129 363 pro předprojektovou přípravu dalších významných vodních děl (např. VD Skalička). </w:t>
      </w:r>
      <w:r w:rsidRPr="00207C77">
        <w:rPr>
          <w:rFonts w:ascii="Arial" w:hAnsi="Arial" w:cs="Arial"/>
          <w:sz w:val="22"/>
          <w:szCs w:val="22"/>
        </w:rPr>
        <w:t xml:space="preserve">Celkový objem finančních prostředků Programu </w:t>
      </w:r>
      <w:r>
        <w:rPr>
          <w:rFonts w:ascii="Arial" w:hAnsi="Arial" w:cs="Arial"/>
          <w:sz w:val="22"/>
          <w:szCs w:val="22"/>
        </w:rPr>
        <w:t>byl navýšen</w:t>
      </w:r>
      <w:r w:rsidRPr="00207C7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zmíněné finanční prostředky z kapitoly OSFA.</w:t>
      </w:r>
    </w:p>
    <w:p w14:paraId="77D7BFA8" w14:textId="77777777" w:rsidR="000A260A" w:rsidRPr="00026011" w:rsidRDefault="000A260A" w:rsidP="00D30610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60EF14D4" w14:textId="0A6DA059" w:rsidR="00C95248" w:rsidRPr="00D33240" w:rsidRDefault="00C95248" w:rsidP="00D30610">
      <w:pPr>
        <w:tabs>
          <w:tab w:val="left" w:pos="0"/>
        </w:tabs>
        <w:contextualSpacing/>
        <w:jc w:val="both"/>
        <w:rPr>
          <w:rFonts w:ascii="Arial" w:eastAsia="Calibri" w:hAnsi="Arial"/>
          <w:b/>
          <w:i/>
          <w:sz w:val="22"/>
        </w:rPr>
      </w:pPr>
      <w:r w:rsidRPr="00D33240">
        <w:rPr>
          <w:rFonts w:ascii="Arial" w:eastAsia="Calibri" w:hAnsi="Arial"/>
          <w:b/>
          <w:i/>
          <w:sz w:val="22"/>
        </w:rPr>
        <w:t>Program 129 </w:t>
      </w:r>
      <w:r>
        <w:rPr>
          <w:rFonts w:ascii="Arial" w:eastAsia="Calibri" w:hAnsi="Arial"/>
          <w:b/>
          <w:i/>
          <w:sz w:val="22"/>
        </w:rPr>
        <w:t>3</w:t>
      </w:r>
      <w:r w:rsidRPr="00D33240">
        <w:rPr>
          <w:rFonts w:ascii="Arial" w:eastAsia="Calibri" w:hAnsi="Arial"/>
          <w:b/>
          <w:i/>
          <w:sz w:val="22"/>
        </w:rPr>
        <w:t>60 – přehled skutečného čerpání v letech 201</w:t>
      </w:r>
      <w:r w:rsidR="00CE44EC">
        <w:rPr>
          <w:rFonts w:ascii="Arial" w:eastAsia="Calibri" w:hAnsi="Arial"/>
          <w:b/>
          <w:i/>
          <w:sz w:val="22"/>
        </w:rPr>
        <w:t>8</w:t>
      </w:r>
      <w:r w:rsidRPr="00D33240">
        <w:rPr>
          <w:rFonts w:ascii="Arial" w:eastAsia="Calibri" w:hAnsi="Arial"/>
          <w:b/>
          <w:i/>
          <w:sz w:val="22"/>
        </w:rPr>
        <w:t>–</w:t>
      </w:r>
      <w:r>
        <w:rPr>
          <w:rFonts w:ascii="Arial" w:eastAsia="Calibri" w:hAnsi="Arial"/>
          <w:b/>
          <w:i/>
          <w:sz w:val="22"/>
        </w:rPr>
        <w:t>2020</w:t>
      </w:r>
      <w:r w:rsidRPr="00D33240">
        <w:rPr>
          <w:rFonts w:ascii="Arial" w:eastAsia="Calibri" w:hAnsi="Arial"/>
          <w:b/>
          <w:i/>
          <w:sz w:val="22"/>
        </w:rPr>
        <w:t xml:space="preserve"> a předpokla</w:t>
      </w:r>
      <w:r>
        <w:rPr>
          <w:rFonts w:ascii="Arial" w:eastAsia="Calibri" w:hAnsi="Arial"/>
          <w:b/>
          <w:i/>
          <w:sz w:val="22"/>
        </w:rPr>
        <w:t>d čerpání v letech 2021–2024 (</w:t>
      </w:r>
      <w:r w:rsidRPr="00D33240">
        <w:rPr>
          <w:rFonts w:ascii="Arial" w:eastAsia="Calibri" w:hAnsi="Arial"/>
          <w:b/>
          <w:i/>
          <w:sz w:val="22"/>
        </w:rPr>
        <w:t>mil. Kč)</w:t>
      </w:r>
    </w:p>
    <w:tbl>
      <w:tblPr>
        <w:tblW w:w="8987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8"/>
        <w:gridCol w:w="992"/>
        <w:gridCol w:w="1559"/>
        <w:gridCol w:w="1559"/>
        <w:gridCol w:w="1559"/>
        <w:gridCol w:w="1560"/>
      </w:tblGrid>
      <w:tr w:rsidR="00CE44EC" w:rsidRPr="006D6D84" w14:paraId="1DBFDF13" w14:textId="77777777" w:rsidTr="008A74AA">
        <w:trPr>
          <w:trHeight w:val="340"/>
        </w:trPr>
        <w:tc>
          <w:tcPr>
            <w:tcW w:w="1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EFEE69A" w14:textId="77777777" w:rsidR="00CE44EC" w:rsidRPr="006D6D84" w:rsidRDefault="00CE44EC" w:rsidP="00D30610">
            <w:pPr>
              <w:keepNext/>
              <w:widowControl w:val="0"/>
              <w:contextualSpacing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Zdroj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5556E19" w14:textId="46A49746" w:rsidR="00CE44EC" w:rsidRPr="006D6D84" w:rsidRDefault="00CE44EC" w:rsidP="005A4C4B">
            <w:pPr>
              <w:keepNext/>
              <w:widowControl w:val="0"/>
              <w:contextualSpacing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3E176C4" w14:textId="493D7244" w:rsidR="00CE44EC" w:rsidRPr="006D6D84" w:rsidRDefault="00CE44EC" w:rsidP="005A4C4B">
            <w:pPr>
              <w:keepNext/>
              <w:widowControl w:val="0"/>
              <w:ind w:right="209"/>
              <w:contextualSpacing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B96085C" w14:textId="77777777" w:rsidR="00CE44EC" w:rsidRPr="006D6D84" w:rsidRDefault="00CE44EC" w:rsidP="005A4C4B">
            <w:pPr>
              <w:keepNext/>
              <w:widowControl w:val="0"/>
              <w:ind w:right="210"/>
              <w:contextualSpacing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5CB6C04" w14:textId="77777777" w:rsidR="00CE44EC" w:rsidRPr="006D6D84" w:rsidRDefault="00CE44EC" w:rsidP="005A4C4B">
            <w:pPr>
              <w:keepNext/>
              <w:widowControl w:val="0"/>
              <w:ind w:right="210"/>
              <w:contextualSpacing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2021–2024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7FBB0F1" w14:textId="77777777" w:rsidR="00CE44EC" w:rsidRPr="006D6D84" w:rsidRDefault="00CE44EC" w:rsidP="005A4C4B">
            <w:pPr>
              <w:keepNext/>
              <w:widowControl w:val="0"/>
              <w:ind w:right="69"/>
              <w:contextualSpacing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Celkem</w:t>
            </w:r>
          </w:p>
        </w:tc>
      </w:tr>
      <w:tr w:rsidR="00CE44EC" w:rsidRPr="006D6D84" w14:paraId="08868FDF" w14:textId="77777777" w:rsidTr="008A74AA">
        <w:trPr>
          <w:trHeight w:val="340"/>
        </w:trPr>
        <w:tc>
          <w:tcPr>
            <w:tcW w:w="1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DDA75A" w14:textId="77777777" w:rsidR="00CE44EC" w:rsidRPr="006D6D84" w:rsidRDefault="00CE44EC" w:rsidP="00D30610">
            <w:pPr>
              <w:keepNext/>
              <w:widowControl w:val="0"/>
              <w:contextualSpacing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Státní rozpočet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51A6B" w14:textId="5DEE3616" w:rsidR="00CE44EC" w:rsidRPr="006D6D84" w:rsidRDefault="00624872" w:rsidP="00094A3C">
            <w:pPr>
              <w:keepNext/>
              <w:widowControl w:val="0"/>
              <w:ind w:right="387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A2487" w14:textId="496D954A" w:rsidR="00CE44EC" w:rsidRPr="006D6D84" w:rsidRDefault="00CE44EC" w:rsidP="005A4C4B">
            <w:pPr>
              <w:keepNext/>
              <w:widowControl w:val="0"/>
              <w:ind w:right="209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140,700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81A0C" w14:textId="61B6D5F8" w:rsidR="00CE44EC" w:rsidRPr="006D6D84" w:rsidRDefault="00CE44EC" w:rsidP="005A4C4B">
            <w:pPr>
              <w:keepNext/>
              <w:widowControl w:val="0"/>
              <w:ind w:right="210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68</w:t>
            </w:r>
            <w:r w:rsidR="00577EC5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1</w:t>
            </w:r>
            <w:r w:rsidRPr="006D6D84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,</w:t>
            </w:r>
            <w:r w:rsidR="000B27E2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DC1161" w14:textId="7669AB81" w:rsidR="00CE44EC" w:rsidRPr="006D6D84" w:rsidRDefault="00CE44EC" w:rsidP="005A4C4B">
            <w:pPr>
              <w:keepNext/>
              <w:widowControl w:val="0"/>
              <w:ind w:right="210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3 74</w:t>
            </w:r>
            <w:r w:rsidR="00577EC5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5</w:t>
            </w:r>
            <w:r w:rsidRPr="006D6D84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,</w:t>
            </w:r>
            <w:r w:rsidR="00577EC5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3</w:t>
            </w:r>
            <w:r w:rsidR="000B27E2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399F8" w14:textId="5A4B3F7C" w:rsidR="00CE44EC" w:rsidRPr="006D6D84" w:rsidRDefault="00CE44EC" w:rsidP="005A4C4B">
            <w:pPr>
              <w:keepNext/>
              <w:widowControl w:val="0"/>
              <w:ind w:right="69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4 567,6</w:t>
            </w:r>
            <w:r w:rsidR="00624872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00</w:t>
            </w:r>
          </w:p>
        </w:tc>
      </w:tr>
      <w:tr w:rsidR="00CE44EC" w:rsidRPr="006D6D84" w14:paraId="189654E6" w14:textId="77777777" w:rsidTr="008A74AA">
        <w:trPr>
          <w:trHeight w:val="340"/>
        </w:trPr>
        <w:tc>
          <w:tcPr>
            <w:tcW w:w="1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4A0A25" w14:textId="77777777" w:rsidR="00CE44EC" w:rsidRPr="006D6D84" w:rsidRDefault="00CE44EC" w:rsidP="00D30610">
            <w:pPr>
              <w:keepNext/>
              <w:widowControl w:val="0"/>
              <w:contextualSpacing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OSFA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40772" w14:textId="169DD870" w:rsidR="00CE44EC" w:rsidRDefault="00624872" w:rsidP="00094A3C">
            <w:pPr>
              <w:keepNext/>
              <w:widowControl w:val="0"/>
              <w:tabs>
                <w:tab w:val="decimal" w:pos="-6875"/>
              </w:tabs>
              <w:ind w:right="387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406C2" w14:textId="2A086A4E" w:rsidR="00CE44EC" w:rsidRPr="006D6D84" w:rsidRDefault="00594E81" w:rsidP="005A4C4B">
            <w:pPr>
              <w:keepNext/>
              <w:widowControl w:val="0"/>
              <w:tabs>
                <w:tab w:val="decimal" w:pos="-6875"/>
              </w:tabs>
              <w:ind w:right="209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407BB" w14:textId="3B1F237F" w:rsidR="00CE44EC" w:rsidRPr="006D6D84" w:rsidRDefault="00CE44EC" w:rsidP="005A4C4B">
            <w:pPr>
              <w:keepNext/>
              <w:widowControl w:val="0"/>
              <w:ind w:right="210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5,5</w:t>
            </w:r>
            <w:r w:rsidR="000B27E2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19872C" w14:textId="6938427B" w:rsidR="00CE44EC" w:rsidRPr="006D6D84" w:rsidRDefault="00CE44EC" w:rsidP="005A4C4B">
            <w:pPr>
              <w:keepNext/>
              <w:widowControl w:val="0"/>
              <w:ind w:right="210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299,</w:t>
            </w:r>
            <w:r w:rsidR="000B27E2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636E97" w14:textId="68B9D1D8" w:rsidR="00CE44EC" w:rsidRPr="006D6D84" w:rsidRDefault="00CE44EC" w:rsidP="005A4C4B">
            <w:pPr>
              <w:keepNext/>
              <w:widowControl w:val="0"/>
              <w:ind w:right="69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305,0</w:t>
            </w:r>
            <w:r w:rsidR="00624872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00</w:t>
            </w:r>
          </w:p>
        </w:tc>
      </w:tr>
      <w:tr w:rsidR="00CE44EC" w:rsidRPr="006D6D84" w14:paraId="41C29A37" w14:textId="77777777" w:rsidTr="008A74AA">
        <w:trPr>
          <w:trHeight w:val="340"/>
        </w:trPr>
        <w:tc>
          <w:tcPr>
            <w:tcW w:w="1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A43BE51" w14:textId="77777777" w:rsidR="00CE44EC" w:rsidRPr="006D6D84" w:rsidRDefault="00CE44EC" w:rsidP="00D30610">
            <w:pPr>
              <w:keepNext/>
              <w:widowControl w:val="0"/>
              <w:contextualSpacing/>
              <w:jc w:val="both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Celkem dotace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71ACC89" w14:textId="4BD6500B" w:rsidR="00CE44EC" w:rsidRPr="006D6D84" w:rsidRDefault="00624872" w:rsidP="00094A3C">
            <w:pPr>
              <w:keepNext/>
              <w:widowControl w:val="0"/>
              <w:tabs>
                <w:tab w:val="decimal" w:pos="-6308"/>
              </w:tabs>
              <w:ind w:right="387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3E8FD31" w14:textId="4E2E73BC" w:rsidR="00CE44EC" w:rsidRPr="006D6D84" w:rsidRDefault="00CE44EC" w:rsidP="005A4C4B">
            <w:pPr>
              <w:keepNext/>
              <w:widowControl w:val="0"/>
              <w:tabs>
                <w:tab w:val="decimal" w:pos="-6308"/>
              </w:tabs>
              <w:ind w:right="209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140,7</w:t>
            </w:r>
            <w:r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C4643DA" w14:textId="17171607" w:rsidR="00CE44EC" w:rsidRPr="006D6D84" w:rsidRDefault="00CE44EC" w:rsidP="005A4C4B">
            <w:pPr>
              <w:keepNext/>
              <w:widowControl w:val="0"/>
              <w:ind w:right="210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6</w:t>
            </w:r>
            <w:r w:rsidR="00577EC5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87</w:t>
            </w:r>
            <w:r w:rsidRPr="006D6D84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,</w:t>
            </w:r>
            <w:r w:rsidR="00577EC5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EA5D032" w14:textId="1029D4A5" w:rsidR="00CE44EC" w:rsidRPr="006D6D84" w:rsidRDefault="00CE44EC" w:rsidP="005A4C4B">
            <w:pPr>
              <w:keepNext/>
              <w:widowControl w:val="0"/>
              <w:ind w:right="210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4 0</w:t>
            </w:r>
            <w:r w:rsidR="00577EC5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44</w:t>
            </w:r>
            <w:r w:rsidRPr="006D6D84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,</w:t>
            </w:r>
            <w:r w:rsidR="00577EC5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A30EB5F" w14:textId="337339A2" w:rsidR="00CE44EC" w:rsidRPr="006D6D84" w:rsidRDefault="00CE44EC" w:rsidP="005A4C4B">
            <w:pPr>
              <w:keepNext/>
              <w:widowControl w:val="0"/>
              <w:ind w:right="69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4 872,6</w:t>
            </w:r>
            <w:r w:rsidR="00624872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00</w:t>
            </w:r>
          </w:p>
        </w:tc>
      </w:tr>
      <w:tr w:rsidR="00CE44EC" w:rsidRPr="006D6D84" w14:paraId="1B332CF0" w14:textId="77777777" w:rsidTr="008A74AA">
        <w:trPr>
          <w:trHeight w:val="340"/>
        </w:trPr>
        <w:tc>
          <w:tcPr>
            <w:tcW w:w="1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A30FD0" w14:textId="77777777" w:rsidR="00CE44EC" w:rsidRPr="006D6D84" w:rsidRDefault="00CE44EC" w:rsidP="00D30610">
            <w:pPr>
              <w:keepNext/>
              <w:widowControl w:val="0"/>
              <w:contextualSpacing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Vlastní zdroje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3C253A" w14:textId="77C99E85" w:rsidR="00CE44EC" w:rsidRDefault="00624872" w:rsidP="00094A3C">
            <w:pPr>
              <w:keepNext/>
              <w:widowControl w:val="0"/>
              <w:ind w:right="387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7A2849D" w14:textId="0A258A6D" w:rsidR="00CE44EC" w:rsidRPr="006D6D84" w:rsidRDefault="00CE44EC" w:rsidP="005A4C4B">
            <w:pPr>
              <w:keepNext/>
              <w:widowControl w:val="0"/>
              <w:ind w:right="209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24,084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C66403" w14:textId="77777777" w:rsidR="00CE44EC" w:rsidRPr="006D6D84" w:rsidRDefault="00CE44EC" w:rsidP="005A4C4B">
            <w:pPr>
              <w:keepNext/>
              <w:widowControl w:val="0"/>
              <w:tabs>
                <w:tab w:val="decimal" w:pos="-14889"/>
              </w:tabs>
              <w:ind w:right="210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43,881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78CED" w14:textId="77777777" w:rsidR="00CE44EC" w:rsidRPr="006D6D84" w:rsidRDefault="00CE44EC" w:rsidP="005A4C4B">
            <w:pPr>
              <w:keepNext/>
              <w:widowControl w:val="0"/>
              <w:tabs>
                <w:tab w:val="decimal" w:pos="-14889"/>
              </w:tabs>
              <w:ind w:right="210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801,086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E61EA9" w14:textId="77777777" w:rsidR="00CE44EC" w:rsidRPr="006D6D84" w:rsidRDefault="00CE44EC" w:rsidP="005A4C4B">
            <w:pPr>
              <w:keepNext/>
              <w:widowControl w:val="0"/>
              <w:tabs>
                <w:tab w:val="decimal" w:pos="-14889"/>
              </w:tabs>
              <w:ind w:right="69"/>
              <w:contextualSpacing/>
              <w:jc w:val="righ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869,051</w:t>
            </w:r>
          </w:p>
        </w:tc>
      </w:tr>
      <w:tr w:rsidR="00CE44EC" w:rsidRPr="00383A4A" w14:paraId="0A6A1E16" w14:textId="77777777" w:rsidTr="008A74AA">
        <w:trPr>
          <w:trHeight w:val="340"/>
        </w:trPr>
        <w:tc>
          <w:tcPr>
            <w:tcW w:w="17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54FAA1D" w14:textId="77777777" w:rsidR="00CE44EC" w:rsidRPr="006D6D84" w:rsidRDefault="00CE44EC" w:rsidP="00D30610">
            <w:pPr>
              <w:keepNext/>
              <w:widowControl w:val="0"/>
              <w:contextualSpacing/>
              <w:jc w:val="both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Celkem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982252" w14:textId="0CD33D12" w:rsidR="00CE44EC" w:rsidRPr="00E03A39" w:rsidRDefault="00624872" w:rsidP="00094A3C">
            <w:pPr>
              <w:keepNext/>
              <w:widowControl w:val="0"/>
              <w:ind w:right="387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C3DD37B" w14:textId="676D13A9" w:rsidR="00CE44EC" w:rsidRPr="006D6D84" w:rsidRDefault="00CE44EC" w:rsidP="005A4C4B">
            <w:pPr>
              <w:keepNext/>
              <w:widowControl w:val="0"/>
              <w:ind w:right="209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E03A39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164,784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AE6F152" w14:textId="1449F5E7" w:rsidR="00CE44EC" w:rsidRPr="006D6D84" w:rsidRDefault="00CE44EC" w:rsidP="005A4C4B">
            <w:pPr>
              <w:keepNext/>
              <w:widowControl w:val="0"/>
              <w:ind w:right="210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E03A39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73</w:t>
            </w:r>
            <w:r w:rsidR="00577EC5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0</w:t>
            </w:r>
            <w:r w:rsidRPr="00E03A39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,</w:t>
            </w:r>
            <w:r w:rsidR="00577EC5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9</w:t>
            </w:r>
            <w:r w:rsidRPr="00E03A39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8</w:t>
            </w:r>
            <w:r w:rsidR="00577EC5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8C4B63F" w14:textId="39402B33" w:rsidR="00CE44EC" w:rsidRPr="006D6D84" w:rsidRDefault="00CE44EC" w:rsidP="005A4C4B">
            <w:pPr>
              <w:keepNext/>
              <w:widowControl w:val="0"/>
              <w:ind w:right="210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 w:rsidRPr="00E03A39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4</w:t>
            </w:r>
            <w:r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E03A39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84</w:t>
            </w:r>
            <w:r w:rsidR="00577EC5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5</w:t>
            </w:r>
            <w:r w:rsidRPr="00E03A39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,</w:t>
            </w:r>
            <w:r w:rsidR="00577EC5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8</w:t>
            </w:r>
            <w:r w:rsidRPr="00E03A39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8</w:t>
            </w:r>
            <w:r w:rsidR="00577EC5"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5D907876" w14:textId="77777777" w:rsidR="00CE44EC" w:rsidRPr="006D6D84" w:rsidRDefault="00CE44EC" w:rsidP="005A4C4B">
            <w:pPr>
              <w:keepNext/>
              <w:widowControl w:val="0"/>
              <w:ind w:right="69"/>
              <w:contextualSpacing/>
              <w:jc w:val="right"/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bCs/>
                <w:sz w:val="22"/>
                <w:szCs w:val="22"/>
                <w:lang w:eastAsia="en-US"/>
              </w:rPr>
              <w:t>5 741,651</w:t>
            </w:r>
          </w:p>
        </w:tc>
      </w:tr>
    </w:tbl>
    <w:p w14:paraId="2410F5F4" w14:textId="77777777" w:rsidR="00D30610" w:rsidRDefault="00D30610" w:rsidP="00D30610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39B861D1" w14:textId="77777777" w:rsidR="00C95248" w:rsidRPr="00207C77" w:rsidRDefault="00C95248" w:rsidP="00D30610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207C77">
        <w:rPr>
          <w:rFonts w:ascii="Arial" w:hAnsi="Arial" w:cs="Arial"/>
          <w:sz w:val="22"/>
          <w:szCs w:val="22"/>
        </w:rPr>
        <w:t>Čerpání finančních prostředků v</w:t>
      </w:r>
      <w:r>
        <w:rPr>
          <w:rFonts w:ascii="Arial" w:hAnsi="Arial" w:cs="Arial"/>
          <w:sz w:val="22"/>
          <w:szCs w:val="22"/>
        </w:rPr>
        <w:t> roce jeho zahájení, tj. 2018 bylo nulové, a to z důvodu, že schválení programu proběhlo až ve druhém pololetí roku a nastavený proces administrace neumožnil v časovém rámci zahájit i financování. V roce 2019 byly financovány především projekty, které byly připraveny již v průběhu předcházející etapy Programu. Tomu odpovídá i</w:t>
      </w:r>
      <w:r w:rsidR="0001060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relativně vyšší čerpání v porovnání s průběhem čerpání v prvních letech u předchozích etap. </w:t>
      </w:r>
    </w:p>
    <w:p w14:paraId="718D5009" w14:textId="77777777" w:rsidR="00D30610" w:rsidRDefault="00D30610" w:rsidP="00D30610">
      <w:pPr>
        <w:contextualSpacing/>
        <w:jc w:val="both"/>
        <w:rPr>
          <w:rFonts w:ascii="Arial" w:eastAsia="Calibri" w:hAnsi="Arial"/>
          <w:b/>
          <w:i/>
          <w:iCs/>
          <w:sz w:val="22"/>
          <w:szCs w:val="22"/>
          <w:lang w:eastAsia="en-US"/>
        </w:rPr>
      </w:pPr>
    </w:p>
    <w:p w14:paraId="5544638D" w14:textId="77777777" w:rsidR="00C95248" w:rsidRDefault="00C95248" w:rsidP="00D30610">
      <w:pPr>
        <w:contextualSpacing/>
        <w:jc w:val="both"/>
        <w:rPr>
          <w:rFonts w:ascii="Arial" w:eastAsia="Calibri" w:hAnsi="Arial"/>
          <w:b/>
          <w:bCs/>
          <w:sz w:val="17"/>
          <w:szCs w:val="17"/>
          <w:lang w:eastAsia="en-US"/>
        </w:rPr>
      </w:pPr>
      <w:r w:rsidRPr="00997A6E">
        <w:rPr>
          <w:rFonts w:ascii="Arial" w:eastAsia="Calibri" w:hAnsi="Arial"/>
          <w:b/>
          <w:i/>
          <w:iCs/>
          <w:sz w:val="22"/>
          <w:szCs w:val="22"/>
          <w:lang w:eastAsia="en-US"/>
        </w:rPr>
        <w:t>Program 129 </w:t>
      </w:r>
      <w:r>
        <w:rPr>
          <w:rFonts w:ascii="Arial" w:eastAsia="Calibri" w:hAnsi="Arial"/>
          <w:b/>
          <w:i/>
          <w:iCs/>
          <w:sz w:val="22"/>
          <w:szCs w:val="22"/>
          <w:lang w:eastAsia="en-US"/>
        </w:rPr>
        <w:t>3</w:t>
      </w:r>
      <w:r w:rsidRPr="00997A6E"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60 – přehled skutečného čerpání </w:t>
      </w:r>
      <w:r>
        <w:rPr>
          <w:rFonts w:ascii="Arial" w:eastAsia="Calibri" w:hAnsi="Arial"/>
          <w:b/>
          <w:i/>
          <w:iCs/>
          <w:sz w:val="22"/>
          <w:szCs w:val="22"/>
          <w:lang w:eastAsia="en-US"/>
        </w:rPr>
        <w:t xml:space="preserve">ze státního rozpočtu </w:t>
      </w:r>
      <w:r w:rsidRPr="00997A6E">
        <w:rPr>
          <w:rFonts w:ascii="Arial" w:eastAsia="Calibri" w:hAnsi="Arial"/>
          <w:b/>
          <w:i/>
          <w:iCs/>
          <w:sz w:val="22"/>
          <w:szCs w:val="22"/>
          <w:lang w:eastAsia="en-US"/>
        </w:rPr>
        <w:t>v letech 201</w:t>
      </w:r>
      <w:r>
        <w:rPr>
          <w:rFonts w:ascii="Arial" w:eastAsia="Calibri" w:hAnsi="Arial"/>
          <w:b/>
          <w:i/>
          <w:iCs/>
          <w:sz w:val="22"/>
          <w:szCs w:val="22"/>
          <w:lang w:eastAsia="en-US"/>
        </w:rPr>
        <w:t>9</w:t>
      </w:r>
      <w:r w:rsidRPr="00997A6E">
        <w:rPr>
          <w:rFonts w:ascii="Arial" w:eastAsia="Calibri" w:hAnsi="Arial"/>
          <w:b/>
          <w:i/>
          <w:iCs/>
          <w:sz w:val="22"/>
          <w:szCs w:val="22"/>
          <w:lang w:eastAsia="en-US"/>
        </w:rPr>
        <w:t>–20</w:t>
      </w:r>
      <w:r>
        <w:rPr>
          <w:rFonts w:ascii="Arial" w:eastAsia="Calibri" w:hAnsi="Arial"/>
          <w:b/>
          <w:i/>
          <w:iCs/>
          <w:sz w:val="22"/>
          <w:szCs w:val="22"/>
          <w:lang w:eastAsia="en-US"/>
        </w:rPr>
        <w:t>20 dle jednotlivých investorů (</w:t>
      </w:r>
      <w:r w:rsidRPr="00997A6E">
        <w:rPr>
          <w:rFonts w:ascii="Arial" w:eastAsia="Calibri" w:hAnsi="Arial"/>
          <w:b/>
          <w:i/>
          <w:iCs/>
          <w:sz w:val="22"/>
          <w:szCs w:val="22"/>
          <w:lang w:eastAsia="en-US"/>
        </w:rPr>
        <w:t>mil. Kč)</w:t>
      </w:r>
      <w:r w:rsidRPr="00997A6E">
        <w:rPr>
          <w:rFonts w:ascii="Arial" w:eastAsia="Calibri" w:hAnsi="Arial"/>
          <w:b/>
          <w:bCs/>
          <w:sz w:val="17"/>
          <w:szCs w:val="17"/>
          <w:lang w:eastAsia="en-US"/>
        </w:rPr>
        <w:t xml:space="preserve"> </w:t>
      </w:r>
    </w:p>
    <w:tbl>
      <w:tblPr>
        <w:tblW w:w="497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417"/>
        <w:gridCol w:w="1418"/>
      </w:tblGrid>
      <w:tr w:rsidR="00C95248" w:rsidRPr="006D6D84" w14:paraId="7B9BA354" w14:textId="77777777" w:rsidTr="005A4C4B">
        <w:trPr>
          <w:trHeight w:val="340"/>
        </w:trPr>
        <w:tc>
          <w:tcPr>
            <w:tcW w:w="2142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BAC02D9" w14:textId="77777777" w:rsidR="00C95248" w:rsidRPr="006D6D84" w:rsidRDefault="00C95248" w:rsidP="00D30610">
            <w:pPr>
              <w:tabs>
                <w:tab w:val="left" w:pos="480"/>
              </w:tabs>
              <w:contextualSpacing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Investor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F60484" w14:textId="77777777" w:rsidR="00C95248" w:rsidRPr="006D6D84" w:rsidRDefault="00C95248" w:rsidP="005A4C4B">
            <w:pPr>
              <w:keepNext/>
              <w:widowControl w:val="0"/>
              <w:ind w:right="153"/>
              <w:contextualSpacing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91812F3" w14:textId="77777777" w:rsidR="00C95248" w:rsidRPr="006D6D84" w:rsidRDefault="00C95248" w:rsidP="005A4C4B">
            <w:pPr>
              <w:keepNext/>
              <w:widowControl w:val="0"/>
              <w:ind w:right="160"/>
              <w:contextualSpacing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2020</w:t>
            </w:r>
          </w:p>
        </w:tc>
      </w:tr>
      <w:tr w:rsidR="00C95248" w:rsidRPr="00383A4A" w14:paraId="02BBB163" w14:textId="77777777" w:rsidTr="005A4C4B">
        <w:trPr>
          <w:trHeight w:val="340"/>
        </w:trPr>
        <w:tc>
          <w:tcPr>
            <w:tcW w:w="2142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D06B" w14:textId="77777777" w:rsidR="00C95248" w:rsidRPr="006D6D84" w:rsidRDefault="00C95248" w:rsidP="00D30610">
            <w:pPr>
              <w:tabs>
                <w:tab w:val="left" w:pos="480"/>
              </w:tabs>
              <w:contextualSpacing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 xml:space="preserve">Povodí Labe, </w:t>
            </w:r>
            <w:proofErr w:type="spellStart"/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s.p</w:t>
            </w:r>
            <w:proofErr w:type="spellEnd"/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1A958EF" w14:textId="77777777" w:rsidR="00C95248" w:rsidRPr="006D6D84" w:rsidRDefault="00C95248" w:rsidP="005A4C4B">
            <w:pPr>
              <w:ind w:right="153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90,548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8C5AE46" w14:textId="77777777" w:rsidR="00C95248" w:rsidRPr="006D6D84" w:rsidRDefault="00C95248" w:rsidP="005A4C4B">
            <w:pPr>
              <w:ind w:right="160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205,899</w:t>
            </w:r>
          </w:p>
        </w:tc>
      </w:tr>
      <w:tr w:rsidR="00C95248" w:rsidRPr="00383A4A" w14:paraId="12B15F30" w14:textId="77777777" w:rsidTr="005A4C4B">
        <w:trPr>
          <w:trHeight w:val="340"/>
        </w:trPr>
        <w:tc>
          <w:tcPr>
            <w:tcW w:w="2142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E366" w14:textId="77777777" w:rsidR="00C95248" w:rsidRPr="00383A4A" w:rsidRDefault="00C95248" w:rsidP="00D30610">
            <w:pPr>
              <w:tabs>
                <w:tab w:val="left" w:pos="480"/>
              </w:tabs>
              <w:contextualSpacing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383A4A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 xml:space="preserve">Povodí Vltavy, </w:t>
            </w:r>
            <w:proofErr w:type="spellStart"/>
            <w:r w:rsidRPr="00383A4A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s.p</w:t>
            </w:r>
            <w:proofErr w:type="spellEnd"/>
            <w:r w:rsidRPr="00383A4A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70C85A" w14:textId="77777777" w:rsidR="00C95248" w:rsidRPr="006D6D84" w:rsidRDefault="00C95248" w:rsidP="005A4C4B">
            <w:pPr>
              <w:ind w:right="153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BC2FEAF" w14:textId="77777777" w:rsidR="00C95248" w:rsidRPr="006D6D84" w:rsidRDefault="00C95248" w:rsidP="005A4C4B">
            <w:pPr>
              <w:ind w:right="160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48,000</w:t>
            </w:r>
          </w:p>
        </w:tc>
      </w:tr>
      <w:tr w:rsidR="00C95248" w:rsidRPr="00383A4A" w14:paraId="0EB8BBA7" w14:textId="77777777" w:rsidTr="005A4C4B">
        <w:trPr>
          <w:trHeight w:val="340"/>
        </w:trPr>
        <w:tc>
          <w:tcPr>
            <w:tcW w:w="2142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5F39" w14:textId="77777777" w:rsidR="00C95248" w:rsidRPr="00383A4A" w:rsidRDefault="00C95248" w:rsidP="00D30610">
            <w:pPr>
              <w:tabs>
                <w:tab w:val="left" w:pos="480"/>
              </w:tabs>
              <w:contextualSpacing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383A4A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 xml:space="preserve">Povodí Ohře, </w:t>
            </w:r>
            <w:proofErr w:type="spellStart"/>
            <w:r w:rsidRPr="00383A4A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s.p</w:t>
            </w:r>
            <w:proofErr w:type="spellEnd"/>
            <w:r w:rsidRPr="00383A4A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5ADCAE" w14:textId="77777777" w:rsidR="00C95248" w:rsidRPr="006D6D84" w:rsidRDefault="00C95248" w:rsidP="005A4C4B">
            <w:pPr>
              <w:ind w:right="153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1,500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9D0EA48" w14:textId="77777777" w:rsidR="00C95248" w:rsidRPr="006D6D84" w:rsidRDefault="00C95248" w:rsidP="005A4C4B">
            <w:pPr>
              <w:ind w:right="160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2,861</w:t>
            </w:r>
          </w:p>
        </w:tc>
      </w:tr>
      <w:tr w:rsidR="00C95248" w:rsidRPr="00383A4A" w14:paraId="12D08E86" w14:textId="77777777" w:rsidTr="005A4C4B">
        <w:trPr>
          <w:trHeight w:val="340"/>
        </w:trPr>
        <w:tc>
          <w:tcPr>
            <w:tcW w:w="2142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B3EF" w14:textId="77777777" w:rsidR="00C95248" w:rsidRPr="00383A4A" w:rsidRDefault="00C95248" w:rsidP="00D30610">
            <w:pPr>
              <w:tabs>
                <w:tab w:val="left" w:pos="480"/>
              </w:tabs>
              <w:contextualSpacing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383A4A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 xml:space="preserve">Povodí Odry, </w:t>
            </w:r>
            <w:proofErr w:type="spellStart"/>
            <w:r w:rsidRPr="00383A4A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s.p</w:t>
            </w:r>
            <w:proofErr w:type="spellEnd"/>
            <w:r w:rsidRPr="00383A4A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1AAF7E" w14:textId="77777777" w:rsidR="00C95248" w:rsidRPr="006D6D84" w:rsidRDefault="00C95248" w:rsidP="005A4C4B">
            <w:pPr>
              <w:ind w:right="153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6,100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FCB3C2E" w14:textId="69024CFD" w:rsidR="00C95248" w:rsidRPr="006D6D84" w:rsidRDefault="00C95248" w:rsidP="005A4C4B">
            <w:pPr>
              <w:ind w:right="160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124,</w:t>
            </w:r>
            <w:r w:rsidR="00577EC5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828</w:t>
            </w:r>
          </w:p>
        </w:tc>
      </w:tr>
      <w:tr w:rsidR="00C95248" w:rsidRPr="00383A4A" w14:paraId="13C0BD5F" w14:textId="77777777" w:rsidTr="005A4C4B">
        <w:trPr>
          <w:trHeight w:val="340"/>
        </w:trPr>
        <w:tc>
          <w:tcPr>
            <w:tcW w:w="2142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6E0A" w14:textId="77777777" w:rsidR="00C95248" w:rsidRPr="00383A4A" w:rsidRDefault="00C95248" w:rsidP="00D30610">
            <w:pPr>
              <w:tabs>
                <w:tab w:val="left" w:pos="480"/>
              </w:tabs>
              <w:contextualSpacing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383A4A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 xml:space="preserve">Povodí Moravy, </w:t>
            </w:r>
            <w:proofErr w:type="spellStart"/>
            <w:r w:rsidRPr="00383A4A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s.p</w:t>
            </w:r>
            <w:proofErr w:type="spellEnd"/>
            <w:r w:rsidRPr="00383A4A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A25ACA" w14:textId="77777777" w:rsidR="00C95248" w:rsidRPr="006D6D84" w:rsidRDefault="00C95248" w:rsidP="005A4C4B">
            <w:pPr>
              <w:ind w:right="153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18,427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D81B31A" w14:textId="77777777" w:rsidR="00C95248" w:rsidRPr="006D6D84" w:rsidRDefault="00C95248" w:rsidP="005A4C4B">
            <w:pPr>
              <w:ind w:right="160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277,307</w:t>
            </w:r>
          </w:p>
        </w:tc>
      </w:tr>
      <w:tr w:rsidR="00C95248" w:rsidRPr="00383A4A" w14:paraId="01597264" w14:textId="77777777" w:rsidTr="005A4C4B">
        <w:trPr>
          <w:trHeight w:val="340"/>
        </w:trPr>
        <w:tc>
          <w:tcPr>
            <w:tcW w:w="2142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9F94" w14:textId="77777777" w:rsidR="00C95248" w:rsidRPr="00383A4A" w:rsidRDefault="00C95248" w:rsidP="00D30610">
            <w:pPr>
              <w:tabs>
                <w:tab w:val="left" w:pos="480"/>
              </w:tabs>
              <w:contextualSpacing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383A4A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 xml:space="preserve">Lesy ČR, </w:t>
            </w:r>
            <w:proofErr w:type="spellStart"/>
            <w:r w:rsidRPr="00383A4A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s.p</w:t>
            </w:r>
            <w:proofErr w:type="spellEnd"/>
            <w:r w:rsidRPr="00383A4A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54FE834" w14:textId="77777777" w:rsidR="00C95248" w:rsidRPr="006D6D84" w:rsidRDefault="00C95248" w:rsidP="005A4C4B">
            <w:pPr>
              <w:ind w:right="153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18,152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58BDAE6" w14:textId="77777777" w:rsidR="00C95248" w:rsidRPr="006D6D84" w:rsidRDefault="00C95248" w:rsidP="005A4C4B">
            <w:pPr>
              <w:ind w:right="160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24,449</w:t>
            </w:r>
          </w:p>
        </w:tc>
      </w:tr>
      <w:tr w:rsidR="00C95248" w:rsidRPr="00383A4A" w14:paraId="767F0A9A" w14:textId="77777777" w:rsidTr="005A4C4B">
        <w:trPr>
          <w:trHeight w:val="340"/>
        </w:trPr>
        <w:tc>
          <w:tcPr>
            <w:tcW w:w="214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08B8" w14:textId="77777777" w:rsidR="00C95248" w:rsidRPr="00383A4A" w:rsidRDefault="00C95248" w:rsidP="00D30610">
            <w:pPr>
              <w:contextualSpacing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383A4A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Obce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0962FF" w14:textId="77777777" w:rsidR="00C95248" w:rsidRPr="006D6D84" w:rsidRDefault="00C95248" w:rsidP="005A4C4B">
            <w:pPr>
              <w:ind w:right="153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5,973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27A202" w14:textId="77777777" w:rsidR="00C95248" w:rsidRPr="006D6D84" w:rsidRDefault="00C95248" w:rsidP="005A4C4B">
            <w:pPr>
              <w:ind w:right="160"/>
              <w:contextualSpacing/>
              <w:jc w:val="right"/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color w:val="000000"/>
                <w:sz w:val="22"/>
                <w:szCs w:val="22"/>
                <w:lang w:eastAsia="en-US"/>
              </w:rPr>
              <w:t>3,756</w:t>
            </w:r>
          </w:p>
        </w:tc>
      </w:tr>
      <w:tr w:rsidR="00C95248" w:rsidRPr="00383A4A" w14:paraId="620EEE86" w14:textId="77777777" w:rsidTr="005A4C4B">
        <w:trPr>
          <w:trHeight w:val="340"/>
        </w:trPr>
        <w:tc>
          <w:tcPr>
            <w:tcW w:w="2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2C6BB06" w14:textId="77777777" w:rsidR="00C95248" w:rsidRPr="00383A4A" w:rsidRDefault="00C95248" w:rsidP="00D30610">
            <w:pPr>
              <w:contextualSpacing/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83A4A"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  <w:t>Celkem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017913" w14:textId="3180FD8A" w:rsidR="00C95248" w:rsidRPr="006D6D84" w:rsidRDefault="00C95248" w:rsidP="005A4C4B">
            <w:pPr>
              <w:ind w:right="153"/>
              <w:contextualSpacing/>
              <w:jc w:val="right"/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  <w:t>140,</w:t>
            </w:r>
            <w:r w:rsidR="00B15364"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C8E819B" w14:textId="6FA288B4" w:rsidR="00C95248" w:rsidRPr="006D6D84" w:rsidRDefault="00C95248" w:rsidP="005A4C4B">
            <w:pPr>
              <w:ind w:right="160"/>
              <w:contextualSpacing/>
              <w:jc w:val="right"/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D6D84"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  <w:t>687,</w:t>
            </w:r>
            <w:r w:rsidR="00577EC5">
              <w:rPr>
                <w:rFonts w:ascii="Arial" w:eastAsia="Calibri" w:hAnsi="Arial"/>
                <w:b/>
                <w:bCs/>
                <w:color w:val="000000"/>
                <w:sz w:val="22"/>
                <w:szCs w:val="22"/>
                <w:lang w:eastAsia="en-US"/>
              </w:rPr>
              <w:t>100</w:t>
            </w:r>
          </w:p>
        </w:tc>
      </w:tr>
    </w:tbl>
    <w:p w14:paraId="71E17500" w14:textId="77777777" w:rsidR="00D30610" w:rsidRDefault="00D30610" w:rsidP="00D30610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71527789" w14:textId="77777777" w:rsidR="00C95248" w:rsidRPr="00207C77" w:rsidRDefault="00C95248" w:rsidP="00D30610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207C77">
        <w:rPr>
          <w:rFonts w:ascii="Arial" w:hAnsi="Arial" w:cs="Arial"/>
          <w:sz w:val="22"/>
          <w:szCs w:val="22"/>
        </w:rPr>
        <w:t>Ke konci roku 20</w:t>
      </w:r>
      <w:r>
        <w:rPr>
          <w:rFonts w:ascii="Arial" w:hAnsi="Arial" w:cs="Arial"/>
          <w:sz w:val="22"/>
          <w:szCs w:val="22"/>
        </w:rPr>
        <w:t>20</w:t>
      </w:r>
      <w:r w:rsidRPr="00207C77">
        <w:rPr>
          <w:rFonts w:ascii="Arial" w:hAnsi="Arial" w:cs="Arial"/>
          <w:sz w:val="22"/>
          <w:szCs w:val="22"/>
        </w:rPr>
        <w:t xml:space="preserve"> bylo stavebně </w:t>
      </w:r>
      <w:r w:rsidRPr="00BC011B">
        <w:rPr>
          <w:rFonts w:ascii="Arial" w:hAnsi="Arial" w:cs="Arial"/>
          <w:sz w:val="22"/>
          <w:szCs w:val="22"/>
        </w:rPr>
        <w:t xml:space="preserve">dokončeno </w:t>
      </w:r>
      <w:r w:rsidRPr="006D6D84">
        <w:rPr>
          <w:rFonts w:ascii="Arial" w:hAnsi="Arial" w:cs="Arial"/>
          <w:sz w:val="22"/>
          <w:szCs w:val="22"/>
        </w:rPr>
        <w:t>7</w:t>
      </w:r>
      <w:r w:rsidRPr="00BC011B">
        <w:rPr>
          <w:rFonts w:ascii="Arial" w:hAnsi="Arial" w:cs="Arial"/>
          <w:sz w:val="22"/>
          <w:szCs w:val="22"/>
        </w:rPr>
        <w:t xml:space="preserve"> akcí</w:t>
      </w:r>
      <w:r w:rsidRPr="00207C77">
        <w:rPr>
          <w:rFonts w:ascii="Arial" w:hAnsi="Arial" w:cs="Arial"/>
          <w:sz w:val="22"/>
          <w:szCs w:val="22"/>
        </w:rPr>
        <w:t xml:space="preserve"> s celkovou poskytnutou dotací ve výši </w:t>
      </w:r>
      <w:r w:rsidRPr="008E44BB">
        <w:rPr>
          <w:rFonts w:ascii="Arial" w:hAnsi="Arial" w:cs="Arial"/>
          <w:sz w:val="22"/>
          <w:szCs w:val="22"/>
        </w:rPr>
        <w:t>37,164 mil. Kč.</w:t>
      </w:r>
    </w:p>
    <w:p w14:paraId="03C0AA66" w14:textId="77777777" w:rsidR="00D30610" w:rsidRDefault="00D30610" w:rsidP="00D30610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0CE0484E" w14:textId="77777777" w:rsidR="005A47B8" w:rsidRDefault="005A47B8" w:rsidP="00D30610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48E64780" w14:textId="77777777" w:rsidR="005A47B8" w:rsidRDefault="005A47B8" w:rsidP="00D30610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3AA016D4" w14:textId="77777777" w:rsidR="005A47B8" w:rsidRDefault="005A47B8" w:rsidP="00D30610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09A09748" w14:textId="77777777" w:rsidR="005A47B8" w:rsidRDefault="005A47B8" w:rsidP="00D30610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660F25B1" w14:textId="77777777" w:rsidR="005A47B8" w:rsidRDefault="005A47B8" w:rsidP="00D30610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7C74508C" w14:textId="77777777" w:rsidR="005A47B8" w:rsidRDefault="005A47B8" w:rsidP="00D30610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0A38534C" w14:textId="77777777" w:rsidR="005A47B8" w:rsidRDefault="005A47B8" w:rsidP="00D30610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42DF0B1A" w14:textId="77777777" w:rsidR="005A47B8" w:rsidRDefault="005A47B8" w:rsidP="00D30610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16836352" w14:textId="77777777" w:rsidR="005A47B8" w:rsidRDefault="005A47B8" w:rsidP="00D30610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5C174C23" w14:textId="77777777" w:rsidR="005A47B8" w:rsidRDefault="005A47B8" w:rsidP="00D30610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0EAD9353" w14:textId="77777777" w:rsidR="005A47B8" w:rsidRDefault="005A47B8" w:rsidP="00D30610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1953CE75" w14:textId="77777777" w:rsidR="005A47B8" w:rsidRDefault="005A47B8" w:rsidP="00D30610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1155C6A0" w14:textId="0D9E9F59" w:rsidR="00C95248" w:rsidRPr="00207C77" w:rsidRDefault="00C95248" w:rsidP="00D30610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207C77">
        <w:rPr>
          <w:rFonts w:ascii="Arial" w:hAnsi="Arial" w:cs="Arial"/>
          <w:b/>
          <w:i/>
          <w:iCs/>
          <w:sz w:val="22"/>
          <w:szCs w:val="22"/>
        </w:rPr>
        <w:lastRenderedPageBreak/>
        <w:t>Program 129 </w:t>
      </w:r>
      <w:r>
        <w:rPr>
          <w:rFonts w:ascii="Arial" w:hAnsi="Arial" w:cs="Arial"/>
          <w:b/>
          <w:i/>
          <w:iCs/>
          <w:sz w:val="22"/>
          <w:szCs w:val="22"/>
        </w:rPr>
        <w:t>3</w:t>
      </w:r>
      <w:r w:rsidRPr="00207C77">
        <w:rPr>
          <w:rFonts w:ascii="Arial" w:hAnsi="Arial" w:cs="Arial"/>
          <w:b/>
          <w:i/>
          <w:iCs/>
          <w:sz w:val="22"/>
          <w:szCs w:val="22"/>
        </w:rPr>
        <w:t>60 – předpoklad parametrů u zahájených akcí v letech 201</w:t>
      </w:r>
      <w:r>
        <w:rPr>
          <w:rFonts w:ascii="Arial" w:hAnsi="Arial" w:cs="Arial"/>
          <w:b/>
          <w:i/>
          <w:iCs/>
          <w:sz w:val="22"/>
          <w:szCs w:val="22"/>
        </w:rPr>
        <w:t>8</w:t>
      </w:r>
      <w:r w:rsidRPr="00207C77">
        <w:rPr>
          <w:rFonts w:ascii="Arial" w:hAnsi="Arial" w:cs="Arial"/>
          <w:b/>
          <w:i/>
          <w:iCs/>
          <w:sz w:val="22"/>
          <w:szCs w:val="22"/>
        </w:rPr>
        <w:t>–20</w:t>
      </w:r>
      <w:r>
        <w:rPr>
          <w:rFonts w:ascii="Arial" w:hAnsi="Arial" w:cs="Arial"/>
          <w:b/>
          <w:i/>
          <w:iCs/>
          <w:sz w:val="22"/>
          <w:szCs w:val="22"/>
        </w:rPr>
        <w:t>20</w:t>
      </w:r>
      <w:r w:rsidRPr="00207C77">
        <w:rPr>
          <w:rFonts w:ascii="Arial" w:hAnsi="Arial" w:cs="Arial"/>
          <w:b/>
          <w:i/>
          <w:iCs/>
          <w:sz w:val="22"/>
          <w:szCs w:val="22"/>
        </w:rPr>
        <w:t xml:space="preserve"> po jejich dokončení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57"/>
        <w:gridCol w:w="1251"/>
        <w:gridCol w:w="2432"/>
      </w:tblGrid>
      <w:tr w:rsidR="00C95248" w:rsidRPr="00207C77" w14:paraId="67D86F94" w14:textId="77777777" w:rsidTr="00D97BCB">
        <w:trPr>
          <w:trHeight w:val="340"/>
        </w:trPr>
        <w:tc>
          <w:tcPr>
            <w:tcW w:w="29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22B1AB1D" w14:textId="77777777" w:rsidR="00C95248" w:rsidRPr="00207C77" w:rsidRDefault="00C95248" w:rsidP="00D30610">
            <w:pPr>
              <w:contextualSpacing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07C7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Název parametru</w:t>
            </w:r>
          </w:p>
        </w:tc>
        <w:tc>
          <w:tcPr>
            <w:tcW w:w="6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4FE39DA" w14:textId="77777777" w:rsidR="00C95248" w:rsidRPr="00207C77" w:rsidRDefault="00C95248" w:rsidP="00D30610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07C7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Jednotka</w:t>
            </w:r>
          </w:p>
        </w:tc>
        <w:tc>
          <w:tcPr>
            <w:tcW w:w="13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77FE0A27" w14:textId="77777777" w:rsidR="00C95248" w:rsidRPr="00207C77" w:rsidRDefault="00C95248" w:rsidP="00D30610">
            <w:pPr>
              <w:contextualSpacing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Hodnota </w:t>
            </w:r>
            <w:r w:rsidRPr="00207C7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parametru</w:t>
            </w:r>
          </w:p>
        </w:tc>
      </w:tr>
      <w:tr w:rsidR="00C95248" w:rsidRPr="00207C77" w14:paraId="2D855A11" w14:textId="77777777" w:rsidTr="00D97BCB">
        <w:trPr>
          <w:trHeight w:val="340"/>
        </w:trPr>
        <w:tc>
          <w:tcPr>
            <w:tcW w:w="2963" w:type="pct"/>
            <w:tcBorders>
              <w:top w:val="nil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3D72E1" w14:textId="77777777" w:rsidR="00C95248" w:rsidRPr="00207C77" w:rsidRDefault="00C95248" w:rsidP="00D3061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  <w:r w:rsidRPr="00207C77">
              <w:rPr>
                <w:rFonts w:ascii="Arial" w:hAnsi="Arial" w:cs="Arial"/>
                <w:color w:val="000000"/>
                <w:sz w:val="22"/>
                <w:szCs w:val="22"/>
              </w:rPr>
              <w:t xml:space="preserve">okumentace pro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vydání </w:t>
            </w:r>
            <w:r w:rsidRPr="00207C77">
              <w:rPr>
                <w:rFonts w:ascii="Arial" w:hAnsi="Arial" w:cs="Arial"/>
                <w:color w:val="000000"/>
                <w:sz w:val="22"/>
                <w:szCs w:val="22"/>
              </w:rPr>
              <w:t>územní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ho</w:t>
            </w:r>
            <w:r w:rsidRPr="00207C7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rozhodnutí</w:t>
            </w:r>
          </w:p>
        </w:tc>
        <w:tc>
          <w:tcPr>
            <w:tcW w:w="692" w:type="pct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6D1414" w14:textId="77777777" w:rsidR="00C95248" w:rsidRPr="00207C77" w:rsidRDefault="00C95248" w:rsidP="00D3061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7C77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45" w:type="pct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A8244C" w14:textId="77777777" w:rsidR="00C95248" w:rsidRPr="00207C77" w:rsidRDefault="00C95248" w:rsidP="005A4C4B">
            <w:pPr>
              <w:ind w:right="54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C95248" w:rsidRPr="00987B59" w14:paraId="1811D206" w14:textId="77777777" w:rsidTr="00D97BCB">
        <w:trPr>
          <w:trHeight w:val="340"/>
        </w:trPr>
        <w:tc>
          <w:tcPr>
            <w:tcW w:w="2963" w:type="pct"/>
            <w:tcBorders>
              <w:top w:val="nil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DD0B93" w14:textId="77777777" w:rsidR="00C95248" w:rsidRPr="00987B59" w:rsidRDefault="00C95248" w:rsidP="00D3061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kume</w:t>
            </w: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 xml:space="preserve">ntace pro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vydání </w:t>
            </w: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stavební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ho povolení</w:t>
            </w:r>
          </w:p>
        </w:tc>
        <w:tc>
          <w:tcPr>
            <w:tcW w:w="692" w:type="pct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11F899" w14:textId="77777777" w:rsidR="00C95248" w:rsidRPr="00987B59" w:rsidRDefault="00C95248" w:rsidP="00D3061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45" w:type="pct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7AB22A" w14:textId="77777777" w:rsidR="00C95248" w:rsidRPr="00207C77" w:rsidRDefault="00C95248" w:rsidP="005A4C4B">
            <w:pPr>
              <w:ind w:right="54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C95248" w:rsidRPr="00987B59" w14:paraId="3B524080" w14:textId="77777777" w:rsidTr="00D97BCB">
        <w:trPr>
          <w:trHeight w:val="340"/>
        </w:trPr>
        <w:tc>
          <w:tcPr>
            <w:tcW w:w="2963" w:type="pct"/>
            <w:tcBorders>
              <w:top w:val="nil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2DEB5" w14:textId="77777777" w:rsidR="00C95248" w:rsidRPr="00987B59" w:rsidRDefault="00C95248" w:rsidP="00D3061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Projektová dokumentace pro prov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ádění</w:t>
            </w: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 xml:space="preserve"> stavby</w:t>
            </w:r>
          </w:p>
        </w:tc>
        <w:tc>
          <w:tcPr>
            <w:tcW w:w="692" w:type="pct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16BE3D" w14:textId="77777777" w:rsidR="00C95248" w:rsidRPr="00987B59" w:rsidRDefault="00C95248" w:rsidP="00D3061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45" w:type="pct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8D0700" w14:textId="77777777" w:rsidR="00C95248" w:rsidRPr="00207C77" w:rsidRDefault="00C95248" w:rsidP="005A4C4B">
            <w:pPr>
              <w:ind w:right="54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C95248" w:rsidRPr="00987B59" w14:paraId="54D31D43" w14:textId="77777777" w:rsidTr="00D97BCB">
        <w:trPr>
          <w:trHeight w:val="340"/>
        </w:trPr>
        <w:tc>
          <w:tcPr>
            <w:tcW w:w="2963" w:type="pct"/>
            <w:tcBorders>
              <w:top w:val="nil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813C80" w14:textId="77777777" w:rsidR="00C95248" w:rsidRPr="00987B59" w:rsidRDefault="00C95248" w:rsidP="00D3061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Retenční objem</w:t>
            </w:r>
          </w:p>
        </w:tc>
        <w:tc>
          <w:tcPr>
            <w:tcW w:w="692" w:type="pct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FAD7B6" w14:textId="77777777" w:rsidR="00C95248" w:rsidRPr="00987B59" w:rsidRDefault="00C95248" w:rsidP="00D3061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mil. m</w:t>
            </w:r>
            <w:r w:rsidRPr="00987B59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45" w:type="pct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323975" w14:textId="77777777" w:rsidR="00C95248" w:rsidRPr="00207C77" w:rsidRDefault="00C95248" w:rsidP="005A4C4B">
            <w:pPr>
              <w:ind w:right="54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7C77">
              <w:rPr>
                <w:rFonts w:ascii="Arial" w:hAnsi="Arial" w:cs="Arial"/>
                <w:color w:val="000000"/>
                <w:sz w:val="22"/>
                <w:szCs w:val="22"/>
              </w:rPr>
              <w:t>6,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85</w:t>
            </w:r>
          </w:p>
        </w:tc>
      </w:tr>
      <w:tr w:rsidR="00C95248" w:rsidRPr="00987B59" w14:paraId="31B13BC5" w14:textId="77777777" w:rsidTr="00D97BCB">
        <w:trPr>
          <w:trHeight w:val="340"/>
        </w:trPr>
        <w:tc>
          <w:tcPr>
            <w:tcW w:w="2963" w:type="pct"/>
            <w:tcBorders>
              <w:top w:val="nil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16726D" w14:textId="77777777" w:rsidR="00C95248" w:rsidRPr="00987B59" w:rsidRDefault="00C95248" w:rsidP="00D3061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</w:t>
            </w: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ráz / ochrann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á</w:t>
            </w: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 xml:space="preserve"> hráz</w:t>
            </w:r>
          </w:p>
        </w:tc>
        <w:tc>
          <w:tcPr>
            <w:tcW w:w="692" w:type="pct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308654" w14:textId="77777777" w:rsidR="00C95248" w:rsidRPr="00987B59" w:rsidRDefault="00C95248" w:rsidP="00D3061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345" w:type="pct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9E3056" w14:textId="77777777" w:rsidR="00C95248" w:rsidRPr="00207C77" w:rsidRDefault="00C95248" w:rsidP="005A4C4B">
            <w:pPr>
              <w:ind w:right="54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429</w:t>
            </w:r>
          </w:p>
        </w:tc>
      </w:tr>
      <w:tr w:rsidR="00C95248" w:rsidRPr="00987B59" w14:paraId="3365540A" w14:textId="77777777" w:rsidTr="00D97BCB">
        <w:trPr>
          <w:trHeight w:val="340"/>
        </w:trPr>
        <w:tc>
          <w:tcPr>
            <w:tcW w:w="2963" w:type="pct"/>
            <w:tcBorders>
              <w:top w:val="nil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4EB6F3" w14:textId="77777777" w:rsidR="00C95248" w:rsidRPr="00987B59" w:rsidRDefault="00C95248" w:rsidP="00D3061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ekonstruovan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ý</w:t>
            </w: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 xml:space="preserve"> úsek hráze</w:t>
            </w:r>
          </w:p>
        </w:tc>
        <w:tc>
          <w:tcPr>
            <w:tcW w:w="692" w:type="pct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CD85EF" w14:textId="77777777" w:rsidR="00C95248" w:rsidRPr="00987B59" w:rsidRDefault="00C95248" w:rsidP="00D3061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345" w:type="pct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97ECD3" w14:textId="77777777" w:rsidR="00C95248" w:rsidRPr="00207C77" w:rsidRDefault="00C95248" w:rsidP="005A4C4B">
            <w:pPr>
              <w:ind w:right="54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474</w:t>
            </w:r>
          </w:p>
        </w:tc>
      </w:tr>
      <w:tr w:rsidR="00C95248" w:rsidRPr="00987B59" w14:paraId="535509E9" w14:textId="77777777" w:rsidTr="00D97BCB">
        <w:trPr>
          <w:trHeight w:val="340"/>
        </w:trPr>
        <w:tc>
          <w:tcPr>
            <w:tcW w:w="2963" w:type="pct"/>
            <w:tcBorders>
              <w:top w:val="nil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C100" w14:textId="77777777" w:rsidR="00C95248" w:rsidRPr="00987B59" w:rsidRDefault="00C95248" w:rsidP="00D3061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Ú</w:t>
            </w: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prav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 xml:space="preserve"> / stabilizace toku</w:t>
            </w:r>
          </w:p>
        </w:tc>
        <w:tc>
          <w:tcPr>
            <w:tcW w:w="692" w:type="pct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9EDC5" w14:textId="77777777" w:rsidR="00C95248" w:rsidRPr="00987B59" w:rsidRDefault="00C95248" w:rsidP="00D3061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345" w:type="pct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83976E" w14:textId="77777777" w:rsidR="00C95248" w:rsidRPr="00987B59" w:rsidRDefault="00C95248" w:rsidP="005A4C4B">
            <w:pPr>
              <w:ind w:right="54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11 930</w:t>
            </w:r>
          </w:p>
        </w:tc>
      </w:tr>
      <w:tr w:rsidR="00C95248" w:rsidRPr="00987B59" w14:paraId="1FA45553" w14:textId="77777777" w:rsidTr="00D97BCB">
        <w:trPr>
          <w:trHeight w:val="340"/>
        </w:trPr>
        <w:tc>
          <w:tcPr>
            <w:tcW w:w="2963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6A1D45" w14:textId="77777777" w:rsidR="00C95248" w:rsidRPr="00987B59" w:rsidRDefault="00C95248" w:rsidP="00D3061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chrann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á</w:t>
            </w: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 xml:space="preserve"> hráz / 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eď</w:t>
            </w:r>
          </w:p>
        </w:tc>
        <w:tc>
          <w:tcPr>
            <w:tcW w:w="692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F1950B" w14:textId="77777777" w:rsidR="00C95248" w:rsidRPr="00987B59" w:rsidRDefault="00C95248" w:rsidP="00D3061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345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EF8A96" w14:textId="77777777" w:rsidR="00C95248" w:rsidRPr="00987B59" w:rsidRDefault="00C95248" w:rsidP="005A4C4B">
            <w:pPr>
              <w:ind w:right="54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11 121</w:t>
            </w:r>
          </w:p>
        </w:tc>
      </w:tr>
      <w:tr w:rsidR="00C95248" w:rsidRPr="00987B59" w14:paraId="320FC8BD" w14:textId="77777777" w:rsidTr="00D97BCB">
        <w:trPr>
          <w:trHeight w:val="340"/>
        </w:trPr>
        <w:tc>
          <w:tcPr>
            <w:tcW w:w="2963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6A1E83" w14:textId="77777777" w:rsidR="00C95248" w:rsidRPr="00987B59" w:rsidRDefault="00C95248" w:rsidP="00D3061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ekonstruovan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ý</w:t>
            </w: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 xml:space="preserve"> úsek hráze</w:t>
            </w:r>
          </w:p>
        </w:tc>
        <w:tc>
          <w:tcPr>
            <w:tcW w:w="692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21897A" w14:textId="77777777" w:rsidR="00C95248" w:rsidRPr="00987B59" w:rsidRDefault="00C95248" w:rsidP="00D3061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7B59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345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A3F58C" w14:textId="77777777" w:rsidR="00C95248" w:rsidRPr="00987B59" w:rsidRDefault="00C95248" w:rsidP="005A4C4B">
            <w:pPr>
              <w:ind w:right="54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3 112</w:t>
            </w:r>
          </w:p>
        </w:tc>
      </w:tr>
      <w:tr w:rsidR="00C95248" w:rsidRPr="00987B59" w14:paraId="3B6B4000" w14:textId="77777777" w:rsidTr="00D97BCB">
        <w:trPr>
          <w:trHeight w:val="340"/>
        </w:trPr>
        <w:tc>
          <w:tcPr>
            <w:tcW w:w="2963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94BC13" w14:textId="77777777" w:rsidR="00C95248" w:rsidRDefault="00C95248" w:rsidP="00D30610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Odstraněné objekty</w:t>
            </w:r>
          </w:p>
        </w:tc>
        <w:tc>
          <w:tcPr>
            <w:tcW w:w="692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FFEE55" w14:textId="77777777" w:rsidR="00C95248" w:rsidRPr="00987B59" w:rsidRDefault="00C95248" w:rsidP="00D30610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345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670D04" w14:textId="77777777" w:rsidR="00C95248" w:rsidRDefault="00C95248" w:rsidP="005A4C4B">
            <w:pPr>
              <w:ind w:right="54"/>
              <w:contextualSpacing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</w:tr>
    </w:tbl>
    <w:p w14:paraId="03E01950" w14:textId="77777777" w:rsidR="00C44C4D" w:rsidRDefault="00C44C4D" w:rsidP="00D30610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1C83090F" w14:textId="73F472AC" w:rsidR="00C95248" w:rsidRPr="00207C77" w:rsidRDefault="00C95248" w:rsidP="00D30610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07C77">
        <w:rPr>
          <w:rFonts w:ascii="Arial" w:hAnsi="Arial" w:cs="Arial"/>
          <w:b/>
          <w:sz w:val="22"/>
          <w:szCs w:val="22"/>
        </w:rPr>
        <w:t xml:space="preserve">Příklady významných investičních akcí </w:t>
      </w:r>
      <w:r>
        <w:rPr>
          <w:rFonts w:ascii="Arial" w:hAnsi="Arial" w:cs="Arial"/>
          <w:b/>
          <w:sz w:val="22"/>
          <w:szCs w:val="22"/>
        </w:rPr>
        <w:t>zahájených</w:t>
      </w:r>
      <w:r w:rsidRPr="00207C77">
        <w:rPr>
          <w:rFonts w:ascii="Arial" w:hAnsi="Arial" w:cs="Arial"/>
          <w:b/>
          <w:sz w:val="22"/>
          <w:szCs w:val="22"/>
        </w:rPr>
        <w:t xml:space="preserve"> v letech 201</w:t>
      </w:r>
      <w:r>
        <w:rPr>
          <w:rFonts w:ascii="Arial" w:hAnsi="Arial" w:cs="Arial"/>
          <w:b/>
          <w:sz w:val="22"/>
          <w:szCs w:val="22"/>
        </w:rPr>
        <w:t>9</w:t>
      </w:r>
      <w:r w:rsidRPr="00207C77">
        <w:rPr>
          <w:rFonts w:ascii="Arial" w:hAnsi="Arial" w:cs="Arial"/>
          <w:b/>
          <w:sz w:val="22"/>
          <w:szCs w:val="22"/>
        </w:rPr>
        <w:t>–</w:t>
      </w:r>
      <w:r w:rsidRPr="00207C77">
        <w:rPr>
          <w:rFonts w:ascii="Arial" w:hAnsi="Arial" w:cs="Arial"/>
          <w:b/>
          <w:bCs/>
          <w:sz w:val="22"/>
          <w:szCs w:val="22"/>
        </w:rPr>
        <w:t>20</w:t>
      </w:r>
      <w:r>
        <w:rPr>
          <w:rFonts w:ascii="Arial" w:hAnsi="Arial" w:cs="Arial"/>
          <w:b/>
          <w:bCs/>
          <w:sz w:val="22"/>
          <w:szCs w:val="22"/>
        </w:rPr>
        <w:t>20</w:t>
      </w:r>
    </w:p>
    <w:p w14:paraId="69FF3BBE" w14:textId="77777777" w:rsidR="00D30610" w:rsidRDefault="00D30610" w:rsidP="00D3061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7FA3EA2C" w14:textId="42D544C8" w:rsidR="00C95248" w:rsidRDefault="00C95248" w:rsidP="00D3061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„Třebovka, Třebovice – Č. Třebová, úprava toku“ </w:t>
      </w:r>
      <w:r>
        <w:rPr>
          <w:rFonts w:ascii="Arial" w:hAnsi="Arial" w:cs="Arial"/>
          <w:sz w:val="22"/>
          <w:szCs w:val="22"/>
        </w:rPr>
        <w:t xml:space="preserve">s celkovými náklady 454,700 mil. Kč. Základem technického řešení je </w:t>
      </w:r>
      <w:r w:rsidRPr="003437A7">
        <w:rPr>
          <w:rFonts w:ascii="Arial" w:hAnsi="Arial" w:cs="Arial"/>
          <w:sz w:val="22"/>
          <w:szCs w:val="22"/>
        </w:rPr>
        <w:t>realizac</w:t>
      </w:r>
      <w:r>
        <w:rPr>
          <w:rFonts w:ascii="Arial" w:hAnsi="Arial" w:cs="Arial"/>
          <w:sz w:val="22"/>
          <w:szCs w:val="22"/>
        </w:rPr>
        <w:t>e</w:t>
      </w:r>
      <w:r w:rsidRPr="003437A7">
        <w:rPr>
          <w:rFonts w:ascii="Arial" w:hAnsi="Arial" w:cs="Arial"/>
          <w:sz w:val="22"/>
          <w:szCs w:val="22"/>
        </w:rPr>
        <w:t xml:space="preserve"> zkapacitnění koryta vodního toku a realizaci nábřežních a</w:t>
      </w:r>
      <w:r>
        <w:rPr>
          <w:rFonts w:ascii="Arial" w:hAnsi="Arial" w:cs="Arial"/>
          <w:sz w:val="22"/>
          <w:szCs w:val="22"/>
        </w:rPr>
        <w:t xml:space="preserve"> </w:t>
      </w:r>
      <w:r w:rsidRPr="003437A7">
        <w:rPr>
          <w:rFonts w:ascii="Arial" w:hAnsi="Arial" w:cs="Arial"/>
          <w:sz w:val="22"/>
          <w:szCs w:val="22"/>
        </w:rPr>
        <w:t xml:space="preserve">protipovodňových zdí a zemních hrází. Jedná se tedy svým charakterem </w:t>
      </w:r>
      <w:r w:rsidR="00C44C4D" w:rsidRPr="003437A7">
        <w:rPr>
          <w:rFonts w:ascii="Arial" w:hAnsi="Arial" w:cs="Arial"/>
          <w:sz w:val="22"/>
          <w:szCs w:val="22"/>
        </w:rPr>
        <w:t>o</w:t>
      </w:r>
      <w:r w:rsidR="00C44C4D">
        <w:rPr>
          <w:rFonts w:ascii="Arial" w:hAnsi="Arial" w:cs="Arial"/>
          <w:sz w:val="22"/>
          <w:szCs w:val="22"/>
        </w:rPr>
        <w:t> </w:t>
      </w:r>
      <w:r w:rsidRPr="003437A7">
        <w:rPr>
          <w:rFonts w:ascii="Arial" w:hAnsi="Arial" w:cs="Arial"/>
          <w:sz w:val="22"/>
          <w:szCs w:val="22"/>
        </w:rPr>
        <w:t>opatření podél</w:t>
      </w:r>
      <w:r>
        <w:rPr>
          <w:rFonts w:ascii="Arial" w:hAnsi="Arial" w:cs="Arial"/>
          <w:sz w:val="22"/>
          <w:szCs w:val="22"/>
        </w:rPr>
        <w:t xml:space="preserve"> </w:t>
      </w:r>
      <w:r w:rsidRPr="003437A7">
        <w:rPr>
          <w:rFonts w:ascii="Arial" w:hAnsi="Arial" w:cs="Arial"/>
          <w:sz w:val="22"/>
          <w:szCs w:val="22"/>
        </w:rPr>
        <w:t xml:space="preserve">vodního toku, které však navazuje na již dokončená opatření s retencí </w:t>
      </w:r>
      <w:r w:rsidR="004A6D7C" w:rsidRPr="003437A7">
        <w:rPr>
          <w:rFonts w:ascii="Arial" w:hAnsi="Arial" w:cs="Arial"/>
          <w:sz w:val="22"/>
          <w:szCs w:val="22"/>
        </w:rPr>
        <w:t>v</w:t>
      </w:r>
      <w:r w:rsidR="004A6D7C">
        <w:rPr>
          <w:rFonts w:ascii="Arial" w:hAnsi="Arial" w:cs="Arial"/>
          <w:sz w:val="22"/>
          <w:szCs w:val="22"/>
        </w:rPr>
        <w:t> </w:t>
      </w:r>
      <w:r w:rsidRPr="003437A7">
        <w:rPr>
          <w:rFonts w:ascii="Arial" w:hAnsi="Arial" w:cs="Arial"/>
          <w:sz w:val="22"/>
          <w:szCs w:val="22"/>
        </w:rPr>
        <w:t>horním povodí</w:t>
      </w:r>
      <w:r>
        <w:rPr>
          <w:rFonts w:ascii="Arial" w:hAnsi="Arial" w:cs="Arial"/>
          <w:sz w:val="22"/>
          <w:szCs w:val="22"/>
        </w:rPr>
        <w:t xml:space="preserve"> </w:t>
      </w:r>
      <w:r w:rsidRPr="003437A7">
        <w:rPr>
          <w:rFonts w:ascii="Arial" w:hAnsi="Arial" w:cs="Arial"/>
          <w:sz w:val="22"/>
          <w:szCs w:val="22"/>
        </w:rPr>
        <w:t>Třebovky v podobě realizace čtyř poldrů a zvýšení retenční funkce nádrže Hvězda. Součástí</w:t>
      </w:r>
      <w:r>
        <w:rPr>
          <w:rFonts w:ascii="Arial" w:hAnsi="Arial" w:cs="Arial"/>
          <w:sz w:val="22"/>
          <w:szCs w:val="22"/>
        </w:rPr>
        <w:t xml:space="preserve"> </w:t>
      </w:r>
      <w:r w:rsidRPr="003437A7">
        <w:rPr>
          <w:rFonts w:ascii="Arial" w:hAnsi="Arial" w:cs="Arial"/>
          <w:sz w:val="22"/>
          <w:szCs w:val="22"/>
        </w:rPr>
        <w:t>opatření je nahrazení nekapacitních objektů na toku novými s dostatečnou kapacitou.</w:t>
      </w:r>
      <w:r>
        <w:rPr>
          <w:rFonts w:ascii="Arial" w:hAnsi="Arial" w:cs="Arial"/>
          <w:sz w:val="22"/>
          <w:szCs w:val="22"/>
        </w:rPr>
        <w:t xml:space="preserve"> Realizovaná opatření tak zajistí míru ochrany před povodněmi pod VD Hvězda až na průtok Q</w:t>
      </w:r>
      <w:r w:rsidRPr="003437A7">
        <w:rPr>
          <w:rFonts w:ascii="Arial" w:hAnsi="Arial" w:cs="Arial"/>
          <w:sz w:val="22"/>
          <w:szCs w:val="22"/>
          <w:vertAlign w:val="subscript"/>
        </w:rPr>
        <w:t>100</w:t>
      </w:r>
      <w:r>
        <w:rPr>
          <w:rFonts w:ascii="Arial" w:hAnsi="Arial" w:cs="Arial"/>
          <w:sz w:val="22"/>
          <w:szCs w:val="22"/>
        </w:rPr>
        <w:t>.</w:t>
      </w:r>
    </w:p>
    <w:p w14:paraId="4E5B8761" w14:textId="77777777" w:rsidR="00C95248" w:rsidRDefault="00C95248" w:rsidP="00D30610">
      <w:p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p w14:paraId="28657592" w14:textId="77777777" w:rsidR="00C95248" w:rsidRDefault="00C95248" w:rsidP="00D30610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„Vodní dílo Hněvkovice – zabezpečení VD před účinky velkých vod“</w:t>
      </w:r>
      <w:r>
        <w:rPr>
          <w:rFonts w:ascii="Arial" w:hAnsi="Arial" w:cs="Arial"/>
          <w:sz w:val="22"/>
          <w:szCs w:val="22"/>
        </w:rPr>
        <w:t xml:space="preserve"> s celkovými náklady 252,144 mil. Kč. Cílem akce je zajistit požadovanou míru bezpečnosti vodního díla na Q</w:t>
      </w:r>
      <w:r w:rsidRPr="003437A7">
        <w:rPr>
          <w:rFonts w:ascii="Arial" w:hAnsi="Arial" w:cs="Arial"/>
          <w:sz w:val="22"/>
          <w:szCs w:val="22"/>
          <w:vertAlign w:val="subscript"/>
        </w:rPr>
        <w:t>10 000</w:t>
      </w:r>
      <w:r>
        <w:rPr>
          <w:rFonts w:ascii="Arial" w:hAnsi="Arial" w:cs="Arial"/>
          <w:sz w:val="22"/>
          <w:szCs w:val="22"/>
        </w:rPr>
        <w:t xml:space="preserve">. Nedostatečným bezpečnostním zajištěním vodního díla by mohlo dojít s vysokou pravděpodobností k omezení účelu Vltavské kaskády jako celku a rovněž k omezení technologické vody pro jadernou elektrárnu Temelín. Podstatou opatření jsou stavební úpravy středního a pravého pole bezpečnostního přelivu a dále úpravy v dolním a horním </w:t>
      </w:r>
      <w:proofErr w:type="spellStart"/>
      <w:r>
        <w:rPr>
          <w:rFonts w:ascii="Arial" w:hAnsi="Arial" w:cs="Arial"/>
          <w:sz w:val="22"/>
          <w:szCs w:val="22"/>
        </w:rPr>
        <w:t>ohlaví</w:t>
      </w:r>
      <w:proofErr w:type="spellEnd"/>
      <w:r>
        <w:rPr>
          <w:rFonts w:ascii="Arial" w:hAnsi="Arial" w:cs="Arial"/>
          <w:sz w:val="22"/>
          <w:szCs w:val="22"/>
        </w:rPr>
        <w:t xml:space="preserve"> plavební komory. </w:t>
      </w:r>
    </w:p>
    <w:p w14:paraId="575C3A01" w14:textId="77777777" w:rsidR="00D30610" w:rsidRDefault="00D30610" w:rsidP="00D30610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082A1BA6" w14:textId="16ED4520" w:rsidR="00C95248" w:rsidRDefault="00C95248" w:rsidP="00D30610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Pr="003437A7">
        <w:rPr>
          <w:rFonts w:ascii="Arial" w:hAnsi="Arial" w:cs="Arial"/>
          <w:b/>
          <w:bCs/>
          <w:sz w:val="22"/>
          <w:szCs w:val="22"/>
        </w:rPr>
        <w:t xml:space="preserve">Olšava, Kunovice </w:t>
      </w:r>
      <w:r w:rsidR="00DD2A04">
        <w:rPr>
          <w:rFonts w:ascii="Arial" w:hAnsi="Arial" w:cs="Arial"/>
          <w:b/>
          <w:sz w:val="22"/>
          <w:szCs w:val="22"/>
        </w:rPr>
        <w:t>–</w:t>
      </w:r>
      <w:r w:rsidRPr="003437A7">
        <w:rPr>
          <w:rFonts w:ascii="Arial" w:hAnsi="Arial" w:cs="Arial"/>
          <w:b/>
          <w:bCs/>
          <w:sz w:val="22"/>
          <w:szCs w:val="22"/>
        </w:rPr>
        <w:t xml:space="preserve"> protipovodňová ochrana města</w:t>
      </w:r>
      <w:r w:rsidRPr="003437A7">
        <w:rPr>
          <w:rFonts w:ascii="Arial" w:hAnsi="Arial" w:cs="Arial"/>
          <w:bCs/>
          <w:sz w:val="22"/>
          <w:szCs w:val="22"/>
        </w:rPr>
        <w:t>“ s</w:t>
      </w:r>
      <w:r>
        <w:rPr>
          <w:rFonts w:ascii="Arial" w:hAnsi="Arial" w:cs="Arial"/>
          <w:bCs/>
          <w:sz w:val="22"/>
          <w:szCs w:val="22"/>
        </w:rPr>
        <w:t> </w:t>
      </w:r>
      <w:r w:rsidRPr="003437A7">
        <w:rPr>
          <w:rFonts w:ascii="Arial" w:hAnsi="Arial" w:cs="Arial"/>
          <w:bCs/>
          <w:sz w:val="22"/>
          <w:szCs w:val="22"/>
        </w:rPr>
        <w:t>celko</w:t>
      </w:r>
      <w:r>
        <w:rPr>
          <w:rFonts w:ascii="Arial" w:hAnsi="Arial" w:cs="Arial"/>
          <w:bCs/>
          <w:sz w:val="22"/>
          <w:szCs w:val="22"/>
        </w:rPr>
        <w:t xml:space="preserve">vými náklady </w:t>
      </w:r>
      <w:r w:rsidR="006D139C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325,743 mil. Kč. </w:t>
      </w:r>
      <w:r w:rsidRPr="003437A7">
        <w:rPr>
          <w:rFonts w:ascii="Arial" w:hAnsi="Arial" w:cs="Arial"/>
          <w:sz w:val="22"/>
          <w:szCs w:val="22"/>
        </w:rPr>
        <w:t xml:space="preserve">Účelem navrženého opatření je zajištění protipovodňové ochrany zástavby města Kunovice </w:t>
      </w:r>
      <w:proofErr w:type="spellStart"/>
      <w:r w:rsidRPr="003437A7">
        <w:rPr>
          <w:rFonts w:ascii="Arial" w:hAnsi="Arial" w:cs="Arial"/>
          <w:sz w:val="22"/>
          <w:szCs w:val="22"/>
        </w:rPr>
        <w:t>ohrázováním</w:t>
      </w:r>
      <w:proofErr w:type="spellEnd"/>
      <w:r w:rsidRPr="003437A7">
        <w:rPr>
          <w:rFonts w:ascii="Arial" w:hAnsi="Arial" w:cs="Arial"/>
          <w:sz w:val="22"/>
          <w:szCs w:val="22"/>
        </w:rPr>
        <w:t xml:space="preserve"> koryta Olšavy. Opatření sestává převážně z protipovodňových zemních hrází a protipovodňových betonových zdí. Částečně půjde o novostavbu, částečně </w:t>
      </w:r>
      <w:r w:rsidR="006D139C" w:rsidRPr="003437A7">
        <w:rPr>
          <w:rFonts w:ascii="Arial" w:hAnsi="Arial" w:cs="Arial"/>
          <w:sz w:val="22"/>
          <w:szCs w:val="22"/>
        </w:rPr>
        <w:t>o</w:t>
      </w:r>
      <w:r w:rsidR="006D139C">
        <w:rPr>
          <w:rFonts w:ascii="Arial" w:hAnsi="Arial" w:cs="Arial"/>
          <w:sz w:val="22"/>
          <w:szCs w:val="22"/>
        </w:rPr>
        <w:t> </w:t>
      </w:r>
      <w:r w:rsidRPr="003437A7">
        <w:rPr>
          <w:rFonts w:ascii="Arial" w:hAnsi="Arial" w:cs="Arial"/>
          <w:sz w:val="22"/>
          <w:szCs w:val="22"/>
        </w:rPr>
        <w:t>změnu stávající stavby - navýšení protipovodňové zdi.</w:t>
      </w:r>
      <w:r>
        <w:rPr>
          <w:rFonts w:ascii="Arial" w:hAnsi="Arial" w:cs="Arial"/>
          <w:sz w:val="22"/>
          <w:szCs w:val="22"/>
        </w:rPr>
        <w:t xml:space="preserve"> </w:t>
      </w:r>
      <w:r w:rsidRPr="003437A7">
        <w:rPr>
          <w:rFonts w:ascii="Arial" w:hAnsi="Arial" w:cs="Arial"/>
          <w:sz w:val="22"/>
          <w:szCs w:val="22"/>
        </w:rPr>
        <w:t>Realizací akce dojde ke zvýšení míry ochrany před povodněmi ze současných Q</w:t>
      </w:r>
      <w:r w:rsidRPr="003437A7">
        <w:rPr>
          <w:rFonts w:ascii="Arial" w:hAnsi="Arial" w:cs="Arial"/>
          <w:sz w:val="22"/>
          <w:szCs w:val="22"/>
          <w:vertAlign w:val="subscript"/>
        </w:rPr>
        <w:t>5</w:t>
      </w:r>
      <w:r w:rsidRPr="003437A7">
        <w:rPr>
          <w:rFonts w:ascii="Arial" w:hAnsi="Arial" w:cs="Arial"/>
          <w:sz w:val="22"/>
          <w:szCs w:val="22"/>
        </w:rPr>
        <w:t xml:space="preserve"> na navrhovaných Q</w:t>
      </w:r>
      <w:r w:rsidRPr="003437A7">
        <w:rPr>
          <w:rFonts w:ascii="Arial" w:hAnsi="Arial" w:cs="Arial"/>
          <w:sz w:val="22"/>
          <w:szCs w:val="22"/>
          <w:vertAlign w:val="subscript"/>
        </w:rPr>
        <w:t>20</w:t>
      </w:r>
      <w:r w:rsidRPr="003437A7">
        <w:rPr>
          <w:rFonts w:ascii="Arial" w:hAnsi="Arial" w:cs="Arial"/>
          <w:sz w:val="22"/>
          <w:szCs w:val="22"/>
        </w:rPr>
        <w:t xml:space="preserve"> s převýšením 0,3 až 0,5 m</w:t>
      </w:r>
      <w:r>
        <w:rPr>
          <w:rFonts w:ascii="Arial" w:hAnsi="Arial" w:cs="Arial"/>
          <w:sz w:val="22"/>
          <w:szCs w:val="22"/>
        </w:rPr>
        <w:t>.</w:t>
      </w:r>
    </w:p>
    <w:p w14:paraId="52735644" w14:textId="77777777" w:rsidR="00D30610" w:rsidRDefault="00D30610" w:rsidP="00D30610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14:paraId="2DC159ED" w14:textId="77777777" w:rsidR="00C95248" w:rsidRPr="003437A7" w:rsidRDefault="00C95248" w:rsidP="00D30610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Pr="003437A7">
        <w:rPr>
          <w:rFonts w:ascii="Arial" w:hAnsi="Arial" w:cs="Arial"/>
          <w:b/>
          <w:bCs/>
          <w:sz w:val="22"/>
          <w:szCs w:val="22"/>
        </w:rPr>
        <w:t>Opatření Holasovice, ochrana PB území, OHO (Opatření na horní Opavě)</w:t>
      </w:r>
      <w:r>
        <w:rPr>
          <w:rFonts w:ascii="Arial" w:hAnsi="Arial" w:cs="Arial"/>
          <w:b/>
          <w:bCs/>
          <w:sz w:val="22"/>
          <w:szCs w:val="22"/>
        </w:rPr>
        <w:t>“</w:t>
      </w:r>
      <w:r>
        <w:rPr>
          <w:rFonts w:ascii="Arial" w:hAnsi="Arial" w:cs="Arial"/>
          <w:bCs/>
          <w:sz w:val="22"/>
          <w:szCs w:val="22"/>
        </w:rPr>
        <w:t xml:space="preserve"> s celkovými náklady 108,414 mil. Kč. </w:t>
      </w:r>
      <w:r w:rsidRPr="003437A7">
        <w:rPr>
          <w:rFonts w:ascii="Arial" w:hAnsi="Arial" w:cs="Arial"/>
          <w:sz w:val="22"/>
          <w:szCs w:val="22"/>
        </w:rPr>
        <w:t xml:space="preserve">Jedná se o stavbu ochranné (převážně zemní) hráze </w:t>
      </w:r>
      <w:r>
        <w:rPr>
          <w:rFonts w:ascii="Arial" w:hAnsi="Arial" w:cs="Arial"/>
          <w:sz w:val="22"/>
          <w:szCs w:val="22"/>
        </w:rPr>
        <w:t xml:space="preserve">lichoběžníkového tvaru </w:t>
      </w:r>
      <w:r w:rsidRPr="003437A7">
        <w:rPr>
          <w:rFonts w:ascii="Arial" w:hAnsi="Arial" w:cs="Arial"/>
          <w:sz w:val="22"/>
          <w:szCs w:val="22"/>
        </w:rPr>
        <w:t>na pravém břehu Opavy v </w:t>
      </w:r>
      <w:proofErr w:type="spellStart"/>
      <w:r w:rsidRPr="003437A7">
        <w:rPr>
          <w:rFonts w:ascii="Arial" w:hAnsi="Arial" w:cs="Arial"/>
          <w:sz w:val="22"/>
          <w:szCs w:val="22"/>
        </w:rPr>
        <w:t>intravilánu</w:t>
      </w:r>
      <w:proofErr w:type="spellEnd"/>
      <w:r w:rsidRPr="003437A7">
        <w:rPr>
          <w:rFonts w:ascii="Arial" w:hAnsi="Arial" w:cs="Arial"/>
          <w:sz w:val="22"/>
          <w:szCs w:val="22"/>
        </w:rPr>
        <w:t xml:space="preserve"> a po proudu pod obcí Holasovice. Trasa hráze je navržena mezi břehovou hranou a stávající zástavbou rodinných domů tak, aby s ohledem na svůj účel nezhoršila stávající odtokové poměry a aby zároveň byly minimalizované zábory soukromých pozemků. Součástí stavby jsou rovněž propustky kanalizace, zaústění </w:t>
      </w:r>
      <w:proofErr w:type="spellStart"/>
      <w:r w:rsidRPr="003437A7">
        <w:rPr>
          <w:rFonts w:ascii="Arial" w:hAnsi="Arial" w:cs="Arial"/>
          <w:sz w:val="22"/>
          <w:szCs w:val="22"/>
        </w:rPr>
        <w:t>zatrubněného</w:t>
      </w:r>
      <w:proofErr w:type="spellEnd"/>
      <w:r w:rsidRPr="003437A7">
        <w:rPr>
          <w:rFonts w:ascii="Arial" w:hAnsi="Arial" w:cs="Arial"/>
          <w:sz w:val="22"/>
          <w:szCs w:val="22"/>
        </w:rPr>
        <w:t xml:space="preserve"> DVT Lipinka a přeložky inženýrských sítí. </w:t>
      </w:r>
      <w:r>
        <w:rPr>
          <w:rFonts w:ascii="Arial" w:hAnsi="Arial" w:cs="Arial"/>
          <w:sz w:val="22"/>
          <w:szCs w:val="22"/>
        </w:rPr>
        <w:t>R</w:t>
      </w:r>
      <w:r w:rsidRPr="003437A7">
        <w:rPr>
          <w:rFonts w:ascii="Arial" w:hAnsi="Arial" w:cs="Arial"/>
          <w:sz w:val="22"/>
          <w:szCs w:val="22"/>
        </w:rPr>
        <w:t>ealizací akce</w:t>
      </w:r>
      <w:r>
        <w:rPr>
          <w:rFonts w:cs="Arial"/>
        </w:rPr>
        <w:t xml:space="preserve"> </w:t>
      </w:r>
      <w:r w:rsidRPr="003437A7">
        <w:rPr>
          <w:rFonts w:ascii="Arial" w:hAnsi="Arial" w:cs="Arial"/>
          <w:sz w:val="22"/>
          <w:szCs w:val="22"/>
        </w:rPr>
        <w:t>dojde k zajištění ochrany před povodněmi na průtok Q = 290 m</w:t>
      </w:r>
      <w:r w:rsidRPr="00110CF7">
        <w:rPr>
          <w:rFonts w:ascii="Arial" w:hAnsi="Arial"/>
          <w:sz w:val="22"/>
          <w:vertAlign w:val="superscript"/>
        </w:rPr>
        <w:t>3</w:t>
      </w:r>
      <w:r w:rsidRPr="003437A7">
        <w:rPr>
          <w:rFonts w:ascii="Arial" w:hAnsi="Arial" w:cs="Arial"/>
          <w:sz w:val="22"/>
          <w:szCs w:val="22"/>
        </w:rPr>
        <w:t>/s, s bezpečnostním převýšením 0,6 m. Tento průtok odpovídá přibližně Q</w:t>
      </w:r>
      <w:r w:rsidRPr="003437A7">
        <w:rPr>
          <w:rFonts w:ascii="Arial" w:hAnsi="Arial" w:cs="Arial"/>
          <w:sz w:val="22"/>
          <w:szCs w:val="22"/>
          <w:vertAlign w:val="subscript"/>
        </w:rPr>
        <w:t>50</w:t>
      </w:r>
      <w:r w:rsidRPr="003437A7">
        <w:rPr>
          <w:rFonts w:ascii="Arial" w:hAnsi="Arial" w:cs="Arial"/>
          <w:sz w:val="22"/>
          <w:szCs w:val="22"/>
        </w:rPr>
        <w:t>–Q</w:t>
      </w:r>
      <w:r w:rsidRPr="003437A7">
        <w:rPr>
          <w:rFonts w:ascii="Arial" w:hAnsi="Arial" w:cs="Arial"/>
          <w:sz w:val="22"/>
          <w:szCs w:val="22"/>
          <w:vertAlign w:val="subscript"/>
        </w:rPr>
        <w:t>100</w:t>
      </w:r>
      <w:r w:rsidRPr="003437A7">
        <w:rPr>
          <w:rFonts w:ascii="Arial" w:hAnsi="Arial" w:cs="Arial"/>
          <w:sz w:val="22"/>
          <w:szCs w:val="22"/>
        </w:rPr>
        <w:t xml:space="preserve"> se zohledněním transformačního účinku nádrže Nové </w:t>
      </w:r>
      <w:proofErr w:type="spellStart"/>
      <w:r w:rsidRPr="003437A7">
        <w:rPr>
          <w:rFonts w:ascii="Arial" w:hAnsi="Arial" w:cs="Arial"/>
          <w:sz w:val="22"/>
          <w:szCs w:val="22"/>
        </w:rPr>
        <w:t>Heřminovy</w:t>
      </w:r>
      <w:proofErr w:type="spellEnd"/>
      <w:r w:rsidRPr="003437A7">
        <w:rPr>
          <w:rFonts w:ascii="Arial" w:hAnsi="Arial" w:cs="Arial"/>
          <w:sz w:val="22"/>
          <w:szCs w:val="22"/>
        </w:rPr>
        <w:t xml:space="preserve"> a dalších navržených opatření OHO.</w:t>
      </w:r>
    </w:p>
    <w:p w14:paraId="3BAA17A5" w14:textId="49C16AF5" w:rsidR="005C1F04" w:rsidRPr="007178FE" w:rsidRDefault="005C1F04" w:rsidP="00184F48">
      <w:pPr>
        <w:spacing w:before="24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7178FE">
        <w:rPr>
          <w:rFonts w:ascii="Arial" w:hAnsi="Arial" w:cs="Arial"/>
          <w:b/>
          <w:sz w:val="22"/>
          <w:szCs w:val="22"/>
        </w:rPr>
        <w:lastRenderedPageBreak/>
        <w:t>B.1.</w:t>
      </w:r>
      <w:r w:rsidR="00F54501">
        <w:rPr>
          <w:rFonts w:ascii="Arial" w:hAnsi="Arial" w:cs="Arial"/>
          <w:b/>
          <w:sz w:val="22"/>
          <w:szCs w:val="22"/>
        </w:rPr>
        <w:t>3</w:t>
      </w:r>
      <w:r w:rsidRPr="007178FE">
        <w:rPr>
          <w:rFonts w:ascii="Arial" w:hAnsi="Arial" w:cs="Arial"/>
          <w:b/>
          <w:sz w:val="22"/>
          <w:szCs w:val="22"/>
        </w:rPr>
        <w:t xml:space="preserve"> Program 129 280 </w:t>
      </w:r>
      <w:r w:rsidR="00D33956">
        <w:rPr>
          <w:rFonts w:ascii="Arial" w:hAnsi="Arial" w:cs="Arial"/>
          <w:b/>
          <w:sz w:val="22"/>
          <w:szCs w:val="22"/>
        </w:rPr>
        <w:t>„</w:t>
      </w:r>
      <w:r w:rsidRPr="007178FE">
        <w:rPr>
          <w:rFonts w:ascii="Arial" w:hAnsi="Arial" w:cs="Arial"/>
          <w:b/>
          <w:sz w:val="22"/>
          <w:szCs w:val="22"/>
        </w:rPr>
        <w:t>Podpora retence vody v krajině – rybníky a vodní nádrže</w:t>
      </w:r>
      <w:r w:rsidR="00D33956">
        <w:rPr>
          <w:rFonts w:ascii="Arial" w:hAnsi="Arial" w:cs="Arial"/>
          <w:b/>
          <w:sz w:val="22"/>
          <w:szCs w:val="22"/>
        </w:rPr>
        <w:t>“</w:t>
      </w:r>
      <w:r w:rsidR="00DD01CB">
        <w:rPr>
          <w:rFonts w:ascii="Arial" w:hAnsi="Arial" w:cs="Arial"/>
          <w:b/>
          <w:sz w:val="22"/>
          <w:szCs w:val="22"/>
        </w:rPr>
        <w:t xml:space="preserve"> </w:t>
      </w:r>
      <w:r w:rsidR="00DD01CB">
        <w:rPr>
          <w:rFonts w:ascii="Arial" w:hAnsi="Arial" w:cs="Arial"/>
          <w:b/>
          <w:sz w:val="22"/>
          <w:szCs w:val="22"/>
        </w:rPr>
        <w:br/>
        <w:t>(</w:t>
      </w:r>
      <w:r w:rsidR="00DD01CB" w:rsidRPr="005C1F04">
        <w:rPr>
          <w:rFonts w:ascii="Arial" w:hAnsi="Arial" w:cs="Arial"/>
          <w:b/>
          <w:i/>
          <w:iCs/>
          <w:sz w:val="22"/>
          <w:szCs w:val="22"/>
        </w:rPr>
        <w:t>2016–202</w:t>
      </w:r>
      <w:r w:rsidR="0099699E">
        <w:rPr>
          <w:rFonts w:ascii="Arial" w:hAnsi="Arial" w:cs="Arial"/>
          <w:b/>
          <w:i/>
          <w:iCs/>
          <w:sz w:val="22"/>
          <w:szCs w:val="22"/>
        </w:rPr>
        <w:t>1</w:t>
      </w:r>
      <w:r w:rsidR="00DD01CB">
        <w:rPr>
          <w:rFonts w:ascii="Arial" w:hAnsi="Arial" w:cs="Arial"/>
          <w:b/>
          <w:i/>
          <w:iCs/>
          <w:sz w:val="22"/>
          <w:szCs w:val="22"/>
        </w:rPr>
        <w:t>)</w:t>
      </w:r>
    </w:p>
    <w:p w14:paraId="0759ED6F" w14:textId="0912EC2C" w:rsidR="00521DBC" w:rsidRDefault="00521DBC" w:rsidP="00D30610">
      <w:pPr>
        <w:jc w:val="both"/>
        <w:rPr>
          <w:rFonts w:ascii="Arial" w:hAnsi="Arial" w:cs="Arial"/>
          <w:sz w:val="22"/>
          <w:szCs w:val="22"/>
        </w:rPr>
      </w:pPr>
      <w:r w:rsidRPr="005C1F04">
        <w:rPr>
          <w:rFonts w:ascii="Arial" w:hAnsi="Arial" w:cs="Arial"/>
          <w:sz w:val="22"/>
          <w:szCs w:val="22"/>
        </w:rPr>
        <w:t>Program vychází ze zkušeností s</w:t>
      </w:r>
      <w:r w:rsidR="00D30610">
        <w:rPr>
          <w:rFonts w:ascii="Arial" w:hAnsi="Arial" w:cs="Arial"/>
          <w:sz w:val="22"/>
          <w:szCs w:val="22"/>
        </w:rPr>
        <w:t> </w:t>
      </w:r>
      <w:r w:rsidRPr="005C1F04">
        <w:rPr>
          <w:rFonts w:ascii="Arial" w:hAnsi="Arial" w:cs="Arial"/>
          <w:sz w:val="22"/>
          <w:szCs w:val="22"/>
        </w:rPr>
        <w:t>programem 129</w:t>
      </w:r>
      <w:r>
        <w:rPr>
          <w:rFonts w:ascii="Arial" w:hAnsi="Arial" w:cs="Arial"/>
          <w:sz w:val="22"/>
          <w:szCs w:val="22"/>
        </w:rPr>
        <w:t> </w:t>
      </w:r>
      <w:r w:rsidRPr="005C1F04">
        <w:rPr>
          <w:rFonts w:ascii="Arial" w:hAnsi="Arial" w:cs="Arial"/>
          <w:sz w:val="22"/>
          <w:szCs w:val="22"/>
        </w:rPr>
        <w:t xml:space="preserve">130 </w:t>
      </w:r>
      <w:r w:rsidR="00D30610">
        <w:rPr>
          <w:rFonts w:ascii="Arial" w:hAnsi="Arial" w:cs="Arial"/>
          <w:sz w:val="22"/>
          <w:szCs w:val="22"/>
        </w:rPr>
        <w:t>„</w:t>
      </w:r>
      <w:r w:rsidRPr="005C1F04">
        <w:rPr>
          <w:rFonts w:ascii="Arial" w:hAnsi="Arial" w:cs="Arial"/>
          <w:sz w:val="22"/>
          <w:szCs w:val="22"/>
        </w:rPr>
        <w:t>Podpora obnovy, odbahnění a</w:t>
      </w:r>
      <w:r>
        <w:rPr>
          <w:rFonts w:ascii="Arial" w:hAnsi="Arial" w:cs="Arial"/>
          <w:sz w:val="22"/>
          <w:szCs w:val="22"/>
        </w:rPr>
        <w:t> </w:t>
      </w:r>
      <w:r w:rsidRPr="005C1F04">
        <w:rPr>
          <w:rFonts w:ascii="Arial" w:hAnsi="Arial" w:cs="Arial"/>
          <w:sz w:val="22"/>
          <w:szCs w:val="22"/>
        </w:rPr>
        <w:t>rekonstrukce rybníků a</w:t>
      </w:r>
      <w:r>
        <w:rPr>
          <w:rFonts w:ascii="Arial" w:hAnsi="Arial" w:cs="Arial"/>
          <w:sz w:val="22"/>
          <w:szCs w:val="22"/>
        </w:rPr>
        <w:t> </w:t>
      </w:r>
      <w:r w:rsidRPr="005C1F04">
        <w:rPr>
          <w:rFonts w:ascii="Arial" w:hAnsi="Arial" w:cs="Arial"/>
          <w:sz w:val="22"/>
          <w:szCs w:val="22"/>
        </w:rPr>
        <w:t>výstavby vodních nádrží</w:t>
      </w:r>
      <w:r w:rsidR="00D30610">
        <w:rPr>
          <w:rFonts w:ascii="Arial" w:hAnsi="Arial" w:cs="Arial"/>
          <w:sz w:val="22"/>
          <w:szCs w:val="22"/>
        </w:rPr>
        <w:t>“</w:t>
      </w:r>
      <w:r w:rsidRPr="005C1F04">
        <w:rPr>
          <w:rFonts w:ascii="Arial" w:hAnsi="Arial" w:cs="Arial"/>
          <w:sz w:val="22"/>
          <w:szCs w:val="22"/>
        </w:rPr>
        <w:t>. Dokumentace Programu byla schválena Ministerstvem financí dne 25. 10. 2016 pod č.</w:t>
      </w:r>
      <w:r>
        <w:rPr>
          <w:rFonts w:ascii="Arial" w:hAnsi="Arial" w:cs="Arial"/>
          <w:sz w:val="22"/>
          <w:szCs w:val="22"/>
        </w:rPr>
        <w:t> </w:t>
      </w:r>
      <w:r w:rsidRPr="005C1F04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.</w:t>
      </w:r>
      <w:r w:rsidRPr="005C1F04">
        <w:rPr>
          <w:rFonts w:ascii="Arial" w:hAnsi="Arial" w:cs="Arial"/>
          <w:sz w:val="22"/>
          <w:szCs w:val="22"/>
        </w:rPr>
        <w:t xml:space="preserve"> MF-35797/2016/1904-2. Realizace se předpo</w:t>
      </w:r>
      <w:r>
        <w:rPr>
          <w:rFonts w:ascii="Arial" w:hAnsi="Arial" w:cs="Arial"/>
          <w:sz w:val="22"/>
          <w:szCs w:val="22"/>
        </w:rPr>
        <w:t>kládá v letech 2016–202</w:t>
      </w:r>
      <w:r w:rsidR="0099699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, s celkovými </w:t>
      </w:r>
      <w:r w:rsidRPr="005C1F04">
        <w:rPr>
          <w:rFonts w:ascii="Arial" w:hAnsi="Arial" w:cs="Arial"/>
          <w:sz w:val="22"/>
          <w:szCs w:val="22"/>
        </w:rPr>
        <w:t>výdaji ve výši 1 250 mil. Kč. Podíl účasti státního rozpočtu činí 1 000 mil. Kč a</w:t>
      </w:r>
      <w:r>
        <w:rPr>
          <w:rFonts w:ascii="Arial" w:hAnsi="Arial" w:cs="Arial"/>
          <w:sz w:val="22"/>
          <w:szCs w:val="22"/>
        </w:rPr>
        <w:t> </w:t>
      </w:r>
      <w:r w:rsidRPr="005C1F04">
        <w:rPr>
          <w:rFonts w:ascii="Arial" w:hAnsi="Arial" w:cs="Arial"/>
          <w:sz w:val="22"/>
          <w:szCs w:val="22"/>
        </w:rPr>
        <w:t>podíl vlastních zdrojů žadatelů je stanoven na 250 mil. Kč.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9A222C8" w14:textId="77777777" w:rsidR="004D2161" w:rsidRDefault="004D2161" w:rsidP="00D30610">
      <w:pPr>
        <w:jc w:val="both"/>
        <w:rPr>
          <w:rFonts w:ascii="Arial" w:hAnsi="Arial" w:cs="Arial"/>
          <w:sz w:val="22"/>
          <w:szCs w:val="22"/>
        </w:rPr>
      </w:pPr>
    </w:p>
    <w:p w14:paraId="30F6387F" w14:textId="693DF46E" w:rsidR="0099699E" w:rsidRPr="00FD6BE1" w:rsidRDefault="0099699E" w:rsidP="0099699E">
      <w:pPr>
        <w:keepNext/>
        <w:tabs>
          <w:tab w:val="left" w:pos="480"/>
        </w:tabs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>Program 129 280 – dotační prostředky dle schválené dokumentace z října 2016 (mld. Kč)</w:t>
      </w:r>
      <w:r w:rsidRPr="00FD6BE1">
        <w:rPr>
          <w:rFonts w:ascii="Arial" w:hAnsi="Arial" w:cs="Arial"/>
          <w:b/>
          <w:i/>
          <w:iCs/>
          <w:sz w:val="22"/>
          <w:szCs w:val="22"/>
        </w:rPr>
        <w:t xml:space="preserve"> </w:t>
      </w: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103"/>
      </w:tblGrid>
      <w:tr w:rsidR="0099699E" w:rsidRPr="00FD6BE1" w14:paraId="49AA2B5D" w14:textId="77777777" w:rsidTr="0099699E">
        <w:trPr>
          <w:trHeight w:val="340"/>
        </w:trPr>
        <w:tc>
          <w:tcPr>
            <w:tcW w:w="3969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E224B2" w14:textId="77777777" w:rsidR="0099699E" w:rsidRPr="00FD6BE1" w:rsidRDefault="0099699E" w:rsidP="0099699E">
            <w:pPr>
              <w:tabs>
                <w:tab w:val="left" w:pos="480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6BE1">
              <w:rPr>
                <w:rFonts w:ascii="Arial" w:hAnsi="Arial" w:cs="Arial"/>
                <w:b/>
                <w:sz w:val="22"/>
                <w:szCs w:val="22"/>
              </w:rPr>
              <w:t>Zdroj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A6A239" w14:textId="7CCAE5CB" w:rsidR="0099699E" w:rsidRPr="00FD6BE1" w:rsidRDefault="0099699E" w:rsidP="0099699E">
            <w:pPr>
              <w:tabs>
                <w:tab w:val="left" w:pos="480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6BE1">
              <w:rPr>
                <w:rFonts w:ascii="Arial" w:hAnsi="Arial" w:cs="Arial"/>
                <w:b/>
                <w:sz w:val="22"/>
                <w:szCs w:val="22"/>
              </w:rPr>
              <w:t>Státní rozpočet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99699E" w:rsidRPr="00FD6BE1" w14:paraId="1871A06E" w14:textId="77777777" w:rsidTr="0099699E">
        <w:trPr>
          <w:trHeight w:val="340"/>
        </w:trPr>
        <w:tc>
          <w:tcPr>
            <w:tcW w:w="3969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4E73A4" w14:textId="77777777" w:rsidR="0099699E" w:rsidRPr="00FD6BE1" w:rsidRDefault="0099699E" w:rsidP="0099699E">
            <w:pPr>
              <w:tabs>
                <w:tab w:val="left" w:pos="480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Částka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B720C8" w14:textId="18A933F3" w:rsidR="0099699E" w:rsidRPr="00FD6BE1" w:rsidRDefault="000A260A" w:rsidP="0099699E">
            <w:pPr>
              <w:tabs>
                <w:tab w:val="left" w:pos="480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1,0</w:t>
            </w:r>
          </w:p>
        </w:tc>
      </w:tr>
    </w:tbl>
    <w:p w14:paraId="3C1056FF" w14:textId="77777777" w:rsidR="00010605" w:rsidRDefault="00010605" w:rsidP="00D30610">
      <w:pPr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59E65332" w14:textId="74D822DB" w:rsidR="003562FC" w:rsidRDefault="00D66E41" w:rsidP="00D30610">
      <w:pPr>
        <w:jc w:val="both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 xml:space="preserve">Program </w:t>
      </w:r>
      <w:r w:rsidRPr="005C1F04">
        <w:rPr>
          <w:rFonts w:ascii="Arial" w:hAnsi="Arial" w:cs="Arial"/>
          <w:b/>
          <w:i/>
          <w:iCs/>
          <w:sz w:val="22"/>
          <w:szCs w:val="22"/>
        </w:rPr>
        <w:t xml:space="preserve">129 280 </w:t>
      </w:r>
      <w:r>
        <w:rPr>
          <w:rFonts w:ascii="Arial" w:hAnsi="Arial" w:cs="Arial"/>
          <w:b/>
          <w:i/>
          <w:iCs/>
          <w:sz w:val="22"/>
          <w:szCs w:val="22"/>
        </w:rPr>
        <w:t>– n</w:t>
      </w:r>
      <w:r w:rsidR="00DD01CB" w:rsidRPr="005C1F04">
        <w:rPr>
          <w:rFonts w:ascii="Arial" w:hAnsi="Arial" w:cs="Arial"/>
          <w:b/>
          <w:i/>
          <w:iCs/>
          <w:sz w:val="22"/>
          <w:szCs w:val="22"/>
        </w:rPr>
        <w:t xml:space="preserve">ávrh </w:t>
      </w:r>
      <w:r w:rsidR="005C1F04" w:rsidRPr="005C1F04">
        <w:rPr>
          <w:rFonts w:ascii="Arial" w:hAnsi="Arial" w:cs="Arial"/>
          <w:b/>
          <w:i/>
          <w:iCs/>
          <w:sz w:val="22"/>
          <w:szCs w:val="22"/>
        </w:rPr>
        <w:t xml:space="preserve">časového čerpání </w:t>
      </w:r>
      <w:r w:rsidR="00DD01CB">
        <w:rPr>
          <w:rFonts w:ascii="Arial" w:hAnsi="Arial" w:cs="Arial"/>
          <w:b/>
          <w:i/>
          <w:iCs/>
          <w:sz w:val="22"/>
          <w:szCs w:val="22"/>
        </w:rPr>
        <w:t xml:space="preserve">v letech </w:t>
      </w:r>
      <w:r w:rsidR="005C1F04" w:rsidRPr="005C1F04">
        <w:rPr>
          <w:rFonts w:ascii="Arial" w:hAnsi="Arial" w:cs="Arial"/>
          <w:b/>
          <w:i/>
          <w:iCs/>
          <w:sz w:val="22"/>
          <w:szCs w:val="22"/>
        </w:rPr>
        <w:t>201</w:t>
      </w:r>
      <w:r w:rsidR="000A260A">
        <w:rPr>
          <w:rFonts w:ascii="Arial" w:hAnsi="Arial" w:cs="Arial"/>
          <w:b/>
          <w:i/>
          <w:iCs/>
          <w:sz w:val="22"/>
          <w:szCs w:val="22"/>
        </w:rPr>
        <w:t>6</w:t>
      </w:r>
      <w:r w:rsidR="00310954" w:rsidRPr="005C1F04">
        <w:rPr>
          <w:rFonts w:ascii="Arial" w:hAnsi="Arial" w:cs="Arial"/>
          <w:b/>
          <w:i/>
          <w:iCs/>
          <w:sz w:val="22"/>
          <w:szCs w:val="22"/>
        </w:rPr>
        <w:t>–</w:t>
      </w:r>
      <w:r w:rsidR="005C1F04" w:rsidRPr="005C1F04">
        <w:rPr>
          <w:rFonts w:ascii="Arial" w:hAnsi="Arial" w:cs="Arial"/>
          <w:b/>
          <w:i/>
          <w:iCs/>
          <w:sz w:val="22"/>
          <w:szCs w:val="22"/>
        </w:rPr>
        <w:t>2021</w:t>
      </w:r>
      <w:r w:rsidR="00A5145B"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r w:rsidR="00A5145B" w:rsidRPr="005C1F04">
        <w:rPr>
          <w:rFonts w:ascii="Arial" w:hAnsi="Arial" w:cs="Arial"/>
          <w:b/>
          <w:i/>
          <w:iCs/>
          <w:sz w:val="22"/>
          <w:szCs w:val="22"/>
        </w:rPr>
        <w:t>mil. Kč)</w:t>
      </w:r>
    </w:p>
    <w:tbl>
      <w:tblPr>
        <w:tblW w:w="898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113" w:type="dxa"/>
        </w:tblCellMar>
        <w:tblLook w:val="0040" w:firstRow="0" w:lastRow="1" w:firstColumn="0" w:lastColumn="0" w:noHBand="0" w:noVBand="0"/>
      </w:tblPr>
      <w:tblGrid>
        <w:gridCol w:w="2467"/>
        <w:gridCol w:w="1417"/>
        <w:gridCol w:w="957"/>
        <w:gridCol w:w="957"/>
        <w:gridCol w:w="957"/>
        <w:gridCol w:w="957"/>
        <w:gridCol w:w="1275"/>
      </w:tblGrid>
      <w:tr w:rsidR="00257E9D" w:rsidRPr="007178FE" w14:paraId="0BE7D193" w14:textId="77777777" w:rsidTr="00403C04">
        <w:trPr>
          <w:trHeight w:val="340"/>
        </w:trPr>
        <w:tc>
          <w:tcPr>
            <w:tcW w:w="2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tcMar>
              <w:right w:w="68" w:type="dxa"/>
            </w:tcMar>
            <w:vAlign w:val="center"/>
          </w:tcPr>
          <w:p w14:paraId="741287D7" w14:textId="77777777" w:rsidR="00257E9D" w:rsidRPr="007178FE" w:rsidRDefault="00257E9D" w:rsidP="00D97BCB">
            <w:pPr>
              <w:snapToGrid w:val="0"/>
              <w:rPr>
                <w:rFonts w:ascii="Arial" w:hAnsi="Arial" w:cs="Arial"/>
                <w:b/>
                <w:sz w:val="22"/>
              </w:rPr>
            </w:pPr>
            <w:r w:rsidRPr="007178FE">
              <w:rPr>
                <w:rFonts w:ascii="Arial" w:hAnsi="Arial" w:cs="Arial"/>
                <w:b/>
                <w:sz w:val="22"/>
                <w:szCs w:val="22"/>
              </w:rPr>
              <w:t>Zdroj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00BE9F" w14:textId="08E5A50A" w:rsidR="00257E9D" w:rsidRPr="007178FE" w:rsidRDefault="00257E9D" w:rsidP="00257E9D">
            <w:pPr>
              <w:snapToGrid w:val="0"/>
              <w:ind w:right="5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57E9D">
              <w:rPr>
                <w:rFonts w:ascii="Arial" w:hAnsi="Arial" w:cs="Arial"/>
                <w:b/>
                <w:sz w:val="22"/>
                <w:szCs w:val="22"/>
              </w:rPr>
              <w:t>2016 –2017</w:t>
            </w:r>
          </w:p>
        </w:tc>
        <w:tc>
          <w:tcPr>
            <w:tcW w:w="9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05F24BC7" w14:textId="5713F73D" w:rsidR="00257E9D" w:rsidRPr="007178FE" w:rsidRDefault="00257E9D" w:rsidP="00094A3C">
            <w:pPr>
              <w:snapToGrid w:val="0"/>
              <w:ind w:right="5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178FE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3B51D0C2" w14:textId="77777777" w:rsidR="00257E9D" w:rsidRPr="007178FE" w:rsidRDefault="00257E9D" w:rsidP="00094A3C">
            <w:pPr>
              <w:snapToGrid w:val="0"/>
              <w:ind w:right="5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178FE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4CC2768C" w14:textId="77777777" w:rsidR="00257E9D" w:rsidRPr="007178FE" w:rsidRDefault="00257E9D" w:rsidP="00F85762">
            <w:pPr>
              <w:snapToGrid w:val="0"/>
              <w:ind w:right="5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178FE">
              <w:rPr>
                <w:rFonts w:ascii="Arial" w:hAnsi="Arial" w:cs="Arial"/>
                <w:b/>
                <w:sz w:val="22"/>
                <w:szCs w:val="22"/>
              </w:rPr>
              <w:t>2020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tcMar>
              <w:right w:w="68" w:type="dxa"/>
            </w:tcMar>
            <w:vAlign w:val="center"/>
          </w:tcPr>
          <w:p w14:paraId="5B4AAB0E" w14:textId="77777777" w:rsidR="00257E9D" w:rsidRPr="007178FE" w:rsidRDefault="00257E9D" w:rsidP="00F85762">
            <w:pPr>
              <w:snapToGrid w:val="0"/>
              <w:ind w:right="5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178FE">
              <w:rPr>
                <w:rFonts w:ascii="Arial" w:hAnsi="Arial" w:cs="Arial"/>
                <w:b/>
                <w:sz w:val="22"/>
                <w:szCs w:val="22"/>
              </w:rPr>
              <w:t>2021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tcMar>
              <w:right w:w="68" w:type="dxa"/>
            </w:tcMar>
            <w:vAlign w:val="center"/>
          </w:tcPr>
          <w:p w14:paraId="5A911BE4" w14:textId="77777777" w:rsidR="00257E9D" w:rsidRPr="007178FE" w:rsidRDefault="00257E9D" w:rsidP="005F467B">
            <w:pPr>
              <w:snapToGrid w:val="0"/>
              <w:ind w:right="5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178FE">
              <w:rPr>
                <w:rFonts w:ascii="Arial" w:hAnsi="Arial" w:cs="Arial"/>
                <w:b/>
                <w:sz w:val="22"/>
                <w:szCs w:val="22"/>
              </w:rPr>
              <w:t>Celkem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za program</w:t>
            </w:r>
          </w:p>
        </w:tc>
      </w:tr>
      <w:tr w:rsidR="00257E9D" w:rsidRPr="007178FE" w14:paraId="610F6596" w14:textId="77777777" w:rsidTr="00403C04">
        <w:trPr>
          <w:trHeight w:hRule="exact" w:val="601"/>
        </w:trPr>
        <w:tc>
          <w:tcPr>
            <w:tcW w:w="24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right w:w="68" w:type="dxa"/>
            </w:tcMar>
            <w:vAlign w:val="center"/>
          </w:tcPr>
          <w:p w14:paraId="575F9C6A" w14:textId="77777777" w:rsidR="00257E9D" w:rsidRPr="007178FE" w:rsidRDefault="00257E9D" w:rsidP="00D33956">
            <w:pPr>
              <w:snapToGrid w:val="0"/>
              <w:rPr>
                <w:rFonts w:ascii="Arial" w:hAnsi="Arial" w:cs="Arial"/>
                <w:b/>
                <w:sz w:val="22"/>
              </w:rPr>
            </w:pPr>
            <w:r w:rsidRPr="007178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Dotace ze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státního rozpočtu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BD3AD" w14:textId="6EDA8594" w:rsidR="00257E9D" w:rsidRPr="00D33240" w:rsidRDefault="00CB36D3" w:rsidP="00CB36D3">
            <w:pPr>
              <w:tabs>
                <w:tab w:val="decimal" w:pos="544"/>
              </w:tabs>
              <w:snapToGrid w:val="0"/>
              <w:ind w:right="5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95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0A006833" w14:textId="1B9D9CFA" w:rsidR="00257E9D" w:rsidRPr="00D33240" w:rsidRDefault="00257E9D" w:rsidP="00094A3C">
            <w:pPr>
              <w:tabs>
                <w:tab w:val="decimal" w:pos="544"/>
              </w:tabs>
              <w:snapToGrid w:val="0"/>
              <w:ind w:right="5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3240">
              <w:rPr>
                <w:rFonts w:ascii="Arial" w:hAnsi="Arial" w:cs="Arial"/>
                <w:sz w:val="22"/>
                <w:szCs w:val="22"/>
              </w:rPr>
              <w:t>230</w:t>
            </w:r>
          </w:p>
        </w:tc>
        <w:tc>
          <w:tcPr>
            <w:tcW w:w="957" w:type="dxa"/>
            <w:tcBorders>
              <w:top w:val="single" w:sz="12" w:space="0" w:color="auto"/>
            </w:tcBorders>
            <w:vAlign w:val="center"/>
          </w:tcPr>
          <w:p w14:paraId="4CAA3043" w14:textId="77777777" w:rsidR="00257E9D" w:rsidRPr="00D33240" w:rsidRDefault="00257E9D" w:rsidP="00094A3C">
            <w:pPr>
              <w:tabs>
                <w:tab w:val="decimal" w:pos="497"/>
              </w:tabs>
              <w:snapToGrid w:val="0"/>
              <w:ind w:right="5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3240">
              <w:rPr>
                <w:rFonts w:ascii="Arial" w:hAnsi="Arial" w:cs="Arial"/>
                <w:sz w:val="22"/>
                <w:szCs w:val="22"/>
              </w:rPr>
              <w:t>180</w:t>
            </w:r>
          </w:p>
        </w:tc>
        <w:tc>
          <w:tcPr>
            <w:tcW w:w="957" w:type="dxa"/>
            <w:tcBorders>
              <w:top w:val="single" w:sz="12" w:space="0" w:color="auto"/>
            </w:tcBorders>
            <w:vAlign w:val="center"/>
          </w:tcPr>
          <w:p w14:paraId="380A5BF9" w14:textId="77777777" w:rsidR="00257E9D" w:rsidRPr="00D33240" w:rsidRDefault="00257E9D" w:rsidP="00F85762">
            <w:pPr>
              <w:tabs>
                <w:tab w:val="decimal" w:pos="497"/>
              </w:tabs>
              <w:snapToGrid w:val="0"/>
              <w:ind w:right="5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3240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957" w:type="dxa"/>
            <w:tcBorders>
              <w:top w:val="single" w:sz="12" w:space="0" w:color="auto"/>
              <w:right w:val="single" w:sz="12" w:space="0" w:color="auto"/>
            </w:tcBorders>
            <w:tcMar>
              <w:right w:w="68" w:type="dxa"/>
            </w:tcMar>
            <w:vAlign w:val="center"/>
          </w:tcPr>
          <w:p w14:paraId="00772CF0" w14:textId="77777777" w:rsidR="00257E9D" w:rsidRPr="00D33240" w:rsidRDefault="00257E9D" w:rsidP="00F85762">
            <w:pPr>
              <w:snapToGrid w:val="0"/>
              <w:ind w:right="5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3240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right w:w="68" w:type="dxa"/>
            </w:tcMar>
            <w:vAlign w:val="center"/>
          </w:tcPr>
          <w:p w14:paraId="77039F9E" w14:textId="77777777" w:rsidR="00257E9D" w:rsidRPr="007178FE" w:rsidRDefault="00257E9D" w:rsidP="00F85762">
            <w:pPr>
              <w:tabs>
                <w:tab w:val="decimal" w:pos="842"/>
              </w:tabs>
              <w:snapToGrid w:val="0"/>
              <w:ind w:right="5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178FE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178FE">
              <w:rPr>
                <w:rFonts w:ascii="Arial" w:hAnsi="Arial" w:cs="Arial"/>
                <w:b/>
                <w:sz w:val="22"/>
                <w:szCs w:val="22"/>
              </w:rPr>
              <w:t>000</w:t>
            </w:r>
          </w:p>
        </w:tc>
      </w:tr>
      <w:tr w:rsidR="00257E9D" w:rsidRPr="007178FE" w14:paraId="7B6F3C20" w14:textId="77777777" w:rsidTr="00403C04">
        <w:trPr>
          <w:trHeight w:hRule="exact" w:val="340"/>
        </w:trPr>
        <w:tc>
          <w:tcPr>
            <w:tcW w:w="24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right w:w="68" w:type="dxa"/>
            </w:tcMar>
            <w:vAlign w:val="center"/>
          </w:tcPr>
          <w:p w14:paraId="26B9142B" w14:textId="77777777" w:rsidR="00257E9D" w:rsidRPr="007178FE" w:rsidRDefault="00257E9D" w:rsidP="00D97BCB">
            <w:pPr>
              <w:snapToGrid w:val="0"/>
              <w:rPr>
                <w:rFonts w:ascii="Arial" w:hAnsi="Arial" w:cs="Arial"/>
                <w:b/>
                <w:sz w:val="22"/>
              </w:rPr>
            </w:pPr>
            <w:r w:rsidRPr="007178FE">
              <w:rPr>
                <w:rFonts w:ascii="Arial" w:hAnsi="Arial" w:cs="Arial"/>
                <w:b/>
                <w:bCs/>
                <w:sz w:val="22"/>
                <w:szCs w:val="22"/>
              </w:rPr>
              <w:t>Vlastní zdroje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79705F" w14:textId="38194379" w:rsidR="00257E9D" w:rsidRPr="00D33240" w:rsidRDefault="00CB36D3" w:rsidP="00CB36D3">
            <w:pPr>
              <w:tabs>
                <w:tab w:val="decimal" w:pos="544"/>
              </w:tabs>
              <w:snapToGrid w:val="0"/>
              <w:ind w:right="5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54785F2" w14:textId="5D1457CE" w:rsidR="00257E9D" w:rsidRPr="00D33240" w:rsidRDefault="00257E9D" w:rsidP="00094A3C">
            <w:pPr>
              <w:tabs>
                <w:tab w:val="decimal" w:pos="544"/>
              </w:tabs>
              <w:snapToGrid w:val="0"/>
              <w:ind w:right="5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3240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957" w:type="dxa"/>
            <w:tcBorders>
              <w:bottom w:val="single" w:sz="12" w:space="0" w:color="auto"/>
            </w:tcBorders>
            <w:vAlign w:val="center"/>
          </w:tcPr>
          <w:p w14:paraId="43EA63F7" w14:textId="77777777" w:rsidR="00257E9D" w:rsidRPr="00D33240" w:rsidRDefault="00257E9D" w:rsidP="00094A3C">
            <w:pPr>
              <w:tabs>
                <w:tab w:val="decimal" w:pos="497"/>
              </w:tabs>
              <w:snapToGrid w:val="0"/>
              <w:ind w:right="50"/>
              <w:jc w:val="right"/>
              <w:rPr>
                <w:rFonts w:ascii="Arial" w:hAnsi="Arial" w:cs="Arial"/>
                <w:sz w:val="22"/>
              </w:rPr>
            </w:pPr>
            <w:r w:rsidRPr="00D33240">
              <w:rPr>
                <w:rFonts w:ascii="Arial" w:hAnsi="Arial" w:cs="Arial"/>
                <w:sz w:val="22"/>
              </w:rPr>
              <w:t>60</w:t>
            </w:r>
          </w:p>
        </w:tc>
        <w:tc>
          <w:tcPr>
            <w:tcW w:w="957" w:type="dxa"/>
            <w:tcBorders>
              <w:bottom w:val="single" w:sz="12" w:space="0" w:color="auto"/>
            </w:tcBorders>
            <w:vAlign w:val="center"/>
          </w:tcPr>
          <w:p w14:paraId="1209C669" w14:textId="77777777" w:rsidR="00257E9D" w:rsidRPr="00D33240" w:rsidRDefault="00257E9D" w:rsidP="00F85762">
            <w:pPr>
              <w:tabs>
                <w:tab w:val="decimal" w:pos="497"/>
              </w:tabs>
              <w:snapToGrid w:val="0"/>
              <w:ind w:right="5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3240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957" w:type="dxa"/>
            <w:tcBorders>
              <w:bottom w:val="single" w:sz="12" w:space="0" w:color="auto"/>
              <w:right w:val="single" w:sz="12" w:space="0" w:color="auto"/>
            </w:tcBorders>
            <w:tcMar>
              <w:right w:w="68" w:type="dxa"/>
            </w:tcMar>
            <w:vAlign w:val="center"/>
          </w:tcPr>
          <w:p w14:paraId="1C0D6F28" w14:textId="77777777" w:rsidR="00257E9D" w:rsidRPr="00D33240" w:rsidRDefault="00257E9D" w:rsidP="00F85762">
            <w:pPr>
              <w:snapToGrid w:val="0"/>
              <w:ind w:right="5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3240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right w:w="68" w:type="dxa"/>
            </w:tcMar>
            <w:vAlign w:val="center"/>
          </w:tcPr>
          <w:p w14:paraId="4A6E102C" w14:textId="77777777" w:rsidR="00257E9D" w:rsidRPr="007178FE" w:rsidRDefault="00257E9D" w:rsidP="00F85762">
            <w:pPr>
              <w:tabs>
                <w:tab w:val="decimal" w:pos="915"/>
              </w:tabs>
              <w:snapToGrid w:val="0"/>
              <w:ind w:right="5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178FE">
              <w:rPr>
                <w:rFonts w:ascii="Arial" w:hAnsi="Arial" w:cs="Arial"/>
                <w:b/>
                <w:sz w:val="22"/>
                <w:szCs w:val="22"/>
              </w:rPr>
              <w:t>250</w:t>
            </w:r>
          </w:p>
        </w:tc>
      </w:tr>
      <w:tr w:rsidR="00257E9D" w:rsidRPr="007178FE" w14:paraId="52A9979C" w14:textId="77777777" w:rsidTr="00403C04">
        <w:trPr>
          <w:trHeight w:hRule="exact" w:val="340"/>
        </w:trPr>
        <w:tc>
          <w:tcPr>
            <w:tcW w:w="2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tcMar>
              <w:right w:w="68" w:type="dxa"/>
            </w:tcMar>
            <w:vAlign w:val="center"/>
          </w:tcPr>
          <w:p w14:paraId="75629726" w14:textId="77777777" w:rsidR="00257E9D" w:rsidRPr="007178FE" w:rsidRDefault="00257E9D" w:rsidP="00D97BCB">
            <w:pPr>
              <w:snapToGrid w:val="0"/>
              <w:rPr>
                <w:rFonts w:ascii="Arial" w:hAnsi="Arial" w:cs="Arial"/>
                <w:b/>
                <w:sz w:val="22"/>
              </w:rPr>
            </w:pPr>
            <w:r w:rsidRPr="007178FE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4964E9" w14:textId="543D540B" w:rsidR="00257E9D" w:rsidRPr="007178FE" w:rsidRDefault="00CB36D3" w:rsidP="00CB36D3">
            <w:pPr>
              <w:tabs>
                <w:tab w:val="decimal" w:pos="544"/>
              </w:tabs>
              <w:snapToGrid w:val="0"/>
              <w:ind w:right="50"/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442</w:t>
            </w:r>
          </w:p>
        </w:tc>
        <w:tc>
          <w:tcPr>
            <w:tcW w:w="9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624D9300" w14:textId="7DD8D3FC" w:rsidR="00257E9D" w:rsidRPr="007178FE" w:rsidRDefault="00257E9D" w:rsidP="00094A3C">
            <w:pPr>
              <w:tabs>
                <w:tab w:val="decimal" w:pos="544"/>
              </w:tabs>
              <w:snapToGrid w:val="0"/>
              <w:ind w:right="50"/>
              <w:jc w:val="right"/>
              <w:rPr>
                <w:rFonts w:ascii="Arial" w:hAnsi="Arial" w:cs="Arial"/>
                <w:b/>
                <w:sz w:val="22"/>
              </w:rPr>
            </w:pPr>
            <w:r w:rsidRPr="007178FE">
              <w:rPr>
                <w:rFonts w:ascii="Arial" w:hAnsi="Arial" w:cs="Arial"/>
                <w:b/>
                <w:sz w:val="22"/>
              </w:rPr>
              <w:t>286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550D4D20" w14:textId="77777777" w:rsidR="00257E9D" w:rsidRPr="007178FE" w:rsidRDefault="00257E9D" w:rsidP="00094A3C">
            <w:pPr>
              <w:tabs>
                <w:tab w:val="decimal" w:pos="497"/>
              </w:tabs>
              <w:snapToGrid w:val="0"/>
              <w:ind w:right="5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178FE">
              <w:rPr>
                <w:rFonts w:ascii="Arial" w:hAnsi="Arial" w:cs="Arial"/>
                <w:b/>
                <w:sz w:val="22"/>
                <w:szCs w:val="22"/>
              </w:rPr>
              <w:t>240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7A54B491" w14:textId="77777777" w:rsidR="00257E9D" w:rsidRPr="007178FE" w:rsidRDefault="00257E9D" w:rsidP="00F85762">
            <w:pPr>
              <w:tabs>
                <w:tab w:val="decimal" w:pos="497"/>
              </w:tabs>
              <w:snapToGrid w:val="0"/>
              <w:ind w:right="5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178FE">
              <w:rPr>
                <w:rFonts w:ascii="Arial" w:hAnsi="Arial" w:cs="Arial"/>
                <w:b/>
                <w:sz w:val="22"/>
                <w:szCs w:val="22"/>
              </w:rPr>
              <w:t>158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tcMar>
              <w:right w:w="68" w:type="dxa"/>
            </w:tcMar>
            <w:vAlign w:val="center"/>
          </w:tcPr>
          <w:p w14:paraId="1EA006C1" w14:textId="77777777" w:rsidR="00257E9D" w:rsidRPr="007178FE" w:rsidRDefault="00257E9D" w:rsidP="00F85762">
            <w:pPr>
              <w:snapToGrid w:val="0"/>
              <w:ind w:right="5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178FE">
              <w:rPr>
                <w:rFonts w:ascii="Arial" w:hAnsi="Arial" w:cs="Arial"/>
                <w:b/>
                <w:sz w:val="22"/>
                <w:szCs w:val="22"/>
              </w:rPr>
              <w:t>124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tcMar>
              <w:right w:w="68" w:type="dxa"/>
            </w:tcMar>
            <w:vAlign w:val="center"/>
          </w:tcPr>
          <w:p w14:paraId="7C2FD920" w14:textId="77777777" w:rsidR="00257E9D" w:rsidRPr="007178FE" w:rsidRDefault="00257E9D" w:rsidP="00F85762">
            <w:pPr>
              <w:tabs>
                <w:tab w:val="decimal" w:pos="915"/>
              </w:tabs>
              <w:snapToGrid w:val="0"/>
              <w:ind w:right="5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178FE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178FE">
              <w:rPr>
                <w:rFonts w:ascii="Arial" w:hAnsi="Arial" w:cs="Arial"/>
                <w:b/>
                <w:sz w:val="22"/>
                <w:szCs w:val="22"/>
              </w:rPr>
              <w:t>250</w:t>
            </w:r>
          </w:p>
        </w:tc>
      </w:tr>
    </w:tbl>
    <w:p w14:paraId="4F2A2698" w14:textId="72754C01" w:rsidR="00521DBC" w:rsidRDefault="00521DBC" w:rsidP="00521DBC">
      <w:pPr>
        <w:spacing w:before="240" w:after="20"/>
        <w:jc w:val="both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>Program 129 280 – skutečné čerpání v letech 201</w:t>
      </w:r>
      <w:r w:rsidR="000A260A">
        <w:rPr>
          <w:rFonts w:ascii="Arial" w:hAnsi="Arial" w:cs="Arial"/>
          <w:b/>
          <w:i/>
          <w:iCs/>
          <w:sz w:val="22"/>
          <w:szCs w:val="22"/>
        </w:rPr>
        <w:t>6</w:t>
      </w:r>
      <w:r>
        <w:rPr>
          <w:rFonts w:ascii="Arial" w:hAnsi="Arial" w:cs="Arial"/>
          <w:b/>
          <w:i/>
          <w:iCs/>
          <w:sz w:val="22"/>
          <w:szCs w:val="22"/>
        </w:rPr>
        <w:t>–2020 (mil. Kč)</w:t>
      </w:r>
    </w:p>
    <w:tbl>
      <w:tblPr>
        <w:tblW w:w="8970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2"/>
        <w:gridCol w:w="1443"/>
        <w:gridCol w:w="1265"/>
        <w:gridCol w:w="1265"/>
        <w:gridCol w:w="1428"/>
        <w:gridCol w:w="1417"/>
      </w:tblGrid>
      <w:tr w:rsidR="002843CC" w14:paraId="6C3BA9F3" w14:textId="77777777" w:rsidTr="00DA195F">
        <w:trPr>
          <w:trHeight w:val="340"/>
        </w:trPr>
        <w:tc>
          <w:tcPr>
            <w:tcW w:w="2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1776C7" w14:textId="77777777" w:rsidR="002843CC" w:rsidRDefault="002843CC" w:rsidP="00257E9D">
            <w:pPr>
              <w:tabs>
                <w:tab w:val="left" w:pos="480"/>
              </w:tabs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Zdroj</w:t>
            </w:r>
          </w:p>
        </w:tc>
        <w:tc>
          <w:tcPr>
            <w:tcW w:w="14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3476CC" w14:textId="08E33F83" w:rsidR="002843CC" w:rsidRPr="008D1342" w:rsidRDefault="002843CC" w:rsidP="00CB36D3">
            <w:pPr>
              <w:tabs>
                <w:tab w:val="left" w:pos="480"/>
              </w:tabs>
              <w:ind w:right="178"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2016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DC34BC" w14:textId="118AA25C" w:rsidR="002843CC" w:rsidRPr="008D1342" w:rsidRDefault="002843CC" w:rsidP="00DA195F">
            <w:pPr>
              <w:tabs>
                <w:tab w:val="left" w:pos="480"/>
              </w:tabs>
              <w:ind w:right="178"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95C904" w14:textId="478FD79D" w:rsidR="002843CC" w:rsidRPr="008D1342" w:rsidRDefault="002843CC" w:rsidP="00DA195F">
            <w:pPr>
              <w:tabs>
                <w:tab w:val="left" w:pos="480"/>
              </w:tabs>
              <w:ind w:right="178"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1BE6D65" w14:textId="1F9B72F4" w:rsidR="002843CC" w:rsidRPr="008D1342" w:rsidRDefault="002843CC" w:rsidP="00337394">
            <w:pPr>
              <w:tabs>
                <w:tab w:val="left" w:pos="480"/>
              </w:tabs>
              <w:ind w:right="178"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8D1342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17763C7" w14:textId="77777777" w:rsidR="002843CC" w:rsidRPr="008D1342" w:rsidRDefault="002843CC">
            <w:pPr>
              <w:tabs>
                <w:tab w:val="left" w:pos="480"/>
              </w:tabs>
              <w:ind w:right="178"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8D1342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2020</w:t>
            </w:r>
          </w:p>
        </w:tc>
      </w:tr>
      <w:tr w:rsidR="002843CC" w14:paraId="1F210C2C" w14:textId="77777777" w:rsidTr="00DA195F">
        <w:trPr>
          <w:trHeight w:val="340"/>
        </w:trPr>
        <w:tc>
          <w:tcPr>
            <w:tcW w:w="21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F3B541" w14:textId="77777777" w:rsidR="002843CC" w:rsidRDefault="002843CC" w:rsidP="00257E9D">
            <w:pPr>
              <w:tabs>
                <w:tab w:val="left" w:pos="480"/>
              </w:tabs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Dotace ze státního rozpočtu</w:t>
            </w:r>
          </w:p>
        </w:tc>
        <w:tc>
          <w:tcPr>
            <w:tcW w:w="144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7D60B1" w14:textId="11082EA1" w:rsidR="002843CC" w:rsidRPr="008D1342" w:rsidRDefault="002843CC" w:rsidP="00DA195F">
            <w:pPr>
              <w:tabs>
                <w:tab w:val="left" w:pos="480"/>
              </w:tabs>
              <w:ind w:right="131"/>
              <w:jc w:val="right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C688C4" w14:textId="612DBE2C" w:rsidR="002843CC" w:rsidRPr="00A64738" w:rsidRDefault="00A64738" w:rsidP="00DA195F">
            <w:pPr>
              <w:tabs>
                <w:tab w:val="left" w:pos="480"/>
              </w:tabs>
              <w:ind w:right="178"/>
              <w:jc w:val="right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sz w:val="22"/>
                <w:szCs w:val="22"/>
                <w:lang w:eastAsia="en-US"/>
              </w:rPr>
              <w:t>30,9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06E72E" w14:textId="55CD9CEE" w:rsidR="002843CC" w:rsidRPr="008D1342" w:rsidRDefault="00A64738" w:rsidP="00DA195F">
            <w:pPr>
              <w:tabs>
                <w:tab w:val="left" w:pos="480"/>
              </w:tabs>
              <w:ind w:right="178"/>
              <w:jc w:val="right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sz w:val="22"/>
                <w:szCs w:val="22"/>
                <w:lang w:eastAsia="en-US"/>
              </w:rPr>
              <w:t>185,2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F35D96" w14:textId="724D7824" w:rsidR="002843CC" w:rsidRPr="008D1342" w:rsidRDefault="002843CC" w:rsidP="00257E9D">
            <w:pPr>
              <w:tabs>
                <w:tab w:val="left" w:pos="480"/>
              </w:tabs>
              <w:ind w:right="178"/>
              <w:jc w:val="right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8D1342">
              <w:rPr>
                <w:rFonts w:ascii="Arial" w:eastAsia="Calibri" w:hAnsi="Arial"/>
                <w:sz w:val="22"/>
                <w:szCs w:val="22"/>
                <w:lang w:eastAsia="en-US"/>
              </w:rPr>
              <w:t>180,1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5A23EC" w14:textId="1C0ACD02" w:rsidR="002843CC" w:rsidRPr="00110CF7" w:rsidRDefault="002843CC" w:rsidP="00403C04">
            <w:pPr>
              <w:tabs>
                <w:tab w:val="left" w:pos="480"/>
              </w:tabs>
              <w:ind w:right="178"/>
              <w:jc w:val="right"/>
              <w:rPr>
                <w:rFonts w:ascii="Arial" w:eastAsia="Calibri" w:hAnsi="Arial"/>
                <w:sz w:val="22"/>
                <w:vertAlign w:val="superscript"/>
              </w:rPr>
            </w:pPr>
            <w:r>
              <w:rPr>
                <w:rFonts w:ascii="Arial" w:eastAsia="Calibri" w:hAnsi="Arial"/>
                <w:sz w:val="22"/>
                <w:szCs w:val="22"/>
                <w:lang w:eastAsia="en-US"/>
              </w:rPr>
              <w:t>60,1</w:t>
            </w:r>
          </w:p>
        </w:tc>
      </w:tr>
      <w:tr w:rsidR="0080444C" w14:paraId="0EC00324" w14:textId="77777777" w:rsidTr="008066B4">
        <w:trPr>
          <w:trHeight w:val="340"/>
        </w:trPr>
        <w:tc>
          <w:tcPr>
            <w:tcW w:w="2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CBBFD" w14:textId="77777777" w:rsidR="0080444C" w:rsidRPr="009374CC" w:rsidRDefault="0080444C" w:rsidP="00257E9D">
            <w:pPr>
              <w:tabs>
                <w:tab w:val="left" w:pos="480"/>
              </w:tabs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Vlastní zdroje</w:t>
            </w:r>
            <w:r w:rsidRPr="00BA1EDB">
              <w:rPr>
                <w:rFonts w:ascii="Arial" w:eastAsia="Calibri" w:hAnsi="Arial"/>
                <w:b/>
                <w:sz w:val="22"/>
                <w:szCs w:val="22"/>
                <w:vertAlign w:val="superscript"/>
                <w:lang w:val="en-US" w:eastAsia="en-US"/>
              </w:rPr>
              <w:t>*)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24C81B" w14:textId="29B40100" w:rsidR="0080444C" w:rsidRPr="00110CF7" w:rsidRDefault="0080444C" w:rsidP="00DA195F">
            <w:pPr>
              <w:tabs>
                <w:tab w:val="left" w:pos="480"/>
              </w:tabs>
              <w:ind w:right="131"/>
              <w:jc w:val="right"/>
              <w:rPr>
                <w:rFonts w:ascii="Arial" w:eastAsia="Calibri" w:hAnsi="Arial"/>
                <w:sz w:val="22"/>
                <w:vertAlign w:val="superscript"/>
              </w:rPr>
            </w:pPr>
            <w:r w:rsidRPr="00A64738">
              <w:rPr>
                <w:rFonts w:ascii="Arial" w:eastAsia="Calibri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AE38CA9" w14:textId="5363C40E" w:rsidR="0080444C" w:rsidRDefault="0080444C" w:rsidP="00DA195F">
            <w:pPr>
              <w:tabs>
                <w:tab w:val="left" w:pos="480"/>
              </w:tabs>
              <w:ind w:right="178"/>
              <w:jc w:val="center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sz w:val="22"/>
                <w:szCs w:val="22"/>
                <w:lang w:eastAsia="en-US"/>
              </w:rPr>
              <w:t>49,2</w:t>
            </w:r>
            <w:r w:rsidRPr="00A64738">
              <w:rPr>
                <w:rFonts w:ascii="Arial" w:eastAsia="Calibri" w:hAnsi="Arial"/>
                <w:sz w:val="22"/>
                <w:szCs w:val="22"/>
                <w:vertAlign w:val="superscript"/>
                <w:lang w:val="en-US" w:eastAsia="en-US"/>
              </w:rPr>
              <w:t>**)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1D7C90" w14:textId="20DF8AFB" w:rsidR="0080444C" w:rsidRPr="00110CF7" w:rsidRDefault="0080444C" w:rsidP="00257E9D">
            <w:pPr>
              <w:tabs>
                <w:tab w:val="left" w:pos="480"/>
              </w:tabs>
              <w:ind w:right="178"/>
              <w:jc w:val="right"/>
              <w:rPr>
                <w:rFonts w:ascii="Arial" w:eastAsia="Calibri" w:hAnsi="Arial"/>
                <w:sz w:val="22"/>
                <w:vertAlign w:val="superscript"/>
              </w:rPr>
            </w:pPr>
            <w:r>
              <w:rPr>
                <w:rFonts w:ascii="Arial" w:eastAsia="Calibri" w:hAnsi="Arial"/>
                <w:sz w:val="22"/>
                <w:szCs w:val="22"/>
                <w:lang w:eastAsia="en-US"/>
              </w:rPr>
              <w:t>35,8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408876" w14:textId="6E1B1CA8" w:rsidR="0080444C" w:rsidRPr="00110CF7" w:rsidRDefault="0080444C" w:rsidP="00403C04">
            <w:pPr>
              <w:tabs>
                <w:tab w:val="left" w:pos="480"/>
              </w:tabs>
              <w:ind w:right="195"/>
              <w:jc w:val="right"/>
              <w:rPr>
                <w:rFonts w:ascii="Arial" w:eastAsia="Calibri" w:hAnsi="Arial"/>
                <w:sz w:val="22"/>
                <w:vertAlign w:val="superscript"/>
              </w:rPr>
            </w:pPr>
            <w:r>
              <w:rPr>
                <w:rFonts w:ascii="Arial" w:eastAsia="Calibri" w:hAnsi="Arial"/>
                <w:sz w:val="22"/>
                <w:szCs w:val="22"/>
                <w:lang w:eastAsia="en-US"/>
              </w:rPr>
              <w:t>33,4</w:t>
            </w:r>
          </w:p>
        </w:tc>
      </w:tr>
      <w:tr w:rsidR="0080444C" w14:paraId="0A636D73" w14:textId="77777777" w:rsidTr="00DA195F">
        <w:trPr>
          <w:trHeight w:val="340"/>
        </w:trPr>
        <w:tc>
          <w:tcPr>
            <w:tcW w:w="2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45419C" w14:textId="77777777" w:rsidR="0080444C" w:rsidRDefault="0080444C" w:rsidP="00257E9D">
            <w:pPr>
              <w:tabs>
                <w:tab w:val="left" w:pos="480"/>
              </w:tabs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Celkem</w:t>
            </w:r>
          </w:p>
        </w:tc>
        <w:tc>
          <w:tcPr>
            <w:tcW w:w="14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F2ED17" w14:textId="79972262" w:rsidR="0080444C" w:rsidRPr="00E046F1" w:rsidRDefault="0080444C" w:rsidP="00DA195F">
            <w:pPr>
              <w:tabs>
                <w:tab w:val="left" w:pos="480"/>
              </w:tabs>
              <w:ind w:right="131"/>
              <w:jc w:val="right"/>
              <w:rPr>
                <w:rFonts w:ascii="Arial" w:eastAsia="Calibri" w:hAnsi="Arial"/>
                <w:b/>
                <w:sz w:val="22"/>
                <w:vertAlign w:val="superscript"/>
              </w:rPr>
            </w:pPr>
            <w:r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53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98E0A0" w14:textId="160DDAA4" w:rsidR="0080444C" w:rsidRPr="00E046F1" w:rsidRDefault="0080444C" w:rsidP="00DA195F">
            <w:pPr>
              <w:tabs>
                <w:tab w:val="left" w:pos="480"/>
              </w:tabs>
              <w:ind w:right="178"/>
              <w:jc w:val="righ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265,3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7E6918" w14:textId="46980231" w:rsidR="0080444C" w:rsidRPr="00E046F1" w:rsidRDefault="0080444C" w:rsidP="00257E9D">
            <w:pPr>
              <w:tabs>
                <w:tab w:val="left" w:pos="480"/>
              </w:tabs>
              <w:ind w:right="178"/>
              <w:jc w:val="right"/>
              <w:rPr>
                <w:rFonts w:ascii="Arial" w:eastAsia="Calibri" w:hAnsi="Arial"/>
                <w:b/>
                <w:sz w:val="22"/>
                <w:vertAlign w:val="superscript"/>
              </w:rPr>
            </w:pPr>
            <w:r w:rsidRPr="00E046F1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215,9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C927A1D" w14:textId="3BF0FA03" w:rsidR="0080444C" w:rsidRPr="00E046F1" w:rsidRDefault="0080444C" w:rsidP="00403C04">
            <w:pPr>
              <w:tabs>
                <w:tab w:val="left" w:pos="480"/>
              </w:tabs>
              <w:ind w:right="195"/>
              <w:jc w:val="right"/>
              <w:rPr>
                <w:rFonts w:ascii="Arial" w:eastAsia="Calibri" w:hAnsi="Arial"/>
                <w:b/>
                <w:sz w:val="22"/>
                <w:vertAlign w:val="superscript"/>
              </w:rPr>
            </w:pPr>
            <w:r w:rsidRPr="00E046F1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>93,5</w:t>
            </w:r>
          </w:p>
        </w:tc>
      </w:tr>
    </w:tbl>
    <w:p w14:paraId="236A901F" w14:textId="249CB829" w:rsidR="00521DBC" w:rsidRDefault="00521DBC" w:rsidP="00BD7A98">
      <w:pPr>
        <w:ind w:left="851" w:hanging="851"/>
        <w:jc w:val="both"/>
        <w:rPr>
          <w:rFonts w:ascii="Arial" w:hAnsi="Arial"/>
          <w:i/>
          <w:sz w:val="18"/>
        </w:rPr>
      </w:pPr>
      <w:r w:rsidRPr="00110CF7">
        <w:rPr>
          <w:rFonts w:ascii="Arial" w:hAnsi="Arial"/>
          <w:i/>
          <w:sz w:val="18"/>
        </w:rPr>
        <w:t xml:space="preserve">Pozn.:  </w:t>
      </w:r>
      <w:r w:rsidR="00CB36D3" w:rsidRPr="00BA1EDB">
        <w:rPr>
          <w:rFonts w:ascii="Arial" w:hAnsi="Arial" w:cs="Arial"/>
          <w:sz w:val="18"/>
          <w:szCs w:val="18"/>
          <w:vertAlign w:val="superscript"/>
          <w:lang w:val="en-US"/>
        </w:rPr>
        <w:t>*)</w:t>
      </w:r>
      <w:r w:rsidR="00CB36D3">
        <w:rPr>
          <w:rFonts w:ascii="Arial" w:hAnsi="Arial" w:cs="Arial"/>
          <w:sz w:val="18"/>
          <w:szCs w:val="18"/>
          <w:vertAlign w:val="superscript"/>
          <w:lang w:val="en-US"/>
        </w:rPr>
        <w:t xml:space="preserve"> </w:t>
      </w:r>
      <w:r w:rsidRPr="00110CF7">
        <w:rPr>
          <w:rFonts w:ascii="Arial" w:hAnsi="Arial"/>
          <w:i/>
          <w:sz w:val="18"/>
        </w:rPr>
        <w:t>V době předložení zprávy nebyly ještě všechny akce závěrečně vyhodnoceny, vlastní zdroje účastníků programu budou doplňovány po průběžném vyhodnocování jednotlivých akcí.</w:t>
      </w:r>
    </w:p>
    <w:p w14:paraId="36767F02" w14:textId="2367CEC9" w:rsidR="00CB36D3" w:rsidRDefault="00CB36D3" w:rsidP="00BD7A98">
      <w:pPr>
        <w:ind w:left="851" w:hanging="131"/>
        <w:jc w:val="both"/>
        <w:rPr>
          <w:rFonts w:ascii="Arial" w:hAnsi="Arial"/>
          <w:i/>
          <w:sz w:val="18"/>
        </w:rPr>
      </w:pPr>
      <w:r w:rsidRPr="00BA1EDB">
        <w:rPr>
          <w:rFonts w:ascii="Arial" w:hAnsi="Arial" w:cs="Arial"/>
          <w:sz w:val="18"/>
          <w:szCs w:val="18"/>
          <w:vertAlign w:val="superscript"/>
          <w:lang w:val="en-US"/>
        </w:rPr>
        <w:t>*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*</w:t>
      </w:r>
      <w:r w:rsidRPr="00BA1EDB">
        <w:rPr>
          <w:rFonts w:ascii="Arial" w:hAnsi="Arial" w:cs="Arial"/>
          <w:sz w:val="18"/>
          <w:szCs w:val="18"/>
          <w:vertAlign w:val="superscript"/>
          <w:lang w:val="en-US"/>
        </w:rPr>
        <w:t>)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 xml:space="preserve"> </w:t>
      </w:r>
      <w:r w:rsidRPr="00A21A50">
        <w:rPr>
          <w:rFonts w:ascii="Arial" w:hAnsi="Arial"/>
          <w:i/>
          <w:sz w:val="18"/>
        </w:rPr>
        <w:t xml:space="preserve">V rámci systému EDS nelze vyselektovat vlastní zdroje v minulých letech zvlášť, pouze </w:t>
      </w:r>
      <w:proofErr w:type="spellStart"/>
      <w:r w:rsidRPr="00A21A50">
        <w:rPr>
          <w:rFonts w:ascii="Arial" w:hAnsi="Arial"/>
          <w:i/>
          <w:sz w:val="18"/>
        </w:rPr>
        <w:t>agregovaně</w:t>
      </w:r>
      <w:proofErr w:type="spellEnd"/>
      <w:r w:rsidRPr="00A21A50">
        <w:rPr>
          <w:rFonts w:ascii="Arial" w:hAnsi="Arial"/>
          <w:i/>
          <w:sz w:val="18"/>
        </w:rPr>
        <w:t xml:space="preserve"> do 31. 12. 2018</w:t>
      </w:r>
    </w:p>
    <w:p w14:paraId="6074B502" w14:textId="77777777" w:rsidR="00CB36D3" w:rsidRPr="00110CF7" w:rsidRDefault="00CB36D3" w:rsidP="00BD7A98">
      <w:pPr>
        <w:ind w:left="851" w:hanging="131"/>
        <w:jc w:val="both"/>
        <w:rPr>
          <w:rFonts w:ascii="Arial" w:hAnsi="Arial"/>
          <w:i/>
          <w:sz w:val="18"/>
        </w:rPr>
      </w:pPr>
    </w:p>
    <w:p w14:paraId="4A27C9B5" w14:textId="360F0216" w:rsidR="00521DBC" w:rsidRDefault="00521DBC" w:rsidP="00BD7A9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7178FE">
        <w:rPr>
          <w:rFonts w:ascii="Arial" w:hAnsi="Arial" w:cs="Arial"/>
          <w:sz w:val="22"/>
          <w:szCs w:val="22"/>
        </w:rPr>
        <w:t xml:space="preserve">lavním cílem </w:t>
      </w:r>
      <w:r>
        <w:rPr>
          <w:rFonts w:ascii="Arial" w:hAnsi="Arial" w:cs="Arial"/>
          <w:sz w:val="22"/>
          <w:szCs w:val="22"/>
        </w:rPr>
        <w:t>P</w:t>
      </w:r>
      <w:r w:rsidRPr="007178FE">
        <w:rPr>
          <w:rFonts w:ascii="Arial" w:hAnsi="Arial" w:cs="Arial"/>
          <w:sz w:val="22"/>
          <w:szCs w:val="22"/>
        </w:rPr>
        <w:t xml:space="preserve">rogramu je podpora obnovení a zlepšení retenční schopnosti krajiny, zlepšení technického stavu rybničního fondu ČR, obnova vodohospodářských funkcí rybníků s ohledem na jejich schopnost snižování </w:t>
      </w:r>
      <w:proofErr w:type="spellStart"/>
      <w:r w:rsidR="00623E07">
        <w:rPr>
          <w:rFonts w:ascii="Arial" w:hAnsi="Arial" w:cs="Arial"/>
          <w:sz w:val="22"/>
          <w:szCs w:val="22"/>
        </w:rPr>
        <w:t>následků</w:t>
      </w:r>
      <w:r w:rsidRPr="007178FE">
        <w:rPr>
          <w:rFonts w:ascii="Arial" w:hAnsi="Arial" w:cs="Arial"/>
          <w:sz w:val="22"/>
          <w:szCs w:val="22"/>
        </w:rPr>
        <w:t>extrémních</w:t>
      </w:r>
      <w:proofErr w:type="spellEnd"/>
      <w:r w:rsidRPr="007178FE">
        <w:rPr>
          <w:rFonts w:ascii="Arial" w:hAnsi="Arial" w:cs="Arial"/>
          <w:sz w:val="22"/>
          <w:szCs w:val="22"/>
        </w:rPr>
        <w:t xml:space="preserve"> hydrologických situací, zejména tzv. </w:t>
      </w:r>
      <w:r w:rsidRPr="000A2BF0">
        <w:rPr>
          <w:rFonts w:ascii="Arial" w:hAnsi="Arial" w:cs="Arial"/>
          <w:sz w:val="22"/>
          <w:szCs w:val="22"/>
        </w:rPr>
        <w:t>zvláštních povodní způsobených přívalovými srážkami. Při tvorbě Programu byl kladen z</w:t>
      </w:r>
      <w:r w:rsidRPr="0092335D">
        <w:rPr>
          <w:rFonts w:ascii="Arial" w:hAnsi="Arial" w:cs="Arial"/>
          <w:sz w:val="22"/>
          <w:szCs w:val="22"/>
        </w:rPr>
        <w:t>výšený důraz na podporu zvyšování akumulace vody v krajině, a to v souvislosti s předpokládanými</w:t>
      </w:r>
      <w:r w:rsidRPr="007178FE">
        <w:rPr>
          <w:rFonts w:ascii="Arial" w:hAnsi="Arial" w:cs="Arial"/>
          <w:sz w:val="22"/>
          <w:szCs w:val="22"/>
        </w:rPr>
        <w:t xml:space="preserve"> epizodami suchých období s podprůměrným množstvím srážek. Akumulační objem bude vytvářen zejména při výstavbě nových vodních nádrží, při odbahňování značně zanesených rybníků nebo úpravami provozních hladin</w:t>
      </w:r>
      <w:r>
        <w:rPr>
          <w:rFonts w:ascii="Arial" w:hAnsi="Arial" w:cs="Arial"/>
          <w:sz w:val="22"/>
          <w:szCs w:val="22"/>
        </w:rPr>
        <w:t>,</w:t>
      </w:r>
      <w:r w:rsidRPr="007178FE">
        <w:rPr>
          <w:rFonts w:ascii="Arial" w:hAnsi="Arial" w:cs="Arial"/>
          <w:sz w:val="22"/>
          <w:szCs w:val="22"/>
        </w:rPr>
        <w:t xml:space="preserve"> například díky navýšení korun hrází a jejich celkovou rekonstrukcí. Všechny vodní nádrže podpořené v</w:t>
      </w:r>
      <w:r>
        <w:rPr>
          <w:rFonts w:ascii="Arial" w:hAnsi="Arial" w:cs="Arial"/>
          <w:sz w:val="22"/>
          <w:szCs w:val="22"/>
        </w:rPr>
        <w:t> </w:t>
      </w:r>
      <w:r w:rsidRPr="007178FE">
        <w:rPr>
          <w:rFonts w:ascii="Arial" w:hAnsi="Arial" w:cs="Arial"/>
          <w:sz w:val="22"/>
          <w:szCs w:val="22"/>
        </w:rPr>
        <w:t xml:space="preserve">rámci </w:t>
      </w:r>
      <w:r>
        <w:rPr>
          <w:rFonts w:ascii="Arial" w:hAnsi="Arial" w:cs="Arial"/>
          <w:sz w:val="22"/>
          <w:szCs w:val="22"/>
        </w:rPr>
        <w:t>P</w:t>
      </w:r>
      <w:r w:rsidRPr="007178FE">
        <w:rPr>
          <w:rFonts w:ascii="Arial" w:hAnsi="Arial" w:cs="Arial"/>
          <w:sz w:val="22"/>
          <w:szCs w:val="22"/>
        </w:rPr>
        <w:t>rogramu budou zabezpečeny na průchod povodňových průtoků o hodnotě min. Q</w:t>
      </w:r>
      <w:r w:rsidRPr="007178FE">
        <w:rPr>
          <w:rFonts w:ascii="Arial" w:hAnsi="Arial" w:cs="Arial"/>
          <w:sz w:val="22"/>
          <w:szCs w:val="22"/>
          <w:vertAlign w:val="subscript"/>
        </w:rPr>
        <w:t>100</w:t>
      </w:r>
      <w:r w:rsidRPr="007178FE">
        <w:rPr>
          <w:rFonts w:ascii="Arial" w:hAnsi="Arial" w:cs="Arial"/>
          <w:sz w:val="22"/>
          <w:szCs w:val="22"/>
        </w:rPr>
        <w:t xml:space="preserve"> a vyšší. Předpokládá se také zlepšení podmínek pro chov ryb. V neposlední řadě jsou rybníky klasifikovány jako významné krajinné prvky s pozitivním vlivem na místní mikroklima i</w:t>
      </w:r>
      <w:r>
        <w:rPr>
          <w:rFonts w:ascii="Arial" w:hAnsi="Arial" w:cs="Arial"/>
          <w:sz w:val="22"/>
          <w:szCs w:val="22"/>
        </w:rPr>
        <w:t> </w:t>
      </w:r>
      <w:r w:rsidRPr="007178FE">
        <w:rPr>
          <w:rFonts w:ascii="Arial" w:hAnsi="Arial" w:cs="Arial"/>
          <w:sz w:val="22"/>
          <w:szCs w:val="22"/>
        </w:rPr>
        <w:t>biodiverzitu. Předpokládaný rozsah realizace jednotlivých parametrů vodních nádrží v</w:t>
      </w:r>
      <w:r>
        <w:rPr>
          <w:rFonts w:ascii="Arial" w:hAnsi="Arial" w:cs="Arial"/>
          <w:sz w:val="22"/>
          <w:szCs w:val="22"/>
        </w:rPr>
        <w:t> </w:t>
      </w:r>
      <w:r w:rsidRPr="007178FE">
        <w:rPr>
          <w:rFonts w:ascii="Arial" w:hAnsi="Arial" w:cs="Arial"/>
          <w:sz w:val="22"/>
          <w:szCs w:val="22"/>
        </w:rPr>
        <w:t>průběhu realizace Programu je kvantifikován v následující tabulce</w:t>
      </w:r>
      <w:r>
        <w:rPr>
          <w:rFonts w:ascii="Arial" w:hAnsi="Arial" w:cs="Arial"/>
          <w:sz w:val="22"/>
          <w:szCs w:val="22"/>
        </w:rPr>
        <w:t>.</w:t>
      </w:r>
    </w:p>
    <w:p w14:paraId="25FB9867" w14:textId="52909F98" w:rsidR="005A47B8" w:rsidRDefault="005A47B8" w:rsidP="00521DBC">
      <w:pPr>
        <w:spacing w:before="240" w:after="2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11477B70" w14:textId="401BBDDD" w:rsidR="008A74AA" w:rsidRDefault="008A74AA" w:rsidP="00521DBC">
      <w:pPr>
        <w:spacing w:before="240" w:after="2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034F92AB" w14:textId="77777777" w:rsidR="008A74AA" w:rsidRDefault="008A74AA" w:rsidP="00521DBC">
      <w:pPr>
        <w:spacing w:before="240" w:after="2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7371F36D" w14:textId="7E308217" w:rsidR="00521DBC" w:rsidRPr="007178FE" w:rsidRDefault="00521DBC" w:rsidP="00521DBC">
      <w:pPr>
        <w:spacing w:before="240" w:after="20"/>
        <w:jc w:val="both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lastRenderedPageBreak/>
        <w:t>P</w:t>
      </w:r>
      <w:r w:rsidRPr="007178FE">
        <w:rPr>
          <w:rFonts w:ascii="Arial" w:hAnsi="Arial" w:cs="Arial"/>
          <w:b/>
          <w:i/>
          <w:iCs/>
          <w:sz w:val="22"/>
          <w:szCs w:val="22"/>
        </w:rPr>
        <w:t>rogram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7178FE">
        <w:rPr>
          <w:rFonts w:ascii="Arial" w:hAnsi="Arial" w:cs="Arial"/>
          <w:b/>
          <w:i/>
          <w:iCs/>
          <w:sz w:val="22"/>
          <w:szCs w:val="22"/>
        </w:rPr>
        <w:t>129 280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– s</w:t>
      </w:r>
      <w:r w:rsidRPr="007178FE">
        <w:rPr>
          <w:rFonts w:ascii="Arial" w:hAnsi="Arial" w:cs="Arial"/>
          <w:b/>
          <w:i/>
          <w:iCs/>
          <w:sz w:val="22"/>
          <w:szCs w:val="22"/>
        </w:rPr>
        <w:t xml:space="preserve">tanovení orientačních ukazatelů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8"/>
        <w:gridCol w:w="1134"/>
        <w:gridCol w:w="1258"/>
      </w:tblGrid>
      <w:tr w:rsidR="00521DBC" w:rsidRPr="007178FE" w14:paraId="2F804093" w14:textId="77777777" w:rsidTr="00F85762">
        <w:trPr>
          <w:trHeight w:val="340"/>
        </w:trPr>
        <w:tc>
          <w:tcPr>
            <w:tcW w:w="36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5949228" w14:textId="77777777" w:rsidR="00521DBC" w:rsidRPr="007178FE" w:rsidRDefault="00521DBC" w:rsidP="00D97BC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Název parametru</w:t>
            </w:r>
          </w:p>
        </w:tc>
        <w:tc>
          <w:tcPr>
            <w:tcW w:w="627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FB80895" w14:textId="77777777" w:rsidR="00521DBC" w:rsidRPr="007178FE" w:rsidRDefault="00521DBC" w:rsidP="00D97BC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Jedn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69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322E264E" w14:textId="77777777" w:rsidR="00521DBC" w:rsidRPr="007178FE" w:rsidRDefault="00521DBC" w:rsidP="00D97BCB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Hodnota parametru</w:t>
            </w:r>
          </w:p>
        </w:tc>
      </w:tr>
      <w:tr w:rsidR="00521DBC" w:rsidRPr="007178FE" w14:paraId="37CD6534" w14:textId="77777777" w:rsidTr="00F85762">
        <w:trPr>
          <w:trHeight w:val="340"/>
        </w:trPr>
        <w:tc>
          <w:tcPr>
            <w:tcW w:w="3677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A10C1" w14:textId="77777777" w:rsidR="00521DBC" w:rsidRPr="007178FE" w:rsidRDefault="00521DBC" w:rsidP="00D97BC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>Vodní plocha vybudovaných nádrží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1B5A5" w14:textId="77777777" w:rsidR="00521DBC" w:rsidRPr="007178FE" w:rsidRDefault="00521DBC" w:rsidP="00D97BC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>ha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C26C9C" w14:textId="77777777" w:rsidR="00521DBC" w:rsidRPr="007178FE" w:rsidRDefault="00521DBC" w:rsidP="00D97BC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>130</w:t>
            </w:r>
          </w:p>
        </w:tc>
      </w:tr>
      <w:tr w:rsidR="00521DBC" w:rsidRPr="007178FE" w14:paraId="387E6E69" w14:textId="77777777" w:rsidTr="00F85762">
        <w:trPr>
          <w:trHeight w:val="340"/>
        </w:trPr>
        <w:tc>
          <w:tcPr>
            <w:tcW w:w="3677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04F22" w14:textId="77777777" w:rsidR="00521DBC" w:rsidRPr="007178FE" w:rsidRDefault="00521DBC" w:rsidP="00D97BC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>Vybudování, oprava a rekonstrukce hráze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8C3FC" w14:textId="77777777" w:rsidR="00521DBC" w:rsidRPr="007178FE" w:rsidRDefault="00521DBC" w:rsidP="00D97BC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Pr="007178F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E38552" w14:textId="77777777" w:rsidR="00521DBC" w:rsidRPr="007178FE" w:rsidRDefault="00521DBC" w:rsidP="00D97BC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>199 870</w:t>
            </w:r>
          </w:p>
        </w:tc>
      </w:tr>
      <w:tr w:rsidR="00521DBC" w:rsidRPr="007178FE" w14:paraId="76F87996" w14:textId="77777777" w:rsidTr="00F85762">
        <w:trPr>
          <w:trHeight w:val="340"/>
        </w:trPr>
        <w:tc>
          <w:tcPr>
            <w:tcW w:w="3677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E80E4" w14:textId="77777777" w:rsidR="00521DBC" w:rsidRPr="007178FE" w:rsidRDefault="00521DBC" w:rsidP="00D97BC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>Vybudování, oprav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 a rekonstrukce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bezp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>přelivu na min Q</w:t>
            </w:r>
            <w:r w:rsidRPr="00B50BE9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3A75B" w14:textId="77777777" w:rsidR="00521DBC" w:rsidRPr="007178FE" w:rsidRDefault="00521DBC" w:rsidP="00D97BC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B849EA" w14:textId="77777777" w:rsidR="00521DBC" w:rsidRPr="007178FE" w:rsidRDefault="00521DBC" w:rsidP="00D97BC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>1 897</w:t>
            </w:r>
          </w:p>
        </w:tc>
      </w:tr>
      <w:tr w:rsidR="00521DBC" w:rsidRPr="007178FE" w14:paraId="53754BD4" w14:textId="77777777" w:rsidTr="00F85762">
        <w:trPr>
          <w:trHeight w:val="340"/>
        </w:trPr>
        <w:tc>
          <w:tcPr>
            <w:tcW w:w="3677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D58B1" w14:textId="77777777" w:rsidR="00521DBC" w:rsidRPr="007178FE" w:rsidRDefault="00521DBC" w:rsidP="00D97BC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>Odstranění sedimentu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0590A" w14:textId="77777777" w:rsidR="00521DBC" w:rsidRPr="007178FE" w:rsidRDefault="00521DBC" w:rsidP="00D97BC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 xml:space="preserve"> m</w:t>
            </w:r>
            <w:r w:rsidRPr="007178F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04AD33" w14:textId="77777777" w:rsidR="00521DBC" w:rsidRPr="007178FE" w:rsidRDefault="00521DBC" w:rsidP="00D97BC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>1 600 000</w:t>
            </w:r>
          </w:p>
        </w:tc>
      </w:tr>
      <w:tr w:rsidR="00521DBC" w:rsidRPr="007178FE" w14:paraId="6745E59D" w14:textId="77777777" w:rsidTr="00F85762">
        <w:trPr>
          <w:trHeight w:val="340"/>
        </w:trPr>
        <w:tc>
          <w:tcPr>
            <w:tcW w:w="3677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AD6BC" w14:textId="77777777" w:rsidR="00521DBC" w:rsidRPr="007178FE" w:rsidRDefault="00521DBC" w:rsidP="00D97BC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>Retenční prostor nových nádrží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CD885" w14:textId="77777777" w:rsidR="00521DBC" w:rsidRPr="007178FE" w:rsidRDefault="00521DBC" w:rsidP="00D97BC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 xml:space="preserve"> m</w:t>
            </w:r>
            <w:r w:rsidRPr="007178F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4B2137" w14:textId="77777777" w:rsidR="00521DBC" w:rsidRPr="007178FE" w:rsidRDefault="00521DBC" w:rsidP="00D97BC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>1 000 000</w:t>
            </w:r>
          </w:p>
        </w:tc>
      </w:tr>
      <w:tr w:rsidR="00521DBC" w:rsidRPr="007178FE" w14:paraId="065CA98D" w14:textId="77777777" w:rsidTr="00F85762">
        <w:trPr>
          <w:trHeight w:val="340"/>
        </w:trPr>
        <w:tc>
          <w:tcPr>
            <w:tcW w:w="3677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69F6F" w14:textId="77777777" w:rsidR="00521DBC" w:rsidRPr="007178FE" w:rsidRDefault="00521DBC" w:rsidP="00D97BC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>Objem zásobního prostoru nových nádrží</w:t>
            </w:r>
          </w:p>
        </w:tc>
        <w:tc>
          <w:tcPr>
            <w:tcW w:w="627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F58A3" w14:textId="77777777" w:rsidR="00521DBC" w:rsidRPr="007178FE" w:rsidRDefault="00521DBC" w:rsidP="00D97BC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 xml:space="preserve"> m</w:t>
            </w:r>
            <w:r w:rsidRPr="007178F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185408" w14:textId="77777777" w:rsidR="00521DBC" w:rsidRPr="007178FE" w:rsidRDefault="00521DBC" w:rsidP="00D97BC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8FE">
              <w:rPr>
                <w:rFonts w:ascii="Arial" w:hAnsi="Arial" w:cs="Arial"/>
                <w:color w:val="000000"/>
                <w:sz w:val="22"/>
                <w:szCs w:val="22"/>
              </w:rPr>
              <w:t>2 000 000</w:t>
            </w:r>
          </w:p>
        </w:tc>
      </w:tr>
    </w:tbl>
    <w:p w14:paraId="6FCB6D1F" w14:textId="77777777" w:rsidR="004D2161" w:rsidRDefault="004D2161" w:rsidP="00F85762">
      <w:pPr>
        <w:jc w:val="both"/>
        <w:rPr>
          <w:rFonts w:ascii="Arial" w:hAnsi="Arial" w:cs="Arial"/>
          <w:sz w:val="22"/>
          <w:szCs w:val="22"/>
        </w:rPr>
      </w:pPr>
    </w:p>
    <w:p w14:paraId="79F0DF63" w14:textId="4A59BD99" w:rsidR="00521DBC" w:rsidRPr="007178FE" w:rsidRDefault="00521DBC" w:rsidP="00F85762">
      <w:pPr>
        <w:jc w:val="both"/>
        <w:rPr>
          <w:rFonts w:ascii="Arial" w:hAnsi="Arial" w:cs="Arial"/>
          <w:sz w:val="22"/>
          <w:szCs w:val="22"/>
        </w:rPr>
      </w:pPr>
      <w:r w:rsidRPr="007178FE">
        <w:rPr>
          <w:rFonts w:ascii="Arial" w:hAnsi="Arial" w:cs="Arial"/>
          <w:sz w:val="22"/>
          <w:szCs w:val="22"/>
        </w:rPr>
        <w:t>Program je členěn na tři podprogramy:</w:t>
      </w:r>
    </w:p>
    <w:p w14:paraId="28B6CE3B" w14:textId="77777777" w:rsidR="00F85762" w:rsidRDefault="00F85762" w:rsidP="00F85762">
      <w:pPr>
        <w:jc w:val="both"/>
        <w:rPr>
          <w:rFonts w:ascii="Arial" w:hAnsi="Arial" w:cs="Arial"/>
          <w:sz w:val="22"/>
          <w:szCs w:val="22"/>
        </w:rPr>
      </w:pPr>
    </w:p>
    <w:p w14:paraId="08126B41" w14:textId="77777777" w:rsidR="00521DBC" w:rsidRPr="007178FE" w:rsidRDefault="00521DBC" w:rsidP="00F85762">
      <w:pPr>
        <w:jc w:val="both"/>
        <w:rPr>
          <w:rFonts w:ascii="Arial" w:hAnsi="Arial" w:cs="Arial"/>
          <w:sz w:val="22"/>
          <w:szCs w:val="22"/>
        </w:rPr>
      </w:pPr>
      <w:r w:rsidRPr="007178FE">
        <w:rPr>
          <w:rFonts w:ascii="Arial" w:hAnsi="Arial" w:cs="Arial"/>
          <w:sz w:val="22"/>
          <w:szCs w:val="22"/>
        </w:rPr>
        <w:t xml:space="preserve">Podprogram 129 282 </w:t>
      </w:r>
      <w:r w:rsidR="00F85762">
        <w:rPr>
          <w:rFonts w:ascii="Arial" w:hAnsi="Arial" w:cs="Arial"/>
          <w:sz w:val="22"/>
          <w:szCs w:val="22"/>
        </w:rPr>
        <w:t>„</w:t>
      </w:r>
      <w:r w:rsidRPr="007178FE">
        <w:rPr>
          <w:rFonts w:ascii="Arial" w:hAnsi="Arial" w:cs="Arial"/>
          <w:sz w:val="22"/>
          <w:szCs w:val="22"/>
        </w:rPr>
        <w:t>Podpora výstavby, obnovy, rekonstrukce a odbahnění rybníků a</w:t>
      </w:r>
      <w:r>
        <w:rPr>
          <w:rFonts w:ascii="Arial" w:hAnsi="Arial" w:cs="Arial"/>
          <w:sz w:val="22"/>
          <w:szCs w:val="22"/>
        </w:rPr>
        <w:t> </w:t>
      </w:r>
      <w:r w:rsidRPr="007178FE">
        <w:rPr>
          <w:rFonts w:ascii="Arial" w:hAnsi="Arial" w:cs="Arial"/>
          <w:sz w:val="22"/>
          <w:szCs w:val="22"/>
        </w:rPr>
        <w:t>vodních nádrží</w:t>
      </w:r>
      <w:r w:rsidR="00F85762">
        <w:rPr>
          <w:rFonts w:ascii="Arial" w:hAnsi="Arial" w:cs="Arial"/>
          <w:sz w:val="22"/>
          <w:szCs w:val="22"/>
        </w:rPr>
        <w:t>“</w:t>
      </w:r>
      <w:r w:rsidRPr="007178FE">
        <w:rPr>
          <w:rFonts w:ascii="Arial" w:hAnsi="Arial" w:cs="Arial"/>
          <w:sz w:val="22"/>
          <w:szCs w:val="22"/>
        </w:rPr>
        <w:t xml:space="preserve">. Jedná se o hlavní nosný podprogram, jehož cílem je podpora výstavby nebo obnova dlouhodobě nefunkčních rybníků. Dále je podporována rekonstrukce stávajících rybníků, zlepšení jejich technického stavu a celkové odbahnění zátopy s ohledem na snižování důsledků extrémních hydrologických situací – povodní a sucha. </w:t>
      </w:r>
    </w:p>
    <w:p w14:paraId="0A9ABDBB" w14:textId="77777777" w:rsidR="00521DBC" w:rsidRPr="007178FE" w:rsidRDefault="00521DBC" w:rsidP="00F85762">
      <w:pPr>
        <w:jc w:val="both"/>
        <w:rPr>
          <w:rFonts w:ascii="Arial" w:hAnsi="Arial" w:cs="Arial"/>
          <w:sz w:val="22"/>
          <w:szCs w:val="22"/>
        </w:rPr>
      </w:pPr>
      <w:r w:rsidRPr="007178FE">
        <w:rPr>
          <w:rFonts w:ascii="Arial" w:hAnsi="Arial" w:cs="Arial"/>
          <w:sz w:val="22"/>
          <w:szCs w:val="22"/>
        </w:rPr>
        <w:t xml:space="preserve">Podprogram 129 283 </w:t>
      </w:r>
      <w:r w:rsidR="00F85762">
        <w:rPr>
          <w:rFonts w:ascii="Arial" w:hAnsi="Arial" w:cs="Arial"/>
          <w:sz w:val="22"/>
          <w:szCs w:val="22"/>
        </w:rPr>
        <w:t>„</w:t>
      </w:r>
      <w:r w:rsidRPr="007178FE">
        <w:rPr>
          <w:rFonts w:ascii="Arial" w:hAnsi="Arial" w:cs="Arial"/>
          <w:sz w:val="22"/>
          <w:szCs w:val="22"/>
        </w:rPr>
        <w:t>Odstranění havarijních situací na rybnících a vodních nádržích</w:t>
      </w:r>
      <w:r w:rsidR="00F85762">
        <w:rPr>
          <w:rFonts w:ascii="Arial" w:hAnsi="Arial" w:cs="Arial"/>
          <w:sz w:val="22"/>
          <w:szCs w:val="22"/>
        </w:rPr>
        <w:t>“</w:t>
      </w:r>
      <w:r w:rsidRPr="007178FE">
        <w:rPr>
          <w:rFonts w:ascii="Arial" w:hAnsi="Arial" w:cs="Arial"/>
          <w:sz w:val="22"/>
          <w:szCs w:val="22"/>
        </w:rPr>
        <w:t xml:space="preserve"> je zaměřen na rekonstrukci rybníků ve špatném technickém stavu, jehož náprava je ve veřejném zájmu. V důsledku havarijní situace na rybníku musí být pod vodním dílem vyhlášen 2. nebo 3. stupeň povodňové aktivity nebo stav nebezpečí.</w:t>
      </w:r>
    </w:p>
    <w:p w14:paraId="6D6D6421" w14:textId="77777777" w:rsidR="00F85762" w:rsidRDefault="00F85762" w:rsidP="00F85762">
      <w:pPr>
        <w:jc w:val="both"/>
        <w:rPr>
          <w:rFonts w:ascii="Arial" w:hAnsi="Arial" w:cs="Arial"/>
          <w:sz w:val="22"/>
          <w:szCs w:val="22"/>
        </w:rPr>
      </w:pPr>
    </w:p>
    <w:p w14:paraId="18A744D8" w14:textId="77777777" w:rsidR="00521DBC" w:rsidRPr="007178FE" w:rsidRDefault="00521DBC" w:rsidP="00F85762">
      <w:pPr>
        <w:jc w:val="both"/>
        <w:rPr>
          <w:rFonts w:ascii="Arial" w:hAnsi="Arial" w:cs="Arial"/>
          <w:sz w:val="22"/>
          <w:szCs w:val="22"/>
        </w:rPr>
      </w:pPr>
      <w:r w:rsidRPr="007178FE">
        <w:rPr>
          <w:rFonts w:ascii="Arial" w:hAnsi="Arial" w:cs="Arial"/>
          <w:sz w:val="22"/>
          <w:szCs w:val="22"/>
        </w:rPr>
        <w:t xml:space="preserve">Podprogram 129 284 </w:t>
      </w:r>
      <w:r w:rsidR="00F85762">
        <w:rPr>
          <w:rFonts w:ascii="Arial" w:hAnsi="Arial" w:cs="Arial"/>
          <w:sz w:val="22"/>
          <w:szCs w:val="22"/>
        </w:rPr>
        <w:t>„</w:t>
      </w:r>
      <w:r w:rsidRPr="007178FE">
        <w:rPr>
          <w:rFonts w:ascii="Arial" w:hAnsi="Arial" w:cs="Arial"/>
          <w:sz w:val="22"/>
          <w:szCs w:val="22"/>
        </w:rPr>
        <w:t>Odstranění povodňových škod na rybnících a vodních nádržích</w:t>
      </w:r>
      <w:r w:rsidR="00F85762">
        <w:rPr>
          <w:rFonts w:ascii="Arial" w:hAnsi="Arial" w:cs="Arial"/>
          <w:sz w:val="22"/>
          <w:szCs w:val="22"/>
        </w:rPr>
        <w:t>“</w:t>
      </w:r>
      <w:r w:rsidRPr="007178FE">
        <w:rPr>
          <w:rFonts w:ascii="Arial" w:hAnsi="Arial" w:cs="Arial"/>
          <w:sz w:val="22"/>
          <w:szCs w:val="22"/>
        </w:rPr>
        <w:t xml:space="preserve"> je určen na odstranění škod, vzniklých v důsledku případné povodně. Škody musí jednotlivě přesáhnout 250 tis. Kč. Tento podprogram bude spuštěn v případě zásadních povodňových událostí a zároveň</w:t>
      </w:r>
      <w:r>
        <w:rPr>
          <w:rFonts w:ascii="Arial" w:hAnsi="Arial" w:cs="Arial"/>
          <w:sz w:val="22"/>
          <w:szCs w:val="22"/>
        </w:rPr>
        <w:t>,</w:t>
      </w:r>
      <w:r w:rsidRPr="007178FE">
        <w:rPr>
          <w:rFonts w:ascii="Arial" w:hAnsi="Arial" w:cs="Arial"/>
          <w:sz w:val="22"/>
          <w:szCs w:val="22"/>
        </w:rPr>
        <w:t xml:space="preserve"> pokud na něj budou vyčleněny zvláštní prostředky nad rámec rozpočtu Programu.</w:t>
      </w:r>
    </w:p>
    <w:p w14:paraId="6408D9E0" w14:textId="77777777" w:rsidR="00F85762" w:rsidRDefault="00F85762" w:rsidP="00F85762">
      <w:pPr>
        <w:jc w:val="both"/>
        <w:rPr>
          <w:rFonts w:ascii="Arial" w:hAnsi="Arial" w:cs="Arial"/>
          <w:sz w:val="22"/>
          <w:szCs w:val="22"/>
        </w:rPr>
      </w:pPr>
    </w:p>
    <w:p w14:paraId="429B442F" w14:textId="77777777" w:rsidR="00521DBC" w:rsidRDefault="00521DBC" w:rsidP="00F85762">
      <w:pPr>
        <w:jc w:val="both"/>
        <w:rPr>
          <w:rFonts w:ascii="Arial" w:hAnsi="Arial" w:cs="Arial"/>
          <w:sz w:val="22"/>
          <w:szCs w:val="22"/>
        </w:rPr>
      </w:pPr>
      <w:r w:rsidRPr="008D1342">
        <w:rPr>
          <w:rFonts w:ascii="Arial" w:hAnsi="Arial" w:cs="Arial"/>
          <w:sz w:val="22"/>
          <w:szCs w:val="22"/>
        </w:rPr>
        <w:t xml:space="preserve">Od spuštění Programu v závěru roku 2016 byly postupně přijímány žádosti. V rámci čtyř výzev prošlo ke konci roku 2020 procesem administrace celkem 159 žádostí, a to 150 v rámci podprogramu 129 282 a 9 </w:t>
      </w:r>
      <w:r w:rsidR="00DB434E" w:rsidRPr="008D1342">
        <w:rPr>
          <w:rFonts w:ascii="Arial" w:hAnsi="Arial" w:cs="Arial"/>
          <w:sz w:val="22"/>
          <w:szCs w:val="22"/>
        </w:rPr>
        <w:t>žádost</w:t>
      </w:r>
      <w:r w:rsidR="00DB434E">
        <w:rPr>
          <w:rFonts w:ascii="Arial" w:hAnsi="Arial" w:cs="Arial"/>
          <w:sz w:val="22"/>
          <w:szCs w:val="22"/>
        </w:rPr>
        <w:t>í</w:t>
      </w:r>
      <w:r w:rsidR="00DB434E" w:rsidRPr="008D1342">
        <w:rPr>
          <w:rFonts w:ascii="Arial" w:hAnsi="Arial" w:cs="Arial"/>
          <w:sz w:val="22"/>
          <w:szCs w:val="22"/>
        </w:rPr>
        <w:t xml:space="preserve"> </w:t>
      </w:r>
      <w:r w:rsidRPr="008D1342">
        <w:rPr>
          <w:rFonts w:ascii="Arial" w:hAnsi="Arial" w:cs="Arial"/>
          <w:sz w:val="22"/>
          <w:szCs w:val="22"/>
        </w:rPr>
        <w:t>v rámci podprogramu 129 283. Zejména kvůli potřebnému dodržování zákonných lhůt, například při realizaci výběrových řízení a dále při prodlužování termínů realizace akcí z důvodu nepříznivého počasí, nebyly do konce roku 2020 ještě všechny akce definitivně závěrečně vyhodnoceny.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993A8CC" w14:textId="77777777" w:rsidR="00F85762" w:rsidRDefault="00F85762" w:rsidP="00F85762">
      <w:pPr>
        <w:jc w:val="both"/>
        <w:rPr>
          <w:rFonts w:ascii="Arial" w:hAnsi="Arial" w:cs="Arial"/>
          <w:b/>
          <w:sz w:val="22"/>
          <w:szCs w:val="22"/>
        </w:rPr>
      </w:pPr>
    </w:p>
    <w:p w14:paraId="10BF7F44" w14:textId="77777777" w:rsidR="00521DBC" w:rsidRDefault="00521DBC" w:rsidP="00F85762">
      <w:pPr>
        <w:jc w:val="both"/>
        <w:rPr>
          <w:rFonts w:ascii="Arial" w:hAnsi="Arial" w:cs="Arial"/>
          <w:b/>
          <w:sz w:val="22"/>
          <w:szCs w:val="22"/>
        </w:rPr>
      </w:pPr>
      <w:r w:rsidRPr="00FD6BE1">
        <w:rPr>
          <w:rFonts w:ascii="Arial" w:hAnsi="Arial" w:cs="Arial"/>
          <w:b/>
          <w:sz w:val="22"/>
          <w:szCs w:val="22"/>
        </w:rPr>
        <w:t>Příklady vybraných akcí</w:t>
      </w:r>
      <w:r>
        <w:rPr>
          <w:rFonts w:ascii="Arial" w:hAnsi="Arial" w:cs="Arial"/>
          <w:b/>
          <w:sz w:val="22"/>
          <w:szCs w:val="22"/>
        </w:rPr>
        <w:t xml:space="preserve">, které byly zahájeny </w:t>
      </w:r>
      <w:r w:rsidRPr="00FD6BE1">
        <w:rPr>
          <w:rFonts w:ascii="Arial" w:hAnsi="Arial" w:cs="Arial"/>
          <w:b/>
          <w:sz w:val="22"/>
          <w:szCs w:val="22"/>
        </w:rPr>
        <w:t>v </w:t>
      </w:r>
      <w:r>
        <w:rPr>
          <w:rFonts w:ascii="Arial" w:hAnsi="Arial" w:cs="Arial"/>
          <w:b/>
          <w:sz w:val="22"/>
          <w:szCs w:val="22"/>
        </w:rPr>
        <w:t>roce 2018</w:t>
      </w:r>
    </w:p>
    <w:p w14:paraId="1D820F6C" w14:textId="77777777" w:rsidR="00F85762" w:rsidRPr="00FD6BE1" w:rsidRDefault="00F85762" w:rsidP="00F85762">
      <w:pPr>
        <w:jc w:val="both"/>
        <w:rPr>
          <w:rFonts w:ascii="Arial" w:hAnsi="Arial" w:cs="Arial"/>
          <w:b/>
          <w:sz w:val="22"/>
          <w:szCs w:val="22"/>
        </w:rPr>
      </w:pPr>
    </w:p>
    <w:p w14:paraId="21967329" w14:textId="4BAA2D7E" w:rsidR="00521DBC" w:rsidRDefault="00521DBC" w:rsidP="00F8576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658D4">
        <w:rPr>
          <w:rFonts w:ascii="Arial" w:hAnsi="Arial" w:cs="Arial"/>
          <w:b/>
          <w:bCs/>
          <w:sz w:val="22"/>
          <w:szCs w:val="22"/>
        </w:rPr>
        <w:t xml:space="preserve">„Výstavba MVN Petr pro optimalizaci vodního režimu a revitalizaci krajiny v </w:t>
      </w:r>
      <w:proofErr w:type="spellStart"/>
      <w:r w:rsidRPr="004658D4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Pr="004658D4">
        <w:rPr>
          <w:rFonts w:ascii="Arial" w:hAnsi="Arial" w:cs="Arial"/>
          <w:b/>
          <w:bCs/>
          <w:sz w:val="22"/>
          <w:szCs w:val="22"/>
        </w:rPr>
        <w:t xml:space="preserve">. Andělská Hora“ </w:t>
      </w:r>
      <w:r w:rsidRPr="004658D4">
        <w:rPr>
          <w:rFonts w:ascii="Arial" w:hAnsi="Arial" w:cs="Arial"/>
          <w:bCs/>
          <w:sz w:val="22"/>
          <w:szCs w:val="22"/>
        </w:rPr>
        <w:t xml:space="preserve">od žadatele Petra Antona, s celkovými náklady 5,899 mil. Kč. Jedná se </w:t>
      </w:r>
      <w:r w:rsidR="00552766" w:rsidRPr="004658D4">
        <w:rPr>
          <w:rFonts w:ascii="Arial" w:hAnsi="Arial" w:cs="Arial"/>
          <w:bCs/>
          <w:sz w:val="22"/>
          <w:szCs w:val="22"/>
        </w:rPr>
        <w:t>o</w:t>
      </w:r>
      <w:r w:rsidR="00552766">
        <w:rPr>
          <w:rFonts w:ascii="Arial" w:hAnsi="Arial" w:cs="Arial"/>
          <w:bCs/>
          <w:sz w:val="22"/>
          <w:szCs w:val="22"/>
        </w:rPr>
        <w:t> </w:t>
      </w:r>
      <w:r w:rsidRPr="004658D4">
        <w:rPr>
          <w:rFonts w:ascii="Arial" w:hAnsi="Arial" w:cs="Arial"/>
          <w:bCs/>
          <w:sz w:val="22"/>
          <w:szCs w:val="22"/>
        </w:rPr>
        <w:t>výstavbu malé vodní nádrže o celkové rozloze 2,06 ha při normální provozní hladině. Nádrž se zásobním objemem 14 420 m</w:t>
      </w:r>
      <w:r w:rsidRPr="004658D4">
        <w:rPr>
          <w:rFonts w:ascii="Arial" w:hAnsi="Arial" w:cs="Arial"/>
          <w:bCs/>
          <w:sz w:val="22"/>
          <w:szCs w:val="22"/>
          <w:vertAlign w:val="superscript"/>
        </w:rPr>
        <w:t>3</w:t>
      </w:r>
      <w:r w:rsidRPr="004658D4">
        <w:rPr>
          <w:rFonts w:ascii="Arial" w:hAnsi="Arial" w:cs="Arial"/>
          <w:bCs/>
          <w:sz w:val="22"/>
          <w:szCs w:val="22"/>
        </w:rPr>
        <w:t xml:space="preserve"> a retenčním objemem 6 050 m</w:t>
      </w:r>
      <w:r w:rsidRPr="004658D4">
        <w:rPr>
          <w:rFonts w:ascii="Arial" w:hAnsi="Arial" w:cs="Arial"/>
          <w:bCs/>
          <w:sz w:val="22"/>
          <w:szCs w:val="22"/>
          <w:vertAlign w:val="superscript"/>
        </w:rPr>
        <w:t>3</w:t>
      </w:r>
      <w:r w:rsidRPr="004658D4">
        <w:rPr>
          <w:rFonts w:ascii="Arial" w:hAnsi="Arial" w:cs="Arial"/>
          <w:bCs/>
          <w:sz w:val="22"/>
          <w:szCs w:val="22"/>
        </w:rPr>
        <w:t xml:space="preserve"> je vybavena výpustným zařízeními požerákového typu a čelním bezpečnostním přelivem, navrženým na převedení povodňového průtoku Q</w:t>
      </w:r>
      <w:r w:rsidRPr="004658D4">
        <w:rPr>
          <w:rFonts w:ascii="Arial" w:hAnsi="Arial" w:cs="Arial"/>
          <w:bCs/>
          <w:sz w:val="22"/>
          <w:szCs w:val="22"/>
          <w:vertAlign w:val="subscript"/>
        </w:rPr>
        <w:t xml:space="preserve">100. </w:t>
      </w:r>
      <w:r w:rsidRPr="004658D4">
        <w:rPr>
          <w:rFonts w:ascii="Arial" w:hAnsi="Arial" w:cs="Arial"/>
          <w:bCs/>
          <w:sz w:val="22"/>
          <w:szCs w:val="22"/>
        </w:rPr>
        <w:t xml:space="preserve">Vodní nádrž spadá do IV. kategorie dle TBD (vyhláška </w:t>
      </w:r>
      <w:r w:rsidRPr="004658D4">
        <w:rPr>
          <w:rFonts w:ascii="Arial" w:hAnsi="Arial" w:cs="Arial"/>
          <w:bCs/>
          <w:sz w:val="22"/>
          <w:szCs w:val="22"/>
        </w:rPr>
        <w:br/>
        <w:t>č. 471/2001 Sb., o </w:t>
      </w:r>
      <w:proofErr w:type="spellStart"/>
      <w:r w:rsidRPr="004658D4">
        <w:rPr>
          <w:rFonts w:ascii="Arial" w:hAnsi="Arial" w:cs="Arial"/>
          <w:bCs/>
          <w:sz w:val="22"/>
          <w:szCs w:val="22"/>
        </w:rPr>
        <w:t>technicko-bezpečnostním</w:t>
      </w:r>
      <w:proofErr w:type="spellEnd"/>
      <w:r w:rsidRPr="004658D4">
        <w:rPr>
          <w:rFonts w:ascii="Arial" w:hAnsi="Arial" w:cs="Arial"/>
          <w:bCs/>
          <w:sz w:val="22"/>
          <w:szCs w:val="22"/>
        </w:rPr>
        <w:t xml:space="preserve"> dohledu nad vodními díly). Akce je stavebně dokončena.</w:t>
      </w:r>
    </w:p>
    <w:p w14:paraId="23CCA5F7" w14:textId="77777777" w:rsidR="00F85762" w:rsidRDefault="00F85762" w:rsidP="00F8576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D07C5CD" w14:textId="5AA02146" w:rsidR="00521DBC" w:rsidRDefault="00521DBC" w:rsidP="00F8576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658D4">
        <w:rPr>
          <w:rFonts w:ascii="Arial" w:hAnsi="Arial" w:cs="Arial"/>
          <w:b/>
          <w:bCs/>
          <w:sz w:val="22"/>
          <w:szCs w:val="22"/>
        </w:rPr>
        <w:t xml:space="preserve">„Odbahnění a rekonstrukce hráze a objektů rybníka </w:t>
      </w:r>
      <w:proofErr w:type="spellStart"/>
      <w:r w:rsidRPr="004658D4">
        <w:rPr>
          <w:rFonts w:ascii="Arial" w:hAnsi="Arial" w:cs="Arial"/>
          <w:b/>
          <w:bCs/>
          <w:sz w:val="22"/>
          <w:szCs w:val="22"/>
        </w:rPr>
        <w:t>Bohumilečský</w:t>
      </w:r>
      <w:proofErr w:type="spellEnd"/>
      <w:r w:rsidRPr="004658D4">
        <w:rPr>
          <w:rFonts w:ascii="Arial" w:hAnsi="Arial" w:cs="Arial"/>
          <w:b/>
          <w:bCs/>
          <w:sz w:val="22"/>
          <w:szCs w:val="22"/>
        </w:rPr>
        <w:t xml:space="preserve">“ </w:t>
      </w:r>
      <w:r w:rsidRPr="004658D4">
        <w:rPr>
          <w:rFonts w:ascii="Arial" w:hAnsi="Arial" w:cs="Arial"/>
          <w:bCs/>
          <w:sz w:val="22"/>
          <w:szCs w:val="22"/>
        </w:rPr>
        <w:t xml:space="preserve">od žadatele Rybniční hospodářství, s.r.o., s celkovými náklady 43,039 mil. Kč. Rybník o výměře 22,13 ha prošel celkovým odbahněním a rekonstrukcí hráze a sdruženého objektu - výpustného zařízení </w:t>
      </w:r>
      <w:r w:rsidR="00552766" w:rsidRPr="004658D4">
        <w:rPr>
          <w:rFonts w:ascii="Arial" w:hAnsi="Arial" w:cs="Arial"/>
          <w:bCs/>
          <w:sz w:val="22"/>
          <w:szCs w:val="22"/>
        </w:rPr>
        <w:t>a</w:t>
      </w:r>
      <w:r w:rsidR="00552766">
        <w:rPr>
          <w:rFonts w:ascii="Arial" w:hAnsi="Arial" w:cs="Arial"/>
          <w:bCs/>
          <w:sz w:val="22"/>
          <w:szCs w:val="22"/>
        </w:rPr>
        <w:t> </w:t>
      </w:r>
      <w:r w:rsidRPr="004658D4">
        <w:rPr>
          <w:rFonts w:ascii="Arial" w:hAnsi="Arial" w:cs="Arial"/>
          <w:bCs/>
          <w:sz w:val="22"/>
          <w:szCs w:val="22"/>
        </w:rPr>
        <w:t xml:space="preserve">bezpečnostního přelivu. </w:t>
      </w:r>
      <w:r w:rsidRPr="00984DB4">
        <w:rPr>
          <w:rFonts w:ascii="Arial" w:hAnsi="Arial" w:cs="Arial"/>
          <w:bCs/>
          <w:sz w:val="22"/>
          <w:szCs w:val="22"/>
        </w:rPr>
        <w:t xml:space="preserve">Bezpečnostní přeliv je kašnový s délkou přelivné hrany 21,6 m </w:t>
      </w:r>
      <w:r w:rsidR="00552766">
        <w:rPr>
          <w:rFonts w:ascii="Arial" w:hAnsi="Arial" w:cs="Arial"/>
          <w:bCs/>
          <w:sz w:val="22"/>
          <w:szCs w:val="22"/>
        </w:rPr>
        <w:br/>
      </w:r>
      <w:r w:rsidRPr="00984DB4">
        <w:rPr>
          <w:rFonts w:ascii="Arial" w:hAnsi="Arial" w:cs="Arial"/>
          <w:bCs/>
          <w:sz w:val="22"/>
          <w:szCs w:val="22"/>
        </w:rPr>
        <w:t>a s kapacitou na převedení návrhového průtoku o hodnotě Q</w:t>
      </w:r>
      <w:r w:rsidRPr="00984DB4">
        <w:rPr>
          <w:rFonts w:ascii="Arial" w:hAnsi="Arial" w:cs="Arial"/>
          <w:bCs/>
          <w:sz w:val="22"/>
          <w:szCs w:val="22"/>
          <w:vertAlign w:val="subscript"/>
        </w:rPr>
        <w:t>100</w:t>
      </w:r>
      <w:r w:rsidRPr="00984DB4">
        <w:rPr>
          <w:rFonts w:ascii="Arial" w:hAnsi="Arial" w:cs="Arial"/>
          <w:bCs/>
          <w:sz w:val="22"/>
          <w:szCs w:val="22"/>
        </w:rPr>
        <w:t xml:space="preserve">. Vodní nádrž spadá do IV. kategorie dle TBD (vyhláška č. 471/2001 Sb., o </w:t>
      </w:r>
      <w:proofErr w:type="spellStart"/>
      <w:r w:rsidRPr="00984DB4">
        <w:rPr>
          <w:rFonts w:ascii="Arial" w:hAnsi="Arial" w:cs="Arial"/>
          <w:bCs/>
          <w:sz w:val="22"/>
          <w:szCs w:val="22"/>
        </w:rPr>
        <w:t>technicko-bezpečnostním</w:t>
      </w:r>
      <w:proofErr w:type="spellEnd"/>
      <w:r w:rsidRPr="00984DB4">
        <w:rPr>
          <w:rFonts w:ascii="Arial" w:hAnsi="Arial" w:cs="Arial"/>
          <w:bCs/>
          <w:sz w:val="22"/>
          <w:szCs w:val="22"/>
        </w:rPr>
        <w:t xml:space="preserve"> dohledu nad </w:t>
      </w:r>
      <w:r w:rsidRPr="00984DB4">
        <w:rPr>
          <w:rFonts w:ascii="Arial" w:hAnsi="Arial" w:cs="Arial"/>
          <w:bCs/>
          <w:sz w:val="22"/>
          <w:szCs w:val="22"/>
        </w:rPr>
        <w:lastRenderedPageBreak/>
        <w:t>vodními díly). Ze zátopy nádrže bylo odtěženo 105 969 m</w:t>
      </w:r>
      <w:r w:rsidRPr="00984DB4">
        <w:rPr>
          <w:rFonts w:ascii="Arial" w:hAnsi="Arial" w:cs="Arial"/>
          <w:bCs/>
          <w:sz w:val="22"/>
          <w:szCs w:val="22"/>
          <w:vertAlign w:val="superscript"/>
        </w:rPr>
        <w:t>3</w:t>
      </w:r>
      <w:r w:rsidRPr="00984DB4">
        <w:rPr>
          <w:rFonts w:ascii="Arial" w:hAnsi="Arial" w:cs="Arial"/>
          <w:bCs/>
          <w:sz w:val="22"/>
          <w:szCs w:val="22"/>
        </w:rPr>
        <w:t xml:space="preserve"> sedimentu. Akce je stavebně dokončena.</w:t>
      </w:r>
      <w:r w:rsidRPr="00B50BE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E3C37D8" w14:textId="77777777" w:rsidR="00F85762" w:rsidRDefault="00F85762" w:rsidP="00F8576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737225F" w14:textId="77777777" w:rsidR="00521DBC" w:rsidRDefault="00521DBC" w:rsidP="00F8576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84DB4">
        <w:rPr>
          <w:rFonts w:ascii="Arial" w:hAnsi="Arial" w:cs="Arial"/>
          <w:b/>
          <w:bCs/>
          <w:sz w:val="22"/>
          <w:szCs w:val="22"/>
        </w:rPr>
        <w:t xml:space="preserve">„Rekonstrukce hráze a objektů rybníka </w:t>
      </w:r>
      <w:proofErr w:type="spellStart"/>
      <w:r w:rsidRPr="00984DB4">
        <w:rPr>
          <w:rFonts w:ascii="Arial" w:hAnsi="Arial" w:cs="Arial"/>
          <w:b/>
          <w:bCs/>
          <w:sz w:val="22"/>
          <w:szCs w:val="22"/>
        </w:rPr>
        <w:t>Pstružák</w:t>
      </w:r>
      <w:proofErr w:type="spellEnd"/>
      <w:r w:rsidRPr="00984DB4">
        <w:rPr>
          <w:rFonts w:ascii="Arial" w:hAnsi="Arial" w:cs="Arial"/>
          <w:b/>
          <w:bCs/>
          <w:sz w:val="22"/>
          <w:szCs w:val="22"/>
        </w:rPr>
        <w:t xml:space="preserve">“ </w:t>
      </w:r>
      <w:r w:rsidRPr="00984DB4">
        <w:rPr>
          <w:rFonts w:ascii="Arial" w:hAnsi="Arial" w:cs="Arial"/>
          <w:bCs/>
          <w:sz w:val="22"/>
          <w:szCs w:val="22"/>
        </w:rPr>
        <w:t xml:space="preserve">od žadatele KINSKÝ ŽĎÁR a.s., </w:t>
      </w:r>
      <w:r w:rsidRPr="00984DB4">
        <w:rPr>
          <w:rFonts w:ascii="Arial" w:hAnsi="Arial" w:cs="Arial"/>
          <w:bCs/>
          <w:sz w:val="22"/>
          <w:szCs w:val="22"/>
        </w:rPr>
        <w:br/>
        <w:t>s celkovými náklady 9,497 mil. Kč. Jedná se o odstranění havarijního stavu na malé vodní nádrži. Rybník o výměře 2,54 ha prošel celkovou rekonstrukcí hráze a sdruženého objektu - výpustného zařízení a bezpečnostního přelivu. Bezpečnostní přeliv je kašnový s délkou přelivné hrany 11,1 m a s kapacitou na převedení návrhového průtoku o hodnotě Q</w:t>
      </w:r>
      <w:r w:rsidRPr="00984DB4">
        <w:rPr>
          <w:rFonts w:ascii="Arial" w:hAnsi="Arial" w:cs="Arial"/>
          <w:bCs/>
          <w:sz w:val="22"/>
          <w:szCs w:val="22"/>
          <w:vertAlign w:val="subscript"/>
        </w:rPr>
        <w:t>100</w:t>
      </w:r>
      <w:r w:rsidRPr="00984DB4">
        <w:rPr>
          <w:rFonts w:ascii="Arial" w:hAnsi="Arial" w:cs="Arial"/>
          <w:bCs/>
          <w:sz w:val="22"/>
          <w:szCs w:val="22"/>
        </w:rPr>
        <w:t xml:space="preserve">. Vodní nádrž spadá do IV. kategorie dle TBD (vyhláška č. 471/2001 Sb., o </w:t>
      </w:r>
      <w:proofErr w:type="spellStart"/>
      <w:r w:rsidRPr="00984DB4">
        <w:rPr>
          <w:rFonts w:ascii="Arial" w:hAnsi="Arial" w:cs="Arial"/>
          <w:bCs/>
          <w:sz w:val="22"/>
          <w:szCs w:val="22"/>
        </w:rPr>
        <w:t>technicko-bezpečnostním</w:t>
      </w:r>
      <w:proofErr w:type="spellEnd"/>
      <w:r w:rsidRPr="00984DB4">
        <w:rPr>
          <w:rFonts w:ascii="Arial" w:hAnsi="Arial" w:cs="Arial"/>
          <w:bCs/>
          <w:sz w:val="22"/>
          <w:szCs w:val="22"/>
        </w:rPr>
        <w:t xml:space="preserve"> dohledu nad vodními díly). Akce je stavebně dokončena a závěrečně uzavřena.</w:t>
      </w:r>
    </w:p>
    <w:p w14:paraId="792E8C98" w14:textId="21FBCE74" w:rsidR="00F85762" w:rsidRDefault="00F85762" w:rsidP="00F85762">
      <w:pPr>
        <w:jc w:val="both"/>
        <w:rPr>
          <w:rFonts w:ascii="Arial" w:hAnsi="Arial" w:cs="Arial"/>
          <w:b/>
          <w:sz w:val="22"/>
          <w:szCs w:val="22"/>
        </w:rPr>
      </w:pPr>
    </w:p>
    <w:p w14:paraId="09D4AD9D" w14:textId="77777777" w:rsidR="00521DBC" w:rsidRPr="00984DB4" w:rsidRDefault="00521DBC" w:rsidP="00F85762">
      <w:pPr>
        <w:jc w:val="both"/>
        <w:rPr>
          <w:rFonts w:ascii="Arial" w:hAnsi="Arial" w:cs="Arial"/>
          <w:b/>
          <w:sz w:val="22"/>
          <w:szCs w:val="22"/>
        </w:rPr>
      </w:pPr>
      <w:r w:rsidRPr="00984DB4">
        <w:rPr>
          <w:rFonts w:ascii="Arial" w:hAnsi="Arial" w:cs="Arial"/>
          <w:b/>
          <w:sz w:val="22"/>
          <w:szCs w:val="22"/>
        </w:rPr>
        <w:t>Příklady vybraných akcí, které byly zahájeny v roce 2019</w:t>
      </w:r>
    </w:p>
    <w:p w14:paraId="3F152665" w14:textId="77777777" w:rsidR="00F85762" w:rsidRDefault="00F85762" w:rsidP="00F8576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96EB9AC" w14:textId="302342C4" w:rsidR="00521DBC" w:rsidRDefault="00521DBC" w:rsidP="00F8576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84DB4">
        <w:rPr>
          <w:rFonts w:ascii="Arial" w:hAnsi="Arial" w:cs="Arial"/>
          <w:b/>
          <w:bCs/>
          <w:sz w:val="22"/>
          <w:szCs w:val="22"/>
        </w:rPr>
        <w:t xml:space="preserve">„Vodní plochy v </w:t>
      </w:r>
      <w:proofErr w:type="spellStart"/>
      <w:r w:rsidRPr="00984DB4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Pr="00984DB4">
        <w:rPr>
          <w:rFonts w:ascii="Arial" w:hAnsi="Arial" w:cs="Arial"/>
          <w:b/>
          <w:bCs/>
          <w:sz w:val="22"/>
          <w:szCs w:val="22"/>
        </w:rPr>
        <w:t xml:space="preserve">. Pláně na Šumavě“ </w:t>
      </w:r>
      <w:r w:rsidRPr="00984DB4">
        <w:rPr>
          <w:rFonts w:ascii="Arial" w:hAnsi="Arial" w:cs="Arial"/>
          <w:bCs/>
          <w:sz w:val="22"/>
          <w:szCs w:val="22"/>
        </w:rPr>
        <w:t>od žadatele Štěpána Bečváře, s celkovými náklady 5,403 mil. Kč. Jedná se o výstavbu soustavy malých vodních nádrží o celkové rozloze 3,4 ha při normální provozní hladině. Nádrže na sebe v soustavě navazují, mají celkový zásobní objem 45 091 m</w:t>
      </w:r>
      <w:r w:rsidRPr="00984DB4">
        <w:rPr>
          <w:rFonts w:ascii="Arial" w:hAnsi="Arial" w:cs="Arial"/>
          <w:bCs/>
          <w:sz w:val="22"/>
          <w:szCs w:val="22"/>
          <w:vertAlign w:val="superscript"/>
        </w:rPr>
        <w:t>3</w:t>
      </w:r>
      <w:r w:rsidRPr="00984DB4">
        <w:rPr>
          <w:rFonts w:ascii="Arial" w:hAnsi="Arial" w:cs="Arial"/>
          <w:bCs/>
          <w:sz w:val="22"/>
          <w:szCs w:val="22"/>
        </w:rPr>
        <w:t xml:space="preserve"> a retenční objem 5 847 m</w:t>
      </w:r>
      <w:r w:rsidRPr="00984DB4">
        <w:rPr>
          <w:rFonts w:ascii="Arial" w:hAnsi="Arial" w:cs="Arial"/>
          <w:bCs/>
          <w:sz w:val="22"/>
          <w:szCs w:val="22"/>
          <w:vertAlign w:val="superscript"/>
        </w:rPr>
        <w:t>3</w:t>
      </w:r>
      <w:r w:rsidRPr="00110CF7">
        <w:rPr>
          <w:rFonts w:ascii="Arial" w:hAnsi="Arial"/>
          <w:sz w:val="22"/>
        </w:rPr>
        <w:t>,</w:t>
      </w:r>
      <w:r w:rsidRPr="00984DB4">
        <w:rPr>
          <w:rFonts w:ascii="Arial" w:hAnsi="Arial" w:cs="Arial"/>
          <w:bCs/>
          <w:sz w:val="22"/>
          <w:szCs w:val="22"/>
        </w:rPr>
        <w:t xml:space="preserve"> jsou vybaveny výpustnými zařízeními požerákového typu a čelními bezpečnostními přelivy, navrženými na převedení povodňového průtoku Q</w:t>
      </w:r>
      <w:r w:rsidRPr="00984DB4">
        <w:rPr>
          <w:rFonts w:ascii="Arial" w:hAnsi="Arial" w:cs="Arial"/>
          <w:bCs/>
          <w:sz w:val="22"/>
          <w:szCs w:val="22"/>
          <w:vertAlign w:val="subscript"/>
        </w:rPr>
        <w:t xml:space="preserve">100. </w:t>
      </w:r>
      <w:r w:rsidRPr="00984DB4">
        <w:rPr>
          <w:rFonts w:ascii="Arial" w:hAnsi="Arial" w:cs="Arial"/>
          <w:bCs/>
          <w:sz w:val="22"/>
          <w:szCs w:val="22"/>
        </w:rPr>
        <w:t>Vodní nádrže spadají do IV. kategorie dle TBD (vyhláška č. 471/2001 Sb., o </w:t>
      </w:r>
      <w:proofErr w:type="spellStart"/>
      <w:r w:rsidRPr="00984DB4">
        <w:rPr>
          <w:rFonts w:ascii="Arial" w:hAnsi="Arial" w:cs="Arial"/>
          <w:bCs/>
          <w:sz w:val="22"/>
          <w:szCs w:val="22"/>
        </w:rPr>
        <w:t>technicko-bezpečnostním</w:t>
      </w:r>
      <w:proofErr w:type="spellEnd"/>
      <w:r w:rsidRPr="00984DB4">
        <w:rPr>
          <w:rFonts w:ascii="Arial" w:hAnsi="Arial" w:cs="Arial"/>
          <w:bCs/>
          <w:sz w:val="22"/>
          <w:szCs w:val="22"/>
        </w:rPr>
        <w:t xml:space="preserve"> dohledu nad vodními díly). Akce je stavebně dokončena.</w:t>
      </w:r>
    </w:p>
    <w:p w14:paraId="17D5D22E" w14:textId="77777777" w:rsidR="00F85762" w:rsidRDefault="00F85762" w:rsidP="00F8576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0ECE843" w14:textId="3C0D6229" w:rsidR="00521DBC" w:rsidRDefault="00521DBC" w:rsidP="00F8576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84DB4">
        <w:rPr>
          <w:rFonts w:ascii="Arial" w:hAnsi="Arial" w:cs="Arial"/>
          <w:b/>
          <w:bCs/>
          <w:sz w:val="22"/>
          <w:szCs w:val="22"/>
        </w:rPr>
        <w:t xml:space="preserve">„Rybník Kukle </w:t>
      </w:r>
      <w:r w:rsidR="0096419B">
        <w:rPr>
          <w:rFonts w:ascii="Arial" w:hAnsi="Arial" w:cs="Arial"/>
          <w:b/>
          <w:sz w:val="22"/>
          <w:szCs w:val="22"/>
        </w:rPr>
        <w:t>–</w:t>
      </w:r>
      <w:r w:rsidRPr="00984DB4">
        <w:rPr>
          <w:rFonts w:ascii="Arial" w:hAnsi="Arial" w:cs="Arial"/>
          <w:b/>
          <w:bCs/>
          <w:sz w:val="22"/>
          <w:szCs w:val="22"/>
        </w:rPr>
        <w:t xml:space="preserve"> obnova“ </w:t>
      </w:r>
      <w:r w:rsidRPr="00984DB4">
        <w:rPr>
          <w:rFonts w:ascii="Arial" w:hAnsi="Arial" w:cs="Arial"/>
          <w:bCs/>
          <w:sz w:val="22"/>
          <w:szCs w:val="22"/>
        </w:rPr>
        <w:t xml:space="preserve">od žadatele Lesní družstvo v Polné, s celkovými náklady </w:t>
      </w:r>
      <w:r w:rsidRPr="00984DB4">
        <w:rPr>
          <w:rFonts w:ascii="Arial" w:hAnsi="Arial" w:cs="Arial"/>
          <w:bCs/>
          <w:sz w:val="22"/>
          <w:szCs w:val="22"/>
        </w:rPr>
        <w:br/>
        <w:t>26,715 mil. Kč. Rybník o výměře 10,58 ha prošel celkovým odbahněním a rekonstrukcí hráze, výpustného zařízení a bezpečnostního přelivu. Bezpečnostní přeliv je řešen formou přelivné hrany s délkou 32 m a s kapacitou na převedení návrhového průtoku o hodnotě Q</w:t>
      </w:r>
      <w:r w:rsidRPr="00984DB4">
        <w:rPr>
          <w:rFonts w:ascii="Arial" w:hAnsi="Arial" w:cs="Arial"/>
          <w:bCs/>
          <w:sz w:val="22"/>
          <w:szCs w:val="22"/>
          <w:vertAlign w:val="subscript"/>
        </w:rPr>
        <w:t>200</w:t>
      </w:r>
      <w:r w:rsidRPr="00984DB4">
        <w:rPr>
          <w:rFonts w:ascii="Arial" w:hAnsi="Arial" w:cs="Arial"/>
          <w:bCs/>
          <w:sz w:val="22"/>
          <w:szCs w:val="22"/>
        </w:rPr>
        <w:t xml:space="preserve">. Vodní nádrž spadá do IV. kategorie dle TBD (vyhláška č. 471/2001 Sb., o </w:t>
      </w:r>
      <w:proofErr w:type="spellStart"/>
      <w:r w:rsidRPr="00984DB4">
        <w:rPr>
          <w:rFonts w:ascii="Arial" w:hAnsi="Arial" w:cs="Arial"/>
          <w:bCs/>
          <w:sz w:val="22"/>
          <w:szCs w:val="22"/>
        </w:rPr>
        <w:t>technicko-bezpečnostním</w:t>
      </w:r>
      <w:proofErr w:type="spellEnd"/>
      <w:r w:rsidRPr="00984DB4">
        <w:rPr>
          <w:rFonts w:ascii="Arial" w:hAnsi="Arial" w:cs="Arial"/>
          <w:bCs/>
          <w:sz w:val="22"/>
          <w:szCs w:val="22"/>
        </w:rPr>
        <w:t xml:space="preserve"> dohledu nad vodními díly). Ze zátopy nádrže bylo odtěženo 90 799 m</w:t>
      </w:r>
      <w:r w:rsidRPr="00984DB4">
        <w:rPr>
          <w:rFonts w:ascii="Arial" w:hAnsi="Arial" w:cs="Arial"/>
          <w:bCs/>
          <w:sz w:val="22"/>
          <w:szCs w:val="22"/>
          <w:vertAlign w:val="superscript"/>
        </w:rPr>
        <w:t>3</w:t>
      </w:r>
      <w:r w:rsidRPr="00984DB4">
        <w:rPr>
          <w:rFonts w:ascii="Arial" w:hAnsi="Arial" w:cs="Arial"/>
          <w:bCs/>
          <w:sz w:val="22"/>
          <w:szCs w:val="22"/>
        </w:rPr>
        <w:t xml:space="preserve"> sedimentu. Akce je stavebně dokončena.</w:t>
      </w:r>
    </w:p>
    <w:p w14:paraId="1B96F2A3" w14:textId="77777777" w:rsidR="00F85762" w:rsidRDefault="00F85762" w:rsidP="00F8576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8E715B6" w14:textId="77777777" w:rsidR="00521DBC" w:rsidRDefault="00521DBC" w:rsidP="00F8576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B0DEF">
        <w:rPr>
          <w:rFonts w:ascii="Arial" w:hAnsi="Arial" w:cs="Arial"/>
          <w:b/>
          <w:bCs/>
          <w:sz w:val="22"/>
          <w:szCs w:val="22"/>
        </w:rPr>
        <w:t xml:space="preserve">„Mlýnský rybník, </w:t>
      </w:r>
      <w:proofErr w:type="spellStart"/>
      <w:r w:rsidRPr="005B0DEF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Pr="005B0DEF">
        <w:rPr>
          <w:rFonts w:ascii="Arial" w:hAnsi="Arial" w:cs="Arial"/>
          <w:b/>
          <w:bCs/>
          <w:sz w:val="22"/>
          <w:szCs w:val="22"/>
        </w:rPr>
        <w:t xml:space="preserve">. Stádlec </w:t>
      </w:r>
      <w:r w:rsidR="0096419B">
        <w:rPr>
          <w:rFonts w:ascii="Arial" w:hAnsi="Arial" w:cs="Arial"/>
          <w:b/>
          <w:sz w:val="22"/>
          <w:szCs w:val="22"/>
        </w:rPr>
        <w:t>–</w:t>
      </w:r>
      <w:r w:rsidRPr="005B0DEF">
        <w:rPr>
          <w:rFonts w:ascii="Arial" w:hAnsi="Arial" w:cs="Arial"/>
          <w:b/>
          <w:bCs/>
          <w:sz w:val="22"/>
          <w:szCs w:val="22"/>
        </w:rPr>
        <w:t xml:space="preserve"> rekonstrukce hráze a objektů“ </w:t>
      </w:r>
      <w:r w:rsidRPr="005B0DEF">
        <w:rPr>
          <w:rFonts w:ascii="Arial" w:hAnsi="Arial" w:cs="Arial"/>
          <w:bCs/>
          <w:sz w:val="22"/>
          <w:szCs w:val="22"/>
        </w:rPr>
        <w:t>od žadatele Štičí líheň - ESOX, spol. s r.o., s celkovými náklady 3,606 mil. Kč. Rybník o výměře 7,11 ha prošel celkovou rekonstrukcí hráze, výpustného zařízení s lovištěm a bezpečnostního přelivu. Bezpečnostní přeliv je kašnový s délkou přelivné hrany 32,5 m a s kapacitou na převedení návrhového průtoku o hodnotě Q</w:t>
      </w:r>
      <w:r w:rsidRPr="005B0DEF">
        <w:rPr>
          <w:rFonts w:ascii="Arial" w:hAnsi="Arial" w:cs="Arial"/>
          <w:bCs/>
          <w:sz w:val="22"/>
          <w:szCs w:val="22"/>
          <w:vertAlign w:val="subscript"/>
        </w:rPr>
        <w:t>200</w:t>
      </w:r>
      <w:r w:rsidRPr="005B0DEF">
        <w:rPr>
          <w:rFonts w:ascii="Arial" w:hAnsi="Arial" w:cs="Arial"/>
          <w:bCs/>
          <w:sz w:val="22"/>
          <w:szCs w:val="22"/>
        </w:rPr>
        <w:t>. Vodní nádrž spadá do IV. kategorie dle TBD (vyhláška č</w:t>
      </w:r>
      <w:r w:rsidR="00BC4100" w:rsidRPr="005B0DEF">
        <w:rPr>
          <w:rFonts w:ascii="Arial" w:hAnsi="Arial" w:cs="Arial"/>
          <w:bCs/>
          <w:sz w:val="22"/>
          <w:szCs w:val="22"/>
        </w:rPr>
        <w:t>.</w:t>
      </w:r>
      <w:r w:rsidR="00BC4100">
        <w:rPr>
          <w:rFonts w:ascii="Arial" w:hAnsi="Arial" w:cs="Arial"/>
          <w:bCs/>
          <w:sz w:val="22"/>
          <w:szCs w:val="22"/>
        </w:rPr>
        <w:t> </w:t>
      </w:r>
      <w:r w:rsidRPr="005B0DEF">
        <w:rPr>
          <w:rFonts w:ascii="Arial" w:hAnsi="Arial" w:cs="Arial"/>
          <w:bCs/>
          <w:sz w:val="22"/>
          <w:szCs w:val="22"/>
        </w:rPr>
        <w:t xml:space="preserve">471/2001 Sb., o </w:t>
      </w:r>
      <w:proofErr w:type="spellStart"/>
      <w:r w:rsidRPr="005B0DEF">
        <w:rPr>
          <w:rFonts w:ascii="Arial" w:hAnsi="Arial" w:cs="Arial"/>
          <w:bCs/>
          <w:sz w:val="22"/>
          <w:szCs w:val="22"/>
        </w:rPr>
        <w:t>technicko-bezpečnostním</w:t>
      </w:r>
      <w:proofErr w:type="spellEnd"/>
      <w:r w:rsidRPr="005B0DEF">
        <w:rPr>
          <w:rFonts w:ascii="Arial" w:hAnsi="Arial" w:cs="Arial"/>
          <w:bCs/>
          <w:sz w:val="22"/>
          <w:szCs w:val="22"/>
        </w:rPr>
        <w:t xml:space="preserve"> dohledu nad vodními díly). Akce je stavebně dokončena, ale není dosud závěrečně uzavřena.</w:t>
      </w:r>
    </w:p>
    <w:p w14:paraId="24389277" w14:textId="77777777" w:rsidR="00F85762" w:rsidRDefault="00F85762" w:rsidP="00F85762">
      <w:pPr>
        <w:jc w:val="both"/>
        <w:rPr>
          <w:rFonts w:ascii="Arial" w:hAnsi="Arial" w:cs="Arial"/>
          <w:b/>
          <w:sz w:val="22"/>
          <w:szCs w:val="22"/>
        </w:rPr>
      </w:pPr>
    </w:p>
    <w:p w14:paraId="2957A8ED" w14:textId="36880920" w:rsidR="00521DBC" w:rsidRDefault="00521DBC" w:rsidP="00F85762">
      <w:pPr>
        <w:jc w:val="both"/>
        <w:rPr>
          <w:rFonts w:ascii="Arial" w:hAnsi="Arial" w:cs="Arial"/>
          <w:b/>
          <w:sz w:val="22"/>
          <w:szCs w:val="22"/>
        </w:rPr>
      </w:pPr>
      <w:r w:rsidRPr="00FD6BE1">
        <w:rPr>
          <w:rFonts w:ascii="Arial" w:hAnsi="Arial" w:cs="Arial"/>
          <w:b/>
          <w:sz w:val="22"/>
          <w:szCs w:val="22"/>
        </w:rPr>
        <w:t>Příklady vybraných akcí</w:t>
      </w:r>
      <w:r>
        <w:rPr>
          <w:rFonts w:ascii="Arial" w:hAnsi="Arial" w:cs="Arial"/>
          <w:b/>
          <w:sz w:val="22"/>
          <w:szCs w:val="22"/>
        </w:rPr>
        <w:t xml:space="preserve">, které byly zahájeny </w:t>
      </w:r>
      <w:r w:rsidRPr="00FD6BE1">
        <w:rPr>
          <w:rFonts w:ascii="Arial" w:hAnsi="Arial" w:cs="Arial"/>
          <w:b/>
          <w:sz w:val="22"/>
          <w:szCs w:val="22"/>
        </w:rPr>
        <w:t>v </w:t>
      </w:r>
      <w:r>
        <w:rPr>
          <w:rFonts w:ascii="Arial" w:hAnsi="Arial" w:cs="Arial"/>
          <w:b/>
          <w:sz w:val="22"/>
          <w:szCs w:val="22"/>
        </w:rPr>
        <w:t>roce 2020</w:t>
      </w:r>
    </w:p>
    <w:p w14:paraId="1BD2D5DC" w14:textId="77777777" w:rsidR="004D2161" w:rsidRDefault="004D2161" w:rsidP="00F85762">
      <w:pPr>
        <w:jc w:val="both"/>
        <w:rPr>
          <w:rFonts w:ascii="Arial" w:hAnsi="Arial" w:cs="Arial"/>
          <w:b/>
          <w:sz w:val="22"/>
          <w:szCs w:val="22"/>
        </w:rPr>
      </w:pPr>
    </w:p>
    <w:p w14:paraId="22F84515" w14:textId="77777777" w:rsidR="00521DBC" w:rsidRDefault="00521DBC" w:rsidP="00F8576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B0DEF">
        <w:rPr>
          <w:rFonts w:ascii="Arial" w:hAnsi="Arial" w:cs="Arial"/>
          <w:b/>
          <w:bCs/>
          <w:sz w:val="22"/>
          <w:szCs w:val="22"/>
        </w:rPr>
        <w:t>„</w:t>
      </w:r>
      <w:r>
        <w:rPr>
          <w:rFonts w:ascii="Arial" w:hAnsi="Arial" w:cs="Arial"/>
          <w:b/>
          <w:bCs/>
          <w:sz w:val="22"/>
          <w:szCs w:val="22"/>
        </w:rPr>
        <w:t xml:space="preserve">Oprava rybníka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Vrabcov</w:t>
      </w:r>
      <w:proofErr w:type="spellEnd"/>
      <w:r w:rsidRPr="005B0DEF">
        <w:rPr>
          <w:rFonts w:ascii="Arial" w:hAnsi="Arial" w:cs="Arial"/>
          <w:b/>
          <w:bCs/>
          <w:sz w:val="22"/>
          <w:szCs w:val="22"/>
        </w:rPr>
        <w:t xml:space="preserve">“ </w:t>
      </w:r>
      <w:r>
        <w:rPr>
          <w:rFonts w:ascii="Arial" w:hAnsi="Arial" w:cs="Arial"/>
          <w:bCs/>
          <w:sz w:val="22"/>
          <w:szCs w:val="22"/>
        </w:rPr>
        <w:t>od žadatele Český rybářský svaz, místní organizace Kutná Hora, s celkovými náklady 25,491</w:t>
      </w:r>
      <w:r w:rsidRPr="005B0DEF">
        <w:rPr>
          <w:rFonts w:ascii="Arial" w:hAnsi="Arial" w:cs="Arial"/>
          <w:bCs/>
          <w:sz w:val="22"/>
          <w:szCs w:val="22"/>
        </w:rPr>
        <w:t xml:space="preserve"> mil. Kč. </w:t>
      </w:r>
      <w:r w:rsidRPr="004658D4">
        <w:rPr>
          <w:rFonts w:ascii="Arial" w:hAnsi="Arial" w:cs="Arial"/>
          <w:bCs/>
          <w:sz w:val="22"/>
          <w:szCs w:val="22"/>
        </w:rPr>
        <w:t xml:space="preserve">Rybník o výměře </w:t>
      </w:r>
      <w:r>
        <w:rPr>
          <w:rFonts w:ascii="Arial" w:hAnsi="Arial" w:cs="Arial"/>
          <w:bCs/>
          <w:sz w:val="22"/>
          <w:szCs w:val="22"/>
        </w:rPr>
        <w:t>12,59</w:t>
      </w:r>
      <w:r w:rsidRPr="004658D4">
        <w:rPr>
          <w:rFonts w:ascii="Arial" w:hAnsi="Arial" w:cs="Arial"/>
          <w:bCs/>
          <w:sz w:val="22"/>
          <w:szCs w:val="22"/>
        </w:rPr>
        <w:t> ha pro</w:t>
      </w:r>
      <w:r>
        <w:rPr>
          <w:rFonts w:ascii="Arial" w:hAnsi="Arial" w:cs="Arial"/>
          <w:bCs/>
          <w:sz w:val="22"/>
          <w:szCs w:val="22"/>
        </w:rPr>
        <w:t>chází v současné době</w:t>
      </w:r>
      <w:r w:rsidRPr="004658D4">
        <w:rPr>
          <w:rFonts w:ascii="Arial" w:hAnsi="Arial" w:cs="Arial"/>
          <w:bCs/>
          <w:sz w:val="22"/>
          <w:szCs w:val="22"/>
        </w:rPr>
        <w:t xml:space="preserve"> celkovým odbahněním a rekonstrukcí hráze a sdruženého objektu - výpustného zařízení </w:t>
      </w:r>
      <w:r w:rsidR="00BC4100" w:rsidRPr="004658D4">
        <w:rPr>
          <w:rFonts w:ascii="Arial" w:hAnsi="Arial" w:cs="Arial"/>
          <w:bCs/>
          <w:sz w:val="22"/>
          <w:szCs w:val="22"/>
        </w:rPr>
        <w:t>a</w:t>
      </w:r>
      <w:r w:rsidR="00BC4100">
        <w:rPr>
          <w:rFonts w:ascii="Arial" w:hAnsi="Arial" w:cs="Arial"/>
          <w:bCs/>
          <w:sz w:val="22"/>
          <w:szCs w:val="22"/>
        </w:rPr>
        <w:t> </w:t>
      </w:r>
      <w:r w:rsidRPr="004658D4">
        <w:rPr>
          <w:rFonts w:ascii="Arial" w:hAnsi="Arial" w:cs="Arial"/>
          <w:bCs/>
          <w:sz w:val="22"/>
          <w:szCs w:val="22"/>
        </w:rPr>
        <w:t xml:space="preserve">bezpečnostního přelivu. </w:t>
      </w:r>
      <w:r w:rsidRPr="00984DB4">
        <w:rPr>
          <w:rFonts w:ascii="Arial" w:hAnsi="Arial" w:cs="Arial"/>
          <w:bCs/>
          <w:sz w:val="22"/>
          <w:szCs w:val="22"/>
        </w:rPr>
        <w:t>Bezpečnostní přeliv je řešen formou přelivné hrany</w:t>
      </w:r>
      <w:r>
        <w:rPr>
          <w:rFonts w:ascii="Arial" w:hAnsi="Arial" w:cs="Arial"/>
          <w:bCs/>
          <w:sz w:val="22"/>
          <w:szCs w:val="22"/>
        </w:rPr>
        <w:t xml:space="preserve"> s délkou 16,4</w:t>
      </w:r>
      <w:r w:rsidRPr="00984DB4">
        <w:rPr>
          <w:rFonts w:ascii="Arial" w:hAnsi="Arial" w:cs="Arial"/>
          <w:bCs/>
          <w:sz w:val="22"/>
          <w:szCs w:val="22"/>
        </w:rPr>
        <w:t xml:space="preserve"> m a s kapacitou na převedení návrhového průtoku o hodnotě Q</w:t>
      </w:r>
      <w:r w:rsidRPr="00984DB4">
        <w:rPr>
          <w:rFonts w:ascii="Arial" w:hAnsi="Arial" w:cs="Arial"/>
          <w:bCs/>
          <w:sz w:val="22"/>
          <w:szCs w:val="22"/>
          <w:vertAlign w:val="subscript"/>
        </w:rPr>
        <w:t>100</w:t>
      </w:r>
      <w:r w:rsidRPr="00984DB4">
        <w:rPr>
          <w:rFonts w:ascii="Arial" w:hAnsi="Arial" w:cs="Arial"/>
          <w:bCs/>
          <w:sz w:val="22"/>
          <w:szCs w:val="22"/>
        </w:rPr>
        <w:t xml:space="preserve">. Vodní nádrž spadá do IV. kategorie dle TBD (vyhláška č. 471/2001 Sb., o </w:t>
      </w:r>
      <w:proofErr w:type="spellStart"/>
      <w:r w:rsidRPr="00984DB4">
        <w:rPr>
          <w:rFonts w:ascii="Arial" w:hAnsi="Arial" w:cs="Arial"/>
          <w:bCs/>
          <w:sz w:val="22"/>
          <w:szCs w:val="22"/>
        </w:rPr>
        <w:t>technicko-bezpečnostním</w:t>
      </w:r>
      <w:proofErr w:type="spellEnd"/>
      <w:r w:rsidRPr="00984DB4">
        <w:rPr>
          <w:rFonts w:ascii="Arial" w:hAnsi="Arial" w:cs="Arial"/>
          <w:bCs/>
          <w:sz w:val="22"/>
          <w:szCs w:val="22"/>
        </w:rPr>
        <w:t xml:space="preserve"> dohledu nad vodními díly). Ze zátopy nádrže b</w:t>
      </w:r>
      <w:r>
        <w:rPr>
          <w:rFonts w:ascii="Arial" w:hAnsi="Arial" w:cs="Arial"/>
          <w:bCs/>
          <w:sz w:val="22"/>
          <w:szCs w:val="22"/>
        </w:rPr>
        <w:t>ude</w:t>
      </w:r>
      <w:r w:rsidRPr="00984DB4">
        <w:rPr>
          <w:rFonts w:ascii="Arial" w:hAnsi="Arial" w:cs="Arial"/>
          <w:bCs/>
          <w:sz w:val="22"/>
          <w:szCs w:val="22"/>
        </w:rPr>
        <w:t xml:space="preserve"> odtěženo </w:t>
      </w:r>
      <w:r>
        <w:rPr>
          <w:rFonts w:ascii="Arial" w:hAnsi="Arial" w:cs="Arial"/>
          <w:bCs/>
          <w:sz w:val="22"/>
          <w:szCs w:val="22"/>
        </w:rPr>
        <w:t>44 813</w:t>
      </w:r>
      <w:r w:rsidRPr="00984DB4">
        <w:rPr>
          <w:rFonts w:ascii="Arial" w:hAnsi="Arial" w:cs="Arial"/>
          <w:bCs/>
          <w:sz w:val="22"/>
          <w:szCs w:val="22"/>
        </w:rPr>
        <w:t xml:space="preserve"> m</w:t>
      </w:r>
      <w:r w:rsidRPr="00984DB4">
        <w:rPr>
          <w:rFonts w:ascii="Arial" w:hAnsi="Arial" w:cs="Arial"/>
          <w:bCs/>
          <w:sz w:val="22"/>
          <w:szCs w:val="22"/>
          <w:vertAlign w:val="superscript"/>
        </w:rPr>
        <w:t>3</w:t>
      </w:r>
      <w:r w:rsidRPr="00984DB4">
        <w:rPr>
          <w:rFonts w:ascii="Arial" w:hAnsi="Arial" w:cs="Arial"/>
          <w:bCs/>
          <w:sz w:val="22"/>
          <w:szCs w:val="22"/>
        </w:rPr>
        <w:t xml:space="preserve"> sedimentu. Akce </w:t>
      </w:r>
      <w:r>
        <w:rPr>
          <w:rFonts w:ascii="Arial" w:hAnsi="Arial" w:cs="Arial"/>
          <w:bCs/>
          <w:sz w:val="22"/>
          <w:szCs w:val="22"/>
        </w:rPr>
        <w:t>není v současné době stavebně dokončena</w:t>
      </w:r>
      <w:r w:rsidRPr="00984DB4">
        <w:rPr>
          <w:rFonts w:ascii="Arial" w:hAnsi="Arial" w:cs="Arial"/>
          <w:bCs/>
          <w:sz w:val="22"/>
          <w:szCs w:val="22"/>
        </w:rPr>
        <w:t>.</w:t>
      </w:r>
      <w:r w:rsidRPr="00B50BE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97F0292" w14:textId="77777777" w:rsidR="00F85762" w:rsidRDefault="00F85762" w:rsidP="00F8576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8926542" w14:textId="30A367F8" w:rsidR="00521DBC" w:rsidRPr="005B0DEF" w:rsidRDefault="00521DBC" w:rsidP="00F85762">
      <w:pPr>
        <w:jc w:val="both"/>
        <w:rPr>
          <w:rFonts w:ascii="Arial" w:hAnsi="Arial" w:cs="Arial"/>
          <w:bCs/>
          <w:sz w:val="22"/>
          <w:szCs w:val="22"/>
        </w:rPr>
      </w:pPr>
      <w:r w:rsidRPr="005B0DEF">
        <w:rPr>
          <w:rFonts w:ascii="Arial" w:hAnsi="Arial" w:cs="Arial"/>
          <w:b/>
          <w:bCs/>
          <w:sz w:val="22"/>
          <w:szCs w:val="22"/>
        </w:rPr>
        <w:t xml:space="preserve"> „Vodní nádrž Dolní koupaliště </w:t>
      </w:r>
      <w:r w:rsidR="0096419B">
        <w:rPr>
          <w:rFonts w:ascii="Arial" w:hAnsi="Arial" w:cs="Arial"/>
          <w:b/>
          <w:sz w:val="22"/>
          <w:szCs w:val="22"/>
        </w:rPr>
        <w:t>–</w:t>
      </w:r>
      <w:r w:rsidRPr="005B0DEF">
        <w:rPr>
          <w:rFonts w:ascii="Arial" w:hAnsi="Arial" w:cs="Arial"/>
          <w:b/>
          <w:bCs/>
          <w:sz w:val="22"/>
          <w:szCs w:val="22"/>
        </w:rPr>
        <w:t xml:space="preserve"> odbahnění a rekonstrukce“ </w:t>
      </w:r>
      <w:r w:rsidRPr="005B0DEF">
        <w:rPr>
          <w:rFonts w:ascii="Arial" w:hAnsi="Arial" w:cs="Arial"/>
          <w:bCs/>
          <w:sz w:val="22"/>
          <w:szCs w:val="22"/>
        </w:rPr>
        <w:t>od žadatele PROBITAS s.r.o.</w:t>
      </w:r>
      <w:r w:rsidR="0096419B">
        <w:rPr>
          <w:rFonts w:ascii="Arial" w:hAnsi="Arial" w:cs="Arial"/>
          <w:bCs/>
          <w:sz w:val="22"/>
          <w:szCs w:val="22"/>
        </w:rPr>
        <w:t>,</w:t>
      </w:r>
      <w:r w:rsidRPr="005B0DEF">
        <w:rPr>
          <w:rFonts w:ascii="Arial" w:hAnsi="Arial" w:cs="Arial"/>
          <w:bCs/>
          <w:sz w:val="22"/>
          <w:szCs w:val="22"/>
        </w:rPr>
        <w:t xml:space="preserve"> s celkovými náklady 5,606 mil. Kč. Rybník o výměře 2,70</w:t>
      </w:r>
      <w:r>
        <w:rPr>
          <w:rFonts w:ascii="Arial" w:hAnsi="Arial" w:cs="Arial"/>
          <w:bCs/>
          <w:sz w:val="22"/>
          <w:szCs w:val="22"/>
        </w:rPr>
        <w:t> ha prošel</w:t>
      </w:r>
      <w:r w:rsidRPr="005B0DEF">
        <w:rPr>
          <w:rFonts w:ascii="Arial" w:hAnsi="Arial" w:cs="Arial"/>
          <w:bCs/>
          <w:sz w:val="22"/>
          <w:szCs w:val="22"/>
        </w:rPr>
        <w:t xml:space="preserve"> celkovým odbahněním a rekonstrukcí hráze, výpustného zařízení a bezpečnostního přelivu. Bezpečnostní přeliv je řešen formou přelivné hrany s délkou 12,5 m a s kapacitou na převedení návrhového průtoku o hodnotě Q</w:t>
      </w:r>
      <w:r w:rsidRPr="005B0DEF">
        <w:rPr>
          <w:rFonts w:ascii="Arial" w:hAnsi="Arial" w:cs="Arial"/>
          <w:bCs/>
          <w:sz w:val="22"/>
          <w:szCs w:val="22"/>
          <w:vertAlign w:val="subscript"/>
        </w:rPr>
        <w:t>100</w:t>
      </w:r>
      <w:r w:rsidRPr="005B0DEF">
        <w:rPr>
          <w:rFonts w:ascii="Arial" w:hAnsi="Arial" w:cs="Arial"/>
          <w:bCs/>
          <w:sz w:val="22"/>
          <w:szCs w:val="22"/>
        </w:rPr>
        <w:t>. Vodní nádrž spadá do IV. kategorie dle TBD (vyhláška č</w:t>
      </w:r>
      <w:r w:rsidR="00BC4100" w:rsidRPr="005B0DEF">
        <w:rPr>
          <w:rFonts w:ascii="Arial" w:hAnsi="Arial" w:cs="Arial"/>
          <w:bCs/>
          <w:sz w:val="22"/>
          <w:szCs w:val="22"/>
        </w:rPr>
        <w:t>.</w:t>
      </w:r>
      <w:r w:rsidR="00BC4100">
        <w:rPr>
          <w:rFonts w:ascii="Arial" w:hAnsi="Arial" w:cs="Arial"/>
          <w:bCs/>
          <w:sz w:val="22"/>
          <w:szCs w:val="22"/>
        </w:rPr>
        <w:t> </w:t>
      </w:r>
      <w:r w:rsidRPr="005B0DEF">
        <w:rPr>
          <w:rFonts w:ascii="Arial" w:hAnsi="Arial" w:cs="Arial"/>
          <w:bCs/>
          <w:sz w:val="22"/>
          <w:szCs w:val="22"/>
        </w:rPr>
        <w:t xml:space="preserve">471/2001 Sb., o </w:t>
      </w:r>
      <w:proofErr w:type="spellStart"/>
      <w:r w:rsidRPr="005B0DEF">
        <w:rPr>
          <w:rFonts w:ascii="Arial" w:hAnsi="Arial" w:cs="Arial"/>
          <w:bCs/>
          <w:sz w:val="22"/>
          <w:szCs w:val="22"/>
        </w:rPr>
        <w:t>technicko-bezpečnostním</w:t>
      </w:r>
      <w:proofErr w:type="spellEnd"/>
      <w:r w:rsidRPr="005B0DEF">
        <w:rPr>
          <w:rFonts w:ascii="Arial" w:hAnsi="Arial" w:cs="Arial"/>
          <w:bCs/>
          <w:sz w:val="22"/>
          <w:szCs w:val="22"/>
        </w:rPr>
        <w:t xml:space="preserve"> dohledu nad vodními díly). Ze zá</w:t>
      </w:r>
      <w:r>
        <w:rPr>
          <w:rFonts w:ascii="Arial" w:hAnsi="Arial" w:cs="Arial"/>
          <w:bCs/>
          <w:sz w:val="22"/>
          <w:szCs w:val="22"/>
        </w:rPr>
        <w:t>topy nádrže bylo</w:t>
      </w:r>
      <w:r w:rsidRPr="005B0DEF">
        <w:rPr>
          <w:rFonts w:ascii="Arial" w:hAnsi="Arial" w:cs="Arial"/>
          <w:bCs/>
          <w:sz w:val="22"/>
          <w:szCs w:val="22"/>
        </w:rPr>
        <w:t xml:space="preserve"> odtěženo 7 173 m</w:t>
      </w:r>
      <w:r w:rsidRPr="005B0DEF">
        <w:rPr>
          <w:rFonts w:ascii="Arial" w:hAnsi="Arial" w:cs="Arial"/>
          <w:bCs/>
          <w:sz w:val="22"/>
          <w:szCs w:val="22"/>
          <w:vertAlign w:val="superscript"/>
        </w:rPr>
        <w:t>3</w:t>
      </w:r>
      <w:r w:rsidRPr="005B0DEF">
        <w:rPr>
          <w:rFonts w:ascii="Arial" w:hAnsi="Arial" w:cs="Arial"/>
          <w:bCs/>
          <w:sz w:val="22"/>
          <w:szCs w:val="22"/>
        </w:rPr>
        <w:t xml:space="preserve"> sedimentu. Akce je stavebně dokončena.</w:t>
      </w:r>
    </w:p>
    <w:p w14:paraId="79A23054" w14:textId="39B7F4CF" w:rsidR="00521DBC" w:rsidRPr="00B77409" w:rsidRDefault="00521DBC" w:rsidP="00F85762">
      <w:pPr>
        <w:jc w:val="both"/>
        <w:rPr>
          <w:rFonts w:ascii="Arial" w:hAnsi="Arial" w:cs="Arial"/>
          <w:bCs/>
          <w:sz w:val="22"/>
          <w:szCs w:val="22"/>
        </w:rPr>
      </w:pPr>
      <w:r w:rsidRPr="005B0DEF">
        <w:rPr>
          <w:rFonts w:ascii="Arial" w:hAnsi="Arial" w:cs="Arial"/>
          <w:b/>
          <w:bCs/>
          <w:sz w:val="22"/>
          <w:szCs w:val="22"/>
        </w:rPr>
        <w:lastRenderedPageBreak/>
        <w:t xml:space="preserve">„Rybník </w:t>
      </w:r>
      <w:proofErr w:type="spellStart"/>
      <w:r w:rsidRPr="005B0DEF">
        <w:rPr>
          <w:rFonts w:ascii="Arial" w:hAnsi="Arial" w:cs="Arial"/>
          <w:b/>
          <w:bCs/>
          <w:sz w:val="22"/>
          <w:szCs w:val="22"/>
        </w:rPr>
        <w:t>Bažantnický</w:t>
      </w:r>
      <w:proofErr w:type="spellEnd"/>
      <w:r w:rsidRPr="005B0DEF">
        <w:rPr>
          <w:rFonts w:ascii="Arial" w:hAnsi="Arial" w:cs="Arial"/>
          <w:b/>
          <w:bCs/>
          <w:sz w:val="22"/>
          <w:szCs w:val="22"/>
        </w:rPr>
        <w:t xml:space="preserve"> </w:t>
      </w:r>
      <w:r w:rsidR="0096419B">
        <w:rPr>
          <w:rFonts w:ascii="Arial" w:hAnsi="Arial" w:cs="Arial"/>
          <w:b/>
          <w:sz w:val="22"/>
          <w:szCs w:val="22"/>
        </w:rPr>
        <w:t>–</w:t>
      </w:r>
      <w:r w:rsidRPr="005B0DEF">
        <w:rPr>
          <w:rFonts w:ascii="Arial" w:hAnsi="Arial" w:cs="Arial"/>
          <w:b/>
          <w:bCs/>
          <w:sz w:val="22"/>
          <w:szCs w:val="22"/>
        </w:rPr>
        <w:t xml:space="preserve"> rekonst</w:t>
      </w:r>
      <w:r w:rsidR="0096419B">
        <w:rPr>
          <w:rFonts w:ascii="Arial" w:hAnsi="Arial" w:cs="Arial"/>
          <w:b/>
          <w:bCs/>
          <w:sz w:val="22"/>
          <w:szCs w:val="22"/>
        </w:rPr>
        <w:t>r</w:t>
      </w:r>
      <w:r w:rsidRPr="005B0DEF">
        <w:rPr>
          <w:rFonts w:ascii="Arial" w:hAnsi="Arial" w:cs="Arial"/>
          <w:b/>
          <w:bCs/>
          <w:sz w:val="22"/>
          <w:szCs w:val="22"/>
        </w:rPr>
        <w:t>ukce hráze a spodní výpusti“</w:t>
      </w:r>
      <w:r w:rsidRPr="005B0DEF">
        <w:rPr>
          <w:rFonts w:ascii="Arial" w:hAnsi="Arial" w:cs="Arial"/>
          <w:bCs/>
          <w:sz w:val="22"/>
          <w:szCs w:val="22"/>
        </w:rPr>
        <w:t xml:space="preserve"> od žadatele Rybářství Mariánské Lázně s.r.o.</w:t>
      </w:r>
      <w:r w:rsidR="0096419B">
        <w:rPr>
          <w:rFonts w:ascii="Arial" w:hAnsi="Arial" w:cs="Arial"/>
          <w:bCs/>
          <w:sz w:val="22"/>
          <w:szCs w:val="22"/>
        </w:rPr>
        <w:t>,</w:t>
      </w:r>
      <w:r w:rsidRPr="005B0DEF">
        <w:rPr>
          <w:rFonts w:ascii="Arial" w:hAnsi="Arial" w:cs="Arial"/>
          <w:bCs/>
          <w:sz w:val="22"/>
          <w:szCs w:val="22"/>
        </w:rPr>
        <w:t xml:space="preserve"> s celkovými náklady 3,945 mil. Kč. Rybník o výměře 4,80 ha prošel celkovou rekonstrukcí hráze, výpustného zařízení s lovištěm a bezpečnostního přelivu. Bezpečnostní přeliv je řešen formou přelivné hrany s délkou 5,2 m a s kapacitou na převedení návrhového průtoku o hodnotě Q</w:t>
      </w:r>
      <w:r w:rsidRPr="005B0DEF">
        <w:rPr>
          <w:rFonts w:ascii="Arial" w:hAnsi="Arial" w:cs="Arial"/>
          <w:bCs/>
          <w:sz w:val="22"/>
          <w:szCs w:val="22"/>
          <w:vertAlign w:val="subscript"/>
        </w:rPr>
        <w:t>100</w:t>
      </w:r>
      <w:r w:rsidRPr="005B0DEF">
        <w:rPr>
          <w:rFonts w:ascii="Arial" w:hAnsi="Arial" w:cs="Arial"/>
          <w:bCs/>
          <w:sz w:val="22"/>
          <w:szCs w:val="22"/>
        </w:rPr>
        <w:t>. Vodní nádrž spadá do IV. kategorie dle TBD (vyhláška č</w:t>
      </w:r>
      <w:r w:rsidR="00BC4100" w:rsidRPr="005B0DEF">
        <w:rPr>
          <w:rFonts w:ascii="Arial" w:hAnsi="Arial" w:cs="Arial"/>
          <w:bCs/>
          <w:sz w:val="22"/>
          <w:szCs w:val="22"/>
        </w:rPr>
        <w:t>.</w:t>
      </w:r>
      <w:r w:rsidR="00BC4100">
        <w:rPr>
          <w:rFonts w:ascii="Arial" w:hAnsi="Arial" w:cs="Arial"/>
          <w:bCs/>
          <w:sz w:val="22"/>
          <w:szCs w:val="22"/>
        </w:rPr>
        <w:t> </w:t>
      </w:r>
      <w:r w:rsidRPr="005B0DEF">
        <w:rPr>
          <w:rFonts w:ascii="Arial" w:hAnsi="Arial" w:cs="Arial"/>
          <w:bCs/>
          <w:sz w:val="22"/>
          <w:szCs w:val="22"/>
        </w:rPr>
        <w:t xml:space="preserve">471/2001 Sb., o </w:t>
      </w:r>
      <w:proofErr w:type="spellStart"/>
      <w:r w:rsidRPr="005B0DEF">
        <w:rPr>
          <w:rFonts w:ascii="Arial" w:hAnsi="Arial" w:cs="Arial"/>
          <w:bCs/>
          <w:sz w:val="22"/>
          <w:szCs w:val="22"/>
        </w:rPr>
        <w:t>technicko-bezpečnostním</w:t>
      </w:r>
      <w:proofErr w:type="spellEnd"/>
      <w:r w:rsidRPr="005B0DEF">
        <w:rPr>
          <w:rFonts w:ascii="Arial" w:hAnsi="Arial" w:cs="Arial"/>
          <w:bCs/>
          <w:sz w:val="22"/>
          <w:szCs w:val="22"/>
        </w:rPr>
        <w:t xml:space="preserve"> dohledu nad vodními díly). Akce je stavebně dokončena.</w:t>
      </w:r>
    </w:p>
    <w:p w14:paraId="62DDF918" w14:textId="77777777" w:rsidR="00894F59" w:rsidRDefault="00894F5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E24F9D4" w14:textId="5C131373" w:rsidR="00B50D72" w:rsidRPr="00FD6BE1" w:rsidRDefault="00B40500" w:rsidP="009D33A4">
      <w:pPr>
        <w:keepNext/>
        <w:tabs>
          <w:tab w:val="left" w:pos="567"/>
        </w:tabs>
        <w:spacing w:before="360" w:after="360"/>
        <w:rPr>
          <w:rFonts w:ascii="Arial" w:hAnsi="Arial" w:cs="Arial"/>
          <w:b/>
          <w:sz w:val="22"/>
          <w:szCs w:val="22"/>
        </w:rPr>
      </w:pPr>
      <w:r w:rsidRPr="00FD6BE1">
        <w:rPr>
          <w:rFonts w:ascii="Arial" w:hAnsi="Arial" w:cs="Arial"/>
          <w:b/>
          <w:sz w:val="22"/>
          <w:szCs w:val="22"/>
        </w:rPr>
        <w:lastRenderedPageBreak/>
        <w:t>B.</w:t>
      </w:r>
      <w:r w:rsidR="00026011">
        <w:rPr>
          <w:rFonts w:ascii="Arial" w:hAnsi="Arial" w:cs="Arial"/>
          <w:b/>
          <w:sz w:val="22"/>
          <w:szCs w:val="22"/>
        </w:rPr>
        <w:t>2</w:t>
      </w:r>
      <w:r w:rsidR="00B50D72" w:rsidRPr="00FD6BE1">
        <w:rPr>
          <w:rFonts w:ascii="Arial" w:hAnsi="Arial" w:cs="Arial"/>
          <w:b/>
          <w:sz w:val="22"/>
          <w:szCs w:val="22"/>
        </w:rPr>
        <w:t xml:space="preserve"> </w:t>
      </w:r>
      <w:r w:rsidR="0043367C" w:rsidRPr="00FD6BE1">
        <w:rPr>
          <w:rFonts w:ascii="Arial" w:hAnsi="Arial" w:cs="Arial"/>
          <w:b/>
          <w:sz w:val="22"/>
          <w:szCs w:val="22"/>
        </w:rPr>
        <w:tab/>
      </w:r>
      <w:r w:rsidR="00B50D72" w:rsidRPr="00FD6BE1">
        <w:rPr>
          <w:rFonts w:ascii="Arial" w:hAnsi="Arial" w:cs="Arial"/>
          <w:b/>
          <w:sz w:val="22"/>
          <w:szCs w:val="22"/>
        </w:rPr>
        <w:t>Ministerstvo životního prostředí</w:t>
      </w:r>
    </w:p>
    <w:p w14:paraId="4B9128D6" w14:textId="77777777" w:rsidR="007D4BB1" w:rsidRDefault="00B50D72" w:rsidP="00D33240">
      <w:pPr>
        <w:keepNext/>
        <w:tabs>
          <w:tab w:val="left" w:pos="480"/>
        </w:tabs>
        <w:spacing w:before="24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FD6BE1">
        <w:rPr>
          <w:rFonts w:ascii="Arial" w:hAnsi="Arial" w:cs="Arial"/>
          <w:b/>
          <w:i/>
          <w:iCs/>
          <w:sz w:val="22"/>
          <w:szCs w:val="22"/>
        </w:rPr>
        <w:t xml:space="preserve">Struktura programů </w:t>
      </w:r>
      <w:r w:rsidR="00352A76" w:rsidRPr="00FD6BE1">
        <w:rPr>
          <w:rFonts w:ascii="Arial" w:hAnsi="Arial" w:cs="Arial"/>
          <w:b/>
          <w:i/>
          <w:iCs/>
          <w:sz w:val="22"/>
          <w:szCs w:val="22"/>
        </w:rPr>
        <w:t>prevence před povodněmi</w:t>
      </w:r>
    </w:p>
    <w:tbl>
      <w:tblPr>
        <w:tblpPr w:leftFromText="141" w:rightFromText="141" w:vertAnchor="text" w:horzAnchor="margin" w:tblpX="68" w:tblpY="81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73FF7" w:rsidRPr="0062074E" w14:paraId="7ACEA435" w14:textId="77777777" w:rsidTr="0016342B">
        <w:trPr>
          <w:trHeight w:val="354"/>
        </w:trPr>
        <w:tc>
          <w:tcPr>
            <w:tcW w:w="91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AD86606" w14:textId="77777777" w:rsidR="00173FF7" w:rsidRPr="0062074E" w:rsidRDefault="00173FF7" w:rsidP="0016342B">
            <w:pPr>
              <w:keepNext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207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programu </w:t>
            </w:r>
          </w:p>
        </w:tc>
      </w:tr>
      <w:tr w:rsidR="00173FF7" w:rsidRPr="00FD6BE1" w14:paraId="618E30CF" w14:textId="77777777" w:rsidTr="0016342B">
        <w:trPr>
          <w:trHeight w:val="342"/>
        </w:trPr>
        <w:tc>
          <w:tcPr>
            <w:tcW w:w="91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47E6FA6" w14:textId="6EE537A8" w:rsidR="00173FF7" w:rsidRPr="00FD6BE1" w:rsidRDefault="00173FF7" w:rsidP="002E7F7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115 310 </w:t>
            </w:r>
            <w:r w:rsidR="00C01769"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r w:rsidRPr="00FD6BE1">
              <w:rPr>
                <w:rFonts w:ascii="Arial" w:hAnsi="Arial" w:cs="Arial"/>
                <w:b/>
                <w:bCs/>
                <w:sz w:val="22"/>
                <w:szCs w:val="22"/>
              </w:rPr>
              <w:t>Operační program Životní prostředí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2014</w:t>
            </w:r>
            <w:r w:rsidRPr="004A0521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2020</w:t>
            </w:r>
            <w:r w:rsidR="00C01769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</w:tc>
      </w:tr>
      <w:tr w:rsidR="00173FF7" w:rsidRPr="00193C1E" w14:paraId="609913E1" w14:textId="77777777" w:rsidTr="0016342B">
        <w:trPr>
          <w:trHeight w:val="342"/>
        </w:trPr>
        <w:tc>
          <w:tcPr>
            <w:tcW w:w="91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F3588E" w14:textId="77777777" w:rsidR="00173FF7" w:rsidRPr="00193C1E" w:rsidRDefault="00173FF7" w:rsidP="0016342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115 312 </w:t>
            </w:r>
            <w:r w:rsidRPr="004A0521">
              <w:rPr>
                <w:rFonts w:ascii="Arial" w:hAnsi="Arial" w:cs="Arial"/>
                <w:sz w:val="22"/>
                <w:szCs w:val="22"/>
              </w:rPr>
              <w:t xml:space="preserve">Prioritní osa 1: </w:t>
            </w:r>
            <w:r w:rsidR="00C01769">
              <w:rPr>
                <w:rFonts w:ascii="Arial" w:hAnsi="Arial" w:cs="Arial"/>
                <w:sz w:val="22"/>
                <w:szCs w:val="22"/>
              </w:rPr>
              <w:t>„</w:t>
            </w:r>
            <w:r w:rsidRPr="004A0521">
              <w:rPr>
                <w:rFonts w:ascii="Arial" w:hAnsi="Arial" w:cs="Arial"/>
                <w:sz w:val="22"/>
                <w:szCs w:val="22"/>
              </w:rPr>
              <w:t>Zlepšování kvality vody a snižování rizika povodní</w:t>
            </w:r>
            <w:r w:rsidR="00C01769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73FF7" w:rsidRPr="00193C1E" w14:paraId="6EC7608B" w14:textId="77777777" w:rsidTr="0016342B">
        <w:trPr>
          <w:trHeight w:val="342"/>
        </w:trPr>
        <w:tc>
          <w:tcPr>
            <w:tcW w:w="91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9C85D6" w14:textId="3645EDAC" w:rsidR="00173FF7" w:rsidRPr="00193C1E" w:rsidRDefault="00173FF7" w:rsidP="004D2161">
            <w:pPr>
              <w:ind w:left="1753" w:hanging="175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0521">
              <w:rPr>
                <w:rFonts w:ascii="Arial" w:hAnsi="Arial" w:cs="Arial"/>
                <w:sz w:val="22"/>
                <w:szCs w:val="22"/>
              </w:rPr>
              <w:t xml:space="preserve">Specifický cíl 1.3: </w:t>
            </w:r>
            <w:r w:rsidR="00094A3C">
              <w:rPr>
                <w:rFonts w:ascii="Arial" w:hAnsi="Arial" w:cs="Arial"/>
                <w:sz w:val="22"/>
                <w:szCs w:val="22"/>
              </w:rPr>
              <w:t>„</w:t>
            </w:r>
            <w:r w:rsidRPr="004A0521">
              <w:rPr>
                <w:rFonts w:ascii="Arial" w:hAnsi="Arial" w:cs="Arial"/>
                <w:sz w:val="22"/>
                <w:szCs w:val="22"/>
              </w:rPr>
              <w:t xml:space="preserve">Zajistit povodňovou ochranu </w:t>
            </w:r>
            <w:proofErr w:type="spellStart"/>
            <w:r w:rsidRPr="004A0521">
              <w:rPr>
                <w:rFonts w:ascii="Arial" w:hAnsi="Arial" w:cs="Arial"/>
                <w:sz w:val="22"/>
                <w:szCs w:val="22"/>
              </w:rPr>
              <w:t>intravilánu</w:t>
            </w:r>
            <w:proofErr w:type="spellEnd"/>
            <w:r w:rsidRPr="004A0521">
              <w:rPr>
                <w:rFonts w:ascii="Arial" w:hAnsi="Arial" w:cs="Arial"/>
                <w:sz w:val="22"/>
                <w:szCs w:val="22"/>
              </w:rPr>
              <w:t xml:space="preserve"> a hospodaření se srážkovými vodami</w:t>
            </w:r>
            <w:r w:rsidR="00094A3C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73FF7" w:rsidRPr="00193C1E" w14:paraId="48318A53" w14:textId="77777777" w:rsidTr="0016342B">
        <w:trPr>
          <w:trHeight w:val="342"/>
        </w:trPr>
        <w:tc>
          <w:tcPr>
            <w:tcW w:w="91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CFB3CC" w14:textId="7C92CBEE" w:rsidR="00173FF7" w:rsidRPr="00193C1E" w:rsidRDefault="00173FF7" w:rsidP="0016342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0521">
              <w:rPr>
                <w:rFonts w:ascii="Arial" w:hAnsi="Arial" w:cs="Arial"/>
                <w:sz w:val="22"/>
                <w:szCs w:val="22"/>
              </w:rPr>
              <w:t xml:space="preserve">Specifický cíl 1.4: </w:t>
            </w:r>
            <w:r w:rsidR="00094A3C">
              <w:rPr>
                <w:rFonts w:ascii="Arial" w:hAnsi="Arial" w:cs="Arial"/>
                <w:sz w:val="22"/>
                <w:szCs w:val="22"/>
              </w:rPr>
              <w:t>„</w:t>
            </w:r>
            <w:r w:rsidRPr="004A0521">
              <w:rPr>
                <w:rFonts w:ascii="Arial" w:hAnsi="Arial" w:cs="Arial"/>
                <w:sz w:val="22"/>
                <w:szCs w:val="22"/>
              </w:rPr>
              <w:t>Podpořit preventivní protipovodňová opatření</w:t>
            </w:r>
            <w:r w:rsidR="00094A3C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73FF7" w:rsidRPr="00193C1E" w14:paraId="6EA6226C" w14:textId="77777777" w:rsidTr="0016342B">
        <w:trPr>
          <w:trHeight w:val="342"/>
        </w:trPr>
        <w:tc>
          <w:tcPr>
            <w:tcW w:w="91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947DAD" w14:textId="77777777" w:rsidR="00173FF7" w:rsidRPr="00193C1E" w:rsidRDefault="00173FF7" w:rsidP="0016342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115 315 </w:t>
            </w:r>
            <w:r w:rsidRPr="004A0521">
              <w:rPr>
                <w:rFonts w:ascii="Arial" w:hAnsi="Arial" w:cs="Arial"/>
                <w:sz w:val="22"/>
                <w:szCs w:val="22"/>
              </w:rPr>
              <w:t xml:space="preserve">Prioritní osa 4: </w:t>
            </w:r>
            <w:r w:rsidR="00C01769">
              <w:rPr>
                <w:rFonts w:ascii="Arial" w:hAnsi="Arial" w:cs="Arial"/>
                <w:sz w:val="22"/>
                <w:szCs w:val="22"/>
              </w:rPr>
              <w:t>„</w:t>
            </w:r>
            <w:r w:rsidRPr="004A0521">
              <w:rPr>
                <w:rFonts w:ascii="Arial" w:hAnsi="Arial" w:cs="Arial"/>
                <w:sz w:val="22"/>
                <w:szCs w:val="22"/>
              </w:rPr>
              <w:t>Ochrana a péče o přírodu a krajinu</w:t>
            </w:r>
            <w:r w:rsidR="00C01769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73FF7" w:rsidRPr="00193C1E" w14:paraId="2D25B77E" w14:textId="77777777" w:rsidTr="0016342B">
        <w:trPr>
          <w:trHeight w:val="342"/>
        </w:trPr>
        <w:tc>
          <w:tcPr>
            <w:tcW w:w="91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837B7F" w14:textId="246B99D1" w:rsidR="00173FF7" w:rsidRPr="00193C1E" w:rsidRDefault="00173FF7" w:rsidP="0016342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0521">
              <w:rPr>
                <w:rFonts w:ascii="Arial" w:hAnsi="Arial" w:cs="Arial"/>
                <w:sz w:val="22"/>
                <w:szCs w:val="22"/>
              </w:rPr>
              <w:t xml:space="preserve">Specifický cíl 4.3: </w:t>
            </w:r>
            <w:r w:rsidR="003D19D8">
              <w:rPr>
                <w:rFonts w:ascii="Arial" w:hAnsi="Arial" w:cs="Arial"/>
                <w:sz w:val="22"/>
                <w:szCs w:val="22"/>
              </w:rPr>
              <w:t>„</w:t>
            </w:r>
            <w:r w:rsidRPr="004A0521">
              <w:rPr>
                <w:rFonts w:ascii="Arial" w:hAnsi="Arial" w:cs="Arial"/>
                <w:sz w:val="22"/>
                <w:szCs w:val="22"/>
              </w:rPr>
              <w:t>Posílit přirozené funkce krajiny</w:t>
            </w:r>
            <w:r w:rsidR="003D19D8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73FF7" w:rsidRPr="00193C1E" w14:paraId="7A456ED5" w14:textId="77777777" w:rsidTr="008A74AA">
        <w:trPr>
          <w:trHeight w:val="342"/>
        </w:trPr>
        <w:tc>
          <w:tcPr>
            <w:tcW w:w="914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AFD1619" w14:textId="77777777" w:rsidR="00173FF7" w:rsidRPr="00193C1E" w:rsidRDefault="00173FF7" w:rsidP="0016342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115 317 Prioritní osa 6: </w:t>
            </w:r>
            <w:r w:rsidR="00C01769">
              <w:rPr>
                <w:rFonts w:ascii="Arial" w:hAnsi="Arial" w:cs="Arial"/>
                <w:sz w:val="22"/>
                <w:szCs w:val="22"/>
              </w:rPr>
              <w:t>„</w:t>
            </w:r>
            <w:r w:rsidRPr="004A0521">
              <w:rPr>
                <w:rFonts w:ascii="Arial" w:hAnsi="Arial" w:cs="Arial"/>
                <w:sz w:val="22"/>
                <w:szCs w:val="22"/>
              </w:rPr>
              <w:t>Technická pomoc</w:t>
            </w:r>
            <w:r w:rsidR="00C01769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8A74AA" w:rsidRPr="00193C1E" w14:paraId="3351D2A4" w14:textId="77777777" w:rsidTr="008A74AA">
        <w:trPr>
          <w:trHeight w:val="342"/>
        </w:trPr>
        <w:tc>
          <w:tcPr>
            <w:tcW w:w="914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F8F9B9E" w14:textId="0FD323D3" w:rsidR="008A74AA" w:rsidRDefault="008A74AA" w:rsidP="008A74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777D">
              <w:rPr>
                <w:rFonts w:ascii="Arial" w:hAnsi="Arial" w:cs="Arial"/>
                <w:sz w:val="22"/>
                <w:szCs w:val="22"/>
              </w:rPr>
              <w:t>Specifický cíl 6.1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D4777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D4777D">
              <w:rPr>
                <w:rFonts w:ascii="Arial" w:hAnsi="Arial" w:cs="Arial"/>
                <w:sz w:val="22"/>
                <w:szCs w:val="22"/>
              </w:rPr>
              <w:t>Zajistit řádné a efektivní řízení a administraci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8A74AA" w:rsidRPr="00193C1E" w14:paraId="6CFCE54B" w14:textId="77777777" w:rsidTr="008A74AA">
        <w:trPr>
          <w:trHeight w:val="342"/>
        </w:trPr>
        <w:tc>
          <w:tcPr>
            <w:tcW w:w="91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ACF9EE" w14:textId="4CA8CDBE" w:rsidR="008A74AA" w:rsidRDefault="008A74AA" w:rsidP="0016342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D4777D">
              <w:rPr>
                <w:rFonts w:ascii="Arial" w:hAnsi="Arial" w:cs="Arial"/>
                <w:sz w:val="22"/>
                <w:szCs w:val="22"/>
              </w:rPr>
              <w:t>pecifický cíl 6.2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D4777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D4777D">
              <w:rPr>
                <w:rFonts w:ascii="Arial" w:hAnsi="Arial" w:cs="Arial"/>
                <w:sz w:val="22"/>
                <w:szCs w:val="22"/>
              </w:rPr>
              <w:t>Zajistit informovanost, publicitu a absorpční kapacitu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73FF7" w:rsidRPr="00184F48" w14:paraId="77D0FCBD" w14:textId="77777777" w:rsidTr="0016342B">
        <w:trPr>
          <w:trHeight w:val="342"/>
        </w:trPr>
        <w:tc>
          <w:tcPr>
            <w:tcW w:w="91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4B9D298" w14:textId="77777777" w:rsidR="00173FF7" w:rsidRPr="00184F48" w:rsidRDefault="00173FF7" w:rsidP="0016342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84F48">
              <w:rPr>
                <w:rFonts w:ascii="Arial" w:hAnsi="Arial" w:cs="Arial"/>
                <w:b/>
                <w:sz w:val="22"/>
                <w:szCs w:val="22"/>
              </w:rPr>
              <w:t>Národní programy M</w:t>
            </w:r>
            <w:r>
              <w:rPr>
                <w:rFonts w:ascii="Arial" w:hAnsi="Arial" w:cs="Arial"/>
                <w:b/>
                <w:sz w:val="22"/>
                <w:szCs w:val="22"/>
              </w:rPr>
              <w:t>inisterstva životního prostředí</w:t>
            </w:r>
          </w:p>
        </w:tc>
      </w:tr>
      <w:tr w:rsidR="004D2161" w:rsidRPr="00D33240" w14:paraId="7A81CCFF" w14:textId="77777777" w:rsidTr="0016342B">
        <w:trPr>
          <w:trHeight w:val="342"/>
        </w:trPr>
        <w:tc>
          <w:tcPr>
            <w:tcW w:w="91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/>
          </w:tcPr>
          <w:p w14:paraId="277CD19A" w14:textId="2C916933" w:rsidR="004D2161" w:rsidRPr="00D33240" w:rsidRDefault="004D2161" w:rsidP="004D21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33240">
              <w:rPr>
                <w:rFonts w:ascii="Arial" w:hAnsi="Arial" w:cs="Arial"/>
                <w:b/>
                <w:sz w:val="22"/>
                <w:szCs w:val="22"/>
              </w:rPr>
              <w:t xml:space="preserve">115 160 </w:t>
            </w:r>
            <w:r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Pr="00D33240">
              <w:rPr>
                <w:rFonts w:ascii="Arial" w:hAnsi="Arial" w:cs="Arial"/>
                <w:b/>
                <w:sz w:val="22"/>
                <w:szCs w:val="22"/>
              </w:rPr>
              <w:t>Podpora obnovy přirozených funkcí krajiny</w:t>
            </w:r>
            <w:r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4D2161" w14:paraId="4AAA9DF5" w14:textId="77777777" w:rsidTr="0016342B">
        <w:trPr>
          <w:trHeight w:val="342"/>
        </w:trPr>
        <w:tc>
          <w:tcPr>
            <w:tcW w:w="91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A23A7C" w14:textId="2776326C" w:rsidR="004D2161" w:rsidRDefault="004D2161" w:rsidP="004D2161">
            <w:pPr>
              <w:ind w:left="1895" w:hanging="1843"/>
              <w:rPr>
                <w:rFonts w:ascii="Arial" w:hAnsi="Arial" w:cs="Arial"/>
                <w:sz w:val="22"/>
                <w:szCs w:val="22"/>
              </w:rPr>
            </w:pPr>
            <w:r w:rsidRPr="00FD6BE1">
              <w:rPr>
                <w:rFonts w:ascii="Arial" w:hAnsi="Arial" w:cs="Arial"/>
                <w:sz w:val="22"/>
                <w:szCs w:val="22"/>
              </w:rPr>
              <w:t>115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D6BE1">
              <w:rPr>
                <w:rFonts w:ascii="Arial" w:hAnsi="Arial" w:cs="Arial"/>
                <w:sz w:val="22"/>
                <w:szCs w:val="22"/>
              </w:rPr>
              <w:t xml:space="preserve">164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FD6BE1">
              <w:rPr>
                <w:rFonts w:ascii="Arial" w:hAnsi="Arial" w:cs="Arial"/>
                <w:sz w:val="22"/>
                <w:szCs w:val="22"/>
              </w:rPr>
              <w:t>Adaptační opatření pro zmírnění dopadů klimatické změny</w:t>
            </w:r>
            <w:r>
              <w:rPr>
                <w:rFonts w:ascii="Arial" w:hAnsi="Arial" w:cs="Arial"/>
                <w:sz w:val="22"/>
                <w:szCs w:val="22"/>
              </w:rPr>
              <w:t xml:space="preserve"> na vodní ekosystémy“</w:t>
            </w:r>
          </w:p>
        </w:tc>
      </w:tr>
      <w:tr w:rsidR="004D2161" w14:paraId="11F0D3AF" w14:textId="77777777" w:rsidTr="0016342B">
        <w:trPr>
          <w:trHeight w:val="342"/>
        </w:trPr>
        <w:tc>
          <w:tcPr>
            <w:tcW w:w="91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7AA3F6" w14:textId="4FCBDB88" w:rsidR="004D2161" w:rsidRDefault="004D2161" w:rsidP="004D2161">
            <w:pPr>
              <w:ind w:left="1895" w:hanging="1895"/>
              <w:rPr>
                <w:rFonts w:ascii="Arial" w:hAnsi="Arial" w:cs="Arial"/>
                <w:sz w:val="22"/>
                <w:szCs w:val="22"/>
              </w:rPr>
            </w:pPr>
            <w:r w:rsidRPr="00FD6BE1">
              <w:rPr>
                <w:rFonts w:ascii="Arial" w:hAnsi="Arial" w:cs="Arial"/>
                <w:sz w:val="22"/>
                <w:szCs w:val="22"/>
              </w:rPr>
              <w:t>115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D6BE1">
              <w:rPr>
                <w:rFonts w:ascii="Arial" w:hAnsi="Arial" w:cs="Arial"/>
                <w:sz w:val="22"/>
                <w:szCs w:val="22"/>
              </w:rPr>
              <w:t>165</w:t>
            </w:r>
            <w:r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FD6BE1">
              <w:rPr>
                <w:rFonts w:ascii="Arial" w:hAnsi="Arial" w:cs="Arial"/>
                <w:sz w:val="22"/>
                <w:szCs w:val="22"/>
              </w:rPr>
              <w:t>Adaptační opatření pro zmírnění dopadů klimatické změny</w:t>
            </w:r>
            <w:r>
              <w:rPr>
                <w:rFonts w:ascii="Arial" w:hAnsi="Arial" w:cs="Arial"/>
                <w:sz w:val="22"/>
                <w:szCs w:val="22"/>
              </w:rPr>
              <w:t xml:space="preserve"> na nelesní ekosystémy“</w:t>
            </w:r>
          </w:p>
        </w:tc>
      </w:tr>
      <w:tr w:rsidR="004D2161" w14:paraId="11094832" w14:textId="77777777" w:rsidTr="004D2161">
        <w:trPr>
          <w:trHeight w:val="342"/>
        </w:trPr>
        <w:tc>
          <w:tcPr>
            <w:tcW w:w="914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EF5A6B5" w14:textId="7329D33A" w:rsidR="004D2161" w:rsidRDefault="004D2161" w:rsidP="004D2161">
            <w:pPr>
              <w:ind w:left="1895" w:hanging="1895"/>
              <w:rPr>
                <w:rFonts w:ascii="Arial" w:hAnsi="Arial" w:cs="Arial"/>
                <w:sz w:val="22"/>
                <w:szCs w:val="22"/>
              </w:rPr>
            </w:pPr>
            <w:r w:rsidRPr="00FD6BE1">
              <w:rPr>
                <w:rFonts w:ascii="Arial" w:hAnsi="Arial" w:cs="Arial"/>
                <w:sz w:val="22"/>
                <w:szCs w:val="22"/>
              </w:rPr>
              <w:t xml:space="preserve">115 166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FD6BE1">
              <w:rPr>
                <w:rFonts w:ascii="Arial" w:hAnsi="Arial" w:cs="Arial"/>
                <w:sz w:val="22"/>
                <w:szCs w:val="22"/>
              </w:rPr>
              <w:t>Adaptační opatření pro zmírnění dopadů klimatické změny</w:t>
            </w:r>
            <w:r>
              <w:rPr>
                <w:rFonts w:ascii="Arial" w:hAnsi="Arial" w:cs="Arial"/>
                <w:sz w:val="22"/>
                <w:szCs w:val="22"/>
              </w:rPr>
              <w:t xml:space="preserve"> na lesní ekosystémy“</w:t>
            </w:r>
          </w:p>
        </w:tc>
      </w:tr>
      <w:tr w:rsidR="004D2161" w:rsidRPr="00D33240" w14:paraId="64944A57" w14:textId="77777777" w:rsidTr="004E75B6">
        <w:trPr>
          <w:trHeight w:val="342"/>
        </w:trPr>
        <w:tc>
          <w:tcPr>
            <w:tcW w:w="914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2C2362DC" w14:textId="5A3DBAE0" w:rsidR="004D2161" w:rsidRPr="00D33240" w:rsidRDefault="004D2161" w:rsidP="004D21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5019B">
              <w:rPr>
                <w:rFonts w:ascii="Arial" w:hAnsi="Arial" w:cs="Arial"/>
                <w:b/>
                <w:sz w:val="22"/>
                <w:szCs w:val="22"/>
              </w:rPr>
              <w:t>115 170 „Pod</w:t>
            </w:r>
            <w:r w:rsidR="00623E07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75019B">
              <w:rPr>
                <w:rFonts w:ascii="Arial" w:hAnsi="Arial" w:cs="Arial"/>
                <w:b/>
                <w:sz w:val="22"/>
                <w:szCs w:val="22"/>
              </w:rPr>
              <w:t>ora obnovy přirozených funkcí krajiny</w:t>
            </w:r>
            <w:r w:rsidR="00593920">
              <w:rPr>
                <w:rFonts w:ascii="Arial" w:hAnsi="Arial" w:cs="Arial"/>
                <w:b/>
                <w:sz w:val="22"/>
                <w:szCs w:val="22"/>
              </w:rPr>
              <w:t>“</w:t>
            </w:r>
            <w:r w:rsidR="00623E07">
              <w:rPr>
                <w:rFonts w:ascii="Arial" w:hAnsi="Arial" w:cs="Arial"/>
                <w:b/>
                <w:sz w:val="22"/>
                <w:szCs w:val="22"/>
              </w:rPr>
              <w:t xml:space="preserve"> od roku 2019</w:t>
            </w:r>
          </w:p>
        </w:tc>
      </w:tr>
      <w:tr w:rsidR="004D2161" w14:paraId="78BCA4BE" w14:textId="77777777" w:rsidTr="004E75B6">
        <w:trPr>
          <w:trHeight w:val="342"/>
        </w:trPr>
        <w:tc>
          <w:tcPr>
            <w:tcW w:w="914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7F4E331" w14:textId="2E19E4AF" w:rsidR="004D2161" w:rsidRDefault="004D2161" w:rsidP="004D2161">
            <w:pPr>
              <w:ind w:left="903" w:hanging="9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115 174 „</w:t>
            </w:r>
            <w:r w:rsidRPr="00FD6BE1">
              <w:rPr>
                <w:rFonts w:ascii="Arial" w:hAnsi="Arial" w:cs="Arial"/>
                <w:sz w:val="22"/>
                <w:szCs w:val="22"/>
              </w:rPr>
              <w:t>Adaptační opatření pro zmírnění dopadů klimatické změny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D6BE1">
              <w:rPr>
                <w:rFonts w:ascii="Arial" w:hAnsi="Arial" w:cs="Arial"/>
                <w:sz w:val="22"/>
                <w:szCs w:val="22"/>
              </w:rPr>
              <w:t>na vodní ekosystémy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4D2161" w:rsidRPr="00FD6BE1" w14:paraId="62B413C0" w14:textId="77777777" w:rsidTr="004E75B6">
        <w:trPr>
          <w:trHeight w:val="342"/>
        </w:trPr>
        <w:tc>
          <w:tcPr>
            <w:tcW w:w="914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F477083" w14:textId="31669580" w:rsidR="004D2161" w:rsidRDefault="004D2161" w:rsidP="004D2161">
            <w:pPr>
              <w:ind w:left="1895" w:hanging="189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115 175 „</w:t>
            </w:r>
            <w:r w:rsidRPr="00FD6BE1">
              <w:rPr>
                <w:rFonts w:ascii="Arial" w:hAnsi="Arial" w:cs="Arial"/>
                <w:sz w:val="22"/>
                <w:szCs w:val="22"/>
              </w:rPr>
              <w:t>Adaptační opatření pro zmírnění dopadů klimatické změny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D6BE1">
              <w:rPr>
                <w:rFonts w:ascii="Arial" w:hAnsi="Arial" w:cs="Arial"/>
                <w:sz w:val="22"/>
                <w:szCs w:val="22"/>
              </w:rPr>
              <w:t>na nelesní ekosystémy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4D2161" w:rsidRPr="00FD6BE1" w14:paraId="791B2CE6" w14:textId="77777777" w:rsidTr="004E75B6">
        <w:trPr>
          <w:trHeight w:val="342"/>
        </w:trPr>
        <w:tc>
          <w:tcPr>
            <w:tcW w:w="914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71704AC" w14:textId="7D3D7553" w:rsidR="004D2161" w:rsidRDefault="004D2161" w:rsidP="004D2161">
            <w:pPr>
              <w:ind w:left="1895" w:hanging="189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115 176 „</w:t>
            </w:r>
            <w:r w:rsidRPr="00FD6BE1">
              <w:rPr>
                <w:rFonts w:ascii="Arial" w:hAnsi="Arial" w:cs="Arial"/>
                <w:sz w:val="22"/>
                <w:szCs w:val="22"/>
              </w:rPr>
              <w:t>Adaptační opatření pro zmírnění dopadů klimatické změny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D6BE1">
              <w:rPr>
                <w:rFonts w:ascii="Arial" w:hAnsi="Arial" w:cs="Arial"/>
                <w:sz w:val="22"/>
                <w:szCs w:val="22"/>
              </w:rPr>
              <w:t>na lesní ekosystémy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4D2161" w:rsidRPr="00FD6BE1" w14:paraId="3E879729" w14:textId="77777777" w:rsidTr="004D2161">
        <w:trPr>
          <w:trHeight w:val="342"/>
        </w:trPr>
        <w:tc>
          <w:tcPr>
            <w:tcW w:w="91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15281A59" w14:textId="17D443B8" w:rsidR="004D2161" w:rsidRPr="00875A7D" w:rsidRDefault="004D2161" w:rsidP="004E75B6">
            <w:pPr>
              <w:ind w:left="903" w:hanging="903"/>
              <w:rPr>
                <w:rFonts w:ascii="Arial" w:hAnsi="Arial" w:cs="Arial"/>
                <w:b/>
                <w:sz w:val="22"/>
                <w:szCs w:val="22"/>
              </w:rPr>
            </w:pPr>
            <w:r w:rsidRPr="00875A7D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4E75B6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875A7D">
              <w:rPr>
                <w:rFonts w:ascii="Arial" w:hAnsi="Arial" w:cs="Arial"/>
                <w:b/>
                <w:sz w:val="22"/>
                <w:szCs w:val="22"/>
              </w:rPr>
              <w:t>5 030</w:t>
            </w:r>
            <w:r w:rsidRPr="00BC43D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016F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Pr="00D33240">
              <w:rPr>
                <w:rFonts w:ascii="Arial" w:hAnsi="Arial" w:cs="Arial"/>
                <w:b/>
                <w:sz w:val="22"/>
                <w:szCs w:val="22"/>
              </w:rPr>
              <w:t xml:space="preserve"> Rozvoj a obnova materiálně technické základny systému řízení Ministerstva životního prostředí</w:t>
            </w:r>
            <w:r w:rsidRPr="00F5016F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4D2161" w:rsidRPr="00FD6BE1" w14:paraId="60FACB7F" w14:textId="77777777" w:rsidTr="004D2161">
        <w:trPr>
          <w:trHeight w:val="342"/>
        </w:trPr>
        <w:tc>
          <w:tcPr>
            <w:tcW w:w="91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68B52A" w14:textId="105DACAB" w:rsidR="004D2161" w:rsidRPr="00FD6BE1" w:rsidRDefault="004D2161" w:rsidP="004D2161">
            <w:pPr>
              <w:ind w:left="903" w:hanging="90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D6BE1">
              <w:rPr>
                <w:rFonts w:ascii="Arial" w:hAnsi="Arial" w:cs="Arial"/>
                <w:bCs/>
                <w:sz w:val="22"/>
                <w:szCs w:val="22"/>
              </w:rPr>
              <w:t>115 0</w:t>
            </w: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FD6BE1">
              <w:rPr>
                <w:rFonts w:ascii="Arial" w:hAnsi="Arial" w:cs="Arial"/>
                <w:bCs/>
                <w:sz w:val="22"/>
                <w:szCs w:val="22"/>
              </w:rPr>
              <w:t xml:space="preserve">2 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Pr="00FD6BE1">
              <w:rPr>
                <w:rFonts w:ascii="Arial" w:hAnsi="Arial" w:cs="Arial"/>
                <w:bCs/>
                <w:sz w:val="22"/>
                <w:szCs w:val="22"/>
              </w:rPr>
              <w:t>Podprogram Správa nezcizitelného státního majetku ve zvláště chráněných územích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“</w:t>
            </w:r>
          </w:p>
        </w:tc>
      </w:tr>
    </w:tbl>
    <w:p w14:paraId="6497ED0D" w14:textId="6CED82C2" w:rsidR="003E16E5" w:rsidRDefault="003E16E5" w:rsidP="003E16E5">
      <w:pPr>
        <w:tabs>
          <w:tab w:val="left" w:pos="567"/>
        </w:tabs>
        <w:spacing w:before="240" w:after="24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B.2.</w:t>
      </w:r>
      <w:r w:rsidR="00514473">
        <w:rPr>
          <w:rFonts w:ascii="Arial" w:hAnsi="Arial" w:cs="Arial"/>
          <w:b/>
          <w:bCs/>
          <w:sz w:val="22"/>
          <w:szCs w:val="22"/>
        </w:rPr>
        <w:t>1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B178D4">
        <w:rPr>
          <w:rFonts w:ascii="Arial" w:hAnsi="Arial" w:cs="Arial"/>
          <w:b/>
          <w:bCs/>
          <w:sz w:val="22"/>
          <w:szCs w:val="22"/>
        </w:rPr>
        <w:t>Operační program Životní prostředí 20</w:t>
      </w:r>
      <w:r w:rsidR="00173FF7">
        <w:rPr>
          <w:rFonts w:ascii="Arial" w:hAnsi="Arial" w:cs="Arial"/>
          <w:b/>
          <w:bCs/>
          <w:sz w:val="22"/>
          <w:szCs w:val="22"/>
        </w:rPr>
        <w:t>14</w:t>
      </w:r>
      <w:r w:rsidRPr="004A0521">
        <w:rPr>
          <w:rFonts w:ascii="Arial" w:hAnsi="Arial" w:cs="Arial"/>
          <w:b/>
          <w:bCs/>
          <w:sz w:val="22"/>
          <w:szCs w:val="22"/>
        </w:rPr>
        <w:t>–</w:t>
      </w:r>
      <w:r w:rsidRPr="00B178D4">
        <w:rPr>
          <w:rFonts w:ascii="Arial" w:hAnsi="Arial" w:cs="Arial"/>
          <w:b/>
          <w:bCs/>
          <w:sz w:val="22"/>
          <w:szCs w:val="22"/>
        </w:rPr>
        <w:t>20</w:t>
      </w:r>
      <w:r w:rsidR="00173FF7">
        <w:rPr>
          <w:rFonts w:ascii="Arial" w:hAnsi="Arial" w:cs="Arial"/>
          <w:b/>
          <w:bCs/>
          <w:sz w:val="22"/>
          <w:szCs w:val="22"/>
        </w:rPr>
        <w:t>20</w:t>
      </w:r>
    </w:p>
    <w:p w14:paraId="336DF7FF" w14:textId="4C5AD7E5" w:rsidR="00173FF7" w:rsidRPr="00215AD6" w:rsidRDefault="00173FF7" w:rsidP="00F8576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215AD6">
        <w:rPr>
          <w:rFonts w:ascii="Arial" w:hAnsi="Arial" w:cs="Arial"/>
          <w:sz w:val="22"/>
          <w:szCs w:val="22"/>
        </w:rPr>
        <w:t>Operační program Životní prostředí 2014</w:t>
      </w:r>
      <w:r w:rsidRPr="00215AD6">
        <w:rPr>
          <w:rFonts w:ascii="Arial" w:hAnsi="Arial" w:cs="Arial"/>
          <w:bCs/>
          <w:sz w:val="22"/>
          <w:szCs w:val="22"/>
        </w:rPr>
        <w:t>–</w:t>
      </w:r>
      <w:r w:rsidRPr="00215AD6">
        <w:rPr>
          <w:rFonts w:ascii="Arial" w:hAnsi="Arial" w:cs="Arial"/>
          <w:sz w:val="22"/>
          <w:szCs w:val="22"/>
        </w:rPr>
        <w:t>2020 (dále jen „</w:t>
      </w:r>
      <w:r w:rsidRPr="00AF2931">
        <w:rPr>
          <w:rFonts w:ascii="Arial" w:hAnsi="Arial"/>
          <w:sz w:val="22"/>
        </w:rPr>
        <w:t>OPŽP</w:t>
      </w:r>
      <w:r w:rsidRPr="00215AD6">
        <w:rPr>
          <w:rFonts w:ascii="Arial" w:hAnsi="Arial" w:cs="Arial"/>
          <w:sz w:val="22"/>
          <w:szCs w:val="22"/>
        </w:rPr>
        <w:t xml:space="preserve"> 2014</w:t>
      </w:r>
      <w:r w:rsidRPr="00215AD6">
        <w:rPr>
          <w:rFonts w:ascii="Arial" w:hAnsi="Arial" w:cs="Arial"/>
          <w:bCs/>
          <w:sz w:val="22"/>
          <w:szCs w:val="22"/>
        </w:rPr>
        <w:t>–</w:t>
      </w:r>
      <w:r w:rsidRPr="00215AD6">
        <w:rPr>
          <w:rFonts w:ascii="Arial" w:hAnsi="Arial" w:cs="Arial"/>
          <w:sz w:val="22"/>
          <w:szCs w:val="22"/>
        </w:rPr>
        <w:t xml:space="preserve">2020“) navazuje na OPŽP 2007–2013 a byl Evropskou komisí schválen dne 30. 4. 2015. Je zacílen na příspěvek k dosažení základních cílů strategie Evropa 2020 v oblasti životního prostředí, tedy na adaptaci na změny klimatu, snižování emisí, zachování přírodních a krajinných hodnot, zvyšování energetické účinnosti a zvyšování podílu energie z obnovitelných zdrojů a dále </w:t>
      </w:r>
      <w:r w:rsidR="00043ED1" w:rsidRPr="00215AD6">
        <w:rPr>
          <w:rFonts w:ascii="Arial" w:hAnsi="Arial" w:cs="Arial"/>
          <w:sz w:val="22"/>
          <w:szCs w:val="22"/>
        </w:rPr>
        <w:t>k</w:t>
      </w:r>
      <w:r w:rsidR="00043ED1">
        <w:rPr>
          <w:rFonts w:ascii="Arial" w:hAnsi="Arial" w:cs="Arial"/>
          <w:sz w:val="22"/>
          <w:szCs w:val="22"/>
        </w:rPr>
        <w:t> </w:t>
      </w:r>
      <w:r w:rsidRPr="00215AD6">
        <w:rPr>
          <w:rFonts w:ascii="Arial" w:hAnsi="Arial" w:cs="Arial"/>
          <w:sz w:val="22"/>
          <w:szCs w:val="22"/>
        </w:rPr>
        <w:t>dosažení cílů její stěžejní iniciativy Evropa účinněji využívající zdroje. Alokace pro OPŽP 2014</w:t>
      </w:r>
      <w:r w:rsidRPr="00215AD6">
        <w:rPr>
          <w:rFonts w:ascii="Arial" w:hAnsi="Arial" w:cs="Arial"/>
          <w:bCs/>
          <w:sz w:val="22"/>
          <w:szCs w:val="22"/>
        </w:rPr>
        <w:t>–</w:t>
      </w:r>
      <w:r w:rsidRPr="00215AD6">
        <w:rPr>
          <w:rFonts w:ascii="Arial" w:hAnsi="Arial" w:cs="Arial"/>
          <w:sz w:val="22"/>
          <w:szCs w:val="22"/>
        </w:rPr>
        <w:t xml:space="preserve">2020 je </w:t>
      </w:r>
      <w:r w:rsidRPr="0041763C">
        <w:rPr>
          <w:rFonts w:ascii="Arial" w:hAnsi="Arial" w:cs="Arial"/>
          <w:sz w:val="22"/>
          <w:szCs w:val="22"/>
        </w:rPr>
        <w:t>2,7</w:t>
      </w:r>
      <w:r w:rsidR="00C17291" w:rsidRPr="00C17291">
        <w:rPr>
          <w:rFonts w:ascii="Arial" w:hAnsi="Arial" w:cs="Arial"/>
          <w:sz w:val="22"/>
          <w:szCs w:val="22"/>
        </w:rPr>
        <w:t>8</w:t>
      </w:r>
      <w:r w:rsidRPr="00215AD6">
        <w:rPr>
          <w:rFonts w:ascii="Arial" w:hAnsi="Arial" w:cs="Arial"/>
          <w:sz w:val="22"/>
          <w:szCs w:val="22"/>
        </w:rPr>
        <w:t xml:space="preserve"> mld. EUR. V období 2014–2020 lze získat podporu z OPŽP v některé </w:t>
      </w:r>
      <w:r w:rsidR="00707F36" w:rsidRPr="00215AD6">
        <w:rPr>
          <w:rFonts w:ascii="Arial" w:hAnsi="Arial" w:cs="Arial"/>
          <w:sz w:val="22"/>
          <w:szCs w:val="22"/>
        </w:rPr>
        <w:t>z</w:t>
      </w:r>
      <w:r w:rsidR="00707F36">
        <w:rPr>
          <w:rFonts w:ascii="Arial" w:hAnsi="Arial" w:cs="Arial"/>
          <w:sz w:val="22"/>
          <w:szCs w:val="22"/>
        </w:rPr>
        <w:t> </w:t>
      </w:r>
      <w:r w:rsidRPr="00215AD6">
        <w:rPr>
          <w:rFonts w:ascii="Arial" w:hAnsi="Arial" w:cs="Arial"/>
          <w:sz w:val="22"/>
          <w:szCs w:val="22"/>
        </w:rPr>
        <w:t xml:space="preserve">následujících oblastí: </w:t>
      </w:r>
    </w:p>
    <w:p w14:paraId="1CCFB72C" w14:textId="77777777" w:rsidR="00173FF7" w:rsidRPr="00215AD6" w:rsidRDefault="00173FF7" w:rsidP="00F85762">
      <w:pPr>
        <w:numPr>
          <w:ilvl w:val="0"/>
          <w:numId w:val="23"/>
        </w:numPr>
        <w:tabs>
          <w:tab w:val="clear" w:pos="720"/>
          <w:tab w:val="num" w:pos="851"/>
        </w:tabs>
        <w:ind w:left="567" w:firstLine="0"/>
        <w:jc w:val="both"/>
        <w:rPr>
          <w:rFonts w:ascii="Arial" w:hAnsi="Arial" w:cs="Arial"/>
          <w:sz w:val="22"/>
          <w:szCs w:val="22"/>
        </w:rPr>
      </w:pPr>
      <w:r w:rsidRPr="00215AD6">
        <w:rPr>
          <w:rFonts w:ascii="Arial" w:hAnsi="Arial" w:cs="Arial"/>
          <w:sz w:val="22"/>
          <w:szCs w:val="22"/>
        </w:rPr>
        <w:t>Zlepšování kvality vod a snižování rizika povodní</w:t>
      </w:r>
    </w:p>
    <w:p w14:paraId="67B2DC0A" w14:textId="77777777" w:rsidR="00173FF7" w:rsidRPr="00215AD6" w:rsidRDefault="00173FF7" w:rsidP="00F85762">
      <w:pPr>
        <w:numPr>
          <w:ilvl w:val="0"/>
          <w:numId w:val="23"/>
        </w:numPr>
        <w:tabs>
          <w:tab w:val="clear" w:pos="720"/>
          <w:tab w:val="num" w:pos="851"/>
        </w:tabs>
        <w:ind w:left="567" w:firstLine="0"/>
        <w:jc w:val="both"/>
        <w:rPr>
          <w:rFonts w:ascii="Arial" w:hAnsi="Arial" w:cs="Arial"/>
          <w:sz w:val="22"/>
          <w:szCs w:val="22"/>
        </w:rPr>
      </w:pPr>
      <w:r w:rsidRPr="00215AD6">
        <w:rPr>
          <w:rFonts w:ascii="Arial" w:hAnsi="Arial" w:cs="Arial"/>
          <w:sz w:val="22"/>
          <w:szCs w:val="22"/>
        </w:rPr>
        <w:t>Zlepšování kvality ovzduší v lidských sídlech</w:t>
      </w:r>
    </w:p>
    <w:p w14:paraId="53B0494B" w14:textId="77777777" w:rsidR="00173FF7" w:rsidRPr="00215AD6" w:rsidRDefault="00173FF7" w:rsidP="00F85762">
      <w:pPr>
        <w:numPr>
          <w:ilvl w:val="0"/>
          <w:numId w:val="23"/>
        </w:numPr>
        <w:tabs>
          <w:tab w:val="clear" w:pos="720"/>
          <w:tab w:val="num" w:pos="851"/>
        </w:tabs>
        <w:ind w:left="567" w:firstLine="0"/>
        <w:jc w:val="both"/>
        <w:rPr>
          <w:rFonts w:ascii="Arial" w:hAnsi="Arial" w:cs="Arial"/>
          <w:sz w:val="22"/>
          <w:szCs w:val="22"/>
        </w:rPr>
      </w:pPr>
      <w:r w:rsidRPr="00215AD6">
        <w:rPr>
          <w:rFonts w:ascii="Arial" w:hAnsi="Arial" w:cs="Arial"/>
          <w:sz w:val="22"/>
          <w:szCs w:val="22"/>
        </w:rPr>
        <w:t>Odpady a materiálové toky, ekologické zátěže a rizika</w:t>
      </w:r>
    </w:p>
    <w:p w14:paraId="2CF89E09" w14:textId="77777777" w:rsidR="00173FF7" w:rsidRPr="00215AD6" w:rsidRDefault="00173FF7" w:rsidP="00F85762">
      <w:pPr>
        <w:numPr>
          <w:ilvl w:val="0"/>
          <w:numId w:val="23"/>
        </w:numPr>
        <w:tabs>
          <w:tab w:val="clear" w:pos="720"/>
          <w:tab w:val="num" w:pos="851"/>
        </w:tabs>
        <w:ind w:left="567" w:firstLine="0"/>
        <w:jc w:val="both"/>
        <w:rPr>
          <w:rFonts w:ascii="Arial" w:hAnsi="Arial" w:cs="Arial"/>
          <w:sz w:val="22"/>
          <w:szCs w:val="22"/>
        </w:rPr>
      </w:pPr>
      <w:r w:rsidRPr="00215AD6">
        <w:rPr>
          <w:rFonts w:ascii="Arial" w:hAnsi="Arial" w:cs="Arial"/>
          <w:sz w:val="22"/>
          <w:szCs w:val="22"/>
        </w:rPr>
        <w:t>Ochrana a péče o přírodu a krajinu</w:t>
      </w:r>
    </w:p>
    <w:p w14:paraId="58D3864D" w14:textId="12C810ED" w:rsidR="00173FF7" w:rsidRDefault="00173FF7" w:rsidP="00F85762">
      <w:pPr>
        <w:numPr>
          <w:ilvl w:val="0"/>
          <w:numId w:val="23"/>
        </w:numPr>
        <w:tabs>
          <w:tab w:val="clear" w:pos="720"/>
          <w:tab w:val="num" w:pos="851"/>
        </w:tabs>
        <w:ind w:left="567" w:firstLine="0"/>
        <w:jc w:val="both"/>
        <w:rPr>
          <w:rFonts w:ascii="Arial" w:hAnsi="Arial" w:cs="Arial"/>
          <w:sz w:val="22"/>
          <w:szCs w:val="22"/>
        </w:rPr>
      </w:pPr>
      <w:r w:rsidRPr="00215AD6">
        <w:rPr>
          <w:rFonts w:ascii="Arial" w:hAnsi="Arial" w:cs="Arial"/>
          <w:sz w:val="22"/>
          <w:szCs w:val="22"/>
        </w:rPr>
        <w:t>Energetické úspory</w:t>
      </w:r>
    </w:p>
    <w:p w14:paraId="203E0601" w14:textId="6791E2BC" w:rsidR="00094A3C" w:rsidRPr="00215AD6" w:rsidRDefault="00094A3C" w:rsidP="00F85762">
      <w:pPr>
        <w:numPr>
          <w:ilvl w:val="0"/>
          <w:numId w:val="23"/>
        </w:numPr>
        <w:tabs>
          <w:tab w:val="clear" w:pos="720"/>
          <w:tab w:val="num" w:pos="851"/>
        </w:tabs>
        <w:ind w:left="567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Technická pomoc</w:t>
      </w:r>
    </w:p>
    <w:p w14:paraId="45D4194E" w14:textId="77777777" w:rsidR="00F85762" w:rsidRDefault="00F85762" w:rsidP="00F85762">
      <w:pPr>
        <w:jc w:val="both"/>
        <w:rPr>
          <w:rFonts w:ascii="Arial" w:hAnsi="Arial" w:cs="Arial"/>
          <w:sz w:val="22"/>
          <w:szCs w:val="22"/>
        </w:rPr>
      </w:pPr>
    </w:p>
    <w:p w14:paraId="74DB9D4D" w14:textId="154C513D" w:rsidR="00173FF7" w:rsidRPr="00215AD6" w:rsidRDefault="00173FF7" w:rsidP="00F85762">
      <w:pPr>
        <w:jc w:val="both"/>
        <w:rPr>
          <w:rFonts w:ascii="Arial" w:hAnsi="Arial" w:cs="Arial"/>
          <w:sz w:val="22"/>
          <w:szCs w:val="22"/>
        </w:rPr>
      </w:pPr>
      <w:r w:rsidRPr="00215AD6">
        <w:rPr>
          <w:rFonts w:ascii="Arial" w:hAnsi="Arial" w:cs="Arial"/>
          <w:sz w:val="22"/>
          <w:szCs w:val="22"/>
        </w:rPr>
        <w:t xml:space="preserve">Pro oblast prevence před povodněmi jsou relevantní specifické cíle spadající pod Prioritní osu 1: </w:t>
      </w:r>
      <w:r w:rsidR="00094A3C">
        <w:rPr>
          <w:rFonts w:ascii="Arial" w:hAnsi="Arial" w:cs="Arial"/>
          <w:sz w:val="22"/>
          <w:szCs w:val="22"/>
        </w:rPr>
        <w:t>„</w:t>
      </w:r>
      <w:r w:rsidRPr="00215AD6">
        <w:rPr>
          <w:rFonts w:ascii="Arial" w:hAnsi="Arial" w:cs="Arial"/>
          <w:sz w:val="22"/>
          <w:szCs w:val="22"/>
        </w:rPr>
        <w:t>Zlepšování kvality vod a snižování rizika povodní</w:t>
      </w:r>
      <w:r w:rsidR="00094A3C">
        <w:rPr>
          <w:rFonts w:ascii="Arial" w:hAnsi="Arial" w:cs="Arial"/>
          <w:sz w:val="22"/>
          <w:szCs w:val="22"/>
        </w:rPr>
        <w:t>“</w:t>
      </w:r>
      <w:r w:rsidRPr="00215AD6">
        <w:rPr>
          <w:rFonts w:ascii="Arial" w:hAnsi="Arial" w:cs="Arial"/>
          <w:sz w:val="22"/>
          <w:szCs w:val="22"/>
        </w:rPr>
        <w:t xml:space="preserve"> (alokace pro celou Prioritní osu 1 v rámci </w:t>
      </w:r>
      <w:r w:rsidRPr="00215AD6">
        <w:rPr>
          <w:rFonts w:ascii="Arial" w:hAnsi="Arial" w:cs="Arial"/>
          <w:sz w:val="22"/>
          <w:szCs w:val="22"/>
        </w:rPr>
        <w:lastRenderedPageBreak/>
        <w:t xml:space="preserve">OPŽP 2014–2020 činí cca </w:t>
      </w:r>
      <w:r w:rsidRPr="0041763C">
        <w:rPr>
          <w:rFonts w:ascii="Arial" w:hAnsi="Arial" w:cs="Arial"/>
          <w:sz w:val="22"/>
          <w:szCs w:val="22"/>
        </w:rPr>
        <w:t>766,9</w:t>
      </w:r>
      <w:r w:rsidRPr="00215AD6">
        <w:rPr>
          <w:rFonts w:ascii="Arial" w:hAnsi="Arial" w:cs="Arial"/>
          <w:sz w:val="22"/>
          <w:szCs w:val="22"/>
        </w:rPr>
        <w:t xml:space="preserve"> mil. EUR)</w:t>
      </w:r>
      <w:r w:rsidR="00094A3C">
        <w:rPr>
          <w:rFonts w:ascii="Arial" w:hAnsi="Arial" w:cs="Arial"/>
          <w:sz w:val="22"/>
          <w:szCs w:val="22"/>
        </w:rPr>
        <w:t>,</w:t>
      </w:r>
      <w:r w:rsidRPr="00215AD6">
        <w:rPr>
          <w:rFonts w:ascii="Arial" w:hAnsi="Arial" w:cs="Arial"/>
          <w:sz w:val="22"/>
          <w:szCs w:val="22"/>
        </w:rPr>
        <w:t xml:space="preserve"> Prioritní osu 4: </w:t>
      </w:r>
      <w:r w:rsidR="00094A3C">
        <w:rPr>
          <w:rFonts w:ascii="Arial" w:hAnsi="Arial" w:cs="Arial"/>
          <w:sz w:val="22"/>
          <w:szCs w:val="22"/>
        </w:rPr>
        <w:t>„</w:t>
      </w:r>
      <w:r w:rsidRPr="00215AD6">
        <w:rPr>
          <w:rFonts w:ascii="Arial" w:hAnsi="Arial" w:cs="Arial"/>
          <w:sz w:val="22"/>
          <w:szCs w:val="22"/>
        </w:rPr>
        <w:t xml:space="preserve">Ochrana a péče o přírodu </w:t>
      </w:r>
      <w:r w:rsidR="00293646" w:rsidRPr="00215AD6">
        <w:rPr>
          <w:rFonts w:ascii="Arial" w:hAnsi="Arial" w:cs="Arial"/>
          <w:sz w:val="22"/>
          <w:szCs w:val="22"/>
        </w:rPr>
        <w:t>a</w:t>
      </w:r>
      <w:r w:rsidR="00293646">
        <w:rPr>
          <w:rFonts w:ascii="Arial" w:hAnsi="Arial" w:cs="Arial"/>
          <w:sz w:val="22"/>
          <w:szCs w:val="22"/>
        </w:rPr>
        <w:t> </w:t>
      </w:r>
      <w:r w:rsidRPr="00215AD6">
        <w:rPr>
          <w:rFonts w:ascii="Arial" w:hAnsi="Arial" w:cs="Arial"/>
          <w:sz w:val="22"/>
          <w:szCs w:val="22"/>
        </w:rPr>
        <w:t>krajinu</w:t>
      </w:r>
      <w:r w:rsidR="00094A3C">
        <w:rPr>
          <w:rFonts w:ascii="Arial" w:hAnsi="Arial" w:cs="Arial"/>
          <w:sz w:val="22"/>
          <w:szCs w:val="22"/>
        </w:rPr>
        <w:t>“</w:t>
      </w:r>
      <w:r w:rsidRPr="00215AD6">
        <w:rPr>
          <w:rFonts w:ascii="Arial" w:hAnsi="Arial" w:cs="Arial"/>
          <w:sz w:val="22"/>
          <w:szCs w:val="22"/>
        </w:rPr>
        <w:t xml:space="preserve"> (alokace pro celou Prioritní osu v rámci OPŽP 2014–2020 činí cca </w:t>
      </w:r>
      <w:r w:rsidRPr="0041763C">
        <w:rPr>
          <w:rFonts w:ascii="Arial" w:hAnsi="Arial" w:cs="Arial"/>
          <w:sz w:val="22"/>
          <w:szCs w:val="22"/>
        </w:rPr>
        <w:t>388,7</w:t>
      </w:r>
      <w:r w:rsidRPr="00215AD6">
        <w:rPr>
          <w:rFonts w:ascii="Arial" w:hAnsi="Arial" w:cs="Arial"/>
          <w:sz w:val="22"/>
          <w:szCs w:val="22"/>
        </w:rPr>
        <w:t> mil. EUR)</w:t>
      </w:r>
      <w:r w:rsidR="00094A3C">
        <w:rPr>
          <w:rFonts w:ascii="Arial" w:hAnsi="Arial" w:cs="Arial"/>
          <w:sz w:val="22"/>
          <w:szCs w:val="22"/>
        </w:rPr>
        <w:t xml:space="preserve"> a Prioritní osu 6: „Technická pomoc“ (alokace pro celou Prioritní osu v rám</w:t>
      </w:r>
      <w:r w:rsidR="00253134">
        <w:rPr>
          <w:rFonts w:ascii="Arial" w:hAnsi="Arial" w:cs="Arial"/>
          <w:sz w:val="22"/>
          <w:szCs w:val="22"/>
        </w:rPr>
        <w:t>c</w:t>
      </w:r>
      <w:r w:rsidR="00094A3C">
        <w:rPr>
          <w:rFonts w:ascii="Arial" w:hAnsi="Arial" w:cs="Arial"/>
          <w:sz w:val="22"/>
          <w:szCs w:val="22"/>
        </w:rPr>
        <w:t xml:space="preserve">i OPŽP </w:t>
      </w:r>
      <w:r w:rsidR="00094A3C" w:rsidRPr="00215AD6">
        <w:rPr>
          <w:rFonts w:ascii="Arial" w:hAnsi="Arial" w:cs="Arial"/>
          <w:sz w:val="22"/>
          <w:szCs w:val="22"/>
        </w:rPr>
        <w:t xml:space="preserve">2014–2020 </w:t>
      </w:r>
      <w:r w:rsidR="00094A3C" w:rsidRPr="00E1321C">
        <w:rPr>
          <w:rFonts w:ascii="Arial" w:hAnsi="Arial" w:cs="Arial"/>
          <w:sz w:val="22"/>
          <w:szCs w:val="22"/>
        </w:rPr>
        <w:t xml:space="preserve">činí </w:t>
      </w:r>
      <w:r w:rsidR="00E1321C">
        <w:rPr>
          <w:rFonts w:ascii="Arial" w:hAnsi="Arial" w:cs="Arial"/>
          <w:sz w:val="22"/>
          <w:szCs w:val="22"/>
        </w:rPr>
        <w:t>93,5</w:t>
      </w:r>
      <w:r w:rsidR="00AF02F7" w:rsidRPr="00794DB4">
        <w:rPr>
          <w:rFonts w:ascii="Arial" w:hAnsi="Arial" w:cs="Arial"/>
          <w:sz w:val="22"/>
          <w:szCs w:val="22"/>
        </w:rPr>
        <w:t xml:space="preserve"> mil</w:t>
      </w:r>
      <w:r w:rsidR="000026E1">
        <w:rPr>
          <w:rFonts w:ascii="Arial" w:hAnsi="Arial" w:cs="Arial"/>
          <w:sz w:val="22"/>
          <w:szCs w:val="22"/>
        </w:rPr>
        <w:t>. EUR</w:t>
      </w:r>
      <w:r w:rsidR="00094A3C" w:rsidRPr="00794DB4">
        <w:rPr>
          <w:rFonts w:ascii="Arial" w:hAnsi="Arial" w:cs="Arial"/>
          <w:sz w:val="22"/>
          <w:szCs w:val="22"/>
        </w:rPr>
        <w:t>)</w:t>
      </w:r>
      <w:r w:rsidRPr="00794DB4">
        <w:rPr>
          <w:rFonts w:ascii="Arial" w:hAnsi="Arial" w:cs="Arial"/>
          <w:sz w:val="22"/>
          <w:szCs w:val="22"/>
        </w:rPr>
        <w:t>.</w:t>
      </w:r>
    </w:p>
    <w:p w14:paraId="1B74B819" w14:textId="77777777" w:rsidR="00043ED1" w:rsidRDefault="00043ED1" w:rsidP="00F85762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197B6904" w14:textId="0BECEE0A" w:rsidR="00173FF7" w:rsidRPr="00215AD6" w:rsidRDefault="00173FF7" w:rsidP="00F85762">
      <w:pPr>
        <w:jc w:val="both"/>
        <w:rPr>
          <w:rFonts w:ascii="Arial" w:hAnsi="Arial" w:cs="Arial"/>
          <w:b/>
          <w:i/>
          <w:sz w:val="22"/>
          <w:szCs w:val="22"/>
        </w:rPr>
      </w:pPr>
      <w:r w:rsidRPr="00215AD6">
        <w:rPr>
          <w:rFonts w:ascii="Arial" w:hAnsi="Arial" w:cs="Arial"/>
          <w:b/>
          <w:i/>
          <w:sz w:val="22"/>
          <w:szCs w:val="22"/>
        </w:rPr>
        <w:t xml:space="preserve">Prioritní osa 1: </w:t>
      </w:r>
      <w:r w:rsidR="003D19D8">
        <w:rPr>
          <w:rFonts w:ascii="Arial" w:hAnsi="Arial" w:cs="Arial"/>
          <w:b/>
          <w:i/>
          <w:sz w:val="22"/>
          <w:szCs w:val="22"/>
        </w:rPr>
        <w:t>„</w:t>
      </w:r>
      <w:r w:rsidRPr="00215AD6">
        <w:rPr>
          <w:rFonts w:ascii="Arial" w:hAnsi="Arial" w:cs="Arial"/>
          <w:b/>
          <w:i/>
          <w:sz w:val="22"/>
          <w:szCs w:val="22"/>
        </w:rPr>
        <w:t>Zlepšování kvality vod a snižování rizika povodní</w:t>
      </w:r>
      <w:r w:rsidR="003D19D8">
        <w:rPr>
          <w:rFonts w:ascii="Arial" w:hAnsi="Arial" w:cs="Arial"/>
          <w:b/>
          <w:i/>
          <w:sz w:val="22"/>
          <w:szCs w:val="22"/>
        </w:rPr>
        <w:t>“</w:t>
      </w:r>
    </w:p>
    <w:p w14:paraId="2E788A48" w14:textId="77777777" w:rsidR="00F85762" w:rsidRDefault="00F85762" w:rsidP="00F85762">
      <w:pPr>
        <w:jc w:val="both"/>
        <w:rPr>
          <w:rFonts w:ascii="Arial" w:hAnsi="Arial" w:cs="Arial"/>
          <w:sz w:val="22"/>
          <w:szCs w:val="22"/>
        </w:rPr>
      </w:pPr>
    </w:p>
    <w:p w14:paraId="615DBF1A" w14:textId="0D3717E4" w:rsidR="00173FF7" w:rsidRPr="00215AD6" w:rsidRDefault="00173FF7" w:rsidP="00F85762">
      <w:pPr>
        <w:jc w:val="both"/>
        <w:rPr>
          <w:rFonts w:ascii="Arial" w:hAnsi="Arial" w:cs="Arial"/>
          <w:sz w:val="22"/>
          <w:szCs w:val="22"/>
        </w:rPr>
      </w:pPr>
      <w:r w:rsidRPr="00215AD6">
        <w:rPr>
          <w:rFonts w:ascii="Arial" w:hAnsi="Arial" w:cs="Arial"/>
          <w:sz w:val="22"/>
          <w:szCs w:val="22"/>
        </w:rPr>
        <w:t xml:space="preserve">V rámci Prioritní osy 1: Zlepšování kvality vod a snižování rizika povodní bylo do oblasti povodní, konkrétně pro specifický cíl 1.3: Zajistit povodňovou ochranu </w:t>
      </w:r>
      <w:proofErr w:type="spellStart"/>
      <w:r w:rsidRPr="00215AD6">
        <w:rPr>
          <w:rFonts w:ascii="Arial" w:hAnsi="Arial" w:cs="Arial"/>
          <w:sz w:val="22"/>
          <w:szCs w:val="22"/>
        </w:rPr>
        <w:t>intravilánu</w:t>
      </w:r>
      <w:proofErr w:type="spellEnd"/>
      <w:r w:rsidRPr="00215AD6">
        <w:rPr>
          <w:rFonts w:ascii="Arial" w:hAnsi="Arial" w:cs="Arial"/>
          <w:sz w:val="22"/>
          <w:szCs w:val="22"/>
        </w:rPr>
        <w:t xml:space="preserve"> a hospodaření se srážkovými vodami, alokováno 230 mil. EUR. V souvislosti se zvyšováním vyspělosti ČR a jejích regionů došlo ke snížení alokace F</w:t>
      </w:r>
      <w:r w:rsidR="00D37F53">
        <w:rPr>
          <w:rFonts w:ascii="Arial" w:hAnsi="Arial" w:cs="Arial"/>
          <w:sz w:val="22"/>
          <w:szCs w:val="22"/>
        </w:rPr>
        <w:t>ondu soudržnosti</w:t>
      </w:r>
      <w:r w:rsidRPr="00215AD6">
        <w:rPr>
          <w:rFonts w:ascii="Arial" w:hAnsi="Arial" w:cs="Arial"/>
          <w:sz w:val="22"/>
          <w:szCs w:val="22"/>
        </w:rPr>
        <w:t xml:space="preserve"> a u specifického cíle 1.3 došlo ke snížení alokace na </w:t>
      </w:r>
      <w:r w:rsidRPr="0041763C">
        <w:rPr>
          <w:rFonts w:ascii="Arial" w:hAnsi="Arial" w:cs="Arial"/>
          <w:sz w:val="22"/>
          <w:szCs w:val="22"/>
        </w:rPr>
        <w:t>191,8</w:t>
      </w:r>
      <w:r w:rsidRPr="00215AD6">
        <w:rPr>
          <w:rFonts w:ascii="Arial" w:hAnsi="Arial" w:cs="Arial"/>
          <w:sz w:val="22"/>
          <w:szCs w:val="22"/>
        </w:rPr>
        <w:t xml:space="preserve"> mil. EUR. Následně proběhla realokace do specifického cíle 1.1: Snížit množství vypouštěného znečištění do povrchových i podzemních vod z komunálních zdrojů a vnos znečišťujících látek do povrchových a podzemních vod. Aktuální alokace specifického cíle 1.3 činí </w:t>
      </w:r>
      <w:r w:rsidRPr="0041763C">
        <w:rPr>
          <w:rFonts w:ascii="Arial" w:hAnsi="Arial" w:cs="Arial"/>
          <w:sz w:val="22"/>
          <w:szCs w:val="22"/>
        </w:rPr>
        <w:t>113,1</w:t>
      </w:r>
      <w:r w:rsidRPr="00215AD6">
        <w:rPr>
          <w:rFonts w:ascii="Arial" w:hAnsi="Arial" w:cs="Arial"/>
          <w:sz w:val="22"/>
          <w:szCs w:val="22"/>
        </w:rPr>
        <w:t xml:space="preserve"> mil. EUR. Pro specifický cíl 1.4: Podpořit preventivní protipovodňová opatření činí </w:t>
      </w:r>
      <w:r w:rsidRPr="00C17291">
        <w:rPr>
          <w:rFonts w:ascii="Arial" w:hAnsi="Arial" w:cs="Arial"/>
          <w:sz w:val="22"/>
          <w:szCs w:val="22"/>
        </w:rPr>
        <w:t xml:space="preserve">alokace </w:t>
      </w:r>
      <w:r w:rsidRPr="0041763C">
        <w:rPr>
          <w:rFonts w:ascii="Arial" w:hAnsi="Arial" w:cs="Arial"/>
          <w:sz w:val="22"/>
          <w:szCs w:val="22"/>
        </w:rPr>
        <w:t>76,8</w:t>
      </w:r>
      <w:r w:rsidRPr="00215AD6">
        <w:rPr>
          <w:rFonts w:ascii="Arial" w:hAnsi="Arial" w:cs="Arial"/>
          <w:sz w:val="22"/>
          <w:szCs w:val="22"/>
        </w:rPr>
        <w:t xml:space="preserve"> mil. EUR. </w:t>
      </w:r>
    </w:p>
    <w:p w14:paraId="64792534" w14:textId="77777777" w:rsidR="00F85762" w:rsidRDefault="00F85762" w:rsidP="00F85762">
      <w:pPr>
        <w:jc w:val="both"/>
        <w:rPr>
          <w:rFonts w:ascii="Arial" w:hAnsi="Arial" w:cs="Arial"/>
          <w:sz w:val="22"/>
          <w:szCs w:val="22"/>
        </w:rPr>
      </w:pPr>
    </w:p>
    <w:p w14:paraId="34E35FCF" w14:textId="3F006B3B" w:rsidR="00173FF7" w:rsidRDefault="00173FF7" w:rsidP="002C0308">
      <w:pPr>
        <w:jc w:val="both"/>
        <w:rPr>
          <w:rFonts w:ascii="Arial" w:hAnsi="Arial" w:cs="Arial"/>
          <w:sz w:val="22"/>
          <w:szCs w:val="22"/>
        </w:rPr>
      </w:pPr>
      <w:r w:rsidRPr="00215AD6">
        <w:rPr>
          <w:rFonts w:ascii="Arial" w:hAnsi="Arial" w:cs="Arial"/>
          <w:sz w:val="22"/>
          <w:szCs w:val="22"/>
        </w:rPr>
        <w:t xml:space="preserve">Specifický cíl 1.3: </w:t>
      </w:r>
      <w:r w:rsidR="003D19D8">
        <w:rPr>
          <w:rFonts w:ascii="Arial" w:hAnsi="Arial" w:cs="Arial"/>
          <w:sz w:val="22"/>
          <w:szCs w:val="22"/>
        </w:rPr>
        <w:t>„</w:t>
      </w:r>
      <w:r w:rsidRPr="00215AD6">
        <w:rPr>
          <w:rFonts w:ascii="Arial" w:hAnsi="Arial" w:cs="Arial"/>
          <w:sz w:val="22"/>
          <w:szCs w:val="22"/>
        </w:rPr>
        <w:t xml:space="preserve">Zajistit povodňovou ochranu </w:t>
      </w:r>
      <w:proofErr w:type="spellStart"/>
      <w:r w:rsidRPr="00215AD6">
        <w:rPr>
          <w:rFonts w:ascii="Arial" w:hAnsi="Arial" w:cs="Arial"/>
          <w:sz w:val="22"/>
          <w:szCs w:val="22"/>
        </w:rPr>
        <w:t>intravilánu</w:t>
      </w:r>
      <w:proofErr w:type="spellEnd"/>
      <w:r w:rsidRPr="00215AD6">
        <w:rPr>
          <w:rFonts w:ascii="Arial" w:hAnsi="Arial" w:cs="Arial"/>
          <w:sz w:val="22"/>
          <w:szCs w:val="22"/>
        </w:rPr>
        <w:t xml:space="preserve"> a hospodaření se srážkovými vodami</w:t>
      </w:r>
      <w:r w:rsidR="003D19D8">
        <w:rPr>
          <w:rFonts w:ascii="Arial" w:hAnsi="Arial" w:cs="Arial"/>
          <w:sz w:val="22"/>
          <w:szCs w:val="22"/>
        </w:rPr>
        <w:t>“</w:t>
      </w:r>
      <w:r w:rsidRPr="00215AD6">
        <w:rPr>
          <w:rFonts w:ascii="Arial" w:hAnsi="Arial" w:cs="Arial"/>
          <w:sz w:val="22"/>
          <w:szCs w:val="22"/>
        </w:rPr>
        <w:t xml:space="preserve"> zahrnuje </w:t>
      </w:r>
      <w:r w:rsidR="003D19D8">
        <w:rPr>
          <w:rFonts w:ascii="Arial" w:hAnsi="Arial" w:cs="Arial"/>
          <w:sz w:val="22"/>
          <w:szCs w:val="22"/>
        </w:rPr>
        <w:t>čtyři</w:t>
      </w:r>
      <w:r w:rsidR="003D19D8" w:rsidRPr="00215AD6">
        <w:rPr>
          <w:rFonts w:ascii="Arial" w:hAnsi="Arial" w:cs="Arial"/>
          <w:sz w:val="22"/>
          <w:szCs w:val="22"/>
        </w:rPr>
        <w:t xml:space="preserve"> </w:t>
      </w:r>
      <w:r w:rsidRPr="00215AD6">
        <w:rPr>
          <w:rFonts w:ascii="Arial" w:hAnsi="Arial" w:cs="Arial"/>
          <w:sz w:val="22"/>
          <w:szCs w:val="22"/>
        </w:rPr>
        <w:t>aktivity, kde cílem je omezit riziko nepříznivých účinků spojených s povodněmi:</w:t>
      </w: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80"/>
      </w:tblGrid>
      <w:tr w:rsidR="0041763C" w14:paraId="62A1A31A" w14:textId="77777777" w:rsidTr="008B1AE3">
        <w:tc>
          <w:tcPr>
            <w:tcW w:w="1985" w:type="dxa"/>
          </w:tcPr>
          <w:p w14:paraId="0950552E" w14:textId="0206431D" w:rsidR="0041763C" w:rsidRPr="0041763C" w:rsidRDefault="0041763C" w:rsidP="008B1AE3">
            <w:pPr>
              <w:numPr>
                <w:ilvl w:val="0"/>
                <w:numId w:val="24"/>
              </w:numPr>
              <w:tabs>
                <w:tab w:val="clear" w:pos="1332"/>
                <w:tab w:val="num" w:pos="2410"/>
              </w:tabs>
              <w:ind w:left="309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5AD6">
              <w:rPr>
                <w:rFonts w:ascii="Arial" w:hAnsi="Arial" w:cs="Arial"/>
                <w:sz w:val="22"/>
                <w:szCs w:val="22"/>
              </w:rPr>
              <w:t xml:space="preserve">Aktivita 1.3.1: </w:t>
            </w:r>
          </w:p>
        </w:tc>
        <w:tc>
          <w:tcPr>
            <w:tcW w:w="7080" w:type="dxa"/>
          </w:tcPr>
          <w:p w14:paraId="69E072D1" w14:textId="40908122" w:rsidR="0041763C" w:rsidRDefault="00BF451B" w:rsidP="008B1AE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15AD6">
              <w:rPr>
                <w:rFonts w:ascii="Arial" w:hAnsi="Arial" w:cs="Arial"/>
                <w:sz w:val="22"/>
                <w:szCs w:val="22"/>
              </w:rPr>
              <w:t>Zprůtočnění</w:t>
            </w:r>
            <w:proofErr w:type="spellEnd"/>
            <w:r w:rsidRPr="00215AD6">
              <w:rPr>
                <w:rFonts w:ascii="Arial" w:hAnsi="Arial" w:cs="Arial"/>
                <w:sz w:val="22"/>
                <w:szCs w:val="22"/>
              </w:rPr>
              <w:t xml:space="preserve"> nebo zvýšení retenčního potenciálu koryt vodních toků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15AD6">
              <w:rPr>
                <w:rFonts w:ascii="Arial" w:hAnsi="Arial" w:cs="Arial"/>
                <w:sz w:val="22"/>
                <w:szCs w:val="22"/>
              </w:rPr>
              <w:t>a přilehlých niv, zlepšení přirozených rozlivů</w:t>
            </w:r>
          </w:p>
        </w:tc>
      </w:tr>
      <w:tr w:rsidR="0041763C" w14:paraId="6BF20C98" w14:textId="77777777" w:rsidTr="008B1AE3">
        <w:tc>
          <w:tcPr>
            <w:tcW w:w="1985" w:type="dxa"/>
          </w:tcPr>
          <w:p w14:paraId="6DFAFADA" w14:textId="4A638258" w:rsidR="0041763C" w:rsidRDefault="0041763C" w:rsidP="008B1AE3">
            <w:pPr>
              <w:numPr>
                <w:ilvl w:val="0"/>
                <w:numId w:val="24"/>
              </w:numPr>
              <w:tabs>
                <w:tab w:val="num" w:pos="851"/>
              </w:tabs>
              <w:ind w:left="309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5AD6">
              <w:rPr>
                <w:rFonts w:ascii="Arial" w:hAnsi="Arial" w:cs="Arial"/>
                <w:sz w:val="22"/>
                <w:szCs w:val="22"/>
              </w:rPr>
              <w:t xml:space="preserve">Aktivita 1.3.2: </w:t>
            </w:r>
          </w:p>
        </w:tc>
        <w:tc>
          <w:tcPr>
            <w:tcW w:w="7080" w:type="dxa"/>
          </w:tcPr>
          <w:p w14:paraId="5076784D" w14:textId="111DEDE1" w:rsidR="0041763C" w:rsidRDefault="00BF451B" w:rsidP="008B1AE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5AD6">
              <w:rPr>
                <w:rFonts w:ascii="Arial" w:hAnsi="Arial" w:cs="Arial"/>
                <w:sz w:val="22"/>
                <w:szCs w:val="22"/>
              </w:rPr>
              <w:t xml:space="preserve">Hospodaření se srážkovými vodami v </w:t>
            </w:r>
            <w:proofErr w:type="spellStart"/>
            <w:r w:rsidRPr="00215AD6">
              <w:rPr>
                <w:rFonts w:ascii="Arial" w:hAnsi="Arial" w:cs="Arial"/>
                <w:sz w:val="22"/>
                <w:szCs w:val="22"/>
              </w:rPr>
              <w:t>intravilánu</w:t>
            </w:r>
            <w:proofErr w:type="spellEnd"/>
          </w:p>
        </w:tc>
      </w:tr>
      <w:tr w:rsidR="0041763C" w14:paraId="2DDD93D3" w14:textId="77777777" w:rsidTr="008B1AE3">
        <w:tc>
          <w:tcPr>
            <w:tcW w:w="1985" w:type="dxa"/>
          </w:tcPr>
          <w:p w14:paraId="3FDA0F44" w14:textId="3D787D8F" w:rsidR="0041763C" w:rsidRDefault="0041763C" w:rsidP="008B1AE3">
            <w:pPr>
              <w:numPr>
                <w:ilvl w:val="0"/>
                <w:numId w:val="24"/>
              </w:numPr>
              <w:tabs>
                <w:tab w:val="num" w:pos="851"/>
              </w:tabs>
              <w:ind w:left="309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5AD6">
              <w:rPr>
                <w:rFonts w:ascii="Arial" w:hAnsi="Arial" w:cs="Arial"/>
                <w:sz w:val="22"/>
                <w:szCs w:val="22"/>
              </w:rPr>
              <w:t xml:space="preserve">Aktivita 1.3.3: </w:t>
            </w:r>
          </w:p>
        </w:tc>
        <w:tc>
          <w:tcPr>
            <w:tcW w:w="7080" w:type="dxa"/>
          </w:tcPr>
          <w:p w14:paraId="2B887AD9" w14:textId="12344441" w:rsidR="0041763C" w:rsidRPr="00BF451B" w:rsidRDefault="00BF451B" w:rsidP="008B1AE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5AD6">
              <w:rPr>
                <w:rFonts w:ascii="Arial" w:hAnsi="Arial" w:cs="Arial"/>
                <w:sz w:val="22"/>
                <w:szCs w:val="22"/>
              </w:rPr>
              <w:t>Obnovení, výstavba a rekonstrukce, případně modernizace vodních děl sloužící povodňové ochraně</w:t>
            </w:r>
          </w:p>
        </w:tc>
      </w:tr>
      <w:tr w:rsidR="0041763C" w14:paraId="258770E5" w14:textId="77777777" w:rsidTr="008B1AE3">
        <w:tc>
          <w:tcPr>
            <w:tcW w:w="1985" w:type="dxa"/>
          </w:tcPr>
          <w:p w14:paraId="287CD9F3" w14:textId="7F48B926" w:rsidR="0041763C" w:rsidRPr="0041763C" w:rsidRDefault="0041763C" w:rsidP="008B1AE3">
            <w:pPr>
              <w:numPr>
                <w:ilvl w:val="0"/>
                <w:numId w:val="24"/>
              </w:numPr>
              <w:tabs>
                <w:tab w:val="num" w:pos="851"/>
              </w:tabs>
              <w:ind w:left="309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5AD6">
              <w:rPr>
                <w:rFonts w:ascii="Arial" w:hAnsi="Arial" w:cs="Arial"/>
                <w:sz w:val="22"/>
                <w:szCs w:val="22"/>
              </w:rPr>
              <w:t xml:space="preserve">Aktivita 1.3.4: </w:t>
            </w:r>
          </w:p>
        </w:tc>
        <w:tc>
          <w:tcPr>
            <w:tcW w:w="7080" w:type="dxa"/>
          </w:tcPr>
          <w:p w14:paraId="58C20004" w14:textId="551F7DB5" w:rsidR="0041763C" w:rsidRDefault="00BF451B" w:rsidP="008B1AE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5AD6">
              <w:rPr>
                <w:rFonts w:ascii="Arial" w:hAnsi="Arial" w:cs="Arial"/>
                <w:sz w:val="22"/>
                <w:szCs w:val="22"/>
              </w:rPr>
              <w:t>Stabilizace a sanace svahových nestabilit ohrožujících zdraví, majetek a bezpečnost obsažených v „Registru svahových nestabilit“</w:t>
            </w:r>
          </w:p>
        </w:tc>
      </w:tr>
    </w:tbl>
    <w:p w14:paraId="11DF614B" w14:textId="77777777" w:rsidR="00F85762" w:rsidRDefault="00F85762" w:rsidP="00F8576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1A42C99" w14:textId="0818004E" w:rsidR="00173FF7" w:rsidRPr="00215AD6" w:rsidRDefault="00173FF7" w:rsidP="00F8576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15AD6">
        <w:rPr>
          <w:rFonts w:ascii="Arial" w:hAnsi="Arial" w:cs="Arial"/>
          <w:bCs/>
          <w:color w:val="000000"/>
          <w:sz w:val="22"/>
          <w:szCs w:val="22"/>
        </w:rPr>
        <w:t>Obnova vodního režimu krajiny, prevence proti povodním a s tím související problematika sucha v ČR je v novém programovém období posílena o aktivitu 1.3.2.</w:t>
      </w:r>
      <w:r w:rsidRPr="00215AD6">
        <w:rPr>
          <w:rFonts w:ascii="Arial" w:hAnsi="Arial" w:cs="Arial"/>
          <w:color w:val="000000"/>
          <w:sz w:val="22"/>
          <w:szCs w:val="22"/>
        </w:rPr>
        <w:t xml:space="preserve"> Tato aktivita je v rámci OPŽP 2014</w:t>
      </w:r>
      <w:r w:rsidRPr="00215AD6">
        <w:rPr>
          <w:rFonts w:ascii="Arial" w:hAnsi="Arial" w:cs="Arial"/>
          <w:bCs/>
          <w:sz w:val="22"/>
          <w:szCs w:val="22"/>
        </w:rPr>
        <w:t>–</w:t>
      </w:r>
      <w:r w:rsidRPr="00215AD6">
        <w:rPr>
          <w:rFonts w:ascii="Arial" w:hAnsi="Arial" w:cs="Arial"/>
          <w:color w:val="000000"/>
          <w:sz w:val="22"/>
          <w:szCs w:val="22"/>
        </w:rPr>
        <w:t>2020 novinkou a jejím hlavním cílem je zajištění šetrného hospodaření s vodou v sídelních útvarech. V rámci této aktivity jsou podporovány projekty</w:t>
      </w:r>
      <w:r w:rsidRPr="00215AD6">
        <w:rPr>
          <w:rFonts w:ascii="Arial" w:hAnsi="Arial" w:cs="Arial"/>
          <w:sz w:val="22"/>
          <w:szCs w:val="22"/>
        </w:rPr>
        <w:t xml:space="preserve"> povrchových vsakovacích systémů a retenčních zařízení, v</w:t>
      </w:r>
      <w:r w:rsidRPr="00215AD6">
        <w:rPr>
          <w:rFonts w:ascii="Arial" w:hAnsi="Arial" w:cs="Arial"/>
          <w:color w:val="000000"/>
          <w:sz w:val="22"/>
          <w:szCs w:val="22"/>
        </w:rPr>
        <w:t xml:space="preserve"> roce 2017 došlo k rozšíření podporovaných opatření např. </w:t>
      </w:r>
      <w:r w:rsidR="00F9109C" w:rsidRPr="00215AD6">
        <w:rPr>
          <w:rFonts w:ascii="Arial" w:hAnsi="Arial" w:cs="Arial"/>
          <w:color w:val="000000"/>
          <w:sz w:val="22"/>
          <w:szCs w:val="22"/>
        </w:rPr>
        <w:t>o</w:t>
      </w:r>
      <w:r w:rsidR="00F9109C">
        <w:rPr>
          <w:rFonts w:ascii="Arial" w:hAnsi="Arial" w:cs="Arial"/>
          <w:color w:val="000000"/>
          <w:sz w:val="22"/>
          <w:szCs w:val="22"/>
        </w:rPr>
        <w:t> </w:t>
      </w:r>
      <w:r w:rsidRPr="00215AD6">
        <w:rPr>
          <w:rFonts w:ascii="Arial" w:hAnsi="Arial" w:cs="Arial"/>
          <w:color w:val="000000"/>
          <w:sz w:val="22"/>
          <w:szCs w:val="22"/>
        </w:rPr>
        <w:t xml:space="preserve">akumulační podzemní nádrže se zpětným využitím srážkových vod, výměnu nepropustných zpevněných povrchů za propustné zpevněné a propustné povrchy apod. </w:t>
      </w:r>
    </w:p>
    <w:p w14:paraId="524FC5D1" w14:textId="77777777" w:rsidR="00F85762" w:rsidRDefault="00F85762" w:rsidP="00F857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964D3C4" w14:textId="159C4A9D" w:rsidR="00173FF7" w:rsidRPr="00215AD6" w:rsidRDefault="00173FF7" w:rsidP="00F857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215AD6">
        <w:rPr>
          <w:rFonts w:ascii="Arial" w:hAnsi="Arial" w:cs="Arial"/>
          <w:color w:val="000000"/>
          <w:sz w:val="22"/>
          <w:szCs w:val="22"/>
        </w:rPr>
        <w:t xml:space="preserve">Podpora v rámci tohoto specifického cíle je poskytována z prostředků </w:t>
      </w:r>
      <w:r w:rsidR="00971260">
        <w:rPr>
          <w:rFonts w:ascii="Arial" w:hAnsi="Arial" w:cs="Arial"/>
          <w:color w:val="000000"/>
          <w:sz w:val="22"/>
          <w:szCs w:val="22"/>
        </w:rPr>
        <w:t>Fondu soudržnosti</w:t>
      </w:r>
      <w:r w:rsidR="00971260" w:rsidRPr="00215A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215AD6">
        <w:rPr>
          <w:rFonts w:ascii="Arial" w:hAnsi="Arial" w:cs="Arial"/>
          <w:color w:val="000000"/>
          <w:sz w:val="22"/>
          <w:szCs w:val="22"/>
        </w:rPr>
        <w:t xml:space="preserve">v maximální výši 85 % celkových způsobilých výdajů s výjimkou výměny nepropustných zpevněných povrchů (opatření aktivity 1.3.2) za propustné zpevněné </w:t>
      </w:r>
      <w:r w:rsidR="00971260" w:rsidRPr="00215AD6">
        <w:rPr>
          <w:rFonts w:ascii="Arial" w:hAnsi="Arial" w:cs="Arial"/>
          <w:color w:val="000000"/>
          <w:sz w:val="22"/>
          <w:szCs w:val="22"/>
        </w:rPr>
        <w:t>a</w:t>
      </w:r>
      <w:r w:rsidR="00971260">
        <w:rPr>
          <w:rFonts w:ascii="Arial" w:hAnsi="Arial" w:cs="Arial"/>
          <w:color w:val="000000"/>
          <w:sz w:val="22"/>
          <w:szCs w:val="22"/>
        </w:rPr>
        <w:t> </w:t>
      </w:r>
      <w:r w:rsidRPr="00215AD6">
        <w:rPr>
          <w:rFonts w:ascii="Arial" w:hAnsi="Arial" w:cs="Arial"/>
          <w:color w:val="000000"/>
          <w:sz w:val="22"/>
          <w:szCs w:val="22"/>
        </w:rPr>
        <w:t xml:space="preserve">propustné povrchy, kde je podpora poskytována v maximální výši 30 % celkových způsobilých výdajů. </w:t>
      </w:r>
      <w:r w:rsidRPr="00215AD6">
        <w:rPr>
          <w:rFonts w:ascii="Arial" w:hAnsi="Arial" w:cs="Arial"/>
          <w:bCs/>
          <w:sz w:val="22"/>
          <w:szCs w:val="22"/>
        </w:rPr>
        <w:t xml:space="preserve">Příjemcem podpory jsou samosprávy od úrovně obcí po </w:t>
      </w:r>
      <w:r w:rsidR="000B09F3">
        <w:rPr>
          <w:rFonts w:ascii="Arial" w:hAnsi="Arial" w:cs="Arial"/>
          <w:bCs/>
          <w:sz w:val="22"/>
          <w:szCs w:val="22"/>
        </w:rPr>
        <w:t>kraje</w:t>
      </w:r>
      <w:r w:rsidRPr="00215AD6">
        <w:rPr>
          <w:rFonts w:ascii="Arial" w:hAnsi="Arial" w:cs="Arial"/>
          <w:bCs/>
          <w:sz w:val="22"/>
          <w:szCs w:val="22"/>
        </w:rPr>
        <w:t xml:space="preserve"> </w:t>
      </w:r>
      <w:r w:rsidR="00971260" w:rsidRPr="00215AD6">
        <w:rPr>
          <w:rFonts w:ascii="Arial" w:hAnsi="Arial" w:cs="Arial"/>
          <w:bCs/>
          <w:sz w:val="22"/>
          <w:szCs w:val="22"/>
        </w:rPr>
        <w:t>a</w:t>
      </w:r>
      <w:r w:rsidR="00971260">
        <w:rPr>
          <w:rFonts w:ascii="Arial" w:hAnsi="Arial" w:cs="Arial"/>
          <w:bCs/>
          <w:sz w:val="22"/>
          <w:szCs w:val="22"/>
        </w:rPr>
        <w:t> </w:t>
      </w:r>
      <w:r w:rsidRPr="00215AD6">
        <w:rPr>
          <w:rFonts w:ascii="Arial" w:hAnsi="Arial" w:cs="Arial"/>
          <w:bCs/>
          <w:sz w:val="22"/>
          <w:szCs w:val="22"/>
        </w:rPr>
        <w:t>dobrovolné svazky obcí, státní podniky apod. U vybraných aktivit je mohou žádat i fyzické osoby podnikající.</w:t>
      </w:r>
    </w:p>
    <w:p w14:paraId="0C1CF52D" w14:textId="77777777" w:rsidR="00F85762" w:rsidRDefault="00F85762" w:rsidP="00F85762">
      <w:pPr>
        <w:jc w:val="both"/>
        <w:rPr>
          <w:rFonts w:ascii="Arial" w:hAnsi="Arial" w:cs="Arial"/>
          <w:sz w:val="22"/>
          <w:szCs w:val="22"/>
        </w:rPr>
      </w:pPr>
    </w:p>
    <w:p w14:paraId="7E18E2BC" w14:textId="3E332EDC" w:rsidR="00173FF7" w:rsidRPr="008B1AE3" w:rsidRDefault="00173FF7" w:rsidP="008B1AE3">
      <w:pPr>
        <w:jc w:val="both"/>
        <w:rPr>
          <w:rFonts w:ascii="Arial" w:hAnsi="Arial" w:cs="Arial"/>
          <w:sz w:val="22"/>
          <w:szCs w:val="22"/>
        </w:rPr>
      </w:pPr>
      <w:r w:rsidRPr="00215AD6">
        <w:rPr>
          <w:rFonts w:ascii="Arial" w:hAnsi="Arial" w:cs="Arial"/>
          <w:sz w:val="22"/>
          <w:szCs w:val="22"/>
        </w:rPr>
        <w:t>U</w:t>
      </w:r>
      <w:r w:rsidRPr="00215AD6">
        <w:rPr>
          <w:rFonts w:ascii="Arial" w:hAnsi="Arial" w:cs="Arial"/>
          <w:b/>
          <w:sz w:val="22"/>
          <w:szCs w:val="22"/>
        </w:rPr>
        <w:t xml:space="preserve"> </w:t>
      </w:r>
      <w:r w:rsidRPr="00215AD6">
        <w:rPr>
          <w:rFonts w:ascii="Arial" w:hAnsi="Arial" w:cs="Arial"/>
          <w:sz w:val="22"/>
          <w:szCs w:val="22"/>
        </w:rPr>
        <w:t xml:space="preserve">Specifického cíle 1.4: </w:t>
      </w:r>
      <w:r w:rsidR="00F9109C">
        <w:rPr>
          <w:rFonts w:ascii="Arial" w:hAnsi="Arial" w:cs="Arial"/>
          <w:sz w:val="22"/>
          <w:szCs w:val="22"/>
        </w:rPr>
        <w:t>„</w:t>
      </w:r>
      <w:r w:rsidRPr="00215AD6">
        <w:rPr>
          <w:rFonts w:ascii="Arial" w:hAnsi="Arial" w:cs="Arial"/>
          <w:sz w:val="22"/>
          <w:szCs w:val="22"/>
        </w:rPr>
        <w:t>Podpořit preventivní protipovodňová opatření</w:t>
      </w:r>
      <w:r w:rsidR="00F9109C">
        <w:rPr>
          <w:rFonts w:ascii="Arial" w:hAnsi="Arial" w:cs="Arial"/>
          <w:sz w:val="22"/>
          <w:szCs w:val="22"/>
        </w:rPr>
        <w:t>“</w:t>
      </w:r>
      <w:r w:rsidRPr="00215AD6">
        <w:rPr>
          <w:rFonts w:ascii="Arial" w:hAnsi="Arial" w:cs="Arial"/>
          <w:sz w:val="22"/>
          <w:szCs w:val="22"/>
        </w:rPr>
        <w:t xml:space="preserve"> jsou podporována preventivní protipovodňová opatření s cílem ochrany obyvatel před účinky povodní. Specifický cíl je zaměřen na zlepšení znalostí obyvatel i státní správy a samosprávy o povodňovém ohrožení a povodňových rizicích. V rámci tohoto specifického cíle je možné podpořit opatření spadajících do následujících aktivit:</w:t>
      </w: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80"/>
      </w:tblGrid>
      <w:tr w:rsidR="00BF451B" w14:paraId="33527296" w14:textId="77777777" w:rsidTr="00437328">
        <w:tc>
          <w:tcPr>
            <w:tcW w:w="1985" w:type="dxa"/>
          </w:tcPr>
          <w:p w14:paraId="52DD66E9" w14:textId="74CFCB9A" w:rsidR="00BF451B" w:rsidRPr="0041763C" w:rsidRDefault="00BF451B" w:rsidP="008B1AE3">
            <w:pPr>
              <w:numPr>
                <w:ilvl w:val="0"/>
                <w:numId w:val="24"/>
              </w:numPr>
              <w:tabs>
                <w:tab w:val="clear" w:pos="1332"/>
                <w:tab w:val="num" w:pos="2410"/>
              </w:tabs>
              <w:ind w:left="309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5AD6">
              <w:rPr>
                <w:rFonts w:ascii="Arial" w:hAnsi="Arial" w:cs="Arial"/>
                <w:sz w:val="22"/>
                <w:szCs w:val="22"/>
              </w:rPr>
              <w:t>Aktivita 1.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215AD6">
              <w:rPr>
                <w:rFonts w:ascii="Arial" w:hAnsi="Arial" w:cs="Arial"/>
                <w:sz w:val="22"/>
                <w:szCs w:val="22"/>
              </w:rPr>
              <w:t xml:space="preserve">.1: </w:t>
            </w:r>
          </w:p>
        </w:tc>
        <w:tc>
          <w:tcPr>
            <w:tcW w:w="7080" w:type="dxa"/>
          </w:tcPr>
          <w:p w14:paraId="12C1E3F2" w14:textId="7486DE09" w:rsidR="00BF451B" w:rsidRDefault="00BF451B" w:rsidP="008B1A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1AE3">
              <w:rPr>
                <w:rFonts w:ascii="Arial" w:hAnsi="Arial" w:cs="Arial"/>
                <w:sz w:val="22"/>
                <w:szCs w:val="22"/>
              </w:rPr>
              <w:t>Analýza odtokových poměrů včetně návrhů možných protipovodňových opatření</w:t>
            </w:r>
          </w:p>
        </w:tc>
      </w:tr>
      <w:tr w:rsidR="00BF451B" w14:paraId="22250EFC" w14:textId="77777777" w:rsidTr="00437328">
        <w:tc>
          <w:tcPr>
            <w:tcW w:w="1985" w:type="dxa"/>
          </w:tcPr>
          <w:p w14:paraId="7D02BCC1" w14:textId="50908901" w:rsidR="00BF451B" w:rsidRDefault="00BF451B" w:rsidP="008B1AE3">
            <w:pPr>
              <w:numPr>
                <w:ilvl w:val="0"/>
                <w:numId w:val="24"/>
              </w:numPr>
              <w:tabs>
                <w:tab w:val="num" w:pos="851"/>
              </w:tabs>
              <w:ind w:left="309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5AD6">
              <w:rPr>
                <w:rFonts w:ascii="Arial" w:hAnsi="Arial" w:cs="Arial"/>
                <w:sz w:val="22"/>
                <w:szCs w:val="22"/>
              </w:rPr>
              <w:t>Aktivita 1.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215AD6">
              <w:rPr>
                <w:rFonts w:ascii="Arial" w:hAnsi="Arial" w:cs="Arial"/>
                <w:sz w:val="22"/>
                <w:szCs w:val="22"/>
              </w:rPr>
              <w:t xml:space="preserve">.2: </w:t>
            </w:r>
          </w:p>
        </w:tc>
        <w:tc>
          <w:tcPr>
            <w:tcW w:w="7080" w:type="dxa"/>
          </w:tcPr>
          <w:p w14:paraId="6D103744" w14:textId="235836E2" w:rsidR="00BF451B" w:rsidRDefault="006B0F2D" w:rsidP="004373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5AD6">
              <w:rPr>
                <w:rFonts w:ascii="Arial" w:hAnsi="Arial" w:cs="Arial"/>
                <w:sz w:val="22"/>
                <w:szCs w:val="22"/>
              </w:rPr>
              <w:t>Budování, rozšíření a zkvalitnění varovných, hlásných, předpovědních a výstražných systémů na celostátní úrovni, digitální povodňové plány</w:t>
            </w:r>
          </w:p>
        </w:tc>
      </w:tr>
      <w:tr w:rsidR="00BF451B" w14:paraId="10A1D2C3" w14:textId="77777777" w:rsidTr="00437328">
        <w:tc>
          <w:tcPr>
            <w:tcW w:w="1985" w:type="dxa"/>
          </w:tcPr>
          <w:p w14:paraId="02BCA6F4" w14:textId="1276A979" w:rsidR="00BF451B" w:rsidRDefault="00BF451B" w:rsidP="008B1AE3">
            <w:pPr>
              <w:numPr>
                <w:ilvl w:val="0"/>
                <w:numId w:val="24"/>
              </w:numPr>
              <w:tabs>
                <w:tab w:val="num" w:pos="851"/>
              </w:tabs>
              <w:ind w:left="309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5AD6">
              <w:rPr>
                <w:rFonts w:ascii="Arial" w:hAnsi="Arial" w:cs="Arial"/>
                <w:sz w:val="22"/>
                <w:szCs w:val="22"/>
              </w:rPr>
              <w:t>Aktivita 1.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215AD6">
              <w:rPr>
                <w:rFonts w:ascii="Arial" w:hAnsi="Arial" w:cs="Arial"/>
                <w:sz w:val="22"/>
                <w:szCs w:val="22"/>
              </w:rPr>
              <w:t xml:space="preserve">.3: </w:t>
            </w:r>
          </w:p>
        </w:tc>
        <w:tc>
          <w:tcPr>
            <w:tcW w:w="7080" w:type="dxa"/>
          </w:tcPr>
          <w:p w14:paraId="1A5D841B" w14:textId="5DF980AC" w:rsidR="00BF451B" w:rsidRPr="00BF451B" w:rsidRDefault="008B1AE3" w:rsidP="004373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5AD6">
              <w:rPr>
                <w:rFonts w:ascii="Arial" w:hAnsi="Arial" w:cs="Arial"/>
                <w:sz w:val="22"/>
                <w:szCs w:val="22"/>
              </w:rPr>
              <w:t>Budování a rozšíření varovných, hlásných, předpovědních a výstražných systémů na lokální úrovni, digitální povodňové plány</w:t>
            </w:r>
          </w:p>
        </w:tc>
      </w:tr>
    </w:tbl>
    <w:p w14:paraId="54631FE9" w14:textId="77777777" w:rsidR="00BF451B" w:rsidRPr="00215AD6" w:rsidRDefault="00BF451B" w:rsidP="004A6D7C">
      <w:pPr>
        <w:pStyle w:val="Odstavecseseznamem"/>
        <w:autoSpaceDE w:val="0"/>
        <w:autoSpaceDN w:val="0"/>
        <w:adjustRightInd w:val="0"/>
        <w:ind w:left="851"/>
        <w:jc w:val="both"/>
        <w:rPr>
          <w:rFonts w:ascii="Arial" w:hAnsi="Arial" w:cs="Arial"/>
          <w:sz w:val="22"/>
          <w:szCs w:val="22"/>
        </w:rPr>
      </w:pPr>
    </w:p>
    <w:p w14:paraId="1BBF3DCF" w14:textId="27E73923" w:rsidR="00173FF7" w:rsidRPr="00215AD6" w:rsidRDefault="00173FF7" w:rsidP="00F8576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15AD6">
        <w:rPr>
          <w:rFonts w:ascii="Arial" w:hAnsi="Arial" w:cs="Arial"/>
          <w:bCs/>
          <w:sz w:val="22"/>
          <w:szCs w:val="22"/>
        </w:rPr>
        <w:lastRenderedPageBreak/>
        <w:t xml:space="preserve">Příjemcem podpory </w:t>
      </w:r>
      <w:r w:rsidRPr="00215AD6">
        <w:rPr>
          <w:rFonts w:ascii="Arial" w:hAnsi="Arial" w:cs="Arial"/>
          <w:sz w:val="22"/>
          <w:szCs w:val="22"/>
        </w:rPr>
        <w:t xml:space="preserve">jsou samosprávy od úrovně obcí po </w:t>
      </w:r>
      <w:r w:rsidR="00594AF6">
        <w:rPr>
          <w:rFonts w:ascii="Arial" w:hAnsi="Arial" w:cs="Arial"/>
          <w:sz w:val="22"/>
          <w:szCs w:val="22"/>
        </w:rPr>
        <w:t>kraje</w:t>
      </w:r>
      <w:r w:rsidRPr="00215AD6">
        <w:rPr>
          <w:rFonts w:ascii="Arial" w:hAnsi="Arial" w:cs="Arial"/>
          <w:sz w:val="22"/>
          <w:szCs w:val="22"/>
        </w:rPr>
        <w:t xml:space="preserve"> a dobrovolné svazky obcí, státní podniky apod. Podpora v rámci specifického cíle 1.4 je poskytována </w:t>
      </w:r>
      <w:r w:rsidRPr="00215AD6">
        <w:rPr>
          <w:rFonts w:ascii="Arial" w:hAnsi="Arial" w:cs="Arial"/>
          <w:sz w:val="22"/>
          <w:szCs w:val="22"/>
        </w:rPr>
        <w:br/>
        <w:t xml:space="preserve">z prostředků </w:t>
      </w:r>
      <w:r w:rsidR="00971260">
        <w:rPr>
          <w:rFonts w:ascii="Arial" w:hAnsi="Arial" w:cs="Arial"/>
          <w:sz w:val="22"/>
          <w:szCs w:val="22"/>
        </w:rPr>
        <w:t>Fondu soudržnosti</w:t>
      </w:r>
      <w:r w:rsidR="00971260" w:rsidRPr="00215AD6">
        <w:rPr>
          <w:rFonts w:ascii="Arial" w:hAnsi="Arial" w:cs="Arial"/>
          <w:sz w:val="22"/>
          <w:szCs w:val="22"/>
        </w:rPr>
        <w:t xml:space="preserve"> </w:t>
      </w:r>
      <w:r w:rsidRPr="00215AD6">
        <w:rPr>
          <w:rFonts w:ascii="Arial" w:hAnsi="Arial" w:cs="Arial"/>
          <w:sz w:val="22"/>
          <w:szCs w:val="22"/>
        </w:rPr>
        <w:t>ve výši 85 % celkových způsobilých výdajů s výjimkou vybudování varovných systémů, kde je podpora poskytována ve výši 70 % celkových způsobilých výdajů.</w:t>
      </w:r>
    </w:p>
    <w:p w14:paraId="12B2FD40" w14:textId="77777777" w:rsidR="00F85762" w:rsidRDefault="00F85762" w:rsidP="00F8576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77AA4BED" w14:textId="353CD421" w:rsidR="00173FF7" w:rsidRDefault="00173FF7" w:rsidP="00F85762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215AD6">
        <w:rPr>
          <w:rFonts w:ascii="Arial" w:hAnsi="Arial" w:cs="Arial"/>
          <w:sz w:val="22"/>
          <w:szCs w:val="22"/>
        </w:rPr>
        <w:t xml:space="preserve">Do konce roku 2020 bylo pro specifický cíl 1.3 a 1.4 vyhlášeno </w:t>
      </w:r>
      <w:r w:rsidR="007F23C3">
        <w:rPr>
          <w:rFonts w:ascii="Arial" w:hAnsi="Arial" w:cs="Arial"/>
          <w:sz w:val="22"/>
          <w:szCs w:val="22"/>
        </w:rPr>
        <w:t>17</w:t>
      </w:r>
      <w:r w:rsidR="007F23C3" w:rsidRPr="00C17291">
        <w:rPr>
          <w:rFonts w:ascii="Arial" w:hAnsi="Arial" w:cs="Arial"/>
          <w:sz w:val="22"/>
          <w:szCs w:val="22"/>
        </w:rPr>
        <w:t xml:space="preserve"> </w:t>
      </w:r>
      <w:r w:rsidRPr="00C17291">
        <w:rPr>
          <w:rFonts w:ascii="Arial" w:hAnsi="Arial" w:cs="Arial"/>
          <w:sz w:val="22"/>
          <w:szCs w:val="22"/>
        </w:rPr>
        <w:t>v</w:t>
      </w:r>
      <w:r w:rsidRPr="00215AD6">
        <w:rPr>
          <w:rFonts w:ascii="Arial" w:hAnsi="Arial" w:cs="Arial"/>
          <w:sz w:val="22"/>
          <w:szCs w:val="22"/>
        </w:rPr>
        <w:t xml:space="preserve">ýzev včetně výzev na integrované nástroje, z toho </w:t>
      </w:r>
      <w:r w:rsidR="007F23C3">
        <w:rPr>
          <w:rFonts w:ascii="Arial" w:hAnsi="Arial" w:cs="Arial"/>
          <w:sz w:val="22"/>
          <w:szCs w:val="22"/>
        </w:rPr>
        <w:t>7</w:t>
      </w:r>
      <w:r w:rsidR="007F23C3" w:rsidRPr="00215AD6">
        <w:rPr>
          <w:rFonts w:ascii="Arial" w:hAnsi="Arial" w:cs="Arial"/>
          <w:sz w:val="22"/>
          <w:szCs w:val="22"/>
        </w:rPr>
        <w:t xml:space="preserve"> </w:t>
      </w:r>
      <w:r w:rsidRPr="00215AD6">
        <w:rPr>
          <w:rFonts w:ascii="Arial" w:hAnsi="Arial" w:cs="Arial"/>
          <w:sz w:val="22"/>
          <w:szCs w:val="22"/>
        </w:rPr>
        <w:t>výzev pro specifický cíl 1.3 a 1</w:t>
      </w:r>
      <w:r w:rsidR="007F23C3">
        <w:rPr>
          <w:rFonts w:ascii="Arial" w:hAnsi="Arial" w:cs="Arial"/>
          <w:sz w:val="22"/>
          <w:szCs w:val="22"/>
        </w:rPr>
        <w:t>0</w:t>
      </w:r>
      <w:r w:rsidRPr="00215AD6">
        <w:rPr>
          <w:rFonts w:ascii="Arial" w:hAnsi="Arial" w:cs="Arial"/>
          <w:sz w:val="22"/>
          <w:szCs w:val="22"/>
        </w:rPr>
        <w:t xml:space="preserve"> výzev pro specifický cíl 1.4, včetně výzev na zpracování podkladů pro 2. plánovací období dle směrnice 2007/60/ES či podkladů pro záplavová území či území ohrožená zvláštními povodněmi. Ke dni </w:t>
      </w:r>
      <w:r w:rsidR="00C17291">
        <w:rPr>
          <w:rFonts w:ascii="Arial" w:hAnsi="Arial" w:cs="Arial"/>
          <w:sz w:val="22"/>
          <w:szCs w:val="22"/>
        </w:rPr>
        <w:t>31. 12</w:t>
      </w:r>
      <w:r w:rsidRPr="008B1AE3">
        <w:rPr>
          <w:rFonts w:ascii="Arial" w:hAnsi="Arial" w:cs="Arial"/>
          <w:sz w:val="22"/>
          <w:szCs w:val="22"/>
        </w:rPr>
        <w:t>. 2020</w:t>
      </w:r>
      <w:r w:rsidRPr="00215AD6">
        <w:rPr>
          <w:rFonts w:ascii="Arial" w:hAnsi="Arial" w:cs="Arial"/>
          <w:sz w:val="22"/>
          <w:szCs w:val="22"/>
        </w:rPr>
        <w:t xml:space="preserve"> bylo schváleno k podpoře u obou specifických cílů celkem </w:t>
      </w:r>
      <w:r w:rsidR="007F23C3">
        <w:rPr>
          <w:rFonts w:ascii="Arial" w:hAnsi="Arial" w:cs="Arial"/>
          <w:sz w:val="22"/>
          <w:szCs w:val="22"/>
        </w:rPr>
        <w:t>524</w:t>
      </w:r>
      <w:r w:rsidR="007F23C3" w:rsidRPr="00215AD6">
        <w:rPr>
          <w:rFonts w:ascii="Arial" w:hAnsi="Arial" w:cs="Arial"/>
          <w:sz w:val="22"/>
          <w:szCs w:val="22"/>
        </w:rPr>
        <w:t xml:space="preserve"> </w:t>
      </w:r>
      <w:r w:rsidRPr="00215AD6">
        <w:rPr>
          <w:rFonts w:ascii="Arial" w:hAnsi="Arial" w:cs="Arial"/>
          <w:sz w:val="22"/>
          <w:szCs w:val="22"/>
        </w:rPr>
        <w:t xml:space="preserve">projektů s celkovým příspěvkem EU </w:t>
      </w:r>
      <w:r w:rsidR="007F23C3">
        <w:rPr>
          <w:rFonts w:ascii="Arial" w:hAnsi="Arial" w:cs="Arial"/>
          <w:sz w:val="22"/>
          <w:szCs w:val="22"/>
        </w:rPr>
        <w:t>1,74</w:t>
      </w:r>
      <w:r w:rsidRPr="00215AD6">
        <w:rPr>
          <w:rFonts w:ascii="Arial" w:hAnsi="Arial" w:cs="Arial"/>
          <w:sz w:val="22"/>
          <w:szCs w:val="22"/>
        </w:rPr>
        <w:t xml:space="preserve"> mld. Kč. Ke dni </w:t>
      </w:r>
      <w:r w:rsidR="00C17291">
        <w:rPr>
          <w:rFonts w:ascii="Arial" w:hAnsi="Arial" w:cs="Arial"/>
          <w:sz w:val="22"/>
          <w:szCs w:val="22"/>
        </w:rPr>
        <w:t>31. 12</w:t>
      </w:r>
      <w:r w:rsidRPr="008B1AE3">
        <w:rPr>
          <w:rFonts w:ascii="Arial" w:hAnsi="Arial" w:cs="Arial"/>
          <w:sz w:val="22"/>
          <w:szCs w:val="22"/>
        </w:rPr>
        <w:t>. 2020</w:t>
      </w:r>
      <w:r w:rsidRPr="00215AD6">
        <w:rPr>
          <w:rFonts w:ascii="Arial" w:hAnsi="Arial" w:cs="Arial"/>
          <w:sz w:val="22"/>
          <w:szCs w:val="22"/>
        </w:rPr>
        <w:t xml:space="preserve"> bylo proplaceno příjemcům </w:t>
      </w:r>
      <w:r w:rsidR="007F23C3">
        <w:rPr>
          <w:rFonts w:ascii="Arial" w:hAnsi="Arial" w:cs="Arial"/>
          <w:sz w:val="22"/>
          <w:szCs w:val="22"/>
        </w:rPr>
        <w:t>1,79</w:t>
      </w:r>
      <w:r w:rsidRPr="00215AD6">
        <w:rPr>
          <w:rFonts w:ascii="Arial" w:hAnsi="Arial" w:cs="Arial"/>
          <w:sz w:val="22"/>
          <w:szCs w:val="22"/>
        </w:rPr>
        <w:t xml:space="preserve"> mld. Kč.</w:t>
      </w:r>
    </w:p>
    <w:p w14:paraId="5B2FAE78" w14:textId="156BBC22" w:rsidR="00173FF7" w:rsidRPr="00FD6BE1" w:rsidRDefault="00173FF7" w:rsidP="00173FF7">
      <w:pPr>
        <w:keepNext/>
        <w:tabs>
          <w:tab w:val="left" w:pos="480"/>
        </w:tabs>
        <w:spacing w:before="240" w:after="20"/>
        <w:jc w:val="both"/>
        <w:rPr>
          <w:rFonts w:ascii="Arial" w:hAnsi="Arial" w:cs="Arial"/>
          <w:b/>
          <w:sz w:val="22"/>
          <w:szCs w:val="22"/>
        </w:rPr>
      </w:pPr>
      <w:r w:rsidRPr="00960DAF">
        <w:rPr>
          <w:rFonts w:ascii="Arial" w:hAnsi="Arial" w:cs="Arial"/>
          <w:b/>
          <w:i/>
          <w:iCs/>
          <w:sz w:val="22"/>
          <w:szCs w:val="22"/>
        </w:rPr>
        <w:t xml:space="preserve">OPŽP 2014–2020 </w:t>
      </w:r>
      <w:r>
        <w:rPr>
          <w:rFonts w:ascii="Arial" w:hAnsi="Arial" w:cs="Arial"/>
          <w:b/>
          <w:i/>
          <w:iCs/>
          <w:sz w:val="22"/>
          <w:szCs w:val="22"/>
        </w:rPr>
        <w:t>– specifický cíl 1.3 a 1.4 –</w:t>
      </w:r>
      <w:r w:rsidR="00672D6B">
        <w:rPr>
          <w:rFonts w:ascii="Arial" w:hAnsi="Arial" w:cs="Arial"/>
          <w:b/>
          <w:i/>
          <w:iCs/>
          <w:sz w:val="22"/>
          <w:szCs w:val="22"/>
        </w:rPr>
        <w:t xml:space="preserve"> za sledované období </w:t>
      </w:r>
      <w:r w:rsidR="006B1D9A">
        <w:rPr>
          <w:rFonts w:ascii="Arial" w:hAnsi="Arial" w:cs="Arial"/>
          <w:b/>
          <w:i/>
          <w:iCs/>
          <w:sz w:val="22"/>
          <w:szCs w:val="22"/>
        </w:rPr>
        <w:t>2018</w:t>
      </w:r>
      <w:r w:rsidR="006B1D9A" w:rsidRPr="00C17291">
        <w:rPr>
          <w:rFonts w:ascii="Arial" w:hAnsi="Arial" w:cs="Arial"/>
          <w:b/>
          <w:i/>
          <w:iCs/>
          <w:sz w:val="22"/>
          <w:szCs w:val="22"/>
        </w:rPr>
        <w:t>–</w:t>
      </w:r>
      <w:r w:rsidRPr="008B1AE3">
        <w:rPr>
          <w:rFonts w:ascii="Arial" w:hAnsi="Arial" w:cs="Arial"/>
          <w:b/>
          <w:i/>
          <w:iCs/>
          <w:sz w:val="22"/>
          <w:szCs w:val="22"/>
        </w:rPr>
        <w:t>2020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</w:t>
      </w: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402"/>
      </w:tblGrid>
      <w:tr w:rsidR="00173FF7" w:rsidRPr="00FD6BE1" w14:paraId="5C8E85A0" w14:textId="77777777" w:rsidTr="008B1AE3">
        <w:trPr>
          <w:trHeight w:val="340"/>
        </w:trPr>
        <w:tc>
          <w:tcPr>
            <w:tcW w:w="5670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4516AC" w14:textId="77777777" w:rsidR="00173FF7" w:rsidRPr="00FD6BE1" w:rsidRDefault="00173FF7" w:rsidP="0016342B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Počet výzev 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839F99" w14:textId="79A2CE2D" w:rsidR="00173FF7" w:rsidRPr="008B1AE3" w:rsidRDefault="007F23C3" w:rsidP="0016342B">
            <w:pPr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</w:tr>
      <w:tr w:rsidR="00173FF7" w:rsidRPr="00FD6BE1" w14:paraId="550A42BB" w14:textId="77777777" w:rsidTr="008B1AE3">
        <w:trPr>
          <w:trHeight w:val="340"/>
        </w:trPr>
        <w:tc>
          <w:tcPr>
            <w:tcW w:w="5670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A92B2E" w14:textId="77777777" w:rsidR="00173FF7" w:rsidRDefault="00173FF7" w:rsidP="0016342B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Počet schválených projektů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EA7EAC" w14:textId="433824BC" w:rsidR="00173FF7" w:rsidRPr="008B1AE3" w:rsidRDefault="007F23C3" w:rsidP="0016342B">
            <w:pPr>
              <w:tabs>
                <w:tab w:val="decimal" w:pos="480"/>
                <w:tab w:val="center" w:pos="1929"/>
              </w:tabs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524</w:t>
            </w:r>
          </w:p>
        </w:tc>
      </w:tr>
      <w:tr w:rsidR="00173FF7" w:rsidRPr="00FD6BE1" w14:paraId="3B2242E8" w14:textId="77777777" w:rsidTr="008B1AE3">
        <w:trPr>
          <w:trHeight w:val="340"/>
        </w:trPr>
        <w:tc>
          <w:tcPr>
            <w:tcW w:w="5670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AEED42" w14:textId="77777777" w:rsidR="00173FF7" w:rsidRDefault="00173FF7" w:rsidP="0016342B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Příspěvek EU (mld. Kč)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0B0FB" w14:textId="228EA488" w:rsidR="00173FF7" w:rsidRPr="008B1AE3" w:rsidRDefault="007F23C3" w:rsidP="00C17291">
            <w:pPr>
              <w:tabs>
                <w:tab w:val="decimal" w:pos="480"/>
                <w:tab w:val="center" w:pos="1929"/>
              </w:tabs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1,74</w:t>
            </w:r>
          </w:p>
        </w:tc>
      </w:tr>
      <w:tr w:rsidR="00173FF7" w:rsidRPr="00FD6BE1" w14:paraId="5A98ECFC" w14:textId="77777777" w:rsidTr="008B1AE3">
        <w:trPr>
          <w:trHeight w:val="340"/>
        </w:trPr>
        <w:tc>
          <w:tcPr>
            <w:tcW w:w="5670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6DA130" w14:textId="77777777" w:rsidR="00173FF7" w:rsidRDefault="00173FF7" w:rsidP="0016342B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Celkové způsobilé výdaje (mld. Kč)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CD7F4A" w14:textId="03B5A0DC" w:rsidR="00173FF7" w:rsidRPr="008B1AE3" w:rsidRDefault="007F23C3" w:rsidP="007F23C3">
            <w:pPr>
              <w:tabs>
                <w:tab w:val="decimal" w:pos="480"/>
                <w:tab w:val="center" w:pos="1929"/>
              </w:tabs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2,24</w:t>
            </w:r>
          </w:p>
        </w:tc>
      </w:tr>
      <w:tr w:rsidR="00173FF7" w:rsidRPr="00FD6BE1" w14:paraId="76F02D61" w14:textId="77777777" w:rsidTr="008B1AE3">
        <w:trPr>
          <w:trHeight w:val="340"/>
        </w:trPr>
        <w:tc>
          <w:tcPr>
            <w:tcW w:w="5670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854BE" w14:textId="77777777" w:rsidR="00173FF7" w:rsidRDefault="00173FF7" w:rsidP="0016342B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Proplaceno příjemcům (mld. Kč)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7C4A8" w14:textId="2550DCE4" w:rsidR="00173FF7" w:rsidRPr="008B1AE3" w:rsidRDefault="007F23C3" w:rsidP="00C17291">
            <w:pPr>
              <w:tabs>
                <w:tab w:val="decimal" w:pos="480"/>
                <w:tab w:val="center" w:pos="1929"/>
              </w:tabs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1,79</w:t>
            </w:r>
          </w:p>
        </w:tc>
      </w:tr>
    </w:tbl>
    <w:p w14:paraId="564BFB27" w14:textId="637948B5" w:rsidR="007F23C3" w:rsidRPr="005B29BC" w:rsidRDefault="00672D6B" w:rsidP="00672D6B">
      <w:pPr>
        <w:ind w:left="709" w:hanging="709"/>
        <w:jc w:val="both"/>
        <w:rPr>
          <w:rFonts w:ascii="Arial" w:hAnsi="Arial" w:cs="Arial"/>
          <w:i/>
          <w:sz w:val="18"/>
          <w:szCs w:val="22"/>
        </w:rPr>
      </w:pPr>
      <w:r>
        <w:rPr>
          <w:rFonts w:ascii="Arial" w:hAnsi="Arial" w:cs="Arial"/>
          <w:i/>
          <w:sz w:val="18"/>
          <w:szCs w:val="22"/>
        </w:rPr>
        <w:t>Z</w:t>
      </w:r>
      <w:r w:rsidR="007F23C3" w:rsidRPr="005B29BC">
        <w:rPr>
          <w:rFonts w:ascii="Arial" w:hAnsi="Arial" w:cs="Arial"/>
          <w:i/>
          <w:sz w:val="18"/>
          <w:szCs w:val="22"/>
        </w:rPr>
        <w:t>droj: MS2014+ (sestava F027, M004a, interní sestava registrovaných projektů), přehled schválených projektů</w:t>
      </w:r>
    </w:p>
    <w:p w14:paraId="0DFD2772" w14:textId="65F2A3F4" w:rsidR="00672D6B" w:rsidRPr="005B29BC" w:rsidRDefault="00672D6B" w:rsidP="00672D6B">
      <w:pPr>
        <w:spacing w:before="240" w:after="20"/>
        <w:jc w:val="both"/>
        <w:rPr>
          <w:rFonts w:ascii="Arial" w:eastAsia="Calibri" w:hAnsi="Arial"/>
          <w:b/>
          <w:i/>
          <w:iCs/>
          <w:sz w:val="22"/>
          <w:szCs w:val="22"/>
          <w:vertAlign w:val="superscript"/>
          <w:lang w:eastAsia="en-US"/>
        </w:rPr>
      </w:pPr>
      <w:r w:rsidRPr="005B29BC">
        <w:rPr>
          <w:rFonts w:ascii="Arial" w:hAnsi="Arial" w:cs="Arial"/>
          <w:b/>
          <w:bCs/>
          <w:i/>
          <w:color w:val="000000"/>
          <w:sz w:val="22"/>
          <w:szCs w:val="22"/>
        </w:rPr>
        <w:t xml:space="preserve">OPŽP 2014–2020 </w:t>
      </w:r>
      <w:r w:rsidR="0022666D">
        <w:rPr>
          <w:rFonts w:ascii="Arial" w:hAnsi="Arial" w:cs="Arial"/>
          <w:b/>
          <w:bCs/>
          <w:i/>
          <w:color w:val="000000"/>
          <w:sz w:val="22"/>
          <w:szCs w:val="22"/>
        </w:rPr>
        <w:t xml:space="preserve">– </w:t>
      </w:r>
      <w:r w:rsidRPr="005B29BC">
        <w:rPr>
          <w:rFonts w:ascii="Arial" w:hAnsi="Arial" w:cs="Arial"/>
          <w:b/>
          <w:bCs/>
          <w:i/>
          <w:color w:val="000000"/>
          <w:sz w:val="22"/>
          <w:szCs w:val="22"/>
        </w:rPr>
        <w:t>čerpání za sled</w:t>
      </w:r>
      <w:r>
        <w:rPr>
          <w:rFonts w:ascii="Arial" w:hAnsi="Arial" w:cs="Arial"/>
          <w:b/>
          <w:bCs/>
          <w:i/>
          <w:color w:val="000000"/>
          <w:sz w:val="22"/>
          <w:szCs w:val="22"/>
        </w:rPr>
        <w:t>ované</w:t>
      </w:r>
      <w:r w:rsidRPr="005B29BC">
        <w:rPr>
          <w:rFonts w:ascii="Arial" w:hAnsi="Arial" w:cs="Arial"/>
          <w:b/>
          <w:bCs/>
          <w:i/>
          <w:color w:val="000000"/>
          <w:sz w:val="22"/>
          <w:szCs w:val="22"/>
        </w:rPr>
        <w:t xml:space="preserve"> období 2018</w:t>
      </w:r>
      <w:r w:rsidRPr="00C17291">
        <w:rPr>
          <w:rFonts w:ascii="Arial" w:hAnsi="Arial" w:cs="Arial"/>
          <w:b/>
          <w:i/>
          <w:iCs/>
          <w:sz w:val="22"/>
          <w:szCs w:val="22"/>
        </w:rPr>
        <w:t>–</w:t>
      </w:r>
      <w:r w:rsidRPr="005B29BC">
        <w:rPr>
          <w:rFonts w:ascii="Arial" w:hAnsi="Arial" w:cs="Arial"/>
          <w:b/>
          <w:bCs/>
          <w:i/>
          <w:color w:val="000000"/>
          <w:sz w:val="22"/>
          <w:szCs w:val="22"/>
        </w:rPr>
        <w:t xml:space="preserve">2020 </w:t>
      </w:r>
      <w:r w:rsidRPr="005B29BC">
        <w:rPr>
          <w:rFonts w:ascii="Arial" w:hAnsi="Arial" w:cs="Arial"/>
          <w:b/>
          <w:sz w:val="22"/>
          <w:szCs w:val="22"/>
        </w:rPr>
        <w:t>–</w:t>
      </w:r>
      <w:r w:rsidRPr="005B29BC">
        <w:rPr>
          <w:rFonts w:ascii="Arial" w:hAnsi="Arial" w:cs="Arial"/>
          <w:b/>
          <w:i/>
          <w:color w:val="000000"/>
          <w:sz w:val="22"/>
        </w:rPr>
        <w:t xml:space="preserve"> Oblast podpory 1.3 </w:t>
      </w:r>
      <w:r w:rsidRPr="005B29BC">
        <w:rPr>
          <w:rFonts w:ascii="Arial" w:eastAsia="Calibri" w:hAnsi="Arial"/>
          <w:b/>
          <w:i/>
          <w:iCs/>
          <w:sz w:val="22"/>
          <w:szCs w:val="22"/>
          <w:lang w:eastAsia="en-US"/>
        </w:rPr>
        <w:t>(mil.</w:t>
      </w:r>
      <w:r w:rsidR="0022666D">
        <w:rPr>
          <w:rFonts w:ascii="Arial" w:eastAsia="Calibri" w:hAnsi="Arial"/>
          <w:b/>
          <w:i/>
          <w:iCs/>
          <w:sz w:val="22"/>
          <w:szCs w:val="22"/>
          <w:lang w:eastAsia="en-US"/>
        </w:rPr>
        <w:t> </w:t>
      </w:r>
      <w:r w:rsidRPr="005B29BC">
        <w:rPr>
          <w:rFonts w:ascii="Arial" w:eastAsia="Calibri" w:hAnsi="Arial"/>
          <w:b/>
          <w:i/>
          <w:iCs/>
          <w:sz w:val="22"/>
          <w:szCs w:val="22"/>
          <w:lang w:eastAsia="en-US"/>
        </w:rPr>
        <w:t>Kč)</w:t>
      </w: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402"/>
      </w:tblGrid>
      <w:tr w:rsidR="00672D6B" w:rsidRPr="00672D6B" w14:paraId="2677CE87" w14:textId="77777777" w:rsidTr="000B09F3">
        <w:trPr>
          <w:trHeight w:val="340"/>
        </w:trPr>
        <w:tc>
          <w:tcPr>
            <w:tcW w:w="5670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DF0A12" w14:textId="77777777" w:rsidR="00672D6B" w:rsidRPr="005B29BC" w:rsidRDefault="00672D6B" w:rsidP="000B09F3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5B29BC">
              <w:rPr>
                <w:rFonts w:ascii="Arial" w:hAnsi="Arial" w:cs="Arial"/>
                <w:b/>
                <w:sz w:val="22"/>
                <w:szCs w:val="22"/>
              </w:rPr>
              <w:t xml:space="preserve">Počet výzev 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921D38" w14:textId="77777777" w:rsidR="00672D6B" w:rsidRPr="005B29BC" w:rsidRDefault="00672D6B" w:rsidP="000B09F3">
            <w:pPr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672D6B" w:rsidRPr="00672D6B" w14:paraId="4D148B64" w14:textId="77777777" w:rsidTr="000B09F3">
        <w:trPr>
          <w:trHeight w:val="340"/>
        </w:trPr>
        <w:tc>
          <w:tcPr>
            <w:tcW w:w="5670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ADB12" w14:textId="77777777" w:rsidR="00672D6B" w:rsidRPr="005B29BC" w:rsidRDefault="00672D6B" w:rsidP="000B09F3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5B29BC">
              <w:rPr>
                <w:rFonts w:ascii="Arial" w:hAnsi="Arial" w:cs="Arial"/>
                <w:b/>
                <w:sz w:val="22"/>
                <w:szCs w:val="22"/>
              </w:rPr>
              <w:t>Počet schválených projektů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32D10" w14:textId="77777777" w:rsidR="00672D6B" w:rsidRPr="005B29BC" w:rsidRDefault="00672D6B" w:rsidP="000B09F3">
            <w:pPr>
              <w:tabs>
                <w:tab w:val="decimal" w:pos="480"/>
                <w:tab w:val="center" w:pos="1929"/>
              </w:tabs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186</w:t>
            </w:r>
          </w:p>
        </w:tc>
      </w:tr>
      <w:tr w:rsidR="00672D6B" w:rsidRPr="00672D6B" w14:paraId="4CB83AF9" w14:textId="77777777" w:rsidTr="000B09F3">
        <w:trPr>
          <w:trHeight w:val="340"/>
        </w:trPr>
        <w:tc>
          <w:tcPr>
            <w:tcW w:w="5670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4473B" w14:textId="77777777" w:rsidR="00672D6B" w:rsidRPr="005B29BC" w:rsidRDefault="00672D6B" w:rsidP="000B09F3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5B29BC">
              <w:rPr>
                <w:rFonts w:ascii="Arial" w:hAnsi="Arial" w:cs="Arial"/>
                <w:b/>
                <w:sz w:val="22"/>
                <w:szCs w:val="22"/>
              </w:rPr>
              <w:t>Příspěvek EU (mil. Kč)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9D7C58" w14:textId="77777777" w:rsidR="00672D6B" w:rsidRPr="005B29BC" w:rsidRDefault="00672D6B" w:rsidP="000B09F3">
            <w:pPr>
              <w:tabs>
                <w:tab w:val="decimal" w:pos="480"/>
                <w:tab w:val="center" w:pos="1929"/>
              </w:tabs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824</w:t>
            </w:r>
          </w:p>
        </w:tc>
      </w:tr>
      <w:tr w:rsidR="00672D6B" w:rsidRPr="00672D6B" w14:paraId="268E2F1C" w14:textId="77777777" w:rsidTr="000B09F3">
        <w:trPr>
          <w:trHeight w:val="340"/>
        </w:trPr>
        <w:tc>
          <w:tcPr>
            <w:tcW w:w="5670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BB37CD" w14:textId="77777777" w:rsidR="00672D6B" w:rsidRPr="005B29BC" w:rsidRDefault="00672D6B" w:rsidP="000B09F3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5B29BC">
              <w:rPr>
                <w:rFonts w:ascii="Arial" w:hAnsi="Arial" w:cs="Arial"/>
                <w:b/>
                <w:sz w:val="22"/>
                <w:szCs w:val="22"/>
              </w:rPr>
              <w:t>Celkové způsobilé výdaje (mil. Kč)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58890A" w14:textId="77777777" w:rsidR="00672D6B" w:rsidRPr="005B29BC" w:rsidRDefault="00672D6B" w:rsidP="000B09F3">
            <w:pPr>
              <w:tabs>
                <w:tab w:val="decimal" w:pos="480"/>
                <w:tab w:val="center" w:pos="1929"/>
              </w:tabs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990</w:t>
            </w:r>
          </w:p>
        </w:tc>
      </w:tr>
      <w:tr w:rsidR="00672D6B" w:rsidRPr="00672D6B" w14:paraId="32F152DF" w14:textId="77777777" w:rsidTr="000B09F3">
        <w:trPr>
          <w:trHeight w:val="340"/>
        </w:trPr>
        <w:tc>
          <w:tcPr>
            <w:tcW w:w="5670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B1FCFF" w14:textId="77777777" w:rsidR="00672D6B" w:rsidRPr="005B29BC" w:rsidRDefault="00672D6B" w:rsidP="000B09F3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5B29BC">
              <w:rPr>
                <w:rFonts w:ascii="Arial" w:hAnsi="Arial" w:cs="Arial"/>
                <w:b/>
                <w:sz w:val="22"/>
                <w:szCs w:val="22"/>
              </w:rPr>
              <w:t>Proplaceno příjemcům (mil. Kč)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43827A" w14:textId="77777777" w:rsidR="00672D6B" w:rsidRPr="005B29BC" w:rsidRDefault="00672D6B" w:rsidP="000B09F3">
            <w:pPr>
              <w:tabs>
                <w:tab w:val="decimal" w:pos="480"/>
                <w:tab w:val="center" w:pos="1929"/>
              </w:tabs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814</w:t>
            </w:r>
          </w:p>
        </w:tc>
      </w:tr>
    </w:tbl>
    <w:p w14:paraId="6F04F29A" w14:textId="736FBD0F" w:rsidR="00672D6B" w:rsidRPr="005B29BC" w:rsidRDefault="00672D6B" w:rsidP="00672D6B">
      <w:pPr>
        <w:ind w:left="709" w:hanging="709"/>
        <w:jc w:val="both"/>
        <w:rPr>
          <w:rFonts w:ascii="Arial" w:hAnsi="Arial" w:cs="Arial"/>
          <w:i/>
          <w:sz w:val="18"/>
          <w:szCs w:val="22"/>
        </w:rPr>
      </w:pPr>
      <w:r>
        <w:rPr>
          <w:rFonts w:ascii="Arial" w:hAnsi="Arial" w:cs="Arial"/>
          <w:i/>
          <w:sz w:val="18"/>
          <w:szCs w:val="22"/>
        </w:rPr>
        <w:t>Z</w:t>
      </w:r>
      <w:r w:rsidRPr="005B29BC">
        <w:rPr>
          <w:rFonts w:ascii="Arial" w:hAnsi="Arial" w:cs="Arial"/>
          <w:i/>
          <w:sz w:val="18"/>
          <w:szCs w:val="22"/>
        </w:rPr>
        <w:t>droj: MS2014+ (sestava F027, M004a, interní sestava registrovaných projektů), přehled schválených projektů</w:t>
      </w:r>
    </w:p>
    <w:p w14:paraId="2BDBE3A0" w14:textId="60B2FF15" w:rsidR="00672D6B" w:rsidRPr="005B29BC" w:rsidRDefault="00672D6B" w:rsidP="00672D6B">
      <w:pPr>
        <w:spacing w:before="240" w:after="20"/>
        <w:jc w:val="both"/>
        <w:rPr>
          <w:rFonts w:ascii="Arial" w:eastAsia="Calibri" w:hAnsi="Arial"/>
          <w:b/>
          <w:i/>
          <w:iCs/>
          <w:sz w:val="22"/>
          <w:szCs w:val="22"/>
          <w:vertAlign w:val="superscript"/>
          <w:lang w:eastAsia="en-US"/>
        </w:rPr>
      </w:pPr>
      <w:r w:rsidRPr="005B29BC">
        <w:rPr>
          <w:rFonts w:ascii="Arial" w:hAnsi="Arial" w:cs="Arial"/>
          <w:b/>
          <w:bCs/>
          <w:i/>
          <w:color w:val="000000"/>
          <w:sz w:val="22"/>
          <w:szCs w:val="22"/>
        </w:rPr>
        <w:t>OPŽP 2014–2020 čerpání za sled</w:t>
      </w:r>
      <w:r w:rsidR="0022666D">
        <w:rPr>
          <w:rFonts w:ascii="Arial" w:hAnsi="Arial" w:cs="Arial"/>
          <w:b/>
          <w:bCs/>
          <w:i/>
          <w:color w:val="000000"/>
          <w:sz w:val="22"/>
          <w:szCs w:val="22"/>
        </w:rPr>
        <w:t>ované</w:t>
      </w:r>
      <w:r w:rsidRPr="005B29BC">
        <w:rPr>
          <w:rFonts w:ascii="Arial" w:hAnsi="Arial" w:cs="Arial"/>
          <w:b/>
          <w:bCs/>
          <w:i/>
          <w:color w:val="000000"/>
          <w:sz w:val="22"/>
          <w:szCs w:val="22"/>
        </w:rPr>
        <w:t xml:space="preserve"> období 2018</w:t>
      </w:r>
      <w:r w:rsidR="0022666D" w:rsidRPr="006A34E1">
        <w:rPr>
          <w:rFonts w:ascii="Arial" w:hAnsi="Arial" w:cs="Arial"/>
          <w:b/>
          <w:sz w:val="22"/>
          <w:szCs w:val="22"/>
        </w:rPr>
        <w:t>–</w:t>
      </w:r>
      <w:r w:rsidRPr="005B29BC">
        <w:rPr>
          <w:rFonts w:ascii="Arial" w:hAnsi="Arial" w:cs="Arial"/>
          <w:b/>
          <w:bCs/>
          <w:i/>
          <w:color w:val="000000"/>
          <w:sz w:val="22"/>
          <w:szCs w:val="22"/>
        </w:rPr>
        <w:t xml:space="preserve">2020 </w:t>
      </w:r>
      <w:r w:rsidRPr="005B29BC">
        <w:rPr>
          <w:rFonts w:ascii="Arial" w:hAnsi="Arial" w:cs="Arial"/>
          <w:b/>
          <w:sz w:val="22"/>
          <w:szCs w:val="22"/>
        </w:rPr>
        <w:t>–</w:t>
      </w:r>
      <w:r w:rsidRPr="005B29BC">
        <w:rPr>
          <w:rFonts w:ascii="Arial" w:hAnsi="Arial" w:cs="Arial"/>
          <w:b/>
          <w:i/>
          <w:color w:val="000000"/>
          <w:sz w:val="22"/>
        </w:rPr>
        <w:t xml:space="preserve"> Oblast podpory 1.4 </w:t>
      </w:r>
      <w:r w:rsidRPr="005B29BC">
        <w:rPr>
          <w:rFonts w:ascii="Arial" w:eastAsia="Calibri" w:hAnsi="Arial"/>
          <w:b/>
          <w:i/>
          <w:iCs/>
          <w:sz w:val="22"/>
          <w:szCs w:val="22"/>
          <w:lang w:eastAsia="en-US"/>
        </w:rPr>
        <w:t>(mil.</w:t>
      </w:r>
      <w:r w:rsidR="0022666D">
        <w:rPr>
          <w:rFonts w:ascii="Arial" w:eastAsia="Calibri" w:hAnsi="Arial"/>
          <w:b/>
          <w:i/>
          <w:iCs/>
          <w:sz w:val="22"/>
          <w:szCs w:val="22"/>
          <w:lang w:eastAsia="en-US"/>
        </w:rPr>
        <w:t> </w:t>
      </w:r>
      <w:r w:rsidRPr="005B29BC">
        <w:rPr>
          <w:rFonts w:ascii="Arial" w:eastAsia="Calibri" w:hAnsi="Arial"/>
          <w:b/>
          <w:i/>
          <w:iCs/>
          <w:sz w:val="22"/>
          <w:szCs w:val="22"/>
          <w:lang w:eastAsia="en-US"/>
        </w:rPr>
        <w:t>Kč)</w:t>
      </w: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402"/>
      </w:tblGrid>
      <w:tr w:rsidR="00672D6B" w:rsidRPr="00672D6B" w14:paraId="30186474" w14:textId="77777777" w:rsidTr="000B09F3">
        <w:trPr>
          <w:trHeight w:val="340"/>
        </w:trPr>
        <w:tc>
          <w:tcPr>
            <w:tcW w:w="5670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B83756" w14:textId="77777777" w:rsidR="00672D6B" w:rsidRPr="005B29BC" w:rsidRDefault="00672D6B" w:rsidP="000B09F3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5B29BC">
              <w:rPr>
                <w:rFonts w:ascii="Arial" w:hAnsi="Arial" w:cs="Arial"/>
                <w:b/>
                <w:sz w:val="22"/>
                <w:szCs w:val="22"/>
              </w:rPr>
              <w:t xml:space="preserve">Počet výzev 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2F994A" w14:textId="77777777" w:rsidR="00672D6B" w:rsidRPr="005B29BC" w:rsidRDefault="00672D6B" w:rsidP="000B09F3">
            <w:pPr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672D6B" w:rsidRPr="00672D6B" w14:paraId="1A404630" w14:textId="77777777" w:rsidTr="000B09F3">
        <w:trPr>
          <w:trHeight w:val="340"/>
        </w:trPr>
        <w:tc>
          <w:tcPr>
            <w:tcW w:w="5670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2954D" w14:textId="77777777" w:rsidR="00672D6B" w:rsidRPr="005B29BC" w:rsidRDefault="00672D6B" w:rsidP="000B09F3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5B29BC">
              <w:rPr>
                <w:rFonts w:ascii="Arial" w:hAnsi="Arial" w:cs="Arial"/>
                <w:b/>
                <w:sz w:val="22"/>
                <w:szCs w:val="22"/>
              </w:rPr>
              <w:t>Počet schválených projektů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B678AC" w14:textId="77777777" w:rsidR="00672D6B" w:rsidRPr="005B29BC" w:rsidRDefault="00672D6B" w:rsidP="000B09F3">
            <w:pPr>
              <w:tabs>
                <w:tab w:val="decimal" w:pos="480"/>
                <w:tab w:val="center" w:pos="1929"/>
              </w:tabs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338</w:t>
            </w:r>
          </w:p>
        </w:tc>
      </w:tr>
      <w:tr w:rsidR="00672D6B" w:rsidRPr="00672D6B" w14:paraId="37FE22BC" w14:textId="77777777" w:rsidTr="000B09F3">
        <w:trPr>
          <w:trHeight w:val="340"/>
        </w:trPr>
        <w:tc>
          <w:tcPr>
            <w:tcW w:w="5670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161E6" w14:textId="77777777" w:rsidR="00672D6B" w:rsidRPr="005B29BC" w:rsidRDefault="00672D6B" w:rsidP="000B09F3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5B29BC">
              <w:rPr>
                <w:rFonts w:ascii="Arial" w:hAnsi="Arial" w:cs="Arial"/>
                <w:b/>
                <w:sz w:val="22"/>
                <w:szCs w:val="22"/>
              </w:rPr>
              <w:t>Příspěvek EU (mil. Kč)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A592D1" w14:textId="77777777" w:rsidR="00672D6B" w:rsidRPr="005B29BC" w:rsidRDefault="00672D6B" w:rsidP="000B09F3">
            <w:pPr>
              <w:tabs>
                <w:tab w:val="decimal" w:pos="480"/>
                <w:tab w:val="center" w:pos="1929"/>
              </w:tabs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913</w:t>
            </w:r>
          </w:p>
        </w:tc>
      </w:tr>
      <w:tr w:rsidR="00672D6B" w:rsidRPr="00672D6B" w14:paraId="42F9D4ED" w14:textId="77777777" w:rsidTr="000B09F3">
        <w:trPr>
          <w:trHeight w:val="340"/>
        </w:trPr>
        <w:tc>
          <w:tcPr>
            <w:tcW w:w="5670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752BA" w14:textId="77777777" w:rsidR="00672D6B" w:rsidRPr="005B29BC" w:rsidRDefault="00672D6B" w:rsidP="000B09F3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5B29BC">
              <w:rPr>
                <w:rFonts w:ascii="Arial" w:hAnsi="Arial" w:cs="Arial"/>
                <w:b/>
                <w:sz w:val="22"/>
                <w:szCs w:val="22"/>
              </w:rPr>
              <w:t>Celkové způsobilé výdaje (mil. Kč)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D678A" w14:textId="77777777" w:rsidR="00672D6B" w:rsidRPr="005B29BC" w:rsidRDefault="00672D6B" w:rsidP="000B09F3">
            <w:pPr>
              <w:tabs>
                <w:tab w:val="decimal" w:pos="480"/>
                <w:tab w:val="center" w:pos="1929"/>
              </w:tabs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1253</w:t>
            </w:r>
          </w:p>
        </w:tc>
      </w:tr>
      <w:tr w:rsidR="00672D6B" w:rsidRPr="00672D6B" w14:paraId="314AAD5E" w14:textId="77777777" w:rsidTr="000B09F3">
        <w:trPr>
          <w:trHeight w:val="340"/>
        </w:trPr>
        <w:tc>
          <w:tcPr>
            <w:tcW w:w="5670" w:type="dxa"/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A5FFE" w14:textId="77777777" w:rsidR="00672D6B" w:rsidRPr="005B29BC" w:rsidRDefault="00672D6B" w:rsidP="000B09F3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5B29BC">
              <w:rPr>
                <w:rFonts w:ascii="Arial" w:hAnsi="Arial" w:cs="Arial"/>
                <w:b/>
                <w:sz w:val="22"/>
                <w:szCs w:val="22"/>
              </w:rPr>
              <w:t>Proplaceno příjemcům (mil. Kč)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154AF" w14:textId="77777777" w:rsidR="00672D6B" w:rsidRPr="005B29BC" w:rsidRDefault="00672D6B" w:rsidP="000B09F3">
            <w:pPr>
              <w:tabs>
                <w:tab w:val="decimal" w:pos="480"/>
                <w:tab w:val="center" w:pos="1929"/>
              </w:tabs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971</w:t>
            </w:r>
          </w:p>
        </w:tc>
      </w:tr>
    </w:tbl>
    <w:p w14:paraId="18E9C94A" w14:textId="1FB0FC19" w:rsidR="00672D6B" w:rsidRDefault="00672D6B" w:rsidP="00672D6B">
      <w:pPr>
        <w:jc w:val="both"/>
        <w:rPr>
          <w:rFonts w:ascii="Arial" w:hAnsi="Arial" w:cs="Arial"/>
          <w:i/>
          <w:sz w:val="18"/>
          <w:szCs w:val="22"/>
        </w:rPr>
      </w:pPr>
      <w:r>
        <w:rPr>
          <w:rFonts w:ascii="Arial" w:hAnsi="Arial" w:cs="Arial"/>
          <w:i/>
          <w:sz w:val="18"/>
          <w:szCs w:val="22"/>
        </w:rPr>
        <w:t>Z</w:t>
      </w:r>
      <w:r w:rsidRPr="005B29BC">
        <w:rPr>
          <w:rFonts w:ascii="Arial" w:hAnsi="Arial" w:cs="Arial"/>
          <w:i/>
          <w:sz w:val="18"/>
          <w:szCs w:val="22"/>
        </w:rPr>
        <w:t>droj: MS2014+ (sestava F027, M004a, interní sestava registrovaných projektů), přehled schválených projektů</w:t>
      </w:r>
    </w:p>
    <w:p w14:paraId="7E71D1AC" w14:textId="77777777" w:rsidR="00043ED1" w:rsidRDefault="00043ED1" w:rsidP="00F85762">
      <w:pPr>
        <w:jc w:val="both"/>
        <w:rPr>
          <w:rFonts w:ascii="Arial" w:hAnsi="Arial" w:cs="Arial"/>
          <w:b/>
          <w:sz w:val="22"/>
          <w:szCs w:val="22"/>
        </w:rPr>
      </w:pPr>
    </w:p>
    <w:p w14:paraId="4D22DA73" w14:textId="0398351B" w:rsidR="00173FF7" w:rsidRDefault="00173FF7" w:rsidP="00F85762">
      <w:pPr>
        <w:jc w:val="both"/>
        <w:rPr>
          <w:rFonts w:ascii="Arial" w:hAnsi="Arial" w:cs="Arial"/>
          <w:b/>
          <w:sz w:val="22"/>
          <w:szCs w:val="22"/>
        </w:rPr>
      </w:pPr>
      <w:r w:rsidRPr="004A0521">
        <w:rPr>
          <w:rFonts w:ascii="Arial" w:hAnsi="Arial" w:cs="Arial"/>
          <w:b/>
          <w:sz w:val="22"/>
          <w:szCs w:val="22"/>
        </w:rPr>
        <w:t>Příklady vybraných investičních akcí Prioritní osy 1 OPŽP 2014–2020</w:t>
      </w:r>
      <w:r w:rsidR="00E064AB">
        <w:rPr>
          <w:rFonts w:ascii="Arial" w:hAnsi="Arial" w:cs="Arial"/>
          <w:b/>
          <w:sz w:val="22"/>
          <w:szCs w:val="22"/>
        </w:rPr>
        <w:t xml:space="preserve"> realizovan</w:t>
      </w:r>
      <w:r w:rsidR="00B0242D">
        <w:rPr>
          <w:rFonts w:ascii="Arial" w:hAnsi="Arial" w:cs="Arial"/>
          <w:b/>
          <w:sz w:val="22"/>
          <w:szCs w:val="22"/>
        </w:rPr>
        <w:t>ých</w:t>
      </w:r>
      <w:r w:rsidR="00E064AB">
        <w:rPr>
          <w:rFonts w:ascii="Arial" w:hAnsi="Arial" w:cs="Arial"/>
          <w:b/>
          <w:sz w:val="22"/>
          <w:szCs w:val="22"/>
        </w:rPr>
        <w:t xml:space="preserve"> v období 2018</w:t>
      </w:r>
      <w:r w:rsidR="00E064AB" w:rsidRPr="004A0521">
        <w:rPr>
          <w:rFonts w:ascii="Arial" w:hAnsi="Arial" w:cs="Arial"/>
          <w:b/>
          <w:sz w:val="22"/>
          <w:szCs w:val="22"/>
        </w:rPr>
        <w:t>–</w:t>
      </w:r>
      <w:r w:rsidR="00E064AB">
        <w:rPr>
          <w:rFonts w:ascii="Arial" w:hAnsi="Arial" w:cs="Arial"/>
          <w:b/>
          <w:sz w:val="22"/>
          <w:szCs w:val="22"/>
        </w:rPr>
        <w:t xml:space="preserve">2020 </w:t>
      </w:r>
    </w:p>
    <w:p w14:paraId="4D234FA2" w14:textId="77777777" w:rsidR="00F85762" w:rsidRPr="004A0521" w:rsidRDefault="00F85762" w:rsidP="00F85762">
      <w:pPr>
        <w:jc w:val="both"/>
        <w:rPr>
          <w:rFonts w:ascii="Arial" w:hAnsi="Arial" w:cs="Arial"/>
          <w:b/>
          <w:sz w:val="22"/>
          <w:szCs w:val="22"/>
        </w:rPr>
      </w:pPr>
    </w:p>
    <w:p w14:paraId="5EB2DC3B" w14:textId="6B09C992" w:rsidR="00173FF7" w:rsidRDefault="00173FF7" w:rsidP="00F85762">
      <w:pPr>
        <w:jc w:val="both"/>
        <w:rPr>
          <w:rFonts w:ascii="Arial" w:hAnsi="Arial" w:cs="Arial"/>
          <w:sz w:val="22"/>
          <w:szCs w:val="22"/>
        </w:rPr>
      </w:pPr>
      <w:r w:rsidRPr="00215AD6">
        <w:rPr>
          <w:rFonts w:ascii="Arial" w:hAnsi="Arial" w:cs="Arial"/>
          <w:b/>
          <w:sz w:val="22"/>
          <w:szCs w:val="22"/>
        </w:rPr>
        <w:t xml:space="preserve">„Přírodě blízká protipovodňová opatření v katastru obce Písečná“ </w:t>
      </w:r>
      <w:r w:rsidRPr="00215AD6">
        <w:rPr>
          <w:rFonts w:ascii="Arial" w:hAnsi="Arial" w:cs="Arial"/>
          <w:sz w:val="22"/>
          <w:szCs w:val="22"/>
        </w:rPr>
        <w:t>–</w:t>
      </w:r>
      <w:r w:rsidRPr="00215AD6">
        <w:rPr>
          <w:rFonts w:ascii="Arial" w:hAnsi="Arial" w:cs="Arial"/>
          <w:b/>
          <w:sz w:val="22"/>
          <w:szCs w:val="22"/>
        </w:rPr>
        <w:t xml:space="preserve"> </w:t>
      </w:r>
      <w:r w:rsidRPr="00215AD6">
        <w:rPr>
          <w:rFonts w:ascii="Arial" w:hAnsi="Arial" w:cs="Arial"/>
          <w:sz w:val="22"/>
          <w:szCs w:val="22"/>
        </w:rPr>
        <w:t xml:space="preserve">příjemcem podpory je obec Písečná, dotace z evropských prostředků činí 8,1 mil. Kč. Předmětem podpory jsou přírodě blízká protipovodňová opatření v </w:t>
      </w:r>
      <w:proofErr w:type="spellStart"/>
      <w:r w:rsidRPr="00215AD6">
        <w:rPr>
          <w:rFonts w:ascii="Arial" w:hAnsi="Arial" w:cs="Arial"/>
          <w:sz w:val="22"/>
          <w:szCs w:val="22"/>
        </w:rPr>
        <w:t>k.ú</w:t>
      </w:r>
      <w:proofErr w:type="spellEnd"/>
      <w:r w:rsidRPr="00215AD6">
        <w:rPr>
          <w:rFonts w:ascii="Arial" w:hAnsi="Arial" w:cs="Arial"/>
          <w:sz w:val="22"/>
          <w:szCs w:val="22"/>
        </w:rPr>
        <w:t xml:space="preserve">. Písečná. V rámci realizace </w:t>
      </w:r>
      <w:r w:rsidR="00C17291">
        <w:rPr>
          <w:rFonts w:ascii="Arial" w:hAnsi="Arial" w:cs="Arial"/>
          <w:sz w:val="22"/>
          <w:szCs w:val="22"/>
        </w:rPr>
        <w:t>bylo</w:t>
      </w:r>
      <w:r w:rsidR="00C17291" w:rsidRPr="00215AD6">
        <w:rPr>
          <w:rFonts w:ascii="Arial" w:hAnsi="Arial" w:cs="Arial"/>
          <w:sz w:val="22"/>
          <w:szCs w:val="22"/>
        </w:rPr>
        <w:t xml:space="preserve"> </w:t>
      </w:r>
      <w:r w:rsidRPr="00215AD6">
        <w:rPr>
          <w:rFonts w:ascii="Arial" w:hAnsi="Arial" w:cs="Arial"/>
          <w:sz w:val="22"/>
          <w:szCs w:val="22"/>
        </w:rPr>
        <w:t xml:space="preserve">vytvořeno přírodě blízké koryto s tůněmi a dále </w:t>
      </w:r>
      <w:r w:rsidR="00AF2931">
        <w:rPr>
          <w:rFonts w:ascii="Arial" w:hAnsi="Arial" w:cs="Arial"/>
          <w:sz w:val="22"/>
          <w:szCs w:val="22"/>
        </w:rPr>
        <w:t>byly</w:t>
      </w:r>
      <w:r w:rsidR="00AF2931" w:rsidRPr="00215AD6">
        <w:rPr>
          <w:rFonts w:ascii="Arial" w:hAnsi="Arial" w:cs="Arial"/>
          <w:sz w:val="22"/>
          <w:szCs w:val="22"/>
        </w:rPr>
        <w:t xml:space="preserve"> </w:t>
      </w:r>
      <w:r w:rsidRPr="00215AD6">
        <w:rPr>
          <w:rFonts w:ascii="Arial" w:hAnsi="Arial" w:cs="Arial"/>
          <w:sz w:val="22"/>
          <w:szCs w:val="22"/>
        </w:rPr>
        <w:t>vybudovány propustky, protipovodňové zídky, rozdělovací objekty a brod.</w:t>
      </w:r>
      <w:r>
        <w:rPr>
          <w:rFonts w:ascii="Arial" w:hAnsi="Arial" w:cs="Arial"/>
          <w:sz w:val="22"/>
          <w:szCs w:val="22"/>
        </w:rPr>
        <w:t xml:space="preserve"> </w:t>
      </w:r>
      <w:r w:rsidRPr="00F27F6B">
        <w:rPr>
          <w:rFonts w:ascii="Arial" w:hAnsi="Arial" w:cs="Arial"/>
          <w:sz w:val="22"/>
          <w:szCs w:val="22"/>
        </w:rPr>
        <w:t xml:space="preserve">Projekt </w:t>
      </w:r>
      <w:r w:rsidR="00F27F6B">
        <w:rPr>
          <w:rFonts w:ascii="Arial" w:hAnsi="Arial" w:cs="Arial"/>
          <w:sz w:val="22"/>
          <w:szCs w:val="22"/>
        </w:rPr>
        <w:t>byl</w:t>
      </w:r>
      <w:r w:rsidR="00F27F6B" w:rsidRPr="00F27F6B">
        <w:rPr>
          <w:rFonts w:ascii="Arial" w:hAnsi="Arial" w:cs="Arial"/>
          <w:sz w:val="22"/>
          <w:szCs w:val="22"/>
        </w:rPr>
        <w:t xml:space="preserve"> </w:t>
      </w:r>
      <w:r w:rsidRPr="00F27F6B">
        <w:rPr>
          <w:rFonts w:ascii="Arial" w:hAnsi="Arial" w:cs="Arial"/>
          <w:sz w:val="22"/>
          <w:szCs w:val="22"/>
        </w:rPr>
        <w:t>zrealizován</w:t>
      </w:r>
      <w:r w:rsidRPr="00215AD6">
        <w:rPr>
          <w:rFonts w:ascii="Arial" w:hAnsi="Arial" w:cs="Arial"/>
          <w:sz w:val="22"/>
          <w:szCs w:val="22"/>
        </w:rPr>
        <w:t>.</w:t>
      </w:r>
    </w:p>
    <w:p w14:paraId="0EB7B03C" w14:textId="77777777" w:rsidR="00F85762" w:rsidRPr="00215AD6" w:rsidRDefault="00F85762" w:rsidP="00F85762">
      <w:pPr>
        <w:jc w:val="both"/>
        <w:rPr>
          <w:rFonts w:ascii="Arial" w:hAnsi="Arial" w:cs="Arial"/>
          <w:sz w:val="22"/>
          <w:szCs w:val="22"/>
        </w:rPr>
      </w:pPr>
    </w:p>
    <w:p w14:paraId="37F09762" w14:textId="77777777" w:rsidR="00173FF7" w:rsidRDefault="00173FF7" w:rsidP="00F85762">
      <w:pPr>
        <w:jc w:val="both"/>
        <w:rPr>
          <w:rFonts w:ascii="Arial" w:hAnsi="Arial" w:cs="Arial"/>
          <w:sz w:val="22"/>
          <w:szCs w:val="22"/>
        </w:rPr>
      </w:pPr>
      <w:r w:rsidRPr="00215AD6">
        <w:rPr>
          <w:rFonts w:ascii="Arial" w:hAnsi="Arial" w:cs="Arial"/>
          <w:b/>
          <w:sz w:val="22"/>
          <w:szCs w:val="22"/>
        </w:rPr>
        <w:t xml:space="preserve">„Úlibice, protipovodňová opatření“ </w:t>
      </w:r>
      <w:r w:rsidRPr="00215AD6">
        <w:rPr>
          <w:rFonts w:ascii="Arial" w:hAnsi="Arial" w:cs="Arial"/>
          <w:sz w:val="22"/>
          <w:szCs w:val="22"/>
        </w:rPr>
        <w:t xml:space="preserve">– příjemcem podpory je obec Úlibice, dotace z evropských prostředků činí 18,9 mil. Kč. Předmětem podpory je výstavba přírodě blízkých </w:t>
      </w:r>
      <w:r w:rsidRPr="00215AD6">
        <w:rPr>
          <w:rFonts w:ascii="Arial" w:hAnsi="Arial" w:cs="Arial"/>
          <w:sz w:val="22"/>
          <w:szCs w:val="22"/>
        </w:rPr>
        <w:lastRenderedPageBreak/>
        <w:t xml:space="preserve">protipovodňových opatření v </w:t>
      </w:r>
      <w:proofErr w:type="spellStart"/>
      <w:r w:rsidRPr="00215AD6">
        <w:rPr>
          <w:rFonts w:ascii="Arial" w:hAnsi="Arial" w:cs="Arial"/>
          <w:sz w:val="22"/>
          <w:szCs w:val="22"/>
        </w:rPr>
        <w:t>k.ú</w:t>
      </w:r>
      <w:proofErr w:type="spellEnd"/>
      <w:r w:rsidRPr="00215AD6">
        <w:rPr>
          <w:rFonts w:ascii="Arial" w:hAnsi="Arial" w:cs="Arial"/>
          <w:sz w:val="22"/>
          <w:szCs w:val="22"/>
        </w:rPr>
        <w:t xml:space="preserve">. Úlibice. V rámci realizace bude rozšířeno koryto </w:t>
      </w:r>
      <w:r w:rsidR="0017721D" w:rsidRPr="00215AD6">
        <w:rPr>
          <w:rFonts w:ascii="Arial" w:hAnsi="Arial" w:cs="Arial"/>
          <w:sz w:val="22"/>
          <w:szCs w:val="22"/>
        </w:rPr>
        <w:t>a</w:t>
      </w:r>
      <w:r w:rsidR="0017721D">
        <w:rPr>
          <w:rFonts w:ascii="Arial" w:hAnsi="Arial" w:cs="Arial"/>
          <w:sz w:val="22"/>
          <w:szCs w:val="22"/>
        </w:rPr>
        <w:t> </w:t>
      </w:r>
      <w:r w:rsidRPr="00215AD6">
        <w:rPr>
          <w:rFonts w:ascii="Arial" w:hAnsi="Arial" w:cs="Arial"/>
          <w:sz w:val="22"/>
          <w:szCs w:val="22"/>
        </w:rPr>
        <w:t xml:space="preserve">vymodelována meandrující kyneta, sníženy sklony svahů, zkapacitněny vjezdy </w:t>
      </w:r>
      <w:r w:rsidR="0017721D" w:rsidRPr="00215AD6">
        <w:rPr>
          <w:rFonts w:ascii="Arial" w:hAnsi="Arial" w:cs="Arial"/>
          <w:sz w:val="22"/>
          <w:szCs w:val="22"/>
        </w:rPr>
        <w:t>k</w:t>
      </w:r>
      <w:r w:rsidR="0017721D">
        <w:rPr>
          <w:rFonts w:ascii="Arial" w:hAnsi="Arial" w:cs="Arial"/>
          <w:sz w:val="22"/>
          <w:szCs w:val="22"/>
        </w:rPr>
        <w:t> </w:t>
      </w:r>
      <w:r w:rsidRPr="00215AD6">
        <w:rPr>
          <w:rFonts w:ascii="Arial" w:hAnsi="Arial" w:cs="Arial"/>
          <w:sz w:val="22"/>
          <w:szCs w:val="22"/>
        </w:rPr>
        <w:t>nemovitostem a vytvořen povodňový park. Projekt je schválen k financování.</w:t>
      </w:r>
    </w:p>
    <w:p w14:paraId="3DBF4145" w14:textId="16D47B63" w:rsidR="00173FF7" w:rsidRPr="00215AD6" w:rsidRDefault="00173FF7" w:rsidP="00F85762">
      <w:pPr>
        <w:jc w:val="both"/>
        <w:rPr>
          <w:rFonts w:ascii="Arial" w:hAnsi="Arial" w:cs="Arial"/>
          <w:sz w:val="22"/>
          <w:szCs w:val="22"/>
        </w:rPr>
      </w:pPr>
      <w:r w:rsidRPr="00215AD6">
        <w:rPr>
          <w:rFonts w:ascii="Arial" w:hAnsi="Arial" w:cs="Arial"/>
          <w:b/>
          <w:sz w:val="22"/>
          <w:szCs w:val="22"/>
        </w:rPr>
        <w:t>„Podpora preventivního protipovodňového systému DSO Baťův kanál“</w:t>
      </w:r>
      <w:r w:rsidRPr="00215AD6">
        <w:rPr>
          <w:rFonts w:ascii="Arial" w:hAnsi="Arial" w:cs="Arial"/>
          <w:sz w:val="22"/>
          <w:szCs w:val="22"/>
        </w:rPr>
        <w:t xml:space="preserve"> –</w:t>
      </w:r>
      <w:r w:rsidRPr="00215AD6">
        <w:rPr>
          <w:rFonts w:ascii="Arial" w:hAnsi="Arial" w:cs="Arial"/>
          <w:b/>
          <w:sz w:val="22"/>
          <w:szCs w:val="22"/>
        </w:rPr>
        <w:t xml:space="preserve"> </w:t>
      </w:r>
      <w:r w:rsidRPr="00215AD6">
        <w:rPr>
          <w:rFonts w:ascii="Arial" w:hAnsi="Arial" w:cs="Arial"/>
          <w:sz w:val="22"/>
          <w:szCs w:val="22"/>
        </w:rPr>
        <w:t xml:space="preserve">příjemcem dotace je </w:t>
      </w:r>
      <w:r w:rsidRPr="00F85762">
        <w:rPr>
          <w:rFonts w:ascii="Arial" w:hAnsi="Arial" w:cs="Arial"/>
          <w:bCs/>
          <w:sz w:val="22"/>
          <w:szCs w:val="22"/>
        </w:rPr>
        <w:t>D</w:t>
      </w:r>
      <w:r w:rsidRPr="00215AD6">
        <w:rPr>
          <w:rFonts w:ascii="Arial" w:hAnsi="Arial" w:cs="Arial"/>
          <w:sz w:val="22"/>
          <w:szCs w:val="22"/>
        </w:rPr>
        <w:t xml:space="preserve">obrovolný svazek obcí OBCE PRO BAŤŮV KANÁL, dotace z evropských prostředků činí 18,4 mil. Kč. Předmětem podpory je zpracování digitálních povodňových plánů a pořízení lokálního výstražného a varovného systému ochrany před povodněmi pro Dobrovolný svazek obcí </w:t>
      </w:r>
      <w:r w:rsidR="0017721D">
        <w:rPr>
          <w:rFonts w:ascii="Arial" w:hAnsi="Arial" w:cs="Arial"/>
          <w:sz w:val="22"/>
          <w:szCs w:val="22"/>
        </w:rPr>
        <w:t xml:space="preserve">Obce pro </w:t>
      </w:r>
      <w:r w:rsidRPr="00215AD6">
        <w:rPr>
          <w:rFonts w:ascii="Arial" w:hAnsi="Arial" w:cs="Arial"/>
          <w:sz w:val="22"/>
          <w:szCs w:val="22"/>
        </w:rPr>
        <w:t xml:space="preserve">Baťův kanál. </w:t>
      </w:r>
      <w:r w:rsidRPr="00F27F6B">
        <w:rPr>
          <w:rFonts w:ascii="Arial" w:hAnsi="Arial" w:cs="Arial"/>
          <w:sz w:val="22"/>
          <w:szCs w:val="22"/>
        </w:rPr>
        <w:t xml:space="preserve">Projekt </w:t>
      </w:r>
      <w:r w:rsidR="00F27F6B">
        <w:rPr>
          <w:rFonts w:ascii="Arial" w:hAnsi="Arial" w:cs="Arial"/>
          <w:sz w:val="22"/>
          <w:szCs w:val="22"/>
        </w:rPr>
        <w:t>byl</w:t>
      </w:r>
      <w:r w:rsidRPr="00F27F6B">
        <w:rPr>
          <w:rFonts w:ascii="Arial" w:hAnsi="Arial" w:cs="Arial"/>
          <w:sz w:val="22"/>
          <w:szCs w:val="22"/>
        </w:rPr>
        <w:t xml:space="preserve"> </w:t>
      </w:r>
      <w:r w:rsidR="004C70D7">
        <w:rPr>
          <w:rFonts w:ascii="Arial" w:hAnsi="Arial" w:cs="Arial"/>
          <w:sz w:val="22"/>
          <w:szCs w:val="22"/>
        </w:rPr>
        <w:t>dokončen</w:t>
      </w:r>
      <w:r w:rsidRPr="00215AD6">
        <w:rPr>
          <w:rFonts w:ascii="Arial" w:hAnsi="Arial" w:cs="Arial"/>
          <w:sz w:val="22"/>
          <w:szCs w:val="22"/>
        </w:rPr>
        <w:t>.</w:t>
      </w:r>
    </w:p>
    <w:p w14:paraId="6D37B733" w14:textId="1FF57B0B" w:rsidR="00F85762" w:rsidRDefault="00F85762" w:rsidP="00F8576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D7C1624" w14:textId="42597B29" w:rsidR="00173FF7" w:rsidRPr="00215AD6" w:rsidRDefault="00173FF7" w:rsidP="00F85762">
      <w:pPr>
        <w:jc w:val="both"/>
        <w:rPr>
          <w:rFonts w:ascii="Arial" w:hAnsi="Arial" w:cs="Arial"/>
          <w:sz w:val="22"/>
          <w:szCs w:val="22"/>
        </w:rPr>
      </w:pPr>
      <w:r w:rsidRPr="00215AD6">
        <w:rPr>
          <w:rFonts w:ascii="Arial" w:hAnsi="Arial" w:cs="Arial"/>
          <w:b/>
          <w:bCs/>
          <w:sz w:val="22"/>
          <w:szCs w:val="22"/>
        </w:rPr>
        <w:t>„</w:t>
      </w:r>
      <w:r w:rsidRPr="00215AD6">
        <w:rPr>
          <w:rFonts w:ascii="Arial" w:hAnsi="Arial" w:cs="Arial"/>
          <w:b/>
          <w:bCs/>
          <w:color w:val="1C1D1C"/>
          <w:sz w:val="22"/>
          <w:szCs w:val="22"/>
        </w:rPr>
        <w:t>Zpracování parametrů zvláštní povodně pro vodní díla v Plzeňském kraji“</w:t>
      </w:r>
      <w:r w:rsidRPr="00215AD6">
        <w:rPr>
          <w:rFonts w:ascii="Arial" w:hAnsi="Arial" w:cs="Arial"/>
          <w:b/>
          <w:sz w:val="22"/>
          <w:szCs w:val="22"/>
        </w:rPr>
        <w:t xml:space="preserve"> </w:t>
      </w:r>
      <w:r w:rsidRPr="00215AD6">
        <w:rPr>
          <w:rFonts w:ascii="Arial" w:hAnsi="Arial" w:cs="Arial"/>
          <w:sz w:val="22"/>
          <w:szCs w:val="22"/>
        </w:rPr>
        <w:t>–</w:t>
      </w:r>
      <w:r w:rsidRPr="00215AD6">
        <w:rPr>
          <w:rFonts w:ascii="Arial" w:hAnsi="Arial" w:cs="Arial"/>
          <w:b/>
          <w:sz w:val="22"/>
          <w:szCs w:val="22"/>
        </w:rPr>
        <w:t xml:space="preserve"> </w:t>
      </w:r>
      <w:r w:rsidRPr="00215AD6">
        <w:rPr>
          <w:rFonts w:ascii="Arial" w:hAnsi="Arial" w:cs="Arial"/>
          <w:color w:val="1C1D1C"/>
          <w:sz w:val="22"/>
          <w:szCs w:val="22"/>
        </w:rPr>
        <w:t xml:space="preserve">příjemcem dotace je Plzeňský kraj, dotace z evropských prostředků činí 4,2 mil. Kč. Předmětem podpory je pořízení parametrů zvláštních povodní a stanovení rozsahu ohroženého území pod vodním dílem, kde tyto údaje nejsou ještě stanoveny. </w:t>
      </w:r>
      <w:r w:rsidR="004A6D7C">
        <w:rPr>
          <w:rFonts w:ascii="Arial" w:hAnsi="Arial" w:cs="Arial"/>
          <w:color w:val="1C1D1C"/>
          <w:sz w:val="22"/>
          <w:szCs w:val="22"/>
        </w:rPr>
        <w:t>Byla dokončena</w:t>
      </w:r>
      <w:r w:rsidR="004C70D7">
        <w:rPr>
          <w:rFonts w:ascii="Arial" w:hAnsi="Arial" w:cs="Arial"/>
          <w:color w:val="1C1D1C"/>
          <w:sz w:val="22"/>
          <w:szCs w:val="22"/>
        </w:rPr>
        <w:t xml:space="preserve"> realizace projektu</w:t>
      </w:r>
      <w:r w:rsidRPr="00215AD6">
        <w:rPr>
          <w:rFonts w:ascii="Arial" w:hAnsi="Arial" w:cs="Arial"/>
          <w:color w:val="1C1D1C"/>
          <w:sz w:val="22"/>
          <w:szCs w:val="22"/>
        </w:rPr>
        <w:t>.</w:t>
      </w:r>
    </w:p>
    <w:p w14:paraId="6C6A2B3B" w14:textId="77777777" w:rsidR="00F85762" w:rsidRDefault="00F85762" w:rsidP="00F85762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40097390" w14:textId="63C92F0D" w:rsidR="00173FF7" w:rsidRPr="00994987" w:rsidRDefault="00173FF7" w:rsidP="00F85762">
      <w:pPr>
        <w:jc w:val="both"/>
        <w:rPr>
          <w:rFonts w:ascii="Arial" w:hAnsi="Arial" w:cs="Arial"/>
          <w:i/>
          <w:sz w:val="22"/>
          <w:szCs w:val="22"/>
        </w:rPr>
      </w:pPr>
      <w:r w:rsidRPr="00994987">
        <w:rPr>
          <w:rFonts w:ascii="Arial" w:hAnsi="Arial" w:cs="Arial"/>
          <w:b/>
          <w:i/>
          <w:sz w:val="22"/>
          <w:szCs w:val="22"/>
        </w:rPr>
        <w:t>Prioritní osa 4:</w:t>
      </w:r>
      <w:r w:rsidRPr="00994987">
        <w:rPr>
          <w:rFonts w:ascii="Arial" w:hAnsi="Arial" w:cs="Arial"/>
          <w:i/>
          <w:sz w:val="22"/>
          <w:szCs w:val="22"/>
        </w:rPr>
        <w:t xml:space="preserve"> </w:t>
      </w:r>
      <w:r w:rsidR="00C17291">
        <w:rPr>
          <w:rFonts w:ascii="Arial" w:hAnsi="Arial" w:cs="Arial"/>
          <w:i/>
          <w:sz w:val="22"/>
          <w:szCs w:val="22"/>
        </w:rPr>
        <w:t>„</w:t>
      </w:r>
      <w:r w:rsidRPr="00994987">
        <w:rPr>
          <w:rFonts w:ascii="Arial" w:hAnsi="Arial" w:cs="Arial"/>
          <w:b/>
          <w:i/>
          <w:sz w:val="22"/>
          <w:szCs w:val="22"/>
        </w:rPr>
        <w:t>Ochrana a péče o přírodu a krajinu</w:t>
      </w:r>
      <w:r w:rsidR="00C17291">
        <w:rPr>
          <w:rFonts w:ascii="Arial" w:hAnsi="Arial" w:cs="Arial"/>
          <w:b/>
          <w:i/>
          <w:sz w:val="22"/>
          <w:szCs w:val="22"/>
        </w:rPr>
        <w:t>“</w:t>
      </w:r>
      <w:r w:rsidRPr="00994987">
        <w:rPr>
          <w:rFonts w:ascii="Arial" w:hAnsi="Arial" w:cs="Arial"/>
          <w:i/>
          <w:sz w:val="22"/>
          <w:szCs w:val="22"/>
        </w:rPr>
        <w:t xml:space="preserve"> </w:t>
      </w:r>
    </w:p>
    <w:p w14:paraId="45A34257" w14:textId="77777777" w:rsidR="00F85762" w:rsidRDefault="00F85762" w:rsidP="00F85762">
      <w:pPr>
        <w:jc w:val="both"/>
        <w:rPr>
          <w:rFonts w:ascii="Arial" w:hAnsi="Arial" w:cs="Arial"/>
          <w:sz w:val="22"/>
          <w:szCs w:val="22"/>
        </w:rPr>
      </w:pPr>
    </w:p>
    <w:p w14:paraId="2334D415" w14:textId="6E53BD15" w:rsidR="00173FF7" w:rsidRDefault="00173FF7" w:rsidP="00F85762">
      <w:pPr>
        <w:jc w:val="both"/>
        <w:rPr>
          <w:rFonts w:ascii="Arial" w:hAnsi="Arial" w:cs="Arial"/>
          <w:sz w:val="22"/>
          <w:szCs w:val="22"/>
        </w:rPr>
      </w:pPr>
      <w:r w:rsidRPr="00E5470B">
        <w:rPr>
          <w:rFonts w:ascii="Arial" w:hAnsi="Arial" w:cs="Arial"/>
          <w:sz w:val="22"/>
          <w:szCs w:val="22"/>
        </w:rPr>
        <w:t xml:space="preserve">Opatření v rámci Prioritní osy 4: </w:t>
      </w:r>
      <w:r w:rsidR="00220683">
        <w:rPr>
          <w:rFonts w:ascii="Arial" w:hAnsi="Arial" w:cs="Arial"/>
          <w:sz w:val="22"/>
          <w:szCs w:val="22"/>
        </w:rPr>
        <w:t>„</w:t>
      </w:r>
      <w:r w:rsidRPr="00E5470B">
        <w:rPr>
          <w:rFonts w:ascii="Arial" w:hAnsi="Arial" w:cs="Arial"/>
          <w:sz w:val="22"/>
          <w:szCs w:val="22"/>
        </w:rPr>
        <w:t>Ochrana a péče o přírodu a krajinu</w:t>
      </w:r>
      <w:r w:rsidR="00220683">
        <w:rPr>
          <w:rFonts w:ascii="Arial" w:hAnsi="Arial" w:cs="Arial"/>
          <w:sz w:val="22"/>
          <w:szCs w:val="22"/>
        </w:rPr>
        <w:t>“</w:t>
      </w:r>
      <w:r w:rsidRPr="00E5470B">
        <w:rPr>
          <w:rFonts w:ascii="Arial" w:hAnsi="Arial" w:cs="Arial"/>
          <w:sz w:val="22"/>
          <w:szCs w:val="22"/>
        </w:rPr>
        <w:t xml:space="preserve">, specifického cíle 4.3: </w:t>
      </w:r>
      <w:r w:rsidR="00220683">
        <w:rPr>
          <w:rFonts w:ascii="Arial" w:hAnsi="Arial" w:cs="Arial"/>
          <w:sz w:val="22"/>
          <w:szCs w:val="22"/>
        </w:rPr>
        <w:t>„</w:t>
      </w:r>
      <w:r w:rsidRPr="00E5470B">
        <w:rPr>
          <w:rFonts w:ascii="Arial" w:hAnsi="Arial" w:cs="Arial"/>
          <w:sz w:val="22"/>
          <w:szCs w:val="22"/>
        </w:rPr>
        <w:t>Posílit přirozené funkce krajiny</w:t>
      </w:r>
      <w:r w:rsidR="00220683">
        <w:rPr>
          <w:rFonts w:ascii="Arial" w:hAnsi="Arial" w:cs="Arial"/>
          <w:sz w:val="22"/>
          <w:szCs w:val="22"/>
        </w:rPr>
        <w:t>“</w:t>
      </w:r>
      <w:r w:rsidRPr="00E5470B">
        <w:rPr>
          <w:rFonts w:ascii="Arial" w:hAnsi="Arial" w:cs="Arial"/>
          <w:sz w:val="22"/>
          <w:szCs w:val="22"/>
        </w:rPr>
        <w:t xml:space="preserve"> jsou zaměřena na zvýšení ekologické stability krajiny, zvýšení prostupnosti krajiny, obnovu cenných biotopů a ekosystémových funkcí a obnovení vodního režimu krajiny. Část opatření má pozitivní dopad na prevenci před povodněmi. Pro specifický cíl 4.3 činí alokace 224 mil. EUR.</w:t>
      </w:r>
    </w:p>
    <w:p w14:paraId="3CB8E041" w14:textId="77777777" w:rsidR="00F85762" w:rsidRDefault="00F85762" w:rsidP="00F85762">
      <w:pPr>
        <w:jc w:val="both"/>
        <w:rPr>
          <w:rFonts w:ascii="Arial" w:hAnsi="Arial" w:cs="Arial"/>
          <w:sz w:val="22"/>
          <w:szCs w:val="22"/>
        </w:rPr>
      </w:pPr>
    </w:p>
    <w:p w14:paraId="637A043D" w14:textId="6D23A592" w:rsidR="00173FF7" w:rsidRPr="008B1AE3" w:rsidRDefault="00173FF7" w:rsidP="008B1AE3">
      <w:pPr>
        <w:jc w:val="both"/>
        <w:rPr>
          <w:rFonts w:ascii="Arial" w:hAnsi="Arial" w:cs="Arial"/>
          <w:sz w:val="22"/>
          <w:szCs w:val="22"/>
        </w:rPr>
      </w:pPr>
      <w:r w:rsidRPr="004A0521">
        <w:rPr>
          <w:rFonts w:ascii="Arial" w:hAnsi="Arial" w:cs="Arial"/>
          <w:sz w:val="22"/>
          <w:szCs w:val="22"/>
        </w:rPr>
        <w:t xml:space="preserve">Specifický cíl 4.3: </w:t>
      </w:r>
      <w:r w:rsidR="00220683">
        <w:rPr>
          <w:rFonts w:ascii="Arial" w:hAnsi="Arial" w:cs="Arial"/>
          <w:sz w:val="22"/>
          <w:szCs w:val="22"/>
        </w:rPr>
        <w:t>„</w:t>
      </w:r>
      <w:r w:rsidRPr="004A0521">
        <w:rPr>
          <w:rFonts w:ascii="Arial" w:hAnsi="Arial" w:cs="Arial"/>
          <w:sz w:val="22"/>
          <w:szCs w:val="22"/>
        </w:rPr>
        <w:t>Posílit přirozené funkce krajiny</w:t>
      </w:r>
      <w:r w:rsidR="00220683">
        <w:rPr>
          <w:rFonts w:ascii="Arial" w:hAnsi="Arial" w:cs="Arial"/>
          <w:sz w:val="22"/>
          <w:szCs w:val="22"/>
        </w:rPr>
        <w:t>“</w:t>
      </w:r>
      <w:r w:rsidRPr="004A0521">
        <w:rPr>
          <w:rFonts w:ascii="Arial" w:hAnsi="Arial" w:cs="Arial"/>
          <w:sz w:val="22"/>
          <w:szCs w:val="22"/>
        </w:rPr>
        <w:t xml:space="preserve"> zahrnuje </w:t>
      </w:r>
      <w:r w:rsidR="00220683">
        <w:rPr>
          <w:rFonts w:ascii="Arial" w:hAnsi="Arial" w:cs="Arial"/>
          <w:sz w:val="22"/>
          <w:szCs w:val="22"/>
        </w:rPr>
        <w:t>pět</w:t>
      </w:r>
      <w:r w:rsidR="00220683" w:rsidRPr="004A0521">
        <w:rPr>
          <w:rFonts w:ascii="Arial" w:hAnsi="Arial" w:cs="Arial"/>
          <w:sz w:val="22"/>
          <w:szCs w:val="22"/>
        </w:rPr>
        <w:t xml:space="preserve"> </w:t>
      </w:r>
      <w:r w:rsidRPr="004A0521">
        <w:rPr>
          <w:rFonts w:ascii="Arial" w:hAnsi="Arial" w:cs="Arial"/>
          <w:sz w:val="22"/>
          <w:szCs w:val="22"/>
        </w:rPr>
        <w:t xml:space="preserve">aktivit, relevantní pro protipovodňová opatření jsou </w:t>
      </w:r>
      <w:r w:rsidR="00220683">
        <w:rPr>
          <w:rFonts w:ascii="Arial" w:hAnsi="Arial" w:cs="Arial"/>
          <w:sz w:val="22"/>
          <w:szCs w:val="22"/>
        </w:rPr>
        <w:t xml:space="preserve">následující </w:t>
      </w:r>
      <w:r w:rsidRPr="004A0521">
        <w:rPr>
          <w:rFonts w:ascii="Arial" w:hAnsi="Arial" w:cs="Arial"/>
          <w:sz w:val="22"/>
          <w:szCs w:val="22"/>
        </w:rPr>
        <w:t>aktivity:</w:t>
      </w: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80"/>
      </w:tblGrid>
      <w:tr w:rsidR="008B1AE3" w14:paraId="4B8BF6EA" w14:textId="77777777" w:rsidTr="00437328">
        <w:tc>
          <w:tcPr>
            <w:tcW w:w="1985" w:type="dxa"/>
          </w:tcPr>
          <w:p w14:paraId="34A01671" w14:textId="5374EDA9" w:rsidR="008B1AE3" w:rsidRPr="0041763C" w:rsidRDefault="008B1AE3" w:rsidP="008B1AE3">
            <w:pPr>
              <w:numPr>
                <w:ilvl w:val="0"/>
                <w:numId w:val="24"/>
              </w:numPr>
              <w:tabs>
                <w:tab w:val="clear" w:pos="1332"/>
                <w:tab w:val="num" w:pos="2410"/>
              </w:tabs>
              <w:ind w:left="309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5AD6">
              <w:rPr>
                <w:rFonts w:ascii="Arial" w:hAnsi="Arial" w:cs="Arial"/>
                <w:sz w:val="22"/>
                <w:szCs w:val="22"/>
              </w:rPr>
              <w:t>Aktivita</w:t>
            </w:r>
            <w:r>
              <w:rPr>
                <w:rFonts w:ascii="Arial" w:hAnsi="Arial" w:cs="Arial"/>
                <w:sz w:val="22"/>
                <w:szCs w:val="22"/>
              </w:rPr>
              <w:t xml:space="preserve"> 4</w:t>
            </w:r>
            <w:r w:rsidRPr="00215AD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3.2</w:t>
            </w:r>
            <w:r w:rsidRPr="00215AD6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7080" w:type="dxa"/>
          </w:tcPr>
          <w:p w14:paraId="7C89BFB1" w14:textId="338FA04F" w:rsidR="008B1AE3" w:rsidRDefault="008B1AE3" w:rsidP="004373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0521">
              <w:rPr>
                <w:rFonts w:ascii="Arial" w:hAnsi="Arial" w:cs="Arial"/>
                <w:sz w:val="22"/>
                <w:szCs w:val="22"/>
              </w:rPr>
              <w:t>Vytváření, regenerace či posílení funkčnosti krajinných prvků a struktur</w:t>
            </w:r>
          </w:p>
        </w:tc>
      </w:tr>
      <w:tr w:rsidR="008B1AE3" w14:paraId="4A917B32" w14:textId="77777777" w:rsidTr="00437328">
        <w:tc>
          <w:tcPr>
            <w:tcW w:w="1985" w:type="dxa"/>
          </w:tcPr>
          <w:p w14:paraId="538C5489" w14:textId="53F5C6EB" w:rsidR="008B1AE3" w:rsidRDefault="008B1AE3" w:rsidP="008B1AE3">
            <w:pPr>
              <w:numPr>
                <w:ilvl w:val="0"/>
                <w:numId w:val="24"/>
              </w:numPr>
              <w:tabs>
                <w:tab w:val="num" w:pos="851"/>
              </w:tabs>
              <w:ind w:left="309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5AD6">
              <w:rPr>
                <w:rFonts w:ascii="Arial" w:hAnsi="Arial" w:cs="Arial"/>
                <w:sz w:val="22"/>
                <w:szCs w:val="22"/>
              </w:rPr>
              <w:t xml:space="preserve">Aktivita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215AD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3.3</w:t>
            </w:r>
            <w:r w:rsidRPr="00215AD6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7080" w:type="dxa"/>
          </w:tcPr>
          <w:p w14:paraId="4993EA54" w14:textId="064B4BF5" w:rsidR="008B1AE3" w:rsidRDefault="008B1AE3" w:rsidP="004373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0521">
              <w:rPr>
                <w:rFonts w:ascii="Arial" w:hAnsi="Arial" w:cs="Arial"/>
                <w:sz w:val="22"/>
                <w:szCs w:val="22"/>
              </w:rPr>
              <w:t xml:space="preserve">Revitalizace a podpora samovolné </w:t>
            </w:r>
            <w:proofErr w:type="spellStart"/>
            <w:r w:rsidRPr="004A0521">
              <w:rPr>
                <w:rFonts w:ascii="Arial" w:hAnsi="Arial" w:cs="Arial"/>
                <w:sz w:val="22"/>
                <w:szCs w:val="22"/>
              </w:rPr>
              <w:t>renaturace</w:t>
            </w:r>
            <w:proofErr w:type="spellEnd"/>
            <w:r w:rsidRPr="004A0521">
              <w:rPr>
                <w:rFonts w:ascii="Arial" w:hAnsi="Arial" w:cs="Arial"/>
                <w:sz w:val="22"/>
                <w:szCs w:val="22"/>
              </w:rPr>
              <w:t xml:space="preserve"> vodních toků a niv, obnova ekostabilizačních funkcí vodních a na vodu vázaných ekosystémů</w:t>
            </w:r>
          </w:p>
        </w:tc>
      </w:tr>
      <w:tr w:rsidR="008B1AE3" w14:paraId="7689874D" w14:textId="77777777" w:rsidTr="00437328">
        <w:tc>
          <w:tcPr>
            <w:tcW w:w="1985" w:type="dxa"/>
          </w:tcPr>
          <w:p w14:paraId="4A300F78" w14:textId="5A2E45E0" w:rsidR="008B1AE3" w:rsidRDefault="008B1AE3" w:rsidP="008B1AE3">
            <w:pPr>
              <w:numPr>
                <w:ilvl w:val="0"/>
                <w:numId w:val="24"/>
              </w:numPr>
              <w:tabs>
                <w:tab w:val="num" w:pos="851"/>
              </w:tabs>
              <w:ind w:left="309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Aktivita 4</w:t>
            </w:r>
            <w:r w:rsidRPr="00215AD6">
              <w:rPr>
                <w:rFonts w:ascii="Arial" w:hAnsi="Arial" w:cs="Arial"/>
                <w:sz w:val="22"/>
                <w:szCs w:val="22"/>
              </w:rPr>
              <w:t>.3:</w:t>
            </w:r>
            <w:r>
              <w:rPr>
                <w:rFonts w:ascii="Arial" w:hAnsi="Arial" w:cs="Arial"/>
                <w:sz w:val="22"/>
                <w:szCs w:val="22"/>
              </w:rPr>
              <w:t>5.</w:t>
            </w:r>
            <w:r w:rsidRPr="00215AD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80" w:type="dxa"/>
          </w:tcPr>
          <w:p w14:paraId="30CE546C" w14:textId="055E7DB5" w:rsidR="008B1AE3" w:rsidRPr="00BF451B" w:rsidRDefault="008B1AE3" w:rsidP="004373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0521">
              <w:rPr>
                <w:rFonts w:ascii="Arial" w:hAnsi="Arial" w:cs="Arial"/>
                <w:sz w:val="22"/>
                <w:szCs w:val="22"/>
              </w:rPr>
              <w:t>Realizace přírodě blízkých opatření vyplývajících z komplexních studií cílených na zpomalení povrchového odtoku vody, protierozní ochranu a adaptaci na změnu klimatu</w:t>
            </w:r>
          </w:p>
        </w:tc>
      </w:tr>
    </w:tbl>
    <w:p w14:paraId="5B017525" w14:textId="77777777" w:rsidR="00173FF7" w:rsidRPr="004A0521" w:rsidRDefault="00173FF7" w:rsidP="00F85762">
      <w:pPr>
        <w:jc w:val="both"/>
        <w:rPr>
          <w:rFonts w:ascii="Arial" w:hAnsi="Arial" w:cs="Arial"/>
          <w:sz w:val="22"/>
          <w:szCs w:val="22"/>
        </w:rPr>
      </w:pPr>
    </w:p>
    <w:p w14:paraId="61F7F63D" w14:textId="77777777" w:rsidR="00173FF7" w:rsidRPr="004A0521" w:rsidRDefault="00173FF7" w:rsidP="00F85762">
      <w:pPr>
        <w:jc w:val="both"/>
        <w:rPr>
          <w:rFonts w:ascii="Arial" w:hAnsi="Arial" w:cs="Arial"/>
          <w:sz w:val="22"/>
          <w:szCs w:val="22"/>
        </w:rPr>
      </w:pPr>
      <w:r w:rsidRPr="004A0521">
        <w:rPr>
          <w:rFonts w:ascii="Arial" w:hAnsi="Arial" w:cs="Arial"/>
          <w:sz w:val="22"/>
          <w:szCs w:val="22"/>
        </w:rPr>
        <w:t>V rámci aktivity 4.3.2 jsou podporovány v souvislosti se snížením ohrožení povodněmi např. liniové a skupinové výsadby dřevin či vytváření a obnova vodních prvků s ekostabilizační funkcí.</w:t>
      </w:r>
    </w:p>
    <w:p w14:paraId="00AE6E49" w14:textId="77777777" w:rsidR="00F85762" w:rsidRDefault="00F85762" w:rsidP="00F85762">
      <w:pPr>
        <w:jc w:val="both"/>
        <w:rPr>
          <w:rFonts w:ascii="Arial" w:hAnsi="Arial" w:cs="Arial"/>
          <w:sz w:val="22"/>
          <w:szCs w:val="22"/>
        </w:rPr>
      </w:pPr>
    </w:p>
    <w:p w14:paraId="3EC99E1E" w14:textId="77777777" w:rsidR="00173FF7" w:rsidRPr="004A0521" w:rsidRDefault="00173FF7" w:rsidP="00F85762">
      <w:pPr>
        <w:jc w:val="both"/>
        <w:rPr>
          <w:rFonts w:ascii="Arial" w:hAnsi="Arial" w:cs="Arial"/>
          <w:sz w:val="22"/>
          <w:szCs w:val="22"/>
        </w:rPr>
      </w:pPr>
      <w:r w:rsidRPr="004A0521">
        <w:rPr>
          <w:rFonts w:ascii="Arial" w:hAnsi="Arial" w:cs="Arial"/>
          <w:sz w:val="22"/>
          <w:szCs w:val="22"/>
        </w:rPr>
        <w:t xml:space="preserve">V rámci aktivity 4.3.3 jsou podporovány projekty zaměřené na vytváření a obnovu přírodě blízkých koryt vodních toků zahrnující eventuální odstranění dřívějších nevhodných úprav (opevnění dna a břehů, </w:t>
      </w:r>
      <w:proofErr w:type="spellStart"/>
      <w:r w:rsidRPr="004A0521">
        <w:rPr>
          <w:rFonts w:ascii="Arial" w:hAnsi="Arial" w:cs="Arial"/>
          <w:sz w:val="22"/>
          <w:szCs w:val="22"/>
        </w:rPr>
        <w:t>ohrázování</w:t>
      </w:r>
      <w:proofErr w:type="spellEnd"/>
      <w:r w:rsidRPr="004A0521">
        <w:rPr>
          <w:rFonts w:ascii="Arial" w:hAnsi="Arial" w:cs="Arial"/>
          <w:sz w:val="22"/>
          <w:szCs w:val="22"/>
        </w:rPr>
        <w:t xml:space="preserve">, příčných překážek), obnova říčních ramen v nivě vodního toku, podpůrná opatření na vodním toku a v nivě umožňující přirozené </w:t>
      </w:r>
      <w:proofErr w:type="spellStart"/>
      <w:r w:rsidRPr="004A0521">
        <w:rPr>
          <w:rFonts w:ascii="Arial" w:hAnsi="Arial" w:cs="Arial"/>
          <w:sz w:val="22"/>
          <w:szCs w:val="22"/>
        </w:rPr>
        <w:t>korytotvorné</w:t>
      </w:r>
      <w:proofErr w:type="spellEnd"/>
      <w:r w:rsidRPr="004A0521">
        <w:rPr>
          <w:rFonts w:ascii="Arial" w:hAnsi="Arial" w:cs="Arial"/>
          <w:sz w:val="22"/>
          <w:szCs w:val="22"/>
        </w:rPr>
        <w:t xml:space="preserve"> procesy.</w:t>
      </w:r>
    </w:p>
    <w:p w14:paraId="57C3B632" w14:textId="77777777" w:rsidR="00F85762" w:rsidRDefault="00F85762" w:rsidP="00F85762">
      <w:pPr>
        <w:jc w:val="both"/>
        <w:rPr>
          <w:rFonts w:ascii="Arial" w:hAnsi="Arial" w:cs="Arial"/>
          <w:sz w:val="22"/>
          <w:szCs w:val="22"/>
        </w:rPr>
      </w:pPr>
    </w:p>
    <w:p w14:paraId="0A31848B" w14:textId="77777777" w:rsidR="00173FF7" w:rsidRPr="004A0521" w:rsidRDefault="00173FF7" w:rsidP="00F85762">
      <w:pPr>
        <w:jc w:val="both"/>
        <w:rPr>
          <w:rFonts w:ascii="Arial" w:hAnsi="Arial" w:cs="Arial"/>
          <w:sz w:val="22"/>
          <w:szCs w:val="22"/>
        </w:rPr>
      </w:pPr>
      <w:r w:rsidRPr="004A0521">
        <w:rPr>
          <w:rFonts w:ascii="Arial" w:hAnsi="Arial" w:cs="Arial"/>
          <w:sz w:val="22"/>
          <w:szCs w:val="22"/>
        </w:rPr>
        <w:t xml:space="preserve">V rámci aktivity 4.3.5 jsou podporována opatření zamezující vodní erozi – např. užití travních pásů, </w:t>
      </w:r>
      <w:proofErr w:type="spellStart"/>
      <w:r w:rsidRPr="004A0521">
        <w:rPr>
          <w:rFonts w:ascii="Arial" w:hAnsi="Arial" w:cs="Arial"/>
          <w:sz w:val="22"/>
          <w:szCs w:val="22"/>
        </w:rPr>
        <w:t>průlehů</w:t>
      </w:r>
      <w:proofErr w:type="spellEnd"/>
      <w:r w:rsidRPr="004A0521">
        <w:rPr>
          <w:rFonts w:ascii="Arial" w:hAnsi="Arial" w:cs="Arial"/>
          <w:sz w:val="22"/>
          <w:szCs w:val="22"/>
        </w:rPr>
        <w:t>, teras, obnova či zakládání remízů, mezí atd.</w:t>
      </w:r>
    </w:p>
    <w:p w14:paraId="28B67CF3" w14:textId="77777777" w:rsidR="00F85762" w:rsidRDefault="00F85762" w:rsidP="00F85762">
      <w:pPr>
        <w:jc w:val="both"/>
        <w:rPr>
          <w:rFonts w:ascii="Arial" w:hAnsi="Arial" w:cs="Arial"/>
          <w:sz w:val="22"/>
          <w:szCs w:val="22"/>
        </w:rPr>
      </w:pPr>
    </w:p>
    <w:p w14:paraId="7BE42F72" w14:textId="77777777" w:rsidR="00173FF7" w:rsidRPr="004A0521" w:rsidRDefault="00173FF7" w:rsidP="00F85762">
      <w:pPr>
        <w:jc w:val="both"/>
        <w:rPr>
          <w:rFonts w:ascii="Arial" w:hAnsi="Arial" w:cs="Arial"/>
          <w:sz w:val="22"/>
          <w:szCs w:val="22"/>
        </w:rPr>
      </w:pPr>
      <w:r w:rsidRPr="004A0521">
        <w:rPr>
          <w:rFonts w:ascii="Arial" w:hAnsi="Arial" w:cs="Arial"/>
          <w:sz w:val="22"/>
          <w:szCs w:val="22"/>
        </w:rPr>
        <w:t>Mezi oprávněné žadatele (příjemce podpory) jsou pro specifický cíl 4.3 zařazeny např. kraje, obce, podnikatelské subjekty. Kompletní výčet oprávněných žadatelů je uveden v rámci Pravidel pro žadatele a příjemce podpory v OPŽP 2014</w:t>
      </w:r>
      <w:r w:rsidRPr="00811E3D">
        <w:rPr>
          <w:rFonts w:ascii="Arial" w:hAnsi="Arial" w:cs="Arial"/>
          <w:sz w:val="22"/>
          <w:szCs w:val="22"/>
        </w:rPr>
        <w:t>–</w:t>
      </w:r>
      <w:r w:rsidRPr="004A0521">
        <w:rPr>
          <w:rFonts w:ascii="Arial" w:hAnsi="Arial" w:cs="Arial"/>
          <w:sz w:val="22"/>
          <w:szCs w:val="22"/>
        </w:rPr>
        <w:t xml:space="preserve">2020. </w:t>
      </w:r>
    </w:p>
    <w:p w14:paraId="7BFD18F4" w14:textId="77777777" w:rsidR="00F85762" w:rsidRDefault="00F85762" w:rsidP="00F85762">
      <w:pPr>
        <w:jc w:val="both"/>
        <w:rPr>
          <w:rFonts w:ascii="Arial" w:hAnsi="Arial" w:cs="Arial"/>
          <w:sz w:val="22"/>
          <w:szCs w:val="22"/>
        </w:rPr>
      </w:pPr>
    </w:p>
    <w:p w14:paraId="37B34240" w14:textId="77777777" w:rsidR="00173FF7" w:rsidRPr="00E948D2" w:rsidRDefault="00173FF7" w:rsidP="00F85762">
      <w:pPr>
        <w:jc w:val="both"/>
        <w:rPr>
          <w:rFonts w:ascii="Arial" w:hAnsi="Arial" w:cs="Arial"/>
          <w:sz w:val="22"/>
          <w:szCs w:val="22"/>
        </w:rPr>
      </w:pPr>
      <w:r w:rsidRPr="004A0521">
        <w:rPr>
          <w:rFonts w:ascii="Arial" w:hAnsi="Arial" w:cs="Arial"/>
          <w:sz w:val="22"/>
          <w:szCs w:val="22"/>
        </w:rPr>
        <w:t>Podpora v rámci specifického cíle 4.3 je dle typu opatření poskytován</w:t>
      </w:r>
      <w:r>
        <w:rPr>
          <w:rFonts w:ascii="Arial" w:hAnsi="Arial" w:cs="Arial"/>
          <w:sz w:val="22"/>
          <w:szCs w:val="22"/>
        </w:rPr>
        <w:t>a</w:t>
      </w:r>
      <w:r w:rsidRPr="004A0521">
        <w:rPr>
          <w:rFonts w:ascii="Arial" w:hAnsi="Arial" w:cs="Arial"/>
          <w:sz w:val="22"/>
          <w:szCs w:val="22"/>
        </w:rPr>
        <w:t xml:space="preserve"> v rozmezí </w:t>
      </w:r>
      <w:r>
        <w:rPr>
          <w:rFonts w:ascii="Arial" w:hAnsi="Arial" w:cs="Arial"/>
          <w:sz w:val="22"/>
          <w:szCs w:val="22"/>
        </w:rPr>
        <w:t>od</w:t>
      </w:r>
      <w:r w:rsidRPr="004A0521">
        <w:rPr>
          <w:rFonts w:ascii="Arial" w:hAnsi="Arial" w:cs="Arial"/>
          <w:sz w:val="22"/>
          <w:szCs w:val="22"/>
        </w:rPr>
        <w:t xml:space="preserve"> 60 % </w:t>
      </w:r>
      <w:r>
        <w:rPr>
          <w:rFonts w:ascii="Arial" w:hAnsi="Arial" w:cs="Arial"/>
          <w:sz w:val="22"/>
          <w:szCs w:val="22"/>
        </w:rPr>
        <w:t xml:space="preserve">do 100 % </w:t>
      </w:r>
      <w:r w:rsidRPr="004A0521">
        <w:rPr>
          <w:rFonts w:ascii="Arial" w:hAnsi="Arial" w:cs="Arial"/>
          <w:sz w:val="22"/>
          <w:szCs w:val="22"/>
        </w:rPr>
        <w:t>celkových způsobilých výdajů</w:t>
      </w:r>
      <w:r>
        <w:rPr>
          <w:rFonts w:ascii="Arial" w:hAnsi="Arial" w:cs="Arial"/>
          <w:sz w:val="22"/>
          <w:szCs w:val="22"/>
        </w:rPr>
        <w:t>. V</w:t>
      </w:r>
      <w:r w:rsidRPr="004A0521">
        <w:rPr>
          <w:rFonts w:ascii="Arial" w:hAnsi="Arial" w:cs="Arial"/>
          <w:sz w:val="22"/>
          <w:szCs w:val="22"/>
        </w:rPr>
        <w:t xml:space="preserve"> případě opatření realizace a obnovy malých vodních nádrží</w:t>
      </w:r>
      <w:r>
        <w:rPr>
          <w:rFonts w:ascii="Arial" w:hAnsi="Arial" w:cs="Arial"/>
          <w:sz w:val="22"/>
          <w:szCs w:val="22"/>
        </w:rPr>
        <w:t xml:space="preserve"> </w:t>
      </w:r>
      <w:r w:rsidRPr="00E948D2">
        <w:rPr>
          <w:rFonts w:ascii="Arial" w:hAnsi="Arial" w:cs="Arial"/>
          <w:sz w:val="22"/>
          <w:szCs w:val="22"/>
        </w:rPr>
        <w:t>je podpora poskytována do 60 % celkových způsobilých výdajů. V p</w:t>
      </w:r>
      <w:r w:rsidRPr="00E948D2">
        <w:rPr>
          <w:rFonts w:ascii="Arial" w:hAnsi="Arial" w:cs="Arial" w:hint="eastAsia"/>
          <w:sz w:val="22"/>
          <w:szCs w:val="22"/>
        </w:rPr>
        <w:t>ří</w:t>
      </w:r>
      <w:r w:rsidRPr="00E948D2">
        <w:rPr>
          <w:rFonts w:ascii="Arial" w:hAnsi="Arial" w:cs="Arial"/>
          <w:sz w:val="22"/>
          <w:szCs w:val="22"/>
        </w:rPr>
        <w:t>pad</w:t>
      </w:r>
      <w:r w:rsidRPr="00E948D2">
        <w:rPr>
          <w:rFonts w:ascii="Arial" w:hAnsi="Arial" w:cs="Arial" w:hint="eastAsia"/>
          <w:sz w:val="22"/>
          <w:szCs w:val="22"/>
        </w:rPr>
        <w:t>ě</w:t>
      </w:r>
      <w:r w:rsidRPr="00E948D2">
        <w:rPr>
          <w:rFonts w:ascii="Arial" w:hAnsi="Arial" w:cs="Arial"/>
          <w:sz w:val="22"/>
          <w:szCs w:val="22"/>
        </w:rPr>
        <w:t xml:space="preserve"> opat</w:t>
      </w:r>
      <w:r w:rsidRPr="00E948D2">
        <w:rPr>
          <w:rFonts w:ascii="Arial" w:hAnsi="Arial" w:cs="Arial" w:hint="eastAsia"/>
          <w:sz w:val="22"/>
          <w:szCs w:val="22"/>
        </w:rPr>
        <w:t>ř</w:t>
      </w:r>
      <w:r w:rsidRPr="00E948D2">
        <w:rPr>
          <w:rFonts w:ascii="Arial" w:hAnsi="Arial" w:cs="Arial"/>
          <w:sz w:val="22"/>
          <w:szCs w:val="22"/>
        </w:rPr>
        <w:t>en</w:t>
      </w:r>
      <w:r w:rsidRPr="00E948D2">
        <w:rPr>
          <w:rFonts w:ascii="Arial" w:hAnsi="Arial" w:cs="Arial" w:hint="eastAsia"/>
          <w:sz w:val="22"/>
          <w:szCs w:val="22"/>
        </w:rPr>
        <w:t>í</w:t>
      </w:r>
      <w:r w:rsidRPr="00E948D2">
        <w:rPr>
          <w:rFonts w:ascii="Arial" w:hAnsi="Arial" w:cs="Arial"/>
          <w:sz w:val="22"/>
          <w:szCs w:val="22"/>
        </w:rPr>
        <w:t xml:space="preserve"> vytv</w:t>
      </w:r>
      <w:r w:rsidRPr="00E948D2">
        <w:rPr>
          <w:rFonts w:ascii="Arial" w:hAnsi="Arial" w:cs="Arial" w:hint="eastAsia"/>
          <w:sz w:val="22"/>
          <w:szCs w:val="22"/>
        </w:rPr>
        <w:t>ář</w:t>
      </w:r>
      <w:r w:rsidRPr="00E948D2">
        <w:rPr>
          <w:rFonts w:ascii="Arial" w:hAnsi="Arial" w:cs="Arial"/>
          <w:sz w:val="22"/>
          <w:szCs w:val="22"/>
        </w:rPr>
        <w:t>en</w:t>
      </w:r>
      <w:r w:rsidRPr="00E948D2">
        <w:rPr>
          <w:rFonts w:ascii="Arial" w:hAnsi="Arial" w:cs="Arial" w:hint="eastAsia"/>
          <w:sz w:val="22"/>
          <w:szCs w:val="22"/>
        </w:rPr>
        <w:t>í</w:t>
      </w:r>
      <w:r w:rsidRPr="00E948D2">
        <w:rPr>
          <w:rFonts w:ascii="Arial" w:hAnsi="Arial" w:cs="Arial"/>
          <w:sz w:val="22"/>
          <w:szCs w:val="22"/>
        </w:rPr>
        <w:t xml:space="preserve"> a obnovy malých vodních nádrží vyplývajících z pl</w:t>
      </w:r>
      <w:r w:rsidRPr="00E948D2">
        <w:rPr>
          <w:rFonts w:ascii="Arial" w:hAnsi="Arial" w:cs="Arial" w:hint="eastAsia"/>
          <w:sz w:val="22"/>
          <w:szCs w:val="22"/>
        </w:rPr>
        <w:t>á</w:t>
      </w:r>
      <w:r w:rsidRPr="00E948D2">
        <w:rPr>
          <w:rFonts w:ascii="Arial" w:hAnsi="Arial" w:cs="Arial"/>
          <w:sz w:val="22"/>
          <w:szCs w:val="22"/>
        </w:rPr>
        <w:t>n</w:t>
      </w:r>
      <w:r w:rsidRPr="00E948D2">
        <w:rPr>
          <w:rFonts w:ascii="Arial" w:hAnsi="Arial" w:cs="Arial" w:hint="eastAsia"/>
          <w:sz w:val="22"/>
          <w:szCs w:val="22"/>
        </w:rPr>
        <w:t>ů</w:t>
      </w:r>
      <w:r w:rsidRPr="00E948D2">
        <w:rPr>
          <w:rFonts w:ascii="Arial" w:hAnsi="Arial" w:cs="Arial"/>
          <w:sz w:val="22"/>
          <w:szCs w:val="22"/>
        </w:rPr>
        <w:t xml:space="preserve"> d</w:t>
      </w:r>
      <w:r w:rsidRPr="00E948D2">
        <w:rPr>
          <w:rFonts w:ascii="Arial" w:hAnsi="Arial" w:cs="Arial" w:hint="eastAsia"/>
          <w:sz w:val="22"/>
          <w:szCs w:val="22"/>
        </w:rPr>
        <w:t>í</w:t>
      </w:r>
      <w:r w:rsidRPr="00E948D2">
        <w:rPr>
          <w:rFonts w:ascii="Arial" w:hAnsi="Arial" w:cs="Arial"/>
          <w:sz w:val="22"/>
          <w:szCs w:val="22"/>
        </w:rPr>
        <w:t>l</w:t>
      </w:r>
      <w:r w:rsidRPr="00E948D2">
        <w:rPr>
          <w:rFonts w:ascii="Arial" w:hAnsi="Arial" w:cs="Arial" w:hint="eastAsia"/>
          <w:sz w:val="22"/>
          <w:szCs w:val="22"/>
        </w:rPr>
        <w:t>čí</w:t>
      </w:r>
      <w:r w:rsidRPr="00E948D2">
        <w:rPr>
          <w:rFonts w:ascii="Arial" w:hAnsi="Arial" w:cs="Arial"/>
          <w:sz w:val="22"/>
          <w:szCs w:val="22"/>
        </w:rPr>
        <w:t>ch povod</w:t>
      </w:r>
      <w:r w:rsidRPr="00E948D2">
        <w:rPr>
          <w:rFonts w:ascii="Arial" w:hAnsi="Arial" w:cs="Arial" w:hint="eastAsia"/>
          <w:sz w:val="22"/>
          <w:szCs w:val="22"/>
        </w:rPr>
        <w:t>í</w:t>
      </w:r>
      <w:r w:rsidRPr="00E948D2">
        <w:rPr>
          <w:rFonts w:ascii="Arial" w:hAnsi="Arial" w:cs="Arial"/>
          <w:sz w:val="22"/>
          <w:szCs w:val="22"/>
        </w:rPr>
        <w:t xml:space="preserve"> nebo le</w:t>
      </w:r>
      <w:r w:rsidRPr="00E948D2">
        <w:rPr>
          <w:rFonts w:ascii="Arial" w:hAnsi="Arial" w:cs="Arial" w:hint="eastAsia"/>
          <w:sz w:val="22"/>
          <w:szCs w:val="22"/>
        </w:rPr>
        <w:t>ží</w:t>
      </w:r>
      <w:r w:rsidRPr="00E948D2">
        <w:rPr>
          <w:rFonts w:ascii="Arial" w:hAnsi="Arial" w:cs="Arial"/>
          <w:sz w:val="22"/>
          <w:szCs w:val="22"/>
        </w:rPr>
        <w:t>c</w:t>
      </w:r>
      <w:r w:rsidRPr="00E948D2">
        <w:rPr>
          <w:rFonts w:ascii="Arial" w:hAnsi="Arial" w:cs="Arial" w:hint="eastAsia"/>
          <w:sz w:val="22"/>
          <w:szCs w:val="22"/>
        </w:rPr>
        <w:t>í</w:t>
      </w:r>
      <w:r w:rsidRPr="00E948D2">
        <w:rPr>
          <w:rFonts w:ascii="Arial" w:hAnsi="Arial" w:cs="Arial"/>
          <w:sz w:val="22"/>
          <w:szCs w:val="22"/>
        </w:rPr>
        <w:t>ch z v</w:t>
      </w:r>
      <w:r w:rsidRPr="00E948D2">
        <w:rPr>
          <w:rFonts w:ascii="Arial" w:hAnsi="Arial" w:cs="Arial" w:hint="eastAsia"/>
          <w:sz w:val="22"/>
          <w:szCs w:val="22"/>
        </w:rPr>
        <w:t>ě</w:t>
      </w:r>
      <w:r w:rsidRPr="00E948D2">
        <w:rPr>
          <w:rFonts w:ascii="Arial" w:hAnsi="Arial" w:cs="Arial"/>
          <w:sz w:val="22"/>
          <w:szCs w:val="22"/>
        </w:rPr>
        <w:t>t</w:t>
      </w:r>
      <w:r w:rsidRPr="00E948D2">
        <w:rPr>
          <w:rFonts w:ascii="Arial" w:hAnsi="Arial" w:cs="Arial" w:hint="eastAsia"/>
          <w:sz w:val="22"/>
          <w:szCs w:val="22"/>
        </w:rPr>
        <w:t>š</w:t>
      </w:r>
      <w:r w:rsidRPr="00E948D2">
        <w:rPr>
          <w:rFonts w:ascii="Arial" w:hAnsi="Arial" w:cs="Arial"/>
          <w:sz w:val="22"/>
          <w:szCs w:val="22"/>
        </w:rPr>
        <w:t>inov</w:t>
      </w:r>
      <w:r w:rsidRPr="00E948D2">
        <w:rPr>
          <w:rFonts w:ascii="Arial" w:hAnsi="Arial" w:cs="Arial" w:hint="eastAsia"/>
          <w:sz w:val="22"/>
          <w:szCs w:val="22"/>
        </w:rPr>
        <w:t>é</w:t>
      </w:r>
      <w:r w:rsidRPr="00E948D2">
        <w:rPr>
          <w:rFonts w:ascii="Arial" w:hAnsi="Arial" w:cs="Arial"/>
          <w:sz w:val="22"/>
          <w:szCs w:val="22"/>
        </w:rPr>
        <w:t xml:space="preserve"> </w:t>
      </w:r>
      <w:r w:rsidRPr="00E948D2">
        <w:rPr>
          <w:rFonts w:ascii="Arial" w:hAnsi="Arial" w:cs="Arial" w:hint="eastAsia"/>
          <w:sz w:val="22"/>
          <w:szCs w:val="22"/>
        </w:rPr>
        <w:t>čá</w:t>
      </w:r>
      <w:r w:rsidRPr="00E948D2">
        <w:rPr>
          <w:rFonts w:ascii="Arial" w:hAnsi="Arial" w:cs="Arial"/>
          <w:sz w:val="22"/>
          <w:szCs w:val="22"/>
        </w:rPr>
        <w:t>sti v</w:t>
      </w:r>
      <w:r w:rsidR="006B1D9A">
        <w:rPr>
          <w:rFonts w:ascii="Arial" w:hAnsi="Arial" w:cs="Arial"/>
          <w:sz w:val="22"/>
          <w:szCs w:val="22"/>
        </w:rPr>
        <w:t>e zvláš</w:t>
      </w:r>
      <w:r w:rsidR="00230FFC">
        <w:rPr>
          <w:rFonts w:ascii="Arial" w:hAnsi="Arial" w:cs="Arial"/>
          <w:sz w:val="22"/>
          <w:szCs w:val="22"/>
        </w:rPr>
        <w:t>tě</w:t>
      </w:r>
      <w:r w:rsidR="006B1D9A">
        <w:rPr>
          <w:rFonts w:ascii="Arial" w:hAnsi="Arial" w:cs="Arial"/>
          <w:sz w:val="22"/>
          <w:szCs w:val="22"/>
        </w:rPr>
        <w:t xml:space="preserve"> chráněných územích</w:t>
      </w:r>
      <w:r w:rsidRPr="00E948D2">
        <w:rPr>
          <w:rFonts w:ascii="Arial" w:hAnsi="Arial" w:cs="Arial"/>
          <w:sz w:val="22"/>
          <w:szCs w:val="22"/>
        </w:rPr>
        <w:t xml:space="preserve"> </w:t>
      </w:r>
      <w:r w:rsidR="006B1D9A">
        <w:rPr>
          <w:rFonts w:ascii="Arial" w:hAnsi="Arial"/>
          <w:sz w:val="22"/>
        </w:rPr>
        <w:t>,</w:t>
      </w:r>
      <w:r w:rsidRPr="00E948D2">
        <w:rPr>
          <w:rFonts w:ascii="Arial" w:hAnsi="Arial" w:cs="Arial"/>
          <w:sz w:val="22"/>
          <w:szCs w:val="22"/>
        </w:rPr>
        <w:t xml:space="preserve"> lokalitách soustavy Natura 2000 nebo ÚSES (biocentrum) je podpora poskytov</w:t>
      </w:r>
      <w:r w:rsidRPr="00E948D2">
        <w:rPr>
          <w:rFonts w:ascii="Arial" w:hAnsi="Arial" w:cs="Arial" w:hint="eastAsia"/>
          <w:sz w:val="22"/>
          <w:szCs w:val="22"/>
        </w:rPr>
        <w:t>á</w:t>
      </w:r>
      <w:r w:rsidRPr="00E948D2">
        <w:rPr>
          <w:rFonts w:ascii="Arial" w:hAnsi="Arial" w:cs="Arial"/>
          <w:sz w:val="22"/>
          <w:szCs w:val="22"/>
        </w:rPr>
        <w:t>na maxim</w:t>
      </w:r>
      <w:r w:rsidRPr="00E948D2">
        <w:rPr>
          <w:rFonts w:ascii="Arial" w:hAnsi="Arial" w:cs="Arial" w:hint="eastAsia"/>
          <w:sz w:val="22"/>
          <w:szCs w:val="22"/>
        </w:rPr>
        <w:t>á</w:t>
      </w:r>
      <w:r w:rsidRPr="00E948D2">
        <w:rPr>
          <w:rFonts w:ascii="Arial" w:hAnsi="Arial" w:cs="Arial"/>
          <w:sz w:val="22"/>
          <w:szCs w:val="22"/>
        </w:rPr>
        <w:t>ln</w:t>
      </w:r>
      <w:r w:rsidRPr="00E948D2">
        <w:rPr>
          <w:rFonts w:ascii="Arial" w:hAnsi="Arial" w:cs="Arial" w:hint="eastAsia"/>
          <w:sz w:val="22"/>
          <w:szCs w:val="22"/>
        </w:rPr>
        <w:t>ě</w:t>
      </w:r>
      <w:r w:rsidRPr="00E948D2">
        <w:rPr>
          <w:rFonts w:ascii="Arial" w:hAnsi="Arial" w:cs="Arial"/>
          <w:sz w:val="22"/>
          <w:szCs w:val="22"/>
        </w:rPr>
        <w:t xml:space="preserve"> do v</w:t>
      </w:r>
      <w:r w:rsidRPr="00E948D2">
        <w:rPr>
          <w:rFonts w:ascii="Arial" w:hAnsi="Arial" w:cs="Arial" w:hint="eastAsia"/>
          <w:sz w:val="22"/>
          <w:szCs w:val="22"/>
        </w:rPr>
        <w:t>ýš</w:t>
      </w:r>
      <w:r w:rsidRPr="00E948D2">
        <w:rPr>
          <w:rFonts w:ascii="Arial" w:hAnsi="Arial" w:cs="Arial"/>
          <w:sz w:val="22"/>
          <w:szCs w:val="22"/>
        </w:rPr>
        <w:t>e 90 % celkov</w:t>
      </w:r>
      <w:r w:rsidRPr="00E948D2">
        <w:rPr>
          <w:rFonts w:ascii="Arial" w:hAnsi="Arial" w:cs="Arial" w:hint="eastAsia"/>
          <w:sz w:val="22"/>
          <w:szCs w:val="22"/>
        </w:rPr>
        <w:t>ý</w:t>
      </w:r>
      <w:r w:rsidRPr="00E948D2">
        <w:rPr>
          <w:rFonts w:ascii="Arial" w:hAnsi="Arial" w:cs="Arial"/>
          <w:sz w:val="22"/>
          <w:szCs w:val="22"/>
        </w:rPr>
        <w:t>ch zp</w:t>
      </w:r>
      <w:r w:rsidRPr="00E948D2">
        <w:rPr>
          <w:rFonts w:ascii="Arial" w:hAnsi="Arial" w:cs="Arial" w:hint="eastAsia"/>
          <w:sz w:val="22"/>
          <w:szCs w:val="22"/>
        </w:rPr>
        <w:t>ů</w:t>
      </w:r>
      <w:r w:rsidRPr="00E948D2">
        <w:rPr>
          <w:rFonts w:ascii="Arial" w:hAnsi="Arial" w:cs="Arial"/>
          <w:sz w:val="22"/>
          <w:szCs w:val="22"/>
        </w:rPr>
        <w:t>sobil</w:t>
      </w:r>
      <w:r w:rsidRPr="00E948D2">
        <w:rPr>
          <w:rFonts w:ascii="Arial" w:hAnsi="Arial" w:cs="Arial" w:hint="eastAsia"/>
          <w:sz w:val="22"/>
          <w:szCs w:val="22"/>
        </w:rPr>
        <w:t>ý</w:t>
      </w:r>
      <w:r w:rsidRPr="00E948D2">
        <w:rPr>
          <w:rFonts w:ascii="Arial" w:hAnsi="Arial" w:cs="Arial"/>
          <w:sz w:val="22"/>
          <w:szCs w:val="22"/>
        </w:rPr>
        <w:t>ch v</w:t>
      </w:r>
      <w:r w:rsidRPr="00E948D2">
        <w:rPr>
          <w:rFonts w:ascii="Arial" w:hAnsi="Arial" w:cs="Arial" w:hint="eastAsia"/>
          <w:sz w:val="22"/>
          <w:szCs w:val="22"/>
        </w:rPr>
        <w:t>ý</w:t>
      </w:r>
      <w:r w:rsidRPr="00E948D2">
        <w:rPr>
          <w:rFonts w:ascii="Arial" w:hAnsi="Arial" w:cs="Arial"/>
          <w:sz w:val="22"/>
          <w:szCs w:val="22"/>
        </w:rPr>
        <w:t>daj</w:t>
      </w:r>
      <w:r w:rsidRPr="00E948D2">
        <w:rPr>
          <w:rFonts w:ascii="Arial" w:hAnsi="Arial" w:cs="Arial" w:hint="eastAsia"/>
          <w:sz w:val="22"/>
          <w:szCs w:val="22"/>
        </w:rPr>
        <w:t>ů</w:t>
      </w:r>
      <w:r w:rsidRPr="00E948D2">
        <w:rPr>
          <w:rFonts w:ascii="Arial" w:hAnsi="Arial" w:cs="Arial"/>
          <w:sz w:val="22"/>
          <w:szCs w:val="22"/>
        </w:rPr>
        <w:t>. V</w:t>
      </w:r>
      <w:r w:rsidRPr="004A0521">
        <w:rPr>
          <w:rFonts w:ascii="Arial" w:hAnsi="Arial" w:cs="Arial"/>
          <w:sz w:val="22"/>
          <w:szCs w:val="22"/>
        </w:rPr>
        <w:t xml:space="preserve"> případě opatření revitalizace vodních toků, tvorby a obnovy tůní a mokřadů</w:t>
      </w:r>
      <w:r>
        <w:rPr>
          <w:rFonts w:ascii="Arial" w:hAnsi="Arial" w:cs="Arial"/>
          <w:sz w:val="22"/>
          <w:szCs w:val="22"/>
        </w:rPr>
        <w:t xml:space="preserve"> </w:t>
      </w:r>
      <w:r w:rsidRPr="00E948D2">
        <w:rPr>
          <w:rFonts w:ascii="Arial" w:hAnsi="Arial" w:cs="Arial"/>
          <w:sz w:val="22"/>
          <w:szCs w:val="22"/>
        </w:rPr>
        <w:t xml:space="preserve">je podpora </w:t>
      </w:r>
      <w:r w:rsidRPr="00E948D2">
        <w:rPr>
          <w:rFonts w:ascii="Arial" w:hAnsi="Arial" w:cs="Arial"/>
          <w:sz w:val="22"/>
          <w:szCs w:val="22"/>
        </w:rPr>
        <w:lastRenderedPageBreak/>
        <w:t>poskytována do 100 % celkových způsobilých výdajů. V případě opatření spadajících pod aktivitu 4.3.5 je podpora poskytována do 80 % celkových způsobilých výdajů.</w:t>
      </w:r>
    </w:p>
    <w:p w14:paraId="73016398" w14:textId="77777777" w:rsidR="00F85762" w:rsidRDefault="00F85762" w:rsidP="00F85762">
      <w:pPr>
        <w:jc w:val="both"/>
        <w:rPr>
          <w:rFonts w:ascii="Arial" w:hAnsi="Arial" w:cs="Arial"/>
          <w:sz w:val="22"/>
          <w:szCs w:val="22"/>
        </w:rPr>
      </w:pPr>
    </w:p>
    <w:p w14:paraId="1756AFF6" w14:textId="690D417A" w:rsidR="00173FF7" w:rsidRDefault="00173FF7" w:rsidP="00F85762">
      <w:pPr>
        <w:jc w:val="both"/>
        <w:rPr>
          <w:rFonts w:ascii="Arial" w:hAnsi="Arial" w:cs="Arial"/>
          <w:sz w:val="22"/>
          <w:szCs w:val="22"/>
        </w:rPr>
      </w:pPr>
      <w:r w:rsidRPr="004A0521">
        <w:rPr>
          <w:rFonts w:ascii="Arial" w:hAnsi="Arial" w:cs="Arial"/>
          <w:sz w:val="22"/>
          <w:szCs w:val="22"/>
        </w:rPr>
        <w:t>Do konce roku 20</w:t>
      </w:r>
      <w:r w:rsidR="006B1D9A">
        <w:rPr>
          <w:rFonts w:ascii="Arial" w:hAnsi="Arial" w:cs="Arial"/>
          <w:sz w:val="22"/>
          <w:szCs w:val="22"/>
        </w:rPr>
        <w:t>20</w:t>
      </w:r>
      <w:r w:rsidRPr="004A0521">
        <w:rPr>
          <w:rFonts w:ascii="Arial" w:hAnsi="Arial" w:cs="Arial"/>
          <w:sz w:val="22"/>
          <w:szCs w:val="22"/>
        </w:rPr>
        <w:t xml:space="preserve"> bylo pro specifický cíl 4.3 vyhlášeno </w:t>
      </w:r>
      <w:r w:rsidRPr="00C17291">
        <w:rPr>
          <w:rFonts w:ascii="Arial" w:hAnsi="Arial" w:cs="Arial"/>
          <w:sz w:val="22"/>
          <w:szCs w:val="22"/>
        </w:rPr>
        <w:t xml:space="preserve">celkem </w:t>
      </w:r>
      <w:r w:rsidRPr="008B1AE3">
        <w:rPr>
          <w:rFonts w:ascii="Arial" w:hAnsi="Arial" w:cs="Arial"/>
          <w:sz w:val="22"/>
          <w:szCs w:val="22"/>
        </w:rPr>
        <w:t>5</w:t>
      </w:r>
      <w:r w:rsidRPr="00C17291">
        <w:rPr>
          <w:rFonts w:ascii="Arial" w:hAnsi="Arial" w:cs="Arial"/>
          <w:sz w:val="22"/>
          <w:szCs w:val="22"/>
        </w:rPr>
        <w:t xml:space="preserve"> výzev, včetně výzvy zaměřené na Komunitně vedený místní rozvoj. Ke dni </w:t>
      </w:r>
      <w:r w:rsidR="00C17291">
        <w:rPr>
          <w:rFonts w:ascii="Arial" w:hAnsi="Arial" w:cs="Arial"/>
          <w:sz w:val="22"/>
          <w:szCs w:val="22"/>
        </w:rPr>
        <w:t>31. 12</w:t>
      </w:r>
      <w:r w:rsidRPr="008B1AE3">
        <w:rPr>
          <w:rFonts w:ascii="Arial" w:hAnsi="Arial" w:cs="Arial"/>
          <w:sz w:val="22"/>
          <w:szCs w:val="22"/>
        </w:rPr>
        <w:t>. 2020</w:t>
      </w:r>
      <w:r w:rsidRPr="00C17291">
        <w:rPr>
          <w:rFonts w:ascii="Arial" w:hAnsi="Arial" w:cs="Arial"/>
          <w:sz w:val="22"/>
          <w:szCs w:val="22"/>
        </w:rPr>
        <w:t xml:space="preserve"> bylo schváleno k financování ve specifickém cíli 4.3 celkem </w:t>
      </w:r>
      <w:r w:rsidR="00C17291">
        <w:rPr>
          <w:rFonts w:ascii="Arial" w:hAnsi="Arial" w:cs="Arial"/>
          <w:sz w:val="22"/>
          <w:szCs w:val="22"/>
        </w:rPr>
        <w:t>847</w:t>
      </w:r>
      <w:r w:rsidR="00C17291" w:rsidRPr="00C17291">
        <w:rPr>
          <w:rFonts w:ascii="Arial" w:hAnsi="Arial" w:cs="Arial"/>
          <w:sz w:val="22"/>
          <w:szCs w:val="22"/>
        </w:rPr>
        <w:t xml:space="preserve"> </w:t>
      </w:r>
      <w:r w:rsidRPr="00C17291">
        <w:rPr>
          <w:rFonts w:ascii="Arial" w:hAnsi="Arial" w:cs="Arial"/>
          <w:sz w:val="22"/>
          <w:szCs w:val="22"/>
        </w:rPr>
        <w:t xml:space="preserve">projektů s celkovým příspěvkem EU </w:t>
      </w:r>
      <w:r w:rsidR="00C17291">
        <w:rPr>
          <w:rFonts w:ascii="Arial" w:hAnsi="Arial" w:cs="Arial"/>
          <w:sz w:val="22"/>
          <w:szCs w:val="22"/>
        </w:rPr>
        <w:t>4,093</w:t>
      </w:r>
      <w:r w:rsidRPr="00C17291">
        <w:rPr>
          <w:rFonts w:ascii="Arial" w:hAnsi="Arial" w:cs="Arial"/>
          <w:sz w:val="22"/>
          <w:szCs w:val="22"/>
        </w:rPr>
        <w:t> m</w:t>
      </w:r>
      <w:r w:rsidR="00220683" w:rsidRPr="00C17291">
        <w:rPr>
          <w:rFonts w:ascii="Arial" w:hAnsi="Arial" w:cs="Arial"/>
          <w:sz w:val="22"/>
          <w:szCs w:val="22"/>
        </w:rPr>
        <w:t>ld</w:t>
      </w:r>
      <w:r w:rsidRPr="00C17291">
        <w:rPr>
          <w:rFonts w:ascii="Arial" w:hAnsi="Arial" w:cs="Arial"/>
          <w:sz w:val="22"/>
          <w:szCs w:val="22"/>
        </w:rPr>
        <w:t xml:space="preserve">. Kč. Ke dni </w:t>
      </w:r>
      <w:r w:rsidR="00C17291">
        <w:rPr>
          <w:rFonts w:ascii="Arial" w:hAnsi="Arial" w:cs="Arial"/>
          <w:sz w:val="22"/>
          <w:szCs w:val="22"/>
        </w:rPr>
        <w:t>31. 12</w:t>
      </w:r>
      <w:r w:rsidRPr="008B1AE3">
        <w:rPr>
          <w:rFonts w:ascii="Arial" w:hAnsi="Arial" w:cs="Arial"/>
          <w:sz w:val="22"/>
          <w:szCs w:val="22"/>
        </w:rPr>
        <w:t>. 2020</w:t>
      </w:r>
      <w:r w:rsidRPr="00C17291">
        <w:rPr>
          <w:rFonts w:ascii="Arial" w:hAnsi="Arial" w:cs="Arial"/>
          <w:sz w:val="22"/>
          <w:szCs w:val="22"/>
        </w:rPr>
        <w:t xml:space="preserve"> bylo proplaceno příjemcům </w:t>
      </w:r>
      <w:r w:rsidR="00C17291">
        <w:rPr>
          <w:rFonts w:ascii="Arial" w:hAnsi="Arial" w:cs="Arial"/>
          <w:sz w:val="22"/>
          <w:szCs w:val="22"/>
        </w:rPr>
        <w:t>2,087</w:t>
      </w:r>
      <w:r w:rsidRPr="00C17291">
        <w:rPr>
          <w:rFonts w:ascii="Arial" w:hAnsi="Arial" w:cs="Arial"/>
          <w:sz w:val="22"/>
          <w:szCs w:val="22"/>
        </w:rPr>
        <w:t xml:space="preserve"> ml</w:t>
      </w:r>
      <w:r w:rsidR="00220683" w:rsidRPr="00C17291">
        <w:rPr>
          <w:rFonts w:ascii="Arial" w:hAnsi="Arial" w:cs="Arial"/>
          <w:sz w:val="22"/>
          <w:szCs w:val="22"/>
        </w:rPr>
        <w:t>d</w:t>
      </w:r>
      <w:r w:rsidRPr="00C17291">
        <w:rPr>
          <w:rFonts w:ascii="Arial" w:hAnsi="Arial" w:cs="Arial"/>
          <w:sz w:val="22"/>
          <w:szCs w:val="22"/>
        </w:rPr>
        <w:t>.</w:t>
      </w:r>
      <w:r w:rsidRPr="00B178D4">
        <w:rPr>
          <w:rFonts w:ascii="Arial" w:hAnsi="Arial" w:cs="Arial"/>
          <w:sz w:val="22"/>
          <w:szCs w:val="22"/>
        </w:rPr>
        <w:t xml:space="preserve"> Kč.</w:t>
      </w:r>
    </w:p>
    <w:p w14:paraId="73A94003" w14:textId="0CA8AAFD" w:rsidR="00173FF7" w:rsidRPr="00FD6BE1" w:rsidRDefault="00173FF7" w:rsidP="00173FF7">
      <w:pPr>
        <w:keepNext/>
        <w:tabs>
          <w:tab w:val="left" w:pos="480"/>
        </w:tabs>
        <w:spacing w:before="240" w:after="20"/>
        <w:jc w:val="both"/>
        <w:rPr>
          <w:rFonts w:ascii="Arial" w:hAnsi="Arial" w:cs="Arial"/>
          <w:b/>
          <w:sz w:val="22"/>
          <w:szCs w:val="22"/>
        </w:rPr>
      </w:pPr>
      <w:r w:rsidRPr="00960DAF">
        <w:rPr>
          <w:rFonts w:ascii="Arial" w:hAnsi="Arial" w:cs="Arial"/>
          <w:b/>
          <w:i/>
          <w:iCs/>
          <w:sz w:val="22"/>
          <w:szCs w:val="22"/>
        </w:rPr>
        <w:t xml:space="preserve">OPŽP 2014–2020 </w:t>
      </w:r>
      <w:r>
        <w:rPr>
          <w:rFonts w:ascii="Arial" w:hAnsi="Arial" w:cs="Arial"/>
          <w:b/>
          <w:i/>
          <w:iCs/>
          <w:sz w:val="22"/>
          <w:szCs w:val="22"/>
        </w:rPr>
        <w:t>– specifický cíl 4.3 –</w:t>
      </w:r>
      <w:r w:rsidR="0022666D">
        <w:rPr>
          <w:rFonts w:ascii="Arial" w:hAnsi="Arial" w:cs="Arial"/>
          <w:b/>
          <w:i/>
          <w:iCs/>
          <w:sz w:val="22"/>
          <w:szCs w:val="22"/>
        </w:rPr>
        <w:t xml:space="preserve"> čerpání za sledované období –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6B1D9A">
        <w:rPr>
          <w:rFonts w:ascii="Arial" w:hAnsi="Arial" w:cs="Arial"/>
          <w:b/>
          <w:i/>
          <w:iCs/>
          <w:sz w:val="22"/>
          <w:szCs w:val="22"/>
        </w:rPr>
        <w:t>2018–2020</w:t>
      </w:r>
      <w:r w:rsidRPr="00B410CA">
        <w:rPr>
          <w:rFonts w:ascii="Arial" w:hAnsi="Arial" w:cs="Arial"/>
          <w:b/>
          <w:i/>
          <w:iCs/>
          <w:sz w:val="22"/>
          <w:szCs w:val="22"/>
          <w:vertAlign w:val="superscript"/>
        </w:rPr>
        <w:t xml:space="preserve"> </w:t>
      </w: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402"/>
      </w:tblGrid>
      <w:tr w:rsidR="00173FF7" w:rsidRPr="00FD6BE1" w14:paraId="3F9F3ACD" w14:textId="77777777" w:rsidTr="0016342B">
        <w:trPr>
          <w:trHeight w:val="340"/>
        </w:trPr>
        <w:tc>
          <w:tcPr>
            <w:tcW w:w="567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09B684" w14:textId="77777777" w:rsidR="00173FF7" w:rsidRPr="00FD6BE1" w:rsidRDefault="00173FF7" w:rsidP="0016342B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Počet výzev 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ABB081" w14:textId="77777777" w:rsidR="00173FF7" w:rsidRPr="00843696" w:rsidRDefault="00173FF7" w:rsidP="0016342B">
            <w:pPr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3696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173FF7" w:rsidRPr="00FD6BE1" w14:paraId="53F7C4EF" w14:textId="77777777" w:rsidTr="0016342B">
        <w:trPr>
          <w:trHeight w:val="340"/>
        </w:trPr>
        <w:tc>
          <w:tcPr>
            <w:tcW w:w="567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FA0B7" w14:textId="77777777" w:rsidR="00173FF7" w:rsidRDefault="00173FF7" w:rsidP="0016342B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Počet schválených projektů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E568F1" w14:textId="6078FB1A" w:rsidR="00173FF7" w:rsidRPr="00843696" w:rsidRDefault="00C17291" w:rsidP="0016342B">
            <w:pPr>
              <w:tabs>
                <w:tab w:val="decimal" w:pos="480"/>
                <w:tab w:val="center" w:pos="1929"/>
              </w:tabs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847</w:t>
            </w:r>
          </w:p>
        </w:tc>
      </w:tr>
      <w:tr w:rsidR="00173FF7" w:rsidRPr="00FD6BE1" w14:paraId="6B05478E" w14:textId="77777777" w:rsidTr="0016342B">
        <w:trPr>
          <w:trHeight w:val="340"/>
        </w:trPr>
        <w:tc>
          <w:tcPr>
            <w:tcW w:w="567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4AE76E" w14:textId="26A82D78" w:rsidR="00173FF7" w:rsidRDefault="00173FF7" w:rsidP="00220683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Příspěvek EU (ml</w:t>
            </w:r>
            <w:r w:rsidR="00220683">
              <w:rPr>
                <w:rFonts w:ascii="Arial" w:hAnsi="Arial" w:cs="Arial"/>
                <w:b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sz w:val="22"/>
                <w:szCs w:val="22"/>
              </w:rPr>
              <w:t>. Kč)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D424C" w14:textId="42900097" w:rsidR="00173FF7" w:rsidRPr="00843696" w:rsidRDefault="00C17291" w:rsidP="00220683">
            <w:pPr>
              <w:tabs>
                <w:tab w:val="right" w:pos="480"/>
                <w:tab w:val="center" w:pos="1929"/>
              </w:tabs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4,093</w:t>
            </w:r>
          </w:p>
        </w:tc>
      </w:tr>
      <w:tr w:rsidR="00173FF7" w:rsidRPr="00FD6BE1" w14:paraId="5D7C644F" w14:textId="77777777" w:rsidTr="0016342B">
        <w:trPr>
          <w:trHeight w:val="340"/>
        </w:trPr>
        <w:tc>
          <w:tcPr>
            <w:tcW w:w="567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70CA5" w14:textId="57E931CC" w:rsidR="00173FF7" w:rsidRDefault="00173FF7" w:rsidP="00220683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Celkové způsobilé výdaje (ml</w:t>
            </w:r>
            <w:r w:rsidR="00220683">
              <w:rPr>
                <w:rFonts w:ascii="Arial" w:hAnsi="Arial" w:cs="Arial"/>
                <w:b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sz w:val="22"/>
                <w:szCs w:val="22"/>
              </w:rPr>
              <w:t>. Kč)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CEBBB" w14:textId="3922E9E5" w:rsidR="00173FF7" w:rsidRPr="00843696" w:rsidRDefault="00C17291" w:rsidP="00220683">
            <w:pPr>
              <w:tabs>
                <w:tab w:val="right" w:pos="480"/>
                <w:tab w:val="center" w:pos="1929"/>
              </w:tabs>
              <w:ind w:right="7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4,423</w:t>
            </w:r>
          </w:p>
        </w:tc>
      </w:tr>
      <w:tr w:rsidR="00173FF7" w:rsidRPr="00FD6BE1" w14:paraId="34301B0E" w14:textId="77777777" w:rsidTr="0016342B">
        <w:trPr>
          <w:trHeight w:val="340"/>
        </w:trPr>
        <w:tc>
          <w:tcPr>
            <w:tcW w:w="567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2122D0" w14:textId="5FE96282" w:rsidR="00173FF7" w:rsidRDefault="00173FF7" w:rsidP="00220683">
            <w:pPr>
              <w:tabs>
                <w:tab w:val="left" w:pos="4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Proplaceno příjemcům (ml</w:t>
            </w:r>
            <w:r w:rsidR="00220683">
              <w:rPr>
                <w:rFonts w:ascii="Arial" w:hAnsi="Arial" w:cs="Arial"/>
                <w:b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sz w:val="22"/>
                <w:szCs w:val="22"/>
              </w:rPr>
              <w:t>. Kč)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413F8E" w14:textId="6D6B3C6B" w:rsidR="00173FF7" w:rsidRPr="00843696" w:rsidRDefault="00C17291" w:rsidP="00220683">
            <w:pPr>
              <w:tabs>
                <w:tab w:val="right" w:pos="480"/>
                <w:tab w:val="center" w:pos="4041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2,087</w:t>
            </w:r>
          </w:p>
        </w:tc>
      </w:tr>
    </w:tbl>
    <w:p w14:paraId="0DD50CE7" w14:textId="5153AF92" w:rsidR="0022666D" w:rsidRPr="00944D33" w:rsidRDefault="0022666D" w:rsidP="0022666D">
      <w:pPr>
        <w:jc w:val="both"/>
        <w:rPr>
          <w:rFonts w:ascii="Arial" w:hAnsi="Arial" w:cs="Arial"/>
          <w:i/>
          <w:sz w:val="18"/>
          <w:szCs w:val="22"/>
        </w:rPr>
      </w:pPr>
      <w:r w:rsidRPr="005B29BC">
        <w:rPr>
          <w:rFonts w:ascii="Arial" w:hAnsi="Arial" w:cs="Arial"/>
          <w:i/>
          <w:sz w:val="18"/>
          <w:szCs w:val="22"/>
        </w:rPr>
        <w:t>Zdroj: MS2014+ (sestava F027, M004a, interní sestava registrovaných projektů), přehled schválených projektů</w:t>
      </w:r>
    </w:p>
    <w:p w14:paraId="77CAA2A1" w14:textId="77777777" w:rsidR="0091791A" w:rsidRDefault="0091791A" w:rsidP="003D03B5">
      <w:pPr>
        <w:jc w:val="both"/>
        <w:rPr>
          <w:rFonts w:ascii="Arial" w:hAnsi="Arial" w:cs="Arial"/>
          <w:sz w:val="20"/>
          <w:szCs w:val="20"/>
        </w:rPr>
      </w:pPr>
    </w:p>
    <w:p w14:paraId="48334A4E" w14:textId="4C7C7DBD" w:rsidR="00173FF7" w:rsidRDefault="00173FF7" w:rsidP="003D03B5">
      <w:pPr>
        <w:jc w:val="both"/>
        <w:rPr>
          <w:rFonts w:ascii="Arial" w:hAnsi="Arial" w:cs="Arial"/>
          <w:b/>
          <w:sz w:val="22"/>
          <w:szCs w:val="22"/>
        </w:rPr>
      </w:pPr>
      <w:r w:rsidRPr="004A0521">
        <w:rPr>
          <w:rFonts w:ascii="Arial" w:hAnsi="Arial" w:cs="Arial"/>
          <w:b/>
          <w:sz w:val="22"/>
          <w:szCs w:val="22"/>
        </w:rPr>
        <w:t xml:space="preserve">Příklady vybraných investičních akcí Prioritní osy 4 OPŽP 2014–2020 </w:t>
      </w:r>
      <w:r w:rsidR="00E064AB">
        <w:rPr>
          <w:rFonts w:ascii="Arial" w:hAnsi="Arial" w:cs="Arial"/>
          <w:b/>
          <w:sz w:val="22"/>
          <w:szCs w:val="22"/>
        </w:rPr>
        <w:t>realizovan</w:t>
      </w:r>
      <w:r w:rsidR="00B0242D">
        <w:rPr>
          <w:rFonts w:ascii="Arial" w:hAnsi="Arial" w:cs="Arial"/>
          <w:b/>
          <w:sz w:val="22"/>
          <w:szCs w:val="22"/>
        </w:rPr>
        <w:t>ých</w:t>
      </w:r>
      <w:r w:rsidR="00E064AB">
        <w:rPr>
          <w:rFonts w:ascii="Arial" w:hAnsi="Arial" w:cs="Arial"/>
          <w:b/>
          <w:sz w:val="22"/>
          <w:szCs w:val="22"/>
        </w:rPr>
        <w:t xml:space="preserve"> v období 2018</w:t>
      </w:r>
      <w:r w:rsidR="00E064AB" w:rsidRPr="004A0521">
        <w:rPr>
          <w:rFonts w:ascii="Arial" w:hAnsi="Arial" w:cs="Arial"/>
          <w:b/>
          <w:sz w:val="22"/>
          <w:szCs w:val="22"/>
        </w:rPr>
        <w:t>–</w:t>
      </w:r>
      <w:r w:rsidR="00E064AB">
        <w:rPr>
          <w:rFonts w:ascii="Arial" w:hAnsi="Arial" w:cs="Arial"/>
          <w:b/>
          <w:sz w:val="22"/>
          <w:szCs w:val="22"/>
        </w:rPr>
        <w:t xml:space="preserve">2020 </w:t>
      </w:r>
    </w:p>
    <w:p w14:paraId="72B680DA" w14:textId="77777777" w:rsidR="00F85762" w:rsidRPr="004A0521" w:rsidRDefault="00F85762" w:rsidP="003D03B5">
      <w:pPr>
        <w:jc w:val="both"/>
        <w:rPr>
          <w:rFonts w:ascii="Arial" w:hAnsi="Arial" w:cs="Arial"/>
          <w:b/>
          <w:sz w:val="22"/>
          <w:szCs w:val="22"/>
        </w:rPr>
      </w:pPr>
    </w:p>
    <w:p w14:paraId="5E7A2853" w14:textId="26DB77AA" w:rsidR="00173FF7" w:rsidRDefault="00173FF7" w:rsidP="003D03B5">
      <w:pPr>
        <w:jc w:val="both"/>
        <w:rPr>
          <w:rFonts w:ascii="Arial" w:hAnsi="Arial" w:cs="Arial"/>
          <w:bCs/>
          <w:sz w:val="22"/>
          <w:szCs w:val="22"/>
        </w:rPr>
      </w:pPr>
      <w:r w:rsidRPr="00B410CA">
        <w:rPr>
          <w:rFonts w:ascii="Arial" w:hAnsi="Arial" w:cs="Arial"/>
          <w:b/>
          <w:bCs/>
          <w:sz w:val="22"/>
          <w:szCs w:val="22"/>
        </w:rPr>
        <w:t>„Revitalizace Merty a Ztraceného potoka s povodňovým parkem“</w:t>
      </w:r>
      <w:r w:rsidRPr="00B410CA">
        <w:rPr>
          <w:rFonts w:ascii="Arial" w:hAnsi="Arial" w:cs="Arial"/>
          <w:bCs/>
          <w:sz w:val="22"/>
          <w:szCs w:val="22"/>
        </w:rPr>
        <w:t xml:space="preserve"> – příjemcem dotace je obec Vernířovice, dotace z evropských prostředků činí 4,75 mil. Kč. V rámci projektu je realizována malá vodní nádrž, tři tůně a vytvoření nového přírodního členitého koryta o délce 263,5 m v prostoru povodňového parku. Realizovaná opatření zadrží vodu v krajině, využije se retenční kapacita nivy toku a současně se trvale zajistí protipovodňová ochrana zastavěné části řešeného území povodí a dojde k vytvoření biotopu stojatých vod i tekoucí vody </w:t>
      </w:r>
      <w:r w:rsidR="006B1D9A" w:rsidRPr="00B410CA">
        <w:rPr>
          <w:rFonts w:ascii="Arial" w:hAnsi="Arial" w:cs="Arial"/>
          <w:bCs/>
          <w:sz w:val="22"/>
          <w:szCs w:val="22"/>
        </w:rPr>
        <w:t>s</w:t>
      </w:r>
      <w:r w:rsidR="006B1D9A">
        <w:rPr>
          <w:rFonts w:ascii="Arial" w:hAnsi="Arial" w:cs="Arial"/>
          <w:bCs/>
          <w:sz w:val="22"/>
          <w:szCs w:val="22"/>
        </w:rPr>
        <w:t> </w:t>
      </w:r>
      <w:r w:rsidRPr="00B410CA">
        <w:rPr>
          <w:rFonts w:ascii="Arial" w:hAnsi="Arial" w:cs="Arial"/>
          <w:bCs/>
          <w:sz w:val="22"/>
          <w:szCs w:val="22"/>
        </w:rPr>
        <w:t>regulovaným průtokem vody, které se stanou stanovištěm pro vodní živočichy a rostliny. Projekt v plné (fyzické i finanční) realizaci.</w:t>
      </w:r>
    </w:p>
    <w:p w14:paraId="6DD9AF00" w14:textId="77777777" w:rsidR="00220683" w:rsidRDefault="00220683" w:rsidP="003D03B5">
      <w:pPr>
        <w:jc w:val="both"/>
        <w:rPr>
          <w:rFonts w:ascii="Arial" w:hAnsi="Arial" w:cs="Arial"/>
          <w:bCs/>
          <w:sz w:val="22"/>
          <w:szCs w:val="22"/>
        </w:rPr>
      </w:pPr>
    </w:p>
    <w:p w14:paraId="0F69DF2F" w14:textId="51B21702" w:rsidR="00173FF7" w:rsidRDefault="00173FF7" w:rsidP="003D03B5">
      <w:pPr>
        <w:jc w:val="both"/>
        <w:rPr>
          <w:rFonts w:ascii="Arial" w:hAnsi="Arial" w:cs="Arial"/>
          <w:bCs/>
          <w:sz w:val="22"/>
          <w:szCs w:val="22"/>
        </w:rPr>
      </w:pPr>
      <w:r w:rsidRPr="00B410CA">
        <w:rPr>
          <w:rFonts w:ascii="Arial" w:hAnsi="Arial" w:cs="Arial"/>
          <w:b/>
          <w:bCs/>
          <w:sz w:val="22"/>
          <w:szCs w:val="22"/>
        </w:rPr>
        <w:t xml:space="preserve">„Regenerace přírodní památky </w:t>
      </w:r>
      <w:proofErr w:type="spellStart"/>
      <w:r w:rsidRPr="00B410CA">
        <w:rPr>
          <w:rFonts w:ascii="Arial" w:hAnsi="Arial" w:cs="Arial"/>
          <w:b/>
          <w:bCs/>
          <w:sz w:val="22"/>
          <w:szCs w:val="22"/>
        </w:rPr>
        <w:t>Oleksovická</w:t>
      </w:r>
      <w:proofErr w:type="spellEnd"/>
      <w:r w:rsidRPr="00B410CA">
        <w:rPr>
          <w:rFonts w:ascii="Arial" w:hAnsi="Arial" w:cs="Arial"/>
          <w:b/>
          <w:bCs/>
          <w:sz w:val="22"/>
          <w:szCs w:val="22"/>
        </w:rPr>
        <w:t xml:space="preserve"> mokřina“</w:t>
      </w:r>
      <w:r w:rsidRPr="00B410CA">
        <w:rPr>
          <w:rFonts w:ascii="Arial" w:hAnsi="Arial" w:cs="Arial"/>
          <w:bCs/>
          <w:sz w:val="22"/>
          <w:szCs w:val="22"/>
        </w:rPr>
        <w:t xml:space="preserve"> – příjemcem dotace je Z</w:t>
      </w:r>
      <w:r w:rsidR="00D37F53">
        <w:rPr>
          <w:rFonts w:ascii="Arial" w:hAnsi="Arial" w:cs="Arial"/>
          <w:bCs/>
          <w:sz w:val="22"/>
          <w:szCs w:val="22"/>
        </w:rPr>
        <w:t>ákladní organice</w:t>
      </w:r>
      <w:r w:rsidRPr="00B410CA">
        <w:rPr>
          <w:rFonts w:ascii="Arial" w:hAnsi="Arial" w:cs="Arial"/>
          <w:bCs/>
          <w:sz w:val="22"/>
          <w:szCs w:val="22"/>
        </w:rPr>
        <w:t xml:space="preserve"> Č</w:t>
      </w:r>
      <w:r w:rsidR="00D37F53">
        <w:rPr>
          <w:rFonts w:ascii="Arial" w:hAnsi="Arial" w:cs="Arial"/>
          <w:bCs/>
          <w:sz w:val="22"/>
          <w:szCs w:val="22"/>
        </w:rPr>
        <w:t>eského svazu ochránců přírody (ZO ČSOP)</w:t>
      </w:r>
      <w:r w:rsidR="00D37F53" w:rsidRPr="00B410CA">
        <w:rPr>
          <w:rFonts w:ascii="Arial" w:hAnsi="Arial" w:cs="Arial"/>
          <w:bCs/>
          <w:sz w:val="22"/>
          <w:szCs w:val="22"/>
        </w:rPr>
        <w:t xml:space="preserve"> </w:t>
      </w:r>
      <w:r w:rsidRPr="00B410CA">
        <w:rPr>
          <w:rFonts w:ascii="Arial" w:hAnsi="Arial" w:cs="Arial"/>
          <w:bCs/>
          <w:sz w:val="22"/>
          <w:szCs w:val="22"/>
        </w:rPr>
        <w:t>Brněnsko, dotace evropských prostředků činí 41 mil. Kč. Předmětem projektu je realizace vodních prvků – tůní, terénní úpravy, pozorovací stanoviště, bariéry pro bezpečnou migraci obojživelníků a vegetační doprovod. Realizací projektu dojde k regeneraci a k rozvoji biodiverzity daného území. Obnovená plocha činí 6,615 ha. Projekt finančně ukončen.</w:t>
      </w:r>
    </w:p>
    <w:p w14:paraId="6BA3B82E" w14:textId="77777777" w:rsidR="00F85762" w:rsidRPr="00B410CA" w:rsidRDefault="00F85762" w:rsidP="003D03B5">
      <w:pPr>
        <w:jc w:val="both"/>
        <w:rPr>
          <w:rFonts w:ascii="Arial" w:hAnsi="Arial" w:cs="Arial"/>
          <w:bCs/>
          <w:sz w:val="22"/>
          <w:szCs w:val="22"/>
        </w:rPr>
      </w:pPr>
    </w:p>
    <w:p w14:paraId="02DDC010" w14:textId="77777777" w:rsidR="00173FF7" w:rsidRPr="00B410CA" w:rsidRDefault="00173FF7" w:rsidP="003D03B5">
      <w:pPr>
        <w:jc w:val="both"/>
        <w:rPr>
          <w:rFonts w:ascii="Arial" w:hAnsi="Arial" w:cs="Arial"/>
          <w:bCs/>
          <w:sz w:val="22"/>
          <w:szCs w:val="22"/>
        </w:rPr>
      </w:pPr>
      <w:r w:rsidRPr="00B410CA">
        <w:rPr>
          <w:rFonts w:ascii="Arial" w:hAnsi="Arial" w:cs="Arial"/>
          <w:b/>
          <w:bCs/>
          <w:sz w:val="22"/>
          <w:szCs w:val="22"/>
        </w:rPr>
        <w:t>„Revitalizace vodního režimu krajiny – EKOFARM LIPNO s.r.o.“</w:t>
      </w:r>
      <w:r w:rsidRPr="00B410CA">
        <w:rPr>
          <w:rFonts w:ascii="Arial" w:hAnsi="Arial" w:cs="Arial"/>
          <w:bCs/>
          <w:sz w:val="22"/>
          <w:szCs w:val="22"/>
        </w:rPr>
        <w:t xml:space="preserve"> – příjemcem dotace je EKOFARM LIPNO s.r.o., dotace z evropských prostředků činí 4,9 mil. Kč. Projekt řeší obnovu vodního režimu krajiny na plochách, které byly dříve systematicky odvodněny. Jedná se o</w:t>
      </w:r>
      <w:r w:rsidR="006B1D9A">
        <w:rPr>
          <w:rFonts w:ascii="Arial" w:hAnsi="Arial" w:cs="Arial"/>
          <w:bCs/>
          <w:sz w:val="22"/>
          <w:szCs w:val="22"/>
        </w:rPr>
        <w:t> </w:t>
      </w:r>
      <w:r w:rsidRPr="00B410CA">
        <w:rPr>
          <w:rFonts w:ascii="Arial" w:hAnsi="Arial" w:cs="Arial"/>
          <w:bCs/>
          <w:sz w:val="22"/>
          <w:szCs w:val="22"/>
        </w:rPr>
        <w:t>vytvoření soustavy tůní jakožto biotopů propojených mělkými vodotečemi. Realizací akce dojde ke zvýšení retence povrchové a podzemní vody v krajině, zvýšení druhové rozmanitosti, zlepšení mikroklimatu a projekt bude mít pozitivní vliv na krajinný ráz území. Projekt v plné (fyzické i finanční) realizaci.</w:t>
      </w:r>
    </w:p>
    <w:p w14:paraId="101DE953" w14:textId="77777777" w:rsidR="00F85762" w:rsidRDefault="00F85762" w:rsidP="003D03B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68CE1E1" w14:textId="77777777" w:rsidR="00173FF7" w:rsidRDefault="00173FF7" w:rsidP="003D03B5">
      <w:pPr>
        <w:jc w:val="both"/>
        <w:rPr>
          <w:rFonts w:ascii="Arial" w:hAnsi="Arial" w:cs="Arial"/>
          <w:bCs/>
          <w:sz w:val="22"/>
          <w:szCs w:val="22"/>
        </w:rPr>
      </w:pPr>
      <w:r w:rsidRPr="00B410CA">
        <w:rPr>
          <w:rFonts w:ascii="Arial" w:hAnsi="Arial" w:cs="Arial"/>
          <w:b/>
          <w:bCs/>
          <w:sz w:val="22"/>
          <w:szCs w:val="22"/>
        </w:rPr>
        <w:t>„Obnova ekosystému odstavených ramen řeky Moravy“</w:t>
      </w:r>
      <w:r w:rsidRPr="00B410CA">
        <w:rPr>
          <w:rFonts w:ascii="Arial" w:hAnsi="Arial" w:cs="Arial"/>
          <w:bCs/>
          <w:sz w:val="22"/>
          <w:szCs w:val="22"/>
        </w:rPr>
        <w:t xml:space="preserve"> – příjemcem dotace je společnost Slepá ramena, z.</w:t>
      </w:r>
      <w:r w:rsidR="008D720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B410CA">
        <w:rPr>
          <w:rFonts w:ascii="Arial" w:hAnsi="Arial" w:cs="Arial"/>
          <w:bCs/>
          <w:sz w:val="22"/>
          <w:szCs w:val="22"/>
        </w:rPr>
        <w:t>ú.</w:t>
      </w:r>
      <w:proofErr w:type="spellEnd"/>
      <w:r w:rsidR="00514473">
        <w:rPr>
          <w:rFonts w:ascii="Arial" w:hAnsi="Arial" w:cs="Arial"/>
          <w:bCs/>
          <w:sz w:val="22"/>
          <w:szCs w:val="22"/>
        </w:rPr>
        <w:t>,</w:t>
      </w:r>
      <w:r w:rsidR="008D7206">
        <w:rPr>
          <w:rFonts w:ascii="Arial" w:hAnsi="Arial" w:cs="Arial"/>
          <w:bCs/>
          <w:sz w:val="22"/>
          <w:szCs w:val="22"/>
        </w:rPr>
        <w:t xml:space="preserve"> </w:t>
      </w:r>
      <w:r w:rsidRPr="00B410CA">
        <w:rPr>
          <w:rFonts w:ascii="Arial" w:hAnsi="Arial" w:cs="Arial"/>
          <w:bCs/>
          <w:sz w:val="22"/>
          <w:szCs w:val="22"/>
        </w:rPr>
        <w:t>dotace z evropských prostředků činí 208 mil. Kč. Projekt zahrnuje odtěžení nánosů z jednotlivých ramen, terénní úpravy, odstranění nepůvodních dřevin, rekonstrukci břehových porostů a mokřadu, provedení a oprav</w:t>
      </w:r>
      <w:r w:rsidR="006B1D9A">
        <w:rPr>
          <w:rFonts w:ascii="Arial" w:hAnsi="Arial" w:cs="Arial"/>
          <w:bCs/>
          <w:sz w:val="22"/>
          <w:szCs w:val="22"/>
        </w:rPr>
        <w:t>u</w:t>
      </w:r>
      <w:r w:rsidRPr="00B410CA">
        <w:rPr>
          <w:rFonts w:ascii="Arial" w:hAnsi="Arial" w:cs="Arial"/>
          <w:bCs/>
          <w:sz w:val="22"/>
          <w:szCs w:val="22"/>
        </w:rPr>
        <w:t xml:space="preserve"> napouštěcího a vypouštěcího objektu v hrázi řeky Moravy včetně rybího přechodu a propojení ramen. Cílem projektu je revitalizace slepých ramen, zejména obnovení propojení s řekou Moravou, vytvoření biotopů, zvýšení retenční schopnosti území, optimalizace hydrobiologických poměrů a zvýšení biodiverzity. Celková délka revitalizovaného toku je 3 542 m a plocha stanovišť činí 26,433 ha. Projekt v plné (fyzické i finanční) realizaci.</w:t>
      </w:r>
    </w:p>
    <w:p w14:paraId="45C26595" w14:textId="77777777" w:rsidR="00F85762" w:rsidRPr="00843696" w:rsidRDefault="00F85762" w:rsidP="003D03B5">
      <w:pPr>
        <w:jc w:val="both"/>
        <w:rPr>
          <w:rFonts w:ascii="Arial" w:hAnsi="Arial" w:cs="Arial"/>
          <w:b/>
          <w:sz w:val="22"/>
          <w:szCs w:val="22"/>
        </w:rPr>
      </w:pPr>
    </w:p>
    <w:p w14:paraId="4DBFCDBC" w14:textId="2853106D" w:rsidR="00173FF7" w:rsidRPr="00843696" w:rsidRDefault="00937B3C" w:rsidP="00CE44EC">
      <w:pP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843696">
        <w:rPr>
          <w:rFonts w:ascii="Arial" w:hAnsi="Arial" w:cs="Arial"/>
          <w:b/>
          <w:i/>
          <w:sz w:val="22"/>
          <w:szCs w:val="22"/>
        </w:rPr>
        <w:lastRenderedPageBreak/>
        <w:t xml:space="preserve">Prioritní osa 6: </w:t>
      </w:r>
      <w:r w:rsidR="00C17291" w:rsidRPr="00843696">
        <w:rPr>
          <w:rFonts w:ascii="Arial" w:hAnsi="Arial" w:cs="Arial"/>
          <w:b/>
          <w:i/>
          <w:sz w:val="22"/>
          <w:szCs w:val="22"/>
        </w:rPr>
        <w:t>„</w:t>
      </w:r>
      <w:r w:rsidR="00173FF7" w:rsidRPr="00843696">
        <w:rPr>
          <w:rFonts w:ascii="Arial" w:hAnsi="Arial" w:cs="Arial"/>
          <w:b/>
          <w:bCs/>
          <w:i/>
          <w:sz w:val="22"/>
          <w:szCs w:val="22"/>
        </w:rPr>
        <w:t>Technická pomoc OPŽP</w:t>
      </w:r>
      <w:r w:rsidR="00C17291" w:rsidRPr="00843696">
        <w:rPr>
          <w:rFonts w:ascii="Arial" w:hAnsi="Arial" w:cs="Arial"/>
          <w:b/>
          <w:bCs/>
          <w:i/>
          <w:sz w:val="22"/>
          <w:szCs w:val="22"/>
        </w:rPr>
        <w:t>“</w:t>
      </w:r>
    </w:p>
    <w:p w14:paraId="52447F82" w14:textId="77E1FC7C" w:rsidR="00F85762" w:rsidRPr="004A6D7C" w:rsidRDefault="00F85762" w:rsidP="003D03B5">
      <w:pPr>
        <w:jc w:val="both"/>
        <w:rPr>
          <w:rFonts w:ascii="Arial" w:hAnsi="Arial" w:cs="Arial"/>
          <w:sz w:val="22"/>
          <w:szCs w:val="22"/>
        </w:rPr>
      </w:pPr>
    </w:p>
    <w:p w14:paraId="5C8E204E" w14:textId="5D397533" w:rsidR="004D2161" w:rsidRPr="00D4777D" w:rsidRDefault="004D2161" w:rsidP="004D2161">
      <w:pPr>
        <w:jc w:val="both"/>
        <w:rPr>
          <w:rFonts w:ascii="Arial" w:hAnsi="Arial" w:cs="Arial"/>
          <w:sz w:val="22"/>
          <w:szCs w:val="22"/>
        </w:rPr>
      </w:pPr>
      <w:r w:rsidRPr="00D4777D">
        <w:rPr>
          <w:rFonts w:ascii="Arial" w:hAnsi="Arial" w:cs="Arial"/>
          <w:sz w:val="22"/>
          <w:szCs w:val="22"/>
        </w:rPr>
        <w:t>Specifický cíl 6.1</w:t>
      </w:r>
      <w:r w:rsidR="00DC28B6">
        <w:rPr>
          <w:rFonts w:ascii="Arial" w:hAnsi="Arial" w:cs="Arial"/>
          <w:sz w:val="22"/>
          <w:szCs w:val="22"/>
        </w:rPr>
        <w:t>:</w:t>
      </w:r>
      <w:r w:rsidRPr="00D4777D">
        <w:rPr>
          <w:rFonts w:ascii="Arial" w:hAnsi="Arial" w:cs="Arial"/>
          <w:sz w:val="22"/>
          <w:szCs w:val="22"/>
        </w:rPr>
        <w:t xml:space="preserve"> </w:t>
      </w:r>
      <w:r w:rsidR="00DC28B6">
        <w:rPr>
          <w:rFonts w:ascii="Arial" w:hAnsi="Arial" w:cs="Arial"/>
          <w:sz w:val="22"/>
          <w:szCs w:val="22"/>
        </w:rPr>
        <w:t>„</w:t>
      </w:r>
      <w:r w:rsidRPr="00D4777D">
        <w:rPr>
          <w:rFonts w:ascii="Arial" w:hAnsi="Arial" w:cs="Arial"/>
          <w:sz w:val="22"/>
          <w:szCs w:val="22"/>
        </w:rPr>
        <w:t>Zajistit řádné a efektivní řízení a administraci</w:t>
      </w:r>
      <w:r w:rsidR="00DC28B6">
        <w:rPr>
          <w:rFonts w:ascii="Arial" w:hAnsi="Arial" w:cs="Arial"/>
          <w:sz w:val="22"/>
          <w:szCs w:val="22"/>
        </w:rPr>
        <w:t>“</w:t>
      </w:r>
    </w:p>
    <w:p w14:paraId="537A2E85" w14:textId="39CB0D52" w:rsidR="004D2161" w:rsidRDefault="004D2161" w:rsidP="004D2161">
      <w:pPr>
        <w:jc w:val="both"/>
        <w:rPr>
          <w:rFonts w:ascii="Arial" w:hAnsi="Arial" w:cs="Arial"/>
          <w:sz w:val="22"/>
          <w:szCs w:val="22"/>
        </w:rPr>
      </w:pPr>
      <w:r w:rsidRPr="00D4777D">
        <w:rPr>
          <w:rFonts w:ascii="Arial" w:hAnsi="Arial" w:cs="Arial"/>
          <w:sz w:val="22"/>
          <w:szCs w:val="22"/>
        </w:rPr>
        <w:t xml:space="preserve">Hlavní zaměření </w:t>
      </w:r>
      <w:r w:rsidR="00DC28B6">
        <w:rPr>
          <w:rFonts w:ascii="Arial" w:hAnsi="Arial" w:cs="Arial"/>
          <w:sz w:val="22"/>
          <w:szCs w:val="22"/>
        </w:rPr>
        <w:t>specifického cíle</w:t>
      </w:r>
      <w:r w:rsidRPr="00D4777D">
        <w:rPr>
          <w:rFonts w:ascii="Arial" w:hAnsi="Arial" w:cs="Arial"/>
          <w:sz w:val="22"/>
          <w:szCs w:val="22"/>
        </w:rPr>
        <w:t xml:space="preserve"> 6.1 je </w:t>
      </w:r>
      <w:r>
        <w:rPr>
          <w:rFonts w:ascii="Arial" w:hAnsi="Arial" w:cs="Arial"/>
          <w:sz w:val="22"/>
          <w:szCs w:val="22"/>
        </w:rPr>
        <w:t>zajištění pracovníků, jejich vybavení a dále studií a</w:t>
      </w:r>
      <w:r w:rsidR="00DC28B6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analýz k podpoře operačního programu.</w:t>
      </w:r>
    </w:p>
    <w:p w14:paraId="6669E0DD" w14:textId="5E48C5F7" w:rsidR="004D2161" w:rsidRPr="00D4777D" w:rsidRDefault="004D2161" w:rsidP="004D2161">
      <w:pPr>
        <w:jc w:val="both"/>
        <w:rPr>
          <w:rFonts w:ascii="Arial" w:hAnsi="Arial" w:cs="Arial"/>
          <w:sz w:val="22"/>
          <w:szCs w:val="22"/>
        </w:rPr>
      </w:pPr>
      <w:r w:rsidRPr="00D4777D">
        <w:rPr>
          <w:rFonts w:ascii="Arial" w:hAnsi="Arial" w:cs="Arial"/>
          <w:sz w:val="22"/>
          <w:szCs w:val="22"/>
        </w:rPr>
        <w:t>Specifický cíl 6.2</w:t>
      </w:r>
      <w:r w:rsidR="00DC28B6">
        <w:rPr>
          <w:rFonts w:ascii="Arial" w:hAnsi="Arial" w:cs="Arial"/>
          <w:sz w:val="22"/>
          <w:szCs w:val="22"/>
        </w:rPr>
        <w:t>:</w:t>
      </w:r>
      <w:r w:rsidRPr="00D4777D">
        <w:rPr>
          <w:rFonts w:ascii="Arial" w:hAnsi="Arial" w:cs="Arial"/>
          <w:sz w:val="22"/>
          <w:szCs w:val="22"/>
        </w:rPr>
        <w:t xml:space="preserve"> </w:t>
      </w:r>
      <w:r w:rsidR="00DC28B6">
        <w:rPr>
          <w:rFonts w:ascii="Arial" w:hAnsi="Arial" w:cs="Arial"/>
          <w:sz w:val="22"/>
          <w:szCs w:val="22"/>
        </w:rPr>
        <w:t>„</w:t>
      </w:r>
      <w:r w:rsidRPr="00D4777D">
        <w:rPr>
          <w:rFonts w:ascii="Arial" w:hAnsi="Arial" w:cs="Arial"/>
          <w:sz w:val="22"/>
          <w:szCs w:val="22"/>
        </w:rPr>
        <w:t>Zajistit informovanost, publicitu a absorpční kapacitu</w:t>
      </w:r>
      <w:r w:rsidR="00DC28B6">
        <w:rPr>
          <w:rFonts w:ascii="Arial" w:hAnsi="Arial" w:cs="Arial"/>
          <w:sz w:val="22"/>
          <w:szCs w:val="22"/>
        </w:rPr>
        <w:t>“</w:t>
      </w:r>
    </w:p>
    <w:p w14:paraId="06E4623E" w14:textId="000BACEE" w:rsidR="004D2161" w:rsidRPr="00D4777D" w:rsidRDefault="004D2161" w:rsidP="004D2161">
      <w:pPr>
        <w:jc w:val="both"/>
        <w:rPr>
          <w:rFonts w:ascii="Arial" w:hAnsi="Arial" w:cs="Arial"/>
          <w:bCs/>
          <w:sz w:val="22"/>
          <w:szCs w:val="22"/>
        </w:rPr>
      </w:pPr>
      <w:r w:rsidRPr="00D4777D">
        <w:rPr>
          <w:rFonts w:ascii="Arial" w:hAnsi="Arial" w:cs="Arial"/>
          <w:sz w:val="22"/>
          <w:szCs w:val="22"/>
        </w:rPr>
        <w:t>Hlavní zaměření</w:t>
      </w:r>
      <w:r w:rsidRPr="00D4777D">
        <w:rPr>
          <w:rFonts w:ascii="Arial" w:hAnsi="Arial" w:cs="Arial"/>
          <w:bCs/>
          <w:sz w:val="22"/>
          <w:szCs w:val="22"/>
        </w:rPr>
        <w:t xml:space="preserve"> </w:t>
      </w:r>
      <w:r w:rsidR="00DC28B6">
        <w:rPr>
          <w:rFonts w:ascii="Arial" w:hAnsi="Arial" w:cs="Arial"/>
          <w:bCs/>
          <w:sz w:val="22"/>
          <w:szCs w:val="22"/>
        </w:rPr>
        <w:t>specifického cíle</w:t>
      </w:r>
      <w:r w:rsidRPr="00D4777D">
        <w:rPr>
          <w:rFonts w:ascii="Arial" w:hAnsi="Arial" w:cs="Arial"/>
          <w:bCs/>
          <w:sz w:val="22"/>
          <w:szCs w:val="22"/>
        </w:rPr>
        <w:t xml:space="preserve"> 6.2 je podpora informovanosti žadatelů a příjemců a zvýšení absorpční kapacity.</w:t>
      </w:r>
    </w:p>
    <w:p w14:paraId="0299A3D8" w14:textId="77777777" w:rsidR="004D2161" w:rsidRPr="00436C2D" w:rsidRDefault="004D2161" w:rsidP="004D2161">
      <w:pPr>
        <w:jc w:val="both"/>
        <w:rPr>
          <w:rFonts w:ascii="Arial" w:hAnsi="Arial" w:cs="Arial"/>
          <w:bCs/>
          <w:sz w:val="22"/>
          <w:szCs w:val="22"/>
        </w:rPr>
      </w:pPr>
    </w:p>
    <w:p w14:paraId="5B2F353D" w14:textId="7E4C7A85" w:rsidR="004D2161" w:rsidRDefault="004D2161" w:rsidP="004D216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Příjemci dotace jsou Řídící orgán OPŽP – </w:t>
      </w:r>
      <w:r w:rsidR="00DC28B6">
        <w:rPr>
          <w:rFonts w:ascii="Arial" w:hAnsi="Arial" w:cs="Arial"/>
          <w:sz w:val="22"/>
          <w:szCs w:val="22"/>
        </w:rPr>
        <w:t>MŽP</w:t>
      </w:r>
      <w:r>
        <w:rPr>
          <w:rFonts w:ascii="Arial" w:hAnsi="Arial" w:cs="Arial"/>
          <w:sz w:val="22"/>
          <w:szCs w:val="22"/>
        </w:rPr>
        <w:t xml:space="preserve"> a dva Zprostředkující </w:t>
      </w:r>
      <w:r w:rsidR="00D37F53">
        <w:rPr>
          <w:rFonts w:ascii="Arial" w:hAnsi="Arial" w:cs="Arial"/>
          <w:sz w:val="22"/>
          <w:szCs w:val="22"/>
        </w:rPr>
        <w:t>subjekty: Státní fond životního prostředí ČR (dále jen „</w:t>
      </w:r>
      <w:r>
        <w:rPr>
          <w:rFonts w:ascii="Arial" w:hAnsi="Arial" w:cs="Arial"/>
          <w:sz w:val="22"/>
          <w:szCs w:val="22"/>
        </w:rPr>
        <w:t>SFŽP ČR</w:t>
      </w:r>
      <w:r w:rsidR="00D37F53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 a</w:t>
      </w:r>
      <w:r w:rsidR="00DC28B6">
        <w:rPr>
          <w:rFonts w:ascii="Arial" w:hAnsi="Arial" w:cs="Arial"/>
          <w:sz w:val="22"/>
          <w:szCs w:val="22"/>
        </w:rPr>
        <w:t> </w:t>
      </w:r>
      <w:r w:rsidR="00D37F53" w:rsidRPr="006865EB">
        <w:rPr>
          <w:rFonts w:ascii="Arial" w:hAnsi="Arial" w:cs="Arial"/>
          <w:sz w:val="22"/>
          <w:szCs w:val="22"/>
        </w:rPr>
        <w:t>Agentur</w:t>
      </w:r>
      <w:r w:rsidR="00D37F53">
        <w:rPr>
          <w:rFonts w:ascii="Arial" w:hAnsi="Arial" w:cs="Arial"/>
          <w:sz w:val="22"/>
          <w:szCs w:val="22"/>
        </w:rPr>
        <w:t>a</w:t>
      </w:r>
      <w:r w:rsidR="00D37F53" w:rsidRPr="006865EB">
        <w:rPr>
          <w:rFonts w:ascii="Arial" w:hAnsi="Arial" w:cs="Arial"/>
          <w:sz w:val="22"/>
          <w:szCs w:val="22"/>
        </w:rPr>
        <w:t xml:space="preserve"> ochrany přírody a krajiny ČR (dále „AOPK“)</w:t>
      </w:r>
      <w:r w:rsidR="00647E4F">
        <w:rPr>
          <w:rFonts w:ascii="Arial" w:hAnsi="Arial" w:cs="Arial"/>
          <w:sz w:val="22"/>
          <w:szCs w:val="22"/>
        </w:rPr>
        <w:t>.</w:t>
      </w:r>
    </w:p>
    <w:p w14:paraId="33EB4BF7" w14:textId="77777777" w:rsidR="004D2161" w:rsidRDefault="004D2161" w:rsidP="003D03B5">
      <w:pPr>
        <w:jc w:val="both"/>
        <w:rPr>
          <w:rFonts w:ascii="Arial" w:hAnsi="Arial" w:cs="Arial"/>
          <w:sz w:val="22"/>
          <w:szCs w:val="22"/>
        </w:rPr>
      </w:pPr>
    </w:p>
    <w:p w14:paraId="28DC92BE" w14:textId="544D2ADF" w:rsidR="00173FF7" w:rsidRDefault="00173FF7" w:rsidP="003D03B5">
      <w:pPr>
        <w:jc w:val="both"/>
        <w:rPr>
          <w:rFonts w:ascii="Arial" w:hAnsi="Arial" w:cs="Arial"/>
          <w:sz w:val="22"/>
          <w:szCs w:val="22"/>
        </w:rPr>
      </w:pPr>
      <w:r w:rsidRPr="00CE3D0C">
        <w:rPr>
          <w:rFonts w:ascii="Arial" w:hAnsi="Arial" w:cs="Arial"/>
          <w:sz w:val="22"/>
          <w:szCs w:val="22"/>
        </w:rPr>
        <w:t>V období 2018</w:t>
      </w:r>
      <w:r>
        <w:rPr>
          <w:rFonts w:ascii="Arial" w:hAnsi="Arial" w:cs="Arial"/>
          <w:sz w:val="22"/>
          <w:szCs w:val="22"/>
        </w:rPr>
        <w:t>–2020</w:t>
      </w:r>
      <w:r w:rsidRPr="00CE3D0C">
        <w:rPr>
          <w:rFonts w:ascii="Arial" w:hAnsi="Arial" w:cs="Arial"/>
          <w:sz w:val="22"/>
          <w:szCs w:val="22"/>
        </w:rPr>
        <w:t xml:space="preserve"> byly v rámci Technické pomoci OPŽP 2014</w:t>
      </w:r>
      <w:r>
        <w:rPr>
          <w:rFonts w:ascii="Arial" w:hAnsi="Arial" w:cs="Arial"/>
          <w:sz w:val="22"/>
          <w:szCs w:val="22"/>
        </w:rPr>
        <w:t>–2020</w:t>
      </w:r>
      <w:r w:rsidRPr="00CE3D0C">
        <w:rPr>
          <w:rFonts w:ascii="Arial" w:hAnsi="Arial" w:cs="Arial"/>
          <w:sz w:val="22"/>
          <w:szCs w:val="22"/>
        </w:rPr>
        <w:t xml:space="preserve"> a v souvislosti s</w:t>
      </w:r>
      <w:r w:rsidR="00937B3C">
        <w:rPr>
          <w:rFonts w:ascii="Arial" w:hAnsi="Arial" w:cs="Arial"/>
          <w:sz w:val="22"/>
          <w:szCs w:val="22"/>
        </w:rPr>
        <w:t> </w:t>
      </w:r>
      <w:r w:rsidRPr="00CE3D0C">
        <w:rPr>
          <w:rFonts w:ascii="Arial" w:hAnsi="Arial" w:cs="Arial"/>
          <w:sz w:val="22"/>
          <w:szCs w:val="22"/>
        </w:rPr>
        <w:t>přípravou programového období 2021–2027 podpořeny následující aktivity</w:t>
      </w:r>
      <w:r w:rsidR="008A74AA">
        <w:rPr>
          <w:rFonts w:ascii="Arial" w:hAnsi="Arial" w:cs="Arial"/>
          <w:sz w:val="22"/>
          <w:szCs w:val="22"/>
        </w:rPr>
        <w:t xml:space="preserve"> v celkové výši 0,799 mil. Kč</w:t>
      </w:r>
      <w:r w:rsidRPr="00CE3D0C">
        <w:rPr>
          <w:rFonts w:ascii="Arial" w:hAnsi="Arial" w:cs="Arial"/>
          <w:sz w:val="22"/>
          <w:szCs w:val="22"/>
        </w:rPr>
        <w:t>:</w:t>
      </w:r>
    </w:p>
    <w:p w14:paraId="30F647CF" w14:textId="77777777" w:rsidR="00F85762" w:rsidRDefault="00F85762" w:rsidP="003D03B5">
      <w:pPr>
        <w:jc w:val="both"/>
        <w:rPr>
          <w:rFonts w:ascii="Arial" w:hAnsi="Arial" w:cs="Arial"/>
          <w:sz w:val="22"/>
          <w:szCs w:val="22"/>
        </w:rPr>
      </w:pPr>
    </w:p>
    <w:p w14:paraId="732DA04B" w14:textId="7E4D7301" w:rsidR="00173FF7" w:rsidRPr="00CE44EC" w:rsidRDefault="00173FF7" w:rsidP="006865EB">
      <w:pPr>
        <w:pStyle w:val="Odstavecseseznamem"/>
        <w:numPr>
          <w:ilvl w:val="0"/>
          <w:numId w:val="34"/>
        </w:numPr>
        <w:tabs>
          <w:tab w:val="left" w:pos="66"/>
        </w:tabs>
        <w:ind w:left="0" w:firstLine="66"/>
        <w:jc w:val="both"/>
        <w:rPr>
          <w:rFonts w:ascii="Arial" w:hAnsi="Arial" w:cs="Arial"/>
          <w:sz w:val="22"/>
          <w:szCs w:val="22"/>
        </w:rPr>
      </w:pPr>
      <w:r w:rsidRPr="00CE44EC">
        <w:rPr>
          <w:rFonts w:ascii="Arial" w:hAnsi="Arial" w:cs="Arial"/>
          <w:sz w:val="22"/>
          <w:szCs w:val="22"/>
          <w:u w:val="single"/>
        </w:rPr>
        <w:t xml:space="preserve">Analýza pro podrobné stanovení podporovaných aktivit v rámci OPŽP 2021–2027 pro oblast zmírňování negativních dopadů sucha a předcházení stavu nedostatku vody. </w:t>
      </w:r>
      <w:r w:rsidRPr="00CE44EC">
        <w:rPr>
          <w:rFonts w:ascii="Arial" w:hAnsi="Arial" w:cs="Arial"/>
          <w:sz w:val="22"/>
          <w:szCs w:val="22"/>
        </w:rPr>
        <w:t xml:space="preserve">Cílem Analýzy je definovat vhodné aktivity a opatření vedoucí ke zmírnění negativních dopadů sucha v kontextu změny klimatu, které budou obsaženy ve </w:t>
      </w:r>
      <w:r w:rsidR="00937B3C" w:rsidRPr="00CE44EC">
        <w:rPr>
          <w:rFonts w:ascii="Arial" w:hAnsi="Arial" w:cs="Arial"/>
          <w:sz w:val="22"/>
          <w:szCs w:val="22"/>
        </w:rPr>
        <w:t xml:space="preserve">specifickém cíli </w:t>
      </w:r>
      <w:r w:rsidRPr="00CE44EC">
        <w:rPr>
          <w:rFonts w:ascii="Arial" w:hAnsi="Arial" w:cs="Arial"/>
          <w:sz w:val="22"/>
          <w:szCs w:val="22"/>
        </w:rPr>
        <w:t xml:space="preserve">2.4 Podpora přizpůsobení se změnám klimatu, prevence rizik a odolnosti vůči katastrofám. Součástí Analýzy je též návrh specifikace podporovaných aktivit, analýza </w:t>
      </w:r>
      <w:proofErr w:type="spellStart"/>
      <w:r w:rsidRPr="00CE44EC">
        <w:rPr>
          <w:rFonts w:ascii="Arial" w:hAnsi="Arial" w:cs="Arial"/>
          <w:sz w:val="22"/>
          <w:szCs w:val="22"/>
        </w:rPr>
        <w:t>absorbční</w:t>
      </w:r>
      <w:proofErr w:type="spellEnd"/>
      <w:r w:rsidRPr="00CE44EC">
        <w:rPr>
          <w:rFonts w:ascii="Arial" w:hAnsi="Arial" w:cs="Arial"/>
          <w:sz w:val="22"/>
          <w:szCs w:val="22"/>
        </w:rPr>
        <w:t xml:space="preserve"> kapacity, návrh vhodných indikátorů a</w:t>
      </w:r>
      <w:r w:rsidR="00786D0F">
        <w:rPr>
          <w:rFonts w:ascii="Arial" w:hAnsi="Arial" w:cs="Arial"/>
          <w:sz w:val="22"/>
          <w:szCs w:val="22"/>
        </w:rPr>
        <w:t> </w:t>
      </w:r>
      <w:r w:rsidRPr="00CE44EC">
        <w:rPr>
          <w:rFonts w:ascii="Arial" w:hAnsi="Arial" w:cs="Arial"/>
          <w:sz w:val="22"/>
          <w:szCs w:val="22"/>
        </w:rPr>
        <w:t xml:space="preserve">další podklady potřebné pro konstrukci programového dokumentu. </w:t>
      </w:r>
    </w:p>
    <w:p w14:paraId="386B641E" w14:textId="77777777" w:rsidR="00F85762" w:rsidRDefault="00F85762" w:rsidP="003D03B5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0AECAAF1" w14:textId="7EEB46BF" w:rsidR="00173FF7" w:rsidRPr="006865EB" w:rsidRDefault="00173FF7" w:rsidP="006865EB">
      <w:pPr>
        <w:jc w:val="both"/>
        <w:rPr>
          <w:rFonts w:ascii="Arial" w:hAnsi="Arial" w:cs="Arial"/>
          <w:bCs/>
          <w:sz w:val="22"/>
          <w:szCs w:val="22"/>
        </w:rPr>
      </w:pPr>
      <w:r w:rsidRPr="006865EB">
        <w:rPr>
          <w:rFonts w:ascii="Arial" w:hAnsi="Arial" w:cs="Arial"/>
          <w:sz w:val="22"/>
          <w:szCs w:val="22"/>
        </w:rPr>
        <w:t>Opatření pro zvýšení absorpční kapacity OPŽP obecně, která vzešla z dotazníkového šetření mezi pracovníky</w:t>
      </w:r>
      <w:r w:rsidR="00D37F53">
        <w:rPr>
          <w:rFonts w:ascii="Arial" w:hAnsi="Arial" w:cs="Arial"/>
          <w:sz w:val="22"/>
          <w:szCs w:val="22"/>
        </w:rPr>
        <w:t xml:space="preserve"> AOPK</w:t>
      </w:r>
      <w:r w:rsidRPr="006865EB">
        <w:rPr>
          <w:rFonts w:ascii="Arial" w:hAnsi="Arial" w:cs="Arial"/>
          <w:sz w:val="22"/>
          <w:szCs w:val="22"/>
        </w:rPr>
        <w:t>, zahrnují následující kroky – zjednodušení pravidel pro žadatele včetně zjednodušení programového prostředí pro zpracovávání žádostí (značné procento potenciálních žadatelů nežádá z důvodů složitosti administrace), ponechání pravidel pro žadatele beze změn po delší dobu (alespoň rok), zvýšení míry podpory u některých aktivit (zejména specifický cíl 4.4).</w:t>
      </w:r>
    </w:p>
    <w:p w14:paraId="3466A370" w14:textId="77777777" w:rsidR="00173FF7" w:rsidRDefault="00173FF7" w:rsidP="003D03B5">
      <w:pPr>
        <w:pStyle w:val="Odstavecseseznamem"/>
        <w:ind w:left="0"/>
        <w:jc w:val="both"/>
        <w:rPr>
          <w:rFonts w:ascii="Arial" w:hAnsi="Arial" w:cs="Arial"/>
          <w:bCs/>
          <w:sz w:val="22"/>
          <w:szCs w:val="22"/>
        </w:rPr>
      </w:pPr>
      <w:r w:rsidRPr="0062045B">
        <w:rPr>
          <w:rFonts w:ascii="Arial" w:hAnsi="Arial" w:cs="Arial"/>
          <w:bCs/>
          <w:sz w:val="22"/>
          <w:szCs w:val="22"/>
        </w:rPr>
        <w:t xml:space="preserve"> </w:t>
      </w:r>
    </w:p>
    <w:p w14:paraId="6098C8E4" w14:textId="23061A07" w:rsidR="00173FF7" w:rsidRPr="006865EB" w:rsidRDefault="00173FF7" w:rsidP="006865EB">
      <w:pPr>
        <w:jc w:val="both"/>
        <w:rPr>
          <w:rFonts w:ascii="Arial" w:hAnsi="Arial" w:cs="Arial"/>
          <w:bCs/>
          <w:sz w:val="22"/>
          <w:szCs w:val="22"/>
        </w:rPr>
      </w:pPr>
      <w:r w:rsidRPr="006865EB">
        <w:rPr>
          <w:rFonts w:ascii="Arial" w:hAnsi="Arial" w:cs="Arial"/>
          <w:bCs/>
          <w:sz w:val="22"/>
          <w:szCs w:val="22"/>
        </w:rPr>
        <w:t xml:space="preserve">Celkové </w:t>
      </w:r>
      <w:r w:rsidR="0022666D">
        <w:rPr>
          <w:rFonts w:ascii="Arial" w:hAnsi="Arial" w:cs="Arial"/>
          <w:bCs/>
          <w:sz w:val="22"/>
          <w:szCs w:val="22"/>
        </w:rPr>
        <w:t>výdaje</w:t>
      </w:r>
      <w:r w:rsidRPr="006865EB">
        <w:rPr>
          <w:rFonts w:ascii="Arial" w:hAnsi="Arial" w:cs="Arial"/>
          <w:bCs/>
          <w:sz w:val="22"/>
          <w:szCs w:val="22"/>
        </w:rPr>
        <w:t>: 200 000,- Kč</w:t>
      </w:r>
    </w:p>
    <w:p w14:paraId="605FBE6C" w14:textId="77777777" w:rsidR="00173FF7" w:rsidRDefault="00173FF7" w:rsidP="003D03B5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54192F24" w14:textId="77777777" w:rsidR="00173FF7" w:rsidRPr="00CE44EC" w:rsidRDefault="00173FF7" w:rsidP="006865EB">
      <w:pPr>
        <w:pStyle w:val="Odstavecseseznamem"/>
        <w:numPr>
          <w:ilvl w:val="0"/>
          <w:numId w:val="34"/>
        </w:numPr>
        <w:ind w:left="0" w:firstLine="66"/>
        <w:jc w:val="both"/>
        <w:rPr>
          <w:rFonts w:ascii="Arial" w:hAnsi="Arial" w:cs="Arial"/>
          <w:sz w:val="22"/>
          <w:szCs w:val="22"/>
          <w:u w:val="single"/>
        </w:rPr>
      </w:pPr>
      <w:r w:rsidRPr="00CE44EC">
        <w:rPr>
          <w:rFonts w:ascii="Arial" w:hAnsi="Arial" w:cs="Arial"/>
          <w:sz w:val="22"/>
          <w:szCs w:val="22"/>
          <w:u w:val="single"/>
        </w:rPr>
        <w:t>Zpracování nezávislé odborné analýzy pro podrobné stanovení podporovaných aktivit v rámci OPŽP 2021–2027 v oblasti ochrany před povodněmi, vypracování analýzy OPŽP 2014–2020, která poskytne informace o příčinách stavu čerpání prostředků v minulém programovém období a povede k návrhu podporovaných aktivit/projektů, které se pozitivně projeví v oblasti ochrany před povodněmi v období 2021–2027.</w:t>
      </w:r>
    </w:p>
    <w:p w14:paraId="65326639" w14:textId="77777777" w:rsidR="00F85762" w:rsidRDefault="00F85762" w:rsidP="00F85762">
      <w:pPr>
        <w:jc w:val="both"/>
        <w:rPr>
          <w:rFonts w:ascii="Arial" w:hAnsi="Arial" w:cs="Arial"/>
          <w:sz w:val="22"/>
          <w:szCs w:val="22"/>
        </w:rPr>
      </w:pPr>
    </w:p>
    <w:p w14:paraId="598872FF" w14:textId="7F9060CC" w:rsidR="00173FF7" w:rsidRPr="00E865CD" w:rsidRDefault="00173FF7" w:rsidP="006865EB">
      <w:pPr>
        <w:jc w:val="both"/>
        <w:rPr>
          <w:rFonts w:ascii="Arial" w:hAnsi="Arial" w:cs="Arial"/>
          <w:sz w:val="22"/>
          <w:szCs w:val="22"/>
        </w:rPr>
      </w:pPr>
      <w:r w:rsidRPr="00E865CD">
        <w:rPr>
          <w:rFonts w:ascii="Arial" w:hAnsi="Arial" w:cs="Arial"/>
          <w:sz w:val="22"/>
          <w:szCs w:val="22"/>
        </w:rPr>
        <w:t xml:space="preserve">Zpracovatelský tým vyhodnotil a převzal vhodné aktivity podporované v programovém období 2014–2020 a doplnil je o návrhy opatření, které zatím podporovány nebyly, ale </w:t>
      </w:r>
      <w:r w:rsidR="004C70D7">
        <w:rPr>
          <w:rFonts w:ascii="Arial" w:hAnsi="Arial" w:cs="Arial"/>
          <w:sz w:val="22"/>
          <w:szCs w:val="22"/>
        </w:rPr>
        <w:t>přiměřeně</w:t>
      </w:r>
      <w:r w:rsidR="004C70D7" w:rsidRPr="00E865CD">
        <w:rPr>
          <w:rFonts w:ascii="Arial" w:hAnsi="Arial" w:cs="Arial"/>
          <w:sz w:val="22"/>
          <w:szCs w:val="22"/>
        </w:rPr>
        <w:t xml:space="preserve"> </w:t>
      </w:r>
      <w:r w:rsidRPr="00E865CD">
        <w:rPr>
          <w:rFonts w:ascii="Arial" w:hAnsi="Arial" w:cs="Arial"/>
          <w:sz w:val="22"/>
          <w:szCs w:val="22"/>
        </w:rPr>
        <w:t>doplní oblast ochrany před povodněmi pro všechny její aspekty</w:t>
      </w:r>
      <w:r>
        <w:rPr>
          <w:rFonts w:ascii="Arial" w:hAnsi="Arial" w:cs="Arial"/>
          <w:sz w:val="22"/>
          <w:szCs w:val="22"/>
        </w:rPr>
        <w:t>,</w:t>
      </w:r>
      <w:r w:rsidRPr="00E865CD">
        <w:rPr>
          <w:rFonts w:ascii="Arial" w:hAnsi="Arial" w:cs="Arial"/>
          <w:sz w:val="22"/>
          <w:szCs w:val="22"/>
        </w:rPr>
        <w:t xml:space="preserve"> jimiž jsou prevence rizik, ochrana před ohrožením, připravenost a obnova a poučení. </w:t>
      </w:r>
    </w:p>
    <w:p w14:paraId="62B075C1" w14:textId="77777777" w:rsidR="00173FF7" w:rsidRDefault="00173FF7" w:rsidP="00AF2931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26A25424" w14:textId="77777777" w:rsidR="00173FF7" w:rsidRPr="00E865CD" w:rsidRDefault="00173FF7" w:rsidP="006865EB">
      <w:pPr>
        <w:jc w:val="both"/>
        <w:rPr>
          <w:rFonts w:ascii="Arial" w:hAnsi="Arial" w:cs="Arial"/>
          <w:sz w:val="22"/>
          <w:szCs w:val="22"/>
        </w:rPr>
      </w:pPr>
      <w:r w:rsidRPr="00E865CD">
        <w:rPr>
          <w:rFonts w:ascii="Arial" w:hAnsi="Arial" w:cs="Arial"/>
          <w:sz w:val="22"/>
          <w:szCs w:val="22"/>
        </w:rPr>
        <w:t>Pro podporu z OPŽP bylo navrženo celkem 16 opatření rozdělených do 4 typů a to:</w:t>
      </w:r>
    </w:p>
    <w:p w14:paraId="3C82B98D" w14:textId="77777777" w:rsidR="00173FF7" w:rsidRPr="00E865CD" w:rsidRDefault="00173FF7" w:rsidP="00AF2931">
      <w:pPr>
        <w:pStyle w:val="Odstavecseseznamem"/>
        <w:numPr>
          <w:ilvl w:val="0"/>
          <w:numId w:val="33"/>
        </w:numPr>
        <w:suppressAutoHyphens/>
        <w:autoSpaceDN w:val="0"/>
        <w:ind w:left="1276" w:hanging="357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E865CD">
        <w:rPr>
          <w:rFonts w:ascii="Arial" w:hAnsi="Arial" w:cs="Arial"/>
          <w:sz w:val="22"/>
          <w:szCs w:val="22"/>
        </w:rPr>
        <w:t>Zpracování podkladových materiálů a studií (5)</w:t>
      </w:r>
    </w:p>
    <w:p w14:paraId="7E153335" w14:textId="77777777" w:rsidR="00173FF7" w:rsidRPr="00E865CD" w:rsidRDefault="00173FF7" w:rsidP="00AF2931">
      <w:pPr>
        <w:pStyle w:val="Odstavecseseznamem"/>
        <w:numPr>
          <w:ilvl w:val="0"/>
          <w:numId w:val="33"/>
        </w:numPr>
        <w:suppressAutoHyphens/>
        <w:autoSpaceDN w:val="0"/>
        <w:ind w:left="1276" w:hanging="357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E865CD">
        <w:rPr>
          <w:rFonts w:ascii="Arial" w:hAnsi="Arial" w:cs="Arial"/>
          <w:sz w:val="22"/>
          <w:szCs w:val="22"/>
        </w:rPr>
        <w:t>Edukační a propagační opatření (1)</w:t>
      </w:r>
    </w:p>
    <w:p w14:paraId="0E5A620E" w14:textId="77777777" w:rsidR="00173FF7" w:rsidRPr="00E865CD" w:rsidRDefault="00173FF7" w:rsidP="00AF2931">
      <w:pPr>
        <w:pStyle w:val="Odstavecseseznamem"/>
        <w:numPr>
          <w:ilvl w:val="0"/>
          <w:numId w:val="33"/>
        </w:numPr>
        <w:suppressAutoHyphens/>
        <w:autoSpaceDN w:val="0"/>
        <w:ind w:left="1276" w:hanging="357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E865CD">
        <w:rPr>
          <w:rFonts w:ascii="Arial" w:hAnsi="Arial" w:cs="Arial"/>
          <w:sz w:val="22"/>
          <w:szCs w:val="22"/>
        </w:rPr>
        <w:t>Organizační opatření (3)</w:t>
      </w:r>
    </w:p>
    <w:p w14:paraId="3C7078D8" w14:textId="77777777" w:rsidR="00173FF7" w:rsidRPr="00E865CD" w:rsidRDefault="00173FF7" w:rsidP="00AF2931">
      <w:pPr>
        <w:pStyle w:val="Odstavecseseznamem"/>
        <w:numPr>
          <w:ilvl w:val="0"/>
          <w:numId w:val="33"/>
        </w:numPr>
        <w:suppressAutoHyphens/>
        <w:autoSpaceDN w:val="0"/>
        <w:ind w:left="1276" w:hanging="357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E865CD">
        <w:rPr>
          <w:rFonts w:ascii="Arial" w:hAnsi="Arial" w:cs="Arial"/>
          <w:sz w:val="22"/>
          <w:szCs w:val="22"/>
        </w:rPr>
        <w:t>Investiční opatření (7)</w:t>
      </w:r>
    </w:p>
    <w:p w14:paraId="41D8D46E" w14:textId="77777777" w:rsidR="00F85762" w:rsidRDefault="00F85762" w:rsidP="00AF2931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365A5142" w14:textId="77777777" w:rsidR="00173FF7" w:rsidRPr="00DC7E11" w:rsidRDefault="00173FF7" w:rsidP="006865EB">
      <w:pPr>
        <w:jc w:val="both"/>
        <w:rPr>
          <w:rFonts w:ascii="Arial" w:hAnsi="Arial" w:cs="Arial"/>
          <w:sz w:val="22"/>
          <w:szCs w:val="22"/>
        </w:rPr>
      </w:pPr>
      <w:r w:rsidRPr="00E865CD">
        <w:rPr>
          <w:rFonts w:ascii="Arial" w:hAnsi="Arial" w:cs="Arial"/>
          <w:sz w:val="22"/>
          <w:szCs w:val="22"/>
        </w:rPr>
        <w:t xml:space="preserve">Pro jednotlivé návrhy opatření pak byly zpracovány jednotné listy opatření s jejich popisem </w:t>
      </w:r>
      <w:r w:rsidR="00937B3C" w:rsidRPr="00E865CD">
        <w:rPr>
          <w:rFonts w:ascii="Arial" w:hAnsi="Arial" w:cs="Arial"/>
          <w:sz w:val="22"/>
          <w:szCs w:val="22"/>
        </w:rPr>
        <w:t>a</w:t>
      </w:r>
      <w:r w:rsidR="00937B3C">
        <w:rPr>
          <w:rFonts w:ascii="Arial" w:hAnsi="Arial" w:cs="Arial"/>
          <w:sz w:val="22"/>
          <w:szCs w:val="22"/>
        </w:rPr>
        <w:t> </w:t>
      </w:r>
      <w:r w:rsidRPr="00E865CD">
        <w:rPr>
          <w:rFonts w:ascii="Arial" w:hAnsi="Arial" w:cs="Arial"/>
          <w:sz w:val="22"/>
          <w:szCs w:val="22"/>
        </w:rPr>
        <w:t xml:space="preserve">dalšími požadovanými informacemi. </w:t>
      </w:r>
    </w:p>
    <w:p w14:paraId="41EC2DE3" w14:textId="77777777" w:rsidR="00F85762" w:rsidRDefault="00F85762" w:rsidP="003D03B5">
      <w:pPr>
        <w:pStyle w:val="Odstavecseseznamem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1CA9404C" w14:textId="3C215622" w:rsidR="00173FF7" w:rsidRPr="006865EB" w:rsidRDefault="00173FF7" w:rsidP="006865EB">
      <w:pPr>
        <w:jc w:val="both"/>
        <w:rPr>
          <w:rFonts w:ascii="Arial" w:hAnsi="Arial" w:cs="Arial"/>
          <w:bCs/>
          <w:sz w:val="22"/>
          <w:szCs w:val="22"/>
        </w:rPr>
      </w:pPr>
      <w:r w:rsidRPr="006865EB">
        <w:rPr>
          <w:rFonts w:ascii="Arial" w:hAnsi="Arial" w:cs="Arial"/>
          <w:bCs/>
          <w:sz w:val="22"/>
          <w:szCs w:val="22"/>
        </w:rPr>
        <w:t xml:space="preserve">Celkové </w:t>
      </w:r>
      <w:r w:rsidR="0022666D">
        <w:rPr>
          <w:rFonts w:ascii="Arial" w:hAnsi="Arial" w:cs="Arial"/>
          <w:bCs/>
          <w:sz w:val="22"/>
          <w:szCs w:val="22"/>
        </w:rPr>
        <w:t>výdaje</w:t>
      </w:r>
      <w:r w:rsidRPr="006865EB">
        <w:rPr>
          <w:rFonts w:ascii="Arial" w:hAnsi="Arial" w:cs="Arial"/>
          <w:bCs/>
          <w:sz w:val="22"/>
          <w:szCs w:val="22"/>
        </w:rPr>
        <w:t xml:space="preserve">: 242 000,- Kč </w:t>
      </w:r>
    </w:p>
    <w:p w14:paraId="403BD7A7" w14:textId="77777777" w:rsidR="003D03B5" w:rsidRDefault="003D03B5" w:rsidP="003D03B5">
      <w:pPr>
        <w:jc w:val="both"/>
        <w:rPr>
          <w:rFonts w:ascii="Arial" w:hAnsi="Arial" w:cs="Arial"/>
          <w:sz w:val="22"/>
          <w:szCs w:val="22"/>
        </w:rPr>
      </w:pPr>
    </w:p>
    <w:p w14:paraId="52CCF417" w14:textId="77777777" w:rsidR="00173FF7" w:rsidRPr="00CE44EC" w:rsidRDefault="00173FF7" w:rsidP="006865EB">
      <w:pPr>
        <w:pStyle w:val="Odstavecseseznamem"/>
        <w:numPr>
          <w:ilvl w:val="0"/>
          <w:numId w:val="35"/>
        </w:numPr>
        <w:ind w:left="0" w:firstLine="66"/>
        <w:jc w:val="both"/>
        <w:rPr>
          <w:rFonts w:ascii="Arial" w:hAnsi="Arial" w:cs="Arial"/>
          <w:sz w:val="22"/>
          <w:szCs w:val="22"/>
          <w:u w:val="single"/>
        </w:rPr>
      </w:pPr>
      <w:r w:rsidRPr="00CE44EC">
        <w:rPr>
          <w:rFonts w:ascii="Arial" w:hAnsi="Arial" w:cs="Arial"/>
          <w:sz w:val="22"/>
          <w:szCs w:val="22"/>
          <w:u w:val="single"/>
        </w:rPr>
        <w:t xml:space="preserve">Zpracování analýzy dokumentů, které pomohou obcím koncepčně hospodařit se srážkovou vodou. </w:t>
      </w:r>
    </w:p>
    <w:p w14:paraId="1BBCE8B4" w14:textId="77777777" w:rsidR="003D03B5" w:rsidRDefault="003D03B5" w:rsidP="003D03B5">
      <w:pPr>
        <w:jc w:val="both"/>
        <w:rPr>
          <w:rFonts w:ascii="Arial" w:hAnsi="Arial" w:cs="Arial"/>
          <w:sz w:val="22"/>
          <w:szCs w:val="22"/>
        </w:rPr>
      </w:pPr>
    </w:p>
    <w:p w14:paraId="39380CC5" w14:textId="43C40032" w:rsidR="00173FF7" w:rsidRPr="00026011" w:rsidRDefault="00937B3C" w:rsidP="006865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173FF7" w:rsidRPr="00785E7A">
        <w:rPr>
          <w:rFonts w:ascii="Arial" w:hAnsi="Arial" w:cs="Arial"/>
          <w:sz w:val="22"/>
          <w:szCs w:val="22"/>
        </w:rPr>
        <w:t xml:space="preserve">okument bude sloužit pro potřeby </w:t>
      </w:r>
      <w:r>
        <w:rPr>
          <w:rFonts w:ascii="Arial" w:hAnsi="Arial" w:cs="Arial"/>
          <w:sz w:val="22"/>
          <w:szCs w:val="22"/>
        </w:rPr>
        <w:t>z</w:t>
      </w:r>
      <w:r w:rsidR="00173FF7" w:rsidRPr="00785E7A">
        <w:rPr>
          <w:rFonts w:ascii="Arial" w:hAnsi="Arial" w:cs="Arial"/>
          <w:sz w:val="22"/>
          <w:szCs w:val="22"/>
        </w:rPr>
        <w:t>adavatele za účelem nastavení podpory zpracování těchto dokumentů z fondů EU. Sekundárně může sloužit i obcím, kterým představí nezbytné kroky a dokumenty, které je nutné zpracovat/doplnit pro koncepční řešení hospodaření se srážkovými vodami na území dané obce. Analýza bude popisovat vzájemné časové i věcné vazby těchto dokumentů.</w:t>
      </w:r>
    </w:p>
    <w:p w14:paraId="364EB111" w14:textId="77777777" w:rsidR="00F85762" w:rsidRDefault="00F85762" w:rsidP="00AF2931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03EBA84E" w14:textId="65F23D27" w:rsidR="00173FF7" w:rsidRPr="00785E7A" w:rsidRDefault="00173FF7" w:rsidP="006865EB">
      <w:pPr>
        <w:jc w:val="both"/>
        <w:rPr>
          <w:rFonts w:ascii="Arial" w:hAnsi="Arial" w:cs="Arial"/>
          <w:sz w:val="22"/>
          <w:szCs w:val="22"/>
        </w:rPr>
      </w:pPr>
      <w:r w:rsidRPr="00785E7A">
        <w:rPr>
          <w:rFonts w:ascii="Arial" w:hAnsi="Arial" w:cs="Arial"/>
          <w:sz w:val="22"/>
          <w:szCs w:val="22"/>
        </w:rPr>
        <w:t xml:space="preserve">Celkové </w:t>
      </w:r>
      <w:r w:rsidR="0022666D">
        <w:rPr>
          <w:rFonts w:ascii="Arial" w:hAnsi="Arial" w:cs="Arial"/>
          <w:sz w:val="22"/>
          <w:szCs w:val="22"/>
        </w:rPr>
        <w:t>výdaje</w:t>
      </w:r>
      <w:r w:rsidRPr="00785E7A">
        <w:rPr>
          <w:rFonts w:ascii="Arial" w:hAnsi="Arial" w:cs="Arial"/>
          <w:sz w:val="22"/>
          <w:szCs w:val="22"/>
        </w:rPr>
        <w:t>: 237 160,- Kč</w:t>
      </w:r>
    </w:p>
    <w:p w14:paraId="56367DEC" w14:textId="77777777" w:rsidR="00173FF7" w:rsidRPr="0062074E" w:rsidRDefault="00173FF7" w:rsidP="00CE44EC">
      <w:pPr>
        <w:pStyle w:val="Odstavecseseznamem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0389B21C" w14:textId="77777777" w:rsidR="00173FF7" w:rsidRPr="00CE44EC" w:rsidRDefault="00173FF7" w:rsidP="006865EB">
      <w:pPr>
        <w:pStyle w:val="Odstavecseseznamem"/>
        <w:numPr>
          <w:ilvl w:val="0"/>
          <w:numId w:val="35"/>
        </w:numPr>
        <w:tabs>
          <w:tab w:val="left" w:pos="66"/>
        </w:tabs>
        <w:ind w:left="0" w:firstLine="66"/>
        <w:jc w:val="both"/>
        <w:rPr>
          <w:rFonts w:ascii="Arial" w:hAnsi="Arial" w:cs="Arial"/>
          <w:sz w:val="22"/>
          <w:szCs w:val="22"/>
          <w:u w:val="single"/>
        </w:rPr>
      </w:pPr>
      <w:r w:rsidRPr="00CE44EC">
        <w:rPr>
          <w:rFonts w:ascii="Arial" w:hAnsi="Arial" w:cs="Arial"/>
          <w:sz w:val="22"/>
          <w:szCs w:val="22"/>
          <w:u w:val="single"/>
        </w:rPr>
        <w:t>Odborné semináře pro potenciální žadatele a příjemce, konference pro odbornou veřejnost, státní správu a samosprávu</w:t>
      </w:r>
    </w:p>
    <w:p w14:paraId="54829AD0" w14:textId="77777777" w:rsidR="003D03B5" w:rsidRDefault="003D03B5" w:rsidP="003D03B5">
      <w:pPr>
        <w:jc w:val="both"/>
        <w:rPr>
          <w:rFonts w:ascii="Arial" w:hAnsi="Arial" w:cs="Arial"/>
          <w:sz w:val="22"/>
          <w:szCs w:val="22"/>
        </w:rPr>
      </w:pPr>
    </w:p>
    <w:p w14:paraId="3179F1B5" w14:textId="1B2A1D41" w:rsidR="00173FF7" w:rsidRPr="00051F76" w:rsidRDefault="00173FF7" w:rsidP="006865EB">
      <w:pPr>
        <w:jc w:val="both"/>
        <w:rPr>
          <w:rFonts w:ascii="Arial" w:hAnsi="Arial" w:cs="Arial"/>
          <w:sz w:val="22"/>
          <w:szCs w:val="22"/>
        </w:rPr>
      </w:pPr>
      <w:r w:rsidRPr="00051F76">
        <w:rPr>
          <w:rFonts w:ascii="Arial" w:hAnsi="Arial" w:cs="Arial"/>
          <w:sz w:val="22"/>
          <w:szCs w:val="22"/>
        </w:rPr>
        <w:t xml:space="preserve">Komunikace OPŽP v letech 2018 až 2020 reagovala na aktuální problémy životního prostředí v České republice. Byly prezentovány možnosti získat dotace </w:t>
      </w:r>
      <w:r w:rsidR="00AF2931">
        <w:rPr>
          <w:rFonts w:ascii="Arial" w:hAnsi="Arial" w:cs="Arial"/>
          <w:sz w:val="22"/>
          <w:szCs w:val="22"/>
        </w:rPr>
        <w:t>ke zmírnění dopadů sucha, protipovodňové aktivity</w:t>
      </w:r>
      <w:r w:rsidRPr="00051F76">
        <w:rPr>
          <w:rFonts w:ascii="Arial" w:hAnsi="Arial" w:cs="Arial"/>
          <w:sz w:val="22"/>
          <w:szCs w:val="22"/>
        </w:rPr>
        <w:t xml:space="preserve"> (např. čtyři semináře SFŽP ČR v roce 2018, kterých se zúčastnilo 195 zájemců), hospodaření s dešťovou vodou v obcích (celkem sedm seminářů SFŽP ČR v roce 2019, kterých se zúčastnilo 352 zástupců obcí) a příprava nových letáků. </w:t>
      </w:r>
    </w:p>
    <w:p w14:paraId="2E3A85EC" w14:textId="77777777" w:rsidR="003D03B5" w:rsidRDefault="003D03B5" w:rsidP="006865EB">
      <w:pPr>
        <w:jc w:val="both"/>
        <w:rPr>
          <w:rFonts w:ascii="Arial" w:hAnsi="Arial" w:cs="Arial"/>
          <w:sz w:val="22"/>
          <w:szCs w:val="22"/>
        </w:rPr>
      </w:pPr>
    </w:p>
    <w:p w14:paraId="6811CABE" w14:textId="1920E31A" w:rsidR="00173FF7" w:rsidRDefault="00173FF7" w:rsidP="006865EB">
      <w:pPr>
        <w:jc w:val="both"/>
        <w:rPr>
          <w:rFonts w:ascii="Arial" w:hAnsi="Arial" w:cs="Arial"/>
          <w:sz w:val="22"/>
          <w:szCs w:val="22"/>
        </w:rPr>
      </w:pPr>
      <w:r w:rsidRPr="00051F76">
        <w:rPr>
          <w:rFonts w:ascii="Arial" w:hAnsi="Arial" w:cs="Arial"/>
          <w:sz w:val="22"/>
          <w:szCs w:val="22"/>
        </w:rPr>
        <w:t>Dále se uskutečnily semináře a exkurze AOPK na realizované projekty (ve sledovaném období celkem 37 akcí s 850 účastníky). Čtyři semináře provedl</w:t>
      </w:r>
      <w:r w:rsidR="00E04E8D">
        <w:rPr>
          <w:rFonts w:ascii="Arial" w:hAnsi="Arial" w:cs="Arial"/>
          <w:sz w:val="22"/>
          <w:szCs w:val="22"/>
        </w:rPr>
        <w:t>y</w:t>
      </w:r>
      <w:r w:rsidRPr="00051F76">
        <w:rPr>
          <w:rFonts w:ascii="Arial" w:hAnsi="Arial" w:cs="Arial"/>
          <w:sz w:val="22"/>
          <w:szCs w:val="22"/>
        </w:rPr>
        <w:t xml:space="preserve"> příjemce dotace povinnostmi v rámci udržitelnosti vodohospodářských projektů </w:t>
      </w:r>
      <w:r>
        <w:rPr>
          <w:rFonts w:ascii="Arial" w:hAnsi="Arial" w:cs="Arial"/>
          <w:sz w:val="22"/>
          <w:szCs w:val="22"/>
        </w:rPr>
        <w:t xml:space="preserve">v roce 2019 </w:t>
      </w:r>
      <w:r w:rsidRPr="00051F76">
        <w:rPr>
          <w:rFonts w:ascii="Arial" w:hAnsi="Arial" w:cs="Arial"/>
          <w:sz w:val="22"/>
          <w:szCs w:val="22"/>
        </w:rPr>
        <w:t>(170 účastníků)</w:t>
      </w:r>
      <w:r>
        <w:rPr>
          <w:rFonts w:ascii="Arial" w:hAnsi="Arial" w:cs="Arial"/>
          <w:sz w:val="22"/>
          <w:szCs w:val="22"/>
        </w:rPr>
        <w:t xml:space="preserve"> i v roce 2020 (tři semináře, 120 účastníků). V září 2020 se uskutečnilo</w:t>
      </w:r>
      <w:r w:rsidRPr="00051F76">
        <w:rPr>
          <w:rFonts w:ascii="Arial" w:hAnsi="Arial" w:cs="Arial"/>
          <w:sz w:val="22"/>
          <w:szCs w:val="22"/>
        </w:rPr>
        <w:t xml:space="preserve"> pět seminářů s titulem „Jak předcházet suchu a povodním“ (Plzeň, České Budějovice, Ostrava, Pardubice, Praha). Šestý seminář probíhal on-line. Kromě odborníků ze SFŽP ČR se o své zkušenosti podělili </w:t>
      </w:r>
      <w:r w:rsidR="00E04E8D" w:rsidRPr="00051F76">
        <w:rPr>
          <w:rFonts w:ascii="Arial" w:hAnsi="Arial" w:cs="Arial"/>
          <w:sz w:val="22"/>
          <w:szCs w:val="22"/>
        </w:rPr>
        <w:t>i</w:t>
      </w:r>
      <w:r w:rsidR="00E04E8D">
        <w:rPr>
          <w:rFonts w:ascii="Arial" w:hAnsi="Arial" w:cs="Arial"/>
          <w:sz w:val="22"/>
          <w:szCs w:val="22"/>
        </w:rPr>
        <w:t> </w:t>
      </w:r>
      <w:r w:rsidRPr="00051F76">
        <w:rPr>
          <w:rFonts w:ascii="Arial" w:hAnsi="Arial" w:cs="Arial"/>
          <w:sz w:val="22"/>
          <w:szCs w:val="22"/>
        </w:rPr>
        <w:t xml:space="preserve">příjemci dotace, kteří již realizovali projekty </w:t>
      </w:r>
      <w:r w:rsidR="00AF2931">
        <w:rPr>
          <w:rFonts w:ascii="Arial" w:hAnsi="Arial" w:cs="Arial"/>
          <w:sz w:val="22"/>
          <w:szCs w:val="22"/>
        </w:rPr>
        <w:t>ke zmírnění dopadů sucha či protipovodňové aktivity</w:t>
      </w:r>
      <w:r w:rsidRPr="00051F76">
        <w:rPr>
          <w:rFonts w:ascii="Arial" w:hAnsi="Arial" w:cs="Arial"/>
          <w:sz w:val="22"/>
          <w:szCs w:val="22"/>
        </w:rPr>
        <w:t xml:space="preserve">.   </w:t>
      </w:r>
    </w:p>
    <w:p w14:paraId="3A8CA464" w14:textId="77777777" w:rsidR="00220683" w:rsidRDefault="00220683" w:rsidP="00CE44EC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6EA8F2" w14:textId="1DB51F6F" w:rsidR="00220683" w:rsidRPr="00051F76" w:rsidRDefault="00220683" w:rsidP="006865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Celkové </w:t>
      </w:r>
      <w:r w:rsidR="0022666D">
        <w:rPr>
          <w:rFonts w:ascii="Arial" w:hAnsi="Arial" w:cs="Arial"/>
          <w:sz w:val="22"/>
          <w:szCs w:val="22"/>
        </w:rPr>
        <w:t>výdaje</w:t>
      </w:r>
      <w:r>
        <w:rPr>
          <w:rFonts w:ascii="Arial" w:hAnsi="Arial" w:cs="Arial"/>
          <w:sz w:val="22"/>
          <w:szCs w:val="22"/>
        </w:rPr>
        <w:t xml:space="preserve">: </w:t>
      </w:r>
      <w:r w:rsidR="00A25B34">
        <w:rPr>
          <w:rFonts w:ascii="Arial" w:hAnsi="Arial" w:cs="Arial"/>
          <w:sz w:val="22"/>
          <w:szCs w:val="22"/>
        </w:rPr>
        <w:t>120</w:t>
      </w:r>
      <w:r w:rsidR="00AF02F7">
        <w:rPr>
          <w:rFonts w:ascii="Arial" w:hAnsi="Arial" w:cs="Arial"/>
          <w:sz w:val="22"/>
          <w:szCs w:val="22"/>
        </w:rPr>
        <w:t> </w:t>
      </w:r>
      <w:r w:rsidR="00A25B34">
        <w:rPr>
          <w:rFonts w:ascii="Arial" w:hAnsi="Arial" w:cs="Arial"/>
          <w:sz w:val="22"/>
          <w:szCs w:val="22"/>
        </w:rPr>
        <w:t>000</w:t>
      </w:r>
      <w:r w:rsidR="00AF02F7">
        <w:rPr>
          <w:rFonts w:ascii="Arial" w:hAnsi="Arial" w:cs="Arial"/>
          <w:sz w:val="22"/>
          <w:szCs w:val="22"/>
        </w:rPr>
        <w:t>,- Kč</w:t>
      </w:r>
    </w:p>
    <w:p w14:paraId="15C59C40" w14:textId="5E76802C" w:rsidR="00407154" w:rsidRDefault="00407154" w:rsidP="00193C1E">
      <w:pPr>
        <w:tabs>
          <w:tab w:val="left" w:pos="567"/>
        </w:tabs>
        <w:spacing w:before="240" w:after="24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Národní programy Ministerstva životního prostředí</w:t>
      </w:r>
    </w:p>
    <w:p w14:paraId="59080BC8" w14:textId="4883A7A3" w:rsidR="00752A6D" w:rsidRPr="004A0521" w:rsidRDefault="00752A6D" w:rsidP="003D03B5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4A0521">
        <w:rPr>
          <w:rFonts w:ascii="Arial" w:hAnsi="Arial" w:cs="Arial"/>
          <w:bCs/>
          <w:sz w:val="22"/>
          <w:szCs w:val="22"/>
        </w:rPr>
        <w:t xml:space="preserve">Opatření přispívající k prevenci před povodněmi jsou financována i z dotačních titulů národních programů </w:t>
      </w:r>
      <w:r>
        <w:rPr>
          <w:rFonts w:ascii="Arial" w:hAnsi="Arial" w:cs="Arial"/>
          <w:bCs/>
          <w:sz w:val="22"/>
          <w:szCs w:val="22"/>
        </w:rPr>
        <w:t>MŽP</w:t>
      </w:r>
      <w:r w:rsidRPr="004A0521">
        <w:rPr>
          <w:rFonts w:ascii="Arial" w:hAnsi="Arial" w:cs="Arial"/>
          <w:bCs/>
          <w:sz w:val="22"/>
          <w:szCs w:val="22"/>
        </w:rPr>
        <w:t>, a to</w:t>
      </w:r>
      <w:r w:rsidRPr="004A05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4A0521">
        <w:rPr>
          <w:rFonts w:ascii="Arial" w:hAnsi="Arial" w:cs="Arial"/>
          <w:sz w:val="22"/>
          <w:szCs w:val="22"/>
        </w:rPr>
        <w:t xml:space="preserve">rogramu </w:t>
      </w:r>
      <w:r w:rsidR="005345C0">
        <w:rPr>
          <w:rFonts w:ascii="Arial" w:hAnsi="Arial" w:cs="Arial"/>
          <w:sz w:val="22"/>
          <w:szCs w:val="22"/>
        </w:rPr>
        <w:t>„</w:t>
      </w:r>
      <w:r w:rsidRPr="004A0521">
        <w:rPr>
          <w:rFonts w:ascii="Arial" w:hAnsi="Arial" w:cs="Arial"/>
          <w:sz w:val="22"/>
          <w:szCs w:val="22"/>
        </w:rPr>
        <w:t>Podpor</w:t>
      </w:r>
      <w:r>
        <w:rPr>
          <w:rFonts w:ascii="Arial" w:hAnsi="Arial" w:cs="Arial"/>
          <w:sz w:val="22"/>
          <w:szCs w:val="22"/>
        </w:rPr>
        <w:t>a</w:t>
      </w:r>
      <w:r w:rsidRPr="004A0521">
        <w:rPr>
          <w:rFonts w:ascii="Arial" w:hAnsi="Arial" w:cs="Arial"/>
          <w:sz w:val="22"/>
          <w:szCs w:val="22"/>
        </w:rPr>
        <w:t xml:space="preserve"> obnovy přirozených funkcí krajiny</w:t>
      </w:r>
      <w:r w:rsidR="005345C0">
        <w:rPr>
          <w:rFonts w:ascii="Arial" w:hAnsi="Arial" w:cs="Arial"/>
          <w:sz w:val="22"/>
          <w:szCs w:val="22"/>
        </w:rPr>
        <w:t>“</w:t>
      </w:r>
      <w:r w:rsidRPr="004A05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4A0521">
        <w:rPr>
          <w:rFonts w:ascii="Arial" w:hAnsi="Arial" w:cs="Arial"/>
          <w:sz w:val="22"/>
          <w:szCs w:val="22"/>
        </w:rPr>
        <w:t xml:space="preserve">a z </w:t>
      </w:r>
      <w:r w:rsidRPr="000479CD">
        <w:rPr>
          <w:rFonts w:ascii="Arial" w:hAnsi="Arial" w:cs="Arial"/>
          <w:sz w:val="22"/>
          <w:szCs w:val="22"/>
        </w:rPr>
        <w:t xml:space="preserve">programu </w:t>
      </w:r>
      <w:r w:rsidR="005345C0">
        <w:rPr>
          <w:rFonts w:ascii="Arial" w:hAnsi="Arial" w:cs="Arial"/>
          <w:sz w:val="22"/>
          <w:szCs w:val="22"/>
        </w:rPr>
        <w:t>„</w:t>
      </w:r>
      <w:r w:rsidRPr="000479CD">
        <w:rPr>
          <w:rFonts w:ascii="Arial" w:hAnsi="Arial" w:cs="Arial"/>
          <w:sz w:val="22"/>
          <w:szCs w:val="22"/>
        </w:rPr>
        <w:t xml:space="preserve">Rozvoj a obnova technické základny systému řízení </w:t>
      </w:r>
      <w:r>
        <w:rPr>
          <w:rFonts w:ascii="Arial" w:hAnsi="Arial" w:cs="Arial"/>
          <w:sz w:val="22"/>
          <w:szCs w:val="22"/>
        </w:rPr>
        <w:t>MŽP</w:t>
      </w:r>
      <w:r w:rsidR="005345C0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</w:t>
      </w:r>
      <w:r w:rsidRPr="004A0521">
        <w:rPr>
          <w:rFonts w:ascii="Arial" w:hAnsi="Arial" w:cs="Arial"/>
          <w:sz w:val="22"/>
          <w:szCs w:val="22"/>
        </w:rPr>
        <w:t xml:space="preserve">odprogramu </w:t>
      </w:r>
      <w:r w:rsidR="005345C0">
        <w:rPr>
          <w:rFonts w:ascii="Arial" w:hAnsi="Arial" w:cs="Arial"/>
          <w:sz w:val="22"/>
          <w:szCs w:val="22"/>
        </w:rPr>
        <w:t>„</w:t>
      </w:r>
      <w:r w:rsidRPr="004A0521">
        <w:rPr>
          <w:rFonts w:ascii="Arial" w:hAnsi="Arial" w:cs="Arial"/>
          <w:sz w:val="22"/>
          <w:szCs w:val="22"/>
        </w:rPr>
        <w:t>Správa nezcizitelného státního majetku ve zvláště chráněných územích</w:t>
      </w:r>
      <w:r w:rsidR="005345C0">
        <w:rPr>
          <w:rFonts w:ascii="Arial" w:hAnsi="Arial" w:cs="Arial"/>
          <w:sz w:val="22"/>
          <w:szCs w:val="22"/>
        </w:rPr>
        <w:t>“</w:t>
      </w:r>
      <w:r w:rsidRPr="004A052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4A0521">
        <w:rPr>
          <w:rFonts w:ascii="Arial" w:hAnsi="Arial" w:cs="Arial"/>
          <w:sz w:val="22"/>
          <w:szCs w:val="22"/>
        </w:rPr>
        <w:t xml:space="preserve">V rámci těchto </w:t>
      </w:r>
      <w:r>
        <w:rPr>
          <w:rFonts w:ascii="Arial" w:hAnsi="Arial" w:cs="Arial"/>
          <w:sz w:val="22"/>
          <w:szCs w:val="22"/>
        </w:rPr>
        <w:t>programů</w:t>
      </w:r>
      <w:r w:rsidRPr="004A0521">
        <w:rPr>
          <w:rFonts w:ascii="Arial" w:hAnsi="Arial" w:cs="Arial"/>
          <w:sz w:val="22"/>
          <w:szCs w:val="22"/>
        </w:rPr>
        <w:t xml:space="preserve"> byla podpořena opatření mající přímý i nepřímý vliv na prevenci před</w:t>
      </w:r>
      <w:r>
        <w:rPr>
          <w:rFonts w:ascii="Arial" w:hAnsi="Arial" w:cs="Arial"/>
          <w:sz w:val="22"/>
          <w:szCs w:val="22"/>
        </w:rPr>
        <w:t xml:space="preserve"> povodněmi </w:t>
      </w:r>
      <w:r w:rsidR="000730EA">
        <w:rPr>
          <w:rFonts w:ascii="Arial" w:hAnsi="Arial" w:cs="Arial"/>
          <w:sz w:val="22"/>
          <w:szCs w:val="22"/>
        </w:rPr>
        <w:t>v letech 2018</w:t>
      </w:r>
      <w:r w:rsidR="000730EA" w:rsidRPr="0011189B">
        <w:rPr>
          <w:rFonts w:ascii="Arial" w:hAnsi="Arial" w:cs="Arial"/>
          <w:sz w:val="22"/>
          <w:szCs w:val="22"/>
        </w:rPr>
        <w:t>–</w:t>
      </w:r>
      <w:r w:rsidR="000730EA">
        <w:rPr>
          <w:rFonts w:ascii="Arial" w:hAnsi="Arial" w:cs="Arial"/>
          <w:sz w:val="22"/>
          <w:szCs w:val="22"/>
        </w:rPr>
        <w:t xml:space="preserve">2020 </w:t>
      </w:r>
      <w:r>
        <w:rPr>
          <w:rFonts w:ascii="Arial" w:hAnsi="Arial" w:cs="Arial"/>
          <w:sz w:val="22"/>
          <w:szCs w:val="22"/>
        </w:rPr>
        <w:t xml:space="preserve">za cca </w:t>
      </w:r>
      <w:r w:rsidR="000730EA">
        <w:rPr>
          <w:rFonts w:ascii="Arial" w:hAnsi="Arial" w:cs="Arial"/>
          <w:sz w:val="22"/>
          <w:szCs w:val="22"/>
        </w:rPr>
        <w:t>2</w:t>
      </w:r>
      <w:r w:rsidR="0022666D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mil. Kč.</w:t>
      </w:r>
    </w:p>
    <w:p w14:paraId="24B8CAE7" w14:textId="77777777" w:rsidR="003D03B5" w:rsidRDefault="003D03B5" w:rsidP="0085157B">
      <w:pPr>
        <w:tabs>
          <w:tab w:val="left" w:pos="567"/>
        </w:tabs>
        <w:jc w:val="both"/>
        <w:rPr>
          <w:rFonts w:ascii="Arial" w:hAnsi="Arial" w:cs="Arial"/>
          <w:b/>
          <w:i/>
          <w:sz w:val="22"/>
          <w:szCs w:val="22"/>
        </w:rPr>
      </w:pPr>
    </w:p>
    <w:p w14:paraId="604CD230" w14:textId="15B5B3E1" w:rsidR="00752A6D" w:rsidRPr="00994987" w:rsidRDefault="00E6152A" w:rsidP="003D03B5">
      <w:pPr>
        <w:tabs>
          <w:tab w:val="left" w:pos="567"/>
        </w:tabs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B.2.2 </w:t>
      </w:r>
      <w:r w:rsidR="00752A6D" w:rsidRPr="00994987">
        <w:rPr>
          <w:rFonts w:ascii="Arial" w:hAnsi="Arial" w:cs="Arial"/>
          <w:b/>
          <w:i/>
          <w:sz w:val="22"/>
          <w:szCs w:val="22"/>
        </w:rPr>
        <w:t xml:space="preserve">Program 115 160 </w:t>
      </w:r>
      <w:r w:rsidR="00752A6D">
        <w:rPr>
          <w:rFonts w:ascii="Arial" w:hAnsi="Arial" w:cs="Arial"/>
          <w:b/>
          <w:i/>
          <w:sz w:val="22"/>
          <w:szCs w:val="22"/>
        </w:rPr>
        <w:t xml:space="preserve">a </w:t>
      </w:r>
      <w:r w:rsidR="00DC28B6">
        <w:rPr>
          <w:rFonts w:ascii="Arial" w:hAnsi="Arial" w:cs="Arial"/>
          <w:b/>
          <w:i/>
          <w:sz w:val="22"/>
          <w:szCs w:val="22"/>
        </w:rPr>
        <w:t xml:space="preserve">program </w:t>
      </w:r>
      <w:r w:rsidR="00752A6D">
        <w:rPr>
          <w:rFonts w:ascii="Arial" w:hAnsi="Arial" w:cs="Arial"/>
          <w:b/>
          <w:i/>
          <w:sz w:val="22"/>
          <w:szCs w:val="22"/>
        </w:rPr>
        <w:t xml:space="preserve">115 170 </w:t>
      </w:r>
      <w:r w:rsidR="006865EB">
        <w:rPr>
          <w:rFonts w:ascii="Arial" w:hAnsi="Arial" w:cs="Arial"/>
          <w:b/>
          <w:i/>
          <w:sz w:val="22"/>
          <w:szCs w:val="22"/>
        </w:rPr>
        <w:t>„</w:t>
      </w:r>
      <w:r w:rsidR="00752A6D" w:rsidRPr="00994987">
        <w:rPr>
          <w:rFonts w:ascii="Arial" w:hAnsi="Arial" w:cs="Arial"/>
          <w:b/>
          <w:i/>
          <w:sz w:val="22"/>
          <w:szCs w:val="22"/>
        </w:rPr>
        <w:t>Podpora obnovy přirozených funkcí krajiny</w:t>
      </w:r>
      <w:r w:rsidR="00D33956">
        <w:rPr>
          <w:rFonts w:ascii="Arial" w:hAnsi="Arial" w:cs="Arial"/>
          <w:b/>
          <w:i/>
          <w:sz w:val="22"/>
          <w:szCs w:val="22"/>
        </w:rPr>
        <w:t>“</w:t>
      </w:r>
      <w:r w:rsidR="00752A6D" w:rsidRPr="00994987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7E286635" w14:textId="77777777" w:rsidR="003D03B5" w:rsidRDefault="003D03B5" w:rsidP="003D03B5">
      <w:pPr>
        <w:jc w:val="both"/>
        <w:rPr>
          <w:rFonts w:ascii="Arial" w:hAnsi="Arial" w:cs="Arial"/>
          <w:sz w:val="22"/>
          <w:szCs w:val="22"/>
        </w:rPr>
      </w:pPr>
    </w:p>
    <w:p w14:paraId="6EE5F93C" w14:textId="7F44E71B" w:rsidR="00752A6D" w:rsidRPr="004427B1" w:rsidRDefault="00752A6D" w:rsidP="003D03B5">
      <w:pPr>
        <w:jc w:val="both"/>
        <w:rPr>
          <w:rFonts w:ascii="Arial" w:hAnsi="Arial" w:cs="Arial"/>
          <w:sz w:val="22"/>
          <w:szCs w:val="22"/>
        </w:rPr>
      </w:pPr>
      <w:r w:rsidRPr="004427B1">
        <w:rPr>
          <w:rFonts w:ascii="Arial" w:hAnsi="Arial" w:cs="Arial"/>
          <w:sz w:val="22"/>
          <w:szCs w:val="22"/>
        </w:rPr>
        <w:t xml:space="preserve">Program </w:t>
      </w:r>
      <w:r w:rsidR="005A47B8">
        <w:rPr>
          <w:rFonts w:ascii="Arial" w:hAnsi="Arial" w:cs="Arial"/>
          <w:sz w:val="22"/>
          <w:szCs w:val="22"/>
        </w:rPr>
        <w:t xml:space="preserve">115 160 </w:t>
      </w:r>
      <w:r w:rsidRPr="004427B1">
        <w:rPr>
          <w:rFonts w:ascii="Arial" w:hAnsi="Arial" w:cs="Arial"/>
          <w:sz w:val="22"/>
          <w:szCs w:val="22"/>
        </w:rPr>
        <w:t>byl vyhlášen na období 2009</w:t>
      </w:r>
      <w:r w:rsidRPr="0011189B">
        <w:rPr>
          <w:rFonts w:ascii="Arial" w:hAnsi="Arial" w:cs="Arial"/>
          <w:sz w:val="22"/>
          <w:szCs w:val="22"/>
        </w:rPr>
        <w:t>–</w:t>
      </w:r>
      <w:r w:rsidRPr="004427B1">
        <w:rPr>
          <w:rFonts w:ascii="Arial" w:hAnsi="Arial" w:cs="Arial"/>
          <w:sz w:val="22"/>
          <w:szCs w:val="22"/>
        </w:rPr>
        <w:t xml:space="preserve">2018 dne 6. </w:t>
      </w:r>
      <w:r w:rsidR="00EA14CE">
        <w:rPr>
          <w:rFonts w:ascii="Arial" w:hAnsi="Arial" w:cs="Arial"/>
          <w:sz w:val="22"/>
          <w:szCs w:val="22"/>
        </w:rPr>
        <w:t>5.</w:t>
      </w:r>
      <w:r w:rsidRPr="004427B1">
        <w:rPr>
          <w:rFonts w:ascii="Arial" w:hAnsi="Arial" w:cs="Arial"/>
          <w:sz w:val="22"/>
          <w:szCs w:val="22"/>
        </w:rPr>
        <w:t xml:space="preserve"> 2009 na základě schválené dokumentace programu.</w:t>
      </w:r>
      <w:r>
        <w:rPr>
          <w:rFonts w:ascii="Arial" w:hAnsi="Arial" w:cs="Arial"/>
          <w:sz w:val="22"/>
          <w:szCs w:val="22"/>
        </w:rPr>
        <w:t xml:space="preserve"> </w:t>
      </w:r>
      <w:r w:rsidR="0022666D">
        <w:rPr>
          <w:rFonts w:ascii="Arial" w:hAnsi="Arial" w:cs="Arial"/>
          <w:sz w:val="22"/>
          <w:szCs w:val="22"/>
        </w:rPr>
        <w:t xml:space="preserve">V roce 2019 byly ještě propláceny nedočerpané finance programu z roku 2018. </w:t>
      </w:r>
      <w:r>
        <w:rPr>
          <w:rFonts w:ascii="Arial" w:hAnsi="Arial" w:cs="Arial"/>
          <w:sz w:val="22"/>
          <w:szCs w:val="22"/>
        </w:rPr>
        <w:t xml:space="preserve">Navazující program 115 170 na období 2019–2023 byl schválen dne 28. </w:t>
      </w:r>
      <w:r w:rsidR="00EA14CE"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 xml:space="preserve"> 2019.</w:t>
      </w:r>
      <w:r w:rsidRPr="004427B1">
        <w:rPr>
          <w:rFonts w:ascii="Arial" w:hAnsi="Arial" w:cs="Arial"/>
          <w:sz w:val="22"/>
          <w:szCs w:val="22"/>
        </w:rPr>
        <w:t xml:space="preserve"> Věcným cílem programu je naplňování povinností vyplývajících z národní a</w:t>
      </w:r>
      <w:r w:rsidR="005345C0">
        <w:rPr>
          <w:rFonts w:ascii="Arial" w:hAnsi="Arial" w:cs="Arial"/>
          <w:sz w:val="22"/>
          <w:szCs w:val="22"/>
        </w:rPr>
        <w:t> </w:t>
      </w:r>
      <w:r w:rsidRPr="004427B1">
        <w:rPr>
          <w:rFonts w:ascii="Arial" w:hAnsi="Arial" w:cs="Arial"/>
          <w:sz w:val="22"/>
          <w:szCs w:val="22"/>
        </w:rPr>
        <w:t xml:space="preserve">evropské legislativy, z mezinárodně-smluvních závazků a z postupů a </w:t>
      </w:r>
      <w:r w:rsidR="00AD2C91" w:rsidRPr="00AD2C91">
        <w:rPr>
          <w:rFonts w:ascii="Arial" w:hAnsi="Arial" w:cs="Arial"/>
          <w:sz w:val="22"/>
          <w:szCs w:val="22"/>
        </w:rPr>
        <w:t>Strategie přizpůsobení se změně klimatu v podmínkách ČR</w:t>
      </w:r>
      <w:r w:rsidRPr="004427B1">
        <w:rPr>
          <w:rFonts w:ascii="Arial" w:hAnsi="Arial" w:cs="Arial"/>
          <w:sz w:val="22"/>
          <w:szCs w:val="22"/>
        </w:rPr>
        <w:t>. Opatření podporující naplňování těchto povinností vyplývají zejména z plánů péče, souhrnů doporučených opatření, záchranných programů a programů péče pro zvláště chráněné druhy rostlin a živočichů a</w:t>
      </w:r>
      <w:r w:rsidR="005345C0">
        <w:rPr>
          <w:rFonts w:ascii="Arial" w:hAnsi="Arial" w:cs="Arial"/>
          <w:sz w:val="22"/>
          <w:szCs w:val="22"/>
        </w:rPr>
        <w:t> </w:t>
      </w:r>
      <w:r w:rsidRPr="004427B1">
        <w:rPr>
          <w:rFonts w:ascii="Arial" w:hAnsi="Arial" w:cs="Arial"/>
          <w:sz w:val="22"/>
          <w:szCs w:val="22"/>
        </w:rPr>
        <w:t>dalších koncepčních dokumentů.</w:t>
      </w:r>
    </w:p>
    <w:p w14:paraId="500EF8BE" w14:textId="77777777" w:rsidR="00F27F6B" w:rsidRDefault="00F27F6B" w:rsidP="003D03B5">
      <w:pPr>
        <w:pStyle w:val="Zkladntext2"/>
        <w:tabs>
          <w:tab w:val="left" w:pos="4005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cs-CZ" w:eastAsia="cs-CZ"/>
        </w:rPr>
      </w:pPr>
    </w:p>
    <w:p w14:paraId="567A2BE3" w14:textId="5C09D7E9" w:rsidR="00752A6D" w:rsidRPr="004427B1" w:rsidRDefault="00752A6D" w:rsidP="003D03B5">
      <w:pPr>
        <w:pStyle w:val="Zkladntext2"/>
        <w:tabs>
          <w:tab w:val="left" w:pos="4005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4427B1">
        <w:rPr>
          <w:rFonts w:ascii="Arial" w:hAnsi="Arial" w:cs="Arial"/>
          <w:sz w:val="22"/>
          <w:szCs w:val="22"/>
          <w:lang w:val="cs-CZ" w:eastAsia="cs-CZ"/>
        </w:rPr>
        <w:t>Program</w:t>
      </w:r>
      <w:r w:rsidR="00DC28B6">
        <w:rPr>
          <w:rFonts w:ascii="Arial" w:hAnsi="Arial" w:cs="Arial"/>
          <w:sz w:val="22"/>
          <w:szCs w:val="22"/>
          <w:lang w:val="cs-CZ" w:eastAsia="cs-CZ"/>
        </w:rPr>
        <w:t xml:space="preserve"> 115 160</w:t>
      </w:r>
      <w:r w:rsidRPr="004427B1">
        <w:rPr>
          <w:rFonts w:ascii="Arial" w:hAnsi="Arial" w:cs="Arial"/>
          <w:sz w:val="22"/>
          <w:szCs w:val="22"/>
          <w:lang w:val="cs-CZ" w:eastAsia="cs-CZ"/>
        </w:rPr>
        <w:t xml:space="preserve"> se dělí na podprogramy: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9"/>
        <w:gridCol w:w="7933"/>
      </w:tblGrid>
      <w:tr w:rsidR="00E6152A" w14:paraId="1900B518" w14:textId="77777777" w:rsidTr="00DC28B6">
        <w:trPr>
          <w:trHeight w:val="375"/>
        </w:trPr>
        <w:tc>
          <w:tcPr>
            <w:tcW w:w="1139" w:type="dxa"/>
          </w:tcPr>
          <w:p w14:paraId="4B7E6B2C" w14:textId="4E586432" w:rsidR="00E6152A" w:rsidRPr="004427B1" w:rsidRDefault="00E6152A" w:rsidP="00DC28B6">
            <w:pPr>
              <w:pStyle w:val="Zkladntextodsazen"/>
              <w:ind w:firstLine="0"/>
              <w:rPr>
                <w:rFonts w:ascii="Arial" w:hAnsi="Arial" w:cs="Arial"/>
                <w:sz w:val="22"/>
                <w:szCs w:val="22"/>
                <w:lang w:val="cs-CZ" w:eastAsia="cs-CZ"/>
              </w:rPr>
            </w:pPr>
            <w:r w:rsidRPr="004427B1">
              <w:rPr>
                <w:rFonts w:ascii="Arial" w:hAnsi="Arial" w:cs="Arial"/>
                <w:sz w:val="22"/>
                <w:szCs w:val="22"/>
                <w:lang w:val="cs-CZ" w:eastAsia="cs-CZ"/>
              </w:rPr>
              <w:t>115</w:t>
            </w:r>
            <w:r>
              <w:rPr>
                <w:rFonts w:ascii="Arial" w:hAnsi="Arial" w:cs="Arial"/>
                <w:sz w:val="22"/>
                <w:szCs w:val="22"/>
                <w:lang w:val="cs-CZ" w:eastAsia="cs-CZ"/>
              </w:rPr>
              <w:t> </w:t>
            </w:r>
            <w:r w:rsidRPr="004427B1">
              <w:rPr>
                <w:rFonts w:ascii="Arial" w:hAnsi="Arial" w:cs="Arial"/>
                <w:sz w:val="22"/>
                <w:szCs w:val="22"/>
                <w:lang w:val="cs-CZ" w:eastAsia="cs-CZ"/>
              </w:rPr>
              <w:t>162</w:t>
            </w:r>
            <w:r>
              <w:rPr>
                <w:rFonts w:ascii="Arial" w:hAnsi="Arial" w:cs="Arial"/>
                <w:sz w:val="22"/>
                <w:szCs w:val="22"/>
                <w:lang w:val="cs-CZ" w:eastAsia="cs-CZ"/>
              </w:rPr>
              <w:t xml:space="preserve"> </w:t>
            </w:r>
          </w:p>
        </w:tc>
        <w:tc>
          <w:tcPr>
            <w:tcW w:w="7933" w:type="dxa"/>
          </w:tcPr>
          <w:p w14:paraId="7C1DA99C" w14:textId="47699F95" w:rsidR="00E6152A" w:rsidRDefault="00E6152A" w:rsidP="00DC28B6">
            <w:pPr>
              <w:pStyle w:val="Zkladntextodsazen"/>
              <w:ind w:firstLine="0"/>
              <w:rPr>
                <w:rFonts w:ascii="Arial" w:hAnsi="Arial" w:cs="Arial"/>
                <w:sz w:val="22"/>
                <w:szCs w:val="22"/>
                <w:lang w:val="cs-CZ" w:eastAsia="cs-CZ"/>
              </w:rPr>
            </w:pPr>
            <w:r>
              <w:rPr>
                <w:rFonts w:ascii="Arial" w:hAnsi="Arial" w:cs="Arial"/>
                <w:sz w:val="22"/>
                <w:szCs w:val="22"/>
                <w:lang w:val="cs-CZ" w:eastAsia="cs-CZ"/>
              </w:rPr>
              <w:t>„</w:t>
            </w:r>
            <w:r w:rsidRPr="004427B1">
              <w:rPr>
                <w:rFonts w:ascii="Arial" w:hAnsi="Arial" w:cs="Arial"/>
                <w:sz w:val="22"/>
                <w:szCs w:val="22"/>
                <w:lang w:val="cs-CZ" w:eastAsia="cs-CZ"/>
              </w:rPr>
              <w:t>Zajištění povinností orgánů ochrany přírody ve vztahu k zvláště chráněným územím a zajišťování opatření k podpoře předmětů ochrany ptačích oblastí a</w:t>
            </w:r>
            <w:r w:rsidR="00DC28B6">
              <w:rPr>
                <w:rFonts w:ascii="Arial" w:hAnsi="Arial" w:cs="Arial"/>
                <w:sz w:val="22"/>
                <w:szCs w:val="22"/>
                <w:lang w:val="cs-CZ" w:eastAsia="cs-CZ"/>
              </w:rPr>
              <w:t> </w:t>
            </w:r>
            <w:r w:rsidRPr="004427B1">
              <w:rPr>
                <w:rFonts w:ascii="Arial" w:hAnsi="Arial" w:cs="Arial"/>
                <w:sz w:val="22"/>
                <w:szCs w:val="22"/>
                <w:lang w:val="cs-CZ" w:eastAsia="cs-CZ"/>
              </w:rPr>
              <w:t>evropsky významných lokalit</w:t>
            </w:r>
            <w:r>
              <w:rPr>
                <w:rFonts w:ascii="Arial" w:hAnsi="Arial" w:cs="Arial"/>
                <w:sz w:val="22"/>
                <w:szCs w:val="22"/>
                <w:lang w:val="cs-CZ" w:eastAsia="cs-CZ"/>
              </w:rPr>
              <w:t>“</w:t>
            </w:r>
            <w:r w:rsidRPr="004427B1">
              <w:rPr>
                <w:rFonts w:ascii="Arial" w:hAnsi="Arial" w:cs="Arial"/>
                <w:sz w:val="22"/>
                <w:szCs w:val="22"/>
                <w:lang w:val="cs-CZ" w:eastAsia="cs-CZ"/>
              </w:rPr>
              <w:tab/>
            </w:r>
            <w:r w:rsidRPr="004427B1">
              <w:rPr>
                <w:rFonts w:ascii="Arial" w:hAnsi="Arial" w:cs="Arial"/>
                <w:sz w:val="22"/>
                <w:szCs w:val="22"/>
                <w:lang w:val="cs-CZ" w:eastAsia="cs-CZ"/>
              </w:rPr>
              <w:tab/>
              <w:t xml:space="preserve">       </w:t>
            </w:r>
          </w:p>
        </w:tc>
      </w:tr>
      <w:tr w:rsidR="00E6152A" w14:paraId="5161B15D" w14:textId="77777777" w:rsidTr="00DC28B6">
        <w:trPr>
          <w:trHeight w:val="180"/>
        </w:trPr>
        <w:tc>
          <w:tcPr>
            <w:tcW w:w="1139" w:type="dxa"/>
          </w:tcPr>
          <w:p w14:paraId="45BEEF41" w14:textId="3717B438" w:rsidR="00E6152A" w:rsidRPr="004427B1" w:rsidRDefault="00E6152A" w:rsidP="00DC28B6">
            <w:pPr>
              <w:pStyle w:val="Zkladntextodsazen"/>
              <w:ind w:firstLine="0"/>
              <w:rPr>
                <w:rFonts w:ascii="Arial" w:hAnsi="Arial" w:cs="Arial"/>
                <w:sz w:val="22"/>
                <w:szCs w:val="22"/>
                <w:lang w:val="cs-CZ" w:eastAsia="cs-CZ"/>
              </w:rPr>
            </w:pPr>
            <w:r w:rsidRPr="004427B1">
              <w:rPr>
                <w:rFonts w:ascii="Arial" w:hAnsi="Arial" w:cs="Arial"/>
                <w:sz w:val="22"/>
                <w:szCs w:val="22"/>
                <w:lang w:val="cs-CZ" w:eastAsia="cs-CZ"/>
              </w:rPr>
              <w:lastRenderedPageBreak/>
              <w:t xml:space="preserve">115 163 </w:t>
            </w:r>
          </w:p>
        </w:tc>
        <w:tc>
          <w:tcPr>
            <w:tcW w:w="7933" w:type="dxa"/>
          </w:tcPr>
          <w:p w14:paraId="6EEB3BCA" w14:textId="5797A6D5" w:rsidR="00E6152A" w:rsidRPr="004427B1" w:rsidRDefault="00E6152A" w:rsidP="00E6152A">
            <w:pPr>
              <w:pStyle w:val="Zkladntextodsazen"/>
              <w:ind w:firstLine="0"/>
              <w:rPr>
                <w:rFonts w:ascii="Arial" w:hAnsi="Arial" w:cs="Arial"/>
                <w:sz w:val="22"/>
                <w:szCs w:val="22"/>
                <w:lang w:val="cs-CZ" w:eastAsia="cs-CZ"/>
              </w:rPr>
            </w:pPr>
            <w:r>
              <w:rPr>
                <w:rFonts w:ascii="Arial" w:hAnsi="Arial" w:cs="Arial"/>
                <w:sz w:val="22"/>
                <w:szCs w:val="22"/>
                <w:lang w:val="cs-CZ" w:eastAsia="cs-CZ"/>
              </w:rPr>
              <w:t>„</w:t>
            </w:r>
            <w:r w:rsidRPr="004427B1">
              <w:rPr>
                <w:rFonts w:ascii="Arial" w:hAnsi="Arial" w:cs="Arial"/>
                <w:sz w:val="22"/>
                <w:szCs w:val="22"/>
                <w:lang w:val="cs-CZ" w:eastAsia="cs-CZ"/>
              </w:rPr>
              <w:t>Realizace a příprava záchranných programů a programů péče o zvláště chráněné druhy rostlin a živočichů</w:t>
            </w:r>
            <w:r>
              <w:rPr>
                <w:rFonts w:ascii="Arial" w:hAnsi="Arial" w:cs="Arial"/>
                <w:sz w:val="22"/>
                <w:szCs w:val="22"/>
                <w:lang w:val="cs-CZ" w:eastAsia="cs-CZ"/>
              </w:rPr>
              <w:t>“</w:t>
            </w:r>
            <w:r w:rsidRPr="004427B1">
              <w:rPr>
                <w:rFonts w:ascii="Arial" w:hAnsi="Arial" w:cs="Arial"/>
                <w:sz w:val="22"/>
                <w:szCs w:val="22"/>
                <w:lang w:val="cs-CZ" w:eastAsia="cs-CZ"/>
              </w:rPr>
              <w:tab/>
            </w:r>
            <w:r w:rsidRPr="004427B1">
              <w:rPr>
                <w:rFonts w:ascii="Arial" w:hAnsi="Arial" w:cs="Arial"/>
                <w:sz w:val="22"/>
                <w:szCs w:val="22"/>
                <w:lang w:val="cs-CZ" w:eastAsia="cs-CZ"/>
              </w:rPr>
              <w:tab/>
            </w:r>
          </w:p>
        </w:tc>
      </w:tr>
      <w:tr w:rsidR="00E6152A" w14:paraId="51B207A5" w14:textId="77777777" w:rsidTr="00DC28B6">
        <w:trPr>
          <w:trHeight w:val="315"/>
        </w:trPr>
        <w:tc>
          <w:tcPr>
            <w:tcW w:w="1139" w:type="dxa"/>
          </w:tcPr>
          <w:p w14:paraId="5600027C" w14:textId="6FB44605" w:rsidR="00E6152A" w:rsidRPr="004427B1" w:rsidRDefault="00E6152A" w:rsidP="00DC28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27B1">
              <w:rPr>
                <w:rFonts w:ascii="Arial" w:hAnsi="Arial" w:cs="Arial"/>
                <w:sz w:val="22"/>
                <w:szCs w:val="22"/>
              </w:rPr>
              <w:t xml:space="preserve">115 164 </w:t>
            </w:r>
          </w:p>
        </w:tc>
        <w:tc>
          <w:tcPr>
            <w:tcW w:w="7933" w:type="dxa"/>
          </w:tcPr>
          <w:p w14:paraId="35A68E68" w14:textId="6E842784" w:rsidR="00E6152A" w:rsidRPr="004427B1" w:rsidRDefault="00E6152A" w:rsidP="00E615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4427B1">
              <w:rPr>
                <w:rFonts w:ascii="Arial" w:hAnsi="Arial" w:cs="Arial"/>
                <w:sz w:val="22"/>
                <w:szCs w:val="22"/>
              </w:rPr>
              <w:t>Adaptační opatření pro zmírnění dopadů klimatické změny na vodní ekosystémy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E6152A" w14:paraId="61F0E192" w14:textId="77777777" w:rsidTr="00DC28B6">
        <w:trPr>
          <w:trHeight w:val="210"/>
        </w:trPr>
        <w:tc>
          <w:tcPr>
            <w:tcW w:w="1139" w:type="dxa"/>
          </w:tcPr>
          <w:p w14:paraId="28603BFF" w14:textId="7C7E9874" w:rsidR="00E6152A" w:rsidRPr="004427B1" w:rsidRDefault="00E6152A" w:rsidP="00DC28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27B1">
              <w:rPr>
                <w:rFonts w:ascii="Arial" w:hAnsi="Arial" w:cs="Arial"/>
                <w:sz w:val="22"/>
                <w:szCs w:val="22"/>
              </w:rPr>
              <w:t xml:space="preserve">115 165 </w:t>
            </w:r>
          </w:p>
        </w:tc>
        <w:tc>
          <w:tcPr>
            <w:tcW w:w="7933" w:type="dxa"/>
          </w:tcPr>
          <w:p w14:paraId="21E17922" w14:textId="2F1213BF" w:rsidR="00E6152A" w:rsidRPr="004427B1" w:rsidRDefault="00E6152A" w:rsidP="00E615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4427B1">
              <w:rPr>
                <w:rFonts w:ascii="Arial" w:hAnsi="Arial" w:cs="Arial"/>
                <w:sz w:val="22"/>
                <w:szCs w:val="22"/>
              </w:rPr>
              <w:t>Adaptační opatření pro zmírnění dopadů klimatické změny na nelesní ekosystémy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E6152A" w14:paraId="47438020" w14:textId="77777777" w:rsidTr="00DC28B6">
        <w:trPr>
          <w:trHeight w:val="180"/>
        </w:trPr>
        <w:tc>
          <w:tcPr>
            <w:tcW w:w="1139" w:type="dxa"/>
          </w:tcPr>
          <w:p w14:paraId="53071590" w14:textId="36ACAC72" w:rsidR="00E6152A" w:rsidRPr="004427B1" w:rsidRDefault="00E6152A" w:rsidP="00DC28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27B1">
              <w:rPr>
                <w:rFonts w:ascii="Arial" w:hAnsi="Arial" w:cs="Arial"/>
                <w:sz w:val="22"/>
                <w:szCs w:val="22"/>
              </w:rPr>
              <w:t xml:space="preserve">115 166 </w:t>
            </w:r>
          </w:p>
        </w:tc>
        <w:tc>
          <w:tcPr>
            <w:tcW w:w="7933" w:type="dxa"/>
          </w:tcPr>
          <w:p w14:paraId="7EEC3894" w14:textId="2A878F0C" w:rsidR="00E6152A" w:rsidRPr="004427B1" w:rsidRDefault="00E82612" w:rsidP="00E615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="00E6152A" w:rsidRPr="004427B1">
              <w:rPr>
                <w:rFonts w:ascii="Arial" w:hAnsi="Arial" w:cs="Arial"/>
                <w:sz w:val="22"/>
                <w:szCs w:val="22"/>
              </w:rPr>
              <w:t>Adaptační opatření pro zmírnění dopadů klimatické změny na lesní ekosystémy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E6152A" w14:paraId="3D35DF07" w14:textId="77777777" w:rsidTr="00DC28B6">
        <w:trPr>
          <w:trHeight w:val="500"/>
        </w:trPr>
        <w:tc>
          <w:tcPr>
            <w:tcW w:w="1139" w:type="dxa"/>
          </w:tcPr>
          <w:p w14:paraId="2B438275" w14:textId="30FEC349" w:rsidR="00E6152A" w:rsidRPr="004427B1" w:rsidRDefault="00E6152A" w:rsidP="00DC28B6">
            <w:pPr>
              <w:pStyle w:val="Zkladntextodsazen"/>
              <w:ind w:firstLine="0"/>
              <w:rPr>
                <w:rFonts w:ascii="Arial" w:hAnsi="Arial" w:cs="Arial"/>
                <w:sz w:val="22"/>
                <w:szCs w:val="22"/>
                <w:lang w:val="cs-CZ" w:eastAsia="cs-CZ"/>
              </w:rPr>
            </w:pPr>
            <w:r>
              <w:rPr>
                <w:rFonts w:ascii="Arial" w:hAnsi="Arial" w:cs="Arial"/>
                <w:sz w:val="22"/>
                <w:szCs w:val="22"/>
                <w:lang w:val="cs-CZ" w:eastAsia="cs-CZ"/>
              </w:rPr>
              <w:t>115 </w:t>
            </w:r>
            <w:r w:rsidRPr="004427B1">
              <w:rPr>
                <w:rFonts w:ascii="Arial" w:hAnsi="Arial" w:cs="Arial"/>
                <w:sz w:val="22"/>
                <w:szCs w:val="22"/>
                <w:lang w:val="cs-CZ" w:eastAsia="cs-CZ"/>
              </w:rPr>
              <w:t>167</w:t>
            </w:r>
            <w:r>
              <w:rPr>
                <w:rFonts w:ascii="Arial" w:hAnsi="Arial" w:cs="Arial"/>
                <w:sz w:val="22"/>
                <w:szCs w:val="22"/>
                <w:lang w:val="cs-CZ" w:eastAsia="cs-CZ"/>
              </w:rPr>
              <w:t xml:space="preserve"> </w:t>
            </w:r>
          </w:p>
        </w:tc>
        <w:tc>
          <w:tcPr>
            <w:tcW w:w="7933" w:type="dxa"/>
          </w:tcPr>
          <w:p w14:paraId="0B75B1E2" w14:textId="0FF3973B" w:rsidR="00E6152A" w:rsidRPr="004427B1" w:rsidRDefault="00E82612" w:rsidP="00E6152A">
            <w:pPr>
              <w:pStyle w:val="Zkladntextodsazen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cs-CZ" w:eastAsia="cs-CZ"/>
              </w:rPr>
              <w:t>„</w:t>
            </w:r>
            <w:r w:rsidR="00E6152A" w:rsidRPr="004427B1">
              <w:rPr>
                <w:rFonts w:ascii="Arial" w:hAnsi="Arial" w:cs="Arial"/>
                <w:sz w:val="22"/>
                <w:szCs w:val="22"/>
                <w:lang w:val="cs-CZ" w:eastAsia="cs-CZ"/>
              </w:rPr>
              <w:t>Zajištění podkladových materiálů pro zlepšování přírodního prostředí a</w:t>
            </w:r>
            <w:r w:rsidR="00E6152A">
              <w:rPr>
                <w:rFonts w:ascii="Arial" w:hAnsi="Arial" w:cs="Arial"/>
                <w:sz w:val="22"/>
                <w:szCs w:val="22"/>
                <w:lang w:val="cs-CZ" w:eastAsia="cs-CZ"/>
              </w:rPr>
              <w:t> </w:t>
            </w:r>
            <w:r w:rsidR="00E6152A" w:rsidRPr="004427B1">
              <w:rPr>
                <w:rFonts w:ascii="Arial" w:hAnsi="Arial" w:cs="Arial"/>
                <w:sz w:val="22"/>
                <w:szCs w:val="22"/>
                <w:lang w:val="cs-CZ" w:eastAsia="cs-CZ"/>
              </w:rPr>
              <w:t>monitoring krajinotvorných programů</w:t>
            </w:r>
            <w:r>
              <w:rPr>
                <w:rFonts w:ascii="Arial" w:hAnsi="Arial" w:cs="Arial"/>
                <w:sz w:val="22"/>
                <w:szCs w:val="22"/>
                <w:lang w:val="cs-CZ" w:eastAsia="cs-CZ"/>
              </w:rPr>
              <w:t>“</w:t>
            </w:r>
          </w:p>
        </w:tc>
      </w:tr>
    </w:tbl>
    <w:p w14:paraId="2DB2AA03" w14:textId="77777777" w:rsidR="003D03B5" w:rsidRDefault="003D03B5" w:rsidP="003D03B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4AF6DD0" w14:textId="29FF474A" w:rsidR="00752A6D" w:rsidRDefault="00752A6D" w:rsidP="003D03B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Realizace opatření přispívajících k prevenci před povodněmi jsou podporována primárně </w:t>
      </w:r>
      <w:r w:rsidR="0023519D">
        <w:rPr>
          <w:rFonts w:ascii="Arial" w:hAnsi="Arial" w:cs="Arial"/>
          <w:color w:val="000000"/>
          <w:sz w:val="22"/>
          <w:szCs w:val="22"/>
        </w:rPr>
        <w:t>z </w:t>
      </w:r>
      <w:r>
        <w:rPr>
          <w:rFonts w:ascii="Arial" w:hAnsi="Arial" w:cs="Arial"/>
          <w:color w:val="000000"/>
          <w:sz w:val="22"/>
          <w:szCs w:val="22"/>
        </w:rPr>
        <w:t xml:space="preserve">podprogramů </w:t>
      </w:r>
      <w:r w:rsidR="00676081">
        <w:rPr>
          <w:rFonts w:ascii="Arial" w:hAnsi="Arial" w:cs="Arial"/>
          <w:color w:val="000000"/>
          <w:sz w:val="22"/>
          <w:szCs w:val="22"/>
        </w:rPr>
        <w:t xml:space="preserve">115 </w:t>
      </w:r>
      <w:r>
        <w:rPr>
          <w:rFonts w:ascii="Arial" w:hAnsi="Arial" w:cs="Arial"/>
          <w:color w:val="000000"/>
          <w:sz w:val="22"/>
          <w:szCs w:val="22"/>
        </w:rPr>
        <w:t xml:space="preserve">164, </w:t>
      </w:r>
      <w:r w:rsidR="00676081">
        <w:rPr>
          <w:rFonts w:ascii="Arial" w:hAnsi="Arial" w:cs="Arial"/>
          <w:color w:val="000000"/>
          <w:sz w:val="22"/>
          <w:szCs w:val="22"/>
        </w:rPr>
        <w:t xml:space="preserve">115 </w:t>
      </w:r>
      <w:r>
        <w:rPr>
          <w:rFonts w:ascii="Arial" w:hAnsi="Arial" w:cs="Arial"/>
          <w:color w:val="000000"/>
          <w:sz w:val="22"/>
          <w:szCs w:val="22"/>
        </w:rPr>
        <w:t xml:space="preserve">165 a </w:t>
      </w:r>
      <w:r w:rsidR="00676081">
        <w:rPr>
          <w:rFonts w:ascii="Arial" w:hAnsi="Arial" w:cs="Arial"/>
          <w:color w:val="000000"/>
          <w:sz w:val="22"/>
          <w:szCs w:val="22"/>
        </w:rPr>
        <w:t xml:space="preserve">115 </w:t>
      </w:r>
      <w:r>
        <w:rPr>
          <w:rFonts w:ascii="Arial" w:hAnsi="Arial" w:cs="Arial"/>
          <w:color w:val="000000"/>
          <w:sz w:val="22"/>
          <w:szCs w:val="22"/>
        </w:rPr>
        <w:t>166. Oprávněnými žadateli jsou zejména fyzické a právnické osoby.</w:t>
      </w:r>
      <w:r w:rsidR="0023519D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="00676081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podprogram</w:t>
      </w:r>
      <w:r w:rsidR="00D33956">
        <w:rPr>
          <w:rFonts w:ascii="Arial" w:hAnsi="Arial" w:cs="Arial"/>
          <w:color w:val="000000"/>
          <w:sz w:val="22"/>
          <w:szCs w:val="22"/>
        </w:rPr>
        <w:t>ů</w:t>
      </w:r>
      <w:r w:rsidR="00676081">
        <w:rPr>
          <w:rFonts w:ascii="Arial" w:hAnsi="Arial" w:cs="Arial"/>
          <w:color w:val="000000"/>
          <w:sz w:val="22"/>
          <w:szCs w:val="22"/>
        </w:rPr>
        <w:t xml:space="preserve"> 115</w:t>
      </w:r>
      <w:r>
        <w:rPr>
          <w:rFonts w:ascii="Arial" w:hAnsi="Arial" w:cs="Arial"/>
          <w:color w:val="000000"/>
          <w:sz w:val="22"/>
          <w:szCs w:val="22"/>
        </w:rPr>
        <w:t xml:space="preserve"> 162, </w:t>
      </w:r>
      <w:r w:rsidR="00676081">
        <w:rPr>
          <w:rFonts w:ascii="Arial" w:hAnsi="Arial" w:cs="Arial"/>
          <w:color w:val="000000"/>
          <w:sz w:val="22"/>
          <w:szCs w:val="22"/>
        </w:rPr>
        <w:t xml:space="preserve">115 </w:t>
      </w:r>
      <w:r>
        <w:rPr>
          <w:rFonts w:ascii="Arial" w:hAnsi="Arial" w:cs="Arial"/>
          <w:color w:val="000000"/>
          <w:sz w:val="22"/>
          <w:szCs w:val="22"/>
        </w:rPr>
        <w:t xml:space="preserve">163 a </w:t>
      </w:r>
      <w:r w:rsidR="00676081">
        <w:rPr>
          <w:rFonts w:ascii="Arial" w:hAnsi="Arial" w:cs="Arial"/>
          <w:color w:val="000000"/>
          <w:sz w:val="22"/>
          <w:szCs w:val="22"/>
        </w:rPr>
        <w:t xml:space="preserve">115 </w:t>
      </w:r>
      <w:r>
        <w:rPr>
          <w:rFonts w:ascii="Arial" w:hAnsi="Arial" w:cs="Arial"/>
          <w:color w:val="000000"/>
          <w:sz w:val="22"/>
          <w:szCs w:val="22"/>
        </w:rPr>
        <w:t xml:space="preserve">167 čerpají výhradně resortní organizace MŽP – </w:t>
      </w:r>
      <w:r w:rsidR="00230FFC">
        <w:rPr>
          <w:rFonts w:ascii="Arial" w:hAnsi="Arial" w:cs="Arial"/>
          <w:color w:val="000000"/>
          <w:sz w:val="22"/>
          <w:szCs w:val="22"/>
        </w:rPr>
        <w:t>AOPK</w:t>
      </w:r>
      <w:r>
        <w:rPr>
          <w:rFonts w:ascii="Arial" w:hAnsi="Arial" w:cs="Arial"/>
          <w:color w:val="000000"/>
          <w:sz w:val="22"/>
          <w:szCs w:val="22"/>
        </w:rPr>
        <w:t xml:space="preserve">, správy národních parků a Správa jeskyní ČR. Cílem těchto podprogramů je naplňování plánů péče a souhrnů doporučených opatření, k prevenci před povodněmi přispívají okrajově. </w:t>
      </w:r>
    </w:p>
    <w:p w14:paraId="02801DA6" w14:textId="77777777" w:rsidR="0023519D" w:rsidRDefault="0023519D" w:rsidP="003D03B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9147723" w14:textId="0041CC11" w:rsidR="00752A6D" w:rsidRPr="0089503A" w:rsidRDefault="00752A6D" w:rsidP="003D03B5">
      <w:pPr>
        <w:jc w:val="both"/>
        <w:rPr>
          <w:rFonts w:ascii="Arial" w:hAnsi="Arial" w:cs="Arial"/>
          <w:sz w:val="22"/>
          <w:szCs w:val="22"/>
        </w:rPr>
      </w:pPr>
      <w:r w:rsidRPr="0089503A">
        <w:rPr>
          <w:rFonts w:ascii="Arial" w:hAnsi="Arial" w:cs="Arial"/>
          <w:sz w:val="22"/>
          <w:szCs w:val="22"/>
        </w:rPr>
        <w:t xml:space="preserve">Opatření z </w:t>
      </w:r>
      <w:r w:rsidR="00676081" w:rsidRPr="0089503A">
        <w:rPr>
          <w:rFonts w:ascii="Arial" w:hAnsi="Arial" w:cs="Arial"/>
          <w:sz w:val="22"/>
          <w:szCs w:val="22"/>
        </w:rPr>
        <w:t>program</w:t>
      </w:r>
      <w:r w:rsidR="0023519D">
        <w:rPr>
          <w:rFonts w:ascii="Arial" w:hAnsi="Arial" w:cs="Arial"/>
          <w:sz w:val="22"/>
          <w:szCs w:val="22"/>
        </w:rPr>
        <w:t>u</w:t>
      </w:r>
      <w:r w:rsidR="00676081" w:rsidRPr="0089503A">
        <w:rPr>
          <w:rFonts w:ascii="Arial" w:hAnsi="Arial" w:cs="Arial"/>
          <w:sz w:val="22"/>
          <w:szCs w:val="22"/>
        </w:rPr>
        <w:t xml:space="preserve"> </w:t>
      </w:r>
      <w:r w:rsidRPr="0089503A">
        <w:rPr>
          <w:rFonts w:ascii="Arial" w:hAnsi="Arial" w:cs="Arial"/>
          <w:sz w:val="22"/>
          <w:szCs w:val="22"/>
        </w:rPr>
        <w:t xml:space="preserve">115 160 </w:t>
      </w:r>
      <w:r w:rsidR="0023519D">
        <w:rPr>
          <w:rFonts w:ascii="Arial" w:hAnsi="Arial" w:cs="Arial"/>
          <w:sz w:val="22"/>
          <w:szCs w:val="22"/>
        </w:rPr>
        <w:t>„</w:t>
      </w:r>
      <w:r w:rsidRPr="0089503A">
        <w:rPr>
          <w:rFonts w:ascii="Arial" w:hAnsi="Arial" w:cs="Arial"/>
          <w:sz w:val="22"/>
          <w:szCs w:val="22"/>
        </w:rPr>
        <w:t>Podpora obnovy přirozených funkcí krajiny</w:t>
      </w:r>
      <w:r w:rsidR="0023519D">
        <w:rPr>
          <w:rFonts w:ascii="Arial" w:hAnsi="Arial" w:cs="Arial"/>
          <w:sz w:val="22"/>
          <w:szCs w:val="22"/>
        </w:rPr>
        <w:t>“</w:t>
      </w:r>
      <w:r w:rsidRPr="0089503A">
        <w:rPr>
          <w:rFonts w:ascii="Arial" w:hAnsi="Arial" w:cs="Arial"/>
          <w:sz w:val="22"/>
          <w:szCs w:val="22"/>
        </w:rPr>
        <w:t xml:space="preserve"> mohou být hrazena až do výše 100 % celkových </w:t>
      </w:r>
      <w:r w:rsidR="0022666D">
        <w:rPr>
          <w:rFonts w:ascii="Arial" w:hAnsi="Arial" w:cs="Arial"/>
          <w:sz w:val="22"/>
          <w:szCs w:val="22"/>
        </w:rPr>
        <w:t>výdajů</w:t>
      </w:r>
      <w:r w:rsidRPr="0089503A">
        <w:rPr>
          <w:rFonts w:ascii="Arial" w:hAnsi="Arial" w:cs="Arial"/>
          <w:sz w:val="22"/>
          <w:szCs w:val="22"/>
        </w:rPr>
        <w:t>. Spoluúčast žadatelů v období 2018</w:t>
      </w:r>
      <w:r w:rsidR="005A47B8">
        <w:rPr>
          <w:rFonts w:ascii="Arial" w:hAnsi="Arial" w:cs="Arial"/>
          <w:sz w:val="22"/>
          <w:szCs w:val="22"/>
        </w:rPr>
        <w:t xml:space="preserve"> </w:t>
      </w:r>
      <w:r w:rsidRPr="0089503A">
        <w:rPr>
          <w:rFonts w:ascii="Arial" w:hAnsi="Arial" w:cs="Arial"/>
          <w:sz w:val="22"/>
          <w:szCs w:val="22"/>
        </w:rPr>
        <w:t xml:space="preserve">tvořila </w:t>
      </w:r>
      <w:r w:rsidR="0022666D">
        <w:rPr>
          <w:rFonts w:ascii="Arial" w:hAnsi="Arial" w:cs="Arial"/>
          <w:sz w:val="22"/>
          <w:szCs w:val="22"/>
        </w:rPr>
        <w:t>9,6</w:t>
      </w:r>
      <w:r w:rsidR="005A47B8">
        <w:rPr>
          <w:rFonts w:ascii="Arial" w:hAnsi="Arial" w:cs="Arial"/>
          <w:sz w:val="22"/>
          <w:szCs w:val="22"/>
        </w:rPr>
        <w:t xml:space="preserve"> </w:t>
      </w:r>
      <w:r w:rsidRPr="00843696">
        <w:rPr>
          <w:rFonts w:ascii="Arial" w:hAnsi="Arial" w:cs="Arial"/>
          <w:sz w:val="22"/>
          <w:szCs w:val="22"/>
        </w:rPr>
        <w:t xml:space="preserve">% </w:t>
      </w:r>
      <w:r w:rsidR="009661AC">
        <w:rPr>
          <w:rFonts w:ascii="Arial" w:hAnsi="Arial" w:cs="Arial"/>
          <w:sz w:val="22"/>
          <w:szCs w:val="22"/>
        </w:rPr>
        <w:br/>
      </w:r>
      <w:r w:rsidRPr="00843696">
        <w:rPr>
          <w:rFonts w:ascii="Arial" w:hAnsi="Arial" w:cs="Arial"/>
          <w:sz w:val="22"/>
          <w:szCs w:val="22"/>
        </w:rPr>
        <w:t>(</w:t>
      </w:r>
      <w:r w:rsidR="000730EA">
        <w:rPr>
          <w:rFonts w:ascii="Arial" w:hAnsi="Arial" w:cs="Arial"/>
          <w:sz w:val="22"/>
          <w:szCs w:val="22"/>
        </w:rPr>
        <w:t>1,</w:t>
      </w:r>
      <w:r w:rsidR="005A47B8">
        <w:rPr>
          <w:rFonts w:ascii="Arial" w:hAnsi="Arial" w:cs="Arial"/>
          <w:sz w:val="22"/>
          <w:szCs w:val="22"/>
        </w:rPr>
        <w:t>2</w:t>
      </w:r>
      <w:r w:rsidR="0022666D">
        <w:rPr>
          <w:rFonts w:ascii="Arial" w:hAnsi="Arial" w:cs="Arial"/>
          <w:sz w:val="22"/>
          <w:szCs w:val="22"/>
        </w:rPr>
        <w:t>3</w:t>
      </w:r>
      <w:r w:rsidR="005A47B8">
        <w:rPr>
          <w:rFonts w:ascii="Arial" w:hAnsi="Arial" w:cs="Arial"/>
          <w:sz w:val="22"/>
          <w:szCs w:val="22"/>
        </w:rPr>
        <w:t> </w:t>
      </w:r>
      <w:r w:rsidRPr="00843696">
        <w:rPr>
          <w:rFonts w:ascii="Arial" w:hAnsi="Arial" w:cs="Arial"/>
          <w:sz w:val="22"/>
          <w:szCs w:val="22"/>
        </w:rPr>
        <w:t>mil. Kč)</w:t>
      </w:r>
      <w:r w:rsidRPr="000730EA">
        <w:rPr>
          <w:rFonts w:ascii="Arial" w:hAnsi="Arial" w:cs="Arial"/>
          <w:sz w:val="22"/>
          <w:szCs w:val="22"/>
        </w:rPr>
        <w:t xml:space="preserve"> z celkových </w:t>
      </w:r>
      <w:r w:rsidR="0022666D">
        <w:rPr>
          <w:rFonts w:ascii="Arial" w:hAnsi="Arial" w:cs="Arial"/>
          <w:sz w:val="22"/>
          <w:szCs w:val="22"/>
        </w:rPr>
        <w:t xml:space="preserve">výdajů podprogramů 115 164, 115 165 a 115 166 </w:t>
      </w:r>
      <w:r w:rsidR="0022666D" w:rsidRPr="000730EA">
        <w:rPr>
          <w:rFonts w:ascii="Arial" w:hAnsi="Arial" w:cs="Arial"/>
          <w:sz w:val="22"/>
          <w:szCs w:val="22"/>
        </w:rPr>
        <w:t xml:space="preserve"> </w:t>
      </w:r>
      <w:r w:rsidRPr="000730EA">
        <w:rPr>
          <w:rFonts w:ascii="Arial" w:hAnsi="Arial" w:cs="Arial"/>
          <w:sz w:val="22"/>
          <w:szCs w:val="22"/>
        </w:rPr>
        <w:t>(</w:t>
      </w:r>
      <w:r w:rsidR="005A47B8">
        <w:rPr>
          <w:rFonts w:ascii="Arial" w:hAnsi="Arial" w:cs="Arial"/>
          <w:sz w:val="22"/>
          <w:szCs w:val="22"/>
        </w:rPr>
        <w:t>1</w:t>
      </w:r>
      <w:r w:rsidR="007003EC">
        <w:rPr>
          <w:rFonts w:ascii="Arial" w:hAnsi="Arial" w:cs="Arial"/>
          <w:sz w:val="22"/>
          <w:szCs w:val="22"/>
        </w:rPr>
        <w:t>2,78</w:t>
      </w:r>
      <w:r w:rsidRPr="00843696">
        <w:rPr>
          <w:rFonts w:ascii="Arial" w:hAnsi="Arial" w:cs="Arial"/>
          <w:sz w:val="22"/>
          <w:szCs w:val="22"/>
        </w:rPr>
        <w:t xml:space="preserve"> mil. Kč</w:t>
      </w:r>
      <w:r w:rsidRPr="000730EA">
        <w:rPr>
          <w:rFonts w:ascii="Arial" w:hAnsi="Arial" w:cs="Arial"/>
          <w:sz w:val="22"/>
          <w:szCs w:val="22"/>
        </w:rPr>
        <w:t>).</w:t>
      </w:r>
    </w:p>
    <w:p w14:paraId="012B6ADC" w14:textId="138602C7" w:rsidR="00752A6D" w:rsidRPr="004A0521" w:rsidRDefault="00752A6D" w:rsidP="00752A6D">
      <w:pPr>
        <w:keepNext/>
        <w:spacing w:before="240" w:after="2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4A0521">
        <w:rPr>
          <w:rFonts w:ascii="Arial" w:hAnsi="Arial" w:cs="Arial"/>
          <w:b/>
          <w:i/>
          <w:iCs/>
          <w:sz w:val="22"/>
          <w:szCs w:val="22"/>
        </w:rPr>
        <w:t>Program 115</w:t>
      </w:r>
      <w:r w:rsidR="005A47B8">
        <w:rPr>
          <w:rFonts w:ascii="Arial" w:hAnsi="Arial" w:cs="Arial"/>
          <w:b/>
          <w:i/>
          <w:iCs/>
          <w:sz w:val="22"/>
          <w:szCs w:val="22"/>
        </w:rPr>
        <w:t> </w:t>
      </w:r>
      <w:r w:rsidRPr="004A0521">
        <w:rPr>
          <w:rFonts w:ascii="Arial" w:hAnsi="Arial" w:cs="Arial"/>
          <w:b/>
          <w:i/>
          <w:iCs/>
          <w:sz w:val="22"/>
          <w:szCs w:val="22"/>
        </w:rPr>
        <w:t>160</w:t>
      </w:r>
      <w:r w:rsidR="005A47B8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4A0521">
        <w:rPr>
          <w:rFonts w:ascii="Arial" w:hAnsi="Arial" w:cs="Arial"/>
          <w:b/>
          <w:i/>
          <w:iCs/>
          <w:sz w:val="22"/>
          <w:szCs w:val="22"/>
        </w:rPr>
        <w:t xml:space="preserve">– přehled čerpání </w:t>
      </w:r>
      <w:r>
        <w:rPr>
          <w:rFonts w:ascii="Arial" w:hAnsi="Arial" w:cs="Arial"/>
          <w:b/>
          <w:i/>
          <w:iCs/>
          <w:sz w:val="22"/>
          <w:szCs w:val="22"/>
        </w:rPr>
        <w:t xml:space="preserve">finančních prostředků ze státního rozpočtu </w:t>
      </w:r>
      <w:r w:rsidR="000D0EC9">
        <w:rPr>
          <w:rFonts w:ascii="Arial" w:hAnsi="Arial" w:cs="Arial"/>
          <w:b/>
          <w:i/>
          <w:iCs/>
          <w:sz w:val="22"/>
          <w:szCs w:val="22"/>
        </w:rPr>
        <w:t xml:space="preserve">v roce 2018 </w:t>
      </w:r>
      <w:r>
        <w:rPr>
          <w:rFonts w:ascii="Arial" w:hAnsi="Arial" w:cs="Arial"/>
          <w:b/>
          <w:i/>
          <w:iCs/>
          <w:sz w:val="22"/>
          <w:szCs w:val="22"/>
        </w:rPr>
        <w:t>(</w:t>
      </w:r>
      <w:r w:rsidRPr="004A0521">
        <w:rPr>
          <w:rFonts w:ascii="Arial" w:hAnsi="Arial" w:cs="Arial"/>
          <w:b/>
          <w:i/>
          <w:iCs/>
          <w:sz w:val="22"/>
          <w:szCs w:val="22"/>
        </w:rPr>
        <w:t>mil. Kč</w:t>
      </w:r>
      <w:r>
        <w:rPr>
          <w:rFonts w:ascii="Arial" w:hAnsi="Arial" w:cs="Arial"/>
          <w:b/>
          <w:i/>
          <w:iCs/>
          <w:sz w:val="22"/>
          <w:szCs w:val="22"/>
        </w:rPr>
        <w:t>)</w:t>
      </w:r>
      <w:r w:rsidR="005A47B8">
        <w:rPr>
          <w:rFonts w:ascii="Arial" w:hAnsi="Arial" w:cs="Arial"/>
          <w:b/>
          <w:i/>
          <w:iCs/>
          <w:sz w:val="22"/>
          <w:szCs w:val="22"/>
        </w:rPr>
        <w:t xml:space="preserve"> </w:t>
      </w:r>
    </w:p>
    <w:tbl>
      <w:tblPr>
        <w:tblW w:w="6781" w:type="dxa"/>
        <w:tblInd w:w="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104"/>
        <w:gridCol w:w="1559"/>
        <w:gridCol w:w="1559"/>
        <w:gridCol w:w="1559"/>
      </w:tblGrid>
      <w:tr w:rsidR="007003EC" w:rsidRPr="004A0521" w14:paraId="1B31F779" w14:textId="3E85B8BB" w:rsidTr="005B29BC">
        <w:trPr>
          <w:trHeight w:val="417"/>
        </w:trPr>
        <w:tc>
          <w:tcPr>
            <w:tcW w:w="210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79AF3809" w14:textId="1DF18423" w:rsidR="007003EC" w:rsidRPr="004A0521" w:rsidRDefault="007003EC" w:rsidP="009E4A1E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70BD">
              <w:rPr>
                <w:rFonts w:ascii="Arial" w:hAnsi="Arial" w:cs="Arial"/>
                <w:b/>
                <w:color w:val="000000"/>
                <w:sz w:val="22"/>
                <w:szCs w:val="22"/>
              </w:rPr>
              <w:t>Číslo podprogram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BFBFBF"/>
            <w:vAlign w:val="center"/>
          </w:tcPr>
          <w:p w14:paraId="3D0C47F9" w14:textId="2ABABBD3" w:rsidR="007003EC" w:rsidRPr="004A0521" w:rsidRDefault="007003EC" w:rsidP="009E4A1E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A0521">
              <w:rPr>
                <w:rFonts w:ascii="Arial" w:hAnsi="Arial" w:cs="Arial"/>
                <w:b/>
                <w:color w:val="000000"/>
                <w:sz w:val="22"/>
                <w:szCs w:val="22"/>
              </w:rPr>
              <w:t>201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14:paraId="231A603E" w14:textId="6EF05D4D" w:rsidR="007003EC" w:rsidRPr="004A0521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BFBFBF"/>
            <w:vAlign w:val="center"/>
          </w:tcPr>
          <w:p w14:paraId="2B0CC5DC" w14:textId="0AA97C83" w:rsidR="007003EC" w:rsidRPr="004A0521" w:rsidRDefault="007003EC" w:rsidP="009E4A1E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A052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7003EC" w:rsidRPr="004A0521" w14:paraId="607EA310" w14:textId="77777777" w:rsidTr="005B29BC">
        <w:trPr>
          <w:trHeight w:val="340"/>
        </w:trPr>
        <w:tc>
          <w:tcPr>
            <w:tcW w:w="2104" w:type="dxa"/>
            <w:tcBorders>
              <w:top w:val="single" w:sz="12" w:space="0" w:color="000000"/>
              <w:right w:val="single" w:sz="4" w:space="0" w:color="auto"/>
            </w:tcBorders>
            <w:vAlign w:val="center"/>
          </w:tcPr>
          <w:p w14:paraId="55F4CFC8" w14:textId="4953885E" w:rsidR="007003EC" w:rsidRPr="004A0521" w:rsidRDefault="007003EC" w:rsidP="007003EC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0521">
              <w:rPr>
                <w:rFonts w:ascii="Arial" w:hAnsi="Arial" w:cs="Arial"/>
                <w:color w:val="000000"/>
                <w:sz w:val="22"/>
                <w:szCs w:val="22"/>
              </w:rPr>
              <w:t>115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4A0521">
              <w:rPr>
                <w:rFonts w:ascii="Arial" w:hAnsi="Arial" w:cs="Arial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auto"/>
            </w:tcBorders>
          </w:tcPr>
          <w:p w14:paraId="2BD40DAA" w14:textId="5D8F9A98" w:rsidR="007003EC" w:rsidRPr="007003EC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4,34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</w:tcBorders>
          </w:tcPr>
          <w:p w14:paraId="62DCC36C" w14:textId="70A49F0F" w:rsidR="007003EC" w:rsidRPr="007003EC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0,24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D852AB8" w14:textId="692AAE8E" w:rsidR="007003EC" w:rsidRPr="007003EC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4,58</w:t>
            </w:r>
          </w:p>
        </w:tc>
      </w:tr>
      <w:tr w:rsidR="007003EC" w:rsidRPr="004A0521" w14:paraId="67C9266E" w14:textId="77777777" w:rsidTr="005B29BC">
        <w:trPr>
          <w:trHeight w:val="340"/>
        </w:trPr>
        <w:tc>
          <w:tcPr>
            <w:tcW w:w="2104" w:type="dxa"/>
            <w:tcBorders>
              <w:right w:val="single" w:sz="4" w:space="0" w:color="auto"/>
            </w:tcBorders>
            <w:vAlign w:val="center"/>
          </w:tcPr>
          <w:p w14:paraId="75429897" w14:textId="22B2F5E9" w:rsidR="007003EC" w:rsidRPr="004A0521" w:rsidRDefault="007003EC" w:rsidP="007003EC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0521">
              <w:rPr>
                <w:rFonts w:ascii="Arial" w:hAnsi="Arial" w:cs="Arial"/>
                <w:color w:val="000000"/>
                <w:sz w:val="22"/>
                <w:szCs w:val="22"/>
              </w:rPr>
              <w:t>115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4A0521">
              <w:rPr>
                <w:rFonts w:ascii="Arial" w:hAnsi="Arial" w:cs="Arial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16E4DBC2" w14:textId="257768A9" w:rsidR="007003EC" w:rsidRPr="007003EC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6,13</w:t>
            </w:r>
          </w:p>
        </w:tc>
        <w:tc>
          <w:tcPr>
            <w:tcW w:w="1559" w:type="dxa"/>
            <w:tcBorders>
              <w:left w:val="single" w:sz="12" w:space="0" w:color="000000"/>
            </w:tcBorders>
          </w:tcPr>
          <w:p w14:paraId="5FA22384" w14:textId="0258FC0B" w:rsidR="007003EC" w:rsidRPr="007003EC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1,14</w:t>
            </w:r>
          </w:p>
        </w:tc>
        <w:tc>
          <w:tcPr>
            <w:tcW w:w="1559" w:type="dxa"/>
            <w:tcBorders>
              <w:left w:val="single" w:sz="12" w:space="0" w:color="000000"/>
              <w:right w:val="single" w:sz="12" w:space="0" w:color="000000"/>
            </w:tcBorders>
          </w:tcPr>
          <w:p w14:paraId="5A7CF79E" w14:textId="70F6E486" w:rsidR="007003EC" w:rsidRPr="007003EC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7,27</w:t>
            </w:r>
          </w:p>
        </w:tc>
      </w:tr>
      <w:tr w:rsidR="007003EC" w:rsidRPr="004A0521" w14:paraId="0E281BF7" w14:textId="77777777" w:rsidTr="005B29BC">
        <w:trPr>
          <w:trHeight w:val="340"/>
        </w:trPr>
        <w:tc>
          <w:tcPr>
            <w:tcW w:w="2104" w:type="dxa"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14:paraId="2AD442E6" w14:textId="58F1B009" w:rsidR="007003EC" w:rsidRPr="004A0521" w:rsidRDefault="007003EC" w:rsidP="007003EC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0521">
              <w:rPr>
                <w:rFonts w:ascii="Arial" w:hAnsi="Arial" w:cs="Arial"/>
                <w:color w:val="000000"/>
                <w:sz w:val="22"/>
                <w:szCs w:val="22"/>
              </w:rPr>
              <w:t>115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4A0521">
              <w:rPr>
                <w:rFonts w:ascii="Arial" w:hAnsi="Arial" w:cs="Arial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000000"/>
            </w:tcBorders>
          </w:tcPr>
          <w:p w14:paraId="2C172B7A" w14:textId="4AA9CD4F" w:rsidR="007003EC" w:rsidRPr="007003EC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0,93</w:t>
            </w:r>
          </w:p>
        </w:tc>
        <w:tc>
          <w:tcPr>
            <w:tcW w:w="1559" w:type="dxa"/>
            <w:tcBorders>
              <w:left w:val="single" w:sz="12" w:space="0" w:color="000000"/>
              <w:bottom w:val="single" w:sz="12" w:space="0" w:color="000000"/>
            </w:tcBorders>
          </w:tcPr>
          <w:p w14:paraId="38351135" w14:textId="70833012" w:rsidR="007003EC" w:rsidRPr="007003EC" w:rsidRDefault="00B3546D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2829F0" w14:textId="6F362770" w:rsidR="007003EC" w:rsidRPr="007003EC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0,93</w:t>
            </w:r>
          </w:p>
        </w:tc>
      </w:tr>
      <w:tr w:rsidR="007003EC" w:rsidRPr="004A0521" w14:paraId="4A47F9A5" w14:textId="77777777" w:rsidTr="005B29BC">
        <w:trPr>
          <w:trHeight w:val="340"/>
        </w:trPr>
        <w:tc>
          <w:tcPr>
            <w:tcW w:w="2104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33C5975E" w14:textId="77777777" w:rsidR="007003EC" w:rsidRPr="004A0521" w:rsidRDefault="007003EC" w:rsidP="007003EC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A052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BFBFBF"/>
          </w:tcPr>
          <w:p w14:paraId="3E4CB350" w14:textId="0B93E86E" w:rsidR="007003EC" w:rsidRPr="007003EC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11,40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05734858" w14:textId="00D782E5" w:rsidR="007003EC" w:rsidRPr="007003EC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1,38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0890FA5B" w14:textId="44487770" w:rsidR="007003EC" w:rsidRPr="007003EC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12,78</w:t>
            </w:r>
          </w:p>
        </w:tc>
      </w:tr>
    </w:tbl>
    <w:p w14:paraId="7F3D2E62" w14:textId="77777777" w:rsidR="008A74AA" w:rsidRDefault="008A74AA" w:rsidP="005A47B8">
      <w:pPr>
        <w:tabs>
          <w:tab w:val="left" w:pos="3546"/>
        </w:tabs>
        <w:jc w:val="both"/>
        <w:rPr>
          <w:rFonts w:ascii="Arial" w:hAnsi="Arial" w:cs="Arial"/>
          <w:sz w:val="22"/>
          <w:szCs w:val="22"/>
        </w:rPr>
      </w:pPr>
    </w:p>
    <w:p w14:paraId="5D1557FA" w14:textId="173C4C06" w:rsidR="005A47B8" w:rsidRPr="00BC43DE" w:rsidRDefault="005A47B8" w:rsidP="005A47B8">
      <w:pPr>
        <w:tabs>
          <w:tab w:val="left" w:pos="3546"/>
        </w:tabs>
        <w:jc w:val="both"/>
        <w:rPr>
          <w:rFonts w:ascii="Arial" w:hAnsi="Arial" w:cs="Arial"/>
          <w:sz w:val="22"/>
          <w:szCs w:val="22"/>
        </w:rPr>
      </w:pPr>
      <w:r w:rsidRPr="00BC43DE">
        <w:rPr>
          <w:rFonts w:ascii="Arial" w:hAnsi="Arial" w:cs="Arial"/>
          <w:sz w:val="22"/>
          <w:szCs w:val="22"/>
        </w:rPr>
        <w:t>Program 115 170 se dělí na podprogramy:</w:t>
      </w:r>
    </w:p>
    <w:p w14:paraId="16DD09A2" w14:textId="77777777" w:rsidR="005A47B8" w:rsidRPr="00BC43DE" w:rsidRDefault="005A47B8" w:rsidP="005A47B8">
      <w:pPr>
        <w:tabs>
          <w:tab w:val="left" w:pos="354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BC43DE">
        <w:rPr>
          <w:rFonts w:ascii="Arial" w:hAnsi="Arial" w:cs="Arial"/>
          <w:sz w:val="22"/>
          <w:szCs w:val="22"/>
        </w:rPr>
        <w:t>115 172 „Zajištění povinností orgánů ochrany přírody ve vztahu k zvláště chráněným územím a zajišťování opatření k podpoře předmětů ochrany ptačích oblastí a evropsky významných lokalit“</w:t>
      </w:r>
      <w:r w:rsidRPr="00BC43DE">
        <w:rPr>
          <w:rFonts w:ascii="Arial" w:hAnsi="Arial" w:cs="Arial"/>
          <w:sz w:val="22"/>
          <w:szCs w:val="22"/>
        </w:rPr>
        <w:tab/>
      </w:r>
      <w:r w:rsidRPr="00BC43DE">
        <w:rPr>
          <w:rFonts w:ascii="Arial" w:hAnsi="Arial" w:cs="Arial"/>
          <w:sz w:val="22"/>
          <w:szCs w:val="22"/>
        </w:rPr>
        <w:tab/>
        <w:t xml:space="preserve">       </w:t>
      </w:r>
    </w:p>
    <w:p w14:paraId="38C75056" w14:textId="77777777" w:rsidR="005A47B8" w:rsidRPr="00BC43DE" w:rsidRDefault="005A47B8" w:rsidP="005A47B8">
      <w:pPr>
        <w:tabs>
          <w:tab w:val="left" w:pos="354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BC43DE">
        <w:rPr>
          <w:rFonts w:ascii="Arial" w:hAnsi="Arial" w:cs="Arial"/>
          <w:sz w:val="22"/>
          <w:szCs w:val="22"/>
        </w:rPr>
        <w:t>115 173 „Realizace a příprava záchranných programů a programů péče o zvláště chráněné druhy rostlin a živočichů“</w:t>
      </w:r>
      <w:r w:rsidRPr="00BC43DE">
        <w:rPr>
          <w:rFonts w:ascii="Arial" w:hAnsi="Arial" w:cs="Arial"/>
          <w:sz w:val="22"/>
          <w:szCs w:val="22"/>
        </w:rPr>
        <w:tab/>
      </w:r>
      <w:r w:rsidRPr="00BC43DE">
        <w:rPr>
          <w:rFonts w:ascii="Arial" w:hAnsi="Arial" w:cs="Arial"/>
          <w:sz w:val="22"/>
          <w:szCs w:val="22"/>
        </w:rPr>
        <w:tab/>
      </w:r>
    </w:p>
    <w:p w14:paraId="5161CDD4" w14:textId="77777777" w:rsidR="005A47B8" w:rsidRPr="00BC43DE" w:rsidRDefault="005A47B8" w:rsidP="005A47B8">
      <w:pPr>
        <w:tabs>
          <w:tab w:val="left" w:pos="3546"/>
        </w:tabs>
        <w:jc w:val="both"/>
        <w:rPr>
          <w:rFonts w:ascii="Arial" w:hAnsi="Arial" w:cs="Arial"/>
          <w:sz w:val="22"/>
          <w:szCs w:val="22"/>
        </w:rPr>
      </w:pPr>
      <w:r w:rsidRPr="00BC43DE">
        <w:rPr>
          <w:rFonts w:ascii="Arial" w:hAnsi="Arial" w:cs="Arial"/>
          <w:sz w:val="22"/>
          <w:szCs w:val="22"/>
        </w:rPr>
        <w:t>115 174 „Adaptační opatření pro zmírnění dopadů klimatické změny na vodní ekosystémy“</w:t>
      </w:r>
    </w:p>
    <w:p w14:paraId="30222F02" w14:textId="77777777" w:rsidR="005A47B8" w:rsidRPr="00BC43DE" w:rsidRDefault="005A47B8" w:rsidP="005A47B8">
      <w:pPr>
        <w:tabs>
          <w:tab w:val="left" w:pos="3546"/>
        </w:tabs>
        <w:jc w:val="both"/>
        <w:rPr>
          <w:rFonts w:ascii="Arial" w:hAnsi="Arial" w:cs="Arial"/>
          <w:sz w:val="22"/>
          <w:szCs w:val="22"/>
        </w:rPr>
      </w:pPr>
      <w:r w:rsidRPr="00BC43DE">
        <w:rPr>
          <w:rFonts w:ascii="Arial" w:hAnsi="Arial" w:cs="Arial"/>
          <w:sz w:val="22"/>
          <w:szCs w:val="22"/>
        </w:rPr>
        <w:t>115 175 „Adaptační opatření pro zmírnění dopadů klimatické změny na nelesní ekosystémy“</w:t>
      </w:r>
    </w:p>
    <w:p w14:paraId="2A723645" w14:textId="77777777" w:rsidR="005A47B8" w:rsidRPr="00BC43DE" w:rsidRDefault="005A47B8" w:rsidP="005A47B8">
      <w:pPr>
        <w:tabs>
          <w:tab w:val="left" w:pos="3546"/>
        </w:tabs>
        <w:jc w:val="both"/>
        <w:rPr>
          <w:rFonts w:ascii="Arial" w:hAnsi="Arial" w:cs="Arial"/>
          <w:sz w:val="22"/>
          <w:szCs w:val="22"/>
        </w:rPr>
      </w:pPr>
      <w:r w:rsidRPr="00BC43DE">
        <w:rPr>
          <w:rFonts w:ascii="Arial" w:hAnsi="Arial" w:cs="Arial"/>
          <w:sz w:val="22"/>
          <w:szCs w:val="22"/>
        </w:rPr>
        <w:t>115 176 „Adaptační opatření pro zmírnění dopadů klimatické změny na lesní ekosystémy“</w:t>
      </w:r>
    </w:p>
    <w:p w14:paraId="7A98C709" w14:textId="77777777" w:rsidR="005A47B8" w:rsidRPr="00BC43DE" w:rsidRDefault="005A47B8" w:rsidP="005A47B8">
      <w:pPr>
        <w:tabs>
          <w:tab w:val="left" w:pos="354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BC43DE">
        <w:rPr>
          <w:rFonts w:ascii="Arial" w:hAnsi="Arial" w:cs="Arial"/>
          <w:sz w:val="22"/>
          <w:szCs w:val="22"/>
        </w:rPr>
        <w:t>115 177 „Zajištění podkladových materiálů pro zlepšování přírodního prostředí a monitoring krajinotvorných programů“</w:t>
      </w:r>
    </w:p>
    <w:p w14:paraId="52189988" w14:textId="77777777" w:rsidR="005A47B8" w:rsidRPr="00BC43DE" w:rsidRDefault="005A47B8" w:rsidP="005A47B8">
      <w:pPr>
        <w:tabs>
          <w:tab w:val="left" w:pos="3546"/>
        </w:tabs>
        <w:jc w:val="both"/>
        <w:rPr>
          <w:rFonts w:ascii="Arial" w:hAnsi="Arial" w:cs="Arial"/>
          <w:sz w:val="22"/>
          <w:szCs w:val="22"/>
        </w:rPr>
      </w:pPr>
    </w:p>
    <w:p w14:paraId="14C6DA97" w14:textId="4C106F96" w:rsidR="005A47B8" w:rsidRPr="00BC43DE" w:rsidRDefault="005A47B8" w:rsidP="005A47B8">
      <w:pPr>
        <w:tabs>
          <w:tab w:val="left" w:pos="3546"/>
        </w:tabs>
        <w:jc w:val="both"/>
        <w:rPr>
          <w:rFonts w:ascii="Arial" w:hAnsi="Arial" w:cs="Arial"/>
          <w:sz w:val="22"/>
          <w:szCs w:val="22"/>
        </w:rPr>
      </w:pPr>
      <w:r w:rsidRPr="00BC43DE">
        <w:rPr>
          <w:rFonts w:ascii="Arial" w:hAnsi="Arial" w:cs="Arial"/>
          <w:sz w:val="22"/>
          <w:szCs w:val="22"/>
        </w:rPr>
        <w:t>Realizace opatření přispívajících k prevenci před povodněmi jsou podporována primárně z</w:t>
      </w:r>
      <w:r w:rsidR="009661AC">
        <w:rPr>
          <w:rFonts w:ascii="Arial" w:hAnsi="Arial" w:cs="Arial"/>
          <w:sz w:val="22"/>
          <w:szCs w:val="22"/>
        </w:rPr>
        <w:t> </w:t>
      </w:r>
      <w:r w:rsidRPr="00BC43DE">
        <w:rPr>
          <w:rFonts w:ascii="Arial" w:hAnsi="Arial" w:cs="Arial"/>
          <w:sz w:val="22"/>
          <w:szCs w:val="22"/>
        </w:rPr>
        <w:t>podprogramů 115 174, 115 175 a 115 176. Oprávněnými žadateli jsou zejména fyzické a</w:t>
      </w:r>
      <w:r w:rsidR="009661AC">
        <w:rPr>
          <w:rFonts w:ascii="Arial" w:hAnsi="Arial" w:cs="Arial"/>
          <w:sz w:val="22"/>
          <w:szCs w:val="22"/>
        </w:rPr>
        <w:t> </w:t>
      </w:r>
      <w:r w:rsidRPr="00BC43DE">
        <w:rPr>
          <w:rFonts w:ascii="Arial" w:hAnsi="Arial" w:cs="Arial"/>
          <w:sz w:val="22"/>
          <w:szCs w:val="22"/>
        </w:rPr>
        <w:t xml:space="preserve">právnické osoby. Z podprogramů 115 172, 115 173 a 115 177 čerpají výhradně resortní organizace MŽP – AOPK, správy národních parků a Správa jeskyní ČR. Cílem těchto podprogramů je naplňování plánů péče a souhrnů doporučených opatření, k prevenci před povodněmi přispívají okrajově. </w:t>
      </w:r>
    </w:p>
    <w:p w14:paraId="2BBC80B7" w14:textId="77777777" w:rsidR="005A47B8" w:rsidRPr="00BC43DE" w:rsidRDefault="005A47B8" w:rsidP="005A47B8">
      <w:pPr>
        <w:tabs>
          <w:tab w:val="left" w:pos="3546"/>
        </w:tabs>
        <w:jc w:val="both"/>
        <w:rPr>
          <w:rFonts w:ascii="Arial" w:hAnsi="Arial" w:cs="Arial"/>
          <w:sz w:val="22"/>
          <w:szCs w:val="22"/>
        </w:rPr>
      </w:pPr>
    </w:p>
    <w:p w14:paraId="79A2A63F" w14:textId="6A48C7C4" w:rsidR="005A47B8" w:rsidRPr="00BC43DE" w:rsidRDefault="005A47B8" w:rsidP="005A47B8">
      <w:pPr>
        <w:tabs>
          <w:tab w:val="left" w:pos="3546"/>
        </w:tabs>
        <w:jc w:val="both"/>
        <w:rPr>
          <w:rFonts w:ascii="Arial" w:hAnsi="Arial" w:cs="Arial"/>
          <w:sz w:val="22"/>
          <w:szCs w:val="22"/>
        </w:rPr>
      </w:pPr>
      <w:r w:rsidRPr="00BC43DE">
        <w:rPr>
          <w:rFonts w:ascii="Arial" w:hAnsi="Arial" w:cs="Arial"/>
          <w:sz w:val="22"/>
          <w:szCs w:val="22"/>
        </w:rPr>
        <w:t xml:space="preserve">Opatření z programu 115 170 „Podpora obnovy přirozených funkcí krajiny“ mohou být hrazena až do výše 100 % celkových </w:t>
      </w:r>
      <w:r w:rsidR="007003EC">
        <w:rPr>
          <w:rFonts w:ascii="Arial" w:hAnsi="Arial" w:cs="Arial"/>
          <w:sz w:val="22"/>
          <w:szCs w:val="22"/>
        </w:rPr>
        <w:t>výdajů</w:t>
      </w:r>
      <w:r w:rsidRPr="00BC43DE">
        <w:rPr>
          <w:rFonts w:ascii="Arial" w:hAnsi="Arial" w:cs="Arial"/>
          <w:sz w:val="22"/>
          <w:szCs w:val="22"/>
        </w:rPr>
        <w:t xml:space="preserve">. Spoluúčast žadatelů v období 2019–2020 tvořila </w:t>
      </w:r>
      <w:r w:rsidR="007003EC">
        <w:rPr>
          <w:rFonts w:ascii="Arial" w:hAnsi="Arial" w:cs="Arial"/>
          <w:sz w:val="22"/>
          <w:szCs w:val="22"/>
        </w:rPr>
        <w:t>2,3</w:t>
      </w:r>
      <w:r w:rsidRPr="00BC43DE">
        <w:rPr>
          <w:rFonts w:ascii="Arial" w:hAnsi="Arial" w:cs="Arial"/>
          <w:sz w:val="22"/>
          <w:szCs w:val="22"/>
        </w:rPr>
        <w:t xml:space="preserve"> % (0,24 mil. Kč) z celkových </w:t>
      </w:r>
      <w:r w:rsidR="007003EC">
        <w:rPr>
          <w:rFonts w:ascii="Arial" w:hAnsi="Arial" w:cs="Arial"/>
          <w:sz w:val="22"/>
          <w:szCs w:val="22"/>
        </w:rPr>
        <w:t>výdajů</w:t>
      </w:r>
      <w:r w:rsidR="007003EC" w:rsidRPr="00BC43DE">
        <w:rPr>
          <w:rFonts w:ascii="Arial" w:hAnsi="Arial" w:cs="Arial"/>
          <w:sz w:val="22"/>
          <w:szCs w:val="22"/>
        </w:rPr>
        <w:t xml:space="preserve"> </w:t>
      </w:r>
      <w:r w:rsidR="007003EC">
        <w:rPr>
          <w:rFonts w:ascii="Arial" w:hAnsi="Arial" w:cs="Arial"/>
          <w:sz w:val="22"/>
          <w:szCs w:val="22"/>
        </w:rPr>
        <w:t>pod</w:t>
      </w:r>
      <w:r w:rsidRPr="00BC43DE">
        <w:rPr>
          <w:rFonts w:ascii="Arial" w:hAnsi="Arial" w:cs="Arial"/>
          <w:sz w:val="22"/>
          <w:szCs w:val="22"/>
        </w:rPr>
        <w:t xml:space="preserve">programů </w:t>
      </w:r>
      <w:r w:rsidR="007003EC">
        <w:rPr>
          <w:rFonts w:ascii="Arial" w:hAnsi="Arial" w:cs="Arial"/>
          <w:sz w:val="22"/>
          <w:szCs w:val="22"/>
        </w:rPr>
        <w:t xml:space="preserve">115 174, 115 175 a 115 176 </w:t>
      </w:r>
      <w:r w:rsidRPr="00BC43DE">
        <w:rPr>
          <w:rFonts w:ascii="Arial" w:hAnsi="Arial" w:cs="Arial"/>
          <w:sz w:val="22"/>
          <w:szCs w:val="22"/>
        </w:rPr>
        <w:t>(</w:t>
      </w:r>
      <w:r w:rsidR="007003EC">
        <w:rPr>
          <w:rFonts w:ascii="Arial" w:hAnsi="Arial" w:cs="Arial"/>
          <w:sz w:val="22"/>
          <w:szCs w:val="22"/>
        </w:rPr>
        <w:t>10,41</w:t>
      </w:r>
      <w:r w:rsidRPr="00BC43DE">
        <w:rPr>
          <w:rFonts w:ascii="Arial" w:hAnsi="Arial" w:cs="Arial"/>
          <w:sz w:val="22"/>
          <w:szCs w:val="22"/>
        </w:rPr>
        <w:t xml:space="preserve"> mil. Kč).</w:t>
      </w:r>
    </w:p>
    <w:p w14:paraId="6FD0C0CF" w14:textId="77777777" w:rsidR="005A47B8" w:rsidRDefault="005A47B8" w:rsidP="005A47B8">
      <w:pPr>
        <w:tabs>
          <w:tab w:val="left" w:pos="3546"/>
        </w:tabs>
        <w:jc w:val="both"/>
        <w:rPr>
          <w:rFonts w:ascii="Arial" w:hAnsi="Arial" w:cs="Arial"/>
          <w:b/>
          <w:sz w:val="22"/>
          <w:szCs w:val="22"/>
        </w:rPr>
      </w:pPr>
    </w:p>
    <w:p w14:paraId="3681C434" w14:textId="7FA8F372" w:rsidR="005A47B8" w:rsidRDefault="005A47B8" w:rsidP="005A47B8">
      <w:pPr>
        <w:tabs>
          <w:tab w:val="left" w:pos="3546"/>
        </w:tabs>
        <w:jc w:val="both"/>
        <w:rPr>
          <w:rFonts w:ascii="Arial" w:hAnsi="Arial" w:cs="Arial"/>
          <w:b/>
          <w:sz w:val="22"/>
          <w:szCs w:val="22"/>
        </w:rPr>
      </w:pPr>
      <w:r w:rsidRPr="004A0521">
        <w:rPr>
          <w:rFonts w:ascii="Arial" w:hAnsi="Arial" w:cs="Arial"/>
          <w:b/>
          <w:i/>
          <w:iCs/>
          <w:sz w:val="22"/>
          <w:szCs w:val="22"/>
        </w:rPr>
        <w:lastRenderedPageBreak/>
        <w:t>Program 115</w:t>
      </w:r>
      <w:r>
        <w:rPr>
          <w:rFonts w:ascii="Arial" w:hAnsi="Arial" w:cs="Arial"/>
          <w:b/>
          <w:i/>
          <w:iCs/>
          <w:sz w:val="22"/>
          <w:szCs w:val="22"/>
        </w:rPr>
        <w:t> </w:t>
      </w:r>
      <w:r w:rsidRPr="004A0521">
        <w:rPr>
          <w:rFonts w:ascii="Arial" w:hAnsi="Arial" w:cs="Arial"/>
          <w:b/>
          <w:i/>
          <w:iCs/>
          <w:sz w:val="22"/>
          <w:szCs w:val="22"/>
        </w:rPr>
        <w:t>1</w:t>
      </w:r>
      <w:r>
        <w:rPr>
          <w:rFonts w:ascii="Arial" w:hAnsi="Arial" w:cs="Arial"/>
          <w:b/>
          <w:i/>
          <w:iCs/>
          <w:sz w:val="22"/>
          <w:szCs w:val="22"/>
        </w:rPr>
        <w:t>7</w:t>
      </w:r>
      <w:r w:rsidRPr="004A0521">
        <w:rPr>
          <w:rFonts w:ascii="Arial" w:hAnsi="Arial" w:cs="Arial"/>
          <w:b/>
          <w:i/>
          <w:iCs/>
          <w:sz w:val="22"/>
          <w:szCs w:val="22"/>
        </w:rPr>
        <w:t>0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4A0521">
        <w:rPr>
          <w:rFonts w:ascii="Arial" w:hAnsi="Arial" w:cs="Arial"/>
          <w:b/>
          <w:i/>
          <w:iCs/>
          <w:sz w:val="22"/>
          <w:szCs w:val="22"/>
        </w:rPr>
        <w:t xml:space="preserve">– přehled čerpání </w:t>
      </w:r>
      <w:r>
        <w:rPr>
          <w:rFonts w:ascii="Arial" w:hAnsi="Arial" w:cs="Arial"/>
          <w:b/>
          <w:i/>
          <w:iCs/>
          <w:sz w:val="22"/>
          <w:szCs w:val="22"/>
        </w:rPr>
        <w:t>finančních prostředků ze státního rozpočtu</w:t>
      </w:r>
      <w:r w:rsidR="002F5288">
        <w:rPr>
          <w:rFonts w:ascii="Arial" w:hAnsi="Arial" w:cs="Arial"/>
          <w:b/>
          <w:i/>
          <w:iCs/>
          <w:sz w:val="22"/>
          <w:szCs w:val="22"/>
        </w:rPr>
        <w:t xml:space="preserve"> v letech 2019</w:t>
      </w:r>
      <w:r w:rsidR="002F5288" w:rsidRPr="004A0521">
        <w:rPr>
          <w:rFonts w:ascii="Arial" w:hAnsi="Arial" w:cs="Arial"/>
          <w:b/>
          <w:i/>
          <w:iCs/>
          <w:sz w:val="22"/>
          <w:szCs w:val="22"/>
        </w:rPr>
        <w:t>–</w:t>
      </w:r>
      <w:r w:rsidR="002F5288">
        <w:rPr>
          <w:rFonts w:ascii="Arial" w:hAnsi="Arial" w:cs="Arial"/>
          <w:b/>
          <w:i/>
          <w:iCs/>
          <w:sz w:val="22"/>
          <w:szCs w:val="22"/>
        </w:rPr>
        <w:t>2020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r w:rsidRPr="004A0521">
        <w:rPr>
          <w:rFonts w:ascii="Arial" w:hAnsi="Arial" w:cs="Arial"/>
          <w:b/>
          <w:i/>
          <w:iCs/>
          <w:sz w:val="22"/>
          <w:szCs w:val="22"/>
        </w:rPr>
        <w:t>mil. Kč</w:t>
      </w:r>
      <w:r>
        <w:rPr>
          <w:rFonts w:ascii="Arial" w:hAnsi="Arial" w:cs="Arial"/>
          <w:b/>
          <w:i/>
          <w:iCs/>
          <w:sz w:val="22"/>
          <w:szCs w:val="22"/>
        </w:rPr>
        <w:t>)</w:t>
      </w:r>
    </w:p>
    <w:tbl>
      <w:tblPr>
        <w:tblW w:w="7537" w:type="dxa"/>
        <w:tblInd w:w="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104"/>
        <w:gridCol w:w="1559"/>
        <w:gridCol w:w="1701"/>
        <w:gridCol w:w="2173"/>
      </w:tblGrid>
      <w:tr w:rsidR="002F5288" w:rsidRPr="004A0521" w14:paraId="7851C315" w14:textId="77777777" w:rsidTr="00E27B80">
        <w:trPr>
          <w:trHeight w:val="340"/>
        </w:trPr>
        <w:tc>
          <w:tcPr>
            <w:tcW w:w="2104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2B50D43C" w14:textId="6A765D52" w:rsidR="002F5288" w:rsidRPr="004A0521" w:rsidRDefault="002F5288" w:rsidP="002F5288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A70BD">
              <w:rPr>
                <w:rFonts w:ascii="Arial" w:hAnsi="Arial" w:cs="Arial"/>
                <w:b/>
                <w:color w:val="000000"/>
                <w:sz w:val="22"/>
                <w:szCs w:val="22"/>
              </w:rPr>
              <w:t>Číslo podprogram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u</w:t>
            </w:r>
          </w:p>
        </w:tc>
        <w:tc>
          <w:tcPr>
            <w:tcW w:w="3260" w:type="dxa"/>
            <w:gridSpan w:val="2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6EAD75D" w14:textId="67EC4250" w:rsidR="002F5288" w:rsidRPr="004A0521" w:rsidRDefault="002F5288" w:rsidP="002843CC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A0521">
              <w:rPr>
                <w:rFonts w:ascii="Arial" w:hAnsi="Arial" w:cs="Arial"/>
                <w:b/>
                <w:color w:val="000000"/>
                <w:sz w:val="22"/>
                <w:szCs w:val="22"/>
              </w:rPr>
              <w:t>Rok</w:t>
            </w:r>
          </w:p>
        </w:tc>
        <w:tc>
          <w:tcPr>
            <w:tcW w:w="217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FBFBF"/>
            <w:vAlign w:val="center"/>
          </w:tcPr>
          <w:p w14:paraId="0A54F543" w14:textId="77777777" w:rsidR="002F5288" w:rsidRPr="004A0521" w:rsidRDefault="002F5288" w:rsidP="00E27B80">
            <w:pPr>
              <w:autoSpaceDE w:val="0"/>
              <w:autoSpaceDN w:val="0"/>
              <w:adjustRightInd w:val="0"/>
              <w:ind w:left="15" w:right="315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A052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2F5288" w:rsidRPr="004A0521" w14:paraId="76F96B08" w14:textId="77777777" w:rsidTr="00E27B80">
        <w:trPr>
          <w:trHeight w:val="340"/>
        </w:trPr>
        <w:tc>
          <w:tcPr>
            <w:tcW w:w="2104" w:type="dxa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vAlign w:val="center"/>
          </w:tcPr>
          <w:p w14:paraId="73B60239" w14:textId="77777777" w:rsidR="002F5288" w:rsidRPr="004A0521" w:rsidRDefault="002F5288" w:rsidP="002843CC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BFBFBF"/>
            <w:vAlign w:val="center"/>
          </w:tcPr>
          <w:p w14:paraId="5B1CF92F" w14:textId="77777777" w:rsidR="002F5288" w:rsidRPr="004A0521" w:rsidRDefault="002F5288" w:rsidP="00E27B80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A0521">
              <w:rPr>
                <w:rFonts w:ascii="Arial" w:hAnsi="Arial" w:cs="Arial"/>
                <w:b/>
                <w:color w:val="000000"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1906C20" w14:textId="77777777" w:rsidR="002F5288" w:rsidRPr="004A0521" w:rsidRDefault="002F5288" w:rsidP="00E27B80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A0521">
              <w:rPr>
                <w:rFonts w:ascii="Arial" w:hAnsi="Arial" w:cs="Arial"/>
                <w:b/>
                <w:color w:val="000000"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7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C90B842" w14:textId="77777777" w:rsidR="002F5288" w:rsidRPr="004A0521" w:rsidRDefault="002F5288" w:rsidP="00E27B80">
            <w:pPr>
              <w:autoSpaceDE w:val="0"/>
              <w:autoSpaceDN w:val="0"/>
              <w:adjustRightInd w:val="0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003EC" w:rsidRPr="004A0521" w14:paraId="617B42A7" w14:textId="77777777" w:rsidTr="00E27B80">
        <w:trPr>
          <w:trHeight w:val="340"/>
        </w:trPr>
        <w:tc>
          <w:tcPr>
            <w:tcW w:w="2104" w:type="dxa"/>
            <w:tcBorders>
              <w:top w:val="single" w:sz="12" w:space="0" w:color="000000"/>
              <w:right w:val="single" w:sz="4" w:space="0" w:color="auto"/>
            </w:tcBorders>
            <w:vAlign w:val="center"/>
          </w:tcPr>
          <w:p w14:paraId="598BF9F1" w14:textId="65B65D18" w:rsidR="007003EC" w:rsidRPr="004A0521" w:rsidRDefault="007003EC" w:rsidP="007003EC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115 174</w:t>
            </w:r>
          </w:p>
        </w:tc>
        <w:tc>
          <w:tcPr>
            <w:tcW w:w="1559" w:type="dxa"/>
            <w:tcBorders>
              <w:top w:val="single" w:sz="12" w:space="0" w:color="000000"/>
            </w:tcBorders>
            <w:vAlign w:val="center"/>
          </w:tcPr>
          <w:p w14:paraId="31615AED" w14:textId="0524920F" w:rsidR="007003EC" w:rsidRPr="00B3546D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701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7EEA0B96" w14:textId="6703F37B" w:rsidR="007003EC" w:rsidRPr="005B29BC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3,96</w:t>
            </w:r>
          </w:p>
        </w:tc>
        <w:tc>
          <w:tcPr>
            <w:tcW w:w="2173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73CB835B" w14:textId="1DA0B211" w:rsidR="007003EC" w:rsidRPr="005B29BC" w:rsidRDefault="007003EC" w:rsidP="007003EC">
            <w:pPr>
              <w:autoSpaceDE w:val="0"/>
              <w:autoSpaceDN w:val="0"/>
              <w:adjustRightInd w:val="0"/>
              <w:ind w:left="15" w:right="315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b/>
                <w:color w:val="000000"/>
                <w:sz w:val="22"/>
                <w:szCs w:val="22"/>
              </w:rPr>
              <w:t>4,09</w:t>
            </w:r>
          </w:p>
        </w:tc>
      </w:tr>
      <w:tr w:rsidR="007003EC" w:rsidRPr="004A0521" w14:paraId="1A7B7CFF" w14:textId="77777777" w:rsidTr="00E27B80">
        <w:trPr>
          <w:trHeight w:val="340"/>
        </w:trPr>
        <w:tc>
          <w:tcPr>
            <w:tcW w:w="2104" w:type="dxa"/>
            <w:tcBorders>
              <w:right w:val="single" w:sz="4" w:space="0" w:color="auto"/>
            </w:tcBorders>
            <w:vAlign w:val="center"/>
          </w:tcPr>
          <w:p w14:paraId="50B8DF9A" w14:textId="77777777" w:rsidR="007003EC" w:rsidRPr="004A0521" w:rsidRDefault="007003EC" w:rsidP="007003EC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115 175</w:t>
            </w:r>
          </w:p>
        </w:tc>
        <w:tc>
          <w:tcPr>
            <w:tcW w:w="1559" w:type="dxa"/>
            <w:vAlign w:val="center"/>
          </w:tcPr>
          <w:p w14:paraId="0BFC3783" w14:textId="38DBFDBC" w:rsidR="007003EC" w:rsidRPr="007003EC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color w:val="000000"/>
                <w:sz w:val="22"/>
                <w:szCs w:val="22"/>
              </w:rPr>
              <w:t>0,82</w:t>
            </w:r>
          </w:p>
        </w:tc>
        <w:tc>
          <w:tcPr>
            <w:tcW w:w="1701" w:type="dxa"/>
            <w:tcBorders>
              <w:right w:val="single" w:sz="12" w:space="0" w:color="000000"/>
            </w:tcBorders>
            <w:vAlign w:val="center"/>
          </w:tcPr>
          <w:p w14:paraId="65EA5DED" w14:textId="6AA1DAAE" w:rsidR="007003EC" w:rsidRPr="005B29BC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4,67</w:t>
            </w:r>
          </w:p>
        </w:tc>
        <w:tc>
          <w:tcPr>
            <w:tcW w:w="2173" w:type="dxa"/>
            <w:tcBorders>
              <w:left w:val="single" w:sz="12" w:space="0" w:color="000000"/>
            </w:tcBorders>
            <w:vAlign w:val="center"/>
          </w:tcPr>
          <w:p w14:paraId="6B2235EC" w14:textId="5E4F26B1" w:rsidR="007003EC" w:rsidRPr="005B29BC" w:rsidRDefault="007003EC" w:rsidP="007003EC">
            <w:pPr>
              <w:autoSpaceDE w:val="0"/>
              <w:autoSpaceDN w:val="0"/>
              <w:adjustRightInd w:val="0"/>
              <w:ind w:left="15" w:right="315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b/>
                <w:color w:val="000000"/>
                <w:sz w:val="22"/>
                <w:szCs w:val="22"/>
              </w:rPr>
              <w:t>5,49</w:t>
            </w:r>
          </w:p>
        </w:tc>
      </w:tr>
      <w:tr w:rsidR="007003EC" w:rsidRPr="004A0521" w14:paraId="4ACD0D87" w14:textId="77777777" w:rsidTr="00E27B80">
        <w:trPr>
          <w:trHeight w:val="340"/>
        </w:trPr>
        <w:tc>
          <w:tcPr>
            <w:tcW w:w="2104" w:type="dxa"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14:paraId="0E770999" w14:textId="77777777" w:rsidR="007003EC" w:rsidRPr="004A0521" w:rsidRDefault="007003EC" w:rsidP="007003EC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115 176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vAlign w:val="center"/>
          </w:tcPr>
          <w:p w14:paraId="3515BE37" w14:textId="1D8C3A35" w:rsidR="007003EC" w:rsidRPr="00B3546D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color w:val="000000"/>
                <w:sz w:val="22"/>
                <w:szCs w:val="22"/>
              </w:rPr>
              <w:t>0,50</w:t>
            </w:r>
          </w:p>
        </w:tc>
        <w:tc>
          <w:tcPr>
            <w:tcW w:w="1701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1E2F26E3" w14:textId="27A1B7EE" w:rsidR="007003EC" w:rsidRPr="005B29BC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B29BC">
              <w:rPr>
                <w:rFonts w:ascii="Arial" w:hAnsi="Arial" w:cs="Arial"/>
                <w:sz w:val="22"/>
                <w:szCs w:val="22"/>
              </w:rPr>
              <w:t>0,33</w:t>
            </w:r>
          </w:p>
        </w:tc>
        <w:tc>
          <w:tcPr>
            <w:tcW w:w="2173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11F3A351" w14:textId="0219F38A" w:rsidR="007003EC" w:rsidRPr="005B29BC" w:rsidRDefault="007003EC" w:rsidP="007003EC">
            <w:pPr>
              <w:autoSpaceDE w:val="0"/>
              <w:autoSpaceDN w:val="0"/>
              <w:adjustRightInd w:val="0"/>
              <w:ind w:left="15" w:right="315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b/>
                <w:color w:val="000000"/>
                <w:sz w:val="22"/>
                <w:szCs w:val="22"/>
              </w:rPr>
              <w:t>0,83</w:t>
            </w:r>
          </w:p>
        </w:tc>
      </w:tr>
      <w:tr w:rsidR="007003EC" w:rsidRPr="004A0521" w14:paraId="7AC05307" w14:textId="77777777" w:rsidTr="007003EC">
        <w:trPr>
          <w:trHeight w:val="340"/>
        </w:trPr>
        <w:tc>
          <w:tcPr>
            <w:tcW w:w="2104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378CC93D" w14:textId="77777777" w:rsidR="007003EC" w:rsidRPr="004A0521" w:rsidRDefault="007003EC" w:rsidP="007003EC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A052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BFBFBF"/>
            <w:vAlign w:val="center"/>
          </w:tcPr>
          <w:p w14:paraId="37F26819" w14:textId="38A0B2F3" w:rsidR="007003EC" w:rsidRPr="007003EC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b/>
                <w:color w:val="000000"/>
                <w:sz w:val="22"/>
                <w:szCs w:val="22"/>
              </w:rPr>
              <w:t>1,45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9906471" w14:textId="32CD4746" w:rsidR="007003EC" w:rsidRPr="00B3546D" w:rsidRDefault="007003EC" w:rsidP="007003EC">
            <w:pPr>
              <w:autoSpaceDE w:val="0"/>
              <w:autoSpaceDN w:val="0"/>
              <w:adjustRightInd w:val="0"/>
              <w:ind w:left="15" w:right="273"/>
              <w:jc w:val="righ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5B29BC">
              <w:rPr>
                <w:rFonts w:ascii="Arial" w:hAnsi="Arial"/>
                <w:b/>
                <w:sz w:val="22"/>
              </w:rPr>
              <w:t>8,96</w:t>
            </w:r>
          </w:p>
        </w:tc>
        <w:tc>
          <w:tcPr>
            <w:tcW w:w="21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FBFBF"/>
            <w:vAlign w:val="center"/>
          </w:tcPr>
          <w:p w14:paraId="636A2953" w14:textId="08341AEE" w:rsidR="007003EC" w:rsidRPr="00B3546D" w:rsidRDefault="007003EC" w:rsidP="007003EC">
            <w:pPr>
              <w:autoSpaceDE w:val="0"/>
              <w:autoSpaceDN w:val="0"/>
              <w:adjustRightInd w:val="0"/>
              <w:ind w:left="15" w:right="315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B29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10,41</w:t>
            </w:r>
          </w:p>
        </w:tc>
      </w:tr>
    </w:tbl>
    <w:p w14:paraId="464116CB" w14:textId="77777777" w:rsidR="00752A6D" w:rsidRDefault="00752A6D" w:rsidP="003D03B5">
      <w:pPr>
        <w:tabs>
          <w:tab w:val="left" w:pos="3546"/>
        </w:tabs>
        <w:jc w:val="both"/>
        <w:rPr>
          <w:rFonts w:ascii="Arial" w:hAnsi="Arial" w:cs="Arial"/>
          <w:b/>
          <w:sz w:val="22"/>
          <w:szCs w:val="22"/>
        </w:rPr>
      </w:pPr>
    </w:p>
    <w:p w14:paraId="4A143A25" w14:textId="02D748F0" w:rsidR="00752A6D" w:rsidRDefault="00752A6D" w:rsidP="0033739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Příklady vybraných akcí</w:t>
      </w:r>
      <w:r w:rsidR="00E064AB">
        <w:rPr>
          <w:rFonts w:ascii="Arial" w:hAnsi="Arial" w:cs="Arial"/>
          <w:b/>
          <w:sz w:val="22"/>
          <w:szCs w:val="22"/>
        </w:rPr>
        <w:t xml:space="preserve"> realizovaných v období 2018</w:t>
      </w:r>
      <w:r w:rsidR="00E064AB" w:rsidRPr="004A0521">
        <w:rPr>
          <w:rFonts w:ascii="Arial" w:hAnsi="Arial" w:cs="Arial"/>
          <w:b/>
          <w:sz w:val="22"/>
          <w:szCs w:val="22"/>
        </w:rPr>
        <w:t>–</w:t>
      </w:r>
      <w:r w:rsidR="00E064AB">
        <w:rPr>
          <w:rFonts w:ascii="Arial" w:hAnsi="Arial" w:cs="Arial"/>
          <w:b/>
          <w:sz w:val="22"/>
          <w:szCs w:val="22"/>
        </w:rPr>
        <w:t>2020</w:t>
      </w:r>
    </w:p>
    <w:p w14:paraId="05077377" w14:textId="77777777" w:rsidR="00752A6D" w:rsidRDefault="00752A6D" w:rsidP="003D03B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9E53D6D" w14:textId="1E4B5D43" w:rsidR="00752A6D" w:rsidRPr="0023637A" w:rsidRDefault="00752A6D" w:rsidP="003D03B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3637A">
        <w:rPr>
          <w:rFonts w:ascii="Arial" w:hAnsi="Arial" w:cs="Arial"/>
          <w:b/>
          <w:color w:val="000000"/>
          <w:sz w:val="22"/>
          <w:szCs w:val="22"/>
        </w:rPr>
        <w:t xml:space="preserve">„115D174000004 – Mokřadní tůně </w:t>
      </w:r>
      <w:proofErr w:type="spellStart"/>
      <w:r w:rsidRPr="0023637A">
        <w:rPr>
          <w:rFonts w:ascii="Arial" w:hAnsi="Arial" w:cs="Arial"/>
          <w:b/>
          <w:color w:val="000000"/>
          <w:sz w:val="22"/>
          <w:szCs w:val="22"/>
        </w:rPr>
        <w:t>Záhrastí</w:t>
      </w:r>
      <w:proofErr w:type="spellEnd"/>
      <w:r w:rsidRPr="0023637A">
        <w:rPr>
          <w:rFonts w:ascii="Arial" w:hAnsi="Arial" w:cs="Arial"/>
          <w:b/>
          <w:color w:val="000000"/>
          <w:sz w:val="22"/>
          <w:szCs w:val="22"/>
        </w:rPr>
        <w:t>“</w:t>
      </w:r>
      <w:r>
        <w:rPr>
          <w:rFonts w:ascii="Arial" w:hAnsi="Arial" w:cs="Arial"/>
          <w:color w:val="000000"/>
          <w:sz w:val="22"/>
          <w:szCs w:val="22"/>
        </w:rPr>
        <w:t xml:space="preserve"> – </w:t>
      </w:r>
      <w:r w:rsidRPr="0023637A">
        <w:rPr>
          <w:rFonts w:ascii="Arial" w:hAnsi="Arial" w:cs="Arial"/>
          <w:color w:val="000000"/>
          <w:sz w:val="22"/>
          <w:szCs w:val="22"/>
        </w:rPr>
        <w:t>žadatel</w:t>
      </w:r>
      <w:r>
        <w:rPr>
          <w:rFonts w:ascii="Arial" w:hAnsi="Arial" w:cs="Arial"/>
          <w:color w:val="000000"/>
          <w:sz w:val="22"/>
          <w:szCs w:val="22"/>
        </w:rPr>
        <w:t>:</w:t>
      </w:r>
      <w:r w:rsidRPr="0023637A">
        <w:rPr>
          <w:rFonts w:ascii="Arial" w:hAnsi="Arial" w:cs="Arial"/>
          <w:color w:val="000000"/>
          <w:sz w:val="22"/>
          <w:szCs w:val="22"/>
        </w:rPr>
        <w:t xml:space="preserve"> Augustin Josef, realizace 2019, finanční prostředky 154 578 Kč ze </w:t>
      </w:r>
      <w:r w:rsidR="00D33956">
        <w:rPr>
          <w:rFonts w:ascii="Arial" w:hAnsi="Arial" w:cs="Arial"/>
          <w:color w:val="000000"/>
          <w:sz w:val="22"/>
          <w:szCs w:val="22"/>
        </w:rPr>
        <w:t>státního rozpočtu</w:t>
      </w:r>
      <w:r w:rsidRPr="0023637A">
        <w:rPr>
          <w:rFonts w:ascii="Arial" w:hAnsi="Arial" w:cs="Arial"/>
          <w:color w:val="000000"/>
          <w:sz w:val="22"/>
          <w:szCs w:val="22"/>
        </w:rPr>
        <w:t>, 0 Kč z vlastních zdrojů</w:t>
      </w:r>
      <w:r w:rsidR="00E82612">
        <w:rPr>
          <w:rFonts w:ascii="Arial" w:hAnsi="Arial" w:cs="Arial"/>
          <w:color w:val="000000"/>
          <w:sz w:val="22"/>
          <w:szCs w:val="22"/>
        </w:rPr>
        <w:t>.</w:t>
      </w:r>
      <w:r w:rsidR="005F5507">
        <w:rPr>
          <w:rFonts w:ascii="Arial" w:hAnsi="Arial" w:cs="Arial"/>
          <w:color w:val="000000"/>
          <w:sz w:val="22"/>
          <w:szCs w:val="22"/>
        </w:rPr>
        <w:t xml:space="preserve"> </w:t>
      </w:r>
      <w:r w:rsidR="005F5507" w:rsidRPr="005F5507">
        <w:rPr>
          <w:rFonts w:ascii="Arial" w:hAnsi="Arial" w:cs="Arial"/>
          <w:color w:val="000000"/>
          <w:sz w:val="22"/>
          <w:szCs w:val="22"/>
        </w:rPr>
        <w:t>Jedná se o</w:t>
      </w:r>
      <w:r w:rsidR="009661AC">
        <w:rPr>
          <w:rFonts w:ascii="Arial" w:hAnsi="Arial" w:cs="Arial"/>
          <w:color w:val="000000"/>
          <w:sz w:val="22"/>
          <w:szCs w:val="22"/>
        </w:rPr>
        <w:t> </w:t>
      </w:r>
      <w:r w:rsidR="005F5507" w:rsidRPr="005F5507">
        <w:rPr>
          <w:rFonts w:ascii="Arial" w:hAnsi="Arial" w:cs="Arial"/>
          <w:color w:val="000000"/>
          <w:sz w:val="22"/>
          <w:szCs w:val="22"/>
        </w:rPr>
        <w:t>vytvoření mělké, hloubkově členité tůně o velikosti cca 400 m</w:t>
      </w:r>
      <w:r w:rsidR="005F5507" w:rsidRPr="00794DB4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="005F5507" w:rsidRPr="005F5507">
        <w:rPr>
          <w:rFonts w:ascii="Arial" w:hAnsi="Arial" w:cs="Arial"/>
          <w:color w:val="000000"/>
          <w:sz w:val="22"/>
          <w:szCs w:val="22"/>
        </w:rPr>
        <w:t>, která přispěje jak k zadržení vody v krajině, tak i ke zvýšení biodiverzity v území.</w:t>
      </w:r>
    </w:p>
    <w:p w14:paraId="3A7243FB" w14:textId="77777777" w:rsidR="00752A6D" w:rsidRPr="0023637A" w:rsidRDefault="00752A6D" w:rsidP="003D03B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CA6D5AA" w14:textId="4BDE3157" w:rsidR="00752A6D" w:rsidRPr="0023637A" w:rsidRDefault="00752A6D" w:rsidP="003D03B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3637A">
        <w:rPr>
          <w:rFonts w:ascii="Arial" w:hAnsi="Arial" w:cs="Arial"/>
          <w:b/>
          <w:color w:val="000000"/>
          <w:sz w:val="22"/>
          <w:szCs w:val="22"/>
        </w:rPr>
        <w:t>„115D174000018 – Zbudování zemních tůní a přírodního koryta v obci Hutě pod Třemšínem“</w:t>
      </w:r>
      <w:r>
        <w:rPr>
          <w:rFonts w:ascii="Arial" w:hAnsi="Arial" w:cs="Arial"/>
          <w:color w:val="000000"/>
          <w:sz w:val="22"/>
          <w:szCs w:val="22"/>
        </w:rPr>
        <w:t xml:space="preserve"> –</w:t>
      </w:r>
      <w:r w:rsidRPr="0023637A">
        <w:rPr>
          <w:rFonts w:ascii="Arial" w:hAnsi="Arial" w:cs="Arial"/>
          <w:color w:val="000000"/>
          <w:sz w:val="22"/>
          <w:szCs w:val="22"/>
        </w:rPr>
        <w:t xml:space="preserve"> žadatel</w:t>
      </w:r>
      <w:r>
        <w:rPr>
          <w:rFonts w:ascii="Arial" w:hAnsi="Arial" w:cs="Arial"/>
          <w:color w:val="000000"/>
          <w:sz w:val="22"/>
          <w:szCs w:val="22"/>
        </w:rPr>
        <w:t>:</w:t>
      </w:r>
      <w:r w:rsidRPr="0023637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3637A">
        <w:rPr>
          <w:rFonts w:ascii="Arial" w:hAnsi="Arial" w:cs="Arial"/>
          <w:color w:val="000000"/>
          <w:sz w:val="22"/>
          <w:szCs w:val="22"/>
        </w:rPr>
        <w:t>Loffelman</w:t>
      </w:r>
      <w:proofErr w:type="spellEnd"/>
      <w:r w:rsidRPr="0023637A">
        <w:rPr>
          <w:rFonts w:ascii="Arial" w:hAnsi="Arial" w:cs="Arial"/>
          <w:color w:val="000000"/>
          <w:sz w:val="22"/>
          <w:szCs w:val="22"/>
        </w:rPr>
        <w:t xml:space="preserve"> Jan, realizace 2019, finanční prostředky 278 400 Kč ze </w:t>
      </w:r>
      <w:r w:rsidR="00D33956">
        <w:rPr>
          <w:rFonts w:ascii="Arial" w:hAnsi="Arial" w:cs="Arial"/>
          <w:color w:val="000000"/>
          <w:sz w:val="22"/>
          <w:szCs w:val="22"/>
        </w:rPr>
        <w:t>státního rozpočtu</w:t>
      </w:r>
      <w:r w:rsidRPr="0023637A">
        <w:rPr>
          <w:rFonts w:ascii="Arial" w:hAnsi="Arial" w:cs="Arial"/>
          <w:color w:val="000000"/>
          <w:sz w:val="22"/>
          <w:szCs w:val="22"/>
        </w:rPr>
        <w:t>, 0 Kč z vlastních zdrojů</w:t>
      </w:r>
      <w:r w:rsidR="00E82612">
        <w:rPr>
          <w:rFonts w:ascii="Arial" w:hAnsi="Arial" w:cs="Arial"/>
          <w:color w:val="000000"/>
          <w:sz w:val="22"/>
          <w:szCs w:val="22"/>
        </w:rPr>
        <w:t>.</w:t>
      </w:r>
      <w:r w:rsidR="00EF1F95">
        <w:rPr>
          <w:rFonts w:ascii="Arial" w:hAnsi="Arial" w:cs="Arial"/>
          <w:color w:val="000000"/>
          <w:sz w:val="22"/>
          <w:szCs w:val="22"/>
        </w:rPr>
        <w:t xml:space="preserve"> </w:t>
      </w:r>
      <w:r w:rsidR="00EF1F95" w:rsidRPr="00EF1F95">
        <w:rPr>
          <w:rFonts w:ascii="Arial" w:hAnsi="Arial" w:cs="Arial"/>
          <w:color w:val="000000"/>
          <w:sz w:val="22"/>
          <w:szCs w:val="22"/>
        </w:rPr>
        <w:t>Předmětem projektu bylo zbudování tří zemních tůní a přírodního koryta napájejícího jednu z tůní a nedaleký rybník. Plocha nově vytvořených tůní je dohromady cca 560 m</w:t>
      </w:r>
      <w:r w:rsidR="00EF1F95" w:rsidRPr="00794DB4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="00EF1F95" w:rsidRPr="00EF1F95">
        <w:rPr>
          <w:rFonts w:ascii="Arial" w:hAnsi="Arial" w:cs="Arial"/>
          <w:color w:val="000000"/>
          <w:sz w:val="22"/>
          <w:szCs w:val="22"/>
        </w:rPr>
        <w:t>, plocha revitalizovaného koryta je 70 m</w:t>
      </w:r>
      <w:r w:rsidR="00EF1F95" w:rsidRPr="00794DB4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="00EF1F95" w:rsidRPr="00EF1F95">
        <w:rPr>
          <w:rFonts w:ascii="Arial" w:hAnsi="Arial" w:cs="Arial"/>
          <w:color w:val="000000"/>
          <w:sz w:val="22"/>
          <w:szCs w:val="22"/>
        </w:rPr>
        <w:t>. Opatření přispěje ke stabilizaci hydrologického režimu a zadržení vody v lokalitě, zároveň dojde k vytvoření vhodných biotopů pro druhy vázané na vodní ekosystémy.</w:t>
      </w:r>
    </w:p>
    <w:p w14:paraId="375FC0A9" w14:textId="77777777" w:rsidR="00752A6D" w:rsidRPr="0023637A" w:rsidRDefault="00752A6D" w:rsidP="003D03B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F6EEE6E" w14:textId="1A22E59E" w:rsidR="00752A6D" w:rsidRDefault="00752A6D" w:rsidP="003D03B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3637A">
        <w:rPr>
          <w:rFonts w:ascii="Arial" w:hAnsi="Arial" w:cs="Arial"/>
          <w:b/>
          <w:color w:val="000000"/>
          <w:sz w:val="22"/>
          <w:szCs w:val="22"/>
        </w:rPr>
        <w:t>„115D175000023 – Výsadby v krajině – obec Nové Dvory“</w:t>
      </w:r>
      <w:r>
        <w:rPr>
          <w:rFonts w:ascii="Arial" w:hAnsi="Arial" w:cs="Arial"/>
          <w:color w:val="000000"/>
          <w:sz w:val="22"/>
          <w:szCs w:val="22"/>
        </w:rPr>
        <w:t xml:space="preserve"> –</w:t>
      </w:r>
      <w:r w:rsidRPr="0023637A">
        <w:rPr>
          <w:rFonts w:ascii="Arial" w:hAnsi="Arial" w:cs="Arial"/>
          <w:color w:val="000000"/>
          <w:sz w:val="22"/>
          <w:szCs w:val="22"/>
        </w:rPr>
        <w:t xml:space="preserve"> žadatel</w:t>
      </w:r>
      <w:r>
        <w:rPr>
          <w:rFonts w:ascii="Arial" w:hAnsi="Arial" w:cs="Arial"/>
          <w:color w:val="000000"/>
          <w:sz w:val="22"/>
          <w:szCs w:val="22"/>
        </w:rPr>
        <w:t>:</w:t>
      </w:r>
      <w:r w:rsidRPr="0023637A">
        <w:rPr>
          <w:rFonts w:ascii="Arial" w:hAnsi="Arial" w:cs="Arial"/>
          <w:color w:val="000000"/>
          <w:sz w:val="22"/>
          <w:szCs w:val="22"/>
        </w:rPr>
        <w:t xml:space="preserve"> obec Nové Dvory, realizace 2019, finanční prostředky 193 760 Kč ze </w:t>
      </w:r>
      <w:r w:rsidR="00230FFC">
        <w:rPr>
          <w:rFonts w:ascii="Arial" w:hAnsi="Arial" w:cs="Arial"/>
          <w:color w:val="000000"/>
          <w:sz w:val="22"/>
          <w:szCs w:val="22"/>
        </w:rPr>
        <w:t>státního rozpočtu</w:t>
      </w:r>
      <w:r w:rsidRPr="0023637A">
        <w:rPr>
          <w:rFonts w:ascii="Arial" w:hAnsi="Arial" w:cs="Arial"/>
          <w:color w:val="000000"/>
          <w:sz w:val="22"/>
          <w:szCs w:val="22"/>
        </w:rPr>
        <w:t>, 0 Kč z vlastních zdrojů</w:t>
      </w:r>
      <w:r w:rsidR="00E82612">
        <w:rPr>
          <w:rFonts w:ascii="Arial" w:hAnsi="Arial" w:cs="Arial"/>
          <w:color w:val="000000"/>
          <w:sz w:val="22"/>
          <w:szCs w:val="22"/>
        </w:rPr>
        <w:t>.</w:t>
      </w:r>
      <w:r w:rsidR="00EF1F95">
        <w:rPr>
          <w:rFonts w:ascii="Arial" w:hAnsi="Arial" w:cs="Arial"/>
          <w:color w:val="000000"/>
          <w:sz w:val="22"/>
          <w:szCs w:val="22"/>
        </w:rPr>
        <w:t xml:space="preserve"> </w:t>
      </w:r>
      <w:r w:rsidR="00EF1F95" w:rsidRPr="00EF1F95">
        <w:rPr>
          <w:rFonts w:ascii="Arial" w:hAnsi="Arial" w:cs="Arial"/>
          <w:color w:val="000000"/>
          <w:sz w:val="22"/>
          <w:szCs w:val="22"/>
        </w:rPr>
        <w:t>V rámci opatření došlo k výsadbě 128 ks původních ovocných druhů dřevin a 56 ks keřů. Celková plocha výsadby je 1,56 m</w:t>
      </w:r>
      <w:r w:rsidR="00EF1F95" w:rsidRPr="00794DB4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="00EF1F95" w:rsidRPr="00EF1F95">
        <w:rPr>
          <w:rFonts w:ascii="Arial" w:hAnsi="Arial" w:cs="Arial"/>
          <w:color w:val="000000"/>
          <w:sz w:val="22"/>
          <w:szCs w:val="22"/>
        </w:rPr>
        <w:t>. Realizací došlo k obnově tradičního krajinného prvku, zároveň opatření přispělo k většímu zadržování vody v zemědělsky obhospodařované krajině.</w:t>
      </w:r>
    </w:p>
    <w:p w14:paraId="47CFA4AE" w14:textId="77777777" w:rsidR="006865EB" w:rsidRPr="0023637A" w:rsidRDefault="006865EB" w:rsidP="003D03B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93CBB62" w14:textId="2FBC374D" w:rsidR="00752A6D" w:rsidRPr="000479CD" w:rsidRDefault="00752A6D" w:rsidP="003D03B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3637A">
        <w:rPr>
          <w:rFonts w:ascii="Arial" w:hAnsi="Arial" w:cs="Arial"/>
          <w:b/>
          <w:color w:val="000000"/>
          <w:sz w:val="22"/>
          <w:szCs w:val="22"/>
        </w:rPr>
        <w:t xml:space="preserve">„115D175000034 – Založení interakčního prvku nad </w:t>
      </w:r>
      <w:proofErr w:type="spellStart"/>
      <w:r w:rsidRPr="0023637A">
        <w:rPr>
          <w:rFonts w:ascii="Arial" w:hAnsi="Arial" w:cs="Arial"/>
          <w:b/>
          <w:color w:val="000000"/>
          <w:sz w:val="22"/>
          <w:szCs w:val="22"/>
        </w:rPr>
        <w:t>Novemem</w:t>
      </w:r>
      <w:proofErr w:type="spellEnd"/>
      <w:r w:rsidRPr="0023637A">
        <w:rPr>
          <w:rFonts w:ascii="Arial" w:hAnsi="Arial" w:cs="Arial"/>
          <w:b/>
          <w:color w:val="000000"/>
          <w:sz w:val="22"/>
          <w:szCs w:val="22"/>
        </w:rPr>
        <w:t xml:space="preserve"> v </w:t>
      </w:r>
      <w:proofErr w:type="spellStart"/>
      <w:r w:rsidRPr="0023637A">
        <w:rPr>
          <w:rFonts w:ascii="Arial" w:hAnsi="Arial" w:cs="Arial"/>
          <w:b/>
          <w:color w:val="000000"/>
          <w:sz w:val="22"/>
          <w:szCs w:val="22"/>
        </w:rPr>
        <w:t>k.ú</w:t>
      </w:r>
      <w:proofErr w:type="spellEnd"/>
      <w:r w:rsidRPr="0023637A">
        <w:rPr>
          <w:rFonts w:ascii="Arial" w:hAnsi="Arial" w:cs="Arial"/>
          <w:b/>
          <w:color w:val="000000"/>
          <w:sz w:val="22"/>
          <w:szCs w:val="22"/>
        </w:rPr>
        <w:t xml:space="preserve">. Město </w:t>
      </w:r>
      <w:proofErr w:type="spellStart"/>
      <w:r w:rsidRPr="0023637A">
        <w:rPr>
          <w:rFonts w:ascii="Arial" w:hAnsi="Arial" w:cs="Arial"/>
          <w:b/>
          <w:color w:val="000000"/>
          <w:sz w:val="22"/>
          <w:szCs w:val="22"/>
        </w:rPr>
        <w:t>Touškov</w:t>
      </w:r>
      <w:proofErr w:type="spellEnd"/>
      <w:r w:rsidRPr="0023637A">
        <w:rPr>
          <w:rFonts w:ascii="Arial" w:hAnsi="Arial" w:cs="Arial"/>
          <w:b/>
          <w:color w:val="000000"/>
          <w:sz w:val="22"/>
          <w:szCs w:val="22"/>
        </w:rPr>
        <w:t>“</w:t>
      </w:r>
      <w:r>
        <w:rPr>
          <w:rFonts w:ascii="Arial" w:hAnsi="Arial" w:cs="Arial"/>
          <w:color w:val="000000"/>
          <w:sz w:val="22"/>
          <w:szCs w:val="22"/>
        </w:rPr>
        <w:t xml:space="preserve"> – </w:t>
      </w:r>
      <w:r w:rsidRPr="0023637A">
        <w:rPr>
          <w:rFonts w:ascii="Arial" w:hAnsi="Arial" w:cs="Arial"/>
          <w:color w:val="000000"/>
          <w:sz w:val="22"/>
          <w:szCs w:val="22"/>
        </w:rPr>
        <w:t>žadatel</w:t>
      </w:r>
      <w:r>
        <w:rPr>
          <w:rFonts w:ascii="Arial" w:hAnsi="Arial" w:cs="Arial"/>
          <w:color w:val="000000"/>
          <w:sz w:val="22"/>
          <w:szCs w:val="22"/>
        </w:rPr>
        <w:t>:</w:t>
      </w:r>
      <w:r w:rsidRPr="0023637A">
        <w:rPr>
          <w:rFonts w:ascii="Arial" w:hAnsi="Arial" w:cs="Arial"/>
          <w:color w:val="000000"/>
          <w:sz w:val="22"/>
          <w:szCs w:val="22"/>
        </w:rPr>
        <w:t xml:space="preserve"> Město </w:t>
      </w:r>
      <w:proofErr w:type="spellStart"/>
      <w:r w:rsidRPr="0023637A">
        <w:rPr>
          <w:rFonts w:ascii="Arial" w:hAnsi="Arial" w:cs="Arial"/>
          <w:color w:val="000000"/>
          <w:sz w:val="22"/>
          <w:szCs w:val="22"/>
        </w:rPr>
        <w:t>Touškov</w:t>
      </w:r>
      <w:proofErr w:type="spellEnd"/>
      <w:r w:rsidRPr="0023637A">
        <w:rPr>
          <w:rFonts w:ascii="Arial" w:hAnsi="Arial" w:cs="Arial"/>
          <w:color w:val="000000"/>
          <w:sz w:val="22"/>
          <w:szCs w:val="22"/>
        </w:rPr>
        <w:t xml:space="preserve">, realizace 2019, finanční prostředky 244 650 Kč ze </w:t>
      </w:r>
      <w:r w:rsidR="00230FFC">
        <w:rPr>
          <w:rFonts w:ascii="Arial" w:hAnsi="Arial" w:cs="Arial"/>
          <w:color w:val="000000"/>
          <w:sz w:val="22"/>
          <w:szCs w:val="22"/>
        </w:rPr>
        <w:t>státního rozpočtu</w:t>
      </w:r>
      <w:r w:rsidRPr="0023637A">
        <w:rPr>
          <w:rFonts w:ascii="Arial" w:hAnsi="Arial" w:cs="Arial"/>
          <w:color w:val="000000"/>
          <w:sz w:val="22"/>
          <w:szCs w:val="22"/>
        </w:rPr>
        <w:t xml:space="preserve">, 0 </w:t>
      </w:r>
      <w:r w:rsidR="00230FFC">
        <w:rPr>
          <w:rFonts w:ascii="Arial" w:hAnsi="Arial" w:cs="Arial"/>
          <w:color w:val="000000"/>
          <w:sz w:val="22"/>
          <w:szCs w:val="22"/>
        </w:rPr>
        <w:t>K</w:t>
      </w:r>
      <w:r w:rsidRPr="0023637A">
        <w:rPr>
          <w:rFonts w:ascii="Arial" w:hAnsi="Arial" w:cs="Arial"/>
          <w:color w:val="000000"/>
          <w:sz w:val="22"/>
          <w:szCs w:val="22"/>
        </w:rPr>
        <w:t>č z vlastních zdrojů</w:t>
      </w:r>
      <w:r w:rsidR="00E82612">
        <w:rPr>
          <w:rFonts w:ascii="Arial" w:hAnsi="Arial" w:cs="Arial"/>
          <w:color w:val="000000"/>
          <w:sz w:val="22"/>
          <w:szCs w:val="22"/>
        </w:rPr>
        <w:t>.</w:t>
      </w:r>
      <w:r w:rsidR="00EF1F95">
        <w:rPr>
          <w:rFonts w:ascii="Arial" w:hAnsi="Arial" w:cs="Arial"/>
          <w:color w:val="000000"/>
          <w:sz w:val="22"/>
          <w:szCs w:val="22"/>
        </w:rPr>
        <w:t xml:space="preserve"> </w:t>
      </w:r>
      <w:r w:rsidR="00EF1F95" w:rsidRPr="00EF1F95">
        <w:rPr>
          <w:rFonts w:ascii="Arial" w:hAnsi="Arial" w:cs="Arial"/>
          <w:color w:val="000000"/>
          <w:sz w:val="22"/>
          <w:szCs w:val="22"/>
        </w:rPr>
        <w:t>Projekt zahrnuje vytvoření liniového interakčního prvku o celkové ploše 0,24 ha uprostřed velkého celku orné půdy. Liniová výsadba se skládá ze samostatných stromů (jabloň, třešeň, lípa) doplněných vyššími a nižšími keř</w:t>
      </w:r>
      <w:r w:rsidR="002F5288">
        <w:rPr>
          <w:rFonts w:ascii="Arial" w:hAnsi="Arial" w:cs="Arial"/>
          <w:color w:val="000000"/>
          <w:sz w:val="22"/>
          <w:szCs w:val="22"/>
        </w:rPr>
        <w:t>i</w:t>
      </w:r>
      <w:r w:rsidR="00EF1F95" w:rsidRPr="00EF1F95">
        <w:rPr>
          <w:rFonts w:ascii="Arial" w:hAnsi="Arial" w:cs="Arial"/>
          <w:color w:val="000000"/>
          <w:sz w:val="22"/>
          <w:szCs w:val="22"/>
        </w:rPr>
        <w:t xml:space="preserve"> (hloh, brslen, bez, líska, ptačí zob, zimolez atd.) Realizace přispěje k posílení krajinné stability, snížení půdní eroze a</w:t>
      </w:r>
      <w:r w:rsidR="002F5288">
        <w:rPr>
          <w:rFonts w:ascii="Arial" w:hAnsi="Arial" w:cs="Arial"/>
          <w:color w:val="000000"/>
          <w:sz w:val="22"/>
          <w:szCs w:val="22"/>
        </w:rPr>
        <w:t> </w:t>
      </w:r>
      <w:r w:rsidR="00EF1F95" w:rsidRPr="00EF1F95">
        <w:rPr>
          <w:rFonts w:ascii="Arial" w:hAnsi="Arial" w:cs="Arial"/>
          <w:color w:val="000000"/>
          <w:sz w:val="22"/>
          <w:szCs w:val="22"/>
        </w:rPr>
        <w:t>většímu zadržení vody v zemědělské krajině.</w:t>
      </w:r>
    </w:p>
    <w:p w14:paraId="39ED80C2" w14:textId="77777777" w:rsidR="003D03B5" w:rsidRDefault="003D03B5" w:rsidP="003D03B5">
      <w:pPr>
        <w:tabs>
          <w:tab w:val="left" w:pos="567"/>
        </w:tabs>
        <w:rPr>
          <w:rFonts w:ascii="Arial" w:hAnsi="Arial" w:cs="Arial"/>
          <w:b/>
          <w:i/>
          <w:sz w:val="22"/>
          <w:szCs w:val="22"/>
        </w:rPr>
      </w:pPr>
    </w:p>
    <w:p w14:paraId="67716A5E" w14:textId="3DEF36A6" w:rsidR="00752A6D" w:rsidRDefault="00E82612" w:rsidP="0023519D">
      <w:pPr>
        <w:tabs>
          <w:tab w:val="left" w:pos="567"/>
        </w:tabs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B.2.3 </w:t>
      </w:r>
      <w:r w:rsidR="00752A6D" w:rsidRPr="0089503A">
        <w:rPr>
          <w:rFonts w:ascii="Arial" w:hAnsi="Arial" w:cs="Arial"/>
          <w:b/>
          <w:i/>
          <w:sz w:val="22"/>
          <w:szCs w:val="22"/>
        </w:rPr>
        <w:t xml:space="preserve">Program 115 030 </w:t>
      </w:r>
      <w:r w:rsidR="0023519D">
        <w:rPr>
          <w:rFonts w:ascii="Arial" w:hAnsi="Arial" w:cs="Arial"/>
          <w:b/>
          <w:i/>
          <w:sz w:val="22"/>
          <w:szCs w:val="22"/>
        </w:rPr>
        <w:t>„</w:t>
      </w:r>
      <w:r w:rsidR="00752A6D" w:rsidRPr="0089503A">
        <w:rPr>
          <w:rFonts w:ascii="Arial" w:hAnsi="Arial" w:cs="Arial"/>
          <w:b/>
          <w:i/>
          <w:sz w:val="22"/>
          <w:szCs w:val="22"/>
        </w:rPr>
        <w:t>Rozvoj a obnova technické základny systému řízení Ministerstva životního prostředí</w:t>
      </w:r>
      <w:r w:rsidR="0023519D">
        <w:rPr>
          <w:rFonts w:ascii="Arial" w:hAnsi="Arial" w:cs="Arial"/>
          <w:b/>
          <w:i/>
          <w:sz w:val="22"/>
          <w:szCs w:val="22"/>
        </w:rPr>
        <w:t>“</w:t>
      </w:r>
    </w:p>
    <w:p w14:paraId="056E4BD0" w14:textId="77777777" w:rsidR="0023519D" w:rsidRPr="0089503A" w:rsidRDefault="0023519D" w:rsidP="0023519D">
      <w:pPr>
        <w:tabs>
          <w:tab w:val="left" w:pos="567"/>
        </w:tabs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050A7477" w14:textId="775A5E89" w:rsidR="00752A6D" w:rsidRPr="0089503A" w:rsidRDefault="00E27B80" w:rsidP="003D03B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</w:t>
      </w:r>
      <w:r w:rsidRPr="0089503A">
        <w:rPr>
          <w:rFonts w:ascii="Arial" w:hAnsi="Arial" w:cs="Arial"/>
          <w:color w:val="000000"/>
          <w:sz w:val="22"/>
          <w:szCs w:val="22"/>
        </w:rPr>
        <w:t>rogram 115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89503A">
        <w:rPr>
          <w:rFonts w:ascii="Arial" w:hAnsi="Arial" w:cs="Arial"/>
          <w:color w:val="000000"/>
          <w:sz w:val="22"/>
          <w:szCs w:val="22"/>
        </w:rPr>
        <w:t>030</w:t>
      </w:r>
      <w:r>
        <w:rPr>
          <w:rFonts w:ascii="Arial" w:hAnsi="Arial" w:cs="Arial"/>
          <w:color w:val="000000"/>
          <w:sz w:val="22"/>
          <w:szCs w:val="22"/>
        </w:rPr>
        <w:t xml:space="preserve"> navázal v roce 2018 na předchozí program 115 020 (2013–2017). Je vyhlášen</w:t>
      </w:r>
      <w:r w:rsidRPr="0089503A">
        <w:rPr>
          <w:rFonts w:ascii="Arial" w:hAnsi="Arial" w:cs="Arial"/>
          <w:color w:val="000000"/>
          <w:sz w:val="22"/>
          <w:szCs w:val="22"/>
        </w:rPr>
        <w:t xml:space="preserve"> na období 2018</w:t>
      </w:r>
      <w:r>
        <w:rPr>
          <w:rFonts w:ascii="Arial" w:hAnsi="Arial" w:cs="Arial"/>
          <w:color w:val="000000"/>
          <w:sz w:val="22"/>
          <w:szCs w:val="22"/>
        </w:rPr>
        <w:t>–</w:t>
      </w:r>
      <w:r w:rsidRPr="0089503A">
        <w:rPr>
          <w:rFonts w:ascii="Arial" w:hAnsi="Arial" w:cs="Arial"/>
          <w:color w:val="000000"/>
          <w:sz w:val="22"/>
          <w:szCs w:val="22"/>
        </w:rPr>
        <w:t>2022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Pr="0089503A">
        <w:rPr>
          <w:rFonts w:ascii="Arial" w:hAnsi="Arial" w:cs="Arial"/>
          <w:color w:val="000000"/>
          <w:sz w:val="22"/>
          <w:szCs w:val="22"/>
        </w:rPr>
        <w:t xml:space="preserve"> </w:t>
      </w:r>
      <w:r w:rsidR="00752A6D" w:rsidRPr="0089503A">
        <w:rPr>
          <w:rFonts w:ascii="Arial" w:hAnsi="Arial" w:cs="Arial"/>
          <w:color w:val="000000"/>
          <w:sz w:val="22"/>
          <w:szCs w:val="22"/>
        </w:rPr>
        <w:t xml:space="preserve">V rámci programu </w:t>
      </w:r>
      <w:r>
        <w:rPr>
          <w:rFonts w:ascii="Arial" w:hAnsi="Arial" w:cs="Arial"/>
          <w:color w:val="000000"/>
          <w:sz w:val="22"/>
          <w:szCs w:val="22"/>
        </w:rPr>
        <w:t xml:space="preserve">115 030 </w:t>
      </w:r>
      <w:r w:rsidR="00752A6D" w:rsidRPr="0089503A">
        <w:rPr>
          <w:rFonts w:ascii="Arial" w:hAnsi="Arial" w:cs="Arial"/>
          <w:color w:val="000000"/>
          <w:sz w:val="22"/>
          <w:szCs w:val="22"/>
        </w:rPr>
        <w:t>jsou financována opatření k prevenci před povodněmi z podprogram</w:t>
      </w:r>
      <w:r w:rsidR="0023519D">
        <w:rPr>
          <w:rFonts w:ascii="Arial" w:hAnsi="Arial" w:cs="Arial"/>
          <w:color w:val="000000"/>
          <w:sz w:val="22"/>
          <w:szCs w:val="22"/>
        </w:rPr>
        <w:t>u</w:t>
      </w:r>
      <w:r w:rsidR="00752A6D" w:rsidRPr="0089503A">
        <w:rPr>
          <w:rFonts w:ascii="Arial" w:hAnsi="Arial" w:cs="Arial"/>
          <w:color w:val="000000"/>
          <w:sz w:val="22"/>
          <w:szCs w:val="22"/>
        </w:rPr>
        <w:t xml:space="preserve"> 115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752A6D" w:rsidRPr="0089503A">
        <w:rPr>
          <w:rFonts w:ascii="Arial" w:hAnsi="Arial" w:cs="Arial"/>
          <w:color w:val="000000"/>
          <w:sz w:val="22"/>
          <w:szCs w:val="22"/>
        </w:rPr>
        <w:t xml:space="preserve">032 </w:t>
      </w:r>
      <w:r w:rsidR="00230FFC">
        <w:rPr>
          <w:rFonts w:ascii="Arial" w:hAnsi="Arial" w:cs="Arial"/>
          <w:color w:val="000000"/>
          <w:sz w:val="22"/>
          <w:szCs w:val="22"/>
        </w:rPr>
        <w:t>„</w:t>
      </w:r>
      <w:r w:rsidR="00752A6D" w:rsidRPr="0089503A">
        <w:rPr>
          <w:rFonts w:ascii="Arial" w:hAnsi="Arial" w:cs="Arial"/>
          <w:color w:val="000000"/>
          <w:sz w:val="22"/>
          <w:szCs w:val="22"/>
        </w:rPr>
        <w:t>Správa nezcizitelného státního majetku ve zvláště chráněných územích</w:t>
      </w:r>
      <w:r w:rsidR="00230FFC">
        <w:rPr>
          <w:rFonts w:ascii="Arial" w:hAnsi="Arial" w:cs="Arial"/>
          <w:color w:val="000000"/>
          <w:sz w:val="22"/>
          <w:szCs w:val="22"/>
        </w:rPr>
        <w:t>“</w:t>
      </w:r>
      <w:r w:rsidR="00752A6D" w:rsidRPr="0089503A">
        <w:rPr>
          <w:rFonts w:ascii="Arial" w:hAnsi="Arial" w:cs="Arial"/>
          <w:color w:val="000000"/>
          <w:sz w:val="22"/>
          <w:szCs w:val="22"/>
        </w:rPr>
        <w:t>. Opatření z tohoto podprogramu jsou hrazena ze 100 % dotacemi ze státního rozpočtu.</w:t>
      </w:r>
    </w:p>
    <w:p w14:paraId="7D22A450" w14:textId="77777777" w:rsidR="00752A6D" w:rsidRPr="0089503A" w:rsidRDefault="00752A6D" w:rsidP="003D03B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</w:p>
    <w:p w14:paraId="35067BE9" w14:textId="3E5A4884" w:rsidR="00752A6D" w:rsidRPr="0089503A" w:rsidRDefault="00752A6D" w:rsidP="003D03B5">
      <w:pPr>
        <w:pStyle w:val="Zkladntextodsazen"/>
        <w:ind w:firstLine="0"/>
        <w:rPr>
          <w:rFonts w:ascii="Arial" w:hAnsi="Arial" w:cs="Arial"/>
          <w:color w:val="000000"/>
          <w:sz w:val="22"/>
          <w:szCs w:val="22"/>
          <w:lang w:val="cs-CZ" w:eastAsia="cs-CZ"/>
        </w:rPr>
      </w:pPr>
      <w:r w:rsidRPr="0089503A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Cílem podprogramu je finanční zajištění činností souvisejících s výkonem vlastnických práv k majetku státu a s výkonem funkce správce drobných vodních toků na pozemcích </w:t>
      </w:r>
      <w:r w:rsidRPr="0089503A">
        <w:rPr>
          <w:rFonts w:ascii="Arial" w:hAnsi="Arial" w:cs="Arial"/>
          <w:color w:val="000000"/>
          <w:sz w:val="22"/>
          <w:szCs w:val="22"/>
          <w:lang w:val="cs-CZ" w:eastAsia="cs-CZ"/>
        </w:rPr>
        <w:br/>
        <w:t xml:space="preserve">a stavbách nacházejících se na území zvláště chráněných území a jejich ochranných pásem, ke kterému mají příslušnost k hospodaření resortní organizace MŽP (správy národních parků, </w:t>
      </w:r>
      <w:r w:rsidR="00230FFC">
        <w:rPr>
          <w:rFonts w:ascii="Arial" w:hAnsi="Arial" w:cs="Arial"/>
          <w:color w:val="000000"/>
          <w:sz w:val="22"/>
          <w:szCs w:val="22"/>
          <w:lang w:val="cs-CZ" w:eastAsia="cs-CZ"/>
        </w:rPr>
        <w:t>AOPK</w:t>
      </w:r>
      <w:r w:rsidRPr="0089503A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 a Správa jeskyní ČR).</w:t>
      </w:r>
    </w:p>
    <w:p w14:paraId="4299AC2B" w14:textId="4CA09B06" w:rsidR="00752A6D" w:rsidRPr="0089503A" w:rsidRDefault="00752A6D" w:rsidP="003D03B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9503A">
        <w:rPr>
          <w:rFonts w:ascii="Arial" w:hAnsi="Arial" w:cs="Arial"/>
          <w:color w:val="000000"/>
          <w:sz w:val="22"/>
          <w:szCs w:val="22"/>
        </w:rPr>
        <w:lastRenderedPageBreak/>
        <w:t>Obecnými věcnými cíli podprogramu jsou:</w:t>
      </w:r>
    </w:p>
    <w:p w14:paraId="1C6EBBEC" w14:textId="77777777" w:rsidR="00752A6D" w:rsidRPr="0089503A" w:rsidRDefault="00752A6D" w:rsidP="003D03B5">
      <w:pPr>
        <w:numPr>
          <w:ilvl w:val="0"/>
          <w:numId w:val="31"/>
        </w:numPr>
        <w:tabs>
          <w:tab w:val="clear" w:pos="1080"/>
          <w:tab w:val="num" w:pos="851"/>
        </w:tabs>
        <w:ind w:left="851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9503A">
        <w:rPr>
          <w:rFonts w:ascii="Arial" w:hAnsi="Arial" w:cs="Arial"/>
          <w:color w:val="000000"/>
          <w:sz w:val="22"/>
          <w:szCs w:val="22"/>
        </w:rPr>
        <w:t xml:space="preserve">zajišťování povinností vlastníka (státu, představovaného odbornými organizacemi ochrany přírody) vyplývajících z platné legislativy, </w:t>
      </w:r>
    </w:p>
    <w:p w14:paraId="5F2C1F74" w14:textId="77777777" w:rsidR="00752A6D" w:rsidRPr="0089503A" w:rsidRDefault="00752A6D" w:rsidP="003D03B5">
      <w:pPr>
        <w:numPr>
          <w:ilvl w:val="0"/>
          <w:numId w:val="31"/>
        </w:numPr>
        <w:tabs>
          <w:tab w:val="clear" w:pos="1080"/>
          <w:tab w:val="num" w:pos="851"/>
        </w:tabs>
        <w:ind w:left="851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9503A">
        <w:rPr>
          <w:rFonts w:ascii="Arial" w:hAnsi="Arial" w:cs="Arial"/>
          <w:color w:val="000000"/>
          <w:sz w:val="22"/>
          <w:szCs w:val="22"/>
        </w:rPr>
        <w:t>zachování a zvyšování biodiverzity a ekologické stability ekosystémů,</w:t>
      </w:r>
    </w:p>
    <w:p w14:paraId="3ABF935C" w14:textId="77777777" w:rsidR="00752A6D" w:rsidRPr="0089503A" w:rsidRDefault="00752A6D" w:rsidP="003D03B5">
      <w:pPr>
        <w:numPr>
          <w:ilvl w:val="0"/>
          <w:numId w:val="31"/>
        </w:numPr>
        <w:tabs>
          <w:tab w:val="clear" w:pos="1080"/>
          <w:tab w:val="num" w:pos="851"/>
        </w:tabs>
        <w:ind w:left="851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9503A">
        <w:rPr>
          <w:rFonts w:ascii="Arial" w:hAnsi="Arial" w:cs="Arial"/>
          <w:color w:val="000000"/>
          <w:sz w:val="22"/>
          <w:szCs w:val="22"/>
        </w:rPr>
        <w:t>zvýšení početnosti populací chráněných druhů flóry a fauny vyskytujících se ve zvláště chráněných územích všech kategorií,</w:t>
      </w:r>
    </w:p>
    <w:p w14:paraId="628511AD" w14:textId="77777777" w:rsidR="00752A6D" w:rsidRPr="0089503A" w:rsidRDefault="00752A6D" w:rsidP="003D03B5">
      <w:pPr>
        <w:numPr>
          <w:ilvl w:val="0"/>
          <w:numId w:val="31"/>
        </w:numPr>
        <w:tabs>
          <w:tab w:val="clear" w:pos="1080"/>
          <w:tab w:val="num" w:pos="851"/>
        </w:tabs>
        <w:ind w:left="851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9503A">
        <w:rPr>
          <w:rFonts w:ascii="Arial" w:hAnsi="Arial" w:cs="Arial"/>
          <w:color w:val="000000"/>
          <w:sz w:val="22"/>
          <w:szCs w:val="22"/>
        </w:rPr>
        <w:t>naplňování mezinárodních úmluv, ke kterým přistoupila Česká republika,</w:t>
      </w:r>
    </w:p>
    <w:p w14:paraId="26041136" w14:textId="77777777" w:rsidR="00752A6D" w:rsidRPr="0089503A" w:rsidRDefault="00752A6D" w:rsidP="003D03B5">
      <w:pPr>
        <w:numPr>
          <w:ilvl w:val="0"/>
          <w:numId w:val="31"/>
        </w:numPr>
        <w:tabs>
          <w:tab w:val="clear" w:pos="1080"/>
          <w:tab w:val="num" w:pos="851"/>
        </w:tabs>
        <w:ind w:left="851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9503A">
        <w:rPr>
          <w:rFonts w:ascii="Arial" w:hAnsi="Arial" w:cs="Arial"/>
          <w:color w:val="000000"/>
          <w:sz w:val="22"/>
          <w:szCs w:val="22"/>
        </w:rPr>
        <w:t xml:space="preserve">naplňování závazků ve vztahu k soustavě evropsky významných území NATURA 2000, </w:t>
      </w:r>
    </w:p>
    <w:p w14:paraId="051505A9" w14:textId="77777777" w:rsidR="00752A6D" w:rsidRPr="0089503A" w:rsidRDefault="00752A6D" w:rsidP="003D03B5">
      <w:pPr>
        <w:pStyle w:val="Zkladntextodsazen"/>
        <w:numPr>
          <w:ilvl w:val="0"/>
          <w:numId w:val="31"/>
        </w:numPr>
        <w:tabs>
          <w:tab w:val="clear" w:pos="1080"/>
          <w:tab w:val="num" w:pos="851"/>
        </w:tabs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89503A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zajištění realizace schválených plánů péče o </w:t>
      </w:r>
      <w:r w:rsidR="00230FFC">
        <w:rPr>
          <w:rFonts w:ascii="Arial" w:hAnsi="Arial" w:cs="Arial"/>
          <w:color w:val="000000"/>
          <w:sz w:val="22"/>
          <w:szCs w:val="22"/>
          <w:lang w:val="cs-CZ" w:eastAsia="cs-CZ"/>
        </w:rPr>
        <w:t>zvláště chráněná území</w:t>
      </w:r>
      <w:r w:rsidRPr="0089503A">
        <w:rPr>
          <w:rFonts w:ascii="Arial" w:hAnsi="Arial" w:cs="Arial"/>
          <w:color w:val="000000"/>
          <w:sz w:val="22"/>
          <w:szCs w:val="22"/>
          <w:lang w:val="cs-CZ" w:eastAsia="cs-CZ"/>
        </w:rPr>
        <w:t>, schválených záchranných programů a naplňování cílů a úkolů Státního programu ochrany přírody a krajiny České republiky,</w:t>
      </w:r>
    </w:p>
    <w:p w14:paraId="1286CAFC" w14:textId="77777777" w:rsidR="00752A6D" w:rsidRPr="0089503A" w:rsidRDefault="00752A6D" w:rsidP="003D03B5">
      <w:pPr>
        <w:pStyle w:val="Zkladntextodsazen"/>
        <w:numPr>
          <w:ilvl w:val="0"/>
          <w:numId w:val="31"/>
        </w:numPr>
        <w:tabs>
          <w:tab w:val="clear" w:pos="1080"/>
          <w:tab w:val="num" w:pos="851"/>
        </w:tabs>
        <w:ind w:left="851" w:hanging="284"/>
        <w:rPr>
          <w:rFonts w:ascii="Arial" w:hAnsi="Arial" w:cs="Arial"/>
          <w:color w:val="000000"/>
          <w:sz w:val="22"/>
          <w:szCs w:val="22"/>
        </w:rPr>
      </w:pPr>
      <w:r w:rsidRPr="0089503A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zajištění realizace schválených lesních hospodářských plánů.  </w:t>
      </w:r>
    </w:p>
    <w:p w14:paraId="5825EDED" w14:textId="1C01C7C6" w:rsidR="00752A6D" w:rsidRPr="0089503A" w:rsidRDefault="00752A6D" w:rsidP="00752A6D">
      <w:pPr>
        <w:keepNext/>
        <w:tabs>
          <w:tab w:val="left" w:pos="480"/>
        </w:tabs>
        <w:spacing w:before="240" w:after="2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89503A">
        <w:rPr>
          <w:rFonts w:ascii="Arial" w:hAnsi="Arial" w:cs="Arial"/>
          <w:b/>
          <w:i/>
          <w:iCs/>
          <w:sz w:val="22"/>
          <w:szCs w:val="22"/>
        </w:rPr>
        <w:t xml:space="preserve">Podprogram </w:t>
      </w:r>
      <w:r w:rsidRPr="00752A6D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115 032 – přehled </w:t>
      </w:r>
      <w:r w:rsidRPr="0089503A">
        <w:rPr>
          <w:rFonts w:ascii="Arial" w:hAnsi="Arial" w:cs="Arial"/>
          <w:b/>
          <w:i/>
          <w:iCs/>
          <w:sz w:val="22"/>
          <w:szCs w:val="22"/>
        </w:rPr>
        <w:t xml:space="preserve">čerpání finančních prostředků ze státního rozpočtu na opatření prevence před povodněmi </w:t>
      </w:r>
      <w:r w:rsidR="00E27B80">
        <w:rPr>
          <w:rFonts w:ascii="Arial" w:hAnsi="Arial" w:cs="Arial"/>
          <w:b/>
          <w:i/>
          <w:iCs/>
          <w:sz w:val="22"/>
          <w:szCs w:val="22"/>
        </w:rPr>
        <w:t>v letech 2018</w:t>
      </w:r>
      <w:r w:rsidR="00E27B80" w:rsidRPr="00752A6D">
        <w:rPr>
          <w:rFonts w:ascii="Arial" w:hAnsi="Arial" w:cs="Arial"/>
          <w:b/>
          <w:i/>
          <w:iCs/>
          <w:color w:val="000000"/>
          <w:sz w:val="22"/>
          <w:szCs w:val="22"/>
        </w:rPr>
        <w:t>–</w:t>
      </w:r>
      <w:r w:rsidR="00E27B80">
        <w:rPr>
          <w:rFonts w:ascii="Arial" w:hAnsi="Arial" w:cs="Arial"/>
          <w:b/>
          <w:i/>
          <w:iCs/>
          <w:sz w:val="22"/>
          <w:szCs w:val="22"/>
        </w:rPr>
        <w:t xml:space="preserve">2020 </w:t>
      </w:r>
      <w:r w:rsidRPr="0089503A">
        <w:rPr>
          <w:rFonts w:ascii="Arial" w:hAnsi="Arial" w:cs="Arial"/>
          <w:b/>
          <w:i/>
          <w:iCs/>
          <w:sz w:val="22"/>
          <w:szCs w:val="22"/>
        </w:rPr>
        <w:t>(mil. Kč)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86"/>
        <w:gridCol w:w="2185"/>
        <w:gridCol w:w="2185"/>
        <w:gridCol w:w="2376"/>
      </w:tblGrid>
      <w:tr w:rsidR="00752A6D" w:rsidRPr="0089503A" w14:paraId="6094914A" w14:textId="77777777" w:rsidTr="0085157B">
        <w:tc>
          <w:tcPr>
            <w:tcW w:w="6663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14:paraId="422588C5" w14:textId="77777777" w:rsidR="00752A6D" w:rsidRPr="0089503A" w:rsidRDefault="00752A6D" w:rsidP="0016342B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950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Rok</w:t>
            </w:r>
          </w:p>
        </w:tc>
        <w:tc>
          <w:tcPr>
            <w:tcW w:w="2409" w:type="dxa"/>
            <w:vMerge w:val="restart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4FCC815" w14:textId="77777777" w:rsidR="00752A6D" w:rsidRPr="0089503A" w:rsidRDefault="00752A6D" w:rsidP="0016342B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950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752A6D" w:rsidRPr="0089503A" w14:paraId="0749C2CC" w14:textId="77777777" w:rsidTr="0085157B">
        <w:tc>
          <w:tcPr>
            <w:tcW w:w="2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E969E8C" w14:textId="77777777" w:rsidR="00752A6D" w:rsidRPr="0089503A" w:rsidRDefault="00752A6D" w:rsidP="0016342B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9503A">
              <w:rPr>
                <w:rFonts w:ascii="Arial" w:hAnsi="Arial" w:cs="Arial"/>
                <w:b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34D3275" w14:textId="77777777" w:rsidR="00752A6D" w:rsidRPr="0089503A" w:rsidRDefault="00752A6D" w:rsidP="0016342B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9503A">
              <w:rPr>
                <w:rFonts w:ascii="Arial" w:hAnsi="Arial" w:cs="Arial"/>
                <w:b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339584ED" w14:textId="77777777" w:rsidR="00752A6D" w:rsidRPr="0085157B" w:rsidRDefault="00752A6D" w:rsidP="0016342B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5157B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6A6A6"/>
          </w:tcPr>
          <w:p w14:paraId="0A194A73" w14:textId="77777777" w:rsidR="00752A6D" w:rsidRPr="00676081" w:rsidRDefault="00752A6D" w:rsidP="0016342B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752A6D" w:rsidRPr="0089503A" w14:paraId="7873F93C" w14:textId="77777777" w:rsidTr="0085157B">
        <w:tc>
          <w:tcPr>
            <w:tcW w:w="22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3C2B53F" w14:textId="77777777" w:rsidR="00752A6D" w:rsidRPr="0089503A" w:rsidRDefault="00752A6D" w:rsidP="0016342B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9503A">
              <w:rPr>
                <w:rFonts w:ascii="Arial" w:hAnsi="Arial" w:cs="Arial"/>
                <w:color w:val="000000"/>
                <w:sz w:val="22"/>
                <w:szCs w:val="22"/>
              </w:rPr>
              <w:t>0,53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00103" w14:textId="77777777" w:rsidR="00752A6D" w:rsidRPr="0089503A" w:rsidRDefault="00752A6D" w:rsidP="0016342B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9503A">
              <w:rPr>
                <w:rFonts w:ascii="Arial" w:hAnsi="Arial" w:cs="Arial"/>
                <w:color w:val="000000"/>
                <w:sz w:val="22"/>
                <w:szCs w:val="22"/>
              </w:rPr>
              <w:t>0,57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23A2BD" w14:textId="77777777" w:rsidR="00752A6D" w:rsidRPr="0085157B" w:rsidRDefault="00752A6D" w:rsidP="0016342B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157B">
              <w:rPr>
                <w:rFonts w:ascii="Arial" w:hAnsi="Arial" w:cs="Arial"/>
                <w:color w:val="000000"/>
                <w:sz w:val="22"/>
                <w:szCs w:val="22"/>
              </w:rPr>
              <w:t>2,59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14:paraId="2826ED8D" w14:textId="77777777" w:rsidR="00752A6D" w:rsidRPr="00676081" w:rsidRDefault="00752A6D" w:rsidP="0016342B">
            <w:pPr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157B">
              <w:rPr>
                <w:rFonts w:ascii="Arial" w:hAnsi="Arial" w:cs="Arial"/>
                <w:color w:val="000000"/>
                <w:sz w:val="22"/>
                <w:szCs w:val="22"/>
              </w:rPr>
              <w:t>3,68</w:t>
            </w:r>
          </w:p>
        </w:tc>
      </w:tr>
    </w:tbl>
    <w:p w14:paraId="142D69C9" w14:textId="184A47B9" w:rsidR="00752A6D" w:rsidRPr="0089503A" w:rsidRDefault="00752A6D" w:rsidP="0023519D">
      <w:pPr>
        <w:tabs>
          <w:tab w:val="left" w:pos="567"/>
        </w:tabs>
        <w:ind w:left="567" w:hanging="567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89503A">
        <w:rPr>
          <w:rFonts w:ascii="Arial" w:hAnsi="Arial" w:cs="Arial"/>
          <w:i/>
          <w:sz w:val="20"/>
          <w:szCs w:val="20"/>
        </w:rPr>
        <w:t>Pozn</w:t>
      </w:r>
      <w:proofErr w:type="spellEnd"/>
      <w:r w:rsidRPr="0089503A">
        <w:rPr>
          <w:rFonts w:ascii="Arial" w:hAnsi="Arial" w:cs="Arial"/>
          <w:i/>
          <w:sz w:val="20"/>
          <w:szCs w:val="20"/>
        </w:rPr>
        <w:t xml:space="preserve">: </w:t>
      </w:r>
      <w:r w:rsidR="0023519D">
        <w:rPr>
          <w:rFonts w:ascii="Arial" w:hAnsi="Arial" w:cs="Arial"/>
          <w:i/>
          <w:sz w:val="20"/>
          <w:szCs w:val="20"/>
        </w:rPr>
        <w:t>Z</w:t>
      </w:r>
      <w:r w:rsidRPr="0089503A">
        <w:rPr>
          <w:rFonts w:ascii="Arial" w:hAnsi="Arial" w:cs="Arial"/>
          <w:i/>
          <w:sz w:val="20"/>
          <w:szCs w:val="20"/>
        </w:rPr>
        <w:t>ahrnuta opatření mající přímý vliv na prevenci před povodněmi (obnova vodních prvků v krajině, oprava technických objektů rybníků, výkon TBD, zpracování manipulačních řádů)</w:t>
      </w:r>
      <w:r w:rsidR="004534BE">
        <w:rPr>
          <w:rFonts w:ascii="Arial" w:hAnsi="Arial" w:cs="Arial"/>
          <w:i/>
          <w:sz w:val="20"/>
          <w:szCs w:val="20"/>
        </w:rPr>
        <w:t>.</w:t>
      </w:r>
    </w:p>
    <w:p w14:paraId="04C8A81A" w14:textId="77777777" w:rsidR="00B0242D" w:rsidRDefault="00B0242D" w:rsidP="00337394">
      <w:pPr>
        <w:jc w:val="both"/>
        <w:rPr>
          <w:rFonts w:ascii="Arial" w:hAnsi="Arial" w:cs="Arial"/>
          <w:b/>
          <w:sz w:val="22"/>
          <w:szCs w:val="22"/>
        </w:rPr>
      </w:pPr>
    </w:p>
    <w:p w14:paraId="2D400895" w14:textId="011103BA" w:rsidR="00752A6D" w:rsidRPr="0089503A" w:rsidRDefault="00752A6D" w:rsidP="00337394">
      <w:pPr>
        <w:jc w:val="both"/>
        <w:rPr>
          <w:rFonts w:ascii="Arial" w:hAnsi="Arial" w:cs="Arial"/>
          <w:b/>
          <w:sz w:val="22"/>
          <w:szCs w:val="22"/>
        </w:rPr>
      </w:pPr>
      <w:r w:rsidRPr="0089503A">
        <w:rPr>
          <w:rFonts w:ascii="Arial" w:hAnsi="Arial" w:cs="Arial"/>
          <w:b/>
          <w:sz w:val="22"/>
          <w:szCs w:val="22"/>
        </w:rPr>
        <w:t>Příklady vybraných akcí</w:t>
      </w:r>
      <w:r w:rsidR="00827EB4">
        <w:rPr>
          <w:rFonts w:ascii="Arial" w:hAnsi="Arial" w:cs="Arial"/>
          <w:b/>
          <w:sz w:val="22"/>
          <w:szCs w:val="22"/>
        </w:rPr>
        <w:t xml:space="preserve"> realizovaných v období 2018</w:t>
      </w:r>
      <w:r w:rsidR="00827EB4" w:rsidRPr="004A0521">
        <w:rPr>
          <w:rFonts w:ascii="Arial" w:hAnsi="Arial" w:cs="Arial"/>
          <w:b/>
          <w:sz w:val="22"/>
          <w:szCs w:val="22"/>
        </w:rPr>
        <w:t>–</w:t>
      </w:r>
      <w:r w:rsidR="00827EB4">
        <w:rPr>
          <w:rFonts w:ascii="Arial" w:hAnsi="Arial" w:cs="Arial"/>
          <w:b/>
          <w:sz w:val="22"/>
          <w:szCs w:val="22"/>
        </w:rPr>
        <w:t>2020</w:t>
      </w:r>
    </w:p>
    <w:p w14:paraId="0C95F753" w14:textId="77777777" w:rsidR="00752A6D" w:rsidRDefault="00752A6D" w:rsidP="00752A6D">
      <w:pPr>
        <w:tabs>
          <w:tab w:val="left" w:pos="0"/>
          <w:tab w:val="left" w:pos="567"/>
        </w:tabs>
        <w:jc w:val="both"/>
        <w:rPr>
          <w:rFonts w:ascii="Arial" w:hAnsi="Arial" w:cs="Arial"/>
          <w:color w:val="000000"/>
          <w:sz w:val="22"/>
          <w:szCs w:val="22"/>
          <w:lang w:val="x-none" w:eastAsia="x-none"/>
        </w:rPr>
      </w:pPr>
    </w:p>
    <w:p w14:paraId="703DF1A8" w14:textId="4BB9B119" w:rsidR="00752A6D" w:rsidRDefault="00752A6D" w:rsidP="00752A6D">
      <w:pPr>
        <w:tabs>
          <w:tab w:val="left" w:pos="0"/>
          <w:tab w:val="left" w:pos="567"/>
        </w:tabs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 w:rsidRPr="003D03B5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„115V032000060 – </w:t>
      </w:r>
      <w:proofErr w:type="spellStart"/>
      <w:r w:rsidRPr="003D03B5">
        <w:rPr>
          <w:rFonts w:ascii="Arial" w:hAnsi="Arial" w:cs="Arial"/>
          <w:b/>
          <w:color w:val="000000"/>
          <w:sz w:val="22"/>
          <w:szCs w:val="22"/>
          <w:lang w:eastAsia="x-none"/>
        </w:rPr>
        <w:t>Očovské</w:t>
      </w:r>
      <w:proofErr w:type="spellEnd"/>
      <w:r w:rsidRPr="003D03B5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 louky – obnova“</w:t>
      </w:r>
      <w:r w:rsidR="00230FFC">
        <w:rPr>
          <w:rFonts w:ascii="Arial" w:hAnsi="Arial" w:cs="Arial"/>
          <w:color w:val="000000"/>
          <w:sz w:val="22"/>
          <w:szCs w:val="22"/>
          <w:lang w:eastAsia="x-none"/>
        </w:rPr>
        <w:t xml:space="preserve"> </w:t>
      </w:r>
      <w:r w:rsidR="00230FFC" w:rsidRPr="00BA1EDB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žadatel: </w:t>
      </w:r>
      <w:r w:rsidR="00230FFC">
        <w:rPr>
          <w:rFonts w:ascii="Arial" w:hAnsi="Arial" w:cs="Arial"/>
          <w:color w:val="000000"/>
          <w:sz w:val="22"/>
          <w:szCs w:val="22"/>
          <w:lang w:eastAsia="x-none"/>
        </w:rPr>
        <w:t>AOPK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, realizace: 2020, finanční prostředky: 284 018,58 Kč ze </w:t>
      </w:r>
      <w:r w:rsidR="00230FFC">
        <w:rPr>
          <w:rFonts w:ascii="Arial" w:hAnsi="Arial" w:cs="Arial"/>
          <w:color w:val="000000"/>
          <w:sz w:val="22"/>
          <w:szCs w:val="22"/>
        </w:rPr>
        <w:t>státního rozpočtu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>, 0 Kč z vlastních zdrojů</w:t>
      </w:r>
      <w:r w:rsidR="00E515E2">
        <w:rPr>
          <w:rFonts w:ascii="Arial" w:hAnsi="Arial" w:cs="Arial"/>
          <w:color w:val="000000"/>
          <w:sz w:val="22"/>
          <w:szCs w:val="22"/>
          <w:lang w:eastAsia="x-none"/>
        </w:rPr>
        <w:t>.</w:t>
      </w:r>
      <w:r w:rsidR="00EF1F95">
        <w:rPr>
          <w:rFonts w:ascii="Arial" w:hAnsi="Arial" w:cs="Arial"/>
          <w:color w:val="000000"/>
          <w:sz w:val="22"/>
          <w:szCs w:val="22"/>
          <w:lang w:eastAsia="x-none"/>
        </w:rPr>
        <w:t xml:space="preserve"> </w:t>
      </w:r>
      <w:r w:rsidR="00EF1F95" w:rsidRPr="00EF1F95">
        <w:rPr>
          <w:rFonts w:ascii="Arial" w:hAnsi="Arial" w:cs="Arial"/>
          <w:color w:val="000000"/>
          <w:sz w:val="22"/>
          <w:szCs w:val="22"/>
          <w:lang w:eastAsia="x-none"/>
        </w:rPr>
        <w:t xml:space="preserve">Předmětem akce je obnova vodního biotopu v PP </w:t>
      </w:r>
      <w:proofErr w:type="spellStart"/>
      <w:r w:rsidR="00EF1F95" w:rsidRPr="00EF1F95">
        <w:rPr>
          <w:rFonts w:ascii="Arial" w:hAnsi="Arial" w:cs="Arial"/>
          <w:color w:val="000000"/>
          <w:sz w:val="22"/>
          <w:szCs w:val="22"/>
          <w:lang w:eastAsia="x-none"/>
        </w:rPr>
        <w:t>Otčovské</w:t>
      </w:r>
      <w:proofErr w:type="spellEnd"/>
      <w:r w:rsidR="00EF1F95" w:rsidRPr="00EF1F95">
        <w:rPr>
          <w:rFonts w:ascii="Arial" w:hAnsi="Arial" w:cs="Arial"/>
          <w:color w:val="000000"/>
          <w:sz w:val="22"/>
          <w:szCs w:val="22"/>
          <w:lang w:eastAsia="x-none"/>
        </w:rPr>
        <w:t xml:space="preserve"> louky prohloubením stávajícího </w:t>
      </w:r>
      <w:proofErr w:type="spellStart"/>
      <w:r w:rsidR="00EF1F95" w:rsidRPr="00EF1F95">
        <w:rPr>
          <w:rFonts w:ascii="Arial" w:hAnsi="Arial" w:cs="Arial"/>
          <w:color w:val="000000"/>
          <w:sz w:val="22"/>
          <w:szCs w:val="22"/>
          <w:lang w:eastAsia="x-none"/>
        </w:rPr>
        <w:t>zazemněného</w:t>
      </w:r>
      <w:proofErr w:type="spellEnd"/>
      <w:r w:rsidR="00EF1F95" w:rsidRPr="00EF1F95">
        <w:rPr>
          <w:rFonts w:ascii="Arial" w:hAnsi="Arial" w:cs="Arial"/>
          <w:color w:val="000000"/>
          <w:sz w:val="22"/>
          <w:szCs w:val="22"/>
          <w:lang w:eastAsia="x-none"/>
        </w:rPr>
        <w:t xml:space="preserve"> ramene řeky Moravy. Plocha obnoveného ramene je 660 m</w:t>
      </w:r>
      <w:r w:rsidR="00EF1F95" w:rsidRPr="00794DB4">
        <w:rPr>
          <w:rFonts w:ascii="Arial" w:hAnsi="Arial" w:cs="Arial"/>
          <w:color w:val="000000"/>
          <w:sz w:val="22"/>
          <w:szCs w:val="22"/>
          <w:vertAlign w:val="superscript"/>
          <w:lang w:eastAsia="x-none"/>
        </w:rPr>
        <w:t>2</w:t>
      </w:r>
      <w:r w:rsidR="00EF1F95" w:rsidRPr="00EF1F95">
        <w:rPr>
          <w:rFonts w:ascii="Arial" w:hAnsi="Arial" w:cs="Arial"/>
          <w:color w:val="000000"/>
          <w:sz w:val="22"/>
          <w:szCs w:val="22"/>
          <w:lang w:eastAsia="x-none"/>
        </w:rPr>
        <w:t xml:space="preserve"> a množství vytěženého sedimentu cca 500 m</w:t>
      </w:r>
      <w:r w:rsidR="00EF1F95" w:rsidRPr="00794DB4">
        <w:rPr>
          <w:rFonts w:ascii="Arial" w:hAnsi="Arial" w:cs="Arial"/>
          <w:color w:val="000000"/>
          <w:sz w:val="22"/>
          <w:szCs w:val="22"/>
          <w:vertAlign w:val="superscript"/>
          <w:lang w:eastAsia="x-none"/>
        </w:rPr>
        <w:t>3</w:t>
      </w:r>
      <w:r w:rsidR="00EF1F95" w:rsidRPr="00EF1F95">
        <w:rPr>
          <w:rFonts w:ascii="Arial" w:hAnsi="Arial" w:cs="Arial"/>
          <w:color w:val="000000"/>
          <w:sz w:val="22"/>
          <w:szCs w:val="22"/>
          <w:lang w:eastAsia="x-none"/>
        </w:rPr>
        <w:t xml:space="preserve"> s maximální hloubkou 0,7 m. Opatření přispěje k lepšímu zadržení vody v území.</w:t>
      </w:r>
    </w:p>
    <w:p w14:paraId="136CB750" w14:textId="77777777" w:rsidR="00752A6D" w:rsidRDefault="00752A6D" w:rsidP="00752A6D">
      <w:pPr>
        <w:tabs>
          <w:tab w:val="left" w:pos="0"/>
          <w:tab w:val="left" w:pos="567"/>
        </w:tabs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4CC14683" w14:textId="4E73B8F3" w:rsidR="00752A6D" w:rsidRDefault="00752A6D" w:rsidP="00752A6D">
      <w:pPr>
        <w:tabs>
          <w:tab w:val="left" w:pos="0"/>
          <w:tab w:val="left" w:pos="567"/>
        </w:tabs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 w:rsidRPr="003D03B5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„115V032000010 </w:t>
      </w:r>
      <w:r w:rsidR="00230FFC">
        <w:rPr>
          <w:rFonts w:ascii="Arial" w:hAnsi="Arial" w:cs="Arial"/>
          <w:b/>
          <w:color w:val="000000"/>
          <w:sz w:val="22"/>
          <w:szCs w:val="22"/>
          <w:lang w:eastAsia="x-none"/>
        </w:rPr>
        <w:t>–</w:t>
      </w:r>
      <w:r w:rsidRPr="003D03B5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 Výkon technickobezpečnostního dohledu na vodních dílech AOPK ČR III.</w:t>
      </w:r>
      <w:r w:rsidR="00230FFC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 </w:t>
      </w:r>
      <w:r w:rsidRPr="003D03B5">
        <w:rPr>
          <w:rFonts w:ascii="Arial" w:hAnsi="Arial" w:cs="Arial"/>
          <w:b/>
          <w:color w:val="000000"/>
          <w:sz w:val="22"/>
          <w:szCs w:val="22"/>
          <w:lang w:eastAsia="x-none"/>
        </w:rPr>
        <w:t>kategorie</w:t>
      </w:r>
      <w:r w:rsidR="00230FFC" w:rsidRPr="003D03B5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“ </w:t>
      </w:r>
      <w:r w:rsidR="00230FFC" w:rsidRPr="00BA1EDB">
        <w:rPr>
          <w:rFonts w:ascii="Arial" w:hAnsi="Arial" w:cs="Arial"/>
          <w:sz w:val="22"/>
          <w:szCs w:val="22"/>
        </w:rPr>
        <w:t>–</w:t>
      </w:r>
      <w:r w:rsidR="00230FFC">
        <w:rPr>
          <w:rFonts w:ascii="Arial" w:hAnsi="Arial" w:cs="Arial"/>
          <w:color w:val="000000"/>
          <w:sz w:val="22"/>
          <w:szCs w:val="22"/>
          <w:lang w:eastAsia="x-none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žadatel: </w:t>
      </w:r>
      <w:r w:rsidR="00230FFC">
        <w:rPr>
          <w:rFonts w:ascii="Arial" w:hAnsi="Arial" w:cs="Arial"/>
          <w:color w:val="000000"/>
          <w:sz w:val="22"/>
          <w:szCs w:val="22"/>
          <w:lang w:eastAsia="x-none"/>
        </w:rPr>
        <w:t>AOPK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, realizace: 2018–2022, finanční prostředky: </w:t>
      </w:r>
      <w:r w:rsidR="00E515E2">
        <w:rPr>
          <w:rFonts w:ascii="Arial" w:hAnsi="Arial" w:cs="Arial"/>
          <w:color w:val="000000"/>
          <w:sz w:val="22"/>
          <w:szCs w:val="22"/>
          <w:lang w:eastAsia="x-none"/>
        </w:rPr>
        <w:br/>
      </w: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154 880,- Kč/rok ze </w:t>
      </w:r>
      <w:r w:rsidR="00230FFC">
        <w:rPr>
          <w:rFonts w:ascii="Arial" w:hAnsi="Arial" w:cs="Arial"/>
          <w:color w:val="000000"/>
          <w:sz w:val="22"/>
          <w:szCs w:val="22"/>
        </w:rPr>
        <w:t>státního rozpočtu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>, 0 Kč z vlastních zdrojů</w:t>
      </w:r>
      <w:r w:rsidR="00E515E2">
        <w:rPr>
          <w:rFonts w:ascii="Arial" w:hAnsi="Arial" w:cs="Arial"/>
          <w:color w:val="000000"/>
          <w:sz w:val="22"/>
          <w:szCs w:val="22"/>
          <w:lang w:eastAsia="x-none"/>
        </w:rPr>
        <w:t>.</w:t>
      </w:r>
      <w:r w:rsidR="00EF1F95">
        <w:rPr>
          <w:rFonts w:ascii="Arial" w:hAnsi="Arial" w:cs="Arial"/>
          <w:color w:val="000000"/>
          <w:sz w:val="22"/>
          <w:szCs w:val="22"/>
          <w:lang w:eastAsia="x-none"/>
        </w:rPr>
        <w:t xml:space="preserve"> </w:t>
      </w:r>
      <w:r w:rsidR="00EF1F95" w:rsidRPr="00EF1F95">
        <w:rPr>
          <w:rFonts w:ascii="Arial" w:hAnsi="Arial" w:cs="Arial"/>
          <w:color w:val="000000"/>
          <w:sz w:val="22"/>
          <w:szCs w:val="22"/>
          <w:lang w:eastAsia="x-none"/>
        </w:rPr>
        <w:t xml:space="preserve">Předmětem akce je zajištění manipulace s vodou, inženýrské činnosti a odborná pomoc při zajišťování technickobezpečnostního dohledu na vodních dílech v NPR Novozámecký rybník, NPP </w:t>
      </w:r>
      <w:proofErr w:type="spellStart"/>
      <w:r w:rsidR="00EF1F95" w:rsidRPr="00EF1F95">
        <w:rPr>
          <w:rFonts w:ascii="Arial" w:hAnsi="Arial" w:cs="Arial"/>
          <w:color w:val="000000"/>
          <w:sz w:val="22"/>
          <w:szCs w:val="22"/>
          <w:lang w:eastAsia="x-none"/>
        </w:rPr>
        <w:t>Swamp</w:t>
      </w:r>
      <w:proofErr w:type="spellEnd"/>
      <w:r w:rsidR="00EF1F95" w:rsidRPr="00EF1F95">
        <w:rPr>
          <w:rFonts w:ascii="Arial" w:hAnsi="Arial" w:cs="Arial"/>
          <w:color w:val="000000"/>
          <w:sz w:val="22"/>
          <w:szCs w:val="22"/>
          <w:lang w:eastAsia="x-none"/>
        </w:rPr>
        <w:t>,  NPP Krvavý a Kačležský rybník a PR Velký Pařezitý rybník.</w:t>
      </w:r>
    </w:p>
    <w:p w14:paraId="2DBAF040" w14:textId="77777777" w:rsidR="00752A6D" w:rsidRDefault="00752A6D" w:rsidP="00752A6D">
      <w:pPr>
        <w:tabs>
          <w:tab w:val="left" w:pos="0"/>
          <w:tab w:val="left" w:pos="567"/>
        </w:tabs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779F86DC" w14:textId="128E9F42" w:rsidR="00752A6D" w:rsidRPr="0089503A" w:rsidRDefault="00752A6D" w:rsidP="00752A6D">
      <w:pPr>
        <w:tabs>
          <w:tab w:val="left" w:pos="0"/>
          <w:tab w:val="left" w:pos="567"/>
        </w:tabs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 w:rsidRPr="003D03B5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„115V032000063 </w:t>
      </w:r>
      <w:r w:rsidR="00230FFC">
        <w:rPr>
          <w:rFonts w:ascii="Arial" w:hAnsi="Arial" w:cs="Arial"/>
          <w:b/>
          <w:color w:val="000000"/>
          <w:sz w:val="22"/>
          <w:szCs w:val="22"/>
          <w:lang w:eastAsia="x-none"/>
        </w:rPr>
        <w:t>–</w:t>
      </w:r>
      <w:r w:rsidRPr="003D03B5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 Oprava havarijního stavu výpusti rybníků v PR Kotvice</w:t>
      </w:r>
      <w:r w:rsidR="00230FFC" w:rsidRPr="003D03B5">
        <w:rPr>
          <w:rFonts w:ascii="Arial" w:hAnsi="Arial" w:cs="Arial"/>
          <w:b/>
          <w:color w:val="000000"/>
          <w:sz w:val="22"/>
          <w:szCs w:val="22"/>
          <w:lang w:eastAsia="x-none"/>
        </w:rPr>
        <w:t>“</w:t>
      </w:r>
      <w:r w:rsidR="00230FFC">
        <w:rPr>
          <w:rFonts w:ascii="Arial" w:hAnsi="Arial" w:cs="Arial"/>
          <w:color w:val="000000"/>
          <w:sz w:val="22"/>
          <w:szCs w:val="22"/>
          <w:lang w:eastAsia="x-none"/>
        </w:rPr>
        <w:t xml:space="preserve"> </w:t>
      </w:r>
      <w:r w:rsidR="00230FFC" w:rsidRPr="00BA1EDB">
        <w:rPr>
          <w:rFonts w:ascii="Arial" w:hAnsi="Arial" w:cs="Arial"/>
          <w:sz w:val="22"/>
          <w:szCs w:val="22"/>
        </w:rPr>
        <w:t>–</w:t>
      </w:r>
      <w:r w:rsidR="00230FFC">
        <w:rPr>
          <w:rFonts w:ascii="Arial" w:hAnsi="Arial" w:cs="Arial"/>
          <w:sz w:val="22"/>
          <w:szCs w:val="22"/>
        </w:rPr>
        <w:t xml:space="preserve"> </w:t>
      </w:r>
      <w:r w:rsidRPr="009D13EE">
        <w:rPr>
          <w:rFonts w:ascii="Arial" w:hAnsi="Arial" w:cs="Arial"/>
          <w:color w:val="000000"/>
          <w:sz w:val="22"/>
          <w:szCs w:val="22"/>
          <w:lang w:eastAsia="x-none"/>
        </w:rPr>
        <w:t xml:space="preserve">žadatel: </w:t>
      </w:r>
      <w:r w:rsidR="00230FFC">
        <w:rPr>
          <w:rFonts w:ascii="Arial" w:hAnsi="Arial" w:cs="Arial"/>
          <w:color w:val="000000"/>
          <w:sz w:val="22"/>
          <w:szCs w:val="22"/>
          <w:lang w:eastAsia="x-none"/>
        </w:rPr>
        <w:t>AOPK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, realizace: 2020, finanční prostředky: </w:t>
      </w:r>
      <w:r w:rsidRPr="009D13EE">
        <w:rPr>
          <w:rFonts w:ascii="Arial" w:hAnsi="Arial" w:cs="Arial"/>
          <w:color w:val="000000"/>
          <w:sz w:val="22"/>
          <w:szCs w:val="22"/>
          <w:lang w:eastAsia="x-none"/>
        </w:rPr>
        <w:t>480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> </w:t>
      </w:r>
      <w:r w:rsidRPr="009D13EE">
        <w:rPr>
          <w:rFonts w:ascii="Arial" w:hAnsi="Arial" w:cs="Arial"/>
          <w:color w:val="000000"/>
          <w:sz w:val="22"/>
          <w:szCs w:val="22"/>
          <w:lang w:eastAsia="x-none"/>
        </w:rPr>
        <w:t>514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>,-</w:t>
      </w:r>
      <w:r w:rsidR="00230FFC">
        <w:rPr>
          <w:rFonts w:ascii="Arial" w:hAnsi="Arial" w:cs="Arial"/>
          <w:color w:val="000000"/>
          <w:sz w:val="22"/>
          <w:szCs w:val="22"/>
          <w:lang w:eastAsia="x-none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Kč ze </w:t>
      </w:r>
      <w:r w:rsidR="00230FFC">
        <w:rPr>
          <w:rFonts w:ascii="Arial" w:hAnsi="Arial" w:cs="Arial"/>
          <w:color w:val="000000"/>
          <w:sz w:val="22"/>
          <w:szCs w:val="22"/>
        </w:rPr>
        <w:t>státního rozpočtu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>, 0 Kč z vlastních zdrojů</w:t>
      </w:r>
      <w:r w:rsidR="00DC7E11">
        <w:rPr>
          <w:rFonts w:ascii="Arial" w:hAnsi="Arial" w:cs="Arial"/>
          <w:color w:val="000000"/>
          <w:sz w:val="22"/>
          <w:szCs w:val="22"/>
          <w:lang w:eastAsia="x-none"/>
        </w:rPr>
        <w:t>.</w:t>
      </w:r>
      <w:r w:rsidR="00EF1F95">
        <w:rPr>
          <w:rFonts w:ascii="Arial" w:hAnsi="Arial" w:cs="Arial"/>
          <w:color w:val="000000"/>
          <w:sz w:val="22"/>
          <w:szCs w:val="22"/>
          <w:lang w:eastAsia="x-none"/>
        </w:rPr>
        <w:t xml:space="preserve"> </w:t>
      </w:r>
      <w:r w:rsidR="00EF1F95" w:rsidRPr="00EF1F95">
        <w:rPr>
          <w:rFonts w:ascii="Arial" w:hAnsi="Arial" w:cs="Arial"/>
          <w:color w:val="000000"/>
          <w:sz w:val="22"/>
          <w:szCs w:val="22"/>
          <w:lang w:eastAsia="x-none"/>
        </w:rPr>
        <w:t>Předmětem díla je oprava spodní výpusti rybníka Nový. Šachta požeráku bude v rámci udržovacích prací kompletně zrekonstruována, odpadní potrubí bude celé vyměněno. Stav výpusti byl ve velmi špatném technickém stavu a neumožňoval manipulaci s vodou. Zároveň byla opravou zajištěna stálá hladina vody v přírodní rezervaci, která slouží jako tahová zastávka pro mnoho druhů ptactva.</w:t>
      </w:r>
    </w:p>
    <w:p w14:paraId="3E05AE4B" w14:textId="77777777" w:rsidR="00B50D72" w:rsidRPr="00FD6BE1" w:rsidRDefault="00B44AA7" w:rsidP="001B7F95">
      <w:pPr>
        <w:tabs>
          <w:tab w:val="left" w:pos="0"/>
          <w:tab w:val="left" w:pos="567"/>
        </w:tabs>
        <w:spacing w:before="360" w:after="360"/>
        <w:jc w:val="both"/>
        <w:rPr>
          <w:rFonts w:ascii="Arial" w:hAnsi="Arial" w:cs="Arial"/>
          <w:b/>
          <w:sz w:val="22"/>
          <w:szCs w:val="22"/>
        </w:rPr>
      </w:pPr>
      <w:r w:rsidRPr="00FD6BE1">
        <w:rPr>
          <w:rFonts w:ascii="Arial" w:hAnsi="Arial" w:cs="Arial"/>
          <w:b/>
          <w:sz w:val="22"/>
          <w:szCs w:val="22"/>
        </w:rPr>
        <w:t xml:space="preserve">C. </w:t>
      </w:r>
      <w:r w:rsidR="0093094A" w:rsidRPr="00FD6BE1">
        <w:rPr>
          <w:rFonts w:ascii="Arial" w:hAnsi="Arial" w:cs="Arial"/>
          <w:b/>
          <w:sz w:val="22"/>
          <w:szCs w:val="22"/>
        </w:rPr>
        <w:tab/>
      </w:r>
      <w:r w:rsidR="00B50D72" w:rsidRPr="00FD6BE1">
        <w:rPr>
          <w:rFonts w:ascii="Arial" w:hAnsi="Arial" w:cs="Arial"/>
          <w:b/>
          <w:sz w:val="22"/>
          <w:szCs w:val="22"/>
        </w:rPr>
        <w:t>Závěr</w:t>
      </w:r>
    </w:p>
    <w:p w14:paraId="7AFC3D32" w14:textId="35A013DC" w:rsidR="003503AF" w:rsidRDefault="003503AF" w:rsidP="00337394">
      <w:pPr>
        <w:pStyle w:val="Zkladntextodsazen"/>
        <w:ind w:firstLine="0"/>
        <w:rPr>
          <w:rFonts w:ascii="Arial" w:hAnsi="Arial" w:cs="Arial"/>
          <w:sz w:val="22"/>
          <w:szCs w:val="22"/>
          <w:lang w:val="cs-CZ"/>
        </w:rPr>
      </w:pPr>
      <w:r w:rsidRPr="00FD6BE1">
        <w:rPr>
          <w:rFonts w:ascii="Arial" w:hAnsi="Arial" w:cs="Arial"/>
          <w:sz w:val="22"/>
          <w:szCs w:val="22"/>
        </w:rPr>
        <w:t xml:space="preserve">Realizace programů prevence před povodněmi je věcným naplňováním „Strategie ochrany před povodněmi pro území České republiky“. Odpovědnost za uvedené programy je v současné době svěřena </w:t>
      </w:r>
      <w:proofErr w:type="spellStart"/>
      <w:r w:rsidR="00E515E2">
        <w:rPr>
          <w:rFonts w:ascii="Arial" w:hAnsi="Arial" w:cs="Arial"/>
          <w:sz w:val="22"/>
          <w:szCs w:val="22"/>
          <w:lang w:val="cs-CZ"/>
        </w:rPr>
        <w:t>MZe</w:t>
      </w:r>
      <w:proofErr w:type="spellEnd"/>
      <w:r w:rsidR="00680765">
        <w:rPr>
          <w:rFonts w:ascii="Arial" w:hAnsi="Arial" w:cs="Arial"/>
          <w:sz w:val="22"/>
          <w:szCs w:val="22"/>
          <w:lang w:val="cs-CZ"/>
        </w:rPr>
        <w:t xml:space="preserve"> a</w:t>
      </w:r>
      <w:r w:rsidR="00680765" w:rsidRPr="00FD6BE1">
        <w:rPr>
          <w:rFonts w:ascii="Arial" w:hAnsi="Arial" w:cs="Arial"/>
          <w:sz w:val="22"/>
          <w:szCs w:val="22"/>
        </w:rPr>
        <w:t xml:space="preserve"> </w:t>
      </w:r>
      <w:r w:rsidR="00E515E2">
        <w:rPr>
          <w:rFonts w:ascii="Arial" w:hAnsi="Arial" w:cs="Arial"/>
          <w:sz w:val="22"/>
          <w:szCs w:val="22"/>
          <w:lang w:val="cs-CZ"/>
        </w:rPr>
        <w:t>MŽP</w:t>
      </w:r>
      <w:r w:rsidR="00504D49" w:rsidRPr="00FD6BE1">
        <w:rPr>
          <w:rFonts w:ascii="Arial" w:hAnsi="Arial" w:cs="Arial"/>
          <w:sz w:val="22"/>
          <w:szCs w:val="22"/>
          <w:lang w:val="cs-CZ"/>
        </w:rPr>
        <w:t>.</w:t>
      </w:r>
    </w:p>
    <w:p w14:paraId="5926B816" w14:textId="77777777" w:rsidR="00337394" w:rsidRPr="00FD6BE1" w:rsidRDefault="00337394" w:rsidP="00337394">
      <w:pPr>
        <w:pStyle w:val="Zkladntextodsazen"/>
        <w:ind w:firstLine="0"/>
        <w:rPr>
          <w:rFonts w:ascii="Arial" w:hAnsi="Arial" w:cs="Arial"/>
          <w:sz w:val="22"/>
          <w:szCs w:val="22"/>
          <w:lang w:val="cs-CZ"/>
        </w:rPr>
      </w:pPr>
    </w:p>
    <w:p w14:paraId="49F0A07A" w14:textId="58BCF765" w:rsidR="00FF5E7C" w:rsidRDefault="00FF5E7C" w:rsidP="00337394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D6BE1">
        <w:rPr>
          <w:rFonts w:ascii="Arial" w:hAnsi="Arial" w:cs="Arial"/>
          <w:sz w:val="22"/>
          <w:szCs w:val="22"/>
        </w:rPr>
        <w:t>Na ukončený program</w:t>
      </w:r>
      <w:r w:rsidR="00DB2EE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157B">
        <w:rPr>
          <w:rFonts w:ascii="Arial" w:hAnsi="Arial" w:cs="Arial"/>
          <w:sz w:val="22"/>
          <w:szCs w:val="22"/>
        </w:rPr>
        <w:t>MZe</w:t>
      </w:r>
      <w:proofErr w:type="spellEnd"/>
      <w:r w:rsidR="0085157B">
        <w:rPr>
          <w:rFonts w:ascii="Arial" w:hAnsi="Arial" w:cs="Arial"/>
          <w:sz w:val="22"/>
          <w:szCs w:val="22"/>
        </w:rPr>
        <w:t xml:space="preserve"> </w:t>
      </w:r>
      <w:r w:rsidR="00DB2EE3">
        <w:rPr>
          <w:rFonts w:ascii="Arial" w:hAnsi="Arial" w:cs="Arial"/>
          <w:sz w:val="22"/>
          <w:szCs w:val="22"/>
        </w:rPr>
        <w:t xml:space="preserve">129 120 </w:t>
      </w:r>
      <w:r w:rsidR="00E515E2">
        <w:rPr>
          <w:rFonts w:ascii="Arial" w:hAnsi="Arial" w:cs="Arial"/>
          <w:sz w:val="22"/>
          <w:szCs w:val="22"/>
        </w:rPr>
        <w:t>„</w:t>
      </w:r>
      <w:r w:rsidR="00DB2EE3">
        <w:rPr>
          <w:rFonts w:ascii="Arial" w:hAnsi="Arial" w:cs="Arial"/>
          <w:sz w:val="22"/>
          <w:szCs w:val="22"/>
        </w:rPr>
        <w:t>Podpora prevence před povodněmi II</w:t>
      </w:r>
      <w:r w:rsidR="00E515E2">
        <w:rPr>
          <w:rFonts w:ascii="Arial" w:hAnsi="Arial" w:cs="Arial"/>
          <w:sz w:val="22"/>
          <w:szCs w:val="22"/>
        </w:rPr>
        <w:t>“</w:t>
      </w:r>
      <w:r w:rsidRPr="00FD6BE1">
        <w:rPr>
          <w:rFonts w:ascii="Arial" w:hAnsi="Arial" w:cs="Arial"/>
          <w:sz w:val="22"/>
          <w:szCs w:val="22"/>
        </w:rPr>
        <w:t xml:space="preserve"> navázal program </w:t>
      </w:r>
      <w:r w:rsidR="00E515E2">
        <w:rPr>
          <w:rFonts w:ascii="Arial" w:hAnsi="Arial" w:cs="Arial"/>
          <w:sz w:val="22"/>
          <w:szCs w:val="22"/>
        </w:rPr>
        <w:t>129 260 „</w:t>
      </w:r>
      <w:r w:rsidRPr="00FD6BE1">
        <w:rPr>
          <w:rFonts w:ascii="Arial" w:hAnsi="Arial" w:cs="Arial"/>
          <w:sz w:val="22"/>
          <w:szCs w:val="22"/>
        </w:rPr>
        <w:t>Podpora prevence před povodněmi III</w:t>
      </w:r>
      <w:r w:rsidR="00E515E2">
        <w:rPr>
          <w:rFonts w:ascii="Arial" w:hAnsi="Arial" w:cs="Arial"/>
          <w:sz w:val="22"/>
          <w:szCs w:val="22"/>
        </w:rPr>
        <w:t>“</w:t>
      </w:r>
      <w:r w:rsidRPr="00FD6BE1">
        <w:rPr>
          <w:rFonts w:ascii="Arial" w:hAnsi="Arial" w:cs="Arial"/>
          <w:sz w:val="22"/>
          <w:szCs w:val="22"/>
        </w:rPr>
        <w:t xml:space="preserve">, který vznikl rovněž v souvislosti </w:t>
      </w:r>
      <w:r w:rsidR="00E515E2" w:rsidRPr="00FD6BE1">
        <w:rPr>
          <w:rFonts w:ascii="Arial" w:hAnsi="Arial" w:cs="Arial"/>
          <w:sz w:val="22"/>
          <w:szCs w:val="22"/>
        </w:rPr>
        <w:t>s</w:t>
      </w:r>
      <w:r w:rsidR="00E515E2">
        <w:rPr>
          <w:rFonts w:ascii="Arial" w:hAnsi="Arial" w:cs="Arial"/>
          <w:sz w:val="22"/>
          <w:szCs w:val="22"/>
        </w:rPr>
        <w:t> </w:t>
      </w:r>
      <w:r w:rsidRPr="00FD6BE1">
        <w:rPr>
          <w:rFonts w:ascii="Arial" w:hAnsi="Arial" w:cs="Arial"/>
          <w:sz w:val="22"/>
          <w:szCs w:val="22"/>
        </w:rPr>
        <w:t xml:space="preserve">implementací směrnice 2007/60/ES o vyhodnocování a zvládání povodňových rizik. Je </w:t>
      </w:r>
      <w:r w:rsidRPr="00FD6BE1">
        <w:rPr>
          <w:rFonts w:ascii="Arial" w:hAnsi="Arial" w:cs="Arial"/>
          <w:sz w:val="22"/>
          <w:szCs w:val="22"/>
        </w:rPr>
        <w:lastRenderedPageBreak/>
        <w:t>zaměřen především na zvýšení retence, poldry a vodní nádrže s retenčními prostory</w:t>
      </w:r>
      <w:r>
        <w:rPr>
          <w:rFonts w:ascii="Arial" w:hAnsi="Arial" w:cs="Arial"/>
          <w:sz w:val="22"/>
          <w:szCs w:val="22"/>
        </w:rPr>
        <w:t xml:space="preserve"> </w:t>
      </w:r>
      <w:r w:rsidR="00E515E2">
        <w:rPr>
          <w:rFonts w:ascii="Arial" w:hAnsi="Arial" w:cs="Arial"/>
          <w:sz w:val="22"/>
          <w:szCs w:val="22"/>
        </w:rPr>
        <w:t>a </w:t>
      </w:r>
      <w:r>
        <w:rPr>
          <w:rFonts w:ascii="Arial" w:hAnsi="Arial" w:cs="Arial"/>
          <w:sz w:val="22"/>
          <w:szCs w:val="22"/>
        </w:rPr>
        <w:t>opatření podél vodních toků</w:t>
      </w:r>
      <w:r w:rsidR="002E3B76">
        <w:rPr>
          <w:rFonts w:ascii="Arial" w:hAnsi="Arial" w:cs="Arial"/>
          <w:sz w:val="22"/>
          <w:szCs w:val="22"/>
        </w:rPr>
        <w:t xml:space="preserve"> a</w:t>
      </w:r>
      <w:r w:rsidRPr="00FD6BE1">
        <w:rPr>
          <w:rFonts w:ascii="Arial" w:hAnsi="Arial" w:cs="Arial"/>
          <w:sz w:val="22"/>
          <w:szCs w:val="22"/>
        </w:rPr>
        <w:t xml:space="preserve"> </w:t>
      </w:r>
      <w:r w:rsidR="009740C4">
        <w:rPr>
          <w:rFonts w:ascii="Arial" w:hAnsi="Arial" w:cs="Arial"/>
          <w:sz w:val="22"/>
          <w:szCs w:val="22"/>
        </w:rPr>
        <w:t>byl</w:t>
      </w:r>
      <w:r w:rsidRPr="00FD6BE1">
        <w:rPr>
          <w:rFonts w:ascii="Arial" w:hAnsi="Arial" w:cs="Arial"/>
          <w:sz w:val="22"/>
          <w:szCs w:val="22"/>
        </w:rPr>
        <w:t xml:space="preserve"> schválen na období 2014–2019</w:t>
      </w:r>
      <w:r>
        <w:rPr>
          <w:rFonts w:ascii="Arial" w:hAnsi="Arial" w:cs="Arial"/>
          <w:sz w:val="22"/>
          <w:szCs w:val="22"/>
        </w:rPr>
        <w:t xml:space="preserve">. </w:t>
      </w:r>
      <w:r w:rsidRPr="00BA1EDB">
        <w:rPr>
          <w:rFonts w:ascii="Arial" w:hAnsi="Arial" w:cs="Arial"/>
          <w:sz w:val="22"/>
          <w:szCs w:val="22"/>
        </w:rPr>
        <w:t>Ministerstvo financí dopisem ze dne 8. 11. 2017 č. j. MF-29448/2017/1904-2 odsouhlasilo prodloužení trvání programu do 31. 12. 2022 z</w:t>
      </w:r>
      <w:r w:rsidR="00E515E2">
        <w:rPr>
          <w:rFonts w:ascii="Arial" w:hAnsi="Arial" w:cs="Arial"/>
          <w:sz w:val="22"/>
          <w:szCs w:val="22"/>
        </w:rPr>
        <w:t> </w:t>
      </w:r>
      <w:r w:rsidRPr="00BA1EDB">
        <w:rPr>
          <w:rFonts w:ascii="Arial" w:hAnsi="Arial" w:cs="Arial"/>
          <w:sz w:val="22"/>
          <w:szCs w:val="22"/>
        </w:rPr>
        <w:t>důvodu realizace časově náročné stavební části akce 129D26</w:t>
      </w:r>
      <w:r w:rsidR="00257E9D">
        <w:rPr>
          <w:rFonts w:ascii="Arial" w:hAnsi="Arial" w:cs="Arial"/>
          <w:sz w:val="22"/>
          <w:szCs w:val="22"/>
        </w:rPr>
        <w:t>5</w:t>
      </w:r>
      <w:r w:rsidRPr="00BA1EDB">
        <w:rPr>
          <w:rFonts w:ascii="Arial" w:hAnsi="Arial" w:cs="Arial"/>
          <w:sz w:val="22"/>
          <w:szCs w:val="22"/>
        </w:rPr>
        <w:t>009024 „Morava, Olomouc – zvýšení kapacity koryta II. etapa B</w:t>
      </w:r>
      <w:r w:rsidR="002E3B76">
        <w:rPr>
          <w:rFonts w:ascii="Arial" w:hAnsi="Arial" w:cs="Arial"/>
          <w:sz w:val="22"/>
          <w:szCs w:val="22"/>
        </w:rPr>
        <w:t>“.</w:t>
      </w:r>
      <w:r w:rsidRPr="00BA1ED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 sledovaném období </w:t>
      </w:r>
      <w:r w:rsidRPr="00EB0F0C">
        <w:rPr>
          <w:rFonts w:ascii="Arial" w:hAnsi="Arial" w:cs="Arial"/>
          <w:sz w:val="22"/>
          <w:szCs w:val="22"/>
        </w:rPr>
        <w:t>201</w:t>
      </w:r>
      <w:r>
        <w:rPr>
          <w:rFonts w:ascii="Arial" w:hAnsi="Arial" w:cs="Arial"/>
          <w:sz w:val="22"/>
          <w:szCs w:val="22"/>
        </w:rPr>
        <w:t>8</w:t>
      </w:r>
      <w:r w:rsidRPr="00EB0F0C">
        <w:rPr>
          <w:rFonts w:ascii="Arial" w:hAnsi="Arial" w:cs="Arial"/>
          <w:sz w:val="22"/>
          <w:szCs w:val="22"/>
        </w:rPr>
        <w:t>–20</w:t>
      </w:r>
      <w:r>
        <w:rPr>
          <w:rFonts w:ascii="Arial" w:hAnsi="Arial" w:cs="Arial"/>
          <w:sz w:val="22"/>
          <w:szCs w:val="22"/>
        </w:rPr>
        <w:t>20</w:t>
      </w:r>
      <w:r w:rsidRPr="00EB0F0C">
        <w:rPr>
          <w:rFonts w:ascii="Arial" w:hAnsi="Arial" w:cs="Arial"/>
          <w:sz w:val="22"/>
          <w:szCs w:val="22"/>
        </w:rPr>
        <w:t xml:space="preserve"> </w:t>
      </w:r>
      <w:r w:rsidRPr="00FD6BE1">
        <w:rPr>
          <w:rFonts w:ascii="Arial" w:hAnsi="Arial" w:cs="Arial"/>
          <w:sz w:val="22"/>
          <w:szCs w:val="22"/>
        </w:rPr>
        <w:t xml:space="preserve">bylo v  rámci </w:t>
      </w:r>
      <w:r w:rsidR="004B7CAD">
        <w:rPr>
          <w:rFonts w:ascii="Arial" w:hAnsi="Arial" w:cs="Arial"/>
          <w:sz w:val="22"/>
          <w:szCs w:val="22"/>
        </w:rPr>
        <w:t xml:space="preserve">tohoto programu </w:t>
      </w:r>
      <w:r w:rsidRPr="00FD6BE1">
        <w:rPr>
          <w:rFonts w:ascii="Arial" w:hAnsi="Arial" w:cs="Arial"/>
          <w:sz w:val="22"/>
          <w:szCs w:val="22"/>
        </w:rPr>
        <w:t xml:space="preserve">investováno </w:t>
      </w:r>
      <w:r w:rsidR="00257E9D">
        <w:rPr>
          <w:rFonts w:ascii="Arial" w:hAnsi="Arial" w:cs="Arial"/>
          <w:sz w:val="22"/>
          <w:szCs w:val="22"/>
        </w:rPr>
        <w:t xml:space="preserve">celkem </w:t>
      </w:r>
      <w:r>
        <w:rPr>
          <w:rFonts w:ascii="Arial" w:hAnsi="Arial" w:cs="Arial"/>
          <w:sz w:val="22"/>
          <w:szCs w:val="22"/>
        </w:rPr>
        <w:t>1</w:t>
      </w:r>
      <w:r w:rsidR="000F37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907,3 m</w:t>
      </w:r>
      <w:r w:rsidR="004B7CAD">
        <w:rPr>
          <w:rFonts w:ascii="Arial" w:hAnsi="Arial" w:cs="Arial"/>
          <w:sz w:val="22"/>
          <w:szCs w:val="22"/>
        </w:rPr>
        <w:t>il</w:t>
      </w:r>
      <w:r>
        <w:rPr>
          <w:rFonts w:ascii="Arial" w:hAnsi="Arial" w:cs="Arial"/>
          <w:sz w:val="22"/>
          <w:szCs w:val="22"/>
        </w:rPr>
        <w:t xml:space="preserve">. Kč, z toho </w:t>
      </w:r>
      <w:r w:rsidR="004B7CA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1</w:t>
      </w:r>
      <w:r w:rsidR="000F37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371,6 m</w:t>
      </w:r>
      <w:r w:rsidR="004B7CAD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l. Kč ze státního rozpočtu a  535,7</w:t>
      </w:r>
      <w:r w:rsidRPr="00FD6BE1">
        <w:rPr>
          <w:rFonts w:ascii="Arial" w:hAnsi="Arial" w:cs="Arial"/>
          <w:sz w:val="22"/>
          <w:szCs w:val="22"/>
        </w:rPr>
        <w:t xml:space="preserve"> mil. Kč</w:t>
      </w:r>
      <w:r>
        <w:rPr>
          <w:rFonts w:ascii="Arial" w:hAnsi="Arial" w:cs="Arial"/>
          <w:sz w:val="22"/>
          <w:szCs w:val="22"/>
        </w:rPr>
        <w:t xml:space="preserve"> z vlastních zdrojů</w:t>
      </w:r>
      <w:r w:rsidRPr="00FD6BE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Ke konci roku 2020 bylo stavebně dokončeno 79 akcí.</w:t>
      </w:r>
    </w:p>
    <w:p w14:paraId="646BCEC2" w14:textId="77777777" w:rsidR="00337394" w:rsidRDefault="00337394" w:rsidP="00337394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F4941C9" w14:textId="53661309" w:rsidR="00FF5E7C" w:rsidRDefault="001B171B" w:rsidP="00337394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roce 2018 byla zahájena n</w:t>
      </w:r>
      <w:r w:rsidR="00FF5E7C">
        <w:rPr>
          <w:rFonts w:ascii="Arial" w:hAnsi="Arial" w:cs="Arial"/>
          <w:sz w:val="22"/>
          <w:szCs w:val="22"/>
        </w:rPr>
        <w:t>avazují</w:t>
      </w:r>
      <w:r w:rsidR="00B15364">
        <w:rPr>
          <w:rFonts w:ascii="Arial" w:hAnsi="Arial" w:cs="Arial"/>
          <w:sz w:val="22"/>
          <w:szCs w:val="22"/>
        </w:rPr>
        <w:t>cí</w:t>
      </w:r>
      <w:r w:rsidR="00FF5E7C">
        <w:rPr>
          <w:rFonts w:ascii="Arial" w:hAnsi="Arial" w:cs="Arial"/>
          <w:sz w:val="22"/>
          <w:szCs w:val="22"/>
        </w:rPr>
        <w:t xml:space="preserve"> IV. etapa programu </w:t>
      </w:r>
      <w:r w:rsidR="00B15364">
        <w:rPr>
          <w:rFonts w:ascii="Arial" w:hAnsi="Arial" w:cs="Arial"/>
          <w:sz w:val="22"/>
          <w:szCs w:val="22"/>
        </w:rPr>
        <w:t>prevence před povodněmi</w:t>
      </w:r>
      <w:r>
        <w:rPr>
          <w:rFonts w:ascii="Arial" w:hAnsi="Arial" w:cs="Arial"/>
          <w:sz w:val="22"/>
          <w:szCs w:val="22"/>
        </w:rPr>
        <w:t>,</w:t>
      </w:r>
      <w:r w:rsidR="00B15364">
        <w:rPr>
          <w:rFonts w:ascii="Arial" w:hAnsi="Arial" w:cs="Arial"/>
          <w:sz w:val="22"/>
          <w:szCs w:val="22"/>
        </w:rPr>
        <w:t xml:space="preserve"> program 129 360 </w:t>
      </w:r>
      <w:r w:rsidR="00FF5E7C">
        <w:rPr>
          <w:rFonts w:ascii="Arial" w:hAnsi="Arial" w:cs="Arial"/>
          <w:sz w:val="22"/>
          <w:szCs w:val="22"/>
        </w:rPr>
        <w:t>„Podpora prevence před povodněmi</w:t>
      </w:r>
      <w:r w:rsidR="00B15364">
        <w:rPr>
          <w:rFonts w:ascii="Arial" w:hAnsi="Arial" w:cs="Arial"/>
          <w:sz w:val="22"/>
          <w:szCs w:val="22"/>
        </w:rPr>
        <w:t xml:space="preserve"> IV</w:t>
      </w:r>
      <w:r w:rsidR="00FF5E7C">
        <w:rPr>
          <w:rFonts w:ascii="Arial" w:hAnsi="Arial" w:cs="Arial"/>
          <w:sz w:val="22"/>
          <w:szCs w:val="22"/>
        </w:rPr>
        <w:t xml:space="preserve">“. </w:t>
      </w:r>
      <w:r>
        <w:rPr>
          <w:rFonts w:ascii="Arial" w:hAnsi="Arial" w:cs="Arial"/>
          <w:sz w:val="22"/>
          <w:szCs w:val="22"/>
        </w:rPr>
        <w:t>Příjem žádostí</w:t>
      </w:r>
      <w:r w:rsidR="00FF5E7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 podporu </w:t>
      </w:r>
      <w:r w:rsidR="00FF5E7C">
        <w:rPr>
          <w:rFonts w:ascii="Arial" w:hAnsi="Arial" w:cs="Arial"/>
          <w:sz w:val="22"/>
          <w:szCs w:val="22"/>
        </w:rPr>
        <w:t xml:space="preserve">byl zahájen </w:t>
      </w:r>
      <w:r>
        <w:rPr>
          <w:rFonts w:ascii="Arial" w:hAnsi="Arial" w:cs="Arial"/>
          <w:sz w:val="22"/>
          <w:szCs w:val="22"/>
        </w:rPr>
        <w:t>v roce 2018</w:t>
      </w:r>
      <w:r w:rsidR="00FF5E7C">
        <w:rPr>
          <w:rFonts w:ascii="Arial" w:hAnsi="Arial" w:cs="Arial"/>
          <w:sz w:val="22"/>
          <w:szCs w:val="22"/>
        </w:rPr>
        <w:t>. V letech 2019</w:t>
      </w:r>
      <w:r w:rsidR="00A16296">
        <w:rPr>
          <w:rFonts w:ascii="Arial" w:hAnsi="Arial" w:cs="Arial"/>
          <w:sz w:val="22"/>
          <w:szCs w:val="22"/>
        </w:rPr>
        <w:t>–</w:t>
      </w:r>
      <w:r w:rsidR="00FF5E7C">
        <w:rPr>
          <w:rFonts w:ascii="Arial" w:hAnsi="Arial" w:cs="Arial"/>
          <w:sz w:val="22"/>
          <w:szCs w:val="22"/>
        </w:rPr>
        <w:t xml:space="preserve">2020 byly čerpány finanční prostředky v celkové výši </w:t>
      </w:r>
      <w:r w:rsidR="0074686C">
        <w:rPr>
          <w:rFonts w:ascii="Arial" w:hAnsi="Arial" w:cs="Arial"/>
          <w:sz w:val="22"/>
          <w:szCs w:val="22"/>
        </w:rPr>
        <w:t>895,8</w:t>
      </w:r>
      <w:r w:rsidR="00B15364">
        <w:rPr>
          <w:rFonts w:ascii="Arial" w:hAnsi="Arial" w:cs="Arial"/>
          <w:sz w:val="22"/>
          <w:szCs w:val="22"/>
        </w:rPr>
        <w:t> </w:t>
      </w:r>
      <w:r w:rsidR="00FF5E7C">
        <w:rPr>
          <w:rFonts w:ascii="Arial" w:hAnsi="Arial" w:cs="Arial"/>
          <w:sz w:val="22"/>
          <w:szCs w:val="22"/>
        </w:rPr>
        <w:t xml:space="preserve">mil. Kč, z toho </w:t>
      </w:r>
      <w:r w:rsidR="0074686C">
        <w:rPr>
          <w:rFonts w:ascii="Arial" w:hAnsi="Arial" w:cs="Arial"/>
          <w:sz w:val="22"/>
          <w:szCs w:val="22"/>
        </w:rPr>
        <w:t xml:space="preserve"> 827,8 </w:t>
      </w:r>
      <w:r w:rsidR="00FF5E7C">
        <w:rPr>
          <w:rFonts w:ascii="Arial" w:hAnsi="Arial" w:cs="Arial"/>
          <w:sz w:val="22"/>
          <w:szCs w:val="22"/>
        </w:rPr>
        <w:t>mil. Kč ze státního rozpočtu a 6</w:t>
      </w:r>
      <w:r>
        <w:rPr>
          <w:rFonts w:ascii="Arial" w:hAnsi="Arial" w:cs="Arial"/>
          <w:sz w:val="22"/>
          <w:szCs w:val="22"/>
        </w:rPr>
        <w:t>8 mil. Kč</w:t>
      </w:r>
      <w:r w:rsidR="00FF5E7C">
        <w:rPr>
          <w:rFonts w:ascii="Arial" w:hAnsi="Arial" w:cs="Arial"/>
          <w:sz w:val="22"/>
          <w:szCs w:val="22"/>
        </w:rPr>
        <w:t xml:space="preserve"> z vlastních zdrojů. </w:t>
      </w:r>
      <w:r w:rsidR="00A16296">
        <w:rPr>
          <w:rFonts w:ascii="Arial" w:hAnsi="Arial" w:cs="Arial"/>
          <w:sz w:val="22"/>
          <w:szCs w:val="22"/>
        </w:rPr>
        <w:t>V letech 2019–</w:t>
      </w:r>
      <w:r w:rsidR="00FF5E7C">
        <w:rPr>
          <w:rFonts w:ascii="Arial" w:hAnsi="Arial" w:cs="Arial"/>
          <w:sz w:val="22"/>
          <w:szCs w:val="22"/>
        </w:rPr>
        <w:t>2020 bylo administrováno 44 akcí</w:t>
      </w:r>
      <w:r w:rsidR="00624872">
        <w:rPr>
          <w:rFonts w:ascii="Arial" w:hAnsi="Arial" w:cs="Arial"/>
          <w:sz w:val="22"/>
          <w:szCs w:val="22"/>
        </w:rPr>
        <w:t>, 7 akcí bylo ke konci roku 2020 stavebně dokončeno</w:t>
      </w:r>
      <w:r w:rsidR="00FF5E7C">
        <w:rPr>
          <w:rFonts w:ascii="Arial" w:hAnsi="Arial" w:cs="Arial"/>
          <w:sz w:val="22"/>
          <w:szCs w:val="22"/>
        </w:rPr>
        <w:t>.</w:t>
      </w:r>
    </w:p>
    <w:p w14:paraId="0DF528B9" w14:textId="77777777" w:rsidR="00337394" w:rsidRPr="00FD6BE1" w:rsidRDefault="00337394" w:rsidP="00337394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86D9137" w14:textId="49A75078" w:rsidR="005B3863" w:rsidRDefault="0084112B" w:rsidP="00337394">
      <w:pPr>
        <w:pStyle w:val="Zkladntextodsazen"/>
        <w:ind w:firstLine="0"/>
        <w:rPr>
          <w:rFonts w:ascii="Arial" w:hAnsi="Arial"/>
          <w:sz w:val="22"/>
        </w:rPr>
      </w:pPr>
      <w:r w:rsidRPr="0010449B">
        <w:rPr>
          <w:rFonts w:ascii="Arial" w:hAnsi="Arial"/>
          <w:sz w:val="22"/>
          <w:lang w:val="cs-CZ"/>
        </w:rPr>
        <w:t xml:space="preserve">Program </w:t>
      </w:r>
      <w:proofErr w:type="spellStart"/>
      <w:r w:rsidR="00624872">
        <w:rPr>
          <w:rFonts w:ascii="Arial" w:hAnsi="Arial"/>
          <w:sz w:val="22"/>
          <w:lang w:val="cs-CZ"/>
        </w:rPr>
        <w:t>MZe</w:t>
      </w:r>
      <w:proofErr w:type="spellEnd"/>
      <w:r w:rsidR="00624872">
        <w:rPr>
          <w:rFonts w:ascii="Arial" w:hAnsi="Arial"/>
          <w:sz w:val="22"/>
          <w:lang w:val="cs-CZ"/>
        </w:rPr>
        <w:t xml:space="preserve"> </w:t>
      </w:r>
      <w:r w:rsidRPr="0010449B">
        <w:rPr>
          <w:rFonts w:ascii="Arial" w:hAnsi="Arial"/>
          <w:sz w:val="22"/>
          <w:lang w:val="cs-CZ"/>
        </w:rPr>
        <w:t xml:space="preserve">129 280 </w:t>
      </w:r>
      <w:r w:rsidR="00624872">
        <w:rPr>
          <w:rFonts w:ascii="Arial" w:hAnsi="Arial"/>
          <w:sz w:val="22"/>
          <w:lang w:val="cs-CZ"/>
        </w:rPr>
        <w:t>„</w:t>
      </w:r>
      <w:r w:rsidRPr="0010449B">
        <w:rPr>
          <w:rFonts w:ascii="Arial" w:hAnsi="Arial"/>
          <w:sz w:val="22"/>
          <w:lang w:val="cs-CZ"/>
        </w:rPr>
        <w:t>Podpora retence vody v krajině – rybníky a vodní nádrže</w:t>
      </w:r>
      <w:r w:rsidR="00187DC5">
        <w:rPr>
          <w:rFonts w:ascii="Arial" w:hAnsi="Arial"/>
          <w:sz w:val="22"/>
          <w:lang w:val="cs-CZ"/>
        </w:rPr>
        <w:t>“</w:t>
      </w:r>
      <w:r w:rsidRPr="0010449B">
        <w:rPr>
          <w:rFonts w:ascii="Arial" w:hAnsi="Arial"/>
          <w:sz w:val="22"/>
          <w:lang w:val="cs-CZ"/>
        </w:rPr>
        <w:t xml:space="preserve"> byl spuštěn koncem</w:t>
      </w:r>
      <w:r w:rsidR="005B3863" w:rsidRPr="0010449B">
        <w:rPr>
          <w:rFonts w:ascii="Arial" w:hAnsi="Arial"/>
          <w:sz w:val="22"/>
          <w:lang w:val="cs-CZ"/>
        </w:rPr>
        <w:t xml:space="preserve"> roku 201</w:t>
      </w:r>
      <w:r w:rsidRPr="0010449B">
        <w:rPr>
          <w:rFonts w:ascii="Arial" w:hAnsi="Arial"/>
          <w:sz w:val="22"/>
          <w:lang w:val="cs-CZ"/>
        </w:rPr>
        <w:t xml:space="preserve">6. </w:t>
      </w:r>
      <w:r w:rsidR="00891894" w:rsidRPr="0010449B">
        <w:rPr>
          <w:rFonts w:ascii="Arial" w:hAnsi="Arial"/>
          <w:sz w:val="22"/>
          <w:lang w:val="cs-CZ"/>
        </w:rPr>
        <w:t xml:space="preserve">Do 31. 12. 2020 proběhly </w:t>
      </w:r>
      <w:r w:rsidR="00624872">
        <w:rPr>
          <w:rFonts w:ascii="Arial" w:hAnsi="Arial"/>
          <w:sz w:val="22"/>
          <w:lang w:val="cs-CZ"/>
        </w:rPr>
        <w:t>čtyři</w:t>
      </w:r>
      <w:r w:rsidR="00624872" w:rsidRPr="0010449B">
        <w:rPr>
          <w:rFonts w:ascii="Arial" w:hAnsi="Arial"/>
          <w:sz w:val="22"/>
          <w:lang w:val="cs-CZ"/>
        </w:rPr>
        <w:t xml:space="preserve"> </w:t>
      </w:r>
      <w:r w:rsidR="00891894" w:rsidRPr="0010449B">
        <w:rPr>
          <w:rFonts w:ascii="Arial" w:hAnsi="Arial"/>
          <w:sz w:val="22"/>
          <w:lang w:val="cs-CZ"/>
        </w:rPr>
        <w:t>Výzvy k podání žádostí o podporu</w:t>
      </w:r>
      <w:r w:rsidRPr="0010449B">
        <w:rPr>
          <w:rFonts w:ascii="Arial" w:hAnsi="Arial"/>
          <w:sz w:val="22"/>
          <w:lang w:val="cs-CZ"/>
        </w:rPr>
        <w:t xml:space="preserve">. Realizace akcí probíhá </w:t>
      </w:r>
      <w:r w:rsidR="00891894" w:rsidRPr="0010449B">
        <w:rPr>
          <w:rFonts w:ascii="Arial" w:hAnsi="Arial"/>
          <w:sz w:val="22"/>
          <w:lang w:val="cs-CZ"/>
        </w:rPr>
        <w:t>průběžně.</w:t>
      </w:r>
      <w:r w:rsidRPr="0010449B">
        <w:rPr>
          <w:rFonts w:ascii="Arial" w:hAnsi="Arial"/>
          <w:sz w:val="22"/>
          <w:lang w:val="cs-CZ"/>
        </w:rPr>
        <w:t xml:space="preserve"> </w:t>
      </w:r>
      <w:r w:rsidR="006B1587" w:rsidRPr="0010449B">
        <w:rPr>
          <w:rFonts w:ascii="Arial" w:hAnsi="Arial"/>
          <w:sz w:val="22"/>
        </w:rPr>
        <w:t>V </w:t>
      </w:r>
      <w:r w:rsidR="00891894" w:rsidRPr="0010449B">
        <w:rPr>
          <w:rFonts w:ascii="Arial" w:hAnsi="Arial"/>
          <w:sz w:val="22"/>
          <w:lang w:val="cs-CZ"/>
        </w:rPr>
        <w:t>letech 2018–2020</w:t>
      </w:r>
      <w:r w:rsidR="006B1587" w:rsidRPr="0010449B">
        <w:rPr>
          <w:rFonts w:ascii="Arial" w:hAnsi="Arial"/>
          <w:sz w:val="22"/>
        </w:rPr>
        <w:t xml:space="preserve"> byly čerpány finanční prostředky</w:t>
      </w:r>
      <w:r w:rsidR="00257E9D">
        <w:rPr>
          <w:rFonts w:ascii="Arial" w:hAnsi="Arial"/>
          <w:sz w:val="22"/>
          <w:lang w:val="cs-CZ"/>
        </w:rPr>
        <w:t xml:space="preserve"> v celkové výši 543,9 mil. Kč, z toho ze</w:t>
      </w:r>
      <w:r w:rsidR="006B1587" w:rsidRPr="0010449B">
        <w:rPr>
          <w:rFonts w:ascii="Arial" w:hAnsi="Arial"/>
          <w:sz w:val="22"/>
        </w:rPr>
        <w:t xml:space="preserve"> státního rozpočtu ve výši </w:t>
      </w:r>
      <w:r w:rsidR="00891894" w:rsidRPr="0010449B">
        <w:rPr>
          <w:rFonts w:ascii="Arial" w:hAnsi="Arial"/>
          <w:sz w:val="22"/>
          <w:lang w:val="cs-CZ"/>
        </w:rPr>
        <w:t>425,5</w:t>
      </w:r>
      <w:r w:rsidR="00F613F1" w:rsidRPr="0010449B">
        <w:rPr>
          <w:rFonts w:ascii="Arial" w:hAnsi="Arial"/>
          <w:sz w:val="22"/>
        </w:rPr>
        <w:t xml:space="preserve"> </w:t>
      </w:r>
      <w:r w:rsidR="006B1587" w:rsidRPr="0010449B">
        <w:rPr>
          <w:rFonts w:ascii="Arial" w:hAnsi="Arial"/>
          <w:sz w:val="22"/>
        </w:rPr>
        <w:t>mil. Kč</w:t>
      </w:r>
      <w:r w:rsidR="00257E9D">
        <w:rPr>
          <w:rFonts w:ascii="Arial" w:hAnsi="Arial"/>
          <w:sz w:val="22"/>
          <w:lang w:val="cs-CZ"/>
        </w:rPr>
        <w:t xml:space="preserve"> </w:t>
      </w:r>
      <w:r w:rsidR="00257E9D" w:rsidRPr="00257E9D">
        <w:rPr>
          <w:rFonts w:ascii="Arial" w:hAnsi="Arial"/>
          <w:sz w:val="22"/>
          <w:lang w:val="cs-CZ"/>
        </w:rPr>
        <w:t>a 118,4 mil. Kč z vlastních zdrojů</w:t>
      </w:r>
      <w:r w:rsidR="006B1587" w:rsidRPr="0010449B">
        <w:rPr>
          <w:rFonts w:ascii="Arial" w:hAnsi="Arial"/>
          <w:sz w:val="22"/>
        </w:rPr>
        <w:t xml:space="preserve">. </w:t>
      </w:r>
    </w:p>
    <w:p w14:paraId="32C6ED27" w14:textId="77777777" w:rsidR="00337394" w:rsidRPr="00FD6BE1" w:rsidRDefault="00337394" w:rsidP="00337394">
      <w:pPr>
        <w:pStyle w:val="Zkladntextodsazen"/>
        <w:ind w:firstLine="0"/>
        <w:rPr>
          <w:rFonts w:ascii="Arial" w:hAnsi="Arial" w:cs="Arial"/>
          <w:sz w:val="22"/>
          <w:szCs w:val="22"/>
          <w:lang w:val="cs-CZ"/>
        </w:rPr>
      </w:pPr>
    </w:p>
    <w:p w14:paraId="0E68B29E" w14:textId="20DC713F" w:rsidR="00E95AD2" w:rsidRDefault="00187DC5" w:rsidP="003373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461BA">
        <w:rPr>
          <w:rFonts w:ascii="Arial" w:hAnsi="Arial" w:cs="Arial"/>
          <w:sz w:val="22"/>
          <w:szCs w:val="22"/>
        </w:rPr>
        <w:t xml:space="preserve">elkové náklady programů zaměřených na prevenci před povodněmi </w:t>
      </w:r>
      <w:r>
        <w:rPr>
          <w:rFonts w:ascii="Arial" w:hAnsi="Arial" w:cs="Arial"/>
          <w:sz w:val="22"/>
          <w:szCs w:val="22"/>
        </w:rPr>
        <w:t>v</w:t>
      </w:r>
      <w:r w:rsidRPr="00B461BA">
        <w:rPr>
          <w:rFonts w:ascii="Arial" w:hAnsi="Arial" w:cs="Arial"/>
          <w:sz w:val="22"/>
          <w:szCs w:val="22"/>
        </w:rPr>
        <w:t> </w:t>
      </w:r>
      <w:r w:rsidR="00123FBA" w:rsidRPr="00B461BA">
        <w:rPr>
          <w:rFonts w:ascii="Arial" w:hAnsi="Arial" w:cs="Arial"/>
          <w:sz w:val="22"/>
          <w:szCs w:val="22"/>
        </w:rPr>
        <w:t>gesci</w:t>
      </w:r>
      <w:r w:rsidR="005B3EBC" w:rsidRPr="00B461B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B171B">
        <w:rPr>
          <w:rFonts w:ascii="Arial" w:hAnsi="Arial" w:cs="Arial"/>
          <w:sz w:val="22"/>
          <w:szCs w:val="22"/>
        </w:rPr>
        <w:t>MZe</w:t>
      </w:r>
      <w:proofErr w:type="spellEnd"/>
      <w:r w:rsidR="001B171B">
        <w:rPr>
          <w:rFonts w:ascii="Arial" w:hAnsi="Arial" w:cs="Arial"/>
          <w:sz w:val="22"/>
          <w:szCs w:val="22"/>
        </w:rPr>
        <w:t xml:space="preserve"> </w:t>
      </w:r>
      <w:r w:rsidRPr="00B461BA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 xml:space="preserve">sledované </w:t>
      </w:r>
      <w:r w:rsidRPr="00B461BA">
        <w:rPr>
          <w:rFonts w:ascii="Arial" w:hAnsi="Arial" w:cs="Arial"/>
          <w:sz w:val="22"/>
          <w:szCs w:val="22"/>
        </w:rPr>
        <w:t>období 201</w:t>
      </w:r>
      <w:r>
        <w:rPr>
          <w:rFonts w:ascii="Arial" w:hAnsi="Arial" w:cs="Arial"/>
          <w:sz w:val="22"/>
          <w:szCs w:val="22"/>
        </w:rPr>
        <w:t>8</w:t>
      </w:r>
      <w:r w:rsidRPr="00B461BA">
        <w:rPr>
          <w:rFonts w:ascii="Arial" w:hAnsi="Arial" w:cs="Arial"/>
          <w:sz w:val="22"/>
          <w:szCs w:val="22"/>
        </w:rPr>
        <w:t xml:space="preserve">–2020 </w:t>
      </w:r>
      <w:r w:rsidR="001B171B">
        <w:rPr>
          <w:rFonts w:ascii="Arial" w:hAnsi="Arial" w:cs="Arial"/>
          <w:sz w:val="22"/>
          <w:szCs w:val="22"/>
        </w:rPr>
        <w:t xml:space="preserve">představovaly částku </w:t>
      </w:r>
      <w:r>
        <w:rPr>
          <w:rFonts w:ascii="Arial" w:hAnsi="Arial" w:cs="Arial"/>
          <w:sz w:val="22"/>
          <w:szCs w:val="22"/>
        </w:rPr>
        <w:t>2,62 ml</w:t>
      </w:r>
      <w:r w:rsidR="001024E2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. Kč ze státního rozpočtu. Vzhledem k tomu, že </w:t>
      </w:r>
      <w:r w:rsidR="001024E2">
        <w:rPr>
          <w:rFonts w:ascii="Arial" w:hAnsi="Arial" w:cs="Arial"/>
          <w:sz w:val="22"/>
          <w:szCs w:val="22"/>
        </w:rPr>
        <w:t xml:space="preserve">v rámci programu </w:t>
      </w:r>
      <w:proofErr w:type="spellStart"/>
      <w:r w:rsidR="001024E2">
        <w:rPr>
          <w:rFonts w:ascii="Arial" w:hAnsi="Arial" w:cs="Arial"/>
          <w:sz w:val="22"/>
          <w:szCs w:val="22"/>
        </w:rPr>
        <w:t>MZe</w:t>
      </w:r>
      <w:proofErr w:type="spellEnd"/>
      <w:r w:rsidR="001024E2">
        <w:rPr>
          <w:rFonts w:ascii="Arial" w:hAnsi="Arial" w:cs="Arial"/>
          <w:sz w:val="22"/>
          <w:szCs w:val="22"/>
        </w:rPr>
        <w:t xml:space="preserve"> 129 280 ještě nebylo dokončeno </w:t>
      </w:r>
      <w:r>
        <w:rPr>
          <w:rFonts w:ascii="Arial" w:hAnsi="Arial" w:cs="Arial"/>
          <w:sz w:val="22"/>
          <w:szCs w:val="22"/>
        </w:rPr>
        <w:t xml:space="preserve">závěrečné vyhodnocení akcí u všech akcí a použité vlastní zdroje budou průběžně doplňovány, přesné údaje o čerpání </w:t>
      </w:r>
      <w:r w:rsidR="001024E2">
        <w:rPr>
          <w:rFonts w:ascii="Arial" w:hAnsi="Arial" w:cs="Arial"/>
          <w:sz w:val="22"/>
          <w:szCs w:val="22"/>
        </w:rPr>
        <w:t xml:space="preserve">za sledované období </w:t>
      </w:r>
      <w:r>
        <w:rPr>
          <w:rFonts w:ascii="Arial" w:hAnsi="Arial" w:cs="Arial"/>
          <w:sz w:val="22"/>
          <w:szCs w:val="22"/>
        </w:rPr>
        <w:t>ještě nejsou známy.</w:t>
      </w:r>
      <w:r w:rsidR="001B171B" w:rsidRPr="00B461BA">
        <w:rPr>
          <w:rFonts w:ascii="Arial" w:hAnsi="Arial" w:cs="Arial"/>
          <w:sz w:val="22"/>
          <w:szCs w:val="22"/>
        </w:rPr>
        <w:t xml:space="preserve"> </w:t>
      </w:r>
    </w:p>
    <w:p w14:paraId="43F133C3" w14:textId="77777777" w:rsidR="00337394" w:rsidRDefault="00337394" w:rsidP="00337394">
      <w:pPr>
        <w:jc w:val="both"/>
        <w:rPr>
          <w:rFonts w:ascii="Arial" w:hAnsi="Arial" w:cs="Arial"/>
          <w:sz w:val="22"/>
          <w:szCs w:val="22"/>
        </w:rPr>
      </w:pPr>
    </w:p>
    <w:p w14:paraId="67A3026D" w14:textId="71A01B13" w:rsidR="008A5CBE" w:rsidRDefault="00366EC5" w:rsidP="00337394">
      <w:pPr>
        <w:pStyle w:val="Zkladntextodsazen"/>
        <w:tabs>
          <w:tab w:val="left" w:pos="-1620"/>
        </w:tabs>
        <w:ind w:firstLine="0"/>
        <w:rPr>
          <w:rFonts w:ascii="Arial" w:hAnsi="Arial"/>
          <w:sz w:val="22"/>
          <w:lang w:val="cs-CZ"/>
        </w:rPr>
      </w:pPr>
      <w:r>
        <w:rPr>
          <w:rFonts w:ascii="Arial" w:hAnsi="Arial"/>
          <w:sz w:val="22"/>
          <w:lang w:val="cs-CZ"/>
        </w:rPr>
        <w:t>MŽP</w:t>
      </w:r>
      <w:r w:rsidR="00122ECC" w:rsidRPr="00B461BA">
        <w:rPr>
          <w:rFonts w:ascii="Arial" w:hAnsi="Arial"/>
          <w:sz w:val="22"/>
          <w:lang w:val="cs-CZ"/>
        </w:rPr>
        <w:t xml:space="preserve"> </w:t>
      </w:r>
      <w:r w:rsidR="00B75F5A" w:rsidRPr="00B461BA">
        <w:rPr>
          <w:rFonts w:ascii="Arial" w:hAnsi="Arial"/>
          <w:sz w:val="22"/>
          <w:lang w:val="cs-CZ"/>
        </w:rPr>
        <w:t xml:space="preserve">využívá pro </w:t>
      </w:r>
      <w:r w:rsidR="004534BE">
        <w:rPr>
          <w:rFonts w:ascii="Arial" w:hAnsi="Arial"/>
          <w:sz w:val="22"/>
          <w:lang w:val="cs-CZ"/>
        </w:rPr>
        <w:t xml:space="preserve">podporu </w:t>
      </w:r>
      <w:r w:rsidR="004534BE" w:rsidRPr="00B36D29">
        <w:rPr>
          <w:rFonts w:ascii="Arial" w:hAnsi="Arial"/>
          <w:sz w:val="22"/>
        </w:rPr>
        <w:t>realizac</w:t>
      </w:r>
      <w:r w:rsidR="004534BE">
        <w:rPr>
          <w:rFonts w:ascii="Arial" w:hAnsi="Arial"/>
          <w:sz w:val="22"/>
          <w:lang w:val="cs-CZ"/>
        </w:rPr>
        <w:t>e protipovodňových opatření</w:t>
      </w:r>
      <w:r w:rsidR="00B75F5A" w:rsidRPr="00B461BA" w:rsidDel="00650E3E">
        <w:rPr>
          <w:rFonts w:ascii="Arial" w:hAnsi="Arial"/>
          <w:sz w:val="22"/>
          <w:lang w:val="cs-CZ"/>
        </w:rPr>
        <w:t xml:space="preserve"> </w:t>
      </w:r>
      <w:r w:rsidR="00BA6B15" w:rsidRPr="00B461BA">
        <w:rPr>
          <w:rFonts w:ascii="Arial" w:hAnsi="Arial"/>
          <w:sz w:val="22"/>
          <w:lang w:val="cs-CZ"/>
        </w:rPr>
        <w:t>jak</w:t>
      </w:r>
      <w:r w:rsidR="00122ECC" w:rsidRPr="00B461BA">
        <w:rPr>
          <w:rFonts w:ascii="Arial" w:hAnsi="Arial"/>
          <w:sz w:val="22"/>
          <w:lang w:val="cs-CZ"/>
        </w:rPr>
        <w:t xml:space="preserve"> </w:t>
      </w:r>
      <w:r w:rsidR="004534BE">
        <w:rPr>
          <w:rFonts w:ascii="Arial" w:hAnsi="Arial"/>
          <w:sz w:val="22"/>
          <w:lang w:val="cs-CZ"/>
        </w:rPr>
        <w:t>evropských</w:t>
      </w:r>
      <w:r w:rsidR="00BA6B15" w:rsidRPr="00B461BA">
        <w:rPr>
          <w:rFonts w:ascii="Arial" w:hAnsi="Arial"/>
          <w:sz w:val="22"/>
          <w:lang w:val="cs-CZ"/>
        </w:rPr>
        <w:t>, tak i</w:t>
      </w:r>
      <w:r w:rsidR="00122ECC" w:rsidRPr="00B461BA">
        <w:rPr>
          <w:rFonts w:ascii="Arial" w:hAnsi="Arial"/>
          <w:sz w:val="22"/>
          <w:lang w:val="cs-CZ"/>
        </w:rPr>
        <w:t xml:space="preserve"> </w:t>
      </w:r>
      <w:r w:rsidR="004534BE">
        <w:rPr>
          <w:rFonts w:ascii="Arial" w:hAnsi="Arial"/>
          <w:sz w:val="22"/>
          <w:lang w:val="cs-CZ"/>
        </w:rPr>
        <w:t>národních dotačních titulů</w:t>
      </w:r>
      <w:r w:rsidR="00122ECC" w:rsidRPr="00B461BA">
        <w:rPr>
          <w:rFonts w:ascii="Arial" w:hAnsi="Arial"/>
          <w:sz w:val="22"/>
          <w:lang w:val="cs-CZ"/>
        </w:rPr>
        <w:t xml:space="preserve">. </w:t>
      </w:r>
      <w:r w:rsidR="00122ECC" w:rsidRPr="001024E2">
        <w:rPr>
          <w:rFonts w:ascii="Arial" w:hAnsi="Arial"/>
          <w:sz w:val="22"/>
          <w:lang w:val="cs-CZ"/>
        </w:rPr>
        <w:t xml:space="preserve">V rámci programu </w:t>
      </w:r>
      <w:r w:rsidR="001024E2" w:rsidRPr="001024E2">
        <w:rPr>
          <w:rFonts w:ascii="Arial" w:hAnsi="Arial"/>
          <w:sz w:val="22"/>
          <w:lang w:val="cs-CZ"/>
        </w:rPr>
        <w:t>„</w:t>
      </w:r>
      <w:r w:rsidR="00122ECC" w:rsidRPr="001024E2">
        <w:rPr>
          <w:rFonts w:ascii="Arial" w:hAnsi="Arial"/>
          <w:sz w:val="22"/>
          <w:lang w:val="cs-CZ"/>
        </w:rPr>
        <w:t>Operační program Životní prostředí 2014–2020</w:t>
      </w:r>
      <w:r w:rsidR="001024E2" w:rsidRPr="001024E2">
        <w:rPr>
          <w:rFonts w:ascii="Arial" w:hAnsi="Arial"/>
          <w:sz w:val="22"/>
          <w:lang w:val="cs-CZ"/>
        </w:rPr>
        <w:t>“</w:t>
      </w:r>
      <w:r w:rsidR="00122ECC" w:rsidRPr="001024E2">
        <w:rPr>
          <w:rFonts w:ascii="Arial" w:hAnsi="Arial"/>
          <w:sz w:val="22"/>
          <w:lang w:val="cs-CZ"/>
        </w:rPr>
        <w:t xml:space="preserve"> </w:t>
      </w:r>
      <w:r w:rsidR="004534BE">
        <w:rPr>
          <w:rFonts w:ascii="Arial" w:hAnsi="Arial"/>
          <w:sz w:val="22"/>
          <w:lang w:val="cs-CZ"/>
        </w:rPr>
        <w:t xml:space="preserve">byly </w:t>
      </w:r>
      <w:r w:rsidR="00122ECC" w:rsidRPr="001024E2">
        <w:rPr>
          <w:rFonts w:ascii="Arial" w:hAnsi="Arial"/>
          <w:sz w:val="22"/>
          <w:lang w:val="cs-CZ"/>
        </w:rPr>
        <w:t xml:space="preserve">na povodňovou ochranu </w:t>
      </w:r>
      <w:r w:rsidR="004534BE">
        <w:rPr>
          <w:rFonts w:ascii="Arial" w:hAnsi="Arial"/>
          <w:sz w:val="22"/>
          <w:lang w:val="cs-CZ"/>
        </w:rPr>
        <w:t>v období 2018</w:t>
      </w:r>
      <w:r w:rsidR="004534BE" w:rsidRPr="00EB0F0C">
        <w:rPr>
          <w:rFonts w:ascii="Arial" w:hAnsi="Arial" w:cs="Arial"/>
          <w:sz w:val="22"/>
          <w:szCs w:val="22"/>
        </w:rPr>
        <w:t>–</w:t>
      </w:r>
      <w:r w:rsidR="00122ECC" w:rsidRPr="001024E2">
        <w:rPr>
          <w:rFonts w:ascii="Arial" w:hAnsi="Arial"/>
          <w:sz w:val="22"/>
          <w:lang w:val="cs-CZ"/>
        </w:rPr>
        <w:t>20</w:t>
      </w:r>
      <w:r w:rsidR="00676081" w:rsidRPr="001024E2">
        <w:rPr>
          <w:rFonts w:ascii="Arial" w:hAnsi="Arial"/>
          <w:sz w:val="22"/>
          <w:lang w:val="cs-CZ"/>
        </w:rPr>
        <w:t>20</w:t>
      </w:r>
      <w:r w:rsidR="00122ECC" w:rsidRPr="001024E2">
        <w:rPr>
          <w:rFonts w:ascii="Arial" w:hAnsi="Arial"/>
          <w:sz w:val="22"/>
          <w:lang w:val="cs-CZ"/>
        </w:rPr>
        <w:t xml:space="preserve"> schváleny </w:t>
      </w:r>
      <w:r w:rsidR="004534BE">
        <w:rPr>
          <w:rFonts w:ascii="Arial" w:hAnsi="Arial"/>
          <w:sz w:val="22"/>
          <w:lang w:val="cs-CZ"/>
        </w:rPr>
        <w:t xml:space="preserve">projekty pro specifický cíl 1.3 a 1.4 v celkové výši </w:t>
      </w:r>
      <w:r w:rsidR="007003EC">
        <w:rPr>
          <w:rFonts w:ascii="Arial" w:hAnsi="Arial"/>
          <w:sz w:val="22"/>
          <w:lang w:val="cs-CZ"/>
        </w:rPr>
        <w:t>2,24</w:t>
      </w:r>
      <w:r w:rsidR="004534BE">
        <w:rPr>
          <w:rFonts w:ascii="Arial" w:hAnsi="Arial"/>
          <w:sz w:val="22"/>
          <w:lang w:val="cs-CZ"/>
        </w:rPr>
        <w:t xml:space="preserve"> mld. Kč</w:t>
      </w:r>
      <w:r w:rsidR="00D84787">
        <w:rPr>
          <w:rFonts w:ascii="Arial" w:hAnsi="Arial"/>
          <w:sz w:val="22"/>
          <w:lang w:val="cs-CZ"/>
        </w:rPr>
        <w:t>, z</w:t>
      </w:r>
      <w:r w:rsidR="004534BE">
        <w:rPr>
          <w:rFonts w:ascii="Arial" w:hAnsi="Arial"/>
          <w:sz w:val="22"/>
          <w:lang w:val="cs-CZ"/>
        </w:rPr>
        <w:t xml:space="preserve"> toho </w:t>
      </w:r>
      <w:r w:rsidR="00122ECC" w:rsidRPr="001024E2">
        <w:rPr>
          <w:rFonts w:ascii="Arial" w:hAnsi="Arial"/>
          <w:sz w:val="22"/>
          <w:lang w:val="cs-CZ"/>
        </w:rPr>
        <w:t xml:space="preserve">finanční prostředky Evropské unie </w:t>
      </w:r>
      <w:r w:rsidR="00D84787">
        <w:rPr>
          <w:rFonts w:ascii="Arial" w:hAnsi="Arial"/>
          <w:sz w:val="22"/>
          <w:lang w:val="cs-CZ"/>
        </w:rPr>
        <w:t>činily</w:t>
      </w:r>
      <w:r w:rsidR="004534BE">
        <w:rPr>
          <w:rFonts w:ascii="Arial" w:hAnsi="Arial"/>
          <w:sz w:val="22"/>
          <w:lang w:val="cs-CZ"/>
        </w:rPr>
        <w:t xml:space="preserve"> </w:t>
      </w:r>
      <w:r w:rsidR="007003EC">
        <w:rPr>
          <w:rFonts w:ascii="Arial" w:hAnsi="Arial"/>
          <w:sz w:val="22"/>
          <w:lang w:val="cs-CZ"/>
        </w:rPr>
        <w:t>1,74</w:t>
      </w:r>
      <w:r w:rsidR="004534BE">
        <w:rPr>
          <w:rFonts w:ascii="Arial" w:hAnsi="Arial"/>
          <w:sz w:val="22"/>
          <w:lang w:val="cs-CZ"/>
        </w:rPr>
        <w:t xml:space="preserve"> </w:t>
      </w:r>
      <w:r w:rsidR="00122ECC" w:rsidRPr="00366EC5">
        <w:rPr>
          <w:rFonts w:ascii="Arial" w:hAnsi="Arial"/>
          <w:sz w:val="22"/>
          <w:lang w:val="cs-CZ"/>
        </w:rPr>
        <w:t xml:space="preserve">mld. </w:t>
      </w:r>
      <w:r w:rsidR="008A5CBE" w:rsidRPr="00366EC5">
        <w:rPr>
          <w:rFonts w:ascii="Arial" w:hAnsi="Arial"/>
          <w:sz w:val="22"/>
          <w:lang w:val="cs-CZ"/>
        </w:rPr>
        <w:t>Kč</w:t>
      </w:r>
      <w:r w:rsidR="004534BE">
        <w:rPr>
          <w:rFonts w:ascii="Arial" w:hAnsi="Arial"/>
          <w:sz w:val="22"/>
          <w:lang w:val="cs-CZ"/>
        </w:rPr>
        <w:t>.</w:t>
      </w:r>
      <w:r w:rsidR="008A5CBE" w:rsidRPr="00366EC5">
        <w:rPr>
          <w:rFonts w:ascii="Arial" w:hAnsi="Arial"/>
          <w:sz w:val="22"/>
          <w:lang w:val="cs-CZ"/>
        </w:rPr>
        <w:t xml:space="preserve"> </w:t>
      </w:r>
      <w:r w:rsidR="00D84787">
        <w:rPr>
          <w:rFonts w:ascii="Arial" w:hAnsi="Arial"/>
          <w:sz w:val="22"/>
          <w:lang w:val="cs-CZ"/>
        </w:rPr>
        <w:t xml:space="preserve">Jednalo se o </w:t>
      </w:r>
      <w:r w:rsidR="007003EC">
        <w:rPr>
          <w:rFonts w:ascii="Arial" w:hAnsi="Arial"/>
          <w:sz w:val="22"/>
          <w:lang w:val="cs-CZ"/>
        </w:rPr>
        <w:t xml:space="preserve">524 </w:t>
      </w:r>
      <w:r w:rsidR="008A5CBE" w:rsidRPr="00366EC5">
        <w:rPr>
          <w:rFonts w:ascii="Arial" w:hAnsi="Arial"/>
          <w:sz w:val="22"/>
          <w:lang w:val="cs-CZ"/>
        </w:rPr>
        <w:t>projektů</w:t>
      </w:r>
      <w:r w:rsidR="00D84787">
        <w:rPr>
          <w:rFonts w:ascii="Arial" w:hAnsi="Arial"/>
          <w:sz w:val="22"/>
          <w:lang w:val="cs-CZ"/>
        </w:rPr>
        <w:t xml:space="preserve">. Pro </w:t>
      </w:r>
      <w:r w:rsidR="00122ECC" w:rsidRPr="00366EC5">
        <w:rPr>
          <w:rFonts w:ascii="Arial" w:hAnsi="Arial"/>
          <w:sz w:val="22"/>
          <w:lang w:val="cs-CZ"/>
        </w:rPr>
        <w:t xml:space="preserve">specifický cíl 4.3 </w:t>
      </w:r>
      <w:r w:rsidR="00D84787">
        <w:rPr>
          <w:rFonts w:ascii="Arial" w:hAnsi="Arial"/>
          <w:sz w:val="22"/>
          <w:lang w:val="cs-CZ"/>
        </w:rPr>
        <w:t>byly v období 2018</w:t>
      </w:r>
      <w:r w:rsidR="00D84787" w:rsidRPr="00EB0F0C">
        <w:rPr>
          <w:rFonts w:ascii="Arial" w:hAnsi="Arial" w:cs="Arial"/>
          <w:sz w:val="22"/>
          <w:szCs w:val="22"/>
        </w:rPr>
        <w:t>–</w:t>
      </w:r>
      <w:r w:rsidR="00D84787" w:rsidRPr="001024E2">
        <w:rPr>
          <w:rFonts w:ascii="Arial" w:hAnsi="Arial"/>
          <w:sz w:val="22"/>
          <w:lang w:val="cs-CZ"/>
        </w:rPr>
        <w:t xml:space="preserve">2020 </w:t>
      </w:r>
      <w:r w:rsidR="00D84787">
        <w:rPr>
          <w:rFonts w:ascii="Arial" w:hAnsi="Arial"/>
          <w:sz w:val="22"/>
          <w:lang w:val="cs-CZ"/>
        </w:rPr>
        <w:t xml:space="preserve">schváleny projekty </w:t>
      </w:r>
      <w:r w:rsidR="00122ECC" w:rsidRPr="00366EC5">
        <w:rPr>
          <w:rFonts w:ascii="Arial" w:hAnsi="Arial"/>
          <w:sz w:val="22"/>
          <w:lang w:val="cs-CZ"/>
        </w:rPr>
        <w:t xml:space="preserve">ve výši </w:t>
      </w:r>
      <w:r w:rsidR="00D84787">
        <w:rPr>
          <w:rFonts w:ascii="Arial" w:hAnsi="Arial"/>
          <w:sz w:val="22"/>
          <w:lang w:val="cs-CZ"/>
        </w:rPr>
        <w:t>4,42</w:t>
      </w:r>
      <w:r w:rsidR="00122ECC" w:rsidRPr="00366EC5">
        <w:rPr>
          <w:rFonts w:ascii="Arial" w:hAnsi="Arial"/>
          <w:sz w:val="22"/>
          <w:lang w:val="cs-CZ"/>
        </w:rPr>
        <w:t xml:space="preserve"> ml</w:t>
      </w:r>
      <w:r w:rsidR="00D84787">
        <w:rPr>
          <w:rFonts w:ascii="Arial" w:hAnsi="Arial"/>
          <w:sz w:val="22"/>
          <w:lang w:val="cs-CZ"/>
        </w:rPr>
        <w:t>d</w:t>
      </w:r>
      <w:r w:rsidR="00122ECC" w:rsidRPr="00366EC5">
        <w:rPr>
          <w:rFonts w:ascii="Arial" w:hAnsi="Arial"/>
          <w:sz w:val="22"/>
          <w:lang w:val="cs-CZ"/>
        </w:rPr>
        <w:t>. Kč</w:t>
      </w:r>
      <w:r w:rsidR="00D84787">
        <w:rPr>
          <w:rFonts w:ascii="Arial" w:hAnsi="Arial"/>
          <w:sz w:val="22"/>
          <w:lang w:val="cs-CZ"/>
        </w:rPr>
        <w:t xml:space="preserve">, z toho finanční prostředky </w:t>
      </w:r>
      <w:r w:rsidR="005779CD">
        <w:rPr>
          <w:rFonts w:ascii="Arial" w:hAnsi="Arial"/>
          <w:sz w:val="22"/>
          <w:lang w:val="cs-CZ"/>
        </w:rPr>
        <w:t>E</w:t>
      </w:r>
      <w:r w:rsidR="00D84787">
        <w:rPr>
          <w:rFonts w:ascii="Arial" w:hAnsi="Arial"/>
          <w:sz w:val="22"/>
          <w:lang w:val="cs-CZ"/>
        </w:rPr>
        <w:t>vropské unie činily 4,09 mld. Kč. S</w:t>
      </w:r>
      <w:r w:rsidR="008A5CBE" w:rsidRPr="00366EC5">
        <w:rPr>
          <w:rFonts w:ascii="Arial" w:hAnsi="Arial"/>
          <w:sz w:val="22"/>
          <w:lang w:val="cs-CZ"/>
        </w:rPr>
        <w:t xml:space="preserve">chváleno bylo celkem </w:t>
      </w:r>
      <w:r w:rsidR="00D84787">
        <w:rPr>
          <w:rFonts w:ascii="Arial" w:hAnsi="Arial"/>
          <w:sz w:val="22"/>
          <w:lang w:val="cs-CZ"/>
        </w:rPr>
        <w:t>847</w:t>
      </w:r>
      <w:r w:rsidR="008A5CBE" w:rsidRPr="00366EC5">
        <w:rPr>
          <w:rFonts w:ascii="Arial" w:hAnsi="Arial"/>
          <w:sz w:val="22"/>
          <w:lang w:val="cs-CZ"/>
        </w:rPr>
        <w:t xml:space="preserve"> projektů. </w:t>
      </w:r>
    </w:p>
    <w:p w14:paraId="2586F58F" w14:textId="77777777" w:rsidR="00337394" w:rsidRPr="00366EC5" w:rsidRDefault="00337394" w:rsidP="00337394">
      <w:pPr>
        <w:pStyle w:val="Zkladntextodsazen"/>
        <w:tabs>
          <w:tab w:val="left" w:pos="-1620"/>
        </w:tabs>
        <w:ind w:firstLine="0"/>
        <w:rPr>
          <w:rFonts w:ascii="Arial" w:hAnsi="Arial"/>
          <w:sz w:val="22"/>
          <w:lang w:val="cs-CZ"/>
        </w:rPr>
      </w:pPr>
    </w:p>
    <w:p w14:paraId="73A10D79" w14:textId="7297F94F" w:rsidR="00122ECC" w:rsidRDefault="00122ECC" w:rsidP="00337394">
      <w:pPr>
        <w:pStyle w:val="Zkladntextodsazen"/>
        <w:tabs>
          <w:tab w:val="left" w:pos="-1620"/>
        </w:tabs>
        <w:ind w:firstLine="0"/>
        <w:rPr>
          <w:rFonts w:ascii="Arial" w:hAnsi="Arial"/>
          <w:sz w:val="22"/>
          <w:lang w:val="cs-CZ"/>
        </w:rPr>
      </w:pPr>
      <w:r w:rsidRPr="00366EC5">
        <w:rPr>
          <w:rFonts w:ascii="Arial" w:hAnsi="Arial"/>
          <w:sz w:val="22"/>
          <w:lang w:val="cs-CZ"/>
        </w:rPr>
        <w:t xml:space="preserve">V rámci </w:t>
      </w:r>
      <w:r w:rsidR="00D84787">
        <w:rPr>
          <w:rFonts w:ascii="Arial" w:hAnsi="Arial"/>
          <w:sz w:val="22"/>
          <w:lang w:val="cs-CZ"/>
        </w:rPr>
        <w:t>Prioritní osy 6</w:t>
      </w:r>
      <w:r w:rsidR="00D84787" w:rsidRPr="00B36D29">
        <w:rPr>
          <w:rFonts w:ascii="Arial" w:hAnsi="Arial"/>
          <w:sz w:val="22"/>
          <w:lang w:val="cs-CZ"/>
        </w:rPr>
        <w:t xml:space="preserve"> </w:t>
      </w:r>
      <w:r w:rsidR="00D84787">
        <w:rPr>
          <w:rFonts w:ascii="Arial" w:hAnsi="Arial"/>
          <w:sz w:val="22"/>
          <w:lang w:val="cs-CZ"/>
        </w:rPr>
        <w:t>„</w:t>
      </w:r>
      <w:r w:rsidRPr="00366EC5">
        <w:rPr>
          <w:rFonts w:ascii="Arial" w:hAnsi="Arial"/>
          <w:sz w:val="22"/>
          <w:lang w:val="cs-CZ"/>
        </w:rPr>
        <w:t>Technická pomoc OPŽP</w:t>
      </w:r>
      <w:r w:rsidR="00D84787">
        <w:rPr>
          <w:rFonts w:ascii="Arial" w:hAnsi="Arial"/>
          <w:sz w:val="22"/>
          <w:lang w:val="cs-CZ"/>
        </w:rPr>
        <w:t>“</w:t>
      </w:r>
      <w:r w:rsidRPr="00366EC5">
        <w:rPr>
          <w:rFonts w:ascii="Arial" w:hAnsi="Arial"/>
          <w:sz w:val="22"/>
          <w:lang w:val="cs-CZ"/>
        </w:rPr>
        <w:t xml:space="preserve"> byly ve sledovaném období podpořeny projekty v celkové výši </w:t>
      </w:r>
      <w:r w:rsidR="00D84787">
        <w:rPr>
          <w:rFonts w:ascii="Arial" w:hAnsi="Arial"/>
          <w:sz w:val="22"/>
          <w:lang w:val="cs-CZ"/>
        </w:rPr>
        <w:t>0,</w:t>
      </w:r>
      <w:r w:rsidR="0005399E">
        <w:rPr>
          <w:rFonts w:ascii="Arial" w:hAnsi="Arial"/>
          <w:sz w:val="22"/>
          <w:lang w:val="cs-CZ"/>
        </w:rPr>
        <w:t xml:space="preserve">799 </w:t>
      </w:r>
      <w:r w:rsidRPr="00366EC5">
        <w:rPr>
          <w:rFonts w:ascii="Arial" w:hAnsi="Arial"/>
          <w:sz w:val="22"/>
          <w:lang w:val="cs-CZ"/>
        </w:rPr>
        <w:t>mil. Kč.</w:t>
      </w:r>
    </w:p>
    <w:p w14:paraId="4B444F6C" w14:textId="77777777" w:rsidR="00337394" w:rsidRPr="00366EC5" w:rsidRDefault="00337394" w:rsidP="00337394">
      <w:pPr>
        <w:pStyle w:val="Zkladntextodsazen"/>
        <w:tabs>
          <w:tab w:val="left" w:pos="-1620"/>
        </w:tabs>
        <w:ind w:firstLine="0"/>
        <w:rPr>
          <w:rFonts w:ascii="Arial" w:hAnsi="Arial"/>
          <w:sz w:val="22"/>
          <w:lang w:val="cs-CZ"/>
        </w:rPr>
      </w:pPr>
    </w:p>
    <w:p w14:paraId="6D8F850E" w14:textId="5D39957F" w:rsidR="00337394" w:rsidRDefault="00E27B80" w:rsidP="00337394">
      <w:pPr>
        <w:pStyle w:val="Zkladntextodsazen"/>
        <w:tabs>
          <w:tab w:val="left" w:pos="-1620"/>
        </w:tabs>
        <w:ind w:firstLine="0"/>
        <w:rPr>
          <w:rFonts w:ascii="Arial" w:hAnsi="Arial"/>
          <w:sz w:val="22"/>
          <w:lang w:val="cs-CZ"/>
        </w:rPr>
      </w:pPr>
      <w:r w:rsidRPr="00E27B80">
        <w:rPr>
          <w:rFonts w:ascii="Arial" w:hAnsi="Arial"/>
          <w:sz w:val="22"/>
          <w:lang w:val="cs-CZ"/>
        </w:rPr>
        <w:t xml:space="preserve">V rámci národních programů MŽP byla podpořena opatření na prevenci před povodněmi za </w:t>
      </w:r>
      <w:r w:rsidR="007003EC">
        <w:rPr>
          <w:rFonts w:ascii="Arial" w:hAnsi="Arial"/>
          <w:sz w:val="22"/>
          <w:lang w:val="cs-CZ"/>
        </w:rPr>
        <w:t>26,87</w:t>
      </w:r>
      <w:r w:rsidRPr="00E27B80">
        <w:rPr>
          <w:rFonts w:ascii="Arial" w:hAnsi="Arial"/>
          <w:sz w:val="22"/>
          <w:lang w:val="cs-CZ"/>
        </w:rPr>
        <w:t xml:space="preserve"> mil. Kč</w:t>
      </w:r>
      <w:r>
        <w:rPr>
          <w:rFonts w:ascii="Arial" w:hAnsi="Arial"/>
          <w:sz w:val="22"/>
          <w:lang w:val="cs-CZ"/>
        </w:rPr>
        <w:t xml:space="preserve">. </w:t>
      </w:r>
      <w:r w:rsidRPr="00E27B80">
        <w:rPr>
          <w:rFonts w:ascii="Arial" w:hAnsi="Arial"/>
          <w:sz w:val="22"/>
          <w:lang w:val="cs-CZ"/>
        </w:rPr>
        <w:t xml:space="preserve">Program 115 160 a program 115 170 „Podpora obnovy přirozených funkcí krajiny“ </w:t>
      </w:r>
      <w:r>
        <w:rPr>
          <w:rFonts w:ascii="Arial" w:hAnsi="Arial"/>
          <w:sz w:val="22"/>
          <w:lang w:val="cs-CZ"/>
        </w:rPr>
        <w:t>představovaly</w:t>
      </w:r>
      <w:r w:rsidRPr="00E27B80">
        <w:rPr>
          <w:rFonts w:ascii="Arial" w:hAnsi="Arial"/>
          <w:sz w:val="22"/>
          <w:lang w:val="cs-CZ"/>
        </w:rPr>
        <w:t xml:space="preserve"> finanční prostředky </w:t>
      </w:r>
      <w:r w:rsidR="007003EC">
        <w:rPr>
          <w:rFonts w:ascii="Arial" w:hAnsi="Arial"/>
          <w:sz w:val="22"/>
          <w:lang w:val="cs-CZ"/>
        </w:rPr>
        <w:t>23,19</w:t>
      </w:r>
      <w:r w:rsidRPr="00E27B80">
        <w:rPr>
          <w:rFonts w:ascii="Arial" w:hAnsi="Arial"/>
          <w:sz w:val="22"/>
          <w:lang w:val="cs-CZ"/>
        </w:rPr>
        <w:t xml:space="preserve"> mil. Kč. Program 115 030 „ Rozvoj a obnova technické základny systému řízení Ministerstva životního prostředí“ 3,68 mil. Kč.</w:t>
      </w:r>
    </w:p>
    <w:p w14:paraId="7DFF6619" w14:textId="77777777" w:rsidR="00E27B80" w:rsidRPr="00366EC5" w:rsidRDefault="00E27B80" w:rsidP="00337394">
      <w:pPr>
        <w:pStyle w:val="Zkladntextodsazen"/>
        <w:tabs>
          <w:tab w:val="left" w:pos="-1620"/>
        </w:tabs>
        <w:ind w:firstLine="0"/>
        <w:rPr>
          <w:rFonts w:ascii="Arial" w:hAnsi="Arial"/>
          <w:sz w:val="22"/>
          <w:lang w:val="cs-CZ"/>
        </w:rPr>
      </w:pPr>
    </w:p>
    <w:p w14:paraId="40C520D9" w14:textId="7E5732CF" w:rsidR="001766B5" w:rsidRDefault="00BA6B15" w:rsidP="00337394">
      <w:pPr>
        <w:pStyle w:val="Zkladntextodsazen"/>
        <w:tabs>
          <w:tab w:val="left" w:pos="-1620"/>
        </w:tabs>
        <w:ind w:firstLine="0"/>
        <w:rPr>
          <w:rFonts w:ascii="Arial" w:hAnsi="Arial"/>
          <w:sz w:val="22"/>
          <w:lang w:val="cs-CZ"/>
        </w:rPr>
      </w:pPr>
      <w:r w:rsidRPr="00366EC5">
        <w:rPr>
          <w:rFonts w:ascii="Arial" w:hAnsi="Arial"/>
          <w:sz w:val="22"/>
          <w:lang w:val="cs-CZ"/>
        </w:rPr>
        <w:t xml:space="preserve">Za sledované období </w:t>
      </w:r>
      <w:r w:rsidR="008A5CBE" w:rsidRPr="00366EC5">
        <w:rPr>
          <w:rFonts w:ascii="Arial" w:hAnsi="Arial"/>
          <w:sz w:val="22"/>
          <w:lang w:val="cs-CZ"/>
        </w:rPr>
        <w:t>201</w:t>
      </w:r>
      <w:r w:rsidR="00676081" w:rsidRPr="00366EC5">
        <w:rPr>
          <w:rFonts w:ascii="Arial" w:hAnsi="Arial"/>
          <w:sz w:val="22"/>
          <w:lang w:val="cs-CZ"/>
        </w:rPr>
        <w:t>8</w:t>
      </w:r>
      <w:r w:rsidR="008A5CBE" w:rsidRPr="00366EC5">
        <w:rPr>
          <w:rFonts w:ascii="Arial" w:hAnsi="Arial"/>
          <w:sz w:val="22"/>
          <w:lang w:val="cs-CZ"/>
        </w:rPr>
        <w:t>–20</w:t>
      </w:r>
      <w:r w:rsidR="00676081" w:rsidRPr="00366EC5">
        <w:rPr>
          <w:rFonts w:ascii="Arial" w:hAnsi="Arial"/>
          <w:sz w:val="22"/>
          <w:lang w:val="cs-CZ"/>
        </w:rPr>
        <w:t>20</w:t>
      </w:r>
      <w:r w:rsidR="008A5CBE" w:rsidRPr="00366EC5">
        <w:rPr>
          <w:rFonts w:ascii="Arial" w:hAnsi="Arial"/>
          <w:sz w:val="22"/>
          <w:lang w:val="cs-CZ"/>
        </w:rPr>
        <w:t xml:space="preserve"> </w:t>
      </w:r>
      <w:r w:rsidRPr="00366EC5">
        <w:rPr>
          <w:rFonts w:ascii="Arial" w:hAnsi="Arial"/>
          <w:sz w:val="22"/>
          <w:lang w:val="cs-CZ"/>
        </w:rPr>
        <w:t>byl</w:t>
      </w:r>
      <w:r w:rsidR="001766B5">
        <w:rPr>
          <w:rFonts w:ascii="Arial" w:hAnsi="Arial"/>
          <w:sz w:val="22"/>
          <w:lang w:val="cs-CZ"/>
        </w:rPr>
        <w:t>y</w:t>
      </w:r>
      <w:r w:rsidRPr="00366EC5">
        <w:rPr>
          <w:rFonts w:ascii="Arial" w:hAnsi="Arial"/>
          <w:sz w:val="22"/>
          <w:lang w:val="cs-CZ"/>
        </w:rPr>
        <w:t xml:space="preserve"> </w:t>
      </w:r>
      <w:r w:rsidR="001024E2" w:rsidRPr="00366EC5">
        <w:rPr>
          <w:rFonts w:ascii="Arial" w:hAnsi="Arial"/>
          <w:sz w:val="22"/>
          <w:lang w:val="cs-CZ"/>
        </w:rPr>
        <w:t>MŽP</w:t>
      </w:r>
      <w:r w:rsidRPr="00366EC5">
        <w:rPr>
          <w:rFonts w:ascii="Arial" w:hAnsi="Arial"/>
          <w:sz w:val="22"/>
          <w:lang w:val="cs-CZ"/>
        </w:rPr>
        <w:t xml:space="preserve"> </w:t>
      </w:r>
      <w:r w:rsidR="001766B5">
        <w:rPr>
          <w:rFonts w:ascii="Arial" w:hAnsi="Arial"/>
          <w:sz w:val="22"/>
          <w:lang w:val="cs-CZ"/>
        </w:rPr>
        <w:t>vynaloženy prostředky na podporu</w:t>
      </w:r>
      <w:r w:rsidR="001766B5" w:rsidRPr="00366EC5">
        <w:rPr>
          <w:rFonts w:ascii="Arial" w:hAnsi="Arial"/>
          <w:sz w:val="22"/>
          <w:lang w:val="cs-CZ"/>
        </w:rPr>
        <w:t xml:space="preserve"> </w:t>
      </w:r>
      <w:r w:rsidR="001766B5" w:rsidRPr="001766B5">
        <w:rPr>
          <w:rFonts w:ascii="Arial" w:hAnsi="Arial"/>
          <w:sz w:val="22"/>
          <w:lang w:val="cs-CZ"/>
        </w:rPr>
        <w:t>protipo</w:t>
      </w:r>
      <w:r w:rsidR="0045433B">
        <w:rPr>
          <w:rFonts w:ascii="Arial" w:hAnsi="Arial"/>
          <w:sz w:val="22"/>
          <w:lang w:val="cs-CZ"/>
        </w:rPr>
        <w:t>vodňových opatření v celkové vý</w:t>
      </w:r>
      <w:r w:rsidR="001766B5" w:rsidRPr="001766B5">
        <w:rPr>
          <w:rFonts w:ascii="Arial" w:hAnsi="Arial"/>
          <w:sz w:val="22"/>
          <w:lang w:val="cs-CZ"/>
        </w:rPr>
        <w:t xml:space="preserve">ši </w:t>
      </w:r>
      <w:r w:rsidR="007003EC">
        <w:rPr>
          <w:rFonts w:ascii="Arial" w:hAnsi="Arial"/>
          <w:sz w:val="22"/>
          <w:lang w:val="cs-CZ"/>
        </w:rPr>
        <w:t>5,861</w:t>
      </w:r>
      <w:r w:rsidR="001766B5" w:rsidRPr="001766B5">
        <w:rPr>
          <w:rFonts w:ascii="Arial" w:hAnsi="Arial"/>
          <w:sz w:val="22"/>
          <w:lang w:val="cs-CZ"/>
        </w:rPr>
        <w:t xml:space="preserve"> mld. Kč, při celkových způsobilých výdajích </w:t>
      </w:r>
      <w:r w:rsidR="007003EC">
        <w:rPr>
          <w:rFonts w:ascii="Arial" w:hAnsi="Arial"/>
          <w:sz w:val="22"/>
          <w:lang w:val="cs-CZ"/>
        </w:rPr>
        <w:t>6,691</w:t>
      </w:r>
      <w:r w:rsidR="001766B5" w:rsidRPr="001766B5">
        <w:rPr>
          <w:rFonts w:ascii="Arial" w:hAnsi="Arial"/>
          <w:sz w:val="22"/>
          <w:lang w:val="cs-CZ"/>
        </w:rPr>
        <w:t xml:space="preserve"> mld. Kč.</w:t>
      </w:r>
    </w:p>
    <w:p w14:paraId="4839BE0E" w14:textId="77777777" w:rsidR="00337394" w:rsidRDefault="00337394" w:rsidP="00337394">
      <w:pPr>
        <w:pStyle w:val="Zkladntextodsazen"/>
        <w:tabs>
          <w:tab w:val="left" w:pos="-1620"/>
        </w:tabs>
        <w:ind w:firstLine="0"/>
        <w:rPr>
          <w:rFonts w:ascii="Arial" w:hAnsi="Arial"/>
          <w:sz w:val="22"/>
          <w:lang w:val="cs-CZ"/>
        </w:rPr>
      </w:pPr>
    </w:p>
    <w:p w14:paraId="2866DC31" w14:textId="6CA03055" w:rsidR="000F0884" w:rsidRDefault="001024E2" w:rsidP="00337394">
      <w:pPr>
        <w:pStyle w:val="Zkladntextodsazen"/>
        <w:tabs>
          <w:tab w:val="left" w:pos="-1620"/>
        </w:tabs>
        <w:ind w:firstLine="0"/>
        <w:rPr>
          <w:rFonts w:ascii="Arial" w:hAnsi="Arial"/>
          <w:sz w:val="22"/>
          <w:lang w:val="cs-CZ"/>
        </w:rPr>
      </w:pPr>
      <w:r w:rsidRPr="00366EC5">
        <w:rPr>
          <w:rFonts w:ascii="Arial" w:hAnsi="Arial"/>
          <w:sz w:val="22"/>
          <w:lang w:val="cs-CZ"/>
        </w:rPr>
        <w:t xml:space="preserve">V celkovém souhrnu bylo </w:t>
      </w:r>
      <w:r w:rsidR="00C06A54" w:rsidRPr="00366EC5">
        <w:rPr>
          <w:rFonts w:ascii="Arial" w:hAnsi="Arial"/>
          <w:sz w:val="22"/>
          <w:lang w:val="cs-CZ"/>
        </w:rPr>
        <w:t>oběma re</w:t>
      </w:r>
      <w:r w:rsidR="006D2F44">
        <w:rPr>
          <w:rFonts w:ascii="Arial" w:hAnsi="Arial"/>
          <w:sz w:val="22"/>
          <w:lang w:val="cs-CZ"/>
        </w:rPr>
        <w:t>s</w:t>
      </w:r>
      <w:r w:rsidR="00C06A54" w:rsidRPr="00366EC5">
        <w:rPr>
          <w:rFonts w:ascii="Arial" w:hAnsi="Arial"/>
          <w:sz w:val="22"/>
          <w:lang w:val="cs-CZ"/>
        </w:rPr>
        <w:t xml:space="preserve">orty </w:t>
      </w:r>
      <w:r w:rsidR="000F0884" w:rsidRPr="00366EC5">
        <w:rPr>
          <w:rFonts w:ascii="Arial" w:hAnsi="Arial"/>
          <w:sz w:val="22"/>
          <w:lang w:val="cs-CZ"/>
        </w:rPr>
        <w:t>za obl</w:t>
      </w:r>
      <w:r w:rsidR="00C06A54" w:rsidRPr="00366EC5">
        <w:rPr>
          <w:rFonts w:ascii="Arial" w:hAnsi="Arial"/>
          <w:sz w:val="22"/>
          <w:lang w:val="cs-CZ"/>
        </w:rPr>
        <w:t>ast prevence před povodněmi v letech 20</w:t>
      </w:r>
      <w:r w:rsidR="00676081" w:rsidRPr="00366EC5">
        <w:rPr>
          <w:rFonts w:ascii="Arial" w:hAnsi="Arial"/>
          <w:sz w:val="22"/>
          <w:lang w:val="cs-CZ"/>
        </w:rPr>
        <w:t>18</w:t>
      </w:r>
      <w:r w:rsidR="00C06A54" w:rsidRPr="00366EC5">
        <w:rPr>
          <w:rFonts w:ascii="Arial" w:hAnsi="Arial"/>
          <w:sz w:val="22"/>
          <w:lang w:val="cs-CZ"/>
        </w:rPr>
        <w:t>–20</w:t>
      </w:r>
      <w:r w:rsidR="00676081" w:rsidRPr="00366EC5">
        <w:rPr>
          <w:rFonts w:ascii="Arial" w:hAnsi="Arial"/>
          <w:sz w:val="22"/>
          <w:lang w:val="cs-CZ"/>
        </w:rPr>
        <w:t>20</w:t>
      </w:r>
      <w:r w:rsidR="000F0884" w:rsidRPr="00366EC5">
        <w:rPr>
          <w:rFonts w:ascii="Arial" w:hAnsi="Arial"/>
          <w:sz w:val="22"/>
          <w:lang w:val="cs-CZ"/>
        </w:rPr>
        <w:t xml:space="preserve"> vynaloženo </w:t>
      </w:r>
      <w:r w:rsidR="00B3546D">
        <w:rPr>
          <w:rFonts w:ascii="Arial" w:hAnsi="Arial"/>
          <w:sz w:val="22"/>
          <w:lang w:val="cs-CZ"/>
        </w:rPr>
        <w:t>8,481</w:t>
      </w:r>
      <w:r w:rsidR="001766B5">
        <w:rPr>
          <w:rFonts w:ascii="Arial" w:hAnsi="Arial"/>
          <w:sz w:val="22"/>
          <w:lang w:val="cs-CZ"/>
        </w:rPr>
        <w:t xml:space="preserve"> </w:t>
      </w:r>
      <w:r w:rsidR="000F0884" w:rsidRPr="00366EC5">
        <w:rPr>
          <w:rFonts w:ascii="Arial" w:hAnsi="Arial"/>
          <w:sz w:val="22"/>
          <w:lang w:val="cs-CZ"/>
        </w:rPr>
        <w:t xml:space="preserve">mld. Kč. </w:t>
      </w:r>
    </w:p>
    <w:p w14:paraId="2FD02A8B" w14:textId="77777777" w:rsidR="00337394" w:rsidRPr="00366EC5" w:rsidRDefault="00337394" w:rsidP="00337394">
      <w:pPr>
        <w:pStyle w:val="Zkladntextodsazen"/>
        <w:tabs>
          <w:tab w:val="left" w:pos="-1620"/>
        </w:tabs>
        <w:ind w:firstLine="0"/>
        <w:rPr>
          <w:rFonts w:ascii="Arial" w:hAnsi="Arial"/>
          <w:sz w:val="22"/>
          <w:lang w:val="cs-CZ"/>
        </w:rPr>
      </w:pPr>
    </w:p>
    <w:p w14:paraId="0D1A05AB" w14:textId="3CAB657B" w:rsidR="005B3863" w:rsidRDefault="00006CAF" w:rsidP="00337394">
      <w:pPr>
        <w:pStyle w:val="Zkladntextodsazen"/>
        <w:tabs>
          <w:tab w:val="left" w:pos="-1620"/>
        </w:tabs>
        <w:ind w:firstLine="0"/>
        <w:rPr>
          <w:rFonts w:ascii="Arial" w:hAnsi="Arial" w:cs="Arial"/>
          <w:sz w:val="22"/>
          <w:szCs w:val="22"/>
          <w:lang w:val="cs-CZ"/>
        </w:rPr>
      </w:pPr>
      <w:r w:rsidRPr="00B461BA">
        <w:rPr>
          <w:rFonts w:ascii="Arial" w:hAnsi="Arial"/>
          <w:sz w:val="22"/>
          <w:lang w:val="cs-CZ"/>
        </w:rPr>
        <w:t xml:space="preserve">Po projednání vládou </w:t>
      </w:r>
      <w:r w:rsidR="00EB0F0C" w:rsidRPr="00B461BA">
        <w:rPr>
          <w:rFonts w:ascii="Arial" w:hAnsi="Arial"/>
          <w:sz w:val="22"/>
        </w:rPr>
        <w:t>b</w:t>
      </w:r>
      <w:r w:rsidR="00EB0F0C" w:rsidRPr="00B461BA">
        <w:rPr>
          <w:rFonts w:ascii="Arial" w:hAnsi="Arial"/>
          <w:sz w:val="22"/>
          <w:lang w:val="cs-CZ"/>
        </w:rPr>
        <w:t>ude</w:t>
      </w:r>
      <w:r w:rsidR="00EB0F0C" w:rsidRPr="00B461BA">
        <w:rPr>
          <w:rFonts w:ascii="Arial" w:hAnsi="Arial"/>
          <w:sz w:val="22"/>
        </w:rPr>
        <w:t xml:space="preserve"> </w:t>
      </w:r>
      <w:r w:rsidRPr="00B461BA">
        <w:rPr>
          <w:rFonts w:ascii="Arial" w:hAnsi="Arial"/>
          <w:sz w:val="22"/>
          <w:lang w:val="cs-CZ"/>
        </w:rPr>
        <w:t xml:space="preserve">zpráva </w:t>
      </w:r>
      <w:r w:rsidR="005B3863" w:rsidRPr="00B461BA">
        <w:rPr>
          <w:rFonts w:ascii="Arial" w:hAnsi="Arial"/>
          <w:sz w:val="22"/>
        </w:rPr>
        <w:t xml:space="preserve">předložena Poslanecké sněmovně </w:t>
      </w:r>
      <w:r w:rsidR="00106A00" w:rsidRPr="00B461BA">
        <w:rPr>
          <w:rFonts w:ascii="Arial" w:hAnsi="Arial"/>
          <w:sz w:val="22"/>
          <w:lang w:val="cs-CZ"/>
        </w:rPr>
        <w:t xml:space="preserve">Parlamentu </w:t>
      </w:r>
      <w:r w:rsidRPr="00B461BA">
        <w:rPr>
          <w:rFonts w:ascii="Arial" w:hAnsi="Arial"/>
          <w:sz w:val="22"/>
          <w:lang w:val="cs-CZ"/>
        </w:rPr>
        <w:t>dle bodu III/2</w:t>
      </w:r>
      <w:r w:rsidR="005B3863" w:rsidRPr="00B461BA">
        <w:rPr>
          <w:rFonts w:ascii="Arial" w:hAnsi="Arial"/>
          <w:sz w:val="22"/>
        </w:rPr>
        <w:t xml:space="preserve"> usnesení vlády</w:t>
      </w:r>
      <w:r w:rsidRPr="00B461BA">
        <w:rPr>
          <w:rFonts w:ascii="Arial" w:hAnsi="Arial"/>
          <w:sz w:val="22"/>
          <w:lang w:val="cs-CZ"/>
        </w:rPr>
        <w:t xml:space="preserve"> č. 26</w:t>
      </w:r>
      <w:r w:rsidR="00E515E2" w:rsidRPr="00B461BA">
        <w:rPr>
          <w:rFonts w:ascii="Arial" w:hAnsi="Arial"/>
          <w:sz w:val="22"/>
          <w:lang w:val="cs-CZ"/>
        </w:rPr>
        <w:t>6/2018</w:t>
      </w:r>
      <w:r w:rsidR="005B3863" w:rsidRPr="00B461BA">
        <w:rPr>
          <w:rFonts w:ascii="Arial" w:hAnsi="Arial"/>
          <w:sz w:val="22"/>
        </w:rPr>
        <w:t>.</w:t>
      </w:r>
      <w:r w:rsidR="008F2BD2" w:rsidRPr="00FD6BE1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1660EA64" w14:textId="1F0CB57A" w:rsidR="00B12C2F" w:rsidRDefault="00B12C2F" w:rsidP="00337394">
      <w:pPr>
        <w:pStyle w:val="Zkladntextodsazen"/>
        <w:tabs>
          <w:tab w:val="left" w:pos="-1620"/>
        </w:tabs>
        <w:ind w:firstLine="0"/>
        <w:rPr>
          <w:rFonts w:ascii="Arial" w:hAnsi="Arial" w:cs="Arial"/>
          <w:sz w:val="22"/>
          <w:szCs w:val="22"/>
        </w:rPr>
      </w:pPr>
    </w:p>
    <w:p w14:paraId="3A5817A3" w14:textId="29189F4F" w:rsidR="007E0C4D" w:rsidRPr="00FD6BE1" w:rsidRDefault="006A6719" w:rsidP="007345ED">
      <w:pPr>
        <w:pStyle w:val="Zkladntextodsazen"/>
        <w:tabs>
          <w:tab w:val="left" w:pos="-1620"/>
        </w:tabs>
        <w:spacing w:before="120" w:after="120"/>
        <w:ind w:firstLine="0"/>
        <w:rPr>
          <w:rFonts w:ascii="Arial" w:hAnsi="Arial" w:cs="Arial"/>
          <w:sz w:val="22"/>
          <w:szCs w:val="22"/>
          <w:lang w:val="cs-CZ"/>
        </w:rPr>
      </w:pPr>
      <w:r w:rsidRPr="00FD6BE1">
        <w:rPr>
          <w:rFonts w:ascii="Arial" w:hAnsi="Arial" w:cs="Arial"/>
          <w:sz w:val="22"/>
          <w:szCs w:val="22"/>
          <w:lang w:val="cs-CZ"/>
        </w:rPr>
        <w:tab/>
      </w:r>
    </w:p>
    <w:sectPr w:rsidR="007E0C4D" w:rsidRPr="00FD6BE1" w:rsidSect="00461D58">
      <w:footerReference w:type="even" r:id="rId8"/>
      <w:footerReference w:type="default" r:id="rId9"/>
      <w:pgSz w:w="11906" w:h="16838" w:code="9"/>
      <w:pgMar w:top="1418" w:right="1418" w:bottom="1361" w:left="1418" w:header="709" w:footer="709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8E153A" w16cid:durableId="23C4E19B"/>
  <w16cid:commentId w16cid:paraId="1B62A2A7" w16cid:durableId="23C4E47B"/>
  <w16cid:commentId w16cid:paraId="555D2012" w16cid:durableId="23C4E19C"/>
  <w16cid:commentId w16cid:paraId="6AD7C0D5" w16cid:durableId="23C4E448"/>
  <w16cid:commentId w16cid:paraId="005D6F31" w16cid:durableId="23C4E19D"/>
  <w16cid:commentId w16cid:paraId="4904D98F" w16cid:durableId="23C4E498"/>
  <w16cid:commentId w16cid:paraId="2B545D26" w16cid:durableId="23C4E19E"/>
  <w16cid:commentId w16cid:paraId="43701003" w16cid:durableId="23C583AE"/>
  <w16cid:commentId w16cid:paraId="3A29A7A3" w16cid:durableId="23C4E19F"/>
  <w16cid:commentId w16cid:paraId="074BCDF8" w16cid:durableId="23C50687"/>
  <w16cid:commentId w16cid:paraId="16FE6895" w16cid:durableId="23C4E1A0"/>
  <w16cid:commentId w16cid:paraId="724FD527" w16cid:durableId="23C5064D"/>
  <w16cid:commentId w16cid:paraId="2A734734" w16cid:durableId="23C4E1A1"/>
  <w16cid:commentId w16cid:paraId="3D2D83FD" w16cid:durableId="23C4E1A2"/>
  <w16cid:commentId w16cid:paraId="6470D452" w16cid:durableId="23C4E1A3"/>
  <w16cid:commentId w16cid:paraId="7FE334F7" w16cid:durableId="23C4E1A4"/>
  <w16cid:commentId w16cid:paraId="6A509040" w16cid:durableId="23C4E1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1CE4F" w14:textId="77777777" w:rsidR="000B09F3" w:rsidRDefault="000B09F3">
      <w:r>
        <w:separator/>
      </w:r>
    </w:p>
  </w:endnote>
  <w:endnote w:type="continuationSeparator" w:id="0">
    <w:p w14:paraId="22212EAC" w14:textId="77777777" w:rsidR="000B09F3" w:rsidRDefault="000B09F3">
      <w:r>
        <w:continuationSeparator/>
      </w:r>
    </w:p>
  </w:endnote>
  <w:endnote w:type="continuationNotice" w:id="1">
    <w:p w14:paraId="4DB7046C" w14:textId="77777777" w:rsidR="000B09F3" w:rsidRDefault="000B09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2C18B" w14:textId="77777777" w:rsidR="000B09F3" w:rsidRDefault="000B09F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07B2B0" w14:textId="77777777" w:rsidR="000B09F3" w:rsidRDefault="000B09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D9B5E" w14:textId="46D20F0D" w:rsidR="000B09F3" w:rsidRPr="006D0FBC" w:rsidRDefault="000B09F3">
    <w:pPr>
      <w:pStyle w:val="Zpat"/>
      <w:framePr w:wrap="around" w:vAnchor="text" w:hAnchor="margin" w:xAlign="center" w:y="1"/>
      <w:rPr>
        <w:rStyle w:val="slostrnky"/>
        <w:rFonts w:ascii="Arial" w:hAnsi="Arial" w:cs="Arial"/>
        <w:sz w:val="22"/>
        <w:szCs w:val="22"/>
      </w:rPr>
    </w:pPr>
    <w:r w:rsidRPr="006D0FBC">
      <w:rPr>
        <w:rStyle w:val="slostrnky"/>
        <w:rFonts w:ascii="Arial" w:hAnsi="Arial" w:cs="Arial"/>
        <w:sz w:val="22"/>
        <w:szCs w:val="22"/>
      </w:rPr>
      <w:fldChar w:fldCharType="begin"/>
    </w:r>
    <w:r w:rsidRPr="006D0FBC">
      <w:rPr>
        <w:rStyle w:val="slostrnky"/>
        <w:rFonts w:ascii="Arial" w:hAnsi="Arial" w:cs="Arial"/>
        <w:sz w:val="22"/>
        <w:szCs w:val="22"/>
      </w:rPr>
      <w:instrText xml:space="preserve">PAGE  </w:instrText>
    </w:r>
    <w:r w:rsidRPr="006D0FBC">
      <w:rPr>
        <w:rStyle w:val="slostrnky"/>
        <w:rFonts w:ascii="Arial" w:hAnsi="Arial" w:cs="Arial"/>
        <w:sz w:val="22"/>
        <w:szCs w:val="22"/>
      </w:rPr>
      <w:fldChar w:fldCharType="separate"/>
    </w:r>
    <w:r w:rsidR="00FA703F">
      <w:rPr>
        <w:rStyle w:val="slostrnky"/>
        <w:rFonts w:ascii="Arial" w:hAnsi="Arial" w:cs="Arial"/>
        <w:noProof/>
        <w:sz w:val="22"/>
        <w:szCs w:val="22"/>
      </w:rPr>
      <w:t>4</w:t>
    </w:r>
    <w:r w:rsidRPr="006D0FBC">
      <w:rPr>
        <w:rStyle w:val="slostrnky"/>
        <w:rFonts w:ascii="Arial" w:hAnsi="Arial" w:cs="Arial"/>
        <w:sz w:val="22"/>
        <w:szCs w:val="22"/>
      </w:rPr>
      <w:fldChar w:fldCharType="end"/>
    </w:r>
  </w:p>
  <w:p w14:paraId="12FE5193" w14:textId="77777777" w:rsidR="000B09F3" w:rsidRDefault="000B09F3" w:rsidP="007D4BB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C52F6" w14:textId="77777777" w:rsidR="000B09F3" w:rsidRDefault="000B09F3">
      <w:r>
        <w:separator/>
      </w:r>
    </w:p>
  </w:footnote>
  <w:footnote w:type="continuationSeparator" w:id="0">
    <w:p w14:paraId="4A9C216C" w14:textId="77777777" w:rsidR="000B09F3" w:rsidRDefault="000B09F3">
      <w:r>
        <w:continuationSeparator/>
      </w:r>
    </w:p>
  </w:footnote>
  <w:footnote w:type="continuationNotice" w:id="1">
    <w:p w14:paraId="3ACE051F" w14:textId="77777777" w:rsidR="000B09F3" w:rsidRDefault="000B09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3F7B"/>
    <w:multiLevelType w:val="hybridMultilevel"/>
    <w:tmpl w:val="36ACD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035DF"/>
    <w:multiLevelType w:val="singleLevel"/>
    <w:tmpl w:val="DBE0D2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87F2036"/>
    <w:multiLevelType w:val="hybridMultilevel"/>
    <w:tmpl w:val="A4B6657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C12FD"/>
    <w:multiLevelType w:val="multilevel"/>
    <w:tmpl w:val="5F444D5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9361977"/>
    <w:multiLevelType w:val="hybridMultilevel"/>
    <w:tmpl w:val="D34EF97A"/>
    <w:lvl w:ilvl="0" w:tplc="74AA3C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7ACE6C8" w:tentative="1">
      <w:start w:val="1"/>
      <w:numFmt w:val="lowerLetter"/>
      <w:lvlText w:val="%2."/>
      <w:lvlJc w:val="left"/>
      <w:pPr>
        <w:ind w:left="1440" w:hanging="360"/>
      </w:pPr>
    </w:lvl>
    <w:lvl w:ilvl="2" w:tplc="1C3A51C4" w:tentative="1">
      <w:start w:val="1"/>
      <w:numFmt w:val="lowerRoman"/>
      <w:lvlText w:val="%3."/>
      <w:lvlJc w:val="right"/>
      <w:pPr>
        <w:ind w:left="2160" w:hanging="180"/>
      </w:pPr>
    </w:lvl>
    <w:lvl w:ilvl="3" w:tplc="224C047C" w:tentative="1">
      <w:start w:val="1"/>
      <w:numFmt w:val="decimal"/>
      <w:lvlText w:val="%4."/>
      <w:lvlJc w:val="left"/>
      <w:pPr>
        <w:ind w:left="2880" w:hanging="360"/>
      </w:pPr>
    </w:lvl>
    <w:lvl w:ilvl="4" w:tplc="84EE2780" w:tentative="1">
      <w:start w:val="1"/>
      <w:numFmt w:val="lowerLetter"/>
      <w:lvlText w:val="%5."/>
      <w:lvlJc w:val="left"/>
      <w:pPr>
        <w:ind w:left="3600" w:hanging="360"/>
      </w:pPr>
    </w:lvl>
    <w:lvl w:ilvl="5" w:tplc="B868F9AE" w:tentative="1">
      <w:start w:val="1"/>
      <w:numFmt w:val="lowerRoman"/>
      <w:lvlText w:val="%6."/>
      <w:lvlJc w:val="right"/>
      <w:pPr>
        <w:ind w:left="4320" w:hanging="180"/>
      </w:pPr>
    </w:lvl>
    <w:lvl w:ilvl="6" w:tplc="35EE4182" w:tentative="1">
      <w:start w:val="1"/>
      <w:numFmt w:val="decimal"/>
      <w:lvlText w:val="%7."/>
      <w:lvlJc w:val="left"/>
      <w:pPr>
        <w:ind w:left="5040" w:hanging="360"/>
      </w:pPr>
    </w:lvl>
    <w:lvl w:ilvl="7" w:tplc="82822C16" w:tentative="1">
      <w:start w:val="1"/>
      <w:numFmt w:val="lowerLetter"/>
      <w:lvlText w:val="%8."/>
      <w:lvlJc w:val="left"/>
      <w:pPr>
        <w:ind w:left="5760" w:hanging="360"/>
      </w:pPr>
    </w:lvl>
    <w:lvl w:ilvl="8" w:tplc="BFF0E5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10488"/>
    <w:multiLevelType w:val="hybridMultilevel"/>
    <w:tmpl w:val="6454603E"/>
    <w:lvl w:ilvl="0" w:tplc="877C3F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56BC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32C6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907D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4AA7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E2BB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F684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7073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06B3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46EEA"/>
    <w:multiLevelType w:val="hybridMultilevel"/>
    <w:tmpl w:val="B86CB586"/>
    <w:lvl w:ilvl="0" w:tplc="636CA3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0EAFD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3ACF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02C2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1C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6E35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4CEA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A5A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7012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087329"/>
    <w:multiLevelType w:val="singleLevel"/>
    <w:tmpl w:val="DBE0D2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E3821E6"/>
    <w:multiLevelType w:val="hybridMultilevel"/>
    <w:tmpl w:val="7178620E"/>
    <w:lvl w:ilvl="0" w:tplc="C7885EB2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9D031F"/>
    <w:multiLevelType w:val="hybridMultilevel"/>
    <w:tmpl w:val="4B2C5AFC"/>
    <w:lvl w:ilvl="0" w:tplc="859639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B9AF4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E478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082B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C624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4ECD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2E25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EE5D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E6CC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707D2"/>
    <w:multiLevelType w:val="hybridMultilevel"/>
    <w:tmpl w:val="77FEB9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DB775B"/>
    <w:multiLevelType w:val="multilevel"/>
    <w:tmpl w:val="44DAAEB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DC83A56"/>
    <w:multiLevelType w:val="hybridMultilevel"/>
    <w:tmpl w:val="70E801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B293C"/>
    <w:multiLevelType w:val="hybridMultilevel"/>
    <w:tmpl w:val="A49C7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EB708E"/>
    <w:multiLevelType w:val="hybridMultilevel"/>
    <w:tmpl w:val="7CDEBF82"/>
    <w:lvl w:ilvl="0" w:tplc="EB34BA5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CD3834"/>
    <w:multiLevelType w:val="hybridMultilevel"/>
    <w:tmpl w:val="83585908"/>
    <w:lvl w:ilvl="0" w:tplc="1CF40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DC2AD6">
      <w:numFmt w:val="none"/>
      <w:lvlText w:val=""/>
      <w:lvlJc w:val="left"/>
      <w:pPr>
        <w:tabs>
          <w:tab w:val="num" w:pos="360"/>
        </w:tabs>
      </w:pPr>
    </w:lvl>
    <w:lvl w:ilvl="2" w:tplc="B3402816">
      <w:numFmt w:val="none"/>
      <w:lvlText w:val=""/>
      <w:lvlJc w:val="left"/>
      <w:pPr>
        <w:tabs>
          <w:tab w:val="num" w:pos="360"/>
        </w:tabs>
      </w:pPr>
    </w:lvl>
    <w:lvl w:ilvl="3" w:tplc="2CECC856">
      <w:numFmt w:val="none"/>
      <w:lvlText w:val=""/>
      <w:lvlJc w:val="left"/>
      <w:pPr>
        <w:tabs>
          <w:tab w:val="num" w:pos="360"/>
        </w:tabs>
      </w:pPr>
    </w:lvl>
    <w:lvl w:ilvl="4" w:tplc="1618DADE">
      <w:numFmt w:val="none"/>
      <w:lvlText w:val=""/>
      <w:lvlJc w:val="left"/>
      <w:pPr>
        <w:tabs>
          <w:tab w:val="num" w:pos="360"/>
        </w:tabs>
      </w:pPr>
    </w:lvl>
    <w:lvl w:ilvl="5" w:tplc="2F22AB7E">
      <w:numFmt w:val="none"/>
      <w:lvlText w:val=""/>
      <w:lvlJc w:val="left"/>
      <w:pPr>
        <w:tabs>
          <w:tab w:val="num" w:pos="360"/>
        </w:tabs>
      </w:pPr>
    </w:lvl>
    <w:lvl w:ilvl="6" w:tplc="AEAEC522">
      <w:numFmt w:val="none"/>
      <w:lvlText w:val=""/>
      <w:lvlJc w:val="left"/>
      <w:pPr>
        <w:tabs>
          <w:tab w:val="num" w:pos="360"/>
        </w:tabs>
      </w:pPr>
    </w:lvl>
    <w:lvl w:ilvl="7" w:tplc="1B366D24">
      <w:numFmt w:val="none"/>
      <w:lvlText w:val=""/>
      <w:lvlJc w:val="left"/>
      <w:pPr>
        <w:tabs>
          <w:tab w:val="num" w:pos="360"/>
        </w:tabs>
      </w:pPr>
    </w:lvl>
    <w:lvl w:ilvl="8" w:tplc="972E2E94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29317C97"/>
    <w:multiLevelType w:val="hybridMultilevel"/>
    <w:tmpl w:val="C0CE3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81043F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A328C"/>
    <w:multiLevelType w:val="hybridMultilevel"/>
    <w:tmpl w:val="9EA6F158"/>
    <w:lvl w:ilvl="0" w:tplc="D2D60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F58DF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06F4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86C7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D85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3AB9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40D6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2850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187C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444A2D"/>
    <w:multiLevelType w:val="hybridMultilevel"/>
    <w:tmpl w:val="E5C65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5853F4" w:tentative="1">
      <w:start w:val="1"/>
      <w:numFmt w:val="lowerLetter"/>
      <w:lvlText w:val="%2."/>
      <w:lvlJc w:val="left"/>
      <w:pPr>
        <w:ind w:left="1440" w:hanging="360"/>
      </w:pPr>
    </w:lvl>
    <w:lvl w:ilvl="2" w:tplc="38F0A76C" w:tentative="1">
      <w:start w:val="1"/>
      <w:numFmt w:val="lowerRoman"/>
      <w:lvlText w:val="%3."/>
      <w:lvlJc w:val="right"/>
      <w:pPr>
        <w:ind w:left="2160" w:hanging="180"/>
      </w:pPr>
    </w:lvl>
    <w:lvl w:ilvl="3" w:tplc="67CA51A6" w:tentative="1">
      <w:start w:val="1"/>
      <w:numFmt w:val="decimal"/>
      <w:lvlText w:val="%4."/>
      <w:lvlJc w:val="left"/>
      <w:pPr>
        <w:ind w:left="2880" w:hanging="360"/>
      </w:pPr>
    </w:lvl>
    <w:lvl w:ilvl="4" w:tplc="DC6E11B4" w:tentative="1">
      <w:start w:val="1"/>
      <w:numFmt w:val="lowerLetter"/>
      <w:lvlText w:val="%5."/>
      <w:lvlJc w:val="left"/>
      <w:pPr>
        <w:ind w:left="3600" w:hanging="360"/>
      </w:pPr>
    </w:lvl>
    <w:lvl w:ilvl="5" w:tplc="9976D4C4" w:tentative="1">
      <w:start w:val="1"/>
      <w:numFmt w:val="lowerRoman"/>
      <w:lvlText w:val="%6."/>
      <w:lvlJc w:val="right"/>
      <w:pPr>
        <w:ind w:left="4320" w:hanging="180"/>
      </w:pPr>
    </w:lvl>
    <w:lvl w:ilvl="6" w:tplc="F1BE875E" w:tentative="1">
      <w:start w:val="1"/>
      <w:numFmt w:val="decimal"/>
      <w:lvlText w:val="%7."/>
      <w:lvlJc w:val="left"/>
      <w:pPr>
        <w:ind w:left="5040" w:hanging="360"/>
      </w:pPr>
    </w:lvl>
    <w:lvl w:ilvl="7" w:tplc="895C150C" w:tentative="1">
      <w:start w:val="1"/>
      <w:numFmt w:val="lowerLetter"/>
      <w:lvlText w:val="%8."/>
      <w:lvlJc w:val="left"/>
      <w:pPr>
        <w:ind w:left="5760" w:hanging="360"/>
      </w:pPr>
    </w:lvl>
    <w:lvl w:ilvl="8" w:tplc="F182A9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D20C1"/>
    <w:multiLevelType w:val="singleLevel"/>
    <w:tmpl w:val="01705FB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1F71C36"/>
    <w:multiLevelType w:val="hybridMultilevel"/>
    <w:tmpl w:val="6EA66DDE"/>
    <w:lvl w:ilvl="0" w:tplc="78C4995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A931F6"/>
    <w:multiLevelType w:val="hybridMultilevel"/>
    <w:tmpl w:val="BA26D89E"/>
    <w:lvl w:ilvl="0" w:tplc="BB4CF8AA">
      <w:start w:val="1"/>
      <w:numFmt w:val="bullet"/>
      <w:lvlText w:val=""/>
      <w:lvlJc w:val="left"/>
      <w:pPr>
        <w:tabs>
          <w:tab w:val="num" w:pos="527"/>
        </w:tabs>
        <w:ind w:left="527" w:hanging="17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45231575"/>
    <w:multiLevelType w:val="hybridMultilevel"/>
    <w:tmpl w:val="AC3C000E"/>
    <w:lvl w:ilvl="0" w:tplc="F3605DD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9A4EBD"/>
    <w:multiLevelType w:val="hybridMultilevel"/>
    <w:tmpl w:val="22C2AD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515AD"/>
    <w:multiLevelType w:val="hybridMultilevel"/>
    <w:tmpl w:val="9BF46C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4B1B1C"/>
    <w:multiLevelType w:val="hybridMultilevel"/>
    <w:tmpl w:val="7332C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215EA"/>
    <w:multiLevelType w:val="hybridMultilevel"/>
    <w:tmpl w:val="A83A58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FA24F1"/>
    <w:multiLevelType w:val="hybridMultilevel"/>
    <w:tmpl w:val="B358CB6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7B43F92"/>
    <w:multiLevelType w:val="hybridMultilevel"/>
    <w:tmpl w:val="1952D9BC"/>
    <w:lvl w:ilvl="0" w:tplc="04050001">
      <w:start w:val="1"/>
      <w:numFmt w:val="bullet"/>
      <w:lvlText w:val=""/>
      <w:lvlJc w:val="left"/>
      <w:pPr>
        <w:tabs>
          <w:tab w:val="num" w:pos="527"/>
        </w:tabs>
        <w:ind w:left="527" w:hanging="17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9" w15:restartNumberingAfterBreak="0">
    <w:nsid w:val="68570E7A"/>
    <w:multiLevelType w:val="multilevel"/>
    <w:tmpl w:val="27C66384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9133B38"/>
    <w:multiLevelType w:val="multilevel"/>
    <w:tmpl w:val="169A5220"/>
    <w:lvl w:ilvl="0">
      <w:start w:val="1"/>
      <w:numFmt w:val="bullet"/>
      <w:lvlText w:val=""/>
      <w:lvlJc w:val="left"/>
      <w:pPr>
        <w:tabs>
          <w:tab w:val="num" w:pos="1332"/>
        </w:tabs>
        <w:ind w:left="1332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2052"/>
        </w:tabs>
        <w:ind w:left="2052" w:hanging="360"/>
      </w:pPr>
    </w:lvl>
    <w:lvl w:ilvl="2" w:tentative="1">
      <w:start w:val="1"/>
      <w:numFmt w:val="decimal"/>
      <w:lvlText w:val="%3."/>
      <w:lvlJc w:val="left"/>
      <w:pPr>
        <w:tabs>
          <w:tab w:val="num" w:pos="2772"/>
        </w:tabs>
        <w:ind w:left="2772" w:hanging="360"/>
      </w:pPr>
    </w:lvl>
    <w:lvl w:ilvl="3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entative="1">
      <w:start w:val="1"/>
      <w:numFmt w:val="decimal"/>
      <w:lvlText w:val="%5."/>
      <w:lvlJc w:val="left"/>
      <w:pPr>
        <w:tabs>
          <w:tab w:val="num" w:pos="4212"/>
        </w:tabs>
        <w:ind w:left="4212" w:hanging="360"/>
      </w:pPr>
    </w:lvl>
    <w:lvl w:ilvl="5" w:tentative="1">
      <w:start w:val="1"/>
      <w:numFmt w:val="decimal"/>
      <w:lvlText w:val="%6."/>
      <w:lvlJc w:val="left"/>
      <w:pPr>
        <w:tabs>
          <w:tab w:val="num" w:pos="4932"/>
        </w:tabs>
        <w:ind w:left="4932" w:hanging="360"/>
      </w:pPr>
    </w:lvl>
    <w:lvl w:ilvl="6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entative="1">
      <w:start w:val="1"/>
      <w:numFmt w:val="decimal"/>
      <w:lvlText w:val="%8."/>
      <w:lvlJc w:val="left"/>
      <w:pPr>
        <w:tabs>
          <w:tab w:val="num" w:pos="6372"/>
        </w:tabs>
        <w:ind w:left="6372" w:hanging="360"/>
      </w:pPr>
    </w:lvl>
    <w:lvl w:ilvl="8" w:tentative="1">
      <w:start w:val="1"/>
      <w:numFmt w:val="decimal"/>
      <w:lvlText w:val="%9."/>
      <w:lvlJc w:val="left"/>
      <w:pPr>
        <w:tabs>
          <w:tab w:val="num" w:pos="7092"/>
        </w:tabs>
        <w:ind w:left="7092" w:hanging="360"/>
      </w:pPr>
    </w:lvl>
  </w:abstractNum>
  <w:abstractNum w:abstractNumId="31" w15:restartNumberingAfterBreak="0">
    <w:nsid w:val="76BF5FFC"/>
    <w:multiLevelType w:val="hybridMultilevel"/>
    <w:tmpl w:val="ED021786"/>
    <w:lvl w:ilvl="0" w:tplc="040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78E54A42"/>
    <w:multiLevelType w:val="hybridMultilevel"/>
    <w:tmpl w:val="384664A6"/>
    <w:lvl w:ilvl="0" w:tplc="0C764C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5853F4" w:tentative="1">
      <w:start w:val="1"/>
      <w:numFmt w:val="lowerLetter"/>
      <w:lvlText w:val="%2."/>
      <w:lvlJc w:val="left"/>
      <w:pPr>
        <w:ind w:left="1440" w:hanging="360"/>
      </w:pPr>
    </w:lvl>
    <w:lvl w:ilvl="2" w:tplc="38F0A76C" w:tentative="1">
      <w:start w:val="1"/>
      <w:numFmt w:val="lowerRoman"/>
      <w:lvlText w:val="%3."/>
      <w:lvlJc w:val="right"/>
      <w:pPr>
        <w:ind w:left="2160" w:hanging="180"/>
      </w:pPr>
    </w:lvl>
    <w:lvl w:ilvl="3" w:tplc="67CA51A6" w:tentative="1">
      <w:start w:val="1"/>
      <w:numFmt w:val="decimal"/>
      <w:lvlText w:val="%4."/>
      <w:lvlJc w:val="left"/>
      <w:pPr>
        <w:ind w:left="2880" w:hanging="360"/>
      </w:pPr>
    </w:lvl>
    <w:lvl w:ilvl="4" w:tplc="DC6E11B4" w:tentative="1">
      <w:start w:val="1"/>
      <w:numFmt w:val="lowerLetter"/>
      <w:lvlText w:val="%5."/>
      <w:lvlJc w:val="left"/>
      <w:pPr>
        <w:ind w:left="3600" w:hanging="360"/>
      </w:pPr>
    </w:lvl>
    <w:lvl w:ilvl="5" w:tplc="9976D4C4" w:tentative="1">
      <w:start w:val="1"/>
      <w:numFmt w:val="lowerRoman"/>
      <w:lvlText w:val="%6."/>
      <w:lvlJc w:val="right"/>
      <w:pPr>
        <w:ind w:left="4320" w:hanging="180"/>
      </w:pPr>
    </w:lvl>
    <w:lvl w:ilvl="6" w:tplc="F1BE875E" w:tentative="1">
      <w:start w:val="1"/>
      <w:numFmt w:val="decimal"/>
      <w:lvlText w:val="%7."/>
      <w:lvlJc w:val="left"/>
      <w:pPr>
        <w:ind w:left="5040" w:hanging="360"/>
      </w:pPr>
    </w:lvl>
    <w:lvl w:ilvl="7" w:tplc="895C150C" w:tentative="1">
      <w:start w:val="1"/>
      <w:numFmt w:val="lowerLetter"/>
      <w:lvlText w:val="%8."/>
      <w:lvlJc w:val="left"/>
      <w:pPr>
        <w:ind w:left="5760" w:hanging="360"/>
      </w:pPr>
    </w:lvl>
    <w:lvl w:ilvl="8" w:tplc="F182A9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2228C6"/>
    <w:multiLevelType w:val="hybridMultilevel"/>
    <w:tmpl w:val="9962B79C"/>
    <w:lvl w:ilvl="0" w:tplc="60668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2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680A94"/>
    <w:multiLevelType w:val="hybridMultilevel"/>
    <w:tmpl w:val="27BCA64E"/>
    <w:lvl w:ilvl="0" w:tplc="040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CA216D5"/>
    <w:multiLevelType w:val="multilevel"/>
    <w:tmpl w:val="B26EB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29"/>
  </w:num>
  <w:num w:numId="3">
    <w:abstractNumId w:val="20"/>
  </w:num>
  <w:num w:numId="4">
    <w:abstractNumId w:val="19"/>
  </w:num>
  <w:num w:numId="5">
    <w:abstractNumId w:val="26"/>
  </w:num>
  <w:num w:numId="6">
    <w:abstractNumId w:val="12"/>
  </w:num>
  <w:num w:numId="7">
    <w:abstractNumId w:val="10"/>
  </w:num>
  <w:num w:numId="8">
    <w:abstractNumId w:val="15"/>
  </w:num>
  <w:num w:numId="9">
    <w:abstractNumId w:val="34"/>
  </w:num>
  <w:num w:numId="10">
    <w:abstractNumId w:val="22"/>
  </w:num>
  <w:num w:numId="11">
    <w:abstractNumId w:val="7"/>
  </w:num>
  <w:num w:numId="12">
    <w:abstractNumId w:val="1"/>
  </w:num>
  <w:num w:numId="13">
    <w:abstractNumId w:val="2"/>
  </w:num>
  <w:num w:numId="14">
    <w:abstractNumId w:val="3"/>
  </w:num>
  <w:num w:numId="15">
    <w:abstractNumId w:val="11"/>
  </w:num>
  <w:num w:numId="16">
    <w:abstractNumId w:val="6"/>
  </w:num>
  <w:num w:numId="17">
    <w:abstractNumId w:val="21"/>
  </w:num>
  <w:num w:numId="18">
    <w:abstractNumId w:val="31"/>
  </w:num>
  <w:num w:numId="19">
    <w:abstractNumId w:val="23"/>
  </w:num>
  <w:num w:numId="20">
    <w:abstractNumId w:val="27"/>
  </w:num>
  <w:num w:numId="21">
    <w:abstractNumId w:val="16"/>
  </w:num>
  <w:num w:numId="22">
    <w:abstractNumId w:val="28"/>
  </w:num>
  <w:num w:numId="23">
    <w:abstractNumId w:val="35"/>
  </w:num>
  <w:num w:numId="24">
    <w:abstractNumId w:val="30"/>
  </w:num>
  <w:num w:numId="25">
    <w:abstractNumId w:val="17"/>
  </w:num>
  <w:num w:numId="26">
    <w:abstractNumId w:val="9"/>
  </w:num>
  <w:num w:numId="27">
    <w:abstractNumId w:val="5"/>
  </w:num>
  <w:num w:numId="28">
    <w:abstractNumId w:val="4"/>
  </w:num>
  <w:num w:numId="29">
    <w:abstractNumId w:val="32"/>
  </w:num>
  <w:num w:numId="30">
    <w:abstractNumId w:val="18"/>
  </w:num>
  <w:num w:numId="31">
    <w:abstractNumId w:val="14"/>
  </w:num>
  <w:num w:numId="32">
    <w:abstractNumId w:val="8"/>
  </w:num>
  <w:num w:numId="33">
    <w:abstractNumId w:val="25"/>
  </w:num>
  <w:num w:numId="34">
    <w:abstractNumId w:val="13"/>
  </w:num>
  <w:num w:numId="35">
    <w:abstractNumId w:val="0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A96"/>
    <w:rsid w:val="000026E1"/>
    <w:rsid w:val="00005551"/>
    <w:rsid w:val="000064DE"/>
    <w:rsid w:val="00006CAF"/>
    <w:rsid w:val="00010605"/>
    <w:rsid w:val="00010BE3"/>
    <w:rsid w:val="00010CB5"/>
    <w:rsid w:val="00012FC8"/>
    <w:rsid w:val="00017870"/>
    <w:rsid w:val="000254E8"/>
    <w:rsid w:val="00026011"/>
    <w:rsid w:val="0002616A"/>
    <w:rsid w:val="0002640E"/>
    <w:rsid w:val="000341DB"/>
    <w:rsid w:val="000342D2"/>
    <w:rsid w:val="000344F5"/>
    <w:rsid w:val="00042E57"/>
    <w:rsid w:val="00043ED1"/>
    <w:rsid w:val="00046AD6"/>
    <w:rsid w:val="00046BB3"/>
    <w:rsid w:val="0005399E"/>
    <w:rsid w:val="00054AB2"/>
    <w:rsid w:val="00060480"/>
    <w:rsid w:val="00060F5C"/>
    <w:rsid w:val="000635C6"/>
    <w:rsid w:val="00063FC0"/>
    <w:rsid w:val="00064EC3"/>
    <w:rsid w:val="00067413"/>
    <w:rsid w:val="00067E42"/>
    <w:rsid w:val="0007061E"/>
    <w:rsid w:val="000730EA"/>
    <w:rsid w:val="00074334"/>
    <w:rsid w:val="00083E47"/>
    <w:rsid w:val="00084AAA"/>
    <w:rsid w:val="00086A75"/>
    <w:rsid w:val="00092CB8"/>
    <w:rsid w:val="00094A3C"/>
    <w:rsid w:val="000A0469"/>
    <w:rsid w:val="000A260A"/>
    <w:rsid w:val="000A2BF9"/>
    <w:rsid w:val="000A77D1"/>
    <w:rsid w:val="000B09F3"/>
    <w:rsid w:val="000B27E2"/>
    <w:rsid w:val="000B2B7C"/>
    <w:rsid w:val="000B340D"/>
    <w:rsid w:val="000B475E"/>
    <w:rsid w:val="000C0785"/>
    <w:rsid w:val="000C131F"/>
    <w:rsid w:val="000C553C"/>
    <w:rsid w:val="000C7758"/>
    <w:rsid w:val="000D096C"/>
    <w:rsid w:val="000D0EC9"/>
    <w:rsid w:val="000D3D3B"/>
    <w:rsid w:val="000D680F"/>
    <w:rsid w:val="000D6C30"/>
    <w:rsid w:val="000D752F"/>
    <w:rsid w:val="000E3495"/>
    <w:rsid w:val="000E3A0B"/>
    <w:rsid w:val="000F0884"/>
    <w:rsid w:val="000F1513"/>
    <w:rsid w:val="000F379C"/>
    <w:rsid w:val="000F4A5A"/>
    <w:rsid w:val="0010192E"/>
    <w:rsid w:val="001024E2"/>
    <w:rsid w:val="0010449B"/>
    <w:rsid w:val="00106A00"/>
    <w:rsid w:val="00107369"/>
    <w:rsid w:val="00107560"/>
    <w:rsid w:val="00110CF7"/>
    <w:rsid w:val="0011486C"/>
    <w:rsid w:val="00115C06"/>
    <w:rsid w:val="00121C95"/>
    <w:rsid w:val="00122ECC"/>
    <w:rsid w:val="00123FBA"/>
    <w:rsid w:val="00131F7F"/>
    <w:rsid w:val="00132A72"/>
    <w:rsid w:val="001346ED"/>
    <w:rsid w:val="00136875"/>
    <w:rsid w:val="00141400"/>
    <w:rsid w:val="00143D3D"/>
    <w:rsid w:val="001465E4"/>
    <w:rsid w:val="00146DC7"/>
    <w:rsid w:val="00153638"/>
    <w:rsid w:val="00154969"/>
    <w:rsid w:val="00156107"/>
    <w:rsid w:val="0016342B"/>
    <w:rsid w:val="001648B1"/>
    <w:rsid w:val="00173FF7"/>
    <w:rsid w:val="00175277"/>
    <w:rsid w:val="001766B5"/>
    <w:rsid w:val="0017721D"/>
    <w:rsid w:val="00180A96"/>
    <w:rsid w:val="00181131"/>
    <w:rsid w:val="0018248D"/>
    <w:rsid w:val="00182701"/>
    <w:rsid w:val="00184F48"/>
    <w:rsid w:val="00185DAA"/>
    <w:rsid w:val="0018660A"/>
    <w:rsid w:val="001878F4"/>
    <w:rsid w:val="00187DC5"/>
    <w:rsid w:val="001904EA"/>
    <w:rsid w:val="00193C1E"/>
    <w:rsid w:val="00193C94"/>
    <w:rsid w:val="0019484A"/>
    <w:rsid w:val="001961F1"/>
    <w:rsid w:val="00196F6A"/>
    <w:rsid w:val="001A1D67"/>
    <w:rsid w:val="001B171B"/>
    <w:rsid w:val="001B220B"/>
    <w:rsid w:val="001B3434"/>
    <w:rsid w:val="001B5814"/>
    <w:rsid w:val="001B7F95"/>
    <w:rsid w:val="001C7381"/>
    <w:rsid w:val="001D1C69"/>
    <w:rsid w:val="001E0B77"/>
    <w:rsid w:val="001E2827"/>
    <w:rsid w:val="001E45D1"/>
    <w:rsid w:val="001E730A"/>
    <w:rsid w:val="001E74A4"/>
    <w:rsid w:val="001F0834"/>
    <w:rsid w:val="001F3695"/>
    <w:rsid w:val="001F3DCD"/>
    <w:rsid w:val="001F7D97"/>
    <w:rsid w:val="00202B44"/>
    <w:rsid w:val="0020470A"/>
    <w:rsid w:val="0021118C"/>
    <w:rsid w:val="00217E1A"/>
    <w:rsid w:val="00220683"/>
    <w:rsid w:val="0022156E"/>
    <w:rsid w:val="00221EFD"/>
    <w:rsid w:val="00222A98"/>
    <w:rsid w:val="00222E0B"/>
    <w:rsid w:val="00224643"/>
    <w:rsid w:val="0022540F"/>
    <w:rsid w:val="00225B8B"/>
    <w:rsid w:val="0022666D"/>
    <w:rsid w:val="00230FFC"/>
    <w:rsid w:val="00233E5B"/>
    <w:rsid w:val="002343CF"/>
    <w:rsid w:val="0023519D"/>
    <w:rsid w:val="0023797D"/>
    <w:rsid w:val="00243795"/>
    <w:rsid w:val="002441B6"/>
    <w:rsid w:val="00253134"/>
    <w:rsid w:val="0025396F"/>
    <w:rsid w:val="00255EDA"/>
    <w:rsid w:val="00257E9D"/>
    <w:rsid w:val="002647FC"/>
    <w:rsid w:val="0027039D"/>
    <w:rsid w:val="00272D27"/>
    <w:rsid w:val="00273E33"/>
    <w:rsid w:val="0027756A"/>
    <w:rsid w:val="00277968"/>
    <w:rsid w:val="00280729"/>
    <w:rsid w:val="00280FA5"/>
    <w:rsid w:val="002843CC"/>
    <w:rsid w:val="00286824"/>
    <w:rsid w:val="00287835"/>
    <w:rsid w:val="00293646"/>
    <w:rsid w:val="0029494E"/>
    <w:rsid w:val="002952A1"/>
    <w:rsid w:val="002A682E"/>
    <w:rsid w:val="002A7058"/>
    <w:rsid w:val="002B13E5"/>
    <w:rsid w:val="002B5547"/>
    <w:rsid w:val="002B5E84"/>
    <w:rsid w:val="002B6352"/>
    <w:rsid w:val="002B6A5E"/>
    <w:rsid w:val="002C0308"/>
    <w:rsid w:val="002C0EE7"/>
    <w:rsid w:val="002C24D6"/>
    <w:rsid w:val="002C2B96"/>
    <w:rsid w:val="002C33F6"/>
    <w:rsid w:val="002C676C"/>
    <w:rsid w:val="002C6AA1"/>
    <w:rsid w:val="002D0195"/>
    <w:rsid w:val="002D1DE5"/>
    <w:rsid w:val="002D3D6F"/>
    <w:rsid w:val="002E3B76"/>
    <w:rsid w:val="002E6A25"/>
    <w:rsid w:val="002E7448"/>
    <w:rsid w:val="002E7F71"/>
    <w:rsid w:val="002F004E"/>
    <w:rsid w:val="002F375C"/>
    <w:rsid w:val="002F5288"/>
    <w:rsid w:val="002F57B3"/>
    <w:rsid w:val="002F71B0"/>
    <w:rsid w:val="00301A32"/>
    <w:rsid w:val="00302706"/>
    <w:rsid w:val="00305312"/>
    <w:rsid w:val="00305EE4"/>
    <w:rsid w:val="003068EC"/>
    <w:rsid w:val="00310954"/>
    <w:rsid w:val="00312348"/>
    <w:rsid w:val="003216C5"/>
    <w:rsid w:val="00322DF2"/>
    <w:rsid w:val="00324698"/>
    <w:rsid w:val="0033085E"/>
    <w:rsid w:val="00332319"/>
    <w:rsid w:val="003352E4"/>
    <w:rsid w:val="00337394"/>
    <w:rsid w:val="003378D2"/>
    <w:rsid w:val="00343F56"/>
    <w:rsid w:val="00344CB3"/>
    <w:rsid w:val="00345E6E"/>
    <w:rsid w:val="003463B1"/>
    <w:rsid w:val="003465E9"/>
    <w:rsid w:val="00347FFB"/>
    <w:rsid w:val="003503AF"/>
    <w:rsid w:val="003514B0"/>
    <w:rsid w:val="00352A76"/>
    <w:rsid w:val="003546C5"/>
    <w:rsid w:val="00354A47"/>
    <w:rsid w:val="00354F62"/>
    <w:rsid w:val="003562FC"/>
    <w:rsid w:val="00360AAE"/>
    <w:rsid w:val="0036225B"/>
    <w:rsid w:val="003649FE"/>
    <w:rsid w:val="00365A26"/>
    <w:rsid w:val="00366EC5"/>
    <w:rsid w:val="00367BDB"/>
    <w:rsid w:val="003710CA"/>
    <w:rsid w:val="00376BD8"/>
    <w:rsid w:val="00381537"/>
    <w:rsid w:val="00381EFB"/>
    <w:rsid w:val="00381FCB"/>
    <w:rsid w:val="00384D25"/>
    <w:rsid w:val="00385996"/>
    <w:rsid w:val="00387F22"/>
    <w:rsid w:val="003925EA"/>
    <w:rsid w:val="003929E8"/>
    <w:rsid w:val="00392A5C"/>
    <w:rsid w:val="003A0AB7"/>
    <w:rsid w:val="003A3554"/>
    <w:rsid w:val="003A3C33"/>
    <w:rsid w:val="003A4436"/>
    <w:rsid w:val="003A51EE"/>
    <w:rsid w:val="003A6D89"/>
    <w:rsid w:val="003A76FB"/>
    <w:rsid w:val="003B068F"/>
    <w:rsid w:val="003B5242"/>
    <w:rsid w:val="003B6D69"/>
    <w:rsid w:val="003C0EA5"/>
    <w:rsid w:val="003C3837"/>
    <w:rsid w:val="003C3A0C"/>
    <w:rsid w:val="003D03B5"/>
    <w:rsid w:val="003D19D8"/>
    <w:rsid w:val="003D1B97"/>
    <w:rsid w:val="003D48E2"/>
    <w:rsid w:val="003D50A0"/>
    <w:rsid w:val="003D5928"/>
    <w:rsid w:val="003E0C34"/>
    <w:rsid w:val="003E16E5"/>
    <w:rsid w:val="003E2627"/>
    <w:rsid w:val="003E47B6"/>
    <w:rsid w:val="003F1B49"/>
    <w:rsid w:val="003F4287"/>
    <w:rsid w:val="003F4E5F"/>
    <w:rsid w:val="003F7DE4"/>
    <w:rsid w:val="004025FC"/>
    <w:rsid w:val="00402C78"/>
    <w:rsid w:val="00403C04"/>
    <w:rsid w:val="00407154"/>
    <w:rsid w:val="0041713A"/>
    <w:rsid w:val="0041763C"/>
    <w:rsid w:val="00423312"/>
    <w:rsid w:val="00423DE5"/>
    <w:rsid w:val="004241D1"/>
    <w:rsid w:val="004332A2"/>
    <w:rsid w:val="0043367C"/>
    <w:rsid w:val="004345D3"/>
    <w:rsid w:val="00437328"/>
    <w:rsid w:val="004412A4"/>
    <w:rsid w:val="0044165F"/>
    <w:rsid w:val="00445AB5"/>
    <w:rsid w:val="00447264"/>
    <w:rsid w:val="0044744F"/>
    <w:rsid w:val="00452C16"/>
    <w:rsid w:val="004534BE"/>
    <w:rsid w:val="00453B53"/>
    <w:rsid w:val="0045433B"/>
    <w:rsid w:val="00454592"/>
    <w:rsid w:val="00461D58"/>
    <w:rsid w:val="00462FB4"/>
    <w:rsid w:val="00463A2D"/>
    <w:rsid w:val="004666D9"/>
    <w:rsid w:val="00466F0D"/>
    <w:rsid w:val="00467E14"/>
    <w:rsid w:val="00470C16"/>
    <w:rsid w:val="00471251"/>
    <w:rsid w:val="004714A3"/>
    <w:rsid w:val="00481EF1"/>
    <w:rsid w:val="004831ED"/>
    <w:rsid w:val="00486F3A"/>
    <w:rsid w:val="004872E4"/>
    <w:rsid w:val="0049366F"/>
    <w:rsid w:val="004A0521"/>
    <w:rsid w:val="004A1D06"/>
    <w:rsid w:val="004A3F73"/>
    <w:rsid w:val="004A4CCC"/>
    <w:rsid w:val="004A6D7C"/>
    <w:rsid w:val="004B2A74"/>
    <w:rsid w:val="004B2DC5"/>
    <w:rsid w:val="004B3311"/>
    <w:rsid w:val="004B72A3"/>
    <w:rsid w:val="004B7CAD"/>
    <w:rsid w:val="004C3006"/>
    <w:rsid w:val="004C40ED"/>
    <w:rsid w:val="004C6A13"/>
    <w:rsid w:val="004C70D7"/>
    <w:rsid w:val="004D1ADC"/>
    <w:rsid w:val="004D2161"/>
    <w:rsid w:val="004D36AE"/>
    <w:rsid w:val="004D6830"/>
    <w:rsid w:val="004D71D5"/>
    <w:rsid w:val="004D7CC4"/>
    <w:rsid w:val="004E021F"/>
    <w:rsid w:val="004E226B"/>
    <w:rsid w:val="004E75B6"/>
    <w:rsid w:val="004E7AC9"/>
    <w:rsid w:val="004E7BA2"/>
    <w:rsid w:val="004F2C0E"/>
    <w:rsid w:val="004F5FB4"/>
    <w:rsid w:val="004F6009"/>
    <w:rsid w:val="0050223D"/>
    <w:rsid w:val="005036AD"/>
    <w:rsid w:val="00504D49"/>
    <w:rsid w:val="00506919"/>
    <w:rsid w:val="0051016E"/>
    <w:rsid w:val="005125CF"/>
    <w:rsid w:val="00513F3D"/>
    <w:rsid w:val="00514473"/>
    <w:rsid w:val="005160E8"/>
    <w:rsid w:val="005179E4"/>
    <w:rsid w:val="0052001C"/>
    <w:rsid w:val="00520064"/>
    <w:rsid w:val="00521629"/>
    <w:rsid w:val="00521DBC"/>
    <w:rsid w:val="0052342D"/>
    <w:rsid w:val="00524661"/>
    <w:rsid w:val="005249EE"/>
    <w:rsid w:val="00531759"/>
    <w:rsid w:val="00533EB5"/>
    <w:rsid w:val="0053415B"/>
    <w:rsid w:val="005345C0"/>
    <w:rsid w:val="00535F27"/>
    <w:rsid w:val="00537171"/>
    <w:rsid w:val="005434B6"/>
    <w:rsid w:val="00547D66"/>
    <w:rsid w:val="00550907"/>
    <w:rsid w:val="005525F6"/>
    <w:rsid w:val="00552766"/>
    <w:rsid w:val="00554070"/>
    <w:rsid w:val="0055439F"/>
    <w:rsid w:val="00554AEF"/>
    <w:rsid w:val="00561701"/>
    <w:rsid w:val="00562B66"/>
    <w:rsid w:val="00562CEA"/>
    <w:rsid w:val="005636DC"/>
    <w:rsid w:val="005726C0"/>
    <w:rsid w:val="005731A7"/>
    <w:rsid w:val="00574D73"/>
    <w:rsid w:val="00576172"/>
    <w:rsid w:val="005779CD"/>
    <w:rsid w:val="00577EC5"/>
    <w:rsid w:val="005802C9"/>
    <w:rsid w:val="005803D8"/>
    <w:rsid w:val="00583904"/>
    <w:rsid w:val="00593920"/>
    <w:rsid w:val="00593EAA"/>
    <w:rsid w:val="00594AF6"/>
    <w:rsid w:val="00594E81"/>
    <w:rsid w:val="005A07D4"/>
    <w:rsid w:val="005A47B8"/>
    <w:rsid w:val="005A4C4B"/>
    <w:rsid w:val="005A698E"/>
    <w:rsid w:val="005B29BC"/>
    <w:rsid w:val="005B2DD9"/>
    <w:rsid w:val="005B3863"/>
    <w:rsid w:val="005B3EBC"/>
    <w:rsid w:val="005B481A"/>
    <w:rsid w:val="005C1F04"/>
    <w:rsid w:val="005D191C"/>
    <w:rsid w:val="005D2188"/>
    <w:rsid w:val="005D58D1"/>
    <w:rsid w:val="005E2EFA"/>
    <w:rsid w:val="005E5893"/>
    <w:rsid w:val="005E5E03"/>
    <w:rsid w:val="005E7F72"/>
    <w:rsid w:val="005F0160"/>
    <w:rsid w:val="005F061A"/>
    <w:rsid w:val="005F3772"/>
    <w:rsid w:val="005F467B"/>
    <w:rsid w:val="005F49E4"/>
    <w:rsid w:val="005F4D12"/>
    <w:rsid w:val="005F5507"/>
    <w:rsid w:val="00602768"/>
    <w:rsid w:val="006074D4"/>
    <w:rsid w:val="00614674"/>
    <w:rsid w:val="0061540D"/>
    <w:rsid w:val="00616E5C"/>
    <w:rsid w:val="00620D65"/>
    <w:rsid w:val="00623E07"/>
    <w:rsid w:val="00624872"/>
    <w:rsid w:val="006254C3"/>
    <w:rsid w:val="00626477"/>
    <w:rsid w:val="00627490"/>
    <w:rsid w:val="00627A20"/>
    <w:rsid w:val="00627AB1"/>
    <w:rsid w:val="006329F7"/>
    <w:rsid w:val="00633261"/>
    <w:rsid w:val="00634505"/>
    <w:rsid w:val="0063490D"/>
    <w:rsid w:val="006365A9"/>
    <w:rsid w:val="006365E8"/>
    <w:rsid w:val="00636E00"/>
    <w:rsid w:val="00641729"/>
    <w:rsid w:val="006418B2"/>
    <w:rsid w:val="006439C8"/>
    <w:rsid w:val="00644708"/>
    <w:rsid w:val="00647E4F"/>
    <w:rsid w:val="00660B4E"/>
    <w:rsid w:val="00662A3B"/>
    <w:rsid w:val="00662FE2"/>
    <w:rsid w:val="006642E4"/>
    <w:rsid w:val="00672D6B"/>
    <w:rsid w:val="00673BC3"/>
    <w:rsid w:val="00676081"/>
    <w:rsid w:val="00680054"/>
    <w:rsid w:val="00680765"/>
    <w:rsid w:val="006865EB"/>
    <w:rsid w:val="0069196D"/>
    <w:rsid w:val="00694BD9"/>
    <w:rsid w:val="006A15E6"/>
    <w:rsid w:val="006A19C3"/>
    <w:rsid w:val="006A2121"/>
    <w:rsid w:val="006A4C4B"/>
    <w:rsid w:val="006A4E6C"/>
    <w:rsid w:val="006A6719"/>
    <w:rsid w:val="006B0F2D"/>
    <w:rsid w:val="006B1587"/>
    <w:rsid w:val="006B1D9A"/>
    <w:rsid w:val="006C018F"/>
    <w:rsid w:val="006C11B3"/>
    <w:rsid w:val="006D0FBC"/>
    <w:rsid w:val="006D139C"/>
    <w:rsid w:val="006D2969"/>
    <w:rsid w:val="006D2F44"/>
    <w:rsid w:val="006D42E2"/>
    <w:rsid w:val="006E23B5"/>
    <w:rsid w:val="006E4514"/>
    <w:rsid w:val="006E68E4"/>
    <w:rsid w:val="006F07C5"/>
    <w:rsid w:val="006F2AE6"/>
    <w:rsid w:val="006F679A"/>
    <w:rsid w:val="006F7533"/>
    <w:rsid w:val="007003EC"/>
    <w:rsid w:val="00700939"/>
    <w:rsid w:val="00700CA7"/>
    <w:rsid w:val="0070125E"/>
    <w:rsid w:val="007065F3"/>
    <w:rsid w:val="00707F36"/>
    <w:rsid w:val="00714B49"/>
    <w:rsid w:val="007158F0"/>
    <w:rsid w:val="00716C96"/>
    <w:rsid w:val="0071753D"/>
    <w:rsid w:val="007178FE"/>
    <w:rsid w:val="00720DAF"/>
    <w:rsid w:val="00730C6B"/>
    <w:rsid w:val="007345ED"/>
    <w:rsid w:val="00736091"/>
    <w:rsid w:val="0074686C"/>
    <w:rsid w:val="007475AD"/>
    <w:rsid w:val="007505D5"/>
    <w:rsid w:val="00752A6D"/>
    <w:rsid w:val="00752F65"/>
    <w:rsid w:val="0075375F"/>
    <w:rsid w:val="007560B7"/>
    <w:rsid w:val="00760763"/>
    <w:rsid w:val="00774DDC"/>
    <w:rsid w:val="00777646"/>
    <w:rsid w:val="00777BC1"/>
    <w:rsid w:val="00782189"/>
    <w:rsid w:val="00782DAA"/>
    <w:rsid w:val="0078348F"/>
    <w:rsid w:val="00783B16"/>
    <w:rsid w:val="00786D0F"/>
    <w:rsid w:val="007871B8"/>
    <w:rsid w:val="00791BA0"/>
    <w:rsid w:val="00794DB4"/>
    <w:rsid w:val="0079594A"/>
    <w:rsid w:val="00796AE4"/>
    <w:rsid w:val="007B1A0B"/>
    <w:rsid w:val="007C1C6A"/>
    <w:rsid w:val="007C1E35"/>
    <w:rsid w:val="007C2EDC"/>
    <w:rsid w:val="007C3191"/>
    <w:rsid w:val="007C3B15"/>
    <w:rsid w:val="007D0768"/>
    <w:rsid w:val="007D2832"/>
    <w:rsid w:val="007D2E4E"/>
    <w:rsid w:val="007D4BB1"/>
    <w:rsid w:val="007E0C4D"/>
    <w:rsid w:val="007E1958"/>
    <w:rsid w:val="007E30B9"/>
    <w:rsid w:val="007E41B7"/>
    <w:rsid w:val="007E6DFB"/>
    <w:rsid w:val="007E7033"/>
    <w:rsid w:val="007E742F"/>
    <w:rsid w:val="007F16A7"/>
    <w:rsid w:val="007F23C3"/>
    <w:rsid w:val="007F6805"/>
    <w:rsid w:val="0080444C"/>
    <w:rsid w:val="008066B4"/>
    <w:rsid w:val="008072BD"/>
    <w:rsid w:val="00807D94"/>
    <w:rsid w:val="00811E3D"/>
    <w:rsid w:val="00822196"/>
    <w:rsid w:val="008225C2"/>
    <w:rsid w:val="00822F13"/>
    <w:rsid w:val="00823823"/>
    <w:rsid w:val="00826CC1"/>
    <w:rsid w:val="00827EB4"/>
    <w:rsid w:val="008357DC"/>
    <w:rsid w:val="0084112B"/>
    <w:rsid w:val="00843696"/>
    <w:rsid w:val="008444C6"/>
    <w:rsid w:val="008451BE"/>
    <w:rsid w:val="0085157B"/>
    <w:rsid w:val="008522C0"/>
    <w:rsid w:val="00852F4F"/>
    <w:rsid w:val="00853020"/>
    <w:rsid w:val="008546F3"/>
    <w:rsid w:val="00854CD2"/>
    <w:rsid w:val="0085565B"/>
    <w:rsid w:val="00856332"/>
    <w:rsid w:val="008574C5"/>
    <w:rsid w:val="00860316"/>
    <w:rsid w:val="00860CB2"/>
    <w:rsid w:val="008620B7"/>
    <w:rsid w:val="008624E5"/>
    <w:rsid w:val="00865D7E"/>
    <w:rsid w:val="00870682"/>
    <w:rsid w:val="008722E7"/>
    <w:rsid w:val="00872FCE"/>
    <w:rsid w:val="00876C7D"/>
    <w:rsid w:val="00882046"/>
    <w:rsid w:val="00887CE2"/>
    <w:rsid w:val="00890B33"/>
    <w:rsid w:val="00890E5F"/>
    <w:rsid w:val="00891894"/>
    <w:rsid w:val="00892487"/>
    <w:rsid w:val="00893252"/>
    <w:rsid w:val="008936B8"/>
    <w:rsid w:val="00894660"/>
    <w:rsid w:val="00894F59"/>
    <w:rsid w:val="00895411"/>
    <w:rsid w:val="00895FB2"/>
    <w:rsid w:val="00896BE2"/>
    <w:rsid w:val="008A5149"/>
    <w:rsid w:val="008A5CBE"/>
    <w:rsid w:val="008A74AA"/>
    <w:rsid w:val="008B1AE3"/>
    <w:rsid w:val="008B5044"/>
    <w:rsid w:val="008B7662"/>
    <w:rsid w:val="008C3956"/>
    <w:rsid w:val="008D27DE"/>
    <w:rsid w:val="008D593B"/>
    <w:rsid w:val="008D7206"/>
    <w:rsid w:val="008E0F24"/>
    <w:rsid w:val="008E30EE"/>
    <w:rsid w:val="008E39EA"/>
    <w:rsid w:val="008E3B1B"/>
    <w:rsid w:val="008E44BB"/>
    <w:rsid w:val="008E49F9"/>
    <w:rsid w:val="008F11E9"/>
    <w:rsid w:val="008F1D22"/>
    <w:rsid w:val="008F2142"/>
    <w:rsid w:val="008F2BD2"/>
    <w:rsid w:val="008F732D"/>
    <w:rsid w:val="00903958"/>
    <w:rsid w:val="00906C5A"/>
    <w:rsid w:val="009071DA"/>
    <w:rsid w:val="009150E5"/>
    <w:rsid w:val="00915101"/>
    <w:rsid w:val="0091791A"/>
    <w:rsid w:val="00923025"/>
    <w:rsid w:val="00926F1A"/>
    <w:rsid w:val="0093094A"/>
    <w:rsid w:val="00934C10"/>
    <w:rsid w:val="00934FD8"/>
    <w:rsid w:val="009360C2"/>
    <w:rsid w:val="00936196"/>
    <w:rsid w:val="0093689C"/>
    <w:rsid w:val="00937B3C"/>
    <w:rsid w:val="00940E54"/>
    <w:rsid w:val="00944587"/>
    <w:rsid w:val="0094458F"/>
    <w:rsid w:val="009545CA"/>
    <w:rsid w:val="0095468D"/>
    <w:rsid w:val="00954DBA"/>
    <w:rsid w:val="00956698"/>
    <w:rsid w:val="009575C7"/>
    <w:rsid w:val="0095787A"/>
    <w:rsid w:val="00963A3E"/>
    <w:rsid w:val="00963D13"/>
    <w:rsid w:val="0096419B"/>
    <w:rsid w:val="009651BE"/>
    <w:rsid w:val="00965BCC"/>
    <w:rsid w:val="009661AC"/>
    <w:rsid w:val="00971260"/>
    <w:rsid w:val="00971D84"/>
    <w:rsid w:val="009740C4"/>
    <w:rsid w:val="0097659E"/>
    <w:rsid w:val="009766F8"/>
    <w:rsid w:val="00980679"/>
    <w:rsid w:val="00980866"/>
    <w:rsid w:val="009820FB"/>
    <w:rsid w:val="0099368D"/>
    <w:rsid w:val="00994987"/>
    <w:rsid w:val="00994F4A"/>
    <w:rsid w:val="009958C4"/>
    <w:rsid w:val="0099699E"/>
    <w:rsid w:val="009A295F"/>
    <w:rsid w:val="009A691D"/>
    <w:rsid w:val="009A77A8"/>
    <w:rsid w:val="009B1D6C"/>
    <w:rsid w:val="009B3246"/>
    <w:rsid w:val="009C5E24"/>
    <w:rsid w:val="009C6446"/>
    <w:rsid w:val="009D0C89"/>
    <w:rsid w:val="009D2E17"/>
    <w:rsid w:val="009D33A4"/>
    <w:rsid w:val="009E13F2"/>
    <w:rsid w:val="009E4A1E"/>
    <w:rsid w:val="009F12A4"/>
    <w:rsid w:val="009F16B1"/>
    <w:rsid w:val="009F54DD"/>
    <w:rsid w:val="009F5DCB"/>
    <w:rsid w:val="00A00DC0"/>
    <w:rsid w:val="00A0110C"/>
    <w:rsid w:val="00A01F50"/>
    <w:rsid w:val="00A043E5"/>
    <w:rsid w:val="00A0693A"/>
    <w:rsid w:val="00A06ED5"/>
    <w:rsid w:val="00A07104"/>
    <w:rsid w:val="00A14483"/>
    <w:rsid w:val="00A15758"/>
    <w:rsid w:val="00A15E7C"/>
    <w:rsid w:val="00A16296"/>
    <w:rsid w:val="00A16804"/>
    <w:rsid w:val="00A239D9"/>
    <w:rsid w:val="00A24C07"/>
    <w:rsid w:val="00A25B34"/>
    <w:rsid w:val="00A34DAF"/>
    <w:rsid w:val="00A361E7"/>
    <w:rsid w:val="00A4054F"/>
    <w:rsid w:val="00A41BAB"/>
    <w:rsid w:val="00A42BA4"/>
    <w:rsid w:val="00A437AA"/>
    <w:rsid w:val="00A43928"/>
    <w:rsid w:val="00A43BA4"/>
    <w:rsid w:val="00A4652E"/>
    <w:rsid w:val="00A4771E"/>
    <w:rsid w:val="00A5145B"/>
    <w:rsid w:val="00A51759"/>
    <w:rsid w:val="00A51768"/>
    <w:rsid w:val="00A52B54"/>
    <w:rsid w:val="00A54188"/>
    <w:rsid w:val="00A55EE1"/>
    <w:rsid w:val="00A64738"/>
    <w:rsid w:val="00A64D14"/>
    <w:rsid w:val="00A659F6"/>
    <w:rsid w:val="00A662DC"/>
    <w:rsid w:val="00A66B8C"/>
    <w:rsid w:val="00A73923"/>
    <w:rsid w:val="00A81CC8"/>
    <w:rsid w:val="00A85B77"/>
    <w:rsid w:val="00AA2DD9"/>
    <w:rsid w:val="00AA4064"/>
    <w:rsid w:val="00AA7CE6"/>
    <w:rsid w:val="00AB3682"/>
    <w:rsid w:val="00AC19E0"/>
    <w:rsid w:val="00AC38D4"/>
    <w:rsid w:val="00AC5FF6"/>
    <w:rsid w:val="00AD1067"/>
    <w:rsid w:val="00AD2C91"/>
    <w:rsid w:val="00AD397F"/>
    <w:rsid w:val="00AD70A6"/>
    <w:rsid w:val="00AE4218"/>
    <w:rsid w:val="00AE60F1"/>
    <w:rsid w:val="00AE7FD2"/>
    <w:rsid w:val="00AF00B5"/>
    <w:rsid w:val="00AF02F7"/>
    <w:rsid w:val="00AF1AEA"/>
    <w:rsid w:val="00AF2931"/>
    <w:rsid w:val="00AF32D4"/>
    <w:rsid w:val="00AF6C36"/>
    <w:rsid w:val="00B02202"/>
    <w:rsid w:val="00B0242D"/>
    <w:rsid w:val="00B06026"/>
    <w:rsid w:val="00B075FB"/>
    <w:rsid w:val="00B07F45"/>
    <w:rsid w:val="00B108A0"/>
    <w:rsid w:val="00B11245"/>
    <w:rsid w:val="00B12729"/>
    <w:rsid w:val="00B127B6"/>
    <w:rsid w:val="00B12C2F"/>
    <w:rsid w:val="00B14AB1"/>
    <w:rsid w:val="00B15364"/>
    <w:rsid w:val="00B16390"/>
    <w:rsid w:val="00B22318"/>
    <w:rsid w:val="00B2749B"/>
    <w:rsid w:val="00B3546D"/>
    <w:rsid w:val="00B37595"/>
    <w:rsid w:val="00B37CFF"/>
    <w:rsid w:val="00B40500"/>
    <w:rsid w:val="00B416B8"/>
    <w:rsid w:val="00B41F6F"/>
    <w:rsid w:val="00B44AA7"/>
    <w:rsid w:val="00B461BA"/>
    <w:rsid w:val="00B50BE9"/>
    <w:rsid w:val="00B50D72"/>
    <w:rsid w:val="00B51101"/>
    <w:rsid w:val="00B53001"/>
    <w:rsid w:val="00B5355F"/>
    <w:rsid w:val="00B540CB"/>
    <w:rsid w:val="00B61357"/>
    <w:rsid w:val="00B70BDA"/>
    <w:rsid w:val="00B75F5A"/>
    <w:rsid w:val="00B82604"/>
    <w:rsid w:val="00B82F35"/>
    <w:rsid w:val="00B84E6F"/>
    <w:rsid w:val="00B850DC"/>
    <w:rsid w:val="00B869C0"/>
    <w:rsid w:val="00B8716F"/>
    <w:rsid w:val="00B926B7"/>
    <w:rsid w:val="00BA677F"/>
    <w:rsid w:val="00BA6B15"/>
    <w:rsid w:val="00BA79FB"/>
    <w:rsid w:val="00BB6DCE"/>
    <w:rsid w:val="00BB797A"/>
    <w:rsid w:val="00BC1247"/>
    <w:rsid w:val="00BC4100"/>
    <w:rsid w:val="00BC4B8E"/>
    <w:rsid w:val="00BC5C2E"/>
    <w:rsid w:val="00BC6664"/>
    <w:rsid w:val="00BC6E20"/>
    <w:rsid w:val="00BC7B2D"/>
    <w:rsid w:val="00BD44F2"/>
    <w:rsid w:val="00BD4803"/>
    <w:rsid w:val="00BD612A"/>
    <w:rsid w:val="00BD7A98"/>
    <w:rsid w:val="00BE406B"/>
    <w:rsid w:val="00BE43A8"/>
    <w:rsid w:val="00BE5EF9"/>
    <w:rsid w:val="00BE6627"/>
    <w:rsid w:val="00BF1D50"/>
    <w:rsid w:val="00BF1D69"/>
    <w:rsid w:val="00BF451B"/>
    <w:rsid w:val="00BF6F19"/>
    <w:rsid w:val="00C01769"/>
    <w:rsid w:val="00C034E2"/>
    <w:rsid w:val="00C0441F"/>
    <w:rsid w:val="00C04DF3"/>
    <w:rsid w:val="00C06A54"/>
    <w:rsid w:val="00C11CF9"/>
    <w:rsid w:val="00C12484"/>
    <w:rsid w:val="00C1665D"/>
    <w:rsid w:val="00C17291"/>
    <w:rsid w:val="00C23ABA"/>
    <w:rsid w:val="00C23BFD"/>
    <w:rsid w:val="00C24CC2"/>
    <w:rsid w:val="00C24FBB"/>
    <w:rsid w:val="00C25078"/>
    <w:rsid w:val="00C2781F"/>
    <w:rsid w:val="00C30178"/>
    <w:rsid w:val="00C32B5B"/>
    <w:rsid w:val="00C3414E"/>
    <w:rsid w:val="00C377CB"/>
    <w:rsid w:val="00C40DAA"/>
    <w:rsid w:val="00C42B80"/>
    <w:rsid w:val="00C42E85"/>
    <w:rsid w:val="00C440BB"/>
    <w:rsid w:val="00C44C4D"/>
    <w:rsid w:val="00C6237E"/>
    <w:rsid w:val="00C628CB"/>
    <w:rsid w:val="00C63049"/>
    <w:rsid w:val="00C647EA"/>
    <w:rsid w:val="00C64CA2"/>
    <w:rsid w:val="00C67841"/>
    <w:rsid w:val="00C73316"/>
    <w:rsid w:val="00C80CA6"/>
    <w:rsid w:val="00C81961"/>
    <w:rsid w:val="00C90A02"/>
    <w:rsid w:val="00C93754"/>
    <w:rsid w:val="00C95248"/>
    <w:rsid w:val="00C9692B"/>
    <w:rsid w:val="00C9747A"/>
    <w:rsid w:val="00C97CE3"/>
    <w:rsid w:val="00CA6475"/>
    <w:rsid w:val="00CA7BA4"/>
    <w:rsid w:val="00CB23BE"/>
    <w:rsid w:val="00CB36D3"/>
    <w:rsid w:val="00CB4B09"/>
    <w:rsid w:val="00CB78C1"/>
    <w:rsid w:val="00CC1A63"/>
    <w:rsid w:val="00CC6E5E"/>
    <w:rsid w:val="00CD1055"/>
    <w:rsid w:val="00CD34B9"/>
    <w:rsid w:val="00CD388F"/>
    <w:rsid w:val="00CD50B2"/>
    <w:rsid w:val="00CD68DB"/>
    <w:rsid w:val="00CD6975"/>
    <w:rsid w:val="00CD707E"/>
    <w:rsid w:val="00CE1E35"/>
    <w:rsid w:val="00CE42E7"/>
    <w:rsid w:val="00CE44EC"/>
    <w:rsid w:val="00CE4FB3"/>
    <w:rsid w:val="00CE5E9F"/>
    <w:rsid w:val="00CE7758"/>
    <w:rsid w:val="00CF4E59"/>
    <w:rsid w:val="00CF5822"/>
    <w:rsid w:val="00D01B62"/>
    <w:rsid w:val="00D04F9B"/>
    <w:rsid w:val="00D11EB9"/>
    <w:rsid w:val="00D1451E"/>
    <w:rsid w:val="00D21C8F"/>
    <w:rsid w:val="00D237D1"/>
    <w:rsid w:val="00D2471E"/>
    <w:rsid w:val="00D258F3"/>
    <w:rsid w:val="00D30610"/>
    <w:rsid w:val="00D33240"/>
    <w:rsid w:val="00D33956"/>
    <w:rsid w:val="00D35CB0"/>
    <w:rsid w:val="00D370B7"/>
    <w:rsid w:val="00D37F53"/>
    <w:rsid w:val="00D42600"/>
    <w:rsid w:val="00D44094"/>
    <w:rsid w:val="00D4572F"/>
    <w:rsid w:val="00D46B96"/>
    <w:rsid w:val="00D471B7"/>
    <w:rsid w:val="00D54505"/>
    <w:rsid w:val="00D57708"/>
    <w:rsid w:val="00D61D5D"/>
    <w:rsid w:val="00D66926"/>
    <w:rsid w:val="00D66A09"/>
    <w:rsid w:val="00D66E41"/>
    <w:rsid w:val="00D72232"/>
    <w:rsid w:val="00D724F2"/>
    <w:rsid w:val="00D77E7E"/>
    <w:rsid w:val="00D80EC8"/>
    <w:rsid w:val="00D82DDF"/>
    <w:rsid w:val="00D840A6"/>
    <w:rsid w:val="00D84787"/>
    <w:rsid w:val="00D90EED"/>
    <w:rsid w:val="00D932D3"/>
    <w:rsid w:val="00D93725"/>
    <w:rsid w:val="00D9385B"/>
    <w:rsid w:val="00D959A3"/>
    <w:rsid w:val="00D97BCB"/>
    <w:rsid w:val="00DA195F"/>
    <w:rsid w:val="00DA3613"/>
    <w:rsid w:val="00DA6039"/>
    <w:rsid w:val="00DA7504"/>
    <w:rsid w:val="00DA7E69"/>
    <w:rsid w:val="00DB2EE3"/>
    <w:rsid w:val="00DB434E"/>
    <w:rsid w:val="00DB5358"/>
    <w:rsid w:val="00DB6554"/>
    <w:rsid w:val="00DB716B"/>
    <w:rsid w:val="00DC0446"/>
    <w:rsid w:val="00DC1F02"/>
    <w:rsid w:val="00DC28B6"/>
    <w:rsid w:val="00DC72C2"/>
    <w:rsid w:val="00DC754A"/>
    <w:rsid w:val="00DC7E11"/>
    <w:rsid w:val="00DD01CB"/>
    <w:rsid w:val="00DD1066"/>
    <w:rsid w:val="00DD1AC9"/>
    <w:rsid w:val="00DD2A04"/>
    <w:rsid w:val="00DD3FBB"/>
    <w:rsid w:val="00DD448E"/>
    <w:rsid w:val="00DD4D72"/>
    <w:rsid w:val="00DD5E80"/>
    <w:rsid w:val="00DD76BE"/>
    <w:rsid w:val="00DD7D4C"/>
    <w:rsid w:val="00DD7DCC"/>
    <w:rsid w:val="00DE13A8"/>
    <w:rsid w:val="00DE7FBE"/>
    <w:rsid w:val="00DF0E59"/>
    <w:rsid w:val="00DF2128"/>
    <w:rsid w:val="00DF2167"/>
    <w:rsid w:val="00DF4E7D"/>
    <w:rsid w:val="00DF5B50"/>
    <w:rsid w:val="00E0200C"/>
    <w:rsid w:val="00E046F1"/>
    <w:rsid w:val="00E04E8D"/>
    <w:rsid w:val="00E06091"/>
    <w:rsid w:val="00E064AB"/>
    <w:rsid w:val="00E07472"/>
    <w:rsid w:val="00E12F6A"/>
    <w:rsid w:val="00E1321C"/>
    <w:rsid w:val="00E20005"/>
    <w:rsid w:val="00E20B95"/>
    <w:rsid w:val="00E20DA5"/>
    <w:rsid w:val="00E22F0B"/>
    <w:rsid w:val="00E254E7"/>
    <w:rsid w:val="00E2693A"/>
    <w:rsid w:val="00E27B80"/>
    <w:rsid w:val="00E33FB8"/>
    <w:rsid w:val="00E3444B"/>
    <w:rsid w:val="00E34E2A"/>
    <w:rsid w:val="00E361E6"/>
    <w:rsid w:val="00E431EE"/>
    <w:rsid w:val="00E435E5"/>
    <w:rsid w:val="00E443C0"/>
    <w:rsid w:val="00E46460"/>
    <w:rsid w:val="00E47FE1"/>
    <w:rsid w:val="00E515E2"/>
    <w:rsid w:val="00E539C6"/>
    <w:rsid w:val="00E571D6"/>
    <w:rsid w:val="00E60A9C"/>
    <w:rsid w:val="00E60F7A"/>
    <w:rsid w:val="00E6152A"/>
    <w:rsid w:val="00E6685B"/>
    <w:rsid w:val="00E66D62"/>
    <w:rsid w:val="00E77E75"/>
    <w:rsid w:val="00E81184"/>
    <w:rsid w:val="00E82612"/>
    <w:rsid w:val="00E86447"/>
    <w:rsid w:val="00E916C3"/>
    <w:rsid w:val="00E95AD2"/>
    <w:rsid w:val="00E95B53"/>
    <w:rsid w:val="00E96D4A"/>
    <w:rsid w:val="00EA14CE"/>
    <w:rsid w:val="00EA1577"/>
    <w:rsid w:val="00EA6C34"/>
    <w:rsid w:val="00EA6F98"/>
    <w:rsid w:val="00EA724C"/>
    <w:rsid w:val="00EB03FA"/>
    <w:rsid w:val="00EB0CF4"/>
    <w:rsid w:val="00EB0F0C"/>
    <w:rsid w:val="00EB0FF5"/>
    <w:rsid w:val="00EB38B3"/>
    <w:rsid w:val="00EB4EEF"/>
    <w:rsid w:val="00EB66E4"/>
    <w:rsid w:val="00EC0E13"/>
    <w:rsid w:val="00EC51BB"/>
    <w:rsid w:val="00EC6FFD"/>
    <w:rsid w:val="00ED242D"/>
    <w:rsid w:val="00ED7EF8"/>
    <w:rsid w:val="00EE03C6"/>
    <w:rsid w:val="00EE10B7"/>
    <w:rsid w:val="00EE6A85"/>
    <w:rsid w:val="00EF1672"/>
    <w:rsid w:val="00EF1F95"/>
    <w:rsid w:val="00EF6A09"/>
    <w:rsid w:val="00F03B31"/>
    <w:rsid w:val="00F14396"/>
    <w:rsid w:val="00F1494D"/>
    <w:rsid w:val="00F21E18"/>
    <w:rsid w:val="00F27F6B"/>
    <w:rsid w:val="00F303AC"/>
    <w:rsid w:val="00F33E40"/>
    <w:rsid w:val="00F3427A"/>
    <w:rsid w:val="00F419F2"/>
    <w:rsid w:val="00F42BDF"/>
    <w:rsid w:val="00F438C0"/>
    <w:rsid w:val="00F43F46"/>
    <w:rsid w:val="00F445FB"/>
    <w:rsid w:val="00F50F06"/>
    <w:rsid w:val="00F54501"/>
    <w:rsid w:val="00F57B89"/>
    <w:rsid w:val="00F57E24"/>
    <w:rsid w:val="00F6055B"/>
    <w:rsid w:val="00F613F1"/>
    <w:rsid w:val="00F74506"/>
    <w:rsid w:val="00F7456A"/>
    <w:rsid w:val="00F75945"/>
    <w:rsid w:val="00F76A15"/>
    <w:rsid w:val="00F804AE"/>
    <w:rsid w:val="00F81526"/>
    <w:rsid w:val="00F81DA6"/>
    <w:rsid w:val="00F85762"/>
    <w:rsid w:val="00F9037A"/>
    <w:rsid w:val="00F9109C"/>
    <w:rsid w:val="00F978CD"/>
    <w:rsid w:val="00FA0618"/>
    <w:rsid w:val="00FA1410"/>
    <w:rsid w:val="00FA2CB5"/>
    <w:rsid w:val="00FA576C"/>
    <w:rsid w:val="00FA6D58"/>
    <w:rsid w:val="00FA703F"/>
    <w:rsid w:val="00FB3F68"/>
    <w:rsid w:val="00FC3081"/>
    <w:rsid w:val="00FC35BC"/>
    <w:rsid w:val="00FC4EAA"/>
    <w:rsid w:val="00FD1C40"/>
    <w:rsid w:val="00FD3405"/>
    <w:rsid w:val="00FD4068"/>
    <w:rsid w:val="00FD6BE1"/>
    <w:rsid w:val="00FE0E7C"/>
    <w:rsid w:val="00FE1AB5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6F2E29C2"/>
  <w15:chartTrackingRefBased/>
  <w15:docId w15:val="{34EE049E-4AE6-44DC-B3A6-F3A5DB929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ind w:left="1080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bCs/>
      <w:sz w:val="28"/>
    </w:rPr>
  </w:style>
  <w:style w:type="paragraph" w:customStyle="1" w:styleId="Arielodstavec12">
    <w:name w:val="Ariel odstavec 12"/>
    <w:basedOn w:val="Normln"/>
    <w:pPr>
      <w:jc w:val="both"/>
    </w:pPr>
    <w:rPr>
      <w:rFonts w:ascii="Arial" w:hAnsi="Arial"/>
      <w:szCs w:val="20"/>
    </w:rPr>
  </w:style>
  <w:style w:type="paragraph" w:customStyle="1" w:styleId="Normln0">
    <w:name w:val="Norm‡ln’"/>
    <w:rPr>
      <w:sz w:val="24"/>
    </w:rPr>
  </w:style>
  <w:style w:type="paragraph" w:customStyle="1" w:styleId="zkladntextmj">
    <w:name w:val="základní text můj"/>
    <w:basedOn w:val="Normln"/>
    <w:pPr>
      <w:jc w:val="both"/>
    </w:pPr>
    <w:rPr>
      <w:szCs w:val="20"/>
    </w:rPr>
  </w:style>
  <w:style w:type="paragraph" w:customStyle="1" w:styleId="Odstavce">
    <w:name w:val="Odstavce"/>
    <w:basedOn w:val="Normln"/>
    <w:pPr>
      <w:spacing w:before="60" w:line="360" w:lineRule="atLeast"/>
      <w:ind w:firstLine="567"/>
      <w:jc w:val="both"/>
    </w:pPr>
    <w:rPr>
      <w:szCs w:val="20"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  <w:rPr>
      <w:szCs w:val="20"/>
      <w:lang w:val="x-none" w:eastAsia="x-none"/>
    </w:rPr>
  </w:style>
  <w:style w:type="paragraph" w:styleId="Zkladntext2">
    <w:name w:val="Body Text 2"/>
    <w:basedOn w:val="Normln"/>
    <w:link w:val="Zkladntext2Char"/>
    <w:pPr>
      <w:spacing w:after="120" w:line="480" w:lineRule="auto"/>
    </w:pPr>
    <w:rPr>
      <w:lang w:val="x-none" w:eastAsia="x-non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pPr>
      <w:spacing w:after="120"/>
      <w:jc w:val="both"/>
    </w:pPr>
    <w:rPr>
      <w:b/>
    </w:rPr>
  </w:style>
  <w:style w:type="paragraph" w:styleId="Rozloendokumentu">
    <w:name w:val="Document Map"/>
    <w:aliases w:val="Rozvržení dokumentu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  <w:rPr>
      <w:rFonts w:ascii="Arial" w:hAnsi="Arial"/>
      <w:sz w:val="20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rFonts w:ascii="Arial" w:hAnsi="Arial"/>
      <w:b/>
      <w:kern w:val="24"/>
    </w:rPr>
  </w:style>
  <w:style w:type="paragraph" w:customStyle="1" w:styleId="Tab">
    <w:name w:val="Tab"/>
    <w:basedOn w:val="Normln"/>
    <w:next w:val="Normln"/>
    <w:pPr>
      <w:spacing w:before="240" w:after="60"/>
      <w:jc w:val="center"/>
    </w:pPr>
    <w:rPr>
      <w:rFonts w:eastAsia="Batang"/>
      <w:b/>
      <w:bCs/>
    </w:rPr>
  </w:style>
  <w:style w:type="paragraph" w:customStyle="1" w:styleId="Texttabulky">
    <w:name w:val="Text tabulky"/>
    <w:basedOn w:val="Normln"/>
    <w:pPr>
      <w:widowControl w:val="0"/>
      <w:spacing w:before="60" w:after="60"/>
    </w:pPr>
    <w:rPr>
      <w:rFonts w:ascii="Arial" w:hAnsi="Arial"/>
      <w:sz w:val="20"/>
    </w:rPr>
  </w:style>
  <w:style w:type="paragraph" w:styleId="Zkladntextodsazen2">
    <w:name w:val="Body Text Indent 2"/>
    <w:basedOn w:val="Normln"/>
    <w:link w:val="Zkladntextodsazen2Char"/>
    <w:pPr>
      <w:spacing w:after="120" w:line="480" w:lineRule="auto"/>
      <w:ind w:left="283"/>
    </w:pPr>
    <w:rPr>
      <w:lang w:val="x-none" w:eastAsia="x-none"/>
    </w:rPr>
  </w:style>
  <w:style w:type="table" w:styleId="Mkatabulky">
    <w:name w:val="Table Grid"/>
    <w:basedOn w:val="Normlntabulk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strnky">
    <w:name w:val="page number"/>
    <w:basedOn w:val="Standardnpsmoodstavce"/>
  </w:style>
  <w:style w:type="paragraph" w:customStyle="1" w:styleId="Standard2">
    <w:name w:val="Standard2"/>
    <w:basedOn w:val="Normln"/>
    <w:next w:val="Normln"/>
    <w:pPr>
      <w:overflowPunct w:val="0"/>
      <w:autoSpaceDE w:val="0"/>
      <w:autoSpaceDN w:val="0"/>
      <w:adjustRightInd w:val="0"/>
      <w:spacing w:line="300" w:lineRule="auto"/>
      <w:jc w:val="both"/>
      <w:textAlignment w:val="baseline"/>
    </w:pPr>
    <w:rPr>
      <w:rFonts w:eastAsia="Batang"/>
    </w:rPr>
  </w:style>
  <w:style w:type="paragraph" w:styleId="Revize">
    <w:name w:val="Revision"/>
    <w:hidden/>
    <w:uiPriority w:val="99"/>
    <w:semiHidden/>
    <w:rsid w:val="00D370B7"/>
    <w:rPr>
      <w:sz w:val="24"/>
      <w:szCs w:val="24"/>
    </w:rPr>
  </w:style>
  <w:style w:type="character" w:styleId="Odkaznakoment">
    <w:name w:val="annotation reference"/>
    <w:rsid w:val="002343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43CF"/>
    <w:rPr>
      <w:rFonts w:ascii="Arial" w:hAnsi="Arial"/>
      <w:b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2343CF"/>
    <w:rPr>
      <w:rFonts w:ascii="Arial" w:hAnsi="Arial"/>
      <w:b/>
    </w:rPr>
  </w:style>
  <w:style w:type="paragraph" w:styleId="Pedmtkomente">
    <w:name w:val="annotation subject"/>
    <w:basedOn w:val="Textkomente"/>
    <w:next w:val="Textkomente"/>
    <w:link w:val="PedmtkomenteChar"/>
    <w:rsid w:val="000C553C"/>
    <w:rPr>
      <w:bCs/>
    </w:rPr>
  </w:style>
  <w:style w:type="character" w:customStyle="1" w:styleId="PedmtkomenteChar">
    <w:name w:val="Předmět komentáře Char"/>
    <w:link w:val="Pedmtkomente"/>
    <w:rsid w:val="000C553C"/>
    <w:rPr>
      <w:rFonts w:ascii="Arial" w:hAnsi="Arial"/>
      <w:b/>
      <w:bCs/>
    </w:rPr>
  </w:style>
  <w:style w:type="character" w:styleId="Siln">
    <w:name w:val="Strong"/>
    <w:uiPriority w:val="22"/>
    <w:qFormat/>
    <w:rsid w:val="007E1958"/>
    <w:rPr>
      <w:b/>
      <w:bCs/>
    </w:rPr>
  </w:style>
  <w:style w:type="character" w:customStyle="1" w:styleId="ZkladntextodsazenChar">
    <w:name w:val="Základní text odsazený Char"/>
    <w:link w:val="Zkladntextodsazen"/>
    <w:rsid w:val="00C63049"/>
    <w:rPr>
      <w:sz w:val="24"/>
    </w:rPr>
  </w:style>
  <w:style w:type="paragraph" w:customStyle="1" w:styleId="Default">
    <w:name w:val="Default"/>
    <w:basedOn w:val="Normln"/>
    <w:rsid w:val="00E07472"/>
    <w:pPr>
      <w:autoSpaceDE w:val="0"/>
      <w:autoSpaceDN w:val="0"/>
    </w:pPr>
    <w:rPr>
      <w:rFonts w:eastAsia="Calibri"/>
      <w:color w:val="000000"/>
    </w:rPr>
  </w:style>
  <w:style w:type="paragraph" w:customStyle="1" w:styleId="perex">
    <w:name w:val="perex"/>
    <w:basedOn w:val="Normln"/>
    <w:rsid w:val="00BE43A8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unhideWhenUsed/>
    <w:rsid w:val="00BE43A8"/>
    <w:pPr>
      <w:spacing w:before="100" w:beforeAutospacing="1" w:after="100" w:afterAutospacing="1"/>
    </w:pPr>
  </w:style>
  <w:style w:type="character" w:customStyle="1" w:styleId="Zkladntextodsazen2Char">
    <w:name w:val="Základní text odsazený 2 Char"/>
    <w:link w:val="Zkladntextodsazen2"/>
    <w:rsid w:val="007E0C4D"/>
    <w:rPr>
      <w:sz w:val="24"/>
      <w:szCs w:val="24"/>
    </w:rPr>
  </w:style>
  <w:style w:type="character" w:customStyle="1" w:styleId="Zkladntext2Char">
    <w:name w:val="Základní text 2 Char"/>
    <w:link w:val="Zkladntext2"/>
    <w:rsid w:val="003B5242"/>
    <w:rPr>
      <w:sz w:val="24"/>
      <w:szCs w:val="24"/>
    </w:rPr>
  </w:style>
  <w:style w:type="paragraph" w:styleId="Odstavecseseznamem">
    <w:name w:val="List Paragraph"/>
    <w:aliases w:val="Odstavec cíl se seznamem,Odstavec se seznamem1,Odstavec_muj,Nad,Odstavec se seznamem5,_Odstavec se seznamem,Seznam - odrážky,Conclusion de partie,Fiche List Paragraph,List Paragraph (Czech Tourism),Název grafu,nad 1"/>
    <w:basedOn w:val="Normln"/>
    <w:link w:val="OdstavecseseznamemChar"/>
    <w:uiPriority w:val="34"/>
    <w:qFormat/>
    <w:rsid w:val="00193C1E"/>
    <w:pPr>
      <w:ind w:left="720"/>
      <w:contextualSpacing/>
    </w:pPr>
  </w:style>
  <w:style w:type="character" w:customStyle="1" w:styleId="OdstavecseseznamemChar">
    <w:name w:val="Odstavec se seznamem Char"/>
    <w:aliases w:val="Odstavec cíl se seznamem Char,Odstavec se seznamem1 Char,Odstavec_muj Char,Nad Char,Odstavec se seznamem5 Char,_Odstavec se seznamem Char,Seznam - odrážky Char,Conclusion de partie Char,Fiche List Paragraph Char,nad 1 Char"/>
    <w:link w:val="Odstavecseseznamem"/>
    <w:uiPriority w:val="34"/>
    <w:qFormat/>
    <w:rsid w:val="00173F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8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06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9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507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861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386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5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43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8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44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7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7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3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2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0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66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2ED50-B75E-41E7-9D1A-4A7FF4CE3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9617</Words>
  <Characters>56615</Characters>
  <Application>Microsoft Office Word</Application>
  <DocSecurity>0</DocSecurity>
  <Lines>471</Lines>
  <Paragraphs>132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III</vt:lpstr>
    </vt:vector>
  </TitlesOfParts>
  <Company>Tesnov</Company>
  <LinksUpToDate>false</LinksUpToDate>
  <CharactersWithSpaces>66100</CharactersWithSpaces>
  <SharedDoc>false</SharedDoc>
  <HLinks>
    <vt:vector size="12" baseType="variant">
      <vt:variant>
        <vt:i4>6946856</vt:i4>
      </vt:variant>
      <vt:variant>
        <vt:i4>3</vt:i4>
      </vt:variant>
      <vt:variant>
        <vt:i4>0</vt:i4>
      </vt:variant>
      <vt:variant>
        <vt:i4>5</vt:i4>
      </vt:variant>
      <vt:variant>
        <vt:lpwstr>https://www.ceskatelevize.cz/porady/13572331754-kapka-vody/dily/i-rada/</vt:lpwstr>
      </vt:variant>
      <vt:variant>
        <vt:lpwstr/>
      </vt:variant>
      <vt:variant>
        <vt:i4>6946867</vt:i4>
      </vt:variant>
      <vt:variant>
        <vt:i4>0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subject/>
  <dc:creator>VANICEK</dc:creator>
  <cp:keywords/>
  <dc:description/>
  <cp:lastModifiedBy>Fousová Eva</cp:lastModifiedBy>
  <cp:revision>8</cp:revision>
  <cp:lastPrinted>2021-03-22T14:49:00Z</cp:lastPrinted>
  <dcterms:created xsi:type="dcterms:W3CDTF">2021-03-22T14:46:00Z</dcterms:created>
  <dcterms:modified xsi:type="dcterms:W3CDTF">2021-04-28T09:20:00Z</dcterms:modified>
</cp:coreProperties>
</file>