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keepNext/>
        <w:widowControl w:val="false"/>
        <w:jc w:val="center"/>
        <w:rPr>
          <w:b/>
          <w:b/>
          <w:sz w:val="36"/>
          <w:szCs w:val="36"/>
        </w:rPr>
      </w:pPr>
      <w:bookmarkStart w:id="0" w:name="_GoBack"/>
      <w:bookmarkEnd w:id="0"/>
      <w:r>
        <w:rPr>
          <w:b/>
          <w:sz w:val="36"/>
          <w:szCs w:val="36"/>
        </w:rPr>
        <w:t>PARLAMENT ČESKÉ REPUBLIKY</w:t>
      </w:r>
    </w:p>
    <w:p>
      <w:pPr>
        <w:pStyle w:val="Normal"/>
        <w:spacing w:before="0" w:after="200"/>
        <w:jc w:val="center"/>
        <w:rPr>
          <w:sz w:val="36"/>
          <w:szCs w:val="36"/>
        </w:rPr>
      </w:pPr>
      <w:r>
        <w:rPr>
          <w:sz w:val="36"/>
          <w:szCs w:val="36"/>
        </w:rPr>
        <w:t>Poslanecká sněmovna</w:t>
      </w:r>
    </w:p>
    <w:p>
      <w:pPr>
        <w:pStyle w:val="Normal"/>
        <w:spacing w:before="0" w:after="200"/>
        <w:jc w:val="center"/>
        <w:rPr>
          <w:sz w:val="36"/>
          <w:szCs w:val="36"/>
        </w:rPr>
      </w:pPr>
      <w:r>
        <w:rPr>
          <w:sz w:val="36"/>
          <w:szCs w:val="36"/>
        </w:rPr>
        <w:t>2021</w:t>
      </w:r>
    </w:p>
    <w:p>
      <w:pPr>
        <w:pStyle w:val="Normal"/>
        <w:spacing w:before="0" w:after="200"/>
        <w:jc w:val="center"/>
        <w:rPr>
          <w:sz w:val="28"/>
          <w:szCs w:val="28"/>
        </w:rPr>
      </w:pPr>
      <w:r>
        <w:rPr>
          <w:sz w:val="36"/>
          <w:szCs w:val="36"/>
        </w:rPr>
        <w:t>VIII. volební období</w:t>
      </w:r>
    </w:p>
    <w:p>
      <w:pPr>
        <w:pStyle w:val="Normal"/>
        <w:spacing w:before="0" w:after="200"/>
        <w:jc w:val="center"/>
        <w:rPr>
          <w:sz w:val="28"/>
          <w:szCs w:val="28"/>
        </w:rPr>
      </w:pPr>
      <w:r>
        <w:rPr>
          <w:sz w:val="28"/>
          <w:szCs w:val="28"/>
        </w:rPr>
        <w:t>___________________________________________________________</w:t>
      </w:r>
    </w:p>
    <w:p>
      <w:pPr>
        <w:pStyle w:val="Normal"/>
        <w:spacing w:before="0" w:after="200"/>
        <w:jc w:val="center"/>
        <w:rPr>
          <w:sz w:val="28"/>
          <w:szCs w:val="28"/>
        </w:rPr>
      </w:pPr>
      <w:r>
        <w:rPr>
          <w:sz w:val="28"/>
          <w:szCs w:val="28"/>
        </w:rPr>
      </w:r>
    </w:p>
    <w:p>
      <w:pPr>
        <w:pStyle w:val="Normal"/>
        <w:spacing w:before="0" w:after="200"/>
        <w:jc w:val="center"/>
        <w:rPr>
          <w:sz w:val="28"/>
          <w:szCs w:val="28"/>
        </w:rPr>
      </w:pPr>
      <w:r>
        <w:rPr>
          <w:sz w:val="28"/>
          <w:szCs w:val="28"/>
        </w:rPr>
      </w:r>
    </w:p>
    <w:p>
      <w:pPr>
        <w:pStyle w:val="Normal"/>
        <w:keepNext/>
        <w:keepLines/>
        <w:widowControl w:val="false"/>
        <w:spacing w:before="0" w:after="120"/>
        <w:jc w:val="center"/>
        <w:rPr>
          <w:b/>
          <w:b/>
          <w:sz w:val="28"/>
          <w:szCs w:val="28"/>
        </w:rPr>
      </w:pPr>
      <w:r>
        <w:rPr>
          <w:b/>
          <w:sz w:val="32"/>
          <w:szCs w:val="32"/>
        </w:rPr>
        <w:t xml:space="preserve">Pozměňovací návrh </w:t>
      </w:r>
    </w:p>
    <w:p>
      <w:pPr>
        <w:pStyle w:val="Normal"/>
        <w:spacing w:before="0" w:after="200"/>
        <w:jc w:val="center"/>
        <w:rPr>
          <w:sz w:val="28"/>
          <w:szCs w:val="28"/>
        </w:rPr>
      </w:pPr>
      <w:r>
        <w:rPr>
          <w:sz w:val="28"/>
          <w:szCs w:val="28"/>
        </w:rPr>
      </w:r>
    </w:p>
    <w:p>
      <w:pPr>
        <w:pStyle w:val="Normal"/>
        <w:spacing w:before="0" w:after="200"/>
        <w:jc w:val="center"/>
        <w:rPr>
          <w:sz w:val="28"/>
          <w:szCs w:val="28"/>
        </w:rPr>
      </w:pPr>
      <w:r>
        <w:rPr>
          <w:b/>
          <w:sz w:val="28"/>
          <w:szCs w:val="28"/>
        </w:rPr>
        <w:t>Olgy Richterové</w:t>
      </w:r>
    </w:p>
    <w:p>
      <w:pPr>
        <w:pStyle w:val="Normal"/>
        <w:spacing w:before="0" w:after="200"/>
        <w:jc w:val="center"/>
        <w:rPr/>
      </w:pPr>
      <w:r>
        <w:rPr>
          <w:b/>
          <w:sz w:val="28"/>
          <w:szCs w:val="28"/>
        </w:rPr>
        <w:t xml:space="preserve">k pozměňovacímu návrhu Marka Nováka, Lucie Šafránkové, Aleny Gajdůškové, Hany Aulické Jírovcové, Jana Bauera, Jany Pastuchové, Lenky Dražilové, Evy Fialové, Davida Kasala, Karla Raise a Věry Procházkové (SD </w:t>
      </w:r>
      <w:r>
        <w:rPr>
          <w:b/>
          <w:sz w:val="28"/>
          <w:szCs w:val="28"/>
        </w:rPr>
        <w:t>8404</w:t>
      </w:r>
      <w:r>
        <w:rPr>
          <w:b/>
          <w:sz w:val="28"/>
          <w:szCs w:val="28"/>
        </w:rPr>
        <w:t>)</w:t>
      </w:r>
    </w:p>
    <w:p>
      <w:pPr>
        <w:pStyle w:val="Normal"/>
        <w:spacing w:before="0" w:after="200"/>
        <w:jc w:val="center"/>
        <w:rPr>
          <w:sz w:val="28"/>
          <w:szCs w:val="28"/>
        </w:rPr>
      </w:pPr>
      <w:r>
        <w:rPr>
          <w:b/>
          <w:sz w:val="28"/>
          <w:szCs w:val="28"/>
        </w:rPr>
        <w:t xml:space="preserve">k návrhu poslanců Lucie Šafránkové, Tomia Okamury, Radima Fialy a dalších na vydání zákona, kterým se mění zákon č. 111/2006 Sb., o pomoci v hmotné nouzi, ve znění pozdějších předpisů </w:t>
        <w:br/>
      </w:r>
    </w:p>
    <w:p>
      <w:pPr>
        <w:pStyle w:val="Normal"/>
        <w:spacing w:before="0" w:after="200"/>
        <w:jc w:val="center"/>
        <w:rPr>
          <w:sz w:val="30"/>
          <w:szCs w:val="30"/>
        </w:rPr>
      </w:pPr>
      <w:r>
        <w:rPr>
          <w:sz w:val="30"/>
          <w:szCs w:val="30"/>
        </w:rPr>
      </w:r>
    </w:p>
    <w:p>
      <w:pPr>
        <w:pStyle w:val="Normal"/>
        <w:spacing w:before="0" w:after="200"/>
        <w:jc w:val="center"/>
        <w:rPr>
          <w:sz w:val="30"/>
          <w:szCs w:val="30"/>
        </w:rPr>
      </w:pPr>
      <w:r>
        <w:rPr>
          <w:sz w:val="30"/>
          <w:szCs w:val="30"/>
        </w:rPr>
      </w:r>
    </w:p>
    <w:p>
      <w:pPr>
        <w:pStyle w:val="Normal"/>
        <w:spacing w:before="0" w:after="200"/>
        <w:jc w:val="center"/>
        <w:rPr>
          <w:sz w:val="24"/>
          <w:szCs w:val="24"/>
        </w:rPr>
      </w:pPr>
      <w:r>
        <w:rPr>
          <w:sz w:val="30"/>
          <w:szCs w:val="30"/>
        </w:rPr>
        <w:t>(sněmovní tisk č. 652)</w:t>
      </w:r>
    </w:p>
    <w:p>
      <w:pPr>
        <w:pStyle w:val="Normal"/>
        <w:keepNext/>
        <w:widowControl w:val="false"/>
        <w:spacing w:before="240" w:after="120"/>
        <w:jc w:val="center"/>
        <w:rPr>
          <w:b/>
          <w:b/>
          <w:sz w:val="36"/>
          <w:szCs w:val="36"/>
        </w:rPr>
      </w:pPr>
      <w:r>
        <w:rPr>
          <w:b/>
          <w:sz w:val="36"/>
          <w:szCs w:val="36"/>
        </w:rPr>
      </w:r>
    </w:p>
    <w:p>
      <w:pPr>
        <w:pStyle w:val="Normal"/>
        <w:spacing w:before="0" w:after="200"/>
        <w:jc w:val="center"/>
        <w:rPr>
          <w:rFonts w:ascii="Calibri" w:hAnsi="Calibri" w:eastAsia="Calibri" w:cs="Calibri"/>
        </w:rPr>
      </w:pPr>
      <w:r>
        <w:rPr>
          <w:rFonts w:eastAsia="Calibri" w:cs="Calibri" w:ascii="Calibri" w:hAnsi="Calibri"/>
        </w:rPr>
      </w:r>
    </w:p>
    <w:p>
      <w:pPr>
        <w:pStyle w:val="Normal"/>
        <w:spacing w:before="0" w:after="200"/>
        <w:jc w:val="center"/>
        <w:rPr>
          <w:rFonts w:ascii="Calibri" w:hAnsi="Calibri" w:eastAsia="Calibri" w:cs="Calibri"/>
        </w:rPr>
      </w:pPr>
      <w:r>
        <w:rPr>
          <w:rFonts w:eastAsia="Calibri" w:cs="Calibri" w:ascii="Calibri" w:hAnsi="Calibri"/>
        </w:rPr>
      </w:r>
    </w:p>
    <w:p>
      <w:pPr>
        <w:pStyle w:val="Normal"/>
        <w:spacing w:before="0" w:after="200"/>
        <w:jc w:val="center"/>
        <w:rPr>
          <w:rFonts w:ascii="Calibri" w:hAnsi="Calibri" w:eastAsia="Calibri" w:cs="Calibri"/>
        </w:rPr>
      </w:pPr>
      <w:r>
        <w:rPr>
          <w:rFonts w:eastAsia="Calibri" w:cs="Calibri" w:ascii="Calibri" w:hAnsi="Calibri"/>
        </w:rPr>
      </w:r>
    </w:p>
    <w:p>
      <w:pPr>
        <w:pStyle w:val="Normal"/>
        <w:spacing w:lineRule="auto" w:line="240"/>
        <w:jc w:val="both"/>
        <w:rPr/>
      </w:pPr>
      <w:r>
        <w:rPr>
          <w:rFonts w:eastAsia="Calibri" w:cs="Calibri" w:ascii="Calibri" w:hAnsi="Calibri"/>
          <w:sz w:val="24"/>
          <w:szCs w:val="24"/>
        </w:rPr>
        <w:t xml:space="preserve">Pozměňovací návrh Marka Nováka, Lucie Šafránkové, Aleny Gajdůškové, Hany Aulické Jírovcové, Jana Bauera, Jany Pastuchové, Lenky Dražilové, Evy Fialové, Davida Kasala, Karla Raise a Věry Procházkové (SD </w:t>
      </w:r>
      <w:r>
        <w:rPr>
          <w:rFonts w:eastAsia="Calibri" w:cs="Calibri" w:ascii="Calibri" w:hAnsi="Calibri"/>
          <w:sz w:val="24"/>
          <w:szCs w:val="24"/>
        </w:rPr>
        <w:t>8404</w:t>
      </w:r>
      <w:r>
        <w:rPr>
          <w:rFonts w:eastAsia="Calibri" w:cs="Calibri" w:ascii="Calibri" w:hAnsi="Calibri"/>
          <w:sz w:val="24"/>
          <w:szCs w:val="24"/>
        </w:rPr>
        <w:t>) k návrhu poslanců Lucie Šafránkové, Tomia Okamury, Radima Fialy a dalších na vydání zákona, kterým se mění zákon č. 111/2006 Sb., o pomoci v hmotné nouzi, ve znění pozdějších předpisů se mění takto:</w:t>
      </w:r>
    </w:p>
    <w:p>
      <w:pPr>
        <w:pStyle w:val="Normal"/>
        <w:spacing w:lineRule="auto" w:line="240"/>
        <w:jc w:val="both"/>
        <w:rPr/>
      </w:pPr>
      <w:r>
        <w:rPr>
          <w:rFonts w:eastAsia="Calibri" w:cs="Calibri" w:ascii="Calibri" w:hAnsi="Calibri"/>
          <w:sz w:val="24"/>
          <w:szCs w:val="24"/>
        </w:rPr>
        <w:t xml:space="preserve"> </w:t>
      </w:r>
    </w:p>
    <w:p>
      <w:pPr>
        <w:pStyle w:val="Normal"/>
        <w:spacing w:lineRule="auto" w:line="240"/>
        <w:jc w:val="both"/>
        <w:rPr>
          <w:b/>
          <w:b/>
          <w:bCs/>
        </w:rPr>
      </w:pPr>
      <w:r>
        <w:rPr>
          <w:rFonts w:eastAsia="Calibri" w:cs="Calibri" w:ascii="Calibri" w:hAnsi="Calibri"/>
          <w:b/>
          <w:bCs/>
          <w:sz w:val="24"/>
          <w:szCs w:val="24"/>
        </w:rPr>
        <w:t xml:space="preserve">V bodě 4 </w:t>
      </w:r>
      <w:r>
        <w:rPr>
          <w:rFonts w:eastAsia="Calibri" w:cs="Calibri" w:ascii="Calibri" w:hAnsi="Calibri"/>
          <w:b/>
          <w:bCs/>
          <w:sz w:val="24"/>
          <w:szCs w:val="24"/>
        </w:rPr>
        <w:t xml:space="preserve">pozměňovacího návrhu </w:t>
      </w:r>
      <w:r>
        <w:rPr>
          <w:rFonts w:eastAsia="Calibri" w:cs="Calibri" w:ascii="Calibri" w:hAnsi="Calibri"/>
          <w:b/>
          <w:bCs/>
          <w:sz w:val="24"/>
          <w:szCs w:val="24"/>
        </w:rPr>
        <w:t>se vklád</w:t>
      </w:r>
      <w:r>
        <w:rPr>
          <w:rFonts w:eastAsia="Calibri" w:cs="Calibri" w:ascii="Calibri" w:hAnsi="Calibri"/>
          <w:b/>
          <w:bCs/>
          <w:sz w:val="24"/>
          <w:szCs w:val="24"/>
        </w:rPr>
        <w:t>ají</w:t>
      </w:r>
      <w:r>
        <w:rPr>
          <w:rFonts w:eastAsia="Calibri" w:cs="Calibri" w:ascii="Calibri" w:hAnsi="Calibri"/>
          <w:b/>
          <w:bCs/>
          <w:sz w:val="24"/>
          <w:szCs w:val="24"/>
        </w:rPr>
        <w:t xml:space="preserve"> nov</w:t>
      </w:r>
      <w:r>
        <w:rPr>
          <w:rFonts w:eastAsia="Calibri" w:cs="Calibri" w:ascii="Calibri" w:hAnsi="Calibri"/>
          <w:b/>
          <w:bCs/>
          <w:sz w:val="24"/>
          <w:szCs w:val="24"/>
        </w:rPr>
        <w:t xml:space="preserve">é </w:t>
      </w:r>
      <w:r>
        <w:rPr>
          <w:rFonts w:eastAsia="Calibri" w:cs="Calibri" w:ascii="Calibri" w:hAnsi="Calibri"/>
          <w:b/>
          <w:bCs/>
          <w:sz w:val="24"/>
          <w:szCs w:val="24"/>
        </w:rPr>
        <w:t>bod</w:t>
      </w:r>
      <w:r>
        <w:rPr>
          <w:rFonts w:eastAsia="Calibri" w:cs="Calibri" w:ascii="Calibri" w:hAnsi="Calibri"/>
          <w:b/>
          <w:bCs/>
          <w:sz w:val="24"/>
          <w:szCs w:val="24"/>
        </w:rPr>
        <w:t>y, které znějí</w:t>
      </w:r>
      <w:r>
        <w:rPr>
          <w:rFonts w:eastAsia="Calibri" w:cs="Calibri" w:ascii="Calibri" w:hAnsi="Calibri"/>
          <w:b/>
          <w:bCs/>
          <w:sz w:val="24"/>
          <w:szCs w:val="24"/>
        </w:rPr>
        <w:t>:</w:t>
      </w:r>
    </w:p>
    <w:p>
      <w:pPr>
        <w:pStyle w:val="Normal"/>
        <w:spacing w:lineRule="auto" w:line="240"/>
        <w:ind w:left="720" w:hanging="0"/>
        <w:jc w:val="both"/>
        <w:rPr>
          <w:rFonts w:ascii="Calibri" w:hAnsi="Calibri" w:eastAsia="Calibri" w:cs="Calibri"/>
          <w:sz w:val="24"/>
          <w:szCs w:val="24"/>
        </w:rPr>
      </w:pPr>
      <w:r>
        <w:rPr>
          <w:rFonts w:eastAsia="Calibri" w:cs="Calibri" w:ascii="Calibri" w:hAnsi="Calibri"/>
          <w:sz w:val="24"/>
          <w:szCs w:val="24"/>
        </w:rPr>
      </w:r>
    </w:p>
    <w:p>
      <w:pPr>
        <w:pStyle w:val="Normal"/>
        <w:spacing w:lineRule="auto" w:line="240"/>
        <w:ind w:hanging="0"/>
        <w:jc w:val="both"/>
        <w:rPr/>
      </w:pPr>
      <w:r>
        <w:rPr>
          <w:rFonts w:eastAsia="Calibri" w:cs="Calibri" w:ascii="Calibri" w:hAnsi="Calibri"/>
          <w:sz w:val="24"/>
          <w:szCs w:val="24"/>
        </w:rPr>
        <w:t>„</w:t>
      </w:r>
      <w:r>
        <w:rPr>
          <w:rFonts w:eastAsia="Calibri" w:cs="Calibri" w:ascii="Calibri" w:hAnsi="Calibri"/>
          <w:sz w:val="24"/>
          <w:szCs w:val="24"/>
        </w:rPr>
        <w:t>X. V § 9 odst. 1 se na konci textu písmene c) doplňují slova „a části přídavku na dítě přiznané podle § 18 odst. 4 zákona o státní sociální podpoře“.“.</w:t>
      </w:r>
    </w:p>
    <w:p>
      <w:pPr>
        <w:pStyle w:val="Normal"/>
        <w:spacing w:lineRule="auto" w:line="240"/>
        <w:ind w:left="720" w:hanging="0"/>
        <w:jc w:val="both"/>
        <w:rPr>
          <w:rFonts w:ascii="Calibri" w:hAnsi="Calibri" w:eastAsia="Calibri" w:cs="Calibri"/>
          <w:sz w:val="24"/>
          <w:szCs w:val="24"/>
        </w:rPr>
      </w:pPr>
      <w:r>
        <w:rPr/>
      </w:r>
    </w:p>
    <w:p>
      <w:pPr>
        <w:pStyle w:val="Normal"/>
        <w:spacing w:lineRule="auto" w:line="240"/>
        <w:ind w:hanging="0"/>
        <w:jc w:val="both"/>
        <w:rPr>
          <w:rFonts w:ascii="Calibri" w:hAnsi="Calibri" w:eastAsia="Calibri" w:cs="Calibri"/>
          <w:sz w:val="24"/>
          <w:szCs w:val="24"/>
        </w:rPr>
      </w:pPr>
      <w:r>
        <w:rPr>
          <w:rFonts w:eastAsia="Calibri" w:cs="Calibri" w:ascii="Calibri" w:hAnsi="Calibri"/>
          <w:sz w:val="24"/>
          <w:szCs w:val="24"/>
        </w:rPr>
      </w:r>
    </w:p>
    <w:p>
      <w:pPr>
        <w:pStyle w:val="Normal"/>
        <w:spacing w:lineRule="auto" w:line="240"/>
        <w:ind w:hanging="0"/>
        <w:jc w:val="both"/>
        <w:rPr/>
      </w:pPr>
      <w:r>
        <w:rPr>
          <w:rFonts w:eastAsia="Calibri" w:cs="Calibri" w:ascii="Calibri" w:hAnsi="Calibri"/>
          <w:sz w:val="24"/>
          <w:szCs w:val="24"/>
        </w:rPr>
        <w:t>X</w:t>
      </w:r>
      <w:r>
        <w:rPr>
          <w:rFonts w:eastAsia="Calibri" w:cs="Calibri" w:ascii="Calibri" w:hAnsi="Calibri"/>
          <w:sz w:val="24"/>
          <w:szCs w:val="24"/>
        </w:rPr>
        <w:t>. V § 37 písm. c) se za text „v § 2 odst. 5 písm. a)“ vkládá text „a c)“.“.</w:t>
      </w:r>
    </w:p>
    <w:p>
      <w:pPr>
        <w:pStyle w:val="Normal"/>
        <w:spacing w:lineRule="auto" w:line="240"/>
        <w:ind w:left="720" w:hanging="0"/>
        <w:jc w:val="both"/>
        <w:rPr>
          <w:rFonts w:ascii="Calibri" w:hAnsi="Calibri" w:eastAsia="Calibri" w:cs="Calibri"/>
          <w:sz w:val="24"/>
          <w:szCs w:val="24"/>
        </w:rPr>
      </w:pPr>
      <w:r>
        <w:rPr>
          <w:rFonts w:eastAsia="Calibri" w:cs="Calibri" w:ascii="Calibri" w:hAnsi="Calibri"/>
          <w:sz w:val="24"/>
          <w:szCs w:val="24"/>
        </w:rPr>
      </w:r>
    </w:p>
    <w:p>
      <w:pPr>
        <w:pStyle w:val="Normal"/>
        <w:spacing w:lineRule="auto" w:line="240"/>
        <w:ind w:hanging="0"/>
        <w:jc w:val="both"/>
        <w:rPr/>
      </w:pPr>
      <w:r>
        <w:rPr>
          <w:rFonts w:eastAsia="Calibri" w:cs="Calibri" w:ascii="Calibri" w:hAnsi="Calibri"/>
          <w:sz w:val="24"/>
          <w:szCs w:val="24"/>
        </w:rPr>
        <w:t>X. V § 37 písm. d) se slova „nebo c)“ zrušují.“.”.</w:t>
      </w:r>
    </w:p>
    <w:p>
      <w:pPr>
        <w:pStyle w:val="Normal"/>
        <w:spacing w:lineRule="auto" w:line="240"/>
        <w:ind w:hanging="0"/>
        <w:jc w:val="both"/>
        <w:rPr>
          <w:rFonts w:ascii="Calibri" w:hAnsi="Calibri" w:eastAsia="Calibri" w:cs="Calibri"/>
          <w:sz w:val="24"/>
          <w:szCs w:val="24"/>
        </w:rPr>
      </w:pPr>
      <w:r>
        <w:rPr/>
      </w:r>
    </w:p>
    <w:p>
      <w:pPr>
        <w:pStyle w:val="Normal"/>
        <w:spacing w:lineRule="auto" w:line="240"/>
        <w:ind w:hanging="0"/>
        <w:jc w:val="both"/>
        <w:rPr>
          <w:b/>
          <w:b/>
          <w:bCs/>
        </w:rPr>
      </w:pPr>
      <w:r>
        <w:rPr>
          <w:rFonts w:eastAsia="Calibri" w:cs="Calibri" w:ascii="Calibri" w:hAnsi="Calibri"/>
          <w:b/>
          <w:bCs/>
          <w:sz w:val="24"/>
          <w:szCs w:val="24"/>
        </w:rPr>
        <w:t>V</w:t>
      </w:r>
      <w:r>
        <w:rPr>
          <w:rFonts w:eastAsia="Calibri" w:cs="Calibri" w:ascii="Calibri" w:hAnsi="Calibri"/>
          <w:b/>
          <w:bCs/>
          <w:sz w:val="24"/>
          <w:szCs w:val="24"/>
        </w:rPr>
        <w:t xml:space="preserve"> bodě 6 </w:t>
      </w:r>
      <w:r>
        <w:rPr>
          <w:rFonts w:eastAsia="Calibri" w:cs="Calibri" w:ascii="Calibri" w:hAnsi="Calibri"/>
          <w:b/>
          <w:bCs/>
          <w:sz w:val="24"/>
          <w:szCs w:val="24"/>
        </w:rPr>
        <w:t xml:space="preserve">pozměňovacího návrhu </w:t>
      </w:r>
      <w:r>
        <w:rPr>
          <w:rFonts w:eastAsia="Calibri" w:cs="Calibri" w:ascii="Calibri" w:hAnsi="Calibri"/>
          <w:b/>
          <w:bCs/>
          <w:sz w:val="24"/>
          <w:szCs w:val="24"/>
        </w:rPr>
        <w:t xml:space="preserve">se v části druhé  Čl. III </w:t>
      </w:r>
      <w:r>
        <w:rPr>
          <w:rFonts w:eastAsia="Calibri" w:cs="Calibri" w:ascii="Calibri" w:hAnsi="Calibri"/>
          <w:b/>
          <w:bCs/>
          <w:sz w:val="24"/>
          <w:szCs w:val="24"/>
        </w:rPr>
        <w:t>vkládají nové body, které znějí</w:t>
      </w:r>
      <w:r>
        <w:rPr>
          <w:rFonts w:eastAsia="Calibri" w:cs="Calibri" w:ascii="Calibri" w:hAnsi="Calibri"/>
          <w:b/>
          <w:bCs/>
          <w:sz w:val="24"/>
          <w:szCs w:val="24"/>
        </w:rPr>
        <w:t>:</w:t>
      </w:r>
    </w:p>
    <w:p>
      <w:pPr>
        <w:pStyle w:val="Normal"/>
        <w:spacing w:lineRule="auto" w:line="240"/>
        <w:ind w:left="720" w:hanging="0"/>
        <w:jc w:val="both"/>
        <w:rPr>
          <w:rFonts w:ascii="Calibri" w:hAnsi="Calibri" w:eastAsia="Calibri" w:cs="Calibri"/>
          <w:sz w:val="24"/>
          <w:szCs w:val="24"/>
        </w:rPr>
      </w:pPr>
      <w:r>
        <w:rPr>
          <w:rFonts w:eastAsia="Calibri" w:cs="Calibri" w:ascii="Calibri" w:hAnsi="Calibri"/>
          <w:sz w:val="24"/>
          <w:szCs w:val="24"/>
        </w:rPr>
      </w:r>
    </w:p>
    <w:p>
      <w:pPr>
        <w:pStyle w:val="Normal"/>
        <w:spacing w:lineRule="auto" w:line="240"/>
        <w:ind w:hanging="0"/>
        <w:jc w:val="both"/>
        <w:rPr/>
      </w:pPr>
      <w:r>
        <w:rPr>
          <w:rFonts w:eastAsia="Calibri" w:cs="Calibri" w:ascii="Calibri" w:hAnsi="Calibri"/>
          <w:sz w:val="24"/>
          <w:szCs w:val="24"/>
        </w:rPr>
        <w:t>„</w:t>
      </w:r>
      <w:r>
        <w:rPr>
          <w:rFonts w:eastAsia="Calibri" w:cs="Calibri" w:ascii="Calibri" w:hAnsi="Calibri"/>
          <w:sz w:val="24"/>
          <w:szCs w:val="24"/>
        </w:rPr>
        <w:t>X. V § 5 odst. 1 se na konci textu písmene g) doplňují slova „vyjma části přídavku na dítě přiznané podle § 18 odst. 4,“.</w:t>
      </w:r>
    </w:p>
    <w:p>
      <w:pPr>
        <w:pStyle w:val="Normal"/>
        <w:spacing w:lineRule="auto" w:line="240"/>
        <w:ind w:hanging="0"/>
        <w:jc w:val="both"/>
        <w:rPr>
          <w:rFonts w:ascii="Calibri" w:hAnsi="Calibri" w:eastAsia="Calibri" w:cs="Calibri"/>
          <w:sz w:val="24"/>
          <w:szCs w:val="24"/>
        </w:rPr>
      </w:pPr>
      <w:r>
        <w:rPr/>
      </w:r>
    </w:p>
    <w:p>
      <w:pPr>
        <w:pStyle w:val="Normal"/>
        <w:spacing w:lineRule="auto" w:line="240"/>
        <w:ind w:hanging="0"/>
        <w:jc w:val="both"/>
        <w:rPr/>
      </w:pPr>
      <w:r>
        <w:rPr>
          <w:rFonts w:eastAsia="Calibri" w:cs="Calibri" w:ascii="Calibri" w:hAnsi="Calibri"/>
          <w:sz w:val="24"/>
          <w:szCs w:val="24"/>
        </w:rPr>
        <w:t>X. V § 18 se doplňuje odstavec 4, který zní:</w:t>
      </w:r>
    </w:p>
    <w:p>
      <w:pPr>
        <w:pStyle w:val="Normal"/>
        <w:spacing w:lineRule="auto" w:line="240"/>
        <w:ind w:left="720" w:hanging="0"/>
        <w:jc w:val="both"/>
        <w:rPr>
          <w:rFonts w:ascii="Calibri" w:hAnsi="Calibri" w:eastAsia="Calibri" w:cs="Calibri"/>
          <w:sz w:val="24"/>
          <w:szCs w:val="24"/>
        </w:rPr>
      </w:pPr>
      <w:r>
        <w:rPr>
          <w:rFonts w:eastAsia="Calibri" w:cs="Calibri" w:ascii="Calibri" w:hAnsi="Calibri"/>
          <w:sz w:val="24"/>
          <w:szCs w:val="24"/>
        </w:rPr>
      </w:r>
    </w:p>
    <w:p>
      <w:pPr>
        <w:pStyle w:val="Normal"/>
        <w:spacing w:lineRule="auto" w:line="240"/>
        <w:ind w:left="720" w:hanging="0"/>
        <w:jc w:val="both"/>
        <w:rPr>
          <w:rFonts w:ascii="Calibri" w:hAnsi="Calibri" w:eastAsia="Calibri" w:cs="Calibri"/>
          <w:sz w:val="24"/>
          <w:szCs w:val="24"/>
        </w:rPr>
      </w:pPr>
      <w:r>
        <w:rPr>
          <w:rFonts w:eastAsia="Calibri" w:cs="Calibri" w:ascii="Calibri" w:hAnsi="Calibri"/>
          <w:sz w:val="24"/>
          <w:szCs w:val="24"/>
        </w:rPr>
        <w:t>„</w:t>
      </w:r>
      <w:r>
        <w:rPr>
          <w:rFonts w:eastAsia="Calibri" w:cs="Calibri" w:ascii="Calibri" w:hAnsi="Calibri"/>
          <w:sz w:val="24"/>
          <w:szCs w:val="24"/>
        </w:rPr>
        <w:t xml:space="preserve">(4) Pokud žadatel prokáže, že má v každém kalendářním měsíci období, na které se nárok na výplatu dávky prokazuje, popřípadě nárok na dávku uplatňuje, odůvodněné opakující se náklady související se vzděláním nebo zájmovou činností nezaopatřeného dítěte, činí výše přídavku na dítě za kalendářní měsíc tohoto období částku uvedenou v odst. 1 zvýšenou o tyto odůvodněné náklady, nejvýše však o dvojnásobek částky uvedené v odst. 1.“.“. </w:t>
      </w:r>
    </w:p>
    <w:p>
      <w:pPr>
        <w:pStyle w:val="Normal"/>
        <w:spacing w:lineRule="auto" w:line="240"/>
        <w:ind w:hanging="0"/>
        <w:jc w:val="both"/>
        <w:rPr>
          <w:rFonts w:ascii="Calibri" w:hAnsi="Calibri" w:eastAsia="Calibri" w:cs="Calibri"/>
          <w:sz w:val="24"/>
          <w:szCs w:val="24"/>
        </w:rPr>
      </w:pPr>
      <w:r>
        <w:rPr/>
      </w:r>
    </w:p>
    <w:p>
      <w:pPr>
        <w:pStyle w:val="Normal"/>
        <w:spacing w:lineRule="auto" w:line="240"/>
        <w:ind w:hanging="0"/>
        <w:jc w:val="both"/>
        <w:rPr/>
      </w:pPr>
      <w:r>
        <w:rPr>
          <w:rFonts w:eastAsia="Calibri" w:cs="Calibri" w:ascii="Calibri" w:hAnsi="Calibri"/>
          <w:sz w:val="24"/>
          <w:szCs w:val="24"/>
        </w:rPr>
        <w:t>X. V § 51 odstavec 2 zní:</w:t>
      </w:r>
    </w:p>
    <w:p>
      <w:pPr>
        <w:pStyle w:val="Normal"/>
        <w:spacing w:lineRule="auto" w:line="240"/>
        <w:ind w:left="720" w:hanging="0"/>
        <w:jc w:val="both"/>
        <w:rPr>
          <w:rFonts w:ascii="Calibri" w:hAnsi="Calibri" w:eastAsia="Calibri" w:cs="Calibri"/>
          <w:sz w:val="24"/>
          <w:szCs w:val="24"/>
        </w:rPr>
      </w:pPr>
      <w:r>
        <w:rPr>
          <w:rFonts w:eastAsia="Calibri" w:cs="Calibri" w:ascii="Calibri" w:hAnsi="Calibri"/>
          <w:sz w:val="24"/>
          <w:szCs w:val="24"/>
        </w:rPr>
      </w:r>
    </w:p>
    <w:p>
      <w:pPr>
        <w:pStyle w:val="Normal"/>
        <w:spacing w:lineRule="auto" w:line="240"/>
        <w:ind w:left="720" w:hanging="0"/>
        <w:jc w:val="both"/>
        <w:rPr>
          <w:rFonts w:ascii="Calibri" w:hAnsi="Calibri" w:eastAsia="Calibri" w:cs="Calibri"/>
          <w:sz w:val="24"/>
          <w:szCs w:val="24"/>
        </w:rPr>
      </w:pPr>
      <w:r>
        <w:rPr>
          <w:rFonts w:eastAsia="Calibri" w:cs="Calibri" w:ascii="Calibri" w:hAnsi="Calibri"/>
          <w:sz w:val="24"/>
          <w:szCs w:val="24"/>
        </w:rPr>
        <w:t>„</w:t>
      </w:r>
      <w:r>
        <w:rPr>
          <w:rFonts w:eastAsia="Calibri" w:cs="Calibri" w:ascii="Calibri" w:hAnsi="Calibri"/>
          <w:sz w:val="24"/>
          <w:szCs w:val="24"/>
        </w:rPr>
        <w:t>(2) Pro nárok na výplatu přídavku na dítě ve zvýšené výměře se prokazuje vedle výše rozhodných příjmů nebo odůvodněných nákladů, také druh těchto příjmů podle § 18 odst. 2 nebo nákladů podle § 18 odst. 4, který zakládá nárok na zvýšenou výměru přídavku na dítě. Je-li přídavek na dítě ve zvýšené výměře vyplácen k poslednímu dni kalendářního čtvrtletí, náleží jeho výplata v bezprostředně následujícím kalendářním čtvrtletí, jen jestliže se nejpozději do konce prvního kalendářního měsíce tohoto následujícího kalendářního čtvrtletí prokáže výše a druh rozhodných příjmů za rozhodné období nebo odůvodněných nákladů v každém kalendářním měsíci období, na které se nárok na výplatu dávky prokazuje, popřípadě nárok na dávku uplatňuje. Neprokáže-li se do této doby druh rozhodných příjmů nebo odůvodněných nákladů, vyplatí se přídavek na dítě ve výši podle § 18 odst. 1. Neprokáže-li se do této doby ani výše rozhodných příjmů, postupuje se podle odstavce 1 věty třetí a čtvrté.“. “.</w:t>
      </w:r>
    </w:p>
    <w:p>
      <w:pPr>
        <w:pStyle w:val="Normal"/>
        <w:spacing w:lineRule="auto" w:line="240"/>
        <w:ind w:left="720" w:hanging="0"/>
        <w:jc w:val="both"/>
        <w:rPr>
          <w:rFonts w:ascii="Calibri" w:hAnsi="Calibri" w:eastAsia="Calibri" w:cs="Calibri"/>
          <w:sz w:val="24"/>
          <w:szCs w:val="24"/>
        </w:rPr>
      </w:pPr>
      <w:r>
        <w:rPr>
          <w:rFonts w:eastAsia="Calibri" w:cs="Calibri" w:ascii="Calibri" w:hAnsi="Calibri"/>
          <w:sz w:val="24"/>
          <w:szCs w:val="24"/>
        </w:rPr>
      </w:r>
    </w:p>
    <w:p>
      <w:pPr>
        <w:pStyle w:val="Normal"/>
        <w:spacing w:lineRule="auto" w:line="240"/>
        <w:ind w:hanging="0"/>
        <w:jc w:val="both"/>
        <w:rPr/>
      </w:pPr>
      <w:r>
        <w:rPr>
          <w:rFonts w:eastAsia="Calibri" w:cs="Calibri" w:ascii="Calibri" w:hAnsi="Calibri"/>
          <w:sz w:val="24"/>
          <w:szCs w:val="24"/>
        </w:rPr>
        <w:t>X. V § 59 se doplňuje nový odstavec 7, který zní:</w:t>
      </w:r>
    </w:p>
    <w:p>
      <w:pPr>
        <w:pStyle w:val="Normal"/>
        <w:spacing w:lineRule="auto" w:line="240"/>
        <w:ind w:left="720" w:hanging="0"/>
        <w:jc w:val="both"/>
        <w:rPr>
          <w:rFonts w:ascii="Calibri" w:hAnsi="Calibri" w:eastAsia="Calibri" w:cs="Calibri"/>
          <w:sz w:val="24"/>
          <w:szCs w:val="24"/>
        </w:rPr>
      </w:pPr>
      <w:r>
        <w:rPr>
          <w:rFonts w:eastAsia="Calibri" w:cs="Calibri" w:ascii="Calibri" w:hAnsi="Calibri"/>
          <w:sz w:val="24"/>
          <w:szCs w:val="24"/>
        </w:rPr>
      </w:r>
    </w:p>
    <w:p>
      <w:pPr>
        <w:pStyle w:val="Normal"/>
        <w:spacing w:lineRule="auto" w:line="240"/>
        <w:ind w:left="720" w:hanging="0"/>
        <w:jc w:val="both"/>
        <w:rPr>
          <w:rFonts w:ascii="Calibri" w:hAnsi="Calibri" w:eastAsia="Calibri" w:cs="Calibri"/>
          <w:sz w:val="24"/>
          <w:szCs w:val="24"/>
        </w:rPr>
      </w:pPr>
      <w:r>
        <w:rPr>
          <w:rFonts w:eastAsia="Calibri" w:cs="Calibri" w:ascii="Calibri" w:hAnsi="Calibri"/>
          <w:sz w:val="24"/>
          <w:szCs w:val="24"/>
        </w:rPr>
        <w:t>„</w:t>
      </w:r>
      <w:r>
        <w:rPr>
          <w:rFonts w:eastAsia="Calibri" w:cs="Calibri" w:ascii="Calibri" w:hAnsi="Calibri"/>
          <w:sz w:val="24"/>
          <w:szCs w:val="24"/>
        </w:rPr>
        <w:t>(7) Část přídavku na dítě přiznaná podle § 18 odst. 4 se bez souhlasu příjemce použije k přímé úhradě nákladů odůvodněných opakujících se nákladů souvisejících se vzděláním nebo zájmovou činností nezaopatřeného dítěte, a to tak, že plátce příspěvku jej poukazuje poskytovateli služeb.“.“.</w:t>
      </w:r>
    </w:p>
    <w:p>
      <w:pPr>
        <w:pStyle w:val="Normal"/>
        <w:spacing w:lineRule="auto" w:line="240"/>
        <w:ind w:left="720" w:hanging="0"/>
        <w:jc w:val="both"/>
        <w:rPr>
          <w:rFonts w:ascii="Calibri" w:hAnsi="Calibri" w:eastAsia="Calibri" w:cs="Calibri"/>
          <w:sz w:val="24"/>
          <w:szCs w:val="24"/>
        </w:rPr>
      </w:pPr>
      <w:r>
        <w:rPr>
          <w:rFonts w:eastAsia="Calibri" w:cs="Calibri" w:ascii="Calibri" w:hAnsi="Calibri"/>
          <w:sz w:val="24"/>
          <w:szCs w:val="24"/>
        </w:rPr>
      </w:r>
    </w:p>
    <w:p>
      <w:pPr>
        <w:pStyle w:val="Normal"/>
        <w:spacing w:lineRule="auto" w:line="240"/>
        <w:ind w:left="720" w:hanging="0"/>
        <w:jc w:val="both"/>
        <w:rPr>
          <w:rFonts w:ascii="Calibri" w:hAnsi="Calibri" w:eastAsia="Calibri" w:cs="Calibri"/>
          <w:sz w:val="24"/>
          <w:szCs w:val="24"/>
        </w:rPr>
      </w:pPr>
      <w:r>
        <w:rPr>
          <w:rFonts w:eastAsia="Calibri" w:cs="Calibri" w:ascii="Calibri" w:hAnsi="Calibri"/>
          <w:sz w:val="24"/>
          <w:szCs w:val="24"/>
        </w:rPr>
      </w:r>
    </w:p>
    <w:p>
      <w:pPr>
        <w:pStyle w:val="Normal"/>
        <w:spacing w:lineRule="auto" w:line="240"/>
        <w:ind w:left="720" w:hanging="0"/>
        <w:jc w:val="both"/>
        <w:rPr>
          <w:rFonts w:ascii="Calibri" w:hAnsi="Calibri" w:eastAsia="Calibri" w:cs="Calibri"/>
          <w:sz w:val="24"/>
          <w:szCs w:val="24"/>
        </w:rPr>
      </w:pPr>
      <w:r>
        <w:rPr>
          <w:rFonts w:eastAsia="Calibri" w:cs="Calibri" w:ascii="Calibri" w:hAnsi="Calibri"/>
          <w:sz w:val="24"/>
          <w:szCs w:val="24"/>
        </w:rPr>
      </w:r>
    </w:p>
    <w:p>
      <w:pPr>
        <w:pStyle w:val="Normal"/>
        <w:spacing w:lineRule="auto" w:line="240"/>
        <w:ind w:left="720" w:hanging="0"/>
        <w:jc w:val="both"/>
        <w:rPr>
          <w:rFonts w:ascii="Calibri" w:hAnsi="Calibri" w:eastAsia="Calibri" w:cs="Calibri"/>
          <w:sz w:val="24"/>
          <w:szCs w:val="24"/>
        </w:rPr>
      </w:pPr>
      <w:r>
        <w:rPr>
          <w:rFonts w:eastAsia="Calibri" w:cs="Calibri" w:ascii="Calibri" w:hAnsi="Calibri"/>
          <w:sz w:val="24"/>
          <w:szCs w:val="24"/>
        </w:rPr>
      </w:r>
    </w:p>
    <w:p>
      <w:pPr>
        <w:pStyle w:val="Normal"/>
        <w:spacing w:lineRule="auto" w:line="240"/>
        <w:jc w:val="both"/>
        <w:rPr>
          <w:rFonts w:ascii="Calibri" w:hAnsi="Calibri" w:eastAsia="Calibri" w:cs="Calibri"/>
          <w:sz w:val="24"/>
          <w:szCs w:val="24"/>
        </w:rPr>
      </w:pPr>
      <w:r>
        <w:rPr>
          <w:rFonts w:eastAsia="Calibri" w:cs="Calibri" w:ascii="Calibri" w:hAnsi="Calibri"/>
          <w:sz w:val="24"/>
          <w:szCs w:val="24"/>
        </w:rPr>
      </w:r>
    </w:p>
    <w:p>
      <w:pPr>
        <w:pStyle w:val="Normal"/>
        <w:spacing w:lineRule="auto" w:line="240"/>
        <w:jc w:val="both"/>
        <w:rPr>
          <w:rFonts w:ascii="Calibri" w:hAnsi="Calibri" w:eastAsia="Calibri" w:cs="Calibri"/>
          <w:b/>
          <w:b/>
          <w:sz w:val="24"/>
          <w:szCs w:val="24"/>
          <w:u w:val="single"/>
        </w:rPr>
      </w:pPr>
      <w:r>
        <w:rPr>
          <w:rFonts w:eastAsia="Calibri" w:cs="Calibri" w:ascii="Calibri" w:hAnsi="Calibri"/>
          <w:b/>
          <w:sz w:val="24"/>
          <w:szCs w:val="24"/>
          <w:u w:val="single"/>
        </w:rPr>
      </w:r>
      <w:r>
        <w:br w:type="page"/>
      </w:r>
    </w:p>
    <w:p>
      <w:pPr>
        <w:pStyle w:val="Normal"/>
        <w:spacing w:lineRule="auto" w:line="240"/>
        <w:jc w:val="both"/>
        <w:rPr>
          <w:rFonts w:ascii="Calibri" w:hAnsi="Calibri" w:eastAsia="Calibri" w:cs="Calibri"/>
          <w:b/>
          <w:b/>
          <w:sz w:val="24"/>
          <w:szCs w:val="24"/>
          <w:u w:val="single"/>
        </w:rPr>
      </w:pPr>
      <w:r>
        <w:rPr>
          <w:rFonts w:eastAsia="Calibri" w:cs="Calibri" w:ascii="Calibri" w:hAnsi="Calibri"/>
          <w:b/>
          <w:sz w:val="24"/>
          <w:szCs w:val="24"/>
          <w:u w:val="single"/>
        </w:rPr>
        <w:t>Odůvodnění</w:t>
      </w:r>
    </w:p>
    <w:p>
      <w:pPr>
        <w:pStyle w:val="Normal"/>
        <w:spacing w:lineRule="auto" w:line="240"/>
        <w:jc w:val="both"/>
        <w:rPr>
          <w:rFonts w:ascii="Calibri" w:hAnsi="Calibri" w:eastAsia="Calibri" w:cs="Calibri"/>
          <w:b/>
          <w:b/>
          <w:sz w:val="24"/>
          <w:szCs w:val="24"/>
          <w:u w:val="single"/>
        </w:rPr>
      </w:pPr>
      <w:r>
        <w:rPr>
          <w:rFonts w:eastAsia="Calibri" w:cs="Calibri" w:ascii="Calibri" w:hAnsi="Calibri"/>
          <w:b/>
          <w:sz w:val="24"/>
          <w:szCs w:val="24"/>
          <w:u w:val="single"/>
        </w:rPr>
      </w:r>
    </w:p>
    <w:p>
      <w:pPr>
        <w:pStyle w:val="Normal"/>
        <w:spacing w:lineRule="auto" w:line="240"/>
        <w:jc w:val="both"/>
        <w:rPr>
          <w:rFonts w:ascii="Calibri" w:hAnsi="Calibri" w:eastAsia="Calibri" w:cs="Calibri"/>
          <w:sz w:val="24"/>
          <w:szCs w:val="24"/>
        </w:rPr>
      </w:pPr>
      <w:r>
        <w:rPr>
          <w:rFonts w:eastAsia="Calibri" w:cs="Calibri" w:ascii="Calibri" w:hAnsi="Calibri"/>
          <w:sz w:val="24"/>
          <w:szCs w:val="24"/>
        </w:rPr>
        <w:t xml:space="preserve">Navrhujeme navýšit přídavek na dítě o náklady související se vzděláním nebo zájmovou činností nezaopatřeného dítěte. Navýšení přídavku na dítě je navrhováno jako podmíněné prokázáním příslušných nákladů (např. přihláškou na kroužek, k obědům ve školní jídelně, smlouvou s operátorem o datovém připojení pro účely distanční výuky, s dopravcem do školy apod.). Nejvýše však bude moci navýšení činit dvojnásobek základní výměry dávky dle věku dítěte na měsíc. V bodě 6 se tak pouze technicky na více místech ustanovení doplňuje nový druh nákladů k prokázání, pro přehlednost je ale navrženo nové znění celého odstavce. </w:t>
      </w:r>
    </w:p>
    <w:p>
      <w:pPr>
        <w:pStyle w:val="Normal"/>
        <w:spacing w:lineRule="auto" w:line="240"/>
        <w:jc w:val="both"/>
        <w:rPr>
          <w:rFonts w:ascii="Calibri" w:hAnsi="Calibri" w:eastAsia="Calibri" w:cs="Calibri"/>
          <w:sz w:val="24"/>
          <w:szCs w:val="24"/>
        </w:rPr>
      </w:pPr>
      <w:r>
        <w:rPr>
          <w:rFonts w:eastAsia="Calibri" w:cs="Calibri" w:ascii="Calibri" w:hAnsi="Calibri"/>
          <w:sz w:val="24"/>
          <w:szCs w:val="24"/>
        </w:rPr>
      </w:r>
    </w:p>
    <w:p>
      <w:pPr>
        <w:pStyle w:val="Normal"/>
        <w:spacing w:lineRule="auto" w:line="240"/>
        <w:jc w:val="both"/>
        <w:rPr>
          <w:rFonts w:ascii="Calibri" w:hAnsi="Calibri" w:eastAsia="Calibri" w:cs="Calibri"/>
          <w:sz w:val="24"/>
          <w:szCs w:val="24"/>
        </w:rPr>
      </w:pPr>
      <w:r>
        <w:rPr>
          <w:rFonts w:eastAsia="Calibri" w:cs="Calibri" w:ascii="Calibri" w:hAnsi="Calibri"/>
          <w:sz w:val="24"/>
          <w:szCs w:val="24"/>
        </w:rPr>
        <w:t xml:space="preserve">Navrhuje se zajištění účelu části dávky určené na vzdělávání a zájmovou činnost dítěte tím, že krajská pobočka Úřadu práce vždy pro tuto část dávky využije přímé úhrady odůvodněných nákladů poskytovateli služby, tedy například škole, centru volného času, dopravci, operátorovi apod. Rodina nebude moci podporu od státu využít na nic jiného než na podporu dítěte, které je pro nárok na přídavek na dítě oprávněnou osobou. </w:t>
      </w:r>
    </w:p>
    <w:p>
      <w:pPr>
        <w:pStyle w:val="Normal"/>
        <w:spacing w:lineRule="auto" w:line="240"/>
        <w:jc w:val="both"/>
        <w:rPr>
          <w:rFonts w:ascii="Calibri" w:hAnsi="Calibri" w:eastAsia="Calibri" w:cs="Calibri"/>
          <w:sz w:val="24"/>
          <w:szCs w:val="24"/>
        </w:rPr>
      </w:pPr>
      <w:r>
        <w:rPr>
          <w:rFonts w:eastAsia="Calibri" w:cs="Calibri" w:ascii="Calibri" w:hAnsi="Calibri"/>
          <w:sz w:val="24"/>
          <w:szCs w:val="24"/>
        </w:rPr>
      </w:r>
    </w:p>
    <w:p>
      <w:pPr>
        <w:pStyle w:val="Normal"/>
        <w:spacing w:lineRule="auto" w:line="240"/>
        <w:jc w:val="both"/>
        <w:rPr>
          <w:rFonts w:ascii="Calibri" w:hAnsi="Calibri" w:eastAsia="Calibri" w:cs="Calibri"/>
          <w:sz w:val="24"/>
          <w:szCs w:val="24"/>
        </w:rPr>
      </w:pPr>
      <w:r>
        <w:rPr>
          <w:rFonts w:eastAsia="Calibri" w:cs="Calibri" w:ascii="Calibri" w:hAnsi="Calibri"/>
          <w:sz w:val="24"/>
          <w:szCs w:val="24"/>
        </w:rPr>
        <w:t>Je nezbytné zajistit, aby účel části dávky určené na úhradu nákladů souvisejících se vzděláním nebo zájmovou činností dítěte nebyl popřen snížením nároku na příspěvek na bydlení pro rodinu dítěte. Navrhuje se proto ustanovení zákona o státní sociální podpoře o započítání přídavku na dítě jako příjmu pro nárok rodiny na příspěvek na bydlení upravit tak, aby započítána zůstala jen ta část dávky, se kterou bude moci rodina volně disponovat. Dosavadní započítání základní části přídavku na dítě zůstane beze změn.</w:t>
      </w:r>
    </w:p>
    <w:p>
      <w:pPr>
        <w:pStyle w:val="Normal"/>
        <w:spacing w:lineRule="auto" w:line="240"/>
        <w:jc w:val="both"/>
        <w:rPr>
          <w:rFonts w:ascii="Calibri" w:hAnsi="Calibri" w:eastAsia="Calibri" w:cs="Calibri"/>
          <w:sz w:val="24"/>
          <w:szCs w:val="24"/>
        </w:rPr>
      </w:pPr>
      <w:r>
        <w:rPr>
          <w:rFonts w:eastAsia="Calibri" w:cs="Calibri" w:ascii="Calibri" w:hAnsi="Calibri"/>
          <w:sz w:val="24"/>
          <w:szCs w:val="24"/>
        </w:rPr>
      </w:r>
    </w:p>
    <w:p>
      <w:pPr>
        <w:pStyle w:val="Normal"/>
        <w:spacing w:lineRule="auto" w:line="240"/>
        <w:jc w:val="both"/>
        <w:rPr>
          <w:rFonts w:ascii="Calibri" w:hAnsi="Calibri" w:eastAsia="Calibri" w:cs="Calibri"/>
          <w:sz w:val="24"/>
          <w:szCs w:val="24"/>
        </w:rPr>
      </w:pPr>
      <w:r>
        <w:rPr>
          <w:rFonts w:eastAsia="Calibri" w:cs="Calibri" w:ascii="Calibri" w:hAnsi="Calibri"/>
          <w:sz w:val="24"/>
          <w:szCs w:val="24"/>
        </w:rPr>
        <w:t xml:space="preserve">Dále je nezbytné zajistit, aby účel části dávky určené na úhradu nákladů souvisejících se vzděláním nebo zájmovou činností dítěte nebyl popřen snížením dávek pomoci v hmotné nouzi pro rodinu dítěte. Navrhuje se proto ustanovení zákona o státní sociální podpoře o započítání přídavku na dítě jako příjmu pro nárok rodiny na příspěvek na bydlení upravit tak, aby započítána zůstala jen ta část dávky, se kterou bude moci rodina volně disponovat. Stejně nezbytné je zajistit účel této části dávky u dětí z rodin v hmotné nouzi, a to úpravou zákona o pomoci v hmotné nouzi. Dosavadní započítání základní části přídavku na dítě zůstane beze změn. </w:t>
      </w:r>
    </w:p>
    <w:p>
      <w:pPr>
        <w:pStyle w:val="Normal"/>
        <w:spacing w:lineRule="auto" w:line="240"/>
        <w:jc w:val="both"/>
        <w:rPr>
          <w:rFonts w:ascii="Calibri" w:hAnsi="Calibri" w:eastAsia="Calibri" w:cs="Calibri"/>
          <w:sz w:val="24"/>
          <w:szCs w:val="24"/>
        </w:rPr>
      </w:pPr>
      <w:r>
        <w:rPr>
          <w:rFonts w:eastAsia="Calibri" w:cs="Calibri" w:ascii="Calibri" w:hAnsi="Calibri"/>
          <w:sz w:val="24"/>
          <w:szCs w:val="24"/>
        </w:rPr>
      </w:r>
    </w:p>
    <w:p>
      <w:pPr>
        <w:pStyle w:val="Normal"/>
        <w:spacing w:lineRule="auto" w:line="240"/>
        <w:jc w:val="both"/>
        <w:rPr>
          <w:rFonts w:ascii="Calibri" w:hAnsi="Calibri" w:eastAsia="Calibri" w:cs="Calibri"/>
          <w:sz w:val="24"/>
          <w:szCs w:val="24"/>
        </w:rPr>
      </w:pPr>
      <w:r>
        <w:rPr>
          <w:rFonts w:eastAsia="Calibri" w:cs="Calibri" w:ascii="Calibri" w:hAnsi="Calibri"/>
          <w:sz w:val="24"/>
          <w:szCs w:val="24"/>
        </w:rPr>
        <w:t xml:space="preserve">Jde o doplnění stávající jednorázové dávky mimořádné okamžité pomoci určené na obdobný účel, kterou využívají výhradně rodiny v hmotné nouzi, nejčastěji na nákup školních pomůcek na začátku školního roku. I pro středně příjmové rodiny jsou však náklady spojené se vzděláváním a zájmovou činností dětí velkou zátěží. V zájmu rovného přístupu dětí ke kvalitnímu vzdělávání a trávení volného času by měly mít rodiny všech dětí s nárokem na přídavky na děti možnost žádat stát o podporu se zvládáním těchto zvýšených nákladů. Z hlediska nároků na prostředky ze státního rozpočtu půjde o převod z existující jednorázové dávky pomoci v hmotné nouzi do opakované dávky státní sociální podpory. Návrh je tedy rozpočtově neutrální. </w:t>
      </w:r>
    </w:p>
    <w:p>
      <w:pPr>
        <w:pStyle w:val="Normal"/>
        <w:spacing w:lineRule="auto" w:line="240"/>
        <w:jc w:val="both"/>
        <w:rPr/>
      </w:pPr>
      <w:r>
        <w:rPr/>
      </w:r>
    </w:p>
    <w:sectPr>
      <w:headerReference w:type="default" r:id="rId2"/>
      <w:footerReference w:type="default" r:id="rId3"/>
      <w:type w:val="nextPage"/>
      <w:pgSz w:w="12240" w:h="15840"/>
      <w:pgMar w:left="1440" w:right="1440" w:header="720" w:top="1440" w:footer="720" w:bottom="1440" w:gutter="0"/>
      <w:pgNumType w:start="1" w:fmt="decimal"/>
      <w:formProt w:val="false"/>
      <w:textDirection w:val="lrTb"/>
      <w:docGrid w:type="default" w:linePitch="24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Arial">
    <w:charset w:val="ee"/>
    <w:family w:val="roman"/>
    <w:pitch w:val="variable"/>
  </w:font>
  <w:font w:name="Calibri">
    <w:charset w:val="ee"/>
    <w:family w:val="roman"/>
    <w:pitch w:val="variable"/>
  </w:font>
  <w:font w:name="Liberation Sans">
    <w:altName w:val="Arial"/>
    <w:charset w:val="ee"/>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Zpat"/>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Zhlav"/>
      <w:rPr/>
    </w:pPr>
    <w:r>
      <w:rPr/>
    </w:r>
  </w:p>
</w:hdr>
</file>

<file path=word/settings.xml><?xml version="1.0" encoding="utf-8"?>
<w:settings xmlns:w="http://schemas.openxmlformats.org/wordprocessingml/2006/main">
  <w:zoom w:percent="100"/>
  <w:defaultTabStop w:val="720"/>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cs-CZ"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Arial"/>
        <w:sz w:val="22"/>
        <w:szCs w:val="22"/>
        <w:lang w:val="en" w:eastAsia="cs-CZ" w:bidi="ar-SA"/>
      </w:rPr>
    </w:rPrDefault>
    <w:pPrDefault>
      <w:pPr>
        <w:spacing w:lineRule="auto" w:line="276"/>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lineRule="auto" w:line="276"/>
      <w:jc w:val="left"/>
    </w:pPr>
    <w:rPr>
      <w:rFonts w:ascii="Arial" w:hAnsi="Arial" w:eastAsia="Arial" w:cs="Arial"/>
      <w:color w:val="auto"/>
      <w:sz w:val="22"/>
      <w:szCs w:val="22"/>
      <w:lang w:val="en" w:eastAsia="cs-CZ" w:bidi="ar-SA"/>
    </w:rPr>
  </w:style>
  <w:style w:type="paragraph" w:styleId="Nadpis1">
    <w:name w:val="Nadpis 1"/>
    <w:basedOn w:val="Normal"/>
    <w:pPr>
      <w:keepNext/>
      <w:keepLines/>
      <w:spacing w:before="400" w:after="120"/>
      <w:outlineLvl w:val="0"/>
    </w:pPr>
    <w:rPr>
      <w:sz w:val="40"/>
      <w:szCs w:val="40"/>
    </w:rPr>
  </w:style>
  <w:style w:type="paragraph" w:styleId="Nadpis2">
    <w:name w:val="Nadpis 2"/>
    <w:basedOn w:val="Normal"/>
    <w:pPr>
      <w:keepNext/>
      <w:keepLines/>
      <w:spacing w:before="360" w:after="120"/>
      <w:outlineLvl w:val="1"/>
    </w:pPr>
    <w:rPr>
      <w:sz w:val="32"/>
      <w:szCs w:val="32"/>
    </w:rPr>
  </w:style>
  <w:style w:type="paragraph" w:styleId="Nadpis3">
    <w:name w:val="Nadpis 3"/>
    <w:basedOn w:val="Normal"/>
    <w:pPr>
      <w:keepNext/>
      <w:keepLines/>
      <w:spacing w:before="320" w:after="80"/>
      <w:outlineLvl w:val="2"/>
    </w:pPr>
    <w:rPr>
      <w:color w:val="434343"/>
      <w:sz w:val="28"/>
      <w:szCs w:val="28"/>
    </w:rPr>
  </w:style>
  <w:style w:type="paragraph" w:styleId="Nadpis4">
    <w:name w:val="Nadpis 4"/>
    <w:basedOn w:val="Normal"/>
    <w:pPr>
      <w:keepNext/>
      <w:keepLines/>
      <w:spacing w:before="280" w:after="80"/>
      <w:outlineLvl w:val="3"/>
    </w:pPr>
    <w:rPr>
      <w:color w:val="666666"/>
      <w:sz w:val="24"/>
      <w:szCs w:val="24"/>
    </w:rPr>
  </w:style>
  <w:style w:type="paragraph" w:styleId="Nadpis5">
    <w:name w:val="Nadpis 5"/>
    <w:basedOn w:val="Normal"/>
    <w:pPr>
      <w:keepNext/>
      <w:keepLines/>
      <w:spacing w:before="240" w:after="80"/>
      <w:outlineLvl w:val="4"/>
    </w:pPr>
    <w:rPr>
      <w:color w:val="666666"/>
    </w:rPr>
  </w:style>
  <w:style w:type="paragraph" w:styleId="Nadpis6">
    <w:name w:val="Nadpis 6"/>
    <w:basedOn w:val="Normal"/>
    <w:pPr>
      <w:keepNext/>
      <w:keepLines/>
      <w:spacing w:before="240" w:after="80"/>
      <w:outlineLvl w:val="5"/>
    </w:pPr>
    <w:rPr>
      <w:i/>
      <w:color w:val="666666"/>
    </w:rPr>
  </w:style>
  <w:style w:type="character" w:styleId="DefaultParagraphFont" w:default="1">
    <w:name w:val="Default Paragraph Font"/>
    <w:uiPriority w:val="1"/>
    <w:semiHidden/>
    <w:unhideWhenUsed/>
    <w:qFormat/>
    <w:rPr/>
  </w:style>
  <w:style w:type="character" w:styleId="ZhlavChar" w:customStyle="1">
    <w:name w:val="Záhlaví Char"/>
    <w:basedOn w:val="DefaultParagraphFont"/>
    <w:link w:val="Zhlav"/>
    <w:uiPriority w:val="99"/>
    <w:qFormat/>
    <w:rsid w:val="00247c00"/>
    <w:rPr/>
  </w:style>
  <w:style w:type="character" w:styleId="ZpatChar" w:customStyle="1">
    <w:name w:val="Zápatí Char"/>
    <w:basedOn w:val="DefaultParagraphFont"/>
    <w:link w:val="Zpat"/>
    <w:uiPriority w:val="99"/>
    <w:qFormat/>
    <w:rsid w:val="00247c00"/>
    <w:rPr/>
  </w:style>
  <w:style w:type="character" w:styleId="ListLabel1">
    <w:name w:val="ListLabel 1"/>
    <w:qFormat/>
    <w:rPr>
      <w:rFonts w:ascii="Calibri" w:hAnsi="Calibri"/>
      <w:sz w:val="24"/>
      <w:u w:val="none"/>
    </w:rPr>
  </w:style>
  <w:style w:type="character" w:styleId="ListLabel2">
    <w:name w:val="ListLabel 2"/>
    <w:qFormat/>
    <w:rPr>
      <w:u w:val="none"/>
    </w:rPr>
  </w:style>
  <w:style w:type="character" w:styleId="ListLabel3">
    <w:name w:val="ListLabel 3"/>
    <w:qFormat/>
    <w:rPr>
      <w:u w:val="none"/>
    </w:rPr>
  </w:style>
  <w:style w:type="character" w:styleId="ListLabel4">
    <w:name w:val="ListLabel 4"/>
    <w:qFormat/>
    <w:rPr>
      <w:u w:val="none"/>
    </w:rPr>
  </w:style>
  <w:style w:type="character" w:styleId="ListLabel5">
    <w:name w:val="ListLabel 5"/>
    <w:qFormat/>
    <w:rPr>
      <w:u w:val="none"/>
    </w:rPr>
  </w:style>
  <w:style w:type="character" w:styleId="ListLabel6">
    <w:name w:val="ListLabel 6"/>
    <w:qFormat/>
    <w:rPr>
      <w:u w:val="none"/>
    </w:rPr>
  </w:style>
  <w:style w:type="character" w:styleId="ListLabel7">
    <w:name w:val="ListLabel 7"/>
    <w:qFormat/>
    <w:rPr>
      <w:u w:val="none"/>
    </w:rPr>
  </w:style>
  <w:style w:type="character" w:styleId="ListLabel8">
    <w:name w:val="ListLabel 8"/>
    <w:qFormat/>
    <w:rPr>
      <w:u w:val="none"/>
    </w:rPr>
  </w:style>
  <w:style w:type="character" w:styleId="ListLabel9">
    <w:name w:val="ListLabel 9"/>
    <w:qFormat/>
    <w:rPr>
      <w:u w:val="none"/>
    </w:rPr>
  </w:style>
  <w:style w:type="paragraph" w:styleId="Nadpis">
    <w:name w:val="Nadpis"/>
    <w:basedOn w:val="Normal"/>
    <w:next w:val="Tlotextu"/>
    <w:qFormat/>
    <w:pPr>
      <w:keepNext/>
      <w:spacing w:before="240" w:after="120"/>
    </w:pPr>
    <w:rPr>
      <w:rFonts w:ascii="Liberation Sans" w:hAnsi="Liberation Sans" w:eastAsia="Microsoft YaHei" w:cs="Lucida Sans"/>
      <w:sz w:val="28"/>
      <w:szCs w:val="28"/>
    </w:rPr>
  </w:style>
  <w:style w:type="paragraph" w:styleId="Tlotextu">
    <w:name w:val="Tělo textu"/>
    <w:basedOn w:val="Normal"/>
    <w:pPr>
      <w:spacing w:lineRule="auto" w:line="288" w:before="0" w:after="140"/>
    </w:pPr>
    <w:rPr/>
  </w:style>
  <w:style w:type="paragraph" w:styleId="Seznam">
    <w:name w:val="Seznam"/>
    <w:basedOn w:val="Tlotextu"/>
    <w:pPr/>
    <w:rPr>
      <w:rFonts w:cs="Lucida Sans"/>
    </w:rPr>
  </w:style>
  <w:style w:type="paragraph" w:styleId="Popisek">
    <w:name w:val="Popisek"/>
    <w:basedOn w:val="Normal"/>
    <w:pPr>
      <w:suppressLineNumbers/>
      <w:spacing w:before="120" w:after="120"/>
    </w:pPr>
    <w:rPr>
      <w:rFonts w:cs="Lucida Sans"/>
      <w:i/>
      <w:iCs/>
      <w:sz w:val="24"/>
      <w:szCs w:val="24"/>
    </w:rPr>
  </w:style>
  <w:style w:type="paragraph" w:styleId="Rejstk">
    <w:name w:val="Rejstřík"/>
    <w:basedOn w:val="Normal"/>
    <w:qFormat/>
    <w:pPr>
      <w:suppressLineNumbers/>
    </w:pPr>
    <w:rPr>
      <w:rFonts w:cs="Lucida Sans"/>
    </w:rPr>
  </w:style>
  <w:style w:type="paragraph" w:styleId="Nzev">
    <w:name w:val="Název"/>
    <w:basedOn w:val="Normal"/>
    <w:pPr>
      <w:keepNext/>
      <w:keepLines/>
      <w:spacing w:before="0" w:after="60"/>
    </w:pPr>
    <w:rPr>
      <w:sz w:val="52"/>
      <w:szCs w:val="52"/>
    </w:rPr>
  </w:style>
  <w:style w:type="paragraph" w:styleId="Podtitul">
    <w:name w:val="Podtitul"/>
    <w:basedOn w:val="Normal"/>
    <w:pPr>
      <w:keepNext/>
      <w:keepLines/>
      <w:spacing w:before="0" w:after="320"/>
    </w:pPr>
    <w:rPr>
      <w:color w:val="666666"/>
      <w:sz w:val="30"/>
      <w:szCs w:val="30"/>
    </w:rPr>
  </w:style>
  <w:style w:type="paragraph" w:styleId="Zhlav">
    <w:name w:val="Záhlaví"/>
    <w:basedOn w:val="Normal"/>
    <w:link w:val="ZhlavChar"/>
    <w:uiPriority w:val="99"/>
    <w:unhideWhenUsed/>
    <w:rsid w:val="00247c00"/>
    <w:pPr>
      <w:tabs>
        <w:tab w:val="center" w:pos="4536" w:leader="none"/>
        <w:tab w:val="right" w:pos="9072" w:leader="none"/>
      </w:tabs>
      <w:spacing w:lineRule="auto" w:line="240"/>
    </w:pPr>
    <w:rPr/>
  </w:style>
  <w:style w:type="paragraph" w:styleId="Zpat">
    <w:name w:val="Zápatí"/>
    <w:basedOn w:val="Normal"/>
    <w:link w:val="ZpatChar"/>
    <w:uiPriority w:val="99"/>
    <w:unhideWhenUsed/>
    <w:rsid w:val="00247c00"/>
    <w:pPr>
      <w:tabs>
        <w:tab w:val="center" w:pos="4536" w:leader="none"/>
        <w:tab w:val="right" w:pos="9072" w:leader="none"/>
      </w:tabs>
      <w:spacing w:lineRule="auto" w:line="240"/>
    </w:pPr>
    <w:rPr/>
  </w:style>
  <w:style w:type="numbering" w:styleId="NoList" w:default="1">
    <w:name w:val="No List"/>
    <w:uiPriority w:val="99"/>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table" w:customStyle="1" w:styleId="TableNormal">
    <w:name w:val="Table Normal"/>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Application>LibreOffice/5.1.1.3$Windows_X86_64 LibreOffice_project/89f508ef3ecebd2cfb8e1def0f0ba9a803b88a6d</Application>
  <Pages>4</Pages>
  <Words>984</Words>
  <Characters>5323</Characters>
  <CharactersWithSpaces>6288</CharactersWithSpaces>
  <Paragraphs>30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2021-04-14T06:47:00Z</dcterms:created>
  <dc:creator/>
  <dc:description/>
  <dc:language>cs-CZ</dc:language>
  <cp:lastModifiedBy/>
  <dcterms:modified xsi:type="dcterms:W3CDTF">2021-05-12T16:46:13Z</dcterms:modified>
  <cp:revision>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