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Arial" w:cs="Arial" w:eastAsia="Arial" w:hAnsi="Arial"/>
          <w:b w:val="1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PARLAMENT ČESKÉ REPUBLIKY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color w:val="000000"/>
          <w:sz w:val="36"/>
          <w:szCs w:val="36"/>
          <w:rtl w:val="0"/>
        </w:rPr>
        <w:t xml:space="preserve">Poslanecká sněmovna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36"/>
          <w:szCs w:val="36"/>
          <w:rtl w:val="0"/>
        </w:rPr>
        <w:t xml:space="preserve">VIII. volební období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jc w:val="center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Pozměňovací návrh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Olgy Richterové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k pozměňovacímu návrhu Marka Nováka, Lucie Šafránkové, Aleny Gajdůškové, Hany Aulické Jírovcové, Jana Bauera, Jany Pastuchové, Lenky Dražilové, Evy Fialové, Davida Kasala, Karla Raise a Věry Procházkové (SD 8404)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k návrhu poslanců Lucie Šafránkové, Tomia Okamury, Radima Fialy a dalších na vydání zákona, kterým se mění zákon č. 111/2006 Sb., o pomoci v hmotné nouzi, ve znění pozdějších předpisů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30"/>
          <w:szCs w:val="30"/>
          <w:rtl w:val="0"/>
        </w:rPr>
        <w:t xml:space="preserve">(sněmovní tisk č. 652)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276" w:lineRule="auto"/>
        <w:jc w:val="center"/>
        <w:rPr>
          <w:rFonts w:ascii="Arial" w:cs="Arial" w:eastAsia="Arial" w:hAnsi="Arial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Pozměňovací návrh Marka Nováka, Lucie Šafránkové, Aleny Gajdůškové, Hany Aulické Jírovcové, Jana Bauera, Jany Pastuchové, Lenky Dražilové, Evy Fialové, Davida Kasala, Karla Raise a Věry Procházkové (SD 8404) k návrhu poslanců Lucie Šafránkové, Tomia Okamury, Radima Fialy a dalších na vydání zákona, kterým se mění zákon č. 111/2006 Sb., o pomoci v hmotné nouzi, ve znění pozdějších předpisů se mění takto:</w:t>
      </w:r>
    </w:p>
    <w:p w:rsidR="00000000" w:rsidDel="00000000" w:rsidP="00000000" w:rsidRDefault="00000000" w:rsidRPr="00000000" w14:paraId="0000001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 části druhé (Změna zákona o státní sociální podpoře), čl. III se za bod 8 vkládá bod 9, který zní: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„9. V § 24 odst. 2 se za větu druhou vkládá věta, která zní: „Za nájemce bytu se pro účely tohoto zákona považuje též osoba, která užívá byt se souhlasem vlastníka na základě podnájemní nebo jiné smlouvy, rozhodnutí, nebo jiného právního titulu.”.”.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Následující body a odkazy na ně se přečíslují.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Odůvodnění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Zatímco doplatek na bydlení je dnes možné poskytnout i například podnájemci, příspěvek na bydlení je striktně omezen pouze na nájemce a vlastníka. Taková úprava zakládá nedůvodnou nerovnost a vytváří absurdní situaci, kdy podnájemce vynakládá více než 30 %, v Praze 35 %, svých příjmů na bydlení, ale zároveň není v hmotné nouzi, aby dosáhl na doplatek na bydlení. Taková osoba tedy propadá jak systémem státní sociální podpory tak pomoci v hmotné nouzi.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Navrhujeme tedy umožnit poskytování příspěvku na bydlení i do podnájmů nebo do bytů užívaných se souhlasem vlastníka bydlení na základě jiných smluv, rozhodnutí nebo jiných právních titulů.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