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155F42" w:rsidRDefault="002E54FB">
      <w:pPr>
        <w:keepNext/>
        <w:widowControl w:val="0"/>
        <w:pBdr>
          <w:top w:val="nil"/>
          <w:left w:val="nil"/>
          <w:bottom w:val="nil"/>
          <w:right w:val="nil"/>
          <w:between w:val="nil"/>
        </w:pBdr>
        <w:spacing w:line="276" w:lineRule="auto"/>
        <w:jc w:val="center"/>
        <w:rPr>
          <w:rFonts w:ascii="Times New Roman" w:eastAsia="Times New Roman" w:hAnsi="Times New Roman" w:cs="Times New Roman"/>
          <w:b/>
          <w:color w:val="000000"/>
          <w:sz w:val="36"/>
          <w:szCs w:val="36"/>
        </w:rPr>
      </w:pPr>
      <w:r>
        <w:rPr>
          <w:noProof/>
        </w:rPr>
        <w:drawing>
          <wp:anchor distT="0" distB="0" distL="114300" distR="114300" simplePos="0" relativeHeight="251658240" behindDoc="0" locked="0" layoutInCell="1" hidden="0" allowOverlap="1">
            <wp:simplePos x="0" y="0"/>
            <wp:positionH relativeFrom="column">
              <wp:posOffset>2362200</wp:posOffset>
            </wp:positionH>
            <wp:positionV relativeFrom="paragraph">
              <wp:posOffset>95250</wp:posOffset>
            </wp:positionV>
            <wp:extent cx="1143000" cy="857250"/>
            <wp:effectExtent l="0" t="0" r="0" b="0"/>
            <wp:wrapTopAndBottom distT="0" dist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143000" cy="857250"/>
                    </a:xfrm>
                    <a:prstGeom prst="rect">
                      <a:avLst/>
                    </a:prstGeom>
                    <a:ln/>
                  </pic:spPr>
                </pic:pic>
              </a:graphicData>
            </a:graphic>
          </wp:anchor>
        </w:drawing>
      </w:r>
    </w:p>
    <w:p w14:paraId="00000002" w14:textId="77777777" w:rsidR="00155F42" w:rsidRDefault="002E54FB">
      <w:pPr>
        <w:keepNext/>
        <w:widowControl w:val="0"/>
        <w:pBdr>
          <w:top w:val="nil"/>
          <w:left w:val="nil"/>
          <w:bottom w:val="nil"/>
          <w:right w:val="nil"/>
          <w:between w:val="nil"/>
        </w:pBdr>
        <w:spacing w:line="276"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PARLAMENT ČESKÉ REPUBLIKY</w:t>
      </w:r>
    </w:p>
    <w:p w14:paraId="00000003" w14:textId="77777777" w:rsidR="00155F42" w:rsidRDefault="002E54FB">
      <w:pPr>
        <w:pBdr>
          <w:top w:val="nil"/>
          <w:left w:val="nil"/>
          <w:bottom w:val="nil"/>
          <w:right w:val="nil"/>
          <w:between w:val="nil"/>
        </w:pBdr>
        <w:spacing w:after="200" w:line="276" w:lineRule="auto"/>
        <w:jc w:val="center"/>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Poslanecká sněmovna</w:t>
      </w:r>
    </w:p>
    <w:p w14:paraId="00000004" w14:textId="77777777" w:rsidR="00155F42" w:rsidRDefault="002E54FB">
      <w:pPr>
        <w:pBdr>
          <w:top w:val="nil"/>
          <w:left w:val="nil"/>
          <w:bottom w:val="nil"/>
          <w:right w:val="nil"/>
          <w:between w:val="nil"/>
        </w:pBdr>
        <w:spacing w:after="200" w:line="276" w:lineRule="auto"/>
        <w:jc w:val="center"/>
        <w:rPr>
          <w:rFonts w:ascii="Times New Roman" w:eastAsia="Times New Roman" w:hAnsi="Times New Roman" w:cs="Times New Roman"/>
          <w:color w:val="000000"/>
          <w:sz w:val="36"/>
          <w:szCs w:val="36"/>
        </w:rPr>
      </w:pPr>
      <w:r>
        <w:rPr>
          <w:rFonts w:ascii="Times New Roman" w:eastAsia="Times New Roman" w:hAnsi="Times New Roman" w:cs="Times New Roman"/>
          <w:sz w:val="36"/>
          <w:szCs w:val="36"/>
        </w:rPr>
        <w:t>2021</w:t>
      </w:r>
    </w:p>
    <w:p w14:paraId="00000005" w14:textId="77777777" w:rsidR="00155F42" w:rsidRDefault="002E54FB">
      <w:pPr>
        <w:pBdr>
          <w:top w:val="nil"/>
          <w:left w:val="nil"/>
          <w:bottom w:val="nil"/>
          <w:right w:val="nil"/>
          <w:between w:val="nil"/>
        </w:pBdr>
        <w:spacing w:after="200" w:line="276"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36"/>
          <w:szCs w:val="36"/>
        </w:rPr>
        <w:t>VIII. volební období</w:t>
      </w:r>
    </w:p>
    <w:p w14:paraId="00000006" w14:textId="77777777" w:rsidR="00155F42" w:rsidRDefault="002E54FB">
      <w:pPr>
        <w:pBdr>
          <w:top w:val="nil"/>
          <w:left w:val="nil"/>
          <w:bottom w:val="nil"/>
          <w:right w:val="nil"/>
          <w:between w:val="nil"/>
        </w:pBdr>
        <w:spacing w:after="200" w:line="276"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___________________________________________________________</w:t>
      </w:r>
    </w:p>
    <w:p w14:paraId="00000007" w14:textId="77777777" w:rsidR="00155F42" w:rsidRDefault="00155F42">
      <w:pPr>
        <w:pBdr>
          <w:top w:val="nil"/>
          <w:left w:val="nil"/>
          <w:bottom w:val="nil"/>
          <w:right w:val="nil"/>
          <w:between w:val="nil"/>
        </w:pBdr>
        <w:spacing w:after="200" w:line="276" w:lineRule="auto"/>
        <w:jc w:val="center"/>
        <w:rPr>
          <w:rFonts w:ascii="Times New Roman" w:eastAsia="Times New Roman" w:hAnsi="Times New Roman" w:cs="Times New Roman"/>
          <w:color w:val="000000"/>
          <w:sz w:val="28"/>
          <w:szCs w:val="28"/>
        </w:rPr>
      </w:pPr>
    </w:p>
    <w:p w14:paraId="00000008" w14:textId="77777777" w:rsidR="00155F42" w:rsidRDefault="00155F42">
      <w:pPr>
        <w:pBdr>
          <w:top w:val="nil"/>
          <w:left w:val="nil"/>
          <w:bottom w:val="nil"/>
          <w:right w:val="nil"/>
          <w:between w:val="nil"/>
        </w:pBdr>
        <w:spacing w:after="200" w:line="276" w:lineRule="auto"/>
        <w:jc w:val="center"/>
        <w:rPr>
          <w:rFonts w:ascii="Times New Roman" w:eastAsia="Times New Roman" w:hAnsi="Times New Roman" w:cs="Times New Roman"/>
          <w:color w:val="000000"/>
          <w:sz w:val="28"/>
          <w:szCs w:val="28"/>
        </w:rPr>
      </w:pPr>
    </w:p>
    <w:p w14:paraId="00000009" w14:textId="77777777" w:rsidR="00155F42" w:rsidRDefault="002E54FB">
      <w:pPr>
        <w:keepNext/>
        <w:keepLines/>
        <w:widowControl w:val="0"/>
        <w:pBdr>
          <w:top w:val="nil"/>
          <w:left w:val="nil"/>
          <w:bottom w:val="nil"/>
          <w:right w:val="nil"/>
          <w:between w:val="nil"/>
        </w:pBdr>
        <w:spacing w:after="120" w:line="276"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32"/>
          <w:szCs w:val="32"/>
        </w:rPr>
        <w:t xml:space="preserve">Pozměňovací návrh </w:t>
      </w:r>
    </w:p>
    <w:p w14:paraId="0000000A" w14:textId="77777777" w:rsidR="00155F42" w:rsidRDefault="00155F42">
      <w:pPr>
        <w:pBdr>
          <w:top w:val="nil"/>
          <w:left w:val="nil"/>
          <w:bottom w:val="nil"/>
          <w:right w:val="nil"/>
          <w:between w:val="nil"/>
        </w:pBdr>
        <w:spacing w:after="200" w:line="276" w:lineRule="auto"/>
        <w:jc w:val="center"/>
        <w:rPr>
          <w:rFonts w:ascii="Times New Roman" w:eastAsia="Times New Roman" w:hAnsi="Times New Roman" w:cs="Times New Roman"/>
          <w:color w:val="000000"/>
          <w:sz w:val="28"/>
          <w:szCs w:val="28"/>
        </w:rPr>
      </w:pPr>
    </w:p>
    <w:p w14:paraId="0000000B" w14:textId="77777777" w:rsidR="00155F42" w:rsidRDefault="002E54FB">
      <w:pPr>
        <w:pBdr>
          <w:top w:val="nil"/>
          <w:left w:val="nil"/>
          <w:bottom w:val="nil"/>
          <w:right w:val="nil"/>
          <w:between w:val="nil"/>
        </w:pBdr>
        <w:spacing w:after="20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Olgy Richterové</w:t>
      </w:r>
    </w:p>
    <w:p w14:paraId="0000000C" w14:textId="77777777" w:rsidR="00155F42" w:rsidRDefault="00155F42">
      <w:pPr>
        <w:pBdr>
          <w:top w:val="nil"/>
          <w:left w:val="nil"/>
          <w:bottom w:val="nil"/>
          <w:right w:val="nil"/>
          <w:between w:val="nil"/>
        </w:pBdr>
        <w:spacing w:after="200" w:line="276" w:lineRule="auto"/>
        <w:jc w:val="center"/>
        <w:rPr>
          <w:rFonts w:ascii="Times New Roman" w:eastAsia="Times New Roman" w:hAnsi="Times New Roman" w:cs="Times New Roman"/>
          <w:sz w:val="28"/>
          <w:szCs w:val="28"/>
        </w:rPr>
      </w:pPr>
    </w:p>
    <w:p w14:paraId="0000000D" w14:textId="77777777" w:rsidR="00155F42" w:rsidRDefault="002E54FB">
      <w:pPr>
        <w:pBdr>
          <w:top w:val="nil"/>
          <w:left w:val="nil"/>
          <w:bottom w:val="nil"/>
          <w:right w:val="nil"/>
          <w:between w:val="nil"/>
        </w:pBdr>
        <w:spacing w:after="20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k návrhu poslanců Lucie Šafránkové, Tomia Okamury, Radima Fialy a dalších na vydání zákona, kterým se mění zákon č. 111/2006 Sb., o pomoci v hmotné nouzi, ve znění pozdějších předpisů </w:t>
      </w:r>
      <w:r>
        <w:rPr>
          <w:rFonts w:ascii="Times New Roman" w:eastAsia="Times New Roman" w:hAnsi="Times New Roman" w:cs="Times New Roman"/>
          <w:b/>
          <w:sz w:val="28"/>
          <w:szCs w:val="28"/>
        </w:rPr>
        <w:br/>
      </w:r>
    </w:p>
    <w:p w14:paraId="0000000E" w14:textId="77777777" w:rsidR="00155F42" w:rsidRDefault="00155F42">
      <w:pPr>
        <w:pBdr>
          <w:top w:val="nil"/>
          <w:left w:val="nil"/>
          <w:bottom w:val="nil"/>
          <w:right w:val="nil"/>
          <w:between w:val="nil"/>
        </w:pBdr>
        <w:spacing w:after="200" w:line="276" w:lineRule="auto"/>
        <w:jc w:val="center"/>
        <w:rPr>
          <w:rFonts w:ascii="Times New Roman" w:eastAsia="Times New Roman" w:hAnsi="Times New Roman" w:cs="Times New Roman"/>
          <w:sz w:val="30"/>
          <w:szCs w:val="30"/>
        </w:rPr>
      </w:pPr>
    </w:p>
    <w:p w14:paraId="0000000F" w14:textId="77777777" w:rsidR="00155F42" w:rsidRDefault="00155F42">
      <w:pPr>
        <w:pBdr>
          <w:top w:val="nil"/>
          <w:left w:val="nil"/>
          <w:bottom w:val="nil"/>
          <w:right w:val="nil"/>
          <w:between w:val="nil"/>
        </w:pBdr>
        <w:spacing w:after="200" w:line="276" w:lineRule="auto"/>
        <w:jc w:val="center"/>
        <w:rPr>
          <w:rFonts w:ascii="Arial" w:eastAsia="Arial" w:hAnsi="Arial" w:cs="Arial"/>
          <w:sz w:val="30"/>
          <w:szCs w:val="30"/>
        </w:rPr>
      </w:pPr>
    </w:p>
    <w:p w14:paraId="00000010" w14:textId="77777777" w:rsidR="00155F42" w:rsidRDefault="002E54FB">
      <w:pPr>
        <w:jc w:val="center"/>
        <w:rPr>
          <w:rFonts w:ascii="Times New Roman" w:eastAsia="Times New Roman" w:hAnsi="Times New Roman" w:cs="Times New Roman"/>
          <w:b/>
          <w:color w:val="000000"/>
          <w:sz w:val="32"/>
          <w:szCs w:val="32"/>
        </w:rPr>
      </w:pPr>
      <w:r>
        <w:rPr>
          <w:rFonts w:ascii="Arial" w:eastAsia="Arial" w:hAnsi="Arial" w:cs="Arial"/>
          <w:sz w:val="30"/>
          <w:szCs w:val="30"/>
        </w:rPr>
        <w:t>(sněmovní tisk č. 652)</w:t>
      </w:r>
      <w:r>
        <w:br w:type="page"/>
      </w:r>
    </w:p>
    <w:p w14:paraId="00000011" w14:textId="77777777" w:rsidR="00155F42" w:rsidRDefault="002E54FB">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Návrh</w:t>
      </w:r>
    </w:p>
    <w:p w14:paraId="00000012" w14:textId="77777777" w:rsidR="00155F42" w:rsidRDefault="00155F42">
      <w:pPr>
        <w:jc w:val="both"/>
        <w:rPr>
          <w:rFonts w:ascii="Times New Roman" w:eastAsia="Times New Roman" w:hAnsi="Times New Roman" w:cs="Times New Roman"/>
          <w:sz w:val="20"/>
          <w:szCs w:val="20"/>
        </w:rPr>
      </w:pPr>
    </w:p>
    <w:p w14:paraId="00000013" w14:textId="77777777" w:rsidR="00155F42" w:rsidRDefault="002E54F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 části první, čl. I se vkládají nové</w:t>
      </w:r>
      <w:r>
        <w:rPr>
          <w:rFonts w:ascii="Times New Roman" w:eastAsia="Times New Roman" w:hAnsi="Times New Roman" w:cs="Times New Roman"/>
          <w:sz w:val="20"/>
          <w:szCs w:val="20"/>
        </w:rPr>
        <w:t xml:space="preserve"> body X1 až X9 které znějí:</w:t>
      </w:r>
    </w:p>
    <w:p w14:paraId="00000014" w14:textId="77777777" w:rsidR="00155F42" w:rsidRDefault="00155F42">
      <w:pPr>
        <w:jc w:val="both"/>
        <w:rPr>
          <w:rFonts w:ascii="Times New Roman" w:eastAsia="Times New Roman" w:hAnsi="Times New Roman" w:cs="Times New Roman"/>
          <w:sz w:val="20"/>
          <w:szCs w:val="20"/>
        </w:rPr>
      </w:pPr>
    </w:p>
    <w:p w14:paraId="00000015" w14:textId="77777777" w:rsidR="00155F42" w:rsidRDefault="002E54F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X1. V § 2 odst. 6 se na konci písmene d) slovo „nebo“ zrušuje, na konci písmene e) se tečka nahrazuje slovem „nebo“ a doplňuje se písmeno f), které zní: </w:t>
      </w:r>
    </w:p>
    <w:p w14:paraId="00000016" w14:textId="77777777" w:rsidR="00155F42" w:rsidRDefault="00155F42">
      <w:pPr>
        <w:jc w:val="both"/>
        <w:rPr>
          <w:rFonts w:ascii="Times New Roman" w:eastAsia="Times New Roman" w:hAnsi="Times New Roman" w:cs="Times New Roman"/>
          <w:sz w:val="20"/>
          <w:szCs w:val="20"/>
        </w:rPr>
      </w:pPr>
    </w:p>
    <w:p w14:paraId="00000017" w14:textId="77777777" w:rsidR="00155F42" w:rsidRDefault="002E54F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 je osobou v bytové nouzi; bytovou nouzí se pro účely tohoto zákona r</w:t>
      </w:r>
      <w:r>
        <w:rPr>
          <w:rFonts w:ascii="Times New Roman" w:eastAsia="Times New Roman" w:hAnsi="Times New Roman" w:cs="Times New Roman"/>
          <w:sz w:val="20"/>
          <w:szCs w:val="20"/>
        </w:rPr>
        <w:t>ozumí stav nedostatku jistého, důstojného a přiměřeného bydlení, který osoba není schopna řešit vlastním přičiněním, nebo hrozba, že takový stav v dohledné době nastane.“.</w:t>
      </w:r>
    </w:p>
    <w:p w14:paraId="00000018" w14:textId="77777777" w:rsidR="00155F42" w:rsidRDefault="00155F42">
      <w:pPr>
        <w:jc w:val="both"/>
        <w:rPr>
          <w:rFonts w:ascii="Times New Roman" w:eastAsia="Times New Roman" w:hAnsi="Times New Roman" w:cs="Times New Roman"/>
          <w:sz w:val="20"/>
          <w:szCs w:val="20"/>
        </w:rPr>
      </w:pPr>
    </w:p>
    <w:p w14:paraId="00000019" w14:textId="77777777" w:rsidR="00155F42" w:rsidRDefault="002E54F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X2. V § 37 písm. e) se za slova “odst. 6” vkládají slova “ písm. a) až e)”.</w:t>
      </w:r>
    </w:p>
    <w:p w14:paraId="0000001A" w14:textId="77777777" w:rsidR="00155F42" w:rsidRDefault="00155F42">
      <w:pPr>
        <w:jc w:val="both"/>
        <w:rPr>
          <w:rFonts w:ascii="Times New Roman" w:eastAsia="Times New Roman" w:hAnsi="Times New Roman" w:cs="Times New Roman"/>
          <w:sz w:val="20"/>
          <w:szCs w:val="20"/>
        </w:rPr>
      </w:pPr>
    </w:p>
    <w:p w14:paraId="0000001B" w14:textId="77777777" w:rsidR="00155F42" w:rsidRDefault="002E54F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X3. V </w:t>
      </w:r>
      <w:r>
        <w:rPr>
          <w:rFonts w:ascii="Times New Roman" w:eastAsia="Times New Roman" w:hAnsi="Times New Roman" w:cs="Times New Roman"/>
          <w:sz w:val="20"/>
          <w:szCs w:val="20"/>
        </w:rPr>
        <w:t xml:space="preserve">§ 37 se na konci písmene e) tečka nahrazuje čárkou a doplňuje se písmeno f), které zní: </w:t>
      </w:r>
    </w:p>
    <w:p w14:paraId="0000001C" w14:textId="77777777" w:rsidR="00155F42" w:rsidRDefault="00155F42">
      <w:pPr>
        <w:jc w:val="both"/>
        <w:rPr>
          <w:rFonts w:ascii="Times New Roman" w:eastAsia="Times New Roman" w:hAnsi="Times New Roman" w:cs="Times New Roman"/>
          <w:sz w:val="20"/>
          <w:szCs w:val="20"/>
        </w:rPr>
      </w:pPr>
    </w:p>
    <w:p w14:paraId="0000001D" w14:textId="77777777" w:rsidR="00155F42" w:rsidRDefault="002E54FB">
      <w:pPr>
        <w:jc w:val="both"/>
        <w:rPr>
          <w:rFonts w:ascii="Times New Roman" w:eastAsia="Times New Roman" w:hAnsi="Times New Roman" w:cs="Times New Roman"/>
          <w:sz w:val="20"/>
          <w:szCs w:val="20"/>
          <w:vertAlign w:val="superscript"/>
        </w:rPr>
      </w:pPr>
      <w:r>
        <w:rPr>
          <w:rFonts w:ascii="Times New Roman" w:eastAsia="Times New Roman" w:hAnsi="Times New Roman" w:cs="Times New Roman"/>
          <w:sz w:val="20"/>
          <w:szCs w:val="20"/>
        </w:rPr>
        <w:t xml:space="preserve">„f) v § 2 odst. 6 písm. f) se stanoví až do výše potřebné k účelu, ke kterému se dávka poskytuje. </w:t>
      </w:r>
      <w:sdt>
        <w:sdtPr>
          <w:tag w:val="goog_rdk_0"/>
          <w:id w:val="1431858535"/>
        </w:sdtPr>
        <w:sdtEndPr/>
        <w:sdtContent/>
      </w:sdt>
      <w:sdt>
        <w:sdtPr>
          <w:tag w:val="goog_rdk_1"/>
          <w:id w:val="1556360779"/>
        </w:sdtPr>
        <w:sdtEndPr/>
        <w:sdtContent/>
      </w:sdt>
      <w:sdt>
        <w:sdtPr>
          <w:tag w:val="goog_rdk_2"/>
          <w:id w:val="1060450036"/>
        </w:sdtPr>
        <w:sdtEndPr/>
        <w:sdtContent/>
      </w:sdt>
      <w:sdt>
        <w:sdtPr>
          <w:tag w:val="goog_rdk_3"/>
          <w:id w:val="-1456024506"/>
        </w:sdtPr>
        <w:sdtEndPr/>
        <w:sdtContent/>
      </w:sdt>
      <w:r>
        <w:rPr>
          <w:rFonts w:ascii="Times New Roman" w:eastAsia="Times New Roman" w:hAnsi="Times New Roman" w:cs="Times New Roman"/>
          <w:sz w:val="20"/>
          <w:szCs w:val="20"/>
        </w:rPr>
        <w:t>Součet dávek poskytnutých podle tohoto ustanovení nesmí v rá</w:t>
      </w:r>
      <w:r>
        <w:rPr>
          <w:rFonts w:ascii="Times New Roman" w:eastAsia="Times New Roman" w:hAnsi="Times New Roman" w:cs="Times New Roman"/>
          <w:sz w:val="20"/>
          <w:szCs w:val="20"/>
        </w:rPr>
        <w:t>mci kalendářního roku překročit desetinásobek životního minima jednotlivce.</w:t>
      </w:r>
      <w:r>
        <w:rPr>
          <w:rFonts w:ascii="Times New Roman" w:eastAsia="Times New Roman" w:hAnsi="Times New Roman" w:cs="Times New Roman"/>
          <w:sz w:val="20"/>
          <w:szCs w:val="20"/>
        </w:rPr>
        <w:t>“.</w:t>
      </w:r>
    </w:p>
    <w:p w14:paraId="0000001E" w14:textId="77777777" w:rsidR="00155F42" w:rsidRDefault="00155F42">
      <w:pPr>
        <w:jc w:val="both"/>
        <w:rPr>
          <w:rFonts w:ascii="Times New Roman" w:eastAsia="Times New Roman" w:hAnsi="Times New Roman" w:cs="Times New Roman"/>
          <w:sz w:val="20"/>
          <w:szCs w:val="20"/>
          <w:vertAlign w:val="superscript"/>
        </w:rPr>
      </w:pPr>
    </w:p>
    <w:p w14:paraId="0000001F" w14:textId="77777777" w:rsidR="00155F42" w:rsidRDefault="002E54F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X4. Na konci § 43 odst. 5 písm. c) se doplňuje věta, která zní: „Způsob výplaty využitím přímé úhrady výdaje nebo nákladu určí plátce dávky vždy pro výplatu mimořádné okamžité pomoci z důvodu uvedeného v § 2 odst. 6 písm. f).“.</w:t>
      </w:r>
    </w:p>
    <w:p w14:paraId="00000020" w14:textId="77777777" w:rsidR="00155F42" w:rsidRDefault="00155F42">
      <w:pPr>
        <w:jc w:val="both"/>
        <w:rPr>
          <w:rFonts w:ascii="Times New Roman" w:eastAsia="Times New Roman" w:hAnsi="Times New Roman" w:cs="Times New Roman"/>
          <w:sz w:val="20"/>
          <w:szCs w:val="20"/>
        </w:rPr>
      </w:pPr>
    </w:p>
    <w:p w14:paraId="00000021" w14:textId="77777777" w:rsidR="00155F42" w:rsidRDefault="002E54F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X5. V § 50 se za slova „zdr</w:t>
      </w:r>
      <w:r>
        <w:rPr>
          <w:rFonts w:ascii="Times New Roman" w:eastAsia="Times New Roman" w:hAnsi="Times New Roman" w:cs="Times New Roman"/>
          <w:sz w:val="20"/>
          <w:szCs w:val="20"/>
        </w:rPr>
        <w:t>avotním stavu osob“ vkládají slova „, údaje o bytové nouzi“.</w:t>
      </w:r>
    </w:p>
    <w:p w14:paraId="00000022" w14:textId="77777777" w:rsidR="00155F42" w:rsidRDefault="00155F42">
      <w:pPr>
        <w:jc w:val="both"/>
        <w:rPr>
          <w:rFonts w:ascii="Times New Roman" w:eastAsia="Times New Roman" w:hAnsi="Times New Roman" w:cs="Times New Roman"/>
          <w:sz w:val="20"/>
          <w:szCs w:val="20"/>
        </w:rPr>
      </w:pPr>
    </w:p>
    <w:p w14:paraId="00000023" w14:textId="77777777" w:rsidR="00155F42" w:rsidRDefault="002E54F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X6. V § 51 se za odstavec 3 vkládá odstavec 4 včetně poznámky pod čarou č. x, který zní:</w:t>
      </w:r>
    </w:p>
    <w:p w14:paraId="00000024" w14:textId="77777777" w:rsidR="00155F42" w:rsidRDefault="00155F42">
      <w:pPr>
        <w:jc w:val="both"/>
        <w:rPr>
          <w:rFonts w:ascii="Times New Roman" w:eastAsia="Times New Roman" w:hAnsi="Times New Roman" w:cs="Times New Roman"/>
          <w:sz w:val="20"/>
          <w:szCs w:val="20"/>
        </w:rPr>
      </w:pPr>
    </w:p>
    <w:p w14:paraId="00000025" w14:textId="1D147E5C" w:rsidR="00155F42" w:rsidRDefault="002E54FB">
      <w:pPr>
        <w:spacing w:after="240"/>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„(4) P</w:t>
      </w:r>
      <w:r>
        <w:rPr>
          <w:rFonts w:ascii="Times New Roman" w:eastAsia="Times New Roman" w:hAnsi="Times New Roman" w:cs="Times New Roman"/>
          <w:color w:val="000000"/>
          <w:sz w:val="20"/>
          <w:szCs w:val="20"/>
        </w:rPr>
        <w:t>okud byla dávka poskytnuta za účelem úhrady peněžité jistoty, že nájemce zaplatí nájemné a splní j</w:t>
      </w:r>
      <w:r>
        <w:rPr>
          <w:rFonts w:ascii="Times New Roman" w:eastAsia="Times New Roman" w:hAnsi="Times New Roman" w:cs="Times New Roman"/>
          <w:color w:val="000000"/>
          <w:sz w:val="20"/>
          <w:szCs w:val="20"/>
        </w:rPr>
        <w:t xml:space="preserve">iné povinnosti vyplývající z nájmu bytu, </w:t>
      </w:r>
      <w:sdt>
        <w:sdtPr>
          <w:tag w:val="goog_rdk_4"/>
          <w:id w:val="504332829"/>
        </w:sdtPr>
        <w:sdtEndPr/>
        <w:sdtContent>
          <w:sdt>
            <w:sdtPr>
              <w:tag w:val="goog_rdk_5"/>
              <w:id w:val="1865637000"/>
            </w:sdtPr>
            <w:sdtEndPr/>
            <w:sdtContent/>
          </w:sdt>
          <w:r>
            <w:rPr>
              <w:rFonts w:ascii="Times New Roman" w:eastAsia="Times New Roman" w:hAnsi="Times New Roman" w:cs="Times New Roman"/>
              <w:color w:val="000000"/>
              <w:sz w:val="20"/>
              <w:szCs w:val="20"/>
            </w:rPr>
            <w:t>je pronajímatel</w:t>
          </w:r>
        </w:sdtContent>
      </w:sdt>
      <w:r w:rsidR="0045481C">
        <w:t xml:space="preserve"> </w:t>
      </w:r>
      <w:r>
        <w:rPr>
          <w:rFonts w:ascii="Times New Roman" w:eastAsia="Times New Roman" w:hAnsi="Times New Roman" w:cs="Times New Roman"/>
          <w:color w:val="000000"/>
          <w:sz w:val="20"/>
          <w:szCs w:val="20"/>
        </w:rPr>
        <w:t>povinen po skončení nájmu tuto dávku</w:t>
      </w:r>
      <w:sdt>
        <w:sdtPr>
          <w:tag w:val="goog_rdk_7"/>
          <w:id w:val="-1030951593"/>
        </w:sdtPr>
        <w:sdtEndPr/>
        <w:sdtContent>
          <w:sdt>
            <w:sdtPr>
              <w:tag w:val="goog_rdk_8"/>
              <w:id w:val="-1494792143"/>
            </w:sdtPr>
            <w:sdtEndPr/>
            <w:sdtContent/>
          </w:sdt>
          <w:r>
            <w:rPr>
              <w:rFonts w:ascii="Times New Roman" w:eastAsia="Times New Roman" w:hAnsi="Times New Roman" w:cs="Times New Roman"/>
              <w:color w:val="000000"/>
              <w:sz w:val="20"/>
              <w:szCs w:val="20"/>
            </w:rPr>
            <w:t xml:space="preserve"> na výzvu orgánu pomoci v hmotné nouzi</w:t>
          </w:r>
        </w:sdtContent>
      </w:sdt>
      <w:r>
        <w:rPr>
          <w:rFonts w:ascii="Times New Roman" w:eastAsia="Times New Roman" w:hAnsi="Times New Roman" w:cs="Times New Roman"/>
          <w:color w:val="000000"/>
          <w:sz w:val="20"/>
          <w:szCs w:val="20"/>
        </w:rPr>
        <w:t xml:space="preserve"> vrátit sníženou o částku, kterou si započetl, a zvýšenou o poskytnuté úroky</w:t>
      </w:r>
      <w:r>
        <w:rPr>
          <w:rFonts w:ascii="Times New Roman" w:eastAsia="Times New Roman" w:hAnsi="Times New Roman" w:cs="Times New Roman"/>
          <w:sz w:val="20"/>
          <w:szCs w:val="20"/>
          <w:vertAlign w:val="superscript"/>
        </w:rPr>
        <w:t>x</w:t>
      </w:r>
      <w:r>
        <w:rPr>
          <w:rFonts w:ascii="Times New Roman" w:eastAsia="Times New Roman" w:hAnsi="Times New Roman" w:cs="Times New Roman"/>
          <w:color w:val="000000"/>
          <w:sz w:val="20"/>
          <w:szCs w:val="20"/>
        </w:rPr>
        <w:t>. Započetl-li si pronajímatel částku k náhradě škody na bytu,  doloží pronajímatel poško</w:t>
      </w:r>
      <w:r>
        <w:rPr>
          <w:rFonts w:ascii="Times New Roman" w:eastAsia="Times New Roman" w:hAnsi="Times New Roman" w:cs="Times New Roman"/>
          <w:sz w:val="20"/>
          <w:szCs w:val="20"/>
        </w:rPr>
        <w:t>zení bytu popisem stavu bytu, který byl nedílnou součástí nájemní smlouvy,</w:t>
      </w:r>
      <w:r>
        <w:rPr>
          <w:rFonts w:ascii="Times New Roman" w:eastAsia="Times New Roman" w:hAnsi="Times New Roman" w:cs="Times New Roman"/>
          <w:color w:val="000000"/>
          <w:sz w:val="20"/>
          <w:szCs w:val="20"/>
        </w:rPr>
        <w:t xml:space="preserve"> a fotografickou dokumentací</w:t>
      </w:r>
      <w:r>
        <w:rPr>
          <w:rFonts w:ascii="Times New Roman" w:eastAsia="Times New Roman" w:hAnsi="Times New Roman" w:cs="Times New Roman"/>
          <w:sz w:val="20"/>
          <w:szCs w:val="20"/>
        </w:rPr>
        <w:t xml:space="preserve"> při skončení nájemního vztahu</w:t>
      </w:r>
      <w:r>
        <w:rPr>
          <w:rFonts w:ascii="Times New Roman" w:eastAsia="Times New Roman" w:hAnsi="Times New Roman" w:cs="Times New Roman"/>
          <w:color w:val="000000"/>
          <w:sz w:val="20"/>
          <w:szCs w:val="20"/>
        </w:rPr>
        <w:t>.“</w:t>
      </w:r>
    </w:p>
    <w:p w14:paraId="00000026" w14:textId="77777777" w:rsidR="00155F42" w:rsidRDefault="002E54FB">
      <w:pPr>
        <w:spacing w:after="2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14:paraId="00000027" w14:textId="77777777" w:rsidR="00155F42" w:rsidRDefault="002E54FB">
      <w:pPr>
        <w:spacing w:after="2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vertAlign w:val="superscript"/>
        </w:rPr>
        <w:t xml:space="preserve">x)  </w:t>
      </w:r>
      <w:r>
        <w:rPr>
          <w:rFonts w:ascii="Times New Roman" w:eastAsia="Times New Roman" w:hAnsi="Times New Roman" w:cs="Times New Roman"/>
          <w:sz w:val="20"/>
          <w:szCs w:val="20"/>
        </w:rPr>
        <w:t xml:space="preserve">§ 2254 zákona č. 89/2012 </w:t>
      </w:r>
      <w:r>
        <w:rPr>
          <w:rFonts w:ascii="Times New Roman" w:eastAsia="Times New Roman" w:hAnsi="Times New Roman" w:cs="Times New Roman"/>
          <w:sz w:val="20"/>
          <w:szCs w:val="20"/>
        </w:rPr>
        <w:t>Sb., občanský zákoník</w:t>
      </w:r>
    </w:p>
    <w:p w14:paraId="00000028" w14:textId="77777777" w:rsidR="00155F42" w:rsidRDefault="002E54FB">
      <w:pPr>
        <w:spacing w:after="2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Odstavce 4 až 7 se označují jako odstavce 5 až 8.</w:t>
      </w:r>
    </w:p>
    <w:p w14:paraId="00000029" w14:textId="77777777" w:rsidR="00155F42" w:rsidRDefault="002E54FB">
      <w:pPr>
        <w:spacing w:after="2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X7. V § 51 odst. 5 se slova „1 až 3“ nahrazují slovy „1 až 4“.</w:t>
      </w:r>
    </w:p>
    <w:p w14:paraId="0000002A" w14:textId="77777777" w:rsidR="00155F42" w:rsidRDefault="002E54FB">
      <w:pPr>
        <w:spacing w:after="2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X8. V § 51 odst. 7 se slova „1 až 4“ nahrazují slovy „1 až 5“.</w:t>
      </w:r>
    </w:p>
    <w:p w14:paraId="0000002B" w14:textId="77777777" w:rsidR="00155F42" w:rsidRDefault="002E54F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X9. Na konci § 64 odst. 2 písm. a) se doplňují slova „ vče</w:t>
      </w:r>
      <w:r>
        <w:rPr>
          <w:rFonts w:ascii="Times New Roman" w:eastAsia="Times New Roman" w:hAnsi="Times New Roman" w:cs="Times New Roman"/>
          <w:sz w:val="20"/>
          <w:szCs w:val="20"/>
        </w:rPr>
        <w:t>tně posouzení bytové nouze,“.</w:t>
      </w:r>
    </w:p>
    <w:p w14:paraId="0000002C" w14:textId="77777777" w:rsidR="00155F42" w:rsidRDefault="00155F42">
      <w:pPr>
        <w:jc w:val="both"/>
        <w:rPr>
          <w:rFonts w:ascii="Times New Roman" w:eastAsia="Times New Roman" w:hAnsi="Times New Roman" w:cs="Times New Roman"/>
          <w:sz w:val="20"/>
          <w:szCs w:val="20"/>
        </w:rPr>
      </w:pPr>
    </w:p>
    <w:p w14:paraId="0000002D" w14:textId="77777777" w:rsidR="00155F42" w:rsidRDefault="002E54FB">
      <w:pPr>
        <w:rPr>
          <w:rFonts w:ascii="Times New Roman" w:eastAsia="Times New Roman" w:hAnsi="Times New Roman" w:cs="Times New Roman"/>
          <w:color w:val="000000"/>
          <w:sz w:val="20"/>
          <w:szCs w:val="20"/>
        </w:rPr>
      </w:pPr>
      <w:r>
        <w:br w:type="page"/>
      </w:r>
    </w:p>
    <w:p w14:paraId="0000002E" w14:textId="77777777" w:rsidR="00155F42" w:rsidRDefault="002E54FB">
      <w:pPr>
        <w:spacing w:after="227"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Odůvodnění</w:t>
      </w:r>
    </w:p>
    <w:p w14:paraId="0000002F" w14:textId="77777777" w:rsidR="00155F42" w:rsidRDefault="002E54FB">
      <w:pPr>
        <w:spacing w:after="227" w:line="276" w:lineRule="auto"/>
        <w:rPr>
          <w:rFonts w:ascii="Times New Roman" w:eastAsia="Times New Roman" w:hAnsi="Times New Roman" w:cs="Times New Roman"/>
          <w:color w:val="2F5496"/>
          <w:sz w:val="22"/>
          <w:szCs w:val="22"/>
        </w:rPr>
      </w:pPr>
      <w:r>
        <w:rPr>
          <w:rFonts w:ascii="Times New Roman" w:eastAsia="Times New Roman" w:hAnsi="Times New Roman" w:cs="Times New Roman"/>
          <w:b/>
          <w:sz w:val="22"/>
          <w:szCs w:val="22"/>
        </w:rPr>
        <w:t>Obecná část</w:t>
      </w:r>
    </w:p>
    <w:p w14:paraId="00000030" w14:textId="36405ACD" w:rsidR="00155F42" w:rsidRDefault="002E54FB">
      <w:pPr>
        <w:keepNext/>
        <w:keepLines/>
        <w:pBdr>
          <w:top w:val="nil"/>
          <w:left w:val="nil"/>
          <w:bottom w:val="nil"/>
          <w:right w:val="nil"/>
          <w:between w:val="nil"/>
        </w:pBdr>
        <w:spacing w:before="40" w:after="120"/>
        <w:jc w:val="both"/>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Podpora s úhradou jistoty (kauce) formou dávky mimořádná okamžitá pomoc (MOP) je efektivním a v praxi ověřeným nástrojem zabydlování domácností v bytové nouzi či bytovou nouzí ohrožených.</w:t>
      </w:r>
      <w:r w:rsidR="0045481C">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sz w:val="20"/>
          <w:szCs w:val="20"/>
        </w:rPr>
        <w:t xml:space="preserve">Jde o osvědčenou pomoc při zabydlování rodin s dětmi i bezdětných domácností, včetně mladých lidí odcházejících z ústavní péče nebo osob po výkonu trestu, kteří jsou v péči sociálních kurátorů. </w:t>
      </w:r>
    </w:p>
    <w:p w14:paraId="00000031" w14:textId="77777777" w:rsidR="00155F42" w:rsidRDefault="002E54F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Z aktuální analýzy Odboru pro sociální začleňování Ministerst</w:t>
      </w:r>
      <w:r>
        <w:rPr>
          <w:rFonts w:ascii="Times New Roman" w:eastAsia="Times New Roman" w:hAnsi="Times New Roman" w:cs="Times New Roman"/>
          <w:sz w:val="20"/>
          <w:szCs w:val="20"/>
        </w:rPr>
        <w:t>va pro místní rozvoj České republiky vyplynulo, „že MOP na kauci je velmi účinným nástrojem pro řešení bytové situace domácností nacházejících se v substandardních typech bydlení. Po 12 měsících od přiznání dávky si standardní bydlení udrželo 85 % domácnos</w:t>
      </w:r>
      <w:r>
        <w:rPr>
          <w:rFonts w:ascii="Times New Roman" w:eastAsia="Times New Roman" w:hAnsi="Times New Roman" w:cs="Times New Roman"/>
          <w:sz w:val="20"/>
          <w:szCs w:val="20"/>
        </w:rPr>
        <w:t>tí. Po dalších 12 měsících tento podíl domácností sice poklesl, ovšem jen o 6 procentních bodů, takže po 24 měsících od přiznání dávky se podařilo vyřešit bezdomovectví u více jak tří čtvrtin domácností (79 %). [...] Z 1 800 příjemců dávky tedy zhruba 1 40</w:t>
      </w:r>
      <w:r>
        <w:rPr>
          <w:rFonts w:ascii="Times New Roman" w:eastAsia="Times New Roman" w:hAnsi="Times New Roman" w:cs="Times New Roman"/>
          <w:sz w:val="20"/>
          <w:szCs w:val="20"/>
        </w:rPr>
        <w:t xml:space="preserve">0 domácností bydlí v bytech po dobu alespoň dvou let. Tato dávka je efektivním a levným nástrojem pro ukončování bezdomovectví, je žádoucí, aby nedocházelo k dalšímu poklesu počtu přiznaných MOP, resp. aby se jejich počet v návaznosti na poptávku žadatelů </w:t>
      </w:r>
      <w:r>
        <w:rPr>
          <w:rFonts w:ascii="Times New Roman" w:eastAsia="Times New Roman" w:hAnsi="Times New Roman" w:cs="Times New Roman"/>
          <w:sz w:val="20"/>
          <w:szCs w:val="20"/>
        </w:rPr>
        <w:t>navýšil.”</w:t>
      </w:r>
      <w:r>
        <w:rPr>
          <w:rFonts w:ascii="Times New Roman" w:eastAsia="Times New Roman" w:hAnsi="Times New Roman" w:cs="Times New Roman"/>
          <w:sz w:val="20"/>
          <w:szCs w:val="20"/>
          <w:vertAlign w:val="superscript"/>
        </w:rPr>
        <w:footnoteReference w:id="1"/>
      </w:r>
    </w:p>
    <w:p w14:paraId="00000032" w14:textId="77777777" w:rsidR="00155F42" w:rsidRDefault="00155F42">
      <w:pPr>
        <w:jc w:val="both"/>
        <w:rPr>
          <w:rFonts w:ascii="Times New Roman" w:eastAsia="Times New Roman" w:hAnsi="Times New Roman" w:cs="Times New Roman"/>
          <w:sz w:val="20"/>
          <w:szCs w:val="20"/>
        </w:rPr>
      </w:pPr>
    </w:p>
    <w:p w14:paraId="00000033" w14:textId="77777777" w:rsidR="00155F42" w:rsidRDefault="002E54FB">
      <w:pPr>
        <w:keepNext/>
        <w:keepLines/>
        <w:pBdr>
          <w:top w:val="nil"/>
          <w:left w:val="nil"/>
          <w:bottom w:val="nil"/>
          <w:right w:val="nil"/>
          <w:between w:val="nil"/>
        </w:pBdr>
        <w:spacing w:before="40" w:after="120"/>
        <w:jc w:val="both"/>
        <w:rPr>
          <w:rFonts w:ascii="Times New Roman" w:eastAsia="Times New Roman" w:hAnsi="Times New Roman" w:cs="Times New Roman"/>
          <w:sz w:val="20"/>
          <w:szCs w:val="20"/>
        </w:rPr>
      </w:pPr>
      <w:bookmarkStart w:id="0" w:name="_heading=h.fwgj0q9iq6pr" w:colFirst="0" w:colLast="0"/>
      <w:bookmarkEnd w:id="0"/>
      <w:r>
        <w:rPr>
          <w:rFonts w:ascii="Times New Roman" w:eastAsia="Times New Roman" w:hAnsi="Times New Roman" w:cs="Times New Roman"/>
          <w:b/>
          <w:color w:val="000000"/>
          <w:sz w:val="20"/>
          <w:szCs w:val="20"/>
        </w:rPr>
        <w:t>Podpora s úhradu jistoty formou MOP je méně nákladným nástrojem než alternativy</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Jedná se o výdaj pohybující se v rozmezí 10 až 30 tisíc Kč, ve srovnání s náklady na pořizování sociálních bytů, které jsou v řádech stovek tisíc Kč, v případě reko</w:t>
      </w:r>
      <w:r>
        <w:rPr>
          <w:rFonts w:ascii="Times New Roman" w:eastAsia="Times New Roman" w:hAnsi="Times New Roman" w:cs="Times New Roman"/>
          <w:sz w:val="20"/>
          <w:szCs w:val="20"/>
        </w:rPr>
        <w:t>nstrukcí obecních bytů za účelem sociálního bydlení, a miliony Kč v případě odkupu či výstavby bytů.</w:t>
      </w:r>
    </w:p>
    <w:p w14:paraId="00000034" w14:textId="77777777" w:rsidR="00155F42" w:rsidRDefault="00155F42">
      <w:pPr>
        <w:jc w:val="both"/>
        <w:rPr>
          <w:rFonts w:ascii="Times New Roman" w:eastAsia="Times New Roman" w:hAnsi="Times New Roman" w:cs="Times New Roman"/>
          <w:sz w:val="20"/>
          <w:szCs w:val="20"/>
        </w:rPr>
      </w:pPr>
    </w:p>
    <w:p w14:paraId="00000035" w14:textId="77777777" w:rsidR="00155F42" w:rsidRDefault="002E54FB">
      <w:pPr>
        <w:keepNext/>
        <w:keepLines/>
        <w:pBdr>
          <w:top w:val="nil"/>
          <w:left w:val="nil"/>
          <w:bottom w:val="nil"/>
          <w:right w:val="nil"/>
          <w:between w:val="nil"/>
        </w:pBdr>
        <w:spacing w:before="40" w:after="120"/>
        <w:jc w:val="both"/>
        <w:rPr>
          <w:rFonts w:ascii="Times New Roman" w:eastAsia="Times New Roman" w:hAnsi="Times New Roman" w:cs="Times New Roman"/>
          <w:sz w:val="20"/>
          <w:szCs w:val="20"/>
        </w:rPr>
      </w:pPr>
      <w:bookmarkStart w:id="1" w:name="_heading=h.gmvx8ro1qh7b" w:colFirst="0" w:colLast="0"/>
      <w:bookmarkEnd w:id="1"/>
      <w:r>
        <w:rPr>
          <w:rFonts w:ascii="Times New Roman" w:eastAsia="Times New Roman" w:hAnsi="Times New Roman" w:cs="Times New Roman"/>
          <w:b/>
          <w:color w:val="000000"/>
          <w:sz w:val="20"/>
          <w:szCs w:val="20"/>
        </w:rPr>
        <w:t>Podpora s úhradu jistoty formou MOP je rychlým řešením bytové nouze</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Umístění domácnosti do běžného tržního bydlení díky podpoře s úhradou jistoty formou </w:t>
      </w:r>
      <w:r>
        <w:rPr>
          <w:rFonts w:ascii="Times New Roman" w:eastAsia="Times New Roman" w:hAnsi="Times New Roman" w:cs="Times New Roman"/>
          <w:sz w:val="20"/>
          <w:szCs w:val="20"/>
        </w:rPr>
        <w:t xml:space="preserve">MOP je mnohonásobně rychlejší než pořizování sociálních bytů (ať už formou výstavby, rekonstrukce nebo odkupu). Finanční pomoc s úhradou jistoty je proto součástí nástrojů na řešení bytové nouze také v zahraničí (např. v rámci programů vlády USA pro pomoc </w:t>
      </w:r>
      <w:r>
        <w:rPr>
          <w:rFonts w:ascii="Times New Roman" w:eastAsia="Times New Roman" w:hAnsi="Times New Roman" w:cs="Times New Roman"/>
          <w:sz w:val="20"/>
          <w:szCs w:val="20"/>
        </w:rPr>
        <w:t xml:space="preserve">veteránům, jako součást politik bydlení v Anglii a Skotsku). </w:t>
      </w:r>
    </w:p>
    <w:p w14:paraId="00000036" w14:textId="77777777" w:rsidR="00155F42" w:rsidRDefault="00155F42">
      <w:pPr>
        <w:ind w:left="576"/>
        <w:jc w:val="both"/>
        <w:rPr>
          <w:rFonts w:ascii="Times New Roman" w:eastAsia="Times New Roman" w:hAnsi="Times New Roman" w:cs="Times New Roman"/>
          <w:sz w:val="20"/>
          <w:szCs w:val="20"/>
        </w:rPr>
      </w:pPr>
    </w:p>
    <w:p w14:paraId="00000037" w14:textId="77777777" w:rsidR="00155F42" w:rsidRDefault="002E54FB">
      <w:pPr>
        <w:keepNext/>
        <w:keepLines/>
        <w:pBdr>
          <w:top w:val="nil"/>
          <w:left w:val="nil"/>
          <w:bottom w:val="nil"/>
          <w:right w:val="nil"/>
          <w:between w:val="nil"/>
        </w:pBdr>
        <w:spacing w:before="40" w:after="120"/>
        <w:jc w:val="both"/>
        <w:rPr>
          <w:rFonts w:ascii="Times New Roman" w:eastAsia="Times New Roman" w:hAnsi="Times New Roman" w:cs="Times New Roman"/>
          <w:sz w:val="20"/>
          <w:szCs w:val="20"/>
        </w:rPr>
      </w:pPr>
      <w:bookmarkStart w:id="2" w:name="_heading=h.9uoq69byzguj" w:colFirst="0" w:colLast="0"/>
      <w:bookmarkEnd w:id="2"/>
      <w:r>
        <w:rPr>
          <w:rFonts w:ascii="Times New Roman" w:eastAsia="Times New Roman" w:hAnsi="Times New Roman" w:cs="Times New Roman"/>
          <w:b/>
          <w:color w:val="000000"/>
          <w:sz w:val="20"/>
          <w:szCs w:val="20"/>
        </w:rPr>
        <w:t>Přijetí návrhu přispěje k omezení byznysu s chudobou.</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Podpora s úhradou jistoty formou MOP již byla ověřena jako účinný nástroj pro to, jak dostat část obyvatel z ubytoven do běžného bydlení. Č</w:t>
      </w:r>
      <w:r>
        <w:rPr>
          <w:rFonts w:ascii="Times New Roman" w:eastAsia="Times New Roman" w:hAnsi="Times New Roman" w:cs="Times New Roman"/>
          <w:sz w:val="20"/>
          <w:szCs w:val="20"/>
        </w:rPr>
        <w:t>astější využívání podpory s úhradou jistoty formou MOP má reálný potenciál napomoci tomu, aby došlo ke snížení počtu domácností na ubytovnách, a omezit tak byznys s chudobou, který se dlouhodobě omezit nedaří. Jedním z nejvíce kritizovaných znaků byznysu s</w:t>
      </w:r>
      <w:r>
        <w:rPr>
          <w:rFonts w:ascii="Times New Roman" w:eastAsia="Times New Roman" w:hAnsi="Times New Roman" w:cs="Times New Roman"/>
          <w:sz w:val="20"/>
          <w:szCs w:val="20"/>
        </w:rPr>
        <w:t xml:space="preserve"> chudobou je vysoká výše nájmu, kterou chudé domácnosti platí v (obvykle nevhodných) bytech, jiných než obytných prostorech apod., které jsou zároveň dostupné i bez nutnosti uhradit jistotu při uzavření nájemní nebo obdobné smlouvy. Podpora při úhradě jist</w:t>
      </w:r>
      <w:r>
        <w:rPr>
          <w:rFonts w:ascii="Times New Roman" w:eastAsia="Times New Roman" w:hAnsi="Times New Roman" w:cs="Times New Roman"/>
          <w:sz w:val="20"/>
          <w:szCs w:val="20"/>
        </w:rPr>
        <w:t xml:space="preserve">oty umožní domácnostem v bytové nouzi, které splní další podmínky, aby získaly standardní bydlení (tj. s nájmem odpovídajícím poloze a stavu bytu, jehož pronájem je spojen s úhradou jistoty).  </w:t>
      </w:r>
    </w:p>
    <w:p w14:paraId="00000038" w14:textId="77777777" w:rsidR="00155F42" w:rsidRDefault="00155F42">
      <w:pPr>
        <w:jc w:val="both"/>
        <w:rPr>
          <w:rFonts w:ascii="Times New Roman" w:eastAsia="Times New Roman" w:hAnsi="Times New Roman" w:cs="Times New Roman"/>
          <w:sz w:val="20"/>
          <w:szCs w:val="20"/>
        </w:rPr>
      </w:pPr>
    </w:p>
    <w:p w14:paraId="00000039" w14:textId="77777777" w:rsidR="00155F42" w:rsidRDefault="002E54FB">
      <w:pPr>
        <w:keepNext/>
        <w:keepLines/>
        <w:pBdr>
          <w:top w:val="nil"/>
          <w:left w:val="nil"/>
          <w:bottom w:val="nil"/>
          <w:right w:val="nil"/>
          <w:between w:val="nil"/>
        </w:pBdr>
        <w:spacing w:before="40" w:after="120"/>
        <w:jc w:val="both"/>
        <w:rPr>
          <w:rFonts w:ascii="Times New Roman" w:eastAsia="Times New Roman" w:hAnsi="Times New Roman" w:cs="Times New Roman"/>
          <w:sz w:val="20"/>
          <w:szCs w:val="20"/>
        </w:rPr>
      </w:pPr>
      <w:bookmarkStart w:id="3" w:name="_heading=h.vjmbw6afoqyj" w:colFirst="0" w:colLast="0"/>
      <w:bookmarkEnd w:id="3"/>
      <w:r>
        <w:rPr>
          <w:rFonts w:ascii="Times New Roman" w:eastAsia="Times New Roman" w:hAnsi="Times New Roman" w:cs="Times New Roman"/>
          <w:b/>
          <w:color w:val="000000"/>
          <w:sz w:val="20"/>
          <w:szCs w:val="20"/>
        </w:rPr>
        <w:lastRenderedPageBreak/>
        <w:t xml:space="preserve">Díky zabydlení domácností v </w:t>
      </w:r>
      <w:r>
        <w:rPr>
          <w:rFonts w:ascii="Times New Roman" w:eastAsia="Times New Roman" w:hAnsi="Times New Roman" w:cs="Times New Roman"/>
          <w:b/>
          <w:sz w:val="20"/>
          <w:szCs w:val="20"/>
        </w:rPr>
        <w:t>bytech</w:t>
      </w:r>
      <w:r>
        <w:rPr>
          <w:rFonts w:ascii="Times New Roman" w:eastAsia="Times New Roman" w:hAnsi="Times New Roman" w:cs="Times New Roman"/>
          <w:b/>
          <w:color w:val="000000"/>
          <w:sz w:val="20"/>
          <w:szCs w:val="20"/>
        </w:rPr>
        <w:t xml:space="preserve"> s pomocí MOP dojde ke sníž</w:t>
      </w:r>
      <w:r>
        <w:rPr>
          <w:rFonts w:ascii="Times New Roman" w:eastAsia="Times New Roman" w:hAnsi="Times New Roman" w:cs="Times New Roman"/>
          <w:b/>
          <w:color w:val="000000"/>
          <w:sz w:val="20"/>
          <w:szCs w:val="20"/>
        </w:rPr>
        <w:t>ení rizika závažných a pro veřejné rozpočty nákladných problémů spojených s vyloučením ze standardního bydlení.</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S přežíváním rodin v bytové nouzi (např. na ubytovnách) je spojena celá řada negativních jevů jako ohrožení dětí sociálně-patologickými jevy, ne</w:t>
      </w:r>
      <w:r>
        <w:rPr>
          <w:rFonts w:ascii="Times New Roman" w:eastAsia="Times New Roman" w:hAnsi="Times New Roman" w:cs="Times New Roman"/>
          <w:sz w:val="20"/>
          <w:szCs w:val="20"/>
        </w:rPr>
        <w:t>vhodné podmínky pro vzdělávání dětí, ale i vyšší riziko umístění dětí mimo rodinu. Ačkoli špatné bytové či majetkové poměry nemohou být samy o sobě důvodem pro návrh orgánu sociálně-právní ochrany dětí (OSPOD) na odebrání dítěte z rodiny, nic nebrání tomu,</w:t>
      </w:r>
      <w:r>
        <w:rPr>
          <w:rFonts w:ascii="Times New Roman" w:eastAsia="Times New Roman" w:hAnsi="Times New Roman" w:cs="Times New Roman"/>
          <w:sz w:val="20"/>
          <w:szCs w:val="20"/>
        </w:rPr>
        <w:t xml:space="preserve"> aby rodiče v obtížné životní situaci z vlastní vůle a ve snaze zabezpečit své dítě umístili děti do státní péče (například do zařízení pro děti vyžadující okamžitou pomoc). Rovněž soud může nařídit odebrání dětí z rodiny, jejímž hlavním problémem je absen</w:t>
      </w:r>
      <w:r>
        <w:rPr>
          <w:rFonts w:ascii="Times New Roman" w:eastAsia="Times New Roman" w:hAnsi="Times New Roman" w:cs="Times New Roman"/>
          <w:sz w:val="20"/>
          <w:szCs w:val="20"/>
        </w:rPr>
        <w:t>ce vyhovujícího bydlení, pokud jsou jako důvod umístění dětí do státní péče současně uvedeny další skutečnosti (jako např. nedostatečná péče rodičů). Ve výsledku je tak počet dětí, které se ocitají ve státní péči kvůli bytovým problémům rodiny, stále vysok</w:t>
      </w:r>
      <w:r>
        <w:rPr>
          <w:rFonts w:ascii="Times New Roman" w:eastAsia="Times New Roman" w:hAnsi="Times New Roman" w:cs="Times New Roman"/>
          <w:sz w:val="20"/>
          <w:szCs w:val="20"/>
        </w:rPr>
        <w:t>ý. Dle šetření Veřejné ochránkyně práv hrají špatné bytové či materiální podmínky roli v umístění více než 70 % do zařízení pro děti vyžadující okamžitou pomoc, ve 40 % se jednalo o jediný důvod.</w:t>
      </w:r>
      <w:r>
        <w:rPr>
          <w:rFonts w:ascii="Times New Roman" w:eastAsia="Times New Roman" w:hAnsi="Times New Roman" w:cs="Times New Roman"/>
          <w:sz w:val="20"/>
          <w:szCs w:val="20"/>
          <w:vertAlign w:val="superscript"/>
        </w:rPr>
        <w:footnoteReference w:id="2"/>
      </w:r>
      <w:r>
        <w:rPr>
          <w:rFonts w:ascii="Times New Roman" w:eastAsia="Times New Roman" w:hAnsi="Times New Roman" w:cs="Times New Roman"/>
          <w:sz w:val="20"/>
          <w:szCs w:val="20"/>
        </w:rPr>
        <w:t xml:space="preserve"> Lze předpokládat, že navržená úprava podmínek pro výplatu M</w:t>
      </w:r>
      <w:r>
        <w:rPr>
          <w:rFonts w:ascii="Times New Roman" w:eastAsia="Times New Roman" w:hAnsi="Times New Roman" w:cs="Times New Roman"/>
          <w:sz w:val="20"/>
          <w:szCs w:val="20"/>
        </w:rPr>
        <w:t>OP za účelem podpory s úhradou jistoty umožní zabydlení části rodin, které se aktuálně nachází v bytové nouzi, do standardního bydlení, díky čemuž dojde ke snížení rizika umístění dětí mimo rodinu, což je nejen nevhodné z hlediska rozvoje dítěte, ale i nák</w:t>
      </w:r>
      <w:r>
        <w:rPr>
          <w:rFonts w:ascii="Times New Roman" w:eastAsia="Times New Roman" w:hAnsi="Times New Roman" w:cs="Times New Roman"/>
          <w:sz w:val="20"/>
          <w:szCs w:val="20"/>
        </w:rPr>
        <w:t>ladné.</w:t>
      </w:r>
    </w:p>
    <w:p w14:paraId="0000003A" w14:textId="77777777" w:rsidR="00155F42" w:rsidRDefault="002E54FB">
      <w:pPr>
        <w:jc w:val="both"/>
        <w:rPr>
          <w:rFonts w:ascii="Times New Roman" w:eastAsia="Times New Roman" w:hAnsi="Times New Roman" w:cs="Times New Roman"/>
          <w:sz w:val="20"/>
          <w:szCs w:val="20"/>
        </w:rPr>
      </w:pPr>
      <w:bookmarkStart w:id="4" w:name="_heading=h.nejy1ogkyzs2" w:colFirst="0" w:colLast="0"/>
      <w:bookmarkEnd w:id="4"/>
      <w:r>
        <w:rPr>
          <w:rFonts w:ascii="Times New Roman" w:eastAsia="Times New Roman" w:hAnsi="Times New Roman" w:cs="Times New Roman"/>
          <w:sz w:val="20"/>
          <w:szCs w:val="20"/>
        </w:rPr>
        <w:t>Větší šance na zabydlení díky navržené úpravě může také napomoci částečně snížit vysokou mírou uvěznění a bezdomovectví mladých lidí odcházejících z ústavní péče. Obdobně může navržená úprava napomoci v získání standardního bydlení v případě některý</w:t>
      </w:r>
      <w:r>
        <w:rPr>
          <w:rFonts w:ascii="Times New Roman" w:eastAsia="Times New Roman" w:hAnsi="Times New Roman" w:cs="Times New Roman"/>
          <w:sz w:val="20"/>
          <w:szCs w:val="20"/>
        </w:rPr>
        <w:t>ch osob se zkušeností s duševním onemocněním, a tímto podpořit proces reformy psychiatrické péče. Dále lze předpokládat určitý pozitivní dopad navržené úpravy na dostupnost standardního bydlení pro osoby po výkonu trestu, což může mít dopad na snížení reci</w:t>
      </w:r>
      <w:r>
        <w:rPr>
          <w:rFonts w:ascii="Times New Roman" w:eastAsia="Times New Roman" w:hAnsi="Times New Roman" w:cs="Times New Roman"/>
          <w:sz w:val="20"/>
          <w:szCs w:val="20"/>
        </w:rPr>
        <w:t xml:space="preserve">divy, která často souvisí s absencí stabilního bydlení a možností rozvíjet sociální vazby. </w:t>
      </w:r>
    </w:p>
    <w:p w14:paraId="0000003B" w14:textId="77777777" w:rsidR="00155F42" w:rsidRDefault="00155F42">
      <w:pPr>
        <w:jc w:val="both"/>
        <w:rPr>
          <w:rFonts w:ascii="Times New Roman" w:eastAsia="Times New Roman" w:hAnsi="Times New Roman" w:cs="Times New Roman"/>
          <w:sz w:val="20"/>
          <w:szCs w:val="20"/>
        </w:rPr>
      </w:pPr>
      <w:bookmarkStart w:id="5" w:name="_heading=h.bgy5tquhmfzx" w:colFirst="0" w:colLast="0"/>
      <w:bookmarkEnd w:id="5"/>
    </w:p>
    <w:p w14:paraId="0000003C" w14:textId="77777777" w:rsidR="00155F42" w:rsidRDefault="002E54FB">
      <w:pPr>
        <w:keepNext/>
        <w:keepLines/>
        <w:pBdr>
          <w:top w:val="nil"/>
          <w:left w:val="nil"/>
          <w:bottom w:val="nil"/>
          <w:right w:val="nil"/>
          <w:between w:val="nil"/>
        </w:pBdr>
        <w:spacing w:before="40" w:after="120"/>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Předpokládaný dopad navrhované právní úpravy na státní rozpočet a ostatní veřejné rozpočty, </w:t>
      </w:r>
    </w:p>
    <w:p w14:paraId="0000003D" w14:textId="77777777" w:rsidR="00155F42" w:rsidRDefault="002E54F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Lze předpokládat, že v případě přijetí návrhu může dojít k navýšení po</w:t>
      </w:r>
      <w:r>
        <w:rPr>
          <w:rFonts w:ascii="Times New Roman" w:eastAsia="Times New Roman" w:hAnsi="Times New Roman" w:cs="Times New Roman"/>
          <w:sz w:val="20"/>
          <w:szCs w:val="20"/>
        </w:rPr>
        <w:t>čtu vyplacených MOP o maximálně 1 až 2 tisíce ročně, s čímž by byl spojený souhrnný dopad na státní rozpočet (při průměrné výši MOP 20 tisíc Kč) ve výši 20 až 40 milionů korun ročně.</w:t>
      </w:r>
    </w:p>
    <w:p w14:paraId="0000003E" w14:textId="77777777" w:rsidR="00155F42" w:rsidRDefault="002E54FB">
      <w:pPr>
        <w:jc w:val="both"/>
        <w:rPr>
          <w:rFonts w:ascii="Times New Roman" w:eastAsia="Times New Roman" w:hAnsi="Times New Roman" w:cs="Times New Roman"/>
          <w:sz w:val="20"/>
          <w:szCs w:val="20"/>
        </w:rPr>
      </w:pPr>
      <w:bookmarkStart w:id="6" w:name="_heading=h.30j0zll" w:colFirst="0" w:colLast="0"/>
      <w:bookmarkEnd w:id="6"/>
      <w:r>
        <w:rPr>
          <w:rFonts w:ascii="Times New Roman" w:eastAsia="Times New Roman" w:hAnsi="Times New Roman" w:cs="Times New Roman"/>
          <w:sz w:val="20"/>
          <w:szCs w:val="20"/>
        </w:rPr>
        <w:t>V případě přijetí návrhu lze nicméně odůvodněně předpokládat, že vzniknou</w:t>
      </w:r>
      <w:r>
        <w:rPr>
          <w:rFonts w:ascii="Times New Roman" w:eastAsia="Times New Roman" w:hAnsi="Times New Roman" w:cs="Times New Roman"/>
          <w:sz w:val="20"/>
          <w:szCs w:val="20"/>
        </w:rPr>
        <w:t xml:space="preserve"> úspory na nákladech spojených s bytovou nouzí, mezi které patří např. státní péče o děti či vězeňství, jak bylo popsáno výše.</w:t>
      </w:r>
    </w:p>
    <w:p w14:paraId="0000003F" w14:textId="77777777" w:rsidR="00155F42" w:rsidRDefault="00155F42">
      <w:pPr>
        <w:jc w:val="both"/>
        <w:rPr>
          <w:rFonts w:ascii="Times New Roman" w:eastAsia="Times New Roman" w:hAnsi="Times New Roman" w:cs="Times New Roman"/>
          <w:sz w:val="20"/>
          <w:szCs w:val="20"/>
        </w:rPr>
      </w:pPr>
      <w:bookmarkStart w:id="7" w:name="_heading=h.twwssdej16ed" w:colFirst="0" w:colLast="0"/>
      <w:bookmarkEnd w:id="7"/>
    </w:p>
    <w:p w14:paraId="00000040" w14:textId="77777777" w:rsidR="00155F42" w:rsidRDefault="002E54FB">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Potenciální úsporu lze ilustrovat na následujícím příkladu:</w:t>
      </w:r>
    </w:p>
    <w:p w14:paraId="00000041" w14:textId="77777777" w:rsidR="00155F42" w:rsidRDefault="002E54F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Z rodiny přebývající na ubytovně byly dvě děti umístěny do dětského domova kvůli zanedbávání péče ze strany rodičů (které bylo způsobeno jak nízkými rodičovskými kompetencemi rodičů, tak tím, že zajišťování potřeb dětí na ubytovně se sdíleným sociálním zař</w:t>
      </w:r>
      <w:r>
        <w:rPr>
          <w:rFonts w:ascii="Times New Roman" w:eastAsia="Times New Roman" w:hAnsi="Times New Roman" w:cs="Times New Roman"/>
          <w:sz w:val="20"/>
          <w:szCs w:val="20"/>
        </w:rPr>
        <w:t>ízenímm kuchyní a při výskytu sociálně patologických jevů je obtížné). Pobyt dětí v dětském domově stojí veřejné rozpočty 900 tisíc korun ročně. Pokud by se rodičům podařilo z ubytovny po třech letech dostat, o děti neztratili zájem a zlepšili své rodičovs</w:t>
      </w:r>
      <w:r>
        <w:rPr>
          <w:rFonts w:ascii="Times New Roman" w:eastAsia="Times New Roman" w:hAnsi="Times New Roman" w:cs="Times New Roman"/>
          <w:sz w:val="20"/>
          <w:szCs w:val="20"/>
        </w:rPr>
        <w:t>ké kompetence natolik, že by děti mohly být navráceny do jejich péče, za 3 roky pobytu v dětském domově stát zaplatí 3,6 milionu. Pokud děti zůstanou v dětském domově do své zletilosti, půjde o 10 až 25 milionů (v závislosti na věku dětí při umístění do za</w:t>
      </w:r>
      <w:r>
        <w:rPr>
          <w:rFonts w:ascii="Times New Roman" w:eastAsia="Times New Roman" w:hAnsi="Times New Roman" w:cs="Times New Roman"/>
          <w:sz w:val="20"/>
          <w:szCs w:val="20"/>
        </w:rPr>
        <w:t xml:space="preserve">řízení). </w:t>
      </w:r>
    </w:p>
    <w:p w14:paraId="00000042" w14:textId="77777777" w:rsidR="00155F42" w:rsidRDefault="002E54FB">
      <w:pPr>
        <w:jc w:val="both"/>
        <w:rPr>
          <w:rFonts w:ascii="Times New Roman" w:eastAsia="Times New Roman" w:hAnsi="Times New Roman" w:cs="Times New Roman"/>
          <w:sz w:val="20"/>
          <w:szCs w:val="20"/>
        </w:rPr>
      </w:pPr>
      <w:bookmarkStart w:id="8" w:name="_heading=h.gjdgxs" w:colFirst="0" w:colLast="0"/>
      <w:bookmarkEnd w:id="8"/>
      <w:r>
        <w:rPr>
          <w:rFonts w:ascii="Times New Roman" w:eastAsia="Times New Roman" w:hAnsi="Times New Roman" w:cs="Times New Roman"/>
          <w:sz w:val="20"/>
          <w:szCs w:val="20"/>
        </w:rPr>
        <w:t>Oproti tomu, v případě poskytnutí podpory s úhradou jistoty formou MOP a přestěhování rodiny do standardního bydlení a současného poskytování podpory rodiny formou sociálně-aktivizační služby pro rodiny s dětmi (kdy pracovník dochází do rodiny, s</w:t>
      </w:r>
      <w:r>
        <w:rPr>
          <w:rFonts w:ascii="Times New Roman" w:eastAsia="Times New Roman" w:hAnsi="Times New Roman" w:cs="Times New Roman"/>
          <w:sz w:val="20"/>
          <w:szCs w:val="20"/>
        </w:rPr>
        <w:t xml:space="preserve"> kterou spolupracuje na posílení rodičovských kompetencí) by mohly děti zůstat v péči rodičů. Náklad pro veřejné rozpočty by činil 112 tisíc Kč za poskytování sociálně-aktivizační služby (pokud byla poskytována po dobu 2 let), náklad na poskytnutí MOP přib</w:t>
      </w:r>
      <w:r>
        <w:rPr>
          <w:rFonts w:ascii="Times New Roman" w:eastAsia="Times New Roman" w:hAnsi="Times New Roman" w:cs="Times New Roman"/>
          <w:sz w:val="20"/>
          <w:szCs w:val="20"/>
        </w:rPr>
        <w:t>ližně 20 tisíc Kč. Celkové náklady pro veřejné rozpočty by se pohybovaly kolem 130 tisíc Kč. To je téměř o 3,5 milionů Kč méně než v případě tříletého pobytu dětí v dětském domově a o desítky milionů Kč méně než v případě jejich setrvání v zařízení do jeji</w:t>
      </w:r>
      <w:r>
        <w:rPr>
          <w:rFonts w:ascii="Times New Roman" w:eastAsia="Times New Roman" w:hAnsi="Times New Roman" w:cs="Times New Roman"/>
          <w:sz w:val="20"/>
          <w:szCs w:val="20"/>
        </w:rPr>
        <w:t>ch zletilosti. V případě druhé varianty je přitom nižší riziko, že v další generaci dojde k opakování negativního vzorce spočívajícího v životě na ubytovně, nízkých rodičovských kompetencích a odebrání dětí z rodin, což stojí veřejné rozpočty miliony Kč.</w:t>
      </w:r>
    </w:p>
    <w:p w14:paraId="00000043" w14:textId="629524B6" w:rsidR="00155F42" w:rsidRDefault="00155F42">
      <w:pPr>
        <w:keepNext/>
        <w:keepLines/>
        <w:pBdr>
          <w:top w:val="nil"/>
          <w:left w:val="nil"/>
          <w:bottom w:val="nil"/>
          <w:right w:val="nil"/>
          <w:between w:val="nil"/>
        </w:pBdr>
        <w:spacing w:before="240"/>
        <w:ind w:left="720" w:hanging="360"/>
        <w:rPr>
          <w:rFonts w:ascii="Times New Roman" w:eastAsia="Times New Roman" w:hAnsi="Times New Roman" w:cs="Times New Roman"/>
          <w:color w:val="2F5496"/>
          <w:sz w:val="20"/>
          <w:szCs w:val="20"/>
        </w:rPr>
      </w:pPr>
    </w:p>
    <w:p w14:paraId="00000044" w14:textId="541E1895" w:rsidR="00155F42" w:rsidRDefault="00155F42">
      <w:pPr>
        <w:ind w:right="7371"/>
        <w:rPr>
          <w:rFonts w:ascii="Times New Roman" w:eastAsia="Times New Roman" w:hAnsi="Times New Roman" w:cs="Times New Roman"/>
          <w:sz w:val="20"/>
          <w:szCs w:val="20"/>
        </w:rPr>
      </w:pPr>
      <w:bookmarkStart w:id="9" w:name="_heading=h.bvk0hc6mq2c7" w:colFirst="0" w:colLast="0"/>
      <w:bookmarkEnd w:id="9"/>
    </w:p>
    <w:p w14:paraId="00000045" w14:textId="77777777" w:rsidR="00155F42" w:rsidRDefault="00155F42">
      <w:pPr>
        <w:ind w:right="7371"/>
        <w:rPr>
          <w:rFonts w:ascii="Times New Roman" w:eastAsia="Times New Roman" w:hAnsi="Times New Roman" w:cs="Times New Roman"/>
          <w:sz w:val="20"/>
          <w:szCs w:val="20"/>
        </w:rPr>
      </w:pPr>
    </w:p>
    <w:p w14:paraId="00000046" w14:textId="3C086126" w:rsidR="00155F42" w:rsidRDefault="00155F42">
      <w:pPr>
        <w:ind w:right="7371"/>
        <w:rPr>
          <w:rFonts w:ascii="Times New Roman" w:eastAsia="Times New Roman" w:hAnsi="Times New Roman" w:cs="Times New Roman"/>
          <w:sz w:val="20"/>
          <w:szCs w:val="20"/>
        </w:rPr>
      </w:pPr>
    </w:p>
    <w:p w14:paraId="00000047" w14:textId="7A95C2AB" w:rsidR="00155F42" w:rsidRDefault="00155F42">
      <w:pPr>
        <w:ind w:right="7371"/>
        <w:rPr>
          <w:rFonts w:ascii="Times New Roman" w:eastAsia="Times New Roman" w:hAnsi="Times New Roman" w:cs="Times New Roman"/>
          <w:sz w:val="20"/>
          <w:szCs w:val="20"/>
        </w:rPr>
      </w:pPr>
    </w:p>
    <w:p w14:paraId="00000048" w14:textId="01B12E2D" w:rsidR="00155F42" w:rsidRDefault="00155F42">
      <w:pPr>
        <w:ind w:right="7371"/>
        <w:rPr>
          <w:rFonts w:ascii="Times New Roman" w:eastAsia="Times New Roman" w:hAnsi="Times New Roman" w:cs="Times New Roman"/>
          <w:sz w:val="20"/>
          <w:szCs w:val="20"/>
        </w:rPr>
      </w:pPr>
    </w:p>
    <w:p w14:paraId="00000049" w14:textId="0EAE5288" w:rsidR="00155F42" w:rsidRDefault="0045481C">
      <w:pPr>
        <w:ind w:right="7371"/>
        <w:rPr>
          <w:rFonts w:ascii="Times New Roman" w:eastAsia="Times New Roman" w:hAnsi="Times New Roman" w:cs="Times New Roman"/>
          <w:sz w:val="20"/>
          <w:szCs w:val="20"/>
        </w:rPr>
      </w:pPr>
      <w:r>
        <w:rPr>
          <w:noProof/>
        </w:rPr>
        <w:lastRenderedPageBreak/>
        <w:drawing>
          <wp:anchor distT="0" distB="0" distL="114300" distR="114300" simplePos="0" relativeHeight="251659264" behindDoc="0" locked="0" layoutInCell="1" hidden="0" allowOverlap="1" wp14:editId="4EF6F907">
            <wp:simplePos x="0" y="0"/>
            <wp:positionH relativeFrom="margin">
              <wp:posOffset>537210</wp:posOffset>
            </wp:positionH>
            <wp:positionV relativeFrom="paragraph">
              <wp:posOffset>-132080</wp:posOffset>
            </wp:positionV>
            <wp:extent cx="4454957" cy="3021480"/>
            <wp:effectExtent l="0" t="0" r="3175" b="7620"/>
            <wp:wrapNone/>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b="8417"/>
                    <a:stretch>
                      <a:fillRect/>
                    </a:stretch>
                  </pic:blipFill>
                  <pic:spPr>
                    <a:xfrm>
                      <a:off x="0" y="0"/>
                      <a:ext cx="4454957" cy="3021480"/>
                    </a:xfrm>
                    <a:prstGeom prst="rect">
                      <a:avLst/>
                    </a:prstGeom>
                    <a:ln/>
                  </pic:spPr>
                </pic:pic>
              </a:graphicData>
            </a:graphic>
          </wp:anchor>
        </w:drawing>
      </w:r>
    </w:p>
    <w:p w14:paraId="0000004A" w14:textId="77777777" w:rsidR="00155F42" w:rsidRDefault="00155F42">
      <w:pPr>
        <w:ind w:right="7371"/>
        <w:rPr>
          <w:rFonts w:ascii="Times New Roman" w:eastAsia="Times New Roman" w:hAnsi="Times New Roman" w:cs="Times New Roman"/>
          <w:sz w:val="20"/>
          <w:szCs w:val="20"/>
        </w:rPr>
      </w:pPr>
    </w:p>
    <w:p w14:paraId="0000004B" w14:textId="73C028C9" w:rsidR="00155F42" w:rsidRDefault="00155F42">
      <w:pPr>
        <w:ind w:right="7371"/>
        <w:rPr>
          <w:rFonts w:ascii="Times New Roman" w:eastAsia="Times New Roman" w:hAnsi="Times New Roman" w:cs="Times New Roman"/>
          <w:sz w:val="20"/>
          <w:szCs w:val="20"/>
        </w:rPr>
      </w:pPr>
    </w:p>
    <w:p w14:paraId="0000004C" w14:textId="453128C4" w:rsidR="00155F42" w:rsidRDefault="00155F42">
      <w:pPr>
        <w:ind w:right="7371"/>
        <w:rPr>
          <w:rFonts w:ascii="Times New Roman" w:eastAsia="Times New Roman" w:hAnsi="Times New Roman" w:cs="Times New Roman"/>
          <w:sz w:val="20"/>
          <w:szCs w:val="20"/>
        </w:rPr>
      </w:pPr>
    </w:p>
    <w:p w14:paraId="45FAFCA1" w14:textId="77777777" w:rsidR="0045481C" w:rsidRDefault="0045481C">
      <w:pPr>
        <w:ind w:right="7371"/>
        <w:rPr>
          <w:rFonts w:ascii="Times New Roman" w:eastAsia="Times New Roman" w:hAnsi="Times New Roman" w:cs="Times New Roman"/>
          <w:sz w:val="20"/>
          <w:szCs w:val="20"/>
        </w:rPr>
      </w:pPr>
    </w:p>
    <w:p w14:paraId="34EB8B45" w14:textId="77777777" w:rsidR="0045481C" w:rsidRDefault="0045481C">
      <w:pPr>
        <w:ind w:right="7371"/>
        <w:rPr>
          <w:rFonts w:ascii="Times New Roman" w:eastAsia="Times New Roman" w:hAnsi="Times New Roman" w:cs="Times New Roman"/>
          <w:sz w:val="20"/>
          <w:szCs w:val="20"/>
        </w:rPr>
      </w:pPr>
    </w:p>
    <w:p w14:paraId="08686A32" w14:textId="77777777" w:rsidR="0045481C" w:rsidRDefault="0045481C">
      <w:pPr>
        <w:ind w:right="7371"/>
        <w:rPr>
          <w:rFonts w:ascii="Times New Roman" w:eastAsia="Times New Roman" w:hAnsi="Times New Roman" w:cs="Times New Roman"/>
          <w:sz w:val="20"/>
          <w:szCs w:val="20"/>
        </w:rPr>
      </w:pPr>
    </w:p>
    <w:p w14:paraId="34AB6705" w14:textId="77777777" w:rsidR="0045481C" w:rsidRDefault="0045481C">
      <w:pPr>
        <w:ind w:right="7371"/>
        <w:rPr>
          <w:rFonts w:ascii="Times New Roman" w:eastAsia="Times New Roman" w:hAnsi="Times New Roman" w:cs="Times New Roman"/>
          <w:sz w:val="20"/>
          <w:szCs w:val="20"/>
        </w:rPr>
      </w:pPr>
    </w:p>
    <w:p w14:paraId="33B603D5" w14:textId="77777777" w:rsidR="0045481C" w:rsidRDefault="0045481C">
      <w:pPr>
        <w:ind w:right="7371"/>
        <w:rPr>
          <w:rFonts w:ascii="Times New Roman" w:eastAsia="Times New Roman" w:hAnsi="Times New Roman" w:cs="Times New Roman"/>
          <w:sz w:val="20"/>
          <w:szCs w:val="20"/>
        </w:rPr>
      </w:pPr>
    </w:p>
    <w:p w14:paraId="549C9A33" w14:textId="77777777" w:rsidR="0045481C" w:rsidRDefault="0045481C">
      <w:pPr>
        <w:ind w:right="7371"/>
        <w:rPr>
          <w:rFonts w:ascii="Times New Roman" w:eastAsia="Times New Roman" w:hAnsi="Times New Roman" w:cs="Times New Roman"/>
          <w:sz w:val="20"/>
          <w:szCs w:val="20"/>
        </w:rPr>
      </w:pPr>
    </w:p>
    <w:p w14:paraId="6F57B2C6" w14:textId="77777777" w:rsidR="0045481C" w:rsidRDefault="0045481C">
      <w:pPr>
        <w:ind w:right="7371"/>
        <w:rPr>
          <w:rFonts w:ascii="Times New Roman" w:eastAsia="Times New Roman" w:hAnsi="Times New Roman" w:cs="Times New Roman"/>
          <w:sz w:val="20"/>
          <w:szCs w:val="20"/>
        </w:rPr>
      </w:pPr>
    </w:p>
    <w:p w14:paraId="46371558" w14:textId="77777777" w:rsidR="0045481C" w:rsidRDefault="0045481C">
      <w:pPr>
        <w:ind w:right="7371"/>
        <w:rPr>
          <w:rFonts w:ascii="Times New Roman" w:eastAsia="Times New Roman" w:hAnsi="Times New Roman" w:cs="Times New Roman"/>
          <w:sz w:val="20"/>
          <w:szCs w:val="20"/>
        </w:rPr>
      </w:pPr>
    </w:p>
    <w:p w14:paraId="48053561" w14:textId="77777777" w:rsidR="0045481C" w:rsidRDefault="0045481C">
      <w:pPr>
        <w:ind w:right="7371"/>
        <w:rPr>
          <w:rFonts w:ascii="Times New Roman" w:eastAsia="Times New Roman" w:hAnsi="Times New Roman" w:cs="Times New Roman"/>
          <w:sz w:val="20"/>
          <w:szCs w:val="20"/>
        </w:rPr>
      </w:pPr>
    </w:p>
    <w:p w14:paraId="746DBF1D" w14:textId="77777777" w:rsidR="0045481C" w:rsidRDefault="0045481C">
      <w:pPr>
        <w:ind w:right="7371"/>
        <w:rPr>
          <w:rFonts w:ascii="Times New Roman" w:eastAsia="Times New Roman" w:hAnsi="Times New Roman" w:cs="Times New Roman"/>
          <w:sz w:val="20"/>
          <w:szCs w:val="20"/>
        </w:rPr>
      </w:pPr>
    </w:p>
    <w:p w14:paraId="75972943" w14:textId="77777777" w:rsidR="0045481C" w:rsidRDefault="0045481C">
      <w:pPr>
        <w:ind w:right="7371"/>
        <w:rPr>
          <w:rFonts w:ascii="Times New Roman" w:eastAsia="Times New Roman" w:hAnsi="Times New Roman" w:cs="Times New Roman"/>
          <w:sz w:val="20"/>
          <w:szCs w:val="20"/>
        </w:rPr>
      </w:pPr>
    </w:p>
    <w:p w14:paraId="612A223D" w14:textId="77777777" w:rsidR="0045481C" w:rsidRDefault="0045481C">
      <w:pPr>
        <w:ind w:right="7371"/>
        <w:rPr>
          <w:rFonts w:ascii="Times New Roman" w:eastAsia="Times New Roman" w:hAnsi="Times New Roman" w:cs="Times New Roman"/>
          <w:sz w:val="20"/>
          <w:szCs w:val="20"/>
        </w:rPr>
      </w:pPr>
    </w:p>
    <w:p w14:paraId="7D50B71A" w14:textId="77777777" w:rsidR="0045481C" w:rsidRDefault="0045481C">
      <w:pPr>
        <w:ind w:right="7371"/>
        <w:rPr>
          <w:rFonts w:ascii="Times New Roman" w:eastAsia="Times New Roman" w:hAnsi="Times New Roman" w:cs="Times New Roman"/>
          <w:sz w:val="20"/>
          <w:szCs w:val="20"/>
        </w:rPr>
      </w:pPr>
    </w:p>
    <w:p w14:paraId="76AD72E1" w14:textId="77777777" w:rsidR="0045481C" w:rsidRDefault="0045481C">
      <w:pPr>
        <w:ind w:right="7371"/>
        <w:rPr>
          <w:rFonts w:ascii="Times New Roman" w:eastAsia="Times New Roman" w:hAnsi="Times New Roman" w:cs="Times New Roman"/>
          <w:sz w:val="20"/>
          <w:szCs w:val="20"/>
        </w:rPr>
      </w:pPr>
    </w:p>
    <w:p w14:paraId="322D9D93" w14:textId="77777777" w:rsidR="0045481C" w:rsidRDefault="0045481C">
      <w:pPr>
        <w:ind w:right="7371"/>
        <w:rPr>
          <w:rFonts w:ascii="Times New Roman" w:eastAsia="Times New Roman" w:hAnsi="Times New Roman" w:cs="Times New Roman"/>
          <w:sz w:val="20"/>
          <w:szCs w:val="20"/>
        </w:rPr>
      </w:pPr>
    </w:p>
    <w:p w14:paraId="6DB8419E" w14:textId="1E88B391" w:rsidR="0045481C" w:rsidRDefault="0045481C">
      <w:pPr>
        <w:ind w:right="7371"/>
        <w:rPr>
          <w:rFonts w:ascii="Times New Roman" w:eastAsia="Times New Roman" w:hAnsi="Times New Roman" w:cs="Times New Roman"/>
          <w:sz w:val="20"/>
          <w:szCs w:val="20"/>
        </w:rPr>
      </w:pPr>
      <w:bookmarkStart w:id="10" w:name="_GoBack"/>
      <w:bookmarkEnd w:id="10"/>
    </w:p>
    <w:p w14:paraId="11323CB8" w14:textId="77777777" w:rsidR="0045481C" w:rsidRDefault="0045481C">
      <w:pPr>
        <w:ind w:right="7371"/>
        <w:rPr>
          <w:rFonts w:ascii="Times New Roman" w:eastAsia="Times New Roman" w:hAnsi="Times New Roman" w:cs="Times New Roman"/>
          <w:sz w:val="20"/>
          <w:szCs w:val="20"/>
        </w:rPr>
      </w:pPr>
    </w:p>
    <w:p w14:paraId="0000004D" w14:textId="79EC8212" w:rsidR="00155F42" w:rsidRDefault="002E54FB" w:rsidP="0045481C">
      <w:pPr>
        <w:ind w:right="-14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Zdroj: Výzkumná zpráva Investice do dětí, s. 41. </w:t>
      </w:r>
      <w:hyperlink r:id="rId9" w:history="1">
        <w:r w:rsidR="0045481C" w:rsidRPr="008463F6">
          <w:rPr>
            <w:rStyle w:val="Hypertextovodkaz"/>
            <w:rFonts w:ascii="Times New Roman" w:eastAsia="Times New Roman" w:hAnsi="Times New Roman" w:cs="Times New Roman"/>
            <w:sz w:val="20"/>
            <w:szCs w:val="20"/>
          </w:rPr>
          <w:t>https://lumos.contentfiles.net/media/assets/file/Investice_do_deti_CELA_ZPRAVA_web_ilwLbI5.pdf</w:t>
        </w:r>
      </w:hyperlink>
      <w:r>
        <w:rPr>
          <w:rFonts w:ascii="Times New Roman" w:eastAsia="Times New Roman" w:hAnsi="Times New Roman" w:cs="Times New Roman"/>
          <w:sz w:val="20"/>
          <w:szCs w:val="20"/>
        </w:rPr>
        <w:t xml:space="preserve"> </w:t>
      </w:r>
    </w:p>
    <w:p w14:paraId="0000004E" w14:textId="77777777" w:rsidR="00155F42" w:rsidRDefault="00155F42">
      <w:pPr>
        <w:rPr>
          <w:rFonts w:ascii="Times New Roman" w:eastAsia="Times New Roman" w:hAnsi="Times New Roman" w:cs="Times New Roman"/>
          <w:sz w:val="20"/>
          <w:szCs w:val="20"/>
        </w:rPr>
      </w:pPr>
    </w:p>
    <w:p w14:paraId="0000004F" w14:textId="77777777" w:rsidR="00155F42" w:rsidRDefault="002E54FB">
      <w:pPr>
        <w:spacing w:after="227" w:line="276" w:lineRule="auto"/>
        <w:rPr>
          <w:rFonts w:ascii="Times New Roman" w:eastAsia="Times New Roman" w:hAnsi="Times New Roman" w:cs="Times New Roman"/>
          <w:b/>
          <w:sz w:val="22"/>
          <w:szCs w:val="22"/>
        </w:rPr>
      </w:pPr>
      <w:r>
        <w:rPr>
          <w:rFonts w:ascii="Times New Roman" w:eastAsia="Times New Roman" w:hAnsi="Times New Roman" w:cs="Times New Roman"/>
          <w:b/>
          <w:sz w:val="22"/>
          <w:szCs w:val="22"/>
        </w:rPr>
        <w:t>Zvláštní část</w:t>
      </w:r>
    </w:p>
    <w:p w14:paraId="00000050" w14:textId="77777777" w:rsidR="00155F42" w:rsidRDefault="002E54FB">
      <w:pPr>
        <w:spacing w:after="12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K bodu X1)</w:t>
      </w:r>
    </w:p>
    <w:p w14:paraId="00000051" w14:textId="77777777" w:rsidR="00155F42" w:rsidRDefault="002E54FB">
      <w:pPr>
        <w:spacing w:after="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color w:val="000000"/>
          <w:sz w:val="20"/>
          <w:szCs w:val="20"/>
        </w:rPr>
        <w:t>by mohla být podpora s úhradou jistoty formou MOP poskytována osobám, které jsou v bytové nouzi, je doplněno, že za osobu v hmotné nouzi může orgán pomoci v hmotné nouzi také považovat osoby v bytové nouz</w:t>
      </w:r>
      <w:r>
        <w:rPr>
          <w:rFonts w:ascii="Times New Roman" w:eastAsia="Times New Roman" w:hAnsi="Times New Roman" w:cs="Times New Roman"/>
          <w:sz w:val="20"/>
          <w:szCs w:val="20"/>
        </w:rPr>
        <w:t>i</w:t>
      </w:r>
      <w:r>
        <w:rPr>
          <w:rFonts w:ascii="Times New Roman" w:eastAsia="Times New Roman" w:hAnsi="Times New Roman" w:cs="Times New Roman"/>
          <w:color w:val="000000"/>
          <w:sz w:val="20"/>
          <w:szCs w:val="20"/>
        </w:rPr>
        <w:t xml:space="preserve"> nebo ohrožen</w:t>
      </w:r>
      <w:r>
        <w:rPr>
          <w:rFonts w:ascii="Times New Roman" w:eastAsia="Times New Roman" w:hAnsi="Times New Roman" w:cs="Times New Roman"/>
          <w:sz w:val="20"/>
          <w:szCs w:val="20"/>
        </w:rPr>
        <w:t>é</w:t>
      </w:r>
      <w:r>
        <w:rPr>
          <w:rFonts w:ascii="Times New Roman" w:eastAsia="Times New Roman" w:hAnsi="Times New Roman" w:cs="Times New Roman"/>
          <w:color w:val="000000"/>
          <w:sz w:val="20"/>
          <w:szCs w:val="20"/>
        </w:rPr>
        <w:t xml:space="preserve"> bytovou nouzí. </w:t>
      </w:r>
      <w:r>
        <w:rPr>
          <w:rFonts w:ascii="Times New Roman" w:eastAsia="Times New Roman" w:hAnsi="Times New Roman" w:cs="Times New Roman"/>
          <w:sz w:val="20"/>
          <w:szCs w:val="20"/>
        </w:rPr>
        <w:t>P</w:t>
      </w:r>
      <w:r>
        <w:rPr>
          <w:rFonts w:ascii="Times New Roman" w:eastAsia="Times New Roman" w:hAnsi="Times New Roman" w:cs="Times New Roman"/>
          <w:color w:val="000000"/>
          <w:sz w:val="20"/>
          <w:szCs w:val="20"/>
        </w:rPr>
        <w:t>odpora s úhradou jistoty formou MOP tak bude výslovně umožněna osobám, které potřebují podporu v oblasti bydlení, avšak na základě testování příjmů ve zkoumaném období je n</w:t>
      </w:r>
      <w:r>
        <w:rPr>
          <w:rFonts w:ascii="Times New Roman" w:eastAsia="Times New Roman" w:hAnsi="Times New Roman" w:cs="Times New Roman"/>
          <w:sz w:val="20"/>
          <w:szCs w:val="20"/>
        </w:rPr>
        <w:t>e</w:t>
      </w:r>
      <w:r>
        <w:rPr>
          <w:rFonts w:ascii="Times New Roman" w:eastAsia="Times New Roman" w:hAnsi="Times New Roman" w:cs="Times New Roman"/>
          <w:color w:val="000000"/>
          <w:sz w:val="20"/>
          <w:szCs w:val="20"/>
        </w:rPr>
        <w:t>ní možné považovat za osoby v hmotné nouzi. Typickým</w:t>
      </w:r>
      <w:r>
        <w:rPr>
          <w:rFonts w:ascii="Times New Roman" w:eastAsia="Times New Roman" w:hAnsi="Times New Roman" w:cs="Times New Roman"/>
          <w:color w:val="000000"/>
          <w:sz w:val="20"/>
          <w:szCs w:val="20"/>
        </w:rPr>
        <w:t xml:space="preserve"> příkladem jsou oběti domácího násilí, které se kvůli svému zdraví a bezpečí potřebují přestěhovat do jiného bydlení, ale dle příjmu společně posuzovaných osob (včetně příjmu agresora) je nelze považovat za osoby v hmotné nouzi. </w:t>
      </w:r>
    </w:p>
    <w:p w14:paraId="00000052" w14:textId="77777777" w:rsidR="00155F42" w:rsidRDefault="002E54FB">
      <w:pPr>
        <w:spacing w:after="120"/>
        <w:jc w:val="both"/>
        <w:rPr>
          <w:rFonts w:ascii="Times New Roman" w:eastAsia="Times New Roman" w:hAnsi="Times New Roman" w:cs="Times New Roman"/>
          <w:b/>
          <w:sz w:val="20"/>
          <w:szCs w:val="20"/>
        </w:rPr>
      </w:pPr>
      <w:r>
        <w:rPr>
          <w:rFonts w:ascii="Times New Roman" w:eastAsia="Times New Roman" w:hAnsi="Times New Roman" w:cs="Times New Roman"/>
          <w:b/>
          <w:color w:val="000000"/>
          <w:sz w:val="20"/>
          <w:szCs w:val="20"/>
        </w:rPr>
        <w:t>K bodu X2 a X3)</w:t>
      </w:r>
    </w:p>
    <w:p w14:paraId="00000053" w14:textId="77777777" w:rsidR="00155F42" w:rsidRDefault="002E54F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Dle platné</w:t>
      </w:r>
      <w:r>
        <w:rPr>
          <w:rFonts w:ascii="Times New Roman" w:eastAsia="Times New Roman" w:hAnsi="Times New Roman" w:cs="Times New Roman"/>
          <w:sz w:val="20"/>
          <w:szCs w:val="20"/>
        </w:rPr>
        <w:t xml:space="preserve"> právní úpravy </w:t>
      </w:r>
      <w:r>
        <w:rPr>
          <w:rFonts w:ascii="Times New Roman" w:eastAsia="Times New Roman" w:hAnsi="Times New Roman" w:cs="Times New Roman"/>
          <w:color w:val="000000"/>
          <w:sz w:val="20"/>
          <w:szCs w:val="20"/>
        </w:rPr>
        <w:t>součet dávek MOP nesmí v rámci kalendářního roku překročit desetinásobek životního minima jednotlivce. Tato úprava je zachována i pro tento případ.</w:t>
      </w:r>
    </w:p>
    <w:p w14:paraId="00000054" w14:textId="77777777" w:rsidR="00155F42" w:rsidRDefault="00155F42">
      <w:pPr>
        <w:spacing w:after="120"/>
        <w:jc w:val="both"/>
        <w:rPr>
          <w:rFonts w:ascii="Times New Roman" w:eastAsia="Times New Roman" w:hAnsi="Times New Roman" w:cs="Times New Roman"/>
          <w:b/>
          <w:sz w:val="20"/>
          <w:szCs w:val="20"/>
        </w:rPr>
      </w:pPr>
    </w:p>
    <w:p w14:paraId="00000055" w14:textId="77777777" w:rsidR="00155F42" w:rsidRDefault="002E54FB">
      <w:pPr>
        <w:spacing w:after="120"/>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K bodu X4)</w:t>
      </w:r>
    </w:p>
    <w:p w14:paraId="00000056" w14:textId="77777777" w:rsidR="00155F42" w:rsidRDefault="002E54FB">
      <w:pPr>
        <w:spacing w:after="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Pr>
          <w:rFonts w:ascii="Times New Roman" w:eastAsia="Times New Roman" w:hAnsi="Times New Roman" w:cs="Times New Roman"/>
          <w:color w:val="000000"/>
          <w:sz w:val="20"/>
          <w:szCs w:val="20"/>
        </w:rPr>
        <w:t>by nedocházelo k využití MOP poskytnuté za účelem podpory s úhradou jistoty k jiným účelem, je stanoveno, že jako z</w:t>
      </w:r>
      <w:r>
        <w:rPr>
          <w:rFonts w:ascii="Times New Roman" w:eastAsia="Times New Roman" w:hAnsi="Times New Roman" w:cs="Times New Roman"/>
          <w:sz w:val="20"/>
          <w:szCs w:val="20"/>
        </w:rPr>
        <w:t>působ výplaty je vždy využívána přímá úhrada příslušného výdaje nebo nákladu.</w:t>
      </w:r>
    </w:p>
    <w:p w14:paraId="00000057" w14:textId="77777777" w:rsidR="00155F42" w:rsidRDefault="002E54FB">
      <w:pPr>
        <w:spacing w:after="120"/>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K bodu X5)</w:t>
      </w:r>
    </w:p>
    <w:p w14:paraId="00000058" w14:textId="77777777" w:rsidR="00155F42" w:rsidRDefault="002E54FB">
      <w:pPr>
        <w:spacing w:after="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Mezi údaje rozhodné pro nárok na dávku jsou doplněny</w:t>
      </w:r>
      <w:r>
        <w:rPr>
          <w:rFonts w:ascii="Times New Roman" w:eastAsia="Times New Roman" w:hAnsi="Times New Roman" w:cs="Times New Roman"/>
          <w:sz w:val="20"/>
          <w:szCs w:val="20"/>
        </w:rPr>
        <w:t xml:space="preserve"> údaje o bytové nouzi.</w:t>
      </w:r>
    </w:p>
    <w:p w14:paraId="00000059" w14:textId="77777777" w:rsidR="00155F42" w:rsidRDefault="002E54FB">
      <w:pPr>
        <w:spacing w:after="120"/>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K bodu X6 až X8)</w:t>
      </w:r>
    </w:p>
    <w:p w14:paraId="0000005A" w14:textId="77777777" w:rsidR="00155F42" w:rsidRDefault="002E54FB">
      <w:pPr>
        <w:spacing w:after="1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Je stanoveno, aby se v případě skončení nájmu a vrácení kauce tato dávka vracela, a to snížená o částky, které si pronajímatel započetl, a případně zvýšená o úroky, pokud z ní plynuly. Bude třeba dokládat důvod započ</w:t>
      </w:r>
      <w:r>
        <w:rPr>
          <w:rFonts w:ascii="Times New Roman" w:eastAsia="Times New Roman" w:hAnsi="Times New Roman" w:cs="Times New Roman"/>
          <w:sz w:val="20"/>
          <w:szCs w:val="20"/>
        </w:rPr>
        <w:t xml:space="preserve">tení spočívající v poškození bytu, aby nedocházelo ke svévolnému snižování vrácené částky.Z důvodu minimalizace administrativní zátěže (jak příjemce, tak úřadu) navrhujeme, aby toto dokládání bylo možno provést kromě listinné podoby také e-mailem či jinou </w:t>
      </w:r>
      <w:r>
        <w:rPr>
          <w:rFonts w:ascii="Times New Roman" w:eastAsia="Times New Roman" w:hAnsi="Times New Roman" w:cs="Times New Roman"/>
          <w:sz w:val="20"/>
          <w:szCs w:val="20"/>
        </w:rPr>
        <w:t>elektronickou formou dle správního řádu s fotografiemi poškození nebo doklady o nezaplacení (části) nájmu. To předpokládá doložení stavu bytu i na začátku nájmu.</w:t>
      </w:r>
    </w:p>
    <w:p w14:paraId="0000005B" w14:textId="77777777" w:rsidR="00155F42" w:rsidRDefault="002E54FB">
      <w:pPr>
        <w:spacing w:after="120"/>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K bodu X9)</w:t>
      </w:r>
    </w:p>
    <w:p w14:paraId="0000005C" w14:textId="77777777" w:rsidR="00155F42" w:rsidRDefault="002E54FB">
      <w:pPr>
        <w:pBdr>
          <w:top w:val="nil"/>
          <w:left w:val="nil"/>
          <w:bottom w:val="nil"/>
          <w:right w:val="nil"/>
          <w:between w:val="nil"/>
        </w:pBdr>
        <w:jc w:val="both"/>
        <w:rPr>
          <w:rFonts w:ascii="Times New Roman" w:eastAsia="Times New Roman" w:hAnsi="Times New Roman" w:cs="Times New Roman"/>
          <w:b/>
          <w:color w:val="000000"/>
          <w:sz w:val="20"/>
          <w:szCs w:val="20"/>
        </w:rPr>
      </w:pPr>
      <w:r>
        <w:rPr>
          <w:rFonts w:ascii="Times New Roman" w:eastAsia="Times New Roman" w:hAnsi="Times New Roman" w:cs="Times New Roman"/>
          <w:color w:val="000000"/>
          <w:sz w:val="20"/>
          <w:szCs w:val="20"/>
        </w:rPr>
        <w:t>Je doplněno, že posouzení bytové nouze je součástí procesu shromažďování a analyzov</w:t>
      </w:r>
      <w:r>
        <w:rPr>
          <w:rFonts w:ascii="Times New Roman" w:eastAsia="Times New Roman" w:hAnsi="Times New Roman" w:cs="Times New Roman"/>
          <w:color w:val="000000"/>
          <w:sz w:val="20"/>
          <w:szCs w:val="20"/>
        </w:rPr>
        <w:t>ání údajů o osobách v hmotné nouzi.</w:t>
      </w:r>
    </w:p>
    <w:sectPr w:rsidR="00155F42">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191C2" w14:textId="77777777" w:rsidR="002E54FB" w:rsidRDefault="002E54FB">
      <w:r>
        <w:separator/>
      </w:r>
    </w:p>
  </w:endnote>
  <w:endnote w:type="continuationSeparator" w:id="0">
    <w:p w14:paraId="0D9C089B" w14:textId="77777777" w:rsidR="002E54FB" w:rsidRDefault="002E5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62" w14:textId="77777777" w:rsidR="00155F42" w:rsidRDefault="00155F42">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64" w14:textId="77777777" w:rsidR="00155F42" w:rsidRDefault="00155F42">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63" w14:textId="77777777" w:rsidR="00155F42" w:rsidRDefault="00155F42">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6E05C6" w14:textId="77777777" w:rsidR="002E54FB" w:rsidRDefault="002E54FB">
      <w:r>
        <w:separator/>
      </w:r>
    </w:p>
  </w:footnote>
  <w:footnote w:type="continuationSeparator" w:id="0">
    <w:p w14:paraId="757E7D70" w14:textId="77777777" w:rsidR="002E54FB" w:rsidRDefault="002E54FB">
      <w:r>
        <w:continuationSeparator/>
      </w:r>
    </w:p>
  </w:footnote>
  <w:footnote w:id="1">
    <w:p w14:paraId="0000005D" w14:textId="77777777" w:rsidR="00155F42" w:rsidRDefault="002E54FB">
      <w:pPr>
        <w:rPr>
          <w:rFonts w:ascii="Times New Roman" w:eastAsia="Times New Roman" w:hAnsi="Times New Roman" w:cs="Times New Roman"/>
          <w:sz w:val="18"/>
          <w:szCs w:val="18"/>
        </w:rPr>
      </w:pPr>
      <w:r>
        <w:rPr>
          <w:rStyle w:val="Znakapoznpodarou"/>
        </w:rPr>
        <w:footnoteRef/>
      </w:r>
      <w:r>
        <w:rPr>
          <w:rFonts w:ascii="Times New Roman" w:eastAsia="Times New Roman" w:hAnsi="Times New Roman" w:cs="Times New Roman"/>
          <w:sz w:val="18"/>
          <w:szCs w:val="18"/>
        </w:rPr>
        <w:t xml:space="preserve"> </w:t>
      </w:r>
      <w:hyperlink r:id="rId1">
        <w:r>
          <w:rPr>
            <w:rFonts w:ascii="Times New Roman" w:eastAsia="Times New Roman" w:hAnsi="Times New Roman" w:cs="Times New Roman"/>
            <w:color w:val="1155CC"/>
            <w:sz w:val="18"/>
            <w:szCs w:val="18"/>
            <w:u w:val="single"/>
          </w:rPr>
          <w:t>https://www.socialni-zaclenovani.cz/wp-content/uploads/Tematicko-prurezovy-vyzkum_%C3%9Asp%C4%9B%C5%A1nost-d%C3%A1vek-mimo%C5%99%C3%A1dn%C3%A9-okam%C5%BEit%C3%A9-pomoci-n</w:t>
        </w:r>
        <w:r>
          <w:rPr>
            <w:rFonts w:ascii="Times New Roman" w:eastAsia="Times New Roman" w:hAnsi="Times New Roman" w:cs="Times New Roman"/>
            <w:color w:val="1155CC"/>
            <w:sz w:val="18"/>
            <w:szCs w:val="18"/>
            <w:u w:val="single"/>
          </w:rPr>
          <w:t>a-%C3%BAhradu-jistoty.pdf</w:t>
        </w:r>
      </w:hyperlink>
      <w:r>
        <w:rPr>
          <w:rFonts w:ascii="Times New Roman" w:eastAsia="Times New Roman" w:hAnsi="Times New Roman" w:cs="Times New Roman"/>
          <w:sz w:val="18"/>
          <w:szCs w:val="18"/>
        </w:rPr>
        <w:t xml:space="preserve"> </w:t>
      </w:r>
    </w:p>
  </w:footnote>
  <w:footnote w:id="2">
    <w:p w14:paraId="0000005E" w14:textId="77777777" w:rsidR="00155F42" w:rsidRDefault="002E54FB">
      <w:pPr>
        <w:rPr>
          <w:rFonts w:ascii="Times New Roman" w:eastAsia="Times New Roman" w:hAnsi="Times New Roman" w:cs="Times New Roman"/>
          <w:sz w:val="18"/>
          <w:szCs w:val="18"/>
        </w:rPr>
      </w:pPr>
      <w:r>
        <w:rPr>
          <w:rStyle w:val="Znakapoznpodarou"/>
        </w:rPr>
        <w:footnoteRef/>
      </w:r>
      <w:r>
        <w:rPr>
          <w:rFonts w:ascii="Times New Roman" w:eastAsia="Times New Roman" w:hAnsi="Times New Roman" w:cs="Times New Roman"/>
          <w:sz w:val="18"/>
          <w:szCs w:val="18"/>
        </w:rPr>
        <w:t xml:space="preserve"> Viz </w:t>
      </w:r>
      <w:hyperlink r:id="rId2">
        <w:r>
          <w:rPr>
            <w:rFonts w:ascii="Times New Roman" w:eastAsia="Times New Roman" w:hAnsi="Times New Roman" w:cs="Times New Roman"/>
            <w:color w:val="1155CC"/>
            <w:sz w:val="18"/>
            <w:szCs w:val="18"/>
            <w:u w:val="single"/>
          </w:rPr>
          <w:t>https://www.ochrance.cz/fileadmin/user_upload/ochrana_osob/ZARIZ</w:t>
        </w:r>
        <w:r>
          <w:rPr>
            <w:rFonts w:ascii="Times New Roman" w:eastAsia="Times New Roman" w:hAnsi="Times New Roman" w:cs="Times New Roman"/>
            <w:color w:val="1155CC"/>
            <w:sz w:val="18"/>
            <w:szCs w:val="18"/>
            <w:u w:val="single"/>
          </w:rPr>
          <w:t>ENI/Ustavni_vychova/2019_0110_Zprava_DET_zarizeni_pro_deti_A4_CS_04_web.pdf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60" w14:textId="77777777" w:rsidR="00155F42" w:rsidRDefault="00155F4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5F" w14:textId="77777777" w:rsidR="00155F42" w:rsidRDefault="00155F42"/>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61" w14:textId="77777777" w:rsidR="00155F42" w:rsidRDefault="00155F42">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122FE"/>
    <w:multiLevelType w:val="multilevel"/>
    <w:tmpl w:val="57C22F08"/>
    <w:lvl w:ilvl="0">
      <w:start w:val="1"/>
      <w:numFmt w:val="decimal"/>
      <w:pStyle w:val="Nadpis1"/>
      <w:lvlText w:val="%1."/>
      <w:lvlJc w:val="left"/>
      <w:pPr>
        <w:tabs>
          <w:tab w:val="num" w:pos="720"/>
        </w:tabs>
        <w:ind w:left="720" w:hanging="720"/>
      </w:pPr>
    </w:lvl>
    <w:lvl w:ilvl="1">
      <w:start w:val="1"/>
      <w:numFmt w:val="decimal"/>
      <w:pStyle w:val="Nadpis2"/>
      <w:lvlText w:val="%2."/>
      <w:lvlJc w:val="left"/>
      <w:pPr>
        <w:tabs>
          <w:tab w:val="num" w:pos="1440"/>
        </w:tabs>
        <w:ind w:left="1440" w:hanging="720"/>
      </w:pPr>
    </w:lvl>
    <w:lvl w:ilvl="2">
      <w:start w:val="1"/>
      <w:numFmt w:val="decimal"/>
      <w:pStyle w:val="Nadpis3"/>
      <w:lvlText w:val="%3."/>
      <w:lvlJc w:val="left"/>
      <w:pPr>
        <w:tabs>
          <w:tab w:val="num" w:pos="2160"/>
        </w:tabs>
        <w:ind w:left="2160" w:hanging="720"/>
      </w:pPr>
    </w:lvl>
    <w:lvl w:ilvl="3">
      <w:start w:val="1"/>
      <w:numFmt w:val="decimal"/>
      <w:pStyle w:val="Nadpis4"/>
      <w:lvlText w:val="%4."/>
      <w:lvlJc w:val="left"/>
      <w:pPr>
        <w:tabs>
          <w:tab w:val="num" w:pos="2880"/>
        </w:tabs>
        <w:ind w:left="2880" w:hanging="720"/>
      </w:pPr>
    </w:lvl>
    <w:lvl w:ilvl="4">
      <w:start w:val="1"/>
      <w:numFmt w:val="decimal"/>
      <w:pStyle w:val="Nadpis5"/>
      <w:lvlText w:val="%5."/>
      <w:lvlJc w:val="left"/>
      <w:pPr>
        <w:tabs>
          <w:tab w:val="num" w:pos="3600"/>
        </w:tabs>
        <w:ind w:left="3600" w:hanging="720"/>
      </w:pPr>
    </w:lvl>
    <w:lvl w:ilvl="5">
      <w:start w:val="1"/>
      <w:numFmt w:val="decimal"/>
      <w:pStyle w:val="Nadpis6"/>
      <w:lvlText w:val="%6."/>
      <w:lvlJc w:val="left"/>
      <w:pPr>
        <w:tabs>
          <w:tab w:val="num" w:pos="4320"/>
        </w:tabs>
        <w:ind w:left="4320" w:hanging="720"/>
      </w:pPr>
    </w:lvl>
    <w:lvl w:ilvl="6">
      <w:start w:val="1"/>
      <w:numFmt w:val="decimal"/>
      <w:pStyle w:val="Nadpis7"/>
      <w:lvlText w:val="%7."/>
      <w:lvlJc w:val="left"/>
      <w:pPr>
        <w:tabs>
          <w:tab w:val="num" w:pos="5040"/>
        </w:tabs>
        <w:ind w:left="5040" w:hanging="720"/>
      </w:pPr>
    </w:lvl>
    <w:lvl w:ilvl="7">
      <w:start w:val="1"/>
      <w:numFmt w:val="decimal"/>
      <w:pStyle w:val="Nadpis8"/>
      <w:lvlText w:val="%8."/>
      <w:lvlJc w:val="left"/>
      <w:pPr>
        <w:tabs>
          <w:tab w:val="num" w:pos="5760"/>
        </w:tabs>
        <w:ind w:left="5760" w:hanging="720"/>
      </w:pPr>
    </w:lvl>
    <w:lvl w:ilvl="8">
      <w:start w:val="1"/>
      <w:numFmt w:val="decimal"/>
      <w:pStyle w:val="Nadpis9"/>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F42"/>
    <w:rsid w:val="00155F42"/>
    <w:rsid w:val="002E54FB"/>
    <w:rsid w:val="0045481C"/>
    <w:rsid w:val="00CF19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C5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C4066"/>
  </w:style>
  <w:style w:type="paragraph" w:styleId="Nadpis1">
    <w:name w:val="heading 1"/>
    <w:basedOn w:val="Normln"/>
    <w:next w:val="Normln"/>
    <w:link w:val="Nadpis1Char"/>
    <w:uiPriority w:val="9"/>
    <w:qFormat/>
    <w:rsid w:val="003E7F2F"/>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3E7F2F"/>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3E7F2F"/>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Nadpis4">
    <w:name w:val="heading 4"/>
    <w:basedOn w:val="Normln"/>
    <w:next w:val="Normln"/>
    <w:link w:val="Nadpis4Char"/>
    <w:uiPriority w:val="9"/>
    <w:semiHidden/>
    <w:unhideWhenUsed/>
    <w:qFormat/>
    <w:rsid w:val="003E7F2F"/>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3E7F2F"/>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3E7F2F"/>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3E7F2F"/>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3E7F2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3E7F2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link w:val="NzevChar"/>
    <w:uiPriority w:val="10"/>
    <w:qFormat/>
    <w:rsid w:val="00E77751"/>
    <w:pPr>
      <w:contextualSpacing/>
    </w:pPr>
    <w:rPr>
      <w:rFonts w:asciiTheme="majorHAnsi" w:eastAsiaTheme="majorEastAsia" w:hAnsiTheme="majorHAnsi" w:cstheme="majorBidi"/>
      <w:spacing w:val="-10"/>
      <w:kern w:val="28"/>
      <w:sz w:val="56"/>
      <w:szCs w:val="56"/>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table" w:customStyle="1" w:styleId="TableNormal6">
    <w:name w:val="Table Normal6"/>
    <w:tblPr>
      <w:tblCellMar>
        <w:top w:w="0" w:type="dxa"/>
        <w:left w:w="0" w:type="dxa"/>
        <w:bottom w:w="0" w:type="dxa"/>
        <w:right w:w="0" w:type="dxa"/>
      </w:tblCellMar>
    </w:tblPr>
  </w:style>
  <w:style w:type="table" w:customStyle="1" w:styleId="TableNormal7">
    <w:name w:val="Table Normal7"/>
    <w:tblPr>
      <w:tblCellMar>
        <w:top w:w="0" w:type="dxa"/>
        <w:left w:w="0" w:type="dxa"/>
        <w:bottom w:w="0" w:type="dxa"/>
        <w:right w:w="0" w:type="dxa"/>
      </w:tblCellMar>
    </w:tblPr>
  </w:style>
  <w:style w:type="character" w:styleId="Odkaznakoment">
    <w:name w:val="annotation reference"/>
    <w:uiPriority w:val="99"/>
    <w:semiHidden/>
    <w:unhideWhenUsed/>
    <w:rPr>
      <w:sz w:val="16"/>
      <w:szCs w:val="16"/>
    </w:rPr>
  </w:style>
  <w:style w:type="paragraph" w:styleId="Textkomente">
    <w:name w:val="annotation text"/>
    <w:basedOn w:val="Normln"/>
    <w:link w:val="TextkomenteChar3"/>
    <w:uiPriority w:val="99"/>
    <w:semiHidden/>
    <w:unhideWhenUsed/>
    <w:rPr>
      <w:sz w:val="20"/>
      <w:szCs w:val="20"/>
    </w:rPr>
  </w:style>
  <w:style w:type="character" w:customStyle="1" w:styleId="TextkomenteChar">
    <w:name w:val="Text komentáře Char"/>
    <w:basedOn w:val="Standardnpsmoodstavce"/>
    <w:uiPriority w:val="99"/>
    <w:semiHidden/>
    <w:rsid w:val="003E7F2F"/>
    <w:rPr>
      <w:rFonts w:ascii="Calibri" w:eastAsia="Calibri" w:hAnsi="Calibri" w:cs="Calibri"/>
      <w:sz w:val="20"/>
      <w:szCs w:val="20"/>
      <w:lang w:eastAsia="cs-CZ"/>
    </w:rPr>
  </w:style>
  <w:style w:type="paragraph" w:styleId="Pedmtkomente">
    <w:name w:val="annotation subject"/>
    <w:basedOn w:val="Textkomente"/>
    <w:next w:val="Textkomente"/>
    <w:link w:val="PedmtkomenteChar3"/>
    <w:uiPriority w:val="99"/>
    <w:semiHidden/>
    <w:unhideWhenUsed/>
    <w:rPr>
      <w:b/>
      <w:bCs/>
    </w:rPr>
  </w:style>
  <w:style w:type="character" w:customStyle="1" w:styleId="PedmtkomenteChar">
    <w:name w:val="Předmět komentáře Char"/>
    <w:basedOn w:val="TextkomenteChar"/>
    <w:uiPriority w:val="99"/>
    <w:semiHidden/>
    <w:rsid w:val="003E7F2F"/>
    <w:rPr>
      <w:rFonts w:ascii="Calibri" w:eastAsia="Calibri" w:hAnsi="Calibri" w:cs="Calibri"/>
      <w:b/>
      <w:bCs/>
      <w:sz w:val="20"/>
      <w:szCs w:val="20"/>
      <w:lang w:eastAsia="cs-CZ"/>
    </w:rPr>
  </w:style>
  <w:style w:type="paragraph" w:styleId="Textbubliny">
    <w:name w:val="Balloon Text"/>
    <w:basedOn w:val="Normln"/>
    <w:link w:val="TextbublinyChar"/>
    <w:uiPriority w:val="99"/>
    <w:semiHidden/>
    <w:unhideWhenUsed/>
    <w:rsid w:val="003E7F2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E7F2F"/>
    <w:rPr>
      <w:rFonts w:ascii="Segoe UI" w:eastAsia="Calibri" w:hAnsi="Segoe UI" w:cs="Segoe UI"/>
      <w:sz w:val="18"/>
      <w:szCs w:val="18"/>
      <w:lang w:eastAsia="cs-CZ"/>
    </w:rPr>
  </w:style>
  <w:style w:type="character" w:customStyle="1" w:styleId="Nadpis1Char">
    <w:name w:val="Nadpis 1 Char"/>
    <w:basedOn w:val="Standardnpsmoodstavce"/>
    <w:link w:val="Nadpis1"/>
    <w:uiPriority w:val="9"/>
    <w:rsid w:val="003E7F2F"/>
    <w:rPr>
      <w:rFonts w:asciiTheme="majorHAnsi" w:eastAsiaTheme="majorEastAsia" w:hAnsiTheme="majorHAnsi" w:cstheme="majorBidi"/>
      <w:color w:val="2F5496" w:themeColor="accent1" w:themeShade="BF"/>
      <w:sz w:val="32"/>
      <w:szCs w:val="32"/>
      <w:lang w:eastAsia="cs-CZ"/>
    </w:rPr>
  </w:style>
  <w:style w:type="character" w:customStyle="1" w:styleId="Nadpis2Char">
    <w:name w:val="Nadpis 2 Char"/>
    <w:basedOn w:val="Standardnpsmoodstavce"/>
    <w:link w:val="Nadpis2"/>
    <w:uiPriority w:val="9"/>
    <w:rsid w:val="003E7F2F"/>
    <w:rPr>
      <w:rFonts w:asciiTheme="majorHAnsi" w:eastAsiaTheme="majorEastAsia" w:hAnsiTheme="majorHAnsi" w:cstheme="majorBidi"/>
      <w:color w:val="2F5496" w:themeColor="accent1" w:themeShade="BF"/>
      <w:sz w:val="26"/>
      <w:szCs w:val="26"/>
      <w:lang w:eastAsia="cs-CZ"/>
    </w:rPr>
  </w:style>
  <w:style w:type="character" w:customStyle="1" w:styleId="Nadpis3Char">
    <w:name w:val="Nadpis 3 Char"/>
    <w:basedOn w:val="Standardnpsmoodstavce"/>
    <w:link w:val="Nadpis3"/>
    <w:uiPriority w:val="9"/>
    <w:semiHidden/>
    <w:rsid w:val="003E7F2F"/>
    <w:rPr>
      <w:rFonts w:asciiTheme="majorHAnsi" w:eastAsiaTheme="majorEastAsia" w:hAnsiTheme="majorHAnsi" w:cstheme="majorBidi"/>
      <w:color w:val="1F3763" w:themeColor="accent1" w:themeShade="7F"/>
      <w:sz w:val="24"/>
      <w:szCs w:val="24"/>
      <w:lang w:eastAsia="cs-CZ"/>
    </w:rPr>
  </w:style>
  <w:style w:type="character" w:customStyle="1" w:styleId="Nadpis4Char">
    <w:name w:val="Nadpis 4 Char"/>
    <w:basedOn w:val="Standardnpsmoodstavce"/>
    <w:link w:val="Nadpis4"/>
    <w:uiPriority w:val="9"/>
    <w:semiHidden/>
    <w:rsid w:val="003E7F2F"/>
    <w:rPr>
      <w:rFonts w:asciiTheme="majorHAnsi" w:eastAsiaTheme="majorEastAsia" w:hAnsiTheme="majorHAnsi" w:cstheme="majorBidi"/>
      <w:i/>
      <w:iCs/>
      <w:color w:val="2F5496" w:themeColor="accent1" w:themeShade="BF"/>
      <w:sz w:val="24"/>
      <w:szCs w:val="24"/>
      <w:lang w:eastAsia="cs-CZ"/>
    </w:rPr>
  </w:style>
  <w:style w:type="character" w:customStyle="1" w:styleId="Nadpis5Char">
    <w:name w:val="Nadpis 5 Char"/>
    <w:basedOn w:val="Standardnpsmoodstavce"/>
    <w:link w:val="Nadpis5"/>
    <w:uiPriority w:val="9"/>
    <w:semiHidden/>
    <w:rsid w:val="003E7F2F"/>
    <w:rPr>
      <w:rFonts w:asciiTheme="majorHAnsi" w:eastAsiaTheme="majorEastAsia" w:hAnsiTheme="majorHAnsi" w:cstheme="majorBidi"/>
      <w:color w:val="2F5496" w:themeColor="accent1" w:themeShade="BF"/>
      <w:sz w:val="24"/>
      <w:szCs w:val="24"/>
      <w:lang w:eastAsia="cs-CZ"/>
    </w:rPr>
  </w:style>
  <w:style w:type="character" w:customStyle="1" w:styleId="Nadpis6Char">
    <w:name w:val="Nadpis 6 Char"/>
    <w:basedOn w:val="Standardnpsmoodstavce"/>
    <w:link w:val="Nadpis6"/>
    <w:uiPriority w:val="9"/>
    <w:semiHidden/>
    <w:rsid w:val="003E7F2F"/>
    <w:rPr>
      <w:rFonts w:asciiTheme="majorHAnsi" w:eastAsiaTheme="majorEastAsia" w:hAnsiTheme="majorHAnsi" w:cstheme="majorBidi"/>
      <w:color w:val="1F3763" w:themeColor="accent1" w:themeShade="7F"/>
      <w:sz w:val="24"/>
      <w:szCs w:val="24"/>
      <w:lang w:eastAsia="cs-CZ"/>
    </w:rPr>
  </w:style>
  <w:style w:type="character" w:customStyle="1" w:styleId="Nadpis7Char">
    <w:name w:val="Nadpis 7 Char"/>
    <w:basedOn w:val="Standardnpsmoodstavce"/>
    <w:link w:val="Nadpis7"/>
    <w:uiPriority w:val="9"/>
    <w:semiHidden/>
    <w:rsid w:val="003E7F2F"/>
    <w:rPr>
      <w:rFonts w:asciiTheme="majorHAnsi" w:eastAsiaTheme="majorEastAsia" w:hAnsiTheme="majorHAnsi" w:cstheme="majorBidi"/>
      <w:i/>
      <w:iCs/>
      <w:color w:val="1F3763" w:themeColor="accent1" w:themeShade="7F"/>
      <w:sz w:val="24"/>
      <w:szCs w:val="24"/>
      <w:lang w:eastAsia="cs-CZ"/>
    </w:rPr>
  </w:style>
  <w:style w:type="character" w:customStyle="1" w:styleId="Nadpis8Char">
    <w:name w:val="Nadpis 8 Char"/>
    <w:basedOn w:val="Standardnpsmoodstavce"/>
    <w:link w:val="Nadpis8"/>
    <w:uiPriority w:val="9"/>
    <w:semiHidden/>
    <w:rsid w:val="003E7F2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3E7F2F"/>
    <w:rPr>
      <w:rFonts w:asciiTheme="majorHAnsi" w:eastAsiaTheme="majorEastAsia" w:hAnsiTheme="majorHAnsi" w:cstheme="majorBidi"/>
      <w:i/>
      <w:iCs/>
      <w:color w:val="272727" w:themeColor="text1" w:themeTint="D8"/>
      <w:sz w:val="21"/>
      <w:szCs w:val="21"/>
      <w:lang w:eastAsia="cs-CZ"/>
    </w:rPr>
  </w:style>
  <w:style w:type="character" w:customStyle="1" w:styleId="NzevChar">
    <w:name w:val="Název Char"/>
    <w:basedOn w:val="Standardnpsmoodstavce"/>
    <w:link w:val="Nzev"/>
    <w:uiPriority w:val="10"/>
    <w:rsid w:val="00E77751"/>
    <w:rPr>
      <w:rFonts w:asciiTheme="majorHAnsi" w:eastAsiaTheme="majorEastAsia" w:hAnsiTheme="majorHAnsi" w:cstheme="majorBidi"/>
      <w:spacing w:val="-10"/>
      <w:kern w:val="28"/>
      <w:sz w:val="56"/>
      <w:szCs w:val="56"/>
      <w:lang w:eastAsia="cs-CZ"/>
    </w:rPr>
  </w:style>
  <w:style w:type="paragraph" w:styleId="Odstavecseseznamem">
    <w:name w:val="List Paragraph"/>
    <w:basedOn w:val="Normln"/>
    <w:uiPriority w:val="34"/>
    <w:qFormat/>
    <w:rsid w:val="007047BC"/>
    <w:pPr>
      <w:ind w:left="720"/>
      <w:contextualSpacing/>
    </w:pPr>
  </w:style>
  <w:style w:type="paragraph" w:styleId="Zhlav">
    <w:name w:val="header"/>
    <w:basedOn w:val="Normln"/>
    <w:link w:val="ZhlavChar"/>
    <w:uiPriority w:val="99"/>
    <w:unhideWhenUsed/>
    <w:rsid w:val="009F129C"/>
    <w:pPr>
      <w:tabs>
        <w:tab w:val="center" w:pos="4536"/>
        <w:tab w:val="right" w:pos="9072"/>
      </w:tabs>
    </w:pPr>
  </w:style>
  <w:style w:type="character" w:customStyle="1" w:styleId="ZhlavChar">
    <w:name w:val="Záhlaví Char"/>
    <w:basedOn w:val="Standardnpsmoodstavce"/>
    <w:link w:val="Zhlav"/>
    <w:uiPriority w:val="99"/>
    <w:rsid w:val="009F129C"/>
    <w:rPr>
      <w:rFonts w:ascii="Calibri" w:eastAsia="Calibri" w:hAnsi="Calibri" w:cs="Calibri"/>
      <w:sz w:val="24"/>
      <w:szCs w:val="24"/>
      <w:lang w:eastAsia="cs-CZ"/>
    </w:rPr>
  </w:style>
  <w:style w:type="paragraph" w:styleId="Zpat">
    <w:name w:val="footer"/>
    <w:basedOn w:val="Normln"/>
    <w:link w:val="ZpatChar"/>
    <w:uiPriority w:val="99"/>
    <w:unhideWhenUsed/>
    <w:rsid w:val="009F129C"/>
    <w:pPr>
      <w:tabs>
        <w:tab w:val="center" w:pos="4536"/>
        <w:tab w:val="right" w:pos="9072"/>
      </w:tabs>
    </w:pPr>
  </w:style>
  <w:style w:type="character" w:customStyle="1" w:styleId="ZpatChar">
    <w:name w:val="Zápatí Char"/>
    <w:basedOn w:val="Standardnpsmoodstavce"/>
    <w:link w:val="Zpat"/>
    <w:uiPriority w:val="99"/>
    <w:rsid w:val="009F129C"/>
    <w:rPr>
      <w:rFonts w:ascii="Calibri" w:eastAsia="Calibri" w:hAnsi="Calibri" w:cs="Calibri"/>
      <w:sz w:val="24"/>
      <w:szCs w:val="24"/>
      <w:lang w:eastAsia="cs-CZ"/>
    </w:rPr>
  </w:style>
  <w:style w:type="paragraph" w:styleId="Podnadpis">
    <w:name w:val="Subtitle"/>
    <w:basedOn w:val="Normln"/>
    <w:next w:val="Normln"/>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PedmtkomenteChar1">
    <w:name w:val="Předmět komentáře Char1"/>
    <w:basedOn w:val="TextkomenteChar1"/>
    <w:uiPriority w:val="99"/>
    <w:semiHidden/>
    <w:rPr>
      <w:b/>
      <w:bCs/>
      <w:sz w:val="20"/>
      <w:szCs w:val="20"/>
    </w:rPr>
  </w:style>
  <w:style w:type="character" w:customStyle="1" w:styleId="TextkomenteChar1">
    <w:name w:val="Text komentáře Char1"/>
    <w:uiPriority w:val="99"/>
    <w:rPr>
      <w:sz w:val="20"/>
      <w:szCs w:val="20"/>
    </w:rPr>
  </w:style>
  <w:style w:type="paragraph" w:styleId="Textpoznpodarou">
    <w:name w:val="footnote text"/>
    <w:basedOn w:val="Normln"/>
    <w:link w:val="TextpoznpodarouChar"/>
    <w:uiPriority w:val="99"/>
    <w:unhideWhenUsed/>
    <w:rsid w:val="0039190E"/>
    <w:rPr>
      <w:rFonts w:eastAsia="Times New Roman"/>
      <w:sz w:val="20"/>
      <w:szCs w:val="20"/>
    </w:rPr>
  </w:style>
  <w:style w:type="character" w:customStyle="1" w:styleId="TextpoznpodarouChar">
    <w:name w:val="Text pozn. pod čarou Char"/>
    <w:basedOn w:val="Standardnpsmoodstavce"/>
    <w:link w:val="Textpoznpodarou"/>
    <w:uiPriority w:val="99"/>
    <w:rsid w:val="0039190E"/>
    <w:rPr>
      <w:rFonts w:eastAsia="Times New Roman"/>
      <w:sz w:val="20"/>
      <w:szCs w:val="20"/>
    </w:rPr>
  </w:style>
  <w:style w:type="character" w:styleId="Znakapoznpodarou">
    <w:name w:val="footnote reference"/>
    <w:basedOn w:val="Standardnpsmoodstavce"/>
    <w:uiPriority w:val="99"/>
    <w:semiHidden/>
    <w:unhideWhenUsed/>
    <w:rsid w:val="0039190E"/>
    <w:rPr>
      <w:rFonts w:cs="Times New Roman"/>
      <w:vertAlign w:val="superscript"/>
    </w:rPr>
  </w:style>
  <w:style w:type="paragraph" w:customStyle="1" w:styleId="l4">
    <w:name w:val="l4"/>
    <w:basedOn w:val="Normln"/>
    <w:rsid w:val="0039190E"/>
    <w:pPr>
      <w:spacing w:before="100" w:beforeAutospacing="1" w:after="100" w:afterAutospacing="1"/>
    </w:pPr>
    <w:rPr>
      <w:rFonts w:ascii="Times New Roman" w:eastAsia="Times New Roman" w:hAnsi="Times New Roman" w:cs="Times New Roman"/>
    </w:rPr>
  </w:style>
  <w:style w:type="character" w:customStyle="1" w:styleId="PedmtkomenteChar2">
    <w:name w:val="Předmět komentáře Char2"/>
    <w:basedOn w:val="TextkomenteChar2"/>
    <w:uiPriority w:val="99"/>
    <w:semiHidden/>
    <w:rPr>
      <w:b/>
      <w:bCs/>
      <w:sz w:val="20"/>
      <w:szCs w:val="20"/>
    </w:rPr>
  </w:style>
  <w:style w:type="character" w:customStyle="1" w:styleId="TextkomenteChar2">
    <w:name w:val="Text komentáře Char2"/>
    <w:uiPriority w:val="99"/>
    <w:semiHidden/>
    <w:rPr>
      <w:sz w:val="20"/>
      <w:szCs w:val="20"/>
    </w:rPr>
  </w:style>
  <w:style w:type="paragraph" w:customStyle="1" w:styleId="l3">
    <w:name w:val="l3"/>
    <w:basedOn w:val="Normln"/>
    <w:rsid w:val="00A37D7C"/>
    <w:pPr>
      <w:spacing w:before="100" w:beforeAutospacing="1" w:after="100" w:afterAutospacing="1"/>
    </w:pPr>
    <w:rPr>
      <w:rFonts w:ascii="Times New Roman" w:eastAsia="Times New Roman" w:hAnsi="Times New Roman" w:cs="Times New Roman"/>
    </w:rPr>
  </w:style>
  <w:style w:type="paragraph" w:customStyle="1" w:styleId="l5">
    <w:name w:val="l5"/>
    <w:basedOn w:val="Normln"/>
    <w:rsid w:val="00A37D7C"/>
    <w:pPr>
      <w:spacing w:before="100" w:beforeAutospacing="1" w:after="100" w:afterAutospacing="1"/>
    </w:pPr>
    <w:rPr>
      <w:rFonts w:ascii="Times New Roman" w:eastAsia="Times New Roman" w:hAnsi="Times New Roman" w:cs="Times New Roman"/>
    </w:rPr>
  </w:style>
  <w:style w:type="character" w:styleId="PromnnHTML">
    <w:name w:val="HTML Variable"/>
    <w:basedOn w:val="Standardnpsmoodstavce"/>
    <w:uiPriority w:val="99"/>
    <w:semiHidden/>
    <w:unhideWhenUsed/>
    <w:rsid w:val="00A37D7C"/>
    <w:rPr>
      <w:i/>
      <w:iCs/>
    </w:rPr>
  </w:style>
  <w:style w:type="character" w:styleId="Hypertextovodkaz">
    <w:name w:val="Hyperlink"/>
    <w:basedOn w:val="Standardnpsmoodstavce"/>
    <w:uiPriority w:val="99"/>
    <w:unhideWhenUsed/>
    <w:rsid w:val="00A37D7C"/>
    <w:rPr>
      <w:color w:val="0000FF"/>
      <w:u w:val="single"/>
    </w:rPr>
  </w:style>
  <w:style w:type="character" w:customStyle="1" w:styleId="PedmtkomenteChar3">
    <w:name w:val="Předmět komentáře Char3"/>
    <w:basedOn w:val="TextkomenteChar3"/>
    <w:link w:val="Pedmtkomente"/>
    <w:uiPriority w:val="99"/>
    <w:semiHidden/>
    <w:rPr>
      <w:b/>
      <w:bCs/>
      <w:sz w:val="20"/>
      <w:szCs w:val="20"/>
    </w:rPr>
  </w:style>
  <w:style w:type="character" w:customStyle="1" w:styleId="TextkomenteChar3">
    <w:name w:val="Text komentáře Char3"/>
    <w:link w:val="Textkomente"/>
    <w:uiPriority w:val="99"/>
    <w:semiHidden/>
    <w:rPr>
      <w:sz w:val="20"/>
      <w:szCs w:val="20"/>
    </w:rPr>
  </w:style>
  <w:style w:type="paragraph" w:styleId="Seznamsodrkami">
    <w:name w:val="List Bullet"/>
    <w:basedOn w:val="Normln"/>
    <w:uiPriority w:val="99"/>
    <w:unhideWhenUsed/>
    <w:rsid w:val="00813134"/>
    <w:pPr>
      <w:tabs>
        <w:tab w:val="num" w:pos="720"/>
      </w:tabs>
      <w:ind w:left="720" w:hanging="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umos.contentfiles.net/media/assets/file/Investice_do_deti_CELA_ZPRAVA_web_ilwLbI5.pdf"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ochrance.cz/fileadmin/user_upload/ochrana_osob/ZARIZENI/Ustavni_vychova/2019_0110_Zprava_DET_zarizeni_pro_deti_A4_CS_04_web.pdf" TargetMode="External"/><Relationship Id="rId1" Type="http://schemas.openxmlformats.org/officeDocument/2006/relationships/hyperlink" Target="https://www.socialni-zaclenovani.cz/wp-content/uploads/Tematicko-prurezovy-vyzkum_%C3%9Asp%C4%9B%C5%A1nost-d%C3%A1vek-mimo%C5%99%C3%A1dn%C3%A9-okam%C5%BEit%C3%A9-pomoci-na-%C3%BAhradu-jistot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1794</Words>
  <Characters>10585</Characters>
  <Application>Microsoft Office Word</Application>
  <DocSecurity>0</DocSecurity>
  <Lines>88</Lines>
  <Paragraphs>24</Paragraphs>
  <ScaleCrop>false</ScaleCrop>
  <Company/>
  <LinksUpToDate>false</LinksUpToDate>
  <CharactersWithSpaces>12355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2021-05-05T15:42:00Z</dcterms:created>
  <dcterms:modified xsi:type="dcterms:W3CDTF">2021-05-05T15:42:00Z</dcterms:modified>
</cp:coreProperties>
</file>