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EE0DA5">
      <w:pPr>
        <w:pStyle w:val="Nadpis"/>
        <w:spacing w:before="57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>návrhu zákona</w:t>
      </w:r>
      <w:r w:rsidR="00C660A3">
        <w:rPr>
          <w:b/>
          <w:bCs/>
          <w:sz w:val="24"/>
          <w:szCs w:val="24"/>
        </w:rPr>
        <w:t>, kterým se mění zákon</w:t>
      </w:r>
      <w:r w:rsidR="00C26353">
        <w:rPr>
          <w:b/>
          <w:bCs/>
          <w:sz w:val="24"/>
          <w:szCs w:val="24"/>
        </w:rPr>
        <w:t xml:space="preserve"> č. </w:t>
      </w:r>
      <w:r w:rsidR="00BC4BCC">
        <w:rPr>
          <w:b/>
          <w:bCs/>
          <w:sz w:val="24"/>
          <w:szCs w:val="24"/>
        </w:rPr>
        <w:t>3</w:t>
      </w:r>
      <w:r w:rsidR="007664D9">
        <w:rPr>
          <w:b/>
          <w:bCs/>
          <w:sz w:val="24"/>
          <w:szCs w:val="24"/>
        </w:rPr>
        <w:t>74</w:t>
      </w:r>
      <w:r w:rsidR="00C26353">
        <w:rPr>
          <w:b/>
          <w:bCs/>
          <w:sz w:val="24"/>
          <w:szCs w:val="24"/>
        </w:rPr>
        <w:t>/</w:t>
      </w:r>
      <w:r w:rsidR="007664D9">
        <w:rPr>
          <w:b/>
          <w:bCs/>
          <w:sz w:val="24"/>
          <w:szCs w:val="24"/>
        </w:rPr>
        <w:t>2015</w:t>
      </w:r>
      <w:r w:rsidR="00C26353">
        <w:rPr>
          <w:b/>
          <w:bCs/>
          <w:sz w:val="24"/>
          <w:szCs w:val="24"/>
        </w:rPr>
        <w:t xml:space="preserve"> Sb., </w:t>
      </w:r>
      <w:r w:rsidR="00382FE4">
        <w:rPr>
          <w:b/>
          <w:bCs/>
          <w:sz w:val="24"/>
          <w:szCs w:val="24"/>
        </w:rPr>
        <w:t xml:space="preserve">o </w:t>
      </w:r>
      <w:r w:rsidR="007664D9">
        <w:rPr>
          <w:b/>
          <w:bCs/>
          <w:sz w:val="24"/>
          <w:szCs w:val="24"/>
        </w:rPr>
        <w:t>ozdravných postupech a</w:t>
      </w:r>
      <w:r w:rsidR="00531640">
        <w:rPr>
          <w:b/>
          <w:bCs/>
          <w:sz w:val="24"/>
          <w:szCs w:val="24"/>
        </w:rPr>
        <w:t> </w:t>
      </w:r>
      <w:r w:rsidR="007664D9">
        <w:rPr>
          <w:b/>
          <w:bCs/>
          <w:sz w:val="24"/>
          <w:szCs w:val="24"/>
        </w:rPr>
        <w:t>řešení krize na finančním trhu,</w:t>
      </w:r>
      <w:r w:rsidR="00EE0DA5">
        <w:rPr>
          <w:b/>
          <w:bCs/>
          <w:sz w:val="24"/>
          <w:szCs w:val="24"/>
        </w:rPr>
        <w:t xml:space="preserve"> </w:t>
      </w:r>
      <w:r w:rsidR="00C26353">
        <w:rPr>
          <w:b/>
          <w:bCs/>
          <w:sz w:val="24"/>
          <w:szCs w:val="24"/>
        </w:rPr>
        <w:t>ve</w:t>
      </w:r>
      <w:r w:rsidR="00382FE4">
        <w:rPr>
          <w:b/>
          <w:bCs/>
          <w:sz w:val="24"/>
          <w:szCs w:val="24"/>
        </w:rPr>
        <w:t> </w:t>
      </w:r>
      <w:r w:rsidR="00C26353">
        <w:rPr>
          <w:b/>
          <w:bCs/>
          <w:sz w:val="24"/>
          <w:szCs w:val="24"/>
        </w:rPr>
        <w:t>znění</w:t>
      </w:r>
      <w:r w:rsidR="00382FE4">
        <w:rPr>
          <w:b/>
          <w:bCs/>
          <w:sz w:val="24"/>
          <w:szCs w:val="24"/>
        </w:rPr>
        <w:t> </w:t>
      </w:r>
      <w:r w:rsidR="00C26353">
        <w:rPr>
          <w:b/>
          <w:bCs/>
          <w:sz w:val="24"/>
          <w:szCs w:val="24"/>
        </w:rPr>
        <w:t>pozdějších předpisů</w:t>
      </w:r>
      <w:r w:rsidR="00EE0DA5">
        <w:rPr>
          <w:b/>
          <w:bCs/>
          <w:sz w:val="24"/>
          <w:szCs w:val="24"/>
        </w:rPr>
        <w:t xml:space="preserve">, </w:t>
      </w:r>
      <w:r w:rsidR="00BC4BCC">
        <w:rPr>
          <w:b/>
          <w:bCs/>
          <w:sz w:val="24"/>
          <w:szCs w:val="24"/>
        </w:rPr>
        <w:t>a další</w:t>
      </w:r>
      <w:r w:rsidR="007664D9">
        <w:rPr>
          <w:b/>
          <w:bCs/>
          <w:sz w:val="24"/>
          <w:szCs w:val="24"/>
        </w:rPr>
        <w:t xml:space="preserve"> související</w:t>
      </w:r>
      <w:r w:rsidR="00BC4BCC">
        <w:rPr>
          <w:b/>
          <w:bCs/>
          <w:sz w:val="24"/>
          <w:szCs w:val="24"/>
        </w:rPr>
        <w:t xml:space="preserve"> zákony</w:t>
      </w:r>
    </w:p>
    <w:p w:rsidR="00C26353" w:rsidRDefault="00C26353" w:rsidP="00EE0DA5">
      <w:pPr>
        <w:pStyle w:val="Nadpis"/>
        <w:spacing w:before="0" w:after="0"/>
        <w:jc w:val="both"/>
        <w:rPr>
          <w:b/>
          <w:bCs/>
          <w:sz w:val="24"/>
          <w:szCs w:val="24"/>
        </w:rPr>
      </w:pP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7664D9">
        <w:rPr>
          <w:b/>
          <w:bCs/>
          <w:sz w:val="24"/>
          <w:szCs w:val="24"/>
        </w:rPr>
        <w:t>904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706000" w:rsidP="005D71C7">
      <w:pPr>
        <w:pStyle w:val="Paragraf"/>
        <w:keepNext w:val="0"/>
        <w:keepLines w:val="0"/>
        <w:spacing w:before="0"/>
        <w:ind w:firstLine="709"/>
        <w:jc w:val="both"/>
      </w:pPr>
      <w:r>
        <w:rPr>
          <w:b/>
        </w:rPr>
        <w:t>N</w:t>
      </w:r>
      <w:r w:rsidR="005D25C8">
        <w:rPr>
          <w:b/>
        </w:rPr>
        <w:t>ávrh na zamítnutí návrhu zákona</w:t>
      </w:r>
      <w:r>
        <w:rPr>
          <w:b/>
        </w:rPr>
        <w:t xml:space="preserve"> nebyl podán</w:t>
      </w:r>
      <w:r w:rsidR="005D25C8">
        <w:rPr>
          <w:b/>
        </w:rPr>
        <w:t>.</w:t>
      </w:r>
    </w:p>
    <w:p w:rsidR="005D25C8" w:rsidRDefault="005D25C8">
      <w:pPr>
        <w:tabs>
          <w:tab w:val="left" w:pos="420"/>
        </w:tabs>
      </w:pPr>
    </w:p>
    <w:p w:rsidR="00BC4BCC" w:rsidRPr="00BC4BCC" w:rsidRDefault="00BC4BCC" w:rsidP="00BC4BCC">
      <w:pPr>
        <w:widowControl/>
        <w:suppressAutoHyphens w:val="0"/>
        <w:jc w:val="both"/>
        <w:rPr>
          <w:rFonts w:eastAsia="Calibri" w:cs="Times New Roman"/>
          <w:kern w:val="0"/>
          <w:u w:val="single"/>
          <w:lang w:eastAsia="en-US" w:bidi="ar-SA"/>
        </w:rPr>
      </w:pPr>
    </w:p>
    <w:p w:rsidR="00E65F1E" w:rsidRDefault="00E65F1E" w:rsidP="00E65F1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E65F1E" w:rsidRDefault="00C91BB8" w:rsidP="00E65F1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Pozměňovací návrhy přednesené v podrobné rozpravě ve druhém čtení </w:t>
      </w:r>
    </w:p>
    <w:p w:rsidR="00C91BB8" w:rsidRPr="00D73045" w:rsidRDefault="00C91BB8" w:rsidP="00E65F1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dne </w:t>
      </w:r>
      <w:r w:rsidR="00433B99">
        <w:rPr>
          <w:rFonts w:eastAsia="Times New Roman" w:cs="Times New Roman"/>
          <w:b/>
          <w:spacing w:val="-3"/>
          <w:kern w:val="0"/>
          <w:sz w:val="28"/>
          <w:szCs w:val="28"/>
        </w:rPr>
        <w:t>5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. </w:t>
      </w:r>
      <w:r w:rsidR="00433B99">
        <w:rPr>
          <w:rFonts w:eastAsia="Times New Roman" w:cs="Times New Roman"/>
          <w:b/>
          <w:spacing w:val="-3"/>
          <w:kern w:val="0"/>
          <w:sz w:val="28"/>
          <w:szCs w:val="28"/>
        </w:rPr>
        <w:t>května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20</w:t>
      </w:r>
      <w:r w:rsidR="007664D9">
        <w:rPr>
          <w:rFonts w:eastAsia="Times New Roman" w:cs="Times New Roman"/>
          <w:b/>
          <w:spacing w:val="-3"/>
          <w:kern w:val="0"/>
          <w:sz w:val="28"/>
          <w:szCs w:val="28"/>
        </w:rPr>
        <w:t>2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1</w:t>
      </w:r>
    </w:p>
    <w:p w:rsidR="00C91BB8" w:rsidRDefault="00C91BB8" w:rsidP="00C91BB8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E65F1E" w:rsidRDefault="00E65F1E" w:rsidP="00C91BB8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C91BB8" w:rsidRPr="00DD4C0B" w:rsidRDefault="00155CCE" w:rsidP="00E51625">
      <w:pPr>
        <w:pStyle w:val="Oznaenpozmn"/>
        <w:jc w:val="both"/>
      </w:pPr>
      <w:r>
        <w:t xml:space="preserve">     </w:t>
      </w:r>
      <w:r w:rsidR="00C91BB8">
        <w:t>Poslan</w:t>
      </w:r>
      <w:r>
        <w:t xml:space="preserve">ec </w:t>
      </w:r>
      <w:r w:rsidR="007664D9">
        <w:t xml:space="preserve">Jan </w:t>
      </w:r>
      <w:proofErr w:type="spellStart"/>
      <w:r w:rsidR="007664D9">
        <w:t>Skopeček</w:t>
      </w:r>
      <w:proofErr w:type="spellEnd"/>
      <w:r w:rsidR="00C170F1">
        <w:t xml:space="preserve"> </w:t>
      </w:r>
      <w:r w:rsidR="00DD4C0B">
        <w:t xml:space="preserve">– </w:t>
      </w:r>
      <w:r w:rsidR="007664D9">
        <w:rPr>
          <w:b w:val="0"/>
        </w:rPr>
        <w:t xml:space="preserve">SD </w:t>
      </w:r>
      <w:r w:rsidR="00921E38">
        <w:rPr>
          <w:b w:val="0"/>
        </w:rPr>
        <w:t>7610</w:t>
      </w:r>
    </w:p>
    <w:p w:rsidR="00E51625" w:rsidRDefault="00E51625" w:rsidP="00E51625"/>
    <w:p w:rsidR="00CB0FBD" w:rsidRPr="00433421" w:rsidRDefault="00E51625" w:rsidP="007664D9">
      <w:pPr>
        <w:pStyle w:val="Bezmezer"/>
        <w:widowControl/>
        <w:suppressAutoHyphens w:val="0"/>
        <w:rPr>
          <w:lang w:eastAsia="en-US" w:bidi="ar-SA"/>
        </w:rPr>
      </w:pPr>
      <w:r w:rsidRPr="00155CCE">
        <w:rPr>
          <w:rFonts w:cs="Times New Roman"/>
          <w:b/>
          <w:color w:val="00000A"/>
          <w:kern w:val="0"/>
          <w:lang w:eastAsia="cs-CZ"/>
        </w:rPr>
        <w:tab/>
      </w:r>
    </w:p>
    <w:p w:rsidR="00921E38" w:rsidRPr="00921E38" w:rsidRDefault="00921E38" w:rsidP="00921E38">
      <w:pPr>
        <w:widowControl/>
        <w:suppressAutoHyphens w:val="0"/>
        <w:jc w:val="both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>Část první - návrh zákona, kterým se mění zákon č. 374/2015 Sb., o ozdravných postupech a řešení krize na finančním trhu, ve znění pozdějších předpisů, s</w:t>
      </w:r>
      <w:r w:rsidRPr="00921E38">
        <w:rPr>
          <w:rFonts w:eastAsia="Times New Roman" w:cs="Times New Roman"/>
          <w:b/>
          <w:color w:val="000000"/>
          <w:kern w:val="0"/>
          <w:lang w:eastAsia="cs-CZ" w:bidi="ar-SA"/>
        </w:rPr>
        <w:t>e mění takto:</w:t>
      </w:r>
    </w:p>
    <w:p w:rsidR="00921E38" w:rsidRPr="00921E38" w:rsidRDefault="00921E38" w:rsidP="00921E38">
      <w:pPr>
        <w:widowControl/>
        <w:suppressAutoHyphens w:val="0"/>
        <w:spacing w:after="200" w:line="276" w:lineRule="auto"/>
        <w:jc w:val="both"/>
        <w:rPr>
          <w:rFonts w:eastAsia="Times New Roman" w:cs="Times New Roman"/>
          <w:b/>
          <w:kern w:val="0"/>
          <w:lang w:eastAsia="cs-CZ" w:bidi="ar-SA"/>
        </w:rPr>
      </w:pPr>
      <w:r w:rsidRPr="00921E38">
        <w:rPr>
          <w:rFonts w:eastAsia="Times New Roman" w:cs="Times New Roman"/>
          <w:b/>
          <w:kern w:val="0"/>
          <w:lang w:eastAsia="cs-CZ" w:bidi="ar-SA"/>
        </w:rPr>
        <w:t xml:space="preserve">  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b/>
          <w:kern w:val="0"/>
          <w:lang w:eastAsia="cs-CZ" w:bidi="ar-SA"/>
        </w:rPr>
      </w:pPr>
      <w:r w:rsidRPr="00921E38">
        <w:rPr>
          <w:rFonts w:eastAsia="Times New Roman" w:cs="Times New Roman"/>
          <w:b/>
          <w:kern w:val="0"/>
          <w:lang w:eastAsia="cs-CZ" w:bidi="ar-SA"/>
        </w:rPr>
        <w:t xml:space="preserve">Novelizační bod 17 </w:t>
      </w:r>
      <w:r w:rsidRPr="00921E38">
        <w:rPr>
          <w:rFonts w:eastAsia="Times New Roman" w:cs="Times New Roman"/>
          <w:kern w:val="0"/>
          <w:lang w:eastAsia="cs-CZ" w:bidi="ar-SA"/>
        </w:rPr>
        <w:t>se zrušuje</w:t>
      </w:r>
      <w:r w:rsidRPr="00921E38">
        <w:rPr>
          <w:rFonts w:eastAsia="Times New Roman" w:cs="Times New Roman"/>
          <w:b/>
          <w:kern w:val="0"/>
          <w:lang w:eastAsia="cs-CZ" w:bidi="ar-SA"/>
        </w:rPr>
        <w:t>.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Následující novelizační body se přečíslují.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Za dosavadní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 bod 22</w:t>
      </w:r>
      <w:r w:rsidRPr="00921E38">
        <w:rPr>
          <w:rFonts w:eastAsia="Times New Roman" w:cs="Times New Roman"/>
          <w:kern w:val="0"/>
          <w:lang w:eastAsia="cs-CZ" w:bidi="ar-SA"/>
        </w:rPr>
        <w:t xml:space="preserve"> se vkládají nové novelizační body x) a y), které znějí: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„x) V § 18 odst. 5 se číslo „3“ nahrazuje číslem „4“.</w:t>
      </w:r>
    </w:p>
    <w:p w:rsidR="00921E38" w:rsidRPr="00921E38" w:rsidRDefault="00921E38" w:rsidP="00921E38">
      <w:pPr>
        <w:widowControl/>
        <w:suppressAutoHyphens w:val="0"/>
        <w:ind w:left="720"/>
        <w:jc w:val="both"/>
        <w:rPr>
          <w:rFonts w:eastAsia="Calibri" w:cs="Times New Roman"/>
          <w:kern w:val="0"/>
          <w:lang w:eastAsia="en-US" w:bidi="ar-SA"/>
        </w:rPr>
      </w:pPr>
      <w:r w:rsidRPr="00921E38">
        <w:rPr>
          <w:rFonts w:eastAsia="Calibri" w:cs="Times New Roman"/>
          <w:kern w:val="0"/>
          <w:lang w:eastAsia="en-US" w:bidi="ar-SA"/>
        </w:rPr>
        <w:t xml:space="preserve">y) V § 18 odst. 6 se číslo „4“ nahrazuje číslem „5“.“. </w:t>
      </w:r>
    </w:p>
    <w:p w:rsidR="00921E38" w:rsidRPr="00921E38" w:rsidRDefault="00921E38" w:rsidP="00921E38">
      <w:pPr>
        <w:widowControl/>
        <w:suppressAutoHyphens w:val="0"/>
        <w:ind w:left="720"/>
        <w:jc w:val="both"/>
        <w:rPr>
          <w:rFonts w:eastAsia="Calibri" w:cs="Times New Roman"/>
          <w:kern w:val="0"/>
          <w:u w:val="single"/>
          <w:lang w:eastAsia="en-US" w:bidi="ar-SA"/>
        </w:rPr>
      </w:pP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Následující novelizační body se přečíslují.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Dosavadní </w:t>
      </w:r>
      <w:r w:rsidRPr="00921E38">
        <w:rPr>
          <w:rFonts w:eastAsia="Times New Roman" w:cs="Times New Roman"/>
          <w:b/>
          <w:kern w:val="0"/>
          <w:lang w:eastAsia="cs-CZ" w:bidi="ar-SA"/>
        </w:rPr>
        <w:t>novelizační bod 65</w:t>
      </w:r>
      <w:r w:rsidRPr="00921E38">
        <w:rPr>
          <w:rFonts w:eastAsia="Times New Roman" w:cs="Times New Roman"/>
          <w:kern w:val="0"/>
          <w:lang w:eastAsia="cs-CZ" w:bidi="ar-SA"/>
        </w:rPr>
        <w:t xml:space="preserve"> zní: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„65. V § 51 odst. 5 se slova „konzultací podle odstavce“ nahrazují slovy „konzultací podle §</w:t>
      </w:r>
      <w:r w:rsidR="00C81265">
        <w:rPr>
          <w:rFonts w:eastAsia="Times New Roman" w:cs="Times New Roman"/>
          <w:kern w:val="0"/>
          <w:lang w:eastAsia="cs-CZ" w:bidi="ar-SA"/>
        </w:rPr>
        <w:t> </w:t>
      </w:r>
      <w:r w:rsidRPr="00921E38">
        <w:rPr>
          <w:rFonts w:eastAsia="Times New Roman" w:cs="Times New Roman"/>
          <w:kern w:val="0"/>
          <w:lang w:eastAsia="cs-CZ" w:bidi="ar-SA"/>
        </w:rPr>
        <w:t>50 odst.“.“.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Dosavadní </w:t>
      </w:r>
      <w:r w:rsidRPr="00921E38">
        <w:rPr>
          <w:rFonts w:eastAsia="Times New Roman" w:cs="Times New Roman"/>
          <w:b/>
          <w:kern w:val="0"/>
          <w:lang w:eastAsia="cs-CZ" w:bidi="ar-SA"/>
        </w:rPr>
        <w:t>novelizační bod 92</w:t>
      </w:r>
      <w:r w:rsidRPr="00921E38">
        <w:rPr>
          <w:rFonts w:eastAsia="Times New Roman" w:cs="Times New Roman"/>
          <w:kern w:val="0"/>
          <w:lang w:eastAsia="cs-CZ" w:bidi="ar-SA"/>
        </w:rPr>
        <w:t xml:space="preserve"> zní:</w:t>
      </w:r>
    </w:p>
    <w:p w:rsidR="00921E38" w:rsidRPr="00921E38" w:rsidRDefault="00921E38" w:rsidP="00921E38">
      <w:pPr>
        <w:widowControl/>
        <w:suppressAutoHyphens w:val="0"/>
        <w:ind w:left="720"/>
        <w:jc w:val="both"/>
        <w:rPr>
          <w:rFonts w:eastAsia="Calibri" w:cs="Times New Roman"/>
          <w:kern w:val="0"/>
          <w:lang w:eastAsia="en-US" w:bidi="ar-SA"/>
        </w:rPr>
      </w:pPr>
      <w:r w:rsidRPr="00921E38">
        <w:rPr>
          <w:rFonts w:eastAsia="Calibri" w:cs="Times New Roman"/>
          <w:kern w:val="0"/>
          <w:lang w:eastAsia="en-US" w:bidi="ar-SA"/>
        </w:rPr>
        <w:t>„92. V § 73 odst. 1 se za slova „kapitálového nástroje“ vkládají slova „nebo vnitroskupinového způsobilého závazku“ a za slova „kapitálový nástroj“ se vkládají slova „nebo vnitroskupinový způsobilý závazek“.“.</w:t>
      </w:r>
    </w:p>
    <w:p w:rsidR="00921E38" w:rsidRPr="00921E38" w:rsidRDefault="00921E38" w:rsidP="00921E38">
      <w:pPr>
        <w:widowControl/>
        <w:suppressAutoHyphens w:val="0"/>
        <w:ind w:left="720"/>
        <w:jc w:val="both"/>
        <w:rPr>
          <w:rFonts w:eastAsia="Calibri" w:cs="Times New Roman"/>
          <w:kern w:val="0"/>
          <w:lang w:eastAsia="en-US" w:bidi="ar-SA"/>
        </w:rPr>
      </w:pP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V dosavadním </w:t>
      </w:r>
      <w:r w:rsidRPr="00921E38">
        <w:rPr>
          <w:rFonts w:eastAsia="Times New Roman" w:cs="Times New Roman"/>
          <w:b/>
          <w:kern w:val="0"/>
          <w:lang w:eastAsia="cs-CZ" w:bidi="ar-SA"/>
        </w:rPr>
        <w:t>novelizačním bodu 134</w:t>
      </w:r>
      <w:r w:rsidRPr="00921E38">
        <w:rPr>
          <w:rFonts w:eastAsia="Times New Roman" w:cs="Times New Roman"/>
          <w:kern w:val="0"/>
          <w:lang w:eastAsia="cs-CZ" w:bidi="ar-SA"/>
        </w:rPr>
        <w:t xml:space="preserve"> v § 127 odst. 6 se za číslo „</w:t>
      </w:r>
      <w:r w:rsidRPr="00D678F8">
        <w:rPr>
          <w:rFonts w:eastAsia="Times New Roman" w:cs="Times New Roman"/>
          <w:kern w:val="0"/>
          <w:lang w:eastAsia="cs-CZ" w:bidi="ar-SA"/>
        </w:rPr>
        <w:t>2“</w:t>
      </w:r>
      <w:r w:rsidRPr="00921E38">
        <w:rPr>
          <w:rFonts w:eastAsia="Times New Roman" w:cs="Times New Roman"/>
          <w:kern w:val="0"/>
          <w:lang w:eastAsia="cs-CZ" w:bidi="ar-SA"/>
        </w:rPr>
        <w:t xml:space="preserve"> vkládají slova „nebo §</w:t>
      </w:r>
      <w:r w:rsidR="00C81265">
        <w:rPr>
          <w:rFonts w:eastAsia="Times New Roman" w:cs="Times New Roman"/>
          <w:kern w:val="0"/>
          <w:lang w:eastAsia="cs-CZ" w:bidi="ar-SA"/>
        </w:rPr>
        <w:t> </w:t>
      </w:r>
      <w:r w:rsidRPr="00921E38">
        <w:rPr>
          <w:rFonts w:eastAsia="Times New Roman" w:cs="Times New Roman"/>
          <w:kern w:val="0"/>
          <w:lang w:eastAsia="cs-CZ" w:bidi="ar-SA"/>
        </w:rPr>
        <w:t>131b odst. 2“.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lastRenderedPageBreak/>
        <w:t xml:space="preserve">V dosavadním </w:t>
      </w:r>
      <w:r w:rsidRPr="00921E38">
        <w:rPr>
          <w:rFonts w:eastAsia="Times New Roman" w:cs="Times New Roman"/>
          <w:b/>
          <w:kern w:val="0"/>
          <w:lang w:eastAsia="cs-CZ" w:bidi="ar-SA"/>
        </w:rPr>
        <w:t>novelizačním bodu 134</w:t>
      </w:r>
      <w:r w:rsidRPr="00921E38">
        <w:rPr>
          <w:rFonts w:eastAsia="Times New Roman" w:cs="Times New Roman"/>
          <w:kern w:val="0"/>
          <w:lang w:eastAsia="cs-CZ" w:bidi="ar-SA"/>
        </w:rPr>
        <w:t xml:space="preserve"> v § 127c odst. 2 se na začátek bodu c) vkládá slovo „jiná“ a slova „která podřízený způsobilý závazek nabyla od osoby uvedené v písmeni a) nebo b),“ se zrušují.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V dosavadním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>v § 127c odst. 6 se za slovo „které“ vkládá slovo „mu“.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V dosavadním 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>v § 128b odst. 2 se slovo „povinnosti“ nahrazuje slovy „požadavku na podřízenost“ a za slova „odstavce 1“ se vkládají slova „vyjádřeného podle §</w:t>
      </w:r>
      <w:r w:rsidR="00C81265">
        <w:rPr>
          <w:rFonts w:eastAsia="Times New Roman" w:cs="Times New Roman"/>
          <w:kern w:val="0"/>
          <w:lang w:eastAsia="cs-CZ" w:bidi="ar-SA"/>
        </w:rPr>
        <w:t> </w:t>
      </w:r>
      <w:r w:rsidRPr="00921E38">
        <w:rPr>
          <w:rFonts w:eastAsia="Times New Roman" w:cs="Times New Roman"/>
          <w:kern w:val="0"/>
          <w:lang w:eastAsia="cs-CZ" w:bidi="ar-SA"/>
        </w:rPr>
        <w:t>127a odst. 1 písm. b)“.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V dosavadním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>v § 128c odst. 1 se středník nahrazuje tečkou, část věty za středníkem se zrušuje, za slovo „Ustanovení“ se vkládají slova „§ 128b odst. 2 a“ a slovo „použije“ se nahrazuje slovem „použijí“.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V dosavadním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>v § 128c odst. 5 se za číslo „4“ vkládají slova „vyjádřené podle § 127a odst. 1 písm. b)“.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b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V dosavadním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>v § 131b</w:t>
      </w:r>
      <w:r w:rsidRPr="00921E38">
        <w:rPr>
          <w:rFonts w:eastAsia="Times New Roman" w:cs="Times New Roman"/>
          <w:kern w:val="0"/>
          <w:sz w:val="20"/>
          <w:szCs w:val="20"/>
          <w:lang w:eastAsia="cs-CZ" w:bidi="ar-SA"/>
        </w:rPr>
        <w:t xml:space="preserve"> </w:t>
      </w:r>
      <w:r w:rsidRPr="00921E38">
        <w:rPr>
          <w:rFonts w:eastAsia="Times New Roman" w:cs="Times New Roman"/>
          <w:kern w:val="0"/>
          <w:lang w:eastAsia="cs-CZ" w:bidi="ar-SA"/>
        </w:rPr>
        <w:t>se za odstavec 1 vkládá nový odstavec 2, který zní: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„(2) Česká národní banka může ovládané osobě povolit, aby vnitřní minimální požadavek plnila zcela nebo zčásti prostřednictvím závazku k plnění ovládající osoby, pokud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a) ovládaná osoba a ovládající osoba mají sídlo na území České republiky a patří do stejné skupiny podléhající řešení krize,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b) ovládající osoba udržuje kapitál a odepisovatelné závazky na konsolidovaném základě alespoň ve výši vnitřního minimálního požadavku,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c) závazek k plnění je poskytnut alespoň ve výši odpovídající části vnitřního minimálního požadavku, který nahrazuje, 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d) právo ovládané osoby na plnění a povinnost ovládající osoby plnit vznikne v okamžiku, kdy ovládaná osoba není schopna hradit své splatné dluhy nebo kdy splňuje podmínky pro uplatnění odpisu a konverze kapitálových nástrojů a vnitroskupinových způsobilých závazků, podle toho, která událost nastane dříve,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e) alespoň do výše 50 % je závazek k plnění zajištěn finančním zajištěním,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f) finanční kolaterál plní požadavky podle čl. 197 nařízení Evropského parlamentu a Rady (EU) č. 575/2013 a je po přiměřeně konzervativní srážce dostatečný k zajištění části závazku podle písmene e),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 xml:space="preserve">g) finanční kolaterál není zatížen právy třetích stran, zejména není použit k zajištění jiných závazků k plnění, 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h) sjednaná doba trvání finančního zajištění, jakož i splatnost předmětu finančního zajištění splňuje podmínky podle čl. 72c odst. 1 nařízení Evropského parlamentu a Rady (EU) č. 575/2013 a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567" w:firstLine="77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lastRenderedPageBreak/>
        <w:t>i) neexistují žádné právní, regulatorní ani provozní překážky, které by ovládané osobě bránily uspokojit se z finančního kolaterálu, včetně situací, kdy by bylo vůči ovládající osobě přijato opatření k řešení krize nebo uplatněn odpis a konverze kapitálových nástrojů a vnitroskupinových způsobilých závazků.“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Dosavadní odstavec 2 se označuje jako odstavec 3.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V dosavadním</w:t>
      </w:r>
      <w:r w:rsidRPr="00921E38">
        <w:rPr>
          <w:rFonts w:eastAsia="Times New Roman" w:cs="Times New Roman"/>
          <w:b/>
          <w:kern w:val="0"/>
          <w:lang w:eastAsia="cs-CZ" w:bidi="ar-SA"/>
        </w:rPr>
        <w:t xml:space="preserve"> novelizačním bodu 134 </w:t>
      </w:r>
      <w:r w:rsidRPr="00921E38">
        <w:rPr>
          <w:rFonts w:eastAsia="Times New Roman" w:cs="Times New Roman"/>
          <w:kern w:val="0"/>
          <w:lang w:eastAsia="cs-CZ" w:bidi="ar-SA"/>
        </w:rPr>
        <w:t xml:space="preserve">v § 131b odst. 3 se za slovo „krize“ vkládají </w:t>
      </w:r>
      <w:proofErr w:type="gramStart"/>
      <w:r w:rsidRPr="00921E38">
        <w:rPr>
          <w:rFonts w:eastAsia="Times New Roman" w:cs="Times New Roman"/>
          <w:kern w:val="0"/>
          <w:lang w:eastAsia="cs-CZ" w:bidi="ar-SA"/>
        </w:rPr>
        <w:t>slova „</w:t>
      </w:r>
      <w:r>
        <w:rPr>
          <w:rFonts w:eastAsia="Times New Roman" w:cs="Times New Roman"/>
          <w:kern w:val="0"/>
          <w:lang w:eastAsia="cs-CZ" w:bidi="ar-SA"/>
        </w:rPr>
        <w:t> </w:t>
      </w:r>
      <w:r w:rsidRPr="00921E38">
        <w:rPr>
          <w:rFonts w:eastAsia="Times New Roman" w:cs="Times New Roman"/>
          <w:kern w:val="0"/>
          <w:lang w:eastAsia="cs-CZ" w:bidi="ar-SA"/>
        </w:rPr>
        <w:t>, ovládající</w:t>
      </w:r>
      <w:proofErr w:type="gramEnd"/>
      <w:r w:rsidRPr="00921E38">
        <w:rPr>
          <w:rFonts w:eastAsia="Times New Roman" w:cs="Times New Roman"/>
          <w:kern w:val="0"/>
          <w:lang w:eastAsia="cs-CZ" w:bidi="ar-SA"/>
        </w:rPr>
        <w:t xml:space="preserve"> osoba“ a za slova „odstavce 1 písm. i)“ se vkládají slova „nebo odst. 2 písm. i),“.</w:t>
      </w:r>
    </w:p>
    <w:p w:rsidR="00921E38" w:rsidRPr="00921E38" w:rsidRDefault="00921E38" w:rsidP="00921E38">
      <w:pPr>
        <w:widowControl/>
        <w:suppressAutoHyphens w:val="0"/>
        <w:spacing w:after="200" w:line="276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921E38" w:rsidRPr="00921E38" w:rsidRDefault="00921E38" w:rsidP="00921E38">
      <w:pPr>
        <w:widowControl/>
        <w:suppressAutoHyphens w:val="0"/>
        <w:jc w:val="both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>Část druhá,</w:t>
      </w:r>
      <w:r w:rsidRPr="00921E38">
        <w:rPr>
          <w:rFonts w:eastAsia="Times New Roman" w:cs="Times New Roman"/>
          <w:kern w:val="0"/>
          <w:sz w:val="20"/>
          <w:szCs w:val="20"/>
          <w:lang w:eastAsia="cs-CZ" w:bidi="ar-SA"/>
        </w:rPr>
        <w:t xml:space="preserve"> </w:t>
      </w: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 xml:space="preserve">čl. III - změna zákona o podnikání na kapitálovém trhu </w:t>
      </w:r>
    </w:p>
    <w:p w:rsidR="00921E38" w:rsidRPr="00921E38" w:rsidRDefault="00921E38" w:rsidP="00921E38">
      <w:pPr>
        <w:widowControl/>
        <w:suppressAutoHyphens w:val="0"/>
        <w:jc w:val="both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</w:p>
    <w:p w:rsidR="00921E38" w:rsidRPr="00921E38" w:rsidRDefault="00921E38" w:rsidP="00921E38">
      <w:pPr>
        <w:pStyle w:val="Odstavecseseznamem"/>
        <w:numPr>
          <w:ilvl w:val="0"/>
          <w:numId w:val="34"/>
        </w:numPr>
        <w:spacing w:after="240" w:line="276" w:lineRule="auto"/>
        <w:jc w:val="both"/>
        <w:rPr>
          <w:sz w:val="24"/>
          <w:szCs w:val="24"/>
        </w:rPr>
      </w:pPr>
      <w:r w:rsidRPr="00921E38">
        <w:rPr>
          <w:sz w:val="24"/>
          <w:szCs w:val="24"/>
        </w:rPr>
        <w:t xml:space="preserve">Za </w:t>
      </w:r>
      <w:r w:rsidRPr="00921E38">
        <w:rPr>
          <w:b/>
          <w:sz w:val="24"/>
          <w:szCs w:val="24"/>
        </w:rPr>
        <w:t xml:space="preserve">novelizační bod 1 </w:t>
      </w:r>
      <w:r w:rsidRPr="00921E38">
        <w:rPr>
          <w:sz w:val="24"/>
          <w:szCs w:val="24"/>
        </w:rPr>
        <w:t>se vkládá nový novelizační bod x), který zní: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„x) V § 83 písm. d) a e) se text „m“ nahrazuje textem „n“.“.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lang w:eastAsia="cs-CZ" w:bidi="ar-SA"/>
        </w:rPr>
        <w:t>Následující novelizační body se přečíslují.</w:t>
      </w:r>
    </w:p>
    <w:p w:rsidR="00921E38" w:rsidRPr="00921E38" w:rsidRDefault="00921E38" w:rsidP="00921E38">
      <w:pPr>
        <w:widowControl/>
        <w:suppressAutoHyphens w:val="0"/>
        <w:spacing w:after="200" w:line="276" w:lineRule="auto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</w:p>
    <w:p w:rsidR="00921E38" w:rsidRPr="00921E38" w:rsidRDefault="00921E38" w:rsidP="00921E38">
      <w:pPr>
        <w:pStyle w:val="Odstavecseseznamem"/>
        <w:numPr>
          <w:ilvl w:val="0"/>
          <w:numId w:val="34"/>
        </w:num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  <w:r w:rsidRPr="00921E38">
        <w:rPr>
          <w:b/>
          <w:bCs/>
          <w:color w:val="000000"/>
          <w:sz w:val="24"/>
          <w:szCs w:val="24"/>
        </w:rPr>
        <w:t>Za část třetí se vkládá nová část čtvrtá, která včetně nadpisu zní: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center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ČÁST ČTVRTÁ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center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 xml:space="preserve">Změna insolvenčního zákona 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center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Čl. V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V zákoně č. 182/2006 Sb., o úpadku a způsobech jeho řešení, ve znění zákona č. 307/2018 Sb., se za § 374b vkládá nový § 374c, který včetně nadpisu zní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center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„§ 374c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center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>Pohledávky z odepisovatelných kapitálových nástrojů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Pohledávky z odepisovatelných kapitálových nástrojů podle § 2 odst. 2 písm. l) zákona upravujícího ozdravné postupy a řešení krize na finančním trhu jsou uspokojovány po ostatních podřízených pohledávkách.“</w:t>
      </w:r>
      <w:r>
        <w:rPr>
          <w:rFonts w:eastAsia="Times New Roman" w:cs="Times New Roman"/>
          <w:bCs/>
          <w:color w:val="000000"/>
          <w:kern w:val="0"/>
          <w:lang w:eastAsia="cs-CZ" w:bidi="ar-SA"/>
        </w:rPr>
        <w:t>.</w:t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ind w:left="644"/>
        <w:jc w:val="both"/>
        <w:rPr>
          <w:rFonts w:eastAsia="Times New Roman" w:cs="Times New Roman"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Cs/>
          <w:color w:val="000000"/>
          <w:kern w:val="0"/>
          <w:lang w:eastAsia="cs-CZ" w:bidi="ar-SA"/>
        </w:rPr>
        <w:t>Dosavadní část čtvrtá se označuje jako část pátá a dosavadní čl. V se označuje jako čl. VI.</w:t>
      </w:r>
    </w:p>
    <w:p w:rsidR="00921E38" w:rsidRPr="00921E38" w:rsidRDefault="00921E38" w:rsidP="00921E38">
      <w:pPr>
        <w:widowControl/>
        <w:suppressAutoHyphens w:val="0"/>
        <w:spacing w:after="120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kern w:val="0"/>
          <w:sz w:val="20"/>
          <w:szCs w:val="20"/>
          <w:lang w:eastAsia="cs-CZ" w:bidi="ar-SA"/>
        </w:rPr>
        <w:br w:type="page"/>
      </w:r>
    </w:p>
    <w:p w:rsidR="00921E38" w:rsidRPr="00921E38" w:rsidRDefault="00921E38" w:rsidP="00921E38">
      <w:pPr>
        <w:widowControl/>
        <w:suppressAutoHyphens w:val="0"/>
        <w:spacing w:after="240" w:line="276" w:lineRule="auto"/>
        <w:jc w:val="both"/>
        <w:rPr>
          <w:rFonts w:eastAsia="Times New Roman" w:cs="Times New Roman"/>
          <w:b/>
          <w:bCs/>
          <w:color w:val="000000"/>
          <w:kern w:val="0"/>
          <w:lang w:eastAsia="cs-CZ" w:bidi="ar-SA"/>
        </w:rPr>
      </w:pPr>
      <w:r w:rsidRPr="00921E38">
        <w:rPr>
          <w:rFonts w:eastAsia="Times New Roman" w:cs="Times New Roman"/>
          <w:b/>
          <w:bCs/>
          <w:color w:val="000000"/>
          <w:kern w:val="0"/>
          <w:lang w:eastAsia="cs-CZ" w:bidi="ar-SA"/>
        </w:rPr>
        <w:t>Část pátá – účinnost, se mění takto:</w:t>
      </w:r>
    </w:p>
    <w:p w:rsidR="00921E38" w:rsidRPr="00921E38" w:rsidRDefault="00921E38" w:rsidP="00921E38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21E38">
        <w:rPr>
          <w:rFonts w:eastAsia="Times New Roman" w:cs="Times New Roman"/>
          <w:b/>
          <w:kern w:val="0"/>
          <w:lang w:eastAsia="cs-CZ" w:bidi="ar-SA"/>
        </w:rPr>
        <w:t>V čl. VI </w:t>
      </w:r>
      <w:r w:rsidRPr="00921E38">
        <w:rPr>
          <w:rFonts w:eastAsia="Times New Roman" w:cs="Times New Roman"/>
          <w:kern w:val="0"/>
          <w:lang w:eastAsia="cs-CZ" w:bidi="ar-SA"/>
        </w:rPr>
        <w:t>se slova „dnem 28. prosince 2020“ nahrazují slovy „prvním dnem po dni jeho vyhlášení“ a číslo „131“ se nahrazuje číslem „134“.</w:t>
      </w:r>
    </w:p>
    <w:p w:rsidR="00CA3B26" w:rsidRPr="00433421" w:rsidRDefault="00CA3B26" w:rsidP="00CB0FBD">
      <w:pPr>
        <w:rPr>
          <w:lang w:eastAsia="en-US" w:bidi="ar-SA"/>
        </w:rPr>
      </w:pPr>
    </w:p>
    <w:p w:rsidR="00E51625" w:rsidRPr="00433421" w:rsidRDefault="00E51625" w:rsidP="00E51625">
      <w:pPr>
        <w:widowControl/>
        <w:suppressAutoHyphens w:val="0"/>
        <w:spacing w:before="120"/>
        <w:ind w:right="-142"/>
        <w:jc w:val="both"/>
        <w:rPr>
          <w:rFonts w:ascii="Liberation Serif" w:hAnsi="Liberation Serif" w:cs="Lucida Sans"/>
          <w:color w:val="00000A"/>
          <w:kern w:val="0"/>
        </w:rPr>
      </w:pPr>
    </w:p>
    <w:p w:rsidR="00E51625" w:rsidRPr="00433421" w:rsidRDefault="00E51625" w:rsidP="00E51625"/>
    <w:p w:rsidR="004A0854" w:rsidRPr="00433421" w:rsidRDefault="004A0854" w:rsidP="007072FA"/>
    <w:p w:rsidR="005D25C8" w:rsidRPr="00433421" w:rsidRDefault="005D25C8" w:rsidP="00A16BBB">
      <w:pPr>
        <w:jc w:val="center"/>
      </w:pPr>
      <w:r w:rsidRPr="00433421">
        <w:t xml:space="preserve">V Praze </w:t>
      </w:r>
      <w:r w:rsidR="00433B99">
        <w:t>5</w:t>
      </w:r>
      <w:r w:rsidR="001314E2" w:rsidRPr="00433421">
        <w:t xml:space="preserve">. </w:t>
      </w:r>
      <w:r w:rsidR="00433B99">
        <w:t>května</w:t>
      </w:r>
      <w:r w:rsidR="00155CCE" w:rsidRPr="00433421">
        <w:t xml:space="preserve"> </w:t>
      </w:r>
      <w:r w:rsidR="001314E2" w:rsidRPr="00433421">
        <w:t>20</w:t>
      </w:r>
      <w:r w:rsidR="007664D9">
        <w:t>2</w:t>
      </w:r>
      <w:r w:rsidR="001314E2" w:rsidRPr="00433421">
        <w:t>1</w:t>
      </w:r>
    </w:p>
    <w:p w:rsidR="005D25C8" w:rsidRPr="00433421" w:rsidRDefault="005D25C8" w:rsidP="00A16BBB">
      <w:pPr>
        <w:jc w:val="center"/>
      </w:pPr>
    </w:p>
    <w:p w:rsidR="005D25C8" w:rsidRPr="00433421" w:rsidRDefault="005D25C8" w:rsidP="00A16BBB">
      <w:pPr>
        <w:jc w:val="center"/>
      </w:pPr>
    </w:p>
    <w:p w:rsidR="004A0854" w:rsidRPr="00433421" w:rsidRDefault="004A0854" w:rsidP="00A16BBB">
      <w:pPr>
        <w:widowControl/>
        <w:ind w:firstLine="227"/>
        <w:jc w:val="center"/>
      </w:pPr>
    </w:p>
    <w:p w:rsidR="005D25C8" w:rsidRPr="00433421" w:rsidRDefault="007664D9" w:rsidP="00A16BBB">
      <w:pPr>
        <w:widowControl/>
        <w:ind w:firstLine="227"/>
        <w:jc w:val="center"/>
      </w:pPr>
      <w:r>
        <w:t>Ing. et Ing</w:t>
      </w:r>
      <w:r w:rsidR="00155CCE" w:rsidRPr="00433421">
        <w:t xml:space="preserve">. </w:t>
      </w:r>
      <w:r>
        <w:t xml:space="preserve">Jan </w:t>
      </w:r>
      <w:proofErr w:type="spellStart"/>
      <w:r>
        <w:t>Skopeček</w:t>
      </w:r>
      <w:proofErr w:type="spellEnd"/>
      <w:r w:rsidR="00A03088">
        <w:t>, v. r.</w:t>
      </w:r>
      <w:bookmarkStart w:id="0" w:name="_GoBack"/>
      <w:bookmarkEnd w:id="0"/>
    </w:p>
    <w:p w:rsidR="00C91BB8" w:rsidRDefault="005D25C8" w:rsidP="001F47A3">
      <w:pPr>
        <w:jc w:val="center"/>
      </w:pPr>
      <w:r w:rsidRPr="00433421">
        <w:t>zpra</w:t>
      </w:r>
      <w:r>
        <w:t>vodaj garančního</w:t>
      </w:r>
      <w:r w:rsidR="001C75BB">
        <w:t xml:space="preserve"> </w:t>
      </w:r>
      <w:r w:rsidR="007664D9">
        <w:t>rozpočtového</w:t>
      </w:r>
      <w:r w:rsidR="006B6DEE">
        <w:t xml:space="preserve"> </w:t>
      </w:r>
      <w:r w:rsidR="001C75BB">
        <w:t>výboru</w:t>
      </w:r>
    </w:p>
    <w:sectPr w:rsidR="00C91BB8" w:rsidSect="00EC5304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03088">
      <w:rPr>
        <w:noProof/>
      </w:rPr>
      <w:t>3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23B6757C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23811"/>
    <w:multiLevelType w:val="hybridMultilevel"/>
    <w:tmpl w:val="8292A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D635C"/>
    <w:multiLevelType w:val="hybridMultilevel"/>
    <w:tmpl w:val="3AE83654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F68D5"/>
    <w:multiLevelType w:val="hybridMultilevel"/>
    <w:tmpl w:val="5E3EF9AA"/>
    <w:lvl w:ilvl="0" w:tplc="F836D4E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C6C1C"/>
    <w:multiLevelType w:val="hybridMultilevel"/>
    <w:tmpl w:val="347C0342"/>
    <w:lvl w:ilvl="0" w:tplc="1D6AC4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8A227A"/>
    <w:multiLevelType w:val="hybridMultilevel"/>
    <w:tmpl w:val="DC44C2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B6516"/>
    <w:multiLevelType w:val="hybridMultilevel"/>
    <w:tmpl w:val="76F866E8"/>
    <w:lvl w:ilvl="0" w:tplc="47CE2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2E4E67"/>
    <w:multiLevelType w:val="multilevel"/>
    <w:tmpl w:val="119C13C6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/>
        <w:sz w:val="24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66601"/>
    <w:multiLevelType w:val="multilevel"/>
    <w:tmpl w:val="106A00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6B42169C"/>
    <w:multiLevelType w:val="hybridMultilevel"/>
    <w:tmpl w:val="DE46AF2C"/>
    <w:lvl w:ilvl="0" w:tplc="5936FBD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6E5AE2"/>
    <w:multiLevelType w:val="multilevel"/>
    <w:tmpl w:val="962A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6D4C2E"/>
    <w:multiLevelType w:val="multilevel"/>
    <w:tmpl w:val="81E6F9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5"/>
  </w:num>
  <w:num w:numId="5">
    <w:abstractNumId w:val="9"/>
  </w:num>
  <w:num w:numId="6">
    <w:abstractNumId w:val="9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"/>
  </w:num>
  <w:num w:numId="11">
    <w:abstractNumId w:val="19"/>
  </w:num>
  <w:num w:numId="12">
    <w:abstractNumId w:val="16"/>
  </w:num>
  <w:num w:numId="13">
    <w:abstractNumId w:val="12"/>
  </w:num>
  <w:num w:numId="14">
    <w:abstractNumId w:val="0"/>
  </w:num>
  <w:num w:numId="15">
    <w:abstractNumId w:val="32"/>
  </w:num>
  <w:num w:numId="16">
    <w:abstractNumId w:val="25"/>
  </w:num>
  <w:num w:numId="17">
    <w:abstractNumId w:val="5"/>
  </w:num>
  <w:num w:numId="18">
    <w:abstractNumId w:val="13"/>
  </w:num>
  <w:num w:numId="19">
    <w:abstractNumId w:val="27"/>
  </w:num>
  <w:num w:numId="20">
    <w:abstractNumId w:val="3"/>
  </w:num>
  <w:num w:numId="21">
    <w:abstractNumId w:val="6"/>
  </w:num>
  <w:num w:numId="22">
    <w:abstractNumId w:val="24"/>
  </w:num>
  <w:num w:numId="23">
    <w:abstractNumId w:val="10"/>
  </w:num>
  <w:num w:numId="24">
    <w:abstractNumId w:val="17"/>
  </w:num>
  <w:num w:numId="25">
    <w:abstractNumId w:val="22"/>
  </w:num>
  <w:num w:numId="26">
    <w:abstractNumId w:val="2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7"/>
  </w:num>
  <w:num w:numId="30">
    <w:abstractNumId w:val="23"/>
  </w:num>
  <w:num w:numId="31">
    <w:abstractNumId w:val="31"/>
  </w:num>
  <w:num w:numId="32">
    <w:abstractNumId w:val="26"/>
  </w:num>
  <w:num w:numId="33">
    <w:abstractNumId w:val="30"/>
  </w:num>
  <w:num w:numId="34">
    <w:abstractNumId w:val="1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13093"/>
    <w:rsid w:val="00055E07"/>
    <w:rsid w:val="000962EA"/>
    <w:rsid w:val="000A2633"/>
    <w:rsid w:val="000E1D2B"/>
    <w:rsid w:val="000E3B51"/>
    <w:rsid w:val="000F4E6F"/>
    <w:rsid w:val="00102972"/>
    <w:rsid w:val="00117C12"/>
    <w:rsid w:val="001241EE"/>
    <w:rsid w:val="001314E2"/>
    <w:rsid w:val="00136B81"/>
    <w:rsid w:val="00155CCE"/>
    <w:rsid w:val="001835E7"/>
    <w:rsid w:val="001A4CAA"/>
    <w:rsid w:val="001B2AF2"/>
    <w:rsid w:val="001B37FE"/>
    <w:rsid w:val="001C75BB"/>
    <w:rsid w:val="001D5DD1"/>
    <w:rsid w:val="001F47A3"/>
    <w:rsid w:val="001F60D9"/>
    <w:rsid w:val="00247049"/>
    <w:rsid w:val="0024768E"/>
    <w:rsid w:val="00256AD5"/>
    <w:rsid w:val="0029434C"/>
    <w:rsid w:val="002E5458"/>
    <w:rsid w:val="00313DB8"/>
    <w:rsid w:val="00316751"/>
    <w:rsid w:val="003217AD"/>
    <w:rsid w:val="00347E26"/>
    <w:rsid w:val="00361247"/>
    <w:rsid w:val="00370502"/>
    <w:rsid w:val="00374078"/>
    <w:rsid w:val="00382049"/>
    <w:rsid w:val="00382FE4"/>
    <w:rsid w:val="00396F46"/>
    <w:rsid w:val="003B3DE5"/>
    <w:rsid w:val="003E45EE"/>
    <w:rsid w:val="003E6281"/>
    <w:rsid w:val="00433421"/>
    <w:rsid w:val="00433B99"/>
    <w:rsid w:val="00434261"/>
    <w:rsid w:val="00482941"/>
    <w:rsid w:val="004A0854"/>
    <w:rsid w:val="004D1A5A"/>
    <w:rsid w:val="004D1C68"/>
    <w:rsid w:val="004D3A8F"/>
    <w:rsid w:val="004D5473"/>
    <w:rsid w:val="004E38C1"/>
    <w:rsid w:val="00531640"/>
    <w:rsid w:val="0055115B"/>
    <w:rsid w:val="00570C2A"/>
    <w:rsid w:val="00597EC3"/>
    <w:rsid w:val="005D25C8"/>
    <w:rsid w:val="005D71C7"/>
    <w:rsid w:val="00606700"/>
    <w:rsid w:val="00625ECF"/>
    <w:rsid w:val="00696D3C"/>
    <w:rsid w:val="006A53DA"/>
    <w:rsid w:val="006A5B37"/>
    <w:rsid w:val="006B6DEE"/>
    <w:rsid w:val="006C2CC9"/>
    <w:rsid w:val="0070068B"/>
    <w:rsid w:val="00706000"/>
    <w:rsid w:val="007072FA"/>
    <w:rsid w:val="007377BE"/>
    <w:rsid w:val="007664D9"/>
    <w:rsid w:val="007960A8"/>
    <w:rsid w:val="007A306A"/>
    <w:rsid w:val="007B2595"/>
    <w:rsid w:val="007E1E7B"/>
    <w:rsid w:val="007E35EA"/>
    <w:rsid w:val="007F08C1"/>
    <w:rsid w:val="007F6F46"/>
    <w:rsid w:val="00842459"/>
    <w:rsid w:val="008A5C3B"/>
    <w:rsid w:val="008B4833"/>
    <w:rsid w:val="008E2EEA"/>
    <w:rsid w:val="00903E9B"/>
    <w:rsid w:val="00921E38"/>
    <w:rsid w:val="0099162D"/>
    <w:rsid w:val="009B2FDA"/>
    <w:rsid w:val="009C4F0C"/>
    <w:rsid w:val="009D067B"/>
    <w:rsid w:val="009F15A7"/>
    <w:rsid w:val="009F4016"/>
    <w:rsid w:val="00A01BDA"/>
    <w:rsid w:val="00A02420"/>
    <w:rsid w:val="00A03088"/>
    <w:rsid w:val="00A16BBB"/>
    <w:rsid w:val="00A3460B"/>
    <w:rsid w:val="00A35B01"/>
    <w:rsid w:val="00A41D8A"/>
    <w:rsid w:val="00A5110F"/>
    <w:rsid w:val="00AA3058"/>
    <w:rsid w:val="00AC5F16"/>
    <w:rsid w:val="00AD279B"/>
    <w:rsid w:val="00B03209"/>
    <w:rsid w:val="00B12341"/>
    <w:rsid w:val="00B521B6"/>
    <w:rsid w:val="00B9423C"/>
    <w:rsid w:val="00BB5365"/>
    <w:rsid w:val="00BC4BCC"/>
    <w:rsid w:val="00BC781C"/>
    <w:rsid w:val="00BD0725"/>
    <w:rsid w:val="00C170F1"/>
    <w:rsid w:val="00C26353"/>
    <w:rsid w:val="00C43A00"/>
    <w:rsid w:val="00C479ED"/>
    <w:rsid w:val="00C660A3"/>
    <w:rsid w:val="00C81265"/>
    <w:rsid w:val="00C875BD"/>
    <w:rsid w:val="00C9092F"/>
    <w:rsid w:val="00C91BB8"/>
    <w:rsid w:val="00CA3B26"/>
    <w:rsid w:val="00CB0FBD"/>
    <w:rsid w:val="00D054C6"/>
    <w:rsid w:val="00D63E5E"/>
    <w:rsid w:val="00D678F8"/>
    <w:rsid w:val="00D7243C"/>
    <w:rsid w:val="00D73045"/>
    <w:rsid w:val="00DA1D57"/>
    <w:rsid w:val="00DB334D"/>
    <w:rsid w:val="00DB776C"/>
    <w:rsid w:val="00DD4C0B"/>
    <w:rsid w:val="00DE2797"/>
    <w:rsid w:val="00DE4B69"/>
    <w:rsid w:val="00DF630C"/>
    <w:rsid w:val="00E15B16"/>
    <w:rsid w:val="00E4057E"/>
    <w:rsid w:val="00E51625"/>
    <w:rsid w:val="00E65F1E"/>
    <w:rsid w:val="00E75B57"/>
    <w:rsid w:val="00EA75C9"/>
    <w:rsid w:val="00EC2ABE"/>
    <w:rsid w:val="00EC5304"/>
    <w:rsid w:val="00EC69A7"/>
    <w:rsid w:val="00EE0DA5"/>
    <w:rsid w:val="00F04A9A"/>
    <w:rsid w:val="00F30483"/>
    <w:rsid w:val="00F34AE4"/>
    <w:rsid w:val="00F46A34"/>
    <w:rsid w:val="00FA4CFD"/>
    <w:rsid w:val="00FC0762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Novelizanbod">
    <w:name w:val="Novelizační bod"/>
    <w:basedOn w:val="Normln"/>
    <w:next w:val="Normln"/>
    <w:qFormat/>
    <w:rsid w:val="00BC4BCC"/>
    <w:pPr>
      <w:keepNext/>
      <w:keepLines/>
      <w:widowControl/>
      <w:numPr>
        <w:numId w:val="27"/>
      </w:numPr>
      <w:spacing w:before="480" w:after="120"/>
      <w:jc w:val="both"/>
    </w:pPr>
    <w:rPr>
      <w:rFonts w:eastAsia="Times New Roman" w:cs="Times New Roman"/>
      <w:kern w:val="0"/>
      <w:szCs w:val="20"/>
      <w:lang w:bidi="ar-SA"/>
    </w:rPr>
  </w:style>
  <w:style w:type="paragraph" w:customStyle="1" w:styleId="Textbodu">
    <w:name w:val="Text bodu"/>
    <w:basedOn w:val="Normln"/>
    <w:rsid w:val="00921E38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rsid w:val="00921E38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77BA-CC22-4D52-B0D3-7B20A779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788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5430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23</cp:revision>
  <cp:lastPrinted>2021-04-14T14:24:00Z</cp:lastPrinted>
  <dcterms:created xsi:type="dcterms:W3CDTF">2021-03-02T10:30:00Z</dcterms:created>
  <dcterms:modified xsi:type="dcterms:W3CDTF">2021-05-05T13:51:00Z</dcterms:modified>
</cp:coreProperties>
</file>