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051" w:rsidRDefault="00633051" w:rsidP="0050536B">
      <w:pPr>
        <w:pStyle w:val="Nadpis4"/>
      </w:pPr>
    </w:p>
    <w:p w:rsidR="00633051" w:rsidRDefault="00633051" w:rsidP="0050536B">
      <w:pPr>
        <w:pStyle w:val="Nadpis4"/>
      </w:pPr>
    </w:p>
    <w:p w:rsidR="00633051" w:rsidRDefault="00633051" w:rsidP="0050536B">
      <w:pPr>
        <w:pStyle w:val="Nadpis4"/>
      </w:pPr>
    </w:p>
    <w:p w:rsidR="00782B26" w:rsidRDefault="0050536B" w:rsidP="0050536B">
      <w:pPr>
        <w:pStyle w:val="Nadpis4"/>
      </w:pPr>
      <w:r>
        <w:t>N</w:t>
      </w:r>
      <w:r w:rsidR="0010483A">
        <w:t xml:space="preserve">ávrh státního závěrečného účtu </w:t>
      </w:r>
      <w:r>
        <w:t>Č</w:t>
      </w:r>
      <w:r w:rsidR="0010483A">
        <w:t>eské republiky za rok</w:t>
      </w:r>
      <w:r>
        <w:t xml:space="preserve"> 2020</w:t>
      </w:r>
    </w:p>
    <w:p w:rsidR="00633051" w:rsidRDefault="00633051" w:rsidP="0050536B">
      <w:pPr>
        <w:pStyle w:val="Nadpis4"/>
      </w:pPr>
    </w:p>
    <w:p w:rsidR="0050536B" w:rsidRPr="0082316E" w:rsidRDefault="0050536B" w:rsidP="0050536B">
      <w:pPr>
        <w:pStyle w:val="Nadpis4"/>
      </w:pPr>
      <w:r>
        <w:t xml:space="preserve">Sešit </w:t>
      </w:r>
      <w:r w:rsidR="007740BE">
        <w:t>F</w:t>
      </w:r>
    </w:p>
    <w:p w:rsidR="0050536B" w:rsidRPr="0050536B" w:rsidRDefault="007740BE" w:rsidP="0050536B">
      <w:pPr>
        <w:pStyle w:val="Nadpis4"/>
      </w:pPr>
      <w:r>
        <w:t>Zpráva</w:t>
      </w:r>
      <w:r w:rsidR="0050536B" w:rsidRPr="0082316E">
        <w:t xml:space="preserve"> </w:t>
      </w:r>
      <w:r>
        <w:t xml:space="preserve">o </w:t>
      </w:r>
      <w:r w:rsidR="0050536B">
        <w:t xml:space="preserve">hospodaření </w:t>
      </w:r>
      <w:r>
        <w:t>dalších složek veřejných rozpočtů a o fondech organizačních složek státu</w:t>
      </w:r>
    </w:p>
    <w:p w:rsidR="00782B26" w:rsidRPr="00167E7D" w:rsidRDefault="00782B26" w:rsidP="00782B26">
      <w:pPr>
        <w:rPr>
          <w:rFonts w:eastAsiaTheme="majorEastAsia" w:cstheme="majorBidi"/>
          <w:color w:val="2E74B5" w:themeColor="accent1" w:themeShade="BF"/>
          <w:sz w:val="32"/>
        </w:rPr>
      </w:pPr>
      <w:r w:rsidRPr="00167E7D">
        <w:br w:type="page"/>
      </w:r>
    </w:p>
    <w:sdt>
      <w:sdtPr>
        <w:rPr>
          <w:rFonts w:asciiTheme="minorHAnsi" w:eastAsiaTheme="minorHAnsi" w:hAnsiTheme="minorHAnsi" w:cstheme="minorBidi"/>
          <w:color w:val="auto"/>
          <w:sz w:val="20"/>
          <w:szCs w:val="20"/>
          <w:lang w:eastAsia="en-US"/>
        </w:rPr>
        <w:id w:val="551581784"/>
        <w:docPartObj>
          <w:docPartGallery w:val="Table of Contents"/>
          <w:docPartUnique/>
        </w:docPartObj>
      </w:sdtPr>
      <w:sdtEndPr>
        <w:rPr>
          <w:b/>
          <w:bCs/>
        </w:rPr>
      </w:sdtEndPr>
      <w:sdtContent>
        <w:p w:rsidR="00782B26" w:rsidRPr="00167E7D" w:rsidRDefault="00782B26" w:rsidP="00782B26">
          <w:pPr>
            <w:pStyle w:val="Nadpisobsahu"/>
            <w:rPr>
              <w:b/>
              <w:sz w:val="28"/>
              <w:szCs w:val="28"/>
            </w:rPr>
          </w:pPr>
          <w:r w:rsidRPr="00167E7D">
            <w:rPr>
              <w:b/>
              <w:sz w:val="28"/>
              <w:szCs w:val="28"/>
            </w:rPr>
            <w:t>Obsah</w:t>
          </w:r>
        </w:p>
        <w:p w:rsidR="00231D56" w:rsidRPr="00231D56" w:rsidRDefault="00782B26">
          <w:pPr>
            <w:pStyle w:val="Obsah1"/>
            <w:rPr>
              <w:rFonts w:eastAsiaTheme="minorEastAsia"/>
              <w:b/>
              <w:lang w:eastAsia="cs-CZ"/>
            </w:rPr>
          </w:pPr>
          <w:r w:rsidRPr="00167E7D">
            <w:rPr>
              <w:sz w:val="18"/>
              <w:szCs w:val="18"/>
            </w:rPr>
            <w:fldChar w:fldCharType="begin"/>
          </w:r>
          <w:r w:rsidRPr="00167E7D">
            <w:rPr>
              <w:sz w:val="18"/>
              <w:szCs w:val="18"/>
            </w:rPr>
            <w:instrText xml:space="preserve"> TOC \o "1-3" \h \z \u </w:instrText>
          </w:r>
          <w:r w:rsidRPr="00167E7D">
            <w:rPr>
              <w:sz w:val="18"/>
              <w:szCs w:val="18"/>
            </w:rPr>
            <w:fldChar w:fldCharType="separate"/>
          </w:r>
          <w:hyperlink w:anchor="_Toc66717097" w:history="1">
            <w:r w:rsidR="00231D56" w:rsidRPr="00231D56">
              <w:rPr>
                <w:rStyle w:val="Hypertextovodkaz"/>
                <w:b/>
              </w:rPr>
              <w:t>I.</w:t>
            </w:r>
            <w:r w:rsidR="00231D56" w:rsidRPr="00231D56">
              <w:rPr>
                <w:rFonts w:eastAsiaTheme="minorEastAsia"/>
                <w:b/>
                <w:lang w:eastAsia="cs-CZ"/>
              </w:rPr>
              <w:tab/>
            </w:r>
            <w:r w:rsidR="00231D56" w:rsidRPr="00231D56">
              <w:rPr>
                <w:rStyle w:val="Hypertextovodkaz"/>
                <w:b/>
              </w:rPr>
              <w:t>Informace o hlavních výsledcích hospodaření státních fondů ČR</w:t>
            </w:r>
            <w:r w:rsidR="00231D56" w:rsidRPr="00231D56">
              <w:rPr>
                <w:b/>
                <w:webHidden/>
              </w:rPr>
              <w:tab/>
            </w:r>
            <w:r w:rsidR="00231D56" w:rsidRPr="00231D56">
              <w:rPr>
                <w:b/>
                <w:webHidden/>
              </w:rPr>
              <w:fldChar w:fldCharType="begin"/>
            </w:r>
            <w:r w:rsidR="00231D56" w:rsidRPr="00231D56">
              <w:rPr>
                <w:b/>
                <w:webHidden/>
              </w:rPr>
              <w:instrText xml:space="preserve"> PAGEREF _Toc66717097 \h </w:instrText>
            </w:r>
            <w:r w:rsidR="00231D56" w:rsidRPr="00231D56">
              <w:rPr>
                <w:b/>
                <w:webHidden/>
              </w:rPr>
            </w:r>
            <w:r w:rsidR="00231D56" w:rsidRPr="00231D56">
              <w:rPr>
                <w:b/>
                <w:webHidden/>
              </w:rPr>
              <w:fldChar w:fldCharType="separate"/>
            </w:r>
            <w:r w:rsidR="006F35A7">
              <w:rPr>
                <w:b/>
                <w:webHidden/>
              </w:rPr>
              <w:t>1</w:t>
            </w:r>
            <w:r w:rsidR="00231D56" w:rsidRPr="00231D56">
              <w:rPr>
                <w:b/>
                <w:webHidden/>
              </w:rPr>
              <w:fldChar w:fldCharType="end"/>
            </w:r>
          </w:hyperlink>
        </w:p>
        <w:p w:rsidR="00231D56" w:rsidRDefault="000F3CAF">
          <w:pPr>
            <w:pStyle w:val="Obsah1"/>
            <w:rPr>
              <w:rFonts w:eastAsiaTheme="minorEastAsia"/>
              <w:lang w:eastAsia="cs-CZ"/>
            </w:rPr>
          </w:pPr>
          <w:hyperlink w:anchor="_Toc66717098" w:history="1">
            <w:r w:rsidR="00231D56" w:rsidRPr="00581F2D">
              <w:rPr>
                <w:rStyle w:val="Hypertextovodkaz"/>
              </w:rPr>
              <w:t>1</w:t>
            </w:r>
            <w:r w:rsidR="00231D56">
              <w:rPr>
                <w:rFonts w:eastAsiaTheme="minorEastAsia"/>
                <w:lang w:eastAsia="cs-CZ"/>
              </w:rPr>
              <w:tab/>
            </w:r>
            <w:r w:rsidR="00231D56" w:rsidRPr="00581F2D">
              <w:rPr>
                <w:rStyle w:val="Hypertextovodkaz"/>
              </w:rPr>
              <w:t>Souhrnná charakteristika hospodaření státních fondů</w:t>
            </w:r>
            <w:r w:rsidR="00231D56">
              <w:rPr>
                <w:webHidden/>
              </w:rPr>
              <w:tab/>
            </w:r>
            <w:r w:rsidR="00231D56">
              <w:rPr>
                <w:webHidden/>
              </w:rPr>
              <w:fldChar w:fldCharType="begin"/>
            </w:r>
            <w:r w:rsidR="00231D56">
              <w:rPr>
                <w:webHidden/>
              </w:rPr>
              <w:instrText xml:space="preserve"> PAGEREF _Toc66717098 \h </w:instrText>
            </w:r>
            <w:r w:rsidR="00231D56">
              <w:rPr>
                <w:webHidden/>
              </w:rPr>
            </w:r>
            <w:r w:rsidR="00231D56">
              <w:rPr>
                <w:webHidden/>
              </w:rPr>
              <w:fldChar w:fldCharType="separate"/>
            </w:r>
            <w:r w:rsidR="006F35A7">
              <w:rPr>
                <w:webHidden/>
              </w:rPr>
              <w:t>1</w:t>
            </w:r>
            <w:r w:rsidR="00231D56">
              <w:rPr>
                <w:webHidden/>
              </w:rPr>
              <w:fldChar w:fldCharType="end"/>
            </w:r>
          </w:hyperlink>
        </w:p>
        <w:p w:rsidR="00231D56" w:rsidRDefault="000F3CAF">
          <w:pPr>
            <w:pStyle w:val="Obsah1"/>
            <w:rPr>
              <w:rFonts w:eastAsiaTheme="minorEastAsia"/>
              <w:lang w:eastAsia="cs-CZ"/>
            </w:rPr>
          </w:pPr>
          <w:hyperlink w:anchor="_Toc66717099" w:history="1">
            <w:r w:rsidR="00231D56" w:rsidRPr="00581F2D">
              <w:rPr>
                <w:rStyle w:val="Hypertextovodkaz"/>
              </w:rPr>
              <w:t>2</w:t>
            </w:r>
            <w:r w:rsidR="00231D56">
              <w:rPr>
                <w:rFonts w:eastAsiaTheme="minorEastAsia"/>
                <w:lang w:eastAsia="cs-CZ"/>
              </w:rPr>
              <w:tab/>
            </w:r>
            <w:r w:rsidR="00231D56" w:rsidRPr="00581F2D">
              <w:rPr>
                <w:rStyle w:val="Hypertextovodkaz"/>
              </w:rPr>
              <w:t>Státní fond životního prostředí České republiky</w:t>
            </w:r>
            <w:r w:rsidR="00231D56">
              <w:rPr>
                <w:webHidden/>
              </w:rPr>
              <w:tab/>
            </w:r>
            <w:r w:rsidR="00231D56">
              <w:rPr>
                <w:webHidden/>
              </w:rPr>
              <w:fldChar w:fldCharType="begin"/>
            </w:r>
            <w:r w:rsidR="00231D56">
              <w:rPr>
                <w:webHidden/>
              </w:rPr>
              <w:instrText xml:space="preserve"> PAGEREF _Toc66717099 \h </w:instrText>
            </w:r>
            <w:r w:rsidR="00231D56">
              <w:rPr>
                <w:webHidden/>
              </w:rPr>
            </w:r>
            <w:r w:rsidR="00231D56">
              <w:rPr>
                <w:webHidden/>
              </w:rPr>
              <w:fldChar w:fldCharType="separate"/>
            </w:r>
            <w:r w:rsidR="006F35A7">
              <w:rPr>
                <w:webHidden/>
              </w:rPr>
              <w:t>1</w:t>
            </w:r>
            <w:r w:rsidR="00231D56">
              <w:rPr>
                <w:webHidden/>
              </w:rPr>
              <w:fldChar w:fldCharType="end"/>
            </w:r>
          </w:hyperlink>
        </w:p>
        <w:p w:rsidR="00231D56" w:rsidRDefault="000F3CAF">
          <w:pPr>
            <w:pStyle w:val="Obsah1"/>
            <w:rPr>
              <w:rFonts w:eastAsiaTheme="minorEastAsia"/>
              <w:lang w:eastAsia="cs-CZ"/>
            </w:rPr>
          </w:pPr>
          <w:hyperlink w:anchor="_Toc66717100" w:history="1">
            <w:r w:rsidR="00231D56" w:rsidRPr="00581F2D">
              <w:rPr>
                <w:rStyle w:val="Hypertextovodkaz"/>
              </w:rPr>
              <w:t>3</w:t>
            </w:r>
            <w:r w:rsidR="00231D56">
              <w:rPr>
                <w:rFonts w:eastAsiaTheme="minorEastAsia"/>
                <w:lang w:eastAsia="cs-CZ"/>
              </w:rPr>
              <w:tab/>
            </w:r>
            <w:r w:rsidR="00231D56" w:rsidRPr="00581F2D">
              <w:rPr>
                <w:rStyle w:val="Hypertextovodkaz"/>
              </w:rPr>
              <w:t>Státní zemědělský intervenční fond</w:t>
            </w:r>
            <w:r w:rsidR="00231D56">
              <w:rPr>
                <w:webHidden/>
              </w:rPr>
              <w:tab/>
            </w:r>
            <w:r w:rsidR="00231D56">
              <w:rPr>
                <w:webHidden/>
              </w:rPr>
              <w:fldChar w:fldCharType="begin"/>
            </w:r>
            <w:r w:rsidR="00231D56">
              <w:rPr>
                <w:webHidden/>
              </w:rPr>
              <w:instrText xml:space="preserve"> PAGEREF _Toc66717100 \h </w:instrText>
            </w:r>
            <w:r w:rsidR="00231D56">
              <w:rPr>
                <w:webHidden/>
              </w:rPr>
            </w:r>
            <w:r w:rsidR="00231D56">
              <w:rPr>
                <w:webHidden/>
              </w:rPr>
              <w:fldChar w:fldCharType="separate"/>
            </w:r>
            <w:r w:rsidR="006F35A7">
              <w:rPr>
                <w:webHidden/>
              </w:rPr>
              <w:t>3</w:t>
            </w:r>
            <w:r w:rsidR="00231D56">
              <w:rPr>
                <w:webHidden/>
              </w:rPr>
              <w:fldChar w:fldCharType="end"/>
            </w:r>
          </w:hyperlink>
        </w:p>
        <w:p w:rsidR="00231D56" w:rsidRDefault="000F3CAF">
          <w:pPr>
            <w:pStyle w:val="Obsah1"/>
            <w:rPr>
              <w:rFonts w:eastAsiaTheme="minorEastAsia"/>
              <w:lang w:eastAsia="cs-CZ"/>
            </w:rPr>
          </w:pPr>
          <w:hyperlink w:anchor="_Toc66717101" w:history="1">
            <w:r w:rsidR="00231D56" w:rsidRPr="00581F2D">
              <w:rPr>
                <w:rStyle w:val="Hypertextovodkaz"/>
              </w:rPr>
              <w:t>4</w:t>
            </w:r>
            <w:r w:rsidR="00231D56">
              <w:rPr>
                <w:rFonts w:eastAsiaTheme="minorEastAsia"/>
                <w:lang w:eastAsia="cs-CZ"/>
              </w:rPr>
              <w:tab/>
            </w:r>
            <w:r w:rsidR="00231D56" w:rsidRPr="00581F2D">
              <w:rPr>
                <w:rStyle w:val="Hypertextovodkaz"/>
              </w:rPr>
              <w:t>Státní fond dopravní infrastruktury</w:t>
            </w:r>
            <w:r w:rsidR="00231D56">
              <w:rPr>
                <w:webHidden/>
              </w:rPr>
              <w:tab/>
            </w:r>
            <w:r w:rsidR="00231D56">
              <w:rPr>
                <w:webHidden/>
              </w:rPr>
              <w:fldChar w:fldCharType="begin"/>
            </w:r>
            <w:r w:rsidR="00231D56">
              <w:rPr>
                <w:webHidden/>
              </w:rPr>
              <w:instrText xml:space="preserve"> PAGEREF _Toc66717101 \h </w:instrText>
            </w:r>
            <w:r w:rsidR="00231D56">
              <w:rPr>
                <w:webHidden/>
              </w:rPr>
            </w:r>
            <w:r w:rsidR="00231D56">
              <w:rPr>
                <w:webHidden/>
              </w:rPr>
              <w:fldChar w:fldCharType="separate"/>
            </w:r>
            <w:r w:rsidR="006F35A7">
              <w:rPr>
                <w:webHidden/>
              </w:rPr>
              <w:t>4</w:t>
            </w:r>
            <w:r w:rsidR="00231D56">
              <w:rPr>
                <w:webHidden/>
              </w:rPr>
              <w:fldChar w:fldCharType="end"/>
            </w:r>
          </w:hyperlink>
        </w:p>
        <w:p w:rsidR="00231D56" w:rsidRDefault="000F3CAF">
          <w:pPr>
            <w:pStyle w:val="Obsah1"/>
            <w:rPr>
              <w:rFonts w:eastAsiaTheme="minorEastAsia"/>
              <w:lang w:eastAsia="cs-CZ"/>
            </w:rPr>
          </w:pPr>
          <w:hyperlink w:anchor="_Toc66717102" w:history="1">
            <w:r w:rsidR="00231D56" w:rsidRPr="00581F2D">
              <w:rPr>
                <w:rStyle w:val="Hypertextovodkaz"/>
              </w:rPr>
              <w:t>5</w:t>
            </w:r>
            <w:r w:rsidR="00231D56">
              <w:rPr>
                <w:rFonts w:eastAsiaTheme="minorEastAsia"/>
                <w:lang w:eastAsia="cs-CZ"/>
              </w:rPr>
              <w:tab/>
            </w:r>
            <w:r w:rsidR="00231D56" w:rsidRPr="00581F2D">
              <w:rPr>
                <w:rStyle w:val="Hypertextovodkaz"/>
              </w:rPr>
              <w:t>Státní fond podpory investic</w:t>
            </w:r>
            <w:r w:rsidR="00231D56">
              <w:rPr>
                <w:webHidden/>
              </w:rPr>
              <w:tab/>
            </w:r>
            <w:r w:rsidR="00231D56">
              <w:rPr>
                <w:webHidden/>
              </w:rPr>
              <w:fldChar w:fldCharType="begin"/>
            </w:r>
            <w:r w:rsidR="00231D56">
              <w:rPr>
                <w:webHidden/>
              </w:rPr>
              <w:instrText xml:space="preserve"> PAGEREF _Toc66717102 \h </w:instrText>
            </w:r>
            <w:r w:rsidR="00231D56">
              <w:rPr>
                <w:webHidden/>
              </w:rPr>
            </w:r>
            <w:r w:rsidR="00231D56">
              <w:rPr>
                <w:webHidden/>
              </w:rPr>
              <w:fldChar w:fldCharType="separate"/>
            </w:r>
            <w:r w:rsidR="006F35A7">
              <w:rPr>
                <w:webHidden/>
              </w:rPr>
              <w:t>6</w:t>
            </w:r>
            <w:r w:rsidR="00231D56">
              <w:rPr>
                <w:webHidden/>
              </w:rPr>
              <w:fldChar w:fldCharType="end"/>
            </w:r>
          </w:hyperlink>
        </w:p>
        <w:p w:rsidR="00231D56" w:rsidRDefault="000F3CAF">
          <w:pPr>
            <w:pStyle w:val="Obsah1"/>
            <w:rPr>
              <w:rFonts w:eastAsiaTheme="minorEastAsia"/>
              <w:lang w:eastAsia="cs-CZ"/>
            </w:rPr>
          </w:pPr>
          <w:hyperlink w:anchor="_Toc66717103" w:history="1">
            <w:r w:rsidR="00231D56" w:rsidRPr="00581F2D">
              <w:rPr>
                <w:rStyle w:val="Hypertextovodkaz"/>
              </w:rPr>
              <w:t>6</w:t>
            </w:r>
            <w:r w:rsidR="00231D56">
              <w:rPr>
                <w:rFonts w:eastAsiaTheme="minorEastAsia"/>
                <w:lang w:eastAsia="cs-CZ"/>
              </w:rPr>
              <w:tab/>
            </w:r>
            <w:r w:rsidR="00231D56" w:rsidRPr="00581F2D">
              <w:rPr>
                <w:rStyle w:val="Hypertextovodkaz"/>
              </w:rPr>
              <w:t>Státní fond kinematografie</w:t>
            </w:r>
            <w:r w:rsidR="00231D56">
              <w:rPr>
                <w:webHidden/>
              </w:rPr>
              <w:tab/>
            </w:r>
            <w:r w:rsidR="00231D56">
              <w:rPr>
                <w:webHidden/>
              </w:rPr>
              <w:fldChar w:fldCharType="begin"/>
            </w:r>
            <w:r w:rsidR="00231D56">
              <w:rPr>
                <w:webHidden/>
              </w:rPr>
              <w:instrText xml:space="preserve"> PAGEREF _Toc66717103 \h </w:instrText>
            </w:r>
            <w:r w:rsidR="00231D56">
              <w:rPr>
                <w:webHidden/>
              </w:rPr>
            </w:r>
            <w:r w:rsidR="00231D56">
              <w:rPr>
                <w:webHidden/>
              </w:rPr>
              <w:fldChar w:fldCharType="separate"/>
            </w:r>
            <w:r w:rsidR="006F35A7">
              <w:rPr>
                <w:webHidden/>
              </w:rPr>
              <w:t>7</w:t>
            </w:r>
            <w:r w:rsidR="00231D56">
              <w:rPr>
                <w:webHidden/>
              </w:rPr>
              <w:fldChar w:fldCharType="end"/>
            </w:r>
          </w:hyperlink>
        </w:p>
        <w:p w:rsidR="00231D56" w:rsidRDefault="000F3CAF">
          <w:pPr>
            <w:pStyle w:val="Obsah1"/>
            <w:rPr>
              <w:rFonts w:eastAsiaTheme="minorEastAsia"/>
              <w:lang w:eastAsia="cs-CZ"/>
            </w:rPr>
          </w:pPr>
          <w:hyperlink w:anchor="_Toc66717104" w:history="1">
            <w:r w:rsidR="00231D56" w:rsidRPr="00581F2D">
              <w:rPr>
                <w:rStyle w:val="Hypertextovodkaz"/>
              </w:rPr>
              <w:t>7</w:t>
            </w:r>
            <w:r w:rsidR="00231D56">
              <w:rPr>
                <w:rFonts w:eastAsiaTheme="minorEastAsia"/>
                <w:lang w:eastAsia="cs-CZ"/>
              </w:rPr>
              <w:tab/>
            </w:r>
            <w:r w:rsidR="00231D56" w:rsidRPr="00581F2D">
              <w:rPr>
                <w:rStyle w:val="Hypertextovodkaz"/>
              </w:rPr>
              <w:t>Státní fond kultury České republiky</w:t>
            </w:r>
            <w:r w:rsidR="00231D56">
              <w:rPr>
                <w:webHidden/>
              </w:rPr>
              <w:tab/>
            </w:r>
            <w:r w:rsidR="00231D56">
              <w:rPr>
                <w:webHidden/>
              </w:rPr>
              <w:fldChar w:fldCharType="begin"/>
            </w:r>
            <w:r w:rsidR="00231D56">
              <w:rPr>
                <w:webHidden/>
              </w:rPr>
              <w:instrText xml:space="preserve"> PAGEREF _Toc66717104 \h </w:instrText>
            </w:r>
            <w:r w:rsidR="00231D56">
              <w:rPr>
                <w:webHidden/>
              </w:rPr>
            </w:r>
            <w:r w:rsidR="00231D56">
              <w:rPr>
                <w:webHidden/>
              </w:rPr>
              <w:fldChar w:fldCharType="separate"/>
            </w:r>
            <w:r w:rsidR="006F35A7">
              <w:rPr>
                <w:webHidden/>
              </w:rPr>
              <w:t>8</w:t>
            </w:r>
            <w:r w:rsidR="00231D56">
              <w:rPr>
                <w:webHidden/>
              </w:rPr>
              <w:fldChar w:fldCharType="end"/>
            </w:r>
          </w:hyperlink>
          <w:bookmarkStart w:id="0" w:name="_GoBack"/>
          <w:bookmarkEnd w:id="0"/>
        </w:p>
        <w:p w:rsidR="00231D56" w:rsidRDefault="000F3CAF">
          <w:pPr>
            <w:pStyle w:val="Obsah1"/>
            <w:rPr>
              <w:rFonts w:eastAsiaTheme="minorEastAsia"/>
              <w:lang w:eastAsia="cs-CZ"/>
            </w:rPr>
          </w:pPr>
          <w:hyperlink w:anchor="_Toc66717105" w:history="1">
            <w:r w:rsidR="00231D56" w:rsidRPr="00581F2D">
              <w:rPr>
                <w:rStyle w:val="Hypertextovodkaz"/>
              </w:rPr>
              <w:t>8</w:t>
            </w:r>
            <w:r w:rsidR="00231D56">
              <w:rPr>
                <w:rFonts w:eastAsiaTheme="minorEastAsia"/>
                <w:lang w:eastAsia="cs-CZ"/>
              </w:rPr>
              <w:tab/>
            </w:r>
            <w:r w:rsidR="00231D56" w:rsidRPr="00581F2D">
              <w:rPr>
                <w:rStyle w:val="Hypertextovodkaz"/>
              </w:rPr>
              <w:t>Souhrnná charakteristika věřitelské pozice státních fondů</w:t>
            </w:r>
            <w:r w:rsidR="00231D56">
              <w:rPr>
                <w:webHidden/>
              </w:rPr>
              <w:tab/>
            </w:r>
            <w:r w:rsidR="00231D56">
              <w:rPr>
                <w:webHidden/>
              </w:rPr>
              <w:fldChar w:fldCharType="begin"/>
            </w:r>
            <w:r w:rsidR="00231D56">
              <w:rPr>
                <w:webHidden/>
              </w:rPr>
              <w:instrText xml:space="preserve"> PAGEREF _Toc66717105 \h </w:instrText>
            </w:r>
            <w:r w:rsidR="00231D56">
              <w:rPr>
                <w:webHidden/>
              </w:rPr>
            </w:r>
            <w:r w:rsidR="00231D56">
              <w:rPr>
                <w:webHidden/>
              </w:rPr>
              <w:fldChar w:fldCharType="separate"/>
            </w:r>
            <w:r w:rsidR="006F35A7">
              <w:rPr>
                <w:webHidden/>
              </w:rPr>
              <w:t>10</w:t>
            </w:r>
            <w:r w:rsidR="00231D56">
              <w:rPr>
                <w:webHidden/>
              </w:rPr>
              <w:fldChar w:fldCharType="end"/>
            </w:r>
          </w:hyperlink>
        </w:p>
        <w:p w:rsidR="00231D56" w:rsidRPr="00231D56" w:rsidRDefault="000F3CAF">
          <w:pPr>
            <w:pStyle w:val="Obsah1"/>
            <w:rPr>
              <w:rFonts w:eastAsiaTheme="minorEastAsia"/>
              <w:b/>
              <w:lang w:eastAsia="cs-CZ"/>
            </w:rPr>
          </w:pPr>
          <w:hyperlink w:anchor="_Toc66717106" w:history="1">
            <w:r w:rsidR="00231D56" w:rsidRPr="00231D56">
              <w:rPr>
                <w:rStyle w:val="Hypertextovodkaz"/>
                <w:b/>
              </w:rPr>
              <w:t>II.</w:t>
            </w:r>
            <w:r w:rsidR="00231D56" w:rsidRPr="00231D56">
              <w:rPr>
                <w:rFonts w:eastAsiaTheme="minorEastAsia"/>
                <w:b/>
                <w:lang w:eastAsia="cs-CZ"/>
              </w:rPr>
              <w:tab/>
            </w:r>
            <w:r w:rsidR="00231D56" w:rsidRPr="00231D56">
              <w:rPr>
                <w:rStyle w:val="Hypertextovodkaz"/>
                <w:b/>
              </w:rPr>
              <w:t>Hospodaření rozpočtů územních samosprávných celků, dobrovolných svazků obcí a Regionálních rad regionů soudržnosti za rok 2020</w:t>
            </w:r>
            <w:r w:rsidR="00231D56" w:rsidRPr="00231D56">
              <w:rPr>
                <w:b/>
                <w:webHidden/>
              </w:rPr>
              <w:tab/>
            </w:r>
            <w:r w:rsidR="00231D56" w:rsidRPr="00231D56">
              <w:rPr>
                <w:b/>
                <w:webHidden/>
              </w:rPr>
              <w:fldChar w:fldCharType="begin"/>
            </w:r>
            <w:r w:rsidR="00231D56" w:rsidRPr="00231D56">
              <w:rPr>
                <w:b/>
                <w:webHidden/>
              </w:rPr>
              <w:instrText xml:space="preserve"> PAGEREF _Toc66717106 \h </w:instrText>
            </w:r>
            <w:r w:rsidR="00231D56" w:rsidRPr="00231D56">
              <w:rPr>
                <w:b/>
                <w:webHidden/>
              </w:rPr>
            </w:r>
            <w:r w:rsidR="00231D56" w:rsidRPr="00231D56">
              <w:rPr>
                <w:b/>
                <w:webHidden/>
              </w:rPr>
              <w:fldChar w:fldCharType="separate"/>
            </w:r>
            <w:r w:rsidR="006F35A7">
              <w:rPr>
                <w:b/>
                <w:webHidden/>
              </w:rPr>
              <w:t>11</w:t>
            </w:r>
            <w:r w:rsidR="00231D56" w:rsidRPr="00231D56">
              <w:rPr>
                <w:b/>
                <w:webHidden/>
              </w:rPr>
              <w:fldChar w:fldCharType="end"/>
            </w:r>
          </w:hyperlink>
        </w:p>
        <w:p w:rsidR="00231D56" w:rsidRDefault="000F3CAF">
          <w:pPr>
            <w:pStyle w:val="Obsah1"/>
            <w:rPr>
              <w:rFonts w:eastAsiaTheme="minorEastAsia"/>
              <w:lang w:eastAsia="cs-CZ"/>
            </w:rPr>
          </w:pPr>
          <w:hyperlink w:anchor="_Toc66717107" w:history="1">
            <w:r w:rsidR="00231D56" w:rsidRPr="00581F2D">
              <w:rPr>
                <w:rStyle w:val="Hypertextovodkaz"/>
              </w:rPr>
              <w:t>1</w:t>
            </w:r>
            <w:r w:rsidR="00231D56">
              <w:rPr>
                <w:rFonts w:eastAsiaTheme="minorEastAsia"/>
                <w:lang w:eastAsia="cs-CZ"/>
              </w:rPr>
              <w:tab/>
            </w:r>
            <w:r w:rsidR="00231D56" w:rsidRPr="00581F2D">
              <w:rPr>
                <w:rStyle w:val="Hypertextovodkaz"/>
              </w:rPr>
              <w:t>Celkové výsledky hospodaření krajů, obcí, dobrovolných svazků obcí a regionálních rad regionů soudržnosti</w:t>
            </w:r>
            <w:r w:rsidR="00231D56">
              <w:rPr>
                <w:webHidden/>
              </w:rPr>
              <w:tab/>
            </w:r>
            <w:r w:rsidR="00231D56">
              <w:rPr>
                <w:webHidden/>
              </w:rPr>
              <w:fldChar w:fldCharType="begin"/>
            </w:r>
            <w:r w:rsidR="00231D56">
              <w:rPr>
                <w:webHidden/>
              </w:rPr>
              <w:instrText xml:space="preserve"> PAGEREF _Toc66717107 \h </w:instrText>
            </w:r>
            <w:r w:rsidR="00231D56">
              <w:rPr>
                <w:webHidden/>
              </w:rPr>
            </w:r>
            <w:r w:rsidR="00231D56">
              <w:rPr>
                <w:webHidden/>
              </w:rPr>
              <w:fldChar w:fldCharType="separate"/>
            </w:r>
            <w:r w:rsidR="006F35A7">
              <w:rPr>
                <w:webHidden/>
              </w:rPr>
              <w:t>12</w:t>
            </w:r>
            <w:r w:rsidR="00231D56">
              <w:rPr>
                <w:webHidden/>
              </w:rPr>
              <w:fldChar w:fldCharType="end"/>
            </w:r>
          </w:hyperlink>
        </w:p>
        <w:p w:rsidR="00231D56" w:rsidRDefault="000F3CAF">
          <w:pPr>
            <w:pStyle w:val="Obsah1"/>
            <w:rPr>
              <w:rFonts w:eastAsiaTheme="minorEastAsia"/>
              <w:lang w:eastAsia="cs-CZ"/>
            </w:rPr>
          </w:pPr>
          <w:hyperlink w:anchor="_Toc66717108" w:history="1">
            <w:r w:rsidR="00231D56" w:rsidRPr="00581F2D">
              <w:rPr>
                <w:rStyle w:val="Hypertextovodkaz"/>
              </w:rPr>
              <w:t>2</w:t>
            </w:r>
            <w:r w:rsidR="00231D56">
              <w:rPr>
                <w:rFonts w:eastAsiaTheme="minorEastAsia"/>
                <w:lang w:eastAsia="cs-CZ"/>
              </w:rPr>
              <w:tab/>
            </w:r>
            <w:r w:rsidR="00231D56" w:rsidRPr="00581F2D">
              <w:rPr>
                <w:rStyle w:val="Hypertextovodkaz"/>
              </w:rPr>
              <w:t>Příjmy a výdaje krajů</w:t>
            </w:r>
            <w:r w:rsidR="00231D56">
              <w:rPr>
                <w:webHidden/>
              </w:rPr>
              <w:tab/>
            </w:r>
            <w:r w:rsidR="00231D56">
              <w:rPr>
                <w:webHidden/>
              </w:rPr>
              <w:fldChar w:fldCharType="begin"/>
            </w:r>
            <w:r w:rsidR="00231D56">
              <w:rPr>
                <w:webHidden/>
              </w:rPr>
              <w:instrText xml:space="preserve"> PAGEREF _Toc66717108 \h </w:instrText>
            </w:r>
            <w:r w:rsidR="00231D56">
              <w:rPr>
                <w:webHidden/>
              </w:rPr>
            </w:r>
            <w:r w:rsidR="00231D56">
              <w:rPr>
                <w:webHidden/>
              </w:rPr>
              <w:fldChar w:fldCharType="separate"/>
            </w:r>
            <w:r w:rsidR="006F35A7">
              <w:rPr>
                <w:webHidden/>
              </w:rPr>
              <w:t>17</w:t>
            </w:r>
            <w:r w:rsidR="00231D56">
              <w:rPr>
                <w:webHidden/>
              </w:rPr>
              <w:fldChar w:fldCharType="end"/>
            </w:r>
          </w:hyperlink>
        </w:p>
        <w:p w:rsidR="00231D56" w:rsidRDefault="000F3CAF">
          <w:pPr>
            <w:pStyle w:val="Obsah1"/>
            <w:rPr>
              <w:rFonts w:eastAsiaTheme="minorEastAsia"/>
              <w:lang w:eastAsia="cs-CZ"/>
            </w:rPr>
          </w:pPr>
          <w:hyperlink w:anchor="_Toc66717109" w:history="1">
            <w:r w:rsidR="00231D56" w:rsidRPr="00581F2D">
              <w:rPr>
                <w:rStyle w:val="Hypertextovodkaz"/>
              </w:rPr>
              <w:t>3</w:t>
            </w:r>
            <w:r w:rsidR="00231D56">
              <w:rPr>
                <w:rFonts w:eastAsiaTheme="minorEastAsia"/>
                <w:lang w:eastAsia="cs-CZ"/>
              </w:rPr>
              <w:tab/>
            </w:r>
            <w:r w:rsidR="00231D56" w:rsidRPr="00581F2D">
              <w:rPr>
                <w:rStyle w:val="Hypertextovodkaz"/>
              </w:rPr>
              <w:t>Příjmy a výdaje obcí a DSO</w:t>
            </w:r>
            <w:r w:rsidR="00231D56">
              <w:rPr>
                <w:webHidden/>
              </w:rPr>
              <w:tab/>
            </w:r>
            <w:r w:rsidR="00231D56">
              <w:rPr>
                <w:webHidden/>
              </w:rPr>
              <w:fldChar w:fldCharType="begin"/>
            </w:r>
            <w:r w:rsidR="00231D56">
              <w:rPr>
                <w:webHidden/>
              </w:rPr>
              <w:instrText xml:space="preserve"> PAGEREF _Toc66717109 \h </w:instrText>
            </w:r>
            <w:r w:rsidR="00231D56">
              <w:rPr>
                <w:webHidden/>
              </w:rPr>
            </w:r>
            <w:r w:rsidR="00231D56">
              <w:rPr>
                <w:webHidden/>
              </w:rPr>
              <w:fldChar w:fldCharType="separate"/>
            </w:r>
            <w:r w:rsidR="006F35A7">
              <w:rPr>
                <w:webHidden/>
              </w:rPr>
              <w:t>23</w:t>
            </w:r>
            <w:r w:rsidR="00231D56">
              <w:rPr>
                <w:webHidden/>
              </w:rPr>
              <w:fldChar w:fldCharType="end"/>
            </w:r>
          </w:hyperlink>
        </w:p>
        <w:p w:rsidR="00231D56" w:rsidRDefault="000F3CAF">
          <w:pPr>
            <w:pStyle w:val="Obsah1"/>
            <w:rPr>
              <w:rFonts w:eastAsiaTheme="minorEastAsia"/>
              <w:lang w:eastAsia="cs-CZ"/>
            </w:rPr>
          </w:pPr>
          <w:hyperlink w:anchor="_Toc66717110" w:history="1">
            <w:r w:rsidR="00231D56" w:rsidRPr="00581F2D">
              <w:rPr>
                <w:rStyle w:val="Hypertextovodkaz"/>
              </w:rPr>
              <w:t>4</w:t>
            </w:r>
            <w:r w:rsidR="00231D56">
              <w:rPr>
                <w:rFonts w:eastAsiaTheme="minorEastAsia"/>
                <w:lang w:eastAsia="cs-CZ"/>
              </w:rPr>
              <w:tab/>
            </w:r>
            <w:r w:rsidR="00231D56" w:rsidRPr="00581F2D">
              <w:rPr>
                <w:rStyle w:val="Hypertextovodkaz"/>
              </w:rPr>
              <w:t>Hospodaření Regionálních rad regionů soudržnosti</w:t>
            </w:r>
            <w:r w:rsidR="00231D56">
              <w:rPr>
                <w:webHidden/>
              </w:rPr>
              <w:tab/>
            </w:r>
            <w:r w:rsidR="00231D56">
              <w:rPr>
                <w:webHidden/>
              </w:rPr>
              <w:fldChar w:fldCharType="begin"/>
            </w:r>
            <w:r w:rsidR="00231D56">
              <w:rPr>
                <w:webHidden/>
              </w:rPr>
              <w:instrText xml:space="preserve"> PAGEREF _Toc66717110 \h </w:instrText>
            </w:r>
            <w:r w:rsidR="00231D56">
              <w:rPr>
                <w:webHidden/>
              </w:rPr>
            </w:r>
            <w:r w:rsidR="00231D56">
              <w:rPr>
                <w:webHidden/>
              </w:rPr>
              <w:fldChar w:fldCharType="separate"/>
            </w:r>
            <w:r w:rsidR="006F35A7">
              <w:rPr>
                <w:webHidden/>
              </w:rPr>
              <w:t>34</w:t>
            </w:r>
            <w:r w:rsidR="00231D56">
              <w:rPr>
                <w:webHidden/>
              </w:rPr>
              <w:fldChar w:fldCharType="end"/>
            </w:r>
          </w:hyperlink>
        </w:p>
        <w:p w:rsidR="00231D56" w:rsidRDefault="000F3CAF">
          <w:pPr>
            <w:pStyle w:val="Obsah1"/>
            <w:rPr>
              <w:rFonts w:eastAsiaTheme="minorEastAsia"/>
              <w:lang w:eastAsia="cs-CZ"/>
            </w:rPr>
          </w:pPr>
          <w:hyperlink w:anchor="_Toc66717111" w:history="1">
            <w:r w:rsidR="00231D56" w:rsidRPr="00581F2D">
              <w:rPr>
                <w:rStyle w:val="Hypertextovodkaz"/>
              </w:rPr>
              <w:t>5</w:t>
            </w:r>
            <w:r w:rsidR="00231D56">
              <w:rPr>
                <w:rFonts w:eastAsiaTheme="minorEastAsia"/>
                <w:lang w:eastAsia="cs-CZ"/>
              </w:rPr>
              <w:tab/>
            </w:r>
            <w:r w:rsidR="00231D56" w:rsidRPr="00581F2D">
              <w:rPr>
                <w:rStyle w:val="Hypertextovodkaz"/>
              </w:rPr>
              <w:t>Zadluženost</w:t>
            </w:r>
            <w:r w:rsidR="00231D56">
              <w:rPr>
                <w:webHidden/>
              </w:rPr>
              <w:tab/>
            </w:r>
            <w:r w:rsidR="00231D56">
              <w:rPr>
                <w:webHidden/>
              </w:rPr>
              <w:fldChar w:fldCharType="begin"/>
            </w:r>
            <w:r w:rsidR="00231D56">
              <w:rPr>
                <w:webHidden/>
              </w:rPr>
              <w:instrText xml:space="preserve"> PAGEREF _Toc66717111 \h </w:instrText>
            </w:r>
            <w:r w:rsidR="00231D56">
              <w:rPr>
                <w:webHidden/>
              </w:rPr>
            </w:r>
            <w:r w:rsidR="00231D56">
              <w:rPr>
                <w:webHidden/>
              </w:rPr>
              <w:fldChar w:fldCharType="separate"/>
            </w:r>
            <w:r w:rsidR="006F35A7">
              <w:rPr>
                <w:webHidden/>
              </w:rPr>
              <w:t>35</w:t>
            </w:r>
            <w:r w:rsidR="00231D56">
              <w:rPr>
                <w:webHidden/>
              </w:rPr>
              <w:fldChar w:fldCharType="end"/>
            </w:r>
          </w:hyperlink>
        </w:p>
        <w:p w:rsidR="00231D56" w:rsidRPr="00231D56" w:rsidRDefault="000F3CAF">
          <w:pPr>
            <w:pStyle w:val="Obsah1"/>
            <w:rPr>
              <w:rFonts w:eastAsiaTheme="minorEastAsia"/>
              <w:b/>
              <w:lang w:eastAsia="cs-CZ"/>
            </w:rPr>
          </w:pPr>
          <w:hyperlink w:anchor="_Toc66717112" w:history="1">
            <w:r w:rsidR="00231D56" w:rsidRPr="00231D56">
              <w:rPr>
                <w:rStyle w:val="Hypertextovodkaz"/>
                <w:b/>
              </w:rPr>
              <w:t>III.</w:t>
            </w:r>
            <w:r w:rsidR="00231D56" w:rsidRPr="00231D56">
              <w:rPr>
                <w:rFonts w:eastAsiaTheme="minorEastAsia"/>
                <w:b/>
                <w:lang w:eastAsia="cs-CZ"/>
              </w:rPr>
              <w:tab/>
            </w:r>
            <w:r w:rsidR="00231D56" w:rsidRPr="00231D56">
              <w:rPr>
                <w:rStyle w:val="Hypertextovodkaz"/>
                <w:b/>
              </w:rPr>
              <w:t>Výsledky hospodaření zdravotních pojišťoven</w:t>
            </w:r>
            <w:r w:rsidR="00231D56" w:rsidRPr="00231D56">
              <w:rPr>
                <w:b/>
                <w:webHidden/>
              </w:rPr>
              <w:tab/>
            </w:r>
            <w:r w:rsidR="00231D56" w:rsidRPr="00231D56">
              <w:rPr>
                <w:b/>
                <w:webHidden/>
              </w:rPr>
              <w:fldChar w:fldCharType="begin"/>
            </w:r>
            <w:r w:rsidR="00231D56" w:rsidRPr="00231D56">
              <w:rPr>
                <w:b/>
                <w:webHidden/>
              </w:rPr>
              <w:instrText xml:space="preserve"> PAGEREF _Toc66717112 \h </w:instrText>
            </w:r>
            <w:r w:rsidR="00231D56" w:rsidRPr="00231D56">
              <w:rPr>
                <w:b/>
                <w:webHidden/>
              </w:rPr>
            </w:r>
            <w:r w:rsidR="00231D56" w:rsidRPr="00231D56">
              <w:rPr>
                <w:b/>
                <w:webHidden/>
              </w:rPr>
              <w:fldChar w:fldCharType="separate"/>
            </w:r>
            <w:r w:rsidR="006F35A7">
              <w:rPr>
                <w:b/>
                <w:webHidden/>
              </w:rPr>
              <w:t>39</w:t>
            </w:r>
            <w:r w:rsidR="00231D56" w:rsidRPr="00231D56">
              <w:rPr>
                <w:b/>
                <w:webHidden/>
              </w:rPr>
              <w:fldChar w:fldCharType="end"/>
            </w:r>
          </w:hyperlink>
        </w:p>
        <w:p w:rsidR="00231D56" w:rsidRPr="00231D56" w:rsidRDefault="000F3CAF">
          <w:pPr>
            <w:pStyle w:val="Obsah1"/>
            <w:rPr>
              <w:rFonts w:eastAsiaTheme="minorEastAsia"/>
              <w:b/>
              <w:lang w:eastAsia="cs-CZ"/>
            </w:rPr>
          </w:pPr>
          <w:hyperlink w:anchor="_Toc66717113" w:history="1">
            <w:r w:rsidR="00231D56" w:rsidRPr="00231D56">
              <w:rPr>
                <w:rStyle w:val="Hypertextovodkaz"/>
                <w:b/>
              </w:rPr>
              <w:t>IV.</w:t>
            </w:r>
            <w:r w:rsidR="00231D56" w:rsidRPr="00231D56">
              <w:rPr>
                <w:rFonts w:eastAsiaTheme="minorEastAsia"/>
                <w:b/>
                <w:lang w:eastAsia="cs-CZ"/>
              </w:rPr>
              <w:tab/>
            </w:r>
            <w:r w:rsidR="00231D56" w:rsidRPr="00231D56">
              <w:rPr>
                <w:rStyle w:val="Hypertextovodkaz"/>
                <w:b/>
              </w:rPr>
              <w:t>Přehled o stavech fondů organizačních složek státu</w:t>
            </w:r>
            <w:r w:rsidR="00231D56" w:rsidRPr="00231D56">
              <w:rPr>
                <w:b/>
                <w:webHidden/>
              </w:rPr>
              <w:tab/>
            </w:r>
            <w:r w:rsidR="00231D56" w:rsidRPr="00231D56">
              <w:rPr>
                <w:b/>
                <w:webHidden/>
              </w:rPr>
              <w:fldChar w:fldCharType="begin"/>
            </w:r>
            <w:r w:rsidR="00231D56" w:rsidRPr="00231D56">
              <w:rPr>
                <w:b/>
                <w:webHidden/>
              </w:rPr>
              <w:instrText xml:space="preserve"> PAGEREF _Toc66717113 \h </w:instrText>
            </w:r>
            <w:r w:rsidR="00231D56" w:rsidRPr="00231D56">
              <w:rPr>
                <w:b/>
                <w:webHidden/>
              </w:rPr>
            </w:r>
            <w:r w:rsidR="00231D56" w:rsidRPr="00231D56">
              <w:rPr>
                <w:b/>
                <w:webHidden/>
              </w:rPr>
              <w:fldChar w:fldCharType="separate"/>
            </w:r>
            <w:r w:rsidR="006F35A7">
              <w:rPr>
                <w:b/>
                <w:webHidden/>
              </w:rPr>
              <w:t>43</w:t>
            </w:r>
            <w:r w:rsidR="00231D56" w:rsidRPr="00231D56">
              <w:rPr>
                <w:b/>
                <w:webHidden/>
              </w:rPr>
              <w:fldChar w:fldCharType="end"/>
            </w:r>
          </w:hyperlink>
        </w:p>
        <w:p w:rsidR="00782B26" w:rsidRDefault="00782B26" w:rsidP="00782B26">
          <w:r w:rsidRPr="00167E7D">
            <w:rPr>
              <w:b/>
              <w:bCs/>
              <w:sz w:val="18"/>
              <w:szCs w:val="18"/>
            </w:rPr>
            <w:fldChar w:fldCharType="end"/>
          </w:r>
        </w:p>
      </w:sdtContent>
    </w:sdt>
    <w:p w:rsidR="00782B26" w:rsidRDefault="00782B26">
      <w:pPr>
        <w:spacing w:before="0" w:after="160" w:line="259" w:lineRule="auto"/>
        <w:jc w:val="left"/>
      </w:pPr>
      <w:r>
        <w:br w:type="page"/>
      </w:r>
    </w:p>
    <w:p w:rsidR="00BC4C51" w:rsidRPr="003066E1" w:rsidRDefault="00BC4C51" w:rsidP="003066E1">
      <w:pPr>
        <w:spacing w:before="0" w:after="120"/>
        <w:rPr>
          <w:b/>
          <w:sz w:val="24"/>
          <w:szCs w:val="24"/>
        </w:rPr>
      </w:pPr>
      <w:r w:rsidRPr="003066E1">
        <w:rPr>
          <w:b/>
          <w:sz w:val="24"/>
          <w:szCs w:val="24"/>
        </w:rPr>
        <w:lastRenderedPageBreak/>
        <w:t>Seznam tabulek</w:t>
      </w:r>
    </w:p>
    <w:p w:rsidR="00231D56" w:rsidRPr="00231D56" w:rsidRDefault="003923B9" w:rsidP="00231D56">
      <w:pPr>
        <w:pStyle w:val="Seznamobrzk"/>
        <w:tabs>
          <w:tab w:val="right" w:leader="dot" w:pos="9628"/>
        </w:tabs>
        <w:spacing w:before="0"/>
        <w:rPr>
          <w:rFonts w:eastAsiaTheme="minorEastAsia"/>
          <w:noProof/>
          <w:sz w:val="20"/>
          <w:szCs w:val="20"/>
          <w:lang w:eastAsia="cs-CZ"/>
        </w:rPr>
      </w:pPr>
      <w:r w:rsidRPr="00231D56">
        <w:rPr>
          <w:sz w:val="20"/>
          <w:szCs w:val="20"/>
        </w:rPr>
        <w:fldChar w:fldCharType="begin"/>
      </w:r>
      <w:r w:rsidRPr="00231D56">
        <w:rPr>
          <w:sz w:val="20"/>
          <w:szCs w:val="20"/>
        </w:rPr>
        <w:instrText xml:space="preserve"> TOC \h \z \c "Tabulka č." </w:instrText>
      </w:r>
      <w:r w:rsidRPr="00231D56">
        <w:rPr>
          <w:sz w:val="20"/>
          <w:szCs w:val="20"/>
        </w:rPr>
        <w:fldChar w:fldCharType="separate"/>
      </w:r>
      <w:hyperlink w:anchor="_Toc66717140" w:history="1">
        <w:r w:rsidR="00231D56" w:rsidRPr="00231D56">
          <w:rPr>
            <w:rStyle w:val="Hypertextovodkaz"/>
            <w:noProof/>
            <w:sz w:val="20"/>
            <w:szCs w:val="20"/>
          </w:rPr>
          <w:t>Tabulka č. 1: Přehled ukazatelů finančního hospodaření státních fondů (mil.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_Toc66717140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1</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41" w:history="1">
        <w:r w:rsidR="00231D56" w:rsidRPr="00231D56">
          <w:rPr>
            <w:rStyle w:val="Hypertextovodkaz"/>
            <w:noProof/>
            <w:sz w:val="20"/>
            <w:szCs w:val="20"/>
          </w:rPr>
          <w:t>Tabulka č. 2: Příjmy a výdaje Státního fondu životního prostředí (tis.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_Toc66717141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3</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42" w:history="1">
        <w:r w:rsidR="00231D56" w:rsidRPr="00231D56">
          <w:rPr>
            <w:rStyle w:val="Hypertextovodkaz"/>
            <w:noProof/>
            <w:sz w:val="20"/>
            <w:szCs w:val="20"/>
          </w:rPr>
          <w:t>Tabulka č. 3: Příjmy a výdaje Státního zemědělského intervenčního fondu v (tis.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_Toc66717142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4</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43" w:history="1">
        <w:r w:rsidR="00231D56" w:rsidRPr="00231D56">
          <w:rPr>
            <w:rStyle w:val="Hypertextovodkaz"/>
            <w:noProof/>
            <w:sz w:val="20"/>
            <w:szCs w:val="20"/>
          </w:rPr>
          <w:t>Tabulka č. 4: Příjmy a výdaje Státního fondu dopravní infrastruktury (tis.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_Toc66717143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5</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44" w:history="1">
        <w:r w:rsidR="00231D56" w:rsidRPr="00231D56">
          <w:rPr>
            <w:rStyle w:val="Hypertextovodkaz"/>
            <w:noProof/>
            <w:sz w:val="20"/>
            <w:szCs w:val="20"/>
          </w:rPr>
          <w:t>Tabulka č. 5: Příjmy a výdaje Státního fondu podpory investic (tis.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_Toc66717144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7</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45" w:history="1">
        <w:r w:rsidR="008715EA">
          <w:rPr>
            <w:rStyle w:val="Hypertextovodkaz"/>
            <w:noProof/>
            <w:sz w:val="20"/>
            <w:szCs w:val="20"/>
          </w:rPr>
          <w:t>Tabulka č. 6: P</w:t>
        </w:r>
        <w:r w:rsidR="00231D56" w:rsidRPr="00231D56">
          <w:rPr>
            <w:rStyle w:val="Hypertextovodkaz"/>
            <w:noProof/>
            <w:sz w:val="20"/>
            <w:szCs w:val="20"/>
          </w:rPr>
          <w:t>říjmy a výdaje Státního fondu kinematografie (tis.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_Toc66717145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8</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46" w:history="1">
        <w:r w:rsidR="00231D56" w:rsidRPr="00231D56">
          <w:rPr>
            <w:rStyle w:val="Hypertextovodkaz"/>
            <w:noProof/>
            <w:sz w:val="20"/>
            <w:szCs w:val="20"/>
          </w:rPr>
          <w:t>Tabulka č. 7: Příjmy a výdaje Státního fondu kultury (tis.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_Toc66717146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9</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47" w:history="1">
        <w:r w:rsidR="00231D56" w:rsidRPr="00231D56">
          <w:rPr>
            <w:rStyle w:val="Hypertextovodkaz"/>
            <w:noProof/>
            <w:sz w:val="20"/>
            <w:szCs w:val="20"/>
          </w:rPr>
          <w:t>Tabulka č. 8: Bilance příjmů a výdajů územních rozpočtů k 31. 12. 2020 po konsolidaci</w:t>
        </w:r>
        <w:r w:rsidR="00231D56" w:rsidRPr="00231D56">
          <w:rPr>
            <w:rStyle w:val="Hypertextovodkaz"/>
            <w:noProof/>
            <w:sz w:val="20"/>
            <w:szCs w:val="20"/>
            <w:vertAlign w:val="superscript"/>
          </w:rPr>
          <w:t xml:space="preserve"> </w:t>
        </w:r>
        <w:r w:rsidR="00231D56" w:rsidRPr="00231D56">
          <w:rPr>
            <w:rStyle w:val="Hypertextovodkaz"/>
            <w:noProof/>
            <w:sz w:val="20"/>
            <w:szCs w:val="20"/>
          </w:rPr>
          <w:t>(mil.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_Toc66717147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13</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48" w:history="1">
        <w:r w:rsidR="00231D56" w:rsidRPr="00231D56">
          <w:rPr>
            <w:rStyle w:val="Hypertextovodkaz"/>
            <w:noProof/>
            <w:sz w:val="20"/>
            <w:szCs w:val="20"/>
          </w:rPr>
          <w:t>Tabulka č. 9: Stavy peněžních prostředků na bankovních účtech rozpočtů územních samosprávných celků (včetně příspěvkových organizací), DSO a regionálních rad ke dni 31. 12. (mld.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_Toc66717148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16</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49" w:history="1">
        <w:r w:rsidR="00231D56" w:rsidRPr="00231D56">
          <w:rPr>
            <w:rStyle w:val="Hypertextovodkaz"/>
            <w:noProof/>
            <w:sz w:val="20"/>
            <w:szCs w:val="20"/>
          </w:rPr>
          <w:t>Tabulka č. 10: Bilance příjmů a výdajů krajů (mil.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_Toc66717149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17</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50" w:history="1">
        <w:r w:rsidR="00231D56" w:rsidRPr="00231D56">
          <w:rPr>
            <w:rStyle w:val="Hypertextovodkaz"/>
            <w:noProof/>
            <w:sz w:val="20"/>
            <w:szCs w:val="20"/>
          </w:rPr>
          <w:t>Tabulka č. 11: Přehled transferů a zápůjček přijatých kraji ze státního rozpočtu, z Národního fondu a z rozpočtů státních fondů v roce 2020 (mil.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_Toc66717150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19</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51" w:history="1">
        <w:r w:rsidR="00231D56" w:rsidRPr="00231D56">
          <w:rPr>
            <w:rStyle w:val="Hypertextovodkaz"/>
            <w:noProof/>
            <w:sz w:val="20"/>
            <w:szCs w:val="20"/>
          </w:rPr>
          <w:t>Tabulka č. 12</w:t>
        </w:r>
        <w:r w:rsidR="008715EA">
          <w:rPr>
            <w:rStyle w:val="Hypertextovodkaz"/>
            <w:noProof/>
            <w:sz w:val="20"/>
            <w:szCs w:val="20"/>
          </w:rPr>
          <w:t>:</w:t>
        </w:r>
        <w:r w:rsidR="00231D56" w:rsidRPr="00231D56">
          <w:rPr>
            <w:rStyle w:val="Hypertextovodkaz"/>
            <w:noProof/>
            <w:sz w:val="20"/>
            <w:szCs w:val="20"/>
          </w:rPr>
          <w:t xml:space="preserve"> Výdaje krajů v letech 2017 - 2020 po konsolidaci (mil.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_Toc66717151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20</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52" w:history="1">
        <w:r w:rsidR="00231D56" w:rsidRPr="00231D56">
          <w:rPr>
            <w:rStyle w:val="Hypertextovodkaz"/>
            <w:noProof/>
            <w:sz w:val="20"/>
            <w:szCs w:val="20"/>
          </w:rPr>
          <w:t>Tabulka č. 13: Bilance příjmů a výdajů obcí (mil.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_Toc66717152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23</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53" w:history="1">
        <w:r w:rsidR="00231D56" w:rsidRPr="00231D56">
          <w:rPr>
            <w:rStyle w:val="Hypertextovodkaz"/>
            <w:noProof/>
            <w:sz w:val="20"/>
            <w:szCs w:val="20"/>
          </w:rPr>
          <w:t>Tabulka č. 14: Přehled o transferech a zápůjčkách přijatých obcemi ze státního rozpočtu a z rozpočtů státních fondů v roce 2020 (mil.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_Toc66717153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27</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54" w:history="1">
        <w:r w:rsidR="00231D56" w:rsidRPr="00231D56">
          <w:rPr>
            <w:rStyle w:val="Hypertextovodkaz"/>
            <w:noProof/>
            <w:sz w:val="20"/>
            <w:szCs w:val="20"/>
          </w:rPr>
          <w:t>Tabulka č. 15: Výdaje obcí v letech 2017 – 2020 po konsolidaci (mil.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_Toc66717154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28</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55" w:history="1">
        <w:r w:rsidR="00231D56" w:rsidRPr="00231D56">
          <w:rPr>
            <w:rStyle w:val="Hypertextovodkaz"/>
            <w:noProof/>
            <w:sz w:val="20"/>
            <w:szCs w:val="20"/>
          </w:rPr>
          <w:t>Tabulka č. 16: Příjmy a výdaje hl. m. Prahy v letech 2017 - 2020 (mil.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_Toc66717155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31</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56" w:history="1">
        <w:r w:rsidR="00231D56" w:rsidRPr="00231D56">
          <w:rPr>
            <w:rStyle w:val="Hypertextovodkaz"/>
            <w:noProof/>
            <w:sz w:val="20"/>
            <w:szCs w:val="20"/>
          </w:rPr>
          <w:t>Tabulka č. 17: Bilance příjmů a výdajů regionálních rad regionů soudržnosti (mil.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_Toc66717156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34</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57" w:history="1">
        <w:r w:rsidR="00231D56" w:rsidRPr="00231D56">
          <w:rPr>
            <w:rStyle w:val="Hypertextovodkaz"/>
            <w:noProof/>
            <w:sz w:val="20"/>
            <w:szCs w:val="20"/>
          </w:rPr>
          <w:t>Tabulka č. 18: Stavy na bankovních účtech a stav dluhu územních rozpočtů v letech 2012–2020 (mld.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_Toc66717157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35</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58" w:history="1">
        <w:r w:rsidR="00231D56" w:rsidRPr="00231D56">
          <w:rPr>
            <w:rStyle w:val="Hypertextovodkaz"/>
            <w:noProof/>
            <w:sz w:val="20"/>
            <w:szCs w:val="20"/>
          </w:rPr>
          <w:t>Tabulka č. 19: Souhrnné údaje o dluhu obcí ČR v letech 2012–2020 (mld.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_Toc66717158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36</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59" w:history="1">
        <w:r w:rsidR="00231D56" w:rsidRPr="00231D56">
          <w:rPr>
            <w:rStyle w:val="Hypertextovodkaz"/>
            <w:noProof/>
            <w:sz w:val="20"/>
            <w:szCs w:val="20"/>
          </w:rPr>
          <w:t>Tabulka č. 20: Podíl dluhu hl. m. Prahy, Brna, Ostravy a Plzně na celkovém dluhu obcí (mld.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_Toc66717159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37</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60" w:history="1">
        <w:r w:rsidR="00231D56" w:rsidRPr="00231D56">
          <w:rPr>
            <w:rStyle w:val="Hypertextovodkaz"/>
            <w:noProof/>
            <w:sz w:val="20"/>
            <w:szCs w:val="20"/>
          </w:rPr>
          <w:t>Tabulka č. 21: Souhrnné údaje o dluhu krajů ČR v letech 2012–2020 (mld.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_Toc66717160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37</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61" w:history="1">
        <w:r w:rsidR="00231D56" w:rsidRPr="00231D56">
          <w:rPr>
            <w:rStyle w:val="Hypertextovodkaz"/>
            <w:noProof/>
            <w:sz w:val="20"/>
            <w:szCs w:val="20"/>
          </w:rPr>
          <w:t>Tabulka č. 22: Vývoj hospodaření systému v.z.p. v letech 2019-2021 (tis.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_Toc66717161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39</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62" w:history="1">
        <w:r w:rsidR="00231D56" w:rsidRPr="00231D56">
          <w:rPr>
            <w:rStyle w:val="Hypertextovodkaz"/>
            <w:noProof/>
            <w:sz w:val="20"/>
            <w:szCs w:val="20"/>
          </w:rPr>
          <w:t>Tabulka č. 23: Vliv přerozdělování (tis.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_Toc66717162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40</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63" w:history="1">
        <w:r w:rsidR="00231D56" w:rsidRPr="00231D56">
          <w:rPr>
            <w:rStyle w:val="Hypertextovodkaz"/>
            <w:noProof/>
            <w:sz w:val="20"/>
            <w:szCs w:val="20"/>
          </w:rPr>
          <w:t>Tabulka č. 24: Stav finančních rezerv, závazků v poměru k výdajům (tis.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_Toc66717163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42</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64" w:history="1">
        <w:r w:rsidR="00231D56" w:rsidRPr="00231D56">
          <w:rPr>
            <w:rStyle w:val="Hypertextovodkaz"/>
            <w:noProof/>
            <w:sz w:val="20"/>
            <w:szCs w:val="20"/>
          </w:rPr>
          <w:t>Tabulka č. 25: Přehled o stavech peněžních fondů organizačních složek státu</w:t>
        </w:r>
        <w:r w:rsidR="00231D56" w:rsidRPr="00231D56">
          <w:rPr>
            <w:rStyle w:val="Hypertextovodkaz"/>
            <w:noProof/>
            <w:sz w:val="20"/>
            <w:szCs w:val="20"/>
            <w:vertAlign w:val="superscript"/>
          </w:rPr>
          <w:t xml:space="preserve">*) </w:t>
        </w:r>
        <w:r w:rsidR="00231D56" w:rsidRPr="00231D56">
          <w:rPr>
            <w:rStyle w:val="Hypertextovodkaz"/>
            <w:noProof/>
            <w:sz w:val="20"/>
            <w:szCs w:val="20"/>
          </w:rPr>
          <w:t>(tis.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_Toc66717164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44</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65" w:history="1">
        <w:r w:rsidR="00231D56" w:rsidRPr="00231D56">
          <w:rPr>
            <w:rStyle w:val="Hypertextovodkaz"/>
            <w:noProof/>
            <w:sz w:val="20"/>
            <w:szCs w:val="20"/>
          </w:rPr>
          <w:t>Tabulka č. 26: Zůstatek fondu privatizace</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_Toc66717165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44</w:t>
        </w:r>
        <w:r w:rsidR="00231D56" w:rsidRPr="00231D56">
          <w:rPr>
            <w:noProof/>
            <w:webHidden/>
            <w:sz w:val="20"/>
            <w:szCs w:val="20"/>
          </w:rPr>
          <w:fldChar w:fldCharType="end"/>
        </w:r>
      </w:hyperlink>
    </w:p>
    <w:p w:rsidR="004F4A5D" w:rsidRDefault="003923B9" w:rsidP="00231D56">
      <w:pPr>
        <w:spacing w:before="0"/>
        <w:rPr>
          <w:rFonts w:ascii="Calibri" w:hAnsi="Calibri"/>
          <w:sz w:val="16"/>
          <w:szCs w:val="16"/>
        </w:rPr>
      </w:pPr>
      <w:r w:rsidRPr="00231D56">
        <w:rPr>
          <w:sz w:val="20"/>
          <w:szCs w:val="20"/>
        </w:rPr>
        <w:fldChar w:fldCharType="end"/>
      </w:r>
    </w:p>
    <w:p w:rsidR="005F6B1C" w:rsidRPr="00F41E05" w:rsidRDefault="00BC4C51" w:rsidP="003066E1">
      <w:pPr>
        <w:spacing w:before="0" w:after="120"/>
        <w:rPr>
          <w:rFonts w:ascii="Calibri" w:hAnsi="Calibri"/>
          <w:b/>
          <w:sz w:val="24"/>
          <w:szCs w:val="24"/>
        </w:rPr>
      </w:pPr>
      <w:r w:rsidRPr="00F41E05">
        <w:rPr>
          <w:rFonts w:ascii="Calibri" w:hAnsi="Calibri"/>
          <w:b/>
          <w:sz w:val="24"/>
          <w:szCs w:val="24"/>
        </w:rPr>
        <w:t>Seznam grafů</w:t>
      </w:r>
    </w:p>
    <w:p w:rsidR="00231D56" w:rsidRPr="00231D56" w:rsidRDefault="003923B9" w:rsidP="00231D56">
      <w:pPr>
        <w:pStyle w:val="Seznamobrzk"/>
        <w:tabs>
          <w:tab w:val="right" w:leader="dot" w:pos="9628"/>
        </w:tabs>
        <w:spacing w:before="0"/>
        <w:rPr>
          <w:rFonts w:eastAsiaTheme="minorEastAsia"/>
          <w:noProof/>
          <w:sz w:val="20"/>
          <w:szCs w:val="20"/>
          <w:lang w:eastAsia="cs-CZ"/>
        </w:rPr>
      </w:pPr>
      <w:r w:rsidRPr="00231D56">
        <w:rPr>
          <w:rFonts w:ascii="Calibri" w:hAnsi="Calibri"/>
          <w:sz w:val="20"/>
          <w:szCs w:val="20"/>
        </w:rPr>
        <w:fldChar w:fldCharType="begin"/>
      </w:r>
      <w:r w:rsidRPr="00231D56">
        <w:rPr>
          <w:rFonts w:ascii="Calibri" w:hAnsi="Calibri"/>
          <w:sz w:val="20"/>
          <w:szCs w:val="20"/>
        </w:rPr>
        <w:instrText xml:space="preserve"> TOC \h \z \c "Graf č." </w:instrText>
      </w:r>
      <w:r w:rsidRPr="00231D56">
        <w:rPr>
          <w:rFonts w:ascii="Calibri" w:hAnsi="Calibri"/>
          <w:sz w:val="20"/>
          <w:szCs w:val="20"/>
        </w:rPr>
        <w:fldChar w:fldCharType="separate"/>
      </w:r>
      <w:hyperlink w:anchor="_Toc66717166" w:history="1">
        <w:r w:rsidR="00231D56" w:rsidRPr="00231D56">
          <w:rPr>
            <w:rStyle w:val="Hypertextovodkaz"/>
            <w:noProof/>
            <w:sz w:val="20"/>
            <w:szCs w:val="20"/>
          </w:rPr>
          <w:t>Graf č. 1: Příjmy a výdaje územních rozpočtů v období let 2010 – 2020 (mld.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_Toc66717166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14</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67" w:history="1">
        <w:r w:rsidR="00231D56" w:rsidRPr="00231D56">
          <w:rPr>
            <w:rStyle w:val="Hypertextovodkaz"/>
            <w:noProof/>
            <w:sz w:val="20"/>
            <w:szCs w:val="20"/>
          </w:rPr>
          <w:t>Graf č. 2: Přijaté investiční transfery a kapitálové výdaje územních rozpočtů (mld.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_Toc66717167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15</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68" w:history="1">
        <w:r w:rsidR="00231D56" w:rsidRPr="00231D56">
          <w:rPr>
            <w:rStyle w:val="Hypertextovodkaz"/>
            <w:noProof/>
            <w:sz w:val="20"/>
            <w:szCs w:val="20"/>
          </w:rPr>
          <w:t>Graf č. 3: Saldo hospodaření územních rozpočtů v letech 2010 – 2020 (mld.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_Toc66717168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15</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69" w:history="1">
        <w:r w:rsidR="00231D56" w:rsidRPr="00231D56">
          <w:rPr>
            <w:rStyle w:val="Hypertextovodkaz"/>
            <w:noProof/>
            <w:sz w:val="20"/>
            <w:szCs w:val="20"/>
          </w:rPr>
          <w:t>Graf č. 4: Příjmy krajů podle druhového členění rozpočtové skladby za rok 2020 (po konsolidaci)</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_Toc66717169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18</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70" w:history="1">
        <w:r w:rsidR="00231D56" w:rsidRPr="00231D56">
          <w:rPr>
            <w:rStyle w:val="Hypertextovodkaz"/>
            <w:noProof/>
            <w:sz w:val="20"/>
            <w:szCs w:val="20"/>
          </w:rPr>
          <w:t>Graf č. 5: Oblasti působností příspěvkových organizací zřízených kraji v roce 2020</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_Toc66717170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22</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71" w:history="1">
        <w:r w:rsidR="00231D56" w:rsidRPr="00231D56">
          <w:rPr>
            <w:rStyle w:val="Hypertextovodkaz"/>
            <w:noProof/>
            <w:sz w:val="20"/>
            <w:szCs w:val="20"/>
          </w:rPr>
          <w:t>Graf č. 6: Příjem vybraných obcí z RUD a z daně z hazardu na 1 obyvatele (tis.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_Toc66717171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25</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72" w:history="1">
        <w:r w:rsidR="00231D56" w:rsidRPr="00231D56">
          <w:rPr>
            <w:rStyle w:val="Hypertextovodkaz"/>
            <w:noProof/>
            <w:sz w:val="20"/>
            <w:szCs w:val="20"/>
          </w:rPr>
          <w:t>Graf č. 7: Příjmy obcí podle druhového členění rozpočtové skladby za rok 2020 (po konsolidaci)</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_Toc66717172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25</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73" w:history="1">
        <w:r w:rsidR="00231D56" w:rsidRPr="00231D56">
          <w:rPr>
            <w:rStyle w:val="Hypertextovodkaz"/>
            <w:noProof/>
            <w:sz w:val="20"/>
            <w:szCs w:val="20"/>
          </w:rPr>
          <w:t>Graf č. 8: Oblasti působností příspěvkových organizací zřízených obcemi v roce 2020</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_Toc66717173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33</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74" w:history="1">
        <w:r w:rsidR="00231D56" w:rsidRPr="00231D56">
          <w:rPr>
            <w:rStyle w:val="Hypertextovodkaz"/>
            <w:noProof/>
            <w:sz w:val="20"/>
            <w:szCs w:val="20"/>
          </w:rPr>
          <w:t>Graf č. 9: Dluh a stav peněžních prostředků na bankovních účtech za územní rozpočty celkem (mld.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_Toc66717174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36</w:t>
        </w:r>
        <w:r w:rsidR="00231D56" w:rsidRPr="00231D56">
          <w:rPr>
            <w:noProof/>
            <w:webHidden/>
            <w:sz w:val="20"/>
            <w:szCs w:val="20"/>
          </w:rPr>
          <w:fldChar w:fldCharType="end"/>
        </w:r>
      </w:hyperlink>
    </w:p>
    <w:p w:rsidR="00231D56" w:rsidRPr="00231D56" w:rsidRDefault="000F3CAF" w:rsidP="00231D56">
      <w:pPr>
        <w:pStyle w:val="Seznamobrzk"/>
        <w:tabs>
          <w:tab w:val="right" w:leader="dot" w:pos="9628"/>
        </w:tabs>
        <w:spacing w:before="0"/>
        <w:rPr>
          <w:rFonts w:eastAsiaTheme="minorEastAsia"/>
          <w:noProof/>
          <w:sz w:val="20"/>
          <w:szCs w:val="20"/>
          <w:lang w:eastAsia="cs-CZ"/>
        </w:rPr>
      </w:pPr>
      <w:hyperlink w:anchor="_Toc66717175" w:history="1">
        <w:r w:rsidR="00231D56" w:rsidRPr="00231D56">
          <w:rPr>
            <w:rStyle w:val="Hypertextovodkaz"/>
            <w:noProof/>
            <w:sz w:val="20"/>
            <w:szCs w:val="20"/>
          </w:rPr>
          <w:t>Graf č. 10: Dluh obcí a krajů (mld. Kč)</w:t>
        </w:r>
        <w:r w:rsidR="00231D56" w:rsidRPr="00231D56">
          <w:rPr>
            <w:noProof/>
            <w:webHidden/>
            <w:sz w:val="20"/>
            <w:szCs w:val="20"/>
          </w:rPr>
          <w:tab/>
        </w:r>
        <w:r w:rsidR="00231D56" w:rsidRPr="00231D56">
          <w:rPr>
            <w:noProof/>
            <w:webHidden/>
            <w:sz w:val="20"/>
            <w:szCs w:val="20"/>
          </w:rPr>
          <w:fldChar w:fldCharType="begin"/>
        </w:r>
        <w:r w:rsidR="00231D56" w:rsidRPr="00231D56">
          <w:rPr>
            <w:noProof/>
            <w:webHidden/>
            <w:sz w:val="20"/>
            <w:szCs w:val="20"/>
          </w:rPr>
          <w:instrText xml:space="preserve"> PAGEREF _Toc66717175 \h </w:instrText>
        </w:r>
        <w:r w:rsidR="00231D56" w:rsidRPr="00231D56">
          <w:rPr>
            <w:noProof/>
            <w:webHidden/>
            <w:sz w:val="20"/>
            <w:szCs w:val="20"/>
          </w:rPr>
        </w:r>
        <w:r w:rsidR="00231D56" w:rsidRPr="00231D56">
          <w:rPr>
            <w:noProof/>
            <w:webHidden/>
            <w:sz w:val="20"/>
            <w:szCs w:val="20"/>
          </w:rPr>
          <w:fldChar w:fldCharType="separate"/>
        </w:r>
        <w:r w:rsidR="00834F9D">
          <w:rPr>
            <w:noProof/>
            <w:webHidden/>
            <w:sz w:val="20"/>
            <w:szCs w:val="20"/>
          </w:rPr>
          <w:t>38</w:t>
        </w:r>
        <w:r w:rsidR="00231D56" w:rsidRPr="00231D56">
          <w:rPr>
            <w:noProof/>
            <w:webHidden/>
            <w:sz w:val="20"/>
            <w:szCs w:val="20"/>
          </w:rPr>
          <w:fldChar w:fldCharType="end"/>
        </w:r>
      </w:hyperlink>
    </w:p>
    <w:p w:rsidR="00BC4C51" w:rsidRPr="00231D56" w:rsidRDefault="003923B9" w:rsidP="00231D56">
      <w:pPr>
        <w:pStyle w:val="Seznamobrzk"/>
        <w:tabs>
          <w:tab w:val="right" w:leader="dot" w:pos="9628"/>
        </w:tabs>
        <w:spacing w:before="0"/>
        <w:rPr>
          <w:sz w:val="20"/>
          <w:szCs w:val="20"/>
        </w:rPr>
      </w:pPr>
      <w:r w:rsidRPr="00231D56">
        <w:rPr>
          <w:rFonts w:ascii="Calibri" w:hAnsi="Calibri"/>
          <w:sz w:val="20"/>
          <w:szCs w:val="20"/>
        </w:rPr>
        <w:fldChar w:fldCharType="end"/>
      </w:r>
    </w:p>
    <w:p w:rsidR="00626D52" w:rsidRPr="00231D56" w:rsidRDefault="00626D52" w:rsidP="00825527">
      <w:pPr>
        <w:spacing w:before="0"/>
        <w:jc w:val="left"/>
        <w:rPr>
          <w:sz w:val="20"/>
          <w:szCs w:val="20"/>
        </w:rPr>
        <w:sectPr w:rsidR="00626D52" w:rsidRPr="00231D56" w:rsidSect="0010483A">
          <w:footerReference w:type="default" r:id="rId8"/>
          <w:pgSz w:w="11906" w:h="16838"/>
          <w:pgMar w:top="1134" w:right="1134" w:bottom="1134" w:left="1134" w:header="709" w:footer="709" w:gutter="0"/>
          <w:cols w:space="708"/>
          <w:docGrid w:linePitch="360"/>
        </w:sectPr>
      </w:pPr>
    </w:p>
    <w:p w:rsidR="007740BE" w:rsidRDefault="007740BE" w:rsidP="007740BE">
      <w:pPr>
        <w:pStyle w:val="Bezmezer"/>
      </w:pPr>
      <w:bookmarkStart w:id="1" w:name="_Toc35945595"/>
      <w:bookmarkStart w:id="2" w:name="_Toc66717097"/>
      <w:bookmarkStart w:id="3" w:name="_Toc378076269"/>
      <w:bookmarkStart w:id="4" w:name="_Toc378076660"/>
      <w:bookmarkStart w:id="5" w:name="_Toc378076708"/>
      <w:bookmarkStart w:id="6" w:name="_Toc35600634"/>
      <w:r>
        <w:lastRenderedPageBreak/>
        <w:t>Informace o hlavních výsledcích hospodaření</w:t>
      </w:r>
      <w:r w:rsidRPr="008105B0">
        <w:t xml:space="preserve"> státních fondů</w:t>
      </w:r>
      <w:r>
        <w:t xml:space="preserve"> ČR</w:t>
      </w:r>
      <w:bookmarkEnd w:id="1"/>
      <w:bookmarkEnd w:id="2"/>
    </w:p>
    <w:p w:rsidR="007740BE" w:rsidRDefault="007740BE" w:rsidP="00AE3ACD">
      <w:pPr>
        <w:pStyle w:val="Nadpis1"/>
      </w:pPr>
      <w:bookmarkStart w:id="7" w:name="_Toc35945596"/>
      <w:bookmarkStart w:id="8" w:name="_Toc66717098"/>
      <w:r>
        <w:t>Souhrnná charakteristika hospodaření státních fondů</w:t>
      </w:r>
      <w:bookmarkEnd w:id="7"/>
      <w:bookmarkEnd w:id="8"/>
    </w:p>
    <w:p w:rsidR="00F51756" w:rsidRDefault="00F51756" w:rsidP="00F51756">
      <w:r w:rsidRPr="007D296B">
        <w:t>Hospod</w:t>
      </w:r>
      <w:r>
        <w:t>aření státních fondů za rok 2020 skončilo kreditním saldem v úhrnné výši 4,2</w:t>
      </w:r>
      <w:r w:rsidRPr="007D296B">
        <w:t xml:space="preserve"> mld. Kč. Propad skutečných příjmů oproti rozpočtovaným hodnotám je </w:t>
      </w:r>
      <w:r w:rsidRPr="00EA0FF5">
        <w:t>důsledkem nižšího čerpání dotací z prostředků státního rozpočtu.</w:t>
      </w:r>
      <w:r w:rsidRPr="007D296B">
        <w:t xml:space="preserve"> Tyto dotace, určené pro krytí části výdajů jednotlivých státních fondů, byly čerpány v </w:t>
      </w:r>
      <w:r w:rsidRPr="00EA0FF5">
        <w:t>úhrnném rozsahu cca 136,4 mld. Kč, což představovalo 89,6 % z celkové rozpočtované částky 152,2 mld. Kč.</w:t>
      </w:r>
      <w:r w:rsidRPr="007D296B">
        <w:t xml:space="preserve"> Naopak se podařilo překročit rozpočtované daňové i nedaňové příjmy. Rozpočet daňových příjmů byl splněn na</w:t>
      </w:r>
      <w:r>
        <w:t xml:space="preserve"> 103,0</w:t>
      </w:r>
      <w:r w:rsidRPr="007D296B">
        <w:t xml:space="preserve"> %, v případě nedaňových </w:t>
      </w:r>
      <w:r>
        <w:t>příjmů na 106,9 %. Současně většina</w:t>
      </w:r>
      <w:r w:rsidRPr="00CC4DD6">
        <w:t xml:space="preserve"> státní</w:t>
      </w:r>
      <w:r>
        <w:t>ch fondů</w:t>
      </w:r>
      <w:r w:rsidRPr="00CC4DD6">
        <w:t xml:space="preserve"> </w:t>
      </w:r>
      <w:r>
        <w:t>(</w:t>
      </w:r>
      <w:r w:rsidRPr="00041338">
        <w:t>s výjimkou Státního fondu kultury a Státního fondu kinematografie), v úhrnu poměrně výrazně, a to o 30,4 mld. Kč, redukovala</w:t>
      </w:r>
      <w:r w:rsidRPr="00CC4DD6">
        <w:t xml:space="preserve"> výši skutečných výdajů oproti č</w:t>
      </w:r>
      <w:r>
        <w:t>ástkám rozpočtovaným na rok 2020</w:t>
      </w:r>
      <w:r w:rsidRPr="00CC4DD6">
        <w:t xml:space="preserve">. Nedočerpání rozpočtovaných výdajů se týkalo jak kategorie kapitálových výdajů, kde celková úspora vůči upravenému rozpočtu </w:t>
      </w:r>
      <w:r w:rsidRPr="00041338">
        <w:t xml:space="preserve">činila 13,9 mld. Kč (tj. 14,6 %), tak i běžných výdajů s celkovou úsporou 16,5 mld. Kč (tj. 15,7 </w:t>
      </w:r>
      <w:r w:rsidRPr="008F73B0">
        <w:t xml:space="preserve">%). Celkovou výši dosaženého výsledného přebytku hospodaření státních fondů ovlivnilo zejména kladné saldo příjmů a výdajů Státního </w:t>
      </w:r>
      <w:r w:rsidRPr="00CA3FCC">
        <w:t>zemědělského intervenčního fondu (4,4 mld. Kč), Státního fondu dopravní infrastruktury (1,6 mld. Kč) a v menší míře pak Státního fondu kultury (12,8 mil. Kč).</w:t>
      </w:r>
      <w:r>
        <w:t xml:space="preserve"> </w:t>
      </w:r>
      <w:r w:rsidRPr="008F73B0">
        <w:t>Záporným výsledkem skončilo naopak hospodaření Státního fondu podpory investic (0,7 mld. Kč), Státníh</w:t>
      </w:r>
      <w:r>
        <w:t>o fondu životního prostředí (0,8</w:t>
      </w:r>
      <w:r w:rsidRPr="008F73B0">
        <w:t xml:space="preserve"> mld. Kč) a Státního fondu kinematografie (0,2 mld. Kč)</w:t>
      </w:r>
      <w:r>
        <w:t>.</w:t>
      </w:r>
      <w:r w:rsidRPr="008F73B0">
        <w:t xml:space="preserve"> </w:t>
      </w:r>
      <w:r>
        <w:t>Obecně lze konstatovat, že na hospodaření státních fondů se v roce 2020 podílely i mimořádné dopady pandemie SARS COV-19.</w:t>
      </w:r>
    </w:p>
    <w:p w:rsidR="00F51756" w:rsidRPr="00B201EB" w:rsidRDefault="00F51756" w:rsidP="00F51756">
      <w:pPr>
        <w:pStyle w:val="Nzev"/>
      </w:pPr>
      <w:bookmarkStart w:id="9" w:name="_Toc66717140"/>
      <w:r>
        <w:t xml:space="preserve">Tabulka č. </w:t>
      </w:r>
      <w:fldSimple w:instr=" SEQ Tabulka_č. \* ARABIC ">
        <w:r>
          <w:rPr>
            <w:noProof/>
          </w:rPr>
          <w:t>1</w:t>
        </w:r>
      </w:fldSimple>
      <w:r>
        <w:t>:</w:t>
      </w:r>
      <w:r w:rsidRPr="00D46781">
        <w:t xml:space="preserve"> Přehled ukazatelů finančního hospodaření státních fondů (mil</w:t>
      </w:r>
      <w:r>
        <w:t>.</w:t>
      </w:r>
      <w:r w:rsidRPr="00D46781">
        <w:t xml:space="preserve"> Kč)</w:t>
      </w:r>
      <w:bookmarkEnd w:id="9"/>
    </w:p>
    <w:p w:rsidR="00F51756" w:rsidRPr="00E62E1A" w:rsidRDefault="000F2E19" w:rsidP="00F51756">
      <w:pPr>
        <w:pStyle w:val="Tabgraf"/>
      </w:pPr>
      <w:r w:rsidRPr="000F2E19">
        <w:rPr>
          <w:noProof/>
          <w:lang w:eastAsia="cs-CZ"/>
        </w:rPr>
        <w:drawing>
          <wp:inline distT="0" distB="0" distL="0" distR="0" wp14:anchorId="7CEF569E" wp14:editId="4A54FA69">
            <wp:extent cx="5305425" cy="3124200"/>
            <wp:effectExtent l="0" t="0" r="9525" b="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5425" cy="3124200"/>
                    </a:xfrm>
                    <a:prstGeom prst="rect">
                      <a:avLst/>
                    </a:prstGeom>
                    <a:noFill/>
                    <a:ln>
                      <a:noFill/>
                    </a:ln>
                  </pic:spPr>
                </pic:pic>
              </a:graphicData>
            </a:graphic>
          </wp:inline>
        </w:drawing>
      </w:r>
    </w:p>
    <w:p w:rsidR="00F51756" w:rsidRPr="00D46781" w:rsidRDefault="00F51756" w:rsidP="00F51756">
      <w:pPr>
        <w:pStyle w:val="Podnadpis"/>
      </w:pPr>
      <w:r w:rsidRPr="00D46781">
        <w:t>Zdroj: MF</w:t>
      </w:r>
    </w:p>
    <w:p w:rsidR="00F51756" w:rsidRDefault="00F51756" w:rsidP="00F51756">
      <w:pPr>
        <w:pStyle w:val="Nadpis1"/>
      </w:pPr>
      <w:bookmarkStart w:id="10" w:name="_Toc35945597"/>
      <w:bookmarkStart w:id="11" w:name="_Toc66717099"/>
      <w:r>
        <w:t>Státní fond životního prostředí České republiky</w:t>
      </w:r>
      <w:bookmarkEnd w:id="10"/>
      <w:bookmarkEnd w:id="11"/>
    </w:p>
    <w:p w:rsidR="00F51756" w:rsidRDefault="00F51756" w:rsidP="00F51756">
      <w:r w:rsidRPr="0006472B">
        <w:t xml:space="preserve">Státní fond životního prostředí </w:t>
      </w:r>
      <w:r>
        <w:t xml:space="preserve">České republiky </w:t>
      </w:r>
      <w:r w:rsidRPr="0006472B">
        <w:t xml:space="preserve">(dále SFŽP) jako aktivní nástroj uplatňování státní environmentální politiky představuje významný zdroj mimorozpočtových prostředků v oblasti podpory ochrany a zlepšování životního prostředí České republiky. </w:t>
      </w:r>
      <w:r>
        <w:t xml:space="preserve">SFŽP i v roce 2020 vykonával činnosti zprostředkujícího </w:t>
      </w:r>
      <w:r w:rsidRPr="00284237">
        <w:t xml:space="preserve">subjektu Operačního programu Životní prostředí 2014-2020 (dále OPŽP). </w:t>
      </w:r>
      <w:r w:rsidRPr="00EC43FC">
        <w:t>V rámci tohoto programu SFŽP jako správce Inovativních finančních nástrojů (dále IFN) poskytoval podporu formou zvýhodněných půjček z evropských fondů, kombinovaných s dotací SFŽP. Příjem</w:t>
      </w:r>
      <w:r>
        <w:t xml:space="preserve"> žádostí na kofinancování projektů OPŽP byl v roce 2020 ukončen, současně však probíhala příprava nového programu na období 2021 až 2027. </w:t>
      </w:r>
      <w:r w:rsidRPr="00F02EF0">
        <w:t>SFŽP nadále administrov</w:t>
      </w:r>
      <w:r>
        <w:t xml:space="preserve">al program Nová zelená úsporám a pokračoval </w:t>
      </w:r>
      <w:r w:rsidRPr="00F02EF0">
        <w:t>rovněž</w:t>
      </w:r>
      <w:r>
        <w:t xml:space="preserve"> ve </w:t>
      </w:r>
      <w:r>
        <w:lastRenderedPageBreak/>
        <w:t>zprostředkování</w:t>
      </w:r>
      <w:r w:rsidRPr="00F02EF0">
        <w:t xml:space="preserve"> programu „Životní prostředí, ekosystémy a změny klimat</w:t>
      </w:r>
      <w:r>
        <w:t>u“, spolufinancovaného z </w:t>
      </w:r>
      <w:r w:rsidRPr="00F02EF0">
        <w:t>finančního mechanismu Norska (tzv. Norské fond</w:t>
      </w:r>
      <w:r w:rsidRPr="00EC43FC">
        <w:t>y). Program je zaměřen na zlepšení stavu ekosystémů a snížení nepříznivých důsledků znečištění a jiné lidské činnosti a dále na zmírnění změny klimatu</w:t>
      </w:r>
      <w:r>
        <w:t xml:space="preserve"> a jejích dopadů</w:t>
      </w:r>
      <w:r w:rsidRPr="00267D9F">
        <w:t xml:space="preserve">. </w:t>
      </w:r>
    </w:p>
    <w:p w:rsidR="00F51756" w:rsidRDefault="00F51756" w:rsidP="00F51756">
      <w:r w:rsidRPr="002058B7">
        <w:t>Celkové výdaje na smluvní akce, jejichž vyplacení zajistil SFŽP v roce 2020, dosáhly výše 15,5 mld. Kč, z toho dotace z rozpočtu SFŽP činily cca 1,9 mld. Kč a půjčky cca 0,3 mld. Kč. Výdaje v úhrnné výši 13,3 mld. Kč jsou vykazovány ve výdajích rozpočtové kapitoly 315 - Ministerstvo životního prostředí.</w:t>
      </w:r>
      <w:r w:rsidRPr="000B5903">
        <w:t xml:space="preserve"> </w:t>
      </w:r>
    </w:p>
    <w:p w:rsidR="00F51756" w:rsidRPr="00284237" w:rsidRDefault="00F51756" w:rsidP="00F51756">
      <w:pPr>
        <w:rPr>
          <w:highlight w:val="yellow"/>
        </w:rPr>
      </w:pPr>
      <w:r w:rsidRPr="00ED1916">
        <w:t>Rozpočet příjmů SFŽP, stanove</w:t>
      </w:r>
      <w:r>
        <w:t>ný v roce 2020</w:t>
      </w:r>
      <w:r w:rsidRPr="00ED1916">
        <w:t xml:space="preserve"> na</w:t>
      </w:r>
      <w:r>
        <w:t xml:space="preserve"> 1 602,7 mil. Kč, byl splněn na 122</w:t>
      </w:r>
      <w:r w:rsidRPr="00ED1916">
        <w:t>,</w:t>
      </w:r>
      <w:r>
        <w:t>8 </w:t>
      </w:r>
      <w:r w:rsidRPr="00ED1916">
        <w:t>%, skutečné příjmy přitom činily</w:t>
      </w:r>
      <w:r>
        <w:t xml:space="preserve"> 1 968,1</w:t>
      </w:r>
      <w:r w:rsidRPr="00ED1916">
        <w:t xml:space="preserve"> mil. Kč. </w:t>
      </w:r>
      <w:r>
        <w:t xml:space="preserve">Tento výsledek </w:t>
      </w:r>
      <w:r w:rsidRPr="001877BB">
        <w:t>zajistily zejména zvýšené příjmy z poplatků za znečišťování ovzduší, za odběr podzemní vody a vypouštění odpadních vod do vod povrchových a poplatky za zábor zemědělské a lesní půdy</w:t>
      </w:r>
      <w:r w:rsidRPr="00D71D05">
        <w:t>. N</w:t>
      </w:r>
      <w:r w:rsidRPr="001877BB">
        <w:t xml:space="preserve">a plnění příjmů rozpočtu SFŽP se </w:t>
      </w:r>
      <w:r>
        <w:t xml:space="preserve">tak </w:t>
      </w:r>
      <w:r w:rsidRPr="001877BB">
        <w:t xml:space="preserve">nejvíce podílely </w:t>
      </w:r>
      <w:r w:rsidRPr="00221366">
        <w:t>příjmy z poplatků za znečišťování životního prostředí ve výši 1 323,9 mil. Kč (vč. pokut a finančních postihů), které představovaly 67,3 % celkových příjmů. Z jednotlivých</w:t>
      </w:r>
      <w:r w:rsidRPr="00D71D05">
        <w:t xml:space="preserve"> složek životního prostředí se poplatky vztahovaly zejména ke znečišťování ovzduší, podzemních vod, přírody a likvidaci autovraků. </w:t>
      </w:r>
      <w:r w:rsidRPr="00284237">
        <w:t xml:space="preserve">Další příjmy pak tvořily především dotace ze státního rozpočtu na úhradu výdajů spojených s financováním programů </w:t>
      </w:r>
      <w:r>
        <w:t>(461,2</w:t>
      </w:r>
      <w:r w:rsidRPr="00284237">
        <w:t xml:space="preserve"> mil. Kč</w:t>
      </w:r>
      <w:r w:rsidRPr="00D240A3">
        <w:t xml:space="preserve">), prostředky z Národního fondu na refundaci výdajů na administraci Norských fondů (3,7 mil. Kč) a splátky dříve poskytnutých půjček včetně úroků </w:t>
      </w:r>
      <w:r>
        <w:t>(168</w:t>
      </w:r>
      <w:r w:rsidRPr="00D240A3">
        <w:t>,</w:t>
      </w:r>
      <w:r>
        <w:t>1</w:t>
      </w:r>
      <w:r w:rsidRPr="00D240A3">
        <w:t> mil. Kč).</w:t>
      </w:r>
    </w:p>
    <w:p w:rsidR="00F51756" w:rsidRPr="00EC29F0" w:rsidRDefault="00F51756" w:rsidP="00F51756">
      <w:r w:rsidRPr="00EC6813">
        <w:t>Z celkových realizova</w:t>
      </w:r>
      <w:r>
        <w:t>ných výdajů SFŽP v rozsahu cca 2,8</w:t>
      </w:r>
      <w:r w:rsidRPr="00EC6813">
        <w:t xml:space="preserve"> mld. Kč, tvořily významnou část výdaje na smluvní akce</w:t>
      </w:r>
      <w:r w:rsidRPr="00E90C8A">
        <w:t xml:space="preserve">, </w:t>
      </w:r>
      <w:r w:rsidRPr="0038397A">
        <w:t xml:space="preserve">které dosáhly výše 2 236,0 mil. Kč, (tj. 80,5 % z celkových výdajů). Formou dotací bylo uvolněno plných 1 926,2 mil. Kč (tj. 86,1 %) a návratnou formou podpory (půjčky) zbývajících 309,8 mil. Kč (tj. 13,9 %). Rozhodující podíl přitom měly dotace a půjčky zaměřené na podporu aktivit v oblasti </w:t>
      </w:r>
      <w:r w:rsidRPr="00E34D3E">
        <w:t>ochrany vod (ce</w:t>
      </w:r>
      <w:r>
        <w:t>lkem 1 </w:t>
      </w:r>
      <w:r w:rsidRPr="00E34D3E">
        <w:t xml:space="preserve">091,8 mil. Kč). V roce 2020 </w:t>
      </w:r>
      <w:r>
        <w:t>byl ukončen příjem žádostí o poskytnut</w:t>
      </w:r>
      <w:r w:rsidRPr="00E34D3E">
        <w:t>í podpory jednotlivým projektům v rámci OPŽP, kofinancovaného z Fondu soudržnosti a Evropsk</w:t>
      </w:r>
      <w:r>
        <w:t>ého fondu pro regionální rozvoj</w:t>
      </w:r>
      <w:r w:rsidRPr="00E34D3E">
        <w:t>.</w:t>
      </w:r>
      <w:r>
        <w:t xml:space="preserve"> Současně byl připravován nový Operační program Životní prostředí 2021 – 2027,</w:t>
      </w:r>
      <w:r w:rsidRPr="00D963A7">
        <w:t xml:space="preserve"> </w:t>
      </w:r>
      <w:r w:rsidRPr="00E34D3E">
        <w:t>j</w:t>
      </w:r>
      <w:r>
        <w:t>ehož cílem je ochrana a zajištění kvalitního</w:t>
      </w:r>
      <w:r w:rsidRPr="00E34D3E">
        <w:t xml:space="preserve"> životního prostředí</w:t>
      </w:r>
      <w:r>
        <w:t>, podpora efektivního využívání zdrojů a omezení negativních dopadů lidské činnosti na životní prostředí a změnu klimatu.</w:t>
      </w:r>
      <w:r w:rsidRPr="00E34D3E">
        <w:t xml:space="preserve"> </w:t>
      </w:r>
      <w:r w:rsidRPr="00EA22AA">
        <w:t>Celkem bylo v roce 2020 v rámci podpory projektů OPŽP poskytnuto ze zdrojů SFŽP formou půjčky celkem 163,1 mil. Kč</w:t>
      </w:r>
      <w:r w:rsidRPr="00A517D5">
        <w:t xml:space="preserve">. SFŽP jako správce Inovativních finančních nástrojů poskytl jako kofinancování zvýhodněných půjček z evropských fondů (celkem 108,5 mil. Kč) </w:t>
      </w:r>
      <w:r>
        <w:t xml:space="preserve">konečným příjemcům </w:t>
      </w:r>
      <w:r w:rsidRPr="00A517D5">
        <w:t>dotace v úhrnné výši 36,8 mil. Kč</w:t>
      </w:r>
      <w:r w:rsidRPr="00232D17">
        <w:t>. V rámci národního programu Životní prostředí, určeného zejména pro města a obce, poskytl SFŽP podporu v celkové výši 1 369,4 mil. Kč. Vyplacené</w:t>
      </w:r>
      <w:r w:rsidRPr="00990C73">
        <w:t xml:space="preserve"> prostředky byly určeny na efektivní a šetrné využívání přírodních zdrojů, nápravu negativních dopadů lidské činnosti a zmírňování dopadů klimatických změn včetně preventivních </w:t>
      </w:r>
      <w:r w:rsidRPr="00232D17">
        <w:t xml:space="preserve">opatření. Směřovaly prioritně do oblastí životního prostředí měst a obcí, do vodního hospodářství, ochrany ovzduší a nakládání s odpady. </w:t>
      </w:r>
      <w:r w:rsidRPr="00990C73">
        <w:t>V tzv. kotlíkovém programu bylo v roce 2020 z prostředků SFŽP</w:t>
      </w:r>
      <w:r>
        <w:t xml:space="preserve"> proplaceno celkem 517,6 mil. </w:t>
      </w:r>
      <w:r w:rsidRPr="00264BC8">
        <w:t>Kč</w:t>
      </w:r>
      <w:r>
        <w:t xml:space="preserve"> jako dotace a 37,2</w:t>
      </w:r>
      <w:r w:rsidR="00376CC5">
        <w:t> </w:t>
      </w:r>
      <w:r>
        <w:t>mil. Kč formou půjčky</w:t>
      </w:r>
      <w:r w:rsidRPr="008B3ADD">
        <w:t xml:space="preserve">. V programu Nová zelená úsporám, která je zaměřená na úspory energie a efektivní využití obnovitelných zdrojů energie při výstavbě rodinných a bytových domů a budov veřejného sektoru, byly v roce 2020 podpory vypláceny z prostředků státního rozpočtu, z kapitoly 315 – MŽP. Program Nová zelená úsporám navazuje na předchozí programy Zelená úsporám a Nová zelená úsporám 2013. </w:t>
      </w:r>
    </w:p>
    <w:p w:rsidR="00F51756" w:rsidRDefault="00F51756" w:rsidP="00F51756">
      <w:r>
        <w:t>K 31. 12. 2020</w:t>
      </w:r>
      <w:r w:rsidRPr="009F054F">
        <w:t xml:space="preserve"> vykázal SFŽP zůstatek peněžních prostředků na bankovních účtech</w:t>
      </w:r>
      <w:r>
        <w:t xml:space="preserve"> (vč. FKSP) ve </w:t>
      </w:r>
      <w:r w:rsidRPr="00453DC1">
        <w:t>výši 6 454,3</w:t>
      </w:r>
      <w:r>
        <w:t> </w:t>
      </w:r>
      <w:r w:rsidRPr="00524F42">
        <w:t>mil. Kč.</w:t>
      </w:r>
      <w:r>
        <w:t xml:space="preserve"> </w:t>
      </w:r>
    </w:p>
    <w:p w:rsidR="00F51756" w:rsidRPr="006B32C7" w:rsidRDefault="00F51756" w:rsidP="00F51756">
      <w:pPr>
        <w:pStyle w:val="Nzev"/>
        <w:rPr>
          <w:sz w:val="28"/>
          <w:szCs w:val="28"/>
        </w:rPr>
      </w:pPr>
      <w:bookmarkStart w:id="12" w:name="_Toc66717141"/>
      <w:r>
        <w:lastRenderedPageBreak/>
        <w:t xml:space="preserve">Tabulka č. </w:t>
      </w:r>
      <w:fldSimple w:instr=" SEQ Tabulka_č. \* ARABIC ">
        <w:r>
          <w:rPr>
            <w:noProof/>
          </w:rPr>
          <w:t>2</w:t>
        </w:r>
      </w:fldSimple>
      <w:r>
        <w:t>: Příjmy a výdaje Státního fondu životního prostředí (tis. Kč)</w:t>
      </w:r>
      <w:bookmarkEnd w:id="12"/>
    </w:p>
    <w:p w:rsidR="00F51756" w:rsidRPr="004F392B" w:rsidRDefault="00620E08" w:rsidP="00F51756">
      <w:pPr>
        <w:pStyle w:val="Tabgraf"/>
      </w:pPr>
      <w:r w:rsidRPr="00620E08">
        <w:rPr>
          <w:noProof/>
          <w:lang w:eastAsia="cs-CZ"/>
        </w:rPr>
        <w:drawing>
          <wp:inline distT="0" distB="0" distL="0" distR="0">
            <wp:extent cx="5831205" cy="2493010"/>
            <wp:effectExtent l="0" t="0" r="0" b="254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31205" cy="2493010"/>
                    </a:xfrm>
                    <a:prstGeom prst="rect">
                      <a:avLst/>
                    </a:prstGeom>
                    <a:noFill/>
                    <a:ln>
                      <a:noFill/>
                    </a:ln>
                  </pic:spPr>
                </pic:pic>
              </a:graphicData>
            </a:graphic>
          </wp:inline>
        </w:drawing>
      </w:r>
    </w:p>
    <w:p w:rsidR="00F51756" w:rsidRDefault="00F51756" w:rsidP="00F51756">
      <w:pPr>
        <w:pStyle w:val="Podnadpis"/>
      </w:pPr>
      <w:r w:rsidRPr="00C945FE">
        <w:t>Zdroj: SFŽP</w:t>
      </w:r>
    </w:p>
    <w:p w:rsidR="00F51756" w:rsidRPr="00AC4DD8" w:rsidRDefault="00F51756" w:rsidP="00F51756">
      <w:pPr>
        <w:pStyle w:val="Nadpis1"/>
      </w:pPr>
      <w:bookmarkStart w:id="13" w:name="_Toc35945598"/>
      <w:bookmarkStart w:id="14" w:name="_Toc66717100"/>
      <w:r w:rsidRPr="00AC4DD8">
        <w:t>Státní zemědělský intervenční fond</w:t>
      </w:r>
      <w:bookmarkEnd w:id="13"/>
      <w:bookmarkEnd w:id="14"/>
    </w:p>
    <w:p w:rsidR="00F51756" w:rsidRPr="00C11A23" w:rsidRDefault="00F51756" w:rsidP="00F51756">
      <w:r w:rsidRPr="009F3115">
        <w:t xml:space="preserve">Státní zemědělský intervenční fond (dále SZIF) svojí činností přispívá k plnění závazků vyplývajících ze Společné zemědělské </w:t>
      </w:r>
      <w:r w:rsidRPr="004D6191">
        <w:t>politiky. V průběhu roku 2020 se uskutečnily změny schváleného rozpočtu SZIF, které se týkaly výše zdrojů i jejich užití. Celkové zdroje SZIF na financování Společné zemědělské politiky představovaly 41,9 mld. Kč, z toho</w:t>
      </w:r>
      <w:r w:rsidRPr="00C11A23">
        <w:t xml:space="preserve"> 35,0 mld. Kč tvořily prostředky z rozpočtu EU. V roce 2020 byly vyplaceny  podpory ve výši celkem 40,0 mld. Kč, přičemž podíl přímých plateb a přechodných</w:t>
      </w:r>
      <w:r w:rsidRPr="00681410">
        <w:t xml:space="preserve"> vnitrostátních podpor činil 22,7 mld. Kč, z toho 22,1 mld. Kč z rozpočtu EU. U SZIF představovaly dotace ze státního rozpočtu (kapitoly </w:t>
      </w:r>
      <w:proofErr w:type="spellStart"/>
      <w:r w:rsidRPr="00681410">
        <w:t>MZe</w:t>
      </w:r>
      <w:proofErr w:type="spellEnd"/>
      <w:r w:rsidRPr="00681410">
        <w:t>) plných 99,8 % upraveného rozpočtu příjmů. D</w:t>
      </w:r>
      <w:r>
        <w:t xml:space="preserve">aňové </w:t>
      </w:r>
      <w:r w:rsidRPr="00681410">
        <w:t>příjmy nebyly pro rok 2020 rozpočtovány. Nedaňové příjmy v roce 2020 činily 75,2 mil. Kč, nad rámec rozpočtovaných příjmů byly inkasovány kapitálové příjmy z prodeje dlou</w:t>
      </w:r>
      <w:r>
        <w:t>hodobého majetku ve výši cca 1,</w:t>
      </w:r>
      <w:r w:rsidRPr="00AE1FEA">
        <w:t xml:space="preserve">0 mil. Kč. Celkové výdaje SZIF ve výši 43,1 mld. Kč představovaly plnění upraveného rozpočtu na </w:t>
      </w:r>
      <w:r w:rsidRPr="000B617E">
        <w:t xml:space="preserve">69,4 %. Objemově nejvyšší výdaje SZIF při realizaci Společné zemědělské politiky vycházely z příslušných nařízení Evropského parlamentu a Rady (EU) a zahrnovaly zejména přímé platby na plochu zemědělské půdy (11,7 mld. Kč), platby pro zemědělce dodržující postupy příznivé pro životní prostředí – </w:t>
      </w:r>
      <w:proofErr w:type="spellStart"/>
      <w:r w:rsidRPr="000B617E">
        <w:t>greening</w:t>
      </w:r>
      <w:proofErr w:type="spellEnd"/>
      <w:r w:rsidRPr="000B617E">
        <w:t xml:space="preserve"> (6,6 mld. Kč), </w:t>
      </w:r>
      <w:r w:rsidR="000F2E19">
        <w:t>podpory vázané na produkci (3,4 </w:t>
      </w:r>
      <w:r w:rsidRPr="000B617E">
        <w:t xml:space="preserve">mld. Kč) a některé doplňkové </w:t>
      </w:r>
      <w:r w:rsidRPr="00C943DF">
        <w:t>platby a zvláštní podpory (celkem 0,8 mld. Kč). Rozdíl oproti upravenému rozpočtu byl u přímých plateb způsoben zejména změnou struktury dotačních titulů s přechodem na vícesložkovou platbu, což ve svém důsledku zapříčinilo v některých případech opožděné zahájení vydávání rozhodnutí a následně i</w:t>
      </w:r>
      <w:r w:rsidR="00376CC5">
        <w:t> </w:t>
      </w:r>
      <w:r w:rsidRPr="00C943DF">
        <w:t xml:space="preserve">opožděné vyplácení těchto dotací. </w:t>
      </w:r>
      <w:r w:rsidRPr="000B617E">
        <w:t>V rámci společné organizace trhu na finanční podpory, intervenční nákupy, dotace a propagaci zemědělských produktů bylo uvolněno celkem 0,8 mld. Kč, z toho 0,4 mld. Kč z rozpočtu EU. Cílem programu je minimalizovat výkyvy v nabídce vybraných zemědělských komodit, v</w:t>
      </w:r>
      <w:r w:rsidR="00376CC5">
        <w:t> </w:t>
      </w:r>
      <w:r w:rsidRPr="000B617E">
        <w:t xml:space="preserve">cenách placených zemědělcům a stabilizovat ceny pro konečného spotřebitele. Dotace poskytnuté na Program rozvoje venkova včetně tzv. </w:t>
      </w:r>
      <w:r w:rsidRPr="003B05B8">
        <w:t>Horizontálního plánu rozvoje venkova dosáhly celkové výše cca 16,4</w:t>
      </w:r>
      <w:r w:rsidR="00376CC5">
        <w:t> </w:t>
      </w:r>
      <w:r w:rsidRPr="003B05B8">
        <w:t xml:space="preserve">mld. Kč, z toho 10,7 mld. Kč z rozpočtu EU. Program je zaměřen zejména na inovace v zemědělství, posílení a zachování přírodních ekosystémů, podporu inovativních technologií a dobrých podmínek pro zemědělské a lesnické činnosti a </w:t>
      </w:r>
      <w:r w:rsidRPr="00C11A23">
        <w:t>účinného využívání přírodních a energetických zdrojů. Společná rybářská politika je realizována prostřednictvím Operačního programu Rybářství. V roce 2020 bylo vyplaceno celkem 140 schválených žádostí v úhrnné výši 127,6 mil. Kč.</w:t>
      </w:r>
      <w:r>
        <w:t xml:space="preserve"> Od roku 2020 zajišťuje SZIF na základě dohody s Ministerstvem zemědělství rovněž realizaci dotačních programů národních dotací, jejichž hlavním cílem je podpora restrukturalizace a zvýšení konkurenceschopnosti českého agrárního sektoru. V roce 2020 bylo na zemědělské národní dotace vyplaceno celkem 1,1 mld. Kč s tím, že většina dotačních programů z roku 2020 bude vyplacena v prvním čtvrtletí 2021. Na marketingovou podporu značek kvalitních potravin bylo v roce 2020 uvolněno celkem 191,2 mil. Kč.</w:t>
      </w:r>
    </w:p>
    <w:p w:rsidR="00F51756" w:rsidRPr="004D532E" w:rsidRDefault="00F51756" w:rsidP="00F51756">
      <w:pPr>
        <w:rPr>
          <w:highlight w:val="yellow"/>
        </w:rPr>
      </w:pPr>
      <w:r w:rsidRPr="00C11A23">
        <w:t xml:space="preserve">Na správní výdaje byly vynaloženy finanční </w:t>
      </w:r>
      <w:r w:rsidRPr="00D60004">
        <w:t xml:space="preserve">prostředky v úhrnné výši 1,9 mld. Kč, tj. 89,3 % rozpočtované částky. Z toho mzdové náklady vč. plateb na sociální a zdravotní pojištění představovaly cca 961 mil. Kč. </w:t>
      </w:r>
      <w:r w:rsidRPr="00D60004">
        <w:lastRenderedPageBreak/>
        <w:t xml:space="preserve">Úspory byly dosaženy prakticky na všech položkách, vedle mzdových nákladů </w:t>
      </w:r>
      <w:r w:rsidR="000F2E19">
        <w:t>rovněž u nákupu služeb (IT </w:t>
      </w:r>
      <w:r w:rsidRPr="003D2A12">
        <w:t xml:space="preserve">služby vč. programového vybavení, poradenství, poplatky apod.), pořízení hmotného a nehmotného majetku a úhrad energií. </w:t>
      </w:r>
    </w:p>
    <w:p w:rsidR="00F51756" w:rsidRPr="004D532E" w:rsidRDefault="00F51756" w:rsidP="00F51756">
      <w:pPr>
        <w:rPr>
          <w:highlight w:val="yellow"/>
        </w:rPr>
      </w:pPr>
      <w:r w:rsidRPr="003D2A12">
        <w:t>Běžné výdaje fondu, uskutečněné v roce 2020 ve výši 37,2 mld. Kč (tj. na 70,7 %) a současně kapitálové výdaje realizované ve výši 5,9 mld. Kč (tj. na 62,5 %), znamenaly celkovou úsporu čerpání výdajů proti u</w:t>
      </w:r>
      <w:r>
        <w:t xml:space="preserve">pravenému rozpočtu v rozsahu </w:t>
      </w:r>
      <w:r w:rsidRPr="003D2A12">
        <w:t>téměř 19,0 mld. Kč.</w:t>
      </w:r>
    </w:p>
    <w:p w:rsidR="00F51756" w:rsidRPr="00CA7811" w:rsidRDefault="00F51756" w:rsidP="00F51756">
      <w:r w:rsidRPr="00CA7811">
        <w:t xml:space="preserve">Na financování intervenčních nákupů v roce 2020 měl SZIF s Ministerstvem financí smluvně zajištěnou zápůjčku ve výši 226,8 mil. Kč, přičemž skutečné čerpání se týkalo pouze první tranše a činilo 21,0 mil. Kč. Celá čerpaná částka byla ještě v průběhu roku 2020 předčasně splacena z důvodu zlomu vývoje trendu na trhu s mlékem a opadnutí zájmu o intervenční nákupy sušeného odstředěného mléka a intervenční skladování obilovin. SZIF uhradil v roce 2020 úroky ve výši 87 tis. Kč.  </w:t>
      </w:r>
    </w:p>
    <w:p w:rsidR="00F51756" w:rsidRDefault="00F51756" w:rsidP="00F51756">
      <w:r w:rsidRPr="0010412A">
        <w:t>V návaznosti na výsledky hospodaření v roce 2020 došlo k nárůstu peněžn</w:t>
      </w:r>
      <w:r w:rsidR="000F2E19">
        <w:t>ích prostředků na účtech SZIF o </w:t>
      </w:r>
      <w:r w:rsidRPr="0010412A">
        <w:t xml:space="preserve">cca 4,4 mld. Kč, přičemž jejich zůstatek k 31. 12. 2020 </w:t>
      </w:r>
      <w:r w:rsidR="008875B0">
        <w:t>činil 5 598,4</w:t>
      </w:r>
      <w:r w:rsidRPr="009B7544">
        <w:t xml:space="preserve"> mil. Kč.</w:t>
      </w:r>
    </w:p>
    <w:p w:rsidR="00F51756" w:rsidRPr="00F54526" w:rsidRDefault="00F51756" w:rsidP="00F51756">
      <w:pPr>
        <w:pStyle w:val="Nzev"/>
      </w:pPr>
      <w:bookmarkStart w:id="15" w:name="_Toc66717142"/>
      <w:r>
        <w:t xml:space="preserve">Tabulka č. </w:t>
      </w:r>
      <w:fldSimple w:instr=" SEQ Tabulka_č. \* ARABIC ">
        <w:r>
          <w:rPr>
            <w:noProof/>
          </w:rPr>
          <w:t>3</w:t>
        </w:r>
      </w:fldSimple>
      <w:r>
        <w:t>: Příjmy a výdaje Státního zemědělského intervenčního fondu v (tis. Kč)</w:t>
      </w:r>
      <w:bookmarkEnd w:id="15"/>
    </w:p>
    <w:p w:rsidR="00F51756" w:rsidRPr="009F03E4" w:rsidRDefault="00620E08" w:rsidP="00F51756">
      <w:pPr>
        <w:pStyle w:val="Tabgraf"/>
      </w:pPr>
      <w:r w:rsidRPr="00620E08">
        <w:rPr>
          <w:noProof/>
          <w:lang w:eastAsia="cs-CZ"/>
        </w:rPr>
        <w:drawing>
          <wp:inline distT="0" distB="0" distL="0" distR="0">
            <wp:extent cx="5891530" cy="2493010"/>
            <wp:effectExtent l="0" t="0" r="0" b="254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1530" cy="2493010"/>
                    </a:xfrm>
                    <a:prstGeom prst="rect">
                      <a:avLst/>
                    </a:prstGeom>
                    <a:noFill/>
                    <a:ln>
                      <a:noFill/>
                    </a:ln>
                  </pic:spPr>
                </pic:pic>
              </a:graphicData>
            </a:graphic>
          </wp:inline>
        </w:drawing>
      </w:r>
    </w:p>
    <w:p w:rsidR="00F51756" w:rsidRPr="008D765F" w:rsidRDefault="00F51756" w:rsidP="00F51756">
      <w:pPr>
        <w:pStyle w:val="Podnadpis"/>
      </w:pPr>
      <w:r w:rsidRPr="008D765F">
        <w:t>Zdroj: SZIF</w:t>
      </w:r>
    </w:p>
    <w:p w:rsidR="00F51756" w:rsidRPr="006B36BC" w:rsidRDefault="00F51756" w:rsidP="00F51756">
      <w:pPr>
        <w:pStyle w:val="Nadpis1"/>
      </w:pPr>
      <w:bookmarkStart w:id="16" w:name="_Toc35945599"/>
      <w:bookmarkStart w:id="17" w:name="_Toc66717101"/>
      <w:r w:rsidRPr="006B36BC">
        <w:t>Státní fond dopravní infrastruktury</w:t>
      </w:r>
      <w:bookmarkEnd w:id="16"/>
      <w:bookmarkEnd w:id="17"/>
    </w:p>
    <w:p w:rsidR="00F51756" w:rsidRPr="002B5CC7" w:rsidRDefault="00F51756" w:rsidP="00F51756">
      <w:r w:rsidRPr="00B05F02">
        <w:t>Činnost Státního fondu dopravní infrastruktury (dále SFDI) je zaměřena na financování rozvoje, výstavby, údržby a modernizace dopravní infrastruktury s cílem zajistit efektivní</w:t>
      </w:r>
      <w:r>
        <w:t xml:space="preserve"> </w:t>
      </w:r>
      <w:r w:rsidRPr="00B05F02">
        <w:t>a</w:t>
      </w:r>
      <w:r>
        <w:t> </w:t>
      </w:r>
      <w:r w:rsidRPr="00B05F02">
        <w:t>hospodárné čerpání finančních prostředků a zároveň vytvářet podmínky pro financování projektů spolufinancovaných z </w:t>
      </w:r>
      <w:r w:rsidRPr="00E12F1C">
        <w:t xml:space="preserve">Evropských fondů. Schválený rozpočet SFDI byl v průběhu roku na straně příjmů </w:t>
      </w:r>
      <w:r w:rsidRPr="007C2D68">
        <w:t xml:space="preserve">upraven o nespotřebované prostředky dotací z minulých let (tzv. nároky), do rozpočtu byly dále zahrnuty přijaté vratky, sankční platby a příjmy z pronájmu. </w:t>
      </w:r>
      <w:r>
        <w:t>N</w:t>
      </w:r>
      <w:r w:rsidRPr="007C2D68">
        <w:t xml:space="preserve">a základě aktuálního vývoje příjmů z mýtného, silniční daně, dálničních kupónů a spotřební daně </w:t>
      </w:r>
      <w:r>
        <w:t>byl snížen rozpočet těchto příjmů o téměř 4,8 mld. Kč</w:t>
      </w:r>
      <w:r w:rsidRPr="006F0594">
        <w:t>. Schválený rozpočet výdajů SFDI byl v průběhu roku 2020 navýšen o prostředky na úhradu výdajů neuskutečněných v minulých letech (nároky) a na úhradu aktuálně vzniklých potřeb.</w:t>
      </w:r>
    </w:p>
    <w:p w:rsidR="00F51756" w:rsidRPr="009F054F" w:rsidRDefault="00F51756" w:rsidP="00F51756">
      <w:pPr>
        <w:rPr>
          <w:highlight w:val="yellow"/>
        </w:rPr>
      </w:pPr>
      <w:r w:rsidRPr="00C42B30">
        <w:t xml:space="preserve">Celkové skutečně </w:t>
      </w:r>
      <w:r w:rsidRPr="000911BF">
        <w:t>rea</w:t>
      </w:r>
      <w:r>
        <w:t>lizované příjmy SFDI v roce 2020 dosáhly cca 122,3</w:t>
      </w:r>
      <w:r w:rsidRPr="000911BF">
        <w:t xml:space="preserve"> mld. </w:t>
      </w:r>
      <w:r>
        <w:t>Kč, což představuje plnění na 99,2</w:t>
      </w:r>
      <w:r w:rsidRPr="000911BF">
        <w:t xml:space="preserve"> % upraveného rozpočtu. Plnění daňových </w:t>
      </w:r>
      <w:r w:rsidRPr="00D25AFB">
        <w:t xml:space="preserve">příjmů ve výši 17,8 mld. Kč (tj. 101,5 % </w:t>
      </w:r>
      <w:r>
        <w:t>upraveného rozpočtu</w:t>
      </w:r>
      <w:r w:rsidRPr="00D25AFB">
        <w:t xml:space="preserve">) je </w:t>
      </w:r>
      <w:r w:rsidRPr="00AA62D9">
        <w:t>výsledkem vyšších výnosů silniční daně (o 650,9 mil. Kč</w:t>
      </w:r>
      <w:r>
        <w:t>)</w:t>
      </w:r>
      <w:r w:rsidRPr="00AA62D9">
        <w:t xml:space="preserve"> a příjmů ze spotřební daně z minerálních olejů (o</w:t>
      </w:r>
      <w:r w:rsidR="00376CC5">
        <w:t> </w:t>
      </w:r>
      <w:r w:rsidRPr="00AA62D9">
        <w:t>241,0 mil. Kč)</w:t>
      </w:r>
      <w:r>
        <w:t xml:space="preserve"> při současném nižším výnosu z</w:t>
      </w:r>
      <w:r w:rsidRPr="00AA62D9">
        <w:t xml:space="preserve"> poplatků za užívání dálnic a rychlostních komunikací (o 633,9</w:t>
      </w:r>
      <w:r w:rsidR="00376CC5">
        <w:t> </w:t>
      </w:r>
      <w:r w:rsidRPr="00AA62D9">
        <w:t xml:space="preserve">mil. </w:t>
      </w:r>
      <w:r w:rsidRPr="00073A48">
        <w:t xml:space="preserve">Kč). Výnosy z mýtného, které představují značnou část nedaňových příjmů, byly oproti upravenému rozpočtu nižší o 611,8 mil. Kč. </w:t>
      </w:r>
      <w:r w:rsidRPr="00671A72">
        <w:t xml:space="preserve">Z ostatních nedaňových příjmů tvořily </w:t>
      </w:r>
      <w:r>
        <w:t xml:space="preserve">převážnou část </w:t>
      </w:r>
      <w:r w:rsidRPr="00671A72">
        <w:t>přijaté vratky</w:t>
      </w:r>
      <w:r>
        <w:t xml:space="preserve"> transferů</w:t>
      </w:r>
      <w:r w:rsidRPr="00671A72">
        <w:t xml:space="preserve"> a sankční platby </w:t>
      </w:r>
      <w:r>
        <w:t>(</w:t>
      </w:r>
      <w:r w:rsidRPr="00671A72">
        <w:t>celkem cca 6,3 mld. Kč</w:t>
      </w:r>
      <w:r>
        <w:t>) a dále příjmy z pronájmu, propadlé kauce a příjmy za poskytované služby.</w:t>
      </w:r>
      <w:r w:rsidRPr="00D25AFB">
        <w:t xml:space="preserve"> </w:t>
      </w:r>
      <w:r>
        <w:t>Obecně lze konstatovat, že dosažená výše příjmů</w:t>
      </w:r>
      <w:r w:rsidRPr="00D25AFB">
        <w:t xml:space="preserve"> z</w:t>
      </w:r>
      <w:r w:rsidR="000F2E19">
        <w:t xml:space="preserve"> vybraných daní a z </w:t>
      </w:r>
      <w:r>
        <w:t>mýtného byla</w:t>
      </w:r>
      <w:r w:rsidRPr="00D25AFB">
        <w:t xml:space="preserve"> v roce 2</w:t>
      </w:r>
      <w:r>
        <w:t>020 silně ovlivněna</w:t>
      </w:r>
      <w:r w:rsidRPr="00D25AFB">
        <w:t xml:space="preserve"> propadem ekonomického výkonu, dopady opatření zaváděných k zastavení šíření nákazy nemoci COVID-19 a úlevami vyhlášenými vládou ke zmírnění dopadů výše </w:t>
      </w:r>
      <w:r w:rsidRPr="00D25AFB">
        <w:lastRenderedPageBreak/>
        <w:t>uvedených opatř</w:t>
      </w:r>
      <w:r>
        <w:t>ení na daňové poplatníky. V</w:t>
      </w:r>
      <w:r w:rsidRPr="00D25AFB">
        <w:t>e srovnání s rokem 2019</w:t>
      </w:r>
      <w:r>
        <w:t xml:space="preserve"> se výrazně propadly zejména výnosy </w:t>
      </w:r>
      <w:r w:rsidRPr="00D25AFB">
        <w:t xml:space="preserve">ze silniční daně, </w:t>
      </w:r>
      <w:r>
        <w:t xml:space="preserve">přičemž </w:t>
      </w:r>
      <w:r w:rsidRPr="00D25AFB">
        <w:t>hlavním důvodem propadu byl posun splatnosti záloh z podzimu 2020 do roku 2021 na základě vládních opatření.</w:t>
      </w:r>
      <w:r w:rsidRPr="00D95360">
        <w:t xml:space="preserve"> </w:t>
      </w:r>
      <w:r>
        <w:t>Negativně se projevilo rovněž</w:t>
      </w:r>
      <w:r w:rsidRPr="00D25AFB">
        <w:t xml:space="preserve"> </w:t>
      </w:r>
      <w:r>
        <w:t>významné snížení prodeje</w:t>
      </w:r>
      <w:r w:rsidRPr="00D25AFB">
        <w:t xml:space="preserve"> měsíčních</w:t>
      </w:r>
      <w:r>
        <w:t xml:space="preserve"> a desetidenních dálničních kuponů.</w:t>
      </w:r>
    </w:p>
    <w:p w:rsidR="00F51756" w:rsidRPr="00E04E1D" w:rsidRDefault="00F51756" w:rsidP="00F51756">
      <w:r w:rsidRPr="00A32BF4">
        <w:t xml:space="preserve">Dotace ze státního rozpočtu byly </w:t>
      </w:r>
      <w:r w:rsidRPr="005D2F66">
        <w:t>čerpány ve výši 87,2 mld. Kč, tj. na 97,5 %. Čerpání dotací na projekty financované v rámci OPD pro období 2014 - 2020 dosáhlo úrovně cca 18,2 mld. Kč (tj. 92,8 % rozpočtu</w:t>
      </w:r>
      <w:r w:rsidRPr="00DE122E">
        <w:t xml:space="preserve">. Nejlépe se podařilo čerpat v rámci evropských dotací na projekt Nástroj pro propojení Evropy 2014+  (CEF). Finanční prostředky byly čerpány ve výši 98,7 % upraveného </w:t>
      </w:r>
      <w:r w:rsidRPr="00F664B3">
        <w:t>rozpočtu. Dotace</w:t>
      </w:r>
      <w:r w:rsidRPr="00AD7BCA">
        <w:t xml:space="preserve"> na </w:t>
      </w:r>
      <w:r>
        <w:t xml:space="preserve">ostatní </w:t>
      </w:r>
      <w:r w:rsidRPr="00AD7BCA">
        <w:t>projekty Komu</w:t>
      </w:r>
      <w:r>
        <w:t>nitárních programů byly čerpány</w:t>
      </w:r>
      <w:r w:rsidRPr="00F664B3">
        <w:t xml:space="preserve"> </w:t>
      </w:r>
      <w:r w:rsidRPr="00AD7BCA">
        <w:t xml:space="preserve">pouze </w:t>
      </w:r>
      <w:r>
        <w:t xml:space="preserve">v </w:t>
      </w:r>
      <w:r w:rsidRPr="00AD7BCA">
        <w:t>minimální</w:t>
      </w:r>
      <w:r>
        <w:t>ch částkách, což se týkalo projektů</w:t>
      </w:r>
      <w:r w:rsidRPr="00AD7BCA">
        <w:t xml:space="preserve"> </w:t>
      </w:r>
      <w:proofErr w:type="spellStart"/>
      <w:r w:rsidRPr="00AD7BCA">
        <w:t>Crocodile</w:t>
      </w:r>
      <w:proofErr w:type="spellEnd"/>
      <w:r w:rsidRPr="00AD7BCA">
        <w:t xml:space="preserve"> 3, RIS COMEX</w:t>
      </w:r>
      <w:r>
        <w:t>,</w:t>
      </w:r>
      <w:r w:rsidRPr="00AD7BCA">
        <w:t xml:space="preserve"> </w:t>
      </w:r>
      <w:r>
        <w:t>C-</w:t>
      </w:r>
      <w:proofErr w:type="spellStart"/>
      <w:r>
        <w:t>Roads</w:t>
      </w:r>
      <w:proofErr w:type="spellEnd"/>
      <w:r>
        <w:t xml:space="preserve"> CZ </w:t>
      </w:r>
      <w:r w:rsidRPr="00AD7BCA">
        <w:t xml:space="preserve">a </w:t>
      </w:r>
      <w:r>
        <w:t>IDACS</w:t>
      </w:r>
      <w:r w:rsidRPr="00AD7BCA">
        <w:t>. Vzhledem</w:t>
      </w:r>
      <w:r>
        <w:t xml:space="preserve"> k</w:t>
      </w:r>
      <w:r w:rsidRPr="001E7863">
        <w:t xml:space="preserve"> nižším příjmům z daní a mýtného spotřeboval SFDI téměř v plné výši </w:t>
      </w:r>
      <w:r>
        <w:t xml:space="preserve">rovněž </w:t>
      </w:r>
      <w:r w:rsidRPr="001E7863">
        <w:t xml:space="preserve">dotaci na krytí deficitu, která byla Ministerstvem dopravy </w:t>
      </w:r>
      <w:r>
        <w:t>oproti schválenému rozpočtu</w:t>
      </w:r>
      <w:r w:rsidRPr="001E7863">
        <w:t xml:space="preserve"> </w:t>
      </w:r>
      <w:r>
        <w:t>navýšena</w:t>
      </w:r>
      <w:r w:rsidRPr="001E7863">
        <w:t xml:space="preserve"> o 24 mld. Kč</w:t>
      </w:r>
      <w:r>
        <w:t>.</w:t>
      </w:r>
      <w:r w:rsidRPr="001E7863">
        <w:t xml:space="preserve"> </w:t>
      </w:r>
      <w:r>
        <w:t>Č</w:t>
      </w:r>
      <w:r w:rsidRPr="001E7863">
        <w:t xml:space="preserve">erpání </w:t>
      </w:r>
      <w:r>
        <w:t>dotace</w:t>
      </w:r>
      <w:r w:rsidRPr="001E7863">
        <w:t xml:space="preserve"> na krytí deficitu dosáhlo 98,8 %. </w:t>
      </w:r>
    </w:p>
    <w:p w:rsidR="00F51756" w:rsidRPr="002B5CC7" w:rsidRDefault="00F51756" w:rsidP="00F51756">
      <w:r w:rsidRPr="00190AB9">
        <w:t xml:space="preserve">Skutečné výdaje SFDI v roce 2020 dosáhly celkové částky 120,7 mld. Kč (tj. 93,2 % rozpočtu), z toho investiční výdaje činily 72,6 mld. Kč (tj. 90,2 %) a neinvestiční výdaje 48,1 mld. Kč (tj. 98,2 %). </w:t>
      </w:r>
      <w:r w:rsidRPr="006D69B0">
        <w:t>Prostředky z rozpočtu SFDI byly v roce 2020 směrovány příjemcům na jednotlivé projekty především z oblasti rozvoje a údržby pozemních komunikací (61,3 mld. Kč</w:t>
      </w:r>
      <w:r>
        <w:t>, tj. 96,4 %</w:t>
      </w:r>
      <w:r w:rsidRPr="006D69B0">
        <w:t>), železniční dopravy (53,2 mld. Kč</w:t>
      </w:r>
      <w:r>
        <w:t>, tj. 99,7 %</w:t>
      </w:r>
      <w:r w:rsidRPr="006D69B0">
        <w:t>) a vodních cest (1,6 mld. Kč</w:t>
      </w:r>
      <w:r>
        <w:t>, tj. 94,6 %</w:t>
      </w:r>
      <w:r w:rsidRPr="006D69B0">
        <w:t xml:space="preserve">). </w:t>
      </w:r>
      <w:r w:rsidRPr="009320DB">
        <w:t xml:space="preserve">Stoprocentní plnění oproti minulému roku dosáhla nová odvětví financovaná SFDI </w:t>
      </w:r>
      <w:r>
        <w:t xml:space="preserve">- </w:t>
      </w:r>
      <w:r w:rsidRPr="009320DB">
        <w:t>ek</w:t>
      </w:r>
      <w:r w:rsidRPr="006D7770">
        <w:t xml:space="preserve">ologie v dopravě a zabezpečení letového provozu. V rámci Operačního programu doprava bylo </w:t>
      </w:r>
      <w:r w:rsidRPr="00A3470B">
        <w:t>uvolněno celkem 20,3 mld. Kč, a to převážně na pozemní komunikace (9,9 mld. Kč) a železniční dopravu (10,3 mld. Kč). Z</w:t>
      </w:r>
      <w:r w:rsidRPr="006D7770">
        <w:t xml:space="preserve"> komunitárních programů byl financován zejména projekt Nástroj pro propojení Evropy 2014+ (CEF) v rozsahu téměř 4,5 mld. Kč. </w:t>
      </w:r>
      <w:r w:rsidRPr="00AC59DE">
        <w:t xml:space="preserve">Z rozpočtu SFDI byla uvolněna celková částka cca 6,7 mld. Kč veřejným rozpočtům (kraje, města a obce) na opravy, údržbu a rekonstrukci dopravní infrastruktury (především silniční síť) včetně zvyšování bezpečnosti dopravy a rozvoj nových technologií. </w:t>
      </w:r>
      <w:r w:rsidRPr="006D69B0">
        <w:t>Výdaje aparát</w:t>
      </w:r>
      <w:r>
        <w:t xml:space="preserve">u SFDI </w:t>
      </w:r>
      <w:r w:rsidRPr="00C54E5B">
        <w:t>byly čerpány v rozsahu 564,7 mil. Kč, tj. na 74,8 % rozpočtované částky. Úspory byly vedle nákladů na pořízení majetku (programové vybavení) vykázány zejména v kategorii výdajů na platy a ostatní platby za provedenou práci z důvodu nenaplnění plánovaného stavu zaměstnanců a rovněž výdaje na konzultační, poradenské a právní služby.</w:t>
      </w:r>
      <w:r w:rsidRPr="002B5CC7">
        <w:t xml:space="preserve"> </w:t>
      </w:r>
    </w:p>
    <w:p w:rsidR="00F51756" w:rsidRDefault="00F51756" w:rsidP="00F51756">
      <w:r>
        <w:t>Příjmy SFDI v roce 2020 převyšovaly výdaje o cca 1,6</w:t>
      </w:r>
      <w:r w:rsidRPr="00C3015E">
        <w:t xml:space="preserve"> mld. Kč, peněžní pro</w:t>
      </w:r>
      <w:r>
        <w:t xml:space="preserve">středky na účtech k 31. 12. </w:t>
      </w:r>
      <w:r w:rsidRPr="00A3470B">
        <w:t>2020 dosáhly celkové částky 3 774,8 mil. Kč, přičemž zůstatek na dotačním účtu ve výši 3 129,4 mil. Kč je určen pro potřeby příjemců, které nejsou pokryty rozpočtem na rok 2021. V roce 2020 nečerpal SFDI žádné bankovní úvěry.</w:t>
      </w:r>
    </w:p>
    <w:p w:rsidR="00F51756" w:rsidRDefault="00F51756" w:rsidP="00F51756">
      <w:pPr>
        <w:pStyle w:val="Nzev"/>
      </w:pPr>
      <w:bookmarkStart w:id="18" w:name="_Toc66717143"/>
      <w:r>
        <w:t xml:space="preserve">Tabulka č. </w:t>
      </w:r>
      <w:fldSimple w:instr=" SEQ Tabulka_č. \* ARABIC ">
        <w:r>
          <w:rPr>
            <w:noProof/>
          </w:rPr>
          <w:t>4</w:t>
        </w:r>
      </w:fldSimple>
      <w:r>
        <w:t>:</w:t>
      </w:r>
      <w:r w:rsidRPr="008102EC">
        <w:t xml:space="preserve"> </w:t>
      </w:r>
      <w:r>
        <w:t>Příjmy a výdaje Státního fondu dopravní infrastruktury (tis. Kč)</w:t>
      </w:r>
      <w:bookmarkEnd w:id="18"/>
    </w:p>
    <w:p w:rsidR="00F51756" w:rsidRPr="00FD2BA2" w:rsidRDefault="005F1FF3" w:rsidP="00F51756">
      <w:pPr>
        <w:pStyle w:val="Tabgraf"/>
      </w:pPr>
      <w:r w:rsidRPr="005F1FF3">
        <w:rPr>
          <w:noProof/>
          <w:lang w:eastAsia="cs-CZ"/>
        </w:rPr>
        <w:drawing>
          <wp:inline distT="0" distB="0" distL="0" distR="0">
            <wp:extent cx="5883275" cy="2493010"/>
            <wp:effectExtent l="0" t="0" r="3175" b="254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83275" cy="2493010"/>
                    </a:xfrm>
                    <a:prstGeom prst="rect">
                      <a:avLst/>
                    </a:prstGeom>
                    <a:noFill/>
                    <a:ln>
                      <a:noFill/>
                    </a:ln>
                  </pic:spPr>
                </pic:pic>
              </a:graphicData>
            </a:graphic>
          </wp:inline>
        </w:drawing>
      </w:r>
    </w:p>
    <w:p w:rsidR="00F51756" w:rsidRPr="008D765F" w:rsidRDefault="00F51756" w:rsidP="00F51756">
      <w:pPr>
        <w:pStyle w:val="Podnadpis"/>
      </w:pPr>
      <w:r w:rsidRPr="008D765F">
        <w:t>Zdroj: SFDI</w:t>
      </w:r>
    </w:p>
    <w:p w:rsidR="00F51756" w:rsidRDefault="00F51756" w:rsidP="00F51756">
      <w:pPr>
        <w:pStyle w:val="Nadpis1"/>
      </w:pPr>
      <w:bookmarkStart w:id="19" w:name="_Toc35945600"/>
      <w:bookmarkStart w:id="20" w:name="_Toc66717102"/>
      <w:r>
        <w:lastRenderedPageBreak/>
        <w:t xml:space="preserve">Státní fond </w:t>
      </w:r>
      <w:bookmarkEnd w:id="19"/>
      <w:r>
        <w:t>podpory investic</w:t>
      </w:r>
      <w:bookmarkEnd w:id="20"/>
    </w:p>
    <w:p w:rsidR="00F51756" w:rsidRPr="008C48DC" w:rsidRDefault="00F51756" w:rsidP="00F51756">
      <w:r w:rsidRPr="003A7194">
        <w:t>Pro realizaci bytové politiky státu a trvale udržitelné státní podpory bydlení v České republice byl zřízen Státní fond rozvoje bydlení, jehož úkolem bylo zajištění finančních prostředků pro realizaci podpory státu v oblasti bytové politiky ve smyslu naplňování vládní Koncepce bydlení do roku 2020. Prostřednictvím úvěrových, dotačních nebo kombinovaných programů vytvářel podmínky pro komplexní regeneraci bytového fondu, snižování energetické náročnosti bydlení a výstavbu či rekonstrukce bytů a domů především pro vymezené skupiny obyvatel. Snahou zůstalo i zajištění dostupnosti přiměřeného bydlení, vytváření stabilního prostředí a trvalá podpora zvyšování kvality bydlení. Na základě zákona</w:t>
      </w:r>
      <w:r w:rsidRPr="00015667">
        <w:t xml:space="preserve"> č.</w:t>
      </w:r>
      <w:r w:rsidR="00EF0C8C">
        <w:t> </w:t>
      </w:r>
      <w:r w:rsidRPr="00015667">
        <w:t>113/2020</w:t>
      </w:r>
      <w:r w:rsidR="00EF0C8C">
        <w:t> </w:t>
      </w:r>
      <w:r w:rsidRPr="00015667">
        <w:t>Sb.,</w:t>
      </w:r>
      <w:r>
        <w:t xml:space="preserve"> </w:t>
      </w:r>
      <w:r w:rsidRPr="00985F94">
        <w:t>došlo dne</w:t>
      </w:r>
      <w:r w:rsidRPr="00985F94">
        <w:rPr>
          <w:bCs/>
        </w:rPr>
        <w:t xml:space="preserve"> 1. 6. 2020 ke změně názvu </w:t>
      </w:r>
      <w:r w:rsidRPr="00985F94">
        <w:t xml:space="preserve">Státního fondu rozvoje bydlení </w:t>
      </w:r>
      <w:r w:rsidRPr="00985F94">
        <w:rPr>
          <w:bCs/>
        </w:rPr>
        <w:t>na Státní fond podpory investic (</w:t>
      </w:r>
      <w:r>
        <w:rPr>
          <w:bCs/>
        </w:rPr>
        <w:t xml:space="preserve">dále </w:t>
      </w:r>
      <w:r w:rsidRPr="00985F94">
        <w:rPr>
          <w:bCs/>
        </w:rPr>
        <w:t>SFPI)</w:t>
      </w:r>
      <w:r>
        <w:rPr>
          <w:bCs/>
        </w:rPr>
        <w:t>.</w:t>
      </w:r>
      <w:r>
        <w:rPr>
          <w:b/>
          <w:bCs/>
        </w:rPr>
        <w:t xml:space="preserve"> </w:t>
      </w:r>
      <w:r w:rsidRPr="00985F94">
        <w:rPr>
          <w:bCs/>
        </w:rPr>
        <w:t xml:space="preserve">Současně se změnou názvu </w:t>
      </w:r>
      <w:r>
        <w:rPr>
          <w:bCs/>
        </w:rPr>
        <w:t xml:space="preserve">Fondu </w:t>
      </w:r>
      <w:r w:rsidRPr="00985F94">
        <w:rPr>
          <w:bCs/>
        </w:rPr>
        <w:t>se však rozšířila i jeho působnost, a to do oblasti regionální politiky a cestovního ruchu.</w:t>
      </w:r>
      <w:r>
        <w:rPr>
          <w:bCs/>
        </w:rPr>
        <w:t xml:space="preserve"> SFPI hospodaří rovněž s prostředky sdruženými v garančním fondu cestovních kanceláří, který plní funkci jednoho ze zajišťovacích institutů pro případ úpadku cestovní kanceláře.</w:t>
      </w:r>
    </w:p>
    <w:p w:rsidR="00F51756" w:rsidRDefault="00F51756" w:rsidP="00F51756">
      <w:r w:rsidRPr="005F3EFF">
        <w:t xml:space="preserve">Celkové výdaje </w:t>
      </w:r>
      <w:r>
        <w:t>SFPI</w:t>
      </w:r>
      <w:r w:rsidRPr="005F3EFF">
        <w:t>, rozpočtované ve výši 4 118,5 mil. Kč, byly skutečně realizovány v rozsahu 1 719,7 mil</w:t>
      </w:r>
      <w:r w:rsidRPr="00D82FEF">
        <w:t>. Kč, tj. na 41,8 %. Tento výsledek byl ovlivněn především pomalejší dynamikou čerpání poskytnutých úvěrů a dotací a časovou náročností přípravy projektů v rámci programu Výstavba pro obce. Poměrně výrazné úspory bylo dosaženo v oblasti správních výdajů SFPI a výdajů spojených s realizací programů. Skutečné čerpání jednotlivých podpor, poskytovaných v rámci příslušného úvěrového programu, lze přitom v souladu s příslušnými nařízeními vlády realizovat po dobu několika let, přičemž dynamiku čerpání jednotlivými příjemci podpor nemůže SFPI ovlivnit.</w:t>
      </w:r>
      <w:r w:rsidRPr="00E53EF7">
        <w:t xml:space="preserve"> </w:t>
      </w:r>
    </w:p>
    <w:p w:rsidR="00F51756" w:rsidRDefault="00F51756" w:rsidP="00F51756">
      <w:r w:rsidRPr="00837CBA">
        <w:t>Rozpočet výdajů byl v roce 2020 zaměřen zejména na úvěrové programy výstavby dostupného bydlení pro obce, opravy a modernizace bytových domů (Panel 2013+), na výstavbu nájemního bydlení včetně sociálních bytů, na zateplování a na pomoc mladým rodinám při pořízení, opravách a modernizacích bydlení. U</w:t>
      </w:r>
      <w:r w:rsidR="00376CC5">
        <w:t> </w:t>
      </w:r>
      <w:r w:rsidRPr="00837CBA">
        <w:t>dotačních titulů pak na zvýhodněné úročení úvěrů v rámci programu PANEL, na program regenerace sídlišť a na snížení jistiny úvěru při narození dítěte. Značnou část rozpočtu na rok 2020 tvořily rovněž prostředky na již z</w:t>
      </w:r>
      <w:r>
        <w:t>míněný dotačně-úvěrový program V</w:t>
      </w:r>
      <w:r w:rsidRPr="00837CBA">
        <w:t xml:space="preserve">ýstavba pro obce. Skutečné čerpání dotací proběhlo v celkovém objemu cca 835,8 mil. Kč (plnění oproti rozpočtu na 45,1 %). V rámci úrokových dotací v programu Panel (opravy a modernizace bytových </w:t>
      </w:r>
      <w:r w:rsidRPr="00D82FEF">
        <w:t>domů) bylo čerpáno celkem 660,1 mil. Kč (tj. 88,0 % rozpočtované částky), přičemž vyplacené příspěvky jsou rozloženy do jednotlivých let po celou dobu splácení úvěrů (do roku 2026) a týkaly se výhradně smluv u</w:t>
      </w:r>
      <w:r>
        <w:t xml:space="preserve">zavřených v předchozích letech (do roku 2011). </w:t>
      </w:r>
      <w:r w:rsidRPr="00837CBA">
        <w:t>Dotace formou snížení jistiny úvěru za každé narozené dítě dle nařízení vlády č. 616/2004 Sb. činily 9,5 mil. Kč (plnění na 27,2 %). V dotačně-úvěrovém programu zaměřeném na regeneraci sídlišť a veřejných prostranství byly v roce 2020 čerpány podpory ve formě dotací v </w:t>
      </w:r>
      <w:r w:rsidRPr="00CA0235">
        <w:t>celkové výši 151,3 mil. Kč. Uzavřeno bylo celkem 37 smluv v celkové výši 180,2</w:t>
      </w:r>
      <w:r w:rsidR="00376CC5">
        <w:t> </w:t>
      </w:r>
      <w:r w:rsidRPr="00CA0235">
        <w:t xml:space="preserve">mil. Kč, rozpracovány jsou další žádosti za 230,3 mil. Kč. </w:t>
      </w:r>
    </w:p>
    <w:p w:rsidR="00F51756" w:rsidRDefault="00F51756" w:rsidP="00F51756">
      <w:r w:rsidRPr="00CA0235">
        <w:t>Skutečné</w:t>
      </w:r>
      <w:r w:rsidRPr="00837CBA">
        <w:t xml:space="preserve"> čerpání nízkoúročených úvěrů</w:t>
      </w:r>
      <w:r>
        <w:t xml:space="preserve"> na program opravy a modernizace</w:t>
      </w:r>
      <w:r w:rsidRPr="00837CBA">
        <w:t xml:space="preserve"> domů (Panel 2013+) dosáhlo výše 47,0 mil. Kč (plnění na 31,3 </w:t>
      </w:r>
      <w:r w:rsidRPr="00CA0235">
        <w:t xml:space="preserve">%), přičemž v roce 2020 bylo smluvně alokováno celkem 59,0 mil. Kč a na další žádosti jsou vystaveny přísliby v úhrnné výši 16,3 mil. Kč. </w:t>
      </w:r>
      <w:r w:rsidRPr="00964A32">
        <w:t>V programu výstavby nájemních bytů vyčerp</w:t>
      </w:r>
      <w:r>
        <w:t>ali příjemci podpory v roce 2020</w:t>
      </w:r>
      <w:r w:rsidRPr="00964A32">
        <w:t xml:space="preserve"> celkem 352,4 mil. Kč, což představovalo 88,1 % rozpočtované částky</w:t>
      </w:r>
      <w:r w:rsidRPr="009242CC">
        <w:t xml:space="preserve">. SFPI přitom uzavřel smlouvy o poskytnutí podpory v úhrnné výši 89,8 mil. Kč, rozpracované zůstaly žádosti v celkové výši 211,8 mil. Kč. </w:t>
      </w:r>
      <w:r w:rsidRPr="00964A32">
        <w:t xml:space="preserve">Nízkoúročené úvěry mladým rodinám na pořízení a na opravy a modernizaci bydlení byly čerpány v úhrnné výši 261,2 mil Kč (plnění na 35,8 </w:t>
      </w:r>
      <w:r w:rsidRPr="00CC3CAB">
        <w:t>%), přičemž uzavřeny byly smlouvy na celkem 207,5 mil. Kč a rozpracovány zůstaly žádosti v celkové výši 30,8</w:t>
      </w:r>
      <w:r>
        <w:t xml:space="preserve"> mil. Kč. Čerpání v programech Nájemní byty a Program pro mladé 2000 překročilo objem smluv uzavřených v roce 2020, neboť se jednalo zčásti o čerpání ze smluv uzavřených v předchozích letech. Úvěrové zdroje lze čerpat až po dobu 3 let a SFPI nemá možnost ovlivnit dynamiku čerpání podpor jednotlivými příjemci. </w:t>
      </w:r>
    </w:p>
    <w:p w:rsidR="00F51756" w:rsidRPr="00E90387" w:rsidRDefault="00F51756" w:rsidP="00F51756">
      <w:r w:rsidRPr="00964A32">
        <w:t xml:space="preserve">Na výdaje spojené s realizací programů podpor bylo vynaloženo celkem 58,6 mil. Kč (tj. plnění na 65,1 % rozpočtované částky) a týkaly se zejména odměn bankám za administraci úrokových dotací a poskytnutých </w:t>
      </w:r>
      <w:r w:rsidRPr="00827B84">
        <w:t>záruk v programu PANEL. Důvodem</w:t>
      </w:r>
      <w:r w:rsidRPr="00964A32">
        <w:t xml:space="preserve"> nižších výdajů bylo především snížení objemu zaručovaných úvěrů a s tím související pokles poplatků a odklad části výplat úrokových dotací do následujícího </w:t>
      </w:r>
      <w:r w:rsidRPr="00766E4C">
        <w:t>roku. Výdaje</w:t>
      </w:r>
      <w:r w:rsidRPr="00E90387">
        <w:t xml:space="preserve"> na</w:t>
      </w:r>
      <w:r>
        <w:t xml:space="preserve"> </w:t>
      </w:r>
      <w:r>
        <w:lastRenderedPageBreak/>
        <w:t>správu SFPI</w:t>
      </w:r>
      <w:r w:rsidRPr="00E90387">
        <w:t xml:space="preserve"> dosáhly v roce 2020 částky cca 64,5 mil. Kč (plnění na 62,3 %), z toho úspora dosažená u položky mzdových výdajů činila cca 7,6 mil. Kč (tj. 13,3 %).  </w:t>
      </w:r>
    </w:p>
    <w:p w:rsidR="00F51756" w:rsidRPr="00B35DDE" w:rsidRDefault="00F51756" w:rsidP="00F51756">
      <w:r w:rsidRPr="00E90387">
        <w:t xml:space="preserve">Skutečné příjmy SFPI dosáhly </w:t>
      </w:r>
      <w:r w:rsidRPr="00F91D8C">
        <w:t>částky 1 006,8 mil. Kč. Nesplnění schválené</w:t>
      </w:r>
      <w:r w:rsidR="000F2E19">
        <w:t>ho rozpočtu na rok 2020 o 228,2 </w:t>
      </w:r>
      <w:r w:rsidRPr="00F91D8C">
        <w:t xml:space="preserve">mil. Kč (tj. o 18,5 %), bylo především důsledkem nižšího </w:t>
      </w:r>
      <w:r>
        <w:t xml:space="preserve">čerpání dotací ze státního rozpočtu na </w:t>
      </w:r>
      <w:r w:rsidRPr="00CC5FA8">
        <w:t>financování programu výstavba pro obce s ohledem na typ financování ex post. Dosažené příjmy SFPI tvořily z 68,5 % splátky úvěrů (celkem</w:t>
      </w:r>
      <w:r w:rsidRPr="00F14F0E">
        <w:t xml:space="preserve"> 689,7 mil. Kč), poskytnutých na pořízení, opravy a modernizaci domů a bytů zejména fyzickým osobám (369,9 mil. Kč) a právnickým osobám (299,4 mil. Kč</w:t>
      </w:r>
      <w:r w:rsidRPr="00CC5FA8">
        <w:t>), z menší části pak obcím (15,3 mil. Kč) a družstvům v rámci podpory výstavby družstevních bytů (5,1 mil. Kč). Další příjmy se týkaly úroků z poskytnutých úvěrů a vkladů (89,0 mil. Kč), vratek dotací z předchozích let na základě výsledků kontrol finančních úřadů (1,7 mil. Kč), sankčních plateb za ned</w:t>
      </w:r>
      <w:r w:rsidR="000F2E19">
        <w:t>održení smluvních podmínek (4,7 </w:t>
      </w:r>
      <w:r w:rsidRPr="00CC5FA8">
        <w:t xml:space="preserve">mil. Kč) a ostatních nedaňových příjmů. </w:t>
      </w:r>
      <w:r w:rsidRPr="00B35DDE">
        <w:t>V roce 2020 obdržel SFPI dotaci ze státního rozpočtu (kapitoly MMR) ve výši 150 mil. Kč na energetickou modernizaci bytových do</w:t>
      </w:r>
      <w:r w:rsidR="000F2E19">
        <w:t>mů formou bezúročných úvěrů. Na </w:t>
      </w:r>
      <w:r w:rsidRPr="00B35DDE">
        <w:t>pokrytí části programových výdajů obdržel SFPI neinvestiční dotaci ve výši 105,0 mil. Kč. Z této částky bylo v roce 2020 vyplaceno 61,3</w:t>
      </w:r>
      <w:r w:rsidR="00376CC5">
        <w:t> </w:t>
      </w:r>
      <w:r w:rsidRPr="00B35DDE">
        <w:t>mil. Kč formou úrokových dotací na program rekonstrukce, modernizace a zateplování bytových domů a 9,5 mil. Kč na výdaje spojené se snížením jistin úvěrů pro mladé manžele při narození dítěte. Zbývající nevyužitá část dotace ve výši 34,2 mil. Kč byl</w:t>
      </w:r>
      <w:r w:rsidR="000F2E19">
        <w:t>a v závěru roku 2020 vrácena do </w:t>
      </w:r>
      <w:r w:rsidRPr="00B35DDE">
        <w:t>státního rozpočtu.</w:t>
      </w:r>
    </w:p>
    <w:p w:rsidR="00F51756" w:rsidRPr="00314826" w:rsidRDefault="00F51756" w:rsidP="00F51756">
      <w:r w:rsidRPr="00F91D8C">
        <w:t xml:space="preserve">Záporné saldo hospodaření ve výši cca 712,8 mil. Kč se promítlo ve snížení stavu peněžních prostředků na účtech SFPI. </w:t>
      </w:r>
      <w:r w:rsidRPr="00E947DD">
        <w:t xml:space="preserve">Zůstatek k 31. 12. 2020 tak </w:t>
      </w:r>
      <w:r>
        <w:t xml:space="preserve">(bez zohlednění prostředků převedených do Fondu rozvoje měst) </w:t>
      </w:r>
      <w:r w:rsidRPr="00E947DD">
        <w:t xml:space="preserve">činil </w:t>
      </w:r>
      <w:r w:rsidRPr="00242688">
        <w:t>cca 4 679,6 mil. Kč.</w:t>
      </w:r>
    </w:p>
    <w:p w:rsidR="00F51756" w:rsidRPr="003B1D75" w:rsidRDefault="00F51756" w:rsidP="00F51756">
      <w:pPr>
        <w:pStyle w:val="Nzev"/>
      </w:pPr>
      <w:bookmarkStart w:id="21" w:name="_Toc66717144"/>
      <w:r>
        <w:t xml:space="preserve">Tabulka č. </w:t>
      </w:r>
      <w:fldSimple w:instr=" SEQ Tabulka_č. \* ARABIC ">
        <w:r>
          <w:rPr>
            <w:noProof/>
          </w:rPr>
          <w:t>5</w:t>
        </w:r>
      </w:fldSimple>
      <w:r>
        <w:t>: Příjmy a výdaje Státního fondu podpory investic (tis. Kč)</w:t>
      </w:r>
      <w:bookmarkEnd w:id="21"/>
    </w:p>
    <w:p w:rsidR="00F51756" w:rsidRPr="009F03E4" w:rsidRDefault="005F1FF3" w:rsidP="00F51756">
      <w:pPr>
        <w:pStyle w:val="Tabgraf"/>
        <w:rPr>
          <w:b/>
          <w:sz w:val="28"/>
          <w:szCs w:val="28"/>
        </w:rPr>
      </w:pPr>
      <w:r w:rsidRPr="005F1FF3">
        <w:rPr>
          <w:noProof/>
          <w:lang w:eastAsia="cs-CZ"/>
        </w:rPr>
        <w:drawing>
          <wp:inline distT="0" distB="0" distL="0" distR="0">
            <wp:extent cx="5831205" cy="2493010"/>
            <wp:effectExtent l="0" t="0" r="0" b="254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31205" cy="2493010"/>
                    </a:xfrm>
                    <a:prstGeom prst="rect">
                      <a:avLst/>
                    </a:prstGeom>
                    <a:noFill/>
                    <a:ln>
                      <a:noFill/>
                    </a:ln>
                  </pic:spPr>
                </pic:pic>
              </a:graphicData>
            </a:graphic>
          </wp:inline>
        </w:drawing>
      </w:r>
    </w:p>
    <w:p w:rsidR="00F51756" w:rsidRDefault="00F51756" w:rsidP="00F51756">
      <w:pPr>
        <w:pStyle w:val="Podnadpis"/>
      </w:pPr>
      <w:r w:rsidRPr="00191297">
        <w:t>Zdroj: SFRB</w:t>
      </w:r>
    </w:p>
    <w:p w:rsidR="00F51756" w:rsidRDefault="00F51756" w:rsidP="00F51756">
      <w:pPr>
        <w:pStyle w:val="Nadpis1"/>
      </w:pPr>
      <w:bookmarkStart w:id="22" w:name="_Toc35945601"/>
      <w:bookmarkStart w:id="23" w:name="_Toc66717103"/>
      <w:r>
        <w:t>Státní fond kinematografie</w:t>
      </w:r>
      <w:bookmarkEnd w:id="22"/>
      <w:bookmarkEnd w:id="23"/>
    </w:p>
    <w:p w:rsidR="00F51756" w:rsidRPr="003D3A0A" w:rsidRDefault="00F51756" w:rsidP="00F51756">
      <w:r w:rsidRPr="003E4D7E">
        <w:t>Státní fond kinematografie (dále SFKMG) působí v souladu se zákonem č. 496/2012 Sb.,</w:t>
      </w:r>
      <w:r>
        <w:t xml:space="preserve"> </w:t>
      </w:r>
      <w:r w:rsidRPr="003E4D7E">
        <w:t>o</w:t>
      </w:r>
      <w:r>
        <w:t> </w:t>
      </w:r>
      <w:r w:rsidRPr="003E4D7E">
        <w:t>audiovizuálních dílech a podpoře kinematografie (zákon o audiovizi) v oblasti podpory kinematografických projektů a filmových pobídek. Další významnou činností  SFKMG je administrace poplatků defin</w:t>
      </w:r>
      <w:r w:rsidR="002A075B">
        <w:t>ovaných zákonem o </w:t>
      </w:r>
      <w:r w:rsidRPr="003E4D7E">
        <w:t>audiovizi a propagace české kinematografie</w:t>
      </w:r>
      <w:r>
        <w:t xml:space="preserve"> </w:t>
      </w:r>
      <w:r w:rsidRPr="003E4D7E">
        <w:t>v</w:t>
      </w:r>
      <w:r>
        <w:t> </w:t>
      </w:r>
      <w:r w:rsidRPr="003E4D7E">
        <w:t xml:space="preserve">zahraničí. SFKMG </w:t>
      </w:r>
      <w:r>
        <w:t>obdržel v roce 2020</w:t>
      </w:r>
      <w:r w:rsidRPr="003D3A0A">
        <w:t xml:space="preserve"> účelové dotace ze státního rozpočtu v úhrnné</w:t>
      </w:r>
      <w:r>
        <w:t xml:space="preserve"> výši </w:t>
      </w:r>
      <w:r w:rsidRPr="003D3A0A">
        <w:t>1</w:t>
      </w:r>
      <w:r>
        <w:t> 090,9</w:t>
      </w:r>
      <w:r w:rsidRPr="003D3A0A">
        <w:t xml:space="preserve"> mil. </w:t>
      </w:r>
      <w:r w:rsidRPr="00BA7821">
        <w:t>Kč, z toho 800 mil. Kč na filmové pobídky, 283,5 mil. Kč na podporu projektů z oblasti kinematografie a 7,4 mil Kč na zaměstnance a provozní náklady. Fond nečerpal prostředky z fondů EU.</w:t>
      </w:r>
    </w:p>
    <w:p w:rsidR="00F51756" w:rsidRPr="009F054F" w:rsidRDefault="00F51756" w:rsidP="00F51756">
      <w:pPr>
        <w:rPr>
          <w:highlight w:val="yellow"/>
        </w:rPr>
      </w:pPr>
      <w:r w:rsidRPr="003E4D7E">
        <w:t xml:space="preserve">Základním zdrojem vlastních příjmů byly zejména poplatky z vysílání televizní reklamy na soukromoprávních televizích, </w:t>
      </w:r>
      <w:r w:rsidRPr="000C6136">
        <w:t>příjmy z obchodního využití filmů, k nimž SFKMG vykonává autorská práva a odvody poplatků z kinematografických představení (od provozovatelů kin) a</w:t>
      </w:r>
      <w:r>
        <w:t> </w:t>
      </w:r>
      <w:r w:rsidRPr="000C6136">
        <w:t xml:space="preserve">z převzatého televizního </w:t>
      </w:r>
      <w:r w:rsidRPr="008079AC">
        <w:t>vysílání (</w:t>
      </w:r>
      <w:r w:rsidRPr="00403D78">
        <w:t>kabelové TV, satelity). Celkové rozpočtované příjmy SFKMG (1 234,6 mil. Kč) byly v roce 2020 plněny na 110,6 % (1 </w:t>
      </w:r>
      <w:r w:rsidRPr="00BA7821">
        <w:t>365</w:t>
      </w:r>
      <w:r w:rsidR="002A075B">
        <w:t>,2 </w:t>
      </w:r>
      <w:r w:rsidRPr="00BA7821">
        <w:t>mil. Kč). Zásadní vliv mělo navýšení dotace ze státního rozpočtu</w:t>
      </w:r>
      <w:r w:rsidR="000D71E0">
        <w:t xml:space="preserve"> na podporu kinematografie </w:t>
      </w:r>
      <w:r w:rsidR="000D71E0">
        <w:lastRenderedPageBreak/>
        <w:t>o </w:t>
      </w:r>
      <w:r w:rsidR="002A075B">
        <w:t>98 </w:t>
      </w:r>
      <w:r w:rsidRPr="00BA7821">
        <w:t>mil. Kč</w:t>
      </w:r>
      <w:r w:rsidRPr="001A02A4">
        <w:t>. Překročení či nenaplnění rozpočtovaných příjmů v některých dalších položkách ovlivnila především závislost na proměnných faktorech filmového průmyslu, které nelze zcela přesně odhadnout. To</w:t>
      </w:r>
      <w:r w:rsidR="002A075B">
        <w:t> </w:t>
      </w:r>
      <w:r w:rsidRPr="001A02A4">
        <w:t>se týká např. návštěvnosti kin, dosažen</w:t>
      </w:r>
      <w:r>
        <w:t>ých cen</w:t>
      </w:r>
      <w:r w:rsidRPr="001A02A4">
        <w:t xml:space="preserve"> </w:t>
      </w:r>
      <w:r>
        <w:t xml:space="preserve">a objemů </w:t>
      </w:r>
      <w:r w:rsidRPr="001A02A4">
        <w:t>reklamy na komerčních TV</w:t>
      </w:r>
      <w:r>
        <w:t>, činností provozovatelů televizního vysílání</w:t>
      </w:r>
      <w:r w:rsidRPr="001A02A4">
        <w:t xml:space="preserve"> nebo skutečného zájmu </w:t>
      </w:r>
      <w:r>
        <w:t xml:space="preserve">provozovatelů všech druhů vysílání </w:t>
      </w:r>
      <w:r w:rsidRPr="001A02A4">
        <w:t>o tzv. fondové filmy.</w:t>
      </w:r>
      <w:r w:rsidRPr="00AA17A0">
        <w:t xml:space="preserve"> </w:t>
      </w:r>
    </w:p>
    <w:p w:rsidR="00F51756" w:rsidRPr="0076106F" w:rsidRDefault="00F51756" w:rsidP="00F51756">
      <w:r w:rsidRPr="00742EA4">
        <w:t xml:space="preserve">Rozpočtované výdaje (1 234,6 mil. Kč) byly skutečně čerpány ve výši 1 602,6 mil. Kč, tj. na 129,8 %. </w:t>
      </w:r>
      <w:r w:rsidRPr="00B35629">
        <w:t xml:space="preserve">Skutečné čerpání výdajů bylo ovlivněno specifičností filmového odvětví a faktickou nemožností přesně predikovat výplaty splátek schválených podpor a pobídek na podporu kinematografie z časového hlediska, a to v návaznosti na plnění podmínek jednotlivých etap podporovaných víceletých projektů. Běžné výdaje v celkovém rozsahu 1 312,2 mil. Kč (plnění na 120,7 %) byly vynaloženy převážně na vyplácení neinvestičních podpor žadatelům na realizaci projektů v oblasti kinematografie a na filmové </w:t>
      </w:r>
      <w:r w:rsidRPr="00144FD7">
        <w:t xml:space="preserve">pobídky (celkem 1 240,5 mil. Kč) </w:t>
      </w:r>
      <w:r w:rsidRPr="00B35629">
        <w:t xml:space="preserve">a na </w:t>
      </w:r>
      <w:r w:rsidRPr="00144FD7">
        <w:t xml:space="preserve">zajištění chodu SFKMG. Jako neinvestiční dotace byly poskytovány prostředky zejména na vývoj, distribuci a propagaci kinematografických děl, vzdělávání a výchovu v oblasti kinematografie a filmové festivaly a přehlídky. </w:t>
      </w:r>
      <w:r w:rsidRPr="00B35629">
        <w:t xml:space="preserve">Nemožnost predikovat při tvorbě rozpočtu rozložení žádostí o dotaci mezi jednotlivými právními subjekty a současně odhadnout, kdy dojde ke splnění podmínek pro faktické čerpání splátek je důvodem </w:t>
      </w:r>
      <w:r w:rsidRPr="00144FD7">
        <w:t xml:space="preserve">nedodržení rozpočtované výše u jednotlivých položek rozpočtové skladby. V případě nedočerpaných finančních prostředků se zpravidla jedná o víceleté projekty, u kterých je čerpání splátek vázáno na splnění stanovených </w:t>
      </w:r>
      <w:r w:rsidRPr="001159E9">
        <w:t>podmínek. Skutečné kapitálové výdaje SFKMG v roce 2020 dosáhly celkové výše 290,4 mil. Kč, tj. 197,2 % rozpočtované částky. V roce 2020 tvořily kapitálové výdaje v převážné míře finanční podpory projektů poskytnuté formou investičních dotací. Při sestavování rozpočtu nebylo reálně možné stanovit přesné množství žádostí od jednotlivých skupin příjemců podpory projektů ani splatnosti jednotlivých splátek a vycházelo se tak ze struktury výdajů v předchozích letech</w:t>
      </w:r>
      <w:r w:rsidRPr="00BC2441">
        <w:t xml:space="preserve">.  To se týkalo i největšího okruhu žadatelů o dotace, kterými jsou nefinanční podnikatelské subjekty – právnické </w:t>
      </w:r>
      <w:r w:rsidRPr="000D5BAD">
        <w:t>osoby. Investiční transfery těmto příjemcům  byly charakterizovány vyšším (o 148,7 mil. Kč) čerpáním podpor kinematografie určených především na výrobu filmů, vydávání publikací, podporu technického rozvoje a modernizaci kin.</w:t>
      </w:r>
      <w:r w:rsidRPr="005D00B6">
        <w:t xml:space="preserve"> </w:t>
      </w:r>
    </w:p>
    <w:p w:rsidR="00F51756" w:rsidRDefault="00F51756" w:rsidP="00F51756">
      <w:r w:rsidRPr="00453DC1">
        <w:t>Konečný zůstatek peněžních prostředků fondu na bankovních účtech k 31. 12. 2020 poklesl o cca 237,4 mil. Kč a činil 2 118,0 mil. Kč,</w:t>
      </w:r>
      <w:r w:rsidRPr="008E64DD">
        <w:t xml:space="preserve"> přičemž značná část těchto prostředků je vázána na budoucí úhradu závazků z dosud schválených podpor projektů z oblasti kinematografie</w:t>
      </w:r>
      <w:r>
        <w:t xml:space="preserve"> </w:t>
      </w:r>
      <w:r w:rsidRPr="008E64DD">
        <w:t>a</w:t>
      </w:r>
      <w:r>
        <w:t> </w:t>
      </w:r>
      <w:r w:rsidRPr="008E64DD">
        <w:t>filmových pobídek, které byly alokovány, ale dosud nebyly vyplaceny.</w:t>
      </w:r>
    </w:p>
    <w:p w:rsidR="00F51756" w:rsidRDefault="00F51756" w:rsidP="00F51756">
      <w:pPr>
        <w:pStyle w:val="Nzev"/>
      </w:pPr>
      <w:bookmarkStart w:id="24" w:name="_Toc66717145"/>
      <w:r>
        <w:t xml:space="preserve">Tabulka č. </w:t>
      </w:r>
      <w:fldSimple w:instr=" SEQ Tabulka_č. \* ARABIC ">
        <w:r>
          <w:rPr>
            <w:noProof/>
          </w:rPr>
          <w:t>6</w:t>
        </w:r>
      </w:fldSimple>
      <w:r w:rsidR="00E72A31">
        <w:t>: P</w:t>
      </w:r>
      <w:r>
        <w:t>říjmy a výdaje Státního fondu kinematografie (tis. Kč)</w:t>
      </w:r>
      <w:bookmarkEnd w:id="24"/>
    </w:p>
    <w:p w:rsidR="00F51756" w:rsidRDefault="005F1FF3" w:rsidP="00F51756">
      <w:pPr>
        <w:pStyle w:val="Tabgraf"/>
      </w:pPr>
      <w:r w:rsidRPr="005F1FF3">
        <w:rPr>
          <w:noProof/>
          <w:lang w:eastAsia="cs-CZ"/>
        </w:rPr>
        <w:drawing>
          <wp:inline distT="0" distB="0" distL="0" distR="0">
            <wp:extent cx="5883275" cy="2493010"/>
            <wp:effectExtent l="0" t="0" r="3175" b="254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83275" cy="2493010"/>
                    </a:xfrm>
                    <a:prstGeom prst="rect">
                      <a:avLst/>
                    </a:prstGeom>
                    <a:noFill/>
                    <a:ln>
                      <a:noFill/>
                    </a:ln>
                  </pic:spPr>
                </pic:pic>
              </a:graphicData>
            </a:graphic>
          </wp:inline>
        </w:drawing>
      </w:r>
    </w:p>
    <w:p w:rsidR="00F51756" w:rsidRDefault="00F51756" w:rsidP="00F51756">
      <w:pPr>
        <w:pStyle w:val="Podnadpis"/>
      </w:pPr>
      <w:r>
        <w:t>Zdroj: SF</w:t>
      </w:r>
      <w:r w:rsidRPr="00EF37C4">
        <w:t>K</w:t>
      </w:r>
      <w:r>
        <w:t>MG</w:t>
      </w:r>
    </w:p>
    <w:p w:rsidR="00F51756" w:rsidRPr="00274F2F" w:rsidRDefault="00F51756" w:rsidP="00F51756">
      <w:pPr>
        <w:pStyle w:val="Nadpis1"/>
      </w:pPr>
      <w:bookmarkStart w:id="25" w:name="_Toc35945602"/>
      <w:bookmarkStart w:id="26" w:name="_Toc66717104"/>
      <w:r w:rsidRPr="00274F2F">
        <w:t>Státní fond kultury</w:t>
      </w:r>
      <w:r>
        <w:t xml:space="preserve"> České republiky</w:t>
      </w:r>
      <w:bookmarkEnd w:id="25"/>
      <w:bookmarkEnd w:id="26"/>
    </w:p>
    <w:p w:rsidR="00F51756" w:rsidRDefault="00F51756" w:rsidP="00F51756">
      <w:r w:rsidRPr="003E4D7E">
        <w:t xml:space="preserve">Státní fond kultury </w:t>
      </w:r>
      <w:r>
        <w:t xml:space="preserve">České republiky </w:t>
      </w:r>
      <w:r w:rsidRPr="003E4D7E">
        <w:t>(dále SFK) vykonával svoji činnost v</w:t>
      </w:r>
      <w:r>
        <w:t> souladu se zákonem č. 239/1992 </w:t>
      </w:r>
      <w:r w:rsidRPr="003E4D7E">
        <w:t xml:space="preserve">Sb., o Státním fondu kultury České republiky a hospodařil s finančními prostředky ze zdrojů </w:t>
      </w:r>
      <w:r w:rsidRPr="00AC376A">
        <w:t xml:space="preserve">stanovených mu tímto zákonem. Fond nemá vlastní zaměstnance, agendu SFK zabezpečovali 3 pracovníci </w:t>
      </w:r>
      <w:r w:rsidRPr="00AC376A">
        <w:lastRenderedPageBreak/>
        <w:t xml:space="preserve">Ministerstva kultury. </w:t>
      </w:r>
      <w:r w:rsidRPr="003E4D7E">
        <w:t>Hlavní činností SFK je poskytování podpor v různých oblastech umění včetně propagace české kultury v</w:t>
      </w:r>
      <w:r w:rsidR="00251348">
        <w:t> </w:t>
      </w:r>
      <w:r w:rsidRPr="003E4D7E">
        <w:t>zahraničí.</w:t>
      </w:r>
      <w:r>
        <w:t xml:space="preserve"> </w:t>
      </w:r>
    </w:p>
    <w:p w:rsidR="00F51756" w:rsidRPr="003E4D7E" w:rsidRDefault="00F51756" w:rsidP="00F51756">
      <w:r>
        <w:t>SFK neprovádí rozpočtové změny a zvýšení či snížení skutečných příjmů či výdajů se promítá až do závěrečného účtu, čímž mohou u některých položek vznikat značné rozdíly mezi rozpočtovanou částkou a skutečností.</w:t>
      </w:r>
    </w:p>
    <w:p w:rsidR="00F51756" w:rsidRPr="009F054F" w:rsidRDefault="00F51756" w:rsidP="00F51756">
      <w:pPr>
        <w:rPr>
          <w:highlight w:val="yellow"/>
        </w:rPr>
      </w:pPr>
      <w:r w:rsidRPr="003E4D7E">
        <w:t xml:space="preserve">Celkové </w:t>
      </w:r>
      <w:r w:rsidRPr="00AC376A">
        <w:t>příjm</w:t>
      </w:r>
      <w:r>
        <w:t>y fondu, rozpočtované ve výši 75,4</w:t>
      </w:r>
      <w:r w:rsidRPr="00AC376A">
        <w:t xml:space="preserve"> </w:t>
      </w:r>
      <w:r>
        <w:t>mil. Kč, byly naplněny ve výši 79,6 mil. Kč, tj. na 105</w:t>
      </w:r>
      <w:r w:rsidRPr="00AC376A">
        <w:t xml:space="preserve">,6 %. Značnou část příjmů SFK tvořily obdobně jako v minulých letech příjmy z pronájmu nemovitostí v úhrnné </w:t>
      </w:r>
      <w:r w:rsidRPr="00B21E68">
        <w:t>výši cca 25,7 mil. Kč (plnění na77,9</w:t>
      </w:r>
      <w:r w:rsidRPr="00E852B7">
        <w:t xml:space="preserve"> </w:t>
      </w:r>
      <w:r w:rsidRPr="00B21E68">
        <w:t>%), které představovaly 32,3 % z celkových</w:t>
      </w:r>
      <w:r w:rsidRPr="00E852B7">
        <w:t xml:space="preserve"> inkasovaných příjmů. Ostatní nedaňové příjmy tvořily především </w:t>
      </w:r>
      <w:r>
        <w:t xml:space="preserve">nerozpočtované přijaté sankční poplatky v úhrnné výši 35,4 mil. Kč (porušení rozpočtové kázně, pozdě dodaná vyúčtování, exekuce) a dále </w:t>
      </w:r>
      <w:r w:rsidRPr="00E852B7">
        <w:t>pří</w:t>
      </w:r>
      <w:r w:rsidR="002A075B">
        <w:t>jmy dle autorského zákona (tzv. </w:t>
      </w:r>
      <w:r w:rsidRPr="00E852B7">
        <w:t xml:space="preserve">odúmrtě), </w:t>
      </w:r>
      <w:r>
        <w:t>inkasované ve výši 2,8</w:t>
      </w:r>
      <w:r w:rsidRPr="00E852B7">
        <w:t xml:space="preserve"> mil. K</w:t>
      </w:r>
      <w:r>
        <w:t>č, žadatelské poplatky (celkem 2,0</w:t>
      </w:r>
      <w:r w:rsidRPr="00E852B7">
        <w:t xml:space="preserve"> mil. Kč) a </w:t>
      </w:r>
      <w:r>
        <w:t>zálohy od nájemců nemovitostí (1</w:t>
      </w:r>
      <w:r w:rsidRPr="00E852B7">
        <w:t>,</w:t>
      </w:r>
      <w:r>
        <w:t>7</w:t>
      </w:r>
      <w:r w:rsidRPr="00E852B7">
        <w:t xml:space="preserve"> mil. Kč). </w:t>
      </w:r>
      <w:r w:rsidRPr="00C56BB9">
        <w:t>Dotace od rozpočtů ústřední úrovně zahrnovaly příjem z reklam vysílaných Českou televizí na programu ČT 2, který v r</w:t>
      </w:r>
      <w:r>
        <w:t>oce 2020 dosáhl úhrnné částky 41,6 mil. Kč (plnění na 118,8</w:t>
      </w:r>
      <w:r w:rsidRPr="00C56BB9">
        <w:t xml:space="preserve"> %). V souladu s memorandem o dlouhodobé spolupráci obdržel SFK dotaci ze státního rozpočtu </w:t>
      </w:r>
      <w:r>
        <w:t>(Ministerstva kultury) ve výši 2,5</w:t>
      </w:r>
      <w:r w:rsidRPr="00C56BB9">
        <w:t xml:space="preserve"> mil. Kč, určenou na podporu kulturních projektů.</w:t>
      </w:r>
    </w:p>
    <w:p w:rsidR="00F51756" w:rsidRPr="00834B10" w:rsidRDefault="00F51756" w:rsidP="00F51756">
      <w:r w:rsidRPr="003E4D7E">
        <w:t xml:space="preserve">Celkové výdaje </w:t>
      </w:r>
      <w:r>
        <w:t>SFK rozpočtované ve výši 57,5</w:t>
      </w:r>
      <w:r w:rsidRPr="001D7633">
        <w:t xml:space="preserve"> mil. Kč byly s</w:t>
      </w:r>
      <w:r>
        <w:t>kutečně čerpány v rozsahu cca 66,8</w:t>
      </w:r>
      <w:r w:rsidRPr="001D7633">
        <w:t xml:space="preserve"> </w:t>
      </w:r>
      <w:r>
        <w:t>mil. Kč (tj.</w:t>
      </w:r>
      <w:r w:rsidR="002A075B">
        <w:t> </w:t>
      </w:r>
      <w:r>
        <w:t>116,2</w:t>
      </w:r>
      <w:r w:rsidRPr="00BA0A58">
        <w:t xml:space="preserve"> % rozpočtu). Běžné výdaje byly rozpočtovány ve v</w:t>
      </w:r>
      <w:r>
        <w:t>ýši 42,1</w:t>
      </w:r>
      <w:r w:rsidRPr="00BA0A58">
        <w:t xml:space="preserve"> mil. Kč, skutečné</w:t>
      </w:r>
      <w:r>
        <w:t xml:space="preserve"> neinvestiční výdaje činily 49,8 mil. Kč (plnění na 118,4</w:t>
      </w:r>
      <w:r w:rsidRPr="00BA0A58">
        <w:t xml:space="preserve"> </w:t>
      </w:r>
      <w:r w:rsidRPr="005F7B0C">
        <w:t>%). Rada SFK v roce 2020 podpořila 692 kulturních projektů, mezi které rozdělila formou</w:t>
      </w:r>
      <w:r w:rsidRPr="00DA1C90">
        <w:t xml:space="preserve"> neinvestičních dotací celkem cca </w:t>
      </w:r>
      <w:r>
        <w:t>28</w:t>
      </w:r>
      <w:r w:rsidRPr="00DA1C90">
        <w:t>,</w:t>
      </w:r>
      <w:r>
        <w:t>0</w:t>
      </w:r>
      <w:r w:rsidRPr="00DA1C90">
        <w:t xml:space="preserve"> mil. Kč. Rozdíly oproti rozpočtovaným částkám, vykazovaným u některých položek rozpočtové skladby, jsou v těchto případech dány praktickou nemožností predikovat a následně ovlivnit strukturu žadatelských subjektů z hlediska jejich právní subjektivity</w:t>
      </w:r>
      <w:r w:rsidRPr="005F7B0C">
        <w:t>. Převážná část ostatních běžných výdajů byla v roce 2020 vynaložena na činnosti spojené s údržbou, správou, provozováním, opravou a rekonstrukcemi nemovitostí, se kterými je SFK příslušný hospodařit. Nerozpočtovanou</w:t>
      </w:r>
      <w:r w:rsidRPr="00DA1C90">
        <w:t xml:space="preserve"> částku 8,8</w:t>
      </w:r>
      <w:r w:rsidR="00251348">
        <w:t> </w:t>
      </w:r>
      <w:r w:rsidRPr="00DA1C90">
        <w:t xml:space="preserve">mil. Kč </w:t>
      </w:r>
      <w:r>
        <w:t xml:space="preserve">pak </w:t>
      </w:r>
      <w:r w:rsidRPr="00DA1C90">
        <w:t>představovala úhrada sankce (úroků z prodlení) na základě příslušného rozsudku. K</w:t>
      </w:r>
      <w:r w:rsidRPr="002D1B13">
        <w:t xml:space="preserve">apitálové výdaje byly rozpočtovány ve výši 15,4 mil. Kč, skutečné výdaje v roce </w:t>
      </w:r>
      <w:r>
        <w:t>2020 činily téměř 17,0</w:t>
      </w:r>
      <w:r w:rsidRPr="002D1B13">
        <w:t xml:space="preserve"> mil. Kč (</w:t>
      </w:r>
      <w:r>
        <w:t>plnění na 110,2</w:t>
      </w:r>
      <w:r w:rsidRPr="002D1B13">
        <w:t xml:space="preserve"> %). Výdaje zahrnovaly převážně technické zhodnocení nemovitostí, a to budovy</w:t>
      </w:r>
      <w:r>
        <w:t xml:space="preserve"> Domu U Hybernů ve výši cca 13,7</w:t>
      </w:r>
      <w:r w:rsidRPr="002D1B13">
        <w:t xml:space="preserve"> mil. Kč a Národního dom</w:t>
      </w:r>
      <w:r>
        <w:t>u na Vinohradech ve výši cca 3,2 mil</w:t>
      </w:r>
      <w:r w:rsidRPr="002D1B13">
        <w:t>. Kč.</w:t>
      </w:r>
      <w:r w:rsidRPr="00834B10">
        <w:t xml:space="preserve"> </w:t>
      </w:r>
    </w:p>
    <w:p w:rsidR="00F51756" w:rsidRDefault="00F51756" w:rsidP="00F51756">
      <w:r w:rsidRPr="00834B10">
        <w:t xml:space="preserve">SFK nevykazuje žádné úvěrové zatížení, zůstatek peněžních prostředků na běžném účtu vedeném u </w:t>
      </w:r>
      <w:r w:rsidRPr="005F7B0C">
        <w:t xml:space="preserve">ČNB vzrostl o 12,8 mil. Kč a k 31. 12. 2020 činil cca </w:t>
      </w:r>
      <w:r w:rsidRPr="001D24BC">
        <w:t>227</w:t>
      </w:r>
      <w:r>
        <w:t>,0</w:t>
      </w:r>
      <w:r w:rsidRPr="001D24BC">
        <w:t xml:space="preserve"> mil. Kč.</w:t>
      </w:r>
    </w:p>
    <w:p w:rsidR="00F51756" w:rsidRDefault="00F51756" w:rsidP="00F51756">
      <w:pPr>
        <w:pStyle w:val="Nzev"/>
      </w:pPr>
      <w:bookmarkStart w:id="27" w:name="_Toc66717146"/>
      <w:r>
        <w:t xml:space="preserve">Tabulka č. </w:t>
      </w:r>
      <w:fldSimple w:instr=" SEQ Tabulka_č. \* ARABIC ">
        <w:r>
          <w:rPr>
            <w:noProof/>
          </w:rPr>
          <w:t>7</w:t>
        </w:r>
      </w:fldSimple>
      <w:r>
        <w:t>: Příjmy a výdaje Státního fondu kultury (tis. Kč)</w:t>
      </w:r>
      <w:bookmarkEnd w:id="27"/>
    </w:p>
    <w:p w:rsidR="00F51756" w:rsidRPr="009F03E4" w:rsidRDefault="00EE5089" w:rsidP="00F51756">
      <w:pPr>
        <w:pStyle w:val="Tabgraf"/>
      </w:pPr>
      <w:r w:rsidRPr="00EE5089">
        <w:rPr>
          <w:noProof/>
          <w:lang w:eastAsia="cs-CZ"/>
        </w:rPr>
        <w:drawing>
          <wp:inline distT="0" distB="0" distL="0" distR="0">
            <wp:extent cx="5891530" cy="2493010"/>
            <wp:effectExtent l="0" t="0" r="0" b="254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91530" cy="2493010"/>
                    </a:xfrm>
                    <a:prstGeom prst="rect">
                      <a:avLst/>
                    </a:prstGeom>
                    <a:noFill/>
                    <a:ln>
                      <a:noFill/>
                    </a:ln>
                  </pic:spPr>
                </pic:pic>
              </a:graphicData>
            </a:graphic>
          </wp:inline>
        </w:drawing>
      </w:r>
    </w:p>
    <w:p w:rsidR="00F51756" w:rsidRDefault="00F51756" w:rsidP="00F51756">
      <w:pPr>
        <w:pStyle w:val="Podnadpis"/>
      </w:pPr>
      <w:r w:rsidRPr="00B102D4">
        <w:t>Zdroj: SFK</w:t>
      </w:r>
    </w:p>
    <w:p w:rsidR="00F51756" w:rsidRDefault="00F51756" w:rsidP="00F51756">
      <w:pPr>
        <w:pStyle w:val="Nadpis1"/>
      </w:pPr>
      <w:bookmarkStart w:id="28" w:name="_Toc35945603"/>
      <w:bookmarkStart w:id="29" w:name="_Toc66717105"/>
      <w:r>
        <w:lastRenderedPageBreak/>
        <w:t>Souhrnná charakteristika věřitelské pozice státních fondů</w:t>
      </w:r>
      <w:bookmarkEnd w:id="28"/>
      <w:bookmarkEnd w:id="29"/>
    </w:p>
    <w:p w:rsidR="00F51756" w:rsidRDefault="00F51756" w:rsidP="00F51756">
      <w:r w:rsidRPr="000D5BAD">
        <w:t xml:space="preserve">Stav </w:t>
      </w:r>
      <w:r w:rsidRPr="00885778">
        <w:t xml:space="preserve">čisté věřitelské pozice z financování státních fondů se v průběhu roku 2020 zvýšil o cca 4,2 mld. Kč, což bylo ovlivněno realizovanými bankovními operacemi, tj. nárůstem stavu peněžních prostředků státních fondů na bankovních účtech ve výši cca 4 247,2 mil. Kč. </w:t>
      </w:r>
    </w:p>
    <w:p w:rsidR="007740BE" w:rsidRPr="00F800E1" w:rsidRDefault="007740BE" w:rsidP="007740BE">
      <w:pPr>
        <w:pStyle w:val="Bezmezer"/>
      </w:pPr>
      <w:r w:rsidRPr="00F800E1">
        <w:br w:type="page"/>
      </w:r>
      <w:bookmarkStart w:id="30" w:name="_Toc35945604"/>
      <w:bookmarkStart w:id="31" w:name="_Toc66717106"/>
      <w:r w:rsidRPr="00F800E1">
        <w:lastRenderedPageBreak/>
        <w:t>Hospodaření rozpočtů územních samosprávných celků, dobrovolných svazků obcí a Regionálních rad regionů soudržnosti za rok 20</w:t>
      </w:r>
      <w:r w:rsidR="0009461F">
        <w:t>20</w:t>
      </w:r>
      <w:bookmarkEnd w:id="30"/>
      <w:bookmarkEnd w:id="31"/>
    </w:p>
    <w:p w:rsidR="0009461F" w:rsidRPr="001A5FA8" w:rsidRDefault="0009461F" w:rsidP="0009461F">
      <w:pPr>
        <w:rPr>
          <w:highlight w:val="yellow"/>
        </w:rPr>
      </w:pPr>
      <w:r w:rsidRPr="009F5AAB">
        <w:t>Hospodaření územních rozpočt</w:t>
      </w:r>
      <w:r>
        <w:t>ů</w:t>
      </w:r>
      <w:r w:rsidRPr="009F5AAB">
        <w:t xml:space="preserve"> </w:t>
      </w:r>
      <w:r>
        <w:t>bylo v roce</w:t>
      </w:r>
      <w:r w:rsidRPr="009F5AAB">
        <w:t xml:space="preserve"> 2020</w:t>
      </w:r>
      <w:r>
        <w:t xml:space="preserve"> poznamenáno epidemiologickou situací výskytu onemocnění COVID-19 a souvisejícími přijatými vládními opatřeními, jejichž cílem bylo zamezit šíření nákazy. Tato skutečnost se promítla mimo jiné zejména snížením celostátního hrubého výnosu daně z příjmů fyzických a právnických osob, a tedy poklesem daňových příjmů územních samosprávných celků. </w:t>
      </w:r>
      <w:r w:rsidR="00A353F1">
        <w:t>I </w:t>
      </w:r>
      <w:r w:rsidRPr="009F5AAB">
        <w:t xml:space="preserve">přesto pokračoval v roce 2020 </w:t>
      </w:r>
      <w:r w:rsidRPr="009F5AAB">
        <w:rPr>
          <w:b/>
        </w:rPr>
        <w:t>trend</w:t>
      </w:r>
      <w:r>
        <w:rPr>
          <w:b/>
        </w:rPr>
        <w:t xml:space="preserve"> meziročního</w:t>
      </w:r>
      <w:r w:rsidRPr="009F5AAB">
        <w:rPr>
          <w:b/>
        </w:rPr>
        <w:t xml:space="preserve"> </w:t>
      </w:r>
      <w:r w:rsidRPr="00772309">
        <w:rPr>
          <w:b/>
        </w:rPr>
        <w:t>růstu rozpočtových příjmů obcí i krajů.</w:t>
      </w:r>
      <w:r w:rsidRPr="00F55291">
        <w:rPr>
          <w:b/>
        </w:rPr>
        <w:t xml:space="preserve"> </w:t>
      </w:r>
      <w:r w:rsidRPr="00F55291">
        <w:t>Hospodaření územních rozpočtů skončilo s </w:t>
      </w:r>
      <w:r w:rsidRPr="00F55291">
        <w:rPr>
          <w:b/>
        </w:rPr>
        <w:t>přebytkem</w:t>
      </w:r>
      <w:r w:rsidRPr="00F55291">
        <w:t xml:space="preserve">, a to již devátým rokem po sobě. </w:t>
      </w:r>
      <w:r>
        <w:t>Z</w:t>
      </w:r>
      <w:r w:rsidRPr="005A3ED1">
        <w:t xml:space="preserve"> hlediska </w:t>
      </w:r>
      <w:r w:rsidRPr="008810D6">
        <w:rPr>
          <w:b/>
          <w:bCs/>
        </w:rPr>
        <w:t xml:space="preserve">vývoje </w:t>
      </w:r>
      <w:r>
        <w:rPr>
          <w:b/>
          <w:bCs/>
        </w:rPr>
        <w:t>dluhu</w:t>
      </w:r>
      <w:r w:rsidRPr="008810D6">
        <w:rPr>
          <w:b/>
          <w:bCs/>
        </w:rPr>
        <w:t xml:space="preserve"> </w:t>
      </w:r>
      <w:r w:rsidRPr="00F23536">
        <w:t>územních rozpočtů</w:t>
      </w:r>
      <w:r w:rsidRPr="008810D6">
        <w:rPr>
          <w:b/>
          <w:bCs/>
        </w:rPr>
        <w:t xml:space="preserve"> </w:t>
      </w:r>
      <w:r w:rsidRPr="00F23536">
        <w:t>došlo ve srovnání s předchozím rokem</w:t>
      </w:r>
      <w:r w:rsidRPr="008810D6">
        <w:rPr>
          <w:b/>
          <w:bCs/>
        </w:rPr>
        <w:t xml:space="preserve"> k mírnému zvýšení</w:t>
      </w:r>
      <w:r>
        <w:t xml:space="preserve">, toto zvýšení však bylo </w:t>
      </w:r>
      <w:r w:rsidRPr="008810D6">
        <w:rPr>
          <w:b/>
          <w:bCs/>
        </w:rPr>
        <w:t>nepatrné oproti růstu zůstatků peněžních prostředků</w:t>
      </w:r>
      <w:r>
        <w:t xml:space="preserve"> územních rozpočtů </w:t>
      </w:r>
      <w:r w:rsidRPr="008810D6">
        <w:rPr>
          <w:b/>
          <w:bCs/>
        </w:rPr>
        <w:t>na bankovních účtech</w:t>
      </w:r>
      <w:r>
        <w:t>.</w:t>
      </w:r>
    </w:p>
    <w:p w:rsidR="0009461F" w:rsidRPr="008B5D52" w:rsidRDefault="0009461F" w:rsidP="0009461F">
      <w:r w:rsidRPr="008B5D52">
        <w:t xml:space="preserve">Příznivé výsledky byly vykázány z hlediska vývoje </w:t>
      </w:r>
      <w:r w:rsidRPr="008B5D52">
        <w:rPr>
          <w:b/>
        </w:rPr>
        <w:t>kapitálových výdajů</w:t>
      </w:r>
      <w:r w:rsidRPr="008B5D52">
        <w:t xml:space="preserve">. Zatímco v roce 2019 </w:t>
      </w:r>
      <w:r w:rsidRPr="008B5D52">
        <w:rPr>
          <w:b/>
        </w:rPr>
        <w:t>stagnovaly</w:t>
      </w:r>
      <w:r>
        <w:t xml:space="preserve"> na úrovni</w:t>
      </w:r>
      <w:r w:rsidRPr="008B5D52">
        <w:t xml:space="preserve"> předchozího roku, v roce 2020 navázaly na růst</w:t>
      </w:r>
      <w:r>
        <w:t> z let</w:t>
      </w:r>
      <w:r w:rsidRPr="008B5D52">
        <w:t xml:space="preserve"> 2017 a 2018.</w:t>
      </w:r>
      <w:r>
        <w:t xml:space="preserve"> Tento růst byl mimo jiné způsoben růstem přijatých investičních transferů ze státního rozpočtu.</w:t>
      </w:r>
    </w:p>
    <w:p w:rsidR="0009461F" w:rsidRPr="001A5FA8" w:rsidRDefault="0009461F" w:rsidP="0009461F">
      <w:pPr>
        <w:rPr>
          <w:highlight w:val="yellow"/>
        </w:rPr>
      </w:pPr>
      <w:r w:rsidRPr="0068310D">
        <w:t>Souhrnné ukazatele hospodaření územních rozpočtů jako celku ovlivňují do značné míry výsledky hospodaření hlavního města Prahy</w:t>
      </w:r>
      <w:r>
        <w:t xml:space="preserve"> (dále jen </w:t>
      </w:r>
      <w:r w:rsidRPr="00E408EA">
        <w:rPr>
          <w:b/>
          <w:bCs/>
        </w:rPr>
        <w:t>„hl. m. Prah</w:t>
      </w:r>
      <w:r w:rsidR="00E408EA" w:rsidRPr="00E408EA">
        <w:rPr>
          <w:b/>
          <w:bCs/>
        </w:rPr>
        <w:t>a</w:t>
      </w:r>
      <w:r w:rsidRPr="00E408EA">
        <w:rPr>
          <w:b/>
          <w:bCs/>
        </w:rPr>
        <w:t>“</w:t>
      </w:r>
      <w:r>
        <w:t>)</w:t>
      </w:r>
      <w:r w:rsidRPr="0068310D">
        <w:t xml:space="preserve">, a to především z hlediska výsledného salda hospodaření (na celkovém přebytku hospodaření územních rozpočtů se z více než poloviny podílel přebytek rozpočtového hospodaření hlavního města), </w:t>
      </w:r>
      <w:r>
        <w:t xml:space="preserve">ale </w:t>
      </w:r>
      <w:r w:rsidRPr="005A3ED1">
        <w:t xml:space="preserve">i z hlediska růstu </w:t>
      </w:r>
      <w:r>
        <w:t>zůstatků</w:t>
      </w:r>
      <w:r w:rsidRPr="005A3ED1">
        <w:t xml:space="preserve"> peněžních prostředků na bankovních účtech.</w:t>
      </w:r>
    </w:p>
    <w:p w:rsidR="0009461F" w:rsidRPr="001A5FA8" w:rsidRDefault="0009461F" w:rsidP="0009461F">
      <w:pPr>
        <w:rPr>
          <w:highlight w:val="yellow"/>
        </w:rPr>
      </w:pPr>
      <w:r w:rsidRPr="00B137BC">
        <w:t xml:space="preserve">Na zvýšení celkových příjmů územních rozpočtů se především podílel </w:t>
      </w:r>
      <w:r w:rsidRPr="00B137BC">
        <w:rPr>
          <w:b/>
        </w:rPr>
        <w:t>růst přijatých transferů</w:t>
      </w:r>
      <w:r w:rsidRPr="00B137BC">
        <w:t xml:space="preserve">, a to jak neinvestičních, </w:t>
      </w:r>
      <w:r w:rsidRPr="006F63E8">
        <w:t xml:space="preserve">v návaznosti na realizaci záměrů vlády v oblasti regionálního školství a </w:t>
      </w:r>
      <w:r>
        <w:t xml:space="preserve">v případě </w:t>
      </w:r>
      <w:r w:rsidRPr="006F63E8">
        <w:t>podpory obcím</w:t>
      </w:r>
      <w:r>
        <w:t xml:space="preserve"> formou </w:t>
      </w:r>
      <w:r w:rsidR="00CB3AD2">
        <w:t>jednorázového</w:t>
      </w:r>
      <w:r>
        <w:t xml:space="preserve"> příspěvku</w:t>
      </w:r>
      <w:r w:rsidRPr="006F63E8">
        <w:t xml:space="preserve"> podle zákon</w:t>
      </w:r>
      <w:r>
        <w:t>a</w:t>
      </w:r>
      <w:r w:rsidRPr="006F63E8">
        <w:t xml:space="preserve"> č. 159/2020 Sb.</w:t>
      </w:r>
      <w:r>
        <w:rPr>
          <w:rStyle w:val="Znakapoznpodarou"/>
        </w:rPr>
        <w:footnoteReference w:id="1"/>
      </w:r>
      <w:r>
        <w:t>,</w:t>
      </w:r>
      <w:r w:rsidRPr="006F63E8">
        <w:t xml:space="preserve"> </w:t>
      </w:r>
      <w:r w:rsidRPr="0091785F">
        <w:t xml:space="preserve">tak investičních, v souvislosti s realizací projektů v rámci dopravní infrastruktury. </w:t>
      </w:r>
      <w:r w:rsidRPr="003F7EFE">
        <w:t>Vývoj vlastních příjmů</w:t>
      </w:r>
      <w:r w:rsidR="00E408EA">
        <w:t xml:space="preserve"> </w:t>
      </w:r>
      <w:r w:rsidR="00E408EA" w:rsidRPr="00E408EA">
        <w:t>(daňové příjmy, nedaňové příjmy a kapitálové příjmy)</w:t>
      </w:r>
      <w:r w:rsidRPr="003F7EFE">
        <w:t xml:space="preserve"> územních rozpočtů byl ovlivněn především </w:t>
      </w:r>
      <w:r>
        <w:t xml:space="preserve">přijatými vládními opatřeními </w:t>
      </w:r>
      <w:r w:rsidRPr="003F7EFE">
        <w:t>k zamezení šíření onemocnění COVID-19, které se promítly v</w:t>
      </w:r>
      <w:r>
        <w:t> </w:t>
      </w:r>
      <w:r w:rsidRPr="003F7EFE">
        <w:t xml:space="preserve">inkasu sdílených daňových příjmů obcí a krajů. Na rozdíl od předchozích let </w:t>
      </w:r>
      <w:r>
        <w:t xml:space="preserve">tak </w:t>
      </w:r>
      <w:r w:rsidRPr="003F7EFE">
        <w:t>došlo k </w:t>
      </w:r>
      <w:r>
        <w:t>poklesu vlastních příjmů obcí a </w:t>
      </w:r>
      <w:r w:rsidRPr="003F7EFE">
        <w:t>krajů</w:t>
      </w:r>
      <w:r>
        <w:t>, které byly v případě obcí kompenzovány přijatými neinvestičními transfery ze státního rozpočtu</w:t>
      </w:r>
      <w:r w:rsidRPr="003F7EFE">
        <w:t>.</w:t>
      </w:r>
    </w:p>
    <w:p w:rsidR="0009461F" w:rsidRPr="001A5FA8" w:rsidRDefault="0009461F" w:rsidP="0009461F">
      <w:pPr>
        <w:rPr>
          <w:highlight w:val="yellow"/>
        </w:rPr>
      </w:pPr>
      <w:r w:rsidRPr="001A0725">
        <w:t>Ve struktuře transferů poskytovaných krajům a obcím z jednotlivých</w:t>
      </w:r>
      <w:r>
        <w:t xml:space="preserve"> kapitol státního rozpočtu a z rozpočtů </w:t>
      </w:r>
      <w:r w:rsidRPr="001A0725">
        <w:t>státních fondů došlo k nejvýraznějším změnám především u poskytnutých transferů z kapitoly Ministerstvo zdravotnictví a kapitoly Všeobecná pokladní správa</w:t>
      </w:r>
      <w:r>
        <w:t xml:space="preserve"> (dále jen </w:t>
      </w:r>
      <w:r w:rsidRPr="00E408EA">
        <w:rPr>
          <w:b/>
          <w:bCs/>
        </w:rPr>
        <w:t>„VPS“</w:t>
      </w:r>
      <w:r>
        <w:t>)</w:t>
      </w:r>
      <w:r w:rsidRPr="001A0725">
        <w:t xml:space="preserve">. Nárůst transferů ze zmíněných kapitol se týkal prostředků v souvislosti s onemocněním COVID-19. </w:t>
      </w:r>
    </w:p>
    <w:p w:rsidR="0009461F" w:rsidRPr="00891BF3" w:rsidRDefault="0009461F" w:rsidP="0009461F">
      <w:r>
        <w:t xml:space="preserve">Úloha </w:t>
      </w:r>
      <w:r w:rsidRPr="00891BF3">
        <w:t>Regionální</w:t>
      </w:r>
      <w:r>
        <w:t>ch</w:t>
      </w:r>
      <w:r w:rsidRPr="00891BF3">
        <w:t xml:space="preserve"> rad regionů soudržnosti (dále jen </w:t>
      </w:r>
      <w:r w:rsidRPr="00891BF3">
        <w:rPr>
          <w:b/>
        </w:rPr>
        <w:t>„regionální rady“</w:t>
      </w:r>
      <w:r w:rsidRPr="00891BF3">
        <w:t xml:space="preserve">) </w:t>
      </w:r>
      <w:r>
        <w:t>v současné době</w:t>
      </w:r>
      <w:r w:rsidRPr="00891BF3">
        <w:t xml:space="preserve"> spočívá především v kontrole projektů po období udržitelnosti a v postupném ukončování programů</w:t>
      </w:r>
      <w:r>
        <w:t>, a to v souvislosti s připravovaným zrušením regionálních rad v roce 2021, pokud příslušná novela zákona č.</w:t>
      </w:r>
      <w:r w:rsidR="002407FE">
        <w:t> </w:t>
      </w:r>
      <w:r>
        <w:t>248/2000 Sb.</w:t>
      </w:r>
      <w:r>
        <w:rPr>
          <w:rStyle w:val="Znakapoznpodarou"/>
        </w:rPr>
        <w:footnoteReference w:id="2"/>
      </w:r>
      <w:r>
        <w:t xml:space="preserve"> bude v roce 2021 schválena a nabyde účinnosti</w:t>
      </w:r>
      <w:r w:rsidRPr="00891BF3">
        <w:t xml:space="preserve">. Příjmy a výdaje regionálních rad se </w:t>
      </w:r>
      <w:r>
        <w:t xml:space="preserve">tak </w:t>
      </w:r>
      <w:r w:rsidRPr="00891BF3">
        <w:t xml:space="preserve">stejně jako v předchozích </w:t>
      </w:r>
      <w:r>
        <w:t>třech</w:t>
      </w:r>
      <w:r w:rsidRPr="00891BF3">
        <w:t xml:space="preserve"> letech týkaly pouze financování provozních výdajů</w:t>
      </w:r>
      <w:r>
        <w:t xml:space="preserve"> a </w:t>
      </w:r>
      <w:r w:rsidRPr="00891BF3">
        <w:t xml:space="preserve">byly tedy relativně nízké (prostředky určené regionálním radám jsou rozpočtovány v kapitole Ministerstva pro místní rozvoj v rámci OP Technická pomoc 2014+). </w:t>
      </w:r>
    </w:p>
    <w:p w:rsidR="0009461F" w:rsidRPr="001A5FA8" w:rsidRDefault="0009461F" w:rsidP="0009461F">
      <w:pPr>
        <w:rPr>
          <w:highlight w:val="yellow"/>
        </w:rPr>
      </w:pPr>
      <w:r w:rsidRPr="00FD7D51">
        <w:t xml:space="preserve">V roce 2020 </w:t>
      </w:r>
      <w:r>
        <w:t>skončilo</w:t>
      </w:r>
      <w:r w:rsidRPr="00FD7D51">
        <w:t xml:space="preserve"> hospodaření územní</w:t>
      </w:r>
      <w:r>
        <w:t>ch</w:t>
      </w:r>
      <w:r w:rsidRPr="00FD7D51">
        <w:t xml:space="preserve"> rozpočt</w:t>
      </w:r>
      <w:r>
        <w:t>ů</w:t>
      </w:r>
      <w:r w:rsidRPr="00FD7D51">
        <w:t xml:space="preserve"> s přebytkem v celkové výši </w:t>
      </w:r>
      <w:r w:rsidRPr="00FD7D51">
        <w:rPr>
          <w:b/>
        </w:rPr>
        <w:t>14,0 mld. Kč.</w:t>
      </w:r>
      <w:r w:rsidR="00A353F1">
        <w:t xml:space="preserve"> (v </w:t>
      </w:r>
      <w:r w:rsidRPr="00FD7D51">
        <w:t>předchozím roce 2019 činil přebytek 31,7 mld. Kč</w:t>
      </w:r>
      <w:r w:rsidRPr="00165201">
        <w:t xml:space="preserve">). Přebytek byl vykázán na úrovni rozpočtů obcí, dosáhl </w:t>
      </w:r>
      <w:r w:rsidRPr="00165201">
        <w:rPr>
          <w:b/>
        </w:rPr>
        <w:t>19,0 mld. Kč</w:t>
      </w:r>
      <w:r w:rsidRPr="00165201">
        <w:t xml:space="preserve">. Kraje hospodařily se </w:t>
      </w:r>
      <w:r w:rsidRPr="00165201">
        <w:rPr>
          <w:b/>
        </w:rPr>
        <w:t>schodkem 5,0 mld. Kč</w:t>
      </w:r>
      <w:r w:rsidRPr="00165201">
        <w:t xml:space="preserve"> (v předchozím roce činilo kladné saldo hospodaření 5,8 mld. Kč). Dobrovolné svazky obcí ukončily hospodaření s mírným schodkem ve výši 0,1</w:t>
      </w:r>
      <w:r w:rsidR="00A353F1">
        <w:t> </w:t>
      </w:r>
      <w:r w:rsidRPr="00165201">
        <w:t xml:space="preserve">mld. Kč a regionální rady s velmi </w:t>
      </w:r>
      <w:r>
        <w:t>nízkým</w:t>
      </w:r>
      <w:r w:rsidRPr="00165201">
        <w:t xml:space="preserve"> přebytkem.</w:t>
      </w:r>
    </w:p>
    <w:p w:rsidR="0009461F" w:rsidRPr="00721DF4" w:rsidRDefault="0009461F" w:rsidP="0009461F">
      <w:r w:rsidRPr="00721DF4">
        <w:lastRenderedPageBreak/>
        <w:t xml:space="preserve">Hodnocení plnění příjmů a výdajů krajů, obcí, dobrovolných svazků obcí a regionálních rad za rok 2020 je provedeno samostatně k rozpočtu po všech změnách, tj. ke konečnému rozpočtu (dále jen </w:t>
      </w:r>
      <w:r w:rsidRPr="00721DF4">
        <w:rPr>
          <w:b/>
        </w:rPr>
        <w:t>„rozpočet“</w:t>
      </w:r>
      <w:r w:rsidRPr="00721DF4">
        <w:t>), který vedle změn souvisejících s provedenými rozpočtovými opatřeními za</w:t>
      </w:r>
      <w:r>
        <w:t>hrnuje také změny vyplývající z </w:t>
      </w:r>
      <w:r w:rsidRPr="00721DF4">
        <w:t>promítnutí nároků z nespotřebovaných výdajů organizačních složek státu.</w:t>
      </w:r>
    </w:p>
    <w:p w:rsidR="0009461F" w:rsidRPr="002077BB" w:rsidRDefault="0009461F" w:rsidP="0009461F">
      <w:pPr>
        <w:rPr>
          <w:b/>
        </w:rPr>
      </w:pPr>
      <w:r w:rsidRPr="00721DF4">
        <w:t xml:space="preserve">V kapitole </w:t>
      </w:r>
      <w:r w:rsidRPr="00721DF4">
        <w:rPr>
          <w:i/>
        </w:rPr>
        <w:t>3. Příjmy a výdaje obcí a dobrovolných svazků obcí</w:t>
      </w:r>
      <w:r w:rsidRPr="00721DF4">
        <w:t xml:space="preserve"> jsou výsledky hospodaření hl</w:t>
      </w:r>
      <w:r>
        <w:t>.</w:t>
      </w:r>
      <w:r w:rsidRPr="00721DF4">
        <w:t xml:space="preserve"> m</w:t>
      </w:r>
      <w:r>
        <w:t>.</w:t>
      </w:r>
      <w:r w:rsidRPr="00721DF4">
        <w:t xml:space="preserve"> Prahy jako obce součástí uváděných souhrnných údajů. S ohledem na specifické postavení hlavního města a váhu jeho příjmů a výdajů v celkových příjmech a výdajích obecních rozpočtů je současně v rámci této kapitoly zpracována samostatná část, která se týká pouze výsle</w:t>
      </w:r>
      <w:r>
        <w:t>dků rozpočtového hospodaření hl.</w:t>
      </w:r>
      <w:r w:rsidRPr="00721DF4">
        <w:t xml:space="preserve"> m</w:t>
      </w:r>
      <w:r>
        <w:t xml:space="preserve">. </w:t>
      </w:r>
      <w:r w:rsidRPr="00721DF4">
        <w:t>Prahy.</w:t>
      </w:r>
    </w:p>
    <w:p w:rsidR="0009461F" w:rsidRPr="000D6FC5" w:rsidRDefault="0009461F" w:rsidP="0009461F">
      <w:pPr>
        <w:pStyle w:val="Nadpis1"/>
        <w:numPr>
          <w:ilvl w:val="0"/>
          <w:numId w:val="8"/>
        </w:numPr>
        <w:jc w:val="both"/>
      </w:pPr>
      <w:bookmarkStart w:id="32" w:name="_Toc35945605"/>
      <w:bookmarkStart w:id="33" w:name="_Toc66700412"/>
      <w:bookmarkStart w:id="34" w:name="_Toc66717107"/>
      <w:r w:rsidRPr="000D6FC5">
        <w:t>Celkové výsledky hospodaření krajů, obcí, dobrovolných svazků obcí a</w:t>
      </w:r>
      <w:r>
        <w:t> r</w:t>
      </w:r>
      <w:r w:rsidRPr="000D6FC5">
        <w:t xml:space="preserve">egionálních </w:t>
      </w:r>
      <w:r>
        <w:t>r</w:t>
      </w:r>
      <w:r w:rsidRPr="000D6FC5">
        <w:t xml:space="preserve">ad </w:t>
      </w:r>
      <w:r>
        <w:t>regionů soudržnosti</w:t>
      </w:r>
      <w:bookmarkEnd w:id="32"/>
      <w:bookmarkEnd w:id="33"/>
      <w:bookmarkEnd w:id="34"/>
    </w:p>
    <w:p w:rsidR="0009461F" w:rsidRPr="00C44AC1" w:rsidRDefault="0009461F" w:rsidP="0009461F">
      <w:r w:rsidRPr="00C44AC1">
        <w:rPr>
          <w:b/>
        </w:rPr>
        <w:t xml:space="preserve">Celkové příjmy </w:t>
      </w:r>
      <w:r w:rsidRPr="00C44AC1">
        <w:t xml:space="preserve">(po konsolidaci) krajů, obcí, dobrovolných svazků obcí (dále jen </w:t>
      </w:r>
      <w:r w:rsidRPr="00C44AC1">
        <w:rPr>
          <w:b/>
        </w:rPr>
        <w:t>„DSO“</w:t>
      </w:r>
      <w:r w:rsidRPr="00C44AC1">
        <w:t xml:space="preserve">) a regionálních rad dosáhly </w:t>
      </w:r>
      <w:r w:rsidRPr="00C44AC1">
        <w:rPr>
          <w:b/>
        </w:rPr>
        <w:t>626,2 mld. Kč</w:t>
      </w:r>
      <w:r w:rsidRPr="00C44AC1">
        <w:t>, ve srovn</w:t>
      </w:r>
      <w:r>
        <w:t>ání s </w:t>
      </w:r>
      <w:r w:rsidRPr="00C44AC1">
        <w:t xml:space="preserve">předchozím rokem </w:t>
      </w:r>
      <w:r w:rsidRPr="00C44AC1">
        <w:rPr>
          <w:b/>
        </w:rPr>
        <w:t>vzrostly o 32,2 mld. Kč</w:t>
      </w:r>
      <w:r>
        <w:rPr>
          <w:b/>
        </w:rPr>
        <w:t xml:space="preserve"> </w:t>
      </w:r>
      <w:r w:rsidRPr="00942B0A">
        <w:rPr>
          <w:bCs/>
        </w:rPr>
        <w:t>(</w:t>
      </w:r>
      <w:r w:rsidRPr="00C44AC1">
        <w:t xml:space="preserve">meziroční </w:t>
      </w:r>
      <w:r w:rsidRPr="00942B0A">
        <w:rPr>
          <w:b/>
          <w:bCs/>
        </w:rPr>
        <w:t>růst</w:t>
      </w:r>
      <w:r w:rsidRPr="00C44AC1">
        <w:t xml:space="preserve"> činí </w:t>
      </w:r>
      <w:r w:rsidRPr="00942B0A">
        <w:rPr>
          <w:b/>
          <w:bCs/>
        </w:rPr>
        <w:t>5,4 %</w:t>
      </w:r>
      <w:r w:rsidRPr="00C44AC1">
        <w:t>)</w:t>
      </w:r>
      <w:r w:rsidRPr="00C44AC1">
        <w:rPr>
          <w:b/>
        </w:rPr>
        <w:t>.</w:t>
      </w:r>
      <w:r w:rsidRPr="00C44AC1">
        <w:t xml:space="preserve"> Jedná se o </w:t>
      </w:r>
      <w:r w:rsidRPr="00C44AC1">
        <w:rPr>
          <w:b/>
        </w:rPr>
        <w:t xml:space="preserve">pokles meziročního zvýšení </w:t>
      </w:r>
      <w:r w:rsidRPr="00C44AC1">
        <w:t xml:space="preserve">celkových příjmů územních rozpočtů zhruba </w:t>
      </w:r>
      <w:r>
        <w:t xml:space="preserve">o </w:t>
      </w:r>
      <w:r w:rsidRPr="00C44AC1">
        <w:t xml:space="preserve">polovinu </w:t>
      </w:r>
      <w:r>
        <w:t>oproti roku</w:t>
      </w:r>
      <w:r w:rsidRPr="00C44AC1">
        <w:t xml:space="preserve"> 2019 (nárůst příjmů v roce 2019 činil 61,5</w:t>
      </w:r>
      <w:r>
        <w:t> </w:t>
      </w:r>
      <w:r w:rsidRPr="00C44AC1">
        <w:t xml:space="preserve">mld. Kč). </w:t>
      </w:r>
    </w:p>
    <w:p w:rsidR="0009461F" w:rsidRPr="00373282" w:rsidRDefault="0009461F" w:rsidP="0009461F">
      <w:pPr>
        <w:rPr>
          <w:highlight w:val="yellow"/>
        </w:rPr>
      </w:pPr>
      <w:r w:rsidRPr="00FC03D6">
        <w:rPr>
          <w:b/>
        </w:rPr>
        <w:t>Vlastní příjmy</w:t>
      </w:r>
      <w:r w:rsidRPr="00FC03D6">
        <w:t xml:space="preserve"> územních rozpočtů (tj. příjmy daňové, nedaňové a kapitálové) dosáhly </w:t>
      </w:r>
      <w:r w:rsidRPr="00FC03D6">
        <w:rPr>
          <w:b/>
        </w:rPr>
        <w:t>352,8 mld. Kč</w:t>
      </w:r>
      <w:r w:rsidRPr="00FC03D6">
        <w:t xml:space="preserve">, proti předchozímu roku byly </w:t>
      </w:r>
      <w:r w:rsidRPr="00FC03D6">
        <w:rPr>
          <w:b/>
        </w:rPr>
        <w:t>nižší o 4,5 %, tj. o 16,7 mld. Kč.</w:t>
      </w:r>
      <w:r w:rsidRPr="00FC03D6">
        <w:t xml:space="preserve"> Pokles byl vykázán pouze v části </w:t>
      </w:r>
      <w:r w:rsidRPr="00942B0A">
        <w:rPr>
          <w:b/>
          <w:bCs/>
        </w:rPr>
        <w:t>daňových příjmů</w:t>
      </w:r>
      <w:r w:rsidRPr="00FC03D6">
        <w:t xml:space="preserve">. </w:t>
      </w:r>
      <w:r w:rsidRPr="0061142F">
        <w:t>Nedaňové a kapitálové příjmy, které představují spíše doplňkový zdroj příjmů, vzrostly o 4,3 %</w:t>
      </w:r>
      <w:r>
        <w:t>,</w:t>
      </w:r>
      <w:r w:rsidRPr="0061142F">
        <w:t xml:space="preserve"> respektive kapitálové příjmy zůstal</w:t>
      </w:r>
      <w:r>
        <w:t>y</w:t>
      </w:r>
      <w:r w:rsidRPr="0061142F">
        <w:t xml:space="preserve"> na podobné úrovni jako v roce 2019.</w:t>
      </w:r>
    </w:p>
    <w:p w:rsidR="0009461F" w:rsidRPr="00083FB4" w:rsidRDefault="0009461F" w:rsidP="002F377C">
      <w:r w:rsidRPr="00083FB4">
        <w:rPr>
          <w:b/>
        </w:rPr>
        <w:t>Daňové příjmy</w:t>
      </w:r>
      <w:r w:rsidRPr="00083FB4">
        <w:t xml:space="preserve"> činily </w:t>
      </w:r>
      <w:r w:rsidRPr="00083FB4">
        <w:rPr>
          <w:b/>
        </w:rPr>
        <w:t>301,7 mld. Kč</w:t>
      </w:r>
      <w:r w:rsidRPr="00083FB4">
        <w:t xml:space="preserve">, což bylo meziročně </w:t>
      </w:r>
      <w:r w:rsidRPr="00083FB4">
        <w:rPr>
          <w:b/>
        </w:rPr>
        <w:t>o 18,5 mld. Kč méně</w:t>
      </w:r>
      <w:r>
        <w:rPr>
          <w:b/>
        </w:rPr>
        <w:t xml:space="preserve">, tedy pokles </w:t>
      </w:r>
      <w:r w:rsidRPr="000D5A3F">
        <w:rPr>
          <w:b/>
          <w:bCs/>
        </w:rPr>
        <w:t>o 5,8 %</w:t>
      </w:r>
      <w:r w:rsidRPr="00083FB4">
        <w:rPr>
          <w:b/>
        </w:rPr>
        <w:t>.</w:t>
      </w:r>
      <w:r w:rsidRPr="00083FB4">
        <w:t xml:space="preserve"> </w:t>
      </w:r>
      <w:r>
        <w:t xml:space="preserve">Pokles byl způsoben snížením celostátního hrubého výnosu zejména daní z příjmů fyzických a právnických osob souvisejícím </w:t>
      </w:r>
      <w:r w:rsidRPr="00083FB4">
        <w:t xml:space="preserve">především </w:t>
      </w:r>
      <w:r>
        <w:t>s </w:t>
      </w:r>
      <w:r w:rsidRPr="00083FB4">
        <w:t>realizac</w:t>
      </w:r>
      <w:r>
        <w:t xml:space="preserve">í přijatých vládních opatření s cílem zamezit šíření </w:t>
      </w:r>
      <w:r w:rsidRPr="00083FB4">
        <w:t xml:space="preserve">onemocnění COVID-19 ve společnosti. </w:t>
      </w:r>
    </w:p>
    <w:p w:rsidR="0009461F" w:rsidRPr="00373282" w:rsidRDefault="0009461F" w:rsidP="002F377C">
      <w:pPr>
        <w:rPr>
          <w:highlight w:val="yellow"/>
        </w:rPr>
      </w:pPr>
      <w:r w:rsidRPr="009F5FE4">
        <w:rPr>
          <w:b/>
        </w:rPr>
        <w:t>Nedaňové příjmy</w:t>
      </w:r>
      <w:r w:rsidRPr="009F5FE4">
        <w:t xml:space="preserve"> činily </w:t>
      </w:r>
      <w:r w:rsidRPr="009F5FE4">
        <w:rPr>
          <w:b/>
        </w:rPr>
        <w:t>43,8 mld. Kč</w:t>
      </w:r>
      <w:r w:rsidRPr="009F5FE4">
        <w:t xml:space="preserve">, což bylo meziročně </w:t>
      </w:r>
      <w:r w:rsidRPr="009F5FE4">
        <w:rPr>
          <w:b/>
        </w:rPr>
        <w:t>o 4,3 %</w:t>
      </w:r>
      <w:r>
        <w:rPr>
          <w:b/>
        </w:rPr>
        <w:t xml:space="preserve"> více</w:t>
      </w:r>
      <w:r w:rsidRPr="009F5FE4">
        <w:rPr>
          <w:b/>
        </w:rPr>
        <w:t xml:space="preserve">, </w:t>
      </w:r>
      <w:r>
        <w:rPr>
          <w:b/>
        </w:rPr>
        <w:t>tedy</w:t>
      </w:r>
      <w:r w:rsidRPr="009F5FE4">
        <w:rPr>
          <w:b/>
        </w:rPr>
        <w:t xml:space="preserve"> o 1,8 mld. Kč.</w:t>
      </w:r>
      <w:r w:rsidRPr="009F5FE4">
        <w:t xml:space="preserve"> </w:t>
      </w:r>
      <w:r w:rsidRPr="00C655BE">
        <w:t>K růstu došlo především ve skupinách: příjmy z prodeje nekapitálového majetku a ostatní nedaňové příjmy (o 11,2 %</w:t>
      </w:r>
      <w:r>
        <w:t xml:space="preserve"> více, tj. o </w:t>
      </w:r>
      <w:r w:rsidRPr="00C655BE">
        <w:t>0,5 mld. Kč) a výnosy z finančního majetku (o 10,2 %</w:t>
      </w:r>
      <w:r>
        <w:t xml:space="preserve"> více, tedy</w:t>
      </w:r>
      <w:r w:rsidRPr="00C655BE">
        <w:t xml:space="preserve"> </w:t>
      </w:r>
      <w:r>
        <w:t>o</w:t>
      </w:r>
      <w:r w:rsidRPr="00C655BE">
        <w:t xml:space="preserve"> 0,4 mld. Kč).</w:t>
      </w:r>
    </w:p>
    <w:p w:rsidR="0009461F" w:rsidRPr="001D0F0E" w:rsidRDefault="0009461F" w:rsidP="002F377C">
      <w:r w:rsidRPr="001D0F0E">
        <w:rPr>
          <w:b/>
        </w:rPr>
        <w:t>Kapitálové příjmy</w:t>
      </w:r>
      <w:r w:rsidRPr="001D0F0E">
        <w:t xml:space="preserve"> (</w:t>
      </w:r>
      <w:r>
        <w:t>zejména</w:t>
      </w:r>
      <w:r w:rsidRPr="001D0F0E">
        <w:t xml:space="preserve"> příjmy z prodeje pozemků</w:t>
      </w:r>
      <w:r>
        <w:t xml:space="preserve"> a ostatních nemovitostí</w:t>
      </w:r>
      <w:r w:rsidRPr="001D0F0E">
        <w:t xml:space="preserve">) byly </w:t>
      </w:r>
      <w:r>
        <w:t>vykázány</w:t>
      </w:r>
      <w:r w:rsidRPr="001D0F0E">
        <w:t xml:space="preserve"> ve výši </w:t>
      </w:r>
      <w:r w:rsidRPr="001D0F0E">
        <w:rPr>
          <w:b/>
        </w:rPr>
        <w:t>7,2 mld. Kč</w:t>
      </w:r>
      <w:r w:rsidRPr="001D0F0E">
        <w:t xml:space="preserve">, což bylo </w:t>
      </w:r>
      <w:r w:rsidRPr="001D0F0E">
        <w:rPr>
          <w:b/>
        </w:rPr>
        <w:t xml:space="preserve">na podobné úrovni, </w:t>
      </w:r>
      <w:r w:rsidRPr="001D0F0E">
        <w:t>jako</w:t>
      </w:r>
      <w:r w:rsidRPr="001D0F0E">
        <w:rPr>
          <w:b/>
        </w:rPr>
        <w:t xml:space="preserve"> </w:t>
      </w:r>
      <w:r w:rsidRPr="001D0F0E">
        <w:t>v předchozím roce.</w:t>
      </w:r>
    </w:p>
    <w:p w:rsidR="0009461F" w:rsidRPr="00373282" w:rsidRDefault="0009461F" w:rsidP="0009461F">
      <w:pPr>
        <w:rPr>
          <w:highlight w:val="yellow"/>
        </w:rPr>
      </w:pPr>
      <w:r w:rsidRPr="00D5674B">
        <w:rPr>
          <w:b/>
        </w:rPr>
        <w:t>Celkový objem přijatých transferů</w:t>
      </w:r>
      <w:r w:rsidRPr="00D5674B">
        <w:t xml:space="preserve"> činil </w:t>
      </w:r>
      <w:r w:rsidRPr="00D5674B">
        <w:rPr>
          <w:b/>
        </w:rPr>
        <w:t>273,7 mld. Kč</w:t>
      </w:r>
      <w:r w:rsidRPr="00D5674B">
        <w:t xml:space="preserve">, proti předchozímu roku </w:t>
      </w:r>
      <w:r>
        <w:t>došlo k růstu</w:t>
      </w:r>
      <w:r w:rsidRPr="00D5674B">
        <w:t xml:space="preserve"> </w:t>
      </w:r>
      <w:r w:rsidRPr="00D5674B">
        <w:rPr>
          <w:b/>
        </w:rPr>
        <w:t>o 21,8 %, tj. o 49,0 mld. Kč více.</w:t>
      </w:r>
      <w:r w:rsidRPr="00D5674B">
        <w:t xml:space="preserve"> Na zvýšení se zhruba ze čtyř pětin (83,2 %) podílely neinvestiční transfery.</w:t>
      </w:r>
    </w:p>
    <w:p w:rsidR="0009461F" w:rsidRPr="00373282" w:rsidRDefault="0009461F" w:rsidP="002F377C">
      <w:pPr>
        <w:rPr>
          <w:highlight w:val="yellow"/>
        </w:rPr>
      </w:pPr>
      <w:r w:rsidRPr="0029248F">
        <w:rPr>
          <w:b/>
        </w:rPr>
        <w:t>Neinvestiční transfery</w:t>
      </w:r>
      <w:r w:rsidRPr="0029248F">
        <w:t xml:space="preserve"> dosáhly</w:t>
      </w:r>
      <w:r>
        <w:t xml:space="preserve"> </w:t>
      </w:r>
      <w:r w:rsidRPr="0029248F">
        <w:rPr>
          <w:b/>
        </w:rPr>
        <w:t>233,4 mld. Kč</w:t>
      </w:r>
      <w:r w:rsidRPr="0029248F">
        <w:t>, což znamenalo meziroční zvýšení o </w:t>
      </w:r>
      <w:r>
        <w:t>21,2 %, respektive o 40,8 </w:t>
      </w:r>
      <w:r w:rsidRPr="0029248F">
        <w:t xml:space="preserve">mld. Kč. </w:t>
      </w:r>
      <w:r w:rsidRPr="00532051">
        <w:t>Vysoký růst souvisí</w:t>
      </w:r>
      <w:r>
        <w:t xml:space="preserve"> především</w:t>
      </w:r>
      <w:r w:rsidRPr="00532051">
        <w:t xml:space="preserve"> s realizací záměrů vlády v oblasti </w:t>
      </w:r>
      <w:r w:rsidRPr="00532051">
        <w:rPr>
          <w:b/>
        </w:rPr>
        <w:t>regio</w:t>
      </w:r>
      <w:r>
        <w:rPr>
          <w:b/>
        </w:rPr>
        <w:t>nálního školství</w:t>
      </w:r>
      <w:r w:rsidRPr="00532051">
        <w:rPr>
          <w:b/>
        </w:rPr>
        <w:t>.</w:t>
      </w:r>
      <w:r w:rsidRPr="00532051">
        <w:t xml:space="preserve"> </w:t>
      </w:r>
      <w:r w:rsidRPr="00750750">
        <w:rPr>
          <w:b/>
          <w:bCs/>
        </w:rPr>
        <w:t>Transfery z kapitoly Ministerstvo školství, mládeže a tělovýchovy dosáhly 160,1 mld. Kč</w:t>
      </w:r>
      <w:r>
        <w:t xml:space="preserve"> (</w:t>
      </w:r>
      <w:r w:rsidRPr="00750750">
        <w:rPr>
          <w:b/>
          <w:bCs/>
        </w:rPr>
        <w:t>meziroční růst o 12,1 %</w:t>
      </w:r>
      <w:r>
        <w:t>, tedy o 17,3 mld. </w:t>
      </w:r>
      <w:r w:rsidRPr="00532051">
        <w:t xml:space="preserve">Kč) </w:t>
      </w:r>
      <w:r w:rsidRPr="00EB7350">
        <w:t>a z</w:t>
      </w:r>
      <w:r>
        <w:t> </w:t>
      </w:r>
      <w:r w:rsidRPr="00EB7350">
        <w:t>rozpočtu</w:t>
      </w:r>
      <w:r>
        <w:t xml:space="preserve"> </w:t>
      </w:r>
      <w:r w:rsidRPr="00750750">
        <w:rPr>
          <w:b/>
          <w:bCs/>
        </w:rPr>
        <w:t xml:space="preserve">kapitoly </w:t>
      </w:r>
      <w:r>
        <w:rPr>
          <w:b/>
          <w:bCs/>
        </w:rPr>
        <w:t>VPS</w:t>
      </w:r>
      <w:r w:rsidRPr="00750750">
        <w:rPr>
          <w:b/>
          <w:bCs/>
        </w:rPr>
        <w:t xml:space="preserve"> 14,5 mld. Kč</w:t>
      </w:r>
      <w:r w:rsidRPr="00EB7350">
        <w:t xml:space="preserve"> (</w:t>
      </w:r>
      <w:r w:rsidRPr="00750750">
        <w:rPr>
          <w:b/>
          <w:bCs/>
        </w:rPr>
        <w:t>růst o 2260,4 %</w:t>
      </w:r>
      <w:r>
        <w:t>, respektive o</w:t>
      </w:r>
      <w:r w:rsidR="00251348">
        <w:t> </w:t>
      </w:r>
      <w:r w:rsidRPr="00EB7350">
        <w:t>13,9</w:t>
      </w:r>
      <w:r w:rsidR="00251348">
        <w:t> </w:t>
      </w:r>
      <w:r w:rsidRPr="00EB7350">
        <w:t>mld. Kč).</w:t>
      </w:r>
      <w:r>
        <w:t xml:space="preserve"> Růst neinvestičních transferů z rozpočtu kapitoly VPS byl </w:t>
      </w:r>
      <w:r w:rsidR="002407FE">
        <w:t>způsoben</w:t>
      </w:r>
      <w:r>
        <w:t xml:space="preserve"> především </w:t>
      </w:r>
      <w:r w:rsidRPr="00750750">
        <w:rPr>
          <w:b/>
          <w:bCs/>
        </w:rPr>
        <w:t>jednorázovým příspěvkem obcím</w:t>
      </w:r>
      <w:r>
        <w:t xml:space="preserve"> </w:t>
      </w:r>
      <w:r w:rsidRPr="00B212FD">
        <w:t xml:space="preserve">na kompenzaci </w:t>
      </w:r>
      <w:r>
        <w:t xml:space="preserve">propadu </w:t>
      </w:r>
      <w:r w:rsidRPr="00B212FD">
        <w:t>daňových příjmů</w:t>
      </w:r>
      <w:r w:rsidR="002407FE">
        <w:t xml:space="preserve"> způsobeného výplatou kompenzačního bonusu podnikatelům</w:t>
      </w:r>
      <w:r>
        <w:t xml:space="preserve"> </w:t>
      </w:r>
      <w:r w:rsidRPr="00750750">
        <w:rPr>
          <w:b/>
          <w:bCs/>
        </w:rPr>
        <w:t>v celkové výši 13,4</w:t>
      </w:r>
      <w:r>
        <w:rPr>
          <w:b/>
          <w:bCs/>
        </w:rPr>
        <w:t> </w:t>
      </w:r>
      <w:r w:rsidRPr="00750750">
        <w:rPr>
          <w:b/>
          <w:bCs/>
        </w:rPr>
        <w:t>mld.</w:t>
      </w:r>
      <w:r>
        <w:rPr>
          <w:b/>
          <w:bCs/>
        </w:rPr>
        <w:t> </w:t>
      </w:r>
      <w:r w:rsidRPr="00750750">
        <w:rPr>
          <w:b/>
          <w:bCs/>
        </w:rPr>
        <w:t>Kč</w:t>
      </w:r>
      <w:r>
        <w:t>.</w:t>
      </w:r>
    </w:p>
    <w:p w:rsidR="0009461F" w:rsidRPr="00283081" w:rsidRDefault="0009461F" w:rsidP="002F377C">
      <w:r w:rsidRPr="00E64191">
        <w:rPr>
          <w:b/>
        </w:rPr>
        <w:t>Investiční transfery</w:t>
      </w:r>
      <w:r w:rsidRPr="00E64191">
        <w:t xml:space="preserve"> vzrostly o 25,7 %, respektive o 8,3 mld. Kč a dosáhly</w:t>
      </w:r>
      <w:r>
        <w:t xml:space="preserve"> </w:t>
      </w:r>
      <w:r w:rsidRPr="00E64191">
        <w:rPr>
          <w:b/>
        </w:rPr>
        <w:t>40,3 mld. Kč</w:t>
      </w:r>
      <w:r w:rsidRPr="00E64191">
        <w:t>.</w:t>
      </w:r>
      <w:r w:rsidR="002407FE">
        <w:t xml:space="preserve"> </w:t>
      </w:r>
      <w:r w:rsidR="002407FE" w:rsidRPr="002407FE">
        <w:t>Navýšení investičních transferů pozitivním způsobem ovlivňuje výši kapitálových výdajů, které meziročně zaznamenaly taktéž růst.</w:t>
      </w:r>
      <w:r w:rsidRPr="00E64191">
        <w:t xml:space="preserve"> </w:t>
      </w:r>
      <w:r w:rsidRPr="00410812">
        <w:t xml:space="preserve">Investiční transfery třetím rokem po sobě významně rostou a již se dostaly nad jejich průměrnou </w:t>
      </w:r>
      <w:r w:rsidRPr="00410812">
        <w:rPr>
          <w:b/>
        </w:rPr>
        <w:t>úroveň mezi lety 2009 – 2015</w:t>
      </w:r>
      <w:r w:rsidRPr="00410812">
        <w:t>, kdy docházelo k intenzívnímu čerpání prostředků na realizaci projektů v</w:t>
      </w:r>
      <w:r w:rsidR="00251348">
        <w:t> </w:t>
      </w:r>
      <w:r w:rsidRPr="00410812">
        <w:t>rámci programů předchozího programového období</w:t>
      </w:r>
      <w:r w:rsidR="002407FE">
        <w:t xml:space="preserve"> EU</w:t>
      </w:r>
      <w:r w:rsidRPr="00410812">
        <w:t xml:space="preserve">. V těchto letech dosahoval roční objem přijatých investičních transferů průměrné výše 37,1 mld. Kč (v období následujících dvou let se </w:t>
      </w:r>
      <w:r w:rsidR="002407FE">
        <w:t xml:space="preserve">jejich </w:t>
      </w:r>
      <w:r w:rsidRPr="00410812">
        <w:t xml:space="preserve">objem </w:t>
      </w:r>
      <w:r>
        <w:t>snižoval až na 13,4 mld. </w:t>
      </w:r>
      <w:r w:rsidRPr="00410812">
        <w:t>Kč v roce 2017).</w:t>
      </w:r>
    </w:p>
    <w:p w:rsidR="0009461F" w:rsidRDefault="0009461F" w:rsidP="0009461F">
      <w:pPr>
        <w:pStyle w:val="Nzev"/>
      </w:pPr>
      <w:bookmarkStart w:id="35" w:name="_Toc66700387"/>
      <w:bookmarkStart w:id="36" w:name="_Toc66717147"/>
      <w:r w:rsidRPr="00FF76CB">
        <w:lastRenderedPageBreak/>
        <w:t xml:space="preserve">Tabulka č. </w:t>
      </w:r>
      <w:fldSimple w:instr=" SEQ Tabulka_č. \* ARABIC ">
        <w:r>
          <w:rPr>
            <w:noProof/>
          </w:rPr>
          <w:t>8</w:t>
        </w:r>
      </w:fldSimple>
      <w:r w:rsidRPr="00FF76CB">
        <w:t xml:space="preserve">: Bilance příjmů a výdajů územních rozpočtů k </w:t>
      </w:r>
      <w:r>
        <w:t>31. 12. 2020</w:t>
      </w:r>
      <w:r w:rsidRPr="00FF76CB">
        <w:t xml:space="preserve"> po konsolidaci</w:t>
      </w:r>
      <w:r>
        <w:rPr>
          <w:rStyle w:val="Znakapoznpodarou"/>
        </w:rPr>
        <w:footnoteReference w:id="3"/>
      </w:r>
      <w:r w:rsidRPr="00FF76CB">
        <w:rPr>
          <w:vertAlign w:val="superscript"/>
        </w:rPr>
        <w:t xml:space="preserve"> </w:t>
      </w:r>
      <w:r w:rsidRPr="00FF76CB">
        <w:t>(mil. Kč)</w:t>
      </w:r>
      <w:bookmarkEnd w:id="35"/>
      <w:bookmarkEnd w:id="36"/>
    </w:p>
    <w:p w:rsidR="0009461F" w:rsidRPr="00AE3ACD" w:rsidRDefault="0009461F" w:rsidP="0009461F">
      <w:pPr>
        <w:pStyle w:val="Tabgraf"/>
      </w:pPr>
      <w:r w:rsidRPr="0005495E">
        <w:rPr>
          <w:noProof/>
          <w:lang w:eastAsia="cs-CZ"/>
        </w:rPr>
        <w:drawing>
          <wp:inline distT="0" distB="0" distL="0" distR="0" wp14:anchorId="73D091A6" wp14:editId="237072AF">
            <wp:extent cx="6088380" cy="3505200"/>
            <wp:effectExtent l="0" t="0" r="762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88380" cy="3505200"/>
                    </a:xfrm>
                    <a:prstGeom prst="rect">
                      <a:avLst/>
                    </a:prstGeom>
                    <a:noFill/>
                    <a:ln>
                      <a:noFill/>
                    </a:ln>
                  </pic:spPr>
                </pic:pic>
              </a:graphicData>
            </a:graphic>
          </wp:inline>
        </w:drawing>
      </w:r>
    </w:p>
    <w:p w:rsidR="0009461F" w:rsidRPr="00306C7F" w:rsidRDefault="0009461F" w:rsidP="0009461F">
      <w:pPr>
        <w:rPr>
          <w:highlight w:val="yellow"/>
        </w:rPr>
      </w:pPr>
      <w:r w:rsidRPr="00B51EC0">
        <w:rPr>
          <w:b/>
        </w:rPr>
        <w:t xml:space="preserve">Struktura </w:t>
      </w:r>
      <w:r>
        <w:rPr>
          <w:b/>
        </w:rPr>
        <w:t>příjmů</w:t>
      </w:r>
      <w:r w:rsidRPr="00B51EC0">
        <w:t xml:space="preserve"> jednotlivých částí územních rozpočtů</w:t>
      </w:r>
      <w:r>
        <w:t xml:space="preserve"> zůstává dlouhodobě stabilní. V </w:t>
      </w:r>
      <w:r w:rsidRPr="00B51EC0">
        <w:t xml:space="preserve">rozpočtech </w:t>
      </w:r>
      <w:r w:rsidRPr="00B51EC0">
        <w:rPr>
          <w:b/>
        </w:rPr>
        <w:t>krajů</w:t>
      </w:r>
      <w:r w:rsidRPr="00B51EC0">
        <w:t xml:space="preserve"> jsou hlavním zdrojem příjmů </w:t>
      </w:r>
      <w:r w:rsidRPr="00C328EA">
        <w:rPr>
          <w:b/>
          <w:bCs/>
        </w:rPr>
        <w:t>transfery ze státního rozpočtu</w:t>
      </w:r>
      <w:r>
        <w:rPr>
          <w:b/>
          <w:bCs/>
        </w:rPr>
        <w:t xml:space="preserve"> a z rozpočtů</w:t>
      </w:r>
      <w:r w:rsidRPr="00C328EA">
        <w:rPr>
          <w:b/>
          <w:bCs/>
        </w:rPr>
        <w:t xml:space="preserve"> státních fondů</w:t>
      </w:r>
      <w:r w:rsidRPr="00B51EC0">
        <w:t xml:space="preserve"> (</w:t>
      </w:r>
      <w:r w:rsidRPr="00C328EA">
        <w:rPr>
          <w:b/>
          <w:bCs/>
        </w:rPr>
        <w:t xml:space="preserve">v roce 2020 tvořily </w:t>
      </w:r>
      <w:r>
        <w:rPr>
          <w:b/>
          <w:bCs/>
        </w:rPr>
        <w:t>70,5 </w:t>
      </w:r>
      <w:r w:rsidRPr="00C328EA">
        <w:rPr>
          <w:b/>
          <w:bCs/>
        </w:rPr>
        <w:t>%</w:t>
      </w:r>
      <w:r w:rsidRPr="00B51EC0">
        <w:t>, v roce 2019 byl tento poměr na úrovni 65,6 % celkových příjmů)</w:t>
      </w:r>
      <w:r w:rsidRPr="0040289A">
        <w:t xml:space="preserve">. </w:t>
      </w:r>
      <w:r w:rsidRPr="00B02850">
        <w:t xml:space="preserve">Pro rozpočty </w:t>
      </w:r>
      <w:r w:rsidRPr="00B02850">
        <w:rPr>
          <w:b/>
        </w:rPr>
        <w:t>obcí</w:t>
      </w:r>
      <w:r w:rsidRPr="00B02850">
        <w:t xml:space="preserve"> jsou hlavním zdrojem financování daňové příjmy, na celkových příjmech </w:t>
      </w:r>
      <w:r w:rsidR="002407FE">
        <w:t>tvořily</w:t>
      </w:r>
      <w:r w:rsidRPr="00F712E8">
        <w:t xml:space="preserve"> 62,6</w:t>
      </w:r>
      <w:r>
        <w:t> </w:t>
      </w:r>
      <w:r w:rsidRPr="00F712E8">
        <w:t>%, v roce předešlém 68,0 %.</w:t>
      </w:r>
      <w:r w:rsidRPr="00B02850">
        <w:t xml:space="preserve"> </w:t>
      </w:r>
      <w:r w:rsidRPr="00F712E8">
        <w:t>Financování činnosti DSO je zajišťováno především transfery z</w:t>
      </w:r>
      <w:r>
        <w:t> </w:t>
      </w:r>
      <w:r w:rsidRPr="00F712E8">
        <w:t>různých úrovní veřejných rozpočtů (tvořily 69,0</w:t>
      </w:r>
      <w:r w:rsidR="00251348">
        <w:t> </w:t>
      </w:r>
      <w:r w:rsidRPr="00F712E8">
        <w:t xml:space="preserve">% celkových příjmů). </w:t>
      </w:r>
      <w:r w:rsidRPr="0041645C">
        <w:rPr>
          <w:b/>
        </w:rPr>
        <w:t>Regionální rady</w:t>
      </w:r>
      <w:r w:rsidRPr="0041645C">
        <w:t xml:space="preserve"> již čtvrtým rokem získávají pouze prostředky na zajištění svého vlastního provozu z kapitoly Ministerstv</w:t>
      </w:r>
      <w:r>
        <w:t>o</w:t>
      </w:r>
      <w:r w:rsidRPr="0041645C">
        <w:t xml:space="preserve"> pro místní rozvoj</w:t>
      </w:r>
      <w:r>
        <w:t>. Od </w:t>
      </w:r>
      <w:r w:rsidRPr="0041645C">
        <w:t>roku 2018 regionální rady již nepřevádí krajům, obcím ani DSO</w:t>
      </w:r>
      <w:r>
        <w:t xml:space="preserve"> skoro</w:t>
      </w:r>
      <w:r w:rsidRPr="0041645C">
        <w:t xml:space="preserve"> žádné </w:t>
      </w:r>
      <w:r>
        <w:t>peněžní</w:t>
      </w:r>
      <w:r w:rsidRPr="0041645C">
        <w:t xml:space="preserve"> transfery, neboť jejich činnost jako administrátorů </w:t>
      </w:r>
      <w:r>
        <w:t>peněžních</w:t>
      </w:r>
      <w:r w:rsidRPr="0041645C">
        <w:t xml:space="preserve"> prostředků z</w:t>
      </w:r>
      <w:r>
        <w:t xml:space="preserve"> rozpočtů</w:t>
      </w:r>
      <w:r w:rsidRPr="0041645C">
        <w:t xml:space="preserve"> fondů EU prostřednictvím regionálních operačních programů byla v roce 2016 ukončena.</w:t>
      </w:r>
    </w:p>
    <w:p w:rsidR="0009461F" w:rsidRPr="00306C7F" w:rsidRDefault="0009461F" w:rsidP="0009461F">
      <w:pPr>
        <w:rPr>
          <w:highlight w:val="yellow"/>
        </w:rPr>
      </w:pPr>
      <w:r w:rsidRPr="001C6037">
        <w:t xml:space="preserve">Pokud jde o </w:t>
      </w:r>
      <w:r w:rsidRPr="001C6037">
        <w:rPr>
          <w:b/>
        </w:rPr>
        <w:t>strukturu transferů</w:t>
      </w:r>
      <w:r w:rsidRPr="001C6037">
        <w:t xml:space="preserve"> poskytovaných územním rozpočtům z hlediska jednotlivých kapitol státního rozpočtu, zůstává dlouhodobě nejvýznamnější kapitola Ministerstv</w:t>
      </w:r>
      <w:r>
        <w:t>o</w:t>
      </w:r>
      <w:r w:rsidRPr="001C6037">
        <w:t xml:space="preserve"> školství, mládeže a</w:t>
      </w:r>
      <w:r w:rsidR="002407FE">
        <w:t> </w:t>
      </w:r>
      <w:r w:rsidRPr="001C6037">
        <w:t>tělovýchovy, ze které jsou poskytovány dotace na přímé náklady na vzdělávání pro školská zařízení</w:t>
      </w:r>
      <w:r>
        <w:t xml:space="preserve"> a</w:t>
      </w:r>
      <w:r w:rsidRPr="001C6037">
        <w:t xml:space="preserve"> školy </w:t>
      </w:r>
      <w:r>
        <w:t>zřizované</w:t>
      </w:r>
      <w:r w:rsidRPr="001C6037">
        <w:t xml:space="preserve"> kraji, obcemi a soukromými zřizovateli, které kraje rozepisují a přímo přidělují příslušným školským zařízením</w:t>
      </w:r>
      <w:r w:rsidRPr="00340309">
        <w:t xml:space="preserve"> </w:t>
      </w:r>
      <w:r>
        <w:t xml:space="preserve">a </w:t>
      </w:r>
      <w:r w:rsidRPr="001C6037">
        <w:t>školám.</w:t>
      </w:r>
      <w:r w:rsidRPr="001C6037">
        <w:rPr>
          <w:i/>
        </w:rPr>
        <w:t xml:space="preserve"> </w:t>
      </w:r>
      <w:r w:rsidRPr="001C6037">
        <w:t>Neinvestiční transfery z této kapitoly tvořily, podobně jako v předešlém roce, zhruba tři čtvrtiny (74,7</w:t>
      </w:r>
      <w:r>
        <w:t xml:space="preserve"> %) z </w:t>
      </w:r>
      <w:r w:rsidRPr="001C6037">
        <w:t xml:space="preserve">celkového objemu neinvestičních transferů přijatých ze státního rozpočtu. </w:t>
      </w:r>
      <w:r w:rsidRPr="00BC2E31">
        <w:t>Dalším významným zdrojem neinvestičních transferů jsou prostředky kapitoly Ministerstv</w:t>
      </w:r>
      <w:r>
        <w:t>o</w:t>
      </w:r>
      <w:r w:rsidRPr="00BC2E31">
        <w:t xml:space="preserve"> práce a</w:t>
      </w:r>
      <w:r w:rsidR="002407FE">
        <w:t> </w:t>
      </w:r>
      <w:r w:rsidRPr="00BC2E31">
        <w:t xml:space="preserve">sociálních věcí s podílem ve výši 11,6 %. Dále je vhodné uvést neinvestiční transfery poskytnuté z rozpočtu </w:t>
      </w:r>
      <w:r>
        <w:t>kapitoly VPS</w:t>
      </w:r>
      <w:r w:rsidRPr="00BC2E31">
        <w:t>, které představovaly 6,8 % (v roce 2019 pouze 0,4 %). Tento vysoký nárůst je způsoben jednorázovým příspěvkem</w:t>
      </w:r>
      <w:r>
        <w:t xml:space="preserve"> obcím</w:t>
      </w:r>
      <w:r w:rsidRPr="00BC2E31">
        <w:t xml:space="preserve">, </w:t>
      </w:r>
      <w:r>
        <w:t>který vykompenzoval výpadek daňových příjmů</w:t>
      </w:r>
      <w:r w:rsidR="00EC6A3D">
        <w:t xml:space="preserve"> v souvislosti s výplatou kompenzačního bonusu podnikatelům</w:t>
      </w:r>
      <w:r w:rsidRPr="00BC2E31">
        <w:t xml:space="preserve">. </w:t>
      </w:r>
      <w:r w:rsidRPr="000A06EC">
        <w:t xml:space="preserve">Pokud jde o investiční transfery ze státního rozpočtu určené územním rozpočtům, jejich největší objem byl </w:t>
      </w:r>
      <w:r>
        <w:t xml:space="preserve">poskytnut </w:t>
      </w:r>
      <w:r w:rsidRPr="000A06EC">
        <w:t>z kapitoly Ministerstvo pro místní rozvoj (43,4 %)</w:t>
      </w:r>
      <w:r>
        <w:t xml:space="preserve"> v rámci Integrovaného regionálního operačního programu (14,3 mld. Kč)</w:t>
      </w:r>
      <w:r w:rsidRPr="000A06EC">
        <w:t xml:space="preserve"> a z kapitoly Ministerstvo životního prostředí (18,3 %). Transfery z</w:t>
      </w:r>
      <w:r>
        <w:t> </w:t>
      </w:r>
      <w:r w:rsidRPr="000A06EC">
        <w:t>rozpočtu</w:t>
      </w:r>
      <w:r>
        <w:t xml:space="preserve"> kapitoly</w:t>
      </w:r>
      <w:r w:rsidRPr="000A06EC">
        <w:t xml:space="preserve"> </w:t>
      </w:r>
      <w:r>
        <w:t>VPS</w:t>
      </w:r>
      <w:r w:rsidRPr="000A06EC">
        <w:t xml:space="preserve"> určené především na regionální školství představovaly podíl ve výši 9,2 % (v roce 2019 5,2 %).</w:t>
      </w:r>
    </w:p>
    <w:p w:rsidR="0009461F" w:rsidRPr="00CD0DCD" w:rsidRDefault="0009461F" w:rsidP="0009461F">
      <w:r w:rsidRPr="0072554D">
        <w:rPr>
          <w:b/>
        </w:rPr>
        <w:lastRenderedPageBreak/>
        <w:t>Celkové výdaje</w:t>
      </w:r>
      <w:r w:rsidRPr="0072554D">
        <w:t xml:space="preserve"> územních rozpočtů dosáhly </w:t>
      </w:r>
      <w:r w:rsidRPr="0072554D">
        <w:rPr>
          <w:b/>
        </w:rPr>
        <w:t>612,2 mld. Kč</w:t>
      </w:r>
      <w:r w:rsidRPr="0072554D">
        <w:t xml:space="preserve"> </w:t>
      </w:r>
      <w:r>
        <w:t>a meziročně vzrostly o </w:t>
      </w:r>
      <w:r w:rsidRPr="0072554D">
        <w:t>49,8 mld. Kč, tj. o 8,9 %. Vývoj příjmů a výdajů územních rozpočtů z dlouhodobějšího hlediska charakterizují následující údaje.</w:t>
      </w:r>
    </w:p>
    <w:p w:rsidR="0009461F" w:rsidRPr="007C5287" w:rsidRDefault="0009461F" w:rsidP="0009461F">
      <w:pPr>
        <w:pStyle w:val="Nzev"/>
      </w:pPr>
      <w:bookmarkStart w:id="37" w:name="_Toc66700401"/>
      <w:bookmarkStart w:id="38" w:name="_Toc66717166"/>
      <w:r>
        <w:rPr>
          <w:noProof/>
          <w:lang w:eastAsia="cs-CZ"/>
        </w:rPr>
        <w:drawing>
          <wp:anchor distT="0" distB="0" distL="114300" distR="114300" simplePos="0" relativeHeight="251658240" behindDoc="0" locked="0" layoutInCell="1" allowOverlap="1" wp14:anchorId="2BEC7446" wp14:editId="29356CF6">
            <wp:simplePos x="0" y="0"/>
            <wp:positionH relativeFrom="margin">
              <wp:align>left</wp:align>
            </wp:positionH>
            <wp:positionV relativeFrom="paragraph">
              <wp:posOffset>276860</wp:posOffset>
            </wp:positionV>
            <wp:extent cx="6048000" cy="2349799"/>
            <wp:effectExtent l="0" t="0" r="0" b="0"/>
            <wp:wrapSquare wrapText="bothSides"/>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48000" cy="2349799"/>
                    </a:xfrm>
                    <a:prstGeom prst="rect">
                      <a:avLst/>
                    </a:prstGeom>
                    <a:noFill/>
                  </pic:spPr>
                </pic:pic>
              </a:graphicData>
            </a:graphic>
            <wp14:sizeRelH relativeFrom="margin">
              <wp14:pctWidth>0</wp14:pctWidth>
            </wp14:sizeRelH>
            <wp14:sizeRelV relativeFrom="margin">
              <wp14:pctHeight>0</wp14:pctHeight>
            </wp14:sizeRelV>
          </wp:anchor>
        </w:drawing>
      </w:r>
      <w:r w:rsidRPr="007C5287">
        <w:t xml:space="preserve">Graf č. </w:t>
      </w:r>
      <w:fldSimple w:instr=" SEQ Graf_č. \* ARABIC ">
        <w:r>
          <w:rPr>
            <w:noProof/>
          </w:rPr>
          <w:t>1</w:t>
        </w:r>
      </w:fldSimple>
      <w:r w:rsidRPr="007C5287">
        <w:t>: Příjmy a výdaje úze</w:t>
      </w:r>
      <w:r>
        <w:t>mních rozpočtů v období let 2010 – 2020</w:t>
      </w:r>
      <w:r w:rsidRPr="007C5287">
        <w:t xml:space="preserve"> (</w:t>
      </w:r>
      <w:r>
        <w:t>mld</w:t>
      </w:r>
      <w:r w:rsidRPr="007C5287">
        <w:t>. Kč)</w:t>
      </w:r>
      <w:bookmarkEnd w:id="37"/>
      <w:bookmarkEnd w:id="38"/>
    </w:p>
    <w:p w:rsidR="0009461F" w:rsidRPr="0074705A" w:rsidRDefault="0009461F" w:rsidP="0009461F">
      <w:pPr>
        <w:pStyle w:val="Tabgraf"/>
      </w:pPr>
    </w:p>
    <w:p w:rsidR="0009461F" w:rsidRPr="001563FE" w:rsidRDefault="0009461F" w:rsidP="0009461F">
      <w:pPr>
        <w:rPr>
          <w:highlight w:val="yellow"/>
        </w:rPr>
      </w:pPr>
      <w:r w:rsidRPr="00BE0CB3">
        <w:rPr>
          <w:b/>
        </w:rPr>
        <w:t>Běžné výdaje</w:t>
      </w:r>
      <w:r w:rsidRPr="00BE0CB3">
        <w:t xml:space="preserve"> dosáhly </w:t>
      </w:r>
      <w:r w:rsidRPr="00BE0CB3">
        <w:rPr>
          <w:b/>
        </w:rPr>
        <w:t>476,6 mld. Kč</w:t>
      </w:r>
      <w:r w:rsidRPr="00BE0CB3">
        <w:t xml:space="preserve">, </w:t>
      </w:r>
      <w:r w:rsidRPr="00AE02FD">
        <w:t xml:space="preserve">meziročně se </w:t>
      </w:r>
      <w:r w:rsidRPr="00AE02FD">
        <w:rPr>
          <w:b/>
        </w:rPr>
        <w:t>zvýšily</w:t>
      </w:r>
      <w:r w:rsidRPr="00AE02FD">
        <w:t xml:space="preserve"> </w:t>
      </w:r>
      <w:r w:rsidRPr="004B39CB">
        <w:rPr>
          <w:b/>
          <w:bCs/>
        </w:rPr>
        <w:t>o 8,7 %</w:t>
      </w:r>
      <w:r w:rsidRPr="00AE02FD">
        <w:t xml:space="preserve">, tj. o 38,1 mld. Kč. </w:t>
      </w:r>
      <w:r>
        <w:t xml:space="preserve">Z 68,5 % se na tomto nárůstu podílelo zvýšení neinvestičních transferů zejména příspěvkovým organizacím </w:t>
      </w:r>
      <w:r w:rsidRPr="00AE02FD">
        <w:t xml:space="preserve">o </w:t>
      </w:r>
      <w:r>
        <w:t xml:space="preserve">12,2 %, </w:t>
      </w:r>
      <w:r>
        <w:br/>
        <w:t>tj. o 26</w:t>
      </w:r>
      <w:r w:rsidRPr="00AE02FD">
        <w:t>,</w:t>
      </w:r>
      <w:r>
        <w:t>1</w:t>
      </w:r>
      <w:r w:rsidRPr="00AE02FD">
        <w:t xml:space="preserve"> mld. Kč</w:t>
      </w:r>
      <w:r>
        <w:t xml:space="preserve">. Dále došlo k růstu neinvestičních transferů podnikatelským subjektům o 20,7 % (zvýšení o 2,3 mld. Kč) a neziskovým a podobným organizacím o 6,9 % (zvýšení o 1,2 mld. Kč). </w:t>
      </w:r>
      <w:r>
        <w:rPr>
          <w:bCs/>
        </w:rPr>
        <w:t>Tento růst poskytnutých neinvestičních transferů souvisel především s navýšením dotace na přímé náklady na vzdělávání, dotace</w:t>
      </w:r>
      <w:r w:rsidR="00EC6A3D">
        <w:rPr>
          <w:bCs/>
        </w:rPr>
        <w:t>mi</w:t>
      </w:r>
      <w:r>
        <w:rPr>
          <w:bCs/>
        </w:rPr>
        <w:t xml:space="preserve"> pro soukromé školy ze státního rozpočtu a s růstem příspěvku na provoz zřízeným příspěvkovým organizacím.</w:t>
      </w:r>
      <w:r w:rsidRPr="00AE02FD">
        <w:t xml:space="preserve"> </w:t>
      </w:r>
      <w:r w:rsidRPr="00D11589">
        <w:t xml:space="preserve">Vyšší nárůst byl </w:t>
      </w:r>
      <w:r>
        <w:t>také</w:t>
      </w:r>
      <w:r w:rsidRPr="00D11589">
        <w:t xml:space="preserve"> vykázán v části výdajů na dopravní územní obslužnost o</w:t>
      </w:r>
      <w:r w:rsidR="00A353F1">
        <w:t> </w:t>
      </w:r>
      <w:r w:rsidRPr="00D11589">
        <w:t>11,7 %</w:t>
      </w:r>
      <w:r>
        <w:t>, tj. o</w:t>
      </w:r>
      <w:r w:rsidRPr="00D11589">
        <w:t xml:space="preserve"> 4,7 mld. Kč.</w:t>
      </w:r>
      <w:r>
        <w:t xml:space="preserve"> </w:t>
      </w:r>
      <w:r w:rsidRPr="00AB78EF">
        <w:t xml:space="preserve">Výdaje územních rozpočtů na platy a podobné související výdaje včetně pojistného se zvýšily o 3,2 mld. Kč, respektive o 5,5 %. Růst činil méně než v předešlých letech (v roce 2019 růst činil 3,5 mld. Kč a mezi roky 2018 a 2017 nárůst činil 6,3 mld. Kč). </w:t>
      </w:r>
    </w:p>
    <w:p w:rsidR="0009461F" w:rsidRPr="001563FE" w:rsidRDefault="0009461F" w:rsidP="0009461F">
      <w:pPr>
        <w:rPr>
          <w:highlight w:val="yellow"/>
        </w:rPr>
      </w:pPr>
      <w:r w:rsidRPr="005A4CA8">
        <w:rPr>
          <w:b/>
        </w:rPr>
        <w:t>Kapitálové výdaje</w:t>
      </w:r>
      <w:r w:rsidRPr="005A4CA8">
        <w:t xml:space="preserve"> územních rozpočtů</w:t>
      </w:r>
      <w:r w:rsidRPr="005A4CA8">
        <w:rPr>
          <w:b/>
        </w:rPr>
        <w:t xml:space="preserve"> se meziročně zvýšily o 9,5 %, respektive o 11,8 mld. Kč</w:t>
      </w:r>
      <w:r w:rsidR="00EC6A3D">
        <w:rPr>
          <w:b/>
        </w:rPr>
        <w:t xml:space="preserve"> </w:t>
      </w:r>
      <w:r w:rsidR="00EC6A3D" w:rsidRPr="00EC6A3D">
        <w:rPr>
          <w:b/>
        </w:rPr>
        <w:t>a dosáhly 135,6 mld. Kč</w:t>
      </w:r>
      <w:r w:rsidRPr="002606EA">
        <w:rPr>
          <w:b/>
        </w:rPr>
        <w:t>. V roce 2019 stagnovaly</w:t>
      </w:r>
      <w:r w:rsidRPr="002606EA">
        <w:t xml:space="preserve"> na úrovni roku 2018 a dosáhly </w:t>
      </w:r>
      <w:r w:rsidRPr="002606EA">
        <w:rPr>
          <w:b/>
        </w:rPr>
        <w:t>123,9 mld. Kč</w:t>
      </w:r>
      <w:r>
        <w:t>, což bylo meziročně pouze o 0,2 </w:t>
      </w:r>
      <w:r w:rsidRPr="002606EA">
        <w:t xml:space="preserve">mld. Kč více. Vývoj kapitálových výdajů navázal na trend z let 2017 a 2018, kdy </w:t>
      </w:r>
      <w:r w:rsidR="00EC6A3D">
        <w:t>jejich</w:t>
      </w:r>
      <w:r w:rsidRPr="002606EA">
        <w:t xml:space="preserve"> meziroční nárůst </w:t>
      </w:r>
      <w:r w:rsidR="00EC6A3D">
        <w:t>činil</w:t>
      </w:r>
      <w:r>
        <w:t xml:space="preserve"> </w:t>
      </w:r>
      <w:r w:rsidRPr="002606EA">
        <w:t>17,1 mld. Kč</w:t>
      </w:r>
      <w:r>
        <w:t xml:space="preserve"> v roce 2017</w:t>
      </w:r>
      <w:r w:rsidRPr="002606EA">
        <w:t>, respektive 40 mld. Kč</w:t>
      </w:r>
      <w:r>
        <w:t xml:space="preserve"> v roce 2018</w:t>
      </w:r>
      <w:r w:rsidRPr="002606EA">
        <w:t xml:space="preserve">. </w:t>
      </w:r>
    </w:p>
    <w:p w:rsidR="0009461F" w:rsidRPr="00D9211A" w:rsidRDefault="0009461F" w:rsidP="0009461F">
      <w:pPr>
        <w:rPr>
          <w:i/>
        </w:rPr>
      </w:pPr>
      <w:r w:rsidRPr="00AB20EA">
        <w:rPr>
          <w:b/>
        </w:rPr>
        <w:t>Podíl kapitálových výdajů na celkových výdajích</w:t>
      </w:r>
      <w:r w:rsidRPr="00AB20EA">
        <w:t xml:space="preserve"> územních rozpočtů v roce 2020 zůstal na podobné úrovni jako v předchozím roce a dosáhl </w:t>
      </w:r>
      <w:r w:rsidRPr="00AB20EA">
        <w:rPr>
          <w:b/>
        </w:rPr>
        <w:t>22,2 %</w:t>
      </w:r>
      <w:r w:rsidRPr="00AB20EA">
        <w:t xml:space="preserve">, v roce předchozím to bylo 22,0 %. </w:t>
      </w:r>
      <w:r w:rsidRPr="00296648">
        <w:t xml:space="preserve">Ke zvýšení došlo také z hlediska podílu přijatých investičních transferů na financování investic. Zatímco v předchozím roce činil tento podíl 25,9 %, v roce 2020 došlo k jeho navýšení na 29,7 %. Pro srovnání v letech 2017 a 2018 se přijaté investiční transfery podílely na financování investic ve výši 16 % – 19 %. Přes nárůst v posledních </w:t>
      </w:r>
      <w:r>
        <w:t xml:space="preserve">dvou </w:t>
      </w:r>
      <w:r w:rsidRPr="00296648">
        <w:t xml:space="preserve">letech však podíl transferů na financování investic nedosahuje hodnot vykazovaných </w:t>
      </w:r>
      <w:r w:rsidRPr="00296648">
        <w:rPr>
          <w:bCs/>
        </w:rPr>
        <w:t>v období let 2010 – 2016, kdy se přijaté investiční transfery podílely na celkových kapitálových výdajích v průměrné roční výši 35,5 %.</w:t>
      </w:r>
      <w:r>
        <w:rPr>
          <w:bCs/>
        </w:rPr>
        <w:t xml:space="preserve"> Tento trend opětovného růstu podílu přijatých investičních transferů na celkových kapitálových výdajích v souvislosti s nepřetržitým zvyšováním zůstatků peněžních prostředků na bankovních účtech není pozitivním ukazatelem, kdy ze strany územních rozpočtů není zcela využit jejich investiční potenciál.</w:t>
      </w:r>
    </w:p>
    <w:p w:rsidR="0009461F" w:rsidRPr="00A353F1" w:rsidRDefault="0009461F" w:rsidP="00A353F1">
      <w:pPr>
        <w:pStyle w:val="Nzev"/>
      </w:pPr>
      <w:bookmarkStart w:id="39" w:name="_Toc66700402"/>
      <w:bookmarkStart w:id="40" w:name="_Toc66717167"/>
      <w:r w:rsidRPr="00A353F1">
        <w:lastRenderedPageBreak/>
        <w:t xml:space="preserve">Graf č. </w:t>
      </w:r>
      <w:fldSimple w:instr=" SEQ Graf_č. \* ARABIC ">
        <w:r w:rsidRPr="00A353F1">
          <w:t>2</w:t>
        </w:r>
      </w:fldSimple>
      <w:r w:rsidRPr="00A353F1">
        <w:t>: Přijaté investiční transfery a kapitálové výdaje územních rozpočtů (mld. Kč)</w:t>
      </w:r>
      <w:bookmarkEnd w:id="39"/>
      <w:bookmarkEnd w:id="40"/>
    </w:p>
    <w:p w:rsidR="0009461F" w:rsidRDefault="00A353F1" w:rsidP="0009461F">
      <w:pPr>
        <w:pStyle w:val="Tabgraf"/>
      </w:pPr>
      <w:r>
        <w:rPr>
          <w:noProof/>
          <w:lang w:eastAsia="cs-CZ"/>
        </w:rPr>
        <w:drawing>
          <wp:inline distT="0" distB="0" distL="0" distR="0" wp14:anchorId="775AF589" wp14:editId="52A7F281">
            <wp:extent cx="6139180" cy="2651760"/>
            <wp:effectExtent l="0" t="0" r="0" b="0"/>
            <wp:docPr id="316" name="Obráze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39180" cy="2651760"/>
                    </a:xfrm>
                    <a:prstGeom prst="rect">
                      <a:avLst/>
                    </a:prstGeom>
                    <a:noFill/>
                  </pic:spPr>
                </pic:pic>
              </a:graphicData>
            </a:graphic>
          </wp:inline>
        </w:drawing>
      </w:r>
    </w:p>
    <w:p w:rsidR="0009461F" w:rsidRPr="00B276DE" w:rsidRDefault="0009461F" w:rsidP="0009461F">
      <w:r w:rsidRPr="00D02983">
        <w:t xml:space="preserve">Růst kapitálových výdajů územních rozpočtů se promítl v růstu celkových výdajů, tím současně </w:t>
      </w:r>
      <w:r w:rsidRPr="00D02983">
        <w:rPr>
          <w:bCs/>
        </w:rPr>
        <w:t>bylo ovlivněno i výsledné saldo</w:t>
      </w:r>
      <w:r w:rsidRPr="00D02983">
        <w:t xml:space="preserve"> hospodaření. </w:t>
      </w:r>
      <w:r>
        <w:t>Hospodaření územních rozpočtů skončilo</w:t>
      </w:r>
      <w:r w:rsidRPr="0042506F">
        <w:t xml:space="preserve"> s </w:t>
      </w:r>
      <w:r w:rsidRPr="0042506F">
        <w:rPr>
          <w:b/>
        </w:rPr>
        <w:t xml:space="preserve">přebytkem </w:t>
      </w:r>
      <w:r>
        <w:rPr>
          <w:b/>
        </w:rPr>
        <w:t>14,0 mld. Kč (pokles o </w:t>
      </w:r>
      <w:r w:rsidRPr="0042506F">
        <w:rPr>
          <w:b/>
        </w:rPr>
        <w:t xml:space="preserve">55,8 %). </w:t>
      </w:r>
      <w:r w:rsidRPr="0042506F">
        <w:t>V roce 2019 činilo výsledné saldo hospodaření 31,7 mld. Kč. Přes</w:t>
      </w:r>
      <w:r>
        <w:t xml:space="preserve">tože rok 2020 byl zásadně poznamenán epidemií onemocnění COVID-19, </w:t>
      </w:r>
      <w:r w:rsidRPr="000374E7">
        <w:rPr>
          <w:b/>
          <w:bCs/>
        </w:rPr>
        <w:t>přebytek hospodaření územních rozpočtů</w:t>
      </w:r>
      <w:r>
        <w:t xml:space="preserve"> </w:t>
      </w:r>
      <w:r w:rsidRPr="000374E7">
        <w:rPr>
          <w:b/>
          <w:bCs/>
        </w:rPr>
        <w:t>byl vyšší než v roce 2018</w:t>
      </w:r>
      <w:r w:rsidRPr="0042506F">
        <w:t>, kdy činil 8,8 mld. Kč</w:t>
      </w:r>
      <w:r>
        <w:t xml:space="preserve">. Pro dokreslení celé situace skončilo hospodaření státního rozpočtu v roce 2020 </w:t>
      </w:r>
      <w:r w:rsidRPr="00815D6D">
        <w:rPr>
          <w:b/>
        </w:rPr>
        <w:t>schodkem ve výši 367,4 mld. Kč</w:t>
      </w:r>
      <w:r>
        <w:t>, který byl významně nejvyšší v celé historii České republiky</w:t>
      </w:r>
      <w:r w:rsidR="00CF0C72" w:rsidRPr="00CF0C72">
        <w:t>, a</w:t>
      </w:r>
      <w:r w:rsidR="00CF0C72">
        <w:t> </w:t>
      </w:r>
      <w:r w:rsidR="00CF0C72" w:rsidRPr="00CF0C72">
        <w:t>to zejména z</w:t>
      </w:r>
      <w:r w:rsidR="00251348">
        <w:t> </w:t>
      </w:r>
      <w:r w:rsidR="00CF0C72" w:rsidRPr="00CF0C72">
        <w:t>důvodu opatření přijímaných na zmírnění hospodářských důsledků pandemie</w:t>
      </w:r>
      <w:r>
        <w:t>.</w:t>
      </w:r>
      <w:r w:rsidRPr="0042506F">
        <w:t xml:space="preserve"> Rozhodující část přebytku </w:t>
      </w:r>
      <w:r>
        <w:t xml:space="preserve">územních rozpočtů </w:t>
      </w:r>
      <w:r w:rsidRPr="0042506F">
        <w:t xml:space="preserve">byla dosažena </w:t>
      </w:r>
      <w:r w:rsidR="00CF0C72">
        <w:t>u</w:t>
      </w:r>
      <w:r w:rsidRPr="0042506F">
        <w:t xml:space="preserve"> </w:t>
      </w:r>
      <w:r w:rsidRPr="00CF0C72">
        <w:rPr>
          <w:b/>
          <w:bCs/>
        </w:rPr>
        <w:t>obcí</w:t>
      </w:r>
      <w:r w:rsidRPr="0042506F">
        <w:t xml:space="preserve">, které jako celek </w:t>
      </w:r>
      <w:r w:rsidRPr="00CF0C72">
        <w:rPr>
          <w:b/>
          <w:bCs/>
        </w:rPr>
        <w:t>vykázaly přebytek 19,0 mld. Kč</w:t>
      </w:r>
      <w:r w:rsidRPr="0042506F">
        <w:t xml:space="preserve"> (meziročně pokles o 25,4 %), </w:t>
      </w:r>
      <w:r w:rsidRPr="0042506F">
        <w:rPr>
          <w:b/>
        </w:rPr>
        <w:t>z toho 8,9 mld. Kč tvoří přebytek hl</w:t>
      </w:r>
      <w:r>
        <w:rPr>
          <w:b/>
        </w:rPr>
        <w:t>.</w:t>
      </w:r>
      <w:r w:rsidRPr="0042506F">
        <w:rPr>
          <w:b/>
        </w:rPr>
        <w:t xml:space="preserve"> m</w:t>
      </w:r>
      <w:r>
        <w:rPr>
          <w:b/>
        </w:rPr>
        <w:t>.</w:t>
      </w:r>
      <w:r w:rsidRPr="0042506F">
        <w:rPr>
          <w:b/>
        </w:rPr>
        <w:t xml:space="preserve"> Prahy.</w:t>
      </w:r>
      <w:r w:rsidRPr="0042506F">
        <w:t xml:space="preserve"> </w:t>
      </w:r>
      <w:r w:rsidRPr="00CF0C72">
        <w:rPr>
          <w:b/>
          <w:bCs/>
        </w:rPr>
        <w:t>DSO</w:t>
      </w:r>
      <w:r w:rsidRPr="003A4ECF">
        <w:t xml:space="preserve"> vykázaly mírný </w:t>
      </w:r>
      <w:r w:rsidRPr="00CF0C72">
        <w:rPr>
          <w:b/>
          <w:bCs/>
        </w:rPr>
        <w:t>schodek 0,1 mld. Kč</w:t>
      </w:r>
      <w:r w:rsidRPr="003A4ECF">
        <w:t xml:space="preserve">. </w:t>
      </w:r>
      <w:r w:rsidRPr="00CF0C72">
        <w:rPr>
          <w:b/>
          <w:bCs/>
        </w:rPr>
        <w:t>Kraje</w:t>
      </w:r>
      <w:r w:rsidRPr="003A4ECF">
        <w:t xml:space="preserve"> hospodařily se </w:t>
      </w:r>
      <w:r w:rsidRPr="00CF0C72">
        <w:rPr>
          <w:b/>
          <w:bCs/>
        </w:rPr>
        <w:t>schodkem 5,0 mld. Kč</w:t>
      </w:r>
      <w:r w:rsidR="00CF0C72">
        <w:rPr>
          <w:b/>
          <w:bCs/>
        </w:rPr>
        <w:t>.</w:t>
      </w:r>
      <w:r>
        <w:t xml:space="preserve"> </w:t>
      </w:r>
      <w:r w:rsidR="00CF0C72" w:rsidRPr="00CF0C72">
        <w:t>Za roky 2019 a 2020 skončilo hospodaření krajů v</w:t>
      </w:r>
      <w:r w:rsidR="00CF0C72">
        <w:t> </w:t>
      </w:r>
      <w:r w:rsidR="00CF0C72" w:rsidRPr="00CF0C72">
        <w:t>průměru s mírným přebytkem hospodaření</w:t>
      </w:r>
      <w:r w:rsidRPr="003A4ECF">
        <w:t xml:space="preserve">. </w:t>
      </w:r>
      <w:r w:rsidRPr="00E93BEB">
        <w:t>Hospodaření regionálních rad, které ukončily své hospodaření s přebytkem v řádu desítek milionů, lze hodnotit jako vyrovnané. Pro srovnání uvádíme vývoj salda hospodaření územních rozpočtů celkem od roku 2001.</w:t>
      </w:r>
      <w:r>
        <w:t xml:space="preserve"> V souvislosti se strukturou meziročního růstu příjmů a výdajů územních rozpočtů a stavem peněžních prostředků na bankovních účtech lze konstatovat, že územní rozpočty, zejména obce, se v roce 2020 významně nepodílely na financování nákladů souvisejících s epidemií COVID-19 vlastními prostředky, kdy tyto náklady nesl převážně stát. </w:t>
      </w:r>
    </w:p>
    <w:p w:rsidR="0009461F" w:rsidRDefault="0009461F" w:rsidP="0009461F">
      <w:pPr>
        <w:pStyle w:val="Nzev"/>
      </w:pPr>
      <w:bookmarkStart w:id="41" w:name="_Toc66700403"/>
      <w:bookmarkStart w:id="42" w:name="_Toc66717168"/>
      <w:r>
        <w:t xml:space="preserve">Graf č. </w:t>
      </w:r>
      <w:fldSimple w:instr=" SEQ Graf_č. \* ARABIC ">
        <w:r>
          <w:rPr>
            <w:noProof/>
          </w:rPr>
          <w:t>3</w:t>
        </w:r>
      </w:fldSimple>
      <w:r>
        <w:t>: S</w:t>
      </w:r>
      <w:r w:rsidRPr="008A74D1">
        <w:t>ald</w:t>
      </w:r>
      <w:r>
        <w:t>o</w:t>
      </w:r>
      <w:r w:rsidRPr="008A74D1">
        <w:t xml:space="preserve"> hospodaření</w:t>
      </w:r>
      <w:r>
        <w:t xml:space="preserve"> územních rozpočtů v letech 2010 </w:t>
      </w:r>
      <w:r w:rsidRPr="008A74D1">
        <w:t>–</w:t>
      </w:r>
      <w:r>
        <w:t xml:space="preserve"> 2020</w:t>
      </w:r>
      <w:r w:rsidRPr="008A74D1">
        <w:t xml:space="preserve"> (mld. Kč)</w:t>
      </w:r>
      <w:bookmarkEnd w:id="41"/>
      <w:bookmarkEnd w:id="42"/>
    </w:p>
    <w:p w:rsidR="0009461F" w:rsidRPr="00D9211A" w:rsidRDefault="0009461F" w:rsidP="0009461F">
      <w:pPr>
        <w:pStyle w:val="Tabgraf"/>
        <w:rPr>
          <w:i/>
        </w:rPr>
      </w:pPr>
      <w:r>
        <w:rPr>
          <w:i/>
          <w:noProof/>
          <w:lang w:eastAsia="cs-CZ"/>
        </w:rPr>
        <w:drawing>
          <wp:inline distT="0" distB="0" distL="0" distR="0" wp14:anchorId="4C75B538" wp14:editId="5AB61104">
            <wp:extent cx="6084000" cy="2702791"/>
            <wp:effectExtent l="0" t="0" r="0" b="254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84000" cy="2702791"/>
                    </a:xfrm>
                    <a:prstGeom prst="rect">
                      <a:avLst/>
                    </a:prstGeom>
                    <a:noFill/>
                  </pic:spPr>
                </pic:pic>
              </a:graphicData>
            </a:graphic>
          </wp:inline>
        </w:drawing>
      </w:r>
    </w:p>
    <w:p w:rsidR="0009461F" w:rsidRPr="00B63889" w:rsidRDefault="0009461F" w:rsidP="0009461F">
      <w:pPr>
        <w:keepNext/>
        <w:spacing w:after="120"/>
        <w:rPr>
          <w:b/>
        </w:rPr>
      </w:pPr>
      <w:r w:rsidRPr="00B63889">
        <w:rPr>
          <w:b/>
        </w:rPr>
        <w:lastRenderedPageBreak/>
        <w:t>Stavy</w:t>
      </w:r>
      <w:r>
        <w:rPr>
          <w:b/>
        </w:rPr>
        <w:t xml:space="preserve"> peněžních prostředků</w:t>
      </w:r>
      <w:r w:rsidRPr="00B63889">
        <w:rPr>
          <w:b/>
        </w:rPr>
        <w:t xml:space="preserve"> na bankovních účtech územních rozpočtů</w:t>
      </w:r>
      <w:r w:rsidRPr="00B63889">
        <w:rPr>
          <w:rStyle w:val="Znakapoznpodarou"/>
          <w:b/>
        </w:rPr>
        <w:footnoteReference w:id="4"/>
      </w:r>
    </w:p>
    <w:p w:rsidR="0009461F" w:rsidRPr="00097789" w:rsidRDefault="0009461F" w:rsidP="0009461F">
      <w:r w:rsidRPr="00B63889">
        <w:t xml:space="preserve">Stav </w:t>
      </w:r>
      <w:r>
        <w:t>peněžních</w:t>
      </w:r>
      <w:r w:rsidRPr="00B63889">
        <w:t xml:space="preserve"> prostředků na bankovních účtech obcí, DSO, krajů, regionálních rad a na účtech příspěvkových organizací </w:t>
      </w:r>
      <w:r w:rsidRPr="00097789">
        <w:t xml:space="preserve">zřízených kraji a obcemi dosáhl ke konci roku 2020 v souhrnu </w:t>
      </w:r>
      <w:r w:rsidRPr="00097789">
        <w:rPr>
          <w:b/>
        </w:rPr>
        <w:t xml:space="preserve">327,0 mld. Kč, meziročně se zvýšil </w:t>
      </w:r>
      <w:r w:rsidRPr="00A05AEC">
        <w:rPr>
          <w:b/>
          <w:bCs/>
        </w:rPr>
        <w:t>o</w:t>
      </w:r>
      <w:r>
        <w:rPr>
          <w:b/>
          <w:bCs/>
        </w:rPr>
        <w:t> </w:t>
      </w:r>
      <w:r w:rsidRPr="00A05AEC">
        <w:rPr>
          <w:b/>
          <w:bCs/>
        </w:rPr>
        <w:t>7,</w:t>
      </w:r>
      <w:r>
        <w:rPr>
          <w:b/>
          <w:bCs/>
        </w:rPr>
        <w:t>2</w:t>
      </w:r>
      <w:r w:rsidRPr="00A05AEC">
        <w:rPr>
          <w:b/>
          <w:bCs/>
        </w:rPr>
        <w:t xml:space="preserve"> %</w:t>
      </w:r>
      <w:r>
        <w:t xml:space="preserve">, tedy </w:t>
      </w:r>
      <w:r w:rsidRPr="00A05AEC">
        <w:rPr>
          <w:bCs/>
        </w:rPr>
        <w:t>o 22,</w:t>
      </w:r>
      <w:r>
        <w:t>1</w:t>
      </w:r>
      <w:r w:rsidRPr="00A05AEC">
        <w:rPr>
          <w:b/>
        </w:rPr>
        <w:t xml:space="preserve"> </w:t>
      </w:r>
      <w:r w:rsidRPr="00A05AEC">
        <w:rPr>
          <w:bCs/>
        </w:rPr>
        <w:t>mld. Kč</w:t>
      </w:r>
      <w:r w:rsidRPr="00097789">
        <w:t xml:space="preserve">. </w:t>
      </w:r>
    </w:p>
    <w:p w:rsidR="0009461F" w:rsidRPr="00112BDE" w:rsidRDefault="0009461F" w:rsidP="0009461F">
      <w:pPr>
        <w:rPr>
          <w:highlight w:val="yellow"/>
        </w:rPr>
      </w:pPr>
      <w:r w:rsidRPr="00097789">
        <w:t>Nárůst byl vy</w:t>
      </w:r>
      <w:r>
        <w:t xml:space="preserve">kázán </w:t>
      </w:r>
      <w:r w:rsidR="00CF0C72">
        <w:t>u</w:t>
      </w:r>
      <w:r>
        <w:t xml:space="preserve"> obcí a</w:t>
      </w:r>
      <w:r w:rsidRPr="00097789">
        <w:t xml:space="preserve"> jimi zří</w:t>
      </w:r>
      <w:r>
        <w:t xml:space="preserve">zených příspěvkových organizací, a to </w:t>
      </w:r>
      <w:r w:rsidRPr="009473CF">
        <w:t xml:space="preserve">o 22,3 mld. Kč. Je však </w:t>
      </w:r>
      <w:r>
        <w:t>vhodné</w:t>
      </w:r>
      <w:r w:rsidRPr="009473CF">
        <w:t xml:space="preserve"> uvést, že z toho </w:t>
      </w:r>
      <w:r>
        <w:rPr>
          <w:b/>
        </w:rPr>
        <w:t xml:space="preserve">významnou část </w:t>
      </w:r>
      <w:r w:rsidR="00CF0C72" w:rsidRPr="009473CF">
        <w:rPr>
          <w:b/>
        </w:rPr>
        <w:t xml:space="preserve">tvoří </w:t>
      </w:r>
      <w:r w:rsidRPr="009473CF">
        <w:rPr>
          <w:b/>
        </w:rPr>
        <w:t xml:space="preserve">zvýšení </w:t>
      </w:r>
      <w:r>
        <w:rPr>
          <w:b/>
        </w:rPr>
        <w:t>peněžních</w:t>
      </w:r>
      <w:r w:rsidRPr="009473CF">
        <w:rPr>
          <w:b/>
        </w:rPr>
        <w:t xml:space="preserve"> prostředků na bankovních účtech hl</w:t>
      </w:r>
      <w:r>
        <w:rPr>
          <w:b/>
        </w:rPr>
        <w:t>. </w:t>
      </w:r>
      <w:r w:rsidRPr="009473CF">
        <w:rPr>
          <w:b/>
        </w:rPr>
        <w:t>m</w:t>
      </w:r>
      <w:r>
        <w:rPr>
          <w:b/>
        </w:rPr>
        <w:t>. </w:t>
      </w:r>
      <w:r w:rsidRPr="009473CF">
        <w:rPr>
          <w:b/>
        </w:rPr>
        <w:t>Prahy</w:t>
      </w:r>
      <w:r w:rsidRPr="009473CF">
        <w:t xml:space="preserve"> (vč</w:t>
      </w:r>
      <w:r>
        <w:t>etně</w:t>
      </w:r>
      <w:r w:rsidRPr="009473CF">
        <w:t xml:space="preserve"> příspěvkových organizací), kde došlo k meziročnímu nárůstu o 8,4 mld. Kč. </w:t>
      </w:r>
      <w:r w:rsidR="00CF0C72">
        <w:t>U</w:t>
      </w:r>
      <w:r w:rsidRPr="009473CF">
        <w:t xml:space="preserve"> krajů a jimi zřízených příspěvkových organizací se zůstatek na bankovních účtech celkově meziročně pohyboval na stejné úrovni. Na</w:t>
      </w:r>
      <w:r>
        <w:t xml:space="preserve"> bankovních</w:t>
      </w:r>
      <w:r w:rsidRPr="00097789">
        <w:t xml:space="preserve"> účtech DSO stav </w:t>
      </w:r>
      <w:r>
        <w:t>peněžních</w:t>
      </w:r>
      <w:r w:rsidRPr="00097789">
        <w:t xml:space="preserve"> prostředků klesl</w:t>
      </w:r>
      <w:r>
        <w:t xml:space="preserve"> o 0,2 mld. Kč a </w:t>
      </w:r>
      <w:r w:rsidRPr="00097789">
        <w:t xml:space="preserve">v případě regionálních rad, na jejichž účtech je již jen minimum </w:t>
      </w:r>
      <w:r>
        <w:t>peněžních</w:t>
      </w:r>
      <w:r w:rsidRPr="00097789">
        <w:t xml:space="preserve"> prostředků, činil zůstatek 0,2</w:t>
      </w:r>
      <w:r>
        <w:t> mld. </w:t>
      </w:r>
      <w:r w:rsidRPr="00097789">
        <w:t>Kč.</w:t>
      </w:r>
    </w:p>
    <w:p w:rsidR="0009461F" w:rsidRDefault="0009461F" w:rsidP="0009461F">
      <w:pPr>
        <w:pStyle w:val="Nzev"/>
      </w:pPr>
      <w:bookmarkStart w:id="43" w:name="_Toc66700388"/>
      <w:bookmarkStart w:id="44" w:name="_Toc66717148"/>
      <w:r w:rsidRPr="00B63889">
        <w:t xml:space="preserve">Tabulka č. </w:t>
      </w:r>
      <w:fldSimple w:instr=" SEQ Tabulka_č. \* ARABIC ">
        <w:r w:rsidRPr="00B63889">
          <w:rPr>
            <w:noProof/>
          </w:rPr>
          <w:t>9</w:t>
        </w:r>
      </w:fldSimple>
      <w:r w:rsidRPr="00B63889">
        <w:rPr>
          <w:noProof/>
        </w:rPr>
        <w:t>:</w:t>
      </w:r>
      <w:r w:rsidRPr="00B63889">
        <w:t xml:space="preserve"> Stavy </w:t>
      </w:r>
      <w:r>
        <w:t>peněžních</w:t>
      </w:r>
      <w:r w:rsidRPr="00B63889">
        <w:t xml:space="preserve"> prostředků na bankovních účtech rozpočtů </w:t>
      </w:r>
      <w:r>
        <w:t>územních samosprávných celků</w:t>
      </w:r>
      <w:r w:rsidRPr="00B63889">
        <w:t xml:space="preserve"> (včetně příspěvkových organizací), DSO a regionálních rad ke dni 31. 12. (mld. Kč)</w:t>
      </w:r>
      <w:bookmarkEnd w:id="43"/>
      <w:bookmarkEnd w:id="44"/>
    </w:p>
    <w:p w:rsidR="00A353F1" w:rsidRDefault="00A353F1" w:rsidP="00A353F1">
      <w:pPr>
        <w:pStyle w:val="Tabgraf"/>
        <w:rPr>
          <w:b/>
        </w:rPr>
      </w:pPr>
      <w:r w:rsidRPr="00A353F1">
        <w:rPr>
          <w:noProof/>
          <w:lang w:eastAsia="cs-CZ"/>
        </w:rPr>
        <w:drawing>
          <wp:inline distT="0" distB="0" distL="0" distR="0" wp14:anchorId="4F6701EB" wp14:editId="4DFA2869">
            <wp:extent cx="5924550" cy="1457325"/>
            <wp:effectExtent l="0" t="0" r="0" b="9525"/>
            <wp:docPr id="317" name="Obráze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24550" cy="1457325"/>
                    </a:xfrm>
                    <a:prstGeom prst="rect">
                      <a:avLst/>
                    </a:prstGeom>
                    <a:noFill/>
                    <a:ln>
                      <a:noFill/>
                    </a:ln>
                  </pic:spPr>
                </pic:pic>
              </a:graphicData>
            </a:graphic>
          </wp:inline>
        </w:drawing>
      </w:r>
    </w:p>
    <w:p w:rsidR="0009461F" w:rsidRDefault="0009461F" w:rsidP="00A353F1">
      <w:r w:rsidRPr="006E5FDC">
        <w:rPr>
          <w:b/>
        </w:rPr>
        <w:t xml:space="preserve">Dluh </w:t>
      </w:r>
      <w:r w:rsidRPr="006E5FDC">
        <w:t>územních rozpočtů</w:t>
      </w:r>
      <w:r>
        <w:t xml:space="preserve"> včetně zřízených příspěvkových organizací</w:t>
      </w:r>
      <w:r w:rsidRPr="006E5FDC">
        <w:t xml:space="preserve"> dosáhl ke konci roku 2020 celkem</w:t>
      </w:r>
      <w:r>
        <w:t xml:space="preserve"> </w:t>
      </w:r>
      <w:r w:rsidRPr="006E5FDC">
        <w:rPr>
          <w:b/>
        </w:rPr>
        <w:t>94,4</w:t>
      </w:r>
      <w:r>
        <w:rPr>
          <w:b/>
        </w:rPr>
        <w:t> </w:t>
      </w:r>
      <w:r w:rsidRPr="006E5FDC">
        <w:rPr>
          <w:b/>
        </w:rPr>
        <w:t>mld. Kč</w:t>
      </w:r>
      <w:r>
        <w:rPr>
          <w:b/>
        </w:rPr>
        <w:t xml:space="preserve">, </w:t>
      </w:r>
      <w:r w:rsidRPr="00A63E66">
        <w:rPr>
          <w:bCs/>
        </w:rPr>
        <w:t>kdy</w:t>
      </w:r>
      <w:r w:rsidRPr="006E5FDC">
        <w:t xml:space="preserve"> meziročně </w:t>
      </w:r>
      <w:r>
        <w:t>došlo k</w:t>
      </w:r>
      <w:r w:rsidR="00F426CD">
        <w:t xml:space="preserve"> jeho </w:t>
      </w:r>
      <w:r>
        <w:t>růstu</w:t>
      </w:r>
      <w:r w:rsidRPr="006E5FDC">
        <w:t xml:space="preserve"> o</w:t>
      </w:r>
      <w:r>
        <w:t> 3,9 %, tedy o</w:t>
      </w:r>
      <w:r w:rsidRPr="006E5FDC">
        <w:t xml:space="preserve"> 3,5 mld. Kč. Dosud nejvyšší dluh byl vykázán v roce 2013 ve výši 121,6 mld. Kč, v následujících čtyřech letech se postupně snižoval až na 90,8 mld. Kč v roce 2017, v roce 2018 byl mírně vyšší, činil</w:t>
      </w:r>
      <w:r>
        <w:t xml:space="preserve"> 91,2 mld. Kč. Podrobné údaje o </w:t>
      </w:r>
      <w:r w:rsidRPr="006E5FDC">
        <w:t xml:space="preserve">vývoji </w:t>
      </w:r>
      <w:r>
        <w:t>dluhu</w:t>
      </w:r>
      <w:r w:rsidRPr="006E5FDC">
        <w:t xml:space="preserve"> jsou uvedeny </w:t>
      </w:r>
      <w:r>
        <w:t>v bodu 5 Zadluženost</w:t>
      </w:r>
      <w:r w:rsidRPr="006E5FDC">
        <w:t>.</w:t>
      </w:r>
      <w:bookmarkStart w:id="45" w:name="_Toc445816293"/>
    </w:p>
    <w:p w:rsidR="0009461F" w:rsidRDefault="0009461F" w:rsidP="0009461F">
      <w:pPr>
        <w:spacing w:before="0" w:after="160" w:line="259" w:lineRule="auto"/>
        <w:jc w:val="left"/>
      </w:pPr>
      <w:r>
        <w:br w:type="page"/>
      </w:r>
    </w:p>
    <w:p w:rsidR="0009461F" w:rsidRPr="00134D7E" w:rsidRDefault="0009461F" w:rsidP="0009461F">
      <w:pPr>
        <w:pStyle w:val="Nadpis1"/>
      </w:pPr>
      <w:bookmarkStart w:id="46" w:name="_Toc35945606"/>
      <w:bookmarkStart w:id="47" w:name="_Toc66700413"/>
      <w:bookmarkStart w:id="48" w:name="_Toc66717108"/>
      <w:r w:rsidRPr="00134D7E">
        <w:lastRenderedPageBreak/>
        <w:t>Příjmy a výdaje krajů</w:t>
      </w:r>
      <w:bookmarkEnd w:id="45"/>
      <w:bookmarkEnd w:id="46"/>
      <w:bookmarkEnd w:id="47"/>
      <w:bookmarkEnd w:id="48"/>
    </w:p>
    <w:p w:rsidR="0009461F" w:rsidRPr="00134D7E" w:rsidRDefault="0009461F" w:rsidP="0009461F">
      <w:r w:rsidRPr="0063628D">
        <w:rPr>
          <w:b/>
          <w:bCs/>
        </w:rPr>
        <w:t>Celkové příjmy</w:t>
      </w:r>
      <w:r w:rsidRPr="0063628D">
        <w:rPr>
          <w:bCs/>
        </w:rPr>
        <w:t xml:space="preserve"> krajů </w:t>
      </w:r>
      <w:r w:rsidRPr="0063628D">
        <w:t xml:space="preserve">činily </w:t>
      </w:r>
      <w:r w:rsidRPr="0063628D">
        <w:rPr>
          <w:b/>
        </w:rPr>
        <w:t xml:space="preserve">262,4 </w:t>
      </w:r>
      <w:r w:rsidRPr="0063628D">
        <w:rPr>
          <w:b/>
          <w:bCs/>
        </w:rPr>
        <w:t>mld. Kč</w:t>
      </w:r>
      <w:r w:rsidRPr="0063628D">
        <w:rPr>
          <w:bCs/>
        </w:rPr>
        <w:t>,</w:t>
      </w:r>
      <w:r w:rsidRPr="0063628D">
        <w:t xml:space="preserve"> proti předchozímu roku byly </w:t>
      </w:r>
      <w:r w:rsidRPr="0063628D">
        <w:rPr>
          <w:b/>
        </w:rPr>
        <w:t>vyšší o 10 %, tj. o 23,8 mld. Kč. V roce 2019 představoval meziroční přírůstek 32,7 mld. Kč</w:t>
      </w:r>
      <w:r w:rsidRPr="0063628D">
        <w:t xml:space="preserve">. </w:t>
      </w:r>
      <w:r w:rsidRPr="000C7983">
        <w:t>Obdobně jako v předchozích třech letech se na růstu celkových příjmů krajů podílely zejména přijaté transfery, jejich nárůst představoval 28,4 mld. Kč a byl tak vyšší než meziroční zvýšení celkových příjmů.</w:t>
      </w:r>
    </w:p>
    <w:p w:rsidR="0009461F" w:rsidRDefault="0009461F" w:rsidP="0009461F">
      <w:pPr>
        <w:pStyle w:val="Nzev"/>
      </w:pPr>
      <w:bookmarkStart w:id="49" w:name="_Toc66700389"/>
      <w:bookmarkStart w:id="50" w:name="_Toc66717149"/>
      <w:r w:rsidRPr="00B109CD">
        <w:t xml:space="preserve">Tabulka č. </w:t>
      </w:r>
      <w:fldSimple w:instr=" SEQ Tabulka_č. \* ARABIC ">
        <w:r>
          <w:rPr>
            <w:noProof/>
          </w:rPr>
          <w:t>10</w:t>
        </w:r>
      </w:fldSimple>
      <w:r w:rsidRPr="00B109CD">
        <w:t>: Bilance příjmů a výdajů krajů (mil. Kč)</w:t>
      </w:r>
      <w:bookmarkEnd w:id="49"/>
      <w:bookmarkEnd w:id="50"/>
    </w:p>
    <w:p w:rsidR="00BB758E" w:rsidRDefault="00BB758E" w:rsidP="00BB758E">
      <w:pPr>
        <w:pStyle w:val="Tabgraf"/>
        <w:rPr>
          <w:noProof/>
          <w:lang w:eastAsia="cs-CZ"/>
        </w:rPr>
      </w:pPr>
      <w:r w:rsidRPr="00BB758E">
        <w:rPr>
          <w:noProof/>
          <w:lang w:eastAsia="cs-CZ"/>
        </w:rPr>
        <w:drawing>
          <wp:inline distT="0" distB="0" distL="0" distR="0" wp14:anchorId="315527C2" wp14:editId="610AFBCF">
            <wp:extent cx="6120130" cy="3545925"/>
            <wp:effectExtent l="0" t="0" r="0" b="0"/>
            <wp:docPr id="318" name="Obrázek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3545925"/>
                    </a:xfrm>
                    <a:prstGeom prst="rect">
                      <a:avLst/>
                    </a:prstGeom>
                    <a:noFill/>
                    <a:ln>
                      <a:noFill/>
                    </a:ln>
                  </pic:spPr>
                </pic:pic>
              </a:graphicData>
            </a:graphic>
          </wp:inline>
        </w:drawing>
      </w:r>
    </w:p>
    <w:p w:rsidR="0009461F" w:rsidRPr="001563FE" w:rsidRDefault="0009461F" w:rsidP="0009461F">
      <w:pPr>
        <w:rPr>
          <w:highlight w:val="yellow"/>
        </w:rPr>
      </w:pPr>
      <w:r w:rsidRPr="00535C87">
        <w:rPr>
          <w:b/>
        </w:rPr>
        <w:t>Vlastní příjmy</w:t>
      </w:r>
      <w:r w:rsidRPr="00535C87">
        <w:t xml:space="preserve"> krajů dosáhly celkem</w:t>
      </w:r>
      <w:r w:rsidRPr="00535C87">
        <w:rPr>
          <w:b/>
        </w:rPr>
        <w:t xml:space="preserve"> 77,5 mld. Kč</w:t>
      </w:r>
      <w:r w:rsidRPr="00535C87">
        <w:t xml:space="preserve">, </w:t>
      </w:r>
      <w:r w:rsidRPr="00E27F5A">
        <w:rPr>
          <w:b/>
          <w:bCs/>
        </w:rPr>
        <w:t>meziročně došlo k poklesu o 5,6 %</w:t>
      </w:r>
      <w:r>
        <w:t xml:space="preserve">, tedy </w:t>
      </w:r>
      <w:r w:rsidRPr="00535C87">
        <w:t>o 4,6 mld. Kč. V souvislosti s vysokým nárůstem objemu přijatých transferů se podíl vlastních příjmů na celkových příjmech krajů snížil, dosáhl 29,5 %, v roce předchozím to bylo 34,4 %.</w:t>
      </w:r>
    </w:p>
    <w:p w:rsidR="0009461F" w:rsidRPr="002654E7" w:rsidRDefault="0009461F" w:rsidP="00834F9D">
      <w:r w:rsidRPr="002654E7">
        <w:rPr>
          <w:b/>
        </w:rPr>
        <w:t>Daňové příjmy</w:t>
      </w:r>
      <w:r w:rsidRPr="002654E7">
        <w:t xml:space="preserve"> dosáhly celkem </w:t>
      </w:r>
      <w:r w:rsidRPr="002654E7">
        <w:rPr>
          <w:b/>
        </w:rPr>
        <w:t>70,8 mld. Kč</w:t>
      </w:r>
      <w:r w:rsidRPr="002654E7">
        <w:t xml:space="preserve">, meziročně </w:t>
      </w:r>
      <w:r w:rsidRPr="002654E7">
        <w:rPr>
          <w:b/>
        </w:rPr>
        <w:t xml:space="preserve">klesly </w:t>
      </w:r>
      <w:r w:rsidRPr="00EC1837">
        <w:rPr>
          <w:b/>
        </w:rPr>
        <w:t>o</w:t>
      </w:r>
      <w:r w:rsidRPr="00E27F5A">
        <w:rPr>
          <w:b/>
        </w:rPr>
        <w:t xml:space="preserve"> 5,5 %</w:t>
      </w:r>
      <w:r>
        <w:t>, což je</w:t>
      </w:r>
      <w:r w:rsidRPr="002654E7">
        <w:rPr>
          <w:b/>
        </w:rPr>
        <w:t> 4,2 mld. Kč</w:t>
      </w:r>
      <w:r w:rsidRPr="002654E7">
        <w:t>.</w:t>
      </w:r>
    </w:p>
    <w:p w:rsidR="0009461F" w:rsidRPr="001563FE" w:rsidRDefault="0009461F" w:rsidP="00834F9D">
      <w:pPr>
        <w:rPr>
          <w:highlight w:val="yellow"/>
        </w:rPr>
      </w:pPr>
      <w:r w:rsidRPr="00E27F5A">
        <w:rPr>
          <w:b/>
          <w:bCs/>
        </w:rPr>
        <w:t xml:space="preserve">Příjem </w:t>
      </w:r>
      <w:r w:rsidRPr="00054009">
        <w:rPr>
          <w:b/>
        </w:rPr>
        <w:t>daně z příjmů fyzických osob</w:t>
      </w:r>
      <w:r w:rsidRPr="00054009">
        <w:t xml:space="preserve"> dosáhl </w:t>
      </w:r>
      <w:r w:rsidRPr="00054009">
        <w:rPr>
          <w:b/>
        </w:rPr>
        <w:t>19,8 mld. Kč</w:t>
      </w:r>
      <w:r w:rsidRPr="00054009">
        <w:t xml:space="preserve">, proti předchozímu roku se </w:t>
      </w:r>
      <w:r w:rsidRPr="00E27F5A">
        <w:rPr>
          <w:b/>
          <w:bCs/>
        </w:rPr>
        <w:t>snížil o 5,7 %</w:t>
      </w:r>
      <w:r w:rsidRPr="00054009">
        <w:t xml:space="preserve">. Rozhodující část a zároveň objemově nejvýznamnější tvoří </w:t>
      </w:r>
      <w:r w:rsidRPr="00E27F5A">
        <w:rPr>
          <w:b/>
          <w:bCs/>
        </w:rPr>
        <w:t>daň z příjmů fyzických osob placená plátci</w:t>
      </w:r>
      <w:r w:rsidRPr="00054009">
        <w:t xml:space="preserve"> ze závislé činnosti</w:t>
      </w:r>
      <w:r>
        <w:t>, a to ve výši</w:t>
      </w:r>
      <w:r w:rsidRPr="00054009">
        <w:t xml:space="preserve"> 17,7 mld. Kč</w:t>
      </w:r>
      <w:r>
        <w:t xml:space="preserve"> (</w:t>
      </w:r>
      <w:r w:rsidRPr="00E27F5A">
        <w:rPr>
          <w:b/>
          <w:bCs/>
        </w:rPr>
        <w:t>meziroční pokles o 5,3 %</w:t>
      </w:r>
      <w:r w:rsidRPr="00CE3ECF">
        <w:t xml:space="preserve">). Inkaso </w:t>
      </w:r>
      <w:r w:rsidRPr="00E27F5A">
        <w:rPr>
          <w:b/>
          <w:bCs/>
        </w:rPr>
        <w:t>daně z příjmů fyzických osob vybírané srážkou</w:t>
      </w:r>
      <w:r>
        <w:t xml:space="preserve"> </w:t>
      </w:r>
      <w:r w:rsidRPr="00A72A49">
        <w:t>(zahrnuje daně z úroků, dividend a jiných kapitálových výnosů, případně i daně z příjmů vybírané srážkou podle zvláštní sazby)</w:t>
      </w:r>
      <w:r w:rsidRPr="00CE3ECF">
        <w:t xml:space="preserve"> </w:t>
      </w:r>
      <w:r w:rsidRPr="00E27F5A">
        <w:rPr>
          <w:b/>
          <w:bCs/>
        </w:rPr>
        <w:t>činilo 1,8 mld. Kč</w:t>
      </w:r>
      <w:r w:rsidRPr="00CE3ECF">
        <w:t xml:space="preserve"> a zůstalo </w:t>
      </w:r>
      <w:r w:rsidRPr="00E27F5A">
        <w:rPr>
          <w:b/>
          <w:bCs/>
        </w:rPr>
        <w:t>meziročně na podobné úrovni</w:t>
      </w:r>
      <w:r w:rsidRPr="00CE3ECF">
        <w:t xml:space="preserve">. Příjem </w:t>
      </w:r>
      <w:r w:rsidRPr="00E27F5A">
        <w:rPr>
          <w:b/>
          <w:bCs/>
        </w:rPr>
        <w:t>daně z příjmů fyzických osob placené poplatníky</w:t>
      </w:r>
      <w:r w:rsidRPr="00CE3ECF">
        <w:t xml:space="preserve"> (z přiznání) </w:t>
      </w:r>
      <w:r w:rsidRPr="00E27F5A">
        <w:rPr>
          <w:b/>
          <w:bCs/>
        </w:rPr>
        <w:t>dosáhl 0,3 mld. Kč</w:t>
      </w:r>
      <w:r w:rsidRPr="00CE3ECF">
        <w:t xml:space="preserve"> (</w:t>
      </w:r>
      <w:r w:rsidRPr="00E27F5A">
        <w:rPr>
          <w:b/>
          <w:bCs/>
        </w:rPr>
        <w:t>pokles</w:t>
      </w:r>
      <w:r>
        <w:rPr>
          <w:b/>
          <w:bCs/>
        </w:rPr>
        <w:t xml:space="preserve"> </w:t>
      </w:r>
      <w:r w:rsidRPr="00E27F5A">
        <w:rPr>
          <w:b/>
          <w:bCs/>
        </w:rPr>
        <w:t>o 44,0 %</w:t>
      </w:r>
      <w:r w:rsidRPr="00CE3ECF">
        <w:t>).</w:t>
      </w:r>
    </w:p>
    <w:p w:rsidR="0009461F" w:rsidRPr="00EF193D" w:rsidRDefault="0009461F" w:rsidP="00834F9D">
      <w:r w:rsidRPr="00EF193D">
        <w:rPr>
          <w:b/>
          <w:bCs/>
        </w:rPr>
        <w:t>Daň z příjmů právnických osob</w:t>
      </w:r>
      <w:r w:rsidRPr="00EF193D">
        <w:rPr>
          <w:bCs/>
        </w:rPr>
        <w:t xml:space="preserve"> byla </w:t>
      </w:r>
      <w:r>
        <w:rPr>
          <w:bCs/>
        </w:rPr>
        <w:t>vykázána</w:t>
      </w:r>
      <w:r w:rsidRPr="00EF193D">
        <w:t xml:space="preserve"> ve výši </w:t>
      </w:r>
      <w:r w:rsidRPr="00EF193D">
        <w:rPr>
          <w:b/>
        </w:rPr>
        <w:t>13,7 mld. Kč</w:t>
      </w:r>
      <w:r w:rsidRPr="00EF193D">
        <w:t>, proti</w:t>
      </w:r>
      <w:r>
        <w:t xml:space="preserve"> srovnatelnému období to bylo </w:t>
      </w:r>
      <w:r w:rsidRPr="00E27F5A">
        <w:rPr>
          <w:b/>
          <w:bCs/>
        </w:rPr>
        <w:t>o 18,0 % méně</w:t>
      </w:r>
      <w:r w:rsidRPr="00EF193D">
        <w:t>.</w:t>
      </w:r>
    </w:p>
    <w:p w:rsidR="0009461F" w:rsidRPr="001563FE" w:rsidRDefault="0009461F" w:rsidP="00834F9D">
      <w:pPr>
        <w:rPr>
          <w:highlight w:val="yellow"/>
        </w:rPr>
      </w:pPr>
      <w:r>
        <w:t>Příjem</w:t>
      </w:r>
      <w:r w:rsidRPr="003700C3">
        <w:t xml:space="preserve"> </w:t>
      </w:r>
      <w:r w:rsidRPr="003700C3">
        <w:rPr>
          <w:b/>
        </w:rPr>
        <w:t>daně z přidané hodnoty</w:t>
      </w:r>
      <w:r w:rsidRPr="003700C3">
        <w:t xml:space="preserve"> dosáhl </w:t>
      </w:r>
      <w:r w:rsidRPr="003700C3">
        <w:rPr>
          <w:b/>
        </w:rPr>
        <w:t>36,8 mld. Kč</w:t>
      </w:r>
      <w:r w:rsidRPr="003700C3">
        <w:t xml:space="preserve">, což znamená </w:t>
      </w:r>
      <w:r w:rsidRPr="00436DF5">
        <w:rPr>
          <w:b/>
          <w:bCs/>
        </w:rPr>
        <w:t>meziroční pokles o 0,3 mld. Kč</w:t>
      </w:r>
      <w:r w:rsidRPr="003700C3">
        <w:t xml:space="preserve">. Inkaso daně z přidané hodnoty představovalo </w:t>
      </w:r>
      <w:r>
        <w:t>více než</w:t>
      </w:r>
      <w:r w:rsidRPr="003700C3">
        <w:t xml:space="preserve"> polovinu (52,0 %) celkových daňových příjmů krajů.</w:t>
      </w:r>
    </w:p>
    <w:p w:rsidR="0009461F" w:rsidRPr="001563FE" w:rsidRDefault="0009461F" w:rsidP="00834F9D">
      <w:pPr>
        <w:rPr>
          <w:bCs/>
          <w:highlight w:val="yellow"/>
        </w:rPr>
      </w:pPr>
      <w:r w:rsidRPr="002D4B55">
        <w:rPr>
          <w:b/>
        </w:rPr>
        <w:t xml:space="preserve">Daně a poplatky z vybraných činností a služeb </w:t>
      </w:r>
      <w:r w:rsidRPr="002D4B55">
        <w:t xml:space="preserve">tvoří jen malou část daňových příjmů krajů, v roce 2020 činily </w:t>
      </w:r>
      <w:r w:rsidRPr="002D4B55">
        <w:rPr>
          <w:b/>
        </w:rPr>
        <w:t>0,5 mld. Kč</w:t>
      </w:r>
      <w:r w:rsidRPr="007B4002">
        <w:rPr>
          <w:bCs/>
        </w:rPr>
        <w:t>, kdy meziročně došlo k</w:t>
      </w:r>
      <w:r>
        <w:rPr>
          <w:b/>
        </w:rPr>
        <w:t> růstu o</w:t>
      </w:r>
      <w:r w:rsidRPr="002D4B55">
        <w:rPr>
          <w:b/>
        </w:rPr>
        <w:t xml:space="preserve"> 254,8 %</w:t>
      </w:r>
      <w:r>
        <w:rPr>
          <w:b/>
        </w:rPr>
        <w:t>, tedy</w:t>
      </w:r>
      <w:r w:rsidRPr="002D4B55">
        <w:rPr>
          <w:b/>
        </w:rPr>
        <w:t xml:space="preserve"> o 0,4 mld. Kč</w:t>
      </w:r>
      <w:r w:rsidRPr="002D4B55">
        <w:t xml:space="preserve">. </w:t>
      </w:r>
      <w:r w:rsidRPr="00893569">
        <w:t>Největší část z toho představují poplatky a odvody za odebrané množství podzemní vody (dle §88</w:t>
      </w:r>
      <w:r>
        <w:t xml:space="preserve"> </w:t>
      </w:r>
      <w:r w:rsidRPr="00893569">
        <w:t xml:space="preserve">zákona č. 254/2001 </w:t>
      </w:r>
      <w:r>
        <w:t>Sb.</w:t>
      </w:r>
      <w:r w:rsidRPr="00893569">
        <w:t xml:space="preserve"> je část poplatků za odběr podzemní vody ve výši 50 % příjmem rozpočtu kraje) ve výši 0,4 mld. Kč</w:t>
      </w:r>
      <w:r>
        <w:t xml:space="preserve">. Další významnou část </w:t>
      </w:r>
      <w:r w:rsidRPr="007B185A">
        <w:t xml:space="preserve">představují poplatky za znečišťování ovzduší </w:t>
      </w:r>
      <w:r>
        <w:t>podle</w:t>
      </w:r>
      <w:r w:rsidRPr="007B185A">
        <w:t xml:space="preserve"> zákona č. 201/2012 Sb., </w:t>
      </w:r>
      <w:r>
        <w:t xml:space="preserve">kdy </w:t>
      </w:r>
      <w:r w:rsidRPr="007B185A">
        <w:t>z jejich celkového výnosu náleží do rozpočtů krajů 25 %. Příjem z poplatků za znečišťování ovzduší se průběžně zvyšuje, zatímco v roce 2017</w:t>
      </w:r>
      <w:r>
        <w:t xml:space="preserve"> </w:t>
      </w:r>
      <w:r w:rsidRPr="007B185A">
        <w:t xml:space="preserve">činil 58,9 mil. Kč, v roce 2020 to bylo již 113,9 mil. Kč (meziročně </w:t>
      </w:r>
      <w:r>
        <w:t xml:space="preserve">nedošlo </w:t>
      </w:r>
      <w:r>
        <w:lastRenderedPageBreak/>
        <w:t>k</w:t>
      </w:r>
      <w:r w:rsidR="00BB758E">
        <w:t> </w:t>
      </w:r>
      <w:r>
        <w:t>významnému nárůstu</w:t>
      </w:r>
      <w:r w:rsidRPr="007B185A">
        <w:t xml:space="preserve">). </w:t>
      </w:r>
      <w:r>
        <w:rPr>
          <w:bCs/>
        </w:rPr>
        <w:t>V minulosti</w:t>
      </w:r>
      <w:r w:rsidRPr="007B185A">
        <w:rPr>
          <w:bCs/>
        </w:rPr>
        <w:t xml:space="preserve"> v rámci seskupení „</w:t>
      </w:r>
      <w:r>
        <w:rPr>
          <w:bCs/>
        </w:rPr>
        <w:t>D</w:t>
      </w:r>
      <w:r w:rsidRPr="007B185A">
        <w:rPr>
          <w:bCs/>
        </w:rPr>
        <w:t>aně a poplatky z vybraných činností a služeb“ tvořily největší část správní poplatky, jejichž roční výše se dlouhodobě pohybuje v rozmezí 20 – 30 mil. Kč.</w:t>
      </w:r>
    </w:p>
    <w:p w:rsidR="0009461F" w:rsidRPr="001563FE" w:rsidRDefault="0009461F" w:rsidP="00834F9D">
      <w:pPr>
        <w:rPr>
          <w:highlight w:val="yellow"/>
        </w:rPr>
      </w:pPr>
      <w:r w:rsidRPr="00A54B76">
        <w:rPr>
          <w:b/>
        </w:rPr>
        <w:t>Nedaňové příjmy</w:t>
      </w:r>
      <w:r w:rsidRPr="00A54B76">
        <w:t xml:space="preserve"> krajů dosáhly v souhrnu </w:t>
      </w:r>
      <w:r w:rsidRPr="00A54B76">
        <w:rPr>
          <w:b/>
        </w:rPr>
        <w:t xml:space="preserve">6,4 mld. Kč, </w:t>
      </w:r>
      <w:r w:rsidRPr="00A54B76">
        <w:t xml:space="preserve">to je </w:t>
      </w:r>
      <w:r w:rsidRPr="007B4002">
        <w:rPr>
          <w:b/>
          <w:bCs/>
        </w:rPr>
        <w:t>pokles o 4,1 %</w:t>
      </w:r>
      <w:r>
        <w:t xml:space="preserve">, tedy </w:t>
      </w:r>
      <w:r w:rsidRPr="00A54B76">
        <w:t xml:space="preserve">o 0,3 mld. Kč, </w:t>
      </w:r>
      <w:r>
        <w:t>oproti předchozímu roku</w:t>
      </w:r>
      <w:r w:rsidRPr="00A54B76">
        <w:t xml:space="preserve">. </w:t>
      </w:r>
    </w:p>
    <w:p w:rsidR="0009461F" w:rsidRPr="009D5CCF" w:rsidRDefault="0009461F" w:rsidP="00834F9D">
      <w:r w:rsidRPr="00966E8E">
        <w:rPr>
          <w:b/>
        </w:rPr>
        <w:t xml:space="preserve">Kapitálové příjmy meziročně klesly o 43,3 %, </w:t>
      </w:r>
      <w:r w:rsidRPr="000C1D4A">
        <w:rPr>
          <w:bCs/>
        </w:rPr>
        <w:t>tj. o 0,2mld. Kč a dosáhly 0,2 mld. Kč</w:t>
      </w:r>
      <w:r w:rsidRPr="00966E8E">
        <w:rPr>
          <w:b/>
        </w:rPr>
        <w:t>.</w:t>
      </w:r>
      <w:r w:rsidRPr="00966E8E">
        <w:t xml:space="preserve"> Tyto příjmy představují pro kraje spíše doplňkový zdroj příjmů, jejich objem zůstává</w:t>
      </w:r>
      <w:r w:rsidR="00BB758E">
        <w:t xml:space="preserve"> dlouhodobě poměrně stabilní (v </w:t>
      </w:r>
      <w:r w:rsidRPr="00966E8E">
        <w:t>období let 2010 – 2019 se pohybovaly mezi 0,3 mld. Kč – 0,6 mld. Kč).</w:t>
      </w:r>
    </w:p>
    <w:p w:rsidR="0009461F" w:rsidRDefault="0009461F" w:rsidP="0009461F">
      <w:pPr>
        <w:pStyle w:val="Nzev"/>
      </w:pPr>
      <w:bookmarkStart w:id="51" w:name="_Toc66700404"/>
      <w:bookmarkStart w:id="52" w:name="_Toc66717169"/>
      <w:r>
        <w:t xml:space="preserve">Graf č. </w:t>
      </w:r>
      <w:fldSimple w:instr=" SEQ Graf_č. \* ARABIC ">
        <w:r>
          <w:rPr>
            <w:noProof/>
          </w:rPr>
          <w:t>4</w:t>
        </w:r>
      </w:fldSimple>
      <w:r>
        <w:t>:</w:t>
      </w:r>
      <w:r w:rsidRPr="009D5CCF">
        <w:t xml:space="preserve"> Příjmy krajů podle druhového členěn</w:t>
      </w:r>
      <w:r>
        <w:t>í rozpočtové skladby za rok 2020</w:t>
      </w:r>
      <w:r w:rsidRPr="009D5CCF">
        <w:t xml:space="preserve"> (po konsolidaci)</w:t>
      </w:r>
      <w:bookmarkEnd w:id="51"/>
      <w:bookmarkEnd w:id="52"/>
    </w:p>
    <w:p w:rsidR="0009461F" w:rsidRPr="001563FE" w:rsidRDefault="0009461F" w:rsidP="0009461F">
      <w:pPr>
        <w:rPr>
          <w:highlight w:val="yellow"/>
        </w:rPr>
      </w:pPr>
      <w:r>
        <w:rPr>
          <w:noProof/>
          <w:lang w:eastAsia="cs-CZ"/>
        </w:rPr>
        <w:drawing>
          <wp:anchor distT="0" distB="0" distL="114300" distR="114300" simplePos="0" relativeHeight="251655168" behindDoc="0" locked="0" layoutInCell="1" allowOverlap="1" wp14:anchorId="2F43EB40" wp14:editId="5BA4C898">
            <wp:simplePos x="0" y="0"/>
            <wp:positionH relativeFrom="column">
              <wp:posOffset>-3810</wp:posOffset>
            </wp:positionH>
            <wp:positionV relativeFrom="paragraph">
              <wp:posOffset>635</wp:posOffset>
            </wp:positionV>
            <wp:extent cx="4762500" cy="2832735"/>
            <wp:effectExtent l="0" t="0" r="0" b="5715"/>
            <wp:wrapTopAndBottom/>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62500" cy="2832735"/>
                    </a:xfrm>
                    <a:prstGeom prst="rect">
                      <a:avLst/>
                    </a:prstGeom>
                    <a:noFill/>
                  </pic:spPr>
                </pic:pic>
              </a:graphicData>
            </a:graphic>
            <wp14:sizeRelH relativeFrom="margin">
              <wp14:pctWidth>0</wp14:pctWidth>
            </wp14:sizeRelH>
            <wp14:sizeRelV relativeFrom="margin">
              <wp14:pctHeight>0</wp14:pctHeight>
            </wp14:sizeRelV>
          </wp:anchor>
        </w:drawing>
      </w:r>
      <w:r w:rsidRPr="00875980">
        <w:t>Objemově nejvýznamnější zdroj příjmů rozpočtů krajů</w:t>
      </w:r>
      <w:r w:rsidRPr="00875980">
        <w:rPr>
          <w:b/>
        </w:rPr>
        <w:t xml:space="preserve"> </w:t>
      </w:r>
      <w:r w:rsidRPr="00875980">
        <w:t>představují</w:t>
      </w:r>
      <w:r w:rsidRPr="00875980">
        <w:rPr>
          <w:b/>
        </w:rPr>
        <w:t xml:space="preserve"> transfery</w:t>
      </w:r>
      <w:r w:rsidRPr="00875980">
        <w:t>. Jsou poskytovány</w:t>
      </w:r>
      <w:r>
        <w:t xml:space="preserve"> především</w:t>
      </w:r>
      <w:r w:rsidRPr="00875980">
        <w:t xml:space="preserve"> ze státního rozpočtu a </w:t>
      </w:r>
      <w:r>
        <w:t xml:space="preserve">z rozpočtů </w:t>
      </w:r>
      <w:r w:rsidRPr="00875980">
        <w:t xml:space="preserve">státních fondů. V roce 2020 činil celkový objem přijatých transferů </w:t>
      </w:r>
      <w:r w:rsidRPr="00875980">
        <w:rPr>
          <w:b/>
        </w:rPr>
        <w:t>184,9</w:t>
      </w:r>
      <w:r>
        <w:rPr>
          <w:b/>
        </w:rPr>
        <w:t> </w:t>
      </w:r>
      <w:r w:rsidRPr="00875980">
        <w:rPr>
          <w:b/>
        </w:rPr>
        <w:t>mld. Kč</w:t>
      </w:r>
      <w:r w:rsidRPr="00875980">
        <w:t xml:space="preserve">, </w:t>
      </w:r>
      <w:r w:rsidRPr="00321CE7">
        <w:t xml:space="preserve">což bylo </w:t>
      </w:r>
      <w:r w:rsidRPr="00321CE7">
        <w:rPr>
          <w:b/>
        </w:rPr>
        <w:t>o 18,2 %</w:t>
      </w:r>
      <w:r>
        <w:rPr>
          <w:b/>
        </w:rPr>
        <w:t>,</w:t>
      </w:r>
      <w:r w:rsidRPr="00321CE7">
        <w:rPr>
          <w:b/>
        </w:rPr>
        <w:t xml:space="preserve"> </w:t>
      </w:r>
      <w:r>
        <w:rPr>
          <w:b/>
        </w:rPr>
        <w:t>respektive</w:t>
      </w:r>
      <w:r w:rsidRPr="00321CE7">
        <w:rPr>
          <w:b/>
        </w:rPr>
        <w:t xml:space="preserve"> o 28,4 mld. Kč</w:t>
      </w:r>
      <w:r>
        <w:rPr>
          <w:b/>
        </w:rPr>
        <w:t xml:space="preserve"> více</w:t>
      </w:r>
      <w:r w:rsidRPr="00321CE7">
        <w:rPr>
          <w:b/>
        </w:rPr>
        <w:t xml:space="preserve"> </w:t>
      </w:r>
      <w:r w:rsidRPr="00321CE7">
        <w:t xml:space="preserve">nežli </w:t>
      </w:r>
      <w:r w:rsidR="00BB758E">
        <w:t>v roce předchozím. Jednalo se o </w:t>
      </w:r>
      <w:r w:rsidRPr="00321CE7">
        <w:t>dosud nejvyšší meziroční nárůst (v roce 2019 vzrostly</w:t>
      </w:r>
      <w:r>
        <w:t xml:space="preserve"> příjmy z transferů</w:t>
      </w:r>
      <w:r w:rsidRPr="00321CE7">
        <w:t xml:space="preserve"> o 25,4 mld. Kč). </w:t>
      </w:r>
      <w:r w:rsidRPr="007B3641">
        <w:rPr>
          <w:b/>
          <w:bCs/>
        </w:rPr>
        <w:t>Podíl objemu transferů na celkových příjmech</w:t>
      </w:r>
      <w:r w:rsidRPr="00321CE7">
        <w:t xml:space="preserve"> </w:t>
      </w:r>
      <w:r w:rsidRPr="007B3641">
        <w:rPr>
          <w:b/>
          <w:bCs/>
        </w:rPr>
        <w:t>krajů</w:t>
      </w:r>
      <w:r w:rsidRPr="00321CE7">
        <w:t xml:space="preserve"> meziročně </w:t>
      </w:r>
      <w:r w:rsidRPr="007B3641">
        <w:rPr>
          <w:b/>
          <w:bCs/>
        </w:rPr>
        <w:t>vzrostl o 4,9 procentního bodu na 70,5 %</w:t>
      </w:r>
      <w:r w:rsidRPr="00321CE7">
        <w:t>.</w:t>
      </w:r>
    </w:p>
    <w:p w:rsidR="0009461F" w:rsidRPr="001563FE" w:rsidRDefault="0009461F" w:rsidP="0009461F">
      <w:pPr>
        <w:rPr>
          <w:highlight w:val="yellow"/>
        </w:rPr>
      </w:pPr>
      <w:r w:rsidRPr="005036A9">
        <w:t xml:space="preserve">Nárůst se týkal především </w:t>
      </w:r>
      <w:r w:rsidRPr="007B3641">
        <w:rPr>
          <w:b/>
          <w:bCs/>
        </w:rPr>
        <w:t>neinvestičních transferů</w:t>
      </w:r>
      <w:r w:rsidRPr="005036A9">
        <w:t xml:space="preserve">, jejich objem </w:t>
      </w:r>
      <w:r w:rsidRPr="007B3641">
        <w:rPr>
          <w:b/>
          <w:bCs/>
        </w:rPr>
        <w:t>vzrostl o 16,7 %</w:t>
      </w:r>
      <w:r>
        <w:t>, tj.</w:t>
      </w:r>
      <w:r w:rsidRPr="005036A9">
        <w:t xml:space="preserve"> o 24,1 mld. Kč</w:t>
      </w:r>
      <w:r>
        <w:t>,</w:t>
      </w:r>
      <w:r w:rsidRPr="005036A9">
        <w:t xml:space="preserve"> </w:t>
      </w:r>
      <w:r w:rsidR="00BB758E">
        <w:t>a </w:t>
      </w:r>
      <w:r w:rsidRPr="007B3641">
        <w:rPr>
          <w:b/>
          <w:bCs/>
        </w:rPr>
        <w:t>dosáhl 169,0 mld. Kč</w:t>
      </w:r>
      <w:r w:rsidRPr="000E0399">
        <w:t xml:space="preserve">. Vývoj souvisí s realizací záměrů vlády v oblasti </w:t>
      </w:r>
      <w:r w:rsidRPr="000E0399">
        <w:rPr>
          <w:b/>
        </w:rPr>
        <w:t>regionálního školství a v oblasti sociální péče</w:t>
      </w:r>
      <w:r w:rsidRPr="000E0399">
        <w:t xml:space="preserve"> </w:t>
      </w:r>
      <w:r w:rsidRPr="007B3641">
        <w:rPr>
          <w:b/>
          <w:bCs/>
        </w:rPr>
        <w:t>(posilování mzdové úrovně pracovníků)</w:t>
      </w:r>
      <w:r w:rsidRPr="000E0399">
        <w:t>.</w:t>
      </w:r>
    </w:p>
    <w:p w:rsidR="0009461F" w:rsidRDefault="0009461F" w:rsidP="0009461F">
      <w:r w:rsidRPr="000E0399">
        <w:t xml:space="preserve">Objem přijatých </w:t>
      </w:r>
      <w:r w:rsidRPr="000E0399">
        <w:rPr>
          <w:b/>
        </w:rPr>
        <w:t>investičních transferů</w:t>
      </w:r>
      <w:r w:rsidRPr="000E0399">
        <w:t xml:space="preserve"> činil </w:t>
      </w:r>
      <w:r w:rsidRPr="007B3641">
        <w:rPr>
          <w:b/>
          <w:bCs/>
        </w:rPr>
        <w:t>15,9 mld. Kč</w:t>
      </w:r>
      <w:r w:rsidRPr="000E0399">
        <w:t xml:space="preserve">, proti předchozímu roku se </w:t>
      </w:r>
      <w:r w:rsidRPr="007B3641">
        <w:rPr>
          <w:b/>
          <w:bCs/>
        </w:rPr>
        <w:t>zvýšil o 36,7 %</w:t>
      </w:r>
      <w:r>
        <w:t>, respektive</w:t>
      </w:r>
      <w:r w:rsidRPr="00231AF6">
        <w:t xml:space="preserve"> </w:t>
      </w:r>
      <w:r w:rsidRPr="000E0399">
        <w:t>o 4,3 mld. Kč</w:t>
      </w:r>
      <w:r>
        <w:t xml:space="preserve">. </w:t>
      </w:r>
      <w:r w:rsidRPr="00231AF6">
        <w:t>Rozhodující část navýšení souvisí s realizací projektů v rámci operačních programů EU</w:t>
      </w:r>
      <w:r>
        <w:t>, kdy</w:t>
      </w:r>
      <w:r w:rsidRPr="00231AF6">
        <w:t xml:space="preserve"> v rámci </w:t>
      </w:r>
      <w:r w:rsidRPr="007B3641">
        <w:rPr>
          <w:b/>
          <w:bCs/>
        </w:rPr>
        <w:t>Integrovaného regionálního operačního programu</w:t>
      </w:r>
      <w:r w:rsidRPr="00231AF6">
        <w:t xml:space="preserve"> přijaly kraje 7,9 mld. Kč (</w:t>
      </w:r>
      <w:r w:rsidRPr="007B3641">
        <w:rPr>
          <w:b/>
          <w:bCs/>
        </w:rPr>
        <w:t>meziroční růst o 16,4 %</w:t>
      </w:r>
      <w:r>
        <w:t>, tj. o </w:t>
      </w:r>
      <w:r w:rsidRPr="00231AF6">
        <w:t>1,1 mld. Kč)</w:t>
      </w:r>
      <w:r>
        <w:t xml:space="preserve">. </w:t>
      </w:r>
    </w:p>
    <w:p w:rsidR="0009461F" w:rsidRDefault="0009461F" w:rsidP="0009461F">
      <w:r w:rsidRPr="00AD3147">
        <w:rPr>
          <w:b/>
        </w:rPr>
        <w:t>Z rozpočtu Státního fondu dopravní infrastruktury</w:t>
      </w:r>
      <w:r>
        <w:t xml:space="preserve"> kraje přijaly peněžní prostředky </w:t>
      </w:r>
      <w:r w:rsidRPr="00AD3147">
        <w:rPr>
          <w:b/>
        </w:rPr>
        <w:t>na financování dopravní infrastruktury</w:t>
      </w:r>
      <w:r>
        <w:t xml:space="preserve"> ve výši </w:t>
      </w:r>
      <w:r w:rsidRPr="00AD3147">
        <w:rPr>
          <w:b/>
        </w:rPr>
        <w:t>2,7 mld. Kč</w:t>
      </w:r>
      <w:r>
        <w:t xml:space="preserve">, což je </w:t>
      </w:r>
      <w:r w:rsidRPr="00AD3147">
        <w:rPr>
          <w:b/>
        </w:rPr>
        <w:t>nárůst o 56,7 %</w:t>
      </w:r>
      <w:r>
        <w:t xml:space="preserve"> tedy o 1,0 mld. Kč</w:t>
      </w:r>
    </w:p>
    <w:p w:rsidR="0009461F" w:rsidRPr="005717D2" w:rsidRDefault="0009461F" w:rsidP="0009461F">
      <w:r w:rsidRPr="005717D2">
        <w:t xml:space="preserve">Ze státního rozpočtu jsou krajům poskytovány </w:t>
      </w:r>
      <w:r w:rsidRPr="005717D2">
        <w:rPr>
          <w:b/>
        </w:rPr>
        <w:t>transfery z kapitoly VPS</w:t>
      </w:r>
      <w:r w:rsidRPr="005717D2">
        <w:t xml:space="preserve">, které v roce 2020 zahrnovaly především </w:t>
      </w:r>
      <w:r w:rsidRPr="005717D2">
        <w:rPr>
          <w:b/>
        </w:rPr>
        <w:t>příspěvek na řešení krizových situací a náhrady škod způsobených vybranými zvláště chráněnými živočichy</w:t>
      </w:r>
      <w:r>
        <w:rPr>
          <w:b/>
        </w:rPr>
        <w:t xml:space="preserve"> (tato dotace je následně poskytována formou náhrady konečným příjemcům)</w:t>
      </w:r>
      <w:r w:rsidRPr="005717D2">
        <w:rPr>
          <w:b/>
        </w:rPr>
        <w:t>.</w:t>
      </w:r>
      <w:r w:rsidRPr="005717D2">
        <w:t xml:space="preserve"> Transfery z kapitoly VPS činí minimum z celkového objemu transferů </w:t>
      </w:r>
      <w:r>
        <w:t xml:space="preserve">poskytovaných krajům </w:t>
      </w:r>
      <w:r w:rsidRPr="005717D2">
        <w:t>ze státního rozpočtu.</w:t>
      </w:r>
    </w:p>
    <w:p w:rsidR="0009461F" w:rsidRPr="001563FE" w:rsidRDefault="0009461F" w:rsidP="0009461F">
      <w:pPr>
        <w:rPr>
          <w:highlight w:val="yellow"/>
        </w:rPr>
      </w:pPr>
      <w:r w:rsidRPr="0089443B">
        <w:t xml:space="preserve">Nejvýznamnější zdroj příjmů krajů představují </w:t>
      </w:r>
      <w:r w:rsidRPr="0089443B">
        <w:rPr>
          <w:b/>
        </w:rPr>
        <w:t>transfery poskytované přímo z rozpočtu jednotlivých kapitol státního rozpo</w:t>
      </w:r>
      <w:r>
        <w:rPr>
          <w:b/>
        </w:rPr>
        <w:t>čtu a z rozpočtů</w:t>
      </w:r>
      <w:r w:rsidRPr="0089443B">
        <w:rPr>
          <w:b/>
        </w:rPr>
        <w:t xml:space="preserve"> státních fondů.</w:t>
      </w:r>
      <w:r w:rsidRPr="0089443B">
        <w:t xml:space="preserve"> Ve sledovaném roce přijaly kraje z rozpočtů ústředních orgánů státní správy a </w:t>
      </w:r>
      <w:r>
        <w:t xml:space="preserve">z rozpočtů </w:t>
      </w:r>
      <w:r w:rsidRPr="0089443B">
        <w:t xml:space="preserve">státních fondů (bez kapitoly VPS </w:t>
      </w:r>
      <w:r>
        <w:t xml:space="preserve">a </w:t>
      </w:r>
      <w:r w:rsidRPr="0089443B">
        <w:t xml:space="preserve">Národního fondu) </w:t>
      </w:r>
      <w:r>
        <w:t>peněžní</w:t>
      </w:r>
      <w:r w:rsidRPr="0089443B">
        <w:t xml:space="preserve"> </w:t>
      </w:r>
      <w:r>
        <w:t>prostředky v</w:t>
      </w:r>
      <w:r w:rsidR="00F426CD">
        <w:t> </w:t>
      </w:r>
      <w:r>
        <w:t xml:space="preserve">celkové výši </w:t>
      </w:r>
      <w:r w:rsidRPr="0089443B">
        <w:rPr>
          <w:b/>
        </w:rPr>
        <w:t>181,9 mld. Kč</w:t>
      </w:r>
      <w:r w:rsidRPr="0089443B">
        <w:t xml:space="preserve">, což </w:t>
      </w:r>
      <w:r>
        <w:t xml:space="preserve">přestavuje meziroční růst </w:t>
      </w:r>
      <w:r w:rsidRPr="002419ED">
        <w:rPr>
          <w:b/>
        </w:rPr>
        <w:t>o 18,0 %, tj.</w:t>
      </w:r>
      <w:r>
        <w:t xml:space="preserve"> </w:t>
      </w:r>
      <w:r w:rsidRPr="0089443B">
        <w:rPr>
          <w:b/>
        </w:rPr>
        <w:t>o 27,7 mld. Kč.</w:t>
      </w:r>
      <w:r w:rsidRPr="0089443B">
        <w:t xml:space="preserve"> </w:t>
      </w:r>
      <w:r w:rsidRPr="006F4BD1">
        <w:t xml:space="preserve">Nárůst </w:t>
      </w:r>
      <w:r>
        <w:t>poskytnutých transferů</w:t>
      </w:r>
      <w:r w:rsidRPr="006F4BD1">
        <w:t xml:space="preserve"> byl směrován především do oblasti školství, oblasti sociální péče</w:t>
      </w:r>
      <w:r>
        <w:t xml:space="preserve"> a</w:t>
      </w:r>
      <w:r w:rsidRPr="006F4BD1">
        <w:t xml:space="preserve"> do oblasti dopravy (pořízení </w:t>
      </w:r>
      <w:r w:rsidRPr="006F4BD1">
        <w:lastRenderedPageBreak/>
        <w:t>a</w:t>
      </w:r>
      <w:r w:rsidR="00F426CD">
        <w:t> </w:t>
      </w:r>
      <w:r w:rsidRPr="006F4BD1">
        <w:t>modernizace železničních kolejových vozidel, příspěvek na ztrátu dopravce z provozu veřejné osobní drážní dopravy nebo např. financování dopravní infrastruktury).</w:t>
      </w:r>
    </w:p>
    <w:p w:rsidR="0009461F" w:rsidRPr="00694806" w:rsidRDefault="0009461F" w:rsidP="0009461F">
      <w:r w:rsidRPr="00A35CA3">
        <w:t>Z kapitoly</w:t>
      </w:r>
      <w:r w:rsidRPr="00A35CA3">
        <w:rPr>
          <w:b/>
        </w:rPr>
        <w:t xml:space="preserve"> Ministerstv</w:t>
      </w:r>
      <w:r>
        <w:rPr>
          <w:b/>
        </w:rPr>
        <w:t>o</w:t>
      </w:r>
      <w:r w:rsidRPr="00A35CA3">
        <w:rPr>
          <w:b/>
        </w:rPr>
        <w:t xml:space="preserve"> školství, mládeže a tělovýchovy </w:t>
      </w:r>
      <w:r w:rsidRPr="00A35CA3">
        <w:t xml:space="preserve">přijaly kraje celkem </w:t>
      </w:r>
      <w:r w:rsidRPr="00A35CA3">
        <w:rPr>
          <w:b/>
        </w:rPr>
        <w:t>139,8 mld. Kč</w:t>
      </w:r>
      <w:r w:rsidRPr="00A35CA3">
        <w:t xml:space="preserve">, což bylo </w:t>
      </w:r>
      <w:r w:rsidRPr="00A35CA3">
        <w:rPr>
          <w:b/>
        </w:rPr>
        <w:t>o</w:t>
      </w:r>
      <w:r w:rsidR="00F426CD">
        <w:rPr>
          <w:b/>
        </w:rPr>
        <w:t> </w:t>
      </w:r>
      <w:r w:rsidRPr="00A35CA3">
        <w:rPr>
          <w:b/>
        </w:rPr>
        <w:t>15,2 %, tj. o 18,4 mld. Kč více</w:t>
      </w:r>
      <w:r w:rsidRPr="00A35CA3">
        <w:t xml:space="preserve"> nežli v roce 2019</w:t>
      </w:r>
      <w:r w:rsidRPr="00886838">
        <w:t>.</w:t>
      </w:r>
      <w:r w:rsidRPr="00886838">
        <w:rPr>
          <w:b/>
        </w:rPr>
        <w:t xml:space="preserve"> </w:t>
      </w:r>
      <w:r w:rsidRPr="00886838">
        <w:t>N</w:t>
      </w:r>
      <w:r>
        <w:t>ejvýznamnější</w:t>
      </w:r>
      <w:r w:rsidRPr="00886838">
        <w:t xml:space="preserve"> část </w:t>
      </w:r>
      <w:r>
        <w:t xml:space="preserve">peněžních </w:t>
      </w:r>
      <w:r w:rsidRPr="00886838">
        <w:t xml:space="preserve">prostředků směřovala na přímé náklady na vzdělávání </w:t>
      </w:r>
      <w:r w:rsidRPr="00DA6808">
        <w:t>(růst o 17,0 %, tj. o 19,2 mld. Kč</w:t>
      </w:r>
      <w:r w:rsidRPr="00886838">
        <w:t xml:space="preserve">), </w:t>
      </w:r>
      <w:r w:rsidRPr="00A806F8">
        <w:t>dotace pro soukromé školy (</w:t>
      </w:r>
      <w:r>
        <w:t xml:space="preserve">růst </w:t>
      </w:r>
      <w:r w:rsidRPr="00A806F8">
        <w:t>o 20,3 %, respektive o</w:t>
      </w:r>
      <w:r>
        <w:t> </w:t>
      </w:r>
      <w:r w:rsidRPr="00A806F8">
        <w:t xml:space="preserve">1,0 mld. Kč) a dotace v rámci rovného přístupu ke kvalitnímu vzdělávání (1,2 mld. Kč). </w:t>
      </w:r>
    </w:p>
    <w:p w:rsidR="0009461F" w:rsidRPr="00AE3ACD" w:rsidRDefault="0009461F" w:rsidP="0009461F">
      <w:pPr>
        <w:pStyle w:val="Nzev"/>
      </w:pPr>
      <w:bookmarkStart w:id="53" w:name="_Toc66700390"/>
      <w:bookmarkStart w:id="54" w:name="_Toc66717150"/>
      <w:r w:rsidRPr="00F05D6A">
        <w:t xml:space="preserve">Tabulka č. </w:t>
      </w:r>
      <w:fldSimple w:instr=" SEQ Tabulka_č. \* ARABIC ">
        <w:r>
          <w:rPr>
            <w:noProof/>
          </w:rPr>
          <w:t>11</w:t>
        </w:r>
      </w:fldSimple>
      <w:r w:rsidRPr="00F05D6A">
        <w:t xml:space="preserve">: Přehled transferů a </w:t>
      </w:r>
      <w:r>
        <w:t>zá</w:t>
      </w:r>
      <w:r w:rsidRPr="00F05D6A">
        <w:t>půjček přijatých kraji ze státního rozpočt</w:t>
      </w:r>
      <w:r>
        <w:t>u, z Národního fondu a z rozpočtů státních fondů v roce 2020 </w:t>
      </w:r>
      <w:r w:rsidRPr="00F05D6A">
        <w:t>(mil. Kč)</w:t>
      </w:r>
      <w:bookmarkEnd w:id="53"/>
      <w:bookmarkEnd w:id="54"/>
    </w:p>
    <w:p w:rsidR="0009461F" w:rsidRPr="004A45F3" w:rsidRDefault="005A490A" w:rsidP="0009461F">
      <w:pPr>
        <w:rPr>
          <w:highlight w:val="yellow"/>
        </w:rPr>
      </w:pPr>
      <w:r w:rsidRPr="005A490A">
        <w:rPr>
          <w:noProof/>
          <w:lang w:eastAsia="cs-CZ"/>
        </w:rPr>
        <w:drawing>
          <wp:anchor distT="0" distB="0" distL="114300" distR="114300" simplePos="0" relativeHeight="251653120" behindDoc="0" locked="0" layoutInCell="1" allowOverlap="1" wp14:anchorId="1A089A63" wp14:editId="57178F12">
            <wp:simplePos x="0" y="0"/>
            <wp:positionH relativeFrom="column">
              <wp:posOffset>-3810</wp:posOffset>
            </wp:positionH>
            <wp:positionV relativeFrom="paragraph">
              <wp:posOffset>3810</wp:posOffset>
            </wp:positionV>
            <wp:extent cx="5941485" cy="3877200"/>
            <wp:effectExtent l="0" t="0" r="2540" b="952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1485" cy="3877200"/>
                    </a:xfrm>
                    <a:prstGeom prst="rect">
                      <a:avLst/>
                    </a:prstGeom>
                    <a:noFill/>
                    <a:ln>
                      <a:noFill/>
                    </a:ln>
                  </pic:spPr>
                </pic:pic>
              </a:graphicData>
            </a:graphic>
            <wp14:sizeRelV relativeFrom="margin">
              <wp14:pctHeight>0</wp14:pctHeight>
            </wp14:sizeRelV>
          </wp:anchor>
        </w:drawing>
      </w:r>
      <w:r w:rsidR="0009461F" w:rsidRPr="004B710E">
        <w:t>Z</w:t>
      </w:r>
      <w:r w:rsidR="00F426CD">
        <w:t> </w:t>
      </w:r>
      <w:r w:rsidR="0009461F" w:rsidRPr="004B710E">
        <w:t>rozpočtu</w:t>
      </w:r>
      <w:r w:rsidR="00F426CD">
        <w:t xml:space="preserve"> kapitoly</w:t>
      </w:r>
      <w:r w:rsidR="0009461F" w:rsidRPr="004B710E">
        <w:t xml:space="preserve"> </w:t>
      </w:r>
      <w:r w:rsidR="0009461F" w:rsidRPr="004B710E">
        <w:rPr>
          <w:b/>
        </w:rPr>
        <w:t>Ministerstv</w:t>
      </w:r>
      <w:r w:rsidR="0009461F">
        <w:rPr>
          <w:b/>
        </w:rPr>
        <w:t>o</w:t>
      </w:r>
      <w:r w:rsidR="0009461F" w:rsidRPr="004B710E">
        <w:rPr>
          <w:b/>
        </w:rPr>
        <w:t xml:space="preserve"> práce a sociálních věcí</w:t>
      </w:r>
      <w:r w:rsidR="0009461F" w:rsidRPr="004B710E">
        <w:t xml:space="preserve"> obdržely kraje </w:t>
      </w:r>
      <w:r w:rsidR="0009461F">
        <w:t>peněžní</w:t>
      </w:r>
      <w:r w:rsidR="0009461F" w:rsidRPr="004B710E">
        <w:t xml:space="preserve"> prostředky ve výši </w:t>
      </w:r>
      <w:r w:rsidR="00F426CD">
        <w:br/>
      </w:r>
      <w:r w:rsidR="0009461F" w:rsidRPr="004B710E">
        <w:rPr>
          <w:b/>
        </w:rPr>
        <w:t xml:space="preserve">18,6 mld. Kč </w:t>
      </w:r>
      <w:r w:rsidR="0009461F">
        <w:rPr>
          <w:b/>
        </w:rPr>
        <w:t>(růst o 10,3 </w:t>
      </w:r>
      <w:r w:rsidR="0009461F" w:rsidRPr="004B710E">
        <w:rPr>
          <w:b/>
        </w:rPr>
        <w:t>%)</w:t>
      </w:r>
      <w:r w:rsidR="0009461F" w:rsidRPr="004B710E">
        <w:t xml:space="preserve">, </w:t>
      </w:r>
      <w:r w:rsidR="0009461F" w:rsidRPr="00875A54">
        <w:t>z toho 16,2 mld. Kč činily neinvestiční nedávkové transfery poskytované podle zákona č.</w:t>
      </w:r>
      <w:r w:rsidR="0009461F">
        <w:t> </w:t>
      </w:r>
      <w:r w:rsidR="0009461F" w:rsidRPr="00875A54">
        <w:t>108/2006</w:t>
      </w:r>
      <w:r w:rsidR="0009461F">
        <w:t> </w:t>
      </w:r>
      <w:r w:rsidR="0009461F" w:rsidRPr="00875A54">
        <w:t xml:space="preserve">Sb. Další </w:t>
      </w:r>
      <w:r w:rsidR="0009461F">
        <w:t>transfery</w:t>
      </w:r>
      <w:r w:rsidR="0009461F" w:rsidRPr="00875A54">
        <w:t xml:space="preserve"> byly poskytnuty na řešení naléhavých potřeb při zabezpečení provozu sociálních služeb zřízených a provozovaných obcemi ve výši 1,2 mld. Kč </w:t>
      </w:r>
      <w:r w:rsidR="0009461F">
        <w:t>a dále v </w:t>
      </w:r>
      <w:r w:rsidR="0009461F" w:rsidRPr="00875A54">
        <w:t xml:space="preserve">rámci Operačního programu Zaměstnanost </w:t>
      </w:r>
      <w:r w:rsidR="0009461F">
        <w:t xml:space="preserve">bylo poskytnuto </w:t>
      </w:r>
      <w:r w:rsidR="0009461F" w:rsidRPr="00875A54">
        <w:t>0,9 mld. Kč</w:t>
      </w:r>
      <w:r w:rsidR="0009461F">
        <w:t xml:space="preserve"> (pokles </w:t>
      </w:r>
      <w:r w:rsidR="0009461F" w:rsidRPr="00572D54">
        <w:t xml:space="preserve">o 46,3 %), který je zaměřen na podporu rovných příležitostí žen a mužů, adaptability zaměstnanců, dalšího vzdělávání, sociálního začleňování, sociálních inovací v oblasti zaměstnanosti apod. Část </w:t>
      </w:r>
      <w:r w:rsidR="0009461F">
        <w:t xml:space="preserve">peněžních </w:t>
      </w:r>
      <w:r w:rsidR="0009461F" w:rsidRPr="00572D54">
        <w:t>prostředků byla rovněž uvolněna na státní příspěvek zřizovatelům zařízení pro děti vyžadující okamžitou pomoc.</w:t>
      </w:r>
    </w:p>
    <w:p w:rsidR="0009461F" w:rsidRPr="00572D54" w:rsidRDefault="0009461F" w:rsidP="0009461F">
      <w:r w:rsidRPr="00572D54">
        <w:t xml:space="preserve">Z kapitoly </w:t>
      </w:r>
      <w:r w:rsidRPr="00572D54">
        <w:rPr>
          <w:b/>
        </w:rPr>
        <w:t>Ministerstv</w:t>
      </w:r>
      <w:r>
        <w:rPr>
          <w:b/>
        </w:rPr>
        <w:t>o</w:t>
      </w:r>
      <w:r w:rsidRPr="00572D54">
        <w:rPr>
          <w:b/>
        </w:rPr>
        <w:t xml:space="preserve"> pro místní rozvoj</w:t>
      </w:r>
      <w:r w:rsidRPr="00572D54">
        <w:t xml:space="preserve"> přijaly kraje celkem </w:t>
      </w:r>
      <w:r w:rsidRPr="00572D54">
        <w:rPr>
          <w:b/>
        </w:rPr>
        <w:t>8,2 mld. Kč (</w:t>
      </w:r>
      <w:r>
        <w:rPr>
          <w:b/>
        </w:rPr>
        <w:t xml:space="preserve">růst </w:t>
      </w:r>
      <w:r w:rsidRPr="00572D54">
        <w:rPr>
          <w:b/>
        </w:rPr>
        <w:t>o 11,6 %)</w:t>
      </w:r>
      <w:r w:rsidRPr="00572D54">
        <w:t xml:space="preserve">, jednalo se především o prostředky poskytnuté v rámci Integrovaného regionálního operačního programu (IROP), který je zaměřen na podporu regionální konkurenceschopnosti a zlepšení kvality života obyvatel. Velká část </w:t>
      </w:r>
      <w:r>
        <w:t>transferů</w:t>
      </w:r>
      <w:r w:rsidRPr="00572D54">
        <w:t xml:space="preserve"> směřovala na obnovu komunikací v působnosti krajů.</w:t>
      </w:r>
    </w:p>
    <w:p w:rsidR="0009461F" w:rsidRPr="00A3755B" w:rsidRDefault="0009461F" w:rsidP="0009461F">
      <w:r w:rsidRPr="00A3755B">
        <w:t xml:space="preserve">Z rozpočtu kapitoly </w:t>
      </w:r>
      <w:r w:rsidRPr="00A3755B">
        <w:rPr>
          <w:b/>
        </w:rPr>
        <w:t>Ministerstv</w:t>
      </w:r>
      <w:r>
        <w:rPr>
          <w:b/>
        </w:rPr>
        <w:t>o</w:t>
      </w:r>
      <w:r w:rsidRPr="00A3755B">
        <w:rPr>
          <w:b/>
        </w:rPr>
        <w:t xml:space="preserve"> dopravy </w:t>
      </w:r>
      <w:r w:rsidRPr="00A3755B">
        <w:t xml:space="preserve">přijaly </w:t>
      </w:r>
      <w:r>
        <w:t xml:space="preserve">kraje </w:t>
      </w:r>
      <w:r w:rsidRPr="00A3755B">
        <w:t xml:space="preserve">transfery ve výši </w:t>
      </w:r>
      <w:r w:rsidRPr="00A3755B">
        <w:rPr>
          <w:b/>
        </w:rPr>
        <w:t>5,2 mld. Kč</w:t>
      </w:r>
      <w:r w:rsidRPr="00A3755B">
        <w:t xml:space="preserve"> </w:t>
      </w:r>
      <w:r w:rsidRPr="00184ABA">
        <w:rPr>
          <w:b/>
          <w:bCs/>
        </w:rPr>
        <w:t>(růst o 87,6 %).</w:t>
      </w:r>
      <w:r w:rsidRPr="00A3755B">
        <w:t xml:space="preserve"> Růst </w:t>
      </w:r>
      <w:r>
        <w:t xml:space="preserve">o 100 % </w:t>
      </w:r>
      <w:r w:rsidRPr="00A3755B">
        <w:t xml:space="preserve">se </w:t>
      </w:r>
      <w:r>
        <w:t xml:space="preserve">pak </w:t>
      </w:r>
      <w:r w:rsidRPr="00A3755B">
        <w:t xml:space="preserve">týkal </w:t>
      </w:r>
      <w:r>
        <w:t xml:space="preserve">především peněžních </w:t>
      </w:r>
      <w:r w:rsidRPr="00A3755B">
        <w:t>prostředků</w:t>
      </w:r>
      <w:r>
        <w:t xml:space="preserve"> poskytnutých</w:t>
      </w:r>
      <w:r w:rsidRPr="00A3755B">
        <w:t xml:space="preserve"> na pořízení a modernizaci železničních kolejových vozidel, </w:t>
      </w:r>
      <w:r>
        <w:t xml:space="preserve">a to </w:t>
      </w:r>
      <w:r w:rsidRPr="00A3755B">
        <w:t xml:space="preserve">ve výši </w:t>
      </w:r>
      <w:r>
        <w:t>2,2 mld. </w:t>
      </w:r>
      <w:r w:rsidRPr="00A3755B">
        <w:t>Kč.</w:t>
      </w:r>
    </w:p>
    <w:p w:rsidR="0009461F" w:rsidRPr="004A45F3" w:rsidRDefault="0009461F" w:rsidP="0009461F">
      <w:pPr>
        <w:rPr>
          <w:highlight w:val="yellow"/>
        </w:rPr>
      </w:pPr>
      <w:r>
        <w:t>Transfery</w:t>
      </w:r>
      <w:r w:rsidRPr="002F7B80">
        <w:t xml:space="preserve"> ve výši </w:t>
      </w:r>
      <w:r w:rsidRPr="002F7B80">
        <w:rPr>
          <w:b/>
        </w:rPr>
        <w:t>2,</w:t>
      </w:r>
      <w:r>
        <w:rPr>
          <w:b/>
        </w:rPr>
        <w:t>3</w:t>
      </w:r>
      <w:r w:rsidRPr="002F7B80">
        <w:rPr>
          <w:b/>
        </w:rPr>
        <w:t xml:space="preserve"> mld. Kč</w:t>
      </w:r>
      <w:r w:rsidRPr="002F7B80">
        <w:t xml:space="preserve"> přijaly kraje z kapitoly </w:t>
      </w:r>
      <w:r w:rsidRPr="002F7B80">
        <w:rPr>
          <w:b/>
        </w:rPr>
        <w:t>Ministerstv</w:t>
      </w:r>
      <w:r>
        <w:rPr>
          <w:b/>
        </w:rPr>
        <w:t>o</w:t>
      </w:r>
      <w:r w:rsidRPr="002F7B80">
        <w:rPr>
          <w:b/>
        </w:rPr>
        <w:t xml:space="preserve"> životního prostředí </w:t>
      </w:r>
      <w:r w:rsidRPr="002F7B80">
        <w:t>(</w:t>
      </w:r>
      <w:r w:rsidRPr="00C401F5">
        <w:rPr>
          <w:b/>
          <w:bCs/>
        </w:rPr>
        <w:t xml:space="preserve">pokles o </w:t>
      </w:r>
      <w:r>
        <w:rPr>
          <w:b/>
          <w:bCs/>
        </w:rPr>
        <w:t>7,4</w:t>
      </w:r>
      <w:r w:rsidRPr="00C401F5">
        <w:rPr>
          <w:b/>
          <w:bCs/>
        </w:rPr>
        <w:t xml:space="preserve"> %</w:t>
      </w:r>
      <w:r w:rsidRPr="002F7B80">
        <w:t xml:space="preserve"> </w:t>
      </w:r>
      <w:r>
        <w:t>oproti roku</w:t>
      </w:r>
      <w:r w:rsidRPr="002F7B80">
        <w:t xml:space="preserve"> 2019). </w:t>
      </w:r>
      <w:r w:rsidRPr="00A425F3">
        <w:t>Převážnou část tvořily investiční transfery v rámci Operačního programu Životní prostředí 2014 – 2020, které směřovaly na zlepšení kvality ovzduší, na výměnu zastaralých zdrojů tepla na pevná paliva (kotlíkové dotace), na snižování emisí z lokálního vytápění apod.</w:t>
      </w:r>
    </w:p>
    <w:p w:rsidR="0009461F" w:rsidRPr="00A425F3" w:rsidRDefault="0009461F" w:rsidP="0009461F">
      <w:r w:rsidRPr="00A425F3">
        <w:lastRenderedPageBreak/>
        <w:t>Z</w:t>
      </w:r>
      <w:r>
        <w:t xml:space="preserve"> rozpočtu </w:t>
      </w:r>
      <w:r w:rsidRPr="00A425F3">
        <w:rPr>
          <w:b/>
        </w:rPr>
        <w:t>Národního fondu</w:t>
      </w:r>
      <w:r w:rsidRPr="00A425F3">
        <w:t xml:space="preserve"> přijaly kraje </w:t>
      </w:r>
      <w:r w:rsidRPr="00A425F3">
        <w:rPr>
          <w:b/>
        </w:rPr>
        <w:t>0,3 mld. Kč</w:t>
      </w:r>
      <w:r w:rsidRPr="00A425F3">
        <w:t xml:space="preserve"> (</w:t>
      </w:r>
      <w:r>
        <w:t xml:space="preserve">růst </w:t>
      </w:r>
      <w:r w:rsidRPr="00A425F3">
        <w:t xml:space="preserve">o 28,3 %) v rámci Programu přeshraniční spolupráce ČR – Polsko, převážnou část tvořily investiční </w:t>
      </w:r>
      <w:r>
        <w:t>transfery</w:t>
      </w:r>
      <w:r w:rsidRPr="00A425F3">
        <w:t>.</w:t>
      </w:r>
    </w:p>
    <w:p w:rsidR="0009461F" w:rsidRPr="00487DCC" w:rsidRDefault="0009461F" w:rsidP="0009461F">
      <w:r w:rsidRPr="00487DCC">
        <w:t xml:space="preserve">Z kapitoly </w:t>
      </w:r>
      <w:r w:rsidRPr="00487DCC">
        <w:rPr>
          <w:b/>
        </w:rPr>
        <w:t>Ministerstv</w:t>
      </w:r>
      <w:r>
        <w:rPr>
          <w:b/>
        </w:rPr>
        <w:t>o</w:t>
      </w:r>
      <w:r w:rsidRPr="00487DCC">
        <w:rPr>
          <w:b/>
        </w:rPr>
        <w:t xml:space="preserve"> průmyslu a obchodu</w:t>
      </w:r>
      <w:r w:rsidRPr="00487DCC">
        <w:t xml:space="preserve"> získaly kraje v rámci programu Podpora pořízení nemovitostí pro podnikání a vědu a výzkum </w:t>
      </w:r>
      <w:r w:rsidRPr="00487DCC">
        <w:rPr>
          <w:b/>
        </w:rPr>
        <w:t>0,1 mld. Kč</w:t>
      </w:r>
      <w:r w:rsidRPr="00487DCC">
        <w:t xml:space="preserve"> (podpora investic do průmyslových zón).</w:t>
      </w:r>
    </w:p>
    <w:p w:rsidR="0009461F" w:rsidRPr="004A45F3" w:rsidRDefault="0009461F" w:rsidP="0009461F">
      <w:pPr>
        <w:rPr>
          <w:highlight w:val="yellow"/>
        </w:rPr>
      </w:pPr>
      <w:r w:rsidRPr="00061C40">
        <w:t xml:space="preserve">Z rozpočtu </w:t>
      </w:r>
      <w:r w:rsidRPr="00061C40">
        <w:rPr>
          <w:b/>
        </w:rPr>
        <w:t>Státního fondu dopravní infrastruktury</w:t>
      </w:r>
      <w:r w:rsidRPr="00061C40">
        <w:t xml:space="preserve"> přijaly kraje celkem </w:t>
      </w:r>
      <w:r w:rsidRPr="00061C40">
        <w:rPr>
          <w:b/>
        </w:rPr>
        <w:t>4,8 mld. Kč</w:t>
      </w:r>
      <w:r>
        <w:rPr>
          <w:b/>
        </w:rPr>
        <w:t>, oproti předchozímu roku</w:t>
      </w:r>
      <w:r w:rsidRPr="00061C40">
        <w:rPr>
          <w:b/>
        </w:rPr>
        <w:t xml:space="preserve"> </w:t>
      </w:r>
      <w:r>
        <w:rPr>
          <w:b/>
        </w:rPr>
        <w:t xml:space="preserve">došlo k růstu </w:t>
      </w:r>
      <w:r w:rsidRPr="00061C40">
        <w:rPr>
          <w:b/>
        </w:rPr>
        <w:t>o</w:t>
      </w:r>
      <w:r>
        <w:rPr>
          <w:b/>
        </w:rPr>
        <w:t xml:space="preserve"> 63,0 %</w:t>
      </w:r>
      <w:r w:rsidRPr="007142B4">
        <w:rPr>
          <w:b/>
        </w:rPr>
        <w:t>.</w:t>
      </w:r>
      <w:r>
        <w:t xml:space="preserve"> Jednalo se o </w:t>
      </w:r>
      <w:r w:rsidRPr="007142B4">
        <w:t>investiční</w:t>
      </w:r>
      <w:r>
        <w:t xml:space="preserve"> a neinvestiční</w:t>
      </w:r>
      <w:r w:rsidRPr="007142B4">
        <w:t xml:space="preserve"> </w:t>
      </w:r>
      <w:r>
        <w:t>transfery</w:t>
      </w:r>
      <w:r w:rsidRPr="007142B4">
        <w:t xml:space="preserve"> určené na financování dopravní infrastruktury</w:t>
      </w:r>
      <w:r>
        <w:t xml:space="preserve"> 2,7 mld. </w:t>
      </w:r>
      <w:r w:rsidRPr="007142B4">
        <w:t>Kč a další 2,2 mld. Kč představovaly neinvestiční prostředky určené na financování dopravní infrastruktury</w:t>
      </w:r>
      <w:r w:rsidRPr="00BC3DE7">
        <w:t>.</w:t>
      </w:r>
    </w:p>
    <w:p w:rsidR="0009461F" w:rsidRPr="004A45F3" w:rsidRDefault="0009461F" w:rsidP="0009461F">
      <w:pPr>
        <w:rPr>
          <w:highlight w:val="yellow"/>
        </w:rPr>
      </w:pPr>
      <w:r w:rsidRPr="00A771BD">
        <w:rPr>
          <w:b/>
          <w:bCs/>
        </w:rPr>
        <w:t>Celkové výdaje</w:t>
      </w:r>
      <w:r w:rsidRPr="00A771BD">
        <w:t xml:space="preserve"> krajů dosáhly </w:t>
      </w:r>
      <w:r w:rsidRPr="00A771BD">
        <w:rPr>
          <w:b/>
        </w:rPr>
        <w:t>267,4 mld. Kč</w:t>
      </w:r>
      <w:r w:rsidRPr="00A771BD">
        <w:t xml:space="preserve">, proti předchozímu roku byly </w:t>
      </w:r>
      <w:r w:rsidRPr="00787049">
        <w:rPr>
          <w:b/>
          <w:bCs/>
        </w:rPr>
        <w:t>vyšší o 14,9 %</w:t>
      </w:r>
      <w:r>
        <w:t>, tj. o</w:t>
      </w:r>
      <w:r w:rsidRPr="00A771BD">
        <w:t xml:space="preserve"> 4,7</w:t>
      </w:r>
      <w:r w:rsidR="00251348">
        <w:t xml:space="preserve"> </w:t>
      </w:r>
      <w:r w:rsidRPr="00A771BD">
        <w:t xml:space="preserve">mld. Kč. </w:t>
      </w:r>
      <w:r w:rsidRPr="00D80973">
        <w:t>V roce 2020 se růst kapitálových výdajů na celkových výdajích podílel 16,1 %. Proti loňskému roku došlo k růstu podílu kapitálových výdajů na růstu celkových výdajů téměř dvojnásobně, protože v roce 2019 činil tento poměr 8,2 %.</w:t>
      </w:r>
    </w:p>
    <w:p w:rsidR="0009461F" w:rsidRPr="004A45F3" w:rsidRDefault="0009461F" w:rsidP="0009461F">
      <w:pPr>
        <w:rPr>
          <w:highlight w:val="yellow"/>
        </w:rPr>
      </w:pPr>
      <w:r w:rsidRPr="00D80973">
        <w:rPr>
          <w:b/>
          <w:bCs/>
        </w:rPr>
        <w:t>Běžné výdaje</w:t>
      </w:r>
      <w:r w:rsidRPr="00D80973">
        <w:t xml:space="preserve"> krajů činily </w:t>
      </w:r>
      <w:r w:rsidRPr="00D80973">
        <w:rPr>
          <w:b/>
        </w:rPr>
        <w:t>229,5</w:t>
      </w:r>
      <w:r w:rsidRPr="00D80973">
        <w:rPr>
          <w:b/>
          <w:bCs/>
        </w:rPr>
        <w:t xml:space="preserve"> mld. Kč</w:t>
      </w:r>
      <w:r w:rsidRPr="00D80973">
        <w:t xml:space="preserve">, což znamená meziroční </w:t>
      </w:r>
      <w:r w:rsidRPr="00787049">
        <w:rPr>
          <w:b/>
          <w:bCs/>
        </w:rPr>
        <w:t>zvýšení o 14,5 %</w:t>
      </w:r>
      <w:r w:rsidRPr="00D80973">
        <w:t>, respektive o</w:t>
      </w:r>
      <w:r>
        <w:t xml:space="preserve"> </w:t>
      </w:r>
      <w:r w:rsidRPr="00D80973">
        <w:t xml:space="preserve">29,1 mld. Kč. </w:t>
      </w:r>
      <w:r w:rsidRPr="00030317">
        <w:t>Nárůst se promítl především v </w:t>
      </w:r>
      <w:r w:rsidRPr="00787049">
        <w:rPr>
          <w:b/>
          <w:bCs/>
        </w:rPr>
        <w:t>části transferů</w:t>
      </w:r>
      <w:r w:rsidRPr="00030317">
        <w:t xml:space="preserve"> poskytovaných z rozpočtů krajů</w:t>
      </w:r>
      <w:r>
        <w:t xml:space="preserve"> a v části </w:t>
      </w:r>
      <w:r w:rsidRPr="00787049">
        <w:rPr>
          <w:b/>
          <w:bCs/>
        </w:rPr>
        <w:t>výdajů na dopravní obslužnost</w:t>
      </w:r>
      <w:r w:rsidRPr="00030317">
        <w:t>.</w:t>
      </w:r>
    </w:p>
    <w:p w:rsidR="0009461F" w:rsidRPr="00FD4A3F" w:rsidRDefault="0009461F" w:rsidP="0009461F">
      <w:pPr>
        <w:pStyle w:val="Nzev"/>
      </w:pPr>
      <w:bookmarkStart w:id="55" w:name="_Toc66700391"/>
      <w:bookmarkStart w:id="56" w:name="_Toc66717151"/>
      <w:r w:rsidRPr="00F20F68">
        <w:t xml:space="preserve">Tabulka č. </w:t>
      </w:r>
      <w:fldSimple w:instr=" SEQ Tabulka_č. \* ARABIC ">
        <w:r w:rsidR="00BB758E">
          <w:rPr>
            <w:noProof/>
          </w:rPr>
          <w:t>12</w:t>
        </w:r>
      </w:fldSimple>
      <w:r w:rsidR="00A20611">
        <w:rPr>
          <w:noProof/>
        </w:rPr>
        <w:t>:</w:t>
      </w:r>
      <w:r w:rsidRPr="00F20F68">
        <w:t xml:space="preserve"> Výdaje krajů v letech 2017</w:t>
      </w:r>
      <w:r>
        <w:t xml:space="preserve"> </w:t>
      </w:r>
      <w:r w:rsidRPr="00F20F68">
        <w:t>-</w:t>
      </w:r>
      <w:r>
        <w:t xml:space="preserve"> </w:t>
      </w:r>
      <w:r w:rsidRPr="00F20F68">
        <w:t>2020 po konsolidaci (mil. Kč)</w:t>
      </w:r>
      <w:bookmarkEnd w:id="55"/>
      <w:bookmarkEnd w:id="56"/>
    </w:p>
    <w:p w:rsidR="00BB758E" w:rsidRDefault="00BB758E" w:rsidP="00BB758E">
      <w:pPr>
        <w:pStyle w:val="Tabgraf"/>
      </w:pPr>
      <w:r w:rsidRPr="00BB758E">
        <w:rPr>
          <w:noProof/>
          <w:lang w:eastAsia="cs-CZ"/>
        </w:rPr>
        <w:drawing>
          <wp:inline distT="0" distB="0" distL="0" distR="0" wp14:anchorId="40839FA3" wp14:editId="0F1624DA">
            <wp:extent cx="6120130" cy="3550352"/>
            <wp:effectExtent l="0" t="0" r="0" b="0"/>
            <wp:docPr id="320" name="Obrázek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3550352"/>
                    </a:xfrm>
                    <a:prstGeom prst="rect">
                      <a:avLst/>
                    </a:prstGeom>
                    <a:noFill/>
                    <a:ln>
                      <a:noFill/>
                    </a:ln>
                  </pic:spPr>
                </pic:pic>
              </a:graphicData>
            </a:graphic>
          </wp:inline>
        </w:drawing>
      </w:r>
    </w:p>
    <w:p w:rsidR="0009461F" w:rsidRPr="004A45F3" w:rsidRDefault="0009461F" w:rsidP="0009461F">
      <w:pPr>
        <w:rPr>
          <w:highlight w:val="yellow"/>
        </w:rPr>
      </w:pPr>
      <w:r w:rsidRPr="00F26E46">
        <w:t xml:space="preserve">V objemově nejvýznamnější části, kterou tvoří </w:t>
      </w:r>
      <w:r w:rsidRPr="009C2CB5">
        <w:rPr>
          <w:b/>
          <w:bCs/>
        </w:rPr>
        <w:t xml:space="preserve">neinvestiční transfery </w:t>
      </w:r>
      <w:r>
        <w:rPr>
          <w:b/>
          <w:bCs/>
        </w:rPr>
        <w:t xml:space="preserve">zejména </w:t>
      </w:r>
      <w:r w:rsidRPr="009C2CB5">
        <w:rPr>
          <w:b/>
          <w:bCs/>
        </w:rPr>
        <w:t>příspěvkovým</w:t>
      </w:r>
      <w:r w:rsidRPr="00F26E46">
        <w:t xml:space="preserve"> </w:t>
      </w:r>
      <w:r w:rsidRPr="009C2CB5">
        <w:rPr>
          <w:b/>
          <w:bCs/>
        </w:rPr>
        <w:t>organizacím</w:t>
      </w:r>
      <w:r w:rsidRPr="00F26E46">
        <w:t xml:space="preserve">, dosáhly výdaje </w:t>
      </w:r>
      <w:r w:rsidRPr="009C2CB5">
        <w:rPr>
          <w:b/>
          <w:bCs/>
        </w:rPr>
        <w:t>174,9 mld. Kč</w:t>
      </w:r>
      <w:r w:rsidRPr="00F26E46">
        <w:t xml:space="preserve">, </w:t>
      </w:r>
      <w:r>
        <w:t xml:space="preserve">to </w:t>
      </w:r>
      <w:r w:rsidRPr="009C2CB5">
        <w:rPr>
          <w:b/>
          <w:bCs/>
        </w:rPr>
        <w:t>znamená nárůst o 15,1 %</w:t>
      </w:r>
      <w:r w:rsidRPr="00F26E46">
        <w:t xml:space="preserve">, respektive o 23,0 mld. Kč více nežli v předchozím roce (dosud nejvyšší meziroční nárůst </w:t>
      </w:r>
      <w:r>
        <w:t>peněžních</w:t>
      </w:r>
      <w:r w:rsidRPr="00F26E46">
        <w:t xml:space="preserve"> prostředků určených pro tyto organizace). </w:t>
      </w:r>
      <w:r>
        <w:rPr>
          <w:bCs/>
        </w:rPr>
        <w:t>Tento růst souvisel především s navýšením dotace na přímé náklady na vzdělávání ze státního rozpočtu a</w:t>
      </w:r>
      <w:r w:rsidR="00F426CD">
        <w:rPr>
          <w:bCs/>
        </w:rPr>
        <w:t> </w:t>
      </w:r>
      <w:r>
        <w:rPr>
          <w:bCs/>
        </w:rPr>
        <w:t>s růstem příspěvku na provoz zřízeným příspěvkovým organizacím.</w:t>
      </w:r>
    </w:p>
    <w:p w:rsidR="0009461F" w:rsidRPr="004A45F3" w:rsidRDefault="0009461F" w:rsidP="0009461F">
      <w:pPr>
        <w:rPr>
          <w:highlight w:val="yellow"/>
        </w:rPr>
      </w:pPr>
      <w:r w:rsidRPr="008C3DB6">
        <w:t xml:space="preserve">Neinvestiční transfery </w:t>
      </w:r>
      <w:r w:rsidRPr="008C3DB6">
        <w:rPr>
          <w:b/>
        </w:rPr>
        <w:t>neziskovým a podobným organizacím</w:t>
      </w:r>
      <w:r w:rsidRPr="008C3DB6">
        <w:t xml:space="preserve"> </w:t>
      </w:r>
      <w:r w:rsidRPr="009C2CB5">
        <w:rPr>
          <w:b/>
          <w:bCs/>
        </w:rPr>
        <w:t>dosáhly 10,5 mld. Kč</w:t>
      </w:r>
      <w:r w:rsidRPr="008C3DB6">
        <w:t>, tj.</w:t>
      </w:r>
      <w:r>
        <w:t xml:space="preserve"> </w:t>
      </w:r>
      <w:r w:rsidRPr="009C2CB5">
        <w:rPr>
          <w:b/>
          <w:bCs/>
        </w:rPr>
        <w:t>růst o 7,8 %</w:t>
      </w:r>
      <w:r w:rsidRPr="00FC6402">
        <w:t>,</w:t>
      </w:r>
      <w:r w:rsidRPr="008C3DB6">
        <w:t xml:space="preserve"> respektive o 0,8 mld. Kč </w:t>
      </w:r>
      <w:r>
        <w:t>oproti předchozímu roku</w:t>
      </w:r>
      <w:r w:rsidRPr="008C3DB6">
        <w:t xml:space="preserve">. </w:t>
      </w:r>
    </w:p>
    <w:p w:rsidR="0009461F" w:rsidRPr="004A45F3" w:rsidRDefault="0009461F" w:rsidP="0009461F">
      <w:pPr>
        <w:rPr>
          <w:highlight w:val="yellow"/>
        </w:rPr>
      </w:pPr>
      <w:r w:rsidRPr="00B577C1">
        <w:t xml:space="preserve">Objem transferů určených </w:t>
      </w:r>
      <w:r w:rsidRPr="00B577C1">
        <w:rPr>
          <w:b/>
        </w:rPr>
        <w:t>podnikatelským subjektům</w:t>
      </w:r>
      <w:r w:rsidRPr="00B577C1">
        <w:t xml:space="preserve"> </w:t>
      </w:r>
      <w:r w:rsidRPr="009C2CB5">
        <w:rPr>
          <w:b/>
          <w:bCs/>
        </w:rPr>
        <w:t>činil 6,8 mld. Kč</w:t>
      </w:r>
      <w:r>
        <w:t xml:space="preserve"> a zaznamenal </w:t>
      </w:r>
      <w:r w:rsidRPr="009C2CB5">
        <w:rPr>
          <w:b/>
          <w:bCs/>
        </w:rPr>
        <w:t>růst o 20,7 %</w:t>
      </w:r>
      <w:r>
        <w:t>, tedy o </w:t>
      </w:r>
      <w:r w:rsidRPr="00B577C1">
        <w:t xml:space="preserve">1,2 mld. Kč. </w:t>
      </w:r>
      <w:r w:rsidRPr="00D2790E">
        <w:t>Jedná se především o podnikatelské subjekty působící v oblasti vzdělávání a školských služeb, kterým kraje poskytly celkem 4,4 mld. Kč (meziročně o 0,7 mld. Kč více)</w:t>
      </w:r>
      <w:r>
        <w:t>,</w:t>
      </w:r>
      <w:r w:rsidRPr="00D2790E">
        <w:t xml:space="preserve"> a v oblasti zdravotnictví, kterým kraje převedly 1,0 mld. Kč (meziročně o 0,2 mld. Kč více).</w:t>
      </w:r>
      <w:r>
        <w:t xml:space="preserve"> Příčinou byl především růst přijaté dotace ze státního rozpočtu pro soukromé školy.</w:t>
      </w:r>
    </w:p>
    <w:p w:rsidR="0009461F" w:rsidRPr="0083652C" w:rsidRDefault="0009461F" w:rsidP="0009461F">
      <w:r w:rsidRPr="001C636D">
        <w:lastRenderedPageBreak/>
        <w:t xml:space="preserve">Neinvestiční transfery poskytovaly kraje ze svých rozpočtů také přímo </w:t>
      </w:r>
      <w:r w:rsidRPr="001C636D">
        <w:rPr>
          <w:b/>
        </w:rPr>
        <w:t>ostatním územním rozpočtům</w:t>
      </w:r>
      <w:r w:rsidRPr="001C636D">
        <w:t xml:space="preserve">. Jejich </w:t>
      </w:r>
      <w:r w:rsidRPr="009C2CB5">
        <w:rPr>
          <w:b/>
          <w:bCs/>
        </w:rPr>
        <w:t>celková výše dosáhla 5,7 mld. Kč</w:t>
      </w:r>
      <w:r w:rsidRPr="001C636D">
        <w:t xml:space="preserve">, což bylo </w:t>
      </w:r>
      <w:r w:rsidRPr="009C2CB5">
        <w:rPr>
          <w:b/>
          <w:bCs/>
        </w:rPr>
        <w:t>meziročně o 10,7 % více</w:t>
      </w:r>
      <w:r w:rsidRPr="001C636D">
        <w:t>.</w:t>
      </w:r>
      <w:r w:rsidRPr="001C636D">
        <w:rPr>
          <w:i/>
        </w:rPr>
        <w:t xml:space="preserve"> </w:t>
      </w:r>
      <w:r w:rsidRPr="001C636D">
        <w:t>Jsou to především dotace obcím a DSO poskytované v rámci vlastních programů jednotlivých krajů (například programy zaměřené na podporu aktivit v oblasti životního prostředí, na podporu prevence sociálně patologických jev</w:t>
      </w:r>
      <w:r>
        <w:t>ů, podporu v sociální oblasti a </w:t>
      </w:r>
      <w:r w:rsidRPr="001C636D">
        <w:t xml:space="preserve">zdravotnictví, podporu v oblasti kultury, sportu a tělovýchovy, na obnovu kulturních památek, příspěvky </w:t>
      </w:r>
      <w:r>
        <w:t>s</w:t>
      </w:r>
      <w:r w:rsidRPr="001C636D">
        <w:t>borům dobrovolných hasičů</w:t>
      </w:r>
      <w:r w:rsidRPr="00E308C0">
        <w:t>). Největší část dotací směřovala obdobně jako v předchozích letech do programů v oblasti sociálních služeb, celkem 4,2 mld. Kč (meziročn</w:t>
      </w:r>
      <w:r>
        <w:t>í růst</w:t>
      </w:r>
      <w:r w:rsidRPr="00E308C0">
        <w:t xml:space="preserve"> o 10,9 %)</w:t>
      </w:r>
      <w:r>
        <w:t>.</w:t>
      </w:r>
    </w:p>
    <w:p w:rsidR="0009461F" w:rsidRPr="00AB25F6" w:rsidRDefault="0009461F" w:rsidP="0009461F">
      <w:r w:rsidRPr="00AB25F6">
        <w:t xml:space="preserve">Výdaje krajů </w:t>
      </w:r>
      <w:r>
        <w:t xml:space="preserve">na </w:t>
      </w:r>
      <w:r w:rsidRPr="00AB25F6">
        <w:rPr>
          <w:b/>
        </w:rPr>
        <w:t>dopravní obslužnost</w:t>
      </w:r>
      <w:r w:rsidRPr="00AB25F6">
        <w:t xml:space="preserve"> byly vykázány ve </w:t>
      </w:r>
      <w:r w:rsidRPr="00660F05">
        <w:rPr>
          <w:b/>
          <w:bCs/>
        </w:rPr>
        <w:t>výši 18,8 mld. Kč</w:t>
      </w:r>
      <w:r w:rsidRPr="00AB25F6">
        <w:rPr>
          <w:rStyle w:val="Znakapoznpodarou"/>
        </w:rPr>
        <w:footnoteReference w:id="5"/>
      </w:r>
      <w:r w:rsidRPr="00AB25F6">
        <w:t xml:space="preserve">, meziročně </w:t>
      </w:r>
      <w:r w:rsidRPr="00660F05">
        <w:rPr>
          <w:b/>
          <w:bCs/>
        </w:rPr>
        <w:t>vzrostly o 22,2 %</w:t>
      </w:r>
      <w:r>
        <w:t>, tj. </w:t>
      </w:r>
      <w:r w:rsidRPr="00AB25F6">
        <w:t>o</w:t>
      </w:r>
      <w:r>
        <w:t> 3,4 </w:t>
      </w:r>
      <w:r w:rsidRPr="00AB25F6">
        <w:t>mld. Kč. Tyto výdaje představují finanční kompenzaci dopravcům podle smluv o veřejných službách v</w:t>
      </w:r>
      <w:r>
        <w:t> </w:t>
      </w:r>
      <w:r w:rsidRPr="00AB25F6">
        <w:t>přepravě cestujících uzavíraných podle zákona č. 194/2010 Sb.</w:t>
      </w:r>
      <w:r>
        <w:rPr>
          <w:rStyle w:val="Znakapoznpodarou"/>
        </w:rPr>
        <w:footnoteReference w:id="6"/>
      </w:r>
    </w:p>
    <w:p w:rsidR="0009461F" w:rsidRPr="004A45F3" w:rsidRDefault="0009461F" w:rsidP="0009461F">
      <w:pPr>
        <w:rPr>
          <w:highlight w:val="yellow"/>
        </w:rPr>
      </w:pPr>
      <w:r w:rsidRPr="00AA3A12">
        <w:t xml:space="preserve">Ve výdajích, které mají úzkou souvislost se zajišťováním </w:t>
      </w:r>
      <w:r w:rsidRPr="00660F05">
        <w:rPr>
          <w:b/>
          <w:bCs/>
        </w:rPr>
        <w:t>běžného provozu krajů</w:t>
      </w:r>
      <w:r w:rsidRPr="00AA3A12">
        <w:t xml:space="preserve">, byl </w:t>
      </w:r>
      <w:r w:rsidRPr="00660F05">
        <w:rPr>
          <w:b/>
          <w:bCs/>
        </w:rPr>
        <w:t>významný nárůst</w:t>
      </w:r>
      <w:r w:rsidRPr="00AA3A12">
        <w:t xml:space="preserve"> vykázán pouze na </w:t>
      </w:r>
      <w:r>
        <w:t>seskupení</w:t>
      </w:r>
      <w:r w:rsidRPr="00AA3A12">
        <w:t xml:space="preserve"> </w:t>
      </w:r>
      <w:r w:rsidRPr="00660F05">
        <w:rPr>
          <w:b/>
          <w:bCs/>
        </w:rPr>
        <w:t>nákup materiálu o 85,8 %</w:t>
      </w:r>
      <w:r w:rsidRPr="00AA3A12">
        <w:t>, tj. o 0,4 mld. Kč</w:t>
      </w:r>
      <w:r>
        <w:t>, a to v souvislosti s </w:t>
      </w:r>
      <w:r w:rsidRPr="00302FCA">
        <w:rPr>
          <w:b/>
          <w:bCs/>
        </w:rPr>
        <w:t xml:space="preserve">nákupem ochranných </w:t>
      </w:r>
      <w:r w:rsidRPr="00314B30">
        <w:rPr>
          <w:bCs/>
        </w:rPr>
        <w:t>pomůcek</w:t>
      </w:r>
      <w:r>
        <w:rPr>
          <w:bCs/>
        </w:rPr>
        <w:t xml:space="preserve">, který se zvýšil </w:t>
      </w:r>
      <w:r w:rsidRPr="00314B30">
        <w:rPr>
          <w:bCs/>
        </w:rPr>
        <w:t>o</w:t>
      </w:r>
      <w:r>
        <w:rPr>
          <w:bCs/>
        </w:rPr>
        <w:t xml:space="preserve"> </w:t>
      </w:r>
      <w:r>
        <w:rPr>
          <w:b/>
          <w:bCs/>
        </w:rPr>
        <w:t xml:space="preserve">269,0 %, </w:t>
      </w:r>
      <w:r w:rsidRPr="00314B30">
        <w:rPr>
          <w:bCs/>
        </w:rPr>
        <w:t>respektive o 3,1 mil. Kč</w:t>
      </w:r>
      <w:r>
        <w:rPr>
          <w:bCs/>
        </w:rPr>
        <w:t xml:space="preserve"> a</w:t>
      </w:r>
      <w:r w:rsidRPr="00302FCA">
        <w:rPr>
          <w:b/>
          <w:bCs/>
        </w:rPr>
        <w:t xml:space="preserve"> léků a zdravotnického materiálu</w:t>
      </w:r>
      <w:r>
        <w:rPr>
          <w:b/>
          <w:bCs/>
        </w:rPr>
        <w:t xml:space="preserve">, </w:t>
      </w:r>
      <w:r w:rsidRPr="00314B30">
        <w:rPr>
          <w:bCs/>
        </w:rPr>
        <w:t>kde došlo k</w:t>
      </w:r>
      <w:r>
        <w:rPr>
          <w:b/>
          <w:bCs/>
        </w:rPr>
        <w:t xml:space="preserve"> růstu </w:t>
      </w:r>
      <w:r>
        <w:rPr>
          <w:bCs/>
        </w:rPr>
        <w:t xml:space="preserve">o </w:t>
      </w:r>
      <w:r>
        <w:rPr>
          <w:b/>
          <w:bCs/>
        </w:rPr>
        <w:t>15</w:t>
      </w:r>
      <w:r w:rsidR="00F426CD">
        <w:rPr>
          <w:b/>
          <w:bCs/>
        </w:rPr>
        <w:t xml:space="preserve"> </w:t>
      </w:r>
      <w:r>
        <w:rPr>
          <w:b/>
          <w:bCs/>
        </w:rPr>
        <w:t xml:space="preserve">651,3 %, </w:t>
      </w:r>
      <w:r w:rsidRPr="00CC42AD">
        <w:rPr>
          <w:bCs/>
        </w:rPr>
        <w:t>respektive o 15,7 mil. Kč)</w:t>
      </w:r>
      <w:r w:rsidRPr="00AA3A12">
        <w:t>. Výdaje na nákup služeb</w:t>
      </w:r>
      <w:r>
        <w:t xml:space="preserve"> (o 0,9 </w:t>
      </w:r>
      <w:r w:rsidRPr="00AA3A12">
        <w:t>% méně) a na nákup vody, paliv a energií (o 5,3 % méně) zůstaly zhruba na úrovni předchozího roku</w:t>
      </w:r>
      <w:r w:rsidRPr="00624771">
        <w:t xml:space="preserve">. Výrazný pokles byl naopak vykázán v části výdajů na úroky, které dosáhly 0,2 mld. Kč, tj. </w:t>
      </w:r>
      <w:r>
        <w:t xml:space="preserve">pokles </w:t>
      </w:r>
      <w:r w:rsidRPr="00624771">
        <w:t xml:space="preserve">o 35,5 %. </w:t>
      </w:r>
    </w:p>
    <w:p w:rsidR="0009461F" w:rsidRPr="004A45F3" w:rsidRDefault="0009461F" w:rsidP="0009461F">
      <w:pPr>
        <w:rPr>
          <w:highlight w:val="yellow"/>
        </w:rPr>
      </w:pPr>
      <w:r w:rsidRPr="007D7264">
        <w:rPr>
          <w:b/>
        </w:rPr>
        <w:t>Kapitálové výdaje</w:t>
      </w:r>
      <w:r w:rsidRPr="007D7264">
        <w:t xml:space="preserve"> činily </w:t>
      </w:r>
      <w:r w:rsidRPr="007D7264">
        <w:rPr>
          <w:b/>
        </w:rPr>
        <w:t>37,9 mld. Kč</w:t>
      </w:r>
      <w:r w:rsidRPr="007D7264">
        <w:t xml:space="preserve">, meziročně </w:t>
      </w:r>
      <w:r w:rsidRPr="007D7264">
        <w:rPr>
          <w:b/>
        </w:rPr>
        <w:t>vzrostly o 17,3 %, respektive o 5,6 mld. Kč</w:t>
      </w:r>
      <w:r w:rsidRPr="00AD4606">
        <w:rPr>
          <w:b/>
        </w:rPr>
        <w:t>.</w:t>
      </w:r>
      <w:r w:rsidRPr="00AD4606">
        <w:t xml:space="preserve"> Kapitálové výdaje rostou již čtvrtým rokem po sobě (po propadu investic, ke kterému došlo v roce 2016, kdy meziročně klesly o 12,5 mld. Kč a činily pouze 14,5 mld. Kč). </w:t>
      </w:r>
    </w:p>
    <w:p w:rsidR="0009461F" w:rsidRPr="004A45F3" w:rsidRDefault="0009461F" w:rsidP="0009461F">
      <w:pPr>
        <w:rPr>
          <w:highlight w:val="yellow"/>
        </w:rPr>
      </w:pPr>
      <w:r>
        <w:rPr>
          <w:b/>
          <w:bCs/>
        </w:rPr>
        <w:t>V</w:t>
      </w:r>
      <w:r w:rsidRPr="00302FCA">
        <w:rPr>
          <w:b/>
          <w:bCs/>
        </w:rPr>
        <w:t>ýdaje na pořízení dlouhodobého</w:t>
      </w:r>
      <w:r>
        <w:rPr>
          <w:b/>
          <w:bCs/>
        </w:rPr>
        <w:t xml:space="preserve"> nehmotného a hmotného</w:t>
      </w:r>
      <w:r w:rsidRPr="00302FCA">
        <w:rPr>
          <w:b/>
          <w:bCs/>
        </w:rPr>
        <w:t xml:space="preserve"> majetku</w:t>
      </w:r>
      <w:r w:rsidRPr="00004B5F">
        <w:t xml:space="preserve"> dosáhly 18,2 mld. Kč a proti srovnatelnému období </w:t>
      </w:r>
      <w:r w:rsidRPr="00302FCA">
        <w:rPr>
          <w:b/>
          <w:bCs/>
        </w:rPr>
        <w:t>vzrostly o 31,3 %</w:t>
      </w:r>
      <w:r w:rsidRPr="00004B5F">
        <w:t xml:space="preserve">, tj. o 4,3 mld. Kč. </w:t>
      </w:r>
      <w:r>
        <w:t>O</w:t>
      </w:r>
      <w:r w:rsidRPr="00004B5F">
        <w:t>statní položky zůstaly na podobné úrovni jako v</w:t>
      </w:r>
      <w:r>
        <w:t> roce 2019. Výjimkou jsou výdaje</w:t>
      </w:r>
      <w:r w:rsidRPr="00004B5F">
        <w:t xml:space="preserve"> na nákup akcií a majetkových podílů, kde došlo meziročně k poklesu </w:t>
      </w:r>
      <w:r>
        <w:br/>
      </w:r>
      <w:r w:rsidRPr="00004B5F">
        <w:t>o 27,7 %</w:t>
      </w:r>
      <w:r>
        <w:t>, tedy o 0,2 mld. Kč</w:t>
      </w:r>
      <w:r w:rsidRPr="00004B5F">
        <w:t xml:space="preserve">. </w:t>
      </w:r>
      <w:r w:rsidRPr="00AA15D3">
        <w:t>Na nákup akcií a majetkových podílů vynaložily kraje 0,6 mld.</w:t>
      </w:r>
      <w:r w:rsidR="00F426CD">
        <w:t xml:space="preserve"> Kč.</w:t>
      </w:r>
    </w:p>
    <w:p w:rsidR="0009461F" w:rsidRPr="004A45F3" w:rsidRDefault="0009461F" w:rsidP="0009461F">
      <w:pPr>
        <w:rPr>
          <w:highlight w:val="yellow"/>
        </w:rPr>
      </w:pPr>
      <w:r w:rsidRPr="00302FCA">
        <w:rPr>
          <w:b/>
          <w:bCs/>
        </w:rPr>
        <w:t>Investiční transfery nepodnikajícím fyzickým osobám dosáhly 2,1 mld. Kč</w:t>
      </w:r>
      <w:r w:rsidRPr="00F57DBE">
        <w:t>, což znamená meziroční růst</w:t>
      </w:r>
      <w:r>
        <w:t xml:space="preserve"> o </w:t>
      </w:r>
      <w:r w:rsidRPr="00F57DBE">
        <w:t>40,3 %, respektive</w:t>
      </w:r>
      <w:r>
        <w:t xml:space="preserve"> </w:t>
      </w:r>
      <w:r w:rsidRPr="00F57DBE">
        <w:t>o 0,6 mld. Kč. Jedná se o dotace na výměnu kotlů v</w:t>
      </w:r>
      <w:r>
        <w:t> </w:t>
      </w:r>
      <w:r w:rsidRPr="00F57DBE">
        <w:t>domácnostech</w:t>
      </w:r>
      <w:r>
        <w:t>, a to v návaznosti na přijaté investiční transfery z kapitoly Ministerstvo životního prostředí</w:t>
      </w:r>
      <w:r w:rsidRPr="00F57DBE">
        <w:t>. Program výměny kotlů byl zahájen v</w:t>
      </w:r>
      <w:r>
        <w:t> </w:t>
      </w:r>
      <w:r w:rsidRPr="00F57DBE">
        <w:t>roce 2016, v tomto roce vzrostl objem transferů nepodnikajícím fyzickým osobám na 1,3 mld. Kč a</w:t>
      </w:r>
      <w:r>
        <w:t> </w:t>
      </w:r>
      <w:r w:rsidRPr="00F57DBE">
        <w:t xml:space="preserve">v následujícím roce 2017 se zvýšil na 1,6 mld. Kč a nejvyšší hodnoty dosáhl v roce 2018, kdy činil </w:t>
      </w:r>
      <w:r>
        <w:br/>
      </w:r>
      <w:r w:rsidRPr="00F57DBE">
        <w:t>2,2 mld. Kč.</w:t>
      </w:r>
    </w:p>
    <w:p w:rsidR="0009461F" w:rsidRPr="004A45F3" w:rsidRDefault="0009461F" w:rsidP="0009461F">
      <w:pPr>
        <w:rPr>
          <w:highlight w:val="yellow"/>
        </w:rPr>
      </w:pPr>
      <w:r w:rsidRPr="001B61E3">
        <w:t xml:space="preserve">Objem </w:t>
      </w:r>
      <w:r w:rsidRPr="00302FCA">
        <w:rPr>
          <w:b/>
          <w:bCs/>
        </w:rPr>
        <w:t>investičních transferů</w:t>
      </w:r>
      <w:r w:rsidRPr="001B61E3">
        <w:t xml:space="preserve">, které kraje ze svých rozpočtů </w:t>
      </w:r>
      <w:r w:rsidRPr="00302FCA">
        <w:rPr>
          <w:b/>
          <w:bCs/>
        </w:rPr>
        <w:t>poskytují obcím a DSO</w:t>
      </w:r>
      <w:r w:rsidRPr="001B61E3">
        <w:t xml:space="preserve">, zůstal zhruba na úrovni předchozího roku, </w:t>
      </w:r>
      <w:r w:rsidRPr="00302FCA">
        <w:rPr>
          <w:b/>
          <w:bCs/>
        </w:rPr>
        <w:t>činil 2,1 mld. Kč</w:t>
      </w:r>
      <w:r w:rsidRPr="00AA15D3">
        <w:t xml:space="preserve">. Jedná se o prostředky určené především </w:t>
      </w:r>
      <w:r w:rsidRPr="00302FCA">
        <w:rPr>
          <w:b/>
          <w:bCs/>
        </w:rPr>
        <w:t>na výstavbu a obnovu vodohospodářské infrastruktury</w:t>
      </w:r>
      <w:r w:rsidRPr="00AA15D3">
        <w:t>, komunální služby, na záležitosti pozemních komunikací a na požární ochranu.</w:t>
      </w:r>
    </w:p>
    <w:p w:rsidR="0009461F" w:rsidRPr="004A45F3" w:rsidRDefault="0009461F" w:rsidP="0009461F">
      <w:pPr>
        <w:rPr>
          <w:highlight w:val="yellow"/>
        </w:rPr>
      </w:pPr>
      <w:r w:rsidRPr="00802F06">
        <w:t xml:space="preserve">Z hlediska </w:t>
      </w:r>
      <w:r w:rsidRPr="00302FCA">
        <w:rPr>
          <w:b/>
          <w:bCs/>
        </w:rPr>
        <w:t>odvětvového členění</w:t>
      </w:r>
      <w:r w:rsidRPr="00802F06">
        <w:t xml:space="preserve"> kapitálových výdajů </w:t>
      </w:r>
      <w:r w:rsidRPr="00302FCA">
        <w:rPr>
          <w:b/>
          <w:bCs/>
        </w:rPr>
        <w:t>vynakládají kraje</w:t>
      </w:r>
      <w:r w:rsidRPr="00802F06">
        <w:t xml:space="preserve"> dlouhodobě </w:t>
      </w:r>
      <w:r w:rsidRPr="00302FCA">
        <w:rPr>
          <w:b/>
          <w:bCs/>
        </w:rPr>
        <w:t>největší objem prostředků do oblastí dopravy, zdravotnictví a vzdělávání a školských služeb</w:t>
      </w:r>
      <w:r w:rsidRPr="00802F06">
        <w:t xml:space="preserve">. V roce 2020 vzrostly </w:t>
      </w:r>
      <w:r>
        <w:t xml:space="preserve">nejvýznamněji </w:t>
      </w:r>
      <w:r w:rsidRPr="00302FCA">
        <w:rPr>
          <w:b/>
          <w:bCs/>
        </w:rPr>
        <w:t>výdaje do oblasti dopravy</w:t>
      </w:r>
      <w:r w:rsidRPr="00802F06">
        <w:t xml:space="preserve">, dosáhly 18,7 mld. Kč, </w:t>
      </w:r>
      <w:r w:rsidRPr="00302FCA">
        <w:rPr>
          <w:b/>
          <w:bCs/>
        </w:rPr>
        <w:t>což bylo o 40,1 %, tj. o 5,3 mld. Kč více</w:t>
      </w:r>
      <w:r w:rsidRPr="009C1C7E">
        <w:t xml:space="preserve">. V odvětví zdravotnictví došlo meziročně k růstu </w:t>
      </w:r>
      <w:r>
        <w:t>o 0,1 mld. Kč a dále v odvětví kultura, církve a sdělovací prostředky došlo k růstu o 80,3 %, tj. o 1,1 mld. Kč.</w:t>
      </w:r>
      <w:r w:rsidRPr="009C1C7E">
        <w:t xml:space="preserve"> </w:t>
      </w:r>
      <w:r>
        <w:t xml:space="preserve">Výraznější zvýšení bylo zaznamenáno také v oblasti ochrany životního prostředí, kde došlo meziročně k růstu o 36,3 %, tedy o 0,6 mld. Kč. </w:t>
      </w:r>
      <w:r w:rsidRPr="00AF01A4">
        <w:t>Naopak k poklesu došlo ve výdajích směrovaných do oblasti vzdělávání a školských služeb</w:t>
      </w:r>
      <w:r>
        <w:t>, které</w:t>
      </w:r>
      <w:r w:rsidRPr="00AF01A4">
        <w:t xml:space="preserve"> činily 4,4 mld. Kč, </w:t>
      </w:r>
      <w:r>
        <w:t xml:space="preserve">což znamenalo meziroční pokles </w:t>
      </w:r>
      <w:r w:rsidRPr="00AF01A4">
        <w:t>o 24,3 %</w:t>
      </w:r>
      <w:r>
        <w:t xml:space="preserve"> (</w:t>
      </w:r>
      <w:r w:rsidRPr="00AF01A4">
        <w:t>o 1,4</w:t>
      </w:r>
      <w:r>
        <w:t xml:space="preserve"> mld. Kč). </w:t>
      </w:r>
    </w:p>
    <w:p w:rsidR="0009461F" w:rsidRPr="00503392" w:rsidRDefault="0009461F" w:rsidP="0009461F">
      <w:r w:rsidRPr="00503392">
        <w:rPr>
          <w:b/>
        </w:rPr>
        <w:lastRenderedPageBreak/>
        <w:t>Hospodaření krajů skončilo se schodkem ve výši 5,0 mld. Kč</w:t>
      </w:r>
      <w:r w:rsidRPr="00503392">
        <w:t xml:space="preserve">, v předchozím roce činil přebytek 5,8 mld. Kč. Kladné saldo vykázaly čtyři kraje (Jihočeský kraj – 1,3 mil. Kč; Liberecký kraj – 11,4 mil. Kč; Kraj Vysočina – 236,9 mil. Kč a Zlínský kraj – 535,6 mil. Kč). </w:t>
      </w:r>
    </w:p>
    <w:p w:rsidR="0009461F" w:rsidRPr="00096CFE" w:rsidRDefault="0009461F" w:rsidP="0009461F">
      <w:r w:rsidRPr="00F013A7">
        <w:t xml:space="preserve">Z výkazů vyplývá, že </w:t>
      </w:r>
      <w:r>
        <w:t xml:space="preserve">v případě </w:t>
      </w:r>
      <w:r w:rsidRPr="00F013A7">
        <w:t>kraj</w:t>
      </w:r>
      <w:r>
        <w:t>ů včetně zřízených příspěvkových organizací došlo k růstu dluhu z</w:t>
      </w:r>
      <w:r w:rsidR="00F426CD">
        <w:t> </w:t>
      </w:r>
      <w:r>
        <w:t>přijatých dlouhodobých úvěrů a zápůjček o 2,2 mld. Kč</w:t>
      </w:r>
      <w:r w:rsidRPr="00F013A7">
        <w:t xml:space="preserve">. </w:t>
      </w:r>
      <w:r>
        <w:t>Dluh krajů včetně příspěvkových organizací vzrostl oproti předchozímu roku o 2,5 mld. Kč a činil 21,8 mld. Kč.</w:t>
      </w:r>
    </w:p>
    <w:p w:rsidR="0009461F" w:rsidRPr="00E91A19" w:rsidRDefault="0009461F" w:rsidP="0009461F">
      <w:r w:rsidRPr="00E91A19">
        <w:t xml:space="preserve">Na </w:t>
      </w:r>
      <w:r w:rsidRPr="00E91A19">
        <w:rPr>
          <w:b/>
        </w:rPr>
        <w:t>bankovních účtech</w:t>
      </w:r>
      <w:r w:rsidRPr="00E91A19">
        <w:t xml:space="preserve"> vykázaly kraje</w:t>
      </w:r>
      <w:r>
        <w:t xml:space="preserve"> </w:t>
      </w:r>
      <w:r w:rsidRPr="00E91A19">
        <w:t xml:space="preserve">včetně </w:t>
      </w:r>
      <w:r>
        <w:t xml:space="preserve">zřízených </w:t>
      </w:r>
      <w:r w:rsidRPr="00E91A19">
        <w:t>příspěvkových organizací</w:t>
      </w:r>
      <w:r>
        <w:t xml:space="preserve"> zůstatek</w:t>
      </w:r>
      <w:r w:rsidRPr="00E91A19">
        <w:t xml:space="preserve"> 54,1 mld. Kč, což znamená, že meziročně</w:t>
      </w:r>
      <w:r>
        <w:t xml:space="preserve"> zůstal</w:t>
      </w:r>
      <w:r w:rsidRPr="00E91A19">
        <w:t xml:space="preserve"> na podobné úrovni</w:t>
      </w:r>
      <w:r>
        <w:t>, dokonce zaznamenal nepatrný růst</w:t>
      </w:r>
      <w:r w:rsidRPr="00E91A19">
        <w:t xml:space="preserve">. Stav </w:t>
      </w:r>
      <w:r>
        <w:t>peněžních</w:t>
      </w:r>
      <w:r w:rsidRPr="00E91A19">
        <w:t xml:space="preserve"> prostředků na bankovních účtech ke konci roku 2020 byl zhruba dvojnásobně vyšší nežli v roce 2013.</w:t>
      </w:r>
    </w:p>
    <w:p w:rsidR="0009461F" w:rsidRPr="00306BCD" w:rsidRDefault="0009461F" w:rsidP="0009461F">
      <w:pPr>
        <w:keepNext/>
        <w:rPr>
          <w:b/>
        </w:rPr>
      </w:pPr>
      <w:r w:rsidRPr="00306BCD">
        <w:rPr>
          <w:b/>
        </w:rPr>
        <w:t>Příspěvkové organizace zřizované kraji</w:t>
      </w:r>
    </w:p>
    <w:p w:rsidR="0009461F" w:rsidRPr="00CE2746" w:rsidRDefault="0009461F" w:rsidP="0009461F">
      <w:pPr>
        <w:rPr>
          <w:highlight w:val="yellow"/>
        </w:rPr>
      </w:pPr>
      <w:r w:rsidRPr="00306BCD">
        <w:t xml:space="preserve">Ke konci roku 2020 vykonávalo činnost celkem </w:t>
      </w:r>
      <w:r w:rsidRPr="00306BCD">
        <w:rPr>
          <w:b/>
        </w:rPr>
        <w:t xml:space="preserve">1 843 </w:t>
      </w:r>
      <w:r w:rsidRPr="00306BCD">
        <w:rPr>
          <w:b/>
          <w:bCs/>
        </w:rPr>
        <w:t>příspěvkových organizací</w:t>
      </w:r>
      <w:r w:rsidRPr="00306BCD">
        <w:t>, jejichž zřizovatelem byly kraje. Počet příspěvkových organizací se meziročně snížil o 5 organizací. Trend meziročního poklesu počtu příspěvkových organizací je dlouhodobý, proti roku 2010, kdy bylo evidováno celkem 2 164 příspěvkových organizací, je jich nyní o 321</w:t>
      </w:r>
      <w:r>
        <w:t xml:space="preserve"> </w:t>
      </w:r>
      <w:r w:rsidRPr="00306BCD">
        <w:t>méně.</w:t>
      </w:r>
      <w:r w:rsidRPr="00306BCD">
        <w:rPr>
          <w:i/>
        </w:rPr>
        <w:t xml:space="preserve"> </w:t>
      </w:r>
      <w:r w:rsidRPr="00FF1AD2">
        <w:t>Z celkového počtu příspěvkových organizací jich 1 772 (tj. zhruba 96,2</w:t>
      </w:r>
      <w:r w:rsidR="00F426CD">
        <w:t> </w:t>
      </w:r>
      <w:r w:rsidRPr="00FF1AD2">
        <w:t>%) vykázalo účetní zisk nebo vyrovnan</w:t>
      </w:r>
      <w:r>
        <w:t>ý výsledek</w:t>
      </w:r>
      <w:r w:rsidRPr="00FF1AD2">
        <w:t xml:space="preserve"> hospodaření.</w:t>
      </w:r>
    </w:p>
    <w:p w:rsidR="0009461F" w:rsidRPr="00AE0A1F" w:rsidRDefault="0009461F" w:rsidP="0009461F">
      <w:r w:rsidRPr="00AE0A1F">
        <w:t xml:space="preserve">Příspěvkové organizace jsou zřizovány pro činnosti, které jsou zpravidla neziskové a jejichž rozsah, struktura a složitost vyžadují samostatnou právní subjektivitu. Tyto organizace hospodaří s </w:t>
      </w:r>
      <w:r>
        <w:t>peněžními</w:t>
      </w:r>
      <w:r w:rsidRPr="00AE0A1F">
        <w:t xml:space="preserve"> prostředky získanými vlastní činností a s</w:t>
      </w:r>
      <w:r>
        <w:t xml:space="preserve"> peněžními </w:t>
      </w:r>
      <w:r w:rsidRPr="00AE0A1F">
        <w:t>prostředky přijatými z rozpočtu svého zřizovatele</w:t>
      </w:r>
      <w:r>
        <w:t xml:space="preserve"> zejména prostřednictvím příspěvku na provoz</w:t>
      </w:r>
      <w:r w:rsidRPr="00AE0A1F">
        <w:t>, dále s prostředky svých fondů</w:t>
      </w:r>
      <w:r>
        <w:t xml:space="preserve"> a</w:t>
      </w:r>
      <w:r w:rsidRPr="00AE0A1F">
        <w:t xml:space="preserve"> s peněžitými dary od fyzických a právnických osob, včetně prostředků posk</w:t>
      </w:r>
      <w:r>
        <w:t>ytnutých ze státního rozpočtu a </w:t>
      </w:r>
      <w:r w:rsidRPr="00AE0A1F">
        <w:t>ze zahraničí.</w:t>
      </w:r>
    </w:p>
    <w:p w:rsidR="0009461F" w:rsidRDefault="0009461F" w:rsidP="0009461F">
      <w:pPr>
        <w:rPr>
          <w:iCs/>
        </w:rPr>
      </w:pPr>
      <w:r w:rsidRPr="00AE0A1F">
        <w:rPr>
          <w:iCs/>
        </w:rPr>
        <w:t>Z hlediska odvětvové struktury převažují organizace působící v oblasti vzdělávání, tvoří 66,1 % z celkového počtu příspěvkových organizací zřizovaných kraji (gymnázia, střední odborné školy, střední odborná učiliště, speciální střední školy, konzervatoře</w:t>
      </w:r>
      <w:r>
        <w:rPr>
          <w:iCs/>
        </w:rPr>
        <w:t>,</w:t>
      </w:r>
      <w:r w:rsidRPr="00AE0A1F">
        <w:rPr>
          <w:iCs/>
        </w:rPr>
        <w:t xml:space="preserve"> sportovní školy, speciální předškolní zařízení a speciální základní školy, základní umělecké školy, zařízení výchovného poradenství, ostatní zařízení s</w:t>
      </w:r>
      <w:r>
        <w:rPr>
          <w:iCs/>
        </w:rPr>
        <w:t>ouvisející s výchovou mládeže a </w:t>
      </w:r>
      <w:r w:rsidRPr="00AE0A1F">
        <w:rPr>
          <w:iCs/>
        </w:rPr>
        <w:t>domovy mládeže)</w:t>
      </w:r>
      <w:r w:rsidRPr="00FF5614">
        <w:rPr>
          <w:iCs/>
        </w:rPr>
        <w:t xml:space="preserve">. Významným odvětvím je dále oblast sociálních věcí, kde působilo 21,6 % z celkového počtu </w:t>
      </w:r>
      <w:r w:rsidRPr="00056A27">
        <w:rPr>
          <w:iCs/>
        </w:rPr>
        <w:t>organizací (domovy pro seniory, ústavy péče pro mládež, sociální porad</w:t>
      </w:r>
      <w:r>
        <w:rPr>
          <w:iCs/>
        </w:rPr>
        <w:t>enství, ostatní sociální péče a </w:t>
      </w:r>
      <w:r w:rsidRPr="00056A27">
        <w:rPr>
          <w:iCs/>
        </w:rPr>
        <w:t xml:space="preserve">pomoc rodině). V oblasti kulturních služeb provozovalo činnost zhruba 6,8 % organizací (divadelní, hudební a knihovnická činnost, muzea, galerie) </w:t>
      </w:r>
      <w:r w:rsidRPr="00180B21">
        <w:rPr>
          <w:iCs/>
        </w:rPr>
        <w:t>a v odvětví zdravotnictví 3,6 % organizací (nemocnice, odborné léčebné ústavy, lázeňské léčebny, zdravotnická záchranná služba).</w:t>
      </w:r>
    </w:p>
    <w:p w:rsidR="0009461F" w:rsidRPr="003F4178" w:rsidRDefault="0009461F" w:rsidP="0009461F">
      <w:pPr>
        <w:pStyle w:val="Nzev"/>
      </w:pPr>
      <w:bookmarkStart w:id="57" w:name="_Toc66700405"/>
      <w:bookmarkStart w:id="58" w:name="_Toc66717170"/>
      <w:r>
        <w:rPr>
          <w:noProof/>
          <w:lang w:eastAsia="cs-CZ"/>
        </w:rPr>
        <w:drawing>
          <wp:anchor distT="0" distB="0" distL="114300" distR="114300" simplePos="0" relativeHeight="251657216" behindDoc="0" locked="0" layoutInCell="1" allowOverlap="1" wp14:anchorId="3C715BA7" wp14:editId="63D5FB0B">
            <wp:simplePos x="0" y="0"/>
            <wp:positionH relativeFrom="margin">
              <wp:align>left</wp:align>
            </wp:positionH>
            <wp:positionV relativeFrom="paragraph">
              <wp:posOffset>392430</wp:posOffset>
            </wp:positionV>
            <wp:extent cx="5054400" cy="2743436"/>
            <wp:effectExtent l="0" t="0" r="0" b="0"/>
            <wp:wrapSquare wrapText="bothSides"/>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54400" cy="2743436"/>
                    </a:xfrm>
                    <a:prstGeom prst="rect">
                      <a:avLst/>
                    </a:prstGeom>
                    <a:noFill/>
                  </pic:spPr>
                </pic:pic>
              </a:graphicData>
            </a:graphic>
            <wp14:sizeRelH relativeFrom="margin">
              <wp14:pctWidth>0</wp14:pctWidth>
            </wp14:sizeRelH>
          </wp:anchor>
        </w:drawing>
      </w:r>
      <w:r w:rsidRPr="003F4178">
        <w:t xml:space="preserve">Graf č. </w:t>
      </w:r>
      <w:fldSimple w:instr=" SEQ Graf_č. \* ARABIC ">
        <w:r w:rsidR="00BB758E">
          <w:rPr>
            <w:noProof/>
          </w:rPr>
          <w:t>5</w:t>
        </w:r>
      </w:fldSimple>
      <w:r>
        <w:t>: Oblasti působností</w:t>
      </w:r>
      <w:r w:rsidRPr="003F4178">
        <w:t xml:space="preserve"> příspěvkových organizací zřízených kraji v roce 2020</w:t>
      </w:r>
      <w:bookmarkEnd w:id="57"/>
      <w:bookmarkEnd w:id="58"/>
      <w:r w:rsidRPr="003F4178">
        <w:br w:type="page"/>
      </w:r>
    </w:p>
    <w:p w:rsidR="0009461F" w:rsidRPr="00BF07F6" w:rsidRDefault="0009461F" w:rsidP="0009461F">
      <w:pPr>
        <w:pStyle w:val="Nadpis1"/>
      </w:pPr>
      <w:bookmarkStart w:id="59" w:name="_Ref382471108"/>
      <w:bookmarkStart w:id="60" w:name="_Ref382471134"/>
      <w:bookmarkStart w:id="61" w:name="_Toc382561976"/>
      <w:bookmarkStart w:id="62" w:name="_Toc445816294"/>
      <w:bookmarkStart w:id="63" w:name="_Toc35945607"/>
      <w:bookmarkStart w:id="64" w:name="_Toc66700414"/>
      <w:bookmarkStart w:id="65" w:name="_Toc66717109"/>
      <w:r w:rsidRPr="00BF07F6">
        <w:lastRenderedPageBreak/>
        <w:t>Příjmy a výdaje obcí a DSO</w:t>
      </w:r>
      <w:bookmarkEnd w:id="59"/>
      <w:bookmarkEnd w:id="60"/>
      <w:bookmarkEnd w:id="61"/>
      <w:bookmarkEnd w:id="62"/>
      <w:bookmarkEnd w:id="63"/>
      <w:bookmarkEnd w:id="64"/>
      <w:bookmarkEnd w:id="65"/>
    </w:p>
    <w:p w:rsidR="0009461F" w:rsidRPr="00BF07F6" w:rsidRDefault="0009461F" w:rsidP="0009461F">
      <w:r w:rsidRPr="00BF07F6">
        <w:rPr>
          <w:b/>
        </w:rPr>
        <w:t xml:space="preserve">Celkové příjmy obcí a DSO </w:t>
      </w:r>
      <w:r w:rsidRPr="00BF07F6">
        <w:t xml:space="preserve">(dále jen </w:t>
      </w:r>
      <w:r w:rsidRPr="00BF07F6">
        <w:rPr>
          <w:b/>
        </w:rPr>
        <w:t>„obc</w:t>
      </w:r>
      <w:r w:rsidR="000601CE">
        <w:rPr>
          <w:b/>
        </w:rPr>
        <w:t>e</w:t>
      </w:r>
      <w:r w:rsidRPr="00BF07F6">
        <w:rPr>
          <w:b/>
        </w:rPr>
        <w:t>“</w:t>
      </w:r>
      <w:r w:rsidRPr="00BF07F6">
        <w:t xml:space="preserve">) dosáhly </w:t>
      </w:r>
      <w:r w:rsidRPr="00BF07F6">
        <w:rPr>
          <w:b/>
        </w:rPr>
        <w:t>373,7 mld. Kč</w:t>
      </w:r>
      <w:r w:rsidRPr="00BF07F6">
        <w:t xml:space="preserve">, meziročně </w:t>
      </w:r>
      <w:r w:rsidRPr="00BF07F6">
        <w:rPr>
          <w:b/>
        </w:rPr>
        <w:t>vzrostly o 2,5 %, tj. o 9,1 mld. Kč</w:t>
      </w:r>
      <w:r w:rsidRPr="00BF07F6">
        <w:t xml:space="preserve"> (plnění předpokladů rozpočtu 100,5 %). Růst byl vykázán především v části transferů, které se meziročně zvýšily o 27,7 %.</w:t>
      </w:r>
      <w:r>
        <w:t xml:space="preserve"> V případě některých obcí mohl nastat určitý propad příjmů z podnikatelské činnosti, a to v souvislosti s přijatými vládními epidemiologickými opatřeními, které byly realizovány z důvodu zamezení šíření onemocnění COVID-19.</w:t>
      </w:r>
    </w:p>
    <w:p w:rsidR="0009461F" w:rsidRDefault="0009461F" w:rsidP="0009461F">
      <w:pPr>
        <w:pStyle w:val="Nzev"/>
      </w:pPr>
      <w:bookmarkStart w:id="66" w:name="_Toc66700392"/>
      <w:bookmarkStart w:id="67" w:name="_Toc66717152"/>
      <w:r w:rsidRPr="00203D64">
        <w:t xml:space="preserve">Tabulka č. </w:t>
      </w:r>
      <w:fldSimple w:instr=" SEQ Tabulka_č. \* ARABIC ">
        <w:r>
          <w:rPr>
            <w:noProof/>
          </w:rPr>
          <w:t>13</w:t>
        </w:r>
      </w:fldSimple>
      <w:r w:rsidRPr="00203D64">
        <w:rPr>
          <w:noProof/>
        </w:rPr>
        <w:t>:</w:t>
      </w:r>
      <w:r w:rsidRPr="00203D64">
        <w:t xml:space="preserve"> Bilance příjmů a výdajů obcí (mil. Kč)</w:t>
      </w:r>
      <w:bookmarkEnd w:id="66"/>
      <w:bookmarkEnd w:id="67"/>
    </w:p>
    <w:p w:rsidR="00BB758E" w:rsidRPr="00BB758E" w:rsidRDefault="00BB758E" w:rsidP="00BB758E">
      <w:pPr>
        <w:pStyle w:val="Tabgraf"/>
      </w:pPr>
      <w:r w:rsidRPr="00BB758E">
        <w:rPr>
          <w:noProof/>
          <w:lang w:eastAsia="cs-CZ"/>
        </w:rPr>
        <w:drawing>
          <wp:inline distT="0" distB="0" distL="0" distR="0" wp14:anchorId="0459EA62" wp14:editId="122AAED7">
            <wp:extent cx="6120130" cy="3227995"/>
            <wp:effectExtent l="0" t="0" r="0" b="0"/>
            <wp:docPr id="321" name="Obrázek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3227995"/>
                    </a:xfrm>
                    <a:prstGeom prst="rect">
                      <a:avLst/>
                    </a:prstGeom>
                    <a:noFill/>
                    <a:ln>
                      <a:noFill/>
                    </a:ln>
                  </pic:spPr>
                </pic:pic>
              </a:graphicData>
            </a:graphic>
          </wp:inline>
        </w:drawing>
      </w:r>
    </w:p>
    <w:p w:rsidR="0009461F" w:rsidRPr="00176644" w:rsidRDefault="0009461F" w:rsidP="0009461F">
      <w:r w:rsidRPr="00176644">
        <w:rPr>
          <w:b/>
        </w:rPr>
        <w:t>Vlastní příjmy</w:t>
      </w:r>
      <w:r w:rsidRPr="00176644">
        <w:t xml:space="preserve"> dosáhly</w:t>
      </w:r>
      <w:r w:rsidRPr="00176644">
        <w:rPr>
          <w:b/>
        </w:rPr>
        <w:t xml:space="preserve"> celkem 275,4 mld. Kč</w:t>
      </w:r>
      <w:r w:rsidRPr="00176644">
        <w:t xml:space="preserve">, meziročně </w:t>
      </w:r>
      <w:r>
        <w:t xml:space="preserve">došlo k poklesu </w:t>
      </w:r>
      <w:r w:rsidRPr="00176644">
        <w:t>o 4,2 %, respektive o 12,2</w:t>
      </w:r>
      <w:r>
        <w:t xml:space="preserve"> mld. Kč</w:t>
      </w:r>
      <w:r w:rsidRPr="00176644">
        <w:t xml:space="preserve">. </w:t>
      </w:r>
      <w:r w:rsidRPr="005565E3">
        <w:rPr>
          <w:b/>
        </w:rPr>
        <w:t>Pokles</w:t>
      </w:r>
      <w:r w:rsidRPr="00176644">
        <w:t xml:space="preserve"> byl vykázán pouze v části </w:t>
      </w:r>
      <w:r w:rsidRPr="005565E3">
        <w:rPr>
          <w:b/>
        </w:rPr>
        <w:t>daňových příjmů</w:t>
      </w:r>
      <w:r>
        <w:rPr>
          <w:b/>
        </w:rPr>
        <w:t>, a to o 5,9 %</w:t>
      </w:r>
      <w:r w:rsidRPr="00176644">
        <w:t xml:space="preserve">, </w:t>
      </w:r>
      <w:r w:rsidRPr="005565E3">
        <w:rPr>
          <w:b/>
        </w:rPr>
        <w:t>nedaňové příjmy se zvýšily o 5,4 %</w:t>
      </w:r>
      <w:r>
        <w:t xml:space="preserve"> a </w:t>
      </w:r>
      <w:r w:rsidRPr="005565E3">
        <w:rPr>
          <w:b/>
        </w:rPr>
        <w:t>kapitálové příjmy</w:t>
      </w:r>
      <w:r w:rsidRPr="00176644">
        <w:t xml:space="preserve"> byly ve srovnání s předchozím rokem </w:t>
      </w:r>
      <w:r w:rsidRPr="005565E3">
        <w:rPr>
          <w:b/>
        </w:rPr>
        <w:t>vyšší o 3,5 %.</w:t>
      </w:r>
    </w:p>
    <w:p w:rsidR="0009461F" w:rsidRPr="00CE2746" w:rsidRDefault="0009461F" w:rsidP="0009461F">
      <w:pPr>
        <w:rPr>
          <w:i/>
          <w:highlight w:val="yellow"/>
        </w:rPr>
      </w:pPr>
      <w:r w:rsidRPr="00E30338">
        <w:rPr>
          <w:b/>
        </w:rPr>
        <w:t>Daňové příjmy</w:t>
      </w:r>
      <w:r w:rsidRPr="00E30338">
        <w:t xml:space="preserve"> dosáhly </w:t>
      </w:r>
      <w:r w:rsidRPr="00E30338">
        <w:rPr>
          <w:b/>
        </w:rPr>
        <w:t>230,9 mld. Kč</w:t>
      </w:r>
      <w:r w:rsidRPr="00E30338">
        <w:t xml:space="preserve">, proti roku 2019 to bylo </w:t>
      </w:r>
      <w:r w:rsidRPr="00E30338">
        <w:rPr>
          <w:b/>
        </w:rPr>
        <w:t>o 14,4 mld. Kč méně</w:t>
      </w:r>
      <w:r w:rsidRPr="00E30338">
        <w:t xml:space="preserve">. </w:t>
      </w:r>
      <w:r w:rsidRPr="00EC0BA2">
        <w:t xml:space="preserve">Pokles inkasa daňových příjmů souvisel s ekonomickými dopady </w:t>
      </w:r>
      <w:r>
        <w:t xml:space="preserve">přijatých </w:t>
      </w:r>
      <w:r w:rsidRPr="00EC0BA2">
        <w:t>vládních opatření sloužících k eliminaci nekontrolovatelného šíření onemocnění COVID-19.</w:t>
      </w:r>
    </w:p>
    <w:p w:rsidR="0009461F" w:rsidRPr="00EC0BA2" w:rsidRDefault="0009461F" w:rsidP="0009461F">
      <w:r w:rsidRPr="00EC0BA2">
        <w:t xml:space="preserve">Celkový výnos </w:t>
      </w:r>
      <w:r w:rsidRPr="00EC0BA2">
        <w:rPr>
          <w:b/>
        </w:rPr>
        <w:t>daně z příjmu fyzických osob</w:t>
      </w:r>
      <w:r w:rsidRPr="00EC0BA2">
        <w:t xml:space="preserve"> činil</w:t>
      </w:r>
      <w:r w:rsidRPr="00EC0BA2">
        <w:rPr>
          <w:b/>
        </w:rPr>
        <w:t xml:space="preserve"> 57,8 mld. Kč</w:t>
      </w:r>
      <w:r w:rsidRPr="00EC0BA2">
        <w:t xml:space="preserve">, meziročně se </w:t>
      </w:r>
      <w:r w:rsidRPr="00EC0BA2">
        <w:rPr>
          <w:b/>
        </w:rPr>
        <w:t>snížil o 5,7 %, tj. o 3,5 mld. Kč.</w:t>
      </w:r>
      <w:r w:rsidRPr="00EC0BA2">
        <w:t xml:space="preserve"> </w:t>
      </w:r>
      <w:r w:rsidRPr="00E875D2">
        <w:rPr>
          <w:b/>
        </w:rPr>
        <w:t>Pokles</w:t>
      </w:r>
      <w:r w:rsidRPr="00EC0BA2">
        <w:t xml:space="preserve"> se týkal </w:t>
      </w:r>
      <w:r w:rsidRPr="00E875D2">
        <w:rPr>
          <w:b/>
        </w:rPr>
        <w:t>daně z příjmů fyzických osob placené plátci</w:t>
      </w:r>
      <w:r w:rsidRPr="00EC0BA2">
        <w:t>, jejíž výše dosáhla 52,0 mld. Kč, v předchozím roce to bylo 54,9 mld. Kč.</w:t>
      </w:r>
    </w:p>
    <w:p w:rsidR="0009461F" w:rsidRPr="00A72A49" w:rsidRDefault="0009461F" w:rsidP="0009461F">
      <w:r w:rsidRPr="00A72A49">
        <w:rPr>
          <w:b/>
        </w:rPr>
        <w:t>Daň z příjmů fyzických osob vybíraná srážkou</w:t>
      </w:r>
      <w:r w:rsidRPr="00A72A49">
        <w:t xml:space="preserve"> dosáhla </w:t>
      </w:r>
      <w:r w:rsidRPr="00A72A49">
        <w:rPr>
          <w:b/>
        </w:rPr>
        <w:t>4,9 mld. Kč</w:t>
      </w:r>
      <w:r w:rsidRPr="00A72A49">
        <w:t>, což bylo meziročně o 1,4 % více.</w:t>
      </w:r>
    </w:p>
    <w:p w:rsidR="0009461F" w:rsidRPr="00A72A49" w:rsidRDefault="0009461F" w:rsidP="0009461F">
      <w:r w:rsidRPr="00A72A49">
        <w:rPr>
          <w:b/>
        </w:rPr>
        <w:t>Daň z příjmů fyzických osob placená poplatníky</w:t>
      </w:r>
      <w:r w:rsidRPr="00A72A49">
        <w:t xml:space="preserve"> (z přiznání) činila </w:t>
      </w:r>
      <w:r w:rsidRPr="00A72A49">
        <w:rPr>
          <w:b/>
        </w:rPr>
        <w:t>0,8 mld. Kč</w:t>
      </w:r>
      <w:r w:rsidRPr="00A72A49">
        <w:t xml:space="preserve">, </w:t>
      </w:r>
      <w:r>
        <w:t>meziročně došlo k poklesu o </w:t>
      </w:r>
      <w:r w:rsidRPr="00A72A49">
        <w:t>43,9 %, tj. o 0,7 mld. Kč.</w:t>
      </w:r>
    </w:p>
    <w:p w:rsidR="0009461F" w:rsidRDefault="0009461F" w:rsidP="0009461F">
      <w:pPr>
        <w:rPr>
          <w:highlight w:val="yellow"/>
        </w:rPr>
      </w:pPr>
      <w:r w:rsidRPr="00A72A49">
        <w:rPr>
          <w:b/>
        </w:rPr>
        <w:t>Daň z příjmů právnických osob</w:t>
      </w:r>
      <w:r w:rsidRPr="00A72A49">
        <w:t xml:space="preserve"> byla vykázána v celkové výši </w:t>
      </w:r>
      <w:r w:rsidRPr="00A72A49">
        <w:rPr>
          <w:b/>
        </w:rPr>
        <w:t>43,6 mld. Kč</w:t>
      </w:r>
      <w:r w:rsidRPr="00A72A49">
        <w:t xml:space="preserve">, proti srovnatelnému období to bylo </w:t>
      </w:r>
      <w:r w:rsidRPr="00A72A49">
        <w:rPr>
          <w:b/>
        </w:rPr>
        <w:t xml:space="preserve">o </w:t>
      </w:r>
      <w:r>
        <w:rPr>
          <w:b/>
        </w:rPr>
        <w:t xml:space="preserve">18,1 %, respektive o </w:t>
      </w:r>
      <w:r w:rsidRPr="00A72A49">
        <w:rPr>
          <w:b/>
        </w:rPr>
        <w:t>9,6 mld. Kč</w:t>
      </w:r>
      <w:r>
        <w:rPr>
          <w:b/>
        </w:rPr>
        <w:t xml:space="preserve"> méně</w:t>
      </w:r>
      <w:r w:rsidRPr="00A72A49">
        <w:rPr>
          <w:b/>
        </w:rPr>
        <w:t>.</w:t>
      </w:r>
      <w:r w:rsidRPr="00A72A49">
        <w:t xml:space="preserve"> </w:t>
      </w:r>
      <w:r w:rsidRPr="00881E9C">
        <w:t xml:space="preserve">Inkaso </w:t>
      </w:r>
      <w:r w:rsidRPr="00E875D2">
        <w:rPr>
          <w:b/>
        </w:rPr>
        <w:t>daně z příjmů právnických osob</w:t>
      </w:r>
      <w:r>
        <w:t>, které</w:t>
      </w:r>
      <w:r w:rsidRPr="00881E9C">
        <w:t xml:space="preserve"> zahrnuje daň </w:t>
      </w:r>
      <w:r w:rsidRPr="00E875D2">
        <w:t>ze zisku</w:t>
      </w:r>
      <w:r w:rsidRPr="00881E9C">
        <w:t xml:space="preserve"> a kapitálových výnosů </w:t>
      </w:r>
      <w:r w:rsidRPr="000C7B2B">
        <w:rPr>
          <w:b/>
        </w:rPr>
        <w:t>kleslo o 18,5 %</w:t>
      </w:r>
      <w:r w:rsidRPr="00881E9C">
        <w:t xml:space="preserve"> tj. o 8,4 mld. Kč a dosáhlo 37,1 mld. Kč</w:t>
      </w:r>
      <w:r w:rsidRPr="00185EC8">
        <w:t>.</w:t>
      </w:r>
    </w:p>
    <w:p w:rsidR="0009461F" w:rsidRPr="00CE2746" w:rsidRDefault="0009461F" w:rsidP="0009461F">
      <w:pPr>
        <w:rPr>
          <w:highlight w:val="yellow"/>
        </w:rPr>
      </w:pPr>
      <w:r w:rsidRPr="008B45EE">
        <w:t xml:space="preserve">Inkaso </w:t>
      </w:r>
      <w:r w:rsidRPr="006A5F45">
        <w:rPr>
          <w:b/>
        </w:rPr>
        <w:t>daně z příjmů právnických osob za obce kleslo o 15,9 %</w:t>
      </w:r>
      <w:r w:rsidRPr="006A5F45">
        <w:t>,</w:t>
      </w:r>
      <w:r w:rsidRPr="008B45EE">
        <w:t xml:space="preserve"> tj. o 1,2</w:t>
      </w:r>
      <w:r>
        <w:t xml:space="preserve"> mld. Kč a dosáhlo</w:t>
      </w:r>
      <w:r w:rsidRPr="008B45EE">
        <w:t xml:space="preserve"> 6,5 mld. Kč. Jedná se o daň, kdy poplatníkem je obec </w:t>
      </w:r>
      <w:r>
        <w:t>z titulu podnikatelské činnosti, která neodvádí tuto daň</w:t>
      </w:r>
      <w:r w:rsidRPr="008B45EE">
        <w:t xml:space="preserve"> a</w:t>
      </w:r>
      <w:r w:rsidR="00B37AE3">
        <w:t> </w:t>
      </w:r>
      <w:r w:rsidRPr="008B45EE">
        <w:t>neinkasuje tak její příjem, pouze si částku odpovídající této dani ponechává na svém bankovním účtu.</w:t>
      </w:r>
    </w:p>
    <w:p w:rsidR="0009461F" w:rsidRPr="0005485F" w:rsidRDefault="0009461F" w:rsidP="0009461F">
      <w:r w:rsidRPr="0005485F">
        <w:t xml:space="preserve">Inkaso </w:t>
      </w:r>
      <w:r w:rsidRPr="0005485F">
        <w:rPr>
          <w:b/>
        </w:rPr>
        <w:t>daně z přidané hodnoty</w:t>
      </w:r>
      <w:r w:rsidRPr="0005485F">
        <w:t xml:space="preserve">, která je objemově nejvýznamnějším daňovým příjmem obecních rozpočtů, činilo </w:t>
      </w:r>
      <w:r w:rsidRPr="0005485F">
        <w:rPr>
          <w:b/>
        </w:rPr>
        <w:t>101,7 mld. Kč</w:t>
      </w:r>
      <w:r w:rsidRPr="0005485F">
        <w:t xml:space="preserve">, meziročně </w:t>
      </w:r>
      <w:r>
        <w:t>došlo k poklesu pouze</w:t>
      </w:r>
      <w:r w:rsidRPr="0005485F">
        <w:t xml:space="preserve"> </w:t>
      </w:r>
      <w:r w:rsidRPr="0005485F">
        <w:rPr>
          <w:b/>
        </w:rPr>
        <w:t>o 0,8 %, respektive o 0</w:t>
      </w:r>
      <w:r>
        <w:rPr>
          <w:b/>
        </w:rPr>
        <w:t>,8 mld. Kč</w:t>
      </w:r>
      <w:r w:rsidRPr="0005485F">
        <w:t xml:space="preserve"> (v roce 2019 vzrostlo inkaso této daně o 4,8 mld. Kč).</w:t>
      </w:r>
    </w:p>
    <w:p w:rsidR="0009461F" w:rsidRPr="008C5DF4" w:rsidRDefault="0009461F" w:rsidP="0009461F">
      <w:pPr>
        <w:rPr>
          <w:bCs/>
        </w:rPr>
      </w:pPr>
      <w:r w:rsidRPr="008C5DF4">
        <w:lastRenderedPageBreak/>
        <w:t xml:space="preserve">Do daňových příjmů obcí se dále zahrnují </w:t>
      </w:r>
      <w:r w:rsidRPr="008C5DF4">
        <w:rPr>
          <w:b/>
          <w:bCs/>
        </w:rPr>
        <w:t>daně a poplatky z vybraných činností a služeb</w:t>
      </w:r>
      <w:r w:rsidRPr="008C5DF4">
        <w:rPr>
          <w:bCs/>
        </w:rPr>
        <w:t xml:space="preserve">. V souhrnu dosáhly </w:t>
      </w:r>
      <w:r w:rsidRPr="008C5DF4">
        <w:rPr>
          <w:b/>
          <w:bCs/>
        </w:rPr>
        <w:t>16,3 mld. Kč</w:t>
      </w:r>
      <w:r w:rsidRPr="008C5DF4">
        <w:rPr>
          <w:bCs/>
        </w:rPr>
        <w:t xml:space="preserve">, což je proti předchozímu roku </w:t>
      </w:r>
      <w:r>
        <w:rPr>
          <w:bCs/>
        </w:rPr>
        <w:t xml:space="preserve">pokles </w:t>
      </w:r>
      <w:r w:rsidRPr="008C5DF4">
        <w:rPr>
          <w:bCs/>
        </w:rPr>
        <w:t xml:space="preserve">o </w:t>
      </w:r>
      <w:r>
        <w:rPr>
          <w:bCs/>
        </w:rPr>
        <w:t>5,9 %, tedy</w:t>
      </w:r>
      <w:r w:rsidRPr="008C5DF4">
        <w:rPr>
          <w:bCs/>
        </w:rPr>
        <w:t xml:space="preserve"> o 1,0</w:t>
      </w:r>
      <w:r>
        <w:rPr>
          <w:bCs/>
        </w:rPr>
        <w:t> mld. Kč</w:t>
      </w:r>
      <w:r w:rsidRPr="008C5DF4">
        <w:rPr>
          <w:bCs/>
        </w:rPr>
        <w:t xml:space="preserve">. Tato skupina zahrnuje příjmy z několika </w:t>
      </w:r>
      <w:r>
        <w:rPr>
          <w:bCs/>
        </w:rPr>
        <w:t>pod</w:t>
      </w:r>
      <w:r w:rsidRPr="008C5DF4">
        <w:rPr>
          <w:bCs/>
        </w:rPr>
        <w:t>seskupení.</w:t>
      </w:r>
    </w:p>
    <w:p w:rsidR="0009461F" w:rsidRPr="00CE2746" w:rsidRDefault="0009461F" w:rsidP="0009461F">
      <w:pPr>
        <w:rPr>
          <w:highlight w:val="yellow"/>
        </w:rPr>
      </w:pPr>
      <w:r w:rsidRPr="00AE1AED">
        <w:rPr>
          <w:b/>
        </w:rPr>
        <w:t>Poplatky a odvody v oblasti životního prostředí</w:t>
      </w:r>
      <w:r w:rsidRPr="00AE1AED">
        <w:t xml:space="preserve"> dosáhly 3,5 mld. Kč, meziročně se zvýšily o </w:t>
      </w:r>
      <w:r>
        <w:t>6,6 %, tj. o 0,2 </w:t>
      </w:r>
      <w:r w:rsidRPr="00AE1AED">
        <w:t xml:space="preserve">mld. Kč; </w:t>
      </w:r>
      <w:r w:rsidRPr="00490D1C">
        <w:t xml:space="preserve">jejich největší část tvoří poplatky za uložení odpadů (1,7 mld. Kč) a dále poplatky za komunální odpad (1,6 mld. Kč), které obce vybírají podle obecně závazné vyhlášky vydané </w:t>
      </w:r>
      <w:r>
        <w:t>podle zákona č. 185/2001 Sb.</w:t>
      </w:r>
      <w:r>
        <w:rPr>
          <w:rStyle w:val="Znakapoznpodarou"/>
        </w:rPr>
        <w:footnoteReference w:id="7"/>
      </w:r>
    </w:p>
    <w:p w:rsidR="0009461F" w:rsidRPr="00CE2746" w:rsidRDefault="0009461F" w:rsidP="0009461F">
      <w:pPr>
        <w:rPr>
          <w:highlight w:val="yellow"/>
        </w:rPr>
      </w:pPr>
      <w:r w:rsidRPr="004E06FB">
        <w:rPr>
          <w:b/>
        </w:rPr>
        <w:t xml:space="preserve">Místní poplatky z vybraných činností a služeb </w:t>
      </w:r>
      <w:r w:rsidRPr="004E06FB">
        <w:t>činily 5,1 mld. Kč, klesly o 8,4 %, tj. o 0,5 mld. Kč. Největší část tvoří poplatky za provoz systému shromažďování, sběru, přepravy, třídění, využívání a odstraňování komunálních odpadů, které obec vybírá podle § 10 zákona č. 565/1990 Sb.</w:t>
      </w:r>
      <w:r>
        <w:rPr>
          <w:rStyle w:val="Znakapoznpodarou"/>
        </w:rPr>
        <w:footnoteReference w:id="8"/>
      </w:r>
      <w:r w:rsidRPr="004E06FB">
        <w:t xml:space="preserve">, </w:t>
      </w:r>
      <w:r>
        <w:t xml:space="preserve">a to ve výši </w:t>
      </w:r>
      <w:r w:rsidRPr="004E06FB">
        <w:t>3,7</w:t>
      </w:r>
      <w:r>
        <w:t> </w:t>
      </w:r>
      <w:r w:rsidRPr="004E06FB">
        <w:t>mld.</w:t>
      </w:r>
      <w:r>
        <w:t> Kč</w:t>
      </w:r>
      <w:r w:rsidRPr="004E06FB">
        <w:t>. Dále do skupiny patří také poplatky za užívání veřejného prostranství (0,5 mld. Kč), poplatky za lázeňský nebo rekreační pobyt (0,3</w:t>
      </w:r>
      <w:r>
        <w:t xml:space="preserve"> mld. Kč) a </w:t>
      </w:r>
      <w:r w:rsidRPr="004E06FB">
        <w:t>poplatky ze psů (0,3 mld. Kč).</w:t>
      </w:r>
    </w:p>
    <w:p w:rsidR="0009461F" w:rsidRPr="00CE2746" w:rsidRDefault="0009461F" w:rsidP="0009461F">
      <w:pPr>
        <w:rPr>
          <w:highlight w:val="yellow"/>
        </w:rPr>
      </w:pPr>
      <w:r w:rsidRPr="003859C0">
        <w:rPr>
          <w:b/>
        </w:rPr>
        <w:t>Ostatní odvody z vybraných činností a služeb</w:t>
      </w:r>
      <w:r w:rsidRPr="003859C0">
        <w:t xml:space="preserve"> dosáhly 0,5 mld. Kč</w:t>
      </w:r>
      <w:r>
        <w:t xml:space="preserve">, což představuje </w:t>
      </w:r>
      <w:r w:rsidRPr="003859C0">
        <w:t>pok</w:t>
      </w:r>
      <w:r>
        <w:t>les o 19,8 %, tj. o 0,1 mld. Kč</w:t>
      </w:r>
      <w:r w:rsidRPr="003859C0">
        <w:t>. Hlavní část tvoří příjmy z úhrad za dobývání nerostů a poplatků za geologické práce (0,4</w:t>
      </w:r>
      <w:r>
        <w:t> mld. </w:t>
      </w:r>
      <w:r w:rsidRPr="003859C0">
        <w:t>Kč). Další významnější položkou jsou příjmy za zkoušky z odb</w:t>
      </w:r>
      <w:r w:rsidR="00BB758E">
        <w:t>orné způsobilosti od žadatelů o </w:t>
      </w:r>
      <w:r w:rsidRPr="003859C0">
        <w:t>řidičské oprávnění (0,1 mld. Kč).</w:t>
      </w:r>
    </w:p>
    <w:p w:rsidR="0009461F" w:rsidRPr="00CE2746" w:rsidRDefault="0009461F" w:rsidP="0009461F">
      <w:pPr>
        <w:rPr>
          <w:highlight w:val="yellow"/>
        </w:rPr>
      </w:pPr>
      <w:r w:rsidRPr="00B646AD">
        <w:t xml:space="preserve">K </w:t>
      </w:r>
      <w:r w:rsidRPr="009A303A">
        <w:rPr>
          <w:b/>
        </w:rPr>
        <w:t>poklesu</w:t>
      </w:r>
      <w:r w:rsidRPr="00B646AD">
        <w:t xml:space="preserve"> příjmů došlo ve skupině </w:t>
      </w:r>
      <w:r w:rsidRPr="00B646AD">
        <w:rPr>
          <w:b/>
        </w:rPr>
        <w:t>správní poplatky</w:t>
      </w:r>
      <w:r w:rsidRPr="00B646AD">
        <w:t xml:space="preserve">, jejich výše dosáhla </w:t>
      </w:r>
      <w:r w:rsidRPr="00B646AD">
        <w:rPr>
          <w:b/>
        </w:rPr>
        <w:t>2,3 mld. Kč</w:t>
      </w:r>
      <w:r w:rsidRPr="00B646AD">
        <w:t xml:space="preserve">, což bylo o </w:t>
      </w:r>
      <w:r>
        <w:t>15,6 %, tj. o </w:t>
      </w:r>
      <w:r w:rsidRPr="00B646AD">
        <w:t>0,4</w:t>
      </w:r>
      <w:r>
        <w:t> </w:t>
      </w:r>
      <w:r w:rsidRPr="00B646AD">
        <w:t>mld. Kč méně nežli v roce 2019. Jedná se o poplatky stanovené zákonem č. 634/2004 Sb.</w:t>
      </w:r>
      <w:r>
        <w:rPr>
          <w:rStyle w:val="Znakapoznpodarou"/>
        </w:rPr>
        <w:footnoteReference w:id="9"/>
      </w:r>
      <w:r w:rsidRPr="00B646AD">
        <w:t>, který upravuje inkaso poplatků za správní úkony a správní řízení, jejichž výsledkem jsou vydaná povolení, rozhodnutí apod. upravená zvláštními zákony.</w:t>
      </w:r>
    </w:p>
    <w:p w:rsidR="0009461F" w:rsidRDefault="0009461F" w:rsidP="0009461F">
      <w:r>
        <w:t>Příjem</w:t>
      </w:r>
      <w:r w:rsidRPr="007D6AB1">
        <w:t xml:space="preserve"> </w:t>
      </w:r>
      <w:r w:rsidRPr="007D6AB1">
        <w:rPr>
          <w:b/>
        </w:rPr>
        <w:t>daně z nemovitých věcí</w:t>
      </w:r>
      <w:r w:rsidRPr="007D6AB1">
        <w:t xml:space="preserve">, která je výlučným příjmem obecních rozpočtů, dosáhl </w:t>
      </w:r>
      <w:r w:rsidRPr="007D6AB1">
        <w:rPr>
          <w:b/>
        </w:rPr>
        <w:t>11,6 mld. Kč</w:t>
      </w:r>
      <w:r w:rsidRPr="002F3881">
        <w:t>,</w:t>
      </w:r>
      <w:r>
        <w:t xml:space="preserve"> meziroční </w:t>
      </w:r>
      <w:r w:rsidRPr="009A303A">
        <w:rPr>
          <w:b/>
        </w:rPr>
        <w:t>růst o 6,0 %</w:t>
      </w:r>
      <w:r>
        <w:t>, respektive o 0,7 mld. Kč</w:t>
      </w:r>
      <w:r w:rsidRPr="007D6AB1">
        <w:t xml:space="preserve">. </w:t>
      </w:r>
      <w:r w:rsidRPr="009848AB">
        <w:t xml:space="preserve">Obce mohou významněji ovlivnit výši příjmu z daně z nemovitých věcí stanovením tzv. místního koeficientu modifikujícího výslednou daň pro všechny nemovitosti na území celé obce (ve výši 2, 3, 4 nebo 5). Pro rok 2020 </w:t>
      </w:r>
      <w:r w:rsidRPr="009848AB">
        <w:rPr>
          <w:b/>
        </w:rPr>
        <w:t>navýšilo místní koeficient pouze 647 obcí</w:t>
      </w:r>
      <w:r w:rsidRPr="009848AB">
        <w:t xml:space="preserve"> (bez městských obvodů), v roce 2019 to bylo 596. Převážná většina obcí, které pro rok 2020 navýšily místní koeficient, stanovila koeficient ve výši 2 (celkem 519 obcí). Nejvyšší koeficient ve výši 5 stanovilo 19</w:t>
      </w:r>
      <w:r>
        <w:t> </w:t>
      </w:r>
      <w:r w:rsidRPr="009848AB">
        <w:t>obcí.</w:t>
      </w:r>
    </w:p>
    <w:p w:rsidR="0009461F" w:rsidRDefault="0009461F" w:rsidP="0009461F">
      <w:r>
        <w:t xml:space="preserve">V podseskupení </w:t>
      </w:r>
      <w:r w:rsidRPr="002D4497">
        <w:rPr>
          <w:b/>
        </w:rPr>
        <w:t>daně, poplatky a jiná obdobná peněžitá plnění v oblasti hazardních her</w:t>
      </w:r>
      <w:r>
        <w:t xml:space="preserve"> dosáhl příjem </w:t>
      </w:r>
      <w:r>
        <w:rPr>
          <w:b/>
        </w:rPr>
        <w:t>4,9 </w:t>
      </w:r>
      <w:r w:rsidRPr="002D4497">
        <w:rPr>
          <w:b/>
        </w:rPr>
        <w:t>mld. Kč</w:t>
      </w:r>
      <w:r>
        <w:t xml:space="preserve">, což bylo proti předchozímu roku </w:t>
      </w:r>
      <w:r w:rsidRPr="002D4497">
        <w:rPr>
          <w:b/>
        </w:rPr>
        <w:t>o 4,6 %, respektive o 0,2 mld. Kč méně</w:t>
      </w:r>
      <w:r w:rsidRPr="002D4497">
        <w:t>.</w:t>
      </w:r>
    </w:p>
    <w:p w:rsidR="0009461F" w:rsidRPr="00834F9D" w:rsidRDefault="0009461F" w:rsidP="0009461F">
      <w:pPr>
        <w:rPr>
          <w:b/>
        </w:rPr>
      </w:pPr>
      <w:r w:rsidRPr="00A53FBE">
        <w:t>V části daňových příjmů je třeba zmínit také příjmy z </w:t>
      </w:r>
      <w:r w:rsidRPr="00A53FBE">
        <w:rPr>
          <w:b/>
        </w:rPr>
        <w:t>daní v oblasti hazardu</w:t>
      </w:r>
      <w:r w:rsidRPr="00A53FBE">
        <w:t xml:space="preserve">. Tyto daně představují </w:t>
      </w:r>
      <w:r w:rsidRPr="00A53FBE">
        <w:rPr>
          <w:b/>
        </w:rPr>
        <w:t>2,1% podíl na daňových příjmech (činí 4,9 mld. Kč)</w:t>
      </w:r>
      <w:r w:rsidRPr="00A53FBE">
        <w:t>. Mezi pět obcí s </w:t>
      </w:r>
      <w:r w:rsidRPr="00A53FBE">
        <w:rPr>
          <w:b/>
        </w:rPr>
        <w:t>nejvyšším inkasem daní z hazardu</w:t>
      </w:r>
      <w:r w:rsidRPr="00A53FBE">
        <w:t xml:space="preserve"> patří</w:t>
      </w:r>
      <w:r>
        <w:t xml:space="preserve"> </w:t>
      </w:r>
      <w:r w:rsidRPr="008E229D">
        <w:rPr>
          <w:b/>
        </w:rPr>
        <w:t>hl.</w:t>
      </w:r>
      <w:r w:rsidR="00B1464B">
        <w:rPr>
          <w:b/>
        </w:rPr>
        <w:t> </w:t>
      </w:r>
      <w:r w:rsidRPr="008E229D">
        <w:rPr>
          <w:b/>
        </w:rPr>
        <w:t>m.</w:t>
      </w:r>
      <w:r w:rsidRPr="00A53FBE">
        <w:t xml:space="preserve"> </w:t>
      </w:r>
      <w:r w:rsidRPr="00A53FBE">
        <w:rPr>
          <w:b/>
        </w:rPr>
        <w:t xml:space="preserve">Praha </w:t>
      </w:r>
      <w:r w:rsidRPr="00A53FBE">
        <w:t xml:space="preserve">(0,8 mld. Kč), </w:t>
      </w:r>
      <w:r w:rsidRPr="00A53FBE">
        <w:rPr>
          <w:b/>
        </w:rPr>
        <w:t>Plzeň</w:t>
      </w:r>
      <w:r w:rsidRPr="00A53FBE">
        <w:t xml:space="preserve"> (0,2 mld. Kč), </w:t>
      </w:r>
      <w:r w:rsidRPr="00A53FBE">
        <w:rPr>
          <w:b/>
        </w:rPr>
        <w:t>Chvalovice</w:t>
      </w:r>
      <w:r w:rsidRPr="00A53FBE">
        <w:t xml:space="preserve"> (0,1 mld. Kč), </w:t>
      </w:r>
      <w:r w:rsidRPr="00A53FBE">
        <w:rPr>
          <w:b/>
        </w:rPr>
        <w:t>Ostrava</w:t>
      </w:r>
      <w:r w:rsidRPr="00A53FBE">
        <w:t xml:space="preserve"> (0,1</w:t>
      </w:r>
      <w:r>
        <w:t> </w:t>
      </w:r>
      <w:r w:rsidRPr="00A53FBE">
        <w:t xml:space="preserve">mld. Kč) a </w:t>
      </w:r>
      <w:r w:rsidRPr="00A53FBE">
        <w:rPr>
          <w:b/>
        </w:rPr>
        <w:t>Olomouc</w:t>
      </w:r>
      <w:r w:rsidR="00BB758E">
        <w:t xml:space="preserve"> (0,1 </w:t>
      </w:r>
      <w:r>
        <w:t>mld. Kč). Při</w:t>
      </w:r>
      <w:r w:rsidR="002F3881">
        <w:t> </w:t>
      </w:r>
      <w:r w:rsidRPr="00A53FBE">
        <w:t xml:space="preserve">pohledu na statistiku </w:t>
      </w:r>
      <w:r>
        <w:t>příjmů</w:t>
      </w:r>
      <w:r w:rsidRPr="00A53FBE">
        <w:t xml:space="preserve"> z </w:t>
      </w:r>
      <w:r w:rsidRPr="00A53FBE">
        <w:rPr>
          <w:b/>
        </w:rPr>
        <w:t xml:space="preserve">daně z hazardu na </w:t>
      </w:r>
      <w:r>
        <w:rPr>
          <w:b/>
        </w:rPr>
        <w:t xml:space="preserve">1 </w:t>
      </w:r>
      <w:r w:rsidRPr="00A53FBE">
        <w:rPr>
          <w:b/>
        </w:rPr>
        <w:t>obyvatele</w:t>
      </w:r>
      <w:r>
        <w:t xml:space="preserve"> se seznam obcí výrazně změní, kdy</w:t>
      </w:r>
      <w:r w:rsidRPr="00A53FBE">
        <w:t xml:space="preserve"> mezi obce s nejvyšším inkasem daně z hazardu na </w:t>
      </w:r>
      <w:r>
        <w:t xml:space="preserve">1 </w:t>
      </w:r>
      <w:r w:rsidRPr="00A53FBE">
        <w:t xml:space="preserve">obyvatele patří </w:t>
      </w:r>
      <w:r w:rsidRPr="00A53FBE">
        <w:rPr>
          <w:b/>
        </w:rPr>
        <w:t>Chvalovice</w:t>
      </w:r>
      <w:r w:rsidRPr="00A53FBE">
        <w:t xml:space="preserve"> (184,0 tis. Kč na</w:t>
      </w:r>
      <w:r>
        <w:t xml:space="preserve"> 1</w:t>
      </w:r>
      <w:r w:rsidRPr="00A53FBE">
        <w:t xml:space="preserve"> obyv.), </w:t>
      </w:r>
      <w:r w:rsidRPr="00A53FBE">
        <w:rPr>
          <w:b/>
        </w:rPr>
        <w:t>Strážný</w:t>
      </w:r>
      <w:r>
        <w:t xml:space="preserve"> (85,8 </w:t>
      </w:r>
      <w:r w:rsidRPr="00A53FBE">
        <w:t xml:space="preserve">tis. Kč na </w:t>
      </w:r>
      <w:r>
        <w:t xml:space="preserve">1 </w:t>
      </w:r>
      <w:r w:rsidRPr="00A53FBE">
        <w:t xml:space="preserve">obyv.), </w:t>
      </w:r>
      <w:r w:rsidRPr="00A53FBE">
        <w:rPr>
          <w:b/>
        </w:rPr>
        <w:t xml:space="preserve">Česká Kubice </w:t>
      </w:r>
      <w:r w:rsidRPr="00A53FBE">
        <w:t xml:space="preserve">(74,4 tis. na </w:t>
      </w:r>
      <w:r>
        <w:t xml:space="preserve">1 </w:t>
      </w:r>
      <w:r w:rsidRPr="00A53FBE">
        <w:t xml:space="preserve">obyv.), </w:t>
      </w:r>
      <w:proofErr w:type="spellStart"/>
      <w:r w:rsidRPr="00A53FBE">
        <w:rPr>
          <w:b/>
        </w:rPr>
        <w:t>Zálesná</w:t>
      </w:r>
      <w:proofErr w:type="spellEnd"/>
      <w:r w:rsidRPr="00A53FBE">
        <w:rPr>
          <w:b/>
        </w:rPr>
        <w:t xml:space="preserve"> Zhoř </w:t>
      </w:r>
      <w:r w:rsidRPr="00A53FBE">
        <w:t xml:space="preserve">(52,2 tis. na </w:t>
      </w:r>
      <w:r w:rsidR="00BB758E">
        <w:t>1 </w:t>
      </w:r>
      <w:r w:rsidRPr="00A53FBE">
        <w:t xml:space="preserve">obyv.) a </w:t>
      </w:r>
      <w:r w:rsidRPr="00A53FBE">
        <w:rPr>
          <w:b/>
        </w:rPr>
        <w:t>Rozvadov</w:t>
      </w:r>
      <w:r w:rsidRPr="00A53FBE">
        <w:t xml:space="preserve"> (48,4 tis. na </w:t>
      </w:r>
      <w:r>
        <w:t>1 obyv.)</w:t>
      </w:r>
      <w:r w:rsidRPr="00A53FBE">
        <w:t xml:space="preserve">. V případě, že porovnáme </w:t>
      </w:r>
      <w:r w:rsidRPr="00A53FBE">
        <w:rPr>
          <w:b/>
        </w:rPr>
        <w:t xml:space="preserve">příjmy vybraných obcí z daně z hazardu a příjmy z rozpočtového určení daní </w:t>
      </w:r>
      <w:r>
        <w:rPr>
          <w:b/>
        </w:rPr>
        <w:t xml:space="preserve">na 1 obyvatele </w:t>
      </w:r>
      <w:r w:rsidRPr="00A53FBE">
        <w:rPr>
          <w:b/>
        </w:rPr>
        <w:t xml:space="preserve">s republikovým průměr na </w:t>
      </w:r>
      <w:r>
        <w:rPr>
          <w:b/>
        </w:rPr>
        <w:t xml:space="preserve">1 </w:t>
      </w:r>
      <w:r w:rsidRPr="00A53FBE">
        <w:rPr>
          <w:b/>
        </w:rPr>
        <w:t>obyvatele</w:t>
      </w:r>
      <w:r w:rsidRPr="00A53FBE">
        <w:t>, dostaneme</w:t>
      </w:r>
      <w:r>
        <w:t xml:space="preserve"> zajímavé </w:t>
      </w:r>
      <w:r w:rsidRPr="00834F9D">
        <w:rPr>
          <w:b/>
        </w:rPr>
        <w:t>výsledky</w:t>
      </w:r>
      <w:r w:rsidR="000601CE" w:rsidRPr="00834F9D">
        <w:rPr>
          <w:b/>
        </w:rPr>
        <w:t>:</w:t>
      </w:r>
      <w:r w:rsidRPr="00834F9D">
        <w:rPr>
          <w:b/>
        </w:rPr>
        <w:t xml:space="preserve"> příjem Chvalovic na 1 obyvatele představuje 1429 % republikového průměru, Strážný inkasuje 766 % republikového průměru, Česká Kubice inkasuje 653 % republikového průměru, </w:t>
      </w:r>
      <w:proofErr w:type="spellStart"/>
      <w:r w:rsidRPr="00834F9D">
        <w:rPr>
          <w:b/>
        </w:rPr>
        <w:t>Zálesná</w:t>
      </w:r>
      <w:proofErr w:type="spellEnd"/>
      <w:r w:rsidRPr="00834F9D">
        <w:rPr>
          <w:b/>
        </w:rPr>
        <w:t xml:space="preserve"> Zhoř inkasuje 508 % republikového průměru a Rozvadov inkasuje 477 % republikového průměru.</w:t>
      </w:r>
    </w:p>
    <w:p w:rsidR="0009461F" w:rsidRDefault="0009461F" w:rsidP="0009461F">
      <w:pPr>
        <w:spacing w:before="0" w:after="160" w:line="259" w:lineRule="auto"/>
        <w:jc w:val="left"/>
        <w:rPr>
          <w:rStyle w:val="NzevChar"/>
          <w:i/>
          <w:iCs/>
        </w:rPr>
      </w:pPr>
      <w:r>
        <w:rPr>
          <w:rStyle w:val="NzevChar"/>
        </w:rPr>
        <w:br w:type="page"/>
      </w:r>
    </w:p>
    <w:p w:rsidR="0009461F" w:rsidRPr="008D6041" w:rsidRDefault="0009461F" w:rsidP="008D6041">
      <w:pPr>
        <w:pStyle w:val="Nzev"/>
        <w:rPr>
          <w:b w:val="0"/>
        </w:rPr>
      </w:pPr>
      <w:bookmarkStart w:id="68" w:name="_Toc66700406"/>
      <w:bookmarkStart w:id="69" w:name="_Toc66717171"/>
      <w:r w:rsidRPr="008D6041">
        <w:rPr>
          <w:rStyle w:val="NzevChar"/>
          <w:b/>
        </w:rPr>
        <w:lastRenderedPageBreak/>
        <w:t xml:space="preserve">Graf č. </w:t>
      </w:r>
      <w:r w:rsidRPr="008D6041">
        <w:rPr>
          <w:rStyle w:val="NzevChar"/>
          <w:b/>
          <w:i/>
        </w:rPr>
        <w:fldChar w:fldCharType="begin"/>
      </w:r>
      <w:r w:rsidRPr="008D6041">
        <w:rPr>
          <w:rStyle w:val="NzevChar"/>
          <w:b/>
        </w:rPr>
        <w:instrText xml:space="preserve"> SEQ Graf_č. \* ARABIC </w:instrText>
      </w:r>
      <w:r w:rsidRPr="008D6041">
        <w:rPr>
          <w:rStyle w:val="NzevChar"/>
          <w:b/>
          <w:i/>
        </w:rPr>
        <w:fldChar w:fldCharType="separate"/>
      </w:r>
      <w:r w:rsidRPr="008D6041">
        <w:rPr>
          <w:rStyle w:val="NzevChar"/>
          <w:b/>
        </w:rPr>
        <w:t>6</w:t>
      </w:r>
      <w:r w:rsidRPr="008D6041">
        <w:rPr>
          <w:rStyle w:val="NzevChar"/>
          <w:b/>
          <w:i/>
        </w:rPr>
        <w:fldChar w:fldCharType="end"/>
      </w:r>
      <w:r w:rsidRPr="008D6041">
        <w:rPr>
          <w:rStyle w:val="NzevChar"/>
          <w:b/>
        </w:rPr>
        <w:t>: Příjem vybraných obcí z RUD a z daně z hazardu na 1 obyv</w:t>
      </w:r>
      <w:bookmarkEnd w:id="68"/>
      <w:r w:rsidR="008D6041" w:rsidRPr="008D6041">
        <w:rPr>
          <w:rStyle w:val="NzevChar"/>
          <w:b/>
        </w:rPr>
        <w:t>atele (tis. Kč)</w:t>
      </w:r>
      <w:bookmarkEnd w:id="69"/>
    </w:p>
    <w:p w:rsidR="008D6041" w:rsidRDefault="008D6041" w:rsidP="008D6041">
      <w:pPr>
        <w:pStyle w:val="Tabgraf"/>
      </w:pPr>
      <w:r>
        <w:rPr>
          <w:noProof/>
          <w:lang w:eastAsia="cs-CZ"/>
        </w:rPr>
        <w:drawing>
          <wp:inline distT="0" distB="0" distL="0" distR="0" wp14:anchorId="67FE0D8C" wp14:editId="74CE204D">
            <wp:extent cx="6191250" cy="2857500"/>
            <wp:effectExtent l="0" t="0" r="0" b="0"/>
            <wp:docPr id="322" name="Obrázek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95378" cy="2859405"/>
                    </a:xfrm>
                    <a:prstGeom prst="rect">
                      <a:avLst/>
                    </a:prstGeom>
                    <a:noFill/>
                  </pic:spPr>
                </pic:pic>
              </a:graphicData>
            </a:graphic>
          </wp:inline>
        </w:drawing>
      </w:r>
    </w:p>
    <w:p w:rsidR="0009461F" w:rsidRPr="00CE2746" w:rsidRDefault="0009461F" w:rsidP="0009461F">
      <w:pPr>
        <w:rPr>
          <w:highlight w:val="yellow"/>
        </w:rPr>
      </w:pPr>
      <w:r w:rsidRPr="007B2E93">
        <w:rPr>
          <w:b/>
        </w:rPr>
        <w:t>Nedaňové příjmy</w:t>
      </w:r>
      <w:r w:rsidRPr="007B2E93">
        <w:t xml:space="preserve"> byly </w:t>
      </w:r>
      <w:r>
        <w:t>vykázány</w:t>
      </w:r>
      <w:r w:rsidRPr="007B2E93">
        <w:t xml:space="preserve"> ve výši </w:t>
      </w:r>
      <w:r w:rsidRPr="007B2E93">
        <w:rPr>
          <w:b/>
        </w:rPr>
        <w:t>37,5 mld. Kč</w:t>
      </w:r>
      <w:r w:rsidRPr="007B2E93">
        <w:t xml:space="preserve">, proti předchozímu roku byly </w:t>
      </w:r>
      <w:r w:rsidRPr="007B2E93">
        <w:rPr>
          <w:b/>
        </w:rPr>
        <w:t>vyšší o </w:t>
      </w:r>
      <w:r>
        <w:rPr>
          <w:b/>
        </w:rPr>
        <w:t>5,4 %, tj. </w:t>
      </w:r>
      <w:r w:rsidRPr="007B2E93">
        <w:rPr>
          <w:b/>
        </w:rPr>
        <w:t>o 1,9 </w:t>
      </w:r>
      <w:r>
        <w:rPr>
          <w:b/>
        </w:rPr>
        <w:t>mld. </w:t>
      </w:r>
      <w:r w:rsidRPr="007B2E93">
        <w:rPr>
          <w:b/>
        </w:rPr>
        <w:t>Kč.</w:t>
      </w:r>
      <w:r w:rsidRPr="007B2E93">
        <w:t xml:space="preserve"> Příjmy z pronájmu majetku, které představují objemově nejvýznamnější část, dosáhly 12,9</w:t>
      </w:r>
      <w:r>
        <w:t> </w:t>
      </w:r>
      <w:r w:rsidRPr="007B2E93">
        <w:t>mld.</w:t>
      </w:r>
      <w:r>
        <w:t xml:space="preserve"> Kč, tedy </w:t>
      </w:r>
      <w:r w:rsidRPr="007B2E93">
        <w:t>nárůst o 1,2 %.</w:t>
      </w:r>
      <w:r w:rsidR="000601CE">
        <w:t xml:space="preserve"> </w:t>
      </w:r>
      <w:r w:rsidR="000601CE" w:rsidRPr="000601CE">
        <w:t>K</w:t>
      </w:r>
      <w:r w:rsidR="000601CE">
        <w:t> </w:t>
      </w:r>
      <w:r w:rsidR="000601CE" w:rsidRPr="000601CE">
        <w:t>nárůstu</w:t>
      </w:r>
      <w:r w:rsidR="000601CE">
        <w:t xml:space="preserve"> příjmů z pronájmu</w:t>
      </w:r>
      <w:r w:rsidR="000601CE" w:rsidRPr="000601CE">
        <w:t>, byť mírnému, došlo i přes promíjení a</w:t>
      </w:r>
      <w:r w:rsidR="00B37AE3">
        <w:t> </w:t>
      </w:r>
      <w:r w:rsidR="000601CE" w:rsidRPr="000601CE">
        <w:t>snižování nájemného</w:t>
      </w:r>
      <w:r w:rsidR="00B37AE3">
        <w:t xml:space="preserve"> ze strany obcí, a to v souvislosti s epidemiologickou situací onemocnění</w:t>
      </w:r>
      <w:r w:rsidR="00B37AE3" w:rsidRPr="000601CE">
        <w:t xml:space="preserve"> COVID-19</w:t>
      </w:r>
      <w:r w:rsidR="000601CE" w:rsidRPr="000601CE">
        <w:t>.</w:t>
      </w:r>
      <w:r w:rsidRPr="007B2E93">
        <w:t xml:space="preserve"> Ve</w:t>
      </w:r>
      <w:r w:rsidR="00B37AE3">
        <w:t> </w:t>
      </w:r>
      <w:r w:rsidRPr="007B2E93">
        <w:t>druhé objemově nejvýznamnější skupině, kterou jsou příjmy z vlastní činnosti, činilo inkaso 10,2 mld. Kč a</w:t>
      </w:r>
      <w:r w:rsidR="00B37AE3">
        <w:t> </w:t>
      </w:r>
      <w:r w:rsidRPr="007B2E93">
        <w:t xml:space="preserve">zůstalo tak meziročně na podobné úrovni. </w:t>
      </w:r>
      <w:r w:rsidRPr="00E736EE">
        <w:t>Příjem z odvodů příspěvkových organizací se zvýšil o 13,0 %, tj.</w:t>
      </w:r>
      <w:r w:rsidR="00B37AE3">
        <w:t> </w:t>
      </w:r>
      <w:r w:rsidRPr="00E736EE">
        <w:t>o</w:t>
      </w:r>
      <w:r w:rsidR="00A20611">
        <w:t> </w:t>
      </w:r>
      <w:r w:rsidRPr="00E736EE">
        <w:t>0,1 mld. Kč. Nejvyšší nárůst byl vykázán v části výnosy z finančního majetku (příjmy z podílu na zisku a</w:t>
      </w:r>
      <w:r w:rsidR="00B37AE3">
        <w:t> </w:t>
      </w:r>
      <w:r w:rsidRPr="00E736EE">
        <w:t>dividend a příjmy z úroků), jejich celkový objem dosáhl 4,0</w:t>
      </w:r>
      <w:r w:rsidR="008D6041">
        <w:t> </w:t>
      </w:r>
      <w:r w:rsidRPr="00E736EE">
        <w:t>mld. Kč, což bylo o</w:t>
      </w:r>
      <w:r>
        <w:t> 15,1 %, tj. o </w:t>
      </w:r>
      <w:r w:rsidRPr="00E736EE">
        <w:t>0,5 mld. Kč více nežli v předchozím roce.</w:t>
      </w:r>
      <w:r w:rsidRPr="00CE2746">
        <w:rPr>
          <w:highlight w:val="yellow"/>
        </w:rPr>
        <w:t xml:space="preserve"> </w:t>
      </w:r>
    </w:p>
    <w:p w:rsidR="0009461F" w:rsidRPr="00CE2746" w:rsidRDefault="0009461F" w:rsidP="0009461F">
      <w:pPr>
        <w:rPr>
          <w:highlight w:val="yellow"/>
        </w:rPr>
      </w:pPr>
      <w:r w:rsidRPr="004F4539">
        <w:rPr>
          <w:b/>
        </w:rPr>
        <w:t>Kapitálové příjmy</w:t>
      </w:r>
      <w:r w:rsidRPr="004F4539">
        <w:t xml:space="preserve"> dosáhly </w:t>
      </w:r>
      <w:r w:rsidRPr="004F4539">
        <w:rPr>
          <w:b/>
        </w:rPr>
        <w:t>7,0 mld. Kč,</w:t>
      </w:r>
      <w:r w:rsidRPr="004F4539">
        <w:t xml:space="preserve"> proti předchozímu roku to bylo o 3,5 %, respektive o 0,2 mld. Kč více. </w:t>
      </w:r>
      <w:r w:rsidRPr="007816DD">
        <w:t xml:space="preserve">K růstu došlo na položkách: příjmy z </w:t>
      </w:r>
      <w:r>
        <w:t>prodeje pozemků byly vyšší</w:t>
      </w:r>
      <w:r w:rsidRPr="007816DD">
        <w:t xml:space="preserve"> o 0,4 mld. Kč, příjmy z prodeje nemovitostí o 0,1 mld. Kč. Naopak k poklesu došlo na položce příjmy z prodeje akcií o 0,3 mld. Kč.</w:t>
      </w:r>
    </w:p>
    <w:p w:rsidR="0009461F" w:rsidRPr="008C5A87" w:rsidRDefault="0009461F" w:rsidP="0009461F">
      <w:pPr>
        <w:pStyle w:val="Nzev"/>
      </w:pPr>
      <w:bookmarkStart w:id="70" w:name="_Toc66700407"/>
      <w:bookmarkStart w:id="71" w:name="_Toc66717172"/>
      <w:r w:rsidRPr="008C5A87">
        <w:rPr>
          <w:noProof/>
          <w:lang w:eastAsia="cs-CZ"/>
        </w:rPr>
        <w:drawing>
          <wp:anchor distT="0" distB="0" distL="114300" distR="114300" simplePos="0" relativeHeight="251662336" behindDoc="0" locked="0" layoutInCell="1" allowOverlap="1" wp14:anchorId="402E67F3" wp14:editId="48A38D89">
            <wp:simplePos x="0" y="0"/>
            <wp:positionH relativeFrom="margin">
              <wp:align>left</wp:align>
            </wp:positionH>
            <wp:positionV relativeFrom="paragraph">
              <wp:posOffset>404495</wp:posOffset>
            </wp:positionV>
            <wp:extent cx="4781550" cy="2940685"/>
            <wp:effectExtent l="0" t="0" r="0" b="0"/>
            <wp:wrapTopAndBottom/>
            <wp:docPr id="309" name="Obrázek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783328" cy="2942401"/>
                    </a:xfrm>
                    <a:prstGeom prst="rect">
                      <a:avLst/>
                    </a:prstGeom>
                    <a:noFill/>
                  </pic:spPr>
                </pic:pic>
              </a:graphicData>
            </a:graphic>
            <wp14:sizeRelH relativeFrom="margin">
              <wp14:pctWidth>0</wp14:pctWidth>
            </wp14:sizeRelH>
            <wp14:sizeRelV relativeFrom="margin">
              <wp14:pctHeight>0</wp14:pctHeight>
            </wp14:sizeRelV>
          </wp:anchor>
        </w:drawing>
      </w:r>
      <w:r w:rsidRPr="008C5A87">
        <w:t xml:space="preserve">Graf č. </w:t>
      </w:r>
      <w:fldSimple w:instr=" SEQ Graf_č. \* ARABIC ">
        <w:r>
          <w:rPr>
            <w:noProof/>
          </w:rPr>
          <w:t>7</w:t>
        </w:r>
      </w:fldSimple>
      <w:r w:rsidRPr="008C5A87">
        <w:t>: Příjmy obcí podle druhového členění rozpočtové skladby za rok 2020</w:t>
      </w:r>
      <w:r>
        <w:t xml:space="preserve"> </w:t>
      </w:r>
      <w:r w:rsidRPr="008C5A87">
        <w:t>(po konsolidaci)</w:t>
      </w:r>
      <w:bookmarkEnd w:id="70"/>
      <w:bookmarkEnd w:id="71"/>
    </w:p>
    <w:p w:rsidR="0009461F" w:rsidRPr="00CE2746" w:rsidRDefault="0009461F" w:rsidP="0009461F">
      <w:pPr>
        <w:pStyle w:val="Tabgraf"/>
        <w:rPr>
          <w:highlight w:val="yellow"/>
        </w:rPr>
      </w:pPr>
    </w:p>
    <w:p w:rsidR="0009461F" w:rsidRPr="00CE2746" w:rsidRDefault="0009461F" w:rsidP="0009461F">
      <w:pPr>
        <w:rPr>
          <w:i/>
          <w:highlight w:val="yellow"/>
        </w:rPr>
      </w:pPr>
      <w:r>
        <w:t>Další v</w:t>
      </w:r>
      <w:r w:rsidRPr="00A45578">
        <w:t xml:space="preserve">ýznamnou součástí příjmů obecních rozpočtů jsou </w:t>
      </w:r>
      <w:r w:rsidRPr="00A45578">
        <w:rPr>
          <w:b/>
        </w:rPr>
        <w:t>transfery</w:t>
      </w:r>
      <w:r w:rsidRPr="00A45578">
        <w:t>, které jsou posk</w:t>
      </w:r>
      <w:r>
        <w:t>ytovány ze státního rozpočtu, z rozpočtů</w:t>
      </w:r>
      <w:r w:rsidRPr="00A45578">
        <w:t xml:space="preserve"> státních fondů a z rozpočtů krajů. Celkový objem přijatých transferů činil </w:t>
      </w:r>
      <w:r w:rsidRPr="00A45578">
        <w:rPr>
          <w:b/>
        </w:rPr>
        <w:t>98,4 mld. Kč</w:t>
      </w:r>
      <w:r w:rsidRPr="00A45578">
        <w:t xml:space="preserve">, </w:t>
      </w:r>
      <w:r w:rsidRPr="00A45578">
        <w:lastRenderedPageBreak/>
        <w:t>proti předchozí</w:t>
      </w:r>
      <w:r>
        <w:t xml:space="preserve">mu roku to bylo </w:t>
      </w:r>
      <w:r w:rsidRPr="003C5B09">
        <w:rPr>
          <w:b/>
        </w:rPr>
        <w:t>o</w:t>
      </w:r>
      <w:r>
        <w:rPr>
          <w:b/>
        </w:rPr>
        <w:t xml:space="preserve"> 27,7 %, respektive o</w:t>
      </w:r>
      <w:r w:rsidRPr="003C5B09">
        <w:rPr>
          <w:b/>
        </w:rPr>
        <w:t> 21,3 mld. Kč</w:t>
      </w:r>
      <w:r>
        <w:rPr>
          <w:b/>
        </w:rPr>
        <w:t xml:space="preserve"> </w:t>
      </w:r>
      <w:r w:rsidRPr="003C5B09">
        <w:rPr>
          <w:b/>
        </w:rPr>
        <w:t>více</w:t>
      </w:r>
      <w:r w:rsidRPr="00A45578">
        <w:t>. Vyšší růst byl vykázán v části neinvestičních transferů, dosáhly 70,9</w:t>
      </w:r>
      <w:r>
        <w:t> </w:t>
      </w:r>
      <w:r w:rsidRPr="00A45578">
        <w:t xml:space="preserve">mld. Kč, meziročně </w:t>
      </w:r>
      <w:r>
        <w:t xml:space="preserve">došlo k růstu </w:t>
      </w:r>
      <w:r w:rsidRPr="00A45578">
        <w:t xml:space="preserve">o 31,9 %, tj. o 17,2 mld. Kč více. Investiční transfery vzrostly o </w:t>
      </w:r>
      <w:r>
        <w:t>17,9 %, tj. o 4,2 mld. </w:t>
      </w:r>
      <w:r w:rsidRPr="00A45578">
        <w:t>Kč a dosáhly 2</w:t>
      </w:r>
      <w:r>
        <w:t>7,4</w:t>
      </w:r>
      <w:r w:rsidRPr="00A45578">
        <w:t> mld. Kč. Podíl transferů na celkových příjmech obcí dosáhl 26,3 %, tj. o 5,2 procentní</w:t>
      </w:r>
      <w:r>
        <w:t>ho</w:t>
      </w:r>
      <w:r w:rsidRPr="00A45578">
        <w:t xml:space="preserve"> bod</w:t>
      </w:r>
      <w:r>
        <w:t>u</w:t>
      </w:r>
      <w:r w:rsidRPr="00A45578">
        <w:t xml:space="preserve"> více nežli v roce 2019</w:t>
      </w:r>
      <w:r w:rsidRPr="00A45578">
        <w:rPr>
          <w:i/>
        </w:rPr>
        <w:t>.</w:t>
      </w:r>
    </w:p>
    <w:p w:rsidR="0009461F" w:rsidRPr="00A611B9" w:rsidRDefault="0009461F" w:rsidP="0009461F">
      <w:pPr>
        <w:rPr>
          <w:b/>
          <w:highlight w:val="yellow"/>
        </w:rPr>
      </w:pPr>
      <w:r w:rsidRPr="00AA3E98">
        <w:t xml:space="preserve">Rozhodující část tvořily </w:t>
      </w:r>
      <w:r w:rsidRPr="003C5B09">
        <w:rPr>
          <w:b/>
        </w:rPr>
        <w:t>transfery ze státního rozpočtu</w:t>
      </w:r>
      <w:r w:rsidRPr="00AA3E98">
        <w:t xml:space="preserve"> (včetně prostředků</w:t>
      </w:r>
      <w:r>
        <w:t xml:space="preserve"> z rozpočtu Národního fondu), dosáhly </w:t>
      </w:r>
      <w:r w:rsidRPr="00A611B9">
        <w:rPr>
          <w:b/>
        </w:rPr>
        <w:t>78,8 mld. Kč</w:t>
      </w:r>
      <w:r w:rsidRPr="00AA3E98">
        <w:t xml:space="preserve"> (v předchozím roce 59,3 mld.</w:t>
      </w:r>
      <w:r>
        <w:t xml:space="preserve"> Kč). Z rozpočtů</w:t>
      </w:r>
      <w:r w:rsidRPr="00FE3171">
        <w:t xml:space="preserve"> </w:t>
      </w:r>
      <w:r w:rsidRPr="00A611B9">
        <w:rPr>
          <w:b/>
        </w:rPr>
        <w:t>státních fondů</w:t>
      </w:r>
      <w:r w:rsidRPr="00FE3171">
        <w:t xml:space="preserve"> získaly obce </w:t>
      </w:r>
      <w:r w:rsidRPr="00A611B9">
        <w:rPr>
          <w:b/>
        </w:rPr>
        <w:t>3,8 mld. Kč</w:t>
      </w:r>
      <w:r w:rsidRPr="00FE3171">
        <w:t xml:space="preserve"> </w:t>
      </w:r>
      <w:r>
        <w:t>a </w:t>
      </w:r>
      <w:r w:rsidRPr="00A611B9">
        <w:rPr>
          <w:b/>
        </w:rPr>
        <w:t>z rozpočtů krajů 7,5 mld. Kč</w:t>
      </w:r>
      <w:r w:rsidRPr="00FE3171">
        <w:t>, z</w:t>
      </w:r>
      <w:r>
        <w:t> rozpočtů vlastních fondů</w:t>
      </w:r>
      <w:r w:rsidRPr="00FE3171">
        <w:t xml:space="preserve"> </w:t>
      </w:r>
      <w:r>
        <w:t>podnikatelské (hospodářské)</w:t>
      </w:r>
      <w:r w:rsidRPr="00FE3171">
        <w:t xml:space="preserve"> činnosti si obce do svých rozpočtů převedly 6,1 mld. K</w:t>
      </w:r>
      <w:r>
        <w:t>č</w:t>
      </w:r>
      <w:r w:rsidRPr="002621F3">
        <w:t xml:space="preserve">. </w:t>
      </w:r>
    </w:p>
    <w:p w:rsidR="0009461F" w:rsidRPr="004B2EF6" w:rsidRDefault="0009461F" w:rsidP="0009461F">
      <w:r w:rsidRPr="004B2EF6">
        <w:rPr>
          <w:b/>
        </w:rPr>
        <w:t>Transfery ze státního rozpočtu</w:t>
      </w:r>
      <w:r w:rsidRPr="004B2EF6">
        <w:t xml:space="preserve"> zahrnují dotace z kapitoly VPS poskytované v rámci finančního vztahu státního rozpočtu k rozpočtům obcí v úhrnech po jednotlivých krajích a finančního vztahu státního rozpočtu k rozpočtu hl</w:t>
      </w:r>
      <w:r>
        <w:t>.</w:t>
      </w:r>
      <w:r w:rsidRPr="004B2EF6">
        <w:t xml:space="preserve"> m</w:t>
      </w:r>
      <w:r>
        <w:t>.</w:t>
      </w:r>
      <w:r w:rsidRPr="004B2EF6">
        <w:t xml:space="preserve"> Prahy (přílohy č. 6 a č. 7 k zákonu o státním rozpočtu na rok 2020</w:t>
      </w:r>
      <w:r>
        <w:t>), dále ostatní dotace z </w:t>
      </w:r>
      <w:r w:rsidRPr="004B2EF6">
        <w:t>kapitoly VPS a dotace z ostatních kapitol státního rozpočtu.</w:t>
      </w:r>
    </w:p>
    <w:p w:rsidR="0009461F" w:rsidRPr="00CE2746" w:rsidRDefault="0009461F" w:rsidP="0009461F">
      <w:pPr>
        <w:rPr>
          <w:highlight w:val="yellow"/>
        </w:rPr>
      </w:pPr>
      <w:r w:rsidRPr="00FB54E9">
        <w:t>Obsahem finančních vztahů státního rozpočtu k rozpočtům obcí (vč</w:t>
      </w:r>
      <w:r>
        <w:t>etně</w:t>
      </w:r>
      <w:r w:rsidRPr="00FB54E9">
        <w:t xml:space="preserve"> hl. m. Prahy) v úhrnech po jednotlivých krajích je </w:t>
      </w:r>
      <w:r w:rsidRPr="00FB54E9">
        <w:rPr>
          <w:b/>
        </w:rPr>
        <w:t xml:space="preserve">příspěvek na výkon státní správy. </w:t>
      </w:r>
      <w:r w:rsidRPr="00FB54E9">
        <w:t xml:space="preserve">Pro rok 2020 zůstala zachována </w:t>
      </w:r>
      <w:r w:rsidRPr="00FB54E9">
        <w:rPr>
          <w:bCs/>
        </w:rPr>
        <w:t xml:space="preserve">pro všechny kategorie obcí kumulovaná konstrukce příspěvku, tj. příspěvek představuje součet dílčích částek vypočtených pro jednotlivé oblasti správních působností, které obce vykonávají </w:t>
      </w:r>
      <w:r w:rsidRPr="00FB54E9">
        <w:t>(základní působnost, působnost matričního úřadu, působnost stavebního úřadu, působnost</w:t>
      </w:r>
      <w:r w:rsidRPr="00FB54E9">
        <w:rPr>
          <w:b/>
          <w:bCs/>
        </w:rPr>
        <w:t xml:space="preserve"> </w:t>
      </w:r>
      <w:r w:rsidRPr="00FB54E9">
        <w:t>pověřeného ob</w:t>
      </w:r>
      <w:r>
        <w:t>ecního úřadu a</w:t>
      </w:r>
      <w:r w:rsidR="00B37AE3">
        <w:t> </w:t>
      </w:r>
      <w:r>
        <w:t>působnost obce s </w:t>
      </w:r>
      <w:r w:rsidRPr="00FB54E9">
        <w:t>rozšířenou působností). U některých agend bylo zavedeno výkonové financování, např. na zajištění výkonu veřejného opatrovnictví obcemi, na vydávání občanských průkazů, na financování úřadů územního plánování, na výkon činnosti jednotných kontaktních míst.</w:t>
      </w:r>
      <w:r w:rsidRPr="00FB54E9">
        <w:rPr>
          <w:b/>
          <w:bCs/>
        </w:rPr>
        <w:t xml:space="preserve"> </w:t>
      </w:r>
      <w:r w:rsidRPr="00FB54E9">
        <w:rPr>
          <w:bCs/>
        </w:rPr>
        <w:t xml:space="preserve">Celkový objem příspěvku na výkon státní správy byl meziročně </w:t>
      </w:r>
      <w:r w:rsidRPr="00FB54E9">
        <w:rPr>
          <w:b/>
          <w:bCs/>
        </w:rPr>
        <w:t>valorizován v průměru o 4,64 %</w:t>
      </w:r>
      <w:r w:rsidRPr="00FB54E9">
        <w:rPr>
          <w:bCs/>
        </w:rPr>
        <w:t>.</w:t>
      </w:r>
    </w:p>
    <w:p w:rsidR="0009461F" w:rsidRDefault="0009461F" w:rsidP="0009461F">
      <w:r w:rsidRPr="00C8651B">
        <w:t xml:space="preserve">Celková výše </w:t>
      </w:r>
      <w:r w:rsidRPr="00D311E1">
        <w:rPr>
          <w:b/>
        </w:rPr>
        <w:t>příspěvku na výkon státní správy pro obce</w:t>
      </w:r>
      <w:r w:rsidRPr="00C8651B">
        <w:t xml:space="preserve"> (vč. hl. m. Prahy) pro rok 2020 byla </w:t>
      </w:r>
      <w:r>
        <w:rPr>
          <w:b/>
          <w:bCs/>
        </w:rPr>
        <w:t>10,9</w:t>
      </w:r>
      <w:r w:rsidRPr="00C8651B">
        <w:rPr>
          <w:b/>
          <w:bCs/>
        </w:rPr>
        <w:t xml:space="preserve"> mld. Kč</w:t>
      </w:r>
      <w:r>
        <w:t>, z </w:t>
      </w:r>
      <w:r w:rsidRPr="00C8651B">
        <w:t xml:space="preserve">toho obcím v jednotlivých krajích bylo určeno </w:t>
      </w:r>
      <w:r w:rsidRPr="00C8651B">
        <w:rPr>
          <w:bCs/>
        </w:rPr>
        <w:t xml:space="preserve">9,8 mld. Kč </w:t>
      </w:r>
      <w:r w:rsidRPr="00C8651B">
        <w:t xml:space="preserve">a hl. m. Praze </w:t>
      </w:r>
      <w:r>
        <w:rPr>
          <w:bCs/>
        </w:rPr>
        <w:t>1,1</w:t>
      </w:r>
      <w:r w:rsidRPr="00C8651B">
        <w:rPr>
          <w:bCs/>
        </w:rPr>
        <w:t> mld. Kč</w:t>
      </w:r>
      <w:r w:rsidRPr="00C8651B">
        <w:t xml:space="preserve">. </w:t>
      </w:r>
    </w:p>
    <w:p w:rsidR="0009461F" w:rsidRPr="00C8651B" w:rsidRDefault="0009461F" w:rsidP="0009461F">
      <w:r>
        <w:t xml:space="preserve">Růst neinvestičních transferů z rozpočtu kapitoly VPS představuje především poskytnutý </w:t>
      </w:r>
      <w:r w:rsidRPr="0074246F">
        <w:rPr>
          <w:b/>
        </w:rPr>
        <w:t>jednorázový příspěvek obcím</w:t>
      </w:r>
      <w:r>
        <w:t xml:space="preserve"> na </w:t>
      </w:r>
      <w:r w:rsidR="00CB3AD2" w:rsidRPr="00CB3AD2">
        <w:t>kompenzaci propadu daňových příjmů způsobeného výplatou kompenzačního bonusu podnikatelům</w:t>
      </w:r>
      <w:r>
        <w:t xml:space="preserve"> </w:t>
      </w:r>
      <w:r w:rsidRPr="0074246F">
        <w:rPr>
          <w:b/>
        </w:rPr>
        <w:t>v celkové výši 13,4 mld. Kč</w:t>
      </w:r>
      <w:r>
        <w:t>.</w:t>
      </w:r>
    </w:p>
    <w:p w:rsidR="0009461F" w:rsidRPr="008C5A87" w:rsidRDefault="0009461F" w:rsidP="0009461F">
      <w:pPr>
        <w:rPr>
          <w:highlight w:val="yellow"/>
        </w:rPr>
      </w:pPr>
      <w:r w:rsidRPr="00532303">
        <w:rPr>
          <w:b/>
        </w:rPr>
        <w:t>Investiční transfery</w:t>
      </w:r>
      <w:r w:rsidRPr="00532303">
        <w:t xml:space="preserve"> </w:t>
      </w:r>
      <w:r w:rsidRPr="00532303">
        <w:rPr>
          <w:b/>
        </w:rPr>
        <w:t>přijaté z kapitoly VPS</w:t>
      </w:r>
      <w:r w:rsidRPr="00532303">
        <w:t xml:space="preserve"> dosáhly 3,7 mld. Kč (z toho 3,3 mld. Kč činily prostředky poskytnuté na akce financované z rozhodnutí Poslanecké sněmovny Parlamentu a vlády ČR, které byly především určené na </w:t>
      </w:r>
      <w:r>
        <w:t>podporu rozvoje a obnovy materiálně technické základny regionálního školství v působnosti obcí). Dotace jsou určeny na odstraňování havarijních stavů, opravy, modernizace a</w:t>
      </w:r>
      <w:r w:rsidR="00B37AE3">
        <w:t> </w:t>
      </w:r>
      <w:r>
        <w:t>rekonstrukce, případně výstavbu nových kapacit základních a mateřských škol v majetku obcí či DSO, včetně zázemí, vyjma venkovních hřiš</w:t>
      </w:r>
      <w:r w:rsidRPr="008F7D10">
        <w:t>ť.</w:t>
      </w:r>
    </w:p>
    <w:p w:rsidR="0009461F" w:rsidRPr="008C5A87" w:rsidRDefault="0009461F" w:rsidP="0009461F">
      <w:pPr>
        <w:rPr>
          <w:highlight w:val="yellow"/>
        </w:rPr>
      </w:pPr>
      <w:r w:rsidRPr="00B72A1A">
        <w:t xml:space="preserve">Největší část transferů přijímají obce přímo </w:t>
      </w:r>
      <w:r w:rsidRPr="00B72A1A">
        <w:rPr>
          <w:b/>
        </w:rPr>
        <w:t>z rozpočtů jednotlivýc</w:t>
      </w:r>
      <w:r>
        <w:rPr>
          <w:b/>
        </w:rPr>
        <w:t>h kapitol státního rozpočtu a z rozpočtů</w:t>
      </w:r>
      <w:r w:rsidRPr="00B72A1A">
        <w:rPr>
          <w:b/>
        </w:rPr>
        <w:t xml:space="preserve"> státních fondů.</w:t>
      </w:r>
      <w:r w:rsidRPr="00B72A1A">
        <w:t xml:space="preserve"> V průběhu roku 2020 přijaly </w:t>
      </w:r>
      <w:r>
        <w:t xml:space="preserve">obce </w:t>
      </w:r>
      <w:r w:rsidRPr="00B72A1A">
        <w:t xml:space="preserve">z rozpočtů ústředních orgánů státní správy a </w:t>
      </w:r>
      <w:r>
        <w:t xml:space="preserve">z rozpočtů </w:t>
      </w:r>
      <w:r w:rsidRPr="00B72A1A">
        <w:t xml:space="preserve">státních fondů (bez kapitoly VPS a </w:t>
      </w:r>
      <w:r>
        <w:t>z rozpočtu</w:t>
      </w:r>
      <w:r w:rsidRPr="00B72A1A">
        <w:t xml:space="preserve"> Národního fondu) celkem </w:t>
      </w:r>
      <w:r w:rsidRPr="00B72A1A">
        <w:rPr>
          <w:b/>
        </w:rPr>
        <w:t>53,9 mld. Kč</w:t>
      </w:r>
      <w:r w:rsidRPr="00B72A1A">
        <w:t>, což bylo o 4,3 mld. Kč více nežli v roce 201</w:t>
      </w:r>
      <w:r w:rsidRPr="00DA77D4">
        <w:t>9. Nárůst se týkal především oblastí práce a sociálních věcí</w:t>
      </w:r>
      <w:r>
        <w:t>, regionálního rozvoje a </w:t>
      </w:r>
      <w:r w:rsidRPr="00DA77D4">
        <w:t>zemědělství.</w:t>
      </w:r>
    </w:p>
    <w:p w:rsidR="0009461F" w:rsidRPr="00D11B21" w:rsidRDefault="0009461F" w:rsidP="0009461F">
      <w:pPr>
        <w:rPr>
          <w:highlight w:val="yellow"/>
        </w:rPr>
      </w:pPr>
      <w:r w:rsidRPr="00D11B21">
        <w:t xml:space="preserve">Z rozpočtu </w:t>
      </w:r>
      <w:r>
        <w:t xml:space="preserve">kapitoly </w:t>
      </w:r>
      <w:r w:rsidRPr="00A16DBA">
        <w:rPr>
          <w:b/>
        </w:rPr>
        <w:t>Ministerstvo práce a sociálních věcí přijaly</w:t>
      </w:r>
      <w:r w:rsidRPr="00D11B21">
        <w:t xml:space="preserve"> obce transfery v celkové výši </w:t>
      </w:r>
      <w:r w:rsidRPr="00A16DBA">
        <w:rPr>
          <w:b/>
        </w:rPr>
        <w:t>6,6 mld. Kč</w:t>
      </w:r>
      <w:r w:rsidRPr="00D11B21">
        <w:t>. Jednalo se především o transfery určené na výkon činnosti obcí s rozšířenou působností v oblasti sociálně-právní ochrany dětí a neinvestiční nedávkové transfer</w:t>
      </w:r>
      <w:r>
        <w:t xml:space="preserve">y podle zákona č. 108/2006 Sb. </w:t>
      </w:r>
      <w:r w:rsidRPr="00D11B21">
        <w:t xml:space="preserve">(1,6 mld. Kč). </w:t>
      </w:r>
      <w:r w:rsidRPr="00815B54">
        <w:t>Další prostředky byly obcím uvolněny na Operační program Zaměstnanost (1,2 mld. Kč), prostředky v rámci neinvestičních nedávkových transferů podle zákona č. 108/2006 Sb. (1,4 mld. Kč) nebo například prostředky určené na řešení naléhavých potřeb při zabezpečení provozu sociálních služeb zřízených a provozovaných obcemi (1,1 mld. Kč).</w:t>
      </w:r>
    </w:p>
    <w:p w:rsidR="0009461F" w:rsidRPr="008C5A87" w:rsidRDefault="0009461F" w:rsidP="0009461F">
      <w:pPr>
        <w:rPr>
          <w:highlight w:val="yellow"/>
        </w:rPr>
      </w:pPr>
      <w:r w:rsidRPr="00815B54">
        <w:t xml:space="preserve">Z kapitoly </w:t>
      </w:r>
      <w:r>
        <w:rPr>
          <w:b/>
        </w:rPr>
        <w:t>Ministerstvo</w:t>
      </w:r>
      <w:r w:rsidRPr="00815B54">
        <w:rPr>
          <w:b/>
        </w:rPr>
        <w:t xml:space="preserve"> pro místní rozvoj</w:t>
      </w:r>
      <w:r w:rsidRPr="00815B54">
        <w:t xml:space="preserve"> obdržely obce prostředky ve výši </w:t>
      </w:r>
      <w:r w:rsidRPr="00815B54">
        <w:rPr>
          <w:b/>
        </w:rPr>
        <w:t>11,4 mld. Kč</w:t>
      </w:r>
      <w:r w:rsidRPr="00815B54">
        <w:t xml:space="preserve"> (10,5 mld. Kč v roce 2019). </w:t>
      </w:r>
      <w:r>
        <w:t>Peněžní p</w:t>
      </w:r>
      <w:r w:rsidRPr="007B45CE">
        <w:t>rostředky byly p</w:t>
      </w:r>
      <w:r>
        <w:t>oskytnuty</w:t>
      </w:r>
      <w:r w:rsidRPr="007B45CE">
        <w:t xml:space="preserve"> především v rámci Integrovaného regionálního operačního programu (IROP), který je zaměřen na dopravní infrastrukturu a obslužnost, sociální problematiku, energetické úspory v oblasti bydlení a další (6,9 mld. Kč). Dále byly z kapitoly uvolněny</w:t>
      </w:r>
      <w:r>
        <w:t xml:space="preserve"> další peněžní</w:t>
      </w:r>
      <w:r w:rsidRPr="007B45CE">
        <w:t xml:space="preserve"> prostředky </w:t>
      </w:r>
      <w:r>
        <w:t>na podporu rozvoje regio</w:t>
      </w:r>
      <w:r w:rsidRPr="007B45CE">
        <w:t>nů</w:t>
      </w:r>
      <w:r>
        <w:t xml:space="preserve"> ve výši </w:t>
      </w:r>
      <w:r w:rsidRPr="007B45CE">
        <w:t>1,4 mld. Kč.</w:t>
      </w:r>
    </w:p>
    <w:p w:rsidR="0009461F" w:rsidRPr="008C5A87" w:rsidRDefault="0009461F" w:rsidP="0009461F">
      <w:pPr>
        <w:pStyle w:val="Nzev"/>
        <w:rPr>
          <w:highlight w:val="yellow"/>
        </w:rPr>
      </w:pPr>
      <w:bookmarkStart w:id="72" w:name="_Toc66700393"/>
      <w:bookmarkStart w:id="73" w:name="_Toc66717153"/>
      <w:r w:rsidRPr="00060109">
        <w:lastRenderedPageBreak/>
        <w:t xml:space="preserve">Tabulka č. </w:t>
      </w:r>
      <w:fldSimple w:instr=" SEQ Tabulka_č. \* ARABIC ">
        <w:r>
          <w:rPr>
            <w:noProof/>
          </w:rPr>
          <w:t>14</w:t>
        </w:r>
      </w:fldSimple>
      <w:r w:rsidRPr="00060109">
        <w:rPr>
          <w:noProof/>
        </w:rPr>
        <w:t>:</w:t>
      </w:r>
      <w:r w:rsidRPr="00060109">
        <w:t xml:space="preserve"> Přehled o transferech a </w:t>
      </w:r>
      <w:r>
        <w:t>zá</w:t>
      </w:r>
      <w:r w:rsidRPr="00060109">
        <w:t>půjčkách přijatých obcemi ze státního rozpočtu</w:t>
      </w:r>
      <w:r>
        <w:t xml:space="preserve"> a z rozpočtů</w:t>
      </w:r>
      <w:r w:rsidRPr="00060109">
        <w:t xml:space="preserve"> státních fondů v roce 2020 (mil. Kč)</w:t>
      </w:r>
      <w:bookmarkEnd w:id="72"/>
      <w:bookmarkEnd w:id="73"/>
    </w:p>
    <w:p w:rsidR="008D6041" w:rsidRDefault="008D6041" w:rsidP="008D6041">
      <w:pPr>
        <w:pStyle w:val="Tabgraf"/>
      </w:pPr>
      <w:r w:rsidRPr="008D6041">
        <w:rPr>
          <w:noProof/>
          <w:lang w:eastAsia="cs-CZ"/>
        </w:rPr>
        <w:drawing>
          <wp:inline distT="0" distB="0" distL="0" distR="0" wp14:anchorId="4EF02E1E" wp14:editId="5240AEBC">
            <wp:extent cx="5505450" cy="4337899"/>
            <wp:effectExtent l="0" t="0" r="0" b="5715"/>
            <wp:docPr id="323" name="Obrázek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505450" cy="4337899"/>
                    </a:xfrm>
                    <a:prstGeom prst="rect">
                      <a:avLst/>
                    </a:prstGeom>
                    <a:noFill/>
                    <a:ln>
                      <a:noFill/>
                    </a:ln>
                  </pic:spPr>
                </pic:pic>
              </a:graphicData>
            </a:graphic>
          </wp:inline>
        </w:drawing>
      </w:r>
    </w:p>
    <w:p w:rsidR="0009461F" w:rsidRPr="008C5A87" w:rsidRDefault="0009461F" w:rsidP="0009461F">
      <w:pPr>
        <w:rPr>
          <w:highlight w:val="yellow"/>
        </w:rPr>
      </w:pPr>
      <w:r>
        <w:t>Peněžní prostředky</w:t>
      </w:r>
      <w:r w:rsidRPr="00D41812">
        <w:t xml:space="preserve"> ve výši </w:t>
      </w:r>
      <w:r w:rsidRPr="00D41812">
        <w:rPr>
          <w:b/>
        </w:rPr>
        <w:t>5,7 mld. Kč</w:t>
      </w:r>
      <w:r>
        <w:t>, které</w:t>
      </w:r>
      <w:r w:rsidRPr="00D41812">
        <w:t xml:space="preserve"> meziročně zůstaly na podobné úrovni, obdržely obce z kapitoly </w:t>
      </w:r>
      <w:r>
        <w:rPr>
          <w:b/>
        </w:rPr>
        <w:t>Ministerstvo</w:t>
      </w:r>
      <w:r w:rsidRPr="00D41812">
        <w:rPr>
          <w:b/>
        </w:rPr>
        <w:t xml:space="preserve"> životního prostředí</w:t>
      </w:r>
      <w:r w:rsidRPr="00D41812">
        <w:t xml:space="preserve">, </w:t>
      </w:r>
      <w:r w:rsidRPr="004C2941">
        <w:t>z toho značnou část tvořily investiční transfery poskytované v rámci projektů v rámci Operačního programu Životní prostředí zaměřených na výstavbu a technickou obnovu kanalizací, čističek odpadních vod a rovněž na protipovodňová opatření. Další prostředky podpořily opatření ke zlepšování kvality ovzduší, zateplování objektů, rekultivaci starých skládek apod.</w:t>
      </w:r>
    </w:p>
    <w:p w:rsidR="0009461F" w:rsidRPr="008C5A87" w:rsidRDefault="0009461F" w:rsidP="0009461F">
      <w:pPr>
        <w:rPr>
          <w:highlight w:val="yellow"/>
        </w:rPr>
      </w:pPr>
      <w:r w:rsidRPr="007578BA">
        <w:t xml:space="preserve">Transfery přijaté z kapitoly </w:t>
      </w:r>
      <w:r w:rsidRPr="007578BA">
        <w:rPr>
          <w:b/>
        </w:rPr>
        <w:t>Ministerstv</w:t>
      </w:r>
      <w:r>
        <w:rPr>
          <w:b/>
        </w:rPr>
        <w:t>o</w:t>
      </w:r>
      <w:r w:rsidRPr="007578BA">
        <w:rPr>
          <w:b/>
        </w:rPr>
        <w:t xml:space="preserve"> zemědělství</w:t>
      </w:r>
      <w:r w:rsidRPr="007578BA">
        <w:t xml:space="preserve"> činily </w:t>
      </w:r>
      <w:r w:rsidRPr="007578BA">
        <w:rPr>
          <w:b/>
        </w:rPr>
        <w:t>2,7 mld. Kč (meziročně o 82,8 % více)</w:t>
      </w:r>
      <w:r w:rsidRPr="002F3881">
        <w:t>.</w:t>
      </w:r>
      <w:r w:rsidRPr="007578BA">
        <w:t xml:space="preserve"> </w:t>
      </w:r>
      <w:r w:rsidRPr="00A244DE">
        <w:t>Investiční prostředky směřovaly především na podporu výstavby a technického zhodnocení vodovodů a kanalizací pro veřejnou potřebu. Neinvestiční prostředky byly určeny na opatření v oblasti hospodaření v lesích a na obnovu lesních porostů.</w:t>
      </w:r>
    </w:p>
    <w:p w:rsidR="0009461F" w:rsidRPr="008C5A87" w:rsidRDefault="0009461F" w:rsidP="0009461F">
      <w:pPr>
        <w:rPr>
          <w:highlight w:val="yellow"/>
        </w:rPr>
      </w:pPr>
      <w:r w:rsidRPr="00062E00">
        <w:t xml:space="preserve">Z kapitoly </w:t>
      </w:r>
      <w:r>
        <w:rPr>
          <w:b/>
        </w:rPr>
        <w:t>Ministerstvo</w:t>
      </w:r>
      <w:r w:rsidRPr="00062E00">
        <w:rPr>
          <w:b/>
        </w:rPr>
        <w:t xml:space="preserve"> školství, mládeže a tělovýchovy</w:t>
      </w:r>
      <w:r w:rsidRPr="00062E00">
        <w:t xml:space="preserve"> byly poskytnuty transfery v celkové výši </w:t>
      </w:r>
      <w:r w:rsidRPr="00062E00">
        <w:rPr>
          <w:b/>
        </w:rPr>
        <w:t>20,9</w:t>
      </w:r>
      <w:r>
        <w:rPr>
          <w:b/>
        </w:rPr>
        <w:t> mld. </w:t>
      </w:r>
      <w:r w:rsidRPr="00062E00">
        <w:rPr>
          <w:b/>
        </w:rPr>
        <w:t>Kč</w:t>
      </w:r>
      <w:r>
        <w:rPr>
          <w:b/>
        </w:rPr>
        <w:t xml:space="preserve">, </w:t>
      </w:r>
      <w:r w:rsidRPr="00B37AE3">
        <w:rPr>
          <w:b/>
        </w:rPr>
        <w:t>meziroční pokles o 5,8 %</w:t>
      </w:r>
      <w:r>
        <w:t>. Peněžní p</w:t>
      </w:r>
      <w:r w:rsidRPr="00CE4519">
        <w:t>rostředky určené na přímé náklady na vzdělávání činily 16,7 mld. Kč a dotace pro soukromé školy 2,3</w:t>
      </w:r>
      <w:r>
        <w:t xml:space="preserve"> mld. Kč, jedná se o peněžní prostředky </w:t>
      </w:r>
      <w:r w:rsidR="00B37AE3">
        <w:t xml:space="preserve">pro základní a střední školy zřizované </w:t>
      </w:r>
      <w:r>
        <w:t>hl. m. Prah</w:t>
      </w:r>
      <w:r w:rsidR="00912425">
        <w:t>o</w:t>
      </w:r>
      <w:r>
        <w:t>u</w:t>
      </w:r>
      <w:r w:rsidRPr="00CE4519">
        <w:t xml:space="preserve">. Významnou část dále tvořily prostředky určené </w:t>
      </w:r>
      <w:r>
        <w:t>na realizaci projektů v rámci Operačního programu</w:t>
      </w:r>
      <w:r w:rsidRPr="00CE4519">
        <w:t xml:space="preserve"> Výzkum, vývoj a vzdělávání – Rovný přístup ke kvalitnímu předškolnímu, primárním</w:t>
      </w:r>
      <w:r>
        <w:t>u a </w:t>
      </w:r>
      <w:r w:rsidRPr="00CE4519">
        <w:t>sekundárnímu vzdělávání (1,4 mld. Kč). Přijaté investiční transfery byly určeny na rozvoj výukových kapacit mateřských škol a základních škol (0,2 mld. Kč) a na podporu materiálně technické základny spo</w:t>
      </w:r>
      <w:r>
        <w:t>rtu (0,2 mld. </w:t>
      </w:r>
      <w:r w:rsidRPr="00CE4519">
        <w:t xml:space="preserve">Kč). </w:t>
      </w:r>
    </w:p>
    <w:p w:rsidR="0009461F" w:rsidRPr="008C5A87" w:rsidRDefault="0009461F" w:rsidP="0009461F">
      <w:pPr>
        <w:rPr>
          <w:highlight w:val="yellow"/>
        </w:rPr>
      </w:pPr>
      <w:r w:rsidRPr="000A7EDF">
        <w:t xml:space="preserve">Z rozpočtu </w:t>
      </w:r>
      <w:r>
        <w:t xml:space="preserve">kapitoly </w:t>
      </w:r>
      <w:r>
        <w:rPr>
          <w:b/>
        </w:rPr>
        <w:t>Ministerstvo</w:t>
      </w:r>
      <w:r w:rsidRPr="000A7EDF">
        <w:rPr>
          <w:b/>
        </w:rPr>
        <w:t xml:space="preserve"> vnitra</w:t>
      </w:r>
      <w:r w:rsidRPr="000A7EDF">
        <w:t xml:space="preserve"> obce přijaly transfery ve výši </w:t>
      </w:r>
      <w:r w:rsidRPr="000A7EDF">
        <w:rPr>
          <w:b/>
        </w:rPr>
        <w:t>0,5 mld. Kč</w:t>
      </w:r>
      <w:r w:rsidRPr="000A7EDF">
        <w:t xml:space="preserve">, které byly určeny především na pořízení a obnovu majetku jednotek sboru dobrovolných hasičů obcí a na </w:t>
      </w:r>
      <w:r>
        <w:t>podporu prevence kriminality na </w:t>
      </w:r>
      <w:r w:rsidRPr="000A7EDF">
        <w:t xml:space="preserve">místní úrovni. </w:t>
      </w:r>
      <w:r w:rsidRPr="00FC726A">
        <w:t xml:space="preserve">Z rozpočtu </w:t>
      </w:r>
      <w:r>
        <w:t xml:space="preserve">kapitoly </w:t>
      </w:r>
      <w:r w:rsidRPr="00FC726A">
        <w:rPr>
          <w:b/>
        </w:rPr>
        <w:t>Mi</w:t>
      </w:r>
      <w:r>
        <w:rPr>
          <w:b/>
        </w:rPr>
        <w:t>nisterstvo</w:t>
      </w:r>
      <w:r w:rsidRPr="00FC726A">
        <w:rPr>
          <w:b/>
        </w:rPr>
        <w:t xml:space="preserve"> kultury</w:t>
      </w:r>
      <w:r w:rsidRPr="00FC726A">
        <w:t xml:space="preserve"> přijaly obce </w:t>
      </w:r>
      <w:r w:rsidRPr="00FC726A">
        <w:rPr>
          <w:b/>
        </w:rPr>
        <w:t>0,7 mld. Kč</w:t>
      </w:r>
      <w:r w:rsidRPr="00FC726A">
        <w:t>, prostředky byly určeny zejména na Program státní podpory profesionálních divadel a stálých profesionálních</w:t>
      </w:r>
      <w:r>
        <w:t xml:space="preserve"> symfonických orchestrů a </w:t>
      </w:r>
      <w:r w:rsidRPr="00FC726A">
        <w:t>pěveckých sborů a na Program regenerace m</w:t>
      </w:r>
      <w:r>
        <w:t xml:space="preserve">ěstských památkových rezervací. Z kapitoly </w:t>
      </w:r>
      <w:r w:rsidRPr="005A4333">
        <w:rPr>
          <w:b/>
        </w:rPr>
        <w:t>Ministerstvo dopravy</w:t>
      </w:r>
      <w:r w:rsidRPr="005A4333">
        <w:t xml:space="preserve"> </w:t>
      </w:r>
      <w:r>
        <w:t>byly poskytnuty</w:t>
      </w:r>
      <w:r w:rsidRPr="005A4333">
        <w:t xml:space="preserve"> obcím </w:t>
      </w:r>
      <w:r>
        <w:t xml:space="preserve">peněžní </w:t>
      </w:r>
      <w:r w:rsidRPr="005A4333">
        <w:t xml:space="preserve">prostředky ve výši </w:t>
      </w:r>
      <w:r w:rsidRPr="005A4333">
        <w:rPr>
          <w:b/>
        </w:rPr>
        <w:t>0,3 mld. Kč</w:t>
      </w:r>
      <w:r>
        <w:rPr>
          <w:b/>
        </w:rPr>
        <w:t xml:space="preserve">, což </w:t>
      </w:r>
      <w:r>
        <w:rPr>
          <w:b/>
        </w:rPr>
        <w:lastRenderedPageBreak/>
        <w:t>představuje růst o 34,2 %</w:t>
      </w:r>
      <w:r w:rsidRPr="005A4333">
        <w:t>, které byly určeny na příspěvek za ztrátu dopravce z provozu veřejné osobní drážní dopravy.</w:t>
      </w:r>
    </w:p>
    <w:p w:rsidR="0009461F" w:rsidRPr="008C5A87" w:rsidRDefault="0009461F" w:rsidP="0009461F">
      <w:pPr>
        <w:rPr>
          <w:highlight w:val="yellow"/>
        </w:rPr>
      </w:pPr>
      <w:r>
        <w:t>Z rozpočtu</w:t>
      </w:r>
      <w:r w:rsidRPr="004816BF">
        <w:t xml:space="preserve"> </w:t>
      </w:r>
      <w:r w:rsidRPr="004816BF">
        <w:rPr>
          <w:b/>
        </w:rPr>
        <w:t>Státního fondu dopravní infrastruktury</w:t>
      </w:r>
      <w:r w:rsidRPr="004816BF">
        <w:t xml:space="preserve"> přijaly obce </w:t>
      </w:r>
      <w:r w:rsidRPr="004816BF">
        <w:rPr>
          <w:b/>
        </w:rPr>
        <w:t>1,8 mld. Kč</w:t>
      </w:r>
      <w:r w:rsidR="008D6041">
        <w:t>, jednalo se především o </w:t>
      </w:r>
      <w:r w:rsidRPr="004816BF">
        <w:t xml:space="preserve">investiční prostředky určené na financování dopravní infrastruktury (1,6 mld. Kč). </w:t>
      </w:r>
      <w:r>
        <w:t>Transfery z rozpočtu</w:t>
      </w:r>
      <w:r w:rsidRPr="0062047C">
        <w:t xml:space="preserve"> </w:t>
      </w:r>
      <w:r w:rsidRPr="0062047C">
        <w:rPr>
          <w:b/>
        </w:rPr>
        <w:t>Státního fondu životního prostředí</w:t>
      </w:r>
      <w:r w:rsidRPr="0062047C">
        <w:t xml:space="preserve"> činily </w:t>
      </w:r>
      <w:r w:rsidRPr="0062047C">
        <w:rPr>
          <w:b/>
        </w:rPr>
        <w:t>1,8 mld. Kč</w:t>
      </w:r>
      <w:r>
        <w:rPr>
          <w:b/>
        </w:rPr>
        <w:t xml:space="preserve">, </w:t>
      </w:r>
      <w:r w:rsidRPr="004852A2">
        <w:t>meziroční nárůst</w:t>
      </w:r>
      <w:r>
        <w:t xml:space="preserve"> o 75,4 %</w:t>
      </w:r>
      <w:r w:rsidRPr="0062047C">
        <w:t xml:space="preserve">, </w:t>
      </w:r>
      <w:r>
        <w:t xml:space="preserve">a </w:t>
      </w:r>
      <w:r w:rsidRPr="0062047C">
        <w:t xml:space="preserve">směřovaly obdobně jako v předcházejících letech na ochranu vod, ovzduší, na ochranu přírody ve volné krajině a chráněných území apod. </w:t>
      </w:r>
      <w:r>
        <w:t xml:space="preserve">V případě rozpočtu </w:t>
      </w:r>
      <w:r w:rsidRPr="00EB2715">
        <w:rPr>
          <w:b/>
        </w:rPr>
        <w:t>Státní</w:t>
      </w:r>
      <w:r>
        <w:rPr>
          <w:b/>
        </w:rPr>
        <w:t>ho zemědělského</w:t>
      </w:r>
      <w:r w:rsidRPr="00EB2715">
        <w:rPr>
          <w:b/>
        </w:rPr>
        <w:t xml:space="preserve"> intervenční</w:t>
      </w:r>
      <w:r>
        <w:rPr>
          <w:b/>
        </w:rPr>
        <w:t>ho</w:t>
      </w:r>
      <w:r w:rsidRPr="00EB2715">
        <w:rPr>
          <w:b/>
        </w:rPr>
        <w:t xml:space="preserve"> fond</w:t>
      </w:r>
      <w:r>
        <w:rPr>
          <w:b/>
        </w:rPr>
        <w:t>u</w:t>
      </w:r>
      <w:r>
        <w:t xml:space="preserve"> byly uvolněny</w:t>
      </w:r>
      <w:r w:rsidRPr="00EB2715">
        <w:t xml:space="preserve"> obcím </w:t>
      </w:r>
      <w:r>
        <w:t xml:space="preserve">peněžní </w:t>
      </w:r>
      <w:r w:rsidRPr="00EB2715">
        <w:t>prostředky ve výši 0,3</w:t>
      </w:r>
      <w:r>
        <w:t> </w:t>
      </w:r>
      <w:r w:rsidRPr="00EB2715">
        <w:t>mld. Kč,</w:t>
      </w:r>
      <w:r>
        <w:t xml:space="preserve"> které</w:t>
      </w:r>
      <w:r w:rsidRPr="00EB2715">
        <w:t xml:space="preserve"> byly určeny na podporu investic do lesnické infrastruktury a lesnických technologií a na realizaci místních rozvojových strategií.</w:t>
      </w:r>
    </w:p>
    <w:p w:rsidR="0009461F" w:rsidRPr="008C5A87" w:rsidRDefault="0009461F" w:rsidP="0009461F">
      <w:pPr>
        <w:rPr>
          <w:highlight w:val="yellow"/>
        </w:rPr>
      </w:pPr>
      <w:r w:rsidRPr="00581E16">
        <w:rPr>
          <w:b/>
        </w:rPr>
        <w:t xml:space="preserve">Celkové výdaje </w:t>
      </w:r>
      <w:r w:rsidRPr="00581E16">
        <w:t>obcí dosáhly</w:t>
      </w:r>
      <w:r w:rsidRPr="00581E16">
        <w:rPr>
          <w:b/>
        </w:rPr>
        <w:t xml:space="preserve"> 354,8 mld. Kč</w:t>
      </w:r>
      <w:r w:rsidRPr="00581E16">
        <w:t xml:space="preserve">, proti předchozímu roku </w:t>
      </w:r>
      <w:r w:rsidRPr="00581E16">
        <w:rPr>
          <w:b/>
        </w:rPr>
        <w:t>vzrostly o</w:t>
      </w:r>
      <w:r>
        <w:rPr>
          <w:b/>
        </w:rPr>
        <w:t xml:space="preserve"> 4,8 %, tj. o</w:t>
      </w:r>
      <w:r w:rsidRPr="00581E16">
        <w:rPr>
          <w:b/>
        </w:rPr>
        <w:t xml:space="preserve"> 16,1 mld. Kč.</w:t>
      </w:r>
      <w:r w:rsidRPr="00581E16">
        <w:t xml:space="preserve"> Vykázaný nárůst je vyšší nežli v roce 2019, kdy zvýšení výdajů proti roku 2018 činilo 12,7 mld. Kč (v roce 2017 činil meziroční růst 50,4 mld. Kč). </w:t>
      </w:r>
      <w:r w:rsidRPr="00543086">
        <w:t xml:space="preserve">Zatímco v roce 2019 byl v části kapitálových výdajů vykázán pokles, tak v roce 2020 došlo k růstu běžných </w:t>
      </w:r>
      <w:r>
        <w:t xml:space="preserve">výdajů, ale především </w:t>
      </w:r>
      <w:r w:rsidRPr="00543086">
        <w:t xml:space="preserve">i kapitálových výdajů. </w:t>
      </w:r>
      <w:r w:rsidRPr="0095215E">
        <w:t xml:space="preserve">Vývoj </w:t>
      </w:r>
      <w:r>
        <w:t>celkových výdajů a zejména</w:t>
      </w:r>
      <w:r w:rsidRPr="0095215E">
        <w:t xml:space="preserve"> běžných výdajů obcí </w:t>
      </w:r>
      <w:r>
        <w:t xml:space="preserve">významně </w:t>
      </w:r>
      <w:r w:rsidRPr="0095215E">
        <w:t xml:space="preserve">ovlivnil výsledek </w:t>
      </w:r>
      <w:r>
        <w:t xml:space="preserve">rozpočtového </w:t>
      </w:r>
      <w:r w:rsidRPr="0095215E">
        <w:t>hospodaření hl</w:t>
      </w:r>
      <w:r>
        <w:t>.</w:t>
      </w:r>
      <w:r w:rsidRPr="0095215E">
        <w:t xml:space="preserve"> m</w:t>
      </w:r>
      <w:r>
        <w:t>. Prahy, kde došlo k </w:t>
      </w:r>
      <w:r w:rsidRPr="0095215E">
        <w:t xml:space="preserve">meziročnímu růstu celkových výdajů o 9,1 % a běžných výdajů o 8,9 %. </w:t>
      </w:r>
    </w:p>
    <w:p w:rsidR="0009461F" w:rsidRPr="001B50B1" w:rsidRDefault="0009461F" w:rsidP="0009461F">
      <w:pPr>
        <w:pStyle w:val="Nzev"/>
      </w:pPr>
      <w:bookmarkStart w:id="74" w:name="_Toc66700394"/>
      <w:bookmarkStart w:id="75" w:name="_Toc66717154"/>
      <w:r w:rsidRPr="001B50B1">
        <w:t xml:space="preserve">Tabulka č. </w:t>
      </w:r>
      <w:fldSimple w:instr=" SEQ Tabulka_č. \* ARABIC ">
        <w:r>
          <w:rPr>
            <w:noProof/>
          </w:rPr>
          <w:t>15</w:t>
        </w:r>
      </w:fldSimple>
      <w:r w:rsidRPr="001B50B1">
        <w:rPr>
          <w:noProof/>
        </w:rPr>
        <w:t>:</w:t>
      </w:r>
      <w:r w:rsidRPr="001B50B1">
        <w:t xml:space="preserve"> Výdaje obcí v letech 2017</w:t>
      </w:r>
      <w:r>
        <w:t xml:space="preserve"> </w:t>
      </w:r>
      <w:r w:rsidRPr="001B50B1">
        <w:t>–</w:t>
      </w:r>
      <w:r>
        <w:t xml:space="preserve"> </w:t>
      </w:r>
      <w:r w:rsidRPr="001B50B1">
        <w:t>2020 po konsolidaci (mil. Kč)</w:t>
      </w:r>
      <w:bookmarkEnd w:id="74"/>
      <w:bookmarkEnd w:id="75"/>
    </w:p>
    <w:p w:rsidR="0009461F" w:rsidRPr="00F74350" w:rsidRDefault="0009461F" w:rsidP="008D6041">
      <w:pPr>
        <w:rPr>
          <w:highlight w:val="yellow"/>
        </w:rPr>
      </w:pPr>
      <w:r w:rsidRPr="001B50B1">
        <w:rPr>
          <w:noProof/>
          <w:highlight w:val="yellow"/>
          <w:lang w:eastAsia="cs-CZ"/>
        </w:rPr>
        <w:drawing>
          <wp:anchor distT="0" distB="0" distL="114300" distR="114300" simplePos="0" relativeHeight="251656192" behindDoc="0" locked="0" layoutInCell="1" allowOverlap="1" wp14:anchorId="6418785D" wp14:editId="19CE781B">
            <wp:simplePos x="0" y="0"/>
            <wp:positionH relativeFrom="column">
              <wp:posOffset>-3810</wp:posOffset>
            </wp:positionH>
            <wp:positionV relativeFrom="paragraph">
              <wp:posOffset>635</wp:posOffset>
            </wp:positionV>
            <wp:extent cx="6120000" cy="3510000"/>
            <wp:effectExtent l="0" t="0" r="0" b="0"/>
            <wp:wrapSquare wrapText="bothSides"/>
            <wp:docPr id="311" name="Obrázek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20000" cy="351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A027E">
        <w:rPr>
          <w:b/>
          <w:bCs/>
        </w:rPr>
        <w:t>Běžné výdaje</w:t>
      </w:r>
      <w:r w:rsidRPr="00FA027E">
        <w:t>, kterými je zajišťován především provoz obcí a jejich organizací, dosáhly</w:t>
      </w:r>
      <w:r w:rsidRPr="00FA027E">
        <w:rPr>
          <w:b/>
        </w:rPr>
        <w:t xml:space="preserve"> 253,6 mld. Kč</w:t>
      </w:r>
      <w:r w:rsidRPr="00FA027E">
        <w:t xml:space="preserve">. Ve srovnání s předchozím rokem </w:t>
      </w:r>
      <w:r>
        <w:t>došlo k růstu o 3,9 %, respektive</w:t>
      </w:r>
      <w:r w:rsidRPr="00FA027E">
        <w:t xml:space="preserve"> </w:t>
      </w:r>
      <w:r w:rsidRPr="00FA027E">
        <w:rPr>
          <w:b/>
        </w:rPr>
        <w:t>o 9,5 mld. Kč</w:t>
      </w:r>
      <w:r>
        <w:t>, přičemž k nevýznamnému </w:t>
      </w:r>
      <w:r w:rsidRPr="00FA027E">
        <w:t xml:space="preserve">nárůstu </w:t>
      </w:r>
      <w:r>
        <w:t xml:space="preserve">běžných </w:t>
      </w:r>
      <w:r w:rsidRPr="00FA027E">
        <w:t>výdajů došlo ve všech základních skupinách s výjimkou výdajů na úroky vlastní a na ostatní nákupy</w:t>
      </w:r>
      <w:r w:rsidRPr="00FA027E">
        <w:rPr>
          <w:i/>
        </w:rPr>
        <w:t xml:space="preserve">. </w:t>
      </w:r>
      <w:r>
        <w:t>Růst výdajů souvisejících s epidemiologickou situací byl minimální, kdy nejvyšší relativní nárůst byl vykázán ve výdajích na nákupy ochranných pomůcek a léků a zdravotnického materiálu.</w:t>
      </w:r>
    </w:p>
    <w:p w:rsidR="0009461F" w:rsidRPr="008C5A87" w:rsidRDefault="0009461F" w:rsidP="0009461F">
      <w:pPr>
        <w:rPr>
          <w:highlight w:val="yellow"/>
        </w:rPr>
      </w:pPr>
      <w:r w:rsidRPr="00864480">
        <w:t xml:space="preserve">Výdaje obcí na </w:t>
      </w:r>
      <w:r w:rsidRPr="00864480">
        <w:rPr>
          <w:b/>
          <w:bCs/>
        </w:rPr>
        <w:t>platy a ostatní platby za provedenou práci</w:t>
      </w:r>
      <w:r w:rsidRPr="00864480">
        <w:t xml:space="preserve"> činily celkem 42,7</w:t>
      </w:r>
      <w:r w:rsidR="008D6041">
        <w:t>mld. Kč, což je meziročně o </w:t>
      </w:r>
      <w:r>
        <w:t>5,7 </w:t>
      </w:r>
      <w:r w:rsidRPr="00864480">
        <w:t>%, tj. o 2,3 mld. Kč více</w:t>
      </w:r>
      <w:r w:rsidRPr="0024488B">
        <w:t>. V rámci této skupiny vzrostly výdaje na platy zamě</w:t>
      </w:r>
      <w:r>
        <w:t>stnanců v pracovním poměru o </w:t>
      </w:r>
      <w:r w:rsidRPr="0024488B">
        <w:t>1,8</w:t>
      </w:r>
      <w:r>
        <w:t> </w:t>
      </w:r>
      <w:r w:rsidRPr="0024488B">
        <w:t>mld. Kč a výdaje na odměny členů zastupitelstev obcí o 0,5 mld. Kč</w:t>
      </w:r>
      <w:r w:rsidRPr="00E10BA1">
        <w:t>. Na související platby povinného pojistného na sociální zabezpečení a příspěvku na státní politiku zaměstnanosti a povinného pojistného na veřejné zdravotní pojištění vynaložily obce 13,4 mld. Kč (zvýšení o 5,4 %, tj. o 0,7 mld. Kč).</w:t>
      </w:r>
    </w:p>
    <w:p w:rsidR="0009461F" w:rsidRPr="00E10BA1" w:rsidRDefault="0009461F" w:rsidP="0009461F">
      <w:r w:rsidRPr="00E10BA1">
        <w:rPr>
          <w:b/>
        </w:rPr>
        <w:t>Výdaje na nákup materiálu</w:t>
      </w:r>
      <w:r w:rsidRPr="00E10BA1">
        <w:t xml:space="preserve"> (například ochranné pomůcky, knihy, tisk, drobný hmotný dlouhodobý majetek) dosáhly </w:t>
      </w:r>
      <w:r w:rsidRPr="00293D74">
        <w:rPr>
          <w:b/>
        </w:rPr>
        <w:t>6,9 mld. Kč, meziročně o 4,0 %, respektive o 0,3 mld. Kč více</w:t>
      </w:r>
      <w:r w:rsidRPr="00E10BA1">
        <w:t xml:space="preserve">. </w:t>
      </w:r>
      <w:r>
        <w:t xml:space="preserve">V případě </w:t>
      </w:r>
      <w:r w:rsidRPr="0040736A">
        <w:rPr>
          <w:b/>
        </w:rPr>
        <w:t>ochranných pomůcek došlo k růstu o 383,0 %</w:t>
      </w:r>
      <w:r>
        <w:t xml:space="preserve">, respektive o 362,0 mil. Kč a v případě </w:t>
      </w:r>
      <w:r w:rsidRPr="0040736A">
        <w:rPr>
          <w:b/>
        </w:rPr>
        <w:t>léků a zdravotnického materiálu o 203,2 %</w:t>
      </w:r>
      <w:r w:rsidRPr="00964037">
        <w:t>,</w:t>
      </w:r>
      <w:r>
        <w:rPr>
          <w:b/>
        </w:rPr>
        <w:t xml:space="preserve"> </w:t>
      </w:r>
      <w:r w:rsidRPr="00964037">
        <w:lastRenderedPageBreak/>
        <w:t>respektive o 18,7 mil. Kč,</w:t>
      </w:r>
      <w:r>
        <w:t xml:space="preserve"> což je v relativních číslech mnohonásobně méně než v případě růstu výdajů na tento materiál u krajů. Zvýšení těchto výdajů přímo souvisí s epidemií onemocnění COVID-19.</w:t>
      </w:r>
    </w:p>
    <w:p w:rsidR="0009461F" w:rsidRPr="008C5A87" w:rsidRDefault="0009461F" w:rsidP="0009461F">
      <w:pPr>
        <w:rPr>
          <w:highlight w:val="yellow"/>
        </w:rPr>
      </w:pPr>
      <w:r w:rsidRPr="00A62052">
        <w:t xml:space="preserve">Výdaje </w:t>
      </w:r>
      <w:r w:rsidRPr="00A62052">
        <w:rPr>
          <w:b/>
        </w:rPr>
        <w:t xml:space="preserve">na úroky </w:t>
      </w:r>
      <w:r w:rsidRPr="00A62052">
        <w:t>dosáhly 1,3 mld. Kč, proti předchozímu roku byly nižší o 16,9 %, tj. o 0,3 mld. Kč. Znamená to, že výdaje na úroky po dvou letech růstu opět začínají klesat (od roku 2009, kdy výdaje na úroky činily 2,8 mld. Kč, se postupně snižovaly až na 1,1 mld. Kč v roce 2017).</w:t>
      </w:r>
    </w:p>
    <w:p w:rsidR="0009461F" w:rsidRPr="00A62052" w:rsidRDefault="0009461F" w:rsidP="0009461F">
      <w:pPr>
        <w:rPr>
          <w:bCs/>
        </w:rPr>
      </w:pPr>
      <w:r w:rsidRPr="00A62052">
        <w:t xml:space="preserve">Na </w:t>
      </w:r>
      <w:r w:rsidRPr="00A62052">
        <w:rPr>
          <w:b/>
          <w:bCs/>
        </w:rPr>
        <w:t>nákup vody, paliv a energie</w:t>
      </w:r>
      <w:r w:rsidRPr="00A62052">
        <w:rPr>
          <w:bCs/>
        </w:rPr>
        <w:t xml:space="preserve"> vynaložily obce 7,7 mld. Kč, tj. o 1,4 % více nežli v předchozím roce.</w:t>
      </w:r>
    </w:p>
    <w:p w:rsidR="0009461F" w:rsidRPr="008C5A87" w:rsidRDefault="0009461F" w:rsidP="0009461F">
      <w:pPr>
        <w:rPr>
          <w:highlight w:val="yellow"/>
        </w:rPr>
      </w:pPr>
      <w:r w:rsidRPr="00A62052">
        <w:rPr>
          <w:b/>
        </w:rPr>
        <w:t xml:space="preserve">Výdaje na nákup služeb </w:t>
      </w:r>
      <w:r w:rsidRPr="00A62052">
        <w:t>vzrostly o 2,6 %, tj. o 1,1 mld. Kč a dosáhly 44,2 mld. Kč</w:t>
      </w:r>
      <w:r w:rsidR="008D6041">
        <w:t>; jedná se především o </w:t>
      </w:r>
      <w:r w:rsidRPr="00375D46">
        <w:t>výdaje na nákup ostatních služeb (tvoří 84,8 % z výdajů), na služby pošt, telekomunikací a</w:t>
      </w:r>
      <w:r w:rsidR="00912425">
        <w:t> </w:t>
      </w:r>
      <w:r w:rsidRPr="00375D46">
        <w:t>radiokomunikací, nájemné, služby peněžních ústavů, konzultační a poradenské služby, služby zpracování dat apod.</w:t>
      </w:r>
    </w:p>
    <w:p w:rsidR="0009461F" w:rsidRPr="008C5A87" w:rsidRDefault="0009461F" w:rsidP="0009461F">
      <w:pPr>
        <w:rPr>
          <w:highlight w:val="yellow"/>
        </w:rPr>
      </w:pPr>
      <w:r w:rsidRPr="006717B5">
        <w:rPr>
          <w:b/>
        </w:rPr>
        <w:t xml:space="preserve">Ve skupině ostatní nákupy </w:t>
      </w:r>
      <w:r w:rsidRPr="006717B5">
        <w:t xml:space="preserve">dosáhly výdaje celkem 20,3 mld. Kč, což znamená meziroční snížení o 1,0 %, </w:t>
      </w:r>
      <w:r w:rsidRPr="001961B1">
        <w:t>patří sem například výdaje na opravy a udržování, na programové vybavení, cestovné, pohoštění, účastnické poplatky na konference, nájemné za nájem s právem koupě, nákup archiválií.</w:t>
      </w:r>
    </w:p>
    <w:p w:rsidR="0009461F" w:rsidRPr="008C5A87" w:rsidRDefault="0009461F" w:rsidP="00912425">
      <w:pPr>
        <w:rPr>
          <w:highlight w:val="yellow"/>
        </w:rPr>
      </w:pPr>
      <w:r w:rsidRPr="0000591A">
        <w:rPr>
          <w:b/>
        </w:rPr>
        <w:t xml:space="preserve">Výdaje na dopravní územní obslužnost </w:t>
      </w:r>
      <w:r w:rsidRPr="0000591A">
        <w:t>dosáhly 25,7 mld. Kč, což bylo o 5</w:t>
      </w:r>
      <w:r w:rsidR="00912425">
        <w:t>,</w:t>
      </w:r>
      <w:r w:rsidRPr="0000591A">
        <w:t>1 %, tj. o 1,3 mld. Kč více nežli v předchozím roce</w:t>
      </w:r>
      <w:r w:rsidRPr="00146F6E">
        <w:t>; z hlediska obcí jde především o výdaje určené na dopravní obslužnost veřejnými službami, které představ</w:t>
      </w:r>
      <w:r>
        <w:t>ují výdaje ve výši 25,4 mld. Kč, kdy se jedná o převody peněžních</w:t>
      </w:r>
      <w:r w:rsidRPr="00146F6E">
        <w:t xml:space="preserve"> prostředků na účet sdružených prostředků za účelem úhrad (finančních kompenzací) dopravcům podle smluv o veřejných službách v přepravě cestujících (zhr</w:t>
      </w:r>
      <w:r>
        <w:t xml:space="preserve">uba 2/3 z celkových výdajů obcí </w:t>
      </w:r>
      <w:r w:rsidRPr="00146F6E">
        <w:t>představují výdaje vykázané hl</w:t>
      </w:r>
      <w:r>
        <w:t>.</w:t>
      </w:r>
      <w:r w:rsidR="00912425">
        <w:t> </w:t>
      </w:r>
      <w:r w:rsidRPr="00146F6E">
        <w:t>m</w:t>
      </w:r>
      <w:r>
        <w:t>.</w:t>
      </w:r>
      <w:r w:rsidR="00912425">
        <w:t> </w:t>
      </w:r>
      <w:r w:rsidRPr="00146F6E">
        <w:t xml:space="preserve">Praha). </w:t>
      </w:r>
    </w:p>
    <w:p w:rsidR="0009461F" w:rsidRPr="008C5A87" w:rsidRDefault="0009461F" w:rsidP="0009461F">
      <w:pPr>
        <w:rPr>
          <w:highlight w:val="yellow"/>
        </w:rPr>
      </w:pPr>
      <w:r w:rsidRPr="00562527">
        <w:rPr>
          <w:b/>
        </w:rPr>
        <w:t xml:space="preserve">Neinvestiční transfery </w:t>
      </w:r>
      <w:r>
        <w:rPr>
          <w:b/>
        </w:rPr>
        <w:t xml:space="preserve">zejména </w:t>
      </w:r>
      <w:r w:rsidRPr="00562527">
        <w:rPr>
          <w:b/>
        </w:rPr>
        <w:t xml:space="preserve">příspěvkovým organizacím, </w:t>
      </w:r>
      <w:r w:rsidRPr="00562527">
        <w:t>které tvoří objemově nejvýznamnější skupinu transferů, dosáhly 64,7 mld. Kč (zvýšení o 5,1 %, tj. o 3,1 mld. Kč). Do této skupiny patří neinvestiční příspěvky a transfery organizacím působícím v oblasti vzdělávání a školských služeb, dále organiz</w:t>
      </w:r>
      <w:r>
        <w:t>acím v </w:t>
      </w:r>
      <w:r w:rsidRPr="00562527">
        <w:t>oblasti kultury (činnost divadel, knihoven, muzeí a galerií), tělovýchov</w:t>
      </w:r>
      <w:r>
        <w:t>y a zájmové činnosti, bydlení a komunálních služeb a </w:t>
      </w:r>
      <w:r w:rsidRPr="00562527">
        <w:t>ochrany životního prostředí. Významnou část tvoří rovněž výdaje v oblasti služeb sociální péče (domovy pro seniory, pro osoby se zdravotním postižením, pečovatelská služba, osobní asistence, podpora samostatného bydlení, apod.).</w:t>
      </w:r>
      <w:r>
        <w:t xml:space="preserve"> </w:t>
      </w:r>
    </w:p>
    <w:p w:rsidR="0009461F" w:rsidRPr="008C5A87" w:rsidRDefault="0009461F" w:rsidP="0009461F">
      <w:pPr>
        <w:rPr>
          <w:b/>
          <w:highlight w:val="yellow"/>
        </w:rPr>
      </w:pPr>
      <w:r w:rsidRPr="00AE69AC">
        <w:rPr>
          <w:b/>
        </w:rPr>
        <w:t xml:space="preserve">Neinvestiční transfery neziskovým a podobným organizacím </w:t>
      </w:r>
      <w:r w:rsidRPr="00AE69AC">
        <w:t xml:space="preserve">činily </w:t>
      </w:r>
      <w:r>
        <w:rPr>
          <w:b/>
        </w:rPr>
        <w:t>8,4 mld. Kč (</w:t>
      </w:r>
      <w:r w:rsidRPr="00C7262A">
        <w:rPr>
          <w:b/>
        </w:rPr>
        <w:t>růst o 5,8 %</w:t>
      </w:r>
      <w:r>
        <w:t>, tj. o</w:t>
      </w:r>
      <w:r w:rsidRPr="00AE69AC">
        <w:t> 0,5</w:t>
      </w:r>
      <w:r>
        <w:t> mld. Kč). Jedná se</w:t>
      </w:r>
      <w:r w:rsidRPr="00AE69AC">
        <w:t xml:space="preserve"> zejména </w:t>
      </w:r>
      <w:r>
        <w:t xml:space="preserve">o </w:t>
      </w:r>
      <w:r w:rsidRPr="00AE69AC">
        <w:t xml:space="preserve">transfery </w:t>
      </w:r>
      <w:r>
        <w:t xml:space="preserve">poskytované </w:t>
      </w:r>
      <w:r w:rsidRPr="00AE69AC">
        <w:t>obecně prospěšným společnostem, spolkům,</w:t>
      </w:r>
      <w:r>
        <w:t xml:space="preserve"> občanským sdružením, církvím a </w:t>
      </w:r>
      <w:r w:rsidRPr="00AE69AC">
        <w:t>náboženským společnostem, společenstvím vlastníků jednotek a ostatní neinvestiční transfery neziskovým a podobným organizacím.</w:t>
      </w:r>
    </w:p>
    <w:p w:rsidR="0009461F" w:rsidRPr="002C5854" w:rsidRDefault="0009461F" w:rsidP="0009461F">
      <w:r w:rsidRPr="00AC4D20">
        <w:t xml:space="preserve">Výdaje na </w:t>
      </w:r>
      <w:r w:rsidRPr="00AC4D20">
        <w:rPr>
          <w:b/>
        </w:rPr>
        <w:t xml:space="preserve">neinvestiční transfery </w:t>
      </w:r>
      <w:r w:rsidRPr="00AC4D20">
        <w:rPr>
          <w:b/>
          <w:bCs/>
        </w:rPr>
        <w:t>podnikatelským subjektům</w:t>
      </w:r>
      <w:r w:rsidRPr="00AC4D20">
        <w:rPr>
          <w:bCs/>
        </w:rPr>
        <w:t xml:space="preserve"> dosáhly 6,4 mld. Kč (růst o</w:t>
      </w:r>
      <w:r>
        <w:rPr>
          <w:bCs/>
        </w:rPr>
        <w:t xml:space="preserve"> 20,9 %, tj. o </w:t>
      </w:r>
      <w:r w:rsidRPr="00AC4D20">
        <w:rPr>
          <w:bCs/>
        </w:rPr>
        <w:t>1,1</w:t>
      </w:r>
      <w:r>
        <w:rPr>
          <w:bCs/>
        </w:rPr>
        <w:t> mld. </w:t>
      </w:r>
      <w:r w:rsidRPr="00AC4D20">
        <w:rPr>
          <w:bCs/>
        </w:rPr>
        <w:t xml:space="preserve">Kč); </w:t>
      </w:r>
      <w:r w:rsidRPr="002C5854">
        <w:rPr>
          <w:bCs/>
        </w:rPr>
        <w:t>j</w:t>
      </w:r>
      <w:r w:rsidRPr="002C5854">
        <w:t xml:space="preserve">edná se o transfery nefinančním podnikatelským subjektům – právnickým osobám zřízeným podle obchodního zákoníku, tj. veřejné obchodní společnosti, komanditní společnosti, společnosti s ručením </w:t>
      </w:r>
      <w:r>
        <w:t>omezeným a</w:t>
      </w:r>
      <w:r w:rsidRPr="002C5854">
        <w:t xml:space="preserve"> akciové společnosti. Růst byl vykázán především </w:t>
      </w:r>
      <w:r>
        <w:t>v rámci neinvestičních transferů poskytnutých</w:t>
      </w:r>
      <w:r w:rsidRPr="002C5854">
        <w:t xml:space="preserve"> finančním a podobným institucím ve vlastnictví státu</w:t>
      </w:r>
      <w:r>
        <w:t xml:space="preserve"> hl. m. Prahou (růst o 0,6 mld. Kč), kdy se například jedná o Českomoravskou záruční a rozvojovou banku, Exportní garanční a pojišťovací společnost a Českou exportní banku.</w:t>
      </w:r>
    </w:p>
    <w:p w:rsidR="0009461F" w:rsidRPr="00654A3D" w:rsidRDefault="0009461F" w:rsidP="0009461F">
      <w:pPr>
        <w:rPr>
          <w:i/>
          <w:highlight w:val="yellow"/>
        </w:rPr>
      </w:pPr>
      <w:r w:rsidRPr="00C41259">
        <w:rPr>
          <w:b/>
        </w:rPr>
        <w:t>Z hlediska odvětvového členění</w:t>
      </w:r>
      <w:r w:rsidRPr="00C41259">
        <w:t xml:space="preserve"> běžných výdajů je dlouhodobě největší objem výdajů vynakládán na </w:t>
      </w:r>
      <w:r w:rsidRPr="00002098">
        <w:rPr>
          <w:b/>
        </w:rPr>
        <w:t>činnosti v oblasti místní správy a samosprávy</w:t>
      </w:r>
      <w:r w:rsidRPr="00C41259">
        <w:t xml:space="preserve">, v roce 2020 zde výdaje dosáhly </w:t>
      </w:r>
      <w:r w:rsidRPr="00002098">
        <w:rPr>
          <w:b/>
        </w:rPr>
        <w:t>53,9 mld. Kč</w:t>
      </w:r>
      <w:r w:rsidRPr="00C41259">
        <w:t xml:space="preserve"> (v loňském roce činily </w:t>
      </w:r>
      <w:r>
        <w:t>51,9 </w:t>
      </w:r>
      <w:r w:rsidRPr="00C41259">
        <w:t>mld. Kč). Dalšími významný</w:t>
      </w:r>
      <w:r>
        <w:t xml:space="preserve">mi odvětvími jsou </w:t>
      </w:r>
      <w:r w:rsidRPr="00912425">
        <w:rPr>
          <w:b/>
          <w:bCs/>
        </w:rPr>
        <w:t>doprava</w:t>
      </w:r>
      <w:r>
        <w:t>, kdy výdaje</w:t>
      </w:r>
      <w:r w:rsidRPr="00C41259">
        <w:t xml:space="preserve"> činily 42,4 mld. Kč (v minulém roce činily 41,9 mld. Kč), </w:t>
      </w:r>
      <w:r w:rsidRPr="00912425">
        <w:rPr>
          <w:b/>
          <w:bCs/>
        </w:rPr>
        <w:t>vzdělávání a školské služby</w:t>
      </w:r>
      <w:r w:rsidRPr="003B6579">
        <w:t xml:space="preserve"> (meziroční pokles o 1,8 %, tj. o 0,8 mld. Kč), </w:t>
      </w:r>
      <w:r w:rsidRPr="00912425">
        <w:rPr>
          <w:b/>
          <w:bCs/>
        </w:rPr>
        <w:t>ochrana životního prostředí</w:t>
      </w:r>
      <w:r w:rsidRPr="00E062B7">
        <w:t xml:space="preserve"> (o 7,7 %, respektive o 1,6 mld. Kč více), </w:t>
      </w:r>
      <w:r w:rsidRPr="00912425">
        <w:rPr>
          <w:b/>
          <w:bCs/>
        </w:rPr>
        <w:t>bydlení a komunální služby</w:t>
      </w:r>
      <w:r w:rsidRPr="00E062B7">
        <w:t xml:space="preserve"> (o 5,4 % více), </w:t>
      </w:r>
      <w:r w:rsidRPr="00912425">
        <w:rPr>
          <w:b/>
          <w:bCs/>
        </w:rPr>
        <w:t>sociální služby</w:t>
      </w:r>
      <w:r w:rsidRPr="008F49B0">
        <w:t xml:space="preserve"> (</w:t>
      </w:r>
      <w:r>
        <w:t>o </w:t>
      </w:r>
      <w:r w:rsidRPr="008F49B0">
        <w:t xml:space="preserve">17,4 %, tj. o 2,6 mld. Kč více) </w:t>
      </w:r>
      <w:r w:rsidRPr="00536547">
        <w:t xml:space="preserve">a </w:t>
      </w:r>
      <w:r w:rsidRPr="00912425">
        <w:rPr>
          <w:b/>
          <w:bCs/>
        </w:rPr>
        <w:t>kultura, církve a sdělovací prostředky</w:t>
      </w:r>
      <w:r w:rsidRPr="00536547">
        <w:t xml:space="preserve"> (dosáhly </w:t>
      </w:r>
      <w:r w:rsidR="00912425">
        <w:br/>
      </w:r>
      <w:r w:rsidRPr="00536547">
        <w:t xml:space="preserve">15,3 mld. Kč, tj. o 1,0 % méně). </w:t>
      </w:r>
      <w:r w:rsidRPr="00F51C07">
        <w:t>Nejvyšší meziroční nárůst výdajů byl vykázán v odvětví všeobecné hospodářské záležitosti a ostatní ekonomické funkce (meziročně o 824,1 %, tj. o 0,6 mld. Kč více).</w:t>
      </w:r>
    </w:p>
    <w:p w:rsidR="0009461F" w:rsidRPr="008C5A87" w:rsidRDefault="0009461F" w:rsidP="0009461F">
      <w:pPr>
        <w:rPr>
          <w:highlight w:val="yellow"/>
        </w:rPr>
      </w:pPr>
      <w:r w:rsidRPr="00430F68">
        <w:rPr>
          <w:b/>
        </w:rPr>
        <w:t>Kapitálové výdaje</w:t>
      </w:r>
      <w:r w:rsidRPr="00430F68">
        <w:t xml:space="preserve"> obcí celkem činily</w:t>
      </w:r>
      <w:r w:rsidRPr="00430F68">
        <w:rPr>
          <w:b/>
        </w:rPr>
        <w:t xml:space="preserve"> 101,2 mld. Kč</w:t>
      </w:r>
      <w:r w:rsidRPr="00430F68">
        <w:t xml:space="preserve">, proti předchozímu roku byly </w:t>
      </w:r>
      <w:r>
        <w:rPr>
          <w:b/>
        </w:rPr>
        <w:t>vyšší o 7,1 %, tj. </w:t>
      </w:r>
      <w:r w:rsidRPr="00430F68">
        <w:rPr>
          <w:b/>
        </w:rPr>
        <w:t>o 6,7</w:t>
      </w:r>
      <w:r>
        <w:rPr>
          <w:b/>
        </w:rPr>
        <w:t> mld. </w:t>
      </w:r>
      <w:r w:rsidRPr="00430F68">
        <w:rPr>
          <w:b/>
        </w:rPr>
        <w:t xml:space="preserve">Kč. </w:t>
      </w:r>
      <w:r w:rsidRPr="00430F68">
        <w:t>Nejvyšší růst byl zaúčtován na nákupu akcií a majetkových podílů (meziročně o 182,5 %</w:t>
      </w:r>
      <w:r>
        <w:t>, tj. o </w:t>
      </w:r>
      <w:r w:rsidRPr="00430F68">
        <w:t xml:space="preserve">1,0 mld. Kč). </w:t>
      </w:r>
      <w:r w:rsidRPr="00473E5F">
        <w:t xml:space="preserve">Jak již bylo výše zmíněno, výsledek obcí byl do značné míry ovlivněn výsledkem hospodaření hl. města Prahy, kde byl vykázán meziroční růst kapitálových výdajů o 1,3 mld. Kč. </w:t>
      </w:r>
    </w:p>
    <w:p w:rsidR="0009461F" w:rsidRPr="008C5A87" w:rsidRDefault="0009461F" w:rsidP="0009461F">
      <w:pPr>
        <w:rPr>
          <w:highlight w:val="yellow"/>
        </w:rPr>
      </w:pPr>
      <w:r w:rsidRPr="00473E5F">
        <w:lastRenderedPageBreak/>
        <w:t>Výdaje v objemově nejvýznamnější položce, kterou jsou investiční nákupy a související výdaje, dosáhly 90,3</w:t>
      </w:r>
      <w:r>
        <w:t> </w:t>
      </w:r>
      <w:r w:rsidRPr="00473E5F">
        <w:t>mld. Kč, což bylo meziročně o 4,2 mld. Kč více (jedná se o platby za p</w:t>
      </w:r>
      <w:r>
        <w:t>ořízení dlouhodobého hmotného i </w:t>
      </w:r>
      <w:r w:rsidRPr="00473E5F">
        <w:t>nehmotného majetku a za nákup pozemků). Na nákup akcií a majetkových podílů vynaložily obce 1,5</w:t>
      </w:r>
      <w:r w:rsidR="008D6041">
        <w:t> </w:t>
      </w:r>
      <w:r w:rsidRPr="00473E5F">
        <w:t>mld.</w:t>
      </w:r>
      <w:r>
        <w:t> </w:t>
      </w:r>
      <w:r w:rsidRPr="00473E5F">
        <w:t>Kč (proti předchozímu roku o 1,0 mld. Kč více).</w:t>
      </w:r>
    </w:p>
    <w:p w:rsidR="0009461F" w:rsidRPr="008C5A87" w:rsidRDefault="0009461F" w:rsidP="0009461F">
      <w:pPr>
        <w:rPr>
          <w:highlight w:val="yellow"/>
        </w:rPr>
      </w:pPr>
      <w:r w:rsidRPr="00221687">
        <w:t xml:space="preserve">V části transferů, které obce poskytují ze svých rozpočtů, došlo ke zvýšení ve skupině transferů poskytovaných podnikatelským subjektům (dosáhly 2,6 mld. Kč, růst o 57,7 %, tj. o 1,0 mld. Kč) i transferů poskytovaným neziskovým a podobným organizacím (činily 1,1 mld. Kč, růst o 47,6 %, tj. o 0,4 mld. Kč). </w:t>
      </w:r>
      <w:r w:rsidRPr="005B0F84">
        <w:t xml:space="preserve">Výše transferů určených příspěvkovým organizacím došlo k poklesu o 5,8 %, respektive o </w:t>
      </w:r>
      <w:r>
        <w:t>0,2 mld. Kč (činily 3,4 </w:t>
      </w:r>
      <w:r w:rsidRPr="005B0F84">
        <w:t>mld. Kč.</w:t>
      </w:r>
    </w:p>
    <w:p w:rsidR="0009461F" w:rsidRPr="008C5A87" w:rsidRDefault="0009461F" w:rsidP="0009461F">
      <w:pPr>
        <w:rPr>
          <w:highlight w:val="yellow"/>
        </w:rPr>
      </w:pPr>
      <w:r w:rsidRPr="00B6428E">
        <w:rPr>
          <w:b/>
        </w:rPr>
        <w:t>Z hlediska odvětvového členění</w:t>
      </w:r>
      <w:r w:rsidRPr="00B6428E">
        <w:t xml:space="preserve"> dlouhodobě směřují kapitálové výdaje obcí především do odvětví </w:t>
      </w:r>
      <w:r w:rsidRPr="00912425">
        <w:rPr>
          <w:b/>
          <w:bCs/>
        </w:rPr>
        <w:t>dopravy</w:t>
      </w:r>
      <w:r>
        <w:t xml:space="preserve"> (meziročně o 12,0 %, respektive</w:t>
      </w:r>
      <w:r w:rsidRPr="00B6428E">
        <w:t xml:space="preserve"> 2,2 mld. Kč více), </w:t>
      </w:r>
      <w:r w:rsidRPr="00912425">
        <w:rPr>
          <w:b/>
          <w:bCs/>
        </w:rPr>
        <w:t>vodního hospodářství</w:t>
      </w:r>
      <w:r>
        <w:t xml:space="preserve"> (meziročně o 16,6 %, respektive 2,6 </w:t>
      </w:r>
      <w:r w:rsidRPr="00B6428E">
        <w:t xml:space="preserve">mld. Kč více), </w:t>
      </w:r>
      <w:r w:rsidRPr="00912425">
        <w:rPr>
          <w:b/>
          <w:bCs/>
        </w:rPr>
        <w:t>bydlení, komunálních služeb a územního rozvoje</w:t>
      </w:r>
      <w:r w:rsidRPr="00EA3272">
        <w:t xml:space="preserve"> (meziročně o </w:t>
      </w:r>
      <w:r>
        <w:t>10,4 %, respektive o 1,9 mld. Kč</w:t>
      </w:r>
      <w:r w:rsidRPr="00EA3272">
        <w:t xml:space="preserve">) a také do odvětví </w:t>
      </w:r>
      <w:r w:rsidRPr="00912425">
        <w:rPr>
          <w:b/>
          <w:bCs/>
        </w:rPr>
        <w:t xml:space="preserve">vzdělávání </w:t>
      </w:r>
      <w:r>
        <w:t>(meziročně o 6,3 %, respektive o 1,1 mld. Kč méně</w:t>
      </w:r>
      <w:r w:rsidRPr="00EA3272">
        <w:t>). Výrazný pokles objemu kapitálových výdajů byl vykázán především v odvětví zdravotnictví (meziročně došlo k poklesu o</w:t>
      </w:r>
      <w:r>
        <w:t xml:space="preserve"> 28,9 %, tj. o 0,4 mld. Kč). </w:t>
      </w:r>
      <w:r w:rsidRPr="00EA3272">
        <w:t xml:space="preserve"> </w:t>
      </w:r>
    </w:p>
    <w:p w:rsidR="0009461F" w:rsidRPr="00D210E9" w:rsidRDefault="0009461F" w:rsidP="0009461F">
      <w:r w:rsidRPr="002E7942">
        <w:t xml:space="preserve">Hospodaření samotných obecních rozpočtů (bez DSO) skončilo s přebytkem ve výši 19,0 mld. Kč (z toho </w:t>
      </w:r>
      <w:r>
        <w:t>8,9 </w:t>
      </w:r>
      <w:r w:rsidRPr="002E7942">
        <w:t xml:space="preserve">mld. Kč činil výsledek </w:t>
      </w:r>
      <w:r>
        <w:t xml:space="preserve">rozpočtového </w:t>
      </w:r>
      <w:r w:rsidRPr="002E7942">
        <w:t>hospodaření hl</w:t>
      </w:r>
      <w:r>
        <w:t>.</w:t>
      </w:r>
      <w:r w:rsidRPr="002E7942">
        <w:t xml:space="preserve"> m</w:t>
      </w:r>
      <w:r>
        <w:t>.</w:t>
      </w:r>
      <w:r w:rsidRPr="002E7942">
        <w:t xml:space="preserve"> Prahy). V předchozím roce činil přebytek 25,5</w:t>
      </w:r>
      <w:r>
        <w:t> mld. Kč (z </w:t>
      </w:r>
      <w:r w:rsidRPr="002E7942">
        <w:t>toho více než polovinu tvořil přebytek vykázaný hlavním měs</w:t>
      </w:r>
      <w:r w:rsidRPr="00430519">
        <w:t>tem). Z celkového počtu 6</w:t>
      </w:r>
      <w:r w:rsidR="008D6041">
        <w:t> </w:t>
      </w:r>
      <w:r w:rsidRPr="00430519">
        <w:t>254 obcí vykázalo kladný nebo vyrovnaný výsledek hospodaření 4 490 obcí (tj. 71,8 % obcí), v předchozím roce s přebytkem hospodařilo 4 540 obcí (72,6 % z celkového počtu).</w:t>
      </w:r>
      <w:r w:rsidRPr="00A95077">
        <w:t xml:space="preserve"> </w:t>
      </w:r>
      <w:r>
        <w:t>Přes tuto nelehkou situaci, kdy v roce 2020 významně vzrostl státní dluh, došlo v případě obcí a DSO včetně zřízených příspěvkových organizací k růstu stavu peněžních prostředků na bankovních účtech o 22,0 mld. Kč, přičemž růst dluhu byl pouze minimální.</w:t>
      </w:r>
    </w:p>
    <w:p w:rsidR="0009461F" w:rsidRPr="005508C3" w:rsidRDefault="0009461F" w:rsidP="0009461F">
      <w:pPr>
        <w:rPr>
          <w:b/>
        </w:rPr>
      </w:pPr>
      <w:r w:rsidRPr="005508C3">
        <w:rPr>
          <w:b/>
        </w:rPr>
        <w:t>Příjmy a výdaje hl</w:t>
      </w:r>
      <w:r>
        <w:rPr>
          <w:b/>
        </w:rPr>
        <w:t>.</w:t>
      </w:r>
      <w:r w:rsidRPr="005508C3">
        <w:rPr>
          <w:b/>
        </w:rPr>
        <w:t xml:space="preserve"> m</w:t>
      </w:r>
      <w:r>
        <w:rPr>
          <w:b/>
        </w:rPr>
        <w:t>.</w:t>
      </w:r>
      <w:r w:rsidRPr="005508C3">
        <w:rPr>
          <w:b/>
        </w:rPr>
        <w:t xml:space="preserve"> Prahy</w:t>
      </w:r>
    </w:p>
    <w:p w:rsidR="0009461F" w:rsidRPr="00F45E9D" w:rsidRDefault="0009461F" w:rsidP="0009461F">
      <w:pPr>
        <w:rPr>
          <w:highlight w:val="yellow"/>
        </w:rPr>
      </w:pPr>
      <w:r w:rsidRPr="005508C3">
        <w:t>Rozpočtové hospodaření hl</w:t>
      </w:r>
      <w:r>
        <w:t>.</w:t>
      </w:r>
      <w:r w:rsidRPr="005508C3">
        <w:t xml:space="preserve"> m</w:t>
      </w:r>
      <w:r>
        <w:t>.</w:t>
      </w:r>
      <w:r w:rsidRPr="005508C3">
        <w:t xml:space="preserve"> Prahy je v rámci výkaznictví (finanční a účetní výkazy) sledováno jako rozpočet obce a je proto zahrnuto do výše uvedených souhrnných výsledků hospodaření obecních rozpočtů. Postavení hl</w:t>
      </w:r>
      <w:r>
        <w:t>.</w:t>
      </w:r>
      <w:r w:rsidRPr="005508C3">
        <w:t xml:space="preserve"> m</w:t>
      </w:r>
      <w:r>
        <w:t>.</w:t>
      </w:r>
      <w:r w:rsidRPr="005508C3">
        <w:t xml:space="preserve"> Prahy v rámci územních rozpočtů je však specifické, a to z hlediska systému veřejné správy (hlavní město vykonává jak státní správu, která pod</w:t>
      </w:r>
      <w:r>
        <w:t>le zákona přísluší obcím, tak i </w:t>
      </w:r>
      <w:r w:rsidRPr="005508C3">
        <w:t>státní správu, jejíž výkon zajišťují kraje), a současně i z hlediska objemu</w:t>
      </w:r>
      <w:r>
        <w:t xml:space="preserve"> peněžních</w:t>
      </w:r>
      <w:r w:rsidRPr="005508C3">
        <w:t xml:space="preserve"> prostředků, které procházejí jeho rozpočtem. </w:t>
      </w:r>
      <w:r w:rsidRPr="000A5A65">
        <w:rPr>
          <w:b/>
        </w:rPr>
        <w:t>Příjmy hl</w:t>
      </w:r>
      <w:r>
        <w:rPr>
          <w:b/>
        </w:rPr>
        <w:t>. </w:t>
      </w:r>
      <w:r w:rsidRPr="000A5A65">
        <w:rPr>
          <w:b/>
        </w:rPr>
        <w:t>m</w:t>
      </w:r>
      <w:r>
        <w:rPr>
          <w:b/>
        </w:rPr>
        <w:t xml:space="preserve">. Prahy </w:t>
      </w:r>
      <w:r w:rsidRPr="000A5A65">
        <w:rPr>
          <w:b/>
        </w:rPr>
        <w:t>představují zhruba čtvrtinu celkových příjmů obecních rozpočtů</w:t>
      </w:r>
      <w:r w:rsidRPr="000A5A65">
        <w:t>; v roce 2020 to bylo 26,3 %. V následující části jsou proto výsledky hospodaření hl</w:t>
      </w:r>
      <w:r>
        <w:t>.</w:t>
      </w:r>
      <w:r w:rsidRPr="000A5A65">
        <w:t xml:space="preserve"> m</w:t>
      </w:r>
      <w:r>
        <w:t xml:space="preserve">. </w:t>
      </w:r>
      <w:r w:rsidRPr="000A5A65">
        <w:t>Prahy uvedeny samostatně.</w:t>
      </w:r>
    </w:p>
    <w:p w:rsidR="0009461F" w:rsidRPr="00F45E9D" w:rsidRDefault="0009461F" w:rsidP="0009461F">
      <w:pPr>
        <w:rPr>
          <w:i/>
          <w:highlight w:val="yellow"/>
        </w:rPr>
      </w:pPr>
      <w:r w:rsidRPr="00847302">
        <w:t xml:space="preserve">Ve státním rozpočtu není výše jednotlivých příjmů a výdajů pro hl. m. Prahu samostatně rozpočtována, jsou součástí celkových příjmů a výdajů rozpočtů obcí. Samostatně je stanovena pouze výše dotace z kapitoly VPS, a to příspěvek na úhradu výkonu státní správy. Ve státním rozpočtu byl stanoven ve výši 1,1 mld. Kč (pro rok 2020 byl valorizován </w:t>
      </w:r>
      <w:r w:rsidRPr="00F75D2A">
        <w:t>o 4,64 % na přenesenou působnost hl. m. P</w:t>
      </w:r>
      <w:r>
        <w:t>rahy</w:t>
      </w:r>
      <w:r w:rsidRPr="00F75D2A">
        <w:t xml:space="preserve"> jako obci a o 12,97 % na p</w:t>
      </w:r>
      <w:r>
        <w:t>řenesenou působnost hl. m. Prahy</w:t>
      </w:r>
      <w:r w:rsidRPr="00F75D2A">
        <w:t xml:space="preserve"> jako kraji</w:t>
      </w:r>
      <w:r>
        <w:t>)</w:t>
      </w:r>
      <w:r w:rsidRPr="00F75D2A">
        <w:t>.</w:t>
      </w:r>
    </w:p>
    <w:p w:rsidR="0009461F" w:rsidRPr="00A75DCE" w:rsidRDefault="0009461F" w:rsidP="0009461F">
      <w:r w:rsidRPr="00A75DCE">
        <w:t>V následující části jsou kromě výsledků hospodaření za rok 2020 uvedeny i údaje za tři roky předch</w:t>
      </w:r>
      <w:r>
        <w:t>ozí, což umožňuje srovnání a </w:t>
      </w:r>
      <w:r w:rsidRPr="00A75DCE">
        <w:t>posouzení trendu hospodaření.</w:t>
      </w:r>
    </w:p>
    <w:p w:rsidR="0009461F" w:rsidRPr="00C15EB4" w:rsidRDefault="0009461F" w:rsidP="0009461F">
      <w:pPr>
        <w:pStyle w:val="Nzev"/>
      </w:pPr>
      <w:bookmarkStart w:id="76" w:name="_Toc66700395"/>
      <w:bookmarkStart w:id="77" w:name="_Toc66717155"/>
      <w:r w:rsidRPr="00C15EB4">
        <w:rPr>
          <w:noProof/>
          <w:lang w:eastAsia="cs-CZ"/>
        </w:rPr>
        <w:lastRenderedPageBreak/>
        <w:drawing>
          <wp:anchor distT="0" distB="0" distL="114300" distR="114300" simplePos="0" relativeHeight="251661312" behindDoc="0" locked="0" layoutInCell="1" allowOverlap="1" wp14:anchorId="20E26200" wp14:editId="27D66AB3">
            <wp:simplePos x="0" y="0"/>
            <wp:positionH relativeFrom="column">
              <wp:posOffset>-3810</wp:posOffset>
            </wp:positionH>
            <wp:positionV relativeFrom="paragraph">
              <wp:posOffset>183515</wp:posOffset>
            </wp:positionV>
            <wp:extent cx="5478780" cy="2307590"/>
            <wp:effectExtent l="0" t="0" r="7620" b="0"/>
            <wp:wrapTopAndBottom/>
            <wp:docPr id="312" name="Obrázek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78780" cy="23075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35473">
        <w:t xml:space="preserve">Tabulka č. </w:t>
      </w:r>
      <w:fldSimple w:instr=" SEQ Tabulka_č. \* ARABIC ">
        <w:r>
          <w:rPr>
            <w:noProof/>
          </w:rPr>
          <w:t>16</w:t>
        </w:r>
      </w:fldSimple>
      <w:r w:rsidRPr="00F35473">
        <w:rPr>
          <w:noProof/>
        </w:rPr>
        <w:t>:</w:t>
      </w:r>
      <w:r w:rsidRPr="00F35473">
        <w:t xml:space="preserve"> Příjmy a výdaje hl</w:t>
      </w:r>
      <w:r>
        <w:t>.</w:t>
      </w:r>
      <w:r w:rsidRPr="00F35473">
        <w:t xml:space="preserve"> </w:t>
      </w:r>
      <w:r>
        <w:t>m.</w:t>
      </w:r>
      <w:r w:rsidRPr="00F35473">
        <w:t xml:space="preserve"> Prahy v letech 2017 - 2020 (mil. Kč)</w:t>
      </w:r>
      <w:bookmarkEnd w:id="76"/>
      <w:bookmarkEnd w:id="77"/>
    </w:p>
    <w:p w:rsidR="0009461F" w:rsidRPr="00F45E9D" w:rsidRDefault="0009461F" w:rsidP="0009461F">
      <w:pPr>
        <w:rPr>
          <w:highlight w:val="yellow"/>
        </w:rPr>
      </w:pPr>
      <w:r w:rsidRPr="00607AC4">
        <w:t>V loňském roce</w:t>
      </w:r>
      <w:r w:rsidRPr="00607AC4">
        <w:rPr>
          <w:b/>
        </w:rPr>
        <w:t xml:space="preserve"> </w:t>
      </w:r>
      <w:r w:rsidRPr="00607AC4">
        <w:t xml:space="preserve">hospodařilo hlavní město s </w:t>
      </w:r>
      <w:r w:rsidRPr="00607AC4">
        <w:rPr>
          <w:b/>
        </w:rPr>
        <w:t xml:space="preserve">celkovými příjmy 96,9 mld. Kč </w:t>
      </w:r>
      <w:r>
        <w:rPr>
          <w:b/>
        </w:rPr>
        <w:t>(meziročně o 1,7 %, tj. o </w:t>
      </w:r>
      <w:r w:rsidRPr="00607AC4">
        <w:rPr>
          <w:b/>
        </w:rPr>
        <w:t>1,6</w:t>
      </w:r>
      <w:r>
        <w:rPr>
          <w:b/>
        </w:rPr>
        <w:t> mld. </w:t>
      </w:r>
      <w:r w:rsidRPr="00607AC4">
        <w:rPr>
          <w:b/>
        </w:rPr>
        <w:t xml:space="preserve">Kč více) a celkovými výdaji 88,0 mld. Kč (meziročně o 9,1 %, respektive o 7,4 mld. Kč více). </w:t>
      </w:r>
      <w:r w:rsidRPr="00607AC4">
        <w:t xml:space="preserve">Výsledný </w:t>
      </w:r>
      <w:r w:rsidRPr="00607AC4">
        <w:rPr>
          <w:b/>
        </w:rPr>
        <w:t>přebytek hospodaření 8,9 mld. Kč</w:t>
      </w:r>
      <w:r w:rsidRPr="00607AC4">
        <w:t xml:space="preserve"> </w:t>
      </w:r>
      <w:r w:rsidRPr="00CB3AD2">
        <w:rPr>
          <w:bCs/>
        </w:rPr>
        <w:t>byl proti předchozímu roku o 39,3 %, tj. o 5,8 mld. Kč nižší</w:t>
      </w:r>
      <w:r w:rsidRPr="00607AC4">
        <w:rPr>
          <w:b/>
        </w:rPr>
        <w:t>.</w:t>
      </w:r>
      <w:r w:rsidRPr="00607AC4">
        <w:t xml:space="preserve"> Hlavní město vykazuje </w:t>
      </w:r>
      <w:r w:rsidRPr="007C55C2">
        <w:t>přebytkové hospodaření od roku 2012, tj. </w:t>
      </w:r>
      <w:r w:rsidRPr="007C55C2">
        <w:rPr>
          <w:b/>
        </w:rPr>
        <w:t>již devátým rokem po sobě</w:t>
      </w:r>
      <w:r w:rsidRPr="007C55C2">
        <w:t>, to se promítá i v</w:t>
      </w:r>
      <w:r w:rsidR="002F3881">
        <w:t> </w:t>
      </w:r>
      <w:r w:rsidRPr="007C55C2">
        <w:t xml:space="preserve">postupném nárůstu stavu </w:t>
      </w:r>
      <w:r>
        <w:t>peněžních</w:t>
      </w:r>
      <w:r w:rsidRPr="007C55C2">
        <w:t xml:space="preserve"> prostředků na jeho bankovních účtech, město současně také již sedm let po sobě snižuje </w:t>
      </w:r>
      <w:r>
        <w:t>svůj dluh</w:t>
      </w:r>
      <w:r w:rsidRPr="007C55C2">
        <w:t>.</w:t>
      </w:r>
    </w:p>
    <w:p w:rsidR="0009461F" w:rsidRPr="00D873CC" w:rsidRDefault="0009461F" w:rsidP="0009461F">
      <w:pPr>
        <w:rPr>
          <w:b/>
          <w:bCs/>
        </w:rPr>
      </w:pPr>
      <w:r w:rsidRPr="00183B52">
        <w:rPr>
          <w:rStyle w:val="Siln"/>
          <w:b w:val="0"/>
        </w:rPr>
        <w:t>K</w:t>
      </w:r>
      <w:r w:rsidRPr="00183B52">
        <w:t xml:space="preserve">e konci roku 2020 dosáhl </w:t>
      </w:r>
      <w:r w:rsidRPr="00183B52">
        <w:rPr>
          <w:b/>
        </w:rPr>
        <w:t xml:space="preserve">stav </w:t>
      </w:r>
      <w:r>
        <w:rPr>
          <w:b/>
        </w:rPr>
        <w:t>peněžních</w:t>
      </w:r>
      <w:r w:rsidRPr="00183B52">
        <w:rPr>
          <w:b/>
        </w:rPr>
        <w:t xml:space="preserve"> prostředků</w:t>
      </w:r>
      <w:r w:rsidRPr="00183B52">
        <w:t xml:space="preserve"> na bankovních účtech </w:t>
      </w:r>
      <w:r w:rsidRPr="00183B52">
        <w:rPr>
          <w:rStyle w:val="Siln"/>
        </w:rPr>
        <w:t xml:space="preserve">hlavního města </w:t>
      </w:r>
      <w:r w:rsidRPr="00183B52">
        <w:t xml:space="preserve">(včetně příspěvkových organizací) </w:t>
      </w:r>
      <w:r w:rsidRPr="00183B52">
        <w:rPr>
          <w:b/>
        </w:rPr>
        <w:t>100,5 mld. Kč</w:t>
      </w:r>
      <w:r w:rsidRPr="00183B52">
        <w:t xml:space="preserve">, což představovalo meziroční </w:t>
      </w:r>
      <w:r w:rsidRPr="00183B52">
        <w:rPr>
          <w:b/>
        </w:rPr>
        <w:t>nárůst o 8,4 mld. Kč.</w:t>
      </w:r>
    </w:p>
    <w:p w:rsidR="0009461F" w:rsidRPr="00DA43B4" w:rsidRDefault="0009461F" w:rsidP="0009461F">
      <w:pPr>
        <w:rPr>
          <w:rStyle w:val="Siln"/>
          <w:b w:val="0"/>
          <w:bCs w:val="0"/>
        </w:rPr>
      </w:pPr>
      <w:r w:rsidRPr="00DA43B4">
        <w:rPr>
          <w:rStyle w:val="Siln"/>
          <w:b w:val="0"/>
        </w:rPr>
        <w:t xml:space="preserve">Trend </w:t>
      </w:r>
      <w:r w:rsidRPr="00DA43B4">
        <w:rPr>
          <w:rStyle w:val="Siln"/>
        </w:rPr>
        <w:t xml:space="preserve">snižování </w:t>
      </w:r>
      <w:r>
        <w:rPr>
          <w:rStyle w:val="Siln"/>
        </w:rPr>
        <w:t>dluhu</w:t>
      </w:r>
      <w:r w:rsidRPr="00DA43B4">
        <w:rPr>
          <w:rStyle w:val="Siln"/>
          <w:b w:val="0"/>
        </w:rPr>
        <w:t xml:space="preserve">, který je patrný od roku 2014, pokračoval i v roce 2020. Hlavní město (včetně příspěvkových organizací) vykázalo ke konci roku dluh ve výši </w:t>
      </w:r>
      <w:r w:rsidRPr="00DA43B4">
        <w:rPr>
          <w:rStyle w:val="Siln"/>
        </w:rPr>
        <w:t>20,1 mld. Kč</w:t>
      </w:r>
      <w:r w:rsidRPr="00DA43B4">
        <w:rPr>
          <w:rStyle w:val="Siln"/>
          <w:b w:val="0"/>
        </w:rPr>
        <w:t>, což bylo o 0,6 mld. Kč méně nežli v roce předchozím. Naposledy město přijalo cizí návratné zdroje v roce 2013 (emise komunálních dluhopisů a úvěr od EIB).</w:t>
      </w:r>
    </w:p>
    <w:p w:rsidR="0009461F" w:rsidRPr="00F45E9D" w:rsidRDefault="0009461F" w:rsidP="0009461F">
      <w:pPr>
        <w:rPr>
          <w:highlight w:val="yellow"/>
        </w:rPr>
      </w:pPr>
      <w:r w:rsidRPr="00070A78">
        <w:rPr>
          <w:b/>
        </w:rPr>
        <w:t>Daňové příjmy</w:t>
      </w:r>
      <w:r w:rsidRPr="00070A78">
        <w:t xml:space="preserve"> činily </w:t>
      </w:r>
      <w:r w:rsidRPr="00070A78">
        <w:rPr>
          <w:b/>
        </w:rPr>
        <w:t>63,0 mld. Kč</w:t>
      </w:r>
      <w:r w:rsidRPr="00070A78">
        <w:t xml:space="preserve">, což bylo meziročně </w:t>
      </w:r>
      <w:r w:rsidRPr="00070A78">
        <w:rPr>
          <w:b/>
        </w:rPr>
        <w:t>o 5,1 %, tj. o 3,4 mld. Kč méně.</w:t>
      </w:r>
      <w:r w:rsidRPr="00070A78">
        <w:t xml:space="preserve"> </w:t>
      </w:r>
      <w:r w:rsidRPr="003938DB">
        <w:t xml:space="preserve">Na poklesu se podílelo především inkaso daně z příjmů právnických osob, které dosáhlo 12,2 mld. Kč, což znamenalo </w:t>
      </w:r>
      <w:r>
        <w:t>pokles o 18,1 </w:t>
      </w:r>
      <w:r w:rsidRPr="003938DB">
        <w:t>%, respektive o 2,7 mld. Kč</w:t>
      </w:r>
      <w:r w:rsidRPr="00B3782D">
        <w:t>. Inkaso daně z příjmů fyzických osob kleslo o 5,2 %, tj.</w:t>
      </w:r>
      <w:r w:rsidR="00CB3AD2">
        <w:t> </w:t>
      </w:r>
      <w:r w:rsidRPr="00B3782D">
        <w:t xml:space="preserve">o 0,9 mld. Kč. Inkaso daně z přidané hodnoty zůstalo meziročně na podobné úrovni. </w:t>
      </w:r>
      <w:r w:rsidRPr="00DD34B2">
        <w:t>Pokles byl</w:t>
      </w:r>
      <w:r>
        <w:t xml:space="preserve"> také vykázán ve skupině daně a </w:t>
      </w:r>
      <w:r w:rsidRPr="00DD34B2">
        <w:t xml:space="preserve">poplatky z vybraných činností a služeb (o 8,7 %), </w:t>
      </w:r>
      <w:r>
        <w:t>přičemž v případě</w:t>
      </w:r>
      <w:r w:rsidRPr="00DD34B2">
        <w:t xml:space="preserve"> </w:t>
      </w:r>
      <w:r>
        <w:t>daně</w:t>
      </w:r>
      <w:r w:rsidRPr="00DD34B2">
        <w:t xml:space="preserve"> z nemovitých věcí došlo meziročně k nárůstu o 59,4 %, tj. o 0,5 mld. Kč.</w:t>
      </w:r>
    </w:p>
    <w:p w:rsidR="0009461F" w:rsidRPr="00F45E9D" w:rsidRDefault="0009461F" w:rsidP="0009461F">
      <w:pPr>
        <w:rPr>
          <w:highlight w:val="yellow"/>
        </w:rPr>
      </w:pPr>
      <w:r w:rsidRPr="00DD34B2">
        <w:rPr>
          <w:b/>
        </w:rPr>
        <w:t>Nedaňové příjmy</w:t>
      </w:r>
      <w:r w:rsidRPr="00DD34B2">
        <w:t xml:space="preserve"> byly </w:t>
      </w:r>
      <w:r>
        <w:t>vykázány</w:t>
      </w:r>
      <w:r w:rsidRPr="00DD34B2">
        <w:t xml:space="preserve"> ve výši </w:t>
      </w:r>
      <w:r w:rsidRPr="00DD34B2">
        <w:rPr>
          <w:b/>
        </w:rPr>
        <w:t>5,1 mld. Kč</w:t>
      </w:r>
      <w:r w:rsidRPr="00DD34B2">
        <w:t xml:space="preserve">, meziročně byly </w:t>
      </w:r>
      <w:r w:rsidRPr="00DD34B2">
        <w:rPr>
          <w:b/>
        </w:rPr>
        <w:t>vyšší o 20,9 %, tj. o 0,9 mld. Kč</w:t>
      </w:r>
      <w:r w:rsidRPr="00DD34B2">
        <w:t xml:space="preserve">; </w:t>
      </w:r>
      <w:r w:rsidRPr="003F226E">
        <w:t>růst byl vykázán zejména na těchto položkách: příjmy z podílů na zisku a dividend (o</w:t>
      </w:r>
      <w:r>
        <w:t xml:space="preserve"> 48,8 %, tj. o</w:t>
      </w:r>
      <w:r w:rsidRPr="003F226E">
        <w:t xml:space="preserve"> 0,6</w:t>
      </w:r>
      <w:r>
        <w:t xml:space="preserve"> mld. Kč) a </w:t>
      </w:r>
      <w:r w:rsidRPr="003F226E">
        <w:t>ostatní přijaté vratky transferů (o 0,4 mld. Kč, tj. o 65,6 %</w:t>
      </w:r>
      <w:r>
        <w:t>).</w:t>
      </w:r>
      <w:r w:rsidRPr="003F226E">
        <w:t xml:space="preserve"> </w:t>
      </w:r>
      <w:r w:rsidRPr="0093145B">
        <w:t>Naproti tomu významnější pokles (o</w:t>
      </w:r>
      <w:r>
        <w:t xml:space="preserve"> 10,2 %, respektive o </w:t>
      </w:r>
      <w:r w:rsidRPr="0093145B">
        <w:t>0,1 mld. Kč) byl zaznamenán na položce příjmy z úroků. K</w:t>
      </w:r>
      <w:r>
        <w:t>apitálové příjmy, stejně jako v </w:t>
      </w:r>
      <w:r w:rsidRPr="0093145B">
        <w:t>předchozích letech, tvořily pouze doplňkový příjem rozpočtu hlavního města, jejich výše činila 61,5 mil. Kč (meziročně o 69 % více).</w:t>
      </w:r>
    </w:p>
    <w:p w:rsidR="0009461F" w:rsidRPr="00F45E9D" w:rsidRDefault="0009461F" w:rsidP="0009461F">
      <w:pPr>
        <w:rPr>
          <w:i/>
          <w:highlight w:val="yellow"/>
        </w:rPr>
      </w:pPr>
      <w:r w:rsidRPr="008B6D21">
        <w:rPr>
          <w:b/>
        </w:rPr>
        <w:t>Transfery</w:t>
      </w:r>
      <w:r w:rsidRPr="008B6D21">
        <w:t xml:space="preserve"> přijaté do rozpočtu hlavního města dosáhly </w:t>
      </w:r>
      <w:r w:rsidRPr="008B6D21">
        <w:rPr>
          <w:b/>
        </w:rPr>
        <w:t>28,8 mld. Kč</w:t>
      </w:r>
      <w:r w:rsidRPr="008B6D21">
        <w:t xml:space="preserve">, meziročně to bylo </w:t>
      </w:r>
      <w:r w:rsidRPr="008B6D21">
        <w:rPr>
          <w:b/>
        </w:rPr>
        <w:t>o </w:t>
      </w:r>
      <w:r>
        <w:rPr>
          <w:b/>
        </w:rPr>
        <w:t>16,6 %, tj. o </w:t>
      </w:r>
      <w:r w:rsidRPr="008B6D21">
        <w:rPr>
          <w:b/>
        </w:rPr>
        <w:t>4,1</w:t>
      </w:r>
      <w:r>
        <w:rPr>
          <w:b/>
        </w:rPr>
        <w:t> mld. </w:t>
      </w:r>
      <w:r w:rsidRPr="008B6D21">
        <w:rPr>
          <w:b/>
        </w:rPr>
        <w:t>Kč více.</w:t>
      </w:r>
      <w:r w:rsidRPr="008B6D21">
        <w:t xml:space="preserve"> Téměř celou část (98,3 %) tvořily transfery </w:t>
      </w:r>
      <w:r w:rsidRPr="005313CD">
        <w:rPr>
          <w:b/>
        </w:rPr>
        <w:t>neinvestiční</w:t>
      </w:r>
      <w:r w:rsidRPr="008B6D21">
        <w:t xml:space="preserve">, jejich výše činila </w:t>
      </w:r>
      <w:r w:rsidRPr="005313CD">
        <w:rPr>
          <w:b/>
        </w:rPr>
        <w:t>28,3 mld. Kč</w:t>
      </w:r>
      <w:r w:rsidRPr="008B6D21">
        <w:t xml:space="preserve"> (</w:t>
      </w:r>
      <w:r w:rsidRPr="005313CD">
        <w:rPr>
          <w:b/>
        </w:rPr>
        <w:t>růst o 18,5 %</w:t>
      </w:r>
      <w:r w:rsidRPr="008B6D21">
        <w:t>, tj. o 4,4 mld. Kč).</w:t>
      </w:r>
      <w:r w:rsidRPr="008B6D21">
        <w:rPr>
          <w:i/>
        </w:rPr>
        <w:t xml:space="preserve"> </w:t>
      </w:r>
      <w:r w:rsidRPr="00130C92">
        <w:t xml:space="preserve">Největší podíl dlouhodobě tvoří </w:t>
      </w:r>
      <w:r>
        <w:t xml:space="preserve">peněžní </w:t>
      </w:r>
      <w:r w:rsidRPr="00130C92">
        <w:t>prostředky p</w:t>
      </w:r>
      <w:r>
        <w:t>oskytované</w:t>
      </w:r>
      <w:r w:rsidRPr="00130C92">
        <w:t xml:space="preserve"> z kapitoly </w:t>
      </w:r>
      <w:r w:rsidRPr="005313CD">
        <w:rPr>
          <w:b/>
        </w:rPr>
        <w:t>Ministerstvo školství, mládeže a tělovýchovy</w:t>
      </w:r>
      <w:r w:rsidRPr="00E27611">
        <w:t xml:space="preserve">, v roce 2020 dosáhl jejich celkový objem </w:t>
      </w:r>
      <w:r w:rsidRPr="005313CD">
        <w:rPr>
          <w:b/>
        </w:rPr>
        <w:t>19,3 mld. Kč</w:t>
      </w:r>
      <w:r w:rsidRPr="00E27611">
        <w:t xml:space="preserve"> (meziročně o 2,0 mld. Kč více), z toho 19,0 mld. Kč (meziročně o 14,5 %, tj. o 2,4 mld. Kč více) činily prostředky určené na úhradu přímých výdajů na vzdělávání (včetně dotací pro soukromé školy). </w:t>
      </w:r>
      <w:r w:rsidRPr="006C51BD">
        <w:t>Větší objem neinvestičních transferů byl dále přijat z</w:t>
      </w:r>
      <w:r>
        <w:t> </w:t>
      </w:r>
      <w:r w:rsidRPr="006C51BD">
        <w:t>rozpočtu</w:t>
      </w:r>
      <w:r>
        <w:t xml:space="preserve"> kapitoly</w:t>
      </w:r>
      <w:r w:rsidRPr="006C51BD">
        <w:t xml:space="preserve"> Ministers</w:t>
      </w:r>
      <w:r>
        <w:t>tvo</w:t>
      </w:r>
      <w:r w:rsidRPr="006C51BD">
        <w:t xml:space="preserve"> práce a sociálních věcí (2,2 mld. Kč), zde se jednalo především o</w:t>
      </w:r>
      <w:r>
        <w:t> </w:t>
      </w:r>
      <w:r w:rsidRPr="006C51BD">
        <w:t>neinvestiční nedávkové transfe</w:t>
      </w:r>
      <w:r>
        <w:t>ry podle zákona č. 108/2006 Sb</w:t>
      </w:r>
      <w:r w:rsidRPr="006C51BD">
        <w:t>. Dále</w:t>
      </w:r>
      <w:r w:rsidR="00CB3AD2">
        <w:t xml:space="preserve"> byly</w:t>
      </w:r>
      <w:r w:rsidRPr="006C51BD">
        <w:t xml:space="preserve"> </w:t>
      </w:r>
      <w:r>
        <w:t>z</w:t>
      </w:r>
      <w:r w:rsidR="002F3881">
        <w:t> </w:t>
      </w:r>
      <w:r>
        <w:t>kapitoly</w:t>
      </w:r>
      <w:r w:rsidRPr="006C51BD">
        <w:t xml:space="preserve"> </w:t>
      </w:r>
      <w:r>
        <w:t xml:space="preserve">VPS </w:t>
      </w:r>
      <w:r w:rsidRPr="006C51BD">
        <w:t>pos</w:t>
      </w:r>
      <w:r>
        <w:t>kytnuty peněžní</w:t>
      </w:r>
      <w:r w:rsidRPr="006C51BD">
        <w:t xml:space="preserve"> prostředky ve výši 1,7 mld. Kč, </w:t>
      </w:r>
      <w:r>
        <w:t>a to</w:t>
      </w:r>
      <w:r w:rsidRPr="006C51BD">
        <w:t xml:space="preserve"> v rámci jednorázového příspěvku obcím </w:t>
      </w:r>
      <w:r>
        <w:t xml:space="preserve">na </w:t>
      </w:r>
      <w:r w:rsidR="00CB3AD2" w:rsidRPr="00CB3AD2">
        <w:t>kompenzaci propadu daňových příjmů způsobeného výplatou kompenzačního bonusu podnikatelům</w:t>
      </w:r>
      <w:r>
        <w:t>.</w:t>
      </w:r>
      <w:r w:rsidRPr="006C51BD">
        <w:t xml:space="preserve"> </w:t>
      </w:r>
    </w:p>
    <w:p w:rsidR="0009461F" w:rsidRPr="00B32AF5" w:rsidRDefault="0009461F" w:rsidP="0009461F">
      <w:r w:rsidRPr="00B32AF5">
        <w:lastRenderedPageBreak/>
        <w:t xml:space="preserve">V rámci </w:t>
      </w:r>
      <w:r w:rsidRPr="00B32AF5">
        <w:rPr>
          <w:b/>
        </w:rPr>
        <w:t>neinvestičních transferů</w:t>
      </w:r>
      <w:r w:rsidRPr="00B32AF5">
        <w:t xml:space="preserve"> vstupujících do příjmové strany rozpočtu hlavního města mají dlouhodobě významný podíl také prostředky převedené z vlastních fondů hospodářské (podnikatelské) činnosti. Jedná se převážně o nájemné z bytových a nebytových prostor v bytových ob</w:t>
      </w:r>
      <w:r w:rsidR="008D6041">
        <w:t>jektech a z pronájmu pozemků. V </w:t>
      </w:r>
      <w:r w:rsidRPr="00B32AF5">
        <w:t>roce 20</w:t>
      </w:r>
      <w:r>
        <w:t>20</w:t>
      </w:r>
      <w:r w:rsidRPr="00B32AF5">
        <w:t xml:space="preserve"> činil objem převodů z vlastních fondů 2,7 mld. Kč, ve srovnání s rokem předchozím </w:t>
      </w:r>
      <w:r>
        <w:t>se objem významně nezměnil</w:t>
      </w:r>
      <w:r w:rsidRPr="00B32AF5">
        <w:t>.</w:t>
      </w:r>
    </w:p>
    <w:p w:rsidR="0009461F" w:rsidRPr="00F45E9D" w:rsidRDefault="0009461F" w:rsidP="0009461F">
      <w:pPr>
        <w:rPr>
          <w:highlight w:val="yellow"/>
        </w:rPr>
      </w:pPr>
      <w:r w:rsidRPr="005119BF">
        <w:t xml:space="preserve">Objem přijatých </w:t>
      </w:r>
      <w:r w:rsidRPr="005119BF">
        <w:rPr>
          <w:b/>
        </w:rPr>
        <w:t>investičních transferů</w:t>
      </w:r>
      <w:r w:rsidRPr="005119BF">
        <w:t xml:space="preserve"> činil 0,5 mld. Kč (meziročně o 37,6 % méně), </w:t>
      </w:r>
      <w:r w:rsidRPr="00E81795">
        <w:t>největší část byla poskytnuta z rozpočtu Ministerstva pro místní rozvoj na realizaci projektů v rámci OP Praha – pól růstu (0,2</w:t>
      </w:r>
      <w:r>
        <w:t> </w:t>
      </w:r>
      <w:r w:rsidRPr="00E81795">
        <w:t>mld. Kč), dále z rozpočtu SDFI na financování dopravní infrastruktury (0,2 mld. Kč) a z rozpočtu Ministerstva životního prostředí v rámci Operačního programu Životní prostředí (0,1 mld. Kč). Objem přijatých investičních transferů zůstává v posledních čtyřech letech ve srovnání s předchozím obdobím stále nižší (v letech 2014 - 2016 se pohyboval v rozmezí 1,3 -1,9 mld. Kč; jednalo se především o prostředky určené na realizaci projektů v rámci OP Praha – Konkurenceschopnost).</w:t>
      </w:r>
    </w:p>
    <w:p w:rsidR="0009461F" w:rsidRPr="004C3D90" w:rsidRDefault="0009461F" w:rsidP="0009461F">
      <w:r w:rsidRPr="004C3D90">
        <w:rPr>
          <w:b/>
        </w:rPr>
        <w:t>Celkové výdaje</w:t>
      </w:r>
      <w:r w:rsidRPr="004C3D90">
        <w:t xml:space="preserve"> Prahy činily </w:t>
      </w:r>
      <w:r w:rsidRPr="004C3D90">
        <w:rPr>
          <w:b/>
        </w:rPr>
        <w:t>88,0 mld. Kč</w:t>
      </w:r>
      <w:r w:rsidRPr="004C3D90">
        <w:t xml:space="preserve">, proti předchozímu roku byly </w:t>
      </w:r>
      <w:r w:rsidRPr="004C3D90">
        <w:rPr>
          <w:b/>
        </w:rPr>
        <w:t>vyšší o 9,1 %, tj. o 7,4 mld. Kč</w:t>
      </w:r>
      <w:r w:rsidRPr="004C3D90">
        <w:t>, důvodem růstu byl vývoj v části běžných výdajů.</w:t>
      </w:r>
    </w:p>
    <w:p w:rsidR="0009461F" w:rsidRPr="00F45E9D" w:rsidRDefault="0009461F" w:rsidP="0009461F">
      <w:pPr>
        <w:rPr>
          <w:highlight w:val="yellow"/>
        </w:rPr>
      </w:pPr>
      <w:r w:rsidRPr="00694A46">
        <w:rPr>
          <w:b/>
        </w:rPr>
        <w:t>Běžné výdaje</w:t>
      </w:r>
      <w:r w:rsidRPr="00694A46">
        <w:t xml:space="preserve"> dosáhly </w:t>
      </w:r>
      <w:r w:rsidRPr="00694A46">
        <w:rPr>
          <w:b/>
        </w:rPr>
        <w:t>73,6 mld. Kč</w:t>
      </w:r>
      <w:r w:rsidRPr="00694A46">
        <w:t xml:space="preserve">, meziročně byly vyšší </w:t>
      </w:r>
      <w:r w:rsidRPr="00694A46">
        <w:rPr>
          <w:b/>
        </w:rPr>
        <w:t>o 8,9 %, tj. o 6 mld. Kč.</w:t>
      </w:r>
      <w:r w:rsidRPr="00694A46">
        <w:t xml:space="preserve"> </w:t>
      </w:r>
      <w:r w:rsidRPr="00323CAF">
        <w:t xml:space="preserve">Růst byl vykázán především v části transferů poskytovaných </w:t>
      </w:r>
      <w:r>
        <w:t xml:space="preserve">zejména </w:t>
      </w:r>
      <w:r w:rsidRPr="00323CAF">
        <w:t xml:space="preserve">příspěvkovým a podobným organizacím (o 3,0 mld. Kč), </w:t>
      </w:r>
      <w:r>
        <w:t>kdy se jednalo především o poskytnutí peněžních prostředků obdržených ze státního rozpočtu a o zvýšení příspěvku na provoz, a to zřizovaným příspěvkovým organizacím. Dále byl vykázán růst</w:t>
      </w:r>
      <w:r w:rsidRPr="00323CAF">
        <w:t xml:space="preserve"> na položkách: výdaje na dopravní územní obslužnost (o 0,5 mld. Kč)</w:t>
      </w:r>
      <w:r>
        <w:t>,</w:t>
      </w:r>
      <w:r w:rsidRPr="00323CAF">
        <w:t xml:space="preserve"> výdaje na platy a ostatní</w:t>
      </w:r>
      <w:r>
        <w:t xml:space="preserve"> platby za provedenou práci vč. </w:t>
      </w:r>
      <w:r w:rsidRPr="00323CAF">
        <w:t xml:space="preserve">pojistného (o 0,3 mld. Kč) a výdaje na nákup služeb (o 0,3 mld. Kč). </w:t>
      </w:r>
      <w:r w:rsidRPr="00150FBF">
        <w:t xml:space="preserve">Výrazný růst byl </w:t>
      </w:r>
      <w:r>
        <w:t>vykázán</w:t>
      </w:r>
      <w:r w:rsidRPr="00150FBF">
        <w:t xml:space="preserve"> na položce převody vlastním rozpočtovým účtům, které se zvýšily o 52,0 % na úroveň 146,8 mld. Kč.</w:t>
      </w:r>
      <w:r>
        <w:t xml:space="preserve"> Významný relativní nárůst výdajů byl vykázán v souvislosti s nákupem ochranných pomůcek a léků a zdravotnického materiálu. Významný růst byl také vykázán v rámci neinvestičních transferů poskytnutých finančním a</w:t>
      </w:r>
      <w:r w:rsidR="00CB3AD2">
        <w:t> </w:t>
      </w:r>
      <w:r>
        <w:t>podobným institucím ve vlastnictví státu hl. m. Praha (růst o 0,6 mld. Kč).</w:t>
      </w:r>
    </w:p>
    <w:p w:rsidR="0009461F" w:rsidRPr="00F45E9D" w:rsidRDefault="0009461F" w:rsidP="0009461F">
      <w:pPr>
        <w:rPr>
          <w:highlight w:val="yellow"/>
        </w:rPr>
      </w:pPr>
      <w:r w:rsidRPr="00CD5C59">
        <w:rPr>
          <w:b/>
        </w:rPr>
        <w:t>Kapitálové výdaje</w:t>
      </w:r>
      <w:r w:rsidRPr="00CD5C59">
        <w:t xml:space="preserve"> činily </w:t>
      </w:r>
      <w:r w:rsidRPr="00CD5C59">
        <w:rPr>
          <w:b/>
        </w:rPr>
        <w:t>14,5 mld. Kč</w:t>
      </w:r>
      <w:r w:rsidRPr="00CD5C59">
        <w:t xml:space="preserve">, což bylo </w:t>
      </w:r>
      <w:r w:rsidRPr="00CD5C59">
        <w:rPr>
          <w:b/>
        </w:rPr>
        <w:t>o 1,3 mld. Kč více</w:t>
      </w:r>
      <w:r w:rsidRPr="00CD5C59">
        <w:t xml:space="preserve"> nežli v předchozím roce. </w:t>
      </w:r>
      <w:r>
        <w:t>Obdobně jako v </w:t>
      </w:r>
      <w:r w:rsidRPr="00CD5C59">
        <w:t>předchozích třech letech byly kapitálové výdaje financovány téměř plně z vlastních zdrojů hlavního města, neboť přijaté investiční transfery se na kapitálových výdajích podílely 3,5 % (v roce minulém činil tento poměr přibližně 6 % a v letech 2017 - 2018 činil tento podíl 3 %). V předchozích letech 2015 – 2016 byl podíl přijatých transferů na kapitálových výdajích násobně vyšší (16,2 % – 17,5 %).</w:t>
      </w:r>
      <w:r>
        <w:t xml:space="preserve"> V případě hl. m. Prahy se však vysoké provozní saldo proporcionálně nepromítá do výše kapitálových výdajů, a tedy </w:t>
      </w:r>
      <w:r w:rsidRPr="00CB3AD2">
        <w:rPr>
          <w:b/>
          <w:bCs/>
        </w:rPr>
        <w:t>investiční možnost</w:t>
      </w:r>
      <w:r w:rsidR="00CB3AD2" w:rsidRPr="00CB3AD2">
        <w:rPr>
          <w:b/>
          <w:bCs/>
        </w:rPr>
        <w:t>i</w:t>
      </w:r>
      <w:r>
        <w:t xml:space="preserve"> </w:t>
      </w:r>
      <w:r w:rsidRPr="00AE7CA9">
        <w:rPr>
          <w:b/>
          <w:bCs/>
        </w:rPr>
        <w:t>hl. m. Prahy zůstávají v jednotlivých letech za očekáváním</w:t>
      </w:r>
      <w:r>
        <w:t>, s výjimkou roku 2014.</w:t>
      </w:r>
    </w:p>
    <w:p w:rsidR="0009461F" w:rsidRPr="007F0036" w:rsidRDefault="0009461F" w:rsidP="0009461F">
      <w:r w:rsidRPr="007F0036">
        <w:t>Z hlediska odvětvové struktury kapitálových výdajů směřovala v roce 2019 jejich největší část do odvětví bydlení, komunální služby a územní rozvoj (2,4 mld. Kč), doprava (4,4 mld. Kč)</w:t>
      </w:r>
      <w:r>
        <w:t xml:space="preserve"> a</w:t>
      </w:r>
      <w:r w:rsidRPr="007F0036">
        <w:t xml:space="preserve"> vzdělávání a školské služby (2,5 mld. Kč)</w:t>
      </w:r>
      <w:r>
        <w:t>.</w:t>
      </w:r>
      <w:r w:rsidRPr="007F0036">
        <w:t xml:space="preserve"> </w:t>
      </w:r>
    </w:p>
    <w:p w:rsidR="0009461F" w:rsidRPr="00F45E9D" w:rsidRDefault="0009461F" w:rsidP="0009461F">
      <w:pPr>
        <w:rPr>
          <w:highlight w:val="yellow"/>
        </w:rPr>
      </w:pPr>
      <w:r w:rsidRPr="009A2567">
        <w:t>Hlavní město je zřizovatelem celkem 752 příspěvkových organizací (z</w:t>
      </w:r>
      <w:r w:rsidRPr="00CE6B90">
        <w:t xml:space="preserve"> toho zřizovatelem 248 organizací je Magistrát hl</w:t>
      </w:r>
      <w:r>
        <w:t>.</w:t>
      </w:r>
      <w:r w:rsidRPr="00CE6B90">
        <w:t xml:space="preserve"> </w:t>
      </w:r>
      <w:r w:rsidRPr="00781017">
        <w:t>m</w:t>
      </w:r>
      <w:r>
        <w:t xml:space="preserve">. Prahy </w:t>
      </w:r>
      <w:r w:rsidRPr="00781017">
        <w:t>a zřizovateli 504 organizací jsou jednotlivé městské části). Z hlediska odvětvového zaměření příspěvkových organizací jich nejvíce (celkem 636) spadá do oblasti školství.</w:t>
      </w:r>
    </w:p>
    <w:p w:rsidR="0009461F" w:rsidRPr="002C3672" w:rsidRDefault="0009461F" w:rsidP="0009461F">
      <w:pPr>
        <w:rPr>
          <w:b/>
        </w:rPr>
      </w:pPr>
      <w:r w:rsidRPr="002C3672">
        <w:rPr>
          <w:b/>
        </w:rPr>
        <w:t>Příspěvkové organizace zřizované obcemi (vč. hl. m. Prahy)</w:t>
      </w:r>
    </w:p>
    <w:p w:rsidR="0009461F" w:rsidRPr="00F45E9D" w:rsidRDefault="0009461F" w:rsidP="0009461F">
      <w:pPr>
        <w:rPr>
          <w:highlight w:val="yellow"/>
        </w:rPr>
      </w:pPr>
      <w:r w:rsidRPr="002C3672">
        <w:t xml:space="preserve">Ke konci uplynulého roku bylo evidováno celkem </w:t>
      </w:r>
      <w:r w:rsidRPr="002C3672">
        <w:rPr>
          <w:b/>
        </w:rPr>
        <w:t>8 327 příspěvkových organizací</w:t>
      </w:r>
      <w:r w:rsidRPr="002C3672">
        <w:t xml:space="preserve">, jejichž zřizovateli byly obce včetně hl. m. Prahy a jejich městských částí (meziročně se jejich počet zvýšil o 3 organizace). </w:t>
      </w:r>
      <w:r>
        <w:t>Z údajů o </w:t>
      </w:r>
      <w:r w:rsidRPr="00FE197C">
        <w:t>výsledcích hospodaření příspěvkových organizací vyplývá, že 93,4 % organizací ukončilo své hospodaření s kladným nebo vyrovnaným výsledkem (v roce 2019 jich s vyrovnaným nebo kladným výsledkem hospodaření hospodařilo 92,4 %). </w:t>
      </w:r>
    </w:p>
    <w:p w:rsidR="0009461F" w:rsidRDefault="0009461F" w:rsidP="0009461F">
      <w:pPr>
        <w:rPr>
          <w:iCs/>
        </w:rPr>
      </w:pPr>
      <w:r w:rsidRPr="002C3672">
        <w:t xml:space="preserve">Z hlediska odvětvového členění hlavní činnosti příspěvkových organizací působilo zhruba </w:t>
      </w:r>
      <w:r w:rsidRPr="00AE7CA9">
        <w:rPr>
          <w:b/>
          <w:bCs/>
        </w:rPr>
        <w:t>86,0 %</w:t>
      </w:r>
      <w:r w:rsidRPr="002C3672">
        <w:t xml:space="preserve"> příspěvkových organizací v oblasti </w:t>
      </w:r>
      <w:r w:rsidRPr="00AE7CA9">
        <w:rPr>
          <w:b/>
          <w:bCs/>
        </w:rPr>
        <w:t>vzdělávání</w:t>
      </w:r>
      <w:r w:rsidRPr="002C3672">
        <w:t xml:space="preserve"> (předškolní zařízení, základní školy, školní stravování a</w:t>
      </w:r>
      <w:r w:rsidR="00AE7CA9">
        <w:t> </w:t>
      </w:r>
      <w:r w:rsidRPr="002C3672">
        <w:t xml:space="preserve">základní umělecké školy). </w:t>
      </w:r>
      <w:r w:rsidRPr="00D6447D">
        <w:t xml:space="preserve">V oblasti kultury působilo přibližně 5,5 % z celkového počtu příspěvkových organizací (zde se jedná především o zařízení pro zájmovou činnost v kultuře, knihovnické činnosti a činnost muzeí a galerií). </w:t>
      </w:r>
      <w:r w:rsidRPr="00D11463">
        <w:t xml:space="preserve">V oblasti sociálních věcí působilo zhruba 4,0 % příspěvkových organizací (domovy pro seniory a domovy pro osoby se zdravotním postižením, centra sociálních služeb, zajišťování osobní </w:t>
      </w:r>
      <w:r w:rsidRPr="00D11463">
        <w:lastRenderedPageBreak/>
        <w:t>asistence a pečovatelské služby a sociální poradenství). Větší počty příspěvkových organizací působily</w:t>
      </w:r>
      <w:r>
        <w:t xml:space="preserve"> dále i</w:t>
      </w:r>
      <w:r w:rsidR="00AE7CA9">
        <w:t> </w:t>
      </w:r>
      <w:r>
        <w:t>v oblasti rekreačních a </w:t>
      </w:r>
      <w:r w:rsidRPr="00D11463">
        <w:t>sportovních služeb, rozvoje bydlení, odstraňování odpadů.</w:t>
      </w:r>
      <w:r w:rsidRPr="00D11463">
        <w:rPr>
          <w:iCs/>
        </w:rPr>
        <w:t xml:space="preserve"> Odvětvová struktura příspěvkových organizací zůstává stejně jako v případě krajů dlouhodobě stabilní.</w:t>
      </w:r>
      <w:bookmarkStart w:id="78" w:name="_Toc206898252"/>
    </w:p>
    <w:p w:rsidR="0009461F" w:rsidRPr="00F45E9D" w:rsidRDefault="0009461F" w:rsidP="0009461F">
      <w:pPr>
        <w:pStyle w:val="Nzev"/>
        <w:rPr>
          <w:iCs/>
          <w:highlight w:val="yellow"/>
        </w:rPr>
      </w:pPr>
      <w:bookmarkStart w:id="79" w:name="_Toc66700408"/>
      <w:bookmarkStart w:id="80" w:name="_Toc66717173"/>
      <w:r>
        <w:t xml:space="preserve">Graf č. </w:t>
      </w:r>
      <w:fldSimple w:instr=" SEQ Graf_č. \* ARABIC ">
        <w:r>
          <w:rPr>
            <w:noProof/>
          </w:rPr>
          <w:t>8</w:t>
        </w:r>
      </w:fldSimple>
      <w:r>
        <w:rPr>
          <w:iCs/>
          <w:noProof/>
          <w:highlight w:val="yellow"/>
          <w:lang w:eastAsia="cs-CZ"/>
        </w:rPr>
        <w:drawing>
          <wp:anchor distT="0" distB="0" distL="114300" distR="114300" simplePos="0" relativeHeight="251654144" behindDoc="0" locked="0" layoutInCell="1" allowOverlap="1" wp14:anchorId="67C8208E" wp14:editId="0395C507">
            <wp:simplePos x="0" y="0"/>
            <wp:positionH relativeFrom="margin">
              <wp:align>left</wp:align>
            </wp:positionH>
            <wp:positionV relativeFrom="paragraph">
              <wp:posOffset>432435</wp:posOffset>
            </wp:positionV>
            <wp:extent cx="4564380" cy="2741930"/>
            <wp:effectExtent l="0" t="0" r="7620" b="1270"/>
            <wp:wrapTopAndBottom/>
            <wp:docPr id="313" name="Obrázek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564380" cy="2741930"/>
                    </a:xfrm>
                    <a:prstGeom prst="rect">
                      <a:avLst/>
                    </a:prstGeom>
                    <a:noFill/>
                  </pic:spPr>
                </pic:pic>
              </a:graphicData>
            </a:graphic>
            <wp14:sizeRelH relativeFrom="margin">
              <wp14:pctWidth>0</wp14:pctWidth>
            </wp14:sizeRelH>
          </wp:anchor>
        </w:drawing>
      </w:r>
      <w:r>
        <w:t>: Oblasti působností příspěvkových organizací zřízených obcemi v roce 2020</w:t>
      </w:r>
      <w:bookmarkEnd w:id="79"/>
      <w:bookmarkEnd w:id="80"/>
    </w:p>
    <w:p w:rsidR="0009461F" w:rsidRPr="009D335B" w:rsidRDefault="0009461F" w:rsidP="0009461F">
      <w:pPr>
        <w:rPr>
          <w:b/>
        </w:rPr>
      </w:pPr>
      <w:r w:rsidRPr="009D335B">
        <w:rPr>
          <w:b/>
        </w:rPr>
        <w:t>Dobrovolné svazky obcí</w:t>
      </w:r>
    </w:p>
    <w:p w:rsidR="0009461F" w:rsidRPr="009D335B" w:rsidRDefault="0009461F" w:rsidP="0009461F">
      <w:r w:rsidRPr="009D335B">
        <w:t>DSO představují specifickou a nejčastější formu spolupráce mezi obcemi. Vznikají za účelem prosazování společných zájmů členských obcí, zajišťování rozvoje jejich infrastruktury, případně provozování některých společných činností (například v oblasti vodního hospodářství, ochrany</w:t>
      </w:r>
      <w:r>
        <w:t xml:space="preserve"> životního prostředí, bydlení a </w:t>
      </w:r>
      <w:r w:rsidRPr="009D335B">
        <w:t>územního rozvoje, sociálních služeb). Jednotlivé DSO jsou právnickým</w:t>
      </w:r>
      <w:r>
        <w:t>i osobami, sestavují rozpočet příjmů a výdajů a </w:t>
      </w:r>
      <w:r w:rsidRPr="009D335B">
        <w:t>hospodaří s majetkem, který členské obce vkládají do svazku a s majetkem, který získaly vlastní činností.</w:t>
      </w:r>
    </w:p>
    <w:p w:rsidR="0009461F" w:rsidRPr="0064262A" w:rsidRDefault="0009461F" w:rsidP="0009461F">
      <w:r w:rsidRPr="0064262A">
        <w:t>V návrhu státního rozpočtu nebývají rozpočtovány žádné transfery přímo pro DSO. Tato skutečnost je způsobena tím, že neexistuje žádný dotační titul, který by byl určen výhradně pro DSO. Dotační tituly, které jsou určeny jak pro obce, tak pro DSO, bývají v návrhu státního rozpočtu zahrnuty jako dotace pro obce a</w:t>
      </w:r>
      <w:r w:rsidR="00AE7CA9">
        <w:t> </w:t>
      </w:r>
      <w:r w:rsidRPr="0064262A">
        <w:t>jako dotac</w:t>
      </w:r>
      <w:r>
        <w:t>e</w:t>
      </w:r>
      <w:r w:rsidRPr="0064262A">
        <w:t xml:space="preserve"> pro DSO </w:t>
      </w:r>
      <w:r>
        <w:t>jsou vykazovány</w:t>
      </w:r>
      <w:r w:rsidRPr="0064262A">
        <w:t xml:space="preserve"> až v průběhu rozpočtového roku při jejich uvolňování.</w:t>
      </w:r>
    </w:p>
    <w:p w:rsidR="0009461F" w:rsidRPr="0064262A" w:rsidRDefault="0009461F" w:rsidP="0009461F">
      <w:r w:rsidRPr="0064262A">
        <w:t>V roce 2020 působilo na území republiky celkem 700 DSO, jejich počet se meziročně snížil o 4</w:t>
      </w:r>
      <w:bookmarkEnd w:id="78"/>
      <w:r w:rsidRPr="0064262A">
        <w:t xml:space="preserve">. </w:t>
      </w:r>
    </w:p>
    <w:p w:rsidR="0009461F" w:rsidRPr="004D13C2" w:rsidRDefault="0009461F" w:rsidP="0009461F">
      <w:r w:rsidRPr="004D13C2">
        <w:t>DSO hospodařily s příjmy ve výši 4,7 mld. Kč, což znamenalo meziroční nárůst o</w:t>
      </w:r>
      <w:r>
        <w:t xml:space="preserve"> 15,0 %, respektive o</w:t>
      </w:r>
      <w:r w:rsidRPr="004D13C2">
        <w:t> 0,6 mld. Kč. Přesto celková výše příjmů DSO</w:t>
      </w:r>
      <w:r>
        <w:t>,</w:t>
      </w:r>
      <w:r w:rsidRPr="004D13C2">
        <w:t xml:space="preserve"> stejně jako v předchozích třech letech</w:t>
      </w:r>
      <w:r>
        <w:t>,</w:t>
      </w:r>
      <w:r w:rsidRPr="004D13C2">
        <w:t xml:space="preserve"> značně zaostávala za úrovní dosahovanou v období let 2010 – 2015, kdy průměrná roční výše příjmů činila 5,8 mld. Kč. Důvodem je nižší objem přijatých transferů, které představují základní zdroj financování činnosti DSO. Jejich celková výše činila 3,3 mld. Kč, zatímco v letech 2010 - 2015 to bylo průměrně 4,7 mld. Kč </w:t>
      </w:r>
      <w:r>
        <w:t xml:space="preserve">ročně </w:t>
      </w:r>
      <w:r w:rsidRPr="004D13C2">
        <w:t>(pokles po roce 2015 souvisí především s přechodem na nové programové období pro čerpání prostředků z</w:t>
      </w:r>
      <w:r>
        <w:t xml:space="preserve"> rozpočtů </w:t>
      </w:r>
      <w:r w:rsidRPr="004D13C2">
        <w:t>fondů EU</w:t>
      </w:r>
      <w:r>
        <w:t xml:space="preserve"> a </w:t>
      </w:r>
      <w:r w:rsidRPr="004D13C2">
        <w:t>projevuje se zejména v části přijatých investičních transferů).</w:t>
      </w:r>
    </w:p>
    <w:p w:rsidR="0009461F" w:rsidRPr="00434A07" w:rsidRDefault="0009461F" w:rsidP="0009461F">
      <w:r w:rsidRPr="00FD0A22">
        <w:rPr>
          <w:b/>
        </w:rPr>
        <w:t>Vlastní příjmy</w:t>
      </w:r>
      <w:r w:rsidRPr="00434A07">
        <w:t xml:space="preserve"> DSO byly vykázány zhruba ve stejné výši jako v předchozích dvou letech, činily </w:t>
      </w:r>
      <w:r w:rsidRPr="00FD0A22">
        <w:rPr>
          <w:b/>
        </w:rPr>
        <w:t>1,5 mld. Kč</w:t>
      </w:r>
      <w:r w:rsidRPr="00434A07">
        <w:t>. Tvořily je v zásadě pouze nedaňové příjmy</w:t>
      </w:r>
      <w:r>
        <w:t>,</w:t>
      </w:r>
      <w:r w:rsidRPr="00434A07">
        <w:t xml:space="preserve"> z toho: příjmy z pronájmu majetku </w:t>
      </w:r>
      <w:r>
        <w:t xml:space="preserve">ve výši </w:t>
      </w:r>
      <w:r w:rsidRPr="00434A07">
        <w:t>1,0 mld. Kč</w:t>
      </w:r>
      <w:r>
        <w:t xml:space="preserve"> a</w:t>
      </w:r>
      <w:r w:rsidRPr="00434A07">
        <w:t xml:space="preserve"> příjmy z vlastní činnosti </w:t>
      </w:r>
      <w:r>
        <w:t xml:space="preserve">ve výši </w:t>
      </w:r>
      <w:r w:rsidRPr="00434A07">
        <w:t>0,3 mld. Kč.</w:t>
      </w:r>
    </w:p>
    <w:p w:rsidR="0009461F" w:rsidRPr="00F45E9D" w:rsidRDefault="0009461F" w:rsidP="0009461F">
      <w:pPr>
        <w:rPr>
          <w:highlight w:val="yellow"/>
        </w:rPr>
      </w:pPr>
      <w:r w:rsidRPr="00F4488D">
        <w:rPr>
          <w:b/>
        </w:rPr>
        <w:t xml:space="preserve">Výdaje </w:t>
      </w:r>
      <w:r w:rsidRPr="00434A07">
        <w:t xml:space="preserve">DSO činily </w:t>
      </w:r>
      <w:r w:rsidRPr="00F4488D">
        <w:rPr>
          <w:b/>
        </w:rPr>
        <w:t>4,9 mld. Kč</w:t>
      </w:r>
      <w:r w:rsidRPr="00434A07">
        <w:t xml:space="preserve">, meziročně </w:t>
      </w:r>
      <w:r w:rsidRPr="00F4488D">
        <w:rPr>
          <w:b/>
        </w:rPr>
        <w:t>vzrostly o 30,0 %</w:t>
      </w:r>
      <w:r w:rsidRPr="00434A07">
        <w:t>, tj. o 1,1 mld. Kč. Růst byl vykázán především v části kapitálových výdajů, které dosáhly 3,4 mld. Kč (o 47,0 %, tj. o 1,1 mld. Kč více), běžné výdaje zůstaly na úrovni předchozího roku, činily 1,5 mld. Kč.</w:t>
      </w:r>
    </w:p>
    <w:p w:rsidR="0009461F" w:rsidRPr="00F45E9D" w:rsidRDefault="0009461F" w:rsidP="0009461F">
      <w:pPr>
        <w:rPr>
          <w:highlight w:val="yellow"/>
        </w:rPr>
      </w:pPr>
      <w:r w:rsidRPr="005F01B4">
        <w:t>Z hlediska odvětvové struktury směřovala největší část výdajů, stejně jako v předchozích letech, do odvětví vodního hospodářství. Jejich objem dosáhl 3,5 mld. Kč</w:t>
      </w:r>
      <w:r>
        <w:t xml:space="preserve"> (v minulém roce činily 2,6 mld. Kč)</w:t>
      </w:r>
      <w:r w:rsidRPr="005F01B4">
        <w:t>, z toho kapitálové výdaje činily 2,9 mld. Kč (v loňském roce představovaly 2,0 mld. Kč).</w:t>
      </w:r>
    </w:p>
    <w:p w:rsidR="0009461F" w:rsidRPr="00F45E9D" w:rsidRDefault="0009461F" w:rsidP="0009461F">
      <w:pPr>
        <w:rPr>
          <w:highlight w:val="yellow"/>
        </w:rPr>
      </w:pPr>
      <w:r w:rsidRPr="00E94FE0">
        <w:lastRenderedPageBreak/>
        <w:t xml:space="preserve">Hospodaření DSO skončilo v roce 2020 se schodkem ve výši 0,1 mld. Kč a proti loňskému roku se saldo hospodaření snížilo o </w:t>
      </w:r>
      <w:r>
        <w:t>0,5 mld. Kč. Z</w:t>
      </w:r>
      <w:r w:rsidRPr="00E94FE0">
        <w:t xml:space="preserve"> celkového počtu 700 DSO </w:t>
      </w:r>
      <w:r w:rsidRPr="003A41F8">
        <w:t xml:space="preserve">jich 415 hospodařilo </w:t>
      </w:r>
      <w:r>
        <w:t>s vyrovnaným nebo kladným výsledkem rozpočtového hospodaření</w:t>
      </w:r>
      <w:r w:rsidRPr="00E94FE0">
        <w:t xml:space="preserve"> (v roce 2019 hospodařilo s přebytkem 414 DSO). </w:t>
      </w:r>
    </w:p>
    <w:p w:rsidR="0009461F" w:rsidRPr="004518A2" w:rsidRDefault="0009461F" w:rsidP="0009461F">
      <w:pPr>
        <w:rPr>
          <w:bCs/>
        </w:rPr>
      </w:pPr>
      <w:r w:rsidRPr="00716306">
        <w:rPr>
          <w:bCs/>
        </w:rPr>
        <w:t xml:space="preserve">Z hlediska zaměření činnosti působí největší počet DSO v odvětví bydlení, komunální služby a územní rozvoj. Dále pak v odvětvích: vodní hospodářství (předmětem činnosti je především zajišťování </w:t>
      </w:r>
      <w:r w:rsidRPr="00716306">
        <w:t>zásobování pitnou vodou, odvádění a čištění odpadních vod a správa ve vodním hospodářství) a o</w:t>
      </w:r>
      <w:r w:rsidRPr="00716306">
        <w:rPr>
          <w:bCs/>
        </w:rPr>
        <w:t>chrana životního prostředí (zde se jedná zejména o zajišťování sběru a svozu komunálních odpadů a nebezpečných odpadů, využívání a zneškodňování odpadů, péči o vzhled obce a veřejnou zeleň</w:t>
      </w:r>
      <w:r>
        <w:rPr>
          <w:bCs/>
        </w:rPr>
        <w:t xml:space="preserve"> a</w:t>
      </w:r>
      <w:r w:rsidRPr="00716306">
        <w:rPr>
          <w:bCs/>
        </w:rPr>
        <w:t xml:space="preserve"> činnosti k ochraně půdy a krajiny).</w:t>
      </w:r>
    </w:p>
    <w:p w:rsidR="0009461F" w:rsidRPr="003F22E8" w:rsidRDefault="0009461F" w:rsidP="0009461F">
      <w:pPr>
        <w:pStyle w:val="Nadpis1"/>
      </w:pPr>
      <w:bookmarkStart w:id="81" w:name="_Toc382561977"/>
      <w:bookmarkStart w:id="82" w:name="_Toc445816295"/>
      <w:bookmarkStart w:id="83" w:name="_Toc35945608"/>
      <w:bookmarkStart w:id="84" w:name="_Toc66700415"/>
      <w:bookmarkStart w:id="85" w:name="_Toc66717110"/>
      <w:r w:rsidRPr="003F22E8">
        <w:t>Hospodaření Regionálních rad regionů soudržnosti</w:t>
      </w:r>
      <w:bookmarkEnd w:id="81"/>
      <w:bookmarkEnd w:id="82"/>
      <w:bookmarkEnd w:id="83"/>
      <w:bookmarkEnd w:id="84"/>
      <w:bookmarkEnd w:id="85"/>
    </w:p>
    <w:p w:rsidR="0009461F" w:rsidRPr="003F22E8" w:rsidRDefault="0009461F" w:rsidP="0009461F">
      <w:r w:rsidRPr="003F22E8">
        <w:t>Regionální rady vznikly v roce 20</w:t>
      </w:r>
      <w:r>
        <w:t>06 jako řídí</w:t>
      </w:r>
      <w:r w:rsidRPr="003F22E8">
        <w:t xml:space="preserve">cí orgány regionálních operačních programů v programovém období 2007 – 2013. Jejich hlavním úkolem bylo prostřednictvím regionálních operačních programů administrovat </w:t>
      </w:r>
      <w:r>
        <w:t>peněžní</w:t>
      </w:r>
      <w:r w:rsidRPr="003F22E8">
        <w:t xml:space="preserve"> prostředky z</w:t>
      </w:r>
      <w:r>
        <w:t xml:space="preserve"> rozpočtů </w:t>
      </w:r>
      <w:r w:rsidRPr="003F22E8">
        <w:t>fondů EU. V období do roku 2016 byly do rozpočtů regionálních rad převáděny značné objemy transferů ze státního rozpočtu, které byly určeny na spolufinancování projektů realizovaných v rámci regionálních operačních programů (například v letech 2009 – 2016 činila jejich průměrná roční výše 16,2 mld. Kč).</w:t>
      </w:r>
    </w:p>
    <w:p w:rsidR="0009461F" w:rsidRPr="007E088D" w:rsidRDefault="0009461F" w:rsidP="0009461F">
      <w:pPr>
        <w:pStyle w:val="Nzev"/>
        <w:rPr>
          <w:highlight w:val="yellow"/>
        </w:rPr>
      </w:pPr>
      <w:bookmarkStart w:id="86" w:name="_Toc66700396"/>
      <w:bookmarkStart w:id="87" w:name="_Toc66717156"/>
      <w:r w:rsidRPr="002F556E">
        <w:t xml:space="preserve">Tabulka č. </w:t>
      </w:r>
      <w:fldSimple w:instr=" SEQ Tabulka_č. \* ARABIC ">
        <w:r>
          <w:rPr>
            <w:noProof/>
          </w:rPr>
          <w:t>17</w:t>
        </w:r>
      </w:fldSimple>
      <w:r w:rsidRPr="002F556E">
        <w:t>: Bilance příjmů a výdajů regionálních rad regionů soudržnosti (mil. Kč)</w:t>
      </w:r>
      <w:bookmarkEnd w:id="86"/>
      <w:bookmarkEnd w:id="87"/>
    </w:p>
    <w:p w:rsidR="008D6041" w:rsidRDefault="008D6041" w:rsidP="008D6041">
      <w:pPr>
        <w:pStyle w:val="Tabgraf"/>
      </w:pPr>
      <w:r w:rsidRPr="008D6041">
        <w:rPr>
          <w:noProof/>
          <w:lang w:eastAsia="cs-CZ"/>
        </w:rPr>
        <w:drawing>
          <wp:inline distT="0" distB="0" distL="0" distR="0" wp14:anchorId="502D3B2F" wp14:editId="549BEF78">
            <wp:extent cx="5657850" cy="2441906"/>
            <wp:effectExtent l="0" t="0" r="0" b="0"/>
            <wp:docPr id="324" name="Obrázek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657850" cy="2441906"/>
                    </a:xfrm>
                    <a:prstGeom prst="rect">
                      <a:avLst/>
                    </a:prstGeom>
                    <a:noFill/>
                    <a:ln>
                      <a:noFill/>
                    </a:ln>
                  </pic:spPr>
                </pic:pic>
              </a:graphicData>
            </a:graphic>
          </wp:inline>
        </w:drawing>
      </w:r>
    </w:p>
    <w:p w:rsidR="0009461F" w:rsidRPr="00AF6EB0" w:rsidRDefault="0009461F" w:rsidP="0009461F">
      <w:r w:rsidRPr="00AF6EB0">
        <w:t>Ukončení programového období 2007 – 2013 znamenalo změnu úlohy a tím i rozpočtového hospodaření regionálních rad. Od poloviny roku 2016, tj. termín, do kdy bylo možné proplácet poslední projekty realizované v rámci regionálních operačních programů, spočívá úloha regionálních rad především v monitorování a kontrole projektů v období jejich povinné udržitelnosti (u posledních proplacených projektů potrvá až do konce roku 2021) a provádění činností spojených s postupným ukončováním jednotlivých regionálních operačních programů. V hospodaření regionálních rad se proto promítá postupné utlumování jednotlivých činností a postupné snižování počtu pracovníků.</w:t>
      </w:r>
      <w:r>
        <w:t xml:space="preserve"> Tento trend souvisí s připravovaným zrušením regionálních rad v roce 2021.</w:t>
      </w:r>
    </w:p>
    <w:p w:rsidR="0009461F" w:rsidRPr="007E088D" w:rsidRDefault="0009461F" w:rsidP="0009461F">
      <w:pPr>
        <w:rPr>
          <w:highlight w:val="yellow"/>
        </w:rPr>
      </w:pPr>
      <w:r w:rsidRPr="00CF1D42">
        <w:t xml:space="preserve">Pro rok 2020 byly, obdobně jako v předchozím roce, rozpočtovány jak ve státním rozpočtu, </w:t>
      </w:r>
      <w:r>
        <w:t>kapitola</w:t>
      </w:r>
      <w:r w:rsidRPr="00CF1D42">
        <w:t xml:space="preserve"> Ministerstv</w:t>
      </w:r>
      <w:r>
        <w:t>o</w:t>
      </w:r>
      <w:r w:rsidRPr="00CF1D42">
        <w:t xml:space="preserve"> pro místní rozvoj, tak v rozpočtech jednotlivých krajů, již jen prostředky na financování provozu a činnosti regionálních rad, případně na doplacení dotací příjemcům z důvodů ukončení některých sporů z veřejnoprávních smluv z předchozího programového období. Celkový objem příjmů regionálních rad činil </w:t>
      </w:r>
      <w:r>
        <w:t>517,4 mil</w:t>
      </w:r>
      <w:r w:rsidRPr="00CF1D42">
        <w:t>. Kč</w:t>
      </w:r>
      <w:r>
        <w:t>,</w:t>
      </w:r>
      <w:r w:rsidRPr="00CF1D42">
        <w:t xml:space="preserve"> z</w:t>
      </w:r>
      <w:r>
        <w:t> </w:t>
      </w:r>
      <w:r w:rsidRPr="00CF1D42">
        <w:t>toho</w:t>
      </w:r>
      <w:r>
        <w:t xml:space="preserve"> přijaté</w:t>
      </w:r>
      <w:r w:rsidRPr="00CF1D42">
        <w:t xml:space="preserve"> transfery z kapitoly Ministerstv</w:t>
      </w:r>
      <w:r>
        <w:t>o</w:t>
      </w:r>
      <w:r w:rsidRPr="00CF1D42">
        <w:t xml:space="preserve"> pro místní rozvoj</w:t>
      </w:r>
      <w:r>
        <w:t xml:space="preserve"> činily</w:t>
      </w:r>
      <w:r w:rsidRPr="00CF1D42">
        <w:t xml:space="preserve"> </w:t>
      </w:r>
      <w:r>
        <w:t>238,6 mil.</w:t>
      </w:r>
      <w:r w:rsidRPr="00CF1D42">
        <w:t xml:space="preserve"> Kč a</w:t>
      </w:r>
      <w:r w:rsidR="008410E9">
        <w:t> </w:t>
      </w:r>
      <w:r w:rsidRPr="00CF1D42">
        <w:t xml:space="preserve">nedaňové příjmy </w:t>
      </w:r>
      <w:r>
        <w:t xml:space="preserve">byly </w:t>
      </w:r>
      <w:r w:rsidRPr="00CF1D42">
        <w:t xml:space="preserve">ve výši </w:t>
      </w:r>
      <w:r>
        <w:t>226,5 mil</w:t>
      </w:r>
      <w:r w:rsidRPr="00CF1D42">
        <w:t>. Kč.</w:t>
      </w:r>
    </w:p>
    <w:p w:rsidR="0009461F" w:rsidRPr="007E088D" w:rsidRDefault="0009461F" w:rsidP="0009461F">
      <w:pPr>
        <w:rPr>
          <w:bCs/>
          <w:kern w:val="36"/>
          <w:highlight w:val="yellow"/>
        </w:rPr>
      </w:pPr>
      <w:r w:rsidRPr="00B13703">
        <w:rPr>
          <w:b/>
        </w:rPr>
        <w:t>Celkové příjmy</w:t>
      </w:r>
      <w:r w:rsidRPr="00B13703">
        <w:t xml:space="preserve"> regionálních rad dosáhly </w:t>
      </w:r>
      <w:r>
        <w:rPr>
          <w:b/>
        </w:rPr>
        <w:t> růstu</w:t>
      </w:r>
      <w:r w:rsidRPr="00B13703">
        <w:rPr>
          <w:b/>
        </w:rPr>
        <w:t xml:space="preserve"> </w:t>
      </w:r>
      <w:r w:rsidRPr="00C8399D">
        <w:rPr>
          <w:b/>
          <w:bCs/>
        </w:rPr>
        <w:t>o 96,9 %</w:t>
      </w:r>
      <w:r w:rsidRPr="00B13703">
        <w:t xml:space="preserve">, tj. o </w:t>
      </w:r>
      <w:r>
        <w:t>254,6 mil. Kč.</w:t>
      </w:r>
      <w:r w:rsidRPr="00B13703">
        <w:t xml:space="preserve"> </w:t>
      </w:r>
      <w:r>
        <w:t>N</w:t>
      </w:r>
      <w:r w:rsidRPr="00B13703">
        <w:t xml:space="preserve">edaňové příjmy </w:t>
      </w:r>
      <w:r>
        <w:t xml:space="preserve">činily 226,5 mil. Kč </w:t>
      </w:r>
      <w:r w:rsidRPr="009842C3">
        <w:t xml:space="preserve">(přijaté sankční platby, přijaté vratky transferů, příjmy z finančního vypořádání) </w:t>
      </w:r>
      <w:r>
        <w:t>a meziročně vzrostly o 219,8 %</w:t>
      </w:r>
    </w:p>
    <w:p w:rsidR="0009461F" w:rsidRPr="007E088D" w:rsidRDefault="0009461F" w:rsidP="0009461F">
      <w:pPr>
        <w:rPr>
          <w:i/>
          <w:highlight w:val="yellow"/>
        </w:rPr>
      </w:pPr>
      <w:r w:rsidRPr="000F3D3F">
        <w:rPr>
          <w:b/>
        </w:rPr>
        <w:lastRenderedPageBreak/>
        <w:t xml:space="preserve">Výdaje </w:t>
      </w:r>
      <w:r w:rsidRPr="000F3D3F">
        <w:t xml:space="preserve">regionálních rad činily </w:t>
      </w:r>
      <w:r>
        <w:rPr>
          <w:b/>
        </w:rPr>
        <w:t xml:space="preserve">464,2 mil. </w:t>
      </w:r>
      <w:r w:rsidRPr="000F3D3F">
        <w:rPr>
          <w:b/>
        </w:rPr>
        <w:t>Kč</w:t>
      </w:r>
      <w:r w:rsidRPr="000F3D3F">
        <w:t xml:space="preserve"> (meziročn</w:t>
      </w:r>
      <w:r>
        <w:t>í</w:t>
      </w:r>
      <w:r w:rsidRPr="000F3D3F">
        <w:t xml:space="preserve"> </w:t>
      </w:r>
      <w:r w:rsidRPr="00C8399D">
        <w:rPr>
          <w:b/>
          <w:bCs/>
        </w:rPr>
        <w:t>růst o 45,5 %</w:t>
      </w:r>
      <w:r w:rsidRPr="000F3D3F">
        <w:t xml:space="preserve">, tj. o </w:t>
      </w:r>
      <w:r>
        <w:t>144,7 mil</w:t>
      </w:r>
      <w:r w:rsidRPr="000F3D3F">
        <w:t xml:space="preserve">. Kč). </w:t>
      </w:r>
      <w:r w:rsidRPr="008C12A4">
        <w:t xml:space="preserve">V rámci </w:t>
      </w:r>
      <w:r w:rsidRPr="00C8399D">
        <w:rPr>
          <w:b/>
          <w:bCs/>
        </w:rPr>
        <w:t xml:space="preserve">běžných výdajů ve výši </w:t>
      </w:r>
      <w:r>
        <w:rPr>
          <w:b/>
          <w:bCs/>
        </w:rPr>
        <w:t>457,9 mil</w:t>
      </w:r>
      <w:r w:rsidRPr="00C8399D">
        <w:rPr>
          <w:b/>
          <w:bCs/>
        </w:rPr>
        <w:t>. Kč</w:t>
      </w:r>
      <w:r w:rsidRPr="008C12A4">
        <w:t xml:space="preserve"> se jednalo především o výdaje na vlastní činnost regionálních rad, tj. výdaje na platy a</w:t>
      </w:r>
      <w:r>
        <w:t> </w:t>
      </w:r>
      <w:r w:rsidRPr="008C12A4">
        <w:t xml:space="preserve">ostatní platby za provedenou práci včetně souvisejícího pojistného, výdaje na nákup služeb či vratky transferů poskytnutých z veřejných rozpočtů ústřední úrovně. V rámci </w:t>
      </w:r>
      <w:r w:rsidRPr="00C8399D">
        <w:rPr>
          <w:b/>
          <w:bCs/>
        </w:rPr>
        <w:t>kapitálových výdajů</w:t>
      </w:r>
      <w:r w:rsidRPr="008C12A4">
        <w:t xml:space="preserve"> došlo k výraznému </w:t>
      </w:r>
      <w:r w:rsidRPr="00C8399D">
        <w:rPr>
          <w:b/>
          <w:bCs/>
        </w:rPr>
        <w:t>snížení o 91,5 %</w:t>
      </w:r>
      <w:r w:rsidRPr="008C12A4">
        <w:t xml:space="preserve"> na úroveň 6,3 mil. Kč. </w:t>
      </w:r>
      <w:r>
        <w:t>Jednalo se především o </w:t>
      </w:r>
      <w:r w:rsidRPr="008C12A4">
        <w:t>investiční transfery obcím, fundacím, ústavům a obecně prospěšným společnostem a nefinančním podnikatelským subjektům.</w:t>
      </w:r>
    </w:p>
    <w:p w:rsidR="0009461F" w:rsidRPr="00112BDE" w:rsidRDefault="0009461F" w:rsidP="0009461F">
      <w:pPr>
        <w:rPr>
          <w:highlight w:val="yellow"/>
          <w:u w:val="single"/>
        </w:rPr>
      </w:pPr>
      <w:r w:rsidRPr="00F75806">
        <w:t xml:space="preserve">Regionální rady ukončily své hospodaření s mírným přebytkem 53,2 mil. Kč (meziročně došlo ke zvýšení </w:t>
      </w:r>
      <w:r>
        <w:t xml:space="preserve">rozpočtového </w:t>
      </w:r>
      <w:r w:rsidRPr="00F75806">
        <w:t xml:space="preserve">hospodaření o 109,9 </w:t>
      </w:r>
      <w:r w:rsidRPr="008319E9">
        <w:t xml:space="preserve">mil. Kč). Stav </w:t>
      </w:r>
      <w:r w:rsidRPr="00C8399D">
        <w:rPr>
          <w:b/>
          <w:bCs/>
        </w:rPr>
        <w:t>peněžních prostředků</w:t>
      </w:r>
      <w:r w:rsidRPr="008319E9">
        <w:t xml:space="preserve"> na bankovních účtech regionálních rad se meziročně </w:t>
      </w:r>
      <w:r w:rsidRPr="00C8399D">
        <w:rPr>
          <w:b/>
          <w:bCs/>
        </w:rPr>
        <w:t>zvýšil o 55,4 mil. Kč</w:t>
      </w:r>
      <w:r w:rsidRPr="008319E9">
        <w:t>.</w:t>
      </w:r>
      <w:r w:rsidRPr="008319E9">
        <w:rPr>
          <w:u w:val="single"/>
        </w:rPr>
        <w:t xml:space="preserve"> </w:t>
      </w:r>
    </w:p>
    <w:p w:rsidR="0009461F" w:rsidRPr="00CE5F69" w:rsidRDefault="0009461F" w:rsidP="0009461F">
      <w:r w:rsidRPr="00CE5F69">
        <w:t>V programovém období 2014 – 2020 mají kraje a obce možnost čerpat prostředky na projekty spolufinancované z</w:t>
      </w:r>
      <w:r>
        <w:t xml:space="preserve"> rozpočtů </w:t>
      </w:r>
      <w:r w:rsidRPr="00CE5F69">
        <w:t>fondů EU především prostřednictvím Integrovaného regionálního operačního programu, který navazuje na sedm regionálních operačních programů a částečně na</w:t>
      </w:r>
      <w:r>
        <w:t xml:space="preserve"> Integrovaný operační program z </w:t>
      </w:r>
      <w:r w:rsidRPr="00CE5F69">
        <w:t>předchozího programového období. Prioritou IROP je umožnění vyváženého rozvoje území, zkvalitnění infrastruktury, zlepšení veřejných služeb a veřejné správy a z</w:t>
      </w:r>
      <w:r w:rsidR="008D6041">
        <w:t>ajištění udržitelného rozvoje v </w:t>
      </w:r>
      <w:r w:rsidRPr="00CE5F69">
        <w:t>obcích, městech a regionech. Řídicím orgánem je Ministerstvo pro místní rozvoj. Hl</w:t>
      </w:r>
      <w:r>
        <w:t>.</w:t>
      </w:r>
      <w:r w:rsidRPr="00CE5F69">
        <w:t xml:space="preserve"> m</w:t>
      </w:r>
      <w:r>
        <w:t>.</w:t>
      </w:r>
      <w:r w:rsidRPr="00CE5F69">
        <w:t xml:space="preserve"> Praha má možnost čerpat </w:t>
      </w:r>
      <w:r>
        <w:t>peněžní</w:t>
      </w:r>
      <w:r w:rsidRPr="00CE5F69">
        <w:t xml:space="preserve"> prostředky z operačního programu Praha - pól růstu ČR, jehož řídícím orgánem je Magistrát hl</w:t>
      </w:r>
      <w:r>
        <w:t>. </w:t>
      </w:r>
      <w:r w:rsidRPr="00CE5F69">
        <w:t>m</w:t>
      </w:r>
      <w:r>
        <w:t>. Prahy</w:t>
      </w:r>
      <w:r w:rsidRPr="00CE5F69">
        <w:t>.</w:t>
      </w:r>
    </w:p>
    <w:p w:rsidR="0009461F" w:rsidRDefault="0009461F" w:rsidP="0009461F">
      <w:r w:rsidRPr="0009356D">
        <w:t xml:space="preserve">Z výsledků za rok 2020 vyplývá, že využití prostředků v rámci nového programového období se proti předchozímu roku zvýšilo. Z kapitoly </w:t>
      </w:r>
      <w:r w:rsidRPr="0009356D">
        <w:rPr>
          <w:b/>
        </w:rPr>
        <w:t>Ministerstv</w:t>
      </w:r>
      <w:r>
        <w:rPr>
          <w:b/>
        </w:rPr>
        <w:t>o</w:t>
      </w:r>
      <w:r w:rsidRPr="0009356D">
        <w:rPr>
          <w:b/>
        </w:rPr>
        <w:t xml:space="preserve"> pro místní rozvoj </w:t>
      </w:r>
      <w:r w:rsidRPr="0009356D">
        <w:t>přijaly obce, DSO a kraje v rámci Integrovaného regionálního operačního programu celkem 15,2 mld. Kč (v roce 2019 to bylo 14,5 mld. Kč). Hl</w:t>
      </w:r>
      <w:r>
        <w:t>. </w:t>
      </w:r>
      <w:r w:rsidRPr="0009356D">
        <w:t>m</w:t>
      </w:r>
      <w:r>
        <w:t>.</w:t>
      </w:r>
      <w:r w:rsidRPr="0009356D">
        <w:t xml:space="preserve"> Praha získalo z této kapitoly v rámci Operačního programu Praha – pól růstu</w:t>
      </w:r>
      <w:r>
        <w:t xml:space="preserve"> peněžní</w:t>
      </w:r>
      <w:r w:rsidRPr="0009356D">
        <w:t xml:space="preserve"> prostředky ve výši 0,8 mld. Kč (v roce 2019 to </w:t>
      </w:r>
      <w:r>
        <w:t>bylo</w:t>
      </w:r>
      <w:r w:rsidRPr="0009356D">
        <w:t xml:space="preserve"> 1,0 mld. Kč).</w:t>
      </w:r>
    </w:p>
    <w:p w:rsidR="0009461F" w:rsidRPr="00660305" w:rsidRDefault="0009461F" w:rsidP="0009461F">
      <w:pPr>
        <w:pStyle w:val="Nadpis1"/>
      </w:pPr>
      <w:bookmarkStart w:id="88" w:name="_Toc35945609"/>
      <w:bookmarkStart w:id="89" w:name="_Toc66700416"/>
      <w:bookmarkStart w:id="90" w:name="_Toc66717111"/>
      <w:r>
        <w:t>Zadluženost</w:t>
      </w:r>
      <w:bookmarkEnd w:id="88"/>
      <w:bookmarkEnd w:id="89"/>
      <w:bookmarkEnd w:id="90"/>
    </w:p>
    <w:p w:rsidR="0009461F" w:rsidRDefault="0009461F" w:rsidP="0009461F">
      <w:r w:rsidRPr="00660305">
        <w:rPr>
          <w:b/>
          <w:bCs/>
        </w:rPr>
        <w:t>Územní rozpočty</w:t>
      </w:r>
      <w:r w:rsidRPr="00E47694">
        <w:t xml:space="preserve"> </w:t>
      </w:r>
      <w:r>
        <w:t>včetně zřízených příspěvkových organizací</w:t>
      </w:r>
      <w:r>
        <w:rPr>
          <w:rStyle w:val="Znakapoznpodarou"/>
          <w:b/>
          <w:bCs/>
        </w:rPr>
        <w:footnoteReference w:id="10"/>
      </w:r>
      <w:r w:rsidRPr="00660305">
        <w:t xml:space="preserve"> </w:t>
      </w:r>
      <w:r>
        <w:t>vykázaly ke konci roku 2020</w:t>
      </w:r>
      <w:r w:rsidRPr="00660305">
        <w:t xml:space="preserve"> zadluženost</w:t>
      </w:r>
      <w:r>
        <w:t xml:space="preserve"> (dluh)</w:t>
      </w:r>
      <w:r>
        <w:rPr>
          <w:rStyle w:val="Znakapoznpodarou"/>
        </w:rPr>
        <w:footnoteReference w:id="11"/>
      </w:r>
      <w:r w:rsidRPr="00660305">
        <w:t xml:space="preserve"> ve výši </w:t>
      </w:r>
      <w:r>
        <w:rPr>
          <w:b/>
          <w:bCs/>
        </w:rPr>
        <w:t>94,4</w:t>
      </w:r>
      <w:r w:rsidRPr="00660305">
        <w:rPr>
          <w:b/>
          <w:bCs/>
        </w:rPr>
        <w:t xml:space="preserve"> mld. Kč</w:t>
      </w:r>
      <w:r>
        <w:t xml:space="preserve">, což je o </w:t>
      </w:r>
      <w:r w:rsidRPr="00C8399D">
        <w:rPr>
          <w:b/>
          <w:bCs/>
        </w:rPr>
        <w:t>3,9 %</w:t>
      </w:r>
      <w:r>
        <w:t xml:space="preserve"> (o 3,5</w:t>
      </w:r>
      <w:r w:rsidRPr="00660305">
        <w:t xml:space="preserve"> mld. Kč) </w:t>
      </w:r>
      <w:r>
        <w:t>více</w:t>
      </w:r>
      <w:r w:rsidRPr="00660305">
        <w:t xml:space="preserve"> než v roce předchozím. </w:t>
      </w:r>
      <w:r>
        <w:t xml:space="preserve">Zadluženost vzrostla na úrovni obcí a krajů, dobrovolné svazky obcí svůj dluh mírně snížily. Regionální rady dlouhodobě hospodaří bez dluhů. </w:t>
      </w:r>
    </w:p>
    <w:p w:rsidR="0009461F" w:rsidRDefault="0009461F" w:rsidP="0009461F">
      <w:pPr>
        <w:pStyle w:val="Nzev"/>
      </w:pPr>
      <w:bookmarkStart w:id="91" w:name="_Toc66700397"/>
      <w:bookmarkStart w:id="92" w:name="_Toc66717157"/>
      <w:r w:rsidRPr="009C7103">
        <w:rPr>
          <w:noProof/>
          <w:lang w:eastAsia="cs-CZ"/>
        </w:rPr>
        <w:drawing>
          <wp:anchor distT="0" distB="0" distL="114300" distR="114300" simplePos="0" relativeHeight="251659264" behindDoc="0" locked="0" layoutInCell="1" allowOverlap="1" wp14:anchorId="0E5D3477" wp14:editId="28B27566">
            <wp:simplePos x="0" y="0"/>
            <wp:positionH relativeFrom="margin">
              <wp:align>left</wp:align>
            </wp:positionH>
            <wp:positionV relativeFrom="paragraph">
              <wp:posOffset>266700</wp:posOffset>
            </wp:positionV>
            <wp:extent cx="6043930" cy="791845"/>
            <wp:effectExtent l="0" t="0" r="0" b="8255"/>
            <wp:wrapSquare wrapText="bothSides"/>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3930" cy="791845"/>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Tabulka č. </w:t>
      </w:r>
      <w:fldSimple w:instr=" SEQ Tabulka_č. \* ARABIC ">
        <w:r>
          <w:rPr>
            <w:noProof/>
          </w:rPr>
          <w:t>18</w:t>
        </w:r>
      </w:fldSimple>
      <w:r>
        <w:t>:</w:t>
      </w:r>
      <w:r w:rsidRPr="00660305">
        <w:t xml:space="preserve"> Stavy na </w:t>
      </w:r>
      <w:r>
        <w:t xml:space="preserve">bankovních </w:t>
      </w:r>
      <w:r w:rsidRPr="00660305">
        <w:t xml:space="preserve">účtech a stav </w:t>
      </w:r>
      <w:r>
        <w:t>dluhu územních rozpočtů v letech 2012–2020 (</w:t>
      </w:r>
      <w:r w:rsidRPr="00660305">
        <w:t>mld. Kč)</w:t>
      </w:r>
      <w:bookmarkEnd w:id="91"/>
      <w:bookmarkEnd w:id="92"/>
    </w:p>
    <w:p w:rsidR="0009461F" w:rsidRDefault="0009461F" w:rsidP="0009461F">
      <w:r>
        <w:t xml:space="preserve">V případě </w:t>
      </w:r>
      <w:r w:rsidRPr="00DA3B54">
        <w:rPr>
          <w:b/>
          <w:bCs/>
        </w:rPr>
        <w:t>stavu peněžních prostředků</w:t>
      </w:r>
      <w:r>
        <w:t xml:space="preserve"> na bankovních účtech územních rozpočt</w:t>
      </w:r>
      <w:r w:rsidR="00AE7CA9">
        <w:t>ů</w:t>
      </w:r>
      <w:r>
        <w:t xml:space="preserve"> došlo oproti roku 2019 k </w:t>
      </w:r>
      <w:r w:rsidRPr="00DA3B54">
        <w:rPr>
          <w:b/>
          <w:bCs/>
        </w:rPr>
        <w:t>růstu o 7,2 %</w:t>
      </w:r>
      <w:r>
        <w:t xml:space="preserve">, tedy o </w:t>
      </w:r>
      <w:r w:rsidRPr="00AE7CA9">
        <w:rPr>
          <w:b/>
          <w:bCs/>
        </w:rPr>
        <w:t>22,1 mld. Kč</w:t>
      </w:r>
      <w:r>
        <w:t xml:space="preserve">. </w:t>
      </w:r>
      <w:r w:rsidRPr="00660305">
        <w:t xml:space="preserve">Ke konci roku </w:t>
      </w:r>
      <w:r>
        <w:t xml:space="preserve">2020 </w:t>
      </w:r>
      <w:r w:rsidRPr="00DA3B54">
        <w:rPr>
          <w:b/>
          <w:bCs/>
        </w:rPr>
        <w:t>stav peněžních prostředků</w:t>
      </w:r>
      <w:r w:rsidRPr="00660305">
        <w:t xml:space="preserve"> na bankovních účtech </w:t>
      </w:r>
      <w:r w:rsidRPr="00DA3B54">
        <w:rPr>
          <w:b/>
          <w:bCs/>
        </w:rPr>
        <w:t>převýšil hodnotu celkového dluhu</w:t>
      </w:r>
      <w:r w:rsidRPr="00660305">
        <w:t xml:space="preserve"> územních rozpočtů </w:t>
      </w:r>
      <w:r w:rsidRPr="00660305">
        <w:rPr>
          <w:b/>
        </w:rPr>
        <w:t xml:space="preserve">o </w:t>
      </w:r>
      <w:r>
        <w:rPr>
          <w:b/>
        </w:rPr>
        <w:t>232,6</w:t>
      </w:r>
      <w:r w:rsidRPr="00660305">
        <w:rPr>
          <w:b/>
        </w:rPr>
        <w:t xml:space="preserve"> mld. Kč</w:t>
      </w:r>
      <w:r w:rsidRPr="00966D99">
        <w:t xml:space="preserve">, tj. </w:t>
      </w:r>
      <w:r w:rsidRPr="00DA3B54">
        <w:rPr>
          <w:b/>
          <w:bCs/>
        </w:rPr>
        <w:t>více než trojnásobně</w:t>
      </w:r>
      <w:r w:rsidRPr="00660305">
        <w:t xml:space="preserve"> (</w:t>
      </w:r>
      <w:r>
        <w:t xml:space="preserve">3,5 </w:t>
      </w:r>
      <w:r w:rsidRPr="00660305">
        <w:t xml:space="preserve">krát). </w:t>
      </w:r>
    </w:p>
    <w:p w:rsidR="0009461F" w:rsidRPr="00660305" w:rsidRDefault="0009461F" w:rsidP="0009461F">
      <w:pPr>
        <w:pStyle w:val="Nzev"/>
      </w:pPr>
      <w:bookmarkStart w:id="93" w:name="_Toc66700409"/>
      <w:bookmarkStart w:id="94" w:name="_Toc66717174"/>
      <w:r>
        <w:lastRenderedPageBreak/>
        <w:t xml:space="preserve">Graf č. </w:t>
      </w:r>
      <w:fldSimple w:instr=" SEQ Graf_č. \* ARABIC ">
        <w:r>
          <w:rPr>
            <w:noProof/>
          </w:rPr>
          <w:t>9</w:t>
        </w:r>
      </w:fldSimple>
      <w:r>
        <w:t>:</w:t>
      </w:r>
      <w:r w:rsidRPr="00660305">
        <w:t xml:space="preserve"> </w:t>
      </w:r>
      <w:r>
        <w:t>Dluh a stav</w:t>
      </w:r>
      <w:r w:rsidRPr="00660305">
        <w:t xml:space="preserve"> </w:t>
      </w:r>
      <w:r>
        <w:t>peněžních</w:t>
      </w:r>
      <w:r w:rsidRPr="00660305">
        <w:t xml:space="preserve"> prostředků na bankovních účtech za územní rozpočty celkem (mld. Kč)</w:t>
      </w:r>
      <w:bookmarkEnd w:id="93"/>
      <w:bookmarkEnd w:id="94"/>
    </w:p>
    <w:p w:rsidR="008D6041" w:rsidRDefault="008D6041" w:rsidP="0009461F">
      <w:pPr>
        <w:rPr>
          <w:b/>
          <w:bCs/>
        </w:rPr>
      </w:pPr>
      <w:r>
        <w:rPr>
          <w:b/>
          <w:bCs/>
          <w:noProof/>
          <w:lang w:eastAsia="cs-CZ"/>
        </w:rPr>
        <w:drawing>
          <wp:inline distT="0" distB="0" distL="0" distR="0" wp14:anchorId="2E5AC7F2" wp14:editId="1CBE66A8">
            <wp:extent cx="5772150" cy="3079846"/>
            <wp:effectExtent l="0" t="0" r="0" b="6350"/>
            <wp:docPr id="325" name="Obrázek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75079" cy="3081409"/>
                    </a:xfrm>
                    <a:prstGeom prst="rect">
                      <a:avLst/>
                    </a:prstGeom>
                    <a:noFill/>
                  </pic:spPr>
                </pic:pic>
              </a:graphicData>
            </a:graphic>
          </wp:inline>
        </w:drawing>
      </w:r>
    </w:p>
    <w:p w:rsidR="0009461F" w:rsidRPr="00660305" w:rsidRDefault="0009461F" w:rsidP="0009461F">
      <w:r w:rsidRPr="00660305">
        <w:rPr>
          <w:b/>
          <w:bCs/>
        </w:rPr>
        <w:t xml:space="preserve">Obce </w:t>
      </w:r>
      <w:r>
        <w:t>včetně</w:t>
      </w:r>
      <w:r w:rsidRPr="00660305">
        <w:t xml:space="preserve"> jimi zřizovaných příspěvkových organiz</w:t>
      </w:r>
      <w:r>
        <w:t>ací vykázaly ke konci roku 2020</w:t>
      </w:r>
      <w:r w:rsidRPr="00660305">
        <w:t xml:space="preserve"> celkový dluh ve výši </w:t>
      </w:r>
      <w:r>
        <w:rPr>
          <w:b/>
          <w:bCs/>
        </w:rPr>
        <w:t>71,1 </w:t>
      </w:r>
      <w:r w:rsidRPr="00660305">
        <w:rPr>
          <w:b/>
          <w:bCs/>
        </w:rPr>
        <w:t>mld. Kč</w:t>
      </w:r>
      <w:r w:rsidRPr="00660305">
        <w:t xml:space="preserve">. </w:t>
      </w:r>
      <w:r w:rsidR="00BB7E46">
        <w:t xml:space="preserve">Proti předchozímu roku se jedná </w:t>
      </w:r>
      <w:r w:rsidR="00BB7E46" w:rsidRPr="00AE5CCB">
        <w:rPr>
          <w:b/>
        </w:rPr>
        <w:t>o nárůst pouze</w:t>
      </w:r>
      <w:r w:rsidR="00BB7E46" w:rsidRPr="00BB7E46">
        <w:rPr>
          <w:b/>
        </w:rPr>
        <w:t xml:space="preserve"> o 1,6 %</w:t>
      </w:r>
      <w:r w:rsidR="00BB7E46">
        <w:t xml:space="preserve">, tedy zvýšení o 1,1 mld. Kč, přestože Českou republiku postihla epidemie onemocnění COVID-19. </w:t>
      </w:r>
      <w:r>
        <w:t xml:space="preserve">Naopak stav peněžních prostředků na bankovních účtech byl vykázán ve výši 270,5 mld. Kč, kdy oproti roku 2019 došlo </w:t>
      </w:r>
      <w:r w:rsidRPr="00AE5CCB">
        <w:rPr>
          <w:b/>
        </w:rPr>
        <w:t>k růstu</w:t>
      </w:r>
      <w:r>
        <w:t xml:space="preserve"> </w:t>
      </w:r>
      <w:r w:rsidRPr="000D5A3F">
        <w:rPr>
          <w:b/>
          <w:bCs/>
        </w:rPr>
        <w:t>o</w:t>
      </w:r>
      <w:r>
        <w:rPr>
          <w:b/>
          <w:bCs/>
        </w:rPr>
        <w:t> 9</w:t>
      </w:r>
      <w:r w:rsidRPr="000D5A3F">
        <w:rPr>
          <w:b/>
          <w:bCs/>
        </w:rPr>
        <w:t>,</w:t>
      </w:r>
      <w:r>
        <w:rPr>
          <w:b/>
          <w:bCs/>
        </w:rPr>
        <w:t>0</w:t>
      </w:r>
      <w:r w:rsidRPr="000D5A3F">
        <w:rPr>
          <w:b/>
          <w:bCs/>
        </w:rPr>
        <w:t xml:space="preserve"> %</w:t>
      </w:r>
      <w:r>
        <w:t xml:space="preserve">, tedy </w:t>
      </w:r>
      <w:r w:rsidRPr="000D5A3F">
        <w:rPr>
          <w:bCs/>
        </w:rPr>
        <w:t>o 22,</w:t>
      </w:r>
      <w:r>
        <w:rPr>
          <w:bCs/>
        </w:rPr>
        <w:t>3</w:t>
      </w:r>
      <w:r w:rsidRPr="000D5A3F">
        <w:rPr>
          <w:bCs/>
        </w:rPr>
        <w:t xml:space="preserve"> mld. Kč</w:t>
      </w:r>
    </w:p>
    <w:p w:rsidR="0009461F" w:rsidRDefault="0009461F" w:rsidP="0009461F">
      <w:r w:rsidRPr="00660305">
        <w:t xml:space="preserve">V celkovém objemu </w:t>
      </w:r>
      <w:r>
        <w:t>dluhu</w:t>
      </w:r>
      <w:r w:rsidRPr="00660305">
        <w:t xml:space="preserve"> obcí jsou zahrnuty</w:t>
      </w:r>
      <w:r>
        <w:t xml:space="preserve"> přijaté</w:t>
      </w:r>
      <w:r w:rsidRPr="00660305">
        <w:t xml:space="preserve"> bankovní úvěry od peněžních ústavů, emitované komunální dluhopisy, přijaté návratné finanční výpomoci a ostatní dluhy, vč. </w:t>
      </w:r>
      <w:r>
        <w:t>zá</w:t>
      </w:r>
      <w:r w:rsidRPr="00660305">
        <w:t>půjček ze státních fondů.</w:t>
      </w:r>
    </w:p>
    <w:p w:rsidR="0009461F" w:rsidRPr="00D200C3" w:rsidRDefault="0009461F" w:rsidP="0009461F">
      <w:pPr>
        <w:pStyle w:val="Nzev"/>
      </w:pPr>
      <w:bookmarkStart w:id="95" w:name="_Toc66700398"/>
      <w:bookmarkStart w:id="96" w:name="_Toc66717158"/>
      <w:r>
        <w:t xml:space="preserve">Tabulka č. </w:t>
      </w:r>
      <w:fldSimple w:instr=" SEQ Tabulka_č. \* ARABIC ">
        <w:r>
          <w:rPr>
            <w:noProof/>
          </w:rPr>
          <w:t>19</w:t>
        </w:r>
      </w:fldSimple>
      <w:r>
        <w:t>:</w:t>
      </w:r>
      <w:r w:rsidRPr="00660305">
        <w:t xml:space="preserve"> Souhrnné údaje o </w:t>
      </w:r>
      <w:r>
        <w:t>dluhu obcí ČR v letech 2012–2020 (</w:t>
      </w:r>
      <w:r w:rsidRPr="00660305">
        <w:t>mld. Kč)</w:t>
      </w:r>
      <w:bookmarkEnd w:id="95"/>
      <w:bookmarkEnd w:id="96"/>
    </w:p>
    <w:p w:rsidR="00231D56" w:rsidRDefault="00231D56" w:rsidP="00231D56">
      <w:pPr>
        <w:pStyle w:val="Tabgraf"/>
      </w:pPr>
      <w:r w:rsidRPr="00231D56">
        <w:rPr>
          <w:noProof/>
          <w:lang w:eastAsia="cs-CZ"/>
        </w:rPr>
        <w:drawing>
          <wp:inline distT="0" distB="0" distL="0" distR="0" wp14:anchorId="44485B46" wp14:editId="1377E9C4">
            <wp:extent cx="6086475" cy="1076325"/>
            <wp:effectExtent l="0" t="0" r="9525" b="9525"/>
            <wp:docPr id="326" name="Obrázek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86475" cy="1076325"/>
                    </a:xfrm>
                    <a:prstGeom prst="rect">
                      <a:avLst/>
                    </a:prstGeom>
                    <a:noFill/>
                    <a:ln>
                      <a:noFill/>
                    </a:ln>
                  </pic:spPr>
                </pic:pic>
              </a:graphicData>
            </a:graphic>
          </wp:inline>
        </w:drawing>
      </w:r>
    </w:p>
    <w:p w:rsidR="0009461F" w:rsidRPr="00660305" w:rsidRDefault="0009461F" w:rsidP="0009461F">
      <w:r w:rsidRPr="00660305">
        <w:t>Ve struktuře dluhu obcí mají dlouhodobě největší váhu</w:t>
      </w:r>
      <w:r>
        <w:t xml:space="preserve"> přijaté</w:t>
      </w:r>
      <w:r w:rsidRPr="00660305">
        <w:t xml:space="preserve"> úvěry, </w:t>
      </w:r>
      <w:r>
        <w:t>jejichž podíl ke konci roku 2020</w:t>
      </w:r>
      <w:r w:rsidRPr="00660305">
        <w:t xml:space="preserve"> činil </w:t>
      </w:r>
      <w:r>
        <w:t>73,0</w:t>
      </w:r>
      <w:r w:rsidRPr="00660305">
        <w:t xml:space="preserve"> %, podíl emitovaných </w:t>
      </w:r>
      <w:r>
        <w:t>komunálních dluhopisů činil 14,3</w:t>
      </w:r>
      <w:r w:rsidRPr="00660305">
        <w:t xml:space="preserve"> % a zbývající část dluhu obcí (</w:t>
      </w:r>
      <w:r>
        <w:t>12,7</w:t>
      </w:r>
      <w:r w:rsidRPr="00660305">
        <w:t xml:space="preserve"> %) tvořily přijaté návratné finanční výpomoci a ostatní dluhy</w:t>
      </w:r>
      <w:r>
        <w:t>. Ve srovnání s rokem 2019</w:t>
      </w:r>
      <w:r w:rsidRPr="00660305">
        <w:t xml:space="preserve"> se dluh </w:t>
      </w:r>
      <w:r>
        <w:t>zvýšil na položce úvěrů o 1,8</w:t>
      </w:r>
      <w:r w:rsidRPr="00660305">
        <w:t xml:space="preserve"> mld. Kč</w:t>
      </w:r>
      <w:r>
        <w:t>, nepatrně se zvýšil na položce komunálních dluhopisů</w:t>
      </w:r>
      <w:r w:rsidRPr="00660305">
        <w:t xml:space="preserve"> a na položce přijatých návratných finančních výpomocí a ostatních dluhů </w:t>
      </w:r>
      <w:r>
        <w:t>došlo k poklesu o 0,8 mld. Kč.</w:t>
      </w:r>
    </w:p>
    <w:p w:rsidR="0009461F" w:rsidRPr="00660305" w:rsidRDefault="0009461F" w:rsidP="0009461F">
      <w:r w:rsidRPr="00660305">
        <w:rPr>
          <w:b/>
          <w:bCs/>
        </w:rPr>
        <w:t>Úvěry</w:t>
      </w:r>
      <w:r w:rsidRPr="00660305">
        <w:t>, které obce přijaly od peněžních ústavů, byly podobně jako v minulých letech směrovány zejména na rekonstrukce a výstavbu technické infrastruktury, na předfinancování investičních projektů spolufinancovaných z</w:t>
      </w:r>
      <w:r>
        <w:t xml:space="preserve"> rozpočtů </w:t>
      </w:r>
      <w:r w:rsidRPr="00660305">
        <w:t>fondů EU a na regeneraci a výstavbu bytového fondu. Obce tyto prostředky rovněž použily na rekonstrukce školských zařízení, sportovních areálů a jiné občanské vybavenosti. Tyto úvěry se vyznač</w:t>
      </w:r>
      <w:r>
        <w:t>ují relativně nízkým úročením a </w:t>
      </w:r>
      <w:r w:rsidRPr="00660305">
        <w:t>velmi dlouhou dobou splatnosti.</w:t>
      </w:r>
    </w:p>
    <w:p w:rsidR="0009461F" w:rsidRPr="00660305" w:rsidRDefault="0009461F" w:rsidP="0009461F">
      <w:r w:rsidRPr="00660305">
        <w:t>Vedoucí postavení v poskytování úvěrů si stále udržují Česká spořitelna, a.s., Komerční banka, a.s. a</w:t>
      </w:r>
      <w:r>
        <w:t> </w:t>
      </w:r>
      <w:r w:rsidRPr="00660305">
        <w:t>Československá obchodní banka, a.s. V poskytován</w:t>
      </w:r>
      <w:r>
        <w:t>í úvěrů a zápůjček jsou aktivní i </w:t>
      </w:r>
      <w:r w:rsidRPr="00660305">
        <w:t>další právnické a</w:t>
      </w:r>
      <w:r w:rsidR="00AE7CA9">
        <w:t> </w:t>
      </w:r>
      <w:r w:rsidRPr="00660305">
        <w:t>fyzické osob</w:t>
      </w:r>
      <w:r>
        <w:t>y</w:t>
      </w:r>
      <w:r w:rsidRPr="00660305">
        <w:t xml:space="preserve">, včetně obcí. Zhruba pro polovinu poskytnutých úvěrů a </w:t>
      </w:r>
      <w:r>
        <w:t>zá</w:t>
      </w:r>
      <w:r w:rsidRPr="00660305">
        <w:t>půjček jejich poskytovatelé nevyžadovali ručení. Pokud bylo ručení vyžadováno, nejčastěji šlo o ručení směnkou, majetkem obce nebo budoucími příjmy rozpočtu obce.</w:t>
      </w:r>
    </w:p>
    <w:p w:rsidR="0009461F" w:rsidRPr="00660305" w:rsidRDefault="0009461F" w:rsidP="0009461F">
      <w:r w:rsidRPr="00660305">
        <w:lastRenderedPageBreak/>
        <w:t xml:space="preserve">Dluh z titulu vydaných </w:t>
      </w:r>
      <w:r w:rsidRPr="00660305">
        <w:rPr>
          <w:b/>
        </w:rPr>
        <w:t>komunálních dluhopisů</w:t>
      </w:r>
      <w:r>
        <w:t xml:space="preserve"> vykazovalo ke konci roku 2020</w:t>
      </w:r>
      <w:r w:rsidRPr="00660305">
        <w:t xml:space="preserve"> pouze </w:t>
      </w:r>
      <w:r>
        <w:t>hl. m. Praha (ve výši 10,2 </w:t>
      </w:r>
      <w:r w:rsidRPr="00660305">
        <w:t>mld. Kč).</w:t>
      </w:r>
    </w:p>
    <w:p w:rsidR="0009461F" w:rsidRPr="00660305" w:rsidRDefault="0009461F" w:rsidP="0009461F">
      <w:r w:rsidRPr="00660305">
        <w:t xml:space="preserve">Obce také přijaly </w:t>
      </w:r>
      <w:r w:rsidRPr="00DA3B54">
        <w:rPr>
          <w:b/>
          <w:bCs/>
        </w:rPr>
        <w:t>zá</w:t>
      </w:r>
      <w:r w:rsidRPr="00660305">
        <w:rPr>
          <w:b/>
        </w:rPr>
        <w:t>půjčky</w:t>
      </w:r>
      <w:r w:rsidRPr="00660305">
        <w:t xml:space="preserve"> z rozpočtu </w:t>
      </w:r>
      <w:r w:rsidRPr="00660305">
        <w:rPr>
          <w:bCs/>
        </w:rPr>
        <w:t>Státního fondu životního prostředí</w:t>
      </w:r>
      <w:r w:rsidRPr="00660305">
        <w:t xml:space="preserve"> ve výši </w:t>
      </w:r>
      <w:r>
        <w:t>258,0</w:t>
      </w:r>
      <w:r w:rsidRPr="00660305">
        <w:t> mil. Kč a z</w:t>
      </w:r>
      <w:r>
        <w:t> rozpočtu Státního fondu podpory investic ve výši 9,1 mil. Kč.</w:t>
      </w:r>
    </w:p>
    <w:p w:rsidR="0009461F" w:rsidRPr="00660305" w:rsidRDefault="0009461F" w:rsidP="0009461F">
      <w:r>
        <w:t>V roce 2020</w:t>
      </w:r>
      <w:r w:rsidRPr="00660305">
        <w:t xml:space="preserve"> vykázalo </w:t>
      </w:r>
      <w:r>
        <w:t>dluh</w:t>
      </w:r>
      <w:r w:rsidRPr="00660305">
        <w:t xml:space="preserve"> </w:t>
      </w:r>
      <w:r>
        <w:t>3 215</w:t>
      </w:r>
      <w:r w:rsidRPr="00660305">
        <w:t xml:space="preserve"> obcí z celkového počtu 6 254 obcí, což je </w:t>
      </w:r>
      <w:r>
        <w:t xml:space="preserve">51,4 % obcí. </w:t>
      </w:r>
      <w:r w:rsidRPr="00660305">
        <w:t xml:space="preserve">Počet obcí, které vykázaly v posledních letech </w:t>
      </w:r>
      <w:r>
        <w:t>dluh</w:t>
      </w:r>
      <w:r w:rsidRPr="00660305">
        <w:t>, zůstává v zásadě stabilizovaný, meziročně došlo k </w:t>
      </w:r>
      <w:r>
        <w:t>nárůstu</w:t>
      </w:r>
      <w:r w:rsidRPr="00660305">
        <w:t xml:space="preserve"> o </w:t>
      </w:r>
      <w:r>
        <w:t xml:space="preserve">34 </w:t>
      </w:r>
      <w:r w:rsidRPr="00660305">
        <w:t>obcí.</w:t>
      </w:r>
    </w:p>
    <w:p w:rsidR="0009461F" w:rsidRDefault="0009461F" w:rsidP="0009461F">
      <w:r w:rsidRPr="00660305">
        <w:t xml:space="preserve">Bez zahrnutí čtyř největších měst (tj. hl. m. Praha, Brno, Ostrava a Plzeň) činí </w:t>
      </w:r>
      <w:r>
        <w:t>dluh</w:t>
      </w:r>
      <w:r w:rsidRPr="00660305">
        <w:t xml:space="preserve"> ostatních obcí celkem </w:t>
      </w:r>
      <w:r>
        <w:t>43,3</w:t>
      </w:r>
      <w:r w:rsidR="002F3881">
        <w:t> </w:t>
      </w:r>
      <w:r w:rsidRPr="00660305">
        <w:t>mld. Kč. U obcí bez těchto největších měst došlo k meziročnímu nárůstu celkové</w:t>
      </w:r>
      <w:r>
        <w:t>ho dluhu</w:t>
      </w:r>
      <w:r w:rsidRPr="00660305">
        <w:t xml:space="preserve"> o </w:t>
      </w:r>
      <w:r>
        <w:t>1,9</w:t>
      </w:r>
      <w:r w:rsidRPr="00660305">
        <w:t xml:space="preserve"> mld. Kč.</w:t>
      </w:r>
    </w:p>
    <w:p w:rsidR="0009461F" w:rsidRPr="004B182F" w:rsidRDefault="0009461F" w:rsidP="0009461F">
      <w:pPr>
        <w:pStyle w:val="Nzev"/>
      </w:pPr>
      <w:bookmarkStart w:id="97" w:name="_Toc66700399"/>
      <w:bookmarkStart w:id="98" w:name="_Toc66717159"/>
      <w:r>
        <w:t xml:space="preserve">Tabulka č. </w:t>
      </w:r>
      <w:fldSimple w:instr=" SEQ Tabulka_č. \* ARABIC ">
        <w:r>
          <w:rPr>
            <w:noProof/>
          </w:rPr>
          <w:t>20</w:t>
        </w:r>
      </w:fldSimple>
      <w:r>
        <w:t>:</w:t>
      </w:r>
      <w:r w:rsidRPr="00660305">
        <w:t xml:space="preserve"> </w:t>
      </w:r>
      <w:r>
        <w:t>Podíl</w:t>
      </w:r>
      <w:r w:rsidRPr="00660305">
        <w:t xml:space="preserve"> </w:t>
      </w:r>
      <w:r>
        <w:t>dluhu</w:t>
      </w:r>
      <w:r w:rsidRPr="00660305">
        <w:t xml:space="preserve"> hl. m. Prahy, Brna, Ostravy a Plzně na celkové</w:t>
      </w:r>
      <w:r>
        <w:t>m dluhu obcí (</w:t>
      </w:r>
      <w:r w:rsidRPr="00660305">
        <w:t>mld. Kč)</w:t>
      </w:r>
      <w:bookmarkEnd w:id="97"/>
      <w:bookmarkEnd w:id="98"/>
    </w:p>
    <w:p w:rsidR="00231D56" w:rsidRDefault="00231D56" w:rsidP="00231D56">
      <w:pPr>
        <w:pStyle w:val="Tabgraf"/>
      </w:pPr>
      <w:r w:rsidRPr="00231D56">
        <w:rPr>
          <w:noProof/>
          <w:lang w:eastAsia="cs-CZ"/>
        </w:rPr>
        <w:drawing>
          <wp:inline distT="0" distB="0" distL="0" distR="0" wp14:anchorId="4335C5F5" wp14:editId="6E81F03C">
            <wp:extent cx="6120130" cy="901281"/>
            <wp:effectExtent l="0" t="0" r="0" b="0"/>
            <wp:docPr id="327" name="Obrázek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20130" cy="901281"/>
                    </a:xfrm>
                    <a:prstGeom prst="rect">
                      <a:avLst/>
                    </a:prstGeom>
                    <a:noFill/>
                    <a:ln>
                      <a:noFill/>
                    </a:ln>
                  </pic:spPr>
                </pic:pic>
              </a:graphicData>
            </a:graphic>
          </wp:inline>
        </w:drawing>
      </w:r>
    </w:p>
    <w:p w:rsidR="0009461F" w:rsidRPr="00660305" w:rsidRDefault="0009461F" w:rsidP="00231D56">
      <w:r w:rsidRPr="00231D56">
        <w:rPr>
          <w:b/>
        </w:rPr>
        <w:t xml:space="preserve">Celková výše dluhu hl. m. Prahy </w:t>
      </w:r>
      <w:r w:rsidRPr="00231D56">
        <w:t>včetně příspěvkových organizací Magistrátu hl. města Prahy a</w:t>
      </w:r>
      <w:r w:rsidR="00AE7CA9">
        <w:t> </w:t>
      </w:r>
      <w:r w:rsidRPr="00231D56">
        <w:t>příspěvkových organizací městských částí dosáhla</w:t>
      </w:r>
      <w:r w:rsidRPr="00231D56">
        <w:rPr>
          <w:b/>
        </w:rPr>
        <w:t xml:space="preserve"> 20,1 mld. Kč</w:t>
      </w:r>
      <w:r w:rsidRPr="00660305">
        <w:t xml:space="preserve">. Podíl </w:t>
      </w:r>
      <w:r>
        <w:t>dluhu</w:t>
      </w:r>
      <w:r w:rsidRPr="00660305">
        <w:t xml:space="preserve"> hl. m. Prahy na celkové</w:t>
      </w:r>
      <w:r>
        <w:t>m</w:t>
      </w:r>
      <w:r w:rsidRPr="00660305">
        <w:t xml:space="preserve"> </w:t>
      </w:r>
      <w:r>
        <w:t>dluhu</w:t>
      </w:r>
      <w:r w:rsidRPr="00660305">
        <w:t xml:space="preserve"> obcí</w:t>
      </w:r>
      <w:r w:rsidR="00231D56">
        <w:t xml:space="preserve"> </w:t>
      </w:r>
      <w:r w:rsidRPr="00660305">
        <w:t xml:space="preserve">činil </w:t>
      </w:r>
      <w:r>
        <w:t>28,3</w:t>
      </w:r>
      <w:r w:rsidR="002F3881">
        <w:t> </w:t>
      </w:r>
      <w:r w:rsidRPr="00660305">
        <w:t>%.</w:t>
      </w:r>
    </w:p>
    <w:p w:rsidR="0009461F" w:rsidRPr="00660305" w:rsidRDefault="0009461F" w:rsidP="0009461F">
      <w:pPr>
        <w:rPr>
          <w:iCs/>
        </w:rPr>
      </w:pPr>
      <w:r>
        <w:rPr>
          <w:b/>
        </w:rPr>
        <w:t>Dluh</w:t>
      </w:r>
      <w:r w:rsidRPr="00660305">
        <w:rPr>
          <w:b/>
        </w:rPr>
        <w:t xml:space="preserve"> příspěvkových organizací zřízených obcemi</w:t>
      </w:r>
      <w:r w:rsidRPr="00660305">
        <w:t xml:space="preserve"> včetně organizací zřízených městskými částmi hl</w:t>
      </w:r>
      <w:r>
        <w:t>.</w:t>
      </w:r>
      <w:r w:rsidRPr="00660305">
        <w:t xml:space="preserve"> m</w:t>
      </w:r>
      <w:r>
        <w:t>.</w:t>
      </w:r>
      <w:r w:rsidRPr="00660305">
        <w:t xml:space="preserve"> P</w:t>
      </w:r>
      <w:r>
        <w:t>rahy dosáhl ke konci roku 2020</w:t>
      </w:r>
      <w:r w:rsidRPr="00660305">
        <w:t xml:space="preserve"> výše </w:t>
      </w:r>
      <w:r>
        <w:rPr>
          <w:b/>
        </w:rPr>
        <w:t>863,0 mil.</w:t>
      </w:r>
      <w:r w:rsidRPr="00660305">
        <w:rPr>
          <w:b/>
        </w:rPr>
        <w:t xml:space="preserve"> Kč</w:t>
      </w:r>
      <w:r>
        <w:t>. Z celkového počtu 8 327 organizací vykazovalo dluh 389</w:t>
      </w:r>
      <w:r w:rsidR="002F3881">
        <w:t> </w:t>
      </w:r>
      <w:r w:rsidRPr="00660305">
        <w:t xml:space="preserve">organizací, tj. 4,7 %. V rámci zadlužených obecních příspěvkových organizací jich </w:t>
      </w:r>
      <w:r w:rsidRPr="006E6FBE">
        <w:t>z hlediska klasifikace ekonomických činností (NACE)</w:t>
      </w:r>
      <w:r w:rsidRPr="00660305">
        <w:t xml:space="preserve"> působilo nejvíce v oblasti </w:t>
      </w:r>
      <w:r>
        <w:t xml:space="preserve">předškolního a základního </w:t>
      </w:r>
      <w:r w:rsidRPr="00660305">
        <w:t xml:space="preserve">vzdělávání. </w:t>
      </w:r>
    </w:p>
    <w:p w:rsidR="0009461F" w:rsidRPr="00660305" w:rsidRDefault="0009461F" w:rsidP="0009461F">
      <w:pPr>
        <w:rPr>
          <w:highlight w:val="yellow"/>
        </w:rPr>
      </w:pPr>
      <w:r w:rsidRPr="00660305">
        <w:rPr>
          <w:b/>
          <w:bCs/>
        </w:rPr>
        <w:t>Dobrovolné svazky obcí</w:t>
      </w:r>
      <w:r w:rsidRPr="00660305">
        <w:t xml:space="preserve"> vykázaly dluh ve výši </w:t>
      </w:r>
      <w:r>
        <w:rPr>
          <w:b/>
          <w:bCs/>
        </w:rPr>
        <w:t>1,4</w:t>
      </w:r>
      <w:r w:rsidRPr="00660305">
        <w:rPr>
          <w:b/>
          <w:bCs/>
        </w:rPr>
        <w:t xml:space="preserve"> mld. Kč</w:t>
      </w:r>
      <w:r>
        <w:t>, což je o 0,2</w:t>
      </w:r>
      <w:r w:rsidRPr="00660305">
        <w:t> mld. Kč méně než předchozí rok. Dobrovolné svazky obcí využívají získané p</w:t>
      </w:r>
      <w:r>
        <w:t>rostředky především na rozvoj a </w:t>
      </w:r>
      <w:r w:rsidRPr="00660305">
        <w:t>obnovu místní infrastruktury (vodovody a kanalizace), odpadové hospodářství a na projekty zvyšující atraktivitu jejich území.</w:t>
      </w:r>
    </w:p>
    <w:p w:rsidR="0009461F" w:rsidRDefault="0009461F" w:rsidP="0009461F">
      <w:r w:rsidRPr="00660305">
        <w:rPr>
          <w:b/>
          <w:bCs/>
        </w:rPr>
        <w:t>Kraje</w:t>
      </w:r>
      <w:r w:rsidRPr="00660305">
        <w:t xml:space="preserve"> včetně jimi zřízených příspěvkových organiz</w:t>
      </w:r>
      <w:r>
        <w:t>ací vykázaly ke konci roku 2020</w:t>
      </w:r>
      <w:r w:rsidRPr="00660305">
        <w:t xml:space="preserve"> dluh v celkové výši </w:t>
      </w:r>
      <w:r>
        <w:rPr>
          <w:b/>
          <w:bCs/>
        </w:rPr>
        <w:t>21,8 </w:t>
      </w:r>
      <w:r w:rsidRPr="00660305">
        <w:rPr>
          <w:b/>
          <w:bCs/>
        </w:rPr>
        <w:t>mld. Kč</w:t>
      </w:r>
      <w:r w:rsidRPr="00660305">
        <w:rPr>
          <w:bCs/>
        </w:rPr>
        <w:t>.</w:t>
      </w:r>
      <w:r w:rsidRPr="00660305">
        <w:t xml:space="preserve"> Meziročně hodnota dluhu </w:t>
      </w:r>
      <w:r>
        <w:t xml:space="preserve">vzrostla </w:t>
      </w:r>
      <w:r w:rsidRPr="00660305">
        <w:t>o </w:t>
      </w:r>
      <w:r>
        <w:t>13,0 %, tedy o 2,5</w:t>
      </w:r>
      <w:r w:rsidRPr="00660305">
        <w:t xml:space="preserve"> mld. Kč</w:t>
      </w:r>
      <w:r>
        <w:t>. Na </w:t>
      </w:r>
      <w:r w:rsidRPr="00660305">
        <w:t xml:space="preserve">položce úvěrů byl vykázán meziroční </w:t>
      </w:r>
      <w:r>
        <w:t>nárůst dluhu o 2,2</w:t>
      </w:r>
      <w:r w:rsidRPr="00660305">
        <w:t xml:space="preserve"> mld. Kč; podíl úvěrů na celkové zadluženosti krajů dosáhl </w:t>
      </w:r>
      <w:r>
        <w:t xml:space="preserve">83,9 %. Kraje ani v roce 2020 </w:t>
      </w:r>
      <w:r w:rsidRPr="00660305">
        <w:t>neemitovaly komunální dluhopisy.</w:t>
      </w:r>
    </w:p>
    <w:p w:rsidR="0009461F" w:rsidRPr="00D200C3" w:rsidRDefault="0009461F" w:rsidP="0009461F">
      <w:pPr>
        <w:pStyle w:val="Nzev"/>
      </w:pPr>
      <w:bookmarkStart w:id="99" w:name="_Toc66700400"/>
      <w:bookmarkStart w:id="100" w:name="_Toc66717160"/>
      <w:r>
        <w:t xml:space="preserve">Tabulka č. </w:t>
      </w:r>
      <w:fldSimple w:instr=" SEQ Tabulka_č. \* ARABIC ">
        <w:r>
          <w:rPr>
            <w:noProof/>
          </w:rPr>
          <w:t>21</w:t>
        </w:r>
      </w:fldSimple>
      <w:r>
        <w:t>:</w:t>
      </w:r>
      <w:r w:rsidRPr="00660305">
        <w:t xml:space="preserve"> Souhrnné údaje o </w:t>
      </w:r>
      <w:r>
        <w:t>dluhu krajů ČR v letech 2012–2020 (</w:t>
      </w:r>
      <w:r w:rsidRPr="00660305">
        <w:t>mld. Kč)</w:t>
      </w:r>
      <w:bookmarkEnd w:id="99"/>
      <w:bookmarkEnd w:id="100"/>
    </w:p>
    <w:p w:rsidR="00231D56" w:rsidRDefault="00231D56" w:rsidP="00231D56">
      <w:pPr>
        <w:pStyle w:val="Tabgraf"/>
        <w:rPr>
          <w:b/>
        </w:rPr>
      </w:pPr>
      <w:r w:rsidRPr="00231D56">
        <w:rPr>
          <w:noProof/>
          <w:lang w:eastAsia="cs-CZ"/>
        </w:rPr>
        <w:drawing>
          <wp:inline distT="0" distB="0" distL="0" distR="0" wp14:anchorId="2A97E8F9" wp14:editId="180A2689">
            <wp:extent cx="5743575" cy="942975"/>
            <wp:effectExtent l="0" t="0" r="9525" b="9525"/>
            <wp:docPr id="328" name="Obrázek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43575" cy="942975"/>
                    </a:xfrm>
                    <a:prstGeom prst="rect">
                      <a:avLst/>
                    </a:prstGeom>
                    <a:noFill/>
                    <a:ln>
                      <a:noFill/>
                    </a:ln>
                  </pic:spPr>
                </pic:pic>
              </a:graphicData>
            </a:graphic>
          </wp:inline>
        </w:drawing>
      </w:r>
    </w:p>
    <w:p w:rsidR="0009461F" w:rsidRDefault="0009461F" w:rsidP="0009461F">
      <w:r>
        <w:rPr>
          <w:b/>
        </w:rPr>
        <w:t>Dluh</w:t>
      </w:r>
      <w:r w:rsidRPr="00BE63A2">
        <w:rPr>
          <w:b/>
        </w:rPr>
        <w:t xml:space="preserve"> příspěvkových organizací zřízených kraji</w:t>
      </w:r>
      <w:r w:rsidRPr="00660305">
        <w:t xml:space="preserve"> (z </w:t>
      </w:r>
      <w:r>
        <w:t>1843</w:t>
      </w:r>
      <w:r w:rsidRPr="00660305">
        <w:t xml:space="preserve"> organizací vykazuje dluh </w:t>
      </w:r>
      <w:r>
        <w:t>263</w:t>
      </w:r>
      <w:r w:rsidRPr="00660305">
        <w:t xml:space="preserve"> organizací, tj. </w:t>
      </w:r>
      <w:r>
        <w:t>14,3 %) dosáhl ke konci roku 2020</w:t>
      </w:r>
      <w:r w:rsidRPr="00660305">
        <w:t xml:space="preserve"> výše </w:t>
      </w:r>
      <w:r>
        <w:rPr>
          <w:b/>
        </w:rPr>
        <w:t>4,0</w:t>
      </w:r>
      <w:r w:rsidRPr="00BE63A2">
        <w:rPr>
          <w:b/>
        </w:rPr>
        <w:t xml:space="preserve"> mld. Kč</w:t>
      </w:r>
      <w:r w:rsidRPr="00660305">
        <w:t xml:space="preserve">. V rámci zadlužených krajských příspěvkových organizací působilo z hlediska </w:t>
      </w:r>
      <w:r>
        <w:t>klasifikace ekonomických činností (NACE)</w:t>
      </w:r>
      <w:r w:rsidRPr="00660305">
        <w:t xml:space="preserve"> nejvíce organizací v oblasti </w:t>
      </w:r>
      <w:r>
        <w:t>středního všeobecného a odborného vzdělávání</w:t>
      </w:r>
      <w:r w:rsidRPr="00660305">
        <w:t>.</w:t>
      </w:r>
    </w:p>
    <w:p w:rsidR="0009461F" w:rsidRDefault="0009461F" w:rsidP="0009461F">
      <w:pPr>
        <w:pStyle w:val="Nzev"/>
      </w:pPr>
      <w:bookmarkStart w:id="101" w:name="_Toc66700410"/>
      <w:bookmarkStart w:id="102" w:name="_Toc66717175"/>
      <w:r>
        <w:rPr>
          <w:noProof/>
          <w:lang w:eastAsia="cs-CZ"/>
        </w:rPr>
        <w:lastRenderedPageBreak/>
        <w:drawing>
          <wp:anchor distT="0" distB="0" distL="114300" distR="114300" simplePos="0" relativeHeight="251660288" behindDoc="0" locked="0" layoutInCell="1" allowOverlap="1" wp14:anchorId="3DE88834" wp14:editId="1CBE04CA">
            <wp:simplePos x="0" y="0"/>
            <wp:positionH relativeFrom="margin">
              <wp:align>left</wp:align>
            </wp:positionH>
            <wp:positionV relativeFrom="paragraph">
              <wp:posOffset>311785</wp:posOffset>
            </wp:positionV>
            <wp:extent cx="6120000" cy="2387293"/>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20000" cy="2387293"/>
                    </a:xfrm>
                    <a:prstGeom prst="rect">
                      <a:avLst/>
                    </a:prstGeom>
                    <a:noFill/>
                  </pic:spPr>
                </pic:pic>
              </a:graphicData>
            </a:graphic>
            <wp14:sizeRelH relativeFrom="margin">
              <wp14:pctWidth>0</wp14:pctWidth>
            </wp14:sizeRelH>
            <wp14:sizeRelV relativeFrom="margin">
              <wp14:pctHeight>0</wp14:pctHeight>
            </wp14:sizeRelV>
          </wp:anchor>
        </w:drawing>
      </w:r>
      <w:r>
        <w:t xml:space="preserve">Graf č. </w:t>
      </w:r>
      <w:fldSimple w:instr=" SEQ Graf_č. \* ARABIC ">
        <w:r w:rsidR="00231D56">
          <w:rPr>
            <w:noProof/>
          </w:rPr>
          <w:t>10</w:t>
        </w:r>
      </w:fldSimple>
      <w:r>
        <w:t>:</w:t>
      </w:r>
      <w:r w:rsidRPr="00660305">
        <w:t xml:space="preserve"> </w:t>
      </w:r>
      <w:r>
        <w:t>Dluh obcí a krajů (</w:t>
      </w:r>
      <w:r w:rsidRPr="00660305">
        <w:t>mld. Kč)</w:t>
      </w:r>
      <w:bookmarkEnd w:id="101"/>
      <w:bookmarkEnd w:id="102"/>
    </w:p>
    <w:p w:rsidR="0009461F" w:rsidRDefault="0009461F" w:rsidP="0009461F">
      <w:pPr>
        <w:pStyle w:val="Tabgraf"/>
        <w:rPr>
          <w:noProof/>
        </w:rPr>
      </w:pPr>
    </w:p>
    <w:p w:rsidR="0074451C" w:rsidRPr="00DF0E10" w:rsidRDefault="007740BE" w:rsidP="0074451C">
      <w:pPr>
        <w:pStyle w:val="Bezmezer"/>
      </w:pPr>
      <w:r>
        <w:rPr>
          <w:noProof/>
        </w:rPr>
        <w:br w:type="page"/>
      </w:r>
      <w:bookmarkStart w:id="103" w:name="_Toc35945610"/>
      <w:bookmarkStart w:id="104" w:name="_Toc66717112"/>
      <w:r w:rsidRPr="00F800E1">
        <w:lastRenderedPageBreak/>
        <w:t>Výsledky hospodaření zdravotních pojišťoven</w:t>
      </w:r>
      <w:bookmarkEnd w:id="103"/>
      <w:bookmarkEnd w:id="104"/>
    </w:p>
    <w:p w:rsidR="00DF0E10" w:rsidRPr="00BD65A7" w:rsidRDefault="00DF0E10" w:rsidP="00DF0E10">
      <w:r w:rsidRPr="00BD65A7">
        <w:t>Finanční prostředky systému veřejného zdravotního pojištění (dále jen „</w:t>
      </w:r>
      <w:proofErr w:type="spellStart"/>
      <w:proofErr w:type="gramStart"/>
      <w:r w:rsidRPr="00BD65A7">
        <w:t>v.z.p</w:t>
      </w:r>
      <w:proofErr w:type="spellEnd"/>
      <w:r w:rsidRPr="00BD65A7">
        <w:t>.</w:t>
      </w:r>
      <w:proofErr w:type="gramEnd"/>
      <w:r w:rsidRPr="00BD65A7">
        <w:t xml:space="preserve">“) jsou nedílnou součástí veřejných financí. Hodnocení vývoje systému </w:t>
      </w:r>
      <w:proofErr w:type="spellStart"/>
      <w:proofErr w:type="gramStart"/>
      <w:r w:rsidRPr="00BD65A7">
        <w:t>v.z.p</w:t>
      </w:r>
      <w:proofErr w:type="spellEnd"/>
      <w:r w:rsidRPr="00BD65A7">
        <w:t>.</w:t>
      </w:r>
      <w:proofErr w:type="gramEnd"/>
      <w:r w:rsidRPr="00BD65A7">
        <w:t xml:space="preserve"> za rok 20</w:t>
      </w:r>
      <w:r>
        <w:t>20</w:t>
      </w:r>
      <w:r w:rsidRPr="00BD65A7">
        <w:t xml:space="preserve"> vychází z údajů ročních statistických a</w:t>
      </w:r>
      <w:r>
        <w:t> </w:t>
      </w:r>
      <w:r w:rsidRPr="00BD65A7">
        <w:t>účetních výkazů zdravotních pojišťoven (dále jen „ZP“) zpracovaných v souladu s  vyhláškou č.</w:t>
      </w:r>
      <w:r>
        <w:t> </w:t>
      </w:r>
      <w:r w:rsidRPr="00BD65A7">
        <w:t>362/2010 Sb., které zdravotní pojišťovny předkládají Ministerstvu zdravotnictví (dále jen „MZ“) a</w:t>
      </w:r>
      <w:r>
        <w:t> </w:t>
      </w:r>
      <w:r w:rsidRPr="00BD65A7">
        <w:t xml:space="preserve">Ministerstvu financí (dále jen „MF“) do 60 dnů od ukončení daného kvartálu. </w:t>
      </w:r>
    </w:p>
    <w:p w:rsidR="00DF0E10" w:rsidRPr="00BD65A7" w:rsidRDefault="00DF0E10" w:rsidP="00DF0E10">
      <w:r w:rsidRPr="00BD65A7">
        <w:t>Údaje v nich obsažené jsou podkladem i pro vypracování ročních účetních závěrek a výročních zpráv za rok 20</w:t>
      </w:r>
      <w:r>
        <w:t>20</w:t>
      </w:r>
      <w:r w:rsidRPr="00BD65A7">
        <w:t xml:space="preserve">, které dále podléhají povinnému auditu. Ověřené dokumenty předloží ZP </w:t>
      </w:r>
      <w:r w:rsidRPr="009A274B">
        <w:t>do 30. 4. 2021</w:t>
      </w:r>
      <w:r w:rsidRPr="00BD65A7">
        <w:t xml:space="preserve"> na MZ a MF. Po jejich posouzení budou předloženy společně s návrhem „vyjádření vlády“ vládě, a poté spolu s usnesením vlády Poslanecké sněmovně Parlamentu ČR (dále jen „PSP ČR“) ke konečnému projednání. </w:t>
      </w:r>
    </w:p>
    <w:p w:rsidR="00DF0E10" w:rsidRDefault="00DF0E10" w:rsidP="00DF0E10">
      <w:r w:rsidRPr="00D4046E">
        <w:t>Zdravotně pojistné plány zdravotních pojišťoven na rok 20</w:t>
      </w:r>
      <w:r>
        <w:t>20</w:t>
      </w:r>
      <w:r w:rsidRPr="00D4046E">
        <w:t xml:space="preserve"> byly schváleny vládou (usnesení vlády č.</w:t>
      </w:r>
      <w:r>
        <w:t> </w:t>
      </w:r>
      <w:r w:rsidRPr="000D052C">
        <w:t>893</w:t>
      </w:r>
      <w:r w:rsidRPr="00D4046E">
        <w:t xml:space="preserve"> ze dne </w:t>
      </w:r>
      <w:r>
        <w:t>7</w:t>
      </w:r>
      <w:r w:rsidRPr="00D4046E">
        <w:t xml:space="preserve">. </w:t>
      </w:r>
      <w:r>
        <w:t>9</w:t>
      </w:r>
      <w:r w:rsidRPr="00D4046E">
        <w:t>. 20</w:t>
      </w:r>
      <w:r>
        <w:t>20</w:t>
      </w:r>
      <w:r w:rsidRPr="00D4046E">
        <w:t>)</w:t>
      </w:r>
      <w:r>
        <w:t>. Výborem pro zdravotnictví</w:t>
      </w:r>
      <w:r w:rsidRPr="000D052C">
        <w:t xml:space="preserve"> </w:t>
      </w:r>
      <w:r>
        <w:t>PSP ČR ani</w:t>
      </w:r>
      <w:r w:rsidRPr="000D052C">
        <w:t xml:space="preserve"> </w:t>
      </w:r>
      <w:r>
        <w:t>Poslaneckou sněmovnou</w:t>
      </w:r>
      <w:r w:rsidRPr="000D052C">
        <w:t xml:space="preserve"> Parlamentu ČR</w:t>
      </w:r>
      <w:r>
        <w:t xml:space="preserve"> nebyly doposud schváleny </w:t>
      </w:r>
      <w:r w:rsidRPr="00D4046E">
        <w:t>(sněmovní tisk č. </w:t>
      </w:r>
      <w:r w:rsidRPr="000D052C">
        <w:t>1051</w:t>
      </w:r>
      <w:r w:rsidRPr="00D4046E">
        <w:t>). Tedy zdravotní pojišťovny hospodařily po celý rok 20</w:t>
      </w:r>
      <w:r>
        <w:t>20</w:t>
      </w:r>
      <w:r w:rsidRPr="00D4046E">
        <w:t xml:space="preserve"> dle</w:t>
      </w:r>
      <w:r>
        <w:t> </w:t>
      </w:r>
      <w:r w:rsidRPr="00D4046E">
        <w:t>provizorií.</w:t>
      </w:r>
      <w:r w:rsidRPr="00BD65A7">
        <w:t xml:space="preserve"> </w:t>
      </w:r>
    </w:p>
    <w:p w:rsidR="00DF0E10" w:rsidRPr="00BD65A7" w:rsidRDefault="00DF0E10" w:rsidP="00DF0E10">
      <w:r w:rsidRPr="00BD65A7">
        <w:t>K 31. 12. 20</w:t>
      </w:r>
      <w:r>
        <w:t xml:space="preserve">20 </w:t>
      </w:r>
      <w:r w:rsidRPr="00BD65A7">
        <w:t xml:space="preserve">zajišťovalo služby systému </w:t>
      </w:r>
      <w:proofErr w:type="spellStart"/>
      <w:proofErr w:type="gramStart"/>
      <w:r w:rsidRPr="00BD65A7">
        <w:t>v.z.p</w:t>
      </w:r>
      <w:proofErr w:type="spellEnd"/>
      <w:r w:rsidRPr="00BD65A7">
        <w:t>.</w:t>
      </w:r>
      <w:proofErr w:type="gramEnd"/>
      <w:r w:rsidRPr="00BD65A7">
        <w:t xml:space="preserve"> </w:t>
      </w:r>
      <w:r w:rsidRPr="00BD65A7">
        <w:rPr>
          <w:b/>
        </w:rPr>
        <w:t>sedm činných ZP</w:t>
      </w:r>
      <w:r w:rsidRPr="00BD65A7">
        <w:t xml:space="preserve"> pro </w:t>
      </w:r>
      <w:r w:rsidRPr="00E96F63">
        <w:t>10 551</w:t>
      </w:r>
      <w:r>
        <w:t> </w:t>
      </w:r>
      <w:r w:rsidRPr="00E96F63">
        <w:t>714</w:t>
      </w:r>
      <w:r>
        <w:t xml:space="preserve"> </w:t>
      </w:r>
      <w:r w:rsidRPr="00BD65A7">
        <w:t>pojištěnců. V roce 20</w:t>
      </w:r>
      <w:r>
        <w:t xml:space="preserve">20 </w:t>
      </w:r>
      <w:r w:rsidRPr="00BD65A7">
        <w:t>nedošlo k žádnému sloučení či vzniku zdravotních pojišťoven. U </w:t>
      </w:r>
      <w:r w:rsidRPr="00725528">
        <w:t>V</w:t>
      </w:r>
      <w:r>
        <w:t>šeobecné zdravotní pojišťovny České republiky</w:t>
      </w:r>
      <w:r w:rsidRPr="00725528">
        <w:t xml:space="preserve"> (dále jen „</w:t>
      </w:r>
      <w:r w:rsidRPr="00BD65A7">
        <w:t>VZP ČR</w:t>
      </w:r>
      <w:r w:rsidRPr="00725528">
        <w:t>“)</w:t>
      </w:r>
      <w:r w:rsidRPr="00BD65A7">
        <w:t xml:space="preserve"> bylo k 31. 12. 20</w:t>
      </w:r>
      <w:r>
        <w:t>20</w:t>
      </w:r>
      <w:r w:rsidRPr="00BD65A7">
        <w:t xml:space="preserve"> registrováno</w:t>
      </w:r>
      <w:r w:rsidRPr="00BD65A7">
        <w:rPr>
          <w:color w:val="FF0000"/>
        </w:rPr>
        <w:t xml:space="preserve"> </w:t>
      </w:r>
      <w:r w:rsidRPr="00E96F63">
        <w:t>5 936</w:t>
      </w:r>
      <w:r>
        <w:t> </w:t>
      </w:r>
      <w:r w:rsidRPr="00E96F63">
        <w:t>228</w:t>
      </w:r>
      <w:r>
        <w:t xml:space="preserve"> </w:t>
      </w:r>
      <w:r w:rsidRPr="00BD65A7">
        <w:t>pojištěnců (56,</w:t>
      </w:r>
      <w:r>
        <w:t>3</w:t>
      </w:r>
      <w:r w:rsidRPr="00BD65A7">
        <w:t xml:space="preserve"> %), u šesti zaměstnaneckých zdravotních pojišťoven (dále jen „ZZP“) </w:t>
      </w:r>
      <w:r>
        <w:t xml:space="preserve">pak </w:t>
      </w:r>
      <w:r w:rsidRPr="00BD65A7">
        <w:t>bylo zaregistrováno celkem</w:t>
      </w:r>
      <w:r w:rsidRPr="00BD65A7">
        <w:rPr>
          <w:color w:val="FF0000"/>
        </w:rPr>
        <w:t xml:space="preserve"> </w:t>
      </w:r>
      <w:r w:rsidRPr="00E96F63">
        <w:t>4 615</w:t>
      </w:r>
      <w:r>
        <w:t> </w:t>
      </w:r>
      <w:r w:rsidRPr="00E96F63">
        <w:t>486</w:t>
      </w:r>
      <w:r>
        <w:t xml:space="preserve"> </w:t>
      </w:r>
      <w:r w:rsidRPr="00BD65A7">
        <w:t>pojištěnců (43,</w:t>
      </w:r>
      <w:r>
        <w:t>7</w:t>
      </w:r>
      <w:r w:rsidRPr="00BD65A7">
        <w:t xml:space="preserve"> %).</w:t>
      </w:r>
      <w:r w:rsidRPr="00BD65A7">
        <w:rPr>
          <w:color w:val="FF0000"/>
        </w:rPr>
        <w:t xml:space="preserve"> </w:t>
      </w:r>
      <w:r w:rsidRPr="00BD65A7">
        <w:t xml:space="preserve">Ke konci roku </w:t>
      </w:r>
      <w:r>
        <w:t>2020 klesl v meziročním srovnání celkový počet pojištěnců o 202 osob, avšak v podstatě se jedná o jednosměrný přesun pojištěnců od VZP ČR (</w:t>
      </w:r>
      <w:r w:rsidRPr="00312324">
        <w:t>-19</w:t>
      </w:r>
      <w:r>
        <w:t> </w:t>
      </w:r>
      <w:r w:rsidRPr="00312324">
        <w:t>015</w:t>
      </w:r>
      <w:r>
        <w:t>) do skupiny ZZP (+</w:t>
      </w:r>
      <w:r w:rsidRPr="00312324">
        <w:t>18</w:t>
      </w:r>
      <w:r>
        <w:t> </w:t>
      </w:r>
      <w:r w:rsidRPr="00312324">
        <w:t>813</w:t>
      </w:r>
      <w:r>
        <w:t xml:space="preserve">). </w:t>
      </w:r>
    </w:p>
    <w:p w:rsidR="00DF0E10" w:rsidRPr="00BD65A7" w:rsidRDefault="00DF0E10" w:rsidP="00DF0E10">
      <w:r w:rsidRPr="00BD65A7">
        <w:t>V roce 20</w:t>
      </w:r>
      <w:r>
        <w:t>20</w:t>
      </w:r>
      <w:r w:rsidRPr="00BD65A7">
        <w:t>, stejně jako v předchozí</w:t>
      </w:r>
      <w:r>
        <w:t>ch</w:t>
      </w:r>
      <w:r w:rsidRPr="00BD65A7">
        <w:t xml:space="preserve"> </w:t>
      </w:r>
      <w:r>
        <w:t>letech</w:t>
      </w:r>
      <w:r w:rsidRPr="00BD65A7">
        <w:t xml:space="preserve">, bylo možné změnit pojišťovnu jednou za 12 měsíců, a to vždy jen k 1. dni kalendářního pololetí. </w:t>
      </w:r>
      <w:r>
        <w:t>Přihlášku lze podat v období od 1. </w:t>
      </w:r>
      <w:r w:rsidRPr="00BD65A7">
        <w:t>1. do 31.</w:t>
      </w:r>
      <w:r>
        <w:t> </w:t>
      </w:r>
      <w:r w:rsidRPr="00BD65A7">
        <w:t>3. při změně zdravotní pojišťovny od 1.</w:t>
      </w:r>
      <w:r>
        <w:t> </w:t>
      </w:r>
      <w:r w:rsidRPr="00BD65A7">
        <w:t>7. a</w:t>
      </w:r>
      <w:r>
        <w:t xml:space="preserve"> v období od 1. 7. do 30. 9. při </w:t>
      </w:r>
      <w:r w:rsidRPr="00BD65A7">
        <w:t>změně zdravotní pojišťovny od 1. ledna následujícího roku (</w:t>
      </w:r>
      <w:r>
        <w:t>d</w:t>
      </w:r>
      <w:r w:rsidRPr="00BD65A7">
        <w:t>o 31.</w:t>
      </w:r>
      <w:r>
        <w:t> </w:t>
      </w:r>
      <w:r w:rsidRPr="00BD65A7">
        <w:t>8.</w:t>
      </w:r>
      <w:r>
        <w:t> </w:t>
      </w:r>
      <w:r w:rsidRPr="00BD65A7">
        <w:t>2015 byla zákonem možná změna pouze k 1.</w:t>
      </w:r>
      <w:r>
        <w:t> </w:t>
      </w:r>
      <w:r w:rsidRPr="00BD65A7">
        <w:t>1. s tím, že přihláška musí být zaregistrována do</w:t>
      </w:r>
      <w:r>
        <w:t> </w:t>
      </w:r>
      <w:r w:rsidRPr="00BD65A7">
        <w:t>30.</w:t>
      </w:r>
      <w:r>
        <w:t> </w:t>
      </w:r>
      <w:r w:rsidRPr="00BD65A7">
        <w:t xml:space="preserve">6. předchozího roku). </w:t>
      </w:r>
    </w:p>
    <w:p w:rsidR="00DF0E10" w:rsidRPr="00BD65A7" w:rsidRDefault="00DF0E10" w:rsidP="00DF0E10">
      <w:r w:rsidRPr="00BD65A7">
        <w:t xml:space="preserve">Přepočtený počet zaměstnanců systému </w:t>
      </w:r>
      <w:proofErr w:type="spellStart"/>
      <w:proofErr w:type="gramStart"/>
      <w:r w:rsidRPr="00BD65A7">
        <w:t>v.z.p</w:t>
      </w:r>
      <w:proofErr w:type="spellEnd"/>
      <w:r w:rsidRPr="00BD65A7">
        <w:t>.</w:t>
      </w:r>
      <w:proofErr w:type="gramEnd"/>
      <w:r w:rsidRPr="00BD65A7">
        <w:t xml:space="preserve"> k 31. 12. 20</w:t>
      </w:r>
      <w:r>
        <w:t>20</w:t>
      </w:r>
      <w:r w:rsidRPr="00BD65A7">
        <w:t xml:space="preserve"> dosáhl </w:t>
      </w:r>
      <w:r w:rsidRPr="002D6416">
        <w:t>6</w:t>
      </w:r>
      <w:r>
        <w:t> </w:t>
      </w:r>
      <w:r w:rsidRPr="002D6416">
        <w:t>096</w:t>
      </w:r>
      <w:r>
        <w:t xml:space="preserve"> </w:t>
      </w:r>
      <w:r w:rsidRPr="00BD65A7">
        <w:t xml:space="preserve">osob s meziročním přírůstkem </w:t>
      </w:r>
      <w:r w:rsidRPr="00455097">
        <w:t>36</w:t>
      </w:r>
      <w:r w:rsidRPr="00BD65A7">
        <w:t xml:space="preserve"> osob.</w:t>
      </w:r>
    </w:p>
    <w:p w:rsidR="00DF0E10" w:rsidRPr="00BD65A7" w:rsidRDefault="00DF0E10" w:rsidP="00DF0E10">
      <w:r w:rsidRPr="00BD65A7">
        <w:t xml:space="preserve">Vývoj hospodaření systému </w:t>
      </w:r>
      <w:proofErr w:type="spellStart"/>
      <w:proofErr w:type="gramStart"/>
      <w:r w:rsidRPr="00BD65A7">
        <w:t>v.z.p</w:t>
      </w:r>
      <w:proofErr w:type="spellEnd"/>
      <w:r w:rsidRPr="00BD65A7">
        <w:t>.</w:t>
      </w:r>
      <w:proofErr w:type="gramEnd"/>
      <w:r w:rsidRPr="00BD65A7">
        <w:t xml:space="preserve"> v roce 20</w:t>
      </w:r>
      <w:r>
        <w:t>20</w:t>
      </w:r>
      <w:r w:rsidRPr="00BD65A7">
        <w:t xml:space="preserve"> lze charakterizovat následujícími údaji:</w:t>
      </w:r>
    </w:p>
    <w:p w:rsidR="00DF0E10" w:rsidRPr="00D6187E" w:rsidRDefault="00DF0E10" w:rsidP="00DF0E10">
      <w:pPr>
        <w:pStyle w:val="Nzev"/>
      </w:pPr>
      <w:bookmarkStart w:id="105" w:name="_Toc66717161"/>
      <w:r w:rsidRPr="00BD65A7">
        <w:t xml:space="preserve">Tabulka č. </w:t>
      </w:r>
      <w:fldSimple w:instr=" SEQ Tabulka_č. \* ARABIC ">
        <w:r>
          <w:rPr>
            <w:noProof/>
          </w:rPr>
          <w:t>22</w:t>
        </w:r>
      </w:fldSimple>
      <w:r w:rsidRPr="00BD65A7">
        <w:t xml:space="preserve">: Vývoj hospodaření systému </w:t>
      </w:r>
      <w:proofErr w:type="spellStart"/>
      <w:proofErr w:type="gramStart"/>
      <w:r w:rsidRPr="00BD65A7">
        <w:t>v.z.p</w:t>
      </w:r>
      <w:proofErr w:type="spellEnd"/>
      <w:r w:rsidRPr="00BD65A7">
        <w:t>.</w:t>
      </w:r>
      <w:proofErr w:type="gramEnd"/>
      <w:r w:rsidRPr="00BD65A7">
        <w:t xml:space="preserve"> v letech 201</w:t>
      </w:r>
      <w:r>
        <w:t>9</w:t>
      </w:r>
      <w:r w:rsidRPr="00BD65A7">
        <w:t>-202</w:t>
      </w:r>
      <w:r>
        <w:t>1</w:t>
      </w:r>
      <w:r w:rsidRPr="00BD65A7">
        <w:t xml:space="preserve"> (tis. Kč)</w:t>
      </w:r>
      <w:bookmarkEnd w:id="105"/>
    </w:p>
    <w:p w:rsidR="00DF0E10" w:rsidRDefault="000D71E0" w:rsidP="00DF0E10">
      <w:pPr>
        <w:pStyle w:val="Tabgraf"/>
        <w:rPr>
          <w:b/>
        </w:rPr>
      </w:pPr>
      <w:r w:rsidRPr="000D71E0">
        <w:rPr>
          <w:noProof/>
          <w:lang w:eastAsia="cs-CZ"/>
        </w:rPr>
        <w:drawing>
          <wp:inline distT="0" distB="0" distL="0" distR="0" wp14:anchorId="02798F1F" wp14:editId="0C744872">
            <wp:extent cx="6172200" cy="1998681"/>
            <wp:effectExtent l="0" t="0" r="0" b="190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174132" cy="1999306"/>
                    </a:xfrm>
                    <a:prstGeom prst="rect">
                      <a:avLst/>
                    </a:prstGeom>
                    <a:noFill/>
                    <a:ln>
                      <a:noFill/>
                    </a:ln>
                  </pic:spPr>
                </pic:pic>
              </a:graphicData>
            </a:graphic>
          </wp:inline>
        </w:drawing>
      </w:r>
    </w:p>
    <w:p w:rsidR="00DF0E10" w:rsidRDefault="00DF0E10" w:rsidP="00DF0E10">
      <w:r w:rsidRPr="000536B6">
        <w:rPr>
          <w:b/>
        </w:rPr>
        <w:t>Příjmy celkem</w:t>
      </w:r>
      <w:r w:rsidRPr="00BD65A7">
        <w:rPr>
          <w:b/>
        </w:rPr>
        <w:t xml:space="preserve"> v roce 20</w:t>
      </w:r>
      <w:r>
        <w:rPr>
          <w:b/>
        </w:rPr>
        <w:t>20</w:t>
      </w:r>
      <w:r w:rsidRPr="00BD65A7">
        <w:rPr>
          <w:b/>
        </w:rPr>
        <w:t xml:space="preserve"> dosáhly </w:t>
      </w:r>
      <w:r w:rsidRPr="003A20CA">
        <w:rPr>
          <w:b/>
        </w:rPr>
        <w:t>357</w:t>
      </w:r>
      <w:r>
        <w:rPr>
          <w:b/>
        </w:rPr>
        <w:t> </w:t>
      </w:r>
      <w:r w:rsidRPr="003A20CA">
        <w:rPr>
          <w:b/>
        </w:rPr>
        <w:t>961</w:t>
      </w:r>
      <w:r>
        <w:rPr>
          <w:b/>
        </w:rPr>
        <w:t xml:space="preserve"> </w:t>
      </w:r>
      <w:r w:rsidRPr="00BD65A7">
        <w:rPr>
          <w:b/>
        </w:rPr>
        <w:t>mil. Kč,</w:t>
      </w:r>
      <w:r w:rsidRPr="00BD65A7">
        <w:t xml:space="preserve"> s meziročním nárůstem o </w:t>
      </w:r>
      <w:r>
        <w:t>8</w:t>
      </w:r>
      <w:r w:rsidRPr="00BD0FF2">
        <w:t>,0</w:t>
      </w:r>
      <w:r w:rsidRPr="00BD65A7">
        <w:t> %. Z toho příjmy pojistného po přerozdělování dosáhly  </w:t>
      </w:r>
      <w:r w:rsidRPr="003A20CA">
        <w:t>353</w:t>
      </w:r>
      <w:r>
        <w:t> </w:t>
      </w:r>
      <w:r w:rsidRPr="003A20CA">
        <w:t>592</w:t>
      </w:r>
      <w:r>
        <w:t xml:space="preserve"> </w:t>
      </w:r>
      <w:r w:rsidRPr="00BD65A7">
        <w:t>mil. Kč, s meziročním nárůstem o </w:t>
      </w:r>
      <w:r w:rsidRPr="00BD0FF2">
        <w:t>7,</w:t>
      </w:r>
      <w:r>
        <w:t>9</w:t>
      </w:r>
      <w:r w:rsidRPr="00BD65A7">
        <w:t> %</w:t>
      </w:r>
      <w:r>
        <w:t xml:space="preserve"> a </w:t>
      </w:r>
      <w:r w:rsidRPr="00BD65A7">
        <w:t xml:space="preserve">příjmy z vlastního výběru pojistného dosáhly </w:t>
      </w:r>
      <w:r w:rsidRPr="003A20CA">
        <w:t>256</w:t>
      </w:r>
      <w:r>
        <w:t> </w:t>
      </w:r>
      <w:r w:rsidRPr="003A20CA">
        <w:t>330</w:t>
      </w:r>
      <w:r>
        <w:t xml:space="preserve"> </w:t>
      </w:r>
      <w:r w:rsidRPr="00BD65A7">
        <w:t>mil. Kč a meziročně vzrostly o </w:t>
      </w:r>
      <w:r>
        <w:t>0,2</w:t>
      </w:r>
      <w:r w:rsidRPr="00BD0FF2">
        <w:t xml:space="preserve"> </w:t>
      </w:r>
      <w:r w:rsidRPr="00BD65A7">
        <w:t>%.</w:t>
      </w:r>
    </w:p>
    <w:p w:rsidR="00DF0E10" w:rsidRPr="00BD65A7" w:rsidRDefault="00DF0E10" w:rsidP="00DF0E10">
      <w:r w:rsidRPr="00B20CA2">
        <w:t xml:space="preserve">Jednou z příčin poklesu </w:t>
      </w:r>
      <w:r>
        <w:t>výběru</w:t>
      </w:r>
      <w:r w:rsidRPr="00B20CA2">
        <w:t xml:space="preserve"> pojistného</w:t>
      </w:r>
      <w:r>
        <w:t xml:space="preserve"> </w:t>
      </w:r>
      <w:r w:rsidRPr="00B20CA2">
        <w:t xml:space="preserve">na veřejné zdravotní pojištění </w:t>
      </w:r>
      <w:r>
        <w:t>pod očekávanou úroveň bylo</w:t>
      </w:r>
      <w:r w:rsidRPr="00B20CA2">
        <w:t xml:space="preserve"> odpuštění pojistného osobám samostatně výdělečně činným na šest měsíců až do výš</w:t>
      </w:r>
      <w:r>
        <w:t xml:space="preserve">e stanoveného minima (2 352 Kč) dle zákona č. 134/2020 Sb., které bylo vyčísleno na 6,9 mld. Kč. Tímto se také změnila </w:t>
      </w:r>
      <w:r>
        <w:lastRenderedPageBreak/>
        <w:t xml:space="preserve">struktura výběru pojistného, kde došlo meziročně k navýšení podílu pojistného za zaměstnance o 2,3 p. b. </w:t>
      </w:r>
      <w:proofErr w:type="gramStart"/>
      <w:r>
        <w:t>na</w:t>
      </w:r>
      <w:proofErr w:type="gramEnd"/>
      <w:r>
        <w:t xml:space="preserve"> </w:t>
      </w:r>
      <w:r w:rsidRPr="00800767">
        <w:t>92,7</w:t>
      </w:r>
      <w:r>
        <w:t xml:space="preserve"> </w:t>
      </w:r>
      <w:r w:rsidRPr="00800767">
        <w:t>%</w:t>
      </w:r>
      <w:r>
        <w:t xml:space="preserve"> a naopak u osob samostatně výdělečně činných jejich zastoupení kleslo o 2,2 p. b. na </w:t>
      </w:r>
      <w:r w:rsidRPr="004D182A">
        <w:t>6,0</w:t>
      </w:r>
      <w:r>
        <w:t xml:space="preserve"> </w:t>
      </w:r>
      <w:r w:rsidRPr="004D182A">
        <w:t>%</w:t>
      </w:r>
      <w:r>
        <w:t>.</w:t>
      </w:r>
    </w:p>
    <w:p w:rsidR="00DF0E10" w:rsidRPr="00BD65A7" w:rsidRDefault="00DF0E10" w:rsidP="00DF0E10">
      <w:r>
        <w:t>Rozdíl v dynamice mezi výběrem pojistného a pojistným po přerozdělování byl způsoben významným navýšením platby pojistného</w:t>
      </w:r>
      <w:r w:rsidRPr="00622000">
        <w:t xml:space="preserve"> na</w:t>
      </w:r>
      <w:r>
        <w:t> </w:t>
      </w:r>
      <w:proofErr w:type="spellStart"/>
      <w:proofErr w:type="gramStart"/>
      <w:r>
        <w:t>v.z.p</w:t>
      </w:r>
      <w:proofErr w:type="spellEnd"/>
      <w:r>
        <w:t>.</w:t>
      </w:r>
      <w:proofErr w:type="gramEnd"/>
      <w:r w:rsidRPr="00622000">
        <w:t xml:space="preserve"> u osob, za</w:t>
      </w:r>
      <w:r>
        <w:t xml:space="preserve"> něž je plátcem pojistného stát (tzv. státní pojištěnci). Na tento účel bylo v roce 2020 vydáno 97 262 mil. Kč, tj. meziročně platba vzrostla o 35,4 %.</w:t>
      </w:r>
    </w:p>
    <w:p w:rsidR="00DF0E10" w:rsidRDefault="00DF0E10" w:rsidP="00DF0E10">
      <w:r w:rsidRPr="00BD65A7">
        <w:t xml:space="preserve">Od </w:t>
      </w:r>
      <w:r>
        <w:t>1</w:t>
      </w:r>
      <w:r w:rsidRPr="00BD65A7">
        <w:t>. 1.</w:t>
      </w:r>
      <w:r>
        <w:t xml:space="preserve"> </w:t>
      </w:r>
      <w:r w:rsidRPr="00BD65A7">
        <w:t>20</w:t>
      </w:r>
      <w:r>
        <w:t>20</w:t>
      </w:r>
      <w:r w:rsidRPr="00BD65A7">
        <w:t xml:space="preserve"> byla </w:t>
      </w:r>
      <w:r>
        <w:t xml:space="preserve">v tomto případě </w:t>
      </w:r>
      <w:r w:rsidRPr="00BD65A7">
        <w:t>zvýšena měsíční platba o 49 Kč, tj. z částky 1</w:t>
      </w:r>
      <w:r>
        <w:t> </w:t>
      </w:r>
      <w:r w:rsidRPr="00BD65A7">
        <w:t xml:space="preserve">018 na </w:t>
      </w:r>
      <w:r>
        <w:t xml:space="preserve">1 067 </w:t>
      </w:r>
      <w:r w:rsidRPr="00BD65A7">
        <w:t>Kč na osobu a</w:t>
      </w:r>
      <w:r>
        <w:t> </w:t>
      </w:r>
      <w:r w:rsidRPr="00BD65A7">
        <w:t>měsíc (zákon č. 297/2017 Sb., kterým byl novelizován zákon č. 592/1992 Sb., o pojistném na veřejné zdravotní pojištění</w:t>
      </w:r>
      <w:r>
        <w:t>)</w:t>
      </w:r>
      <w:r w:rsidRPr="00BD65A7">
        <w:t xml:space="preserve">, </w:t>
      </w:r>
      <w:r>
        <w:t>v</w:t>
      </w:r>
      <w:r w:rsidRPr="00BD65A7">
        <w:t>yměřovací základ byl</w:t>
      </w:r>
      <w:r>
        <w:t xml:space="preserve"> </w:t>
      </w:r>
      <w:r w:rsidRPr="00BD65A7">
        <w:t xml:space="preserve">tak </w:t>
      </w:r>
      <w:r w:rsidRPr="007B5D48">
        <w:t>7 903 Kč</w:t>
      </w:r>
      <w:r w:rsidRPr="00BD65A7">
        <w:t xml:space="preserve">. </w:t>
      </w:r>
      <w:r>
        <w:t xml:space="preserve">Dále od </w:t>
      </w:r>
      <w:r w:rsidRPr="001A30BB">
        <w:t xml:space="preserve">1. 6. 2020 </w:t>
      </w:r>
      <w:r w:rsidRPr="00074A55">
        <w:t>byl tento vyměřovací základ významně zvýšen</w:t>
      </w:r>
      <w:r w:rsidRPr="00232637">
        <w:rPr>
          <w:b/>
        </w:rPr>
        <w:t xml:space="preserve"> </w:t>
      </w:r>
      <w:r>
        <w:t>ze</w:t>
      </w:r>
      <w:r w:rsidRPr="001A30BB">
        <w:t xml:space="preserve"> 7 903 Kč na 11 607 Kč </w:t>
      </w:r>
      <w:r>
        <w:t>za kalendářní měsíc (zákonem č. </w:t>
      </w:r>
      <w:r w:rsidRPr="001A30BB">
        <w:t>231/2020 Sb., kterým byl novelizován zákon č. 592/1992 Sb., o pojistném na v</w:t>
      </w:r>
      <w:r>
        <w:t>eřejné zdravotní pojištění). To </w:t>
      </w:r>
      <w:r w:rsidRPr="001A30BB">
        <w:t xml:space="preserve">představovalo zvýšení měsíční platby za osobu o 500 Kč z částky 1 067 Kč na 1 567 Kč. </w:t>
      </w:r>
    </w:p>
    <w:p w:rsidR="00DF0E10" w:rsidRDefault="00DF0E10" w:rsidP="00DF0E10">
      <w:r>
        <w:t xml:space="preserve">Příčinou růstu této platby byl také vyšší počet </w:t>
      </w:r>
      <w:r w:rsidRPr="003A7B24">
        <w:t>státem hrazených pojištěnců</w:t>
      </w:r>
      <w:r>
        <w:t xml:space="preserve">, který v průměru v roce 2020 dosáhl </w:t>
      </w:r>
      <w:r w:rsidRPr="003A7B24">
        <w:t>5 961</w:t>
      </w:r>
      <w:r>
        <w:t> </w:t>
      </w:r>
      <w:r w:rsidRPr="003A7B24">
        <w:t>540</w:t>
      </w:r>
      <w:r>
        <w:t xml:space="preserve"> osob (o </w:t>
      </w:r>
      <w:r w:rsidRPr="003A7B24">
        <w:t>79</w:t>
      </w:r>
      <w:r>
        <w:t> </w:t>
      </w:r>
      <w:r w:rsidRPr="003A7B24">
        <w:t>981</w:t>
      </w:r>
      <w:r>
        <w:t xml:space="preserve"> osob meziročně více, růst o</w:t>
      </w:r>
      <w:r w:rsidRPr="003A7B24">
        <w:t xml:space="preserve"> 1,4</w:t>
      </w:r>
      <w:r>
        <w:t xml:space="preserve"> </w:t>
      </w:r>
      <w:r w:rsidRPr="003A7B24">
        <w:t>%</w:t>
      </w:r>
      <w:r>
        <w:t xml:space="preserve">), způsobený především vyšším počtem </w:t>
      </w:r>
      <w:r w:rsidRPr="00C9551E">
        <w:t>uchazečů o zaměstnání v evidenci úřadu práce</w:t>
      </w:r>
      <w:r>
        <w:t>.</w:t>
      </w:r>
    </w:p>
    <w:p w:rsidR="00DF0E10" w:rsidRDefault="00DF0E10" w:rsidP="00DF0E10">
      <w:r w:rsidRPr="00BD65A7">
        <w:t xml:space="preserve">Od roku 2018 se částka určená k přerozdělování redistribuuje podle proměnlivých parametrů přerozdělování, kterými jsou nastavitelné parametry a vypočítané parametry. Mezi ně patří jednak veličiny související s novým parametrem tohoto mechanismu - PCG (farmaceuticko-nákladové skupiny) a dále nákladové indexy věkových skupin (podrobněji viz zákon č. 592/1992 Sb., o pojistném na veřejné zdravotní pojištění ve znění pozdějších předpisů). Zvláštní postup je používán u propočtu podílu za tzv. „nákladné pojištěnce“ v oddělené části systému 100% přerozdělování. Principu 100% přerozdělování pojistného podléhalo v roce </w:t>
      </w:r>
      <w:r>
        <w:t>2020</w:t>
      </w:r>
      <w:r w:rsidRPr="00BD65A7">
        <w:t xml:space="preserve"> veškeré vybrané pojistné, platba státu i prostředky úroků vzniklých na zvláštním účtu přerozdělování (snížené o poplatky za vedení tohoto účtu). Prostředky získané podle § 6a zákona č. 280/1992 Sb., </w:t>
      </w:r>
      <w:r w:rsidRPr="00DE4FCE">
        <w:rPr>
          <w:rFonts w:eastAsia="Calibri"/>
        </w:rPr>
        <w:t>o resortních, oborových, podnikových a dalších zdravotních pojišťovnách</w:t>
      </w:r>
      <w:r>
        <w:rPr>
          <w:rFonts w:eastAsia="Calibri"/>
        </w:rPr>
        <w:t>,</w:t>
      </w:r>
      <w:r w:rsidRPr="00BD65A7">
        <w:t xml:space="preserve"> ve znění pozdějších předpisů, při uzavření procesu likvidace některé ze dvou ZZP nebyly v roce </w:t>
      </w:r>
      <w:r>
        <w:t xml:space="preserve">2020 realizovány. </w:t>
      </w:r>
      <w:r w:rsidRPr="00BD65A7">
        <w:t>Nově zavedený mechanismus PCG by měl přispět k většímu zohlednění</w:t>
      </w:r>
      <w:r>
        <w:t xml:space="preserve"> chronicky nemocných pacientů v </w:t>
      </w:r>
      <w:r w:rsidRPr="00BD65A7">
        <w:t xml:space="preserve">kmenu jednotlivých ZP. </w:t>
      </w:r>
    </w:p>
    <w:p w:rsidR="00DF0E10" w:rsidRPr="00C02347" w:rsidRDefault="00DF0E10" w:rsidP="00DF0E10">
      <w:r w:rsidRPr="00C02347">
        <w:t>Příjmy jednotlivých ZP z pojistného před a po přerozdělení srovnává následující tabulka:</w:t>
      </w:r>
    </w:p>
    <w:p w:rsidR="00DF0E10" w:rsidRPr="00BD65A7" w:rsidRDefault="00DF0E10" w:rsidP="00DF0E10">
      <w:pPr>
        <w:pStyle w:val="Nzev"/>
        <w:rPr>
          <w:szCs w:val="22"/>
        </w:rPr>
      </w:pPr>
      <w:bookmarkStart w:id="106" w:name="_Toc66717162"/>
      <w:r w:rsidRPr="00BD65A7">
        <w:t xml:space="preserve">Tabulka č. </w:t>
      </w:r>
      <w:r w:rsidRPr="00197AA3">
        <w:fldChar w:fldCharType="begin"/>
      </w:r>
      <w:r w:rsidRPr="00BD65A7">
        <w:instrText xml:space="preserve"> SEQ Tabulka_č. \* ARABIC </w:instrText>
      </w:r>
      <w:r w:rsidRPr="00197AA3">
        <w:fldChar w:fldCharType="separate"/>
      </w:r>
      <w:r>
        <w:rPr>
          <w:noProof/>
        </w:rPr>
        <w:t>23</w:t>
      </w:r>
      <w:r w:rsidRPr="00197AA3">
        <w:rPr>
          <w:noProof/>
        </w:rPr>
        <w:fldChar w:fldCharType="end"/>
      </w:r>
      <w:r w:rsidRPr="00BD65A7">
        <w:t>:</w:t>
      </w:r>
      <w:r w:rsidRPr="00BD65A7">
        <w:rPr>
          <w:szCs w:val="22"/>
        </w:rPr>
        <w:t xml:space="preserve"> Vliv přerozdělování (tis. Kč)</w:t>
      </w:r>
      <w:bookmarkEnd w:id="106"/>
    </w:p>
    <w:p w:rsidR="00DF0E10" w:rsidRDefault="00DF0E10" w:rsidP="00DF0E10">
      <w:pPr>
        <w:pStyle w:val="Tabgraf"/>
        <w:rPr>
          <w:b/>
          <w:bCs/>
        </w:rPr>
      </w:pPr>
      <w:r w:rsidRPr="000D4F73">
        <w:rPr>
          <w:noProof/>
          <w:lang w:eastAsia="cs-CZ"/>
        </w:rPr>
        <w:drawing>
          <wp:inline distT="0" distB="0" distL="0" distR="0" wp14:anchorId="4ACD2B23" wp14:editId="3BFCA9EB">
            <wp:extent cx="6120130" cy="1667808"/>
            <wp:effectExtent l="0" t="0" r="0" b="889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20130" cy="1667808"/>
                    </a:xfrm>
                    <a:prstGeom prst="rect">
                      <a:avLst/>
                    </a:prstGeom>
                    <a:noFill/>
                    <a:ln>
                      <a:noFill/>
                    </a:ln>
                  </pic:spPr>
                </pic:pic>
              </a:graphicData>
            </a:graphic>
          </wp:inline>
        </w:drawing>
      </w:r>
    </w:p>
    <w:p w:rsidR="00DF0E10" w:rsidRPr="00BD65A7" w:rsidRDefault="00DF0E10" w:rsidP="00DF0E10">
      <w:r w:rsidRPr="00C02347">
        <w:rPr>
          <w:b/>
          <w:bCs/>
        </w:rPr>
        <w:t>Průměrné příjmy celkem na jednoho pojištěnce</w:t>
      </w:r>
      <w:r w:rsidRPr="00BD65A7">
        <w:t xml:space="preserve"> v roce </w:t>
      </w:r>
      <w:r>
        <w:t>2020</w:t>
      </w:r>
      <w:r w:rsidRPr="00BD65A7">
        <w:t xml:space="preserve"> dosáhly</w:t>
      </w:r>
      <w:r w:rsidRPr="00BD65A7">
        <w:rPr>
          <w:color w:val="FF0000"/>
        </w:rPr>
        <w:t xml:space="preserve"> </w:t>
      </w:r>
      <w:r w:rsidRPr="00250FFA">
        <w:t>33 923</w:t>
      </w:r>
      <w:r w:rsidRPr="00250FFA" w:rsidDel="00250FFA">
        <w:t xml:space="preserve"> </w:t>
      </w:r>
      <w:r w:rsidRPr="00BD65A7">
        <w:t>Kč s meziročním zvýšením o</w:t>
      </w:r>
      <w:r>
        <w:t> </w:t>
      </w:r>
      <w:r w:rsidRPr="00250FFA">
        <w:t>7,9</w:t>
      </w:r>
      <w:r w:rsidR="002F3881">
        <w:t> </w:t>
      </w:r>
      <w:r w:rsidRPr="00BD65A7">
        <w:t>%. Nejvyšší příjmy vykázala VZP ČR v hodnotě</w:t>
      </w:r>
      <w:r w:rsidRPr="00BD65A7">
        <w:rPr>
          <w:color w:val="FF0000"/>
        </w:rPr>
        <w:t xml:space="preserve"> </w:t>
      </w:r>
      <w:r w:rsidRPr="00250FFA">
        <w:t>35 957</w:t>
      </w:r>
      <w:r w:rsidRPr="00250FFA" w:rsidDel="00250FFA">
        <w:t xml:space="preserve"> </w:t>
      </w:r>
      <w:r w:rsidRPr="00BD65A7">
        <w:t>Kč s meziročním</w:t>
      </w:r>
      <w:r w:rsidRPr="00BD65A7">
        <w:rPr>
          <w:color w:val="FF0000"/>
        </w:rPr>
        <w:t xml:space="preserve"> </w:t>
      </w:r>
      <w:r w:rsidRPr="00BD65A7">
        <w:t>zvýšením o</w:t>
      </w:r>
      <w:r>
        <w:t> 7,8</w:t>
      </w:r>
      <w:r w:rsidRPr="00250FFA" w:rsidDel="00250FFA">
        <w:t xml:space="preserve"> </w:t>
      </w:r>
      <w:r w:rsidRPr="00BD65A7">
        <w:t xml:space="preserve">%, nejnižší příjmy celkem vykázala </w:t>
      </w:r>
      <w:r>
        <w:t>OZP</w:t>
      </w:r>
      <w:r w:rsidRPr="00BD65A7">
        <w:t xml:space="preserve"> ve výši</w:t>
      </w:r>
      <w:r w:rsidRPr="00BD65A7">
        <w:rPr>
          <w:color w:val="FF0000"/>
        </w:rPr>
        <w:t xml:space="preserve"> </w:t>
      </w:r>
      <w:r w:rsidRPr="00FC1658">
        <w:t>30 211</w:t>
      </w:r>
      <w:r w:rsidRPr="00FC1658" w:rsidDel="00FC1658">
        <w:t xml:space="preserve"> </w:t>
      </w:r>
      <w:r w:rsidRPr="00BD65A7">
        <w:t>Kč, s meziročním nárůstem o</w:t>
      </w:r>
      <w:r>
        <w:t> </w:t>
      </w:r>
      <w:r w:rsidRPr="00FC1658">
        <w:t>7,9</w:t>
      </w:r>
      <w:r>
        <w:t> </w:t>
      </w:r>
      <w:r w:rsidRPr="00FC1658">
        <w:t>%</w:t>
      </w:r>
      <w:r w:rsidRPr="00BD65A7">
        <w:t>.</w:t>
      </w:r>
      <w:r w:rsidRPr="00BD65A7" w:rsidDel="00F46D42">
        <w:t xml:space="preserve"> </w:t>
      </w:r>
      <w:r w:rsidRPr="00BD65A7">
        <w:t xml:space="preserve">ZZP v průměru dosáhly hodnoty </w:t>
      </w:r>
      <w:r w:rsidRPr="00FC1658">
        <w:t>31</w:t>
      </w:r>
      <w:r w:rsidR="002F3881">
        <w:t> </w:t>
      </w:r>
      <w:r w:rsidRPr="00FC1658">
        <w:t>300</w:t>
      </w:r>
      <w:r w:rsidRPr="00FC1658" w:rsidDel="00FC1658">
        <w:t xml:space="preserve"> </w:t>
      </w:r>
      <w:r w:rsidRPr="00BD65A7">
        <w:t xml:space="preserve">Kč, s meziročním nárůstem o </w:t>
      </w:r>
      <w:r w:rsidRPr="00FC1658">
        <w:t>8,1</w:t>
      </w:r>
      <w:r w:rsidRPr="00BD65A7">
        <w:t xml:space="preserve"> %. </w:t>
      </w:r>
    </w:p>
    <w:p w:rsidR="00DF0E10" w:rsidRPr="002A075B" w:rsidRDefault="00DF0E10" w:rsidP="00DF0E10">
      <w:r w:rsidRPr="00C02347">
        <w:rPr>
          <w:b/>
          <w:bCs/>
        </w:rPr>
        <w:t xml:space="preserve">Ostatní příjmy a výnosy </w:t>
      </w:r>
      <w:proofErr w:type="spellStart"/>
      <w:proofErr w:type="gramStart"/>
      <w:r w:rsidRPr="00C02347">
        <w:rPr>
          <w:b/>
          <w:bCs/>
        </w:rPr>
        <w:t>v.z.p</w:t>
      </w:r>
      <w:proofErr w:type="spellEnd"/>
      <w:r w:rsidRPr="00C02347">
        <w:rPr>
          <w:b/>
          <w:bCs/>
        </w:rPr>
        <w:t>.</w:t>
      </w:r>
      <w:proofErr w:type="gramEnd"/>
      <w:r w:rsidRPr="00BD65A7">
        <w:t xml:space="preserve"> (pokuty, penále</w:t>
      </w:r>
      <w:r>
        <w:t>,</w:t>
      </w:r>
      <w:r w:rsidRPr="00BD65A7">
        <w:t xml:space="preserve"> náhrady škod, úroky apod.) v roce </w:t>
      </w:r>
      <w:r>
        <w:t>2020</w:t>
      </w:r>
      <w:r w:rsidRPr="00BD65A7">
        <w:t xml:space="preserve"> dosáhly </w:t>
      </w:r>
      <w:r>
        <w:t>2 </w:t>
      </w:r>
      <w:r w:rsidRPr="007E5A23">
        <w:t>733</w:t>
      </w:r>
      <w:r>
        <w:t> </w:t>
      </w:r>
      <w:r w:rsidRPr="007E5A23">
        <w:t>mil. Kč</w:t>
      </w:r>
      <w:r w:rsidRPr="007E5A23">
        <w:rPr>
          <w:color w:val="FF0000"/>
        </w:rPr>
        <w:t xml:space="preserve"> </w:t>
      </w:r>
      <w:r w:rsidRPr="007E5A23">
        <w:t>(0,76</w:t>
      </w:r>
      <w:r w:rsidRPr="007E5A23" w:rsidDel="009F2E41">
        <w:t xml:space="preserve"> </w:t>
      </w:r>
      <w:r w:rsidRPr="007E5A23">
        <w:t>% z celkových příjmů) a jejich výše meziročně</w:t>
      </w:r>
      <w:r w:rsidRPr="007E5A23">
        <w:rPr>
          <w:color w:val="FF0000"/>
        </w:rPr>
        <w:t xml:space="preserve"> </w:t>
      </w:r>
      <w:r w:rsidRPr="007E5A23">
        <w:t>vzrostla o 297 mil. Kč</w:t>
      </w:r>
      <w:r w:rsidRPr="002A075B">
        <w:t xml:space="preserve">. </w:t>
      </w:r>
    </w:p>
    <w:p w:rsidR="00DF0E10" w:rsidRPr="00BD65A7" w:rsidRDefault="00DF0E10" w:rsidP="00DF0E10">
      <w:r w:rsidRPr="00074A55">
        <w:rPr>
          <w:b/>
        </w:rPr>
        <w:t>Výnosy z jiné činnosti</w:t>
      </w:r>
      <w:r w:rsidRPr="00074A55">
        <w:t xml:space="preserve">, </w:t>
      </w:r>
      <w:r w:rsidRPr="0092448B">
        <w:t>související</w:t>
      </w:r>
      <w:r w:rsidRPr="0005612E">
        <w:t xml:space="preserve"> </w:t>
      </w:r>
      <w:r w:rsidRPr="00074A55">
        <w:t xml:space="preserve">především </w:t>
      </w:r>
      <w:r w:rsidRPr="0092448B">
        <w:t xml:space="preserve">se </w:t>
      </w:r>
      <w:r w:rsidRPr="0005612E">
        <w:t>zprostředkováním prodeje komerčního pojištění</w:t>
      </w:r>
      <w:r w:rsidRPr="00074A55">
        <w:t>,</w:t>
      </w:r>
      <w:r w:rsidRPr="0092448B">
        <w:t xml:space="preserve"> pak</w:t>
      </w:r>
      <w:r>
        <w:t> </w:t>
      </w:r>
      <w:r w:rsidRPr="0092448B">
        <w:t xml:space="preserve">dosáhly pouze </w:t>
      </w:r>
      <w:r w:rsidRPr="0005612E">
        <w:t xml:space="preserve">52 mil. Kč s meziročním </w:t>
      </w:r>
      <w:r w:rsidRPr="00030F7B">
        <w:t>poklesem o 25 mil. Kč, který může souviset s omezenými možnostmi cestování do zahraničí</w:t>
      </w:r>
      <w:r w:rsidRPr="0092448B">
        <w:t>.</w:t>
      </w:r>
    </w:p>
    <w:p w:rsidR="00DF0E10" w:rsidRPr="00BD65A7" w:rsidRDefault="00DF0E10" w:rsidP="00DF0E10">
      <w:r w:rsidRPr="00BD65A7">
        <w:lastRenderedPageBreak/>
        <w:t>Na bankovní účty základních fondů zdravotního pojištění bylo prostřednictvím Kanceláře zdravotního pojištění (dříve Centra mezistátních úhrad) převedeno od zahraničních pojišťoven</w:t>
      </w:r>
      <w:r w:rsidRPr="00BD65A7">
        <w:rPr>
          <w:color w:val="FF0000"/>
        </w:rPr>
        <w:t xml:space="preserve"> </w:t>
      </w:r>
      <w:r w:rsidRPr="00C92F3A">
        <w:t>1 585</w:t>
      </w:r>
      <w:r w:rsidRPr="00C92F3A" w:rsidDel="00C92F3A">
        <w:t xml:space="preserve"> </w:t>
      </w:r>
      <w:r w:rsidRPr="00BD65A7">
        <w:t>mil. Kč, což</w:t>
      </w:r>
      <w:r>
        <w:t> </w:t>
      </w:r>
      <w:r w:rsidRPr="00BD65A7">
        <w:t xml:space="preserve">představuje meziroční nárůst o </w:t>
      </w:r>
      <w:r>
        <w:t>13,8</w:t>
      </w:r>
      <w:r w:rsidRPr="00BD65A7">
        <w:t xml:space="preserve"> %. </w:t>
      </w:r>
    </w:p>
    <w:p w:rsidR="00DF0E10" w:rsidRDefault="00DF0E10" w:rsidP="00DF0E10">
      <w:r w:rsidRPr="00074A55">
        <w:rPr>
          <w:b/>
          <w:bCs/>
        </w:rPr>
        <w:t>Roční výdaje</w:t>
      </w:r>
      <w:r w:rsidRPr="00C02347">
        <w:rPr>
          <w:b/>
          <w:bCs/>
        </w:rPr>
        <w:t xml:space="preserve"> systému </w:t>
      </w:r>
      <w:proofErr w:type="spellStart"/>
      <w:proofErr w:type="gramStart"/>
      <w:r w:rsidRPr="00C02347">
        <w:rPr>
          <w:b/>
          <w:bCs/>
        </w:rPr>
        <w:t>v.z.p</w:t>
      </w:r>
      <w:proofErr w:type="spellEnd"/>
      <w:r w:rsidRPr="00C02347">
        <w:rPr>
          <w:b/>
          <w:bCs/>
        </w:rPr>
        <w:t>.</w:t>
      </w:r>
      <w:proofErr w:type="gramEnd"/>
      <w:r w:rsidRPr="00BD65A7">
        <w:t xml:space="preserve"> celkem dosáhly</w:t>
      </w:r>
      <w:r w:rsidRPr="00BD65A7">
        <w:rPr>
          <w:color w:val="FF0000"/>
        </w:rPr>
        <w:t xml:space="preserve"> </w:t>
      </w:r>
      <w:r w:rsidRPr="00B20CA2">
        <w:t>352</w:t>
      </w:r>
      <w:r>
        <w:t> </w:t>
      </w:r>
      <w:r w:rsidRPr="00B20CA2">
        <w:t>195</w:t>
      </w:r>
      <w:r>
        <w:t xml:space="preserve"> </w:t>
      </w:r>
      <w:r w:rsidRPr="00BD65A7">
        <w:t>mil. Kč, s meziročním</w:t>
      </w:r>
      <w:r w:rsidRPr="00BD65A7">
        <w:rPr>
          <w:color w:val="FF0000"/>
        </w:rPr>
        <w:t xml:space="preserve"> </w:t>
      </w:r>
      <w:r w:rsidRPr="00BD65A7">
        <w:t>nárůstem o </w:t>
      </w:r>
      <w:r w:rsidRPr="00ED05CD">
        <w:t>10,8</w:t>
      </w:r>
      <w:r w:rsidRPr="00BD65A7">
        <w:t xml:space="preserve"> %. Z hodnoty celkových výdajů dosáhly výdaje na zdravotní služby </w:t>
      </w:r>
      <w:r w:rsidRPr="00ED05CD">
        <w:t>342 094</w:t>
      </w:r>
      <w:r w:rsidRPr="00ED05CD" w:rsidDel="00ED05CD">
        <w:t xml:space="preserve"> </w:t>
      </w:r>
      <w:r w:rsidRPr="00BD65A7">
        <w:t>mil. Kč</w:t>
      </w:r>
      <w:r w:rsidRPr="00BD65A7">
        <w:rPr>
          <w:color w:val="FF0000"/>
        </w:rPr>
        <w:t xml:space="preserve"> </w:t>
      </w:r>
      <w:r w:rsidRPr="00BD65A7">
        <w:t>(tj. </w:t>
      </w:r>
      <w:r>
        <w:t xml:space="preserve">97,1 </w:t>
      </w:r>
      <w:r w:rsidRPr="00BD65A7">
        <w:t> %). Meziročně se zvýšily o</w:t>
      </w:r>
      <w:r>
        <w:t> 10,9</w:t>
      </w:r>
      <w:r w:rsidR="002F3881">
        <w:t> </w:t>
      </w:r>
      <w:r w:rsidRPr="00BD65A7">
        <w:t xml:space="preserve">%. </w:t>
      </w:r>
    </w:p>
    <w:p w:rsidR="00DF0E10" w:rsidRPr="00BD65A7" w:rsidRDefault="00DF0E10" w:rsidP="00DF0E10">
      <w:r w:rsidRPr="001E5434">
        <w:t xml:space="preserve">V souvislosti s pandemií </w:t>
      </w:r>
      <w:r w:rsidRPr="0083272E">
        <w:t>COVID</w:t>
      </w:r>
      <w:r w:rsidRPr="00E13B20">
        <w:t>-19</w:t>
      </w:r>
      <w:r>
        <w:t xml:space="preserve"> zdravotní pojišťovny v roce 2020 evidovaly náklady (pozn. kategorie nákladů popisuje čerpání zdravotních služeb, nikoliv jejich skutečnou úhradu) na bonifikace poskytovatelům lůžkové péče o pacienty s diagnózami </w:t>
      </w:r>
      <w:r w:rsidRPr="0083272E">
        <w:t>U69.75 a U07.1</w:t>
      </w:r>
      <w:r>
        <w:t xml:space="preserve"> v částce 7,6 mld. Kč, na PCR testování 6,</w:t>
      </w:r>
      <w:r w:rsidRPr="00E13B20">
        <w:t>5</w:t>
      </w:r>
      <w:r>
        <w:t xml:space="preserve"> mld. Kč a na antigenní testování pak 0,3 mld. Kč</w:t>
      </w:r>
      <w:r w:rsidRPr="007E5A23">
        <w:t>. Ostatní související položky dosahovaly marginálních hodnot.</w:t>
      </w:r>
    </w:p>
    <w:p w:rsidR="00DF0E10" w:rsidRPr="00BD65A7" w:rsidRDefault="00DF0E10" w:rsidP="00DF0E10">
      <w:r w:rsidRPr="00BD65A7">
        <w:rPr>
          <w:b/>
        </w:rPr>
        <w:t>V přepočtu na jednoho pojištěnce</w:t>
      </w:r>
      <w:r w:rsidRPr="00BD65A7">
        <w:t xml:space="preserve"> dosáhly průměrné roční výdaje za zdravotní</w:t>
      </w:r>
      <w:r w:rsidRPr="00BD65A7">
        <w:rPr>
          <w:color w:val="FF0000"/>
        </w:rPr>
        <w:t xml:space="preserve"> </w:t>
      </w:r>
      <w:r w:rsidRPr="00BD65A7">
        <w:t>služby hrazené ze</w:t>
      </w:r>
      <w:r>
        <w:t> </w:t>
      </w:r>
      <w:r w:rsidRPr="00BD65A7">
        <w:t xml:space="preserve">základního fondu zdravotního pojištění </w:t>
      </w:r>
      <w:r w:rsidRPr="00107A3A">
        <w:t>32</w:t>
      </w:r>
      <w:r>
        <w:t> </w:t>
      </w:r>
      <w:r w:rsidRPr="00107A3A">
        <w:t>281</w:t>
      </w:r>
      <w:r>
        <w:t xml:space="preserve"> </w:t>
      </w:r>
      <w:r w:rsidRPr="00BD65A7">
        <w:t>Kč s meziročním zvýšením o </w:t>
      </w:r>
      <w:r w:rsidRPr="00107A3A">
        <w:t>10,8</w:t>
      </w:r>
      <w:r>
        <w:t xml:space="preserve"> </w:t>
      </w:r>
      <w:r w:rsidRPr="00BD65A7">
        <w:t xml:space="preserve">%, v případě ZZP celkový průměr </w:t>
      </w:r>
      <w:r w:rsidRPr="00107A3A">
        <w:t>29</w:t>
      </w:r>
      <w:r>
        <w:t> </w:t>
      </w:r>
      <w:r w:rsidRPr="00107A3A">
        <w:t>648</w:t>
      </w:r>
      <w:r>
        <w:t xml:space="preserve"> </w:t>
      </w:r>
      <w:r w:rsidRPr="00BD65A7">
        <w:t xml:space="preserve">Kč (meziroční růst o </w:t>
      </w:r>
      <w:r>
        <w:t xml:space="preserve">10,1 </w:t>
      </w:r>
      <w:r w:rsidRPr="00BD65A7">
        <w:t xml:space="preserve">%), u VZP ČR </w:t>
      </w:r>
      <w:r w:rsidRPr="00107A3A">
        <w:t>34</w:t>
      </w:r>
      <w:r>
        <w:t> </w:t>
      </w:r>
      <w:r w:rsidRPr="00107A3A">
        <w:t>323</w:t>
      </w:r>
      <w:r>
        <w:t xml:space="preserve"> </w:t>
      </w:r>
      <w:r w:rsidRPr="00BD65A7">
        <w:t xml:space="preserve">Kč (meziroční růst o </w:t>
      </w:r>
      <w:r>
        <w:t xml:space="preserve">11,3 </w:t>
      </w:r>
      <w:r w:rsidRPr="00BD65A7">
        <w:t>%). Vykázané rozdíly ve výdajích za zdravotní péči mezi VZP ČR a skupinou ZZP byly ovlivněny rozdílnou skladbou pojištěnců a smluvními vztahy s </w:t>
      </w:r>
      <w:r w:rsidRPr="002378DE">
        <w:t xml:space="preserve">poskytovateli zdravotních služeb </w:t>
      </w:r>
      <w:r w:rsidRPr="00BD65A7">
        <w:t>(dále jen „PZS“) a cenovými dodatky. Podrobnou analýzu nákladů na zdravotní péči v členění na jednotlivé segmenty zdravotní péče budou obsahovat jednotlivé výroční zprávy ZP za rok 20</w:t>
      </w:r>
      <w:r>
        <w:t>20</w:t>
      </w:r>
      <w:r w:rsidRPr="00BD65A7">
        <w:t xml:space="preserve"> a  hodnocení vývoje systému </w:t>
      </w:r>
      <w:proofErr w:type="spellStart"/>
      <w:proofErr w:type="gramStart"/>
      <w:r w:rsidRPr="00BD65A7">
        <w:t>v.z.p</w:t>
      </w:r>
      <w:proofErr w:type="spellEnd"/>
      <w:r w:rsidRPr="00BD65A7">
        <w:t>.</w:t>
      </w:r>
      <w:proofErr w:type="gramEnd"/>
    </w:p>
    <w:p w:rsidR="00DF0E10" w:rsidRPr="00BD65A7" w:rsidRDefault="00DF0E10" w:rsidP="00DF0E10">
      <w:r w:rsidRPr="00BD65A7">
        <w:t xml:space="preserve">Čerpání fondů prevence (a speciálních fondů </w:t>
      </w:r>
      <w:proofErr w:type="spellStart"/>
      <w:r w:rsidRPr="00BD65A7">
        <w:t>VoZP</w:t>
      </w:r>
      <w:proofErr w:type="spellEnd"/>
      <w:r w:rsidRPr="00BD65A7">
        <w:t xml:space="preserve"> ČR) v roce </w:t>
      </w:r>
      <w:r>
        <w:t>2020</w:t>
      </w:r>
      <w:r w:rsidRPr="00BD65A7" w:rsidDel="000E6474">
        <w:t xml:space="preserve"> </w:t>
      </w:r>
      <w:r w:rsidRPr="00BD65A7">
        <w:t>podléhalo (v souladu se zákony) záměrům zdravotně pojistných plánů a konkrétním rozhodnutím jednotlivých správních rad</w:t>
      </w:r>
      <w:r w:rsidRPr="002378DE">
        <w:t xml:space="preserve"> zdravotních pojišťoven</w:t>
      </w:r>
      <w:r w:rsidRPr="00BD65A7">
        <w:t>. V souladu s § 16 zákona č. 280/1992 Sb. vynaložily ZZP v roce </w:t>
      </w:r>
      <w:r>
        <w:t>2020</w:t>
      </w:r>
      <w:r w:rsidRPr="00BD65A7">
        <w:t xml:space="preserve"> částku </w:t>
      </w:r>
      <w:r w:rsidRPr="00994493">
        <w:t>835</w:t>
      </w:r>
      <w:r w:rsidRPr="00BD65A7">
        <w:t xml:space="preserve"> mil. Kč</w:t>
      </w:r>
      <w:r w:rsidRPr="002378DE">
        <w:t xml:space="preserve"> (meziroční </w:t>
      </w:r>
      <w:r>
        <w:t>pokles</w:t>
      </w:r>
      <w:r w:rsidRPr="002378DE">
        <w:t xml:space="preserve"> o</w:t>
      </w:r>
      <w:r w:rsidR="002F3881">
        <w:t> </w:t>
      </w:r>
      <w:r>
        <w:t>0,4</w:t>
      </w:r>
      <w:r w:rsidR="002F3881">
        <w:t> </w:t>
      </w:r>
      <w:r w:rsidRPr="002378DE">
        <w:t>%)</w:t>
      </w:r>
      <w:r w:rsidRPr="00BD65A7">
        <w:t xml:space="preserve">, což při přepočtu na každého pojištěnce činilo </w:t>
      </w:r>
      <w:r w:rsidRPr="00994493">
        <w:t>181</w:t>
      </w:r>
      <w:r w:rsidRPr="00BD65A7">
        <w:t xml:space="preserve"> Kč. U VZP ČR, v souladu s podmínkami § 7 zákona č. 551/1991 Sb. činily tyto výdaje </w:t>
      </w:r>
      <w:r w:rsidRPr="00E66421">
        <w:t>621</w:t>
      </w:r>
      <w:r>
        <w:t xml:space="preserve"> </w:t>
      </w:r>
      <w:r w:rsidRPr="00BD65A7">
        <w:t>mil. Kč</w:t>
      </w:r>
      <w:r w:rsidRPr="002378DE">
        <w:t xml:space="preserve"> (meziroční růst o </w:t>
      </w:r>
      <w:r>
        <w:t xml:space="preserve">14,2 </w:t>
      </w:r>
      <w:r w:rsidRPr="002378DE">
        <w:t>%)</w:t>
      </w:r>
      <w:r w:rsidRPr="00BD65A7">
        <w:t xml:space="preserve">, na jednoho pojištěnce </w:t>
      </w:r>
      <w:r w:rsidRPr="002378DE">
        <w:t>pak</w:t>
      </w:r>
      <w:r>
        <w:t> </w:t>
      </w:r>
      <w:r w:rsidRPr="00E66421">
        <w:t>104</w:t>
      </w:r>
      <w:r w:rsidRPr="00BD65A7">
        <w:t xml:space="preserve"> Kč. </w:t>
      </w:r>
    </w:p>
    <w:p w:rsidR="00DF0E10" w:rsidRDefault="00DF0E10" w:rsidP="00DF0E10">
      <w:r w:rsidRPr="00BD65A7">
        <w:t xml:space="preserve">VZP ČR čerpala na vlastní činnost maximální limit, a to ve výši 2,91 % rozvrhové základny, absolutní částka jejího přídělu na vlastní činnost dosáhla </w:t>
      </w:r>
      <w:r w:rsidRPr="00E66421">
        <w:t>6</w:t>
      </w:r>
      <w:r>
        <w:t> </w:t>
      </w:r>
      <w:r w:rsidRPr="00E66421">
        <w:t>168</w:t>
      </w:r>
      <w:r>
        <w:t xml:space="preserve"> </w:t>
      </w:r>
      <w:r w:rsidRPr="00BD65A7">
        <w:t xml:space="preserve">mil. Kč. Průměrný (nevážený průměr) limit za skupinu ZZP dosáhl </w:t>
      </w:r>
      <w:r w:rsidRPr="00E66421">
        <w:t>3,06</w:t>
      </w:r>
      <w:r>
        <w:t xml:space="preserve"> </w:t>
      </w:r>
      <w:r w:rsidRPr="00BD65A7">
        <w:t>%</w:t>
      </w:r>
      <w:r w:rsidRPr="00BD65A7">
        <w:rPr>
          <w:color w:val="FF0000"/>
        </w:rPr>
        <w:t xml:space="preserve"> </w:t>
      </w:r>
      <w:r w:rsidRPr="00BD65A7">
        <w:t xml:space="preserve">rozvrhové základny a celková hodnota jejich přídělů činila </w:t>
      </w:r>
      <w:r w:rsidRPr="00E66421">
        <w:t>4</w:t>
      </w:r>
      <w:r>
        <w:t> </w:t>
      </w:r>
      <w:r w:rsidRPr="00E66421">
        <w:t>303</w:t>
      </w:r>
      <w:r>
        <w:t xml:space="preserve"> </w:t>
      </w:r>
      <w:r w:rsidRPr="00BD65A7">
        <w:t>mil. Kč</w:t>
      </w:r>
      <w:r w:rsidRPr="00FF46C0">
        <w:t xml:space="preserve">. </w:t>
      </w:r>
      <w:r>
        <w:t xml:space="preserve">ZP vynaložily na vlastní činnost </w:t>
      </w:r>
      <w:r w:rsidRPr="00831DB8">
        <w:t xml:space="preserve">8 258 mil. Kč </w:t>
      </w:r>
      <w:r>
        <w:t xml:space="preserve">(z toho </w:t>
      </w:r>
      <w:r w:rsidRPr="00831DB8">
        <w:t>investiční</w:t>
      </w:r>
      <w:r>
        <w:t xml:space="preserve"> výdaje </w:t>
      </w:r>
      <w:r w:rsidRPr="00831DB8">
        <w:t>601 mil. Kč</w:t>
      </w:r>
      <w:r>
        <w:t>).</w:t>
      </w:r>
    </w:p>
    <w:p w:rsidR="00DF0E10" w:rsidRPr="00BD65A7" w:rsidRDefault="00DF0E10" w:rsidP="00DF0E10">
      <w:r w:rsidRPr="00C02347">
        <w:rPr>
          <w:b/>
          <w:bCs/>
        </w:rPr>
        <w:t>Saldo příjmů celkem a výdajů celkem</w:t>
      </w:r>
      <w:r w:rsidRPr="00BD65A7">
        <w:t xml:space="preserve"> (dále jen „saldo“)</w:t>
      </w:r>
      <w:r w:rsidRPr="00BD65A7">
        <w:rPr>
          <w:color w:val="FF0000"/>
        </w:rPr>
        <w:t xml:space="preserve"> </w:t>
      </w:r>
      <w:r w:rsidRPr="00BD65A7">
        <w:t xml:space="preserve">u činných ZP jako celku dosáhlo v roce </w:t>
      </w:r>
      <w:r>
        <w:t>2020</w:t>
      </w:r>
      <w:r w:rsidRPr="00BD65A7">
        <w:t xml:space="preserve"> hodnoty </w:t>
      </w:r>
      <w:r w:rsidRPr="00E66421">
        <w:t>5</w:t>
      </w:r>
      <w:r>
        <w:t> </w:t>
      </w:r>
      <w:r w:rsidRPr="00E66421">
        <w:t>767</w:t>
      </w:r>
      <w:r>
        <w:t xml:space="preserve"> </w:t>
      </w:r>
      <w:r w:rsidRPr="00BD65A7">
        <w:t>mil. Kč.</w:t>
      </w:r>
      <w:r w:rsidRPr="00BD65A7">
        <w:rPr>
          <w:color w:val="FF0000"/>
        </w:rPr>
        <w:t xml:space="preserve"> </w:t>
      </w:r>
      <w:r w:rsidRPr="00BD65A7">
        <w:t xml:space="preserve">Meziroční vývoj salda je charakterizován </w:t>
      </w:r>
      <w:r>
        <w:t>významným</w:t>
      </w:r>
      <w:r w:rsidRPr="006725C6">
        <w:t xml:space="preserve"> zhoršením</w:t>
      </w:r>
      <w:r w:rsidRPr="00BD65A7">
        <w:t xml:space="preserve"> z  hodnoty  </w:t>
      </w:r>
      <w:r w:rsidRPr="00E66421">
        <w:t>13</w:t>
      </w:r>
      <w:r>
        <w:t> </w:t>
      </w:r>
      <w:r w:rsidRPr="00E66421">
        <w:t>452</w:t>
      </w:r>
      <w:r>
        <w:t> </w:t>
      </w:r>
      <w:r w:rsidRPr="00BD65A7">
        <w:t>mil. Kč v roce 201</w:t>
      </w:r>
      <w:r>
        <w:t>9</w:t>
      </w:r>
      <w:r w:rsidRPr="00BD65A7">
        <w:t xml:space="preserve">. </w:t>
      </w:r>
    </w:p>
    <w:p w:rsidR="00DF0E10" w:rsidRPr="00BD65A7" w:rsidRDefault="00DF0E10" w:rsidP="00DF0E10">
      <w:r w:rsidRPr="00BD65A7">
        <w:t xml:space="preserve">VZP ČR měla v  roce </w:t>
      </w:r>
      <w:r>
        <w:t>2020</w:t>
      </w:r>
      <w:r w:rsidRPr="00BD65A7">
        <w:t xml:space="preserve"> naplněný rezervní fond v zákonem požadované výši </w:t>
      </w:r>
      <w:r w:rsidRPr="0025550D">
        <w:t>2</w:t>
      </w:r>
      <w:r>
        <w:t> </w:t>
      </w:r>
      <w:r w:rsidRPr="0025550D">
        <w:t>698</w:t>
      </w:r>
      <w:r>
        <w:t xml:space="preserve"> </w:t>
      </w:r>
      <w:r w:rsidRPr="00BD65A7">
        <w:t>mil. Kč, tudíž vůči rezervnímu fondu nem</w:t>
      </w:r>
      <w:r>
        <w:t>ěla</w:t>
      </w:r>
      <w:r w:rsidRPr="00BD65A7">
        <w:t xml:space="preserve"> dluh. Všechny ZZP měly rovněž naplněny své rezervní fondy v zákonem požadované výši (celkem se jedná o částku </w:t>
      </w:r>
      <w:r w:rsidRPr="0025550D">
        <w:t>1</w:t>
      </w:r>
      <w:r>
        <w:t> </w:t>
      </w:r>
      <w:r w:rsidRPr="0025550D">
        <w:t>786</w:t>
      </w:r>
      <w:r>
        <w:t xml:space="preserve"> </w:t>
      </w:r>
      <w:r w:rsidRPr="00BD65A7">
        <w:t xml:space="preserve">mil. Kč). </w:t>
      </w:r>
    </w:p>
    <w:p w:rsidR="00DF0E10" w:rsidRPr="00BD65A7" w:rsidRDefault="00DF0E10" w:rsidP="00DF0E10">
      <w:r w:rsidRPr="00C02347">
        <w:rPr>
          <w:b/>
          <w:bCs/>
        </w:rPr>
        <w:t>Finanční rezervy na bankovních účtech</w:t>
      </w:r>
      <w:r w:rsidRPr="00BD65A7">
        <w:t xml:space="preserve"> všech fondů veřejného zdravotního pojištění k 31. 12. 20</w:t>
      </w:r>
      <w:r>
        <w:t>20</w:t>
      </w:r>
      <w:r w:rsidRPr="00BD65A7">
        <w:rPr>
          <w:color w:val="FF0000"/>
        </w:rPr>
        <w:t xml:space="preserve"> </w:t>
      </w:r>
      <w:r w:rsidRPr="00BD65A7">
        <w:t xml:space="preserve">dosáhly hodnoty </w:t>
      </w:r>
      <w:r>
        <w:t xml:space="preserve">64 376 </w:t>
      </w:r>
      <w:r w:rsidRPr="00BD65A7">
        <w:t xml:space="preserve">mil. Kč (meziroční nárůst o </w:t>
      </w:r>
      <w:r>
        <w:t xml:space="preserve">9,9 </w:t>
      </w:r>
      <w:r w:rsidRPr="00BD65A7">
        <w:t>%). Zůstatky finančních prostředků u jednotlivých ZP (v přepočtu na jednoho pojištěnce)</w:t>
      </w:r>
      <w:r w:rsidRPr="00BD65A7">
        <w:rPr>
          <w:color w:val="FF0000"/>
        </w:rPr>
        <w:t xml:space="preserve"> </w:t>
      </w:r>
      <w:r w:rsidRPr="00BD65A7">
        <w:t xml:space="preserve">jsou nadále velmi nerovnoměrné. </w:t>
      </w:r>
    </w:p>
    <w:p w:rsidR="00DF0E10" w:rsidRDefault="00DF0E10" w:rsidP="00DF0E10">
      <w:r w:rsidRPr="006725C6">
        <w:t xml:space="preserve">Na bankovních účtech základních fondů zdravotního pojištění bylo soustředěno celkem </w:t>
      </w:r>
      <w:r>
        <w:t xml:space="preserve">39 736 </w:t>
      </w:r>
      <w:r w:rsidRPr="006725C6">
        <w:t xml:space="preserve">mil. Kč. U VZP ČR byla zásoba na bankovním účtu základního fondu zdravotního pojištění </w:t>
      </w:r>
      <w:r w:rsidRPr="000E769B">
        <w:t>21 49</w:t>
      </w:r>
      <w:r>
        <w:t>2</w:t>
      </w:r>
      <w:r w:rsidRPr="006725C6">
        <w:t xml:space="preserve"> mil. Kč. </w:t>
      </w:r>
    </w:p>
    <w:p w:rsidR="00DF0E10" w:rsidRDefault="00DF0E10" w:rsidP="00DF0E10">
      <w:r w:rsidRPr="006725C6">
        <w:t>Zůstatky na bankovních účtech rezervních fondů dosáhly k 31. 12. 20</w:t>
      </w:r>
      <w:r>
        <w:t>20</w:t>
      </w:r>
      <w:r w:rsidRPr="006725C6">
        <w:t xml:space="preserve"> celkem</w:t>
      </w:r>
      <w:r w:rsidRPr="006725C6">
        <w:rPr>
          <w:color w:val="FF0000"/>
        </w:rPr>
        <w:t xml:space="preserve"> </w:t>
      </w:r>
      <w:r w:rsidRPr="000E769B">
        <w:t>4 48</w:t>
      </w:r>
      <w:r>
        <w:t>4</w:t>
      </w:r>
      <w:r w:rsidRPr="006725C6">
        <w:t xml:space="preserve"> mil. Kč (z toho VZP ČR </w:t>
      </w:r>
      <w:r w:rsidRPr="000E769B">
        <w:t>2 69</w:t>
      </w:r>
      <w:r>
        <w:t>8</w:t>
      </w:r>
      <w:r w:rsidRPr="006725C6">
        <w:t xml:space="preserve"> mil. Kč). Zůstatky na bankovních účtech provozních fondů dosáhly k 31. 12. 20</w:t>
      </w:r>
      <w:r>
        <w:t>20</w:t>
      </w:r>
      <w:r w:rsidRPr="006725C6">
        <w:t xml:space="preserve"> celkem </w:t>
      </w:r>
      <w:r w:rsidRPr="000E769B">
        <w:t>14</w:t>
      </w:r>
      <w:r>
        <w:t> </w:t>
      </w:r>
      <w:r w:rsidRPr="000E769B">
        <w:t>0</w:t>
      </w:r>
      <w:r>
        <w:t>60 </w:t>
      </w:r>
      <w:r w:rsidRPr="006725C6">
        <w:t xml:space="preserve">mil. Kč (z toho VZP ČR </w:t>
      </w:r>
      <w:r w:rsidRPr="000E769B">
        <w:t>9 53</w:t>
      </w:r>
      <w:r>
        <w:t>2 </w:t>
      </w:r>
      <w:r w:rsidRPr="006725C6">
        <w:t xml:space="preserve">mil. Kč). Na bankovních účtech fondů prevence bylo soustředěno </w:t>
      </w:r>
      <w:r w:rsidRPr="000E769B">
        <w:t>2</w:t>
      </w:r>
      <w:r>
        <w:t> </w:t>
      </w:r>
      <w:r w:rsidRPr="000E769B">
        <w:t>056</w:t>
      </w:r>
      <w:r>
        <w:t> </w:t>
      </w:r>
      <w:r w:rsidRPr="006725C6">
        <w:t xml:space="preserve">mil. Kč (z toho VZP ČR </w:t>
      </w:r>
      <w:r w:rsidRPr="000E769B">
        <w:t>536</w:t>
      </w:r>
      <w:r w:rsidRPr="006725C6">
        <w:t xml:space="preserve"> mil. Kč) a na účtech fondu reprodukce majetku </w:t>
      </w:r>
      <w:r w:rsidRPr="000E769B">
        <w:t>3 96</w:t>
      </w:r>
      <w:r>
        <w:t>1</w:t>
      </w:r>
      <w:r w:rsidRPr="006725C6">
        <w:t xml:space="preserve"> mil. Kč (z toho VZP ČR </w:t>
      </w:r>
      <w:r>
        <w:t xml:space="preserve">2 518 </w:t>
      </w:r>
      <w:r w:rsidRPr="006725C6">
        <w:t xml:space="preserve">mil. Kč). </w:t>
      </w:r>
      <w:r w:rsidRPr="00BD65A7">
        <w:t xml:space="preserve">Z hlediska celého systému </w:t>
      </w:r>
      <w:proofErr w:type="spellStart"/>
      <w:proofErr w:type="gramStart"/>
      <w:r w:rsidRPr="00BD65A7">
        <w:t>v.z.p</w:t>
      </w:r>
      <w:proofErr w:type="spellEnd"/>
      <w:r w:rsidRPr="00BD65A7">
        <w:t>.</w:t>
      </w:r>
      <w:proofErr w:type="gramEnd"/>
      <w:r w:rsidRPr="00BD65A7">
        <w:t xml:space="preserve"> marginálního významu dosahovaly zůstatky na sociálním fondu ve výši </w:t>
      </w:r>
      <w:r w:rsidRPr="000E769B">
        <w:t>75</w:t>
      </w:r>
      <w:r w:rsidR="002F3881">
        <w:t> </w:t>
      </w:r>
      <w:r w:rsidRPr="00BD65A7">
        <w:t>mil. Kč (z toho VZP ČR 3</w:t>
      </w:r>
      <w:r>
        <w:t>4</w:t>
      </w:r>
      <w:r w:rsidRPr="00BD65A7">
        <w:t xml:space="preserve"> mil. Kč). Ve specifických vojenských fondech činily zůstatky</w:t>
      </w:r>
      <w:r>
        <w:t> 4 </w:t>
      </w:r>
      <w:r w:rsidRPr="00BD65A7">
        <w:t>mil.</w:t>
      </w:r>
      <w:r>
        <w:t> </w:t>
      </w:r>
      <w:r w:rsidRPr="00BD65A7">
        <w:t xml:space="preserve">Kč. </w:t>
      </w:r>
    </w:p>
    <w:p w:rsidR="00DF0E10" w:rsidRPr="00BD65A7" w:rsidRDefault="00DF0E10" w:rsidP="00DF0E10">
      <w:pPr>
        <w:rPr>
          <w:bCs/>
        </w:rPr>
      </w:pPr>
      <w:r w:rsidRPr="00BD65A7">
        <w:rPr>
          <w:bCs/>
        </w:rPr>
        <w:t>Stav finančních rezerv na základním fondu a závazků v poměru k průměrným výdajům na zdravotní služby ukazuje následující tabulka:</w:t>
      </w:r>
    </w:p>
    <w:p w:rsidR="00DF0E10" w:rsidRPr="005831CA" w:rsidRDefault="00DF0E10" w:rsidP="00DF0E10">
      <w:pPr>
        <w:pStyle w:val="Nzev"/>
      </w:pPr>
      <w:bookmarkStart w:id="107" w:name="_Toc66717163"/>
      <w:r w:rsidRPr="00BD65A7">
        <w:lastRenderedPageBreak/>
        <w:t xml:space="preserve">Tabulka č. </w:t>
      </w:r>
      <w:r w:rsidRPr="00197AA3">
        <w:fldChar w:fldCharType="begin"/>
      </w:r>
      <w:r w:rsidRPr="00BD65A7">
        <w:instrText xml:space="preserve"> SEQ Tabulka_č. \* ARABIC </w:instrText>
      </w:r>
      <w:r w:rsidRPr="00197AA3">
        <w:fldChar w:fldCharType="separate"/>
      </w:r>
      <w:r>
        <w:rPr>
          <w:noProof/>
        </w:rPr>
        <w:t>24</w:t>
      </w:r>
      <w:r w:rsidRPr="00197AA3">
        <w:rPr>
          <w:noProof/>
        </w:rPr>
        <w:fldChar w:fldCharType="end"/>
      </w:r>
      <w:r w:rsidRPr="00BD65A7">
        <w:t>: Stav finančních rezerv, závazků v poměru k výdajům (tis. Kč)</w:t>
      </w:r>
      <w:bookmarkEnd w:id="107"/>
    </w:p>
    <w:p w:rsidR="00DF0E10" w:rsidRDefault="00DF0E10" w:rsidP="00DF0E10">
      <w:pPr>
        <w:pStyle w:val="Tabgraf"/>
      </w:pPr>
      <w:r w:rsidRPr="000D4F73">
        <w:rPr>
          <w:noProof/>
          <w:lang w:eastAsia="cs-CZ"/>
        </w:rPr>
        <w:drawing>
          <wp:inline distT="0" distB="0" distL="0" distR="0" wp14:anchorId="670F6BCB" wp14:editId="55A73944">
            <wp:extent cx="6120130" cy="1348606"/>
            <wp:effectExtent l="0" t="0" r="0" b="444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120130" cy="1348606"/>
                    </a:xfrm>
                    <a:prstGeom prst="rect">
                      <a:avLst/>
                    </a:prstGeom>
                    <a:noFill/>
                    <a:ln>
                      <a:noFill/>
                    </a:ln>
                  </pic:spPr>
                </pic:pic>
              </a:graphicData>
            </a:graphic>
          </wp:inline>
        </w:drawing>
      </w:r>
    </w:p>
    <w:p w:rsidR="00DF0E10" w:rsidRDefault="00DF0E10" w:rsidP="00DF0E10">
      <w:pPr>
        <w:tabs>
          <w:tab w:val="left" w:pos="4680"/>
        </w:tabs>
      </w:pPr>
      <w:r w:rsidRPr="00BD65A7">
        <w:rPr>
          <w:b/>
        </w:rPr>
        <w:t xml:space="preserve">Stav pohledávek celkem </w:t>
      </w:r>
      <w:r w:rsidRPr="00BD65A7">
        <w:t xml:space="preserve">k 31. 12. </w:t>
      </w:r>
      <w:r>
        <w:t>2020</w:t>
      </w:r>
      <w:r w:rsidRPr="00BD65A7">
        <w:t xml:space="preserve"> dosáhl </w:t>
      </w:r>
      <w:r w:rsidRPr="00DE476F">
        <w:t>46 41</w:t>
      </w:r>
      <w:r>
        <w:t>3</w:t>
      </w:r>
      <w:r w:rsidRPr="00BD65A7">
        <w:t xml:space="preserve"> mil. Kč (meziroční nárůst o </w:t>
      </w:r>
      <w:r w:rsidRPr="00CF1B95">
        <w:t>9</w:t>
      </w:r>
      <w:r w:rsidRPr="00DE476F">
        <w:t>9,4</w:t>
      </w:r>
      <w:r w:rsidRPr="00BD65A7">
        <w:t xml:space="preserve"> %), podíl VZP ČR </w:t>
      </w:r>
      <w:r w:rsidRPr="00DE476F">
        <w:t>25</w:t>
      </w:r>
      <w:r w:rsidR="00986B65">
        <w:t> </w:t>
      </w:r>
      <w:r w:rsidRPr="00DE476F">
        <w:t>579</w:t>
      </w:r>
      <w:r w:rsidR="00986B65">
        <w:t> </w:t>
      </w:r>
      <w:r w:rsidRPr="00BD65A7">
        <w:t>mil. Kč. Z toho pohledávky za plátci pojistného po lhůtě splatnosti činily k 31. 12. 20</w:t>
      </w:r>
      <w:r>
        <w:t>20</w:t>
      </w:r>
      <w:r w:rsidRPr="00BD65A7">
        <w:t xml:space="preserve"> celkem</w:t>
      </w:r>
      <w:r w:rsidRPr="00BD65A7" w:rsidDel="008517EB">
        <w:t xml:space="preserve"> </w:t>
      </w:r>
      <w:r>
        <w:t>17</w:t>
      </w:r>
      <w:r w:rsidR="00986B65">
        <w:t> </w:t>
      </w:r>
      <w:r>
        <w:t>445</w:t>
      </w:r>
      <w:r w:rsidR="00986B65">
        <w:t> </w:t>
      </w:r>
      <w:r w:rsidRPr="00BD65A7">
        <w:t xml:space="preserve">mil. Kč (z toho pohledávky VZP ČR </w:t>
      </w:r>
      <w:r w:rsidRPr="00DE476F">
        <w:t>9 513</w:t>
      </w:r>
      <w:r w:rsidRPr="00BD65A7">
        <w:t xml:space="preserve"> mil. Kč).</w:t>
      </w:r>
      <w:r w:rsidRPr="00CF1B95">
        <w:t xml:space="preserve"> K tomu byl vykázán stav opravných položek v hodnotě  </w:t>
      </w:r>
      <w:r w:rsidRPr="00DE476F">
        <w:t>38 405</w:t>
      </w:r>
      <w:r w:rsidRPr="00BD65A7">
        <w:t xml:space="preserve"> </w:t>
      </w:r>
      <w:r w:rsidRPr="00CF1B95">
        <w:t>mil. Kč</w:t>
      </w:r>
      <w:r w:rsidRPr="00CF1B95">
        <w:rPr>
          <w:color w:val="FF0000"/>
        </w:rPr>
        <w:t xml:space="preserve"> </w:t>
      </w:r>
      <w:r w:rsidRPr="00CF1B95">
        <w:t xml:space="preserve">(z toho VZP ČR </w:t>
      </w:r>
      <w:r>
        <w:t xml:space="preserve">22 645 </w:t>
      </w:r>
      <w:r w:rsidRPr="00CF1B95">
        <w:t>mil. Kč).</w:t>
      </w:r>
    </w:p>
    <w:p w:rsidR="00DF0E10" w:rsidRPr="00BD65A7" w:rsidRDefault="00DF0E10" w:rsidP="00DF0E10">
      <w:pPr>
        <w:tabs>
          <w:tab w:val="left" w:pos="4680"/>
        </w:tabs>
      </w:pPr>
      <w:r w:rsidRPr="00BD65A7">
        <w:t>Nad rámec zaúčtovaných pohledávek vůči plátcům pojistného byl propočtem stanoven k 31. 12. 20</w:t>
      </w:r>
      <w:r>
        <w:t>20</w:t>
      </w:r>
      <w:r w:rsidRPr="00BD65A7">
        <w:t xml:space="preserve"> stav dohadných položek aktivních </w:t>
      </w:r>
      <w:r>
        <w:t xml:space="preserve">6 685 </w:t>
      </w:r>
      <w:r w:rsidRPr="00BD65A7">
        <w:t xml:space="preserve">mil. Kč, který představoval výši neproúčtovaných pohledávek (z toho VZP ČR </w:t>
      </w:r>
      <w:r>
        <w:t xml:space="preserve">5 017 </w:t>
      </w:r>
      <w:r w:rsidRPr="00BD65A7">
        <w:t>mil. Kč).</w:t>
      </w:r>
    </w:p>
    <w:p w:rsidR="00DF0E10" w:rsidRDefault="00DF0E10" w:rsidP="00DF0E10">
      <w:r w:rsidRPr="007E5A23">
        <w:rPr>
          <w:b/>
          <w:bCs/>
        </w:rPr>
        <w:t xml:space="preserve">Stav závazků celkem </w:t>
      </w:r>
      <w:r w:rsidRPr="007E5A23">
        <w:t>dosáhl k 31. 12. 2020 hodnoty</w:t>
      </w:r>
      <w:r w:rsidRPr="007E5A23">
        <w:rPr>
          <w:color w:val="FF0000"/>
        </w:rPr>
        <w:t xml:space="preserve"> </w:t>
      </w:r>
      <w:r w:rsidRPr="007E5A23">
        <w:t>49 769 mil. Kč (meziroční</w:t>
      </w:r>
      <w:r w:rsidR="000D71E0">
        <w:t xml:space="preserve"> růst o 27,3 %, v tom podíl VZP </w:t>
      </w:r>
      <w:r w:rsidRPr="007E5A23">
        <w:t xml:space="preserve">ČR 30 981 mil. Kč). Tento vysoký růst závazků souvisí s COVID-19 a projeví se ve vyúčtování </w:t>
      </w:r>
      <w:r>
        <w:t>hrazených služeb za rok</w:t>
      </w:r>
      <w:r w:rsidRPr="007E5A23">
        <w:t xml:space="preserve"> 2020.</w:t>
      </w:r>
      <w:r>
        <w:t xml:space="preserve"> </w:t>
      </w:r>
      <w:r w:rsidRPr="00BD65A7">
        <w:t>Všechny ZP hospodařily k 31. 12. 20</w:t>
      </w:r>
      <w:r>
        <w:t>20</w:t>
      </w:r>
      <w:r w:rsidRPr="00BD65A7">
        <w:t xml:space="preserve"> bez závazků po</w:t>
      </w:r>
      <w:r>
        <w:t> lhůtě splatnosti vůči </w:t>
      </w:r>
      <w:r w:rsidRPr="00BD65A7">
        <w:t>poskytovatelům zdravotních služeb. Závazky ve lhůtě splatnosti vůči PZS dosáhly k 31. 12. 20</w:t>
      </w:r>
      <w:r>
        <w:t>20</w:t>
      </w:r>
      <w:r w:rsidRPr="00BD65A7">
        <w:t xml:space="preserve"> celkem </w:t>
      </w:r>
      <w:r w:rsidRPr="00B65A71">
        <w:t>45</w:t>
      </w:r>
      <w:r>
        <w:t> </w:t>
      </w:r>
      <w:r w:rsidRPr="00B65A71">
        <w:t>957</w:t>
      </w:r>
      <w:r w:rsidRPr="00BD65A7">
        <w:t xml:space="preserve"> mil. Kč (z toho VZP ČR </w:t>
      </w:r>
      <w:r w:rsidRPr="00B65A71">
        <w:t>28 31</w:t>
      </w:r>
      <w:r>
        <w:t xml:space="preserve">8 </w:t>
      </w:r>
      <w:r w:rsidRPr="00BD65A7">
        <w:t xml:space="preserve">mil. Kč). Pojišťovny rovněž evidovaly dohadné položky pasivní ve výši </w:t>
      </w:r>
      <w:r>
        <w:t xml:space="preserve">18 516 </w:t>
      </w:r>
      <w:r w:rsidRPr="00BD65A7">
        <w:t xml:space="preserve">mil. Kč (z toho VZP ČR </w:t>
      </w:r>
      <w:r>
        <w:t xml:space="preserve">12 021 </w:t>
      </w:r>
      <w:r w:rsidRPr="00BD65A7">
        <w:t>mil. Kč). Daná položka vyjadřuje především neuzavřená zúčtování zdravotních služeb, jejichž vypořádání se posouvá obvykle do 2. pololetí následujícího roku.</w:t>
      </w:r>
    </w:p>
    <w:p w:rsidR="00DF0E10" w:rsidRDefault="00DF0E10" w:rsidP="00DF0E10">
      <w:r w:rsidRPr="00BD65A7">
        <w:t xml:space="preserve">Detailní rozbor hospodaření jednotlivých ZP v oblasti nákladů na zdravotní služby podle jednotlivých segmentů bude pro potřeby vlády ČR a PSP ČR zpracován v souvislosti s hodnocením auditovaných výročních zpráv za rok </w:t>
      </w:r>
      <w:r>
        <w:t>2020</w:t>
      </w:r>
      <w:r w:rsidRPr="00BD65A7">
        <w:t>.</w:t>
      </w:r>
    </w:p>
    <w:p w:rsidR="00DF0E10" w:rsidRDefault="00DF0E10" w:rsidP="00DF0E10"/>
    <w:p w:rsidR="007740BE" w:rsidRPr="00F800E1" w:rsidRDefault="007740BE" w:rsidP="007740BE">
      <w:pPr>
        <w:pStyle w:val="Bezmezer"/>
      </w:pPr>
      <w:r w:rsidRPr="00F03AEF">
        <w:rPr>
          <w:highlight w:val="red"/>
        </w:rPr>
        <w:br w:type="page"/>
      </w:r>
      <w:bookmarkStart w:id="108" w:name="_Toc35945611"/>
      <w:bookmarkStart w:id="109" w:name="_Toc66717113"/>
      <w:r w:rsidRPr="00F800E1">
        <w:lastRenderedPageBreak/>
        <w:t>Přehled o stavech fondů organizačních složek státu</w:t>
      </w:r>
      <w:bookmarkEnd w:id="108"/>
      <w:bookmarkEnd w:id="109"/>
    </w:p>
    <w:p w:rsidR="00B8058D" w:rsidRPr="00C073E5" w:rsidRDefault="00B8058D" w:rsidP="00B8058D">
      <w:pPr>
        <w:rPr>
          <w:rFonts w:ascii="Calibri" w:hAnsi="Calibri"/>
        </w:rPr>
      </w:pPr>
      <w:r w:rsidRPr="00C073E5">
        <w:rPr>
          <w:rFonts w:ascii="Calibri" w:hAnsi="Calibri"/>
        </w:rPr>
        <w:t>V souladu s ustanovením § 29 odst. 3 zákona č. 218/2000 Sb., o rozpočtových pravidlech, je součástí návrhu státního závěrečného účtu i přehled o stavech fondů organizačních složek státu (dále též „OSS“).</w:t>
      </w:r>
    </w:p>
    <w:p w:rsidR="00B8058D" w:rsidRPr="00C073E5" w:rsidRDefault="00B8058D" w:rsidP="00B8058D">
      <w:pPr>
        <w:rPr>
          <w:rFonts w:ascii="Calibri" w:hAnsi="Calibri"/>
        </w:rPr>
      </w:pPr>
      <w:r w:rsidRPr="00C073E5">
        <w:rPr>
          <w:rFonts w:ascii="Calibri" w:hAnsi="Calibri"/>
        </w:rPr>
        <w:t xml:space="preserve">Podle § 48 zákona o rozpočtových pravidlech </w:t>
      </w:r>
      <w:r w:rsidRPr="00C073E5">
        <w:rPr>
          <w:rFonts w:ascii="Calibri" w:hAnsi="Calibri"/>
          <w:b/>
        </w:rPr>
        <w:t xml:space="preserve">OSS tvoří tyto </w:t>
      </w:r>
      <w:r w:rsidRPr="00C073E5">
        <w:rPr>
          <w:rFonts w:ascii="Calibri" w:hAnsi="Calibri"/>
          <w:b/>
          <w:bCs/>
        </w:rPr>
        <w:t>peněžní fondy</w:t>
      </w:r>
      <w:r w:rsidRPr="00C073E5">
        <w:rPr>
          <w:rFonts w:ascii="Calibri" w:hAnsi="Calibri"/>
          <w:b/>
        </w:rPr>
        <w:t>: rezervní fond a fond kulturních a sociálních potřeb</w:t>
      </w:r>
      <w:r w:rsidRPr="00C073E5">
        <w:rPr>
          <w:rFonts w:ascii="Calibri" w:hAnsi="Calibri"/>
        </w:rPr>
        <w:t xml:space="preserve">. Způsob tvorby a možnosti použití peněžních fondů OSS jsou stanoveny rozpočtovými pravidly a vyhláškou Ministerstva financí č. 114/2002 Sb., o fondu kulturních a sociálních potřeb, ve znění pozdějších předpisů.  </w:t>
      </w:r>
    </w:p>
    <w:p w:rsidR="00B8058D" w:rsidRPr="00C073E5" w:rsidRDefault="00B8058D" w:rsidP="00B8058D">
      <w:pPr>
        <w:rPr>
          <w:rFonts w:ascii="Calibri" w:hAnsi="Calibri"/>
        </w:rPr>
      </w:pPr>
      <w:r w:rsidRPr="00C073E5">
        <w:rPr>
          <w:rFonts w:ascii="Calibri" w:hAnsi="Calibri"/>
          <w:b/>
        </w:rPr>
        <w:t>Zůstatek</w:t>
      </w:r>
      <w:r w:rsidRPr="00C073E5">
        <w:rPr>
          <w:rFonts w:ascii="Calibri" w:hAnsi="Calibri"/>
        </w:rPr>
        <w:t xml:space="preserve"> </w:t>
      </w:r>
      <w:r w:rsidRPr="00C073E5">
        <w:rPr>
          <w:rFonts w:ascii="Calibri" w:hAnsi="Calibri"/>
          <w:b/>
        </w:rPr>
        <w:t xml:space="preserve">rezervních fondů OSS </w:t>
      </w:r>
      <w:r w:rsidRPr="00C073E5">
        <w:rPr>
          <w:rFonts w:ascii="Calibri" w:hAnsi="Calibri"/>
        </w:rPr>
        <w:t>vykázaný na bankovních účtech</w:t>
      </w:r>
      <w:r w:rsidRPr="00C073E5">
        <w:rPr>
          <w:rFonts w:ascii="Calibri" w:hAnsi="Calibri"/>
          <w:b/>
        </w:rPr>
        <w:t xml:space="preserve"> </w:t>
      </w:r>
      <w:r w:rsidRPr="00C073E5">
        <w:rPr>
          <w:rFonts w:ascii="Calibri" w:hAnsi="Calibri"/>
        </w:rPr>
        <w:t xml:space="preserve">ke konci roku 2020 </w:t>
      </w:r>
      <w:r w:rsidRPr="00C073E5">
        <w:rPr>
          <w:rFonts w:ascii="Calibri" w:hAnsi="Calibri"/>
          <w:b/>
          <w:bCs/>
        </w:rPr>
        <w:t xml:space="preserve">dosáhl </w:t>
      </w:r>
      <w:r>
        <w:rPr>
          <w:rFonts w:ascii="Calibri" w:hAnsi="Calibri"/>
          <w:b/>
          <w:bCs/>
        </w:rPr>
        <w:t>2</w:t>
      </w:r>
      <w:r w:rsidRPr="00C073E5">
        <w:rPr>
          <w:rFonts w:ascii="Calibri" w:hAnsi="Calibri"/>
          <w:b/>
          <w:bCs/>
        </w:rPr>
        <w:t>,</w:t>
      </w:r>
      <w:r>
        <w:rPr>
          <w:rFonts w:ascii="Calibri" w:hAnsi="Calibri"/>
          <w:b/>
          <w:bCs/>
        </w:rPr>
        <w:t>9</w:t>
      </w:r>
      <w:r w:rsidRPr="00C073E5">
        <w:rPr>
          <w:rFonts w:ascii="Calibri" w:hAnsi="Calibri"/>
          <w:b/>
          <w:bCs/>
        </w:rPr>
        <w:t> mld. Kč</w:t>
      </w:r>
      <w:r w:rsidRPr="00C073E5">
        <w:rPr>
          <w:rFonts w:ascii="Calibri" w:hAnsi="Calibri"/>
          <w:b/>
        </w:rPr>
        <w:t xml:space="preserve"> </w:t>
      </w:r>
      <w:r w:rsidRPr="00C073E5">
        <w:rPr>
          <w:rFonts w:ascii="Calibri" w:hAnsi="Calibri"/>
        </w:rPr>
        <w:t xml:space="preserve">a proti stavu ke konci předchozího roku </w:t>
      </w:r>
      <w:r w:rsidRPr="00C073E5">
        <w:rPr>
          <w:rFonts w:ascii="Calibri" w:hAnsi="Calibri"/>
          <w:bCs/>
        </w:rPr>
        <w:t xml:space="preserve">se </w:t>
      </w:r>
      <w:r>
        <w:rPr>
          <w:rFonts w:ascii="Calibri" w:hAnsi="Calibri"/>
          <w:bCs/>
        </w:rPr>
        <w:t>sníž</w:t>
      </w:r>
      <w:r w:rsidRPr="00C073E5">
        <w:rPr>
          <w:rFonts w:ascii="Calibri" w:hAnsi="Calibri"/>
          <w:bCs/>
        </w:rPr>
        <w:t>il o </w:t>
      </w:r>
      <w:r>
        <w:rPr>
          <w:rFonts w:ascii="Calibri" w:hAnsi="Calibri"/>
          <w:bCs/>
        </w:rPr>
        <w:t>560</w:t>
      </w:r>
      <w:r w:rsidRPr="00C073E5">
        <w:rPr>
          <w:rFonts w:ascii="Calibri" w:hAnsi="Calibri"/>
          <w:bCs/>
        </w:rPr>
        <w:t> mil. Kč. K </w:t>
      </w:r>
      <w:r>
        <w:rPr>
          <w:rFonts w:ascii="Calibri" w:hAnsi="Calibri"/>
          <w:bCs/>
        </w:rPr>
        <w:t>pokles</w:t>
      </w:r>
      <w:r w:rsidRPr="00C073E5">
        <w:rPr>
          <w:rFonts w:ascii="Calibri" w:hAnsi="Calibri"/>
          <w:bCs/>
        </w:rPr>
        <w:t xml:space="preserve">u došlo zejména u kapitoly Ministerstvo obrany a týkalo se </w:t>
      </w:r>
      <w:r>
        <w:rPr>
          <w:rFonts w:ascii="Calibri" w:hAnsi="Calibri"/>
          <w:bCs/>
        </w:rPr>
        <w:t xml:space="preserve">především snížení </w:t>
      </w:r>
      <w:r w:rsidRPr="00C073E5">
        <w:rPr>
          <w:rFonts w:ascii="Calibri" w:hAnsi="Calibri"/>
          <w:bCs/>
        </w:rPr>
        <w:t xml:space="preserve">prostředků </w:t>
      </w:r>
      <w:r w:rsidRPr="00C073E5">
        <w:rPr>
          <w:rFonts w:ascii="Calibri" w:hAnsi="Calibri"/>
        </w:rPr>
        <w:t xml:space="preserve">z prodeje majetku, se kterým bylo </w:t>
      </w:r>
      <w:r>
        <w:rPr>
          <w:rFonts w:ascii="Calibri" w:hAnsi="Calibri"/>
        </w:rPr>
        <w:t xml:space="preserve">MO </w:t>
      </w:r>
      <w:r w:rsidRPr="00C073E5">
        <w:rPr>
          <w:rFonts w:ascii="Calibri" w:hAnsi="Calibri"/>
        </w:rPr>
        <w:t>zmocněno hospodařit</w:t>
      </w:r>
      <w:r>
        <w:rPr>
          <w:rFonts w:ascii="Calibri" w:hAnsi="Calibri"/>
        </w:rPr>
        <w:t>.</w:t>
      </w:r>
      <w:r w:rsidRPr="00C073E5">
        <w:rPr>
          <w:rFonts w:ascii="Calibri" w:hAnsi="Calibri"/>
        </w:rPr>
        <w:t xml:space="preserve"> </w:t>
      </w:r>
      <w:r>
        <w:rPr>
          <w:rFonts w:ascii="Calibri" w:hAnsi="Calibri"/>
          <w:bCs/>
        </w:rPr>
        <w:t>K výraznějšímu snížení došlo též</w:t>
      </w:r>
      <w:r w:rsidRPr="00C073E5">
        <w:rPr>
          <w:rFonts w:ascii="Calibri" w:hAnsi="Calibri"/>
          <w:bCs/>
        </w:rPr>
        <w:t xml:space="preserve"> u</w:t>
      </w:r>
      <w:r>
        <w:rPr>
          <w:rFonts w:ascii="Calibri" w:hAnsi="Calibri"/>
          <w:bCs/>
        </w:rPr>
        <w:t> </w:t>
      </w:r>
      <w:r w:rsidRPr="00C073E5">
        <w:rPr>
          <w:rFonts w:ascii="Calibri" w:hAnsi="Calibri"/>
          <w:bCs/>
        </w:rPr>
        <w:t>kapitoly Ministerstvo dopravy</w:t>
      </w:r>
      <w:r>
        <w:rPr>
          <w:rFonts w:ascii="Calibri" w:hAnsi="Calibri"/>
          <w:bCs/>
        </w:rPr>
        <w:t>,</w:t>
      </w:r>
      <w:r w:rsidRPr="00C073E5">
        <w:rPr>
          <w:rFonts w:ascii="Calibri" w:hAnsi="Calibri"/>
          <w:bCs/>
        </w:rPr>
        <w:t xml:space="preserve"> </w:t>
      </w:r>
      <w:r>
        <w:rPr>
          <w:rFonts w:ascii="Calibri" w:hAnsi="Calibri"/>
          <w:bCs/>
        </w:rPr>
        <w:t xml:space="preserve">u něhož šlo hlavně o </w:t>
      </w:r>
      <w:r w:rsidRPr="00C073E5">
        <w:rPr>
          <w:rFonts w:ascii="Calibri" w:hAnsi="Calibri"/>
          <w:bCs/>
        </w:rPr>
        <w:t>prostředk</w:t>
      </w:r>
      <w:r>
        <w:rPr>
          <w:rFonts w:ascii="Calibri" w:hAnsi="Calibri"/>
          <w:bCs/>
        </w:rPr>
        <w:t>y</w:t>
      </w:r>
      <w:r w:rsidRPr="00C073E5">
        <w:rPr>
          <w:rFonts w:ascii="Calibri" w:hAnsi="Calibri"/>
          <w:bCs/>
        </w:rPr>
        <w:t xml:space="preserve"> poskytnut</w:t>
      </w:r>
      <w:r>
        <w:rPr>
          <w:rFonts w:ascii="Calibri" w:hAnsi="Calibri"/>
          <w:bCs/>
        </w:rPr>
        <w:t>é</w:t>
      </w:r>
      <w:r w:rsidRPr="00C073E5">
        <w:rPr>
          <w:rFonts w:ascii="Calibri" w:hAnsi="Calibri"/>
          <w:bCs/>
        </w:rPr>
        <w:t xml:space="preserve"> ze zahraničí na stanovený účel. </w:t>
      </w:r>
      <w:r w:rsidRPr="00C073E5">
        <w:rPr>
          <w:rFonts w:ascii="Calibri" w:hAnsi="Calibri"/>
        </w:rPr>
        <w:t xml:space="preserve">Změna stavu byla výsledkem </w:t>
      </w:r>
      <w:r>
        <w:rPr>
          <w:rFonts w:ascii="Calibri" w:hAnsi="Calibri"/>
        </w:rPr>
        <w:t>niž</w:t>
      </w:r>
      <w:r w:rsidRPr="00C073E5">
        <w:rPr>
          <w:rFonts w:ascii="Calibri" w:hAnsi="Calibri"/>
        </w:rPr>
        <w:t xml:space="preserve">ších příjmů rezervních fondů OSS v hodnoceném období ve srovnání s objemem prostředků fondů </w:t>
      </w:r>
      <w:r w:rsidRPr="00310F60">
        <w:rPr>
          <w:rFonts w:ascii="Calibri" w:hAnsi="Calibri"/>
        </w:rPr>
        <w:t xml:space="preserve">použitých k financování výdajů jejich </w:t>
      </w:r>
      <w:r w:rsidRPr="00C073E5">
        <w:rPr>
          <w:rFonts w:ascii="Calibri" w:hAnsi="Calibri"/>
        </w:rPr>
        <w:t>zapojením do příjmů OSS.</w:t>
      </w:r>
      <w:r w:rsidRPr="00C073E5">
        <w:rPr>
          <w:rFonts w:ascii="Calibri" w:hAnsi="Calibri"/>
          <w:b/>
        </w:rPr>
        <w:t xml:space="preserve"> </w:t>
      </w:r>
      <w:r w:rsidRPr="00C073E5">
        <w:rPr>
          <w:rFonts w:ascii="Calibri" w:hAnsi="Calibri"/>
        </w:rPr>
        <w:t xml:space="preserve">V bankovním zůstatku rezervních fondů OSS ve výši </w:t>
      </w:r>
      <w:r>
        <w:rPr>
          <w:rFonts w:ascii="Calibri" w:hAnsi="Calibri"/>
        </w:rPr>
        <w:t>2</w:t>
      </w:r>
      <w:r w:rsidRPr="00C073E5">
        <w:rPr>
          <w:rFonts w:ascii="Calibri" w:hAnsi="Calibri"/>
        </w:rPr>
        <w:t>,</w:t>
      </w:r>
      <w:r>
        <w:rPr>
          <w:rFonts w:ascii="Calibri" w:hAnsi="Calibri"/>
        </w:rPr>
        <w:t>9</w:t>
      </w:r>
      <w:r w:rsidRPr="00C073E5">
        <w:rPr>
          <w:rFonts w:ascii="Calibri" w:hAnsi="Calibri"/>
        </w:rPr>
        <w:t xml:space="preserve"> mld. Kč tvořily převažující část prostředky získané v předchozích letech z prodeje majetku, se kterým bylo zmocněno hospodařit Ministerstvo obrany a dále prostředky </w:t>
      </w:r>
      <w:r>
        <w:rPr>
          <w:rFonts w:ascii="Calibri" w:hAnsi="Calibri"/>
        </w:rPr>
        <w:t xml:space="preserve">kapitol </w:t>
      </w:r>
      <w:r w:rsidRPr="00C073E5">
        <w:rPr>
          <w:rFonts w:ascii="Calibri" w:hAnsi="Calibri"/>
        </w:rPr>
        <w:t xml:space="preserve">ze zahraničí vč. peněžních darů, poskytnuté jak na stanovený účel, tak i bez uvedení účelu jejich použití. </w:t>
      </w:r>
    </w:p>
    <w:p w:rsidR="00B8058D" w:rsidRPr="00C073E5" w:rsidRDefault="00B8058D" w:rsidP="00B8058D">
      <w:pPr>
        <w:rPr>
          <w:rFonts w:ascii="Calibri" w:hAnsi="Calibri"/>
          <w:bCs/>
        </w:rPr>
      </w:pPr>
      <w:r w:rsidRPr="00C073E5">
        <w:rPr>
          <w:rFonts w:ascii="Calibri" w:hAnsi="Calibri"/>
          <w:b/>
          <w:bCs/>
        </w:rPr>
        <w:t>Nejvíce prostředků</w:t>
      </w:r>
      <w:r w:rsidRPr="00C073E5">
        <w:rPr>
          <w:rFonts w:ascii="Calibri" w:hAnsi="Calibri"/>
          <w:bCs/>
        </w:rPr>
        <w:t xml:space="preserve"> na účtech rezervních fondů </w:t>
      </w:r>
      <w:r w:rsidRPr="00C073E5">
        <w:rPr>
          <w:rFonts w:ascii="Calibri" w:hAnsi="Calibri"/>
          <w:b/>
          <w:bCs/>
        </w:rPr>
        <w:t>měla</w:t>
      </w:r>
      <w:r w:rsidRPr="00C073E5">
        <w:rPr>
          <w:rFonts w:ascii="Calibri" w:hAnsi="Calibri"/>
          <w:bCs/>
        </w:rPr>
        <w:t xml:space="preserve"> ke konci roku 2020 kapitola </w:t>
      </w:r>
      <w:r w:rsidRPr="00C073E5">
        <w:rPr>
          <w:rFonts w:ascii="Calibri" w:hAnsi="Calibri"/>
          <w:b/>
          <w:bCs/>
        </w:rPr>
        <w:t>Ministerstvo obrany</w:t>
      </w:r>
      <w:r w:rsidRPr="00C073E5">
        <w:rPr>
          <w:rFonts w:ascii="Calibri" w:hAnsi="Calibri"/>
          <w:bCs/>
        </w:rPr>
        <w:t xml:space="preserve"> (</w:t>
      </w:r>
      <w:r>
        <w:rPr>
          <w:rFonts w:ascii="Calibri" w:hAnsi="Calibri"/>
          <w:bCs/>
        </w:rPr>
        <w:t>1</w:t>
      </w:r>
      <w:r w:rsidRPr="00C073E5">
        <w:rPr>
          <w:rFonts w:ascii="Calibri" w:hAnsi="Calibri"/>
          <w:bCs/>
        </w:rPr>
        <w:t>,</w:t>
      </w:r>
      <w:r>
        <w:rPr>
          <w:rFonts w:ascii="Calibri" w:hAnsi="Calibri"/>
          <w:bCs/>
        </w:rPr>
        <w:t>8</w:t>
      </w:r>
      <w:r w:rsidRPr="00C073E5">
        <w:rPr>
          <w:rFonts w:ascii="Calibri" w:hAnsi="Calibri"/>
          <w:bCs/>
        </w:rPr>
        <w:t xml:space="preserve"> mld. Kč), Ministerstvo vnitra (825 mil. Kč), Ministerstvo dopravy (58 mil. Kč), </w:t>
      </w:r>
      <w:r w:rsidRPr="005C2A98">
        <w:rPr>
          <w:rFonts w:ascii="Calibri" w:hAnsi="Calibri"/>
          <w:bCs/>
        </w:rPr>
        <w:t xml:space="preserve">Ministerstvo financí (51 mil. Kč), Ministerstvo životního prostředí (49 mil. Kč), </w:t>
      </w:r>
      <w:r w:rsidRPr="00C073E5">
        <w:rPr>
          <w:rFonts w:ascii="Calibri" w:hAnsi="Calibri"/>
          <w:bCs/>
        </w:rPr>
        <w:t xml:space="preserve">Ministerstvo práce a sociálních věcí (35 mil. Kč), Státní úřad pro jadernou bezpečnost (15 mil. Kč), </w:t>
      </w:r>
      <w:r w:rsidRPr="005C2A98">
        <w:rPr>
          <w:rFonts w:ascii="Calibri" w:hAnsi="Calibri"/>
          <w:bCs/>
        </w:rPr>
        <w:t xml:space="preserve">Ministerstvo průmyslu a obchodu (11 mil. Kč), </w:t>
      </w:r>
      <w:r w:rsidRPr="00C073E5">
        <w:rPr>
          <w:rFonts w:ascii="Calibri" w:hAnsi="Calibri"/>
          <w:bCs/>
        </w:rPr>
        <w:t xml:space="preserve">Ministerstvo zahraničních věcí (8 mil. Kč), Ministerstvo školství, mládeže a tělovýchovy (8 mil. Kč), </w:t>
      </w:r>
      <w:r w:rsidRPr="005C2A98">
        <w:rPr>
          <w:rFonts w:ascii="Calibri" w:hAnsi="Calibri"/>
          <w:bCs/>
        </w:rPr>
        <w:t>Český statistický úřad (7 mil. Kč)</w:t>
      </w:r>
      <w:r w:rsidRPr="00C073E5">
        <w:rPr>
          <w:rFonts w:ascii="Calibri" w:hAnsi="Calibri"/>
          <w:bCs/>
        </w:rPr>
        <w:t xml:space="preserve">, Ministerstvo zdravotnictví (5 mil. Kč), Správa státních hmotných rezerv (2 mil. Kč) a Ministerstvo zemědělství (1 mil. Kč). </w:t>
      </w:r>
      <w:r w:rsidRPr="00C073E5">
        <w:rPr>
          <w:rFonts w:ascii="Calibri" w:hAnsi="Calibri"/>
        </w:rPr>
        <w:t xml:space="preserve">Ostatní ministerstva a ústřední úřady měly na účtech menší částky anebo neměly žádné prostředky.   </w:t>
      </w:r>
    </w:p>
    <w:p w:rsidR="00B8058D" w:rsidRPr="00C073E5" w:rsidRDefault="00B8058D" w:rsidP="00B8058D">
      <w:pPr>
        <w:rPr>
          <w:rFonts w:ascii="Calibri" w:hAnsi="Calibri"/>
        </w:rPr>
      </w:pPr>
      <w:r w:rsidRPr="00C073E5">
        <w:rPr>
          <w:rFonts w:ascii="Calibri" w:hAnsi="Calibri"/>
        </w:rPr>
        <w:t xml:space="preserve">Podrobnější údaje a informace o prostředcích rezervních fondů jsou obsaženy v návrzích závěrečných účtů jednotlivých kapitol státního rozpočtu za rok 2020 předložených příslušným výborům Poslanecké sněmovny. </w:t>
      </w:r>
    </w:p>
    <w:p w:rsidR="00B8058D" w:rsidRPr="00C073E5" w:rsidRDefault="00B8058D" w:rsidP="00B8058D">
      <w:pPr>
        <w:rPr>
          <w:rFonts w:ascii="Calibri" w:hAnsi="Calibri"/>
        </w:rPr>
      </w:pPr>
      <w:r w:rsidRPr="00C073E5">
        <w:rPr>
          <w:rFonts w:ascii="Calibri" w:hAnsi="Calibri"/>
          <w:b/>
        </w:rPr>
        <w:t>Stav fondu kulturních a sociálních potřeb OSS celkem</w:t>
      </w:r>
      <w:r w:rsidRPr="00C073E5">
        <w:rPr>
          <w:rFonts w:ascii="Calibri" w:hAnsi="Calibri"/>
        </w:rPr>
        <w:t xml:space="preserve"> se v průběhu roku 2020 </w:t>
      </w:r>
      <w:proofErr w:type="gramStart"/>
      <w:r w:rsidRPr="00C073E5">
        <w:rPr>
          <w:rFonts w:ascii="Calibri" w:hAnsi="Calibri"/>
        </w:rPr>
        <w:t>zvýšil z 1,3</w:t>
      </w:r>
      <w:proofErr w:type="gramEnd"/>
      <w:r w:rsidRPr="00C073E5">
        <w:rPr>
          <w:rFonts w:ascii="Calibri" w:hAnsi="Calibri"/>
        </w:rPr>
        <w:t> mld. Kč ke konci roku 2019 na</w:t>
      </w:r>
      <w:r w:rsidRPr="00C073E5">
        <w:rPr>
          <w:rFonts w:ascii="Calibri" w:hAnsi="Calibri"/>
          <w:bCs/>
        </w:rPr>
        <w:t xml:space="preserve"> </w:t>
      </w:r>
      <w:r w:rsidRPr="00C073E5">
        <w:rPr>
          <w:rFonts w:ascii="Calibri" w:hAnsi="Calibri"/>
          <w:b/>
          <w:bCs/>
        </w:rPr>
        <w:t>1,4 mld. Kč</w:t>
      </w:r>
      <w:r w:rsidRPr="00C073E5">
        <w:rPr>
          <w:rFonts w:ascii="Calibri" w:hAnsi="Calibri"/>
          <w:bCs/>
        </w:rPr>
        <w:t xml:space="preserve"> </w:t>
      </w:r>
      <w:r w:rsidRPr="00C073E5">
        <w:rPr>
          <w:rFonts w:ascii="Calibri" w:hAnsi="Calibri"/>
        </w:rPr>
        <w:t>ke konci roku 2020, tj. o 166 mil. Kč.</w:t>
      </w:r>
    </w:p>
    <w:p w:rsidR="00F32BE7" w:rsidRPr="001A77ED" w:rsidRDefault="00F32BE7" w:rsidP="007740BE"/>
    <w:p w:rsidR="007740BE" w:rsidRPr="00BF0567" w:rsidRDefault="007740BE" w:rsidP="007740BE">
      <w:pPr>
        <w:pStyle w:val="Nzev"/>
      </w:pPr>
      <w:bookmarkStart w:id="110" w:name="_Toc66717164"/>
      <w:r w:rsidRPr="00BF0567">
        <w:lastRenderedPageBreak/>
        <w:t xml:space="preserve">Tabulka č. </w:t>
      </w:r>
      <w:fldSimple w:instr=" SEQ Tabulka_č. \* ARABIC ">
        <w:r>
          <w:rPr>
            <w:noProof/>
          </w:rPr>
          <w:t>25</w:t>
        </w:r>
      </w:fldSimple>
      <w:r w:rsidRPr="00BF0567">
        <w:t xml:space="preserve">: Přehled o stavech peněžních fondů organizačních složek </w:t>
      </w:r>
      <w:proofErr w:type="gramStart"/>
      <w:r w:rsidRPr="00BF0567">
        <w:t>státu</w:t>
      </w:r>
      <w:r w:rsidRPr="00BF0567">
        <w:rPr>
          <w:vertAlign w:val="superscript"/>
        </w:rPr>
        <w:t xml:space="preserve">*) </w:t>
      </w:r>
      <w:r w:rsidRPr="00BF0567">
        <w:t>(tis.</w:t>
      </w:r>
      <w:proofErr w:type="gramEnd"/>
      <w:r w:rsidRPr="00BF0567">
        <w:t xml:space="preserve"> Kč)</w:t>
      </w:r>
      <w:bookmarkEnd w:id="110"/>
    </w:p>
    <w:p w:rsidR="007740BE" w:rsidRPr="00BF0567" w:rsidRDefault="00E87AD5" w:rsidP="007740BE">
      <w:pPr>
        <w:pStyle w:val="Tabgraf"/>
        <w:rPr>
          <w:noProof/>
        </w:rPr>
      </w:pPr>
      <w:r w:rsidRPr="00E87AD5">
        <w:drawing>
          <wp:inline distT="0" distB="0" distL="0" distR="0">
            <wp:extent cx="5353050" cy="6034602"/>
            <wp:effectExtent l="0" t="0" r="0" b="444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63819" cy="6046742"/>
                    </a:xfrm>
                    <a:prstGeom prst="rect">
                      <a:avLst/>
                    </a:prstGeom>
                    <a:noFill/>
                    <a:ln>
                      <a:noFill/>
                    </a:ln>
                  </pic:spPr>
                </pic:pic>
              </a:graphicData>
            </a:graphic>
          </wp:inline>
        </w:drawing>
      </w:r>
    </w:p>
    <w:p w:rsidR="007740BE" w:rsidRPr="00BF0567" w:rsidRDefault="007740BE" w:rsidP="007740BE">
      <w:pPr>
        <w:pStyle w:val="Podnadpis"/>
      </w:pPr>
      <w:r w:rsidRPr="00BF0567">
        <w:t>*) Zůstatky na bankovních účtech</w:t>
      </w:r>
    </w:p>
    <w:p w:rsidR="000F3CAF" w:rsidRPr="00252C97" w:rsidRDefault="000F3CAF" w:rsidP="000F3CAF">
      <w:r w:rsidRPr="00252C97">
        <w:t xml:space="preserve">Vyhláška č. 410/2009 Sb., kterou se provádějí některá ustanovení zákona č. 563/1991 Sb., o účetnictví, ve znění pozdějších předpisů, pro některé vybrané účetní jednotky, stanovila s účinností od 1. ledna 2010 </w:t>
      </w:r>
      <w:r w:rsidRPr="00252C97">
        <w:rPr>
          <w:b/>
        </w:rPr>
        <w:t>směrnou účtovou osnovu</w:t>
      </w:r>
      <w:r w:rsidRPr="00252C97">
        <w:t xml:space="preserve"> a strukturu fondů účetních jednotek. </w:t>
      </w:r>
    </w:p>
    <w:p w:rsidR="009659DF" w:rsidRPr="000F3CAF" w:rsidRDefault="000F3CAF" w:rsidP="009659DF">
      <w:r w:rsidRPr="00252C97">
        <w:t xml:space="preserve">Za oblast organizačních složek státu jako účetních jednotek je kromě rezervních fondů a FKSP vykazován též </w:t>
      </w:r>
      <w:r w:rsidRPr="00252C97">
        <w:rPr>
          <w:b/>
        </w:rPr>
        <w:t>fond privatizace,</w:t>
      </w:r>
      <w:r w:rsidRPr="00252C97">
        <w:t xml:space="preserve"> který se týká Ministerstva financí jako právního nástupce zrušeného Fondu národního majetku České republiky (zákon č. 178/2005 Sb., o zrušení Fondu národního majetku České republiky a o</w:t>
      </w:r>
      <w:r>
        <w:t> </w:t>
      </w:r>
      <w:r w:rsidRPr="00252C97">
        <w:t xml:space="preserve">působnosti Ministerstva financí při privatizaci majetku České republiky); o tomto fondu je podrobněji pojednáno v sešitu I. státního závěrečného účtu. </w:t>
      </w:r>
    </w:p>
    <w:p w:rsidR="009659DF" w:rsidRDefault="009659DF" w:rsidP="009659DF">
      <w:r w:rsidRPr="000F3CAF">
        <w:t>Zůstatek fondu privatizace je ve stanovené rozvahové struktuře vykazován takto:</w:t>
      </w:r>
    </w:p>
    <w:p w:rsidR="007740BE" w:rsidRDefault="007740BE" w:rsidP="005420FF">
      <w:pPr>
        <w:pStyle w:val="Nzev"/>
      </w:pPr>
      <w:bookmarkStart w:id="111" w:name="_Toc66717165"/>
      <w:r w:rsidRPr="00BF16FF">
        <w:t xml:space="preserve">Tabulka č. </w:t>
      </w:r>
      <w:fldSimple w:instr=" SEQ Tabulka_č. \* ARABIC ">
        <w:r>
          <w:rPr>
            <w:noProof/>
          </w:rPr>
          <w:t>26</w:t>
        </w:r>
      </w:fldSimple>
      <w:r w:rsidRPr="00BF16FF">
        <w:t>: Zůstatek fondu privatizace</w:t>
      </w:r>
      <w:bookmarkEnd w:id="111"/>
      <w:r w:rsidRPr="00BF16FF">
        <w:t xml:space="preserve"> </w:t>
      </w:r>
    </w:p>
    <w:bookmarkEnd w:id="3"/>
    <w:bookmarkEnd w:id="4"/>
    <w:bookmarkEnd w:id="5"/>
    <w:bookmarkEnd w:id="6"/>
    <w:tbl>
      <w:tblPr>
        <w:tblW w:w="92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3C00F8" w:rsidRPr="000B37F7" w:rsidTr="00F51756">
        <w:tc>
          <w:tcPr>
            <w:tcW w:w="3070" w:type="dxa"/>
            <w:shd w:val="clear" w:color="auto" w:fill="auto"/>
          </w:tcPr>
          <w:p w:rsidR="003C00F8" w:rsidRPr="000B37F7" w:rsidRDefault="003C00F8" w:rsidP="00F51756">
            <w:pPr>
              <w:jc w:val="center"/>
              <w:rPr>
                <w:b/>
                <w:sz w:val="20"/>
                <w:szCs w:val="20"/>
              </w:rPr>
            </w:pPr>
          </w:p>
        </w:tc>
        <w:tc>
          <w:tcPr>
            <w:tcW w:w="3071" w:type="dxa"/>
            <w:shd w:val="clear" w:color="auto" w:fill="auto"/>
          </w:tcPr>
          <w:p w:rsidR="003C00F8" w:rsidRPr="000B37F7" w:rsidRDefault="003C00F8" w:rsidP="00F51756">
            <w:pPr>
              <w:jc w:val="center"/>
              <w:rPr>
                <w:b/>
                <w:sz w:val="20"/>
                <w:szCs w:val="20"/>
              </w:rPr>
            </w:pPr>
            <w:r w:rsidRPr="000B37F7">
              <w:rPr>
                <w:b/>
                <w:sz w:val="20"/>
                <w:szCs w:val="20"/>
              </w:rPr>
              <w:t>Netto běžné období</w:t>
            </w:r>
          </w:p>
        </w:tc>
        <w:tc>
          <w:tcPr>
            <w:tcW w:w="3071" w:type="dxa"/>
            <w:shd w:val="clear" w:color="auto" w:fill="auto"/>
          </w:tcPr>
          <w:p w:rsidR="003C00F8" w:rsidRPr="000B37F7" w:rsidRDefault="003C00F8" w:rsidP="00F51756">
            <w:pPr>
              <w:jc w:val="center"/>
              <w:rPr>
                <w:b/>
                <w:sz w:val="20"/>
                <w:szCs w:val="20"/>
              </w:rPr>
            </w:pPr>
            <w:r w:rsidRPr="000B37F7">
              <w:rPr>
                <w:b/>
                <w:sz w:val="20"/>
                <w:szCs w:val="20"/>
              </w:rPr>
              <w:t>Netto minulé období</w:t>
            </w:r>
          </w:p>
        </w:tc>
      </w:tr>
      <w:tr w:rsidR="003C00F8" w:rsidRPr="000B37F7" w:rsidTr="00F51756">
        <w:tc>
          <w:tcPr>
            <w:tcW w:w="3070" w:type="dxa"/>
            <w:shd w:val="clear" w:color="auto" w:fill="auto"/>
          </w:tcPr>
          <w:p w:rsidR="003C00F8" w:rsidRPr="000B37F7" w:rsidRDefault="003C00F8" w:rsidP="00F51756">
            <w:pPr>
              <w:rPr>
                <w:b/>
                <w:sz w:val="20"/>
                <w:szCs w:val="20"/>
              </w:rPr>
            </w:pPr>
            <w:r w:rsidRPr="000B37F7">
              <w:rPr>
                <w:b/>
                <w:sz w:val="20"/>
                <w:szCs w:val="20"/>
              </w:rPr>
              <w:t>Fond privatizace</w:t>
            </w:r>
          </w:p>
        </w:tc>
        <w:tc>
          <w:tcPr>
            <w:tcW w:w="3071" w:type="dxa"/>
            <w:shd w:val="clear" w:color="auto" w:fill="auto"/>
          </w:tcPr>
          <w:p w:rsidR="003C00F8" w:rsidRPr="000B37F7" w:rsidRDefault="003C00F8" w:rsidP="00F51756">
            <w:pPr>
              <w:jc w:val="center"/>
              <w:rPr>
                <w:sz w:val="20"/>
                <w:szCs w:val="20"/>
              </w:rPr>
            </w:pPr>
            <w:r w:rsidRPr="000B37F7">
              <w:rPr>
                <w:sz w:val="20"/>
                <w:szCs w:val="20"/>
              </w:rPr>
              <w:t>84 894 mil. Kč</w:t>
            </w:r>
          </w:p>
        </w:tc>
        <w:tc>
          <w:tcPr>
            <w:tcW w:w="3071" w:type="dxa"/>
            <w:shd w:val="clear" w:color="auto" w:fill="auto"/>
          </w:tcPr>
          <w:p w:rsidR="003C00F8" w:rsidRPr="000B37F7" w:rsidRDefault="003C00F8" w:rsidP="00F51756">
            <w:pPr>
              <w:jc w:val="center"/>
              <w:rPr>
                <w:sz w:val="20"/>
                <w:szCs w:val="20"/>
              </w:rPr>
            </w:pPr>
            <w:r w:rsidRPr="000B37F7">
              <w:rPr>
                <w:sz w:val="20"/>
                <w:szCs w:val="20"/>
              </w:rPr>
              <w:t>92 374 mil. Kč</w:t>
            </w:r>
          </w:p>
        </w:tc>
      </w:tr>
    </w:tbl>
    <w:p w:rsidR="00C02347" w:rsidRDefault="00C02347" w:rsidP="00C02347">
      <w:pPr>
        <w:pStyle w:val="Tabgraf"/>
      </w:pPr>
    </w:p>
    <w:sectPr w:rsidR="00C02347" w:rsidSect="0010483A">
      <w:footerReference w:type="default" r:id="rId44"/>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A5F" w:rsidRDefault="00523A5F" w:rsidP="009D4D6B">
      <w:pPr>
        <w:spacing w:before="0"/>
      </w:pPr>
      <w:r>
        <w:separator/>
      </w:r>
    </w:p>
  </w:endnote>
  <w:endnote w:type="continuationSeparator" w:id="0">
    <w:p w:rsidR="00523A5F" w:rsidRDefault="00523A5F" w:rsidP="009D4D6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CAF" w:rsidRDefault="000F3CAF">
    <w:pPr>
      <w:pStyle w:val="Zpat"/>
      <w:jc w:val="center"/>
    </w:pPr>
  </w:p>
  <w:p w:rsidR="000F3CAF" w:rsidRDefault="000F3CA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5979016"/>
      <w:docPartObj>
        <w:docPartGallery w:val="Page Numbers (Bottom of Page)"/>
        <w:docPartUnique/>
      </w:docPartObj>
    </w:sdtPr>
    <w:sdtContent>
      <w:p w:rsidR="000F3CAF" w:rsidRDefault="000F3CAF">
        <w:pPr>
          <w:pStyle w:val="Zpat"/>
          <w:jc w:val="center"/>
        </w:pPr>
        <w:r>
          <w:fldChar w:fldCharType="begin"/>
        </w:r>
        <w:r>
          <w:instrText>PAGE   \* MERGEFORMAT</w:instrText>
        </w:r>
        <w:r>
          <w:fldChar w:fldCharType="separate"/>
        </w:r>
        <w:r w:rsidR="006F35A7">
          <w:rPr>
            <w:noProof/>
          </w:rPr>
          <w:t>18</w:t>
        </w:r>
        <w:r>
          <w:fldChar w:fldCharType="end"/>
        </w:r>
      </w:p>
    </w:sdtContent>
  </w:sdt>
  <w:p w:rsidR="000F3CAF" w:rsidRDefault="000F3C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A5F" w:rsidRDefault="00523A5F" w:rsidP="009D4D6B">
      <w:pPr>
        <w:spacing w:before="0"/>
      </w:pPr>
      <w:r>
        <w:separator/>
      </w:r>
    </w:p>
  </w:footnote>
  <w:footnote w:type="continuationSeparator" w:id="0">
    <w:p w:rsidR="00523A5F" w:rsidRDefault="00523A5F" w:rsidP="009D4D6B">
      <w:pPr>
        <w:spacing w:before="0"/>
      </w:pPr>
      <w:r>
        <w:continuationSeparator/>
      </w:r>
    </w:p>
  </w:footnote>
  <w:footnote w:id="1">
    <w:p w:rsidR="000F3CAF" w:rsidRDefault="000F3CAF" w:rsidP="0009461F">
      <w:pPr>
        <w:pStyle w:val="Textpoznpodarou"/>
      </w:pPr>
      <w:r>
        <w:rPr>
          <w:rStyle w:val="Znakapoznpodarou"/>
        </w:rPr>
        <w:footnoteRef/>
      </w:r>
      <w:r>
        <w:t xml:space="preserve"> </w:t>
      </w:r>
      <w:r w:rsidRPr="00545025">
        <w:rPr>
          <w:sz w:val="18"/>
        </w:rPr>
        <w:t>Zákon č. 159/2020 Sb.</w:t>
      </w:r>
      <w:r>
        <w:rPr>
          <w:sz w:val="18"/>
        </w:rPr>
        <w:t>,</w:t>
      </w:r>
      <w:r w:rsidRPr="00545025">
        <w:rPr>
          <w:sz w:val="18"/>
        </w:rPr>
        <w:t xml:space="preserve"> o kompenzačním bonusu v souvislosti s krizovými opatřeními v souvislosti s výskytem </w:t>
      </w:r>
      <w:proofErr w:type="spellStart"/>
      <w:r w:rsidRPr="00545025">
        <w:rPr>
          <w:sz w:val="18"/>
        </w:rPr>
        <w:t>koronaviru</w:t>
      </w:r>
      <w:proofErr w:type="spellEnd"/>
      <w:r w:rsidRPr="00545025">
        <w:rPr>
          <w:sz w:val="18"/>
        </w:rPr>
        <w:t xml:space="preserve"> SARS CoV-2</w:t>
      </w:r>
      <w:r>
        <w:rPr>
          <w:sz w:val="18"/>
        </w:rPr>
        <w:t>, ve znění pozdějších předpisů.</w:t>
      </w:r>
    </w:p>
  </w:footnote>
  <w:footnote w:id="2">
    <w:p w:rsidR="000F3CAF" w:rsidRPr="00283A0A" w:rsidRDefault="000F3CAF" w:rsidP="0009461F">
      <w:pPr>
        <w:pStyle w:val="Textpoznpodarou"/>
        <w:rPr>
          <w:sz w:val="18"/>
        </w:rPr>
      </w:pPr>
      <w:r>
        <w:rPr>
          <w:rStyle w:val="Znakapoznpodarou"/>
        </w:rPr>
        <w:footnoteRef/>
      </w:r>
      <w:r>
        <w:t xml:space="preserve"> </w:t>
      </w:r>
      <w:r w:rsidRPr="00283A0A">
        <w:rPr>
          <w:sz w:val="18"/>
        </w:rPr>
        <w:t>Zákon č. 248/2000 Sb.</w:t>
      </w:r>
      <w:r>
        <w:rPr>
          <w:sz w:val="18"/>
        </w:rPr>
        <w:t>,</w:t>
      </w:r>
      <w:r w:rsidRPr="00283A0A">
        <w:rPr>
          <w:sz w:val="18"/>
        </w:rPr>
        <w:t xml:space="preserve"> o podpoře regionálního rozvoje</w:t>
      </w:r>
      <w:r>
        <w:rPr>
          <w:sz w:val="18"/>
        </w:rPr>
        <w:t>, ve znění pozdějších předpisů.</w:t>
      </w:r>
    </w:p>
    <w:p w:rsidR="000F3CAF" w:rsidRPr="00283A0A" w:rsidRDefault="000F3CAF" w:rsidP="0009461F">
      <w:pPr>
        <w:pStyle w:val="Textpoznpodarou"/>
        <w:rPr>
          <w:sz w:val="18"/>
        </w:rPr>
      </w:pPr>
    </w:p>
  </w:footnote>
  <w:footnote w:id="3">
    <w:p w:rsidR="000F3CAF" w:rsidRPr="007C5287" w:rsidRDefault="000F3CAF" w:rsidP="0009461F">
      <w:pPr>
        <w:pStyle w:val="Textpoznpodarou"/>
        <w:rPr>
          <w:sz w:val="18"/>
          <w:szCs w:val="18"/>
        </w:rPr>
      </w:pPr>
      <w:r>
        <w:rPr>
          <w:rStyle w:val="Znakapoznpodarou"/>
        </w:rPr>
        <w:footnoteRef/>
      </w:r>
      <w:r>
        <w:t xml:space="preserve"> </w:t>
      </w:r>
      <w:r w:rsidRPr="007C5287">
        <w:rPr>
          <w:sz w:val="18"/>
          <w:szCs w:val="18"/>
        </w:rPr>
        <w:t>Z důvodu konsolidace, jejímž smyslem je očistit údaje o rozpočtu nebo skutečnosti peněžních operací o interní přesuny peněžních prostředků uvnitř jednotky nebo mezi jednotkami na úrovni sumářů, za které se operace sledují, je součet na úrovni republiky odlišný od součtu jednotlivých úrovní, tj. obcí a DSO, krajů a regionálních rad. Příjmové, výdajové a finanční operace, které jsou předmětem konsolidace spolu s uvedením úrovně, na které se konsolidace provádí, stanovuje vyhláška č. 5/2014 Sb., o způsobu, termínech a</w:t>
      </w:r>
      <w:r>
        <w:rPr>
          <w:sz w:val="18"/>
          <w:szCs w:val="18"/>
        </w:rPr>
        <w:t> </w:t>
      </w:r>
      <w:r w:rsidRPr="007C5287">
        <w:rPr>
          <w:sz w:val="18"/>
          <w:szCs w:val="18"/>
        </w:rPr>
        <w:t>rozsahu údajů předkládaných pro hodnocení plnění státního rozpočtu, rozpočtů státních fondů, rozpočtů územních samosprávných celků, rozpočtů dobrovolných svazků obcí a rozpočtů regionálních rad regionů soudržnosti.</w:t>
      </w:r>
    </w:p>
  </w:footnote>
  <w:footnote w:id="4">
    <w:p w:rsidR="000F3CAF" w:rsidRPr="00F05D6A" w:rsidRDefault="000F3CAF" w:rsidP="0009461F">
      <w:pPr>
        <w:pStyle w:val="Textpoznpodarou"/>
        <w:rPr>
          <w:sz w:val="18"/>
          <w:szCs w:val="18"/>
        </w:rPr>
      </w:pPr>
      <w:r>
        <w:rPr>
          <w:rStyle w:val="Znakapoznpodarou"/>
        </w:rPr>
        <w:footnoteRef/>
      </w:r>
      <w:r>
        <w:t xml:space="preserve"> </w:t>
      </w:r>
      <w:r>
        <w:rPr>
          <w:sz w:val="18"/>
          <w:szCs w:val="18"/>
        </w:rPr>
        <w:t>Zahrnuty termínované vklady, bankovní účty a pokladna. Konkrétně jsou zahrnuty syntetické účty 068, 231, 236, 241, 244, 245,</w:t>
      </w:r>
      <w:r w:rsidRPr="00F05D6A">
        <w:rPr>
          <w:sz w:val="18"/>
          <w:szCs w:val="18"/>
        </w:rPr>
        <w:t xml:space="preserve"> 261</w:t>
      </w:r>
      <w:r>
        <w:rPr>
          <w:sz w:val="18"/>
          <w:szCs w:val="18"/>
        </w:rPr>
        <w:t>.</w:t>
      </w:r>
    </w:p>
    <w:p w:rsidR="000F3CAF" w:rsidRPr="00F05D6A" w:rsidRDefault="000F3CAF" w:rsidP="0009461F">
      <w:pPr>
        <w:pStyle w:val="Textpoznpodarou"/>
        <w:rPr>
          <w:sz w:val="18"/>
          <w:szCs w:val="18"/>
        </w:rPr>
      </w:pPr>
      <w:r>
        <w:rPr>
          <w:sz w:val="18"/>
          <w:szCs w:val="18"/>
        </w:rPr>
        <w:t> </w:t>
      </w:r>
      <w:r w:rsidRPr="00F05D6A">
        <w:rPr>
          <w:sz w:val="18"/>
          <w:szCs w:val="18"/>
        </w:rPr>
        <w:t xml:space="preserve">V případě příspěvkových organizací </w:t>
      </w:r>
      <w:r>
        <w:rPr>
          <w:sz w:val="18"/>
          <w:szCs w:val="18"/>
        </w:rPr>
        <w:t>se konkrétně jedná o syntetické účty 068, 241, 243, 244</w:t>
      </w:r>
      <w:r w:rsidRPr="00F05D6A">
        <w:rPr>
          <w:sz w:val="18"/>
          <w:szCs w:val="18"/>
        </w:rPr>
        <w:t>,</w:t>
      </w:r>
      <w:r>
        <w:rPr>
          <w:sz w:val="18"/>
          <w:szCs w:val="18"/>
        </w:rPr>
        <w:t xml:space="preserve"> 245, </w:t>
      </w:r>
      <w:r w:rsidRPr="00F05D6A">
        <w:rPr>
          <w:sz w:val="18"/>
          <w:szCs w:val="18"/>
        </w:rPr>
        <w:t>261</w:t>
      </w:r>
      <w:r>
        <w:rPr>
          <w:sz w:val="18"/>
          <w:szCs w:val="18"/>
        </w:rPr>
        <w:t>.</w:t>
      </w:r>
    </w:p>
  </w:footnote>
  <w:footnote w:id="5">
    <w:p w:rsidR="000F3CAF" w:rsidRPr="00070F0D" w:rsidRDefault="000F3CAF" w:rsidP="0009461F">
      <w:pPr>
        <w:pStyle w:val="Textpoznpodarou"/>
        <w:rPr>
          <w:sz w:val="18"/>
          <w:szCs w:val="18"/>
        </w:rPr>
      </w:pPr>
      <w:r>
        <w:rPr>
          <w:rStyle w:val="Znakapoznpodarou"/>
        </w:rPr>
        <w:footnoteRef/>
      </w:r>
      <w:r>
        <w:t xml:space="preserve"> </w:t>
      </w:r>
      <w:r w:rsidRPr="00070F0D">
        <w:rPr>
          <w:sz w:val="18"/>
          <w:szCs w:val="18"/>
        </w:rPr>
        <w:t>Olomoucký kraj zřídil pro zajišťování činností souvisejících s dopravní obslužností samostatnou příspěvkovou organizaci a od roku 2015 vykazuje výdaje na dopravní územní obslužnost na položkách 5331 a 5336 - Neinvestiční transfery zřízeným příspěvkovým organizacím. Z odvětvového členění výdajů vyplývá, že v rámci t</w:t>
      </w:r>
      <w:r>
        <w:rPr>
          <w:sz w:val="18"/>
          <w:szCs w:val="18"/>
        </w:rPr>
        <w:t>ěchto transferů bylo v roce 2020</w:t>
      </w:r>
      <w:r w:rsidRPr="00070F0D">
        <w:rPr>
          <w:sz w:val="18"/>
          <w:szCs w:val="18"/>
        </w:rPr>
        <w:t xml:space="preserve"> pro účely dopravní ú</w:t>
      </w:r>
      <w:r>
        <w:rPr>
          <w:sz w:val="18"/>
          <w:szCs w:val="18"/>
        </w:rPr>
        <w:t>zemní obslužnosti vynaloženo 1,0</w:t>
      </w:r>
      <w:r w:rsidRPr="00070F0D">
        <w:rPr>
          <w:sz w:val="18"/>
          <w:szCs w:val="18"/>
        </w:rPr>
        <w:t xml:space="preserve"> mld. Kč (vykázáno na § 2292- Dopravní obslužnost). Celkové výdaje krajů na územní dopravní obslužnost byly proto o výd</w:t>
      </w:r>
      <w:r>
        <w:rPr>
          <w:sz w:val="18"/>
          <w:szCs w:val="18"/>
        </w:rPr>
        <w:t>aje Olomouckého kraje, tj. o 1,0</w:t>
      </w:r>
      <w:r w:rsidRPr="00070F0D">
        <w:rPr>
          <w:sz w:val="18"/>
          <w:szCs w:val="18"/>
        </w:rPr>
        <w:t xml:space="preserve"> mld. Kč, vyšší.</w:t>
      </w:r>
    </w:p>
  </w:footnote>
  <w:footnote w:id="6">
    <w:p w:rsidR="000F3CAF" w:rsidRDefault="000F3CAF" w:rsidP="0009461F">
      <w:pPr>
        <w:pStyle w:val="Textpoznpodarou"/>
      </w:pPr>
      <w:r>
        <w:rPr>
          <w:rStyle w:val="Znakapoznpodarou"/>
        </w:rPr>
        <w:footnoteRef/>
      </w:r>
      <w:r>
        <w:t xml:space="preserve"> </w:t>
      </w:r>
      <w:r w:rsidRPr="009A66BB">
        <w:rPr>
          <w:sz w:val="18"/>
        </w:rPr>
        <w:t>Zákon č. 194/2010 Sb.</w:t>
      </w:r>
      <w:r>
        <w:rPr>
          <w:sz w:val="18"/>
        </w:rPr>
        <w:t xml:space="preserve">, </w:t>
      </w:r>
      <w:r w:rsidRPr="009A66BB">
        <w:rPr>
          <w:sz w:val="18"/>
        </w:rPr>
        <w:t>o veřejných službách v přepravě cestujících a o změně dalších zákonů</w:t>
      </w:r>
      <w:r>
        <w:rPr>
          <w:sz w:val="18"/>
        </w:rPr>
        <w:t>, ve znění pozdějších předpisů.</w:t>
      </w:r>
    </w:p>
    <w:p w:rsidR="000F3CAF" w:rsidRDefault="000F3CAF" w:rsidP="0009461F">
      <w:pPr>
        <w:pStyle w:val="Textpoznpodarou"/>
      </w:pPr>
    </w:p>
  </w:footnote>
  <w:footnote w:id="7">
    <w:p w:rsidR="000F3CAF" w:rsidRPr="005643BC" w:rsidRDefault="000F3CAF" w:rsidP="0009461F">
      <w:pPr>
        <w:pStyle w:val="Textpoznpodarou"/>
        <w:rPr>
          <w:sz w:val="18"/>
        </w:rPr>
      </w:pPr>
      <w:r>
        <w:rPr>
          <w:rStyle w:val="Znakapoznpodarou"/>
        </w:rPr>
        <w:footnoteRef/>
      </w:r>
      <w:r>
        <w:t xml:space="preserve"> </w:t>
      </w:r>
      <w:r w:rsidRPr="005643BC">
        <w:rPr>
          <w:sz w:val="18"/>
        </w:rPr>
        <w:t>Zákon č. 185/2001 Sb.</w:t>
      </w:r>
      <w:r>
        <w:rPr>
          <w:sz w:val="18"/>
        </w:rPr>
        <w:t xml:space="preserve">, </w:t>
      </w:r>
      <w:r w:rsidRPr="005643BC">
        <w:rPr>
          <w:sz w:val="18"/>
        </w:rPr>
        <w:t>o odpadech a o změně některých dalších zákonů</w:t>
      </w:r>
      <w:r>
        <w:rPr>
          <w:sz w:val="18"/>
        </w:rPr>
        <w:t>, ve znění pozdějších předpisů.</w:t>
      </w:r>
    </w:p>
  </w:footnote>
  <w:footnote w:id="8">
    <w:p w:rsidR="000F3CAF" w:rsidRPr="005643BC" w:rsidRDefault="000F3CAF" w:rsidP="0009461F">
      <w:pPr>
        <w:pStyle w:val="Textpoznpodarou"/>
        <w:rPr>
          <w:sz w:val="18"/>
        </w:rPr>
      </w:pPr>
      <w:r w:rsidRPr="005643BC">
        <w:rPr>
          <w:rStyle w:val="Znakapoznpodarou"/>
          <w:sz w:val="18"/>
        </w:rPr>
        <w:footnoteRef/>
      </w:r>
      <w:r w:rsidRPr="005643BC">
        <w:rPr>
          <w:sz w:val="18"/>
        </w:rPr>
        <w:t xml:space="preserve"> Zákon č. 565/1990 Sb.</w:t>
      </w:r>
      <w:r>
        <w:rPr>
          <w:sz w:val="18"/>
        </w:rPr>
        <w:t>,</w:t>
      </w:r>
      <w:r w:rsidRPr="005643BC">
        <w:rPr>
          <w:sz w:val="18"/>
        </w:rPr>
        <w:t xml:space="preserve"> </w:t>
      </w:r>
      <w:r>
        <w:rPr>
          <w:sz w:val="18"/>
        </w:rPr>
        <w:t>o místních poplatcích, ve znění pozdějších předpisů.</w:t>
      </w:r>
    </w:p>
  </w:footnote>
  <w:footnote w:id="9">
    <w:p w:rsidR="000F3CAF" w:rsidRPr="005643BC" w:rsidRDefault="000F3CAF" w:rsidP="0009461F">
      <w:pPr>
        <w:pStyle w:val="Textpoznpodarou"/>
        <w:rPr>
          <w:sz w:val="18"/>
        </w:rPr>
      </w:pPr>
      <w:r w:rsidRPr="005643BC">
        <w:rPr>
          <w:rStyle w:val="Znakapoznpodarou"/>
          <w:sz w:val="18"/>
        </w:rPr>
        <w:footnoteRef/>
      </w:r>
      <w:r w:rsidRPr="005643BC">
        <w:rPr>
          <w:sz w:val="18"/>
        </w:rPr>
        <w:t xml:space="preserve"> Zákon č. 634/2004 Sb.</w:t>
      </w:r>
      <w:r>
        <w:rPr>
          <w:sz w:val="18"/>
        </w:rPr>
        <w:t>,</w:t>
      </w:r>
      <w:r w:rsidRPr="005643BC">
        <w:rPr>
          <w:sz w:val="18"/>
        </w:rPr>
        <w:t xml:space="preserve"> o správních poplatcích</w:t>
      </w:r>
      <w:r>
        <w:rPr>
          <w:sz w:val="18"/>
        </w:rPr>
        <w:t>, ve znění pozdějších předpisů.</w:t>
      </w:r>
    </w:p>
    <w:p w:rsidR="000F3CAF" w:rsidRDefault="000F3CAF" w:rsidP="0009461F">
      <w:pPr>
        <w:pStyle w:val="Textpoznpodarou"/>
      </w:pPr>
    </w:p>
  </w:footnote>
  <w:footnote w:id="10">
    <w:p w:rsidR="000F3CAF" w:rsidRPr="0026242B" w:rsidRDefault="000F3CAF" w:rsidP="0009461F">
      <w:pPr>
        <w:pStyle w:val="Textpoznpodarou"/>
        <w:rPr>
          <w:sz w:val="18"/>
          <w:szCs w:val="18"/>
        </w:rPr>
      </w:pPr>
      <w:r>
        <w:rPr>
          <w:rStyle w:val="Znakapoznpodarou"/>
        </w:rPr>
        <w:footnoteRef/>
      </w:r>
      <w:r>
        <w:t xml:space="preserve"> </w:t>
      </w:r>
      <w:r w:rsidRPr="0026242B">
        <w:rPr>
          <w:sz w:val="18"/>
          <w:szCs w:val="18"/>
        </w:rPr>
        <w:t>Čerpán</w:t>
      </w:r>
      <w:r>
        <w:rPr>
          <w:sz w:val="18"/>
          <w:szCs w:val="18"/>
        </w:rPr>
        <w:t>o z dat předaných do CSÚIS ke dni 8. 3. 2021</w:t>
      </w:r>
      <w:r w:rsidRPr="0026242B">
        <w:rPr>
          <w:sz w:val="18"/>
          <w:szCs w:val="18"/>
        </w:rPr>
        <w:t xml:space="preserve">. V údajích </w:t>
      </w:r>
      <w:r>
        <w:rPr>
          <w:sz w:val="18"/>
          <w:szCs w:val="18"/>
        </w:rPr>
        <w:t>nejsou zahrnuty</w:t>
      </w:r>
      <w:r w:rsidRPr="0026242B">
        <w:rPr>
          <w:sz w:val="18"/>
          <w:szCs w:val="18"/>
        </w:rPr>
        <w:t xml:space="preserve"> </w:t>
      </w:r>
      <w:r>
        <w:rPr>
          <w:sz w:val="18"/>
          <w:szCs w:val="18"/>
        </w:rPr>
        <w:t>4 obce, 1 DSO</w:t>
      </w:r>
      <w:r w:rsidRPr="0026242B">
        <w:rPr>
          <w:sz w:val="18"/>
          <w:szCs w:val="18"/>
        </w:rPr>
        <w:t xml:space="preserve"> a </w:t>
      </w:r>
      <w:r>
        <w:rPr>
          <w:sz w:val="18"/>
          <w:szCs w:val="18"/>
        </w:rPr>
        <w:t>6 příspěvkových organizací</w:t>
      </w:r>
      <w:r w:rsidRPr="0026242B">
        <w:rPr>
          <w:sz w:val="18"/>
          <w:szCs w:val="18"/>
        </w:rPr>
        <w:t xml:space="preserve">, jejichž </w:t>
      </w:r>
      <w:r>
        <w:rPr>
          <w:sz w:val="18"/>
          <w:szCs w:val="18"/>
        </w:rPr>
        <w:t xml:space="preserve">účetní </w:t>
      </w:r>
      <w:r w:rsidRPr="0026242B">
        <w:rPr>
          <w:sz w:val="18"/>
          <w:szCs w:val="18"/>
        </w:rPr>
        <w:t>výkaz</w:t>
      </w:r>
      <w:r>
        <w:rPr>
          <w:sz w:val="18"/>
          <w:szCs w:val="18"/>
        </w:rPr>
        <w:t>y</w:t>
      </w:r>
      <w:r w:rsidRPr="0026242B">
        <w:rPr>
          <w:sz w:val="18"/>
          <w:szCs w:val="18"/>
        </w:rPr>
        <w:t xml:space="preserve"> nebyl</w:t>
      </w:r>
      <w:r>
        <w:rPr>
          <w:sz w:val="18"/>
          <w:szCs w:val="18"/>
        </w:rPr>
        <w:t>y k tomuto okamžiku</w:t>
      </w:r>
      <w:r w:rsidRPr="0026242B">
        <w:rPr>
          <w:sz w:val="18"/>
          <w:szCs w:val="18"/>
        </w:rPr>
        <w:t xml:space="preserve"> do CSÚIS předán</w:t>
      </w:r>
      <w:r>
        <w:rPr>
          <w:sz w:val="18"/>
          <w:szCs w:val="18"/>
        </w:rPr>
        <w:t>y</w:t>
      </w:r>
      <w:r w:rsidRPr="0026242B">
        <w:rPr>
          <w:sz w:val="18"/>
          <w:szCs w:val="18"/>
        </w:rPr>
        <w:t>.</w:t>
      </w:r>
    </w:p>
  </w:footnote>
  <w:footnote w:id="11">
    <w:p w:rsidR="000F3CAF" w:rsidRPr="0026242B" w:rsidRDefault="000F3CAF" w:rsidP="0009461F">
      <w:pPr>
        <w:pStyle w:val="Textpoznpodarou"/>
        <w:rPr>
          <w:sz w:val="18"/>
          <w:szCs w:val="18"/>
        </w:rPr>
      </w:pPr>
      <w:r>
        <w:rPr>
          <w:rStyle w:val="Znakapoznpodarou"/>
        </w:rPr>
        <w:footnoteRef/>
      </w:r>
      <w:r>
        <w:t xml:space="preserve"> </w:t>
      </w:r>
      <w:r w:rsidRPr="0026242B">
        <w:rPr>
          <w:sz w:val="18"/>
          <w:szCs w:val="18"/>
        </w:rPr>
        <w:t>Do údajů o zadluženosti jsou od 1. 1. 2010 zahrnovány</w:t>
      </w:r>
      <w:r>
        <w:rPr>
          <w:sz w:val="18"/>
          <w:szCs w:val="18"/>
        </w:rPr>
        <w:t xml:space="preserve"> </w:t>
      </w:r>
      <w:r w:rsidRPr="008A5155">
        <w:rPr>
          <w:sz w:val="18"/>
          <w:szCs w:val="18"/>
        </w:rPr>
        <w:t>přijaté úvěry a zápůjčky, přijaté návratné finanční výpomoci, vydané dluhopisy, eskontované směnky, směnky k úhradě, závazky z ručení a ostatní dlouhodobé závazky</w:t>
      </w:r>
      <w:r>
        <w:rPr>
          <w:sz w:val="18"/>
          <w:szCs w:val="18"/>
        </w:rPr>
        <w:t>. Konkrétně se jedná o</w:t>
      </w:r>
      <w:r w:rsidRPr="0026242B">
        <w:rPr>
          <w:sz w:val="18"/>
          <w:szCs w:val="18"/>
        </w:rPr>
        <w:t xml:space="preserve"> syntetick</w:t>
      </w:r>
      <w:r>
        <w:rPr>
          <w:sz w:val="18"/>
          <w:szCs w:val="18"/>
        </w:rPr>
        <w:t>é</w:t>
      </w:r>
      <w:r w:rsidRPr="0026242B">
        <w:rPr>
          <w:sz w:val="18"/>
          <w:szCs w:val="18"/>
        </w:rPr>
        <w:t xml:space="preserve"> účt</w:t>
      </w:r>
      <w:r>
        <w:rPr>
          <w:sz w:val="18"/>
          <w:szCs w:val="18"/>
        </w:rPr>
        <w:t>y</w:t>
      </w:r>
      <w:r w:rsidRPr="0026242B">
        <w:rPr>
          <w:sz w:val="18"/>
          <w:szCs w:val="18"/>
        </w:rPr>
        <w:t xml:space="preserve"> 281, 282, 283, 289, 322, 326, 362, 451, 452, 453, 456, 457 a 459.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1624D"/>
    <w:multiLevelType w:val="singleLevel"/>
    <w:tmpl w:val="8C4E3622"/>
    <w:lvl w:ilvl="0">
      <w:start w:val="1"/>
      <w:numFmt w:val="decimal"/>
      <w:pStyle w:val="odrakyslalev"/>
      <w:lvlText w:val="%1."/>
      <w:lvlJc w:val="left"/>
      <w:pPr>
        <w:tabs>
          <w:tab w:val="num" w:pos="360"/>
        </w:tabs>
        <w:ind w:left="360" w:hanging="360"/>
      </w:pPr>
      <w:rPr>
        <w:rFonts w:cs="Times New Roman"/>
      </w:rPr>
    </w:lvl>
  </w:abstractNum>
  <w:abstractNum w:abstractNumId="1" w15:restartNumberingAfterBreak="0">
    <w:nsid w:val="37073E06"/>
    <w:multiLevelType w:val="hybridMultilevel"/>
    <w:tmpl w:val="7652975A"/>
    <w:lvl w:ilvl="0" w:tplc="D390D8C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866575F"/>
    <w:multiLevelType w:val="hybridMultilevel"/>
    <w:tmpl w:val="D44AD13C"/>
    <w:lvl w:ilvl="0" w:tplc="A43ACE8E">
      <w:start w:val="1"/>
      <w:numFmt w:val="upperRoman"/>
      <w:pStyle w:val="Bezmezer"/>
      <w:lvlText w:val="%1."/>
      <w:lvlJc w:val="right"/>
      <w:pPr>
        <w:ind w:left="41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3A34A2C"/>
    <w:multiLevelType w:val="hybridMultilevel"/>
    <w:tmpl w:val="D1AA13AA"/>
    <w:lvl w:ilvl="0" w:tplc="37785F70">
      <w:start w:val="1"/>
      <w:numFmt w:val="bullet"/>
      <w:pStyle w:val="odrkynae"/>
      <w:lvlText w:val=""/>
      <w:lvlJc w:val="left"/>
      <w:pPr>
        <w:tabs>
          <w:tab w:val="num" w:pos="463"/>
        </w:tabs>
        <w:ind w:left="463" w:hanging="283"/>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6830073"/>
    <w:multiLevelType w:val="hybridMultilevel"/>
    <w:tmpl w:val="5770E0DE"/>
    <w:lvl w:ilvl="0" w:tplc="3B64EAF4">
      <w:numFmt w:val="bullet"/>
      <w:pStyle w:val="odrka"/>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27845C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5"/>
  </w:num>
  <w:num w:numId="2">
    <w:abstractNumId w:val="2"/>
  </w:num>
  <w:num w:numId="3">
    <w:abstractNumId w:val="4"/>
  </w:num>
  <w:num w:numId="4">
    <w:abstractNumId w:val="0"/>
  </w:num>
  <w:num w:numId="5">
    <w:abstractNumId w:val="3"/>
  </w:num>
  <w:num w:numId="6">
    <w:abstractNumId w:val="1"/>
  </w:num>
  <w:num w:numId="7">
    <w:abstractNumId w:val="1"/>
    <w:lvlOverride w:ilvl="0">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D8D"/>
    <w:rsid w:val="000053C4"/>
    <w:rsid w:val="000068BD"/>
    <w:rsid w:val="0000776D"/>
    <w:rsid w:val="00016AEE"/>
    <w:rsid w:val="00022099"/>
    <w:rsid w:val="00042B15"/>
    <w:rsid w:val="00056846"/>
    <w:rsid w:val="000601CE"/>
    <w:rsid w:val="0007218B"/>
    <w:rsid w:val="00073147"/>
    <w:rsid w:val="000738B7"/>
    <w:rsid w:val="000837DC"/>
    <w:rsid w:val="0009461F"/>
    <w:rsid w:val="0009568F"/>
    <w:rsid w:val="000A03E1"/>
    <w:rsid w:val="000B37F7"/>
    <w:rsid w:val="000B74E9"/>
    <w:rsid w:val="000C6C21"/>
    <w:rsid w:val="000D0288"/>
    <w:rsid w:val="000D47DB"/>
    <w:rsid w:val="000D61FB"/>
    <w:rsid w:val="000D6B7A"/>
    <w:rsid w:val="000D71E0"/>
    <w:rsid w:val="000E37A4"/>
    <w:rsid w:val="000E63C4"/>
    <w:rsid w:val="000F2E19"/>
    <w:rsid w:val="000F3CAF"/>
    <w:rsid w:val="000F6944"/>
    <w:rsid w:val="001004FF"/>
    <w:rsid w:val="0010241A"/>
    <w:rsid w:val="00103C4D"/>
    <w:rsid w:val="0010483A"/>
    <w:rsid w:val="00106040"/>
    <w:rsid w:val="00107408"/>
    <w:rsid w:val="00120085"/>
    <w:rsid w:val="00120A86"/>
    <w:rsid w:val="0012124C"/>
    <w:rsid w:val="00121ED5"/>
    <w:rsid w:val="001243B3"/>
    <w:rsid w:val="00125121"/>
    <w:rsid w:val="00127808"/>
    <w:rsid w:val="001279B4"/>
    <w:rsid w:val="0014140B"/>
    <w:rsid w:val="00146A3B"/>
    <w:rsid w:val="00150346"/>
    <w:rsid w:val="00155BDE"/>
    <w:rsid w:val="00162957"/>
    <w:rsid w:val="00167E7D"/>
    <w:rsid w:val="001706BB"/>
    <w:rsid w:val="00181F70"/>
    <w:rsid w:val="001830E1"/>
    <w:rsid w:val="00191400"/>
    <w:rsid w:val="00195EA7"/>
    <w:rsid w:val="001A158A"/>
    <w:rsid w:val="001A1E75"/>
    <w:rsid w:val="001A255C"/>
    <w:rsid w:val="001C3152"/>
    <w:rsid w:val="001C6E21"/>
    <w:rsid w:val="001E412F"/>
    <w:rsid w:val="001E4633"/>
    <w:rsid w:val="001F1391"/>
    <w:rsid w:val="001F246F"/>
    <w:rsid w:val="001F751C"/>
    <w:rsid w:val="001F7A49"/>
    <w:rsid w:val="001F7B90"/>
    <w:rsid w:val="00202160"/>
    <w:rsid w:val="00204D4E"/>
    <w:rsid w:val="0021646C"/>
    <w:rsid w:val="00224353"/>
    <w:rsid w:val="002265A6"/>
    <w:rsid w:val="00231D56"/>
    <w:rsid w:val="0023490B"/>
    <w:rsid w:val="002378FE"/>
    <w:rsid w:val="002407FE"/>
    <w:rsid w:val="00241F86"/>
    <w:rsid w:val="00242732"/>
    <w:rsid w:val="00245FEF"/>
    <w:rsid w:val="00251348"/>
    <w:rsid w:val="00251670"/>
    <w:rsid w:val="00251787"/>
    <w:rsid w:val="002524AE"/>
    <w:rsid w:val="0026420F"/>
    <w:rsid w:val="002662F5"/>
    <w:rsid w:val="002702F4"/>
    <w:rsid w:val="002753FB"/>
    <w:rsid w:val="002815E9"/>
    <w:rsid w:val="002831DB"/>
    <w:rsid w:val="002855D7"/>
    <w:rsid w:val="0029789A"/>
    <w:rsid w:val="002A075B"/>
    <w:rsid w:val="002A6140"/>
    <w:rsid w:val="002B034F"/>
    <w:rsid w:val="002B0CF5"/>
    <w:rsid w:val="002B2B38"/>
    <w:rsid w:val="002C60EB"/>
    <w:rsid w:val="002C6F8A"/>
    <w:rsid w:val="002D4C60"/>
    <w:rsid w:val="002D573C"/>
    <w:rsid w:val="002D649B"/>
    <w:rsid w:val="002D68C4"/>
    <w:rsid w:val="002D6D57"/>
    <w:rsid w:val="002E0A17"/>
    <w:rsid w:val="002E2A2C"/>
    <w:rsid w:val="002E3018"/>
    <w:rsid w:val="002E44A2"/>
    <w:rsid w:val="002E7BE4"/>
    <w:rsid w:val="002F377C"/>
    <w:rsid w:val="002F3881"/>
    <w:rsid w:val="002F5A23"/>
    <w:rsid w:val="002F68BE"/>
    <w:rsid w:val="00300D07"/>
    <w:rsid w:val="003066E1"/>
    <w:rsid w:val="00313262"/>
    <w:rsid w:val="00316BFA"/>
    <w:rsid w:val="00322737"/>
    <w:rsid w:val="00322FA8"/>
    <w:rsid w:val="00325817"/>
    <w:rsid w:val="0032587B"/>
    <w:rsid w:val="00327E17"/>
    <w:rsid w:val="00331BAC"/>
    <w:rsid w:val="00336CF7"/>
    <w:rsid w:val="0034044F"/>
    <w:rsid w:val="00345335"/>
    <w:rsid w:val="00346EEB"/>
    <w:rsid w:val="003472D2"/>
    <w:rsid w:val="00350144"/>
    <w:rsid w:val="00350E9F"/>
    <w:rsid w:val="003510E7"/>
    <w:rsid w:val="00354C56"/>
    <w:rsid w:val="00360023"/>
    <w:rsid w:val="00364B93"/>
    <w:rsid w:val="00370D64"/>
    <w:rsid w:val="00371597"/>
    <w:rsid w:val="00376210"/>
    <w:rsid w:val="00376CC5"/>
    <w:rsid w:val="00377B57"/>
    <w:rsid w:val="003853FC"/>
    <w:rsid w:val="003923B9"/>
    <w:rsid w:val="003A0844"/>
    <w:rsid w:val="003B3C3F"/>
    <w:rsid w:val="003C00F8"/>
    <w:rsid w:val="003C0622"/>
    <w:rsid w:val="003C18D5"/>
    <w:rsid w:val="003C2CC2"/>
    <w:rsid w:val="003D261D"/>
    <w:rsid w:val="003E414A"/>
    <w:rsid w:val="00401AC0"/>
    <w:rsid w:val="00404D4F"/>
    <w:rsid w:val="004107A2"/>
    <w:rsid w:val="004200AF"/>
    <w:rsid w:val="0042029C"/>
    <w:rsid w:val="004220F7"/>
    <w:rsid w:val="0042365B"/>
    <w:rsid w:val="00430162"/>
    <w:rsid w:val="004363C4"/>
    <w:rsid w:val="00441150"/>
    <w:rsid w:val="00443A42"/>
    <w:rsid w:val="0044468C"/>
    <w:rsid w:val="004607D3"/>
    <w:rsid w:val="00462A94"/>
    <w:rsid w:val="004633C6"/>
    <w:rsid w:val="00463732"/>
    <w:rsid w:val="00464713"/>
    <w:rsid w:val="004769D5"/>
    <w:rsid w:val="004830CC"/>
    <w:rsid w:val="00486099"/>
    <w:rsid w:val="004923A5"/>
    <w:rsid w:val="004A5EC4"/>
    <w:rsid w:val="004B11AF"/>
    <w:rsid w:val="004B4766"/>
    <w:rsid w:val="004C0070"/>
    <w:rsid w:val="004C0CDF"/>
    <w:rsid w:val="004D6D77"/>
    <w:rsid w:val="004E006D"/>
    <w:rsid w:val="004E29A5"/>
    <w:rsid w:val="004E6719"/>
    <w:rsid w:val="004E6F02"/>
    <w:rsid w:val="004F4A5D"/>
    <w:rsid w:val="0050536B"/>
    <w:rsid w:val="005075EC"/>
    <w:rsid w:val="00510248"/>
    <w:rsid w:val="00512D8D"/>
    <w:rsid w:val="00512EB0"/>
    <w:rsid w:val="005148E3"/>
    <w:rsid w:val="005231B2"/>
    <w:rsid w:val="00523A5F"/>
    <w:rsid w:val="00523EA6"/>
    <w:rsid w:val="00527562"/>
    <w:rsid w:val="005332F6"/>
    <w:rsid w:val="005420FF"/>
    <w:rsid w:val="00542CF3"/>
    <w:rsid w:val="00552571"/>
    <w:rsid w:val="00556C94"/>
    <w:rsid w:val="005612EA"/>
    <w:rsid w:val="005638F5"/>
    <w:rsid w:val="005705CE"/>
    <w:rsid w:val="005757C5"/>
    <w:rsid w:val="005763F2"/>
    <w:rsid w:val="00577332"/>
    <w:rsid w:val="00596197"/>
    <w:rsid w:val="00596385"/>
    <w:rsid w:val="00596E0F"/>
    <w:rsid w:val="005A0478"/>
    <w:rsid w:val="005A1DB6"/>
    <w:rsid w:val="005A31FE"/>
    <w:rsid w:val="005A490A"/>
    <w:rsid w:val="005C464E"/>
    <w:rsid w:val="005C568D"/>
    <w:rsid w:val="005D0374"/>
    <w:rsid w:val="005D39EE"/>
    <w:rsid w:val="005D5CFD"/>
    <w:rsid w:val="005D646F"/>
    <w:rsid w:val="005E3F16"/>
    <w:rsid w:val="005E61A7"/>
    <w:rsid w:val="005E7CD2"/>
    <w:rsid w:val="005E7D33"/>
    <w:rsid w:val="005F000E"/>
    <w:rsid w:val="005F1FF3"/>
    <w:rsid w:val="005F6B1C"/>
    <w:rsid w:val="005F6BF8"/>
    <w:rsid w:val="00602C45"/>
    <w:rsid w:val="006056AC"/>
    <w:rsid w:val="006170C2"/>
    <w:rsid w:val="00620E08"/>
    <w:rsid w:val="006260BC"/>
    <w:rsid w:val="00626D52"/>
    <w:rsid w:val="00633051"/>
    <w:rsid w:val="00640316"/>
    <w:rsid w:val="00640710"/>
    <w:rsid w:val="006425FB"/>
    <w:rsid w:val="00642CC0"/>
    <w:rsid w:val="00646AF4"/>
    <w:rsid w:val="00647032"/>
    <w:rsid w:val="006534F0"/>
    <w:rsid w:val="00661427"/>
    <w:rsid w:val="00675E41"/>
    <w:rsid w:val="00685A6A"/>
    <w:rsid w:val="00693AF4"/>
    <w:rsid w:val="006A5362"/>
    <w:rsid w:val="006A70F1"/>
    <w:rsid w:val="006B34B3"/>
    <w:rsid w:val="006B5C07"/>
    <w:rsid w:val="006C1A0B"/>
    <w:rsid w:val="006C1C2A"/>
    <w:rsid w:val="006D6B8A"/>
    <w:rsid w:val="006E6E15"/>
    <w:rsid w:val="006F2242"/>
    <w:rsid w:val="006F35A7"/>
    <w:rsid w:val="006F42D8"/>
    <w:rsid w:val="006F529C"/>
    <w:rsid w:val="007002E6"/>
    <w:rsid w:val="0070595A"/>
    <w:rsid w:val="00705CBD"/>
    <w:rsid w:val="007101E6"/>
    <w:rsid w:val="007102F1"/>
    <w:rsid w:val="00711AEC"/>
    <w:rsid w:val="007134B3"/>
    <w:rsid w:val="00726119"/>
    <w:rsid w:val="00734A24"/>
    <w:rsid w:val="007372E1"/>
    <w:rsid w:val="00742801"/>
    <w:rsid w:val="0074451C"/>
    <w:rsid w:val="00753BA0"/>
    <w:rsid w:val="007567FE"/>
    <w:rsid w:val="007617F7"/>
    <w:rsid w:val="00762DB2"/>
    <w:rsid w:val="007740BE"/>
    <w:rsid w:val="00775422"/>
    <w:rsid w:val="00782B26"/>
    <w:rsid w:val="00783165"/>
    <w:rsid w:val="007849E5"/>
    <w:rsid w:val="00791F20"/>
    <w:rsid w:val="007947C9"/>
    <w:rsid w:val="00795E6E"/>
    <w:rsid w:val="0079794A"/>
    <w:rsid w:val="00797C55"/>
    <w:rsid w:val="007A48FA"/>
    <w:rsid w:val="007B0411"/>
    <w:rsid w:val="007B3801"/>
    <w:rsid w:val="007B56E1"/>
    <w:rsid w:val="007C5189"/>
    <w:rsid w:val="007C7262"/>
    <w:rsid w:val="007D50D8"/>
    <w:rsid w:val="007E4026"/>
    <w:rsid w:val="00801914"/>
    <w:rsid w:val="008069BE"/>
    <w:rsid w:val="00820AC7"/>
    <w:rsid w:val="00821529"/>
    <w:rsid w:val="008244C8"/>
    <w:rsid w:val="00825527"/>
    <w:rsid w:val="00825EB2"/>
    <w:rsid w:val="0083188D"/>
    <w:rsid w:val="00833017"/>
    <w:rsid w:val="00834E4F"/>
    <w:rsid w:val="00834F9D"/>
    <w:rsid w:val="00835A67"/>
    <w:rsid w:val="008410E9"/>
    <w:rsid w:val="008445E7"/>
    <w:rsid w:val="00847339"/>
    <w:rsid w:val="00847F8E"/>
    <w:rsid w:val="00852D95"/>
    <w:rsid w:val="00853BDF"/>
    <w:rsid w:val="00861A81"/>
    <w:rsid w:val="0086366A"/>
    <w:rsid w:val="008638A2"/>
    <w:rsid w:val="008669E6"/>
    <w:rsid w:val="008715EA"/>
    <w:rsid w:val="008738E3"/>
    <w:rsid w:val="008818BE"/>
    <w:rsid w:val="0088219C"/>
    <w:rsid w:val="00882C98"/>
    <w:rsid w:val="008875B0"/>
    <w:rsid w:val="00887C2E"/>
    <w:rsid w:val="0089732E"/>
    <w:rsid w:val="008A1318"/>
    <w:rsid w:val="008A334D"/>
    <w:rsid w:val="008A374E"/>
    <w:rsid w:val="008B3D58"/>
    <w:rsid w:val="008B76D7"/>
    <w:rsid w:val="008D14AA"/>
    <w:rsid w:val="008D6041"/>
    <w:rsid w:val="008D765F"/>
    <w:rsid w:val="008E03F5"/>
    <w:rsid w:val="008F1CF1"/>
    <w:rsid w:val="008F2CE0"/>
    <w:rsid w:val="008F7159"/>
    <w:rsid w:val="0090211C"/>
    <w:rsid w:val="0090674F"/>
    <w:rsid w:val="00907EDF"/>
    <w:rsid w:val="0091141C"/>
    <w:rsid w:val="00912425"/>
    <w:rsid w:val="009129F4"/>
    <w:rsid w:val="00913506"/>
    <w:rsid w:val="0091442E"/>
    <w:rsid w:val="0092019B"/>
    <w:rsid w:val="00924500"/>
    <w:rsid w:val="00932A68"/>
    <w:rsid w:val="00934407"/>
    <w:rsid w:val="00934927"/>
    <w:rsid w:val="00942539"/>
    <w:rsid w:val="00945887"/>
    <w:rsid w:val="0094612C"/>
    <w:rsid w:val="009503FC"/>
    <w:rsid w:val="009507E6"/>
    <w:rsid w:val="00951EE0"/>
    <w:rsid w:val="0095265D"/>
    <w:rsid w:val="00957BAF"/>
    <w:rsid w:val="009615DB"/>
    <w:rsid w:val="00963305"/>
    <w:rsid w:val="009659DF"/>
    <w:rsid w:val="00971B28"/>
    <w:rsid w:val="0097334D"/>
    <w:rsid w:val="00976C33"/>
    <w:rsid w:val="009803AD"/>
    <w:rsid w:val="00986B65"/>
    <w:rsid w:val="0099273D"/>
    <w:rsid w:val="00997BC9"/>
    <w:rsid w:val="009A09AA"/>
    <w:rsid w:val="009A5B69"/>
    <w:rsid w:val="009A675A"/>
    <w:rsid w:val="009C3D57"/>
    <w:rsid w:val="009C4D0F"/>
    <w:rsid w:val="009C4FAF"/>
    <w:rsid w:val="009C5DE2"/>
    <w:rsid w:val="009C6BC9"/>
    <w:rsid w:val="009D2FE4"/>
    <w:rsid w:val="009D317B"/>
    <w:rsid w:val="009D4D6B"/>
    <w:rsid w:val="009E4726"/>
    <w:rsid w:val="009E658E"/>
    <w:rsid w:val="009F1290"/>
    <w:rsid w:val="009F3529"/>
    <w:rsid w:val="009F666C"/>
    <w:rsid w:val="00A0354D"/>
    <w:rsid w:val="00A04F11"/>
    <w:rsid w:val="00A1508C"/>
    <w:rsid w:val="00A20611"/>
    <w:rsid w:val="00A353F1"/>
    <w:rsid w:val="00A40298"/>
    <w:rsid w:val="00A41D7D"/>
    <w:rsid w:val="00A451BE"/>
    <w:rsid w:val="00A5009A"/>
    <w:rsid w:val="00A52AA8"/>
    <w:rsid w:val="00A555B5"/>
    <w:rsid w:val="00A67B81"/>
    <w:rsid w:val="00A712D7"/>
    <w:rsid w:val="00A73BBC"/>
    <w:rsid w:val="00A948D3"/>
    <w:rsid w:val="00A96B2B"/>
    <w:rsid w:val="00AA4779"/>
    <w:rsid w:val="00AA5DED"/>
    <w:rsid w:val="00AB0B7E"/>
    <w:rsid w:val="00AB553C"/>
    <w:rsid w:val="00AB703A"/>
    <w:rsid w:val="00AC1E91"/>
    <w:rsid w:val="00AC6CB5"/>
    <w:rsid w:val="00AD04D3"/>
    <w:rsid w:val="00AD18F9"/>
    <w:rsid w:val="00AD48A0"/>
    <w:rsid w:val="00AD7121"/>
    <w:rsid w:val="00AD7B5A"/>
    <w:rsid w:val="00AE3ACD"/>
    <w:rsid w:val="00AE5CCB"/>
    <w:rsid w:val="00AE7CA9"/>
    <w:rsid w:val="00AF3290"/>
    <w:rsid w:val="00AF5742"/>
    <w:rsid w:val="00AF67FF"/>
    <w:rsid w:val="00B002A3"/>
    <w:rsid w:val="00B0206E"/>
    <w:rsid w:val="00B04F03"/>
    <w:rsid w:val="00B1087A"/>
    <w:rsid w:val="00B12E47"/>
    <w:rsid w:val="00B1464B"/>
    <w:rsid w:val="00B16849"/>
    <w:rsid w:val="00B16AF0"/>
    <w:rsid w:val="00B17449"/>
    <w:rsid w:val="00B179D2"/>
    <w:rsid w:val="00B3204F"/>
    <w:rsid w:val="00B33F6E"/>
    <w:rsid w:val="00B35F33"/>
    <w:rsid w:val="00B37AE3"/>
    <w:rsid w:val="00B41167"/>
    <w:rsid w:val="00B43511"/>
    <w:rsid w:val="00B53788"/>
    <w:rsid w:val="00B54D92"/>
    <w:rsid w:val="00B70141"/>
    <w:rsid w:val="00B71D8F"/>
    <w:rsid w:val="00B73FED"/>
    <w:rsid w:val="00B8058D"/>
    <w:rsid w:val="00B92690"/>
    <w:rsid w:val="00B9622B"/>
    <w:rsid w:val="00BA09D8"/>
    <w:rsid w:val="00BA4580"/>
    <w:rsid w:val="00BA567E"/>
    <w:rsid w:val="00BB39F9"/>
    <w:rsid w:val="00BB758E"/>
    <w:rsid w:val="00BB7E46"/>
    <w:rsid w:val="00BC3851"/>
    <w:rsid w:val="00BC4149"/>
    <w:rsid w:val="00BC4C51"/>
    <w:rsid w:val="00BD5074"/>
    <w:rsid w:val="00BE4341"/>
    <w:rsid w:val="00BE4902"/>
    <w:rsid w:val="00BE7118"/>
    <w:rsid w:val="00BF307E"/>
    <w:rsid w:val="00BF5DC6"/>
    <w:rsid w:val="00C019EE"/>
    <w:rsid w:val="00C02347"/>
    <w:rsid w:val="00C1761C"/>
    <w:rsid w:val="00C2010A"/>
    <w:rsid w:val="00C23F32"/>
    <w:rsid w:val="00C319C7"/>
    <w:rsid w:val="00C31D28"/>
    <w:rsid w:val="00C34BFE"/>
    <w:rsid w:val="00C35853"/>
    <w:rsid w:val="00C37559"/>
    <w:rsid w:val="00C405B4"/>
    <w:rsid w:val="00C44ACA"/>
    <w:rsid w:val="00C45520"/>
    <w:rsid w:val="00C80280"/>
    <w:rsid w:val="00CA0BFB"/>
    <w:rsid w:val="00CB1D32"/>
    <w:rsid w:val="00CB3AD2"/>
    <w:rsid w:val="00CB4EF5"/>
    <w:rsid w:val="00CB6218"/>
    <w:rsid w:val="00CC0735"/>
    <w:rsid w:val="00CE0C6B"/>
    <w:rsid w:val="00CF0C72"/>
    <w:rsid w:val="00CF148F"/>
    <w:rsid w:val="00CF1C09"/>
    <w:rsid w:val="00CF1CDB"/>
    <w:rsid w:val="00CF42CE"/>
    <w:rsid w:val="00D0390B"/>
    <w:rsid w:val="00D03965"/>
    <w:rsid w:val="00D10E9E"/>
    <w:rsid w:val="00D1468F"/>
    <w:rsid w:val="00D15AF8"/>
    <w:rsid w:val="00D16E49"/>
    <w:rsid w:val="00D200C3"/>
    <w:rsid w:val="00D307F7"/>
    <w:rsid w:val="00D5039F"/>
    <w:rsid w:val="00D54239"/>
    <w:rsid w:val="00D6181D"/>
    <w:rsid w:val="00D662C1"/>
    <w:rsid w:val="00D71BC8"/>
    <w:rsid w:val="00D812F7"/>
    <w:rsid w:val="00D8551B"/>
    <w:rsid w:val="00D90FD6"/>
    <w:rsid w:val="00D91ADA"/>
    <w:rsid w:val="00D9594C"/>
    <w:rsid w:val="00DA008A"/>
    <w:rsid w:val="00DA4571"/>
    <w:rsid w:val="00DA4D34"/>
    <w:rsid w:val="00DA62CE"/>
    <w:rsid w:val="00DA77D9"/>
    <w:rsid w:val="00DB0C7E"/>
    <w:rsid w:val="00DB51B2"/>
    <w:rsid w:val="00DC67DB"/>
    <w:rsid w:val="00DD3EBC"/>
    <w:rsid w:val="00DF07B3"/>
    <w:rsid w:val="00DF0E10"/>
    <w:rsid w:val="00DF3DB6"/>
    <w:rsid w:val="00DF4C52"/>
    <w:rsid w:val="00E00E5A"/>
    <w:rsid w:val="00E04CE0"/>
    <w:rsid w:val="00E0630D"/>
    <w:rsid w:val="00E109A1"/>
    <w:rsid w:val="00E11AE2"/>
    <w:rsid w:val="00E226AE"/>
    <w:rsid w:val="00E226C3"/>
    <w:rsid w:val="00E25EC6"/>
    <w:rsid w:val="00E3724F"/>
    <w:rsid w:val="00E408EA"/>
    <w:rsid w:val="00E554E6"/>
    <w:rsid w:val="00E61452"/>
    <w:rsid w:val="00E61AD0"/>
    <w:rsid w:val="00E6353D"/>
    <w:rsid w:val="00E670B0"/>
    <w:rsid w:val="00E72A31"/>
    <w:rsid w:val="00E76909"/>
    <w:rsid w:val="00E80B5D"/>
    <w:rsid w:val="00E86746"/>
    <w:rsid w:val="00E87AD5"/>
    <w:rsid w:val="00E90E0B"/>
    <w:rsid w:val="00E9439B"/>
    <w:rsid w:val="00E97A99"/>
    <w:rsid w:val="00EB0A59"/>
    <w:rsid w:val="00EB203B"/>
    <w:rsid w:val="00EC6A3D"/>
    <w:rsid w:val="00EC6F9C"/>
    <w:rsid w:val="00EC79CD"/>
    <w:rsid w:val="00ED1B50"/>
    <w:rsid w:val="00ED226F"/>
    <w:rsid w:val="00ED46B6"/>
    <w:rsid w:val="00ED505C"/>
    <w:rsid w:val="00ED56C0"/>
    <w:rsid w:val="00EE5089"/>
    <w:rsid w:val="00EE72E8"/>
    <w:rsid w:val="00EE790C"/>
    <w:rsid w:val="00EF0C8C"/>
    <w:rsid w:val="00EF1E13"/>
    <w:rsid w:val="00EF5431"/>
    <w:rsid w:val="00EF7624"/>
    <w:rsid w:val="00F03AEF"/>
    <w:rsid w:val="00F06053"/>
    <w:rsid w:val="00F151BE"/>
    <w:rsid w:val="00F168E8"/>
    <w:rsid w:val="00F24DFA"/>
    <w:rsid w:val="00F267D3"/>
    <w:rsid w:val="00F26F6A"/>
    <w:rsid w:val="00F30097"/>
    <w:rsid w:val="00F32BE7"/>
    <w:rsid w:val="00F36E99"/>
    <w:rsid w:val="00F41E05"/>
    <w:rsid w:val="00F426CD"/>
    <w:rsid w:val="00F51756"/>
    <w:rsid w:val="00F55CDD"/>
    <w:rsid w:val="00F5713A"/>
    <w:rsid w:val="00F60452"/>
    <w:rsid w:val="00F620C2"/>
    <w:rsid w:val="00F673DF"/>
    <w:rsid w:val="00F71090"/>
    <w:rsid w:val="00F72EAE"/>
    <w:rsid w:val="00F72FF3"/>
    <w:rsid w:val="00F9336D"/>
    <w:rsid w:val="00F95B88"/>
    <w:rsid w:val="00F95DDF"/>
    <w:rsid w:val="00F9601E"/>
    <w:rsid w:val="00FA6EC2"/>
    <w:rsid w:val="00FA7C62"/>
    <w:rsid w:val="00FB038A"/>
    <w:rsid w:val="00FB3C13"/>
    <w:rsid w:val="00FB46C7"/>
    <w:rsid w:val="00FC1144"/>
    <w:rsid w:val="00FD2EB4"/>
    <w:rsid w:val="00FE0A24"/>
    <w:rsid w:val="00FE23A2"/>
    <w:rsid w:val="00FE4D6E"/>
    <w:rsid w:val="00FF1908"/>
    <w:rsid w:val="00FF1A17"/>
    <w:rsid w:val="00FF2F3A"/>
    <w:rsid w:val="00FF62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6E39D"/>
  <w15:docId w15:val="{FFDE2E31-A805-4913-B05F-98C603DA1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4C51"/>
    <w:pPr>
      <w:spacing w:before="120" w:after="0" w:line="240" w:lineRule="auto"/>
      <w:jc w:val="both"/>
    </w:pPr>
  </w:style>
  <w:style w:type="paragraph" w:styleId="Nadpis1">
    <w:name w:val="heading 1"/>
    <w:basedOn w:val="Normln"/>
    <w:next w:val="Normln"/>
    <w:link w:val="Nadpis1Char"/>
    <w:uiPriority w:val="99"/>
    <w:qFormat/>
    <w:rsid w:val="005763F2"/>
    <w:pPr>
      <w:keepNext/>
      <w:keepLines/>
      <w:numPr>
        <w:numId w:val="1"/>
      </w:numPr>
      <w:spacing w:before="240" w:after="240"/>
      <w:ind w:left="431" w:hanging="431"/>
      <w:jc w:val="left"/>
      <w:outlineLvl w:val="0"/>
    </w:pPr>
    <w:rPr>
      <w:rFonts w:ascii="Calibri" w:eastAsiaTheme="majorEastAsia" w:hAnsi="Calibri" w:cstheme="majorBidi"/>
      <w:b/>
      <w:sz w:val="28"/>
      <w:szCs w:val="32"/>
    </w:rPr>
  </w:style>
  <w:style w:type="paragraph" w:styleId="Nadpis2">
    <w:name w:val="heading 2"/>
    <w:basedOn w:val="Normln"/>
    <w:next w:val="Normln"/>
    <w:link w:val="Nadpis2Char"/>
    <w:unhideWhenUsed/>
    <w:qFormat/>
    <w:rsid w:val="005763F2"/>
    <w:pPr>
      <w:keepNext/>
      <w:keepLines/>
      <w:numPr>
        <w:ilvl w:val="1"/>
        <w:numId w:val="1"/>
      </w:numPr>
      <w:spacing w:after="120"/>
      <w:ind w:left="578" w:hanging="578"/>
      <w:jc w:val="left"/>
      <w:outlineLvl w:val="1"/>
    </w:pPr>
    <w:rPr>
      <w:rFonts w:ascii="Calibri" w:eastAsiaTheme="majorEastAsia" w:hAnsi="Calibri" w:cstheme="majorBidi"/>
      <w:b/>
      <w:sz w:val="26"/>
      <w:szCs w:val="26"/>
    </w:rPr>
  </w:style>
  <w:style w:type="paragraph" w:styleId="Nadpis3">
    <w:name w:val="heading 3"/>
    <w:basedOn w:val="Normln"/>
    <w:next w:val="Normln"/>
    <w:link w:val="Nadpis3Char"/>
    <w:unhideWhenUsed/>
    <w:qFormat/>
    <w:rsid w:val="00BA09D8"/>
    <w:pPr>
      <w:keepNext/>
      <w:keepLines/>
      <w:numPr>
        <w:ilvl w:val="2"/>
        <w:numId w:val="1"/>
      </w:numPr>
      <w:spacing w:after="120"/>
      <w:jc w:val="left"/>
      <w:outlineLvl w:val="2"/>
    </w:pPr>
    <w:rPr>
      <w:rFonts w:ascii="Calibri" w:eastAsiaTheme="majorEastAsia" w:hAnsi="Calibri" w:cstheme="majorBidi"/>
      <w:b/>
      <w:sz w:val="24"/>
      <w:szCs w:val="24"/>
    </w:rPr>
  </w:style>
  <w:style w:type="paragraph" w:styleId="Nadpis4">
    <w:name w:val="heading 4"/>
    <w:aliases w:val="Hlavní nadpis"/>
    <w:basedOn w:val="Normln"/>
    <w:next w:val="Normln"/>
    <w:link w:val="Nadpis4Char"/>
    <w:unhideWhenUsed/>
    <w:qFormat/>
    <w:rsid w:val="005763F2"/>
    <w:pPr>
      <w:keepNext/>
      <w:keepLines/>
      <w:spacing w:before="360" w:after="360"/>
      <w:jc w:val="center"/>
      <w:outlineLvl w:val="3"/>
    </w:pPr>
    <w:rPr>
      <w:rFonts w:eastAsiaTheme="majorEastAsia" w:cstheme="majorBidi"/>
      <w:b/>
      <w:iCs/>
      <w:color w:val="2F5496" w:themeColor="accent5" w:themeShade="BF"/>
      <w:sz w:val="32"/>
    </w:rPr>
  </w:style>
  <w:style w:type="paragraph" w:styleId="Nadpis5">
    <w:name w:val="heading 5"/>
    <w:basedOn w:val="Normln"/>
    <w:next w:val="Normln"/>
    <w:link w:val="Nadpis5Char"/>
    <w:unhideWhenUsed/>
    <w:rsid w:val="009A09A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nhideWhenUsed/>
    <w:rsid w:val="009A09A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nhideWhenUsed/>
    <w:rsid w:val="009A09A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nhideWhenUsed/>
    <w:rsid w:val="009A09A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nhideWhenUsed/>
    <w:rsid w:val="009A09A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763F2"/>
    <w:rPr>
      <w:rFonts w:ascii="Calibri" w:eastAsiaTheme="majorEastAsia" w:hAnsi="Calibri" w:cstheme="majorBidi"/>
      <w:b/>
      <w:sz w:val="28"/>
      <w:szCs w:val="32"/>
    </w:rPr>
  </w:style>
  <w:style w:type="character" w:customStyle="1" w:styleId="Nadpis2Char">
    <w:name w:val="Nadpis 2 Char"/>
    <w:basedOn w:val="Standardnpsmoodstavce"/>
    <w:link w:val="Nadpis2"/>
    <w:rsid w:val="005763F2"/>
    <w:rPr>
      <w:rFonts w:ascii="Calibri" w:eastAsiaTheme="majorEastAsia" w:hAnsi="Calibri" w:cstheme="majorBidi"/>
      <w:b/>
      <w:sz w:val="26"/>
      <w:szCs w:val="26"/>
    </w:rPr>
  </w:style>
  <w:style w:type="character" w:customStyle="1" w:styleId="Nadpis3Char">
    <w:name w:val="Nadpis 3 Char"/>
    <w:basedOn w:val="Standardnpsmoodstavce"/>
    <w:link w:val="Nadpis3"/>
    <w:rsid w:val="00BA09D8"/>
    <w:rPr>
      <w:rFonts w:ascii="Calibri" w:eastAsiaTheme="majorEastAsia" w:hAnsi="Calibri" w:cstheme="majorBidi"/>
      <w:b/>
      <w:sz w:val="24"/>
      <w:szCs w:val="24"/>
    </w:rPr>
  </w:style>
  <w:style w:type="character" w:customStyle="1" w:styleId="Nadpis4Char">
    <w:name w:val="Nadpis 4 Char"/>
    <w:aliases w:val="Hlavní nadpis Char"/>
    <w:basedOn w:val="Standardnpsmoodstavce"/>
    <w:link w:val="Nadpis4"/>
    <w:rsid w:val="005763F2"/>
    <w:rPr>
      <w:rFonts w:eastAsiaTheme="majorEastAsia" w:cstheme="majorBidi"/>
      <w:b/>
      <w:iCs/>
      <w:color w:val="2F5496" w:themeColor="accent5" w:themeShade="BF"/>
      <w:sz w:val="32"/>
    </w:rPr>
  </w:style>
  <w:style w:type="character" w:customStyle="1" w:styleId="Nadpis5Char">
    <w:name w:val="Nadpis 5 Char"/>
    <w:basedOn w:val="Standardnpsmoodstavce"/>
    <w:link w:val="Nadpis5"/>
    <w:rsid w:val="009A09AA"/>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rsid w:val="009A09AA"/>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rsid w:val="009A09AA"/>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rsid w:val="009A09A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rsid w:val="009A09AA"/>
    <w:rPr>
      <w:rFonts w:asciiTheme="majorHAnsi" w:eastAsiaTheme="majorEastAsia" w:hAnsiTheme="majorHAnsi" w:cstheme="majorBidi"/>
      <w:i/>
      <w:iCs/>
      <w:color w:val="272727" w:themeColor="text1" w:themeTint="D8"/>
      <w:sz w:val="21"/>
      <w:szCs w:val="21"/>
    </w:rPr>
  </w:style>
  <w:style w:type="paragraph" w:styleId="Bezmezer">
    <w:name w:val="No Spacing"/>
    <w:aliases w:val="Nadpis římské č."/>
    <w:basedOn w:val="Nadpis1"/>
    <w:next w:val="Normln"/>
    <w:link w:val="BezmezerChar"/>
    <w:uiPriority w:val="1"/>
    <w:qFormat/>
    <w:rsid w:val="002265A6"/>
    <w:pPr>
      <w:numPr>
        <w:numId w:val="2"/>
      </w:numPr>
      <w:pBdr>
        <w:bottom w:val="single" w:sz="18" w:space="1" w:color="BDD6EE" w:themeColor="accent1" w:themeTint="66"/>
      </w:pBdr>
      <w:ind w:left="0" w:firstLine="284"/>
    </w:pPr>
    <w:rPr>
      <w:color w:val="2F5496" w:themeColor="accent5" w:themeShade="BF"/>
    </w:rPr>
  </w:style>
  <w:style w:type="character" w:customStyle="1" w:styleId="BezmezerChar">
    <w:name w:val="Bez mezer Char"/>
    <w:aliases w:val="Nadpis římské č. Char"/>
    <w:basedOn w:val="Standardnpsmoodstavce"/>
    <w:link w:val="Bezmezer"/>
    <w:uiPriority w:val="1"/>
    <w:rsid w:val="002265A6"/>
    <w:rPr>
      <w:rFonts w:ascii="Calibri" w:eastAsiaTheme="majorEastAsia" w:hAnsi="Calibri" w:cstheme="majorBidi"/>
      <w:b/>
      <w:color w:val="2F5496" w:themeColor="accent5" w:themeShade="BF"/>
      <w:sz w:val="28"/>
      <w:szCs w:val="32"/>
    </w:rPr>
  </w:style>
  <w:style w:type="paragraph" w:styleId="Titulek">
    <w:name w:val="caption"/>
    <w:basedOn w:val="Normln"/>
    <w:next w:val="Normln"/>
    <w:link w:val="TitulekChar"/>
    <w:unhideWhenUsed/>
    <w:rsid w:val="00056846"/>
    <w:pPr>
      <w:spacing w:before="0" w:after="200"/>
    </w:pPr>
    <w:rPr>
      <w:i/>
      <w:iCs/>
      <w:color w:val="44546A" w:themeColor="text2"/>
      <w:sz w:val="18"/>
      <w:szCs w:val="18"/>
    </w:rPr>
  </w:style>
  <w:style w:type="character" w:customStyle="1" w:styleId="TitulekChar">
    <w:name w:val="Titulek Char"/>
    <w:link w:val="Titulek"/>
    <w:rsid w:val="000C6C21"/>
    <w:rPr>
      <w:i/>
      <w:iCs/>
      <w:color w:val="44546A" w:themeColor="text2"/>
      <w:sz w:val="18"/>
      <w:szCs w:val="18"/>
    </w:rPr>
  </w:style>
  <w:style w:type="paragraph" w:styleId="Nzev">
    <w:name w:val="Title"/>
    <w:aliases w:val="Titulky"/>
    <w:basedOn w:val="Normln"/>
    <w:next w:val="Normln"/>
    <w:link w:val="NzevChar"/>
    <w:qFormat/>
    <w:rsid w:val="00443A42"/>
    <w:pPr>
      <w:keepNext/>
      <w:contextualSpacing/>
    </w:pPr>
    <w:rPr>
      <w:rFonts w:eastAsiaTheme="majorEastAsia" w:cstheme="majorBidi"/>
      <w:b/>
      <w:color w:val="2F5496" w:themeColor="accent5" w:themeShade="BF"/>
      <w:spacing w:val="-10"/>
      <w:kern w:val="28"/>
      <w:szCs w:val="56"/>
    </w:rPr>
  </w:style>
  <w:style w:type="character" w:customStyle="1" w:styleId="NzevChar">
    <w:name w:val="Název Char"/>
    <w:aliases w:val="Titulky Char"/>
    <w:basedOn w:val="Standardnpsmoodstavce"/>
    <w:link w:val="Nzev"/>
    <w:rsid w:val="00443A42"/>
    <w:rPr>
      <w:rFonts w:eastAsiaTheme="majorEastAsia" w:cstheme="majorBidi"/>
      <w:b/>
      <w:color w:val="2F5496" w:themeColor="accent5" w:themeShade="BF"/>
      <w:spacing w:val="-10"/>
      <w:kern w:val="28"/>
      <w:szCs w:val="56"/>
    </w:rPr>
  </w:style>
  <w:style w:type="paragraph" w:styleId="Podnadpis">
    <w:name w:val="Subtitle"/>
    <w:aliases w:val="Pramen,Poznámka pod čarou"/>
    <w:basedOn w:val="Normln"/>
    <w:next w:val="Normln"/>
    <w:link w:val="PodnadpisChar"/>
    <w:qFormat/>
    <w:rsid w:val="00833017"/>
    <w:pPr>
      <w:numPr>
        <w:ilvl w:val="1"/>
      </w:numPr>
      <w:spacing w:before="0" w:after="40"/>
    </w:pPr>
    <w:rPr>
      <w:rFonts w:eastAsiaTheme="minorEastAsia"/>
      <w:i/>
      <w:color w:val="000000" w:themeColor="text1"/>
      <w:sz w:val="16"/>
    </w:rPr>
  </w:style>
  <w:style w:type="character" w:customStyle="1" w:styleId="PodnadpisChar">
    <w:name w:val="Podnadpis Char"/>
    <w:aliases w:val="Pramen Char,Poznámka pod čarou Char"/>
    <w:basedOn w:val="Standardnpsmoodstavce"/>
    <w:link w:val="Podnadpis"/>
    <w:rsid w:val="00833017"/>
    <w:rPr>
      <w:rFonts w:eastAsiaTheme="minorEastAsia"/>
      <w:i/>
      <w:color w:val="000000" w:themeColor="text1"/>
      <w:sz w:val="16"/>
    </w:rPr>
  </w:style>
  <w:style w:type="paragraph" w:customStyle="1" w:styleId="Tabgraf">
    <w:name w:val="Tab_graf"/>
    <w:basedOn w:val="Normln"/>
    <w:next w:val="Normln"/>
    <w:link w:val="TabgrafChar"/>
    <w:qFormat/>
    <w:rsid w:val="009D4D6B"/>
    <w:pPr>
      <w:spacing w:before="0"/>
    </w:pPr>
  </w:style>
  <w:style w:type="character" w:customStyle="1" w:styleId="TabgrafChar">
    <w:name w:val="Tab_graf Char"/>
    <w:basedOn w:val="Standardnpsmoodstavce"/>
    <w:link w:val="Tabgraf"/>
    <w:rsid w:val="009D4D6B"/>
  </w:style>
  <w:style w:type="paragraph" w:styleId="Textpoznpodarou">
    <w:name w:val="footnote text"/>
    <w:aliases w:val="Schriftart: 9 pt,Schriftart: 10 pt,Schriftart: 8 pt,pozn. pod čarou,Podrozdział,Footnote,Podrozdzia3"/>
    <w:basedOn w:val="Normln"/>
    <w:link w:val="TextpoznpodarouChar"/>
    <w:unhideWhenUsed/>
    <w:rsid w:val="009D4D6B"/>
    <w:pPr>
      <w:spacing w:before="0"/>
    </w:pPr>
    <w:rPr>
      <w:sz w:val="20"/>
      <w:szCs w:val="20"/>
    </w:rPr>
  </w:style>
  <w:style w:type="character" w:customStyle="1" w:styleId="TextpoznpodarouChar">
    <w:name w:val="Text pozn. pod čarou Char"/>
    <w:aliases w:val="Schriftart: 9 pt Char,Schriftart: 10 pt Char,Schriftart: 8 pt Char,pozn. pod čarou Char,Podrozdział Char,Footnote Char,Podrozdzia3 Char"/>
    <w:basedOn w:val="Standardnpsmoodstavce"/>
    <w:link w:val="Textpoznpodarou"/>
    <w:rsid w:val="009D4D6B"/>
    <w:rPr>
      <w:sz w:val="20"/>
      <w:szCs w:val="20"/>
    </w:rPr>
  </w:style>
  <w:style w:type="character" w:styleId="Znakapoznpodarou">
    <w:name w:val="footnote reference"/>
    <w:aliases w:val="PGI Fußnote Ziffer"/>
    <w:basedOn w:val="Standardnpsmoodstavce"/>
    <w:unhideWhenUsed/>
    <w:rsid w:val="009D4D6B"/>
    <w:rPr>
      <w:vertAlign w:val="superscript"/>
    </w:rPr>
  </w:style>
  <w:style w:type="paragraph" w:styleId="Zhlav">
    <w:name w:val="header"/>
    <w:basedOn w:val="Normln"/>
    <w:link w:val="ZhlavChar"/>
    <w:uiPriority w:val="99"/>
    <w:unhideWhenUsed/>
    <w:rsid w:val="00F9601E"/>
    <w:pPr>
      <w:tabs>
        <w:tab w:val="center" w:pos="4536"/>
        <w:tab w:val="right" w:pos="9072"/>
      </w:tabs>
      <w:spacing w:before="0"/>
    </w:pPr>
  </w:style>
  <w:style w:type="character" w:customStyle="1" w:styleId="ZhlavChar">
    <w:name w:val="Záhlaví Char"/>
    <w:basedOn w:val="Standardnpsmoodstavce"/>
    <w:link w:val="Zhlav"/>
    <w:uiPriority w:val="99"/>
    <w:rsid w:val="00F9601E"/>
  </w:style>
  <w:style w:type="paragraph" w:styleId="Zpat">
    <w:name w:val="footer"/>
    <w:basedOn w:val="Normln"/>
    <w:link w:val="ZpatChar"/>
    <w:uiPriority w:val="99"/>
    <w:unhideWhenUsed/>
    <w:rsid w:val="00F9601E"/>
    <w:pPr>
      <w:tabs>
        <w:tab w:val="center" w:pos="4536"/>
        <w:tab w:val="right" w:pos="9072"/>
      </w:tabs>
      <w:spacing w:before="0"/>
    </w:pPr>
  </w:style>
  <w:style w:type="character" w:customStyle="1" w:styleId="ZpatChar">
    <w:name w:val="Zápatí Char"/>
    <w:basedOn w:val="Standardnpsmoodstavce"/>
    <w:link w:val="Zpat"/>
    <w:uiPriority w:val="99"/>
    <w:rsid w:val="00F9601E"/>
  </w:style>
  <w:style w:type="paragraph" w:styleId="Nadpisobsahu">
    <w:name w:val="TOC Heading"/>
    <w:basedOn w:val="Nadpis1"/>
    <w:next w:val="Normln"/>
    <w:uiPriority w:val="39"/>
    <w:unhideWhenUsed/>
    <w:rsid w:val="00626D52"/>
    <w:pPr>
      <w:numPr>
        <w:numId w:val="0"/>
      </w:numPr>
      <w:spacing w:after="0" w:line="259" w:lineRule="auto"/>
      <w:outlineLvl w:val="9"/>
    </w:pPr>
    <w:rPr>
      <w:rFonts w:asciiTheme="majorHAnsi" w:hAnsiTheme="majorHAnsi"/>
      <w:b w:val="0"/>
      <w:color w:val="2E74B5" w:themeColor="accent1" w:themeShade="BF"/>
      <w:sz w:val="32"/>
      <w:lang w:eastAsia="cs-CZ"/>
    </w:rPr>
  </w:style>
  <w:style w:type="paragraph" w:styleId="Obsah1">
    <w:name w:val="toc 1"/>
    <w:basedOn w:val="Normln"/>
    <w:next w:val="Normln"/>
    <w:autoRedefine/>
    <w:uiPriority w:val="39"/>
    <w:unhideWhenUsed/>
    <w:rsid w:val="00C02347"/>
    <w:pPr>
      <w:tabs>
        <w:tab w:val="left" w:pos="440"/>
        <w:tab w:val="right" w:leader="dot" w:pos="9628"/>
      </w:tabs>
      <w:spacing w:before="0"/>
      <w:ind w:left="426" w:hanging="426"/>
    </w:pPr>
    <w:rPr>
      <w:noProof/>
    </w:rPr>
  </w:style>
  <w:style w:type="paragraph" w:styleId="Obsah2">
    <w:name w:val="toc 2"/>
    <w:basedOn w:val="Normln"/>
    <w:next w:val="Normln"/>
    <w:autoRedefine/>
    <w:uiPriority w:val="39"/>
    <w:unhideWhenUsed/>
    <w:rsid w:val="00251787"/>
    <w:pPr>
      <w:tabs>
        <w:tab w:val="left" w:pos="709"/>
        <w:tab w:val="right" w:leader="dot" w:pos="9628"/>
      </w:tabs>
      <w:spacing w:before="0"/>
      <w:ind w:left="220"/>
    </w:pPr>
  </w:style>
  <w:style w:type="paragraph" w:styleId="Obsah3">
    <w:name w:val="toc 3"/>
    <w:basedOn w:val="Normln"/>
    <w:next w:val="Normln"/>
    <w:autoRedefine/>
    <w:uiPriority w:val="39"/>
    <w:unhideWhenUsed/>
    <w:rsid w:val="00251787"/>
    <w:pPr>
      <w:tabs>
        <w:tab w:val="left" w:pos="1134"/>
        <w:tab w:val="right" w:leader="dot" w:pos="9628"/>
      </w:tabs>
      <w:spacing w:before="0"/>
      <w:ind w:left="440"/>
    </w:pPr>
  </w:style>
  <w:style w:type="character" w:styleId="Hypertextovodkaz">
    <w:name w:val="Hyperlink"/>
    <w:basedOn w:val="Standardnpsmoodstavce"/>
    <w:uiPriority w:val="99"/>
    <w:unhideWhenUsed/>
    <w:rsid w:val="00626D52"/>
    <w:rPr>
      <w:color w:val="0563C1" w:themeColor="hyperlink"/>
      <w:u w:val="single"/>
    </w:rPr>
  </w:style>
  <w:style w:type="paragraph" w:styleId="Seznamobrzk">
    <w:name w:val="table of figures"/>
    <w:basedOn w:val="Normln"/>
    <w:next w:val="Normln"/>
    <w:uiPriority w:val="99"/>
    <w:unhideWhenUsed/>
    <w:rsid w:val="00BC4C51"/>
  </w:style>
  <w:style w:type="paragraph" w:styleId="Textbubliny">
    <w:name w:val="Balloon Text"/>
    <w:basedOn w:val="Normln"/>
    <w:link w:val="TextbublinyChar"/>
    <w:uiPriority w:val="99"/>
    <w:unhideWhenUsed/>
    <w:rsid w:val="002B2B38"/>
    <w:pPr>
      <w:spacing w:before="0"/>
    </w:pPr>
    <w:rPr>
      <w:rFonts w:ascii="Tahoma" w:hAnsi="Tahoma" w:cs="Tahoma"/>
      <w:sz w:val="16"/>
      <w:szCs w:val="16"/>
    </w:rPr>
  </w:style>
  <w:style w:type="character" w:customStyle="1" w:styleId="TextbublinyChar">
    <w:name w:val="Text bubliny Char"/>
    <w:basedOn w:val="Standardnpsmoodstavce"/>
    <w:link w:val="Textbubliny"/>
    <w:uiPriority w:val="99"/>
    <w:rsid w:val="002B2B38"/>
    <w:rPr>
      <w:rFonts w:ascii="Tahoma" w:hAnsi="Tahoma" w:cs="Tahoma"/>
      <w:sz w:val="16"/>
      <w:szCs w:val="16"/>
    </w:rPr>
  </w:style>
  <w:style w:type="paragraph" w:customStyle="1" w:styleId="tabgraf0">
    <w:name w:val="tab_graf"/>
    <w:link w:val="tabgrafChar0"/>
    <w:rsid w:val="000C6C21"/>
    <w:pPr>
      <w:spacing w:after="120" w:line="240" w:lineRule="auto"/>
    </w:pPr>
    <w:rPr>
      <w:rFonts w:ascii="Times New Roman" w:eastAsia="Times New Roman" w:hAnsi="Times New Roman" w:cs="Times New Roman"/>
      <w:sz w:val="20"/>
      <w:szCs w:val="20"/>
      <w:lang w:eastAsia="cs-CZ"/>
    </w:rPr>
  </w:style>
  <w:style w:type="character" w:customStyle="1" w:styleId="tabgrafChar0">
    <w:name w:val="tab_graf Char"/>
    <w:link w:val="tabgraf0"/>
    <w:rsid w:val="000C6C21"/>
    <w:rPr>
      <w:rFonts w:ascii="Times New Roman" w:eastAsia="Times New Roman" w:hAnsi="Times New Roman" w:cs="Times New Roman"/>
      <w:sz w:val="20"/>
      <w:szCs w:val="20"/>
      <w:lang w:eastAsia="cs-CZ"/>
    </w:rPr>
  </w:style>
  <w:style w:type="character" w:styleId="slostrnky">
    <w:name w:val="page number"/>
    <w:basedOn w:val="Standardnpsmoodstavce"/>
    <w:rsid w:val="00E109A1"/>
  </w:style>
  <w:style w:type="paragraph" w:styleId="Rejstk1">
    <w:name w:val="index 1"/>
    <w:basedOn w:val="Normln"/>
    <w:next w:val="Normln"/>
    <w:uiPriority w:val="99"/>
    <w:semiHidden/>
    <w:rsid w:val="00E109A1"/>
    <w:pPr>
      <w:tabs>
        <w:tab w:val="left" w:pos="7797"/>
        <w:tab w:val="left" w:pos="8080"/>
        <w:tab w:val="left" w:pos="8789"/>
      </w:tabs>
      <w:spacing w:line="360" w:lineRule="auto"/>
      <w:ind w:right="-1" w:firstLine="720"/>
    </w:pPr>
    <w:rPr>
      <w:rFonts w:ascii="Times New Roman" w:eastAsia="Times New Roman" w:hAnsi="Times New Roman" w:cs="Times New Roman"/>
      <w:sz w:val="24"/>
      <w:szCs w:val="20"/>
      <w:lang w:eastAsia="cs-CZ"/>
    </w:rPr>
  </w:style>
  <w:style w:type="paragraph" w:styleId="Obsah4">
    <w:name w:val="toc 4"/>
    <w:basedOn w:val="Normln"/>
    <w:next w:val="Normln"/>
    <w:autoRedefine/>
    <w:uiPriority w:val="39"/>
    <w:rsid w:val="00E109A1"/>
    <w:pPr>
      <w:spacing w:before="0"/>
      <w:ind w:left="720"/>
      <w:jc w:val="left"/>
    </w:pPr>
    <w:rPr>
      <w:rFonts w:ascii="Times New Roman" w:eastAsia="Times New Roman" w:hAnsi="Times New Roman" w:cs="Times New Roman"/>
      <w:sz w:val="18"/>
      <w:szCs w:val="18"/>
      <w:lang w:eastAsia="cs-CZ"/>
    </w:rPr>
  </w:style>
  <w:style w:type="paragraph" w:styleId="Rozloendokumentu">
    <w:name w:val="Document Map"/>
    <w:basedOn w:val="Normln"/>
    <w:link w:val="RozloendokumentuChar"/>
    <w:uiPriority w:val="99"/>
    <w:semiHidden/>
    <w:rsid w:val="00E109A1"/>
    <w:pPr>
      <w:shd w:val="clear" w:color="auto" w:fill="000080"/>
    </w:pPr>
    <w:rPr>
      <w:rFonts w:ascii="Tahoma" w:eastAsia="Times New Roman" w:hAnsi="Tahoma" w:cs="Tahoma"/>
      <w:sz w:val="20"/>
      <w:szCs w:val="20"/>
      <w:lang w:eastAsia="cs-CZ"/>
    </w:rPr>
  </w:style>
  <w:style w:type="character" w:customStyle="1" w:styleId="RozloendokumentuChar">
    <w:name w:val="Rozložení dokumentu Char"/>
    <w:basedOn w:val="Standardnpsmoodstavce"/>
    <w:link w:val="Rozloendokumentu"/>
    <w:uiPriority w:val="99"/>
    <w:semiHidden/>
    <w:rsid w:val="00E109A1"/>
    <w:rPr>
      <w:rFonts w:ascii="Tahoma" w:eastAsia="Times New Roman" w:hAnsi="Tahoma" w:cs="Tahoma"/>
      <w:sz w:val="20"/>
      <w:szCs w:val="20"/>
      <w:shd w:val="clear" w:color="auto" w:fill="000080"/>
      <w:lang w:eastAsia="cs-CZ"/>
    </w:rPr>
  </w:style>
  <w:style w:type="character" w:styleId="Odkaznakoment">
    <w:name w:val="annotation reference"/>
    <w:uiPriority w:val="99"/>
    <w:semiHidden/>
    <w:rsid w:val="00E109A1"/>
    <w:rPr>
      <w:sz w:val="16"/>
      <w:szCs w:val="16"/>
    </w:rPr>
  </w:style>
  <w:style w:type="character" w:customStyle="1" w:styleId="StylZnakapoznpodarouTun">
    <w:name w:val="Styl Značka pozn. pod čarou + Tučné"/>
    <w:rsid w:val="00E109A1"/>
    <w:rPr>
      <w:bCs/>
      <w:position w:val="6"/>
      <w:sz w:val="16"/>
    </w:rPr>
  </w:style>
  <w:style w:type="paragraph" w:styleId="Textkomente">
    <w:name w:val="annotation text"/>
    <w:basedOn w:val="Normln"/>
    <w:link w:val="TextkomenteChar"/>
    <w:semiHidden/>
    <w:rsid w:val="00E109A1"/>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E109A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E109A1"/>
    <w:rPr>
      <w:b/>
      <w:bCs/>
    </w:rPr>
  </w:style>
  <w:style w:type="character" w:customStyle="1" w:styleId="PedmtkomenteChar">
    <w:name w:val="Předmět komentáře Char"/>
    <w:basedOn w:val="TextkomenteChar"/>
    <w:link w:val="Pedmtkomente"/>
    <w:uiPriority w:val="99"/>
    <w:semiHidden/>
    <w:rsid w:val="00E109A1"/>
    <w:rPr>
      <w:rFonts w:ascii="Times New Roman" w:eastAsia="Times New Roman" w:hAnsi="Times New Roman" w:cs="Times New Roman"/>
      <w:b/>
      <w:bCs/>
      <w:sz w:val="20"/>
      <w:szCs w:val="20"/>
      <w:lang w:eastAsia="cs-CZ"/>
    </w:rPr>
  </w:style>
  <w:style w:type="paragraph" w:customStyle="1" w:styleId="Box">
    <w:name w:val="Box"/>
    <w:basedOn w:val="Normln"/>
    <w:next w:val="Normln"/>
    <w:uiPriority w:val="99"/>
    <w:rsid w:val="00E109A1"/>
    <w:pPr>
      <w:pBdr>
        <w:top w:val="single" w:sz="4" w:space="1" w:color="auto"/>
        <w:left w:val="single" w:sz="4" w:space="4" w:color="auto"/>
        <w:bottom w:val="single" w:sz="4" w:space="1" w:color="auto"/>
        <w:right w:val="single" w:sz="4" w:space="4" w:color="auto"/>
      </w:pBdr>
      <w:shd w:val="clear" w:color="auto" w:fill="E6E6E6"/>
    </w:pPr>
    <w:rPr>
      <w:rFonts w:ascii="Times New Roman" w:eastAsia="Times New Roman" w:hAnsi="Times New Roman" w:cs="Times New Roman"/>
      <w:sz w:val="20"/>
      <w:szCs w:val="24"/>
      <w:lang w:eastAsia="cs-CZ"/>
    </w:rPr>
  </w:style>
  <w:style w:type="paragraph" w:customStyle="1" w:styleId="Styl18bTunzarovnnnasted">
    <w:name w:val="Styl 18 b. Tučné zarovnání na střed"/>
    <w:basedOn w:val="Normln"/>
    <w:uiPriority w:val="99"/>
    <w:rsid w:val="00E109A1"/>
    <w:pPr>
      <w:jc w:val="center"/>
    </w:pPr>
    <w:rPr>
      <w:rFonts w:ascii="Times New Roman" w:eastAsia="Times New Roman" w:hAnsi="Times New Roman" w:cs="Times New Roman"/>
      <w:b/>
      <w:bCs/>
      <w:caps/>
      <w:sz w:val="40"/>
      <w:szCs w:val="40"/>
      <w:lang w:eastAsia="cs-CZ"/>
    </w:rPr>
  </w:style>
  <w:style w:type="paragraph" w:styleId="Obsah5">
    <w:name w:val="toc 5"/>
    <w:basedOn w:val="Normln"/>
    <w:next w:val="Normln"/>
    <w:autoRedefine/>
    <w:uiPriority w:val="39"/>
    <w:rsid w:val="00E109A1"/>
    <w:pPr>
      <w:spacing w:before="0"/>
      <w:ind w:left="960"/>
      <w:jc w:val="left"/>
    </w:pPr>
    <w:rPr>
      <w:rFonts w:ascii="Times New Roman" w:eastAsia="Times New Roman" w:hAnsi="Times New Roman" w:cs="Times New Roman"/>
      <w:sz w:val="18"/>
      <w:szCs w:val="18"/>
      <w:lang w:eastAsia="cs-CZ"/>
    </w:rPr>
  </w:style>
  <w:style w:type="paragraph" w:styleId="Obsah6">
    <w:name w:val="toc 6"/>
    <w:basedOn w:val="Normln"/>
    <w:next w:val="Normln"/>
    <w:autoRedefine/>
    <w:uiPriority w:val="39"/>
    <w:rsid w:val="00E109A1"/>
    <w:pPr>
      <w:spacing w:before="0"/>
      <w:ind w:left="1200"/>
      <w:jc w:val="left"/>
    </w:pPr>
    <w:rPr>
      <w:rFonts w:ascii="Times New Roman" w:eastAsia="Times New Roman" w:hAnsi="Times New Roman" w:cs="Times New Roman"/>
      <w:sz w:val="18"/>
      <w:szCs w:val="18"/>
      <w:lang w:eastAsia="cs-CZ"/>
    </w:rPr>
  </w:style>
  <w:style w:type="paragraph" w:styleId="Obsah7">
    <w:name w:val="toc 7"/>
    <w:basedOn w:val="Normln"/>
    <w:next w:val="Normln"/>
    <w:autoRedefine/>
    <w:uiPriority w:val="39"/>
    <w:rsid w:val="00E109A1"/>
    <w:pPr>
      <w:spacing w:before="0"/>
      <w:ind w:left="1440"/>
      <w:jc w:val="left"/>
    </w:pPr>
    <w:rPr>
      <w:rFonts w:ascii="Times New Roman" w:eastAsia="Times New Roman" w:hAnsi="Times New Roman" w:cs="Times New Roman"/>
      <w:sz w:val="18"/>
      <w:szCs w:val="18"/>
      <w:lang w:eastAsia="cs-CZ"/>
    </w:rPr>
  </w:style>
  <w:style w:type="paragraph" w:styleId="Obsah8">
    <w:name w:val="toc 8"/>
    <w:basedOn w:val="Normln"/>
    <w:next w:val="Normln"/>
    <w:autoRedefine/>
    <w:uiPriority w:val="39"/>
    <w:rsid w:val="00E109A1"/>
    <w:pPr>
      <w:spacing w:before="0"/>
      <w:ind w:left="1680"/>
      <w:jc w:val="left"/>
    </w:pPr>
    <w:rPr>
      <w:rFonts w:ascii="Times New Roman" w:eastAsia="Times New Roman" w:hAnsi="Times New Roman" w:cs="Times New Roman"/>
      <w:sz w:val="18"/>
      <w:szCs w:val="18"/>
      <w:lang w:eastAsia="cs-CZ"/>
    </w:rPr>
  </w:style>
  <w:style w:type="paragraph" w:styleId="Obsah9">
    <w:name w:val="toc 9"/>
    <w:basedOn w:val="Normln"/>
    <w:next w:val="Normln"/>
    <w:autoRedefine/>
    <w:uiPriority w:val="39"/>
    <w:rsid w:val="00E109A1"/>
    <w:pPr>
      <w:spacing w:before="0"/>
      <w:ind w:left="1920"/>
      <w:jc w:val="left"/>
    </w:pPr>
    <w:rPr>
      <w:rFonts w:ascii="Times New Roman" w:eastAsia="Times New Roman" w:hAnsi="Times New Roman" w:cs="Times New Roman"/>
      <w:sz w:val="18"/>
      <w:szCs w:val="18"/>
      <w:lang w:eastAsia="cs-CZ"/>
    </w:rPr>
  </w:style>
  <w:style w:type="paragraph" w:customStyle="1" w:styleId="hlnadpis4">
    <w:name w:val="hl nadpis4"/>
    <w:basedOn w:val="Normln"/>
    <w:rsid w:val="00E109A1"/>
    <w:pPr>
      <w:overflowPunct w:val="0"/>
      <w:autoSpaceDE w:val="0"/>
      <w:autoSpaceDN w:val="0"/>
      <w:adjustRightInd w:val="0"/>
      <w:spacing w:before="360" w:after="120" w:line="360" w:lineRule="auto"/>
      <w:ind w:left="567"/>
      <w:jc w:val="center"/>
      <w:textAlignment w:val="baseline"/>
    </w:pPr>
    <w:rPr>
      <w:rFonts w:ascii="Times New Roman" w:eastAsia="Times New Roman" w:hAnsi="Times New Roman" w:cs="Times New Roman"/>
      <w:caps/>
      <w:spacing w:val="20"/>
      <w:sz w:val="24"/>
      <w:szCs w:val="20"/>
      <w:lang w:eastAsia="cs-CZ"/>
    </w:rPr>
  </w:style>
  <w:style w:type="paragraph" w:customStyle="1" w:styleId="ObalSZU">
    <w:name w:val="Obal SZU"/>
    <w:basedOn w:val="Normln"/>
    <w:rsid w:val="00E109A1"/>
    <w:pPr>
      <w:jc w:val="center"/>
    </w:pPr>
    <w:rPr>
      <w:rFonts w:ascii="Times New Roman" w:eastAsia="Times New Roman" w:hAnsi="Times New Roman" w:cs="Times New Roman"/>
      <w:b/>
      <w:caps/>
      <w:sz w:val="40"/>
      <w:szCs w:val="24"/>
      <w:lang w:eastAsia="cs-CZ"/>
    </w:rPr>
  </w:style>
  <w:style w:type="paragraph" w:customStyle="1" w:styleId="ObalSZUmodre">
    <w:name w:val="Obal SZU modre"/>
    <w:basedOn w:val="ObalSZU"/>
    <w:rsid w:val="00E109A1"/>
    <w:rPr>
      <w:color w:val="000080"/>
    </w:rPr>
  </w:style>
  <w:style w:type="paragraph" w:customStyle="1" w:styleId="Standardnstyl">
    <w:name w:val="Standardní styl"/>
    <w:link w:val="StandardnstylChar"/>
    <w:autoRedefine/>
    <w:rsid w:val="00E109A1"/>
    <w:pPr>
      <w:spacing w:after="0" w:line="240" w:lineRule="auto"/>
      <w:ind w:firstLine="539"/>
      <w:jc w:val="both"/>
    </w:pPr>
    <w:rPr>
      <w:rFonts w:ascii="Times New Roman" w:eastAsia="Times New Roman" w:hAnsi="Times New Roman" w:cs="Times New Roman"/>
      <w:sz w:val="20"/>
      <w:szCs w:val="20"/>
      <w:lang w:eastAsia="cs-CZ"/>
    </w:rPr>
  </w:style>
  <w:style w:type="character" w:customStyle="1" w:styleId="StandardnstylChar">
    <w:name w:val="Standardní styl Char"/>
    <w:link w:val="Standardnstyl"/>
    <w:rsid w:val="00E109A1"/>
    <w:rPr>
      <w:rFonts w:ascii="Times New Roman" w:eastAsia="Times New Roman" w:hAnsi="Times New Roman" w:cs="Times New Roman"/>
      <w:sz w:val="20"/>
      <w:szCs w:val="20"/>
      <w:lang w:eastAsia="cs-CZ"/>
    </w:rPr>
  </w:style>
  <w:style w:type="paragraph" w:styleId="Zkladntext">
    <w:name w:val="Body Text"/>
    <w:aliases w:val="block style"/>
    <w:basedOn w:val="Normln"/>
    <w:link w:val="ZkladntextChar"/>
    <w:uiPriority w:val="99"/>
    <w:rsid w:val="00E109A1"/>
    <w:pPr>
      <w:tabs>
        <w:tab w:val="left" w:pos="7797"/>
        <w:tab w:val="left" w:pos="8080"/>
        <w:tab w:val="left" w:pos="8789"/>
      </w:tabs>
      <w:spacing w:after="120" w:line="240" w:lineRule="atLeast"/>
      <w:ind w:right="-1"/>
      <w:jc w:val="left"/>
    </w:pPr>
    <w:rPr>
      <w:rFonts w:ascii="Times New Roman" w:eastAsia="Times New Roman" w:hAnsi="Times New Roman" w:cs="Times New Roman"/>
      <w:sz w:val="24"/>
      <w:szCs w:val="20"/>
      <w:lang w:eastAsia="cs-CZ"/>
    </w:rPr>
  </w:style>
  <w:style w:type="character" w:customStyle="1" w:styleId="ZkladntextChar">
    <w:name w:val="Základní text Char"/>
    <w:aliases w:val="block style Char"/>
    <w:basedOn w:val="Standardnpsmoodstavce"/>
    <w:link w:val="Zkladntext"/>
    <w:uiPriority w:val="99"/>
    <w:rsid w:val="00E109A1"/>
    <w:rPr>
      <w:rFonts w:ascii="Times New Roman" w:eastAsia="Times New Roman" w:hAnsi="Times New Roman" w:cs="Times New Roman"/>
      <w:sz w:val="24"/>
      <w:szCs w:val="20"/>
      <w:lang w:eastAsia="cs-CZ"/>
    </w:rPr>
  </w:style>
  <w:style w:type="paragraph" w:customStyle="1" w:styleId="Zkladntext21">
    <w:name w:val="Základní text 21"/>
    <w:basedOn w:val="Normln"/>
    <w:link w:val="BodyText2Char"/>
    <w:rsid w:val="00E109A1"/>
    <w:pPr>
      <w:overflowPunct w:val="0"/>
      <w:autoSpaceDE w:val="0"/>
      <w:autoSpaceDN w:val="0"/>
      <w:adjustRightInd w:val="0"/>
      <w:spacing w:before="0"/>
      <w:textAlignment w:val="baseline"/>
    </w:pPr>
    <w:rPr>
      <w:rFonts w:ascii="Times New Roman" w:eastAsia="Times New Roman" w:hAnsi="Times New Roman" w:cs="Times New Roman"/>
      <w:sz w:val="24"/>
      <w:szCs w:val="20"/>
      <w:lang w:eastAsia="cs-CZ"/>
    </w:rPr>
  </w:style>
  <w:style w:type="character" w:customStyle="1" w:styleId="BodyText2Char">
    <w:name w:val="Body Text 2 Char"/>
    <w:link w:val="Zkladntext21"/>
    <w:rsid w:val="00E109A1"/>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E109A1"/>
    <w:pPr>
      <w:spacing w:line="360" w:lineRule="atLeast"/>
      <w:ind w:firstLine="567"/>
    </w:pPr>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rsid w:val="00E109A1"/>
    <w:pPr>
      <w:spacing w:after="120"/>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uiPriority w:val="99"/>
    <w:rsid w:val="00E109A1"/>
    <w:rPr>
      <w:rFonts w:ascii="Times New Roman" w:eastAsia="Times New Roman" w:hAnsi="Times New Roman" w:cs="Times New Roman"/>
      <w:sz w:val="24"/>
      <w:szCs w:val="24"/>
      <w:lang w:eastAsia="cs-CZ"/>
    </w:rPr>
  </w:style>
  <w:style w:type="paragraph" w:customStyle="1" w:styleId="Nadpis5tun">
    <w:name w:val="Nadpis 5 (tučně"/>
    <w:aliases w:val="bez číslování)"/>
    <w:basedOn w:val="Nadpis4"/>
    <w:link w:val="Nadpis5tunChar"/>
    <w:uiPriority w:val="99"/>
    <w:rsid w:val="00E109A1"/>
    <w:pPr>
      <w:spacing w:before="120" w:after="120"/>
      <w:jc w:val="both"/>
    </w:pPr>
    <w:rPr>
      <w:rFonts w:ascii="Times New Roman" w:eastAsia="Times New Roman" w:hAnsi="Times New Roman" w:cs="Times New Roman"/>
      <w:iCs w:val="0"/>
      <w:sz w:val="24"/>
      <w:szCs w:val="20"/>
      <w:lang w:eastAsia="cs-CZ"/>
    </w:rPr>
  </w:style>
  <w:style w:type="character" w:customStyle="1" w:styleId="Nadpis5tunChar">
    <w:name w:val="Nadpis 5 (tučně Char"/>
    <w:aliases w:val="bez číslování) Char"/>
    <w:basedOn w:val="Nadpis4Char"/>
    <w:link w:val="Nadpis5tun"/>
    <w:uiPriority w:val="99"/>
    <w:rsid w:val="00E109A1"/>
    <w:rPr>
      <w:rFonts w:ascii="Times New Roman" w:eastAsia="Times New Roman" w:hAnsi="Times New Roman" w:cs="Times New Roman"/>
      <w:b/>
      <w:iCs w:val="0"/>
      <w:color w:val="2F5496" w:themeColor="accent5" w:themeShade="BF"/>
      <w:sz w:val="24"/>
      <w:szCs w:val="20"/>
      <w:lang w:eastAsia="cs-CZ"/>
    </w:rPr>
  </w:style>
  <w:style w:type="paragraph" w:styleId="Zkladntextodsazen2">
    <w:name w:val="Body Text Indent 2"/>
    <w:basedOn w:val="Normln"/>
    <w:link w:val="Zkladntextodsazen2Char"/>
    <w:rsid w:val="00E109A1"/>
    <w:pPr>
      <w:spacing w:after="120" w:line="480" w:lineRule="auto"/>
      <w:ind w:left="283"/>
    </w:pPr>
    <w:rPr>
      <w:rFonts w:ascii="Times New Roman" w:eastAsia="Times New Roman" w:hAnsi="Times New Roman" w:cs="Times New Roman"/>
      <w:sz w:val="24"/>
      <w:szCs w:val="24"/>
      <w:lang w:eastAsia="cs-CZ"/>
    </w:rPr>
  </w:style>
  <w:style w:type="character" w:customStyle="1" w:styleId="Zkladntextodsazen2Char">
    <w:name w:val="Základní text odsazený 2 Char"/>
    <w:basedOn w:val="Standardnpsmoodstavce"/>
    <w:link w:val="Zkladntextodsazen2"/>
    <w:rsid w:val="00E109A1"/>
    <w:rPr>
      <w:rFonts w:ascii="Times New Roman" w:eastAsia="Times New Roman" w:hAnsi="Times New Roman" w:cs="Times New Roman"/>
      <w:sz w:val="24"/>
      <w:szCs w:val="24"/>
      <w:lang w:eastAsia="cs-CZ"/>
    </w:rPr>
  </w:style>
  <w:style w:type="paragraph" w:styleId="Seznamsodrkami2">
    <w:name w:val="List Bullet 2"/>
    <w:basedOn w:val="Normln"/>
    <w:autoRedefine/>
    <w:rsid w:val="00E109A1"/>
    <w:pPr>
      <w:spacing w:line="360" w:lineRule="atLeast"/>
      <w:ind w:firstLine="567"/>
    </w:pPr>
    <w:rPr>
      <w:rFonts w:ascii="Times New Roman" w:eastAsia="Times New Roman" w:hAnsi="Times New Roman" w:cs="Times New Roman"/>
      <w:bCs/>
      <w:sz w:val="24"/>
      <w:szCs w:val="24"/>
      <w:lang w:eastAsia="cs-CZ"/>
    </w:rPr>
  </w:style>
  <w:style w:type="paragraph" w:customStyle="1" w:styleId="KOMtext">
    <w:name w:val="KOMtext"/>
    <w:basedOn w:val="Zkladntext"/>
    <w:link w:val="KOMtextChar"/>
    <w:rsid w:val="00E109A1"/>
    <w:pPr>
      <w:tabs>
        <w:tab w:val="clear" w:pos="7797"/>
        <w:tab w:val="clear" w:pos="8080"/>
        <w:tab w:val="clear" w:pos="8789"/>
      </w:tabs>
      <w:spacing w:before="0" w:line="240" w:lineRule="auto"/>
      <w:ind w:right="0" w:firstLine="567"/>
      <w:jc w:val="both"/>
    </w:pPr>
  </w:style>
  <w:style w:type="character" w:customStyle="1" w:styleId="KOMtextChar">
    <w:name w:val="KOMtext Char"/>
    <w:link w:val="KOMtext"/>
    <w:rsid w:val="00E109A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E109A1"/>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E109A1"/>
    <w:rPr>
      <w:rFonts w:ascii="Times New Roman" w:eastAsia="Times New Roman" w:hAnsi="Times New Roman" w:cs="Times New Roman"/>
      <w:sz w:val="24"/>
      <w:szCs w:val="24"/>
      <w:lang w:eastAsia="cs-CZ"/>
    </w:rPr>
  </w:style>
  <w:style w:type="paragraph" w:styleId="Normlnweb">
    <w:name w:val="Normal (Web)"/>
    <w:basedOn w:val="Normln"/>
    <w:rsid w:val="00E109A1"/>
    <w:pPr>
      <w:spacing w:before="100" w:beforeAutospacing="1" w:after="100" w:afterAutospacing="1"/>
      <w:jc w:val="left"/>
    </w:pPr>
    <w:rPr>
      <w:rFonts w:ascii="Times New Roman" w:eastAsia="Times New Roman" w:hAnsi="Times New Roman" w:cs="Times New Roman"/>
      <w:sz w:val="24"/>
      <w:szCs w:val="24"/>
      <w:lang w:eastAsia="cs-CZ"/>
    </w:rPr>
  </w:style>
  <w:style w:type="character" w:styleId="Siln">
    <w:name w:val="Strong"/>
    <w:uiPriority w:val="22"/>
    <w:rsid w:val="00E109A1"/>
    <w:rPr>
      <w:b/>
      <w:bCs/>
    </w:rPr>
  </w:style>
  <w:style w:type="paragraph" w:styleId="Zkladntextodsazen3">
    <w:name w:val="Body Text Indent 3"/>
    <w:basedOn w:val="Normln"/>
    <w:link w:val="Zkladntextodsazen3Char"/>
    <w:rsid w:val="00E109A1"/>
    <w:pPr>
      <w:spacing w:before="0" w:after="120"/>
      <w:ind w:left="283"/>
      <w:jc w:val="left"/>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E109A1"/>
    <w:rPr>
      <w:rFonts w:ascii="Times New Roman" w:eastAsia="Times New Roman" w:hAnsi="Times New Roman" w:cs="Times New Roman"/>
      <w:sz w:val="16"/>
      <w:szCs w:val="16"/>
      <w:lang w:eastAsia="cs-CZ"/>
    </w:rPr>
  </w:style>
  <w:style w:type="paragraph" w:customStyle="1" w:styleId="xl26">
    <w:name w:val="xl26"/>
    <w:basedOn w:val="Normln"/>
    <w:rsid w:val="00E109A1"/>
    <w:pPr>
      <w:spacing w:before="100" w:beforeAutospacing="1" w:after="100" w:afterAutospacing="1"/>
      <w:jc w:val="right"/>
    </w:pPr>
    <w:rPr>
      <w:rFonts w:ascii="Times New Roman" w:eastAsia="Arial Unicode MS" w:hAnsi="Times New Roman" w:cs="Times New Roman"/>
      <w:sz w:val="16"/>
      <w:szCs w:val="16"/>
      <w:lang w:eastAsia="cs-CZ"/>
    </w:rPr>
  </w:style>
  <w:style w:type="paragraph" w:styleId="Zkladntext3">
    <w:name w:val="Body Text 3"/>
    <w:basedOn w:val="Normln"/>
    <w:link w:val="Zkladntext3Char"/>
    <w:uiPriority w:val="99"/>
    <w:rsid w:val="00E109A1"/>
    <w:pPr>
      <w:spacing w:before="0" w:after="120"/>
      <w:jc w:val="left"/>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uiPriority w:val="99"/>
    <w:rsid w:val="00E109A1"/>
    <w:rPr>
      <w:rFonts w:ascii="Times New Roman" w:eastAsia="Times New Roman" w:hAnsi="Times New Roman" w:cs="Times New Roman"/>
      <w:sz w:val="16"/>
      <w:szCs w:val="16"/>
      <w:lang w:eastAsia="cs-CZ"/>
    </w:rPr>
  </w:style>
  <w:style w:type="paragraph" w:customStyle="1" w:styleId="Poznpodarou">
    <w:name w:val="Pozn.pod čarou"/>
    <w:basedOn w:val="Textpoznpodarou"/>
    <w:link w:val="PoznpodarouChar"/>
    <w:rsid w:val="00E109A1"/>
    <w:pPr>
      <w:tabs>
        <w:tab w:val="left" w:pos="7797"/>
        <w:tab w:val="left" w:pos="8080"/>
        <w:tab w:val="left" w:pos="8789"/>
      </w:tabs>
    </w:pPr>
    <w:rPr>
      <w:rFonts w:ascii="Times New Roman" w:eastAsia="Times New Roman" w:hAnsi="Times New Roman" w:cs="Times New Roman"/>
      <w:lang w:eastAsia="cs-CZ"/>
    </w:rPr>
  </w:style>
  <w:style w:type="character" w:customStyle="1" w:styleId="PoznpodarouChar">
    <w:name w:val="Pozn.pod čarou Char"/>
    <w:link w:val="Poznpodarou"/>
    <w:rsid w:val="00E109A1"/>
    <w:rPr>
      <w:rFonts w:ascii="Times New Roman" w:eastAsia="Times New Roman" w:hAnsi="Times New Roman" w:cs="Times New Roman"/>
      <w:sz w:val="20"/>
      <w:szCs w:val="20"/>
      <w:lang w:eastAsia="cs-CZ"/>
    </w:rPr>
  </w:style>
  <w:style w:type="character" w:customStyle="1" w:styleId="FootnoteTextChar">
    <w:name w:val="Footnote Text Char"/>
    <w:aliases w:val="Schriftart: 9 pt Char1,Schriftart: 10 pt Char1,Schriftart: 8 pt Char1,Podrozdzia3 Char Char"/>
    <w:uiPriority w:val="99"/>
    <w:locked/>
    <w:rsid w:val="00E109A1"/>
    <w:rPr>
      <w:lang w:val="cs-CZ" w:eastAsia="cs-CZ" w:bidi="ar-SA"/>
    </w:rPr>
  </w:style>
  <w:style w:type="character" w:customStyle="1" w:styleId="CharChar">
    <w:name w:val="Char Char"/>
    <w:basedOn w:val="Standardnpsmoodstavce"/>
    <w:semiHidden/>
    <w:locked/>
    <w:rsid w:val="00E109A1"/>
  </w:style>
  <w:style w:type="character" w:styleId="Sledovanodkaz">
    <w:name w:val="FollowedHyperlink"/>
    <w:rsid w:val="00E109A1"/>
    <w:rPr>
      <w:color w:val="800080"/>
      <w:u w:val="single"/>
    </w:rPr>
  </w:style>
  <w:style w:type="character" w:customStyle="1" w:styleId="TextpoznpodarouChar1">
    <w:name w:val="Text pozn. pod čarou Char1"/>
    <w:uiPriority w:val="99"/>
    <w:rsid w:val="00E109A1"/>
  </w:style>
  <w:style w:type="paragraph" w:customStyle="1" w:styleId="Popisky">
    <w:name w:val="Popisky"/>
    <w:rsid w:val="00E109A1"/>
    <w:pPr>
      <w:spacing w:after="0" w:line="240" w:lineRule="auto"/>
    </w:pPr>
    <w:rPr>
      <w:rFonts w:ascii="Arial" w:eastAsia="Times New Roman" w:hAnsi="Arial" w:cs="Times New Roman"/>
      <w:sz w:val="20"/>
      <w:szCs w:val="20"/>
      <w:lang w:eastAsia="cs-CZ"/>
    </w:rPr>
  </w:style>
  <w:style w:type="table" w:styleId="Mkatabulky">
    <w:name w:val="Table Grid"/>
    <w:basedOn w:val="Normlntabulka"/>
    <w:uiPriority w:val="59"/>
    <w:rsid w:val="00E109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Kurzva">
    <w:name w:val="Styl Kurzíva"/>
    <w:basedOn w:val="Normln"/>
    <w:next w:val="Normln"/>
    <w:rsid w:val="00E109A1"/>
    <w:rPr>
      <w:rFonts w:ascii="Times New Roman" w:eastAsia="Times New Roman" w:hAnsi="Times New Roman" w:cs="Times New Roman"/>
      <w:i/>
      <w:iCs/>
      <w:sz w:val="24"/>
      <w:szCs w:val="24"/>
      <w:lang w:eastAsia="cs-CZ"/>
    </w:rPr>
  </w:style>
  <w:style w:type="paragraph" w:customStyle="1" w:styleId="StylKurzvaPed6b">
    <w:name w:val="Styl Kurzíva Před:  6 b."/>
    <w:basedOn w:val="Normln"/>
    <w:rsid w:val="00E109A1"/>
    <w:rPr>
      <w:rFonts w:ascii="Times New Roman" w:eastAsia="Times New Roman" w:hAnsi="Times New Roman" w:cs="Times New Roman"/>
      <w:i/>
      <w:iCs/>
      <w:sz w:val="24"/>
      <w:szCs w:val="20"/>
      <w:lang w:eastAsia="cs-CZ"/>
    </w:rPr>
  </w:style>
  <w:style w:type="paragraph" w:customStyle="1" w:styleId="xl30">
    <w:name w:val="xl30"/>
    <w:basedOn w:val="Normln"/>
    <w:rsid w:val="00E109A1"/>
    <w:pPr>
      <w:pBdr>
        <w:left w:val="single" w:sz="4" w:space="0" w:color="auto"/>
        <w:bottom w:val="single" w:sz="4" w:space="0" w:color="auto"/>
        <w:right w:val="single" w:sz="4" w:space="0" w:color="auto"/>
      </w:pBdr>
      <w:spacing w:before="100" w:after="100"/>
      <w:jc w:val="left"/>
      <w:textAlignment w:val="center"/>
    </w:pPr>
    <w:rPr>
      <w:rFonts w:ascii="Times New Roman" w:eastAsia="Arial Unicode MS" w:hAnsi="Times New Roman" w:cs="Times New Roman"/>
      <w:sz w:val="24"/>
      <w:szCs w:val="20"/>
      <w:lang w:eastAsia="cs-CZ"/>
    </w:rPr>
  </w:style>
  <w:style w:type="paragraph" w:customStyle="1" w:styleId="title1">
    <w:name w:val="title1"/>
    <w:basedOn w:val="Normln"/>
    <w:rsid w:val="00E109A1"/>
    <w:pPr>
      <w:spacing w:before="100" w:beforeAutospacing="1" w:after="100" w:afterAutospacing="1"/>
      <w:jc w:val="left"/>
    </w:pPr>
    <w:rPr>
      <w:rFonts w:ascii="Verdana" w:eastAsia="Times New Roman" w:hAnsi="Verdana" w:cs="Times New Roman"/>
      <w:color w:val="000000"/>
      <w:sz w:val="12"/>
      <w:szCs w:val="12"/>
      <w:lang w:eastAsia="cs-CZ"/>
    </w:rPr>
  </w:style>
  <w:style w:type="paragraph" w:customStyle="1" w:styleId="one-row">
    <w:name w:val="one-row"/>
    <w:basedOn w:val="Normln"/>
    <w:rsid w:val="00E109A1"/>
    <w:pPr>
      <w:spacing w:before="50" w:after="60"/>
      <w:ind w:left="20"/>
      <w:jc w:val="left"/>
    </w:pPr>
    <w:rPr>
      <w:rFonts w:ascii="Times New Roman" w:eastAsia="Times New Roman" w:hAnsi="Times New Roman" w:cs="Times New Roman"/>
      <w:color w:val="444444"/>
      <w:sz w:val="24"/>
      <w:szCs w:val="24"/>
      <w:lang w:eastAsia="cs-CZ"/>
    </w:rPr>
  </w:style>
  <w:style w:type="character" w:styleId="Zdraznn">
    <w:name w:val="Emphasis"/>
    <w:rsid w:val="00E109A1"/>
    <w:rPr>
      <w:i/>
      <w:iCs/>
    </w:rPr>
  </w:style>
  <w:style w:type="paragraph" w:styleId="z-Zatekformule">
    <w:name w:val="HTML Top of Form"/>
    <w:basedOn w:val="Normln"/>
    <w:next w:val="Normln"/>
    <w:link w:val="z-ZatekformuleChar"/>
    <w:hidden/>
    <w:rsid w:val="00E109A1"/>
    <w:pPr>
      <w:pBdr>
        <w:bottom w:val="single" w:sz="6" w:space="1" w:color="auto"/>
      </w:pBdr>
      <w:spacing w:before="0"/>
      <w:jc w:val="center"/>
    </w:pPr>
    <w:rPr>
      <w:rFonts w:ascii="Arial" w:eastAsia="Times New Roman" w:hAnsi="Arial" w:cs="Arial"/>
      <w:vanish/>
      <w:sz w:val="16"/>
      <w:szCs w:val="16"/>
      <w:lang w:eastAsia="cs-CZ"/>
    </w:rPr>
  </w:style>
  <w:style w:type="character" w:customStyle="1" w:styleId="z-ZatekformuleChar">
    <w:name w:val="z-Začátek formuláře Char"/>
    <w:basedOn w:val="Standardnpsmoodstavce"/>
    <w:link w:val="z-Zatekformule"/>
    <w:rsid w:val="00E109A1"/>
    <w:rPr>
      <w:rFonts w:ascii="Arial" w:eastAsia="Times New Roman" w:hAnsi="Arial" w:cs="Arial"/>
      <w:vanish/>
      <w:sz w:val="16"/>
      <w:szCs w:val="16"/>
      <w:lang w:eastAsia="cs-CZ"/>
    </w:rPr>
  </w:style>
  <w:style w:type="paragraph" w:styleId="z-Konecformule">
    <w:name w:val="HTML Bottom of Form"/>
    <w:basedOn w:val="Normln"/>
    <w:next w:val="Normln"/>
    <w:link w:val="z-KonecformuleChar"/>
    <w:hidden/>
    <w:rsid w:val="00E109A1"/>
    <w:pPr>
      <w:pBdr>
        <w:top w:val="single" w:sz="6" w:space="1" w:color="auto"/>
      </w:pBdr>
      <w:spacing w:before="0"/>
      <w:jc w:val="center"/>
    </w:pPr>
    <w:rPr>
      <w:rFonts w:ascii="Arial" w:eastAsia="Times New Roman" w:hAnsi="Arial" w:cs="Arial"/>
      <w:vanish/>
      <w:sz w:val="16"/>
      <w:szCs w:val="16"/>
      <w:lang w:eastAsia="cs-CZ"/>
    </w:rPr>
  </w:style>
  <w:style w:type="character" w:customStyle="1" w:styleId="z-KonecformuleChar">
    <w:name w:val="z-Konec formuláře Char"/>
    <w:basedOn w:val="Standardnpsmoodstavce"/>
    <w:link w:val="z-Konecformule"/>
    <w:rsid w:val="00E109A1"/>
    <w:rPr>
      <w:rFonts w:ascii="Arial" w:eastAsia="Times New Roman" w:hAnsi="Arial" w:cs="Arial"/>
      <w:vanish/>
      <w:sz w:val="16"/>
      <w:szCs w:val="16"/>
      <w:lang w:eastAsia="cs-CZ"/>
    </w:rPr>
  </w:style>
  <w:style w:type="character" w:customStyle="1" w:styleId="13127">
    <w:name w:val="13127"/>
    <w:semiHidden/>
    <w:rsid w:val="00E109A1"/>
    <w:rPr>
      <w:rFonts w:ascii="Arial" w:hAnsi="Arial" w:cs="Arial"/>
      <w:color w:val="000080"/>
      <w:sz w:val="20"/>
      <w:szCs w:val="20"/>
    </w:rPr>
  </w:style>
  <w:style w:type="paragraph" w:customStyle="1" w:styleId="Zkladntext210">
    <w:name w:val="Základní text 21"/>
    <w:basedOn w:val="Normln"/>
    <w:rsid w:val="00E109A1"/>
    <w:pPr>
      <w:overflowPunct w:val="0"/>
      <w:autoSpaceDE w:val="0"/>
      <w:autoSpaceDN w:val="0"/>
      <w:adjustRightInd w:val="0"/>
      <w:spacing w:before="240" w:after="120"/>
      <w:ind w:firstLine="709"/>
      <w:textAlignment w:val="baseline"/>
    </w:pPr>
    <w:rPr>
      <w:rFonts w:ascii="Times New Roman" w:eastAsia="Times New Roman" w:hAnsi="Times New Roman" w:cs="Times New Roman"/>
      <w:sz w:val="24"/>
      <w:szCs w:val="20"/>
      <w:lang w:eastAsia="cs-CZ"/>
    </w:rPr>
  </w:style>
  <w:style w:type="character" w:customStyle="1" w:styleId="CharChar0">
    <w:name w:val="Char Char"/>
    <w:uiPriority w:val="99"/>
    <w:semiHidden/>
    <w:locked/>
    <w:rsid w:val="00E109A1"/>
  </w:style>
  <w:style w:type="paragraph" w:styleId="Revize">
    <w:name w:val="Revision"/>
    <w:hidden/>
    <w:uiPriority w:val="99"/>
    <w:semiHidden/>
    <w:rsid w:val="00E109A1"/>
    <w:pPr>
      <w:spacing w:after="0" w:line="240" w:lineRule="auto"/>
    </w:pPr>
    <w:rPr>
      <w:rFonts w:ascii="Times New Roman" w:eastAsia="Times New Roman" w:hAnsi="Times New Roman" w:cs="Times New Roman"/>
      <w:sz w:val="24"/>
      <w:szCs w:val="24"/>
      <w:lang w:eastAsia="cs-CZ"/>
    </w:rPr>
  </w:style>
  <w:style w:type="paragraph" w:styleId="Zkladntext-prvnodsazen">
    <w:name w:val="Body Text First Indent"/>
    <w:basedOn w:val="Zkladntext"/>
    <w:link w:val="Zkladntext-prvnodsazenChar"/>
    <w:rsid w:val="00E109A1"/>
    <w:pPr>
      <w:tabs>
        <w:tab w:val="clear" w:pos="7797"/>
        <w:tab w:val="clear" w:pos="8080"/>
        <w:tab w:val="clear" w:pos="8789"/>
      </w:tabs>
      <w:spacing w:line="240" w:lineRule="auto"/>
      <w:ind w:right="0" w:firstLine="210"/>
      <w:jc w:val="both"/>
    </w:pPr>
    <w:rPr>
      <w:szCs w:val="24"/>
    </w:rPr>
  </w:style>
  <w:style w:type="character" w:customStyle="1" w:styleId="Zkladntext-prvnodsazenChar">
    <w:name w:val="Základní text - první odsazený Char"/>
    <w:basedOn w:val="ZkladntextChar"/>
    <w:link w:val="Zkladntext-prvnodsazen"/>
    <w:rsid w:val="00E109A1"/>
    <w:rPr>
      <w:rFonts w:ascii="Times New Roman" w:eastAsia="Times New Roman" w:hAnsi="Times New Roman" w:cs="Times New Roman"/>
      <w:sz w:val="24"/>
      <w:szCs w:val="24"/>
      <w:lang w:eastAsia="cs-CZ"/>
    </w:rPr>
  </w:style>
  <w:style w:type="character" w:customStyle="1" w:styleId="HlavnodstavecChar">
    <w:name w:val="Hlavní odstavec Char"/>
    <w:link w:val="Hlavnodstavec"/>
    <w:locked/>
    <w:rsid w:val="00E109A1"/>
    <w:rPr>
      <w:rFonts w:ascii="Calibri" w:hAnsi="Calibri" w:cs="Arial"/>
    </w:rPr>
  </w:style>
  <w:style w:type="paragraph" w:customStyle="1" w:styleId="Hlavnodstavec">
    <w:name w:val="Hlavní odstavec"/>
    <w:basedOn w:val="Normln"/>
    <w:link w:val="HlavnodstavecChar"/>
    <w:rsid w:val="00E109A1"/>
    <w:pPr>
      <w:spacing w:after="120"/>
    </w:pPr>
    <w:rPr>
      <w:rFonts w:ascii="Calibri" w:hAnsi="Calibri" w:cs="Arial"/>
    </w:rPr>
  </w:style>
  <w:style w:type="paragraph" w:customStyle="1" w:styleId="Odstavecseseznamem1">
    <w:name w:val="Odstavec se seznamem1"/>
    <w:aliases w:val="Nadpis pro KZ,odrážky,Odstavec se seznamem11"/>
    <w:basedOn w:val="Normln"/>
    <w:link w:val="OdstavecseseznamemChar"/>
    <w:uiPriority w:val="34"/>
    <w:rsid w:val="00E109A1"/>
    <w:pPr>
      <w:spacing w:before="0" w:after="200" w:line="276" w:lineRule="auto"/>
      <w:ind w:left="720"/>
      <w:contextualSpacing/>
      <w:jc w:val="left"/>
    </w:pPr>
    <w:rPr>
      <w:rFonts w:ascii="Arial" w:eastAsia="Calibri" w:hAnsi="Arial" w:cs="Arial"/>
    </w:rPr>
  </w:style>
  <w:style w:type="character" w:customStyle="1" w:styleId="OdstavecseseznamemChar">
    <w:name w:val="Odstavec se seznamem Char"/>
    <w:aliases w:val="Nadpis pro KZ Char,odrážky Char"/>
    <w:link w:val="Odstavecseseznamem1"/>
    <w:uiPriority w:val="34"/>
    <w:locked/>
    <w:rsid w:val="00E109A1"/>
    <w:rPr>
      <w:rFonts w:ascii="Arial" w:eastAsia="Calibri" w:hAnsi="Arial" w:cs="Arial"/>
    </w:rPr>
  </w:style>
  <w:style w:type="paragraph" w:customStyle="1" w:styleId="Bezmezer1">
    <w:name w:val="Bez mezer1"/>
    <w:rsid w:val="00E109A1"/>
    <w:pPr>
      <w:spacing w:after="0" w:line="240" w:lineRule="auto"/>
    </w:pPr>
    <w:rPr>
      <w:rFonts w:ascii="Calibri" w:eastAsia="Times New Roman" w:hAnsi="Calibri" w:cs="Times New Roman"/>
    </w:rPr>
  </w:style>
  <w:style w:type="paragraph" w:customStyle="1" w:styleId="ZKDvousloupcov">
    <w:name w:val="ZK_Dvousloupcový"/>
    <w:basedOn w:val="Normln"/>
    <w:link w:val="ZKDvousloupcovChar"/>
    <w:rsid w:val="00E109A1"/>
    <w:pPr>
      <w:spacing w:before="0" w:after="120" w:line="264" w:lineRule="auto"/>
    </w:pPr>
    <w:rPr>
      <w:rFonts w:ascii="Calibri" w:eastAsia="Times New Roman" w:hAnsi="Calibri" w:cs="Times New Roman"/>
      <w:kern w:val="20"/>
      <w:sz w:val="20"/>
      <w:szCs w:val="24"/>
      <w:lang w:eastAsia="cs-CZ"/>
    </w:rPr>
  </w:style>
  <w:style w:type="character" w:customStyle="1" w:styleId="ZKDvousloupcovChar">
    <w:name w:val="ZK_Dvousloupcový Char"/>
    <w:link w:val="ZKDvousloupcov"/>
    <w:rsid w:val="00E109A1"/>
    <w:rPr>
      <w:rFonts w:ascii="Calibri" w:eastAsia="Times New Roman" w:hAnsi="Calibri" w:cs="Times New Roman"/>
      <w:kern w:val="20"/>
      <w:sz w:val="20"/>
      <w:szCs w:val="24"/>
      <w:lang w:eastAsia="cs-CZ"/>
    </w:rPr>
  </w:style>
  <w:style w:type="paragraph" w:customStyle="1" w:styleId="Styl3">
    <w:name w:val="Styl3"/>
    <w:basedOn w:val="Normln"/>
    <w:rsid w:val="00E109A1"/>
    <w:pPr>
      <w:overflowPunct w:val="0"/>
      <w:autoSpaceDE w:val="0"/>
      <w:autoSpaceDN w:val="0"/>
      <w:adjustRightInd w:val="0"/>
      <w:spacing w:before="0"/>
      <w:jc w:val="left"/>
      <w:textAlignment w:val="baseline"/>
    </w:pPr>
    <w:rPr>
      <w:rFonts w:ascii="Times New Roman" w:eastAsia="Times New Roman" w:hAnsi="Times New Roman" w:cs="Times New Roman"/>
      <w:sz w:val="24"/>
      <w:szCs w:val="20"/>
      <w:lang w:eastAsia="cs-CZ"/>
    </w:rPr>
  </w:style>
  <w:style w:type="paragraph" w:customStyle="1" w:styleId="Default">
    <w:name w:val="Default"/>
    <w:rsid w:val="00E109A1"/>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rsid w:val="00E109A1"/>
    <w:pPr>
      <w:ind w:left="708"/>
    </w:pPr>
    <w:rPr>
      <w:rFonts w:ascii="Times New Roman" w:eastAsia="Times New Roman" w:hAnsi="Times New Roman" w:cs="Times New Roman"/>
      <w:sz w:val="24"/>
      <w:szCs w:val="24"/>
      <w:lang w:eastAsia="cs-CZ"/>
    </w:rPr>
  </w:style>
  <w:style w:type="character" w:customStyle="1" w:styleId="icon">
    <w:name w:val="icon"/>
    <w:rsid w:val="00E109A1"/>
  </w:style>
  <w:style w:type="paragraph" w:customStyle="1" w:styleId="publishdate">
    <w:name w:val="publishdate"/>
    <w:basedOn w:val="Normln"/>
    <w:rsid w:val="00E109A1"/>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summary">
    <w:name w:val="summary"/>
    <w:basedOn w:val="Normln"/>
    <w:rsid w:val="00E109A1"/>
    <w:pPr>
      <w:spacing w:before="100" w:beforeAutospacing="1" w:after="100" w:afterAutospacing="1"/>
      <w:jc w:val="left"/>
    </w:pPr>
    <w:rPr>
      <w:rFonts w:ascii="Times New Roman" w:eastAsia="Times New Roman" w:hAnsi="Times New Roman" w:cs="Times New Roman"/>
      <w:sz w:val="24"/>
      <w:szCs w:val="24"/>
      <w:lang w:eastAsia="cs-CZ"/>
    </w:rPr>
  </w:style>
  <w:style w:type="character" w:customStyle="1" w:styleId="note">
    <w:name w:val="note"/>
    <w:rsid w:val="00E109A1"/>
  </w:style>
  <w:style w:type="paragraph" w:customStyle="1" w:styleId="Zkladntext31">
    <w:name w:val="Základní text 31"/>
    <w:basedOn w:val="Normln"/>
    <w:rsid w:val="00E109A1"/>
    <w:pPr>
      <w:overflowPunct w:val="0"/>
      <w:autoSpaceDE w:val="0"/>
      <w:autoSpaceDN w:val="0"/>
      <w:adjustRightInd w:val="0"/>
      <w:spacing w:before="0"/>
      <w:textAlignment w:val="baseline"/>
    </w:pPr>
    <w:rPr>
      <w:rFonts w:ascii="Times New Roman" w:eastAsia="Times New Roman" w:hAnsi="Times New Roman" w:cs="Times New Roman"/>
      <w:sz w:val="28"/>
      <w:szCs w:val="20"/>
      <w:lang w:eastAsia="cs-CZ"/>
    </w:rPr>
  </w:style>
  <w:style w:type="paragraph" w:customStyle="1" w:styleId="Nadpisparagrafu">
    <w:name w:val="Nadpis paragrafu"/>
    <w:basedOn w:val="Normln"/>
    <w:next w:val="Normln"/>
    <w:rsid w:val="00E109A1"/>
    <w:pPr>
      <w:keepNext/>
      <w:keepLines/>
      <w:overflowPunct w:val="0"/>
      <w:autoSpaceDE w:val="0"/>
      <w:autoSpaceDN w:val="0"/>
      <w:adjustRightInd w:val="0"/>
      <w:spacing w:before="240"/>
      <w:jc w:val="center"/>
      <w:textAlignment w:val="baseline"/>
    </w:pPr>
    <w:rPr>
      <w:rFonts w:ascii="Times New Roman" w:eastAsia="Times New Roman" w:hAnsi="Times New Roman" w:cs="Times New Roman"/>
      <w:b/>
      <w:sz w:val="24"/>
      <w:szCs w:val="20"/>
      <w:lang w:eastAsia="cs-CZ"/>
    </w:rPr>
  </w:style>
  <w:style w:type="paragraph" w:customStyle="1" w:styleId="xl27">
    <w:name w:val="xl27"/>
    <w:basedOn w:val="Normln"/>
    <w:rsid w:val="00E109A1"/>
    <w:pPr>
      <w:pBdr>
        <w:left w:val="single" w:sz="6" w:space="0" w:color="auto"/>
        <w:bottom w:val="single" w:sz="6" w:space="0" w:color="auto"/>
        <w:right w:val="single" w:sz="6" w:space="0" w:color="auto"/>
      </w:pBdr>
      <w:spacing w:before="100" w:after="100"/>
      <w:jc w:val="left"/>
    </w:pPr>
    <w:rPr>
      <w:rFonts w:ascii="Times New Roman" w:eastAsia="Times New Roman" w:hAnsi="Times New Roman" w:cs="Times New Roman"/>
      <w:sz w:val="24"/>
      <w:szCs w:val="20"/>
      <w:lang w:eastAsia="cs-CZ"/>
    </w:rPr>
  </w:style>
  <w:style w:type="paragraph" w:customStyle="1" w:styleId="Zkladntext22">
    <w:name w:val="Základní text 22"/>
    <w:basedOn w:val="Normln"/>
    <w:rsid w:val="00E109A1"/>
    <w:pPr>
      <w:overflowPunct w:val="0"/>
      <w:autoSpaceDE w:val="0"/>
      <w:autoSpaceDN w:val="0"/>
      <w:adjustRightInd w:val="0"/>
      <w:spacing w:before="0" w:line="360" w:lineRule="auto"/>
      <w:ind w:firstLine="709"/>
      <w:textAlignment w:val="baseline"/>
    </w:pPr>
    <w:rPr>
      <w:rFonts w:ascii="Times New Roman" w:eastAsia="Times New Roman" w:hAnsi="Times New Roman" w:cs="Times New Roman"/>
      <w:sz w:val="24"/>
      <w:szCs w:val="20"/>
      <w:lang w:eastAsia="cs-CZ"/>
    </w:rPr>
  </w:style>
  <w:style w:type="paragraph" w:customStyle="1" w:styleId="Pa13">
    <w:name w:val="Pa13"/>
    <w:basedOn w:val="Normln"/>
    <w:next w:val="Normln"/>
    <w:uiPriority w:val="99"/>
    <w:rsid w:val="00E109A1"/>
    <w:pPr>
      <w:autoSpaceDE w:val="0"/>
      <w:autoSpaceDN w:val="0"/>
      <w:adjustRightInd w:val="0"/>
      <w:spacing w:before="0" w:line="181" w:lineRule="atLeast"/>
      <w:jc w:val="left"/>
    </w:pPr>
    <w:rPr>
      <w:rFonts w:ascii="Verdana" w:eastAsia="Times New Roman" w:hAnsi="Verdana" w:cs="Times New Roman"/>
      <w:sz w:val="24"/>
      <w:szCs w:val="24"/>
      <w:lang w:eastAsia="cs-CZ"/>
    </w:rPr>
  </w:style>
  <w:style w:type="paragraph" w:styleId="Textvysvtlivek">
    <w:name w:val="endnote text"/>
    <w:basedOn w:val="Normln"/>
    <w:link w:val="TextvysvtlivekChar"/>
    <w:rsid w:val="00E109A1"/>
    <w:rPr>
      <w:rFonts w:ascii="Times New Roman" w:eastAsia="Times New Roman" w:hAnsi="Times New Roman" w:cs="Times New Roman"/>
      <w:sz w:val="20"/>
      <w:szCs w:val="20"/>
      <w:lang w:eastAsia="cs-CZ"/>
    </w:rPr>
  </w:style>
  <w:style w:type="character" w:customStyle="1" w:styleId="TextvysvtlivekChar">
    <w:name w:val="Text vysvětlivek Char"/>
    <w:basedOn w:val="Standardnpsmoodstavce"/>
    <w:link w:val="Textvysvtlivek"/>
    <w:rsid w:val="00E109A1"/>
    <w:rPr>
      <w:rFonts w:ascii="Times New Roman" w:eastAsia="Times New Roman" w:hAnsi="Times New Roman" w:cs="Times New Roman"/>
      <w:sz w:val="20"/>
      <w:szCs w:val="20"/>
      <w:lang w:eastAsia="cs-CZ"/>
    </w:rPr>
  </w:style>
  <w:style w:type="character" w:styleId="Odkaznavysvtlivky">
    <w:name w:val="endnote reference"/>
    <w:rsid w:val="00E109A1"/>
    <w:rPr>
      <w:vertAlign w:val="superscript"/>
    </w:rPr>
  </w:style>
  <w:style w:type="paragraph" w:customStyle="1" w:styleId="odrka">
    <w:name w:val="odrážka"/>
    <w:basedOn w:val="Odstavecseseznamem"/>
    <w:qFormat/>
    <w:rsid w:val="00596385"/>
    <w:pPr>
      <w:numPr>
        <w:numId w:val="3"/>
      </w:numPr>
      <w:spacing w:before="60"/>
      <w:ind w:left="284" w:hanging="284"/>
    </w:pPr>
    <w:rPr>
      <w:rFonts w:ascii="Calibri" w:hAnsi="Calibri"/>
      <w:sz w:val="22"/>
    </w:rPr>
  </w:style>
  <w:style w:type="character" w:customStyle="1" w:styleId="apple-converted-space">
    <w:name w:val="apple-converted-space"/>
    <w:basedOn w:val="Standardnpsmoodstavce"/>
    <w:rsid w:val="00DD3EBC"/>
  </w:style>
  <w:style w:type="character" w:customStyle="1" w:styleId="urtxtemph">
    <w:name w:val="urtxtemph"/>
    <w:rsid w:val="00DD3EBC"/>
  </w:style>
  <w:style w:type="character" w:customStyle="1" w:styleId="urtxtstd">
    <w:name w:val="urtxtstd"/>
    <w:rsid w:val="00DD3EBC"/>
  </w:style>
  <w:style w:type="paragraph" w:styleId="Seznamsodrkami">
    <w:name w:val="List Bullet"/>
    <w:basedOn w:val="Normln"/>
    <w:uiPriority w:val="99"/>
    <w:unhideWhenUsed/>
    <w:rsid w:val="00E6353D"/>
    <w:pPr>
      <w:tabs>
        <w:tab w:val="num" w:pos="360"/>
      </w:tabs>
      <w:ind w:left="360" w:hanging="360"/>
      <w:contextualSpacing/>
    </w:pPr>
  </w:style>
  <w:style w:type="character" w:customStyle="1" w:styleId="UnresolvedMention1">
    <w:name w:val="Unresolved Mention1"/>
    <w:basedOn w:val="Standardnpsmoodstavce"/>
    <w:uiPriority w:val="99"/>
    <w:semiHidden/>
    <w:unhideWhenUsed/>
    <w:rsid w:val="0079794A"/>
    <w:rPr>
      <w:color w:val="605E5C"/>
      <w:shd w:val="clear" w:color="auto" w:fill="E1DFDD"/>
    </w:rPr>
  </w:style>
  <w:style w:type="character" w:customStyle="1" w:styleId="Nevyeenzmnka1">
    <w:name w:val="Nevyřešená zmínka1"/>
    <w:basedOn w:val="Standardnpsmoodstavce"/>
    <w:uiPriority w:val="99"/>
    <w:semiHidden/>
    <w:unhideWhenUsed/>
    <w:rsid w:val="008244C8"/>
    <w:rPr>
      <w:color w:val="605E5C"/>
      <w:shd w:val="clear" w:color="auto" w:fill="E1DFDD"/>
    </w:rPr>
  </w:style>
  <w:style w:type="paragraph" w:styleId="slovanseznam">
    <w:name w:val="List Number"/>
    <w:basedOn w:val="Normln"/>
    <w:rsid w:val="0050536B"/>
    <w:pPr>
      <w:tabs>
        <w:tab w:val="num" w:pos="360"/>
      </w:tabs>
      <w:ind w:left="360" w:hanging="360"/>
    </w:pPr>
    <w:rPr>
      <w:rFonts w:ascii="Times New Roman" w:eastAsia="Times New Roman" w:hAnsi="Times New Roman" w:cs="Times New Roman"/>
      <w:sz w:val="24"/>
      <w:szCs w:val="24"/>
      <w:lang w:eastAsia="cs-CZ"/>
    </w:rPr>
  </w:style>
  <w:style w:type="paragraph" w:customStyle="1" w:styleId="Zkladntext23">
    <w:name w:val="Základní text 23"/>
    <w:basedOn w:val="Normln"/>
    <w:rsid w:val="007740BE"/>
    <w:pPr>
      <w:spacing w:after="120" w:line="360" w:lineRule="auto"/>
      <w:ind w:firstLine="709"/>
    </w:pPr>
    <w:rPr>
      <w:rFonts w:ascii="Times New Roman" w:eastAsia="Times New Roman" w:hAnsi="Times New Roman" w:cs="Times New Roman"/>
      <w:sz w:val="24"/>
      <w:szCs w:val="20"/>
      <w:lang w:eastAsia="cs-CZ"/>
    </w:rPr>
  </w:style>
  <w:style w:type="paragraph" w:customStyle="1" w:styleId="Hlava">
    <w:name w:val="Hlava"/>
    <w:basedOn w:val="Normln"/>
    <w:next w:val="Normln"/>
    <w:rsid w:val="007740BE"/>
    <w:pPr>
      <w:keepNext/>
      <w:keepLines/>
      <w:spacing w:before="240"/>
      <w:jc w:val="center"/>
      <w:outlineLvl w:val="2"/>
    </w:pPr>
    <w:rPr>
      <w:rFonts w:ascii="Times New Roman" w:eastAsia="Times New Roman" w:hAnsi="Times New Roman" w:cs="Times New Roman"/>
      <w:sz w:val="24"/>
      <w:szCs w:val="20"/>
      <w:lang w:eastAsia="cs-CZ"/>
    </w:rPr>
  </w:style>
  <w:style w:type="paragraph" w:customStyle="1" w:styleId="ZZZEsster">
    <w:name w:val="ZZZEsster"/>
    <w:basedOn w:val="Normln"/>
    <w:rsid w:val="007740BE"/>
    <w:pPr>
      <w:widowControl w:val="0"/>
      <w:suppressAutoHyphens/>
    </w:pPr>
    <w:rPr>
      <w:rFonts w:ascii="Times New Roman" w:eastAsia="Lucida Sans Unicode" w:hAnsi="Times New Roman" w:cs="Tahoma"/>
      <w:sz w:val="24"/>
      <w:szCs w:val="20"/>
    </w:rPr>
  </w:style>
  <w:style w:type="paragraph" w:customStyle="1" w:styleId="BODY">
    <w:name w:val="BODY"/>
    <w:basedOn w:val="Normln"/>
    <w:next w:val="Normln"/>
    <w:rsid w:val="007740BE"/>
    <w:pPr>
      <w:tabs>
        <w:tab w:val="num" w:pos="720"/>
      </w:tabs>
      <w:spacing w:before="20" w:after="20"/>
      <w:ind w:left="720" w:hanging="432"/>
    </w:pPr>
    <w:rPr>
      <w:rFonts w:ascii="Times New Roman" w:eastAsia="Times New Roman" w:hAnsi="Times New Roman" w:cs="Times New Roman"/>
      <w:sz w:val="24"/>
      <w:szCs w:val="24"/>
      <w:lang w:eastAsia="cs-CZ"/>
    </w:rPr>
  </w:style>
  <w:style w:type="paragraph" w:customStyle="1" w:styleId="StylNadpis2Podtren">
    <w:name w:val="Styl Nadpis 2 + Podtržení"/>
    <w:basedOn w:val="Nadpis2"/>
    <w:rsid w:val="007740BE"/>
    <w:pPr>
      <w:keepLines w:val="0"/>
      <w:pageBreakBefore/>
      <w:numPr>
        <w:ilvl w:val="0"/>
        <w:numId w:val="0"/>
      </w:numPr>
      <w:spacing w:before="240" w:after="240"/>
      <w:ind w:left="360" w:hanging="360"/>
      <w:jc w:val="both"/>
    </w:pPr>
    <w:rPr>
      <w:rFonts w:ascii="Times New Roman" w:eastAsia="Times New Roman" w:hAnsi="Times New Roman" w:cs="Times New Roman"/>
      <w:bCs/>
      <w:szCs w:val="24"/>
      <w:u w:val="single"/>
      <w:lang w:eastAsia="cs-CZ"/>
    </w:rPr>
  </w:style>
  <w:style w:type="paragraph" w:customStyle="1" w:styleId="odrakyslalev">
    <w:name w:val="odražky čísla levé"/>
    <w:basedOn w:val="Normlnodsazen"/>
    <w:rsid w:val="007740BE"/>
    <w:pPr>
      <w:numPr>
        <w:numId w:val="4"/>
      </w:numPr>
      <w:spacing w:after="120"/>
    </w:pPr>
    <w:rPr>
      <w:szCs w:val="20"/>
    </w:rPr>
  </w:style>
  <w:style w:type="paragraph" w:styleId="Normlnodsazen">
    <w:name w:val="Normal Indent"/>
    <w:basedOn w:val="Normln"/>
    <w:rsid w:val="007740BE"/>
    <w:pPr>
      <w:ind w:left="708"/>
    </w:pPr>
    <w:rPr>
      <w:rFonts w:ascii="Times New Roman" w:eastAsia="Times New Roman" w:hAnsi="Times New Roman" w:cs="Times New Roman"/>
      <w:sz w:val="24"/>
      <w:szCs w:val="24"/>
      <w:lang w:eastAsia="cs-CZ"/>
    </w:rPr>
  </w:style>
  <w:style w:type="paragraph" w:customStyle="1" w:styleId="hlnadpis">
    <w:name w:val="hl nadpis"/>
    <w:basedOn w:val="Normln"/>
    <w:rsid w:val="007740BE"/>
    <w:pPr>
      <w:overflowPunct w:val="0"/>
      <w:autoSpaceDE w:val="0"/>
      <w:autoSpaceDN w:val="0"/>
      <w:adjustRightInd w:val="0"/>
      <w:spacing w:after="120" w:line="360" w:lineRule="auto"/>
      <w:ind w:left="567"/>
      <w:jc w:val="center"/>
      <w:textAlignment w:val="baseline"/>
    </w:pPr>
    <w:rPr>
      <w:rFonts w:ascii="Times New Roman" w:eastAsia="Times New Roman" w:hAnsi="Times New Roman" w:cs="Times New Roman"/>
      <w:b/>
      <w:caps/>
      <w:spacing w:val="20"/>
      <w:sz w:val="36"/>
      <w:szCs w:val="20"/>
      <w:lang w:eastAsia="cs-CZ"/>
    </w:rPr>
  </w:style>
  <w:style w:type="paragraph" w:customStyle="1" w:styleId="hlnadpis3">
    <w:name w:val="hl nadpis3"/>
    <w:basedOn w:val="hlnadpis"/>
    <w:rsid w:val="007740BE"/>
    <w:pPr>
      <w:spacing w:before="960"/>
    </w:pPr>
  </w:style>
  <w:style w:type="paragraph" w:customStyle="1" w:styleId="odrkynae">
    <w:name w:val="odrážky naše"/>
    <w:basedOn w:val="Pokraovnseznamu"/>
    <w:rsid w:val="007740BE"/>
    <w:pPr>
      <w:numPr>
        <w:numId w:val="5"/>
      </w:numPr>
      <w:tabs>
        <w:tab w:val="clear" w:pos="463"/>
        <w:tab w:val="num" w:pos="360"/>
      </w:tabs>
      <w:overflowPunct w:val="0"/>
      <w:autoSpaceDE w:val="0"/>
      <w:autoSpaceDN w:val="0"/>
      <w:adjustRightInd w:val="0"/>
      <w:spacing w:before="60" w:after="60" w:line="360" w:lineRule="atLeast"/>
      <w:ind w:left="360" w:hanging="360"/>
      <w:contextualSpacing w:val="0"/>
      <w:jc w:val="both"/>
      <w:textAlignment w:val="baseline"/>
    </w:pPr>
    <w:rPr>
      <w:szCs w:val="20"/>
    </w:rPr>
  </w:style>
  <w:style w:type="paragraph" w:styleId="Pokraovnseznamu">
    <w:name w:val="List Continue"/>
    <w:basedOn w:val="Normln"/>
    <w:uiPriority w:val="99"/>
    <w:unhideWhenUsed/>
    <w:rsid w:val="007740BE"/>
    <w:pPr>
      <w:spacing w:before="0" w:after="120"/>
      <w:ind w:left="283"/>
      <w:contextualSpacing/>
      <w:jc w:val="left"/>
    </w:pPr>
    <w:rPr>
      <w:rFonts w:ascii="Times New Roman" w:eastAsia="Times New Roman" w:hAnsi="Times New Roman" w:cs="Times New Roman"/>
      <w:sz w:val="24"/>
      <w:szCs w:val="24"/>
      <w:lang w:eastAsia="cs-CZ"/>
    </w:rPr>
  </w:style>
  <w:style w:type="paragraph" w:customStyle="1" w:styleId="article-perex">
    <w:name w:val="article-perex"/>
    <w:basedOn w:val="Normln"/>
    <w:rsid w:val="007740BE"/>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promotext">
    <w:name w:val="promotext"/>
    <w:basedOn w:val="Normln"/>
    <w:rsid w:val="007740BE"/>
    <w:pPr>
      <w:spacing w:before="100" w:beforeAutospacing="1" w:after="100" w:afterAutospacing="1"/>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904012">
      <w:bodyDiv w:val="1"/>
      <w:marLeft w:val="0"/>
      <w:marRight w:val="0"/>
      <w:marTop w:val="0"/>
      <w:marBottom w:val="0"/>
      <w:divBdr>
        <w:top w:val="none" w:sz="0" w:space="0" w:color="auto"/>
        <w:left w:val="none" w:sz="0" w:space="0" w:color="auto"/>
        <w:bottom w:val="none" w:sz="0" w:space="0" w:color="auto"/>
        <w:right w:val="none" w:sz="0" w:space="0" w:color="auto"/>
      </w:divBdr>
    </w:div>
    <w:div w:id="499085715">
      <w:bodyDiv w:val="1"/>
      <w:marLeft w:val="0"/>
      <w:marRight w:val="0"/>
      <w:marTop w:val="0"/>
      <w:marBottom w:val="0"/>
      <w:divBdr>
        <w:top w:val="none" w:sz="0" w:space="0" w:color="auto"/>
        <w:left w:val="none" w:sz="0" w:space="0" w:color="auto"/>
        <w:bottom w:val="none" w:sz="0" w:space="0" w:color="auto"/>
        <w:right w:val="none" w:sz="0" w:space="0" w:color="auto"/>
      </w:divBdr>
    </w:div>
    <w:div w:id="1752658125">
      <w:bodyDiv w:val="1"/>
      <w:marLeft w:val="0"/>
      <w:marRight w:val="0"/>
      <w:marTop w:val="0"/>
      <w:marBottom w:val="0"/>
      <w:divBdr>
        <w:top w:val="none" w:sz="0" w:space="0" w:color="auto"/>
        <w:left w:val="none" w:sz="0" w:space="0" w:color="auto"/>
        <w:bottom w:val="none" w:sz="0" w:space="0" w:color="auto"/>
        <w:right w:val="none" w:sz="0" w:space="0" w:color="auto"/>
      </w:divBdr>
    </w:div>
    <w:div w:id="210483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image" Target="media/image10.png"/><Relationship Id="rId26" Type="http://schemas.openxmlformats.org/officeDocument/2006/relationships/image" Target="media/image18.emf"/><Relationship Id="rId39" Type="http://schemas.openxmlformats.org/officeDocument/2006/relationships/image" Target="media/image31.png"/><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png"/><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png"/><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png"/><Relationship Id="rId31" Type="http://schemas.openxmlformats.org/officeDocument/2006/relationships/image" Target="media/image23.emf"/><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emf"/><Relationship Id="rId35" Type="http://schemas.openxmlformats.org/officeDocument/2006/relationships/image" Target="media/image27.png"/><Relationship Id="rId43" Type="http://schemas.openxmlformats.org/officeDocument/2006/relationships/image" Target="media/image35.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690A9-B8FC-409B-91BF-37ED808A4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47</Pages>
  <Words>19581</Words>
  <Characters>115529</Characters>
  <Application>Microsoft Office Word</Application>
  <DocSecurity>0</DocSecurity>
  <Lines>962</Lines>
  <Paragraphs>269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Ministerstvo financí</Company>
  <LinksUpToDate>false</LinksUpToDate>
  <CharactersWithSpaces>134841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Pavlíček Jan Ing.</dc:creator>
  <cp:lastModifiedBy>Rážová Jana Mgr.</cp:lastModifiedBy>
  <cp:revision>7</cp:revision>
  <cp:lastPrinted>2020-09-30T11:02:00Z</cp:lastPrinted>
  <dcterms:created xsi:type="dcterms:W3CDTF">2021-03-24T11:01:00Z</dcterms:created>
  <dcterms:modified xsi:type="dcterms:W3CDTF">2021-04-14T07:06:00Z</dcterms:modified>
</cp:coreProperties>
</file>